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C929E">
      <w:pPr>
        <w:jc w:val="center"/>
        <w:rPr>
          <w:rFonts w:hint="eastAsia" w:ascii="宋体" w:hAnsi="宋体"/>
          <w:sz w:val="44"/>
          <w:szCs w:val="48"/>
        </w:rPr>
      </w:pPr>
    </w:p>
    <w:p w14:paraId="11415171">
      <w:pPr>
        <w:jc w:val="center"/>
        <w:rPr>
          <w:rFonts w:hint="eastAsia" w:ascii="宋体" w:hAnsi="宋体"/>
          <w:sz w:val="44"/>
          <w:szCs w:val="48"/>
        </w:rPr>
      </w:pPr>
    </w:p>
    <w:p w14:paraId="7B2BE80E">
      <w:pPr>
        <w:snapToGrid w:val="0"/>
        <w:jc w:val="center"/>
        <w:rPr>
          <w:rFonts w:hint="eastAsia" w:ascii="宋体" w:hAnsi="宋体" w:eastAsia="宋体"/>
          <w:sz w:val="48"/>
          <w:szCs w:val="48"/>
          <w:lang w:val="en-US" w:eastAsia="zh-CN"/>
        </w:rPr>
      </w:pPr>
      <w:r>
        <w:rPr>
          <w:rFonts w:hint="eastAsia" w:ascii="宋体" w:hAnsi="宋体"/>
          <w:sz w:val="48"/>
          <w:szCs w:val="48"/>
        </w:rPr>
        <w:t>中国重汽集团</w:t>
      </w:r>
      <w:r>
        <w:rPr>
          <w:rFonts w:hint="eastAsia" w:ascii="宋体" w:hAnsi="宋体"/>
          <w:sz w:val="48"/>
          <w:szCs w:val="48"/>
          <w:lang w:eastAsia="zh-CN"/>
        </w:rPr>
        <w:t>大同齿轮有限公司</w:t>
      </w:r>
      <w:r>
        <w:rPr>
          <w:rFonts w:hint="eastAsia" w:ascii="宋体" w:hAnsi="宋体"/>
          <w:sz w:val="48"/>
          <w:szCs w:val="48"/>
          <w:lang w:val="en-US" w:eastAsia="zh-CN"/>
        </w:rPr>
        <w:t>2026年度</w:t>
      </w:r>
      <w:r>
        <w:rPr>
          <w:rFonts w:hint="eastAsia" w:ascii="宋体" w:hAnsi="宋体"/>
          <w:sz w:val="48"/>
          <w:szCs w:val="48"/>
          <w:lang w:eastAsia="zh-CN"/>
        </w:rPr>
        <w:t>东风柳汽仓储服务项目</w:t>
      </w:r>
    </w:p>
    <w:p w14:paraId="448BCB4B">
      <w:pPr>
        <w:snapToGrid w:val="0"/>
        <w:jc w:val="center"/>
        <w:rPr>
          <w:rFonts w:hint="eastAsia" w:ascii="宋体" w:hAnsi="宋体"/>
          <w:sz w:val="48"/>
          <w:szCs w:val="48"/>
          <w:lang w:val="en-US" w:eastAsia="zh-CN"/>
        </w:rPr>
      </w:pPr>
    </w:p>
    <w:p w14:paraId="03E4E158">
      <w:pPr>
        <w:snapToGrid w:val="0"/>
        <w:jc w:val="center"/>
        <w:rPr>
          <w:rFonts w:hint="eastAsia" w:ascii="宋体" w:hAnsi="宋体"/>
          <w:sz w:val="48"/>
          <w:szCs w:val="48"/>
          <w:lang w:val="en-US" w:eastAsia="zh-CN"/>
        </w:rPr>
      </w:pPr>
    </w:p>
    <w:p w14:paraId="59ABE10C">
      <w:pPr>
        <w:snapToGrid w:val="0"/>
        <w:jc w:val="center"/>
        <w:rPr>
          <w:rFonts w:hint="eastAsia" w:ascii="宋体" w:hAnsi="宋体"/>
          <w:sz w:val="48"/>
          <w:szCs w:val="48"/>
          <w:lang w:val="en-US" w:eastAsia="zh-CN"/>
        </w:rPr>
      </w:pPr>
    </w:p>
    <w:p w14:paraId="3B8DE314">
      <w:pPr>
        <w:snapToGrid w:val="0"/>
        <w:jc w:val="center"/>
        <w:rPr>
          <w:rFonts w:hint="default" w:ascii="宋体" w:hAnsi="宋体"/>
          <w:sz w:val="48"/>
          <w:szCs w:val="48"/>
          <w:lang w:val="en-US" w:eastAsia="zh-CN"/>
        </w:rPr>
      </w:pPr>
    </w:p>
    <w:p w14:paraId="080D70AD">
      <w:pPr>
        <w:snapToGrid w:val="0"/>
        <w:jc w:val="center"/>
        <w:rPr>
          <w:rFonts w:hint="eastAsia" w:ascii="黑体" w:hAnsi="宋体" w:eastAsia="黑体"/>
          <w:sz w:val="56"/>
          <w:szCs w:val="84"/>
        </w:rPr>
      </w:pPr>
      <w:r>
        <w:rPr>
          <w:rFonts w:hint="eastAsia" w:ascii="黑体" w:hAnsi="宋体" w:eastAsia="黑体"/>
          <w:sz w:val="56"/>
          <w:szCs w:val="84"/>
        </w:rPr>
        <w:t>招</w:t>
      </w:r>
    </w:p>
    <w:p w14:paraId="136DE43D">
      <w:pPr>
        <w:snapToGrid w:val="0"/>
        <w:jc w:val="center"/>
        <w:rPr>
          <w:rFonts w:hint="eastAsia" w:ascii="黑体" w:hAnsi="宋体" w:eastAsia="黑体"/>
          <w:sz w:val="32"/>
          <w:szCs w:val="40"/>
        </w:rPr>
      </w:pPr>
    </w:p>
    <w:p w14:paraId="5B03CD08">
      <w:pPr>
        <w:snapToGrid w:val="0"/>
        <w:jc w:val="center"/>
        <w:rPr>
          <w:rFonts w:hint="eastAsia" w:ascii="黑体" w:hAnsi="宋体" w:eastAsia="黑体"/>
          <w:sz w:val="56"/>
          <w:szCs w:val="84"/>
        </w:rPr>
      </w:pPr>
      <w:r>
        <w:rPr>
          <w:rFonts w:hint="eastAsia" w:ascii="黑体" w:hAnsi="宋体" w:eastAsia="黑体"/>
          <w:sz w:val="56"/>
          <w:szCs w:val="84"/>
        </w:rPr>
        <w:t>标</w:t>
      </w:r>
    </w:p>
    <w:p w14:paraId="570A9865">
      <w:pPr>
        <w:snapToGrid w:val="0"/>
        <w:jc w:val="center"/>
        <w:rPr>
          <w:rFonts w:hint="eastAsia" w:ascii="黑体" w:hAnsi="宋体" w:eastAsia="黑体"/>
          <w:sz w:val="32"/>
          <w:szCs w:val="40"/>
        </w:rPr>
      </w:pPr>
    </w:p>
    <w:p w14:paraId="03BA63DE">
      <w:pPr>
        <w:snapToGrid w:val="0"/>
        <w:jc w:val="center"/>
        <w:rPr>
          <w:rFonts w:hint="eastAsia" w:ascii="宋体" w:hAnsi="宋体"/>
          <w:sz w:val="52"/>
          <w:szCs w:val="72"/>
        </w:rPr>
      </w:pPr>
      <w:r>
        <w:rPr>
          <w:rFonts w:hint="eastAsia" w:ascii="黑体" w:hAnsi="宋体" w:eastAsia="黑体"/>
          <w:sz w:val="56"/>
          <w:szCs w:val="84"/>
        </w:rPr>
        <w:t>书</w:t>
      </w:r>
    </w:p>
    <w:p w14:paraId="37F4C2C8">
      <w:pPr>
        <w:jc w:val="center"/>
        <w:rPr>
          <w:rFonts w:hint="eastAsia" w:ascii="宋体" w:hAnsi="宋体"/>
          <w:sz w:val="28"/>
          <w:szCs w:val="28"/>
        </w:rPr>
      </w:pPr>
    </w:p>
    <w:p w14:paraId="3C4EA72E">
      <w:pPr>
        <w:ind w:firstLine="960" w:firstLineChars="300"/>
        <w:jc w:val="left"/>
        <w:rPr>
          <w:rFonts w:hint="eastAsia" w:ascii="仿宋_GB2312" w:hAnsi="仿宋_GB2312" w:eastAsia="仿宋_GB2312" w:cs="仿宋_GB2312"/>
          <w:sz w:val="32"/>
          <w:szCs w:val="28"/>
        </w:rPr>
      </w:pPr>
    </w:p>
    <w:p w14:paraId="429BA5ED">
      <w:pPr>
        <w:jc w:val="left"/>
        <w:rPr>
          <w:rFonts w:hint="eastAsia" w:ascii="华文仿宋" w:hAnsi="华文仿宋" w:eastAsia="华文仿宋"/>
          <w:sz w:val="32"/>
          <w:szCs w:val="28"/>
        </w:rPr>
      </w:pPr>
      <w:r>
        <w:rPr>
          <w:rFonts w:hint="eastAsia" w:ascii="华文仿宋" w:hAnsi="华文仿宋" w:eastAsia="华文仿宋"/>
          <w:sz w:val="32"/>
          <w:szCs w:val="28"/>
        </w:rPr>
        <w:t xml:space="preserve">     </w:t>
      </w:r>
    </w:p>
    <w:p w14:paraId="1FDFA9D0">
      <w:pPr>
        <w:jc w:val="left"/>
        <w:rPr>
          <w:rFonts w:hint="eastAsia" w:ascii="华文仿宋" w:hAnsi="华文仿宋" w:eastAsia="华文仿宋"/>
          <w:sz w:val="32"/>
          <w:szCs w:val="28"/>
        </w:rPr>
      </w:pPr>
    </w:p>
    <w:p w14:paraId="1955D56F">
      <w:pPr>
        <w:jc w:val="left"/>
        <w:rPr>
          <w:rFonts w:hint="eastAsia" w:ascii="华文仿宋" w:hAnsi="华文仿宋" w:eastAsia="华文仿宋"/>
          <w:sz w:val="32"/>
          <w:szCs w:val="28"/>
        </w:rPr>
      </w:pPr>
    </w:p>
    <w:p w14:paraId="79702464">
      <w:pPr>
        <w:jc w:val="left"/>
        <w:rPr>
          <w:rFonts w:hint="eastAsia" w:ascii="华文仿宋" w:hAnsi="华文仿宋" w:eastAsia="华文仿宋"/>
          <w:sz w:val="32"/>
          <w:szCs w:val="28"/>
        </w:rPr>
      </w:pPr>
    </w:p>
    <w:p w14:paraId="210D79A9">
      <w:pPr>
        <w:jc w:val="left"/>
        <w:rPr>
          <w:rFonts w:hint="eastAsia" w:ascii="华文仿宋" w:hAnsi="华文仿宋" w:eastAsia="华文仿宋"/>
          <w:sz w:val="32"/>
          <w:szCs w:val="28"/>
        </w:rPr>
      </w:pPr>
    </w:p>
    <w:p w14:paraId="6C3D02AF">
      <w:pPr>
        <w:jc w:val="left"/>
        <w:rPr>
          <w:rFonts w:ascii="宋体" w:hAnsi="宋体"/>
          <w:sz w:val="28"/>
          <w:szCs w:val="28"/>
        </w:rPr>
      </w:pPr>
      <w:r>
        <w:rPr>
          <w:rFonts w:hint="eastAsia" w:ascii="宋体" w:hAnsi="宋体"/>
          <w:sz w:val="28"/>
          <w:szCs w:val="28"/>
        </w:rPr>
        <w:t xml:space="preserve">       </w:t>
      </w:r>
    </w:p>
    <w:p w14:paraId="6722817B">
      <w:pPr>
        <w:jc w:val="center"/>
        <w:rPr>
          <w:rFonts w:hint="eastAsia" w:ascii="宋体" w:hAnsi="宋体"/>
          <w:sz w:val="28"/>
          <w:szCs w:val="28"/>
        </w:rPr>
      </w:pPr>
    </w:p>
    <w:p w14:paraId="3D971625">
      <w:pPr>
        <w:jc w:val="center"/>
        <w:rPr>
          <w:rFonts w:hint="eastAsia" w:ascii="宋体" w:hAnsi="宋体"/>
          <w:sz w:val="28"/>
          <w:szCs w:val="28"/>
        </w:rPr>
      </w:pPr>
    </w:p>
    <w:p w14:paraId="39A1D1A2">
      <w:pPr>
        <w:jc w:val="center"/>
        <w:rPr>
          <w:rFonts w:hint="eastAsia" w:ascii="宋体" w:hAnsi="宋体"/>
          <w:sz w:val="28"/>
          <w:szCs w:val="28"/>
        </w:rPr>
      </w:pPr>
    </w:p>
    <w:p w14:paraId="5C385B9A">
      <w:pPr>
        <w:jc w:val="center"/>
        <w:rPr>
          <w:rFonts w:hint="default" w:ascii="宋体" w:hAnsi="宋体" w:eastAsia="宋体"/>
          <w:sz w:val="28"/>
          <w:szCs w:val="28"/>
          <w:lang w:val="en-US" w:eastAsia="zh-CN"/>
        </w:rPr>
      </w:pPr>
      <w:r>
        <w:rPr>
          <w:rFonts w:hint="eastAsia" w:ascii="宋体" w:hAnsi="宋体"/>
          <w:sz w:val="28"/>
          <w:szCs w:val="28"/>
        </w:rPr>
        <w:t xml:space="preserve">招 标 </w:t>
      </w:r>
      <w:r>
        <w:rPr>
          <w:rFonts w:hint="eastAsia" w:ascii="宋体" w:hAnsi="宋体"/>
          <w:sz w:val="28"/>
          <w:szCs w:val="28"/>
          <w:lang w:val="en-US" w:eastAsia="zh-CN"/>
        </w:rPr>
        <w:t>单 位</w:t>
      </w:r>
      <w:r>
        <w:rPr>
          <w:rFonts w:hint="eastAsia" w:ascii="宋体" w:hAnsi="宋体"/>
          <w:sz w:val="28"/>
          <w:szCs w:val="28"/>
        </w:rPr>
        <w:t>：中国重汽集团</w:t>
      </w:r>
      <w:r>
        <w:rPr>
          <w:rFonts w:hint="eastAsia" w:ascii="宋体" w:hAnsi="宋体"/>
          <w:sz w:val="28"/>
          <w:szCs w:val="28"/>
          <w:lang w:val="en-US" w:eastAsia="zh-CN"/>
        </w:rPr>
        <w:t>大同齿轮有限公司</w:t>
      </w:r>
    </w:p>
    <w:p w14:paraId="5D8C41F0">
      <w:pPr>
        <w:jc w:val="center"/>
        <w:rPr>
          <w:rFonts w:hint="eastAsia" w:ascii="宋体" w:hAnsi="宋体"/>
          <w:sz w:val="28"/>
          <w:szCs w:val="28"/>
        </w:rPr>
      </w:pPr>
    </w:p>
    <w:p w14:paraId="648AC2E9">
      <w:pPr>
        <w:jc w:val="center"/>
        <w:rPr>
          <w:rFonts w:ascii="黑体" w:eastAsia="黑体"/>
          <w:b/>
          <w:bCs/>
          <w:sz w:val="36"/>
          <w:szCs w:val="36"/>
        </w:rPr>
      </w:pPr>
      <w:r>
        <w:rPr>
          <w:rFonts w:ascii="宋体" w:hAnsi="宋体"/>
          <w:sz w:val="28"/>
          <w:szCs w:val="28"/>
          <w:u w:val="single"/>
        </w:rPr>
        <w:t>202</w:t>
      </w:r>
      <w:r>
        <w:rPr>
          <w:rFonts w:hint="eastAsia" w:ascii="宋体" w:hAnsi="宋体"/>
          <w:sz w:val="28"/>
          <w:szCs w:val="28"/>
          <w:u w:val="single"/>
          <w:lang w:val="en-US" w:eastAsia="zh-CN"/>
        </w:rPr>
        <w:t>6</w:t>
      </w:r>
      <w:r>
        <w:rPr>
          <w:rFonts w:hint="eastAsia" w:ascii="宋体" w:hAnsi="宋体"/>
          <w:sz w:val="28"/>
          <w:szCs w:val="28"/>
        </w:rPr>
        <w:t>年</w:t>
      </w:r>
      <w:r>
        <w:rPr>
          <w:rFonts w:hint="eastAsia" w:ascii="宋体" w:hAnsi="宋体"/>
          <w:sz w:val="28"/>
          <w:szCs w:val="28"/>
          <w:u w:val="single"/>
          <w:lang w:val="en-US" w:eastAsia="zh-CN"/>
        </w:rPr>
        <w:t>10</w:t>
      </w:r>
      <w:r>
        <w:rPr>
          <w:rFonts w:hint="eastAsia" w:ascii="宋体" w:hAnsi="宋体"/>
          <w:sz w:val="28"/>
          <w:szCs w:val="28"/>
        </w:rPr>
        <w:t>月</w:t>
      </w:r>
      <w:r>
        <w:rPr>
          <w:rFonts w:ascii="黑体" w:eastAsia="黑体"/>
          <w:b/>
          <w:bCs/>
          <w:sz w:val="36"/>
          <w:szCs w:val="36"/>
        </w:rPr>
        <w:br w:type="page"/>
      </w:r>
    </w:p>
    <w:p w14:paraId="5ABF1FB9">
      <w:pPr>
        <w:pStyle w:val="6"/>
        <w:spacing w:line="360" w:lineRule="auto"/>
        <w:jc w:val="center"/>
        <w:outlineLvl w:val="0"/>
        <w:rPr>
          <w:rFonts w:hint="eastAsia" w:ascii="黑体" w:eastAsia="黑体"/>
          <w:b/>
          <w:bCs/>
          <w:sz w:val="36"/>
          <w:szCs w:val="36"/>
        </w:rPr>
        <w:sectPr>
          <w:headerReference r:id="rId3" w:type="default"/>
          <w:footerReference r:id="rId4" w:type="default"/>
          <w:pgSz w:w="11907" w:h="16840"/>
          <w:pgMar w:top="1587" w:right="1418" w:bottom="1418" w:left="1418" w:header="724" w:footer="851" w:gutter="0"/>
          <w:pgNumType w:start="1"/>
          <w:cols w:space="720" w:num="1"/>
          <w:docGrid w:linePitch="290" w:charSpace="-3931"/>
        </w:sectPr>
      </w:pPr>
    </w:p>
    <w:p w14:paraId="7B821463">
      <w:pPr>
        <w:pStyle w:val="6"/>
        <w:spacing w:line="360" w:lineRule="auto"/>
        <w:jc w:val="center"/>
        <w:outlineLvl w:val="0"/>
        <w:rPr>
          <w:rFonts w:hint="eastAsia" w:ascii="黑体" w:eastAsia="黑体"/>
          <w:b/>
          <w:bCs/>
          <w:sz w:val="36"/>
          <w:szCs w:val="36"/>
        </w:rPr>
      </w:pPr>
      <w:bookmarkStart w:id="0" w:name="_Toc10078"/>
      <w:r>
        <w:rPr>
          <w:rFonts w:hint="eastAsia" w:ascii="黑体" w:eastAsia="黑体"/>
          <w:b/>
          <w:bCs/>
          <w:sz w:val="36"/>
          <w:szCs w:val="36"/>
        </w:rPr>
        <w:t>第一章  招标公告</w:t>
      </w:r>
      <w:bookmarkEnd w:id="0"/>
    </w:p>
    <w:p w14:paraId="14780A4D">
      <w:pPr>
        <w:pStyle w:val="6"/>
        <w:spacing w:line="360" w:lineRule="auto"/>
        <w:rPr>
          <w:rFonts w:hint="eastAsia" w:ascii="黑体" w:eastAsia="黑体"/>
          <w:b/>
          <w:bCs/>
          <w:sz w:val="28"/>
        </w:rPr>
      </w:pPr>
      <w:r>
        <w:rPr>
          <w:rFonts w:hint="eastAsia" w:ascii="黑体" w:eastAsia="黑体"/>
          <w:b/>
          <w:bCs/>
          <w:sz w:val="28"/>
        </w:rPr>
        <w:t>一、项目名称</w:t>
      </w:r>
    </w:p>
    <w:p w14:paraId="7363B2D7">
      <w:pPr>
        <w:pStyle w:val="6"/>
        <w:spacing w:line="360" w:lineRule="auto"/>
        <w:ind w:left="420"/>
        <w:rPr>
          <w:rFonts w:hint="eastAsia"/>
          <w:lang w:eastAsia="zh-CN"/>
        </w:rPr>
      </w:pPr>
      <w:r>
        <w:rPr>
          <w:rFonts w:hint="eastAsia"/>
        </w:rPr>
        <w:t>项目名称：</w:t>
      </w:r>
      <w:r>
        <w:rPr>
          <w:rFonts w:hint="eastAsia"/>
          <w:lang w:eastAsia="zh-CN"/>
        </w:rPr>
        <w:t>2026年度东风柳汽仓储服务项目</w:t>
      </w:r>
    </w:p>
    <w:p w14:paraId="7CE24266">
      <w:pPr>
        <w:pStyle w:val="6"/>
        <w:spacing w:line="360" w:lineRule="auto"/>
        <w:ind w:left="420"/>
        <w:rPr>
          <w:rFonts w:hint="default"/>
          <w:lang w:val="en-US" w:eastAsia="zh-CN"/>
        </w:rPr>
      </w:pPr>
      <w:r>
        <w:rPr>
          <w:rFonts w:hint="eastAsia"/>
          <w:lang w:val="en-US" w:eastAsia="zh-CN"/>
        </w:rPr>
        <w:t>项目编号：ZBGL2026100064</w:t>
      </w:r>
    </w:p>
    <w:p w14:paraId="113BE078">
      <w:pPr>
        <w:pStyle w:val="6"/>
        <w:spacing w:line="360" w:lineRule="auto"/>
        <w:rPr>
          <w:rFonts w:hint="default" w:ascii="黑体" w:eastAsia="黑体"/>
          <w:b/>
          <w:bCs/>
          <w:sz w:val="28"/>
          <w:lang w:val="en-US" w:eastAsia="zh-CN"/>
        </w:rPr>
      </w:pPr>
      <w:r>
        <w:rPr>
          <w:rFonts w:hint="eastAsia" w:ascii="黑体" w:eastAsia="黑体"/>
          <w:b/>
          <w:bCs/>
          <w:sz w:val="28"/>
        </w:rPr>
        <w:t>二、招标内容</w:t>
      </w:r>
      <w:r>
        <w:rPr>
          <w:rFonts w:hint="eastAsia" w:ascii="黑体" w:eastAsia="黑体"/>
          <w:b/>
          <w:bCs/>
          <w:sz w:val="28"/>
          <w:lang w:val="en-US" w:eastAsia="zh-CN"/>
        </w:rPr>
        <w:t>及形式</w:t>
      </w:r>
    </w:p>
    <w:p w14:paraId="5D753BCC">
      <w:pPr>
        <w:pStyle w:val="6"/>
        <w:spacing w:line="360" w:lineRule="auto"/>
        <w:ind w:firstLine="420" w:firstLineChars="200"/>
        <w:rPr>
          <w:rFonts w:hint="eastAsia"/>
          <w:i w:val="0"/>
          <w:iCs w:val="0"/>
          <w:lang w:val="en-US" w:eastAsia="zh-CN"/>
        </w:rPr>
      </w:pPr>
      <w:r>
        <w:rPr>
          <w:rFonts w:hint="eastAsia"/>
          <w:i w:val="0"/>
          <w:iCs w:val="0"/>
          <w:lang w:val="en-US" w:eastAsia="zh-CN"/>
        </w:rPr>
        <w:t>1、东风柳州汽车有限公司供货的仓储服务，主要服务于东风柳州汽车有限公司内柳州地区各主机厂变速箱总成订单上线前产品的暂存保管、按主机厂要求更换包装并配送至指定地点、保管装卸工位器具、配件的临时接收暂存等工作。</w:t>
      </w:r>
    </w:p>
    <w:p w14:paraId="3A242CD1">
      <w:pPr>
        <w:pStyle w:val="6"/>
        <w:spacing w:line="360" w:lineRule="auto"/>
        <w:ind w:firstLine="420" w:firstLineChars="200"/>
        <w:rPr>
          <w:rFonts w:hint="eastAsia" w:eastAsia="宋体"/>
          <w:lang w:val="en-US" w:eastAsia="zh-CN"/>
        </w:rPr>
      </w:pPr>
      <w:r>
        <w:rPr>
          <w:rFonts w:hint="eastAsia"/>
          <w:lang w:val="en-US" w:eastAsia="zh-CN"/>
        </w:rPr>
        <w:t>2、</w:t>
      </w:r>
      <w:r>
        <w:rPr>
          <w:rFonts w:hint="eastAsia"/>
        </w:rPr>
        <w:t>招标形式：</w:t>
      </w:r>
      <w:r>
        <w:rPr>
          <w:rFonts w:hint="eastAsia"/>
          <w:lang w:val="en-US" w:eastAsia="zh-CN"/>
        </w:rPr>
        <w:t>单一来源采购</w:t>
      </w:r>
      <w:r>
        <w:rPr>
          <w:rFonts w:hint="eastAsia"/>
        </w:rPr>
        <w:t>。</w:t>
      </w:r>
    </w:p>
    <w:p w14:paraId="52124B55">
      <w:pPr>
        <w:pStyle w:val="6"/>
        <w:spacing w:line="360" w:lineRule="auto"/>
        <w:rPr>
          <w:rFonts w:hint="eastAsia" w:ascii="黑体" w:eastAsia="黑体"/>
          <w:b/>
          <w:bCs/>
          <w:sz w:val="28"/>
          <w:lang w:val="en-US" w:eastAsia="zh-CN"/>
        </w:rPr>
      </w:pPr>
      <w:r>
        <w:rPr>
          <w:rFonts w:hint="eastAsia" w:ascii="黑体" w:eastAsia="黑体"/>
          <w:b/>
          <w:bCs/>
          <w:sz w:val="28"/>
        </w:rPr>
        <w:t>三、</w:t>
      </w:r>
      <w:r>
        <w:rPr>
          <w:rFonts w:hint="eastAsia" w:ascii="黑体" w:eastAsia="黑体"/>
          <w:b/>
          <w:bCs/>
          <w:sz w:val="28"/>
          <w:lang w:val="en-US" w:eastAsia="zh-CN"/>
        </w:rPr>
        <w:t>交货及付款</w:t>
      </w:r>
    </w:p>
    <w:p w14:paraId="5C9A9FAC">
      <w:pPr>
        <w:pStyle w:val="18"/>
        <w:keepNext w:val="0"/>
        <w:keepLines w:val="0"/>
        <w:pageBreakBefore w:val="0"/>
        <w:widowControl w:val="0"/>
        <w:numPr>
          <w:ilvl w:val="0"/>
          <w:numId w:val="0"/>
        </w:numPr>
        <w:kinsoku/>
        <w:wordWrap/>
        <w:overflowPunct/>
        <w:topLinePunct w:val="0"/>
        <w:autoSpaceDE/>
        <w:autoSpaceDN/>
        <w:bidi w:val="0"/>
        <w:adjustRightInd/>
        <w:snapToGrid/>
        <w:ind w:leftChars="0" w:firstLine="422" w:firstLineChars="20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bCs/>
          <w:kern w:val="2"/>
          <w:sz w:val="21"/>
          <w:szCs w:val="21"/>
          <w:highlight w:val="none"/>
          <w:lang w:val="en-US" w:eastAsia="zh-CN" w:bidi="ar-SA"/>
        </w:rPr>
        <w:t>1、交货</w:t>
      </w:r>
      <w:r>
        <w:rPr>
          <w:rFonts w:hint="eastAsia" w:ascii="宋体" w:hAnsi="宋体" w:eastAsia="宋体" w:cs="宋体"/>
          <w:b/>
          <w:bCs/>
          <w:sz w:val="21"/>
          <w:szCs w:val="21"/>
          <w:highlight w:val="none"/>
          <w:lang w:val="en-US" w:eastAsia="zh-CN"/>
        </w:rPr>
        <w:t>地点</w:t>
      </w:r>
      <w:r>
        <w:rPr>
          <w:rFonts w:hint="eastAsia" w:ascii="宋体" w:hAnsi="宋体" w:eastAsia="宋体" w:cs="宋体"/>
          <w:b w:val="0"/>
          <w:bCs w:val="0"/>
          <w:sz w:val="21"/>
          <w:szCs w:val="21"/>
          <w:highlight w:val="none"/>
          <w:lang w:val="en-US" w:eastAsia="zh-CN"/>
        </w:rPr>
        <w:t>：中国重汽集团大同齿轮有限公司</w:t>
      </w:r>
    </w:p>
    <w:p w14:paraId="0B065210">
      <w:pPr>
        <w:pStyle w:val="6"/>
        <w:numPr>
          <w:ilvl w:val="0"/>
          <w:numId w:val="0"/>
        </w:numPr>
        <w:spacing w:line="360" w:lineRule="auto"/>
        <w:ind w:firstLine="422" w:firstLineChars="200"/>
        <w:rPr>
          <w:rFonts w:hint="eastAsia" w:ascii="Calibri" w:hAnsi="Calibri" w:eastAsia="宋体"/>
          <w:highlight w:val="none"/>
          <w:lang w:eastAsia="zh-CN"/>
        </w:rPr>
      </w:pPr>
      <w:r>
        <w:rPr>
          <w:rFonts w:hint="eastAsia" w:hAnsi="宋体" w:cs="宋体"/>
          <w:b/>
          <w:bCs/>
          <w:sz w:val="21"/>
          <w:szCs w:val="21"/>
          <w:highlight w:val="none"/>
          <w:lang w:val="en-US" w:eastAsia="zh-CN"/>
        </w:rPr>
        <w:t>2、</w:t>
      </w:r>
      <w:r>
        <w:rPr>
          <w:rFonts w:hint="eastAsia" w:ascii="宋体" w:hAnsi="宋体" w:eastAsia="宋体" w:cs="宋体"/>
          <w:b/>
          <w:bCs/>
          <w:sz w:val="21"/>
          <w:szCs w:val="21"/>
          <w:highlight w:val="none"/>
        </w:rPr>
        <w:t>付款方式</w:t>
      </w:r>
      <w:r>
        <w:rPr>
          <w:rFonts w:hint="eastAsia" w:ascii="宋体" w:hAnsi="宋体" w:eastAsia="宋体" w:cs="宋体"/>
          <w:b w:val="0"/>
          <w:bCs w:val="0"/>
          <w:sz w:val="21"/>
          <w:szCs w:val="21"/>
          <w:highlight w:val="none"/>
          <w:lang w:eastAsia="zh-CN"/>
        </w:rPr>
        <w:t>：</w:t>
      </w:r>
      <w:r>
        <w:rPr>
          <w:rFonts w:hint="eastAsia" w:ascii="Calibri" w:hAnsi="Calibri"/>
          <w:b/>
          <w:bCs/>
          <w:highlight w:val="none"/>
        </w:rPr>
        <w:t>付款结算方法：</w:t>
      </w:r>
      <w:r>
        <w:rPr>
          <w:rFonts w:hint="eastAsia" w:ascii="Calibri" w:hAnsi="Calibri"/>
          <w:highlight w:val="none"/>
          <w:u w:val="single"/>
          <w:lang w:val="en-US" w:eastAsia="zh-CN"/>
        </w:rPr>
        <w:t>转账</w:t>
      </w:r>
    </w:p>
    <w:p w14:paraId="34F1853B">
      <w:pPr>
        <w:pStyle w:val="18"/>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eastAsia" w:ascii="Calibri" w:hAnsi="Calibri" w:eastAsia="宋体" w:cs="Times New Roman"/>
          <w:b w:val="0"/>
          <w:bCs w:val="0"/>
          <w:kern w:val="2"/>
          <w:sz w:val="21"/>
          <w:highlight w:val="none"/>
          <w:u w:val="single"/>
          <w:lang w:val="en-US" w:eastAsia="zh-CN" w:bidi="ar-SA"/>
        </w:rPr>
      </w:pPr>
      <w:r>
        <w:rPr>
          <w:rFonts w:hint="eastAsia" w:ascii="Calibri" w:hAnsi="Calibri" w:eastAsia="宋体" w:cs="Times New Roman"/>
          <w:b w:val="0"/>
          <w:bCs w:val="0"/>
          <w:kern w:val="2"/>
          <w:sz w:val="21"/>
          <w:highlight w:val="none"/>
          <w:u w:val="single"/>
          <w:lang w:val="en-US" w:eastAsia="zh-CN" w:bidi="ar-SA"/>
        </w:rPr>
        <w:t>乙方完成甲方的需求，乙方开具合同价款100%的收据并增值税专用发票，经甲方核对无误后支付。</w:t>
      </w:r>
    </w:p>
    <w:p w14:paraId="5F4B0B6F">
      <w:pPr>
        <w:pStyle w:val="6"/>
        <w:spacing w:line="360" w:lineRule="auto"/>
        <w:ind w:firstLine="422" w:firstLineChars="200"/>
        <w:rPr>
          <w:rFonts w:hint="eastAsia" w:ascii="黑体" w:eastAsia="黑体"/>
          <w:b/>
          <w:bCs/>
          <w:sz w:val="28"/>
        </w:rPr>
      </w:pPr>
      <w:r>
        <w:rPr>
          <w:rFonts w:hint="eastAsia" w:ascii="宋体" w:hAnsi="宋体" w:eastAsia="宋体" w:cs="宋体"/>
          <w:b/>
          <w:bCs/>
          <w:color w:val="auto"/>
          <w:sz w:val="21"/>
          <w:szCs w:val="21"/>
          <w:highlight w:val="none"/>
        </w:rPr>
        <w:t>*注：付款方式及付款比例不允许偏离。</w:t>
      </w:r>
    </w:p>
    <w:p w14:paraId="6DE2646B">
      <w:pPr>
        <w:pStyle w:val="6"/>
        <w:spacing w:line="360" w:lineRule="auto"/>
        <w:rPr>
          <w:rFonts w:hint="eastAsia" w:ascii="黑体" w:eastAsia="黑体"/>
          <w:b/>
          <w:bCs/>
          <w:sz w:val="28"/>
        </w:rPr>
      </w:pPr>
      <w:r>
        <w:rPr>
          <w:rFonts w:hint="eastAsia" w:ascii="黑体" w:eastAsia="黑体"/>
          <w:b/>
          <w:bCs/>
          <w:sz w:val="28"/>
        </w:rPr>
        <w:t xml:space="preserve">四、议程安排 </w:t>
      </w:r>
    </w:p>
    <w:p w14:paraId="1185BE2D">
      <w:pPr>
        <w:pStyle w:val="6"/>
        <w:numPr>
          <w:ilvl w:val="0"/>
          <w:numId w:val="3"/>
        </w:numPr>
        <w:spacing w:line="360" w:lineRule="auto"/>
        <w:ind w:left="425" w:leftChars="0" w:hanging="425" w:firstLineChars="0"/>
        <w:rPr>
          <w:rFonts w:hint="eastAsia"/>
          <w:highlight w:val="none"/>
        </w:rPr>
      </w:pPr>
      <w:r>
        <w:rPr>
          <w:rFonts w:hint="eastAsia"/>
          <w:highlight w:val="none"/>
        </w:rPr>
        <w:t>报名截止时间：</w:t>
      </w:r>
      <w:r>
        <w:rPr>
          <w:rFonts w:hint="eastAsia"/>
          <w:color w:val="auto"/>
          <w:highlight w:val="yellow"/>
        </w:rPr>
        <w:t>202</w:t>
      </w:r>
      <w:r>
        <w:rPr>
          <w:rFonts w:hint="eastAsia"/>
          <w:color w:val="auto"/>
          <w:highlight w:val="yellow"/>
          <w:lang w:val="en-US" w:eastAsia="zh-CN"/>
        </w:rPr>
        <w:t>6</w:t>
      </w:r>
      <w:r>
        <w:rPr>
          <w:rFonts w:hint="eastAsia"/>
          <w:color w:val="auto"/>
          <w:highlight w:val="yellow"/>
        </w:rPr>
        <w:t>年</w:t>
      </w:r>
      <w:r>
        <w:rPr>
          <w:rFonts w:hint="eastAsia"/>
          <w:color w:val="auto"/>
          <w:highlight w:val="yellow"/>
          <w:lang w:val="en-US" w:eastAsia="zh-CN"/>
        </w:rPr>
        <w:t>10</w:t>
      </w:r>
      <w:r>
        <w:rPr>
          <w:rFonts w:hint="eastAsia"/>
          <w:color w:val="auto"/>
          <w:highlight w:val="yellow"/>
        </w:rPr>
        <w:t>月</w:t>
      </w:r>
      <w:r>
        <w:rPr>
          <w:rFonts w:hint="eastAsia"/>
          <w:color w:val="auto"/>
          <w:highlight w:val="yellow"/>
          <w:lang w:val="en-US" w:eastAsia="zh-CN"/>
        </w:rPr>
        <w:t>22</w:t>
      </w:r>
      <w:r>
        <w:rPr>
          <w:rFonts w:hint="eastAsia"/>
          <w:color w:val="auto"/>
          <w:highlight w:val="yellow"/>
        </w:rPr>
        <w:t>日下午</w:t>
      </w:r>
      <w:r>
        <w:rPr>
          <w:rFonts w:hint="eastAsia"/>
          <w:color w:val="auto"/>
          <w:highlight w:val="yellow"/>
          <w:lang w:val="en-US" w:eastAsia="zh-CN"/>
        </w:rPr>
        <w:t>17</w:t>
      </w:r>
      <w:r>
        <w:rPr>
          <w:rFonts w:hint="eastAsia"/>
          <w:color w:val="auto"/>
          <w:highlight w:val="yellow"/>
        </w:rPr>
        <w:t>时。</w:t>
      </w:r>
    </w:p>
    <w:p w14:paraId="7376D370">
      <w:pPr>
        <w:pStyle w:val="6"/>
        <w:numPr>
          <w:ilvl w:val="0"/>
          <w:numId w:val="3"/>
        </w:numPr>
        <w:spacing w:line="360" w:lineRule="auto"/>
        <w:ind w:left="425" w:leftChars="0" w:hanging="425" w:firstLineChars="0"/>
        <w:rPr>
          <w:rFonts w:hint="eastAsia"/>
          <w:highlight w:val="none"/>
        </w:rPr>
      </w:pPr>
      <w:r>
        <w:rPr>
          <w:rFonts w:hint="eastAsia"/>
          <w:highlight w:val="none"/>
        </w:rPr>
        <w:t>答疑时间：截止至202</w:t>
      </w:r>
      <w:r>
        <w:rPr>
          <w:rFonts w:hint="eastAsia"/>
          <w:highlight w:val="none"/>
          <w:lang w:val="en-US" w:eastAsia="zh-CN"/>
        </w:rPr>
        <w:t>6</w:t>
      </w:r>
      <w:r>
        <w:rPr>
          <w:rFonts w:hint="eastAsia"/>
          <w:highlight w:val="none"/>
        </w:rPr>
        <w:t>年</w:t>
      </w:r>
      <w:r>
        <w:rPr>
          <w:rFonts w:hint="eastAsia"/>
          <w:highlight w:val="none"/>
          <w:lang w:val="en-US" w:eastAsia="zh-CN"/>
        </w:rPr>
        <w:t>10</w:t>
      </w:r>
      <w:r>
        <w:rPr>
          <w:rFonts w:hint="eastAsia"/>
          <w:highlight w:val="none"/>
        </w:rPr>
        <w:t>月</w:t>
      </w:r>
      <w:r>
        <w:rPr>
          <w:rFonts w:hint="eastAsia"/>
          <w:highlight w:val="none"/>
          <w:lang w:val="en-US" w:eastAsia="zh-CN"/>
        </w:rPr>
        <w:t>15</w:t>
      </w:r>
      <w:r>
        <w:rPr>
          <w:rFonts w:hint="eastAsia"/>
          <w:highlight w:val="none"/>
        </w:rPr>
        <w:t>日1</w:t>
      </w:r>
      <w:r>
        <w:rPr>
          <w:highlight w:val="none"/>
        </w:rPr>
        <w:t>7</w:t>
      </w:r>
      <w:r>
        <w:rPr>
          <w:rFonts w:hint="eastAsia"/>
          <w:highlight w:val="none"/>
        </w:rPr>
        <w:t>点前（若有变动另行通知）。</w:t>
      </w:r>
    </w:p>
    <w:p w14:paraId="3431B862">
      <w:pPr>
        <w:pStyle w:val="6"/>
        <w:spacing w:line="360" w:lineRule="auto"/>
        <w:ind w:firstLine="630" w:firstLineChars="300"/>
        <w:rPr>
          <w:rFonts w:hint="eastAsia"/>
          <w:highlight w:val="none"/>
          <w:lang w:val="en-US" w:eastAsia="zh-CN"/>
        </w:rPr>
      </w:pPr>
      <w:r>
        <w:rPr>
          <w:rFonts w:hint="eastAsia"/>
          <w:highlight w:val="none"/>
          <w:lang w:val="en-US" w:eastAsia="zh-CN"/>
        </w:rPr>
        <w:t>技术</w:t>
      </w:r>
      <w:r>
        <w:rPr>
          <w:rFonts w:hint="eastAsia"/>
          <w:highlight w:val="none"/>
        </w:rPr>
        <w:t>答疑联系人：</w:t>
      </w:r>
      <w:r>
        <w:rPr>
          <w:rFonts w:hint="eastAsia"/>
          <w:highlight w:val="none"/>
          <w:lang w:val="en-US" w:eastAsia="zh-CN"/>
        </w:rPr>
        <w:t xml:space="preserve">刘勇 </w:t>
      </w:r>
      <w:r>
        <w:rPr>
          <w:rFonts w:hint="eastAsia"/>
          <w:highlight w:val="none"/>
        </w:rPr>
        <w:t xml:space="preserve">   答疑联系电话：18634201866</w:t>
      </w:r>
    </w:p>
    <w:p w14:paraId="459D11E7">
      <w:pPr>
        <w:pStyle w:val="6"/>
        <w:numPr>
          <w:ilvl w:val="0"/>
          <w:numId w:val="3"/>
        </w:numPr>
        <w:spacing w:line="360" w:lineRule="auto"/>
        <w:ind w:left="425" w:leftChars="0" w:hanging="425" w:firstLineChars="0"/>
        <w:rPr>
          <w:rFonts w:hint="eastAsia"/>
          <w:highlight w:val="none"/>
        </w:rPr>
      </w:pPr>
      <w:r>
        <w:rPr>
          <w:rFonts w:hint="eastAsia"/>
          <w:highlight w:val="none"/>
          <w:lang w:val="en-US" w:eastAsia="zh-CN"/>
        </w:rPr>
        <w:t>投标截止</w:t>
      </w:r>
      <w:r>
        <w:rPr>
          <w:rFonts w:hint="eastAsia"/>
          <w:highlight w:val="none"/>
        </w:rPr>
        <w:t>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eastAsia"/>
          <w:highlight w:val="yellow"/>
          <w:lang w:val="en-US" w:eastAsia="zh-CN"/>
        </w:rPr>
        <w:t>23</w:t>
      </w:r>
      <w:r>
        <w:rPr>
          <w:rFonts w:hint="eastAsia"/>
          <w:highlight w:val="yellow"/>
        </w:rPr>
        <w:t>日上午</w:t>
      </w:r>
      <w:r>
        <w:rPr>
          <w:highlight w:val="yellow"/>
        </w:rPr>
        <w:t>9</w:t>
      </w:r>
      <w:r>
        <w:rPr>
          <w:rFonts w:hint="eastAsia"/>
          <w:highlight w:val="yellow"/>
        </w:rPr>
        <w:t>时。</w:t>
      </w:r>
    </w:p>
    <w:p w14:paraId="2BCC9D58">
      <w:pPr>
        <w:pStyle w:val="6"/>
        <w:numPr>
          <w:ilvl w:val="0"/>
          <w:numId w:val="3"/>
        </w:numPr>
        <w:spacing w:line="360" w:lineRule="auto"/>
        <w:ind w:left="425" w:leftChars="0" w:hanging="425" w:firstLineChars="0"/>
        <w:rPr>
          <w:rFonts w:hint="default" w:eastAsia="宋体"/>
          <w:highlight w:val="none"/>
          <w:lang w:val="en-US" w:eastAsia="zh-CN"/>
        </w:rPr>
      </w:pPr>
      <w:r>
        <w:rPr>
          <w:rFonts w:hint="eastAsia"/>
          <w:highlight w:val="none"/>
        </w:rPr>
        <w:t>报名及商务事宜联系人：</w:t>
      </w:r>
      <w:r>
        <w:rPr>
          <w:rFonts w:hint="eastAsia"/>
          <w:color w:val="auto"/>
          <w:highlight w:val="none"/>
          <w:lang w:val="en-US" w:eastAsia="zh-CN"/>
        </w:rPr>
        <w:t>李春霞</w:t>
      </w:r>
    </w:p>
    <w:p w14:paraId="66772D76">
      <w:pPr>
        <w:pStyle w:val="6"/>
        <w:spacing w:line="360" w:lineRule="auto"/>
        <w:ind w:firstLine="420" w:firstLineChars="200"/>
        <w:rPr>
          <w:rFonts w:hint="eastAsia"/>
          <w:highlight w:val="none"/>
        </w:rPr>
      </w:pPr>
      <w:r>
        <w:rPr>
          <w:rFonts w:hint="eastAsia"/>
          <w:highlight w:val="none"/>
        </w:rPr>
        <w:t>联系电话：</w:t>
      </w:r>
      <w:r>
        <w:rPr>
          <w:rFonts w:hint="eastAsia"/>
          <w:highlight w:val="none"/>
          <w:lang w:val="en-US" w:eastAsia="zh-CN"/>
        </w:rPr>
        <w:t>13754929867</w:t>
      </w:r>
      <w:r>
        <w:rPr>
          <w:highlight w:val="none"/>
        </w:rPr>
        <w:t xml:space="preserve">  </w:t>
      </w:r>
    </w:p>
    <w:p w14:paraId="2DCE62FB">
      <w:pPr>
        <w:pStyle w:val="6"/>
        <w:spacing w:line="360" w:lineRule="auto"/>
        <w:ind w:firstLine="630" w:firstLineChars="300"/>
        <w:rPr>
          <w:rFonts w:hint="eastAsia" w:eastAsia="宋体"/>
          <w:highlight w:val="none"/>
          <w:lang w:val="en-US" w:eastAsia="zh-CN"/>
        </w:rPr>
      </w:pPr>
      <w:r>
        <w:rPr>
          <w:rFonts w:hint="eastAsia"/>
          <w:highlight w:val="none"/>
          <w:lang w:val="en-US" w:eastAsia="zh-CN"/>
        </w:rPr>
        <w:t>项目联系人：刘勇   联系方式：</w:t>
      </w:r>
      <w:r>
        <w:rPr>
          <w:rFonts w:hint="eastAsia"/>
          <w:highlight w:val="none"/>
        </w:rPr>
        <w:t>18634201866</w:t>
      </w:r>
    </w:p>
    <w:p w14:paraId="6A01369D">
      <w:pPr>
        <w:pStyle w:val="6"/>
        <w:spacing w:line="360" w:lineRule="auto"/>
        <w:rPr>
          <w:rFonts w:ascii="黑体" w:eastAsia="黑体"/>
          <w:b/>
          <w:bCs/>
          <w:sz w:val="28"/>
        </w:rPr>
      </w:pPr>
      <w:r>
        <w:rPr>
          <w:rFonts w:hint="eastAsia" w:ascii="黑体" w:eastAsia="黑体"/>
          <w:b/>
          <w:bCs/>
          <w:sz w:val="28"/>
        </w:rPr>
        <w:t>五、招标文件的领取、答疑、应标及投标报名</w:t>
      </w:r>
    </w:p>
    <w:p w14:paraId="23C18C04">
      <w:pPr>
        <w:pStyle w:val="19"/>
        <w:numPr>
          <w:ilvl w:val="0"/>
          <w:numId w:val="4"/>
        </w:numPr>
        <w:ind w:left="425" w:leftChars="0" w:hanging="425" w:firstLineChars="0"/>
        <w:jc w:val="both"/>
        <w:rPr>
          <w:rFonts w:hint="default" w:ascii="宋体" w:hAnsi="Courier New" w:eastAsia="宋体" w:cs="Times New Roman"/>
          <w:highlight w:val="none"/>
          <w:lang w:val="en-US" w:eastAsia="zh-CN"/>
        </w:rPr>
      </w:pPr>
      <w:r>
        <w:rPr>
          <w:rFonts w:hint="eastAsia" w:ascii="宋体" w:hAnsi="Courier New" w:eastAsia="宋体" w:cs="Times New Roman"/>
          <w:b/>
          <w:bCs/>
          <w:highlight w:val="none"/>
          <w:lang w:val="en-US" w:eastAsia="zh-CN"/>
        </w:rPr>
        <w:t>发标时间</w:t>
      </w:r>
      <w:r>
        <w:rPr>
          <w:rFonts w:hint="eastAsia" w:ascii="宋体" w:hAnsi="Courier New" w:eastAsia="宋体" w:cs="Times New Roman"/>
          <w:highlight w:val="none"/>
          <w:lang w:val="en-US" w:eastAsia="zh-CN"/>
        </w:rPr>
        <w:t>：</w:t>
      </w:r>
      <w:r>
        <w:rPr>
          <w:rFonts w:hint="eastAsia" w:ascii="宋体" w:hAnsi="Courier New" w:eastAsia="宋体" w:cs="Times New Roman"/>
          <w:highlight w:val="yellow"/>
          <w:lang w:val="en-US" w:eastAsia="zh-CN"/>
        </w:rPr>
        <w:t>202</w:t>
      </w:r>
      <w:r>
        <w:rPr>
          <w:rFonts w:hint="eastAsia" w:cs="Times New Roman"/>
          <w:highlight w:val="yellow"/>
          <w:lang w:val="en-US" w:eastAsia="zh-CN"/>
        </w:rPr>
        <w:t>6</w:t>
      </w:r>
      <w:r>
        <w:rPr>
          <w:rFonts w:hint="eastAsia" w:ascii="宋体" w:hAnsi="Courier New" w:eastAsia="宋体" w:cs="Times New Roman"/>
          <w:highlight w:val="yellow"/>
          <w:lang w:val="en-US" w:eastAsia="zh-CN"/>
        </w:rPr>
        <w:t>年</w:t>
      </w:r>
      <w:r>
        <w:rPr>
          <w:rFonts w:hint="eastAsia" w:cs="Times New Roman"/>
          <w:highlight w:val="yellow"/>
          <w:lang w:val="en-US" w:eastAsia="zh-CN"/>
        </w:rPr>
        <w:t>10</w:t>
      </w:r>
      <w:r>
        <w:rPr>
          <w:rFonts w:hint="eastAsia" w:ascii="宋体" w:hAnsi="Courier New" w:eastAsia="宋体" w:cs="Times New Roman"/>
          <w:highlight w:val="yellow"/>
          <w:lang w:val="en-US" w:eastAsia="zh-CN"/>
        </w:rPr>
        <w:t>月</w:t>
      </w:r>
      <w:r>
        <w:rPr>
          <w:rFonts w:hint="eastAsia" w:cs="Times New Roman"/>
          <w:highlight w:val="yellow"/>
          <w:lang w:val="en-US" w:eastAsia="zh-CN"/>
        </w:rPr>
        <w:t>16</w:t>
      </w:r>
      <w:r>
        <w:rPr>
          <w:rFonts w:hint="eastAsia" w:ascii="宋体" w:hAnsi="Courier New" w:eastAsia="宋体" w:cs="Times New Roman"/>
          <w:highlight w:val="yellow"/>
          <w:lang w:val="en-US" w:eastAsia="zh-CN"/>
        </w:rPr>
        <w:t>日</w:t>
      </w:r>
    </w:p>
    <w:p w14:paraId="04E9F52B">
      <w:pPr>
        <w:pStyle w:val="19"/>
        <w:numPr>
          <w:ilvl w:val="0"/>
          <w:numId w:val="4"/>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b/>
          <w:bCs/>
          <w:highlight w:val="none"/>
          <w:lang w:val="en-US" w:eastAsia="zh-CN"/>
        </w:rPr>
        <w:t>报名方式</w:t>
      </w:r>
      <w:r>
        <w:rPr>
          <w:rFonts w:hint="eastAsia" w:cs="Times New Roman"/>
          <w:highlight w:val="none"/>
          <w:lang w:val="en-US" w:eastAsia="zh-CN"/>
        </w:rPr>
        <w:t>：</w:t>
      </w:r>
    </w:p>
    <w:p w14:paraId="143D1741">
      <w:pPr>
        <w:pStyle w:val="19"/>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ascii="宋体" w:hAnsi="宋体" w:eastAsia="宋体" w:cs="宋体"/>
          <w:sz w:val="21"/>
          <w:szCs w:val="21"/>
        </w:rPr>
      </w:pPr>
      <w:r>
        <w:rPr>
          <w:rFonts w:hint="eastAsia" w:eastAsia="宋体" w:cs="宋体"/>
          <w:sz w:val="21"/>
          <w:szCs w:val="21"/>
          <w:highlight w:val="none"/>
        </w:rPr>
        <w:t>拟投标人根据招标人在中国重汽官网</w:t>
      </w:r>
      <w:r>
        <w:rPr>
          <w:rFonts w:hint="eastAsia" w:eastAsia="宋体" w:cs="宋体"/>
          <w:sz w:val="21"/>
          <w:szCs w:val="21"/>
          <w:highlight w:val="none"/>
          <w:lang w:val="en-US" w:eastAsia="zh-CN"/>
        </w:rPr>
        <w:t>公开媒体</w:t>
      </w:r>
      <w:r>
        <w:rPr>
          <w:rFonts w:hint="eastAsia" w:eastAsia="宋体" w:cs="宋体"/>
          <w:sz w:val="21"/>
          <w:szCs w:val="21"/>
          <w:highlight w:val="none"/>
        </w:rPr>
        <w:t>上发布的招标信息，</w:t>
      </w:r>
      <w:r>
        <w:rPr>
          <w:rFonts w:hint="eastAsia" w:ascii="宋体" w:hAnsi="Courier New" w:eastAsia="宋体" w:cs="Times New Roman"/>
          <w:color w:val="000000"/>
          <w:sz w:val="21"/>
          <w:szCs w:val="21"/>
          <w:highlight w:val="none"/>
          <w:lang w:val="en-US" w:eastAsia="zh-CN"/>
        </w:rPr>
        <w:t>在“中国重汽e采通”平台</w:t>
      </w:r>
      <w:r>
        <w:rPr>
          <w:rFonts w:hint="eastAsia" w:ascii="宋体" w:hAnsi="Courier New" w:eastAsia="宋体" w:cs="Times New Roman"/>
          <w:color w:val="000000"/>
          <w:sz w:val="21"/>
          <w:szCs w:val="21"/>
          <w:highlight w:val="none"/>
        </w:rPr>
        <w:t>报名</w:t>
      </w:r>
      <w:r>
        <w:rPr>
          <w:rFonts w:hint="eastAsia" w:cs="Times New Roman"/>
          <w:color w:val="000000"/>
          <w:sz w:val="21"/>
          <w:szCs w:val="21"/>
          <w:highlight w:val="none"/>
          <w:lang w:eastAsia="zh-CN"/>
        </w:rPr>
        <w:t>，</w:t>
      </w:r>
      <w:r>
        <w:rPr>
          <w:rFonts w:hint="eastAsia" w:cs="Times New Roman"/>
          <w:color w:val="000000"/>
          <w:sz w:val="21"/>
          <w:szCs w:val="21"/>
          <w:highlight w:val="none"/>
          <w:lang w:val="en-US" w:eastAsia="zh-CN"/>
        </w:rPr>
        <w:t>具体流程如下：</w:t>
      </w:r>
      <w:r>
        <w:rPr>
          <w:rFonts w:ascii="宋体" w:hAnsi="宋体" w:eastAsia="宋体" w:cs="宋体"/>
          <w:sz w:val="21"/>
          <w:szCs w:val="21"/>
        </w:rPr>
        <w:br w:type="textWrapping"/>
      </w:r>
      <w:r>
        <w:rPr>
          <w:rFonts w:ascii="宋体" w:hAnsi="宋体" w:eastAsia="宋体" w:cs="宋体"/>
          <w:b/>
          <w:bCs/>
          <w:sz w:val="21"/>
          <w:szCs w:val="21"/>
        </w:rPr>
        <w:t>①系统注册与信息维护</w:t>
      </w:r>
      <w:r>
        <w:rPr>
          <w:rFonts w:ascii="宋体" w:hAnsi="宋体" w:eastAsia="宋体" w:cs="宋体"/>
          <w:sz w:val="21"/>
          <w:szCs w:val="21"/>
        </w:rPr>
        <w:br w:type="textWrapping"/>
      </w:r>
      <w:r>
        <w:rPr>
          <w:rFonts w:ascii="宋体" w:hAnsi="宋体" w:eastAsia="宋体" w:cs="宋体"/>
          <w:sz w:val="21"/>
          <w:szCs w:val="21"/>
        </w:rPr>
        <w:t></w:t>
      </w:r>
      <w:r>
        <w:rPr>
          <w:rFonts w:ascii="宋体" w:hAnsi="宋体" w:eastAsia="宋体" w:cs="宋体"/>
          <w:b/>
          <w:bCs/>
          <w:sz w:val="21"/>
          <w:szCs w:val="21"/>
        </w:rPr>
        <w:t>首次注册供应商</w:t>
      </w:r>
      <w:r>
        <w:rPr>
          <w:rFonts w:ascii="宋体" w:hAnsi="宋体" w:eastAsia="宋体" w:cs="宋体"/>
          <w:sz w:val="21"/>
          <w:szCs w:val="21"/>
        </w:rPr>
        <w:t>：请根据《SRM非生产供应商注册手册》（附件</w:t>
      </w:r>
      <w:r>
        <w:rPr>
          <w:rFonts w:hint="eastAsia" w:ascii="宋体" w:hAnsi="宋体" w:eastAsia="宋体" w:cs="宋体"/>
          <w:sz w:val="21"/>
          <w:szCs w:val="21"/>
          <w:lang w:val="en-US" w:eastAsia="zh-CN"/>
        </w:rPr>
        <w:t>一</w:t>
      </w:r>
      <w:r>
        <w:rPr>
          <w:rFonts w:ascii="宋体" w:hAnsi="宋体" w:eastAsia="宋体" w:cs="宋体"/>
          <w:sz w:val="21"/>
          <w:szCs w:val="21"/>
        </w:rPr>
        <w:t>）完成平台账号注册。</w:t>
      </w:r>
      <w:r>
        <w:rPr>
          <w:rFonts w:ascii="宋体" w:hAnsi="宋体" w:eastAsia="宋体" w:cs="宋体"/>
          <w:sz w:val="21"/>
          <w:szCs w:val="21"/>
        </w:rPr>
        <w:br w:type="textWrapping"/>
      </w:r>
      <w:r>
        <w:rPr>
          <w:rFonts w:ascii="宋体" w:hAnsi="宋体" w:eastAsia="宋体" w:cs="宋体"/>
          <w:sz w:val="21"/>
          <w:szCs w:val="21"/>
        </w:rPr>
        <w:t></w:t>
      </w:r>
      <w:r>
        <w:rPr>
          <w:rFonts w:ascii="宋体" w:hAnsi="宋体" w:eastAsia="宋体" w:cs="宋体"/>
          <w:b/>
          <w:bCs/>
          <w:sz w:val="21"/>
          <w:szCs w:val="21"/>
        </w:rPr>
        <w:t>已注册供应商</w:t>
      </w:r>
      <w:r>
        <w:rPr>
          <w:rFonts w:ascii="宋体" w:hAnsi="宋体" w:eastAsia="宋体" w:cs="宋体"/>
          <w:sz w:val="21"/>
          <w:szCs w:val="21"/>
        </w:rPr>
        <w:t>：请登录系统核对系统中2022-202</w:t>
      </w:r>
      <w:r>
        <w:rPr>
          <w:rFonts w:hint="eastAsia" w:hAnsi="宋体" w:cs="宋体"/>
          <w:sz w:val="21"/>
          <w:szCs w:val="21"/>
          <w:lang w:val="en-US" w:eastAsia="zh-CN"/>
        </w:rPr>
        <w:t>4</w:t>
      </w:r>
      <w:r>
        <w:rPr>
          <w:rFonts w:ascii="宋体" w:hAnsi="宋体" w:eastAsia="宋体" w:cs="宋体"/>
          <w:sz w:val="21"/>
          <w:szCs w:val="21"/>
        </w:rPr>
        <w:t>年度财务数据。如尚未填写或信息不全，请参照《SRM非生产供应商注册手册》（附件</w:t>
      </w:r>
      <w:r>
        <w:rPr>
          <w:rFonts w:hint="eastAsia" w:ascii="宋体" w:hAnsi="宋体" w:eastAsia="宋体" w:cs="宋体"/>
          <w:sz w:val="21"/>
          <w:szCs w:val="21"/>
          <w:lang w:val="en-US" w:eastAsia="zh-CN"/>
        </w:rPr>
        <w:t>二</w:t>
      </w:r>
      <w:r>
        <w:rPr>
          <w:rFonts w:ascii="宋体" w:hAnsi="宋体" w:eastAsia="宋体" w:cs="宋体"/>
          <w:sz w:val="21"/>
          <w:szCs w:val="21"/>
        </w:rPr>
        <w:t>）及时进行补充与更新，确保信息真实、完整。</w:t>
      </w:r>
      <w:r>
        <w:rPr>
          <w:rFonts w:ascii="宋体" w:hAnsi="宋体" w:eastAsia="宋体" w:cs="宋体"/>
          <w:sz w:val="21"/>
          <w:szCs w:val="21"/>
        </w:rPr>
        <w:br w:type="textWrapping"/>
      </w:r>
      <w:r>
        <w:rPr>
          <w:rFonts w:ascii="宋体" w:hAnsi="宋体" w:eastAsia="宋体" w:cs="宋体"/>
          <w:b/>
          <w:bCs/>
          <w:sz w:val="21"/>
          <w:szCs w:val="21"/>
        </w:rPr>
        <w:t>②应标流程</w:t>
      </w:r>
    </w:p>
    <w:p w14:paraId="16548923">
      <w:pPr>
        <w:pStyle w:val="19"/>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ascii="宋体" w:hAnsi="宋体" w:eastAsia="宋体" w:cs="宋体"/>
          <w:sz w:val="21"/>
          <w:szCs w:val="21"/>
        </w:rPr>
      </w:pPr>
      <w:r>
        <w:rPr>
          <w:rFonts w:ascii="宋体" w:hAnsi="宋体" w:eastAsia="宋体" w:cs="宋体"/>
          <w:sz w:val="21"/>
          <w:szCs w:val="21"/>
        </w:rPr>
        <w:t>注册及财务数据维护完成后，参照《SRM系统供应商用户手册》（附件</w:t>
      </w:r>
      <w:r>
        <w:rPr>
          <w:rFonts w:hint="eastAsia" w:ascii="宋体" w:hAnsi="宋体" w:eastAsia="宋体" w:cs="宋体"/>
          <w:sz w:val="21"/>
          <w:szCs w:val="21"/>
          <w:lang w:val="en-US" w:eastAsia="zh-CN"/>
        </w:rPr>
        <w:t>三</w:t>
      </w:r>
      <w:r>
        <w:rPr>
          <w:rFonts w:ascii="宋体" w:hAnsi="宋体" w:eastAsia="宋体" w:cs="宋体"/>
          <w:sz w:val="21"/>
          <w:szCs w:val="21"/>
        </w:rPr>
        <w:t>）登录平台，进入“供应商应标”模块，选择对应项目点击“应标”，并按照本公告第</w:t>
      </w:r>
      <w:r>
        <w:rPr>
          <w:rFonts w:hint="eastAsia" w:ascii="宋体" w:hAnsi="宋体" w:eastAsia="宋体" w:cs="宋体"/>
          <w:sz w:val="21"/>
          <w:szCs w:val="21"/>
          <w:lang w:val="en-US" w:eastAsia="zh-CN"/>
        </w:rPr>
        <w:t>四</w:t>
      </w:r>
      <w:r>
        <w:rPr>
          <w:rFonts w:ascii="宋体" w:hAnsi="宋体" w:eastAsia="宋体" w:cs="宋体"/>
          <w:sz w:val="21"/>
          <w:szCs w:val="21"/>
        </w:rPr>
        <w:t>部分“应标文件编制”要求准备资料并上传。资质审查通过后，视为报名成功（是否为代理商请如实选择）。</w:t>
      </w:r>
    </w:p>
    <w:p w14:paraId="6C3163E6">
      <w:pPr>
        <w:pStyle w:val="19"/>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ascii="宋体" w:hAnsi="宋体" w:eastAsia="宋体" w:cs="宋体"/>
          <w:sz w:val="21"/>
          <w:szCs w:val="21"/>
        </w:rPr>
      </w:pPr>
      <w:r>
        <w:rPr>
          <w:rFonts w:ascii="宋体" w:hAnsi="宋体" w:eastAsia="宋体" w:cs="宋体"/>
          <w:sz w:val="21"/>
          <w:szCs w:val="21"/>
        </w:rPr>
        <w:t>若为</w:t>
      </w:r>
      <w:r>
        <w:rPr>
          <w:rFonts w:ascii="宋体" w:hAnsi="宋体" w:eastAsia="宋体" w:cs="宋体"/>
          <w:b/>
          <w:bCs/>
          <w:sz w:val="21"/>
          <w:szCs w:val="21"/>
        </w:rPr>
        <w:t>代理商应标</w:t>
      </w:r>
      <w:r>
        <w:rPr>
          <w:rFonts w:ascii="宋体" w:hAnsi="宋体" w:eastAsia="宋体" w:cs="宋体"/>
          <w:sz w:val="21"/>
          <w:szCs w:val="21"/>
        </w:rPr>
        <w:t>，请在应标后</w:t>
      </w:r>
      <w:r>
        <w:rPr>
          <w:rFonts w:ascii="宋体" w:hAnsi="宋体" w:eastAsia="宋体" w:cs="宋体"/>
          <w:b/>
          <w:bCs/>
          <w:sz w:val="21"/>
          <w:szCs w:val="21"/>
        </w:rPr>
        <w:t>主动联系商务联系人</w:t>
      </w:r>
      <w:r>
        <w:rPr>
          <w:rFonts w:ascii="宋体" w:hAnsi="宋体" w:eastAsia="宋体" w:cs="宋体"/>
          <w:sz w:val="21"/>
          <w:szCs w:val="21"/>
        </w:rPr>
        <w:t>。</w:t>
      </w:r>
    </w:p>
    <w:p w14:paraId="6B7261A6">
      <w:pPr>
        <w:pStyle w:val="19"/>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hint="eastAsia" w:eastAsia="宋体" w:cs="宋体"/>
          <w:sz w:val="21"/>
          <w:szCs w:val="21"/>
          <w:highlight w:val="none"/>
        </w:rPr>
      </w:pPr>
      <w:r>
        <w:rPr>
          <w:rFonts w:ascii="宋体" w:hAnsi="宋体" w:eastAsia="宋体" w:cs="宋体"/>
          <w:sz w:val="21"/>
          <w:szCs w:val="21"/>
        </w:rPr>
        <w:t>如资质审查未通过，请按审核意见修改后重新上传。请注意：应标截止</w:t>
      </w:r>
      <w:bookmarkStart w:id="16" w:name="_GoBack"/>
      <w:bookmarkEnd w:id="16"/>
      <w:r>
        <w:rPr>
          <w:rFonts w:ascii="宋体" w:hAnsi="宋体" w:eastAsia="宋体" w:cs="宋体"/>
          <w:sz w:val="21"/>
          <w:szCs w:val="21"/>
        </w:rPr>
        <w:t>时间后将无法再次上传或修改应标文件。</w:t>
      </w:r>
    </w:p>
    <w:p w14:paraId="6DC2B408">
      <w:pPr>
        <w:pStyle w:val="19"/>
        <w:numPr>
          <w:ilvl w:val="0"/>
          <w:numId w:val="4"/>
        </w:numPr>
        <w:ind w:left="425" w:leftChars="0" w:hanging="425" w:firstLineChars="0"/>
        <w:jc w:val="both"/>
        <w:rPr>
          <w:rFonts w:hint="eastAsia" w:ascii="宋体" w:hAnsi="Courier New" w:eastAsia="宋体" w:cs="Times New Roman"/>
          <w:highlight w:val="yellow"/>
          <w:lang w:val="en-US" w:eastAsia="zh-CN"/>
        </w:rPr>
      </w:pPr>
      <w:r>
        <w:rPr>
          <w:rFonts w:hint="eastAsia" w:ascii="宋体" w:hAnsi="Courier New" w:eastAsia="宋体" w:cs="Times New Roman"/>
          <w:b/>
          <w:bCs/>
          <w:highlight w:val="none"/>
          <w:lang w:val="en-US" w:eastAsia="zh-CN"/>
        </w:rPr>
        <w:t>应标截止时间</w:t>
      </w:r>
      <w:r>
        <w:rPr>
          <w:rFonts w:hint="eastAsia" w:cs="Times New Roman"/>
          <w:highlight w:val="none"/>
          <w:lang w:val="en-US" w:eastAsia="zh-CN"/>
        </w:rPr>
        <w:t>：</w:t>
      </w:r>
      <w:r>
        <w:rPr>
          <w:rFonts w:hint="eastAsia" w:eastAsia="宋体" w:cs="宋体"/>
          <w:highlight w:val="yellow"/>
        </w:rPr>
        <w:t>202</w:t>
      </w:r>
      <w:r>
        <w:rPr>
          <w:rFonts w:hint="eastAsia" w:cs="宋体"/>
          <w:highlight w:val="yellow"/>
          <w:lang w:val="en-US" w:eastAsia="zh-CN"/>
        </w:rPr>
        <w:t>6</w:t>
      </w:r>
      <w:r>
        <w:rPr>
          <w:rFonts w:hint="eastAsia" w:eastAsia="宋体" w:cs="宋体"/>
          <w:highlight w:val="yellow"/>
        </w:rPr>
        <w:t>年</w:t>
      </w:r>
      <w:r>
        <w:rPr>
          <w:rFonts w:hint="eastAsia" w:cs="宋体"/>
          <w:highlight w:val="yellow"/>
          <w:lang w:val="en-US" w:eastAsia="zh-CN"/>
        </w:rPr>
        <w:t>10</w:t>
      </w:r>
      <w:r>
        <w:rPr>
          <w:rFonts w:hint="eastAsia" w:eastAsia="宋体" w:cs="宋体"/>
          <w:highlight w:val="yellow"/>
        </w:rPr>
        <w:t>月</w:t>
      </w:r>
      <w:r>
        <w:rPr>
          <w:rFonts w:hint="eastAsia" w:cs="宋体"/>
          <w:highlight w:val="yellow"/>
          <w:lang w:val="en-US" w:eastAsia="zh-CN"/>
        </w:rPr>
        <w:t>22</w:t>
      </w:r>
      <w:r>
        <w:rPr>
          <w:rFonts w:hint="eastAsia" w:eastAsia="宋体" w:cs="宋体"/>
          <w:highlight w:val="yellow"/>
        </w:rPr>
        <w:t>日17时00分00秒</w:t>
      </w:r>
    </w:p>
    <w:p w14:paraId="2521BCA0">
      <w:pPr>
        <w:pStyle w:val="19"/>
        <w:keepNext w:val="0"/>
        <w:keepLines w:val="0"/>
        <w:pageBreakBefore w:val="0"/>
        <w:widowControl w:val="0"/>
        <w:numPr>
          <w:ilvl w:val="0"/>
          <w:numId w:val="0"/>
        </w:numPr>
        <w:kinsoku/>
        <w:wordWrap/>
        <w:overflowPunct/>
        <w:topLinePunct w:val="0"/>
        <w:autoSpaceDE/>
        <w:autoSpaceDN/>
        <w:bidi w:val="0"/>
        <w:adjustRightInd/>
        <w:snapToGrid/>
        <w:ind w:leftChars="0" w:firstLine="422" w:firstLineChars="200"/>
        <w:jc w:val="both"/>
        <w:textAlignment w:val="auto"/>
        <w:rPr>
          <w:rFonts w:hint="default" w:ascii="宋体" w:hAnsi="Courier New" w:eastAsia="宋体" w:cs="Times New Roman"/>
          <w:highlight w:val="none"/>
          <w:lang w:val="en-US" w:eastAsia="zh-CN"/>
        </w:rPr>
      </w:pPr>
      <w:r>
        <w:rPr>
          <w:rFonts w:hint="eastAsia" w:eastAsia="宋体" w:cs="宋体"/>
          <w:b/>
          <w:bCs/>
          <w:highlight w:val="none"/>
        </w:rPr>
        <w:t>注：请务必在应标截止时间前完成注册及应标操作，注册审核需2-4日，应标截止时间精确到秒，逾期将无法应标。请自行掌握时间，避免无法应标。</w:t>
      </w:r>
    </w:p>
    <w:p w14:paraId="03A7FB48">
      <w:pPr>
        <w:pStyle w:val="6"/>
        <w:spacing w:line="360" w:lineRule="auto"/>
        <w:rPr>
          <w:rFonts w:hint="eastAsia" w:ascii="黑体" w:eastAsia="黑体"/>
          <w:b/>
          <w:bCs/>
          <w:sz w:val="28"/>
        </w:rPr>
      </w:pPr>
      <w:r>
        <w:rPr>
          <w:rFonts w:hint="eastAsia" w:ascii="黑体" w:eastAsia="黑体"/>
          <w:b/>
          <w:bCs/>
          <w:sz w:val="28"/>
        </w:rPr>
        <w:t>六、投标须知</w:t>
      </w:r>
    </w:p>
    <w:p w14:paraId="0E6E3488">
      <w:pPr>
        <w:pStyle w:val="6"/>
        <w:spacing w:line="360" w:lineRule="auto"/>
        <w:ind w:firstLine="422" w:firstLineChars="200"/>
        <w:rPr>
          <w:rFonts w:hint="eastAsia"/>
          <w:b/>
        </w:rPr>
      </w:pPr>
      <w:r>
        <w:rPr>
          <w:rFonts w:hint="eastAsia"/>
          <w:b/>
        </w:rPr>
        <w:t>1.合格投标人：</w:t>
      </w:r>
    </w:p>
    <w:p w14:paraId="3C8DE851">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投标人须遵守《中华人民共和国招标投标法》及其它有关的法律和法规；为中华人民共和国境内注册的独立法人机构，具有独立承担民事责任能力；</w:t>
      </w:r>
    </w:p>
    <w:p w14:paraId="3A0297CA">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rFonts w:hint="eastAsia" w:ascii="宋体" w:hAnsi="Courier New" w:eastAsia="宋体" w:cs="Times New Roman"/>
          <w:b w:val="0"/>
          <w:bCs/>
          <w:strike w:val="0"/>
          <w:dstrike w:val="0"/>
          <w:highlight w:val="none"/>
        </w:rPr>
      </w:pPr>
      <w:r>
        <w:rPr>
          <w:rFonts w:hint="eastAsia" w:ascii="宋体" w:hAnsi="Courier New" w:eastAsia="宋体" w:cs="Times New Roman"/>
          <w:b w:val="0"/>
          <w:bCs/>
          <w:strike w:val="0"/>
          <w:dstrike w:val="0"/>
          <w:highlight w:val="none"/>
        </w:rPr>
        <w:t>拟标投人必须是在中华人民共和国境内注册的独立法人机构，具有独立承担民事责任能力；注册资金不少于</w:t>
      </w:r>
      <w:r>
        <w:rPr>
          <w:rFonts w:hint="eastAsia" w:cs="Times New Roman"/>
          <w:b w:val="0"/>
          <w:bCs/>
          <w:strike w:val="0"/>
          <w:dstrike w:val="0"/>
          <w:highlight w:val="none"/>
          <w:u w:val="single"/>
          <w:lang w:val="en-US" w:eastAsia="zh-CN"/>
        </w:rPr>
        <w:t>10</w:t>
      </w:r>
      <w:r>
        <w:rPr>
          <w:rFonts w:hint="eastAsia" w:ascii="宋体" w:hAnsi="Courier New" w:eastAsia="宋体" w:cs="Times New Roman"/>
          <w:b w:val="0"/>
          <w:bCs/>
          <w:strike w:val="0"/>
          <w:dstrike w:val="0"/>
          <w:highlight w:val="none"/>
        </w:rPr>
        <w:t>万人民币（或等值其他货币）；公司成立</w:t>
      </w:r>
      <w:r>
        <w:rPr>
          <w:rFonts w:hint="eastAsia" w:ascii="宋体" w:hAnsi="Courier New" w:eastAsia="宋体" w:cs="Times New Roman"/>
          <w:b w:val="0"/>
          <w:bCs/>
          <w:strike w:val="0"/>
          <w:dstrike w:val="0"/>
          <w:highlight w:val="none"/>
          <w:u w:val="single"/>
          <w:lang w:val="en-US" w:eastAsia="zh-CN"/>
        </w:rPr>
        <w:t xml:space="preserve">  </w:t>
      </w:r>
      <w:r>
        <w:rPr>
          <w:rFonts w:hint="eastAsia" w:cs="Times New Roman"/>
          <w:b w:val="0"/>
          <w:bCs/>
          <w:strike w:val="0"/>
          <w:dstrike w:val="0"/>
          <w:highlight w:val="none"/>
          <w:u w:val="single"/>
          <w:lang w:val="en-US" w:eastAsia="zh-CN"/>
        </w:rPr>
        <w:t>3</w:t>
      </w:r>
      <w:r>
        <w:rPr>
          <w:rFonts w:hint="eastAsia" w:ascii="宋体" w:hAnsi="Courier New" w:eastAsia="宋体" w:cs="Times New Roman"/>
          <w:b w:val="0"/>
          <w:bCs/>
          <w:strike w:val="0"/>
          <w:dstrike w:val="0"/>
          <w:highlight w:val="none"/>
          <w:u w:val="single"/>
          <w:lang w:val="en-US" w:eastAsia="zh-CN"/>
        </w:rPr>
        <w:t xml:space="preserve">  </w:t>
      </w:r>
      <w:r>
        <w:rPr>
          <w:rFonts w:hint="eastAsia" w:ascii="宋体" w:hAnsi="Courier New" w:eastAsia="宋体" w:cs="Times New Roman"/>
          <w:b w:val="0"/>
          <w:bCs/>
          <w:strike w:val="0"/>
          <w:dstrike w:val="0"/>
          <w:highlight w:val="none"/>
        </w:rPr>
        <w:t>年以上（以营业执照成立日期到开标当日满</w:t>
      </w:r>
      <w:r>
        <w:rPr>
          <w:rFonts w:hint="eastAsia" w:ascii="宋体" w:hAnsi="Courier New" w:eastAsia="宋体" w:cs="Times New Roman"/>
          <w:b w:val="0"/>
          <w:bCs/>
          <w:strike w:val="0"/>
          <w:dstrike w:val="0"/>
          <w:highlight w:val="none"/>
          <w:u w:val="single"/>
          <w:lang w:val="en-US" w:eastAsia="zh-CN"/>
        </w:rPr>
        <w:t xml:space="preserve"> </w:t>
      </w:r>
      <w:r>
        <w:rPr>
          <w:rFonts w:hint="eastAsia" w:cs="Times New Roman"/>
          <w:b w:val="0"/>
          <w:bCs/>
          <w:strike w:val="0"/>
          <w:dstrike w:val="0"/>
          <w:highlight w:val="none"/>
          <w:u w:val="single"/>
          <w:lang w:val="en-US" w:eastAsia="zh-CN"/>
        </w:rPr>
        <w:t>3</w:t>
      </w:r>
      <w:r>
        <w:rPr>
          <w:rFonts w:hint="eastAsia" w:ascii="宋体" w:hAnsi="Courier New" w:eastAsia="宋体" w:cs="Times New Roman"/>
          <w:b w:val="0"/>
          <w:bCs/>
          <w:strike w:val="0"/>
          <w:dstrike w:val="0"/>
          <w:highlight w:val="none"/>
          <w:u w:val="single"/>
          <w:lang w:val="en-US" w:eastAsia="zh-CN"/>
        </w:rPr>
        <w:t xml:space="preserve"> </w:t>
      </w:r>
      <w:r>
        <w:rPr>
          <w:rFonts w:hint="eastAsia" w:ascii="宋体" w:hAnsi="Courier New" w:eastAsia="宋体" w:cs="Times New Roman"/>
          <w:b w:val="0"/>
          <w:bCs/>
          <w:strike w:val="0"/>
          <w:dstrike w:val="0"/>
          <w:highlight w:val="none"/>
        </w:rPr>
        <w:t>年为准），且经营范围满足招标人需求；并在人员、设备、资金等方面具有承担本项目的能力；</w:t>
      </w:r>
    </w:p>
    <w:p w14:paraId="2B164D82">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投标人须具有良好的商业信誉和健全的财务会计制度，财务状况和市场行为良好。没有处于被有权机关吊销营业执照、吊销资质、停业整顿、取消投标资格以及财产被接管、冻结或进入破产程序等；</w:t>
      </w:r>
    </w:p>
    <w:p w14:paraId="11A84527">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投标人在“信用中国”中未列入联合惩戒失信人名单，且工商行政管理局的《国家企业信用信息公示系统》中查询不存在不良记录；</w:t>
      </w:r>
    </w:p>
    <w:p w14:paraId="7850D9F4">
      <w:pPr>
        <w:pStyle w:val="68"/>
        <w:keepNext w:val="0"/>
        <w:keepLines w:val="0"/>
        <w:pageBreakBefore w:val="0"/>
        <w:widowControl w:val="0"/>
        <w:numPr>
          <w:ilvl w:val="0"/>
          <w:numId w:val="5"/>
        </w:numPr>
        <w:kinsoku/>
        <w:wordWrap/>
        <w:overflowPunct/>
        <w:topLinePunct w:val="0"/>
        <w:autoSpaceDE/>
        <w:autoSpaceDN/>
        <w:bidi w:val="0"/>
        <w:adjustRightInd/>
        <w:snapToGrid/>
        <w:ind w:left="0" w:firstLine="420" w:firstLineChars="200"/>
        <w:textAlignment w:val="auto"/>
        <w:rPr>
          <w:b w:val="0"/>
          <w:bCs/>
        </w:rPr>
      </w:pPr>
      <w:r>
        <w:rPr>
          <w:rFonts w:hint="eastAsia" w:ascii="宋体" w:hAnsi="Courier New" w:eastAsia="宋体" w:cs="Times New Roman"/>
          <w:b w:val="0"/>
          <w:bCs/>
          <w:strike w:val="0"/>
          <w:dstrike w:val="0"/>
          <w:highlight w:val="none"/>
        </w:rPr>
        <w:t>无招标违规、谎报年度报告信息、提供虚假资质资料等行为或其他行政处罚记录；</w:t>
      </w:r>
    </w:p>
    <w:p w14:paraId="0124C8EA">
      <w:pPr>
        <w:pStyle w:val="68"/>
        <w:keepNext w:val="0"/>
        <w:keepLines w:val="0"/>
        <w:pageBreakBefore w:val="0"/>
        <w:widowControl w:val="0"/>
        <w:numPr>
          <w:ilvl w:val="0"/>
          <w:numId w:val="5"/>
        </w:numPr>
        <w:kinsoku/>
        <w:wordWrap/>
        <w:overflowPunct/>
        <w:topLinePunct w:val="0"/>
        <w:autoSpaceDE/>
        <w:autoSpaceDN/>
        <w:bidi w:val="0"/>
        <w:adjustRightInd/>
        <w:snapToGrid/>
        <w:ind w:left="0" w:firstLine="420" w:firstLineChars="200"/>
        <w:textAlignment w:val="auto"/>
        <w:rPr>
          <w:rFonts w:hint="eastAsia" w:ascii="宋体" w:hAnsi="Courier New" w:eastAsia="宋体" w:cs="Times New Roman"/>
          <w:b w:val="0"/>
          <w:bCs/>
          <w:strike w:val="0"/>
          <w:dstrike w:val="0"/>
          <w:highlight w:val="none"/>
        </w:rPr>
      </w:pPr>
      <w:r>
        <w:rPr>
          <w:rFonts w:hint="eastAsia"/>
          <w:b w:val="0"/>
          <w:bCs/>
        </w:rPr>
        <w:t>近三年内在经营活动中无与本项目有关的违法及重大违规情况</w:t>
      </w:r>
      <w:r>
        <w:rPr>
          <w:rFonts w:hint="eastAsia"/>
          <w:b w:val="0"/>
          <w:bCs/>
          <w:lang w:eastAsia="zh-CN"/>
        </w:rPr>
        <w:t>；</w:t>
      </w:r>
    </w:p>
    <w:p w14:paraId="7F71A33C">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投标人没有被列入招标人处《黑名单》（《黑名单》指投标人与招标人在以往或正在进行的合作中，存在招标人认为的违反合同约定或违反法律法规等的失信行为）的；</w:t>
      </w:r>
    </w:p>
    <w:p w14:paraId="45902C3C">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公司经营范围满足招标项目需求；</w:t>
      </w:r>
    </w:p>
    <w:p w14:paraId="46FDC1F4">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投标人须具有履行招标文件所有设备、专业技术等要求的能力；</w:t>
      </w:r>
    </w:p>
    <w:p w14:paraId="10068469">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投标人须有依法缴纳税收和社会保障资金的良好记录；</w:t>
      </w:r>
    </w:p>
    <w:p w14:paraId="651270A8">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具有本次招标货物的供货、安装、售后服务等的相应资质；</w:t>
      </w:r>
    </w:p>
    <w:p w14:paraId="274E20B1">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投标人须负责提供合理的便于运输的包装物，并承担相关费用</w:t>
      </w:r>
      <w:r>
        <w:rPr>
          <w:rFonts w:hint="eastAsia"/>
          <w:b w:val="0"/>
          <w:bCs/>
          <w:strike w:val="0"/>
          <w:dstrike w:val="0"/>
          <w:highlight w:val="none"/>
          <w:lang w:eastAsia="zh-CN"/>
        </w:rPr>
        <w:t>；</w:t>
      </w:r>
    </w:p>
    <w:p w14:paraId="7B48E8FC">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投标人须认可招标人的工作指令，包括节、假日能正常开展工作的要求。</w:t>
      </w:r>
    </w:p>
    <w:p w14:paraId="316F538A">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ascii="宋体" w:hAnsi="Courier New" w:eastAsia="宋体" w:cs="Times New Roman"/>
          <w:b w:val="0"/>
          <w:bCs/>
          <w:strike w:val="0"/>
          <w:dstrike w:val="0"/>
          <w:highlight w:val="none"/>
          <w:lang w:val="en-US" w:eastAsia="zh-CN"/>
        </w:rPr>
        <w:t>拟投标人的直接或间接股东、法定代表人、董事、监事、高管非重汽员工及其亲属；</w:t>
      </w:r>
    </w:p>
    <w:p w14:paraId="371EFEB6">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投标人必须是最终投标、签订合同的单位，不得以任何理由将已中标项目以任何形式转包或者分包给其他单位</w:t>
      </w:r>
      <w:r>
        <w:rPr>
          <w:rFonts w:hint="eastAsia"/>
          <w:b w:val="0"/>
          <w:bCs/>
          <w:strike w:val="0"/>
          <w:dstrike w:val="0"/>
          <w:highlight w:val="none"/>
          <w:lang w:eastAsia="zh-CN"/>
        </w:rPr>
        <w:t>；</w:t>
      </w:r>
    </w:p>
    <w:p w14:paraId="3B1E6D00">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bCs w:val="0"/>
          <w:strike w:val="0"/>
          <w:dstrike w:val="0"/>
          <w:color w:val="FF0000"/>
          <w:highlight w:val="none"/>
        </w:rPr>
      </w:pPr>
      <w:r>
        <w:rPr>
          <w:rFonts w:hint="eastAsia"/>
          <w:b w:val="0"/>
          <w:bCs/>
          <w:strike w:val="0"/>
          <w:dstrike w:val="0"/>
          <w:highlight w:val="none"/>
        </w:rPr>
        <w:t>本次招标项目</w:t>
      </w:r>
      <w:r>
        <w:rPr>
          <w:rFonts w:hint="eastAsia"/>
          <w:b w:val="0"/>
          <w:bCs/>
          <w:strike w:val="0"/>
          <w:dstrike w:val="0"/>
          <w:highlight w:val="none"/>
          <w:u w:val="none"/>
        </w:rPr>
        <w:t>不接受</w:t>
      </w:r>
      <w:r>
        <w:rPr>
          <w:rFonts w:hint="eastAsia"/>
          <w:b w:val="0"/>
          <w:bCs/>
          <w:strike w:val="0"/>
          <w:dstrike w:val="0"/>
          <w:highlight w:val="none"/>
        </w:rPr>
        <w:t>联合体投标</w:t>
      </w:r>
      <w:r>
        <w:rPr>
          <w:rFonts w:hint="eastAsia"/>
          <w:b w:val="0"/>
          <w:bCs/>
          <w:strike w:val="0"/>
          <w:dstrike w:val="0"/>
          <w:highlight w:val="none"/>
          <w:lang w:eastAsia="zh-CN"/>
        </w:rPr>
        <w:t>；</w:t>
      </w:r>
    </w:p>
    <w:p w14:paraId="3339A7C9">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法律、行政法规规定的其他条件</w:t>
      </w:r>
      <w:r>
        <w:rPr>
          <w:rFonts w:hint="eastAsia"/>
          <w:b w:val="0"/>
          <w:bCs/>
          <w:strike w:val="0"/>
          <w:dstrike w:val="0"/>
          <w:highlight w:val="none"/>
          <w:lang w:eastAsia="zh-CN"/>
        </w:rPr>
        <w:t>；</w:t>
      </w:r>
    </w:p>
    <w:p w14:paraId="51CA03DF">
      <w:pPr>
        <w:pStyle w:val="6"/>
        <w:spacing w:line="360" w:lineRule="auto"/>
        <w:ind w:firstLine="420" w:firstLineChars="200"/>
        <w:rPr>
          <w:rFonts w:hint="eastAsia" w:ascii="宋体" w:hAnsi="Courier New" w:eastAsia="宋体" w:cs="Times New Roman"/>
          <w:kern w:val="2"/>
          <w:sz w:val="21"/>
          <w:lang w:val="en-US" w:eastAsia="zh-CN" w:bidi="ar-SA"/>
        </w:rPr>
      </w:pPr>
      <w:r>
        <w:rPr>
          <w:rFonts w:hint="eastAsia"/>
          <w:b w:val="0"/>
          <w:bCs/>
          <w:strike w:val="0"/>
          <w:dstrike w:val="0"/>
          <w:highlight w:val="none"/>
          <w:lang w:val="en-US" w:eastAsia="zh-CN"/>
        </w:rPr>
        <w:t>投标人</w:t>
      </w:r>
      <w:r>
        <w:rPr>
          <w:rFonts w:hint="eastAsia"/>
          <w:b w:val="0"/>
          <w:bCs/>
          <w:strike w:val="0"/>
          <w:dstrike w:val="0"/>
          <w:highlight w:val="none"/>
        </w:rPr>
        <w:t>是招标</w:t>
      </w:r>
      <w:r>
        <w:rPr>
          <w:rFonts w:hint="eastAsia"/>
          <w:b w:val="0"/>
          <w:bCs/>
          <w:strike w:val="0"/>
          <w:dstrike w:val="0"/>
          <w:highlight w:val="none"/>
          <w:lang w:val="en-US" w:eastAsia="zh-CN"/>
        </w:rPr>
        <w:t>服务</w:t>
      </w:r>
      <w:r>
        <w:rPr>
          <w:rFonts w:hint="eastAsia"/>
          <w:b w:val="0"/>
          <w:bCs/>
          <w:strike w:val="0"/>
          <w:dstrike w:val="0"/>
          <w:highlight w:val="none"/>
        </w:rPr>
        <w:t>的</w:t>
      </w:r>
      <w:r>
        <w:rPr>
          <w:rFonts w:hint="eastAsia"/>
          <w:b w:val="0"/>
          <w:bCs/>
          <w:strike w:val="0"/>
          <w:dstrike w:val="0"/>
          <w:highlight w:val="none"/>
          <w:lang w:val="en-US" w:eastAsia="zh-CN"/>
        </w:rPr>
        <w:t>直接提供者，不接受代理投标。</w:t>
      </w:r>
    </w:p>
    <w:p w14:paraId="64CDEC52">
      <w:pPr>
        <w:pStyle w:val="6"/>
        <w:spacing w:line="360" w:lineRule="auto"/>
        <w:ind w:firstLine="422" w:firstLineChars="200"/>
        <w:rPr>
          <w:rFonts w:hint="eastAsia"/>
          <w:b/>
          <w:highlight w:val="none"/>
        </w:rPr>
      </w:pPr>
      <w:r>
        <w:rPr>
          <w:rFonts w:hint="eastAsia"/>
          <w:b/>
        </w:rPr>
        <w:t>2.投标文件格式</w:t>
      </w:r>
    </w:p>
    <w:p w14:paraId="64A790F7">
      <w:pPr>
        <w:pStyle w:val="6"/>
        <w:spacing w:line="360" w:lineRule="auto"/>
        <w:ind w:firstLine="422" w:firstLineChars="200"/>
        <w:rPr>
          <w:rFonts w:hint="eastAsia"/>
          <w:b/>
        </w:rPr>
      </w:pPr>
      <w:r>
        <w:rPr>
          <w:rFonts w:hint="eastAsia"/>
          <w:b/>
        </w:rPr>
        <w:t>（1）资质文件</w:t>
      </w:r>
    </w:p>
    <w:p w14:paraId="0B30A1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bookmarkStart w:id="1" w:name="_Toc47976601"/>
      <w:r>
        <w:rPr>
          <w:rFonts w:hint="eastAsia"/>
          <w:b w:val="0"/>
          <w:bCs/>
        </w:rPr>
        <w:t>1.1营业执照副本复印件（需加盖公章）；</w:t>
      </w:r>
    </w:p>
    <w:p w14:paraId="63B442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1.2投标函；</w:t>
      </w:r>
    </w:p>
    <w:p w14:paraId="155E58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1.3法定代表人授权书；法定代表人参加投标的，提供法人身份证明文件即可；被授权人参加投标的，需提供法定代表人授权委托书（含法人身份证和被授权人身份证正反面复印件）和被授权人近6个月及以上在授权单位的社保缴纳证明；</w:t>
      </w:r>
    </w:p>
    <w:p w14:paraId="614B6A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1.4出具近</w:t>
      </w:r>
      <w:r>
        <w:rPr>
          <w:rFonts w:hint="eastAsia"/>
          <w:b w:val="0"/>
          <w:bCs/>
          <w:lang w:val="en-US" w:eastAsia="zh-CN"/>
        </w:rPr>
        <w:t>三</w:t>
      </w:r>
      <w:r>
        <w:rPr>
          <w:rFonts w:hint="eastAsia"/>
          <w:b w:val="0"/>
          <w:bCs/>
        </w:rPr>
        <w:t>年的财务审计报告，并加盖公章，包括但不限于报告页、经审计的资产负债表、利润表、现金流量表</w:t>
      </w:r>
      <w:r>
        <w:rPr>
          <w:rFonts w:hint="eastAsia"/>
          <w:b w:val="0"/>
          <w:bCs/>
          <w:lang w:eastAsia="zh-CN"/>
        </w:rPr>
        <w:t>。</w:t>
      </w:r>
      <w:r>
        <w:rPr>
          <w:rFonts w:hint="eastAsia"/>
          <w:b w:val="0"/>
          <w:bCs/>
        </w:rPr>
        <w:t>（如投标人公司没有经审计的财务报告，可提供加盖公章的近</w:t>
      </w:r>
      <w:r>
        <w:rPr>
          <w:rFonts w:hint="eastAsia"/>
          <w:b w:val="0"/>
          <w:bCs/>
          <w:lang w:val="en-US" w:eastAsia="zh-CN"/>
        </w:rPr>
        <w:t>三</w:t>
      </w:r>
      <w:r>
        <w:rPr>
          <w:rFonts w:hint="eastAsia"/>
          <w:b w:val="0"/>
          <w:bCs/>
        </w:rPr>
        <w:t>年财务报表，包括但不限于资产负债表、利润表、现金流量表）</w:t>
      </w:r>
      <w:r>
        <w:rPr>
          <w:rFonts w:hint="eastAsia"/>
          <w:b w:val="0"/>
          <w:bCs/>
          <w:lang w:eastAsia="zh-CN"/>
        </w:rPr>
        <w:t>，</w:t>
      </w:r>
      <w:r>
        <w:rPr>
          <w:rFonts w:hint="eastAsia"/>
          <w:b w:val="0"/>
          <w:bCs/>
        </w:rPr>
        <w:t>必须连续</w:t>
      </w:r>
      <w:r>
        <w:rPr>
          <w:rFonts w:hint="eastAsia"/>
          <w:b w:val="0"/>
          <w:bCs/>
          <w:lang w:eastAsia="zh-CN"/>
        </w:rPr>
        <w:t>；</w:t>
      </w:r>
    </w:p>
    <w:p w14:paraId="3385DB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1.5近三年内在经营活动中无与本项目有关的违法及重大违规行为的声明；</w:t>
      </w:r>
    </w:p>
    <w:p w14:paraId="3E0884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1.6投标人在国家企业信用信息公示系统中无与本项目有关的行政处罚、经营异常和失信信息的声明；</w:t>
      </w:r>
    </w:p>
    <w:p w14:paraId="475108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1.7企业对外担保说明（写明贵单位对外有无对外担保和质押业务，需加盖公章）；</w:t>
      </w:r>
    </w:p>
    <w:p w14:paraId="572AE4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w:t>
      </w:r>
      <w:r>
        <w:rPr>
          <w:rFonts w:hint="eastAsia"/>
          <w:b w:val="0"/>
          <w:bCs/>
          <w:lang w:val="en-US" w:eastAsia="zh-CN"/>
        </w:rPr>
        <w:t>8</w:t>
      </w:r>
      <w:r>
        <w:rPr>
          <w:rFonts w:hint="eastAsia"/>
          <w:b w:val="0"/>
          <w:bCs/>
        </w:rPr>
        <w:t>企业最近半年的完税证明，并附年度纳税信用评价信息（可从电子税务局查询截图）；</w:t>
      </w:r>
    </w:p>
    <w:p w14:paraId="097D2D9A">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b w:val="0"/>
          <w:bCs/>
        </w:rPr>
      </w:pPr>
      <w:r>
        <w:rPr>
          <w:rFonts w:hint="eastAsia"/>
          <w:b w:val="0"/>
          <w:bCs/>
        </w:rPr>
        <w:t>1.</w:t>
      </w:r>
      <w:r>
        <w:rPr>
          <w:rFonts w:hint="eastAsia"/>
          <w:b w:val="0"/>
          <w:bCs/>
          <w:lang w:val="en-US" w:eastAsia="zh-CN"/>
        </w:rPr>
        <w:t>9</w:t>
      </w:r>
      <w:r>
        <w:rPr>
          <w:rFonts w:hint="eastAsia"/>
          <w:b w:val="0"/>
          <w:bCs/>
        </w:rPr>
        <w:t xml:space="preserve"> 202</w:t>
      </w:r>
      <w:r>
        <w:rPr>
          <w:rFonts w:hint="eastAsia"/>
          <w:b w:val="0"/>
          <w:bCs/>
          <w:lang w:val="en-US" w:eastAsia="zh-CN"/>
        </w:rPr>
        <w:t>2</w:t>
      </w:r>
      <w:r>
        <w:rPr>
          <w:rFonts w:hint="eastAsia"/>
          <w:b w:val="0"/>
          <w:bCs/>
        </w:rPr>
        <w:t>年1月1日至今，企业近三年同类项目业绩证明，须提供用户清单、采购合同复印件；</w:t>
      </w:r>
    </w:p>
    <w:p w14:paraId="25EA88AC">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b w:val="0"/>
          <w:bCs/>
          <w:lang w:val="en-US" w:eastAsia="zh-CN"/>
        </w:rPr>
      </w:pPr>
      <w:r>
        <w:rPr>
          <w:rFonts w:hint="eastAsia"/>
          <w:b w:val="0"/>
          <w:bCs/>
        </w:rPr>
        <w:t>1.1</w:t>
      </w:r>
      <w:r>
        <w:rPr>
          <w:rFonts w:hint="eastAsia"/>
          <w:b w:val="0"/>
          <w:bCs/>
          <w:lang w:val="en-US" w:eastAsia="zh-CN"/>
        </w:rPr>
        <w:t>0</w:t>
      </w:r>
      <w:r>
        <w:rPr>
          <w:rFonts w:hint="eastAsia"/>
          <w:b w:val="0"/>
          <w:bCs/>
        </w:rPr>
        <w:t>投标保证金缴纳凭证，同时正文描述付款账号、户名、开户行名称、开户行行号、保证金金额。</w:t>
      </w:r>
      <w:r>
        <w:rPr>
          <w:rFonts w:hint="eastAsia" w:ascii="宋体" w:hAnsi="宋体" w:eastAsia="宋体" w:cs="宋体"/>
          <w:b w:val="0"/>
          <w:bCs w:val="0"/>
          <w:color w:val="000000"/>
          <w:kern w:val="2"/>
          <w:sz w:val="21"/>
          <w:szCs w:val="21"/>
          <w:highlight w:val="none"/>
          <w:u w:val="none"/>
          <w:lang w:val="en-US" w:eastAsia="zh-CN" w:bidi="ar"/>
        </w:rPr>
        <w:t>（</w:t>
      </w:r>
      <w:r>
        <w:rPr>
          <w:rFonts w:hint="eastAsia" w:ascii="宋体" w:hAnsi="宋体" w:cs="宋体"/>
          <w:b w:val="0"/>
          <w:bCs w:val="0"/>
          <w:color w:val="000000"/>
          <w:kern w:val="2"/>
          <w:sz w:val="21"/>
          <w:szCs w:val="21"/>
          <w:highlight w:val="none"/>
          <w:u w:val="none"/>
          <w:lang w:val="en-US" w:eastAsia="zh-CN" w:bidi="ar"/>
        </w:rPr>
        <w:t>应标时不做要求，</w:t>
      </w:r>
      <w:r>
        <w:rPr>
          <w:rFonts w:hint="eastAsia" w:ascii="宋体" w:hAnsi="宋体" w:eastAsia="宋体" w:cs="宋体"/>
          <w:b w:val="0"/>
          <w:bCs w:val="0"/>
          <w:sz w:val="21"/>
          <w:szCs w:val="21"/>
          <w:highlight w:val="none"/>
          <w:u w:val="none"/>
          <w:lang w:val="en-US" w:eastAsia="zh-CN"/>
        </w:rPr>
        <w:t>投标时需随投标资质文件一起上传）</w:t>
      </w:r>
    </w:p>
    <w:bookmarkEnd w:id="1"/>
    <w:p w14:paraId="609F8F44">
      <w:pPr>
        <w:pStyle w:val="6"/>
        <w:spacing w:line="360" w:lineRule="auto"/>
        <w:ind w:firstLine="422" w:firstLineChars="200"/>
        <w:rPr>
          <w:rFonts w:hint="eastAsia"/>
          <w:b/>
        </w:rPr>
      </w:pPr>
      <w:r>
        <w:rPr>
          <w:rFonts w:hint="eastAsia"/>
          <w:b/>
        </w:rPr>
        <w:t>(</w:t>
      </w:r>
      <w:r>
        <w:rPr>
          <w:rFonts w:hint="eastAsia"/>
          <w:b/>
          <w:lang w:val="en-US" w:eastAsia="zh-CN"/>
        </w:rPr>
        <w:t>2</w:t>
      </w:r>
      <w:r>
        <w:rPr>
          <w:rFonts w:hint="eastAsia"/>
          <w:b/>
        </w:rPr>
        <w:t>) 商务标</w:t>
      </w:r>
    </w:p>
    <w:p w14:paraId="4F5BA4F9">
      <w:pPr>
        <w:pStyle w:val="6"/>
        <w:spacing w:line="360" w:lineRule="auto"/>
        <w:ind w:firstLine="422" w:firstLineChars="200"/>
        <w:rPr>
          <w:b/>
          <w:bCs w:val="0"/>
          <w:highlight w:val="none"/>
        </w:rPr>
      </w:pPr>
      <w:r>
        <w:rPr>
          <w:rFonts w:hint="eastAsia"/>
          <w:b/>
          <w:bCs w:val="0"/>
          <w:highlight w:val="none"/>
          <w:lang w:val="en-US" w:eastAsia="zh-CN"/>
        </w:rPr>
        <w:t>1、</w:t>
      </w:r>
      <w:r>
        <w:rPr>
          <w:rFonts w:hint="eastAsia"/>
          <w:b/>
          <w:bCs w:val="0"/>
          <w:highlight w:val="none"/>
        </w:rPr>
        <w:t>投标函；</w:t>
      </w:r>
    </w:p>
    <w:p w14:paraId="01B22EC5">
      <w:pPr>
        <w:pStyle w:val="6"/>
        <w:spacing w:line="360" w:lineRule="auto"/>
        <w:ind w:firstLine="422" w:firstLineChars="200"/>
        <w:rPr>
          <w:b/>
          <w:bCs w:val="0"/>
          <w:highlight w:val="none"/>
        </w:rPr>
      </w:pPr>
      <w:r>
        <w:rPr>
          <w:rFonts w:hint="eastAsia"/>
          <w:b/>
          <w:bCs w:val="0"/>
          <w:highlight w:val="none"/>
          <w:lang w:val="en-US" w:eastAsia="zh-CN"/>
        </w:rPr>
        <w:t>2、</w:t>
      </w:r>
      <w:r>
        <w:rPr>
          <w:rFonts w:hint="eastAsia"/>
          <w:b/>
          <w:bCs w:val="0"/>
          <w:highlight w:val="none"/>
        </w:rPr>
        <w:t>开标一览表；</w:t>
      </w:r>
    </w:p>
    <w:p w14:paraId="36F12D36">
      <w:pPr>
        <w:pStyle w:val="6"/>
        <w:spacing w:line="360" w:lineRule="auto"/>
        <w:ind w:firstLine="422" w:firstLineChars="200"/>
        <w:rPr>
          <w:rFonts w:hint="eastAsia" w:hAnsi="Courier New" w:eastAsia="宋体" w:cs="Times New Roman"/>
          <w:bCs/>
          <w:highlight w:val="none"/>
          <w:lang w:eastAsia="zh-CN"/>
        </w:rPr>
      </w:pPr>
      <w:r>
        <w:rPr>
          <w:rFonts w:hint="eastAsia" w:hAnsi="Courier New" w:eastAsia="宋体" w:cs="Times New Roman"/>
          <w:b/>
          <w:bCs w:val="0"/>
          <w:highlight w:val="none"/>
          <w:lang w:val="en-US" w:eastAsia="zh-CN"/>
        </w:rPr>
        <w:t>3、</w:t>
      </w:r>
      <w:r>
        <w:rPr>
          <w:rFonts w:hint="eastAsia" w:hAnsi="Courier New" w:eastAsia="宋体" w:cs="Times New Roman"/>
          <w:b/>
          <w:bCs w:val="0"/>
          <w:highlight w:val="none"/>
        </w:rPr>
        <w:t>商务条款偏离表</w:t>
      </w:r>
      <w:r>
        <w:rPr>
          <w:rFonts w:hint="eastAsia" w:hAnsi="Courier New" w:eastAsia="宋体" w:cs="Times New Roman"/>
          <w:b/>
          <w:bCs w:val="0"/>
          <w:highlight w:val="none"/>
          <w:lang w:eastAsia="zh-CN"/>
        </w:rPr>
        <w:t>；</w:t>
      </w:r>
    </w:p>
    <w:p w14:paraId="5645C824">
      <w:pPr>
        <w:pStyle w:val="6"/>
        <w:spacing w:line="360" w:lineRule="auto"/>
        <w:ind w:firstLine="422" w:firstLineChars="200"/>
        <w:rPr>
          <w:b/>
        </w:rPr>
      </w:pPr>
      <w:r>
        <w:rPr>
          <w:rFonts w:hint="eastAsia"/>
          <w:b/>
          <w:lang w:val="en-US" w:eastAsia="zh-CN"/>
        </w:rPr>
        <w:t>4</w:t>
      </w:r>
      <w:r>
        <w:rPr>
          <w:rFonts w:hint="eastAsia"/>
          <w:b/>
          <w:lang w:eastAsia="zh-CN"/>
        </w:rPr>
        <w:t>、</w:t>
      </w:r>
      <w:r>
        <w:rPr>
          <w:rFonts w:hint="eastAsia"/>
          <w:b/>
        </w:rPr>
        <w:t>报价：</w:t>
      </w:r>
    </w:p>
    <w:p w14:paraId="24A5AFE8">
      <w:pPr>
        <w:pStyle w:val="6"/>
        <w:spacing w:line="360" w:lineRule="auto"/>
        <w:ind w:firstLine="420" w:firstLineChars="200"/>
      </w:pPr>
      <w:r>
        <w:rPr>
          <w:rFonts w:hint="eastAsia" w:hAnsi="宋体"/>
        </w:rPr>
        <w:t>⑴</w:t>
      </w:r>
      <w:r>
        <w:rPr>
          <w:rFonts w:hint="eastAsia"/>
        </w:rPr>
        <w:t>本次招标为</w:t>
      </w:r>
      <w:r>
        <w:rPr>
          <w:rFonts w:hint="eastAsia"/>
          <w:lang w:val="en-US" w:eastAsia="zh-CN"/>
        </w:rPr>
        <w:t>竞争性谈判</w:t>
      </w:r>
      <w:r>
        <w:rPr>
          <w:rFonts w:hint="eastAsia"/>
        </w:rPr>
        <w:t>，报价应为：投标方与招标人或其指派的答疑人员充分沟通确认基础上，由投标人在满足招标人所提出的、与本项目所有相关环节有关的所有费用；</w:t>
      </w:r>
    </w:p>
    <w:p w14:paraId="462EAF85">
      <w:pPr>
        <w:pStyle w:val="6"/>
        <w:spacing w:line="360" w:lineRule="auto"/>
        <w:ind w:firstLine="420" w:firstLineChars="200"/>
        <w:rPr>
          <w:rFonts w:hint="default" w:eastAsia="宋体"/>
          <w:highlight w:val="none"/>
          <w:lang w:val="en-US" w:eastAsia="zh-CN"/>
        </w:rPr>
      </w:pPr>
      <w:r>
        <w:rPr>
          <w:rFonts w:hint="eastAsia" w:ascii="宋体" w:hAnsi="宋体"/>
          <w:highlight w:val="none"/>
        </w:rPr>
        <w:t>⑵</w:t>
      </w:r>
      <w:r>
        <w:rPr>
          <w:rFonts w:hint="eastAsia" w:ascii="宋体" w:hAnsi="宋体"/>
          <w:highlight w:val="none"/>
          <w:lang w:val="en-US" w:eastAsia="zh-CN"/>
        </w:rPr>
        <w:t>投标方报价上限</w:t>
      </w:r>
      <w:r>
        <w:rPr>
          <w:rFonts w:hint="eastAsia" w:ascii="宋体" w:hAnsi="宋体"/>
          <w:b/>
          <w:bCs/>
          <w:highlight w:val="none"/>
          <w:lang w:val="en-US" w:eastAsia="zh-CN"/>
        </w:rPr>
        <w:t>1.782</w:t>
      </w:r>
      <w:r>
        <w:rPr>
          <w:rFonts w:hint="eastAsia" w:ascii="宋体" w:hAnsi="宋体"/>
          <w:highlight w:val="none"/>
          <w:lang w:val="en-US" w:eastAsia="zh-CN"/>
        </w:rPr>
        <w:t>万元（含税）；</w:t>
      </w:r>
    </w:p>
    <w:p w14:paraId="180D368F">
      <w:pPr>
        <w:spacing w:line="360" w:lineRule="auto"/>
        <w:ind w:left="420" w:leftChars="200" w:firstLine="0" w:firstLineChars="0"/>
        <w:rPr>
          <w:rFonts w:hint="eastAsia" w:ascii="宋体" w:hAnsi="Courier New" w:eastAsia="宋体"/>
          <w:highlight w:val="none"/>
          <w:lang w:eastAsia="zh-CN"/>
        </w:rPr>
      </w:pPr>
      <w:r>
        <w:rPr>
          <w:rFonts w:hint="eastAsia" w:ascii="宋体" w:hAnsi="宋体"/>
          <w:highlight w:val="none"/>
        </w:rPr>
        <w:t>⑶</w:t>
      </w:r>
      <w:r>
        <w:rPr>
          <w:rFonts w:hint="eastAsia" w:ascii="宋体" w:hAnsi="Courier New"/>
          <w:highlight w:val="none"/>
        </w:rPr>
        <w:t>所有报价货币单位为：</w:t>
      </w:r>
    </w:p>
    <w:p w14:paraId="13EFA712">
      <w:pPr>
        <w:spacing w:line="360" w:lineRule="auto"/>
        <w:ind w:left="420" w:leftChars="200" w:firstLine="0" w:firstLineChars="0"/>
        <w:rPr>
          <w:rFonts w:hint="eastAsia" w:ascii="宋体" w:hAnsi="Courier New"/>
          <w:highlight w:val="none"/>
          <w:lang w:eastAsia="zh-CN"/>
        </w:rPr>
      </w:pPr>
      <w:r>
        <w:rPr>
          <w:rFonts w:hint="eastAsia" w:ascii="宋体" w:hAnsi="Courier New"/>
          <w:highlight w:val="none"/>
          <w:lang w:val="en-US" w:eastAsia="zh-CN"/>
        </w:rPr>
        <w:t>合计项目总价</w:t>
      </w:r>
      <w:r>
        <w:rPr>
          <w:rFonts w:hint="eastAsia" w:ascii="宋体" w:hAnsi="Courier New"/>
          <w:highlight w:val="none"/>
          <w:u w:val="single"/>
          <w:lang w:val="en-US" w:eastAsia="zh-CN"/>
        </w:rPr>
        <w:t xml:space="preserve">    </w:t>
      </w:r>
      <w:r>
        <w:rPr>
          <w:rFonts w:hint="eastAsia" w:ascii="宋体" w:hAnsi="Courier New"/>
          <w:highlight w:val="none"/>
        </w:rPr>
        <w:t>元（人民币，未税）；税率</w:t>
      </w:r>
      <w:r>
        <w:rPr>
          <w:rFonts w:hint="eastAsia" w:ascii="宋体" w:hAnsi="Courier New"/>
          <w:highlight w:val="none"/>
          <w:u w:val="single"/>
          <w:lang w:val="en-US" w:eastAsia="zh-CN"/>
        </w:rPr>
        <w:t xml:space="preserve">   </w:t>
      </w:r>
      <w:r>
        <w:rPr>
          <w:rFonts w:hint="eastAsia" w:ascii="宋体" w:hAnsi="Courier New"/>
          <w:highlight w:val="none"/>
        </w:rPr>
        <w:t>；</w:t>
      </w:r>
      <w:r>
        <w:rPr>
          <w:rFonts w:hint="eastAsia" w:ascii="宋体" w:hAnsi="Courier New"/>
          <w:highlight w:val="none"/>
          <w:u w:val="single"/>
          <w:lang w:val="en-US" w:eastAsia="zh-CN"/>
        </w:rPr>
        <w:t xml:space="preserve">   </w:t>
      </w:r>
      <w:r>
        <w:rPr>
          <w:rFonts w:hint="eastAsia" w:ascii="宋体" w:hAnsi="Courier New"/>
          <w:highlight w:val="none"/>
        </w:rPr>
        <w:t>元（人民币</w:t>
      </w:r>
      <w:r>
        <w:rPr>
          <w:rFonts w:hint="eastAsia" w:ascii="宋体" w:hAnsi="Courier New"/>
          <w:highlight w:val="none"/>
          <w:lang w:eastAsia="zh-CN"/>
        </w:rPr>
        <w:t>，</w:t>
      </w:r>
      <w:r>
        <w:rPr>
          <w:rFonts w:hint="eastAsia" w:ascii="宋体" w:hAnsi="Courier New"/>
          <w:highlight w:val="none"/>
          <w:lang w:val="en-US" w:eastAsia="zh-CN"/>
        </w:rPr>
        <w:t>含税</w:t>
      </w:r>
      <w:r>
        <w:rPr>
          <w:rFonts w:hint="eastAsia" w:ascii="宋体" w:hAnsi="Courier New"/>
          <w:highlight w:val="none"/>
        </w:rPr>
        <w:t>）</w:t>
      </w:r>
      <w:r>
        <w:rPr>
          <w:rFonts w:hint="eastAsia" w:ascii="宋体" w:hAnsi="Courier New"/>
          <w:highlight w:val="none"/>
          <w:lang w:eastAsia="zh-CN"/>
        </w:rPr>
        <w:t>。</w:t>
      </w:r>
    </w:p>
    <w:p w14:paraId="55C76DB3">
      <w:pPr>
        <w:spacing w:line="360" w:lineRule="auto"/>
        <w:ind w:firstLine="420" w:firstLineChars="200"/>
        <w:rPr>
          <w:rFonts w:hint="eastAsia" w:hAnsi="宋体"/>
          <w:highlight w:val="yellow"/>
          <w:lang w:eastAsia="zh-CN"/>
        </w:rPr>
      </w:pPr>
      <w:r>
        <w:rPr>
          <w:rFonts w:hint="eastAsia" w:hAnsi="宋体"/>
        </w:rPr>
        <w:t>⑷</w:t>
      </w:r>
      <w:r>
        <w:rPr>
          <w:rFonts w:hint="eastAsia" w:hAnsi="宋体"/>
          <w:highlight w:val="none"/>
        </w:rPr>
        <w:t>原则上招标人将与中标人签订</w:t>
      </w:r>
      <w:r>
        <w:rPr>
          <w:rFonts w:hint="eastAsia" w:hAnsi="宋体"/>
          <w:highlight w:val="none"/>
          <w:lang w:val="en-US" w:eastAsia="zh-CN"/>
        </w:rPr>
        <w:t>合同</w:t>
      </w:r>
      <w:r>
        <w:rPr>
          <w:rFonts w:hint="eastAsia" w:hAnsi="宋体"/>
          <w:highlight w:val="none"/>
        </w:rPr>
        <w:t>。鉴于此，投标人应酌情考虑总体能力，本着诚信合作的态度，向招标人提供真实、合理的投标报价</w:t>
      </w:r>
      <w:r>
        <w:rPr>
          <w:rFonts w:hint="eastAsia" w:hAnsi="宋体"/>
          <w:highlight w:val="none"/>
          <w:lang w:eastAsia="zh-CN"/>
        </w:rPr>
        <w:t>；</w:t>
      </w:r>
    </w:p>
    <w:p w14:paraId="4DA2F9A0">
      <w:pPr>
        <w:spacing w:line="360" w:lineRule="auto"/>
        <w:ind w:firstLine="420" w:firstLineChars="200"/>
        <w:rPr>
          <w:rFonts w:hint="eastAsia" w:hAnsi="宋体"/>
          <w:highlight w:val="none"/>
        </w:rPr>
      </w:pPr>
      <w:r>
        <w:rPr>
          <w:rFonts w:hint="eastAsia" w:hAnsi="宋体"/>
          <w:highlight w:val="none"/>
        </w:rPr>
        <w:t>⑸投标价格含合同签订的委托检验检测、测试报告编制、提供中文版校验报告及合同包含的所有风险、责任等各项应有费用。评标小组有权根据报价情况要求所有投标人进行澄清。</w:t>
      </w:r>
    </w:p>
    <w:p w14:paraId="16B2F163">
      <w:pPr>
        <w:spacing w:line="360" w:lineRule="auto"/>
        <w:ind w:firstLine="420" w:firstLineChars="200"/>
        <w:rPr>
          <w:rFonts w:hint="eastAsia" w:hAnsi="宋体"/>
          <w:highlight w:val="none"/>
        </w:rPr>
      </w:pPr>
      <w:r>
        <w:rPr>
          <w:rFonts w:hint="eastAsia" w:hAnsi="宋体"/>
          <w:highlight w:val="none"/>
        </w:rPr>
        <w:t>⑹投标人所提供的单价和合价在合同实施期间不因市场变化因素而变动，投标人在计算报价时可考虑一定的风险系数；凡漏项报价者，中标后不得调整价格。</w:t>
      </w:r>
      <w:r>
        <w:rPr>
          <w:rFonts w:hint="eastAsia" w:hAnsi="宋体"/>
          <w:highlight w:val="none"/>
          <w:lang w:eastAsia="zh-CN"/>
        </w:rPr>
        <w:t>（</w:t>
      </w:r>
      <w:r>
        <w:rPr>
          <w:rFonts w:hint="eastAsia" w:hAnsi="宋体"/>
          <w:highlight w:val="none"/>
        </w:rPr>
        <w:t>报价应明确含税价格，不含税价格以及开具发票税率）。</w:t>
      </w:r>
    </w:p>
    <w:p w14:paraId="052ECD14">
      <w:pPr>
        <w:spacing w:line="360" w:lineRule="auto"/>
        <w:ind w:firstLine="420" w:firstLineChars="200"/>
        <w:rPr>
          <w:rFonts w:hint="eastAsia" w:hAnsi="宋体" w:eastAsia="宋体"/>
          <w:highlight w:val="none"/>
          <w:lang w:val="en-US" w:eastAsia="zh-CN"/>
        </w:rPr>
      </w:pPr>
      <w:r>
        <w:rPr>
          <w:rFonts w:hint="eastAsia" w:hAnsi="宋体"/>
          <w:highlight w:val="none"/>
        </w:rPr>
        <w:t>如投标人不认可、不接受</w:t>
      </w:r>
      <w:r>
        <w:rPr>
          <w:rFonts w:hint="eastAsia" w:hAnsi="宋体"/>
          <w:highlight w:val="none"/>
          <w:lang w:val="en-US" w:eastAsia="zh-CN"/>
        </w:rPr>
        <w:t>付款方式</w:t>
      </w:r>
      <w:r>
        <w:rPr>
          <w:rFonts w:hint="eastAsia" w:hAnsi="宋体"/>
          <w:highlight w:val="none"/>
        </w:rPr>
        <w:t>，则须在本标书开标一览表中注明，招标人将视之为主动弃标</w:t>
      </w:r>
      <w:r>
        <w:rPr>
          <w:rFonts w:hint="eastAsia" w:hAnsi="宋体"/>
          <w:highlight w:val="none"/>
          <w:lang w:eastAsia="zh-CN"/>
        </w:rPr>
        <w:t>。</w:t>
      </w:r>
    </w:p>
    <w:p w14:paraId="106FB2E2">
      <w:pPr>
        <w:pStyle w:val="6"/>
        <w:numPr>
          <w:ilvl w:val="0"/>
          <w:numId w:val="0"/>
        </w:numPr>
        <w:spacing w:line="360" w:lineRule="auto"/>
        <w:ind w:firstLine="422" w:firstLineChars="200"/>
        <w:rPr>
          <w:rFonts w:hint="eastAsia" w:ascii="Calibri" w:hAnsi="Calibri"/>
          <w:highlight w:val="none"/>
        </w:rPr>
      </w:pPr>
      <w:r>
        <w:rPr>
          <w:rFonts w:hint="eastAsia"/>
          <w:b/>
          <w:highlight w:val="none"/>
          <w:lang w:val="en-US" w:eastAsia="zh-CN"/>
        </w:rPr>
        <w:t>5、</w:t>
      </w:r>
      <w:r>
        <w:rPr>
          <w:rFonts w:hint="eastAsia"/>
          <w:b/>
          <w:highlight w:val="none"/>
        </w:rPr>
        <w:t>付款方式：</w:t>
      </w:r>
      <w:r>
        <w:rPr>
          <w:rFonts w:hint="eastAsia" w:ascii="宋体" w:hAnsi="Courier New" w:eastAsia="宋体" w:cs="Times New Roman"/>
          <w:bCs/>
          <w:highlight w:val="none"/>
          <w:u w:val="single"/>
          <w:lang w:val="en-US" w:eastAsia="zh-CN"/>
        </w:rPr>
        <w:t>验收通过后，</w:t>
      </w:r>
      <w:r>
        <w:rPr>
          <w:rFonts w:hint="eastAsia" w:eastAsia="宋体" w:cs="Times New Roman"/>
          <w:bCs/>
          <w:highlight w:val="none"/>
          <w:u w:val="single"/>
          <w:lang w:val="en-US" w:eastAsia="zh-CN"/>
        </w:rPr>
        <w:t>并</w:t>
      </w:r>
      <w:r>
        <w:rPr>
          <w:rFonts w:hint="eastAsia"/>
          <w:bCs/>
          <w:highlight w:val="none"/>
          <w:u w:val="single"/>
        </w:rPr>
        <w:t>对发票进行确认</w:t>
      </w:r>
      <w:r>
        <w:rPr>
          <w:rFonts w:hint="eastAsia"/>
          <w:bCs/>
          <w:highlight w:val="none"/>
          <w:u w:val="single"/>
          <w:lang w:val="en-US" w:eastAsia="zh-CN"/>
        </w:rPr>
        <w:t>后</w:t>
      </w:r>
      <w:r>
        <w:rPr>
          <w:rFonts w:hint="eastAsia"/>
          <w:bCs/>
          <w:highlight w:val="none"/>
          <w:u w:val="single"/>
        </w:rPr>
        <w:t>支付</w:t>
      </w:r>
      <w:r>
        <w:rPr>
          <w:rFonts w:hint="eastAsia" w:ascii="Calibri" w:hAnsi="Calibri"/>
          <w:bCs/>
          <w:highlight w:val="none"/>
        </w:rPr>
        <w:t>，具体以</w:t>
      </w:r>
      <w:r>
        <w:rPr>
          <w:rFonts w:hint="eastAsia" w:ascii="Calibri" w:hAnsi="Calibri"/>
          <w:highlight w:val="none"/>
        </w:rPr>
        <w:t>双方最终签署的合同为准。</w:t>
      </w:r>
    </w:p>
    <w:p w14:paraId="76560665">
      <w:pPr>
        <w:pStyle w:val="6"/>
        <w:numPr>
          <w:ilvl w:val="0"/>
          <w:numId w:val="0"/>
        </w:numPr>
        <w:spacing w:line="360" w:lineRule="auto"/>
        <w:ind w:firstLine="422" w:firstLineChars="200"/>
        <w:rPr>
          <w:rFonts w:hint="eastAsia" w:ascii="Calibri" w:hAnsi="Calibri" w:eastAsia="宋体"/>
          <w:highlight w:val="none"/>
          <w:lang w:eastAsia="zh-CN"/>
        </w:rPr>
      </w:pPr>
      <w:r>
        <w:rPr>
          <w:rFonts w:hint="eastAsia" w:ascii="Calibri" w:hAnsi="Calibri"/>
          <w:b/>
          <w:bCs/>
          <w:highlight w:val="none"/>
        </w:rPr>
        <w:t>付款结算方法：付款结算方法：</w:t>
      </w:r>
      <w:r>
        <w:rPr>
          <w:rFonts w:hint="eastAsia" w:ascii="Calibri" w:hAnsi="Calibri"/>
          <w:highlight w:val="none"/>
          <w:u w:val="single"/>
          <w:lang w:val="en-US" w:eastAsia="zh-CN"/>
        </w:rPr>
        <w:t>转账</w:t>
      </w:r>
    </w:p>
    <w:p w14:paraId="50E69BB7">
      <w:pPr>
        <w:pStyle w:val="18"/>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eastAsia" w:ascii="Calibri" w:hAnsi="Calibri" w:eastAsia="宋体" w:cs="Times New Roman"/>
          <w:b w:val="0"/>
          <w:bCs w:val="0"/>
          <w:kern w:val="2"/>
          <w:sz w:val="21"/>
          <w:highlight w:val="none"/>
          <w:u w:val="single"/>
          <w:lang w:val="en-US" w:eastAsia="zh-CN" w:bidi="ar-SA"/>
        </w:rPr>
      </w:pPr>
      <w:r>
        <w:rPr>
          <w:rFonts w:hint="eastAsia" w:ascii="Calibri" w:hAnsi="Calibri" w:eastAsia="宋体" w:cs="Times New Roman"/>
          <w:b w:val="0"/>
          <w:bCs w:val="0"/>
          <w:kern w:val="2"/>
          <w:sz w:val="21"/>
          <w:highlight w:val="none"/>
          <w:u w:val="single"/>
          <w:lang w:val="en-US" w:eastAsia="zh-CN" w:bidi="ar-SA"/>
        </w:rPr>
        <w:t>乙方完成甲方的需求，乙方开具合同价款100%的收据并增值税专用发票，经甲方核对无误后支付。</w:t>
      </w:r>
    </w:p>
    <w:p w14:paraId="73D415F5">
      <w:pPr>
        <w:pStyle w:val="18"/>
        <w:keepNext w:val="0"/>
        <w:keepLines w:val="0"/>
        <w:pageBreakBefore w:val="0"/>
        <w:widowControl w:val="0"/>
        <w:numPr>
          <w:ilvl w:val="0"/>
          <w:numId w:val="0"/>
        </w:numPr>
        <w:kinsoku/>
        <w:wordWrap/>
        <w:overflowPunct/>
        <w:topLinePunct w:val="0"/>
        <w:autoSpaceDE/>
        <w:autoSpaceDN/>
        <w:bidi w:val="0"/>
        <w:adjustRightInd/>
        <w:snapToGrid/>
        <w:ind w:leftChars="0" w:firstLine="422" w:firstLineChars="200"/>
        <w:textAlignment w:val="auto"/>
        <w:rPr>
          <w:rFonts w:hint="eastAsia" w:ascii="宋体" w:hAnsi="宋体" w:eastAsia="宋体" w:cs="宋体"/>
          <w:b w:val="0"/>
          <w:bCs w:val="0"/>
          <w:sz w:val="21"/>
          <w:szCs w:val="21"/>
          <w:highlight w:val="yellow"/>
          <w:lang w:eastAsia="zh-CN"/>
        </w:rPr>
      </w:pPr>
      <w:r>
        <w:rPr>
          <w:rFonts w:hint="eastAsia" w:ascii="宋体" w:hAnsi="宋体" w:eastAsia="宋体" w:cs="宋体"/>
          <w:b/>
          <w:bCs/>
          <w:color w:val="auto"/>
          <w:sz w:val="21"/>
          <w:szCs w:val="21"/>
          <w:highlight w:val="none"/>
        </w:rPr>
        <w:t>*注：付款方式及付款比例不允许偏离。</w:t>
      </w:r>
    </w:p>
    <w:p w14:paraId="1629B102">
      <w:pPr>
        <w:pStyle w:val="6"/>
        <w:spacing w:line="360" w:lineRule="auto"/>
        <w:ind w:firstLine="422" w:firstLineChars="200"/>
        <w:rPr>
          <w:rFonts w:hint="default" w:hAnsi="Courier New" w:eastAsia="宋体" w:cs="Times New Roman"/>
          <w:bCs/>
          <w:highlight w:val="none"/>
          <w:lang w:val="en-US" w:eastAsia="zh-CN"/>
        </w:rPr>
      </w:pPr>
      <w:r>
        <w:rPr>
          <w:rFonts w:hint="eastAsia" w:hAnsi="Courier New" w:eastAsia="宋体" w:cs="Times New Roman"/>
          <w:b/>
          <w:bCs w:val="0"/>
          <w:highlight w:val="none"/>
          <w:lang w:val="en-US" w:eastAsia="zh-CN"/>
        </w:rPr>
        <w:t>6、</w:t>
      </w:r>
      <w:r>
        <w:rPr>
          <w:rFonts w:hint="eastAsia" w:hAnsi="Courier New" w:eastAsia="宋体" w:cs="Times New Roman"/>
          <w:bCs/>
          <w:highlight w:val="none"/>
        </w:rPr>
        <w:t>所有投标文件需</w:t>
      </w:r>
      <w:r>
        <w:rPr>
          <w:rFonts w:hint="eastAsia" w:cs="Times New Roman"/>
          <w:bCs/>
          <w:highlight w:val="none"/>
          <w:lang w:val="en-US" w:eastAsia="zh-CN"/>
        </w:rPr>
        <w:t>进行签章后扫描上传重汽e采通系统。</w:t>
      </w:r>
    </w:p>
    <w:p w14:paraId="270A4600">
      <w:pPr>
        <w:spacing w:line="360" w:lineRule="auto"/>
        <w:ind w:firstLine="422" w:firstLineChars="200"/>
        <w:rPr>
          <w:rFonts w:ascii="宋体" w:cs="宋体"/>
        </w:rPr>
      </w:pPr>
      <w:r>
        <w:rPr>
          <w:rFonts w:hint="eastAsia" w:hAnsi="Courier New" w:eastAsia="宋体" w:cs="Times New Roman"/>
          <w:b/>
          <w:bCs w:val="0"/>
          <w:highlight w:val="none"/>
          <w:lang w:val="en-US" w:eastAsia="zh-CN"/>
        </w:rPr>
        <w:t>7、</w:t>
      </w:r>
      <w:r>
        <w:rPr>
          <w:rFonts w:hint="eastAsia" w:ascii="宋体" w:hAnsi="宋体" w:cs="宋体"/>
        </w:rPr>
        <w:t>投标文件不得涂改和增删，如有修改错漏的地方，必须由法人代表或授权代表签字或盖章。</w:t>
      </w:r>
    </w:p>
    <w:p w14:paraId="297E3BE1">
      <w:pPr>
        <w:spacing w:line="360" w:lineRule="auto"/>
        <w:ind w:firstLine="422" w:firstLineChars="200"/>
        <w:rPr>
          <w:rFonts w:hint="eastAsia" w:ascii="宋体" w:hAnsi="宋体" w:cs="宋体"/>
        </w:rPr>
      </w:pPr>
      <w:r>
        <w:rPr>
          <w:rFonts w:hint="eastAsia" w:ascii="宋体" w:hAnsi="宋体" w:cs="宋体"/>
          <w:b/>
          <w:bCs/>
          <w:lang w:val="en-US" w:eastAsia="zh-CN"/>
        </w:rPr>
        <w:t>8</w:t>
      </w:r>
      <w:r>
        <w:rPr>
          <w:rFonts w:hint="eastAsia" w:ascii="宋体" w:hAnsi="宋体" w:cs="宋体"/>
          <w:b/>
          <w:bCs/>
        </w:rPr>
        <w:t>、</w:t>
      </w:r>
      <w:r>
        <w:rPr>
          <w:rFonts w:hint="eastAsia" w:ascii="宋体" w:hAnsi="宋体" w:cs="宋体"/>
        </w:rPr>
        <w:t>投标文件因字迹潦草或表达不清所引起的后果由投标人负责。</w:t>
      </w:r>
    </w:p>
    <w:p w14:paraId="088FE374">
      <w:pPr>
        <w:spacing w:line="360" w:lineRule="auto"/>
        <w:ind w:firstLine="422" w:firstLineChars="200"/>
        <w:rPr>
          <w:rFonts w:hint="eastAsia" w:ascii="宋体" w:hAnsi="宋体" w:cs="宋体"/>
          <w:lang w:val="en-US" w:eastAsia="zh-CN"/>
        </w:rPr>
      </w:pPr>
      <w:r>
        <w:rPr>
          <w:rFonts w:hint="eastAsia" w:ascii="宋体" w:hAnsi="宋体" w:cs="宋体"/>
          <w:b/>
          <w:bCs/>
          <w:lang w:val="en-US" w:eastAsia="zh-CN"/>
        </w:rPr>
        <w:t>9、</w:t>
      </w:r>
      <w:r>
        <w:rPr>
          <w:rFonts w:hint="eastAsia" w:ascii="宋体" w:hAnsi="宋体" w:cs="宋体"/>
          <w:lang w:val="en-US" w:eastAsia="zh-CN"/>
        </w:rPr>
        <w:t>投标文件格式详见标书附件。</w:t>
      </w:r>
    </w:p>
    <w:p w14:paraId="38BA47C5">
      <w:pPr>
        <w:pStyle w:val="6"/>
        <w:numPr>
          <w:ilvl w:val="0"/>
          <w:numId w:val="0"/>
        </w:numPr>
        <w:spacing w:line="360" w:lineRule="auto"/>
        <w:rPr>
          <w:rFonts w:hint="eastAsia"/>
          <w:b/>
        </w:rPr>
      </w:pPr>
    </w:p>
    <w:p w14:paraId="3A3A4146">
      <w:pPr>
        <w:pStyle w:val="6"/>
        <w:spacing w:line="360" w:lineRule="auto"/>
        <w:rPr>
          <w:rFonts w:hint="eastAsia" w:ascii="黑体" w:eastAsia="黑体"/>
          <w:b/>
          <w:bCs/>
          <w:sz w:val="28"/>
        </w:rPr>
      </w:pPr>
      <w:r>
        <w:rPr>
          <w:rFonts w:hint="eastAsia" w:ascii="黑体" w:eastAsia="黑体"/>
          <w:b/>
          <w:bCs/>
          <w:sz w:val="28"/>
        </w:rPr>
        <w:t>七、投标、开标、评标</w:t>
      </w:r>
    </w:p>
    <w:p w14:paraId="4E3A1A95">
      <w:pPr>
        <w:pStyle w:val="6"/>
        <w:spacing w:line="360" w:lineRule="auto"/>
        <w:ind w:firstLine="420" w:firstLineChars="200"/>
        <w:rPr>
          <w:rFonts w:hint="eastAsia"/>
        </w:rPr>
      </w:pPr>
      <w:r>
        <w:rPr>
          <w:rFonts w:hint="eastAsia"/>
        </w:rPr>
        <w:t>1.投标保证金：</w:t>
      </w:r>
    </w:p>
    <w:p w14:paraId="6AC01F6A">
      <w:pPr>
        <w:pStyle w:val="20"/>
        <w:pageBreakBefore w:val="0"/>
        <w:kinsoku/>
        <w:wordWrap/>
        <w:overflowPunct/>
        <w:topLinePunct w:val="0"/>
        <w:bidi w:val="0"/>
        <w:spacing w:line="520" w:lineRule="exact"/>
        <w:ind w:firstLine="600"/>
        <w:textAlignment w:val="auto"/>
        <w:rPr>
          <w:rFonts w:hint="eastAsia" w:ascii="宋体" w:hAnsi="Courier New" w:eastAsia="宋体" w:cs="Times New Roman"/>
          <w:color w:val="auto"/>
          <w:kern w:val="2"/>
          <w:sz w:val="21"/>
          <w:szCs w:val="20"/>
          <w:lang w:val="en-US" w:eastAsia="zh-CN" w:bidi="ar-SA"/>
        </w:rPr>
      </w:pPr>
      <w:r>
        <w:rPr>
          <w:rFonts w:hint="eastAsia" w:ascii="宋体" w:hAnsi="Courier New" w:eastAsia="宋体" w:cs="Times New Roman"/>
          <w:color w:val="auto"/>
          <w:kern w:val="2"/>
          <w:sz w:val="21"/>
          <w:szCs w:val="20"/>
          <w:lang w:val="en-US" w:eastAsia="zh-CN" w:bidi="ar-SA"/>
        </w:rPr>
        <w:t>投标人须向招标人缴纳投标保证金，投标保证金为5000元（人民币大写伍仟元整），本次招标收取的投标保证金公对公（基本账户）以现汇形式进行交款，不允许以个人名义交款，汇款时必须注明</w:t>
      </w:r>
      <w:r>
        <w:rPr>
          <w:rFonts w:hint="default" w:ascii="宋体" w:hAnsi="Courier New" w:eastAsia="宋体" w:cs="Times New Roman"/>
          <w:color w:val="auto"/>
          <w:kern w:val="2"/>
          <w:sz w:val="21"/>
          <w:szCs w:val="20"/>
          <w:lang w:val="en-US" w:eastAsia="zh-CN" w:bidi="ar-SA"/>
        </w:rPr>
        <w:t>“</w:t>
      </w:r>
      <w:r>
        <w:rPr>
          <w:rFonts w:hint="eastAsia" w:hAnsi="Courier New" w:eastAsia="宋体" w:cs="Times New Roman"/>
          <w:color w:val="auto"/>
          <w:kern w:val="2"/>
          <w:sz w:val="21"/>
          <w:szCs w:val="20"/>
          <w:lang w:val="en-US" w:eastAsia="zh-CN" w:bidi="ar-SA"/>
        </w:rPr>
        <w:t>公司名称+</w:t>
      </w:r>
      <w:r>
        <w:rPr>
          <w:rFonts w:hint="default" w:ascii="宋体" w:hAnsi="Courier New" w:eastAsia="宋体" w:cs="Times New Roman"/>
          <w:color w:val="auto"/>
          <w:kern w:val="2"/>
          <w:sz w:val="21"/>
          <w:szCs w:val="20"/>
          <w:lang w:val="en-US" w:eastAsia="zh-CN" w:bidi="ar-SA"/>
        </w:rPr>
        <w:t>中国重汽</w:t>
      </w:r>
      <w:r>
        <w:rPr>
          <w:rFonts w:hint="eastAsia" w:hAnsi="Courier New" w:eastAsia="宋体" w:cs="Times New Roman"/>
          <w:color w:val="auto"/>
          <w:kern w:val="2"/>
          <w:sz w:val="21"/>
          <w:szCs w:val="20"/>
          <w:lang w:val="en-US" w:eastAsia="zh-CN" w:bidi="ar-SA"/>
        </w:rPr>
        <w:t>集团2026年度东风柳汽仓储服务项目投标保证金</w:t>
      </w:r>
      <w:r>
        <w:rPr>
          <w:rFonts w:hint="default" w:ascii="宋体" w:hAnsi="Courier New" w:eastAsia="宋体" w:cs="Times New Roman"/>
          <w:color w:val="auto"/>
          <w:kern w:val="2"/>
          <w:sz w:val="21"/>
          <w:szCs w:val="20"/>
          <w:lang w:val="en-US" w:eastAsia="zh-CN" w:bidi="ar-SA"/>
        </w:rPr>
        <w:t>”</w:t>
      </w:r>
      <w:r>
        <w:rPr>
          <w:rFonts w:hint="eastAsia" w:ascii="宋体" w:hAnsi="Courier New" w:eastAsia="宋体" w:cs="Times New Roman"/>
          <w:color w:val="auto"/>
          <w:kern w:val="2"/>
          <w:sz w:val="21"/>
          <w:szCs w:val="20"/>
          <w:lang w:val="en-US" w:eastAsia="zh-CN" w:bidi="ar-SA"/>
        </w:rPr>
        <w:t xml:space="preserve">，收款开户行及账户见下： </w:t>
      </w:r>
    </w:p>
    <w:p w14:paraId="6A9CCF77">
      <w:pPr>
        <w:keepNext w:val="0"/>
        <w:keepLines w:val="0"/>
        <w:widowControl w:val="0"/>
        <w:suppressLineNumbers w:val="0"/>
        <w:autoSpaceDE w:val="0"/>
        <w:autoSpaceDN/>
        <w:spacing w:before="0" w:beforeAutospacing="0" w:after="0" w:afterAutospacing="0" w:line="360" w:lineRule="auto"/>
        <w:ind w:left="0" w:right="0" w:firstLine="422" w:firstLineChars="200"/>
        <w:jc w:val="both"/>
        <w:rPr>
          <w:rFonts w:hint="eastAsia" w:ascii="宋体" w:hAnsi="宋体" w:eastAsia="宋体" w:cs="宋体"/>
          <w:kern w:val="2"/>
          <w:sz w:val="21"/>
          <w:szCs w:val="21"/>
          <w:highlight w:val="yellow"/>
        </w:rPr>
      </w:pPr>
      <w:r>
        <w:rPr>
          <w:rFonts w:hint="eastAsia" w:ascii="宋体" w:hAnsi="宋体" w:eastAsia="宋体" w:cs="宋体"/>
          <w:b/>
          <w:bCs/>
          <w:kern w:val="2"/>
          <w:sz w:val="21"/>
          <w:szCs w:val="21"/>
          <w:highlight w:val="yellow"/>
          <w:lang w:val="en-US" w:eastAsia="zh-CN" w:bidi="ar"/>
        </w:rPr>
        <w:t>投标保证金的金额：</w:t>
      </w:r>
      <w:r>
        <w:rPr>
          <w:rFonts w:hint="eastAsia" w:ascii="宋体" w:hAnsi="宋体" w:eastAsia="宋体" w:cs="宋体"/>
          <w:b w:val="0"/>
          <w:bCs w:val="0"/>
          <w:kern w:val="2"/>
          <w:sz w:val="21"/>
          <w:szCs w:val="21"/>
          <w:highlight w:val="yellow"/>
          <w:lang w:val="en-US" w:eastAsia="zh-CN" w:bidi="ar"/>
        </w:rPr>
        <w:t>人民币5000元</w:t>
      </w:r>
    </w:p>
    <w:p w14:paraId="1064FCC3">
      <w:pPr>
        <w:keepNext w:val="0"/>
        <w:keepLines w:val="0"/>
        <w:widowControl w:val="0"/>
        <w:suppressLineNumbers w:val="0"/>
        <w:autoSpaceDE w:val="0"/>
        <w:autoSpaceDN/>
        <w:spacing w:before="0" w:beforeAutospacing="0" w:after="0" w:afterAutospacing="0" w:line="360" w:lineRule="auto"/>
        <w:ind w:left="0" w:right="0" w:firstLine="422" w:firstLineChars="200"/>
        <w:jc w:val="both"/>
        <w:rPr>
          <w:rFonts w:hint="eastAsia" w:ascii="宋体" w:hAnsi="宋体" w:eastAsia="宋体" w:cs="宋体"/>
          <w:b/>
          <w:bCs/>
          <w:color w:val="000000"/>
          <w:kern w:val="0"/>
          <w:sz w:val="21"/>
          <w:szCs w:val="21"/>
          <w:highlight w:val="yellow"/>
          <w:lang w:val="en-US" w:eastAsia="zh-CN" w:bidi="ar"/>
        </w:rPr>
      </w:pPr>
      <w:r>
        <w:rPr>
          <w:rFonts w:hint="eastAsia" w:ascii="宋体" w:hAnsi="宋体" w:eastAsia="宋体" w:cs="宋体"/>
          <w:b/>
          <w:bCs/>
          <w:color w:val="000000"/>
          <w:kern w:val="0"/>
          <w:sz w:val="21"/>
          <w:szCs w:val="21"/>
          <w:highlight w:val="yellow"/>
          <w:lang w:val="en-US" w:eastAsia="zh-CN" w:bidi="ar"/>
        </w:rPr>
        <w:t>收款名称：中国重汽集团大同齿轮有限公司</w:t>
      </w:r>
    </w:p>
    <w:p w14:paraId="1F3C5B05">
      <w:pPr>
        <w:keepNext w:val="0"/>
        <w:keepLines w:val="0"/>
        <w:widowControl w:val="0"/>
        <w:suppressLineNumbers w:val="0"/>
        <w:autoSpaceDE w:val="0"/>
        <w:autoSpaceDN/>
        <w:spacing w:before="0" w:beforeAutospacing="0" w:after="0" w:afterAutospacing="0" w:line="360" w:lineRule="auto"/>
        <w:ind w:left="0" w:right="0" w:firstLine="422" w:firstLineChars="200"/>
        <w:jc w:val="both"/>
        <w:rPr>
          <w:rFonts w:hint="eastAsia" w:ascii="宋体" w:hAnsi="宋体" w:eastAsia="宋体" w:cs="宋体"/>
          <w:b/>
          <w:bCs/>
          <w:color w:val="000000"/>
          <w:kern w:val="0"/>
          <w:sz w:val="21"/>
          <w:szCs w:val="21"/>
          <w:highlight w:val="yellow"/>
          <w:lang w:val="en-US" w:eastAsia="zh-CN" w:bidi="ar"/>
        </w:rPr>
      </w:pPr>
      <w:r>
        <w:rPr>
          <w:rFonts w:hint="eastAsia" w:ascii="宋体" w:hAnsi="宋体" w:eastAsia="宋体" w:cs="宋体"/>
          <w:b/>
          <w:bCs/>
          <w:color w:val="000000"/>
          <w:kern w:val="0"/>
          <w:sz w:val="21"/>
          <w:szCs w:val="21"/>
          <w:highlight w:val="yellow"/>
          <w:lang w:val="en-US" w:eastAsia="zh-CN" w:bidi="ar"/>
        </w:rPr>
        <w:t>收款行账号：04272001040026121</w:t>
      </w:r>
    </w:p>
    <w:p w14:paraId="0FBEAA7B">
      <w:pPr>
        <w:keepNext w:val="0"/>
        <w:keepLines w:val="0"/>
        <w:widowControl w:val="0"/>
        <w:suppressLineNumbers w:val="0"/>
        <w:autoSpaceDE w:val="0"/>
        <w:autoSpaceDN/>
        <w:spacing w:before="0" w:beforeAutospacing="0" w:after="0" w:afterAutospacing="0" w:line="360" w:lineRule="auto"/>
        <w:ind w:left="0" w:right="0" w:firstLine="422" w:firstLineChars="200"/>
        <w:jc w:val="both"/>
        <w:rPr>
          <w:rFonts w:hint="eastAsia" w:ascii="宋体" w:hAnsi="宋体" w:eastAsia="宋体" w:cs="宋体"/>
          <w:b/>
          <w:bCs/>
          <w:color w:val="000000"/>
          <w:kern w:val="0"/>
          <w:sz w:val="21"/>
          <w:szCs w:val="21"/>
          <w:highlight w:val="yellow"/>
          <w:lang w:val="en-US" w:eastAsia="zh-CN" w:bidi="ar"/>
        </w:rPr>
      </w:pPr>
      <w:r>
        <w:rPr>
          <w:rFonts w:hint="eastAsia" w:ascii="宋体" w:hAnsi="宋体" w:eastAsia="宋体" w:cs="宋体"/>
          <w:b/>
          <w:bCs/>
          <w:color w:val="000000"/>
          <w:kern w:val="0"/>
          <w:sz w:val="21"/>
          <w:szCs w:val="21"/>
          <w:highlight w:val="yellow"/>
          <w:lang w:val="en-US" w:eastAsia="zh-CN" w:bidi="ar"/>
        </w:rPr>
        <w:t>收款行：中国农业银行股份有限公司大同城区支行</w:t>
      </w:r>
    </w:p>
    <w:p w14:paraId="6773F296">
      <w:pPr>
        <w:keepNext w:val="0"/>
        <w:keepLines w:val="0"/>
        <w:widowControl w:val="0"/>
        <w:suppressLineNumbers w:val="0"/>
        <w:autoSpaceDE w:val="0"/>
        <w:autoSpaceDN/>
        <w:spacing w:before="0" w:beforeAutospacing="0" w:after="0" w:afterAutospacing="0" w:line="360" w:lineRule="auto"/>
        <w:ind w:left="0" w:right="0" w:firstLine="422" w:firstLineChars="200"/>
        <w:jc w:val="both"/>
        <w:rPr>
          <w:rFonts w:hint="eastAsia" w:ascii="宋体" w:hAnsi="宋体" w:eastAsia="宋体" w:cs="宋体"/>
          <w:b/>
          <w:bCs/>
          <w:color w:val="000000"/>
          <w:kern w:val="0"/>
          <w:sz w:val="21"/>
          <w:szCs w:val="21"/>
          <w:highlight w:val="yellow"/>
          <w:lang w:val="en-US" w:eastAsia="zh-CN" w:bidi="ar"/>
        </w:rPr>
      </w:pPr>
      <w:r>
        <w:rPr>
          <w:rFonts w:hint="eastAsia" w:ascii="宋体" w:hAnsi="宋体" w:eastAsia="宋体" w:cs="宋体"/>
          <w:b/>
          <w:bCs/>
          <w:color w:val="000000"/>
          <w:kern w:val="0"/>
          <w:sz w:val="21"/>
          <w:szCs w:val="21"/>
          <w:highlight w:val="yellow"/>
          <w:lang w:val="en-US" w:eastAsia="zh-CN" w:bidi="ar"/>
        </w:rPr>
        <w:t>联行号：103162027204</w:t>
      </w:r>
    </w:p>
    <w:p w14:paraId="427458D6">
      <w:pPr>
        <w:pStyle w:val="20"/>
        <w:pageBreakBefore w:val="0"/>
        <w:kinsoku/>
        <w:wordWrap/>
        <w:overflowPunct/>
        <w:topLinePunct w:val="0"/>
        <w:bidi w:val="0"/>
        <w:spacing w:line="520" w:lineRule="exact"/>
        <w:ind w:firstLine="600"/>
        <w:textAlignment w:val="auto"/>
        <w:rPr>
          <w:rFonts w:hint="default" w:ascii="仿宋_GB2312" w:hAnsi="仿宋" w:eastAsia="仿宋_GB2312" w:cs="Times New Roman"/>
          <w:sz w:val="30"/>
          <w:szCs w:val="30"/>
          <w:highlight w:val="none"/>
          <w:lang w:val="en-US" w:eastAsia="zh-CN"/>
        </w:rPr>
      </w:pPr>
      <w:r>
        <w:rPr>
          <w:rFonts w:hint="eastAsia" w:ascii="宋体" w:hAnsi="Courier New" w:eastAsia="宋体" w:cs="Times New Roman"/>
          <w:color w:val="auto"/>
          <w:kern w:val="2"/>
          <w:sz w:val="21"/>
          <w:szCs w:val="20"/>
          <w:lang w:val="en-US" w:eastAsia="zh-CN" w:bidi="ar-SA"/>
        </w:rPr>
        <w:t>投标人</w:t>
      </w:r>
      <w:r>
        <w:rPr>
          <w:rFonts w:hint="eastAsia" w:hAnsi="Courier New" w:eastAsia="宋体" w:cs="Times New Roman"/>
          <w:color w:val="auto"/>
          <w:kern w:val="2"/>
          <w:sz w:val="21"/>
          <w:szCs w:val="20"/>
          <w:lang w:val="en-US" w:eastAsia="zh-CN" w:bidi="ar-SA"/>
        </w:rPr>
        <w:t>需在投标前缴纳投标保证金，并在投标文件中上传相关证明</w:t>
      </w:r>
      <w:r>
        <w:rPr>
          <w:rFonts w:hint="eastAsia" w:ascii="宋体" w:hAnsi="Courier New" w:eastAsia="宋体" w:cs="Times New Roman"/>
          <w:color w:val="auto"/>
          <w:kern w:val="2"/>
          <w:sz w:val="21"/>
          <w:szCs w:val="20"/>
          <w:lang w:val="en-US" w:eastAsia="zh-CN" w:bidi="ar-SA"/>
        </w:rPr>
        <w:t>。开标时，投标人须向招标人提供付款证明。中标单位的招标保证金在合同签订后的下一付款周期返还到交纳账户；未中标单位的投标保证金在中标结果公布后的下一付款周期返还到交纳账户；开标现场被判定为否决单位的，其投标保证金在开标之后的下一</w:t>
      </w:r>
      <w:r>
        <w:rPr>
          <w:rFonts w:hint="eastAsia" w:hAnsi="Courier New" w:eastAsia="宋体" w:cs="Times New Roman"/>
          <w:color w:val="auto"/>
          <w:kern w:val="2"/>
          <w:sz w:val="21"/>
          <w:szCs w:val="20"/>
          <w:lang w:val="en-US" w:eastAsia="zh-CN" w:bidi="ar-SA"/>
        </w:rPr>
        <w:t>付款周期</w:t>
      </w:r>
      <w:r>
        <w:rPr>
          <w:rFonts w:hint="eastAsia" w:ascii="宋体" w:hAnsi="Courier New" w:eastAsia="宋体" w:cs="Times New Roman"/>
          <w:color w:val="auto"/>
          <w:kern w:val="2"/>
          <w:sz w:val="21"/>
          <w:szCs w:val="20"/>
          <w:lang w:val="en-US" w:eastAsia="zh-CN" w:bidi="ar-SA"/>
        </w:rPr>
        <w:t>返还到交纳账户。保证金均为无息返还。</w:t>
      </w:r>
    </w:p>
    <w:p w14:paraId="1FD177E5">
      <w:pPr>
        <w:pStyle w:val="6"/>
        <w:spacing w:line="360" w:lineRule="auto"/>
        <w:ind w:firstLine="420" w:firstLineChars="200"/>
        <w:rPr>
          <w:rFonts w:hint="eastAsia" w:hAnsi="宋体" w:cs="宋体"/>
        </w:rPr>
      </w:pPr>
      <w:r>
        <w:rPr>
          <w:rFonts w:hint="eastAsia" w:hAnsi="宋体" w:cs="宋体"/>
          <w:lang w:val="en-US" w:eastAsia="zh-CN"/>
        </w:rPr>
        <w:t>2.</w:t>
      </w:r>
      <w:r>
        <w:rPr>
          <w:rFonts w:hint="eastAsia" w:hAnsi="宋体" w:cs="宋体"/>
        </w:rPr>
        <w:t>说明：</w:t>
      </w:r>
    </w:p>
    <w:p w14:paraId="78BB9DE2">
      <w:pPr>
        <w:pStyle w:val="6"/>
        <w:spacing w:line="360" w:lineRule="auto"/>
        <w:ind w:firstLine="420" w:firstLineChars="200"/>
        <w:rPr>
          <w:rFonts w:hint="eastAsia" w:hAnsi="宋体" w:cs="宋体"/>
          <w:highlight w:val="none"/>
        </w:rPr>
      </w:pPr>
      <w:r>
        <w:rPr>
          <w:rFonts w:hint="eastAsia" w:hAnsi="宋体" w:cs="宋体"/>
        </w:rPr>
        <w:t>(a)</w:t>
      </w:r>
      <w:r>
        <w:rPr>
          <w:rFonts w:hint="eastAsia" w:hAnsi="宋体" w:cs="宋体"/>
          <w:highlight w:val="none"/>
        </w:rPr>
        <w:t>无正当理由随意放弃投标、撤销投标文件、中标后无正当理由拒签合同、在签订合同时向招标人或合同签订单位提出无理附加条件的，投标保证金不予返还，该投标人2年不得参与招标人组织的招投标项目。</w:t>
      </w:r>
    </w:p>
    <w:p w14:paraId="35C0D087">
      <w:pPr>
        <w:pStyle w:val="6"/>
        <w:spacing w:line="360" w:lineRule="auto"/>
        <w:ind w:firstLine="420" w:firstLineChars="200"/>
        <w:rPr>
          <w:rFonts w:hint="eastAsia"/>
        </w:rPr>
      </w:pPr>
      <w:r>
        <w:rPr>
          <w:rFonts w:hint="eastAsia"/>
        </w:rPr>
        <w:t>(b)投标人在向招标人出示《投标保证金缴纳凭证》后方可进行投标。</w:t>
      </w:r>
    </w:p>
    <w:p w14:paraId="25EDD17B">
      <w:pPr>
        <w:pStyle w:val="6"/>
        <w:spacing w:line="360" w:lineRule="auto"/>
        <w:ind w:firstLine="420" w:firstLineChars="200"/>
        <w:rPr>
          <w:rFonts w:hint="eastAsia"/>
          <w:szCs w:val="22"/>
        </w:rPr>
      </w:pPr>
      <w:r>
        <w:rPr>
          <w:rFonts w:hint="eastAsia"/>
        </w:rPr>
        <w:t>(c)</w:t>
      </w:r>
      <w:r>
        <w:rPr>
          <w:rFonts w:hint="eastAsia"/>
          <w:szCs w:val="22"/>
        </w:rPr>
        <w:t>发生以下情况时，项目实施单位有权没收保证金：</w:t>
      </w:r>
    </w:p>
    <w:p w14:paraId="4A78781A">
      <w:pPr>
        <w:pStyle w:val="6"/>
        <w:spacing w:line="360" w:lineRule="auto"/>
        <w:ind w:firstLine="420" w:firstLineChars="200"/>
        <w:rPr>
          <w:rFonts w:hint="eastAsia"/>
          <w:szCs w:val="22"/>
        </w:rPr>
      </w:pPr>
      <w:r>
        <w:rPr>
          <w:rFonts w:hint="eastAsia"/>
          <w:szCs w:val="22"/>
        </w:rPr>
        <w:t>a）截至开标前3天，投标人无正当理由且未以书面形式递交说明而在投标截止日不来投标的；</w:t>
      </w:r>
    </w:p>
    <w:p w14:paraId="02367AB3">
      <w:pPr>
        <w:pStyle w:val="6"/>
        <w:spacing w:line="360" w:lineRule="auto"/>
        <w:ind w:firstLine="420" w:firstLineChars="200"/>
        <w:rPr>
          <w:rFonts w:hint="eastAsia"/>
          <w:szCs w:val="22"/>
        </w:rPr>
      </w:pPr>
      <w:r>
        <w:rPr>
          <w:rFonts w:hint="eastAsia"/>
          <w:szCs w:val="22"/>
        </w:rPr>
        <w:t>b）投标人递送投标文件后，无正当理由放弃投标的；</w:t>
      </w:r>
    </w:p>
    <w:p w14:paraId="57BC6CE6">
      <w:pPr>
        <w:pStyle w:val="6"/>
        <w:spacing w:line="360" w:lineRule="auto"/>
        <w:ind w:firstLine="420" w:firstLineChars="200"/>
        <w:rPr>
          <w:rFonts w:hint="eastAsia"/>
          <w:szCs w:val="22"/>
        </w:rPr>
      </w:pPr>
      <w:r>
        <w:rPr>
          <w:rFonts w:hint="eastAsia"/>
          <w:szCs w:val="22"/>
        </w:rPr>
        <w:t>c）自中标通知书发出之日起30日内，中标人无正当理由不签订合同的；</w:t>
      </w:r>
    </w:p>
    <w:p w14:paraId="1526EC32">
      <w:pPr>
        <w:pStyle w:val="6"/>
        <w:spacing w:line="360" w:lineRule="auto"/>
        <w:ind w:firstLine="420" w:firstLineChars="200"/>
        <w:rPr>
          <w:rFonts w:hint="eastAsia"/>
          <w:szCs w:val="22"/>
        </w:rPr>
      </w:pPr>
      <w:r>
        <w:rPr>
          <w:rFonts w:hint="eastAsia"/>
          <w:szCs w:val="22"/>
        </w:rPr>
        <w:t>d）投标人在投标过程中被查实有串标、围标、陪标等违规违纪行为的；</w:t>
      </w:r>
    </w:p>
    <w:p w14:paraId="5B859DB6">
      <w:pPr>
        <w:pStyle w:val="6"/>
        <w:spacing w:line="360" w:lineRule="auto"/>
        <w:ind w:firstLine="420" w:firstLineChars="200"/>
        <w:rPr>
          <w:rFonts w:hint="eastAsia"/>
        </w:rPr>
      </w:pPr>
      <w:r>
        <w:rPr>
          <w:rFonts w:hint="eastAsia"/>
          <w:szCs w:val="22"/>
        </w:rPr>
        <w:t>e）投标人有违约违规行为或被投诉、举报的，在调查处理期间，保证金暂不退还，待调查处理结束后按有关规定处理。</w:t>
      </w:r>
    </w:p>
    <w:p w14:paraId="31A6BAC8">
      <w:pPr>
        <w:pStyle w:val="6"/>
        <w:spacing w:line="360" w:lineRule="auto"/>
        <w:ind w:firstLine="420" w:firstLineChars="200"/>
        <w:rPr>
          <w:rFonts w:hint="eastAsia" w:eastAsia="宋体"/>
          <w:lang w:eastAsia="zh-CN"/>
        </w:rPr>
      </w:pPr>
      <w:r>
        <w:rPr>
          <w:rFonts w:hint="eastAsia"/>
        </w:rPr>
        <w:t>2.开</w:t>
      </w:r>
      <w:r>
        <w:rPr>
          <w:rFonts w:hint="eastAsia"/>
          <w:lang w:val="en-US" w:eastAsia="zh-CN"/>
        </w:rPr>
        <w:t>评标：评标方法：资质标审核→技术方案讲解→商务标评审。原则上选取合理最低价中标。</w:t>
      </w:r>
    </w:p>
    <w:p w14:paraId="1E0D3F70">
      <w:pPr>
        <w:pStyle w:val="6"/>
        <w:spacing w:line="360" w:lineRule="auto"/>
        <w:ind w:firstLine="420" w:firstLineChars="200"/>
        <w:rPr>
          <w:rFonts w:hint="eastAsia"/>
        </w:rPr>
      </w:pPr>
      <w:r>
        <w:rPr>
          <w:rFonts w:hint="eastAsia"/>
        </w:rPr>
        <w:t>本次招标采用</w:t>
      </w:r>
      <w:bookmarkStart w:id="2" w:name="_Toc33266951"/>
      <w:bookmarkStart w:id="3" w:name="_Toc33285489"/>
      <w:bookmarkStart w:id="4" w:name="_Toc33266915"/>
      <w:bookmarkStart w:id="5" w:name="_Toc33266628"/>
      <w:bookmarkStart w:id="6" w:name="_Toc33265654"/>
      <w:bookmarkStart w:id="7" w:name="_Toc33267002"/>
      <w:bookmarkStart w:id="8" w:name="_Toc33265753"/>
      <w:bookmarkStart w:id="9" w:name="_Toc395116634"/>
      <w:r>
        <w:rPr>
          <w:rFonts w:hint="eastAsia"/>
          <w:b/>
          <w:bCs/>
        </w:rPr>
        <w:t>技术</w:t>
      </w:r>
      <w:r>
        <w:rPr>
          <w:rFonts w:hint="eastAsia"/>
          <w:b/>
          <w:bCs/>
          <w:lang w:val="en-US" w:eastAsia="zh-CN"/>
        </w:rPr>
        <w:t>方案讲解</w:t>
      </w:r>
      <w:r>
        <w:rPr>
          <w:rFonts w:hint="eastAsia"/>
          <w:b/>
          <w:bCs/>
        </w:rPr>
        <w:t>后</w:t>
      </w:r>
      <w:r>
        <w:rPr>
          <w:rFonts w:hint="eastAsia"/>
        </w:rPr>
        <w:t>，原则上</w:t>
      </w:r>
      <w:r>
        <w:rPr>
          <w:rFonts w:hint="eastAsia"/>
          <w:b/>
          <w:bCs/>
        </w:rPr>
        <w:t>合理最低价</w:t>
      </w:r>
      <w:r>
        <w:rPr>
          <w:rFonts w:hint="eastAsia"/>
        </w:rPr>
        <w:t>中标。本着公平、公正、公开的原则，在满足技术要求的前提下，选择合理最低价确定中标人，对未中标单位不做任何解释。</w:t>
      </w:r>
    </w:p>
    <w:bookmarkEnd w:id="2"/>
    <w:bookmarkEnd w:id="3"/>
    <w:bookmarkEnd w:id="4"/>
    <w:bookmarkEnd w:id="5"/>
    <w:bookmarkEnd w:id="6"/>
    <w:bookmarkEnd w:id="7"/>
    <w:bookmarkEnd w:id="8"/>
    <w:bookmarkEnd w:id="9"/>
    <w:p w14:paraId="7D476C92">
      <w:pPr>
        <w:pStyle w:val="6"/>
        <w:spacing w:line="360" w:lineRule="auto"/>
        <w:ind w:firstLine="420" w:firstLineChars="200"/>
        <w:rPr>
          <w:rFonts w:hint="eastAsia"/>
        </w:rPr>
      </w:pPr>
      <w:r>
        <w:rPr>
          <w:rFonts w:hint="eastAsia"/>
        </w:rPr>
        <w:t>评标流程：</w:t>
      </w:r>
    </w:p>
    <w:p w14:paraId="381D28C8">
      <w:pPr>
        <w:pStyle w:val="6"/>
        <w:spacing w:line="360" w:lineRule="auto"/>
        <w:ind w:firstLine="420" w:firstLineChars="200"/>
        <w:rPr>
          <w:rFonts w:hint="eastAsia"/>
        </w:rPr>
      </w:pPr>
      <w:r>
        <w:rPr>
          <w:rFonts w:hint="eastAsia"/>
        </w:rPr>
        <w:t>投标文件包含《投标文件（资质标）》、《投标文件（技术标）》、《投标文件（商务标）》（开标一览表），共计三个文件。</w:t>
      </w:r>
    </w:p>
    <w:p w14:paraId="51B2515A">
      <w:pPr>
        <w:pStyle w:val="6"/>
        <w:spacing w:line="360" w:lineRule="auto"/>
        <w:ind w:firstLine="420" w:firstLineChars="200"/>
        <w:rPr>
          <w:rFonts w:hint="eastAsia"/>
        </w:rPr>
      </w:pPr>
      <w:r>
        <w:rPr>
          <w:rFonts w:hint="eastAsia"/>
        </w:rPr>
        <w:t>应标资格审查：在“中国重汽e采通”应标报名时，按照</w:t>
      </w:r>
      <w:r>
        <w:rPr>
          <w:rFonts w:hint="eastAsia"/>
          <w:lang w:val="en-US" w:eastAsia="zh-CN"/>
        </w:rPr>
        <w:t>前文应</w:t>
      </w:r>
      <w:r>
        <w:rPr>
          <w:rFonts w:hint="eastAsia"/>
        </w:rPr>
        <w:t>标文件组成资格证明文件中的</w:t>
      </w:r>
      <w:r>
        <w:rPr>
          <w:rFonts w:hint="eastAsia"/>
          <w:lang w:val="en-US" w:eastAsia="zh-CN"/>
        </w:rPr>
        <w:t>要求准备</w:t>
      </w:r>
      <w:r>
        <w:rPr>
          <w:rFonts w:hint="eastAsia"/>
        </w:rPr>
        <w:t>资料，上传完毕后，等待审核；</w:t>
      </w:r>
    </w:p>
    <w:p w14:paraId="40E7DB96">
      <w:pPr>
        <w:pStyle w:val="6"/>
        <w:spacing w:line="360" w:lineRule="auto"/>
        <w:ind w:firstLine="420" w:firstLineChars="200"/>
        <w:rPr>
          <w:rFonts w:hint="eastAsia"/>
        </w:rPr>
      </w:pPr>
      <w:r>
        <w:rPr>
          <w:rFonts w:hint="eastAsia"/>
        </w:rPr>
        <w:t>通过应标资格审查的单位进入投标环节，按照“SRM系统供应商用户手册”，在重汽e采通平台投递电子标书（包含资质标、技术标、商务标）；没有通过应标资质审查的单位不能进入投标环节；</w:t>
      </w:r>
    </w:p>
    <w:p w14:paraId="19DFE6EE">
      <w:pPr>
        <w:pStyle w:val="6"/>
        <w:spacing w:line="360" w:lineRule="auto"/>
        <w:ind w:firstLine="420" w:firstLineChars="200"/>
        <w:rPr>
          <w:rFonts w:hint="eastAsia"/>
        </w:rPr>
      </w:pPr>
      <w:r>
        <w:rPr>
          <w:rFonts w:hint="eastAsia"/>
        </w:rPr>
        <w:t>资质标评审：资质标审核通过的单位，可以进入公开唱标环节；</w:t>
      </w:r>
    </w:p>
    <w:p w14:paraId="3DAAFF58">
      <w:pPr>
        <w:pStyle w:val="6"/>
        <w:spacing w:line="360" w:lineRule="auto"/>
        <w:ind w:firstLine="420" w:firstLineChars="200"/>
        <w:rPr>
          <w:rFonts w:hint="eastAsia"/>
        </w:rPr>
      </w:pPr>
      <w:r>
        <w:rPr>
          <w:rFonts w:hint="eastAsia"/>
        </w:rPr>
        <w:t>公开唱标：公示资质标入围单位的开标价格及商务条款响应情况；</w:t>
      </w:r>
    </w:p>
    <w:p w14:paraId="3A851DFE">
      <w:pPr>
        <w:pStyle w:val="6"/>
        <w:spacing w:line="360" w:lineRule="auto"/>
        <w:ind w:firstLine="420" w:firstLineChars="200"/>
        <w:rPr>
          <w:rFonts w:hint="eastAsia"/>
        </w:rPr>
      </w:pPr>
      <w:r>
        <w:rPr>
          <w:rFonts w:hint="eastAsia"/>
        </w:rPr>
        <w:t>商务标评审：公开唱标→商务条款相应确认→价格澄清→商务标评审；评审期间产生的商务价格澄清均由投标人在重汽e采通平台限时内完成提交；</w:t>
      </w:r>
    </w:p>
    <w:p w14:paraId="1FDC7BCE">
      <w:pPr>
        <w:pStyle w:val="6"/>
        <w:spacing w:line="360" w:lineRule="auto"/>
        <w:ind w:firstLine="420" w:firstLineChars="200"/>
        <w:rPr>
          <w:rFonts w:hint="eastAsia"/>
        </w:rPr>
      </w:pPr>
      <w:r>
        <w:rPr>
          <w:rFonts w:hint="eastAsia"/>
        </w:rPr>
        <w:t>注意：投标人均需要自带笔记本电脑在重汽e采通进行自主投标和提交澄清函；投标和提交澄清函均有时间限制，超时未提交的按无效处理。</w:t>
      </w:r>
    </w:p>
    <w:p w14:paraId="68866234">
      <w:pPr>
        <w:pStyle w:val="6"/>
        <w:spacing w:line="360" w:lineRule="auto"/>
        <w:ind w:firstLine="420" w:firstLineChars="200"/>
        <w:rPr>
          <w:rFonts w:hint="eastAsia"/>
        </w:rPr>
      </w:pPr>
      <w:r>
        <w:rPr>
          <w:rFonts w:hint="eastAsia"/>
        </w:rPr>
        <w:t>中标人确定：技术</w:t>
      </w:r>
      <w:r>
        <w:rPr>
          <w:rFonts w:hint="eastAsia"/>
          <w:lang w:val="en-US" w:eastAsia="zh-CN"/>
        </w:rPr>
        <w:t>方案讲解</w:t>
      </w:r>
      <w:r>
        <w:rPr>
          <w:rFonts w:hint="eastAsia"/>
        </w:rPr>
        <w:t>后，原则上合理最低价中标。</w:t>
      </w:r>
    </w:p>
    <w:p w14:paraId="50B9A27E">
      <w:pPr>
        <w:pStyle w:val="6"/>
        <w:spacing w:line="360" w:lineRule="auto"/>
        <w:ind w:firstLine="420" w:firstLineChars="200"/>
        <w:rPr>
          <w:rFonts w:hint="eastAsia"/>
        </w:rPr>
      </w:pPr>
      <w:r>
        <w:rPr>
          <w:rFonts w:hint="eastAsia"/>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变更意向中标人。</w:t>
      </w:r>
    </w:p>
    <w:p w14:paraId="42C5A85E">
      <w:pPr>
        <w:pStyle w:val="6"/>
        <w:spacing w:line="360" w:lineRule="auto"/>
        <w:rPr>
          <w:rFonts w:hint="eastAsia" w:ascii="黑体" w:eastAsia="黑体"/>
          <w:b/>
          <w:bCs/>
          <w:sz w:val="28"/>
        </w:rPr>
      </w:pPr>
      <w:r>
        <w:rPr>
          <w:rFonts w:hint="eastAsia" w:ascii="黑体" w:eastAsia="黑体"/>
          <w:b/>
          <w:bCs/>
          <w:sz w:val="28"/>
        </w:rPr>
        <w:t>八、合同签订</w:t>
      </w:r>
    </w:p>
    <w:p w14:paraId="32961A20">
      <w:pPr>
        <w:spacing w:line="360" w:lineRule="auto"/>
        <w:ind w:right="2" w:firstLine="420" w:firstLineChars="200"/>
        <w:rPr>
          <w:rFonts w:hint="eastAsia" w:ascii="宋体" w:hAnsi="Courier New"/>
          <w:szCs w:val="22"/>
        </w:rPr>
      </w:pPr>
      <w:r>
        <w:rPr>
          <w:rFonts w:hint="eastAsia" w:ascii="宋体" w:hAnsi="Courier New"/>
          <w:szCs w:val="22"/>
        </w:rPr>
        <w:t>1.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14:paraId="474CF3C6">
      <w:pPr>
        <w:spacing w:line="360" w:lineRule="auto"/>
        <w:ind w:right="2" w:firstLine="420" w:firstLineChars="200"/>
        <w:rPr>
          <w:rFonts w:hint="eastAsia" w:ascii="宋体" w:hAnsi="Courier New"/>
          <w:szCs w:val="22"/>
        </w:rPr>
      </w:pPr>
      <w:r>
        <w:rPr>
          <w:rFonts w:hint="eastAsia" w:ascii="宋体" w:hAnsi="Courier New"/>
          <w:szCs w:val="22"/>
        </w:rPr>
        <w:t>2.招标人发送《中标通知书》给中标人，中标人应及时与招标人联系，在招标人要求的时间内完成合同签订，如果中标人接到《中标通知书》后，无正当理由拒绝按其规定的期限与相关单位签订合同或在签订合同时向招标人或相关单位提出附加条件或者更改合同实质性内容的，投标保证金不予返还，招标人有权取消其中标资格，招标人将从剩余投标人中依序重新确定中标人，或重新组织招标。</w:t>
      </w:r>
    </w:p>
    <w:p w14:paraId="18525E58">
      <w:pPr>
        <w:spacing w:line="360" w:lineRule="auto"/>
        <w:ind w:right="2" w:firstLine="420" w:firstLineChars="200"/>
        <w:rPr>
          <w:rFonts w:hint="eastAsia" w:ascii="宋体" w:hAnsi="Courier New"/>
          <w:szCs w:val="22"/>
        </w:rPr>
      </w:pPr>
      <w:r>
        <w:rPr>
          <w:rFonts w:hint="eastAsia" w:ascii="宋体" w:hAnsi="Courier New"/>
          <w:szCs w:val="22"/>
        </w:rPr>
        <w:t>3.中标人应当按照合同约定的履约责任，向招标人指定的合同签订单位缴纳履约保证金/万元（具体数额以合同约定为准），如中标人未按合同及其附件约定履行应承担的责任，招标人或招标人指定的合同签订单位有权扣除其履约保证金。</w:t>
      </w:r>
    </w:p>
    <w:p w14:paraId="44A981DB">
      <w:pPr>
        <w:spacing w:line="360" w:lineRule="auto"/>
        <w:ind w:right="2" w:firstLine="420" w:firstLineChars="200"/>
        <w:rPr>
          <w:rFonts w:hint="eastAsia" w:ascii="宋体" w:hAnsi="Courier New"/>
          <w:szCs w:val="22"/>
        </w:rPr>
      </w:pPr>
      <w:r>
        <w:rPr>
          <w:rFonts w:hint="eastAsia" w:ascii="宋体" w:hAnsi="Courier New"/>
          <w:szCs w:val="22"/>
        </w:rPr>
        <w:t>4.中标人应在保证质量的前提下完成中标项目，不得将中标项目转包或分包给他人，否则视为违约，招标人或相关单位有权解除合同。</w:t>
      </w:r>
    </w:p>
    <w:p w14:paraId="2FA51A95">
      <w:pPr>
        <w:spacing w:line="360" w:lineRule="auto"/>
        <w:ind w:right="2" w:firstLine="420" w:firstLineChars="200"/>
        <w:rPr>
          <w:rFonts w:hint="eastAsia" w:ascii="宋体" w:hAnsi="Courier New"/>
          <w:szCs w:val="22"/>
        </w:rPr>
      </w:pPr>
      <w:r>
        <w:rPr>
          <w:rFonts w:hint="eastAsia" w:ascii="宋体" w:hAnsi="Courier New"/>
          <w:szCs w:val="22"/>
        </w:rPr>
        <w:t>5.中标人由于履行义务的能力或信用有严重缺陷，招标人有权取消其中标资格，招标人将从剩余投标人中依序重新确定中标人，或重新组织招标。</w:t>
      </w:r>
    </w:p>
    <w:p w14:paraId="4D235229">
      <w:pPr>
        <w:spacing w:line="360" w:lineRule="auto"/>
        <w:ind w:right="2" w:firstLine="420" w:firstLineChars="200"/>
        <w:rPr>
          <w:rFonts w:hint="eastAsia" w:ascii="宋体" w:hAnsi="Courier New"/>
          <w:szCs w:val="22"/>
        </w:rPr>
      </w:pPr>
      <w:r>
        <w:rPr>
          <w:rFonts w:hint="eastAsia" w:ascii="宋体" w:hAnsi="Courier New"/>
          <w:szCs w:val="22"/>
        </w:rPr>
        <w:t>6.与中标人签署相关合同，且具体权利义务以双方最终签署的合同为准。</w:t>
      </w:r>
    </w:p>
    <w:p w14:paraId="0E21A185">
      <w:pPr>
        <w:spacing w:line="360" w:lineRule="auto"/>
        <w:ind w:right="2" w:firstLine="420" w:firstLineChars="200"/>
        <w:rPr>
          <w:rFonts w:hint="eastAsia" w:ascii="宋体" w:hAnsi="Courier New"/>
          <w:szCs w:val="22"/>
        </w:rPr>
      </w:pPr>
      <w:r>
        <w:rPr>
          <w:rFonts w:hint="eastAsia" w:ascii="宋体" w:hAnsi="Courier New"/>
          <w:szCs w:val="22"/>
        </w:rPr>
        <w:t>7.中标人须认可由于招标人上级集团公司政策变化引起的合同签订前终止项目的要求。</w:t>
      </w:r>
    </w:p>
    <w:p w14:paraId="01C07833">
      <w:pPr>
        <w:pStyle w:val="6"/>
        <w:spacing w:line="360" w:lineRule="auto"/>
        <w:rPr>
          <w:rFonts w:hint="eastAsia" w:ascii="黑体" w:eastAsia="黑体"/>
          <w:b/>
          <w:bCs/>
          <w:sz w:val="28"/>
        </w:rPr>
      </w:pPr>
    </w:p>
    <w:p w14:paraId="2B4F185B">
      <w:pPr>
        <w:pStyle w:val="6"/>
        <w:spacing w:line="360" w:lineRule="auto"/>
        <w:rPr>
          <w:rFonts w:hint="eastAsia" w:ascii="黑体" w:eastAsia="黑体"/>
          <w:b/>
          <w:bCs/>
          <w:sz w:val="28"/>
        </w:rPr>
      </w:pPr>
      <w:r>
        <w:rPr>
          <w:rFonts w:hint="eastAsia" w:ascii="黑体" w:eastAsia="黑体"/>
          <w:b/>
          <w:bCs/>
          <w:sz w:val="28"/>
        </w:rPr>
        <w:t>九、废标及终止招标</w:t>
      </w:r>
    </w:p>
    <w:p w14:paraId="203468CD">
      <w:pPr>
        <w:spacing w:line="360" w:lineRule="auto"/>
        <w:ind w:right="2" w:firstLine="420" w:firstLineChars="200"/>
        <w:rPr>
          <w:rFonts w:hint="eastAsia" w:ascii="宋体" w:hAnsi="Courier New"/>
        </w:rPr>
      </w:pPr>
      <w:r>
        <w:rPr>
          <w:rFonts w:hint="eastAsia" w:ascii="宋体" w:hAnsi="Courier New"/>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539A4763">
      <w:pPr>
        <w:spacing w:line="360" w:lineRule="auto"/>
        <w:ind w:right="2" w:firstLine="420" w:firstLineChars="200"/>
        <w:jc w:val="left"/>
        <w:rPr>
          <w:rFonts w:hint="eastAsia" w:ascii="宋体" w:hAnsi="Courier New"/>
        </w:rPr>
      </w:pPr>
      <w:r>
        <w:rPr>
          <w:rFonts w:hint="eastAsia" w:ascii="宋体" w:hAnsi="宋体"/>
        </w:rPr>
        <w:t>⑴</w:t>
      </w:r>
      <w:r>
        <w:rPr>
          <w:rFonts w:hint="eastAsia" w:ascii="宋体" w:hAnsi="Courier New"/>
        </w:rPr>
        <w:t>投标人提供的有关资格、资质证明文件不合格、不真实或提供虚假投标材料；</w:t>
      </w:r>
    </w:p>
    <w:p w14:paraId="04A5377B">
      <w:pPr>
        <w:spacing w:line="360" w:lineRule="auto"/>
        <w:ind w:right="2" w:firstLine="420" w:firstLineChars="200"/>
        <w:jc w:val="left"/>
        <w:rPr>
          <w:rFonts w:hint="eastAsia" w:ascii="宋体" w:hAnsi="Courier New"/>
        </w:rPr>
      </w:pPr>
      <w:r>
        <w:rPr>
          <w:rFonts w:hint="eastAsia" w:ascii="宋体" w:hAnsi="宋体"/>
        </w:rPr>
        <w:t>⑵</w:t>
      </w:r>
      <w:r>
        <w:rPr>
          <w:rFonts w:hint="eastAsia" w:ascii="宋体" w:hAnsi="Courier New"/>
        </w:rPr>
        <w:t>投标人在报价有效期内撤回投标；</w:t>
      </w:r>
    </w:p>
    <w:p w14:paraId="5125FAE1">
      <w:pPr>
        <w:spacing w:line="360" w:lineRule="auto"/>
        <w:ind w:right="2" w:firstLine="420" w:firstLineChars="200"/>
        <w:jc w:val="left"/>
        <w:rPr>
          <w:rFonts w:hint="eastAsia" w:ascii="宋体" w:hAnsi="Courier New"/>
        </w:rPr>
      </w:pPr>
      <w:r>
        <w:rPr>
          <w:rFonts w:hint="eastAsia" w:ascii="宋体" w:hAnsi="宋体"/>
        </w:rPr>
        <w:t>⑶</w:t>
      </w:r>
      <w:r>
        <w:rPr>
          <w:rFonts w:hint="eastAsia" w:ascii="宋体" w:hAnsi="Courier New"/>
        </w:rPr>
        <w:t>在整个评标过程中，投标人有企图影响评标结果公正性的任何活动；</w:t>
      </w:r>
    </w:p>
    <w:p w14:paraId="69FCA9BE">
      <w:pPr>
        <w:spacing w:line="360" w:lineRule="auto"/>
        <w:ind w:right="2" w:firstLine="420" w:firstLineChars="200"/>
        <w:jc w:val="left"/>
        <w:rPr>
          <w:rFonts w:hint="eastAsia" w:ascii="宋体" w:hAnsi="Courier New"/>
        </w:rPr>
      </w:pPr>
      <w:r>
        <w:rPr>
          <w:rFonts w:hint="eastAsia" w:ascii="宋体" w:hAnsi="宋体"/>
        </w:rPr>
        <w:t>⑷</w:t>
      </w:r>
      <w:r>
        <w:rPr>
          <w:rFonts w:hint="eastAsia" w:ascii="宋体" w:hAnsi="Courier New"/>
        </w:rPr>
        <w:t>投标人以任何方式诋毁其他投标人；</w:t>
      </w:r>
    </w:p>
    <w:p w14:paraId="14E616AB">
      <w:pPr>
        <w:spacing w:line="360" w:lineRule="auto"/>
        <w:ind w:right="2" w:firstLine="420" w:firstLineChars="200"/>
        <w:jc w:val="left"/>
        <w:rPr>
          <w:rFonts w:hint="eastAsia" w:ascii="宋体" w:hAnsi="Courier New"/>
        </w:rPr>
      </w:pPr>
      <w:r>
        <w:rPr>
          <w:rFonts w:hint="eastAsia" w:ascii="宋体" w:hAnsi="宋体"/>
        </w:rPr>
        <w:t>⑸</w:t>
      </w:r>
      <w:r>
        <w:rPr>
          <w:rFonts w:hint="eastAsia" w:ascii="宋体" w:hAnsi="Courier New"/>
        </w:rPr>
        <w:t>投标人串通投标；</w:t>
      </w:r>
    </w:p>
    <w:p w14:paraId="27EFDFCA">
      <w:pPr>
        <w:spacing w:line="360" w:lineRule="auto"/>
        <w:ind w:right="2" w:firstLine="420" w:firstLineChars="200"/>
        <w:jc w:val="left"/>
        <w:rPr>
          <w:rFonts w:hint="eastAsia" w:ascii="宋体" w:hAnsi="Courier New"/>
        </w:rPr>
      </w:pPr>
      <w:r>
        <w:rPr>
          <w:rFonts w:hint="eastAsia" w:ascii="宋体" w:hAnsi="宋体"/>
        </w:rPr>
        <w:t>⑹</w:t>
      </w:r>
      <w:r>
        <w:rPr>
          <w:rFonts w:hint="eastAsia" w:ascii="宋体" w:hAnsi="Courier New"/>
        </w:rPr>
        <w:t>以他人名义投标或者以其他方式弄虚作假，骗取中标的；</w:t>
      </w:r>
    </w:p>
    <w:p w14:paraId="7A9931C0">
      <w:pPr>
        <w:spacing w:line="360" w:lineRule="auto"/>
        <w:ind w:right="2" w:firstLine="420" w:firstLineChars="200"/>
        <w:jc w:val="left"/>
        <w:rPr>
          <w:rFonts w:hint="eastAsia"/>
        </w:rPr>
      </w:pPr>
      <w:r>
        <w:rPr>
          <w:rFonts w:hint="eastAsia" w:ascii="宋体" w:hAnsi="宋体"/>
        </w:rPr>
        <w:t>⑺</w:t>
      </w:r>
      <w:r>
        <w:rPr>
          <w:rFonts w:hint="eastAsia" w:ascii="宋体" w:hAnsi="Courier New"/>
        </w:rPr>
        <w:t>中标人不按规定签订合同；</w:t>
      </w:r>
    </w:p>
    <w:p w14:paraId="41CA46AA">
      <w:pPr>
        <w:spacing w:line="360" w:lineRule="auto"/>
        <w:ind w:right="2" w:firstLine="420" w:firstLineChars="200"/>
        <w:jc w:val="left"/>
        <w:rPr>
          <w:rFonts w:hint="eastAsia" w:ascii="宋体" w:hAnsi="宋体"/>
        </w:rPr>
      </w:pPr>
      <w:r>
        <w:rPr>
          <w:rFonts w:hint="eastAsia" w:ascii="宋体" w:hAnsi="宋体"/>
        </w:rPr>
        <w:t>⑻投标单位负责人为同一人或者存在控股、管理关系的；</w:t>
      </w:r>
    </w:p>
    <w:p w14:paraId="1A7E2E3A">
      <w:pPr>
        <w:tabs>
          <w:tab w:val="left" w:pos="560"/>
        </w:tabs>
        <w:spacing w:line="360" w:lineRule="auto"/>
        <w:ind w:right="2" w:firstLine="420" w:firstLineChars="200"/>
        <w:jc w:val="left"/>
        <w:rPr>
          <w:rFonts w:hint="eastAsia" w:ascii="宋体" w:hAnsi="宋体"/>
        </w:rPr>
      </w:pPr>
      <w:r>
        <w:rPr>
          <w:rFonts w:hint="eastAsia" w:ascii="宋体" w:hAnsi="宋体"/>
        </w:rPr>
        <w:fldChar w:fldCharType="begin"/>
      </w:r>
      <w:r>
        <w:rPr>
          <w:rFonts w:hint="eastAsia" w:ascii="宋体" w:hAnsi="宋体"/>
        </w:rPr>
        <w:instrText xml:space="preserve"> = 9 \* GB2 \* MERGEFORMAT </w:instrText>
      </w:r>
      <w:r>
        <w:rPr>
          <w:rFonts w:hint="eastAsia" w:ascii="宋体" w:hAnsi="宋体"/>
        </w:rPr>
        <w:fldChar w:fldCharType="separate"/>
      </w:r>
      <w:r>
        <w:t>⑼</w:t>
      </w:r>
      <w:r>
        <w:rPr>
          <w:rFonts w:hint="eastAsia" w:ascii="宋体" w:hAnsi="宋体"/>
        </w:rPr>
        <w:fldChar w:fldCharType="end"/>
      </w:r>
      <w:r>
        <w:rPr>
          <w:rFonts w:hint="eastAsia" w:ascii="宋体" w:hAnsi="宋体"/>
        </w:rPr>
        <w:t>被其他投标人举报、检举，并经查实属实的</w:t>
      </w:r>
    </w:p>
    <w:p w14:paraId="04A82986">
      <w:pPr>
        <w:spacing w:line="360" w:lineRule="auto"/>
        <w:ind w:right="2" w:firstLine="420" w:firstLineChars="200"/>
        <w:jc w:val="left"/>
        <w:rPr>
          <w:rFonts w:hint="default" w:eastAsia="宋体"/>
          <w:lang w:val="en-US" w:eastAsia="zh-CN"/>
        </w:rPr>
      </w:pPr>
      <w:r>
        <w:rPr>
          <w:rFonts w:hint="eastAsia" w:ascii="宋体" w:hAnsi="Courier New"/>
        </w:rPr>
        <w:fldChar w:fldCharType="begin"/>
      </w:r>
      <w:r>
        <w:rPr>
          <w:rFonts w:hint="eastAsia" w:ascii="宋体" w:hAnsi="Courier New"/>
        </w:rPr>
        <w:instrText xml:space="preserve"> = 10 \* GB2 \* MERGEFORMAT </w:instrText>
      </w:r>
      <w:r>
        <w:rPr>
          <w:rFonts w:hint="eastAsia" w:ascii="宋体" w:hAnsi="Courier New"/>
        </w:rPr>
        <w:fldChar w:fldCharType="separate"/>
      </w:r>
      <w:r>
        <w:t>⑽</w:t>
      </w:r>
      <w:r>
        <w:rPr>
          <w:rFonts w:hint="eastAsia" w:ascii="宋体" w:hAnsi="Courier New"/>
        </w:rPr>
        <w:fldChar w:fldCharType="end"/>
      </w:r>
      <w:r>
        <w:rPr>
          <w:rFonts w:hint="eastAsia" w:ascii="宋体" w:hAnsi="Courier New"/>
        </w:rPr>
        <w:t>法律、法规规定的其他情况。</w:t>
      </w:r>
    </w:p>
    <w:p w14:paraId="0A648D2C">
      <w:pPr>
        <w:spacing w:line="360" w:lineRule="auto"/>
        <w:ind w:right="2" w:firstLine="420" w:firstLineChars="200"/>
        <w:rPr>
          <w:rFonts w:hint="eastAsia" w:ascii="宋体" w:hAnsi="Courier New"/>
        </w:rPr>
      </w:pPr>
      <w:r>
        <w:rPr>
          <w:rFonts w:hint="eastAsia" w:ascii="宋体" w:hAnsi="Courier New"/>
        </w:rPr>
        <w:t>2.出现下列情形之一，招标人有权否决所有投标人的投标，并终止招标。</w:t>
      </w:r>
    </w:p>
    <w:p w14:paraId="7867B67B">
      <w:pPr>
        <w:spacing w:line="360" w:lineRule="auto"/>
        <w:ind w:right="2" w:firstLine="420" w:firstLineChars="200"/>
        <w:rPr>
          <w:rFonts w:hint="eastAsia" w:ascii="宋体" w:hAnsi="Courier New"/>
        </w:rPr>
      </w:pPr>
      <w:r>
        <w:rPr>
          <w:rFonts w:hint="eastAsia" w:ascii="宋体" w:hAnsi="Courier New"/>
        </w:rPr>
        <w:t>⑴出现影响采购公正的违法、违规行为的。</w:t>
      </w:r>
    </w:p>
    <w:p w14:paraId="15F57AF9">
      <w:pPr>
        <w:spacing w:line="360" w:lineRule="auto"/>
        <w:ind w:right="2" w:firstLine="420" w:firstLineChars="200"/>
        <w:rPr>
          <w:rFonts w:hint="eastAsia" w:ascii="宋体" w:hAnsi="Courier New"/>
        </w:rPr>
      </w:pPr>
      <w:r>
        <w:rPr>
          <w:rFonts w:hint="eastAsia" w:ascii="宋体" w:hAnsi="Courier New"/>
        </w:rPr>
        <w:t>⑵因重大变故，采购任务取消的。</w:t>
      </w:r>
    </w:p>
    <w:p w14:paraId="78525B85">
      <w:pPr>
        <w:spacing w:line="360" w:lineRule="auto"/>
        <w:ind w:right="2" w:firstLine="420" w:firstLineChars="200"/>
        <w:rPr>
          <w:rFonts w:hint="eastAsia" w:ascii="宋体" w:hAnsi="宋体"/>
        </w:rPr>
      </w:pPr>
      <w:r>
        <w:rPr>
          <w:rFonts w:hint="eastAsia" w:ascii="宋体" w:hAnsi="宋体"/>
        </w:rPr>
        <w:t>⑶招标人认为其他应终止招标的情形。</w:t>
      </w:r>
    </w:p>
    <w:p w14:paraId="7220B219">
      <w:pPr>
        <w:numPr>
          <w:ilvl w:val="0"/>
          <w:numId w:val="6"/>
        </w:numPr>
        <w:spacing w:line="360" w:lineRule="auto"/>
        <w:ind w:right="2" w:firstLine="420" w:firstLineChars="200"/>
        <w:rPr>
          <w:rFonts w:hint="default" w:ascii="宋体" w:hAnsi="宋体"/>
          <w:lang w:val="en-US" w:eastAsia="zh-CN"/>
        </w:rPr>
      </w:pPr>
      <w:r>
        <w:rPr>
          <w:rFonts w:hint="eastAsia" w:ascii="宋体" w:hAnsi="宋体"/>
          <w:lang w:val="en-US" w:eastAsia="zh-CN"/>
        </w:rPr>
        <w:t>终止招标条款补充：（1）符合条件的投标人或者对招标文件做实质响应的投标人不足三家的；（2）评标委员会经评审，认为所有投标都不符合招标文件要求的；（3）投标人承诺并同意因招标人公司政策变化引起的随时终止项目的情形，并自行承担由此带来的一切损失。</w:t>
      </w:r>
    </w:p>
    <w:p w14:paraId="52B21C84">
      <w:pPr>
        <w:pStyle w:val="6"/>
        <w:spacing w:line="360" w:lineRule="auto"/>
        <w:rPr>
          <w:rFonts w:ascii="黑体" w:eastAsia="黑体"/>
          <w:b/>
          <w:bCs/>
          <w:sz w:val="28"/>
        </w:rPr>
      </w:pPr>
      <w:r>
        <w:rPr>
          <w:rFonts w:hint="eastAsia" w:ascii="黑体" w:eastAsia="黑体"/>
          <w:b/>
          <w:bCs/>
          <w:sz w:val="28"/>
        </w:rPr>
        <w:t>十、中标人瑕疵滞后发现的处理原则</w:t>
      </w:r>
    </w:p>
    <w:p w14:paraId="62014A66">
      <w:pPr>
        <w:spacing w:line="360" w:lineRule="auto"/>
        <w:ind w:right="2" w:firstLine="420" w:firstLineChars="200"/>
        <w:rPr>
          <w:rFonts w:hint="eastAsia" w:ascii="宋体" w:hAnsi="Courier New" w:eastAsia="宋体"/>
          <w:lang w:eastAsia="zh-CN"/>
        </w:rPr>
      </w:pPr>
      <w:r>
        <w:rPr>
          <w:rFonts w:hint="eastAsia" w:ascii="宋体" w:hAnsi="Courier New"/>
        </w:rPr>
        <w:t>无论基于何种原因，各项本应作为拒绝处理的情形即便未被及时发现而使该中标人通过了资格审核、初评、现场复审、终评或其他所有相关程序，包括已签订合同的情形</w:t>
      </w:r>
      <w:r>
        <w:rPr>
          <w:rFonts w:hint="eastAsia" w:ascii="宋体" w:hAnsi="Courier New"/>
          <w:lang w:eastAsia="zh-CN"/>
        </w:rPr>
        <w:t>。</w:t>
      </w:r>
      <w:r>
        <w:rPr>
          <w:rFonts w:hint="eastAsia" w:ascii="宋体" w:hAnsi="Courier New"/>
        </w:rPr>
        <w:t>已签订合同的情形，招标人均有权拒绝或取消中标人资格，一旦中标人被拒绝或该中标人此前的评议结果被取消，相关的一切损失均由该中标人承担。本次招标最终解释权归中国重汽集团济南橡塑件有限公司</w:t>
      </w:r>
      <w:r>
        <w:rPr>
          <w:rFonts w:hint="eastAsia" w:ascii="宋体" w:hAnsi="Courier New"/>
          <w:lang w:eastAsia="zh-CN"/>
        </w:rPr>
        <w:t>。</w:t>
      </w:r>
    </w:p>
    <w:p w14:paraId="0BC144CE">
      <w:pPr>
        <w:spacing w:line="360" w:lineRule="auto"/>
        <w:ind w:right="2" w:firstLine="420" w:firstLineChars="200"/>
        <w:rPr>
          <w:rFonts w:hint="eastAsia" w:ascii="宋体" w:hAnsi="Courier New"/>
        </w:rPr>
      </w:pPr>
    </w:p>
    <w:p w14:paraId="132C0B87">
      <w:pPr>
        <w:pStyle w:val="6"/>
        <w:spacing w:line="360" w:lineRule="auto"/>
        <w:rPr>
          <w:rFonts w:hint="eastAsia" w:ascii="黑体" w:eastAsia="黑体"/>
          <w:b/>
          <w:bCs/>
          <w:sz w:val="28"/>
        </w:rPr>
      </w:pPr>
      <w:r>
        <w:rPr>
          <w:rFonts w:hint="eastAsia" w:ascii="黑体" w:eastAsia="黑体"/>
          <w:b/>
          <w:bCs/>
          <w:sz w:val="28"/>
        </w:rPr>
        <w:t>十一、技术要求</w:t>
      </w:r>
    </w:p>
    <w:p w14:paraId="29AA87AE">
      <w:pPr>
        <w:pStyle w:val="6"/>
        <w:spacing w:line="360" w:lineRule="auto"/>
        <w:ind w:left="420" w:hanging="420" w:hangingChars="200"/>
        <w:rPr>
          <w:rFonts w:hint="eastAsia"/>
        </w:rPr>
      </w:pPr>
      <w:r>
        <w:rPr>
          <w:rFonts w:hint="eastAsia"/>
        </w:rPr>
        <w:t xml:space="preserve">    见本招标文件“第三章 技术要求”，附后。</w:t>
      </w:r>
    </w:p>
    <w:p w14:paraId="1C1FA109">
      <w:pPr>
        <w:spacing w:line="360" w:lineRule="auto"/>
        <w:jc w:val="center"/>
        <w:outlineLvl w:val="0"/>
        <w:rPr>
          <w:rFonts w:hint="eastAsia" w:ascii="黑体" w:hAnsi="Courier New" w:eastAsia="黑体"/>
          <w:b/>
          <w:bCs/>
          <w:sz w:val="36"/>
          <w:szCs w:val="36"/>
        </w:rPr>
      </w:pPr>
    </w:p>
    <w:p w14:paraId="3242A589">
      <w:pPr>
        <w:spacing w:line="360" w:lineRule="auto"/>
        <w:jc w:val="center"/>
        <w:outlineLvl w:val="0"/>
        <w:rPr>
          <w:rFonts w:hint="eastAsia" w:ascii="黑体" w:hAnsi="Courier New" w:eastAsia="黑体"/>
          <w:b/>
          <w:bCs/>
          <w:sz w:val="36"/>
          <w:szCs w:val="36"/>
        </w:rPr>
      </w:pPr>
    </w:p>
    <w:p w14:paraId="421A3F88">
      <w:pPr>
        <w:rPr>
          <w:rFonts w:hint="eastAsia" w:ascii="黑体" w:hAnsi="Courier New" w:eastAsia="黑体"/>
          <w:b/>
          <w:bCs/>
          <w:sz w:val="36"/>
          <w:szCs w:val="36"/>
        </w:rPr>
      </w:pPr>
      <w:r>
        <w:rPr>
          <w:rFonts w:hint="eastAsia" w:ascii="黑体" w:hAnsi="Courier New" w:eastAsia="黑体"/>
          <w:b/>
          <w:bCs/>
          <w:sz w:val="36"/>
          <w:szCs w:val="36"/>
        </w:rPr>
        <w:br w:type="page"/>
      </w:r>
    </w:p>
    <w:p w14:paraId="1416B78C">
      <w:pPr>
        <w:spacing w:line="360" w:lineRule="auto"/>
        <w:jc w:val="center"/>
        <w:outlineLvl w:val="0"/>
        <w:rPr>
          <w:rFonts w:hint="eastAsia" w:ascii="黑体" w:hAnsi="Courier New" w:eastAsia="黑体"/>
          <w:b/>
          <w:bCs/>
          <w:sz w:val="36"/>
          <w:szCs w:val="36"/>
        </w:rPr>
      </w:pPr>
      <w:bookmarkStart w:id="10" w:name="_Toc10725"/>
      <w:r>
        <w:rPr>
          <w:rFonts w:hint="eastAsia" w:ascii="黑体" w:hAnsi="Courier New" w:eastAsia="黑体"/>
          <w:b/>
          <w:bCs/>
          <w:sz w:val="36"/>
          <w:szCs w:val="36"/>
        </w:rPr>
        <w:t>第二章  投标文件编制</w:t>
      </w:r>
      <w:bookmarkEnd w:id="10"/>
    </w:p>
    <w:p w14:paraId="6CA4258B">
      <w:pPr>
        <w:pStyle w:val="6"/>
        <w:spacing w:line="360" w:lineRule="auto"/>
        <w:rPr>
          <w:rFonts w:hint="eastAsia" w:ascii="黑体" w:hAnsi="黑体" w:eastAsia="黑体"/>
          <w:b/>
          <w:bCs/>
          <w:sz w:val="28"/>
          <w:szCs w:val="28"/>
        </w:rPr>
      </w:pPr>
      <w:r>
        <w:rPr>
          <w:rFonts w:hint="eastAsia" w:ascii="黑体" w:hAnsi="黑体" w:eastAsia="黑体"/>
          <w:b/>
          <w:bCs/>
          <w:sz w:val="28"/>
          <w:szCs w:val="28"/>
        </w:rPr>
        <w:t>一、投标文件签署</w:t>
      </w:r>
    </w:p>
    <w:p w14:paraId="2184261B">
      <w:pPr>
        <w:pStyle w:val="6"/>
        <w:spacing w:line="360" w:lineRule="auto"/>
        <w:ind w:firstLine="420" w:firstLineChars="200"/>
        <w:rPr>
          <w:rFonts w:hint="eastAsia" w:hAnsi="宋体"/>
          <w:szCs w:val="21"/>
        </w:rPr>
      </w:pPr>
      <w:r>
        <w:rPr>
          <w:rFonts w:hint="eastAsia" w:hAnsi="宋体"/>
          <w:szCs w:val="21"/>
        </w:rPr>
        <w:t>1.法定代表人或投标人授权代表必须按招标文件的规定在投标文件（正本、副本及各附件）、开标一览表上签字并加盖</w:t>
      </w:r>
      <w:r>
        <w:rPr>
          <w:rFonts w:hint="eastAsia" w:hAnsi="宋体"/>
          <w:b/>
          <w:bCs/>
          <w:szCs w:val="21"/>
        </w:rPr>
        <w:t>投标人单位公章</w:t>
      </w:r>
      <w:r>
        <w:rPr>
          <w:rFonts w:hint="eastAsia" w:hAnsi="宋体"/>
          <w:szCs w:val="21"/>
        </w:rPr>
        <w:t>，不得使用其它形式如带有“专用章”等字样的印章，否则投标将被视为无效。如投标人对投标文件进行了修改，则须由投标人的法定代表人或授权代表在修改的每一页上签字或加盖公章。</w:t>
      </w:r>
    </w:p>
    <w:p w14:paraId="438344B9">
      <w:pPr>
        <w:pStyle w:val="6"/>
        <w:spacing w:line="360" w:lineRule="auto"/>
        <w:ind w:firstLine="420" w:firstLineChars="200"/>
        <w:rPr>
          <w:rFonts w:hint="eastAsia" w:hAnsi="宋体"/>
          <w:szCs w:val="21"/>
        </w:rPr>
      </w:pPr>
      <w:r>
        <w:rPr>
          <w:rFonts w:hint="eastAsia" w:hAnsi="宋体"/>
          <w:szCs w:val="21"/>
        </w:rPr>
        <w:t>2.任何行间插字、涂改和增删，必须由投标人的法定代表人或授权代表签字或加盖公章后才有效。</w:t>
      </w:r>
    </w:p>
    <w:p w14:paraId="25667B96">
      <w:pPr>
        <w:pStyle w:val="6"/>
        <w:spacing w:line="360" w:lineRule="auto"/>
        <w:rPr>
          <w:rFonts w:ascii="黑体" w:hAnsi="黑体" w:eastAsia="黑体"/>
          <w:b/>
          <w:bCs/>
          <w:sz w:val="28"/>
          <w:szCs w:val="28"/>
        </w:rPr>
      </w:pPr>
      <w:r>
        <w:rPr>
          <w:rFonts w:hint="eastAsia" w:ascii="黑体" w:hAnsi="黑体" w:eastAsia="黑体"/>
          <w:b/>
          <w:bCs/>
          <w:sz w:val="28"/>
          <w:szCs w:val="28"/>
        </w:rPr>
        <w:t>二、投标文件的编制</w:t>
      </w:r>
    </w:p>
    <w:p w14:paraId="05042AAF">
      <w:pPr>
        <w:spacing w:line="336" w:lineRule="auto"/>
        <w:ind w:firstLine="461" w:firstLineChars="185"/>
        <w:rPr>
          <w:rFonts w:ascii="宋体" w:hAnsi="宋体"/>
          <w:b/>
          <w:spacing w:val="4"/>
          <w:sz w:val="24"/>
        </w:rPr>
      </w:pPr>
      <w:r>
        <w:rPr>
          <w:rFonts w:hint="eastAsia" w:ascii="宋体" w:hAnsi="宋体"/>
          <w:b/>
          <w:spacing w:val="4"/>
          <w:sz w:val="24"/>
        </w:rPr>
        <w:t>1. 投标的语言及计量单位</w:t>
      </w:r>
    </w:p>
    <w:p w14:paraId="12DFF7F8">
      <w:pPr>
        <w:spacing w:line="336" w:lineRule="auto"/>
        <w:ind w:firstLine="403" w:firstLineChars="185"/>
        <w:rPr>
          <w:rFonts w:ascii="宋体" w:hAnsi="宋体"/>
          <w:spacing w:val="4"/>
          <w:szCs w:val="21"/>
        </w:rPr>
      </w:pPr>
      <w:r>
        <w:rPr>
          <w:rFonts w:hint="eastAsia" w:ascii="宋体" w:hAnsi="宋体"/>
          <w:spacing w:val="4"/>
          <w:szCs w:val="21"/>
        </w:rPr>
        <w:t>1.l  由投标人编写的投标文件、投标交换的文件和往来信件应以中文书写。</w:t>
      </w:r>
    </w:p>
    <w:p w14:paraId="3D5EEEDD">
      <w:pPr>
        <w:spacing w:line="336" w:lineRule="auto"/>
        <w:ind w:firstLine="403" w:firstLineChars="185"/>
        <w:rPr>
          <w:rFonts w:ascii="宋体" w:hAnsi="宋体"/>
          <w:spacing w:val="4"/>
          <w:szCs w:val="21"/>
        </w:rPr>
      </w:pPr>
      <w:r>
        <w:rPr>
          <w:rFonts w:hint="eastAsia" w:ascii="宋体" w:hAnsi="宋体"/>
          <w:spacing w:val="4"/>
          <w:szCs w:val="21"/>
        </w:rPr>
        <w:t>1.2  投标文件中所使用的计量单位，除招标文件中有特殊要求外，应采用中华人民共和国国家法定计量单位。</w:t>
      </w:r>
    </w:p>
    <w:p w14:paraId="43416CCA">
      <w:pPr>
        <w:spacing w:line="336" w:lineRule="auto"/>
        <w:ind w:firstLine="461" w:firstLineChars="185"/>
        <w:rPr>
          <w:rFonts w:ascii="宋体" w:hAnsi="宋体"/>
          <w:b/>
          <w:spacing w:val="4"/>
          <w:sz w:val="24"/>
        </w:rPr>
      </w:pPr>
      <w:r>
        <w:rPr>
          <w:rFonts w:hint="eastAsia" w:ascii="宋体" w:hAnsi="宋体"/>
          <w:b/>
          <w:spacing w:val="4"/>
          <w:sz w:val="24"/>
        </w:rPr>
        <w:t>2. 投标文件构成</w:t>
      </w:r>
    </w:p>
    <w:p w14:paraId="5DEC8F3E">
      <w:pPr>
        <w:spacing w:line="336" w:lineRule="auto"/>
        <w:ind w:firstLine="403" w:firstLineChars="185"/>
        <w:rPr>
          <w:rFonts w:hint="eastAsia" w:ascii="宋体" w:hAnsi="宋体" w:cs="宋体"/>
          <w:spacing w:val="4"/>
          <w:szCs w:val="21"/>
        </w:rPr>
      </w:pPr>
      <w:r>
        <w:rPr>
          <w:rFonts w:hint="eastAsia" w:ascii="宋体" w:hAnsi="宋体" w:cs="宋体"/>
          <w:spacing w:val="4"/>
          <w:szCs w:val="21"/>
        </w:rPr>
        <w:t>投标人的投标文件由资格证明文件、投标文件商务部分和投标文件技术部分共三部分构成：</w:t>
      </w:r>
    </w:p>
    <w:p w14:paraId="54015F60">
      <w:pPr>
        <w:spacing w:line="336" w:lineRule="auto"/>
        <w:ind w:firstLine="403" w:firstLineChars="185"/>
        <w:rPr>
          <w:rFonts w:hint="eastAsia" w:ascii="宋体" w:hAnsi="宋体" w:cs="宋体"/>
          <w:spacing w:val="4"/>
          <w:szCs w:val="21"/>
        </w:rPr>
      </w:pPr>
      <w:r>
        <w:rPr>
          <w:rFonts w:hint="eastAsia" w:ascii="宋体" w:hAnsi="宋体" w:cs="宋体"/>
          <w:spacing w:val="4"/>
          <w:szCs w:val="21"/>
        </w:rPr>
        <w:t>2.1 投标文件商务部分</w:t>
      </w:r>
    </w:p>
    <w:p w14:paraId="3C82E2F5">
      <w:pPr>
        <w:spacing w:line="336" w:lineRule="auto"/>
        <w:ind w:firstLine="436" w:firstLineChars="200"/>
        <w:rPr>
          <w:rFonts w:hint="eastAsia" w:ascii="宋体" w:hAnsi="宋体" w:cs="宋体"/>
          <w:spacing w:val="4"/>
          <w:szCs w:val="21"/>
        </w:rPr>
      </w:pPr>
      <w:r>
        <w:rPr>
          <w:rFonts w:hint="eastAsia" w:ascii="宋体" w:hAnsi="宋体" w:cs="宋体"/>
          <w:spacing w:val="4"/>
          <w:szCs w:val="21"/>
        </w:rPr>
        <w:t>（1）资格证明文件包括：</w:t>
      </w:r>
    </w:p>
    <w:p w14:paraId="04F674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1.1营业执照副本复印件（需加盖公章）；</w:t>
      </w:r>
    </w:p>
    <w:p w14:paraId="107ECD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1.2投标函；</w:t>
      </w:r>
    </w:p>
    <w:p w14:paraId="508A4F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1.3法定代表人授权书；法定代表人参加投标的，提供法人身份证明文件即可；被授权人参加投标的，需提供法定代表人授权委托书（含法人身份证和被授权人身份证正反面复印件）和被授权人近6个月及以上在授权单位的社保缴纳证明；</w:t>
      </w:r>
    </w:p>
    <w:p w14:paraId="65CE92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1.4出具近</w:t>
      </w:r>
      <w:r>
        <w:rPr>
          <w:rFonts w:hint="eastAsia"/>
          <w:b w:val="0"/>
          <w:bCs/>
          <w:lang w:val="en-US" w:eastAsia="zh-CN"/>
        </w:rPr>
        <w:t>三</w:t>
      </w:r>
      <w:r>
        <w:rPr>
          <w:rFonts w:hint="eastAsia"/>
          <w:b w:val="0"/>
          <w:bCs/>
        </w:rPr>
        <w:t>年的财务审计报告，并加盖公章，包括但不限于报告页、经审计的资产负债表、利润表、现金流量表</w:t>
      </w:r>
      <w:r>
        <w:rPr>
          <w:rFonts w:hint="eastAsia"/>
          <w:b w:val="0"/>
          <w:bCs/>
          <w:lang w:eastAsia="zh-CN"/>
        </w:rPr>
        <w:t>。</w:t>
      </w:r>
      <w:r>
        <w:rPr>
          <w:rFonts w:hint="eastAsia"/>
          <w:b w:val="0"/>
          <w:bCs/>
        </w:rPr>
        <w:t>（如投标人公司没有经审计的财务报告，可提供加盖公章的近</w:t>
      </w:r>
      <w:r>
        <w:rPr>
          <w:rFonts w:hint="eastAsia"/>
          <w:b w:val="0"/>
          <w:bCs/>
          <w:lang w:val="en-US" w:eastAsia="zh-CN"/>
        </w:rPr>
        <w:t>三</w:t>
      </w:r>
      <w:r>
        <w:rPr>
          <w:rFonts w:hint="eastAsia"/>
          <w:b w:val="0"/>
          <w:bCs/>
        </w:rPr>
        <w:t>年财务报表，包括但不限于资产负债表、利润表、现金流量表）</w:t>
      </w:r>
      <w:r>
        <w:rPr>
          <w:rFonts w:hint="eastAsia"/>
          <w:b w:val="0"/>
          <w:bCs/>
          <w:lang w:eastAsia="zh-CN"/>
        </w:rPr>
        <w:t>，</w:t>
      </w:r>
      <w:r>
        <w:rPr>
          <w:rFonts w:hint="eastAsia"/>
          <w:b w:val="0"/>
          <w:bCs/>
        </w:rPr>
        <w:t>必须连续</w:t>
      </w:r>
      <w:r>
        <w:rPr>
          <w:rFonts w:hint="eastAsia"/>
          <w:b w:val="0"/>
          <w:bCs/>
          <w:lang w:eastAsia="zh-CN"/>
        </w:rPr>
        <w:t>；</w:t>
      </w:r>
    </w:p>
    <w:p w14:paraId="47462A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1.5近三年内在经营活动中无与本项目有关的违法及重大违规行为的声明；</w:t>
      </w:r>
    </w:p>
    <w:p w14:paraId="7A98D7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1.6投标人在国家企业信用信息公示系统中无与本项目有关的行政处罚、经营异常和失信信息的声明；</w:t>
      </w:r>
    </w:p>
    <w:p w14:paraId="67E2E5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1.7企业对外担保说明（写明贵单位对外有无对外担保和质押业务，需加盖公章）；</w:t>
      </w:r>
    </w:p>
    <w:p w14:paraId="47660A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w:t>
      </w:r>
      <w:r>
        <w:rPr>
          <w:rFonts w:hint="eastAsia"/>
          <w:b w:val="0"/>
          <w:bCs/>
          <w:lang w:val="en-US" w:eastAsia="zh-CN"/>
        </w:rPr>
        <w:t>8</w:t>
      </w:r>
      <w:r>
        <w:rPr>
          <w:rFonts w:hint="eastAsia"/>
          <w:b w:val="0"/>
          <w:bCs/>
        </w:rPr>
        <w:t>企业最近半年的完税证明，并附年度纳税信用评价信息（可从电子税务局查询截图）；</w:t>
      </w:r>
    </w:p>
    <w:p w14:paraId="10B7400E">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b w:val="0"/>
          <w:bCs/>
        </w:rPr>
      </w:pPr>
      <w:r>
        <w:rPr>
          <w:rFonts w:hint="eastAsia"/>
          <w:b w:val="0"/>
          <w:bCs/>
        </w:rPr>
        <w:t>1.</w:t>
      </w:r>
      <w:r>
        <w:rPr>
          <w:rFonts w:hint="eastAsia"/>
          <w:b w:val="0"/>
          <w:bCs/>
          <w:lang w:val="en-US" w:eastAsia="zh-CN"/>
        </w:rPr>
        <w:t>9</w:t>
      </w:r>
      <w:r>
        <w:rPr>
          <w:rFonts w:hint="eastAsia"/>
          <w:b w:val="0"/>
          <w:bCs/>
        </w:rPr>
        <w:t xml:space="preserve"> 202</w:t>
      </w:r>
      <w:r>
        <w:rPr>
          <w:rFonts w:hint="eastAsia"/>
          <w:b w:val="0"/>
          <w:bCs/>
          <w:lang w:val="en-US" w:eastAsia="zh-CN"/>
        </w:rPr>
        <w:t>2</w:t>
      </w:r>
      <w:r>
        <w:rPr>
          <w:rFonts w:hint="eastAsia"/>
          <w:b w:val="0"/>
          <w:bCs/>
        </w:rPr>
        <w:t>年1月1日至今，企业近三年同类项目业绩证明，须提供用户清单、采购合同复印件；</w:t>
      </w:r>
    </w:p>
    <w:p w14:paraId="0D0162D3">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b w:val="0"/>
          <w:bCs/>
          <w:lang w:val="en-US" w:eastAsia="zh-CN"/>
        </w:rPr>
      </w:pPr>
      <w:r>
        <w:rPr>
          <w:rFonts w:hint="eastAsia"/>
          <w:b w:val="0"/>
          <w:bCs/>
        </w:rPr>
        <w:t>1.1</w:t>
      </w:r>
      <w:r>
        <w:rPr>
          <w:rFonts w:hint="eastAsia"/>
          <w:b w:val="0"/>
          <w:bCs/>
          <w:lang w:val="en-US" w:eastAsia="zh-CN"/>
        </w:rPr>
        <w:t>0</w:t>
      </w:r>
      <w:r>
        <w:rPr>
          <w:rFonts w:hint="eastAsia"/>
          <w:b w:val="0"/>
          <w:bCs/>
        </w:rPr>
        <w:t>投标保证金缴纳凭证，同时正文描述付款账号、户名、开户行名称、开户行行号、保证金金额。</w:t>
      </w:r>
      <w:r>
        <w:rPr>
          <w:rFonts w:hint="eastAsia" w:ascii="宋体" w:hAnsi="宋体" w:eastAsia="宋体" w:cs="宋体"/>
          <w:b w:val="0"/>
          <w:bCs w:val="0"/>
          <w:color w:val="000000"/>
          <w:kern w:val="2"/>
          <w:sz w:val="21"/>
          <w:szCs w:val="21"/>
          <w:highlight w:val="none"/>
          <w:u w:val="none"/>
          <w:lang w:val="en-US" w:eastAsia="zh-CN" w:bidi="ar"/>
        </w:rPr>
        <w:t>（</w:t>
      </w:r>
      <w:r>
        <w:rPr>
          <w:rFonts w:hint="eastAsia" w:ascii="宋体" w:hAnsi="宋体" w:cs="宋体"/>
          <w:b w:val="0"/>
          <w:bCs w:val="0"/>
          <w:color w:val="000000"/>
          <w:kern w:val="2"/>
          <w:sz w:val="21"/>
          <w:szCs w:val="21"/>
          <w:highlight w:val="none"/>
          <w:u w:val="none"/>
          <w:lang w:val="en-US" w:eastAsia="zh-CN" w:bidi="ar"/>
        </w:rPr>
        <w:t>应标时不做要求，</w:t>
      </w:r>
      <w:r>
        <w:rPr>
          <w:rFonts w:hint="eastAsia" w:ascii="宋体" w:hAnsi="宋体" w:eastAsia="宋体" w:cs="宋体"/>
          <w:b w:val="0"/>
          <w:bCs w:val="0"/>
          <w:sz w:val="21"/>
          <w:szCs w:val="21"/>
          <w:highlight w:val="none"/>
          <w:u w:val="none"/>
          <w:lang w:val="en-US" w:eastAsia="zh-CN"/>
        </w:rPr>
        <w:t>投标时需随投标资质文件一起上传）</w:t>
      </w:r>
    </w:p>
    <w:p w14:paraId="60716535">
      <w:pPr>
        <w:spacing w:line="336" w:lineRule="auto"/>
        <w:ind w:firstLine="403" w:firstLineChars="185"/>
        <w:rPr>
          <w:rFonts w:hint="eastAsia" w:ascii="宋体" w:hAnsi="宋体" w:cs="宋体"/>
          <w:spacing w:val="4"/>
          <w:szCs w:val="21"/>
          <w:highlight w:val="none"/>
          <w:lang w:eastAsia="zh-CN"/>
        </w:rPr>
      </w:pPr>
      <w:r>
        <w:rPr>
          <w:rFonts w:hint="eastAsia" w:ascii="宋体" w:hAnsi="宋体" w:cs="宋体"/>
          <w:spacing w:val="4"/>
          <w:szCs w:val="21"/>
          <w:highlight w:val="none"/>
        </w:rPr>
        <w:t>（2）</w:t>
      </w:r>
      <w:r>
        <w:rPr>
          <w:rFonts w:hint="eastAsia" w:ascii="宋体" w:hAnsi="宋体" w:cs="宋体"/>
          <w:spacing w:val="4"/>
          <w:szCs w:val="21"/>
          <w:highlight w:val="none"/>
          <w:lang w:val="en-US" w:eastAsia="zh-CN"/>
        </w:rPr>
        <w:t>技术</w:t>
      </w:r>
      <w:r>
        <w:rPr>
          <w:rFonts w:hint="eastAsia" w:ascii="宋体" w:hAnsi="宋体" w:cs="宋体"/>
          <w:spacing w:val="4"/>
          <w:szCs w:val="21"/>
          <w:highlight w:val="none"/>
        </w:rPr>
        <w:t>部分</w:t>
      </w:r>
      <w:r>
        <w:rPr>
          <w:rFonts w:hint="eastAsia" w:ascii="宋体" w:hAnsi="宋体" w:cs="宋体"/>
          <w:spacing w:val="4"/>
          <w:szCs w:val="21"/>
          <w:highlight w:val="none"/>
          <w:lang w:eastAsia="zh-CN"/>
        </w:rPr>
        <w:t>：</w:t>
      </w:r>
    </w:p>
    <w:p w14:paraId="0B505C66">
      <w:pPr>
        <w:spacing w:line="336" w:lineRule="auto"/>
        <w:ind w:firstLine="403" w:firstLineChars="185"/>
        <w:rPr>
          <w:rFonts w:hint="eastAsia" w:ascii="宋体" w:hAnsi="宋体" w:cs="宋体"/>
          <w:spacing w:val="4"/>
          <w:szCs w:val="21"/>
          <w:highlight w:val="none"/>
          <w:lang w:val="en-US" w:eastAsia="zh-CN"/>
        </w:rPr>
      </w:pPr>
      <w:r>
        <w:rPr>
          <w:rFonts w:hint="eastAsia" w:ascii="宋体" w:hAnsi="宋体" w:cs="宋体"/>
          <w:spacing w:val="4"/>
          <w:szCs w:val="21"/>
          <w:highlight w:val="none"/>
          <w:lang w:val="en-US" w:eastAsia="zh-CN"/>
        </w:rPr>
        <w:t>1、技术规格偏离表，必须先进行两列要求一一对照，不允许直接写无偏离；</w:t>
      </w:r>
    </w:p>
    <w:p w14:paraId="51E9EBDC">
      <w:pPr>
        <w:spacing w:line="336" w:lineRule="auto"/>
        <w:ind w:firstLine="403" w:firstLineChars="185"/>
        <w:rPr>
          <w:rFonts w:hint="eastAsia" w:ascii="宋体" w:hAnsi="宋体" w:cs="宋体"/>
          <w:spacing w:val="4"/>
          <w:szCs w:val="21"/>
          <w:highlight w:val="none"/>
          <w:lang w:val="en-US" w:eastAsia="zh-CN"/>
        </w:rPr>
      </w:pPr>
      <w:r>
        <w:rPr>
          <w:rFonts w:hint="eastAsia" w:ascii="宋体" w:hAnsi="宋体" w:cs="宋体"/>
          <w:spacing w:val="4"/>
          <w:szCs w:val="21"/>
          <w:highlight w:val="none"/>
          <w:lang w:val="en-US" w:eastAsia="zh-CN"/>
        </w:rPr>
        <w:t>2、投标人需提交的其它资料。</w:t>
      </w:r>
    </w:p>
    <w:p w14:paraId="6DA8D1A3">
      <w:pPr>
        <w:spacing w:line="336" w:lineRule="auto"/>
        <w:ind w:firstLine="403" w:firstLineChars="185"/>
        <w:rPr>
          <w:rFonts w:hint="eastAsia" w:ascii="宋体" w:hAnsi="宋体" w:cs="宋体"/>
          <w:spacing w:val="4"/>
          <w:szCs w:val="21"/>
          <w:highlight w:val="none"/>
        </w:rPr>
      </w:pPr>
      <w:r>
        <w:rPr>
          <w:rFonts w:hint="eastAsia" w:ascii="宋体" w:hAnsi="宋体" w:cs="宋体"/>
          <w:spacing w:val="4"/>
          <w:szCs w:val="21"/>
          <w:highlight w:val="none"/>
        </w:rPr>
        <w:t>（</w:t>
      </w:r>
      <w:r>
        <w:rPr>
          <w:rFonts w:hint="eastAsia" w:ascii="宋体" w:hAnsi="宋体" w:cs="宋体"/>
          <w:spacing w:val="4"/>
          <w:szCs w:val="21"/>
          <w:highlight w:val="none"/>
          <w:lang w:val="en-US" w:eastAsia="zh-CN"/>
        </w:rPr>
        <w:t>3</w:t>
      </w:r>
      <w:r>
        <w:rPr>
          <w:rFonts w:hint="eastAsia" w:ascii="宋体" w:hAnsi="宋体" w:cs="宋体"/>
          <w:spacing w:val="4"/>
          <w:szCs w:val="21"/>
          <w:highlight w:val="none"/>
        </w:rPr>
        <w:t>）商务部分：</w:t>
      </w:r>
    </w:p>
    <w:p w14:paraId="3FA3C255">
      <w:pPr>
        <w:pStyle w:val="6"/>
        <w:kinsoku w:val="0"/>
        <w:overflowPunct w:val="0"/>
        <w:autoSpaceDE w:val="0"/>
        <w:autoSpaceDN w:val="0"/>
        <w:adjustRightInd w:val="0"/>
        <w:spacing w:line="360" w:lineRule="auto"/>
        <w:ind w:left="210" w:leftChars="100" w:firstLine="420" w:firstLineChars="200"/>
        <w:rPr>
          <w:rFonts w:hint="eastAsia" w:hAnsi="宋体" w:cs="宋体"/>
          <w:spacing w:val="4"/>
          <w:szCs w:val="21"/>
          <w:highlight w:val="none"/>
        </w:rPr>
      </w:pPr>
      <w:r>
        <w:rPr>
          <w:rFonts w:hint="eastAsia" w:hAnsi="宋体" w:cs="宋体"/>
          <w:bCs/>
          <w:szCs w:val="21"/>
          <w:highlight w:val="none"/>
        </w:rPr>
        <w:t>(</w:t>
      </w:r>
      <w:r>
        <w:rPr>
          <w:rFonts w:hint="eastAsia" w:hAnsi="宋体" w:cs="宋体"/>
          <w:bCs/>
          <w:szCs w:val="21"/>
          <w:highlight w:val="none"/>
          <w:lang w:val="en-US" w:eastAsia="zh-CN"/>
        </w:rPr>
        <w:t>一</w:t>
      </w:r>
      <w:r>
        <w:rPr>
          <w:rFonts w:hint="eastAsia" w:hAnsi="宋体" w:cs="宋体"/>
          <w:bCs/>
          <w:szCs w:val="21"/>
          <w:highlight w:val="none"/>
        </w:rPr>
        <w:t>)投标函</w:t>
      </w:r>
    </w:p>
    <w:p w14:paraId="4F1E8BC9">
      <w:pPr>
        <w:spacing w:line="336" w:lineRule="auto"/>
        <w:ind w:firstLine="596" w:firstLineChars="284"/>
        <w:rPr>
          <w:rFonts w:hint="eastAsia" w:ascii="宋体" w:hAnsi="宋体" w:cs="宋体"/>
          <w:spacing w:val="4"/>
          <w:szCs w:val="21"/>
          <w:highlight w:val="none"/>
        </w:rPr>
      </w:pPr>
      <w:r>
        <w:rPr>
          <w:rFonts w:hint="eastAsia" w:ascii="宋体" w:hAnsi="宋体" w:cs="宋体"/>
          <w:bCs/>
          <w:szCs w:val="21"/>
          <w:highlight w:val="none"/>
        </w:rPr>
        <w:t>(</w:t>
      </w:r>
      <w:r>
        <w:rPr>
          <w:rFonts w:hint="eastAsia" w:ascii="宋体" w:hAnsi="宋体" w:cs="宋体"/>
          <w:bCs/>
          <w:szCs w:val="21"/>
          <w:highlight w:val="none"/>
          <w:lang w:val="en-US" w:eastAsia="zh-CN"/>
        </w:rPr>
        <w:t>二</w:t>
      </w:r>
      <w:r>
        <w:rPr>
          <w:rFonts w:hint="eastAsia" w:ascii="宋体" w:hAnsi="宋体" w:cs="宋体"/>
          <w:bCs/>
          <w:szCs w:val="21"/>
          <w:highlight w:val="none"/>
        </w:rPr>
        <w:t>)</w:t>
      </w:r>
      <w:r>
        <w:rPr>
          <w:rFonts w:hint="eastAsia" w:ascii="宋体" w:hAnsi="宋体" w:cs="宋体"/>
          <w:spacing w:val="4"/>
          <w:szCs w:val="21"/>
          <w:highlight w:val="none"/>
        </w:rPr>
        <w:t xml:space="preserve"> 开标一览表；</w:t>
      </w:r>
    </w:p>
    <w:p w14:paraId="3BF91DB6">
      <w:pPr>
        <w:spacing w:line="336" w:lineRule="auto"/>
        <w:ind w:firstLine="596" w:firstLineChars="284"/>
        <w:rPr>
          <w:rFonts w:hint="eastAsia" w:ascii="宋体" w:hAnsi="宋体" w:cs="宋体"/>
          <w:bCs/>
          <w:szCs w:val="21"/>
          <w:highlight w:val="none"/>
        </w:rPr>
      </w:pPr>
      <w:r>
        <w:rPr>
          <w:rFonts w:hint="eastAsia" w:ascii="宋体" w:hAnsi="宋体" w:cs="宋体"/>
          <w:bCs/>
          <w:szCs w:val="21"/>
          <w:highlight w:val="none"/>
        </w:rPr>
        <w:t>(</w:t>
      </w:r>
      <w:r>
        <w:rPr>
          <w:rFonts w:hint="eastAsia" w:ascii="宋体" w:hAnsi="宋体" w:cs="宋体"/>
          <w:bCs/>
          <w:szCs w:val="21"/>
          <w:highlight w:val="none"/>
          <w:lang w:val="en-US" w:eastAsia="zh-CN"/>
        </w:rPr>
        <w:t>三</w:t>
      </w:r>
      <w:r>
        <w:rPr>
          <w:rFonts w:hint="eastAsia" w:ascii="宋体" w:hAnsi="宋体" w:cs="宋体"/>
          <w:bCs/>
          <w:szCs w:val="21"/>
          <w:highlight w:val="none"/>
        </w:rPr>
        <w:t>)投标分项报价表</w:t>
      </w:r>
    </w:p>
    <w:p w14:paraId="0AF7A3A4">
      <w:pPr>
        <w:spacing w:line="336" w:lineRule="auto"/>
        <w:ind w:firstLine="596" w:firstLineChars="284"/>
        <w:rPr>
          <w:rFonts w:hint="eastAsia" w:ascii="宋体" w:hAnsi="宋体" w:cs="宋体"/>
          <w:spacing w:val="4"/>
          <w:szCs w:val="21"/>
          <w:highlight w:val="none"/>
        </w:rPr>
      </w:pPr>
      <w:r>
        <w:rPr>
          <w:rFonts w:hint="eastAsia" w:ascii="宋体" w:hAnsi="宋体" w:cs="宋体"/>
          <w:bCs/>
          <w:szCs w:val="21"/>
          <w:highlight w:val="none"/>
          <w:lang w:val="en-US" w:eastAsia="zh-CN"/>
        </w:rPr>
        <w:t>(四</w:t>
      </w:r>
      <w:r>
        <w:rPr>
          <w:rFonts w:hint="eastAsia" w:ascii="宋体" w:hAnsi="宋体" w:cs="宋体"/>
          <w:bCs/>
          <w:szCs w:val="21"/>
          <w:highlight w:val="none"/>
        </w:rPr>
        <w:t>)</w:t>
      </w:r>
      <w:r>
        <w:rPr>
          <w:rFonts w:hint="eastAsia" w:ascii="宋体" w:hAnsi="宋体" w:cs="宋体"/>
          <w:spacing w:val="4"/>
          <w:szCs w:val="21"/>
          <w:highlight w:val="none"/>
        </w:rPr>
        <w:t>商务条款偏离表；</w:t>
      </w:r>
    </w:p>
    <w:p w14:paraId="13431ACB">
      <w:pPr>
        <w:spacing w:line="336" w:lineRule="auto"/>
        <w:ind w:firstLine="596" w:firstLineChars="284"/>
        <w:rPr>
          <w:rFonts w:hint="eastAsia" w:hAnsi="宋体" w:eastAsia="宋体" w:cs="宋体"/>
          <w:bCs/>
          <w:szCs w:val="21"/>
          <w:highlight w:val="none"/>
          <w:lang w:val="en-US" w:eastAsia="zh-CN"/>
        </w:rPr>
      </w:pPr>
      <w:r>
        <w:rPr>
          <w:rFonts w:hint="eastAsia" w:hAnsi="宋体" w:cs="宋体"/>
          <w:bCs/>
          <w:szCs w:val="21"/>
          <w:highlight w:val="none"/>
          <w:lang w:val="en-US" w:eastAsia="zh-CN"/>
        </w:rPr>
        <w:t>(五</w:t>
      </w:r>
      <w:r>
        <w:rPr>
          <w:rFonts w:hint="eastAsia" w:hAnsi="宋体" w:cs="宋体"/>
          <w:bCs/>
          <w:szCs w:val="21"/>
          <w:highlight w:val="none"/>
        </w:rPr>
        <w:t>)企业情况、从业经历、服务承诺一览表</w:t>
      </w:r>
      <w:r>
        <w:rPr>
          <w:rFonts w:hint="eastAsia" w:hAnsi="宋体" w:cs="宋体"/>
          <w:bCs/>
          <w:szCs w:val="21"/>
          <w:highlight w:val="none"/>
          <w:lang w:eastAsia="zh-CN"/>
        </w:rPr>
        <w:t>。</w:t>
      </w:r>
    </w:p>
    <w:p w14:paraId="3B844C2F">
      <w:pPr>
        <w:spacing w:line="336" w:lineRule="auto"/>
        <w:ind w:firstLine="596" w:firstLineChars="284"/>
        <w:rPr>
          <w:rFonts w:hint="eastAsia" w:hAnsi="宋体" w:cs="宋体"/>
          <w:bCs/>
          <w:szCs w:val="21"/>
          <w:highlight w:val="none"/>
        </w:rPr>
      </w:pPr>
      <w:r>
        <w:rPr>
          <w:rFonts w:hint="eastAsia" w:hAnsi="宋体" w:cs="宋体"/>
          <w:bCs/>
          <w:szCs w:val="21"/>
          <w:highlight w:val="none"/>
        </w:rPr>
        <w:t>(</w:t>
      </w:r>
      <w:r>
        <w:rPr>
          <w:rFonts w:hint="eastAsia" w:hAnsi="宋体" w:cs="宋体"/>
          <w:bCs/>
          <w:szCs w:val="21"/>
          <w:highlight w:val="none"/>
          <w:lang w:val="en-US" w:eastAsia="zh-CN"/>
        </w:rPr>
        <w:t>六</w:t>
      </w:r>
      <w:r>
        <w:rPr>
          <w:rFonts w:hint="eastAsia" w:hAnsi="宋体" w:cs="宋体"/>
          <w:bCs/>
          <w:szCs w:val="21"/>
          <w:highlight w:val="none"/>
        </w:rPr>
        <w:t>)投标承诺书</w:t>
      </w:r>
    </w:p>
    <w:p w14:paraId="55FEEDCD">
      <w:pPr>
        <w:spacing w:line="336" w:lineRule="auto"/>
        <w:ind w:firstLine="403" w:firstLineChars="185"/>
        <w:rPr>
          <w:rFonts w:hint="eastAsia" w:ascii="宋体" w:hAnsi="宋体" w:cs="宋体"/>
          <w:spacing w:val="4"/>
          <w:szCs w:val="21"/>
          <w:highlight w:val="none"/>
        </w:rPr>
      </w:pPr>
      <w:r>
        <w:rPr>
          <w:rFonts w:hint="eastAsia" w:ascii="宋体" w:hAnsi="宋体" w:cs="宋体"/>
          <w:spacing w:val="4"/>
          <w:szCs w:val="21"/>
          <w:highlight w:val="none"/>
        </w:rPr>
        <w:t>注：招标文件给定格式的按给定的格式填写，未给定格式的，由投标人自行编制，但需包含以上内容。</w:t>
      </w:r>
    </w:p>
    <w:p w14:paraId="6425FAAE">
      <w:pPr>
        <w:spacing w:line="336" w:lineRule="auto"/>
        <w:ind w:firstLine="403" w:firstLineChars="185"/>
        <w:rPr>
          <w:rFonts w:hint="eastAsia" w:ascii="宋体" w:hAnsi="宋体" w:cs="宋体"/>
          <w:spacing w:val="4"/>
          <w:szCs w:val="21"/>
          <w:highlight w:val="none"/>
        </w:rPr>
      </w:pPr>
      <w:r>
        <w:rPr>
          <w:rFonts w:hint="eastAsia" w:ascii="宋体" w:hAnsi="宋体" w:cs="宋体"/>
          <w:spacing w:val="4"/>
          <w:szCs w:val="21"/>
          <w:highlight w:val="none"/>
        </w:rPr>
        <w:t>2.2 投标文件技术部分：</w:t>
      </w:r>
    </w:p>
    <w:p w14:paraId="34686FCD">
      <w:pPr>
        <w:spacing w:line="336" w:lineRule="auto"/>
        <w:ind w:firstLine="388" w:firstLineChars="185"/>
        <w:rPr>
          <w:rFonts w:hint="eastAsia" w:ascii="宋体" w:hAnsi="宋体" w:cs="宋体"/>
          <w:szCs w:val="21"/>
          <w:highlight w:val="none"/>
        </w:rPr>
      </w:pPr>
      <w:r>
        <w:rPr>
          <w:rFonts w:hint="eastAsia" w:ascii="宋体" w:hAnsi="宋体" w:cs="宋体"/>
          <w:szCs w:val="21"/>
          <w:highlight w:val="none"/>
        </w:rPr>
        <w:t>（1）技术规范及服务要求：详见技术协议；</w:t>
      </w:r>
    </w:p>
    <w:p w14:paraId="4DBABB88">
      <w:pPr>
        <w:spacing w:line="336" w:lineRule="auto"/>
        <w:ind w:firstLine="388" w:firstLineChars="185"/>
        <w:rPr>
          <w:rFonts w:hint="eastAsia" w:ascii="宋体" w:hAnsi="宋体" w:eastAsia="宋体" w:cs="宋体"/>
          <w:color w:val="FF0000"/>
          <w:szCs w:val="21"/>
          <w:highlight w:val="none"/>
          <w:lang w:eastAsia="zh-CN"/>
        </w:rPr>
      </w:pPr>
      <w:r>
        <w:rPr>
          <w:rFonts w:hint="eastAsia" w:ascii="宋体" w:hAnsi="宋体" w:cs="宋体"/>
          <w:szCs w:val="21"/>
          <w:highlight w:val="none"/>
        </w:rPr>
        <w:t>（2）投标技术方案</w:t>
      </w:r>
      <w:r>
        <w:rPr>
          <w:rFonts w:hint="eastAsia" w:ascii="宋体" w:hAnsi="宋体" w:cs="宋体"/>
          <w:szCs w:val="21"/>
          <w:highlight w:val="none"/>
          <w:lang w:eastAsia="zh-CN"/>
        </w:rPr>
        <w:t>；</w:t>
      </w:r>
    </w:p>
    <w:p w14:paraId="2B0B971C">
      <w:pPr>
        <w:spacing w:line="336" w:lineRule="auto"/>
        <w:ind w:firstLine="388" w:firstLineChars="185"/>
        <w:rPr>
          <w:rFonts w:hint="eastAsia" w:ascii="宋体" w:hAnsi="宋体" w:cs="宋体"/>
          <w:szCs w:val="21"/>
          <w:highlight w:val="none"/>
        </w:rPr>
      </w:pPr>
      <w:r>
        <w:rPr>
          <w:rFonts w:hint="eastAsia" w:ascii="宋体" w:hAnsi="宋体" w:cs="宋体"/>
          <w:szCs w:val="21"/>
          <w:highlight w:val="none"/>
        </w:rPr>
        <w:t>（3）投标人需提交的其它技术资料。</w:t>
      </w:r>
    </w:p>
    <w:p w14:paraId="4A02DB05">
      <w:pPr>
        <w:spacing w:line="336" w:lineRule="auto"/>
        <w:ind w:firstLine="392" w:firstLineChars="186"/>
        <w:rPr>
          <w:rFonts w:hint="eastAsia" w:eastAsia="黑体"/>
          <w:b/>
          <w:bCs/>
          <w:szCs w:val="21"/>
        </w:rPr>
      </w:pPr>
    </w:p>
    <w:p w14:paraId="7DCBDC71">
      <w:pPr>
        <w:rPr>
          <w:rFonts w:hint="eastAsia" w:eastAsia="黑体"/>
          <w:b/>
          <w:bCs/>
          <w:sz w:val="28"/>
        </w:rPr>
      </w:pPr>
    </w:p>
    <w:p w14:paraId="7555756E">
      <w:pPr>
        <w:rPr>
          <w:rFonts w:hint="eastAsia" w:eastAsia="黑体"/>
          <w:b/>
          <w:bCs/>
          <w:sz w:val="28"/>
        </w:rPr>
      </w:pPr>
    </w:p>
    <w:p w14:paraId="63D6E7F0">
      <w:pPr>
        <w:rPr>
          <w:rFonts w:hint="eastAsia" w:eastAsia="黑体"/>
          <w:b/>
          <w:bCs/>
          <w:sz w:val="28"/>
        </w:rPr>
      </w:pPr>
    </w:p>
    <w:p w14:paraId="6B30E8EC">
      <w:pPr>
        <w:pStyle w:val="6"/>
        <w:numPr>
          <w:ilvl w:val="0"/>
          <w:numId w:val="7"/>
        </w:numPr>
        <w:spacing w:line="360" w:lineRule="auto"/>
        <w:jc w:val="center"/>
        <w:outlineLvl w:val="0"/>
        <w:rPr>
          <w:rFonts w:hint="eastAsia" w:ascii="黑体" w:eastAsia="黑体"/>
          <w:b/>
          <w:bCs/>
          <w:sz w:val="36"/>
          <w:szCs w:val="36"/>
        </w:rPr>
      </w:pPr>
      <w:r>
        <w:rPr>
          <w:rFonts w:hint="eastAsia" w:eastAsia="黑体"/>
          <w:b/>
          <w:bCs/>
          <w:sz w:val="28"/>
        </w:rPr>
        <w:br w:type="page"/>
      </w:r>
      <w:r>
        <w:rPr>
          <w:rFonts w:hint="eastAsia" w:ascii="黑体" w:eastAsia="黑体"/>
          <w:b/>
          <w:bCs/>
          <w:sz w:val="36"/>
          <w:szCs w:val="36"/>
        </w:rPr>
        <w:t xml:space="preserve"> </w:t>
      </w:r>
      <w:bookmarkStart w:id="11" w:name="_Toc13248"/>
      <w:r>
        <w:rPr>
          <w:rFonts w:ascii="黑体" w:eastAsia="黑体"/>
          <w:b/>
          <w:bCs/>
          <w:sz w:val="36"/>
          <w:szCs w:val="36"/>
        </w:rPr>
        <w:t>技术</w:t>
      </w:r>
      <w:r>
        <w:rPr>
          <w:rFonts w:hint="eastAsia" w:ascii="黑体" w:eastAsia="黑体"/>
          <w:b/>
          <w:bCs/>
          <w:sz w:val="36"/>
          <w:szCs w:val="36"/>
        </w:rPr>
        <w:t>要求</w:t>
      </w:r>
      <w:bookmarkEnd w:id="11"/>
    </w:p>
    <w:p w14:paraId="6CCCDABA">
      <w:pPr>
        <w:pStyle w:val="6"/>
        <w:numPr>
          <w:ilvl w:val="0"/>
          <w:numId w:val="8"/>
        </w:numPr>
        <w:spacing w:line="360" w:lineRule="auto"/>
        <w:rPr>
          <w:rFonts w:hint="eastAsia" w:hAnsi="宋体" w:eastAsia="宋体" w:cs="Times New Roman"/>
          <w:b/>
          <w:bCs/>
          <w:lang w:val="en-US" w:eastAsia="zh-CN"/>
        </w:rPr>
      </w:pPr>
      <w:r>
        <w:rPr>
          <w:rFonts w:hint="eastAsia" w:hAnsi="宋体" w:eastAsia="宋体" w:cs="Times New Roman"/>
          <w:b/>
          <w:bCs/>
          <w:lang w:val="en-US" w:eastAsia="zh-CN"/>
        </w:rPr>
        <w:t>业务介绍</w:t>
      </w:r>
    </w:p>
    <w:p w14:paraId="6D336FB0">
      <w:pPr>
        <w:pStyle w:val="6"/>
        <w:numPr>
          <w:ilvl w:val="0"/>
          <w:numId w:val="0"/>
        </w:numPr>
        <w:spacing w:line="360" w:lineRule="auto"/>
        <w:ind w:firstLine="422" w:firstLineChars="200"/>
        <w:rPr>
          <w:rFonts w:hint="eastAsia" w:hAnsi="宋体" w:cs="Times New Roman"/>
          <w:b/>
          <w:bCs/>
          <w:lang w:val="en-US" w:eastAsia="zh-CN"/>
        </w:rPr>
      </w:pPr>
      <w:r>
        <w:rPr>
          <w:rFonts w:hint="eastAsia" w:hAnsi="宋体" w:cs="Times New Roman"/>
          <w:b/>
          <w:bCs/>
          <w:lang w:val="en-US" w:eastAsia="zh-CN"/>
        </w:rPr>
        <w:t>预估业务量及底价</w:t>
      </w:r>
    </w:p>
    <w:tbl>
      <w:tblPr>
        <w:tblStyle w:val="12"/>
        <w:tblW w:w="831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6"/>
        <w:gridCol w:w="1509"/>
        <w:gridCol w:w="2208"/>
        <w:gridCol w:w="1258"/>
        <w:gridCol w:w="1090"/>
        <w:gridCol w:w="1433"/>
      </w:tblGrid>
      <w:tr w14:paraId="3880C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35F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E55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D10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具体参数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（规格型号的描述）</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5087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含税最低报价（元/台）</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DD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数量（台）</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39B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含税总价（元）</w:t>
            </w:r>
          </w:p>
        </w:tc>
      </w:tr>
      <w:tr w14:paraId="1B82A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0" w:hRule="atLeast"/>
          <w:jc w:val="center"/>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840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982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变速箱仓储配送费</w:t>
            </w:r>
          </w:p>
        </w:tc>
        <w:tc>
          <w:tcPr>
            <w:tcW w:w="2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283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接收招标方变速箱总成，存储变速箱总成，根据物流计划及招标方要求，将变速箱经过翻包分拣后，配送至指定区域所产生的费用</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E3E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59.4</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0B5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B6A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17820</w:t>
            </w:r>
          </w:p>
        </w:tc>
      </w:tr>
    </w:tbl>
    <w:p w14:paraId="09E94F01">
      <w:pPr>
        <w:pStyle w:val="6"/>
        <w:numPr>
          <w:ilvl w:val="0"/>
          <w:numId w:val="0"/>
        </w:numPr>
        <w:spacing w:line="360" w:lineRule="auto"/>
        <w:ind w:firstLine="422" w:firstLineChars="200"/>
        <w:rPr>
          <w:rFonts w:hint="eastAsia" w:hAnsi="宋体" w:cs="Times New Roman"/>
          <w:b/>
          <w:bCs/>
          <w:lang w:val="en-US" w:eastAsia="zh-CN"/>
        </w:rPr>
      </w:pPr>
    </w:p>
    <w:p w14:paraId="124D17DE">
      <w:pPr>
        <w:pStyle w:val="6"/>
        <w:numPr>
          <w:ilvl w:val="0"/>
          <w:numId w:val="0"/>
        </w:numPr>
        <w:spacing w:line="360" w:lineRule="auto"/>
        <w:ind w:firstLine="422" w:firstLineChars="200"/>
        <w:rPr>
          <w:rFonts w:hint="eastAsia" w:hAnsi="宋体" w:eastAsia="宋体" w:cs="Times New Roman"/>
          <w:b/>
          <w:bCs/>
          <w:lang w:val="en-US" w:eastAsia="zh-CN"/>
        </w:rPr>
      </w:pPr>
      <w:r>
        <w:rPr>
          <w:rFonts w:hint="eastAsia" w:ascii="宋体" w:hAnsi="宋体" w:eastAsia="宋体" w:cs="Times New Roman"/>
          <w:b/>
          <w:bCs/>
          <w:kern w:val="2"/>
          <w:sz w:val="21"/>
          <w:lang w:val="en-US" w:eastAsia="zh-CN" w:bidi="ar-SA"/>
        </w:rPr>
        <w:t>1、</w:t>
      </w:r>
      <w:r>
        <w:rPr>
          <w:rFonts w:hint="eastAsia" w:hAnsi="宋体" w:eastAsia="宋体" w:cs="Times New Roman"/>
          <w:b/>
          <w:bCs/>
          <w:lang w:val="en-US" w:eastAsia="zh-CN"/>
        </w:rPr>
        <w:t>业务范围</w:t>
      </w:r>
    </w:p>
    <w:p w14:paraId="40E7CD52">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hAnsi="宋体" w:eastAsia="宋体" w:cs="Times New Roman"/>
          <w:lang w:val="en-US" w:eastAsia="zh-CN"/>
        </w:rPr>
      </w:pPr>
      <w:r>
        <w:rPr>
          <w:rFonts w:hint="eastAsia" w:hAnsi="宋体" w:eastAsia="宋体" w:cs="Times New Roman"/>
          <w:lang w:val="en-US" w:eastAsia="zh-CN"/>
        </w:rPr>
        <w:t>投标人需投入必要的仓库、物流运输设备和服务人员完成</w:t>
      </w:r>
      <w:r>
        <w:rPr>
          <w:rFonts w:hint="eastAsia" w:hAnsi="宋体" w:cs="Times New Roman"/>
          <w:lang w:val="en-US" w:eastAsia="zh-CN"/>
        </w:rPr>
        <w:t>变速箱、变速箱零部件</w:t>
      </w:r>
      <w:r>
        <w:rPr>
          <w:rFonts w:hint="eastAsia" w:hAnsi="宋体" w:eastAsia="宋体" w:cs="Times New Roman"/>
          <w:lang w:val="en-US" w:eastAsia="zh-CN"/>
        </w:rPr>
        <w:t>的仓储、</w:t>
      </w:r>
      <w:r>
        <w:rPr>
          <w:rFonts w:hint="eastAsia" w:hAnsi="宋体" w:cs="Times New Roman"/>
          <w:lang w:val="en-US" w:eastAsia="zh-CN"/>
        </w:rPr>
        <w:t>分拣</w:t>
      </w:r>
      <w:r>
        <w:rPr>
          <w:rFonts w:hint="eastAsia" w:hAnsi="宋体" w:eastAsia="宋体" w:cs="Times New Roman"/>
          <w:lang w:val="en-US" w:eastAsia="zh-CN"/>
        </w:rPr>
        <w:t>排序及发交业务，具体如下：</w:t>
      </w:r>
    </w:p>
    <w:p w14:paraId="51935835">
      <w:pPr>
        <w:pStyle w:val="6"/>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firstLineChars="200"/>
        <w:textAlignment w:val="auto"/>
        <w:rPr>
          <w:rFonts w:hint="eastAsia" w:hAnsi="宋体" w:eastAsia="宋体" w:cs="Times New Roman"/>
          <w:lang w:val="en-US" w:eastAsia="zh-CN"/>
        </w:rPr>
      </w:pPr>
      <w:r>
        <w:rPr>
          <w:rFonts w:hint="eastAsia" w:hAnsi="宋体" w:eastAsia="宋体" w:cs="Times New Roman"/>
          <w:lang w:val="en-US" w:eastAsia="zh-CN"/>
        </w:rPr>
        <w:t>按要求完成</w:t>
      </w:r>
      <w:r>
        <w:rPr>
          <w:rFonts w:hint="eastAsia" w:hAnsi="宋体" w:cs="Times New Roman"/>
          <w:lang w:val="en-US" w:eastAsia="zh-CN"/>
        </w:rPr>
        <w:t>招标方</w:t>
      </w:r>
      <w:r>
        <w:rPr>
          <w:rFonts w:hint="eastAsia" w:hAnsi="宋体" w:eastAsia="宋体" w:cs="Times New Roman"/>
          <w:lang w:val="en-US" w:eastAsia="zh-CN"/>
        </w:rPr>
        <w:t>来货零部件的卸车、接收、入库、保管、下架、排序、发交</w:t>
      </w:r>
      <w:r>
        <w:rPr>
          <w:rFonts w:hint="eastAsia" w:hAnsi="宋体" w:cs="Times New Roman"/>
          <w:lang w:val="en-US" w:eastAsia="zh-CN"/>
        </w:rPr>
        <w:t>（</w:t>
      </w:r>
      <w:r>
        <w:rPr>
          <w:rFonts w:hint="eastAsia" w:hAnsi="宋体" w:eastAsia="宋体" w:cs="Times New Roman"/>
          <w:lang w:val="en-US" w:eastAsia="zh-CN"/>
        </w:rPr>
        <w:t>含正常计划发交、紧急计划发交、配件计划发交等）</w:t>
      </w:r>
      <w:r>
        <w:rPr>
          <w:rFonts w:hint="eastAsia" w:hAnsi="宋体" w:cs="Times New Roman"/>
          <w:lang w:val="en-US" w:eastAsia="zh-CN"/>
        </w:rPr>
        <w:t>；</w:t>
      </w:r>
    </w:p>
    <w:p w14:paraId="7CAF9381">
      <w:pPr>
        <w:pStyle w:val="6"/>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firstLineChars="200"/>
        <w:textAlignment w:val="auto"/>
        <w:rPr>
          <w:rFonts w:hint="eastAsia" w:hAnsi="宋体" w:cs="Times New Roman"/>
          <w:lang w:val="en-US" w:eastAsia="zh-CN"/>
        </w:rPr>
      </w:pPr>
      <w:r>
        <w:rPr>
          <w:rFonts w:hint="eastAsia" w:hAnsi="宋体" w:cs="Times New Roman"/>
          <w:lang w:val="en-US" w:eastAsia="zh-CN"/>
        </w:rPr>
        <w:t>熟练使用东风柳州汽车有限公司的系统，</w:t>
      </w:r>
      <w:r>
        <w:rPr>
          <w:rFonts w:hint="eastAsia" w:hAnsi="宋体" w:eastAsia="宋体" w:cs="Times New Roman"/>
          <w:lang w:val="en-US" w:eastAsia="zh-CN"/>
        </w:rPr>
        <w:t>依据招标方提供的生产计划和要货计划</w:t>
      </w:r>
      <w:r>
        <w:rPr>
          <w:rFonts w:hint="eastAsia" w:hAnsi="宋体" w:cs="Times New Roman"/>
          <w:lang w:val="en-US" w:eastAsia="zh-CN"/>
        </w:rPr>
        <w:t>，关注主机厂生产排序情况，</w:t>
      </w:r>
      <w:r>
        <w:rPr>
          <w:rFonts w:hint="eastAsia" w:hAnsi="宋体" w:eastAsia="宋体" w:cs="Times New Roman"/>
          <w:lang w:val="en-US" w:eastAsia="zh-CN"/>
        </w:rPr>
        <w:t>并按要求在确保产品质量的前提下</w:t>
      </w:r>
      <w:r>
        <w:rPr>
          <w:rFonts w:hint="eastAsia" w:hAnsi="宋体" w:cs="Times New Roman"/>
          <w:lang w:val="en-US" w:eastAsia="zh-CN"/>
        </w:rPr>
        <w:t>将</w:t>
      </w:r>
      <w:r>
        <w:rPr>
          <w:rFonts w:hint="eastAsia" w:hAnsi="宋体" w:eastAsia="宋体" w:cs="Times New Roman"/>
          <w:lang w:val="en-US" w:eastAsia="zh-CN"/>
        </w:rPr>
        <w:t>产品准时、足额配送发交到指定地点（包含但不限于</w:t>
      </w:r>
      <w:r>
        <w:rPr>
          <w:rFonts w:hint="eastAsia" w:hAnsi="宋体" w:cs="Times New Roman"/>
          <w:lang w:val="en-US" w:eastAsia="zh-CN"/>
        </w:rPr>
        <w:t>东风柳汽主机厂</w:t>
      </w:r>
      <w:r>
        <w:rPr>
          <w:rFonts w:hint="eastAsia" w:hAnsi="宋体" w:eastAsia="宋体" w:cs="Times New Roman"/>
          <w:lang w:val="en-US" w:eastAsia="zh-CN"/>
        </w:rPr>
        <w:t>等)后，与接收单位办理签收手续，做到货单同步、日清日结</w:t>
      </w:r>
      <w:r>
        <w:rPr>
          <w:rFonts w:hint="eastAsia" w:hAnsi="宋体" w:cs="Times New Roman"/>
          <w:lang w:val="en-US" w:eastAsia="zh-CN"/>
        </w:rPr>
        <w:t>。</w:t>
      </w:r>
    </w:p>
    <w:p w14:paraId="36F91DB6">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hAnsi="宋体" w:eastAsia="宋体" w:cs="Times New Roman"/>
          <w:lang w:val="en-US" w:eastAsia="zh-CN"/>
        </w:rPr>
      </w:pPr>
      <w:r>
        <w:rPr>
          <w:rFonts w:hint="eastAsia" w:hAnsi="宋体" w:cs="Times New Roman"/>
          <w:lang w:val="en-US" w:eastAsia="zh-CN"/>
        </w:rPr>
        <w:t>3</w:t>
      </w:r>
      <w:r>
        <w:rPr>
          <w:rFonts w:hint="eastAsia" w:hAnsi="宋体" w:eastAsia="宋体" w:cs="Times New Roman"/>
          <w:lang w:val="en-US" w:eastAsia="zh-CN"/>
        </w:rPr>
        <w:t>）根据</w:t>
      </w:r>
      <w:r>
        <w:rPr>
          <w:rFonts w:hint="eastAsia" w:hAnsi="宋体" w:cs="Times New Roman"/>
          <w:lang w:val="en-US" w:eastAsia="zh-CN"/>
        </w:rPr>
        <w:t>主机厂</w:t>
      </w:r>
      <w:r>
        <w:rPr>
          <w:rFonts w:hint="eastAsia" w:hAnsi="宋体" w:eastAsia="宋体" w:cs="Times New Roman"/>
          <w:lang w:val="en-US" w:eastAsia="zh-CN"/>
        </w:rPr>
        <w:t>配送计划，将产品翻包（如有）并按顺序摆放到对应的工位器具上，做好产品的器具防护后入待发区缓存：根据配送计划要求派车将满载器具分批次运输至</w:t>
      </w:r>
      <w:r>
        <w:rPr>
          <w:rFonts w:hint="eastAsia" w:hAnsi="宋体" w:cs="Times New Roman"/>
          <w:lang w:val="en-US" w:eastAsia="zh-CN"/>
        </w:rPr>
        <w:t>主机厂</w:t>
      </w:r>
      <w:r>
        <w:rPr>
          <w:rFonts w:hint="eastAsia" w:hAnsi="宋体" w:eastAsia="宋体" w:cs="Times New Roman"/>
          <w:lang w:val="en-US" w:eastAsia="zh-CN"/>
        </w:rPr>
        <w:t>厂区内指定地点</w:t>
      </w:r>
      <w:r>
        <w:rPr>
          <w:rFonts w:hint="eastAsia" w:hAnsi="宋体" w:cs="Times New Roman"/>
          <w:lang w:val="en-US" w:eastAsia="zh-CN"/>
        </w:rPr>
        <w:t>，同时需要关注主机厂上线变速箱的质量情况，如果发生零公里问题，需要协调服务站及时预计解决，并对零公里质量问题解决得及时性负责。</w:t>
      </w:r>
    </w:p>
    <w:p w14:paraId="0C5DC095">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hAnsi="宋体" w:eastAsia="宋体" w:cs="Times New Roman"/>
          <w:lang w:val="en-US" w:eastAsia="zh-CN"/>
        </w:rPr>
      </w:pPr>
      <w:r>
        <w:rPr>
          <w:rFonts w:hint="eastAsia" w:hAnsi="宋体" w:cs="Times New Roman"/>
          <w:lang w:val="en-US" w:eastAsia="zh-CN"/>
        </w:rPr>
        <w:t>4</w:t>
      </w:r>
      <w:r>
        <w:rPr>
          <w:rFonts w:hint="eastAsia" w:hAnsi="宋体" w:eastAsia="宋体" w:cs="Times New Roman"/>
          <w:lang w:val="en-US" w:eastAsia="zh-CN"/>
        </w:rPr>
        <w:t>）投入相应设备，包括叉车、</w:t>
      </w:r>
      <w:r>
        <w:rPr>
          <w:rFonts w:hint="eastAsia" w:hAnsi="宋体" w:cs="Times New Roman"/>
          <w:lang w:val="en-US" w:eastAsia="zh-CN"/>
        </w:rPr>
        <w:t>载货车</w:t>
      </w:r>
      <w:r>
        <w:rPr>
          <w:rFonts w:hint="eastAsia" w:hAnsi="宋体" w:eastAsia="宋体" w:cs="Times New Roman"/>
          <w:lang w:val="en-US" w:eastAsia="zh-CN"/>
        </w:rPr>
        <w:t>等；</w:t>
      </w:r>
    </w:p>
    <w:p w14:paraId="2B5CCC96">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hAnsi="宋体" w:cs="Times New Roman"/>
          <w:lang w:val="en-US" w:eastAsia="zh-CN"/>
        </w:rPr>
      </w:pPr>
      <w:r>
        <w:rPr>
          <w:rFonts w:hint="eastAsia" w:hAnsi="宋体" w:cs="Times New Roman"/>
          <w:lang w:val="en-US" w:eastAsia="zh-CN"/>
        </w:rPr>
        <w:t>5</w:t>
      </w:r>
      <w:r>
        <w:rPr>
          <w:rFonts w:hint="eastAsia" w:hAnsi="宋体" w:eastAsia="宋体" w:cs="Times New Roman"/>
          <w:lang w:val="en-US" w:eastAsia="zh-CN"/>
        </w:rPr>
        <w:t>）投标人负责仓储、配送过程中使用的器具</w:t>
      </w:r>
      <w:r>
        <w:rPr>
          <w:rFonts w:hint="eastAsia" w:hAnsi="宋体" w:cs="Times New Roman"/>
          <w:lang w:val="en-US" w:eastAsia="zh-CN"/>
        </w:rPr>
        <w:t>存储和管理</w:t>
      </w:r>
      <w:r>
        <w:rPr>
          <w:rFonts w:hint="eastAsia" w:hAnsi="宋体" w:eastAsia="宋体" w:cs="Times New Roman"/>
          <w:lang w:val="en-US" w:eastAsia="zh-CN"/>
        </w:rPr>
        <w:t>工作，按时完成器具的盘点工作，</w:t>
      </w:r>
      <w:r>
        <w:rPr>
          <w:rFonts w:hint="eastAsia" w:hAnsi="宋体" w:cs="Times New Roman"/>
          <w:lang w:val="en-US" w:eastAsia="zh-CN"/>
        </w:rPr>
        <w:t>无条件接受招标方工位器具或包装的变更，同时对变更后的工位器具按要求进行保管、盘点、定期检查。一次性包装需要在取得招标方同意后进行处理。</w:t>
      </w:r>
    </w:p>
    <w:p w14:paraId="617902A3">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hAnsi="宋体" w:eastAsia="宋体" w:cs="Times New Roman"/>
          <w:lang w:val="en-US" w:eastAsia="zh-CN"/>
        </w:rPr>
      </w:pPr>
      <w:r>
        <w:rPr>
          <w:rFonts w:hint="eastAsia" w:hAnsi="宋体" w:cs="Times New Roman"/>
          <w:lang w:val="en-US" w:eastAsia="zh-CN"/>
        </w:rPr>
        <w:t>6）积极配合招标方进行变速箱、零部件及工位器具的定期盘点，确保账实相符。</w:t>
      </w:r>
      <w:r>
        <w:rPr>
          <w:rFonts w:hint="eastAsia" w:hAnsi="宋体" w:eastAsia="宋体" w:cs="Times New Roman"/>
          <w:lang w:val="en-US" w:eastAsia="zh-CN"/>
        </w:rPr>
        <w:t>接受招标方的出、入产品的盘点稽核。仓库内账物一致率100%，资产损失由投标方承担：</w:t>
      </w:r>
    </w:p>
    <w:p w14:paraId="0A1B5571">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hAnsi="宋体" w:eastAsia="宋体" w:cs="Times New Roman"/>
          <w:lang w:val="en-US" w:eastAsia="zh-CN"/>
        </w:rPr>
      </w:pPr>
      <w:r>
        <w:rPr>
          <w:rFonts w:hint="eastAsia" w:hAnsi="宋体" w:cs="Times New Roman"/>
          <w:lang w:val="en-US" w:eastAsia="zh-CN"/>
        </w:rPr>
        <w:t>7</w:t>
      </w:r>
      <w:r>
        <w:rPr>
          <w:rFonts w:hint="eastAsia" w:hAnsi="宋体" w:eastAsia="宋体" w:cs="Times New Roman"/>
          <w:lang w:val="en-US" w:eastAsia="zh-CN"/>
        </w:rPr>
        <w:t>）投标人负责配件计划、KD件计划</w:t>
      </w:r>
      <w:r>
        <w:rPr>
          <w:rFonts w:hint="eastAsia" w:hAnsi="宋体" w:cs="Times New Roman"/>
          <w:lang w:val="en-US" w:eastAsia="zh-CN"/>
        </w:rPr>
        <w:t>（如有）的</w:t>
      </w:r>
      <w:r>
        <w:rPr>
          <w:rFonts w:hint="eastAsia" w:hAnsi="宋体" w:eastAsia="宋体" w:cs="Times New Roman"/>
          <w:lang w:val="en-US" w:eastAsia="zh-CN"/>
        </w:rPr>
        <w:t>物流配送工作</w:t>
      </w:r>
      <w:r>
        <w:rPr>
          <w:rFonts w:hint="eastAsia" w:hAnsi="宋体" w:cs="Times New Roman"/>
          <w:lang w:val="en-US" w:eastAsia="zh-CN"/>
        </w:rPr>
        <w:t>。</w:t>
      </w:r>
    </w:p>
    <w:p w14:paraId="4EC8D6A2">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hAnsi="宋体" w:eastAsia="宋体" w:cs="Times New Roman"/>
          <w:lang w:val="en-US" w:eastAsia="zh-CN"/>
        </w:rPr>
      </w:pPr>
      <w:r>
        <w:rPr>
          <w:rFonts w:hint="eastAsia" w:hAnsi="宋体" w:cs="Times New Roman"/>
          <w:lang w:val="en-US" w:eastAsia="zh-CN"/>
        </w:rPr>
        <w:t>8</w:t>
      </w:r>
      <w:r>
        <w:rPr>
          <w:rFonts w:hint="eastAsia" w:hAnsi="宋体" w:eastAsia="宋体" w:cs="Times New Roman"/>
          <w:lang w:val="en-US" w:eastAsia="zh-CN"/>
        </w:rPr>
        <w:t>）</w:t>
      </w:r>
      <w:r>
        <w:rPr>
          <w:rFonts w:hint="eastAsia" w:hAnsi="宋体" w:cs="Times New Roman"/>
          <w:lang w:val="en-US" w:eastAsia="zh-CN"/>
        </w:rPr>
        <w:t>配合招标方</w:t>
      </w:r>
      <w:r>
        <w:rPr>
          <w:rFonts w:hint="eastAsia" w:hAnsi="宋体" w:eastAsia="宋体" w:cs="Times New Roman"/>
          <w:lang w:val="en-US" w:eastAsia="zh-CN"/>
        </w:rPr>
        <w:t>做好逆向物流、随车工具发交相关物流工作。</w:t>
      </w:r>
    </w:p>
    <w:p w14:paraId="1E845E8A">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hAnsi="宋体" w:eastAsia="宋体" w:cs="Times New Roman"/>
          <w:lang w:val="en-US" w:eastAsia="zh-CN"/>
        </w:rPr>
      </w:pPr>
      <w:r>
        <w:rPr>
          <w:rFonts w:hint="eastAsia" w:hAnsi="宋体" w:cs="Times New Roman"/>
          <w:lang w:val="en-US" w:eastAsia="zh-CN"/>
        </w:rPr>
        <w:t>9）配合招标方完成已经发运至库房的零件的维修或维护（如需）工作。</w:t>
      </w:r>
    </w:p>
    <w:p w14:paraId="656EE410">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hAnsi="宋体" w:eastAsia="宋体" w:cs="Times New Roman"/>
          <w:lang w:val="en-US" w:eastAsia="zh-CN"/>
        </w:rPr>
      </w:pPr>
      <w:r>
        <w:rPr>
          <w:rFonts w:hint="eastAsia" w:hAnsi="宋体" w:eastAsia="宋体" w:cs="Times New Roman"/>
          <w:lang w:val="en-US" w:eastAsia="zh-CN"/>
        </w:rPr>
        <w:t>1</w:t>
      </w:r>
      <w:r>
        <w:rPr>
          <w:rFonts w:hint="eastAsia" w:hAnsi="宋体" w:cs="Times New Roman"/>
          <w:lang w:val="en-US" w:eastAsia="zh-CN"/>
        </w:rPr>
        <w:t>0</w:t>
      </w:r>
      <w:r>
        <w:rPr>
          <w:rFonts w:hint="eastAsia" w:hAnsi="宋体" w:eastAsia="宋体" w:cs="Times New Roman"/>
          <w:lang w:val="en-US" w:eastAsia="zh-CN"/>
        </w:rPr>
        <w:t>）投标人负责以上过程中的物资安全和质量防护。</w:t>
      </w:r>
    </w:p>
    <w:p w14:paraId="20AEA27D">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hAnsi="宋体" w:eastAsia="宋体" w:cs="Times New Roman"/>
          <w:lang w:val="en-US" w:eastAsia="zh-CN"/>
        </w:rPr>
      </w:pPr>
      <w:r>
        <w:rPr>
          <w:rFonts w:hint="eastAsia" w:hAnsi="宋体" w:eastAsia="宋体" w:cs="Times New Roman"/>
          <w:lang w:val="en-US" w:eastAsia="zh-CN"/>
        </w:rPr>
        <w:t>1</w:t>
      </w:r>
      <w:r>
        <w:rPr>
          <w:rFonts w:hint="eastAsia" w:hAnsi="宋体" w:cs="Times New Roman"/>
          <w:lang w:val="en-US" w:eastAsia="zh-CN"/>
        </w:rPr>
        <w:t>1</w:t>
      </w:r>
      <w:r>
        <w:rPr>
          <w:rFonts w:hint="eastAsia" w:hAnsi="宋体" w:eastAsia="宋体" w:cs="Times New Roman"/>
          <w:lang w:val="en-US" w:eastAsia="zh-CN"/>
        </w:rPr>
        <w:t>）保证人员及车辆在厂区内的安全作业符合招标方相关规定。</w:t>
      </w:r>
    </w:p>
    <w:p w14:paraId="03B0BE16">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hAnsi="宋体" w:eastAsia="宋体" w:cs="Times New Roman"/>
          <w:lang w:val="en-US" w:eastAsia="zh-CN"/>
        </w:rPr>
      </w:pPr>
      <w:r>
        <w:rPr>
          <w:rFonts w:hint="eastAsia" w:hAnsi="宋体" w:eastAsia="宋体" w:cs="Times New Roman"/>
          <w:lang w:val="en-US" w:eastAsia="zh-CN"/>
        </w:rPr>
        <w:t>1</w:t>
      </w:r>
      <w:r>
        <w:rPr>
          <w:rFonts w:hint="eastAsia" w:hAnsi="宋体" w:cs="Times New Roman"/>
          <w:lang w:val="en-US" w:eastAsia="zh-CN"/>
        </w:rPr>
        <w:t>2</w:t>
      </w:r>
      <w:r>
        <w:rPr>
          <w:rFonts w:hint="eastAsia" w:hAnsi="宋体" w:eastAsia="宋体" w:cs="Times New Roman"/>
          <w:lang w:val="en-US" w:eastAsia="zh-CN"/>
        </w:rPr>
        <w:t>）按照招标方“5s</w:t>
      </w:r>
      <w:r>
        <w:rPr>
          <w:rFonts w:hint="eastAsia" w:hAnsi="宋体" w:cs="Times New Roman"/>
          <w:lang w:val="en-US" w:eastAsia="zh-CN"/>
        </w:rPr>
        <w:t>”</w:t>
      </w:r>
      <w:r>
        <w:rPr>
          <w:rFonts w:hint="eastAsia" w:hAnsi="宋体" w:eastAsia="宋体" w:cs="Times New Roman"/>
          <w:lang w:val="en-US" w:eastAsia="zh-CN"/>
        </w:rPr>
        <w:t>制度标准，做好现场管理。</w:t>
      </w:r>
    </w:p>
    <w:p w14:paraId="3AD4B99A">
      <w:pPr>
        <w:pStyle w:val="6"/>
        <w:numPr>
          <w:ilvl w:val="0"/>
          <w:numId w:val="0"/>
        </w:numPr>
        <w:spacing w:line="360" w:lineRule="auto"/>
        <w:ind w:firstLine="422" w:firstLineChars="200"/>
        <w:rPr>
          <w:rFonts w:hint="eastAsia" w:hAnsi="宋体" w:eastAsia="宋体" w:cs="Times New Roman"/>
          <w:b/>
          <w:bCs/>
          <w:lang w:val="en-US" w:eastAsia="zh-CN"/>
        </w:rPr>
      </w:pPr>
      <w:r>
        <w:rPr>
          <w:rFonts w:hint="eastAsia" w:hAnsi="宋体" w:eastAsia="宋体" w:cs="Times New Roman"/>
          <w:b/>
          <w:bCs/>
          <w:lang w:val="en-US" w:eastAsia="zh-CN"/>
        </w:rPr>
        <w:t>2、资质和能力要求</w:t>
      </w:r>
    </w:p>
    <w:p w14:paraId="5DD3D671">
      <w:pPr>
        <w:pStyle w:val="6"/>
        <w:numPr>
          <w:ilvl w:val="0"/>
          <w:numId w:val="0"/>
        </w:numPr>
        <w:spacing w:line="360" w:lineRule="auto"/>
        <w:ind w:firstLine="380" w:firstLineChars="200"/>
        <w:rPr>
          <w:rFonts w:hint="eastAsia" w:ascii="Arial" w:hAnsi="Arial" w:eastAsia="宋体" w:cs="Arial"/>
          <w:i w:val="0"/>
          <w:iCs w:val="0"/>
          <w:caps w:val="0"/>
          <w:color w:val="222222"/>
          <w:spacing w:val="0"/>
          <w:sz w:val="19"/>
          <w:szCs w:val="19"/>
          <w:u w:val="none"/>
          <w:shd w:val="clear" w:fill="FFFFFF"/>
          <w:lang w:val="en-US" w:eastAsia="zh-CN"/>
        </w:rPr>
      </w:pPr>
      <w:r>
        <w:rPr>
          <w:rFonts w:hint="eastAsia" w:ascii="Arial" w:hAnsi="Arial" w:eastAsia="宋体" w:cs="Arial"/>
          <w:i w:val="0"/>
          <w:iCs w:val="0"/>
          <w:caps w:val="0"/>
          <w:color w:val="222222"/>
          <w:spacing w:val="0"/>
          <w:sz w:val="19"/>
          <w:szCs w:val="19"/>
          <w:u w:val="none"/>
          <w:shd w:val="clear" w:fill="FFFFFF"/>
          <w:lang w:val="en-US" w:eastAsia="zh-CN"/>
        </w:rPr>
        <w:t>1）持有有效营业执照，具有独立法人资格和承担民事责任的能力</w:t>
      </w:r>
      <w:r>
        <w:rPr>
          <w:rFonts w:hint="default" w:ascii="Arial" w:hAnsi="Arial" w:eastAsia="宋体" w:cs="Arial"/>
          <w:i w:val="0"/>
          <w:iCs w:val="0"/>
          <w:caps w:val="0"/>
          <w:color w:val="222222"/>
          <w:spacing w:val="0"/>
          <w:sz w:val="19"/>
          <w:szCs w:val="19"/>
          <w:u w:val="none"/>
          <w:shd w:val="clear" w:fill="FFFFFF"/>
          <w:lang w:val="en-US" w:eastAsia="zh-CN"/>
        </w:rPr>
        <w:t>。</w:t>
      </w:r>
    </w:p>
    <w:p w14:paraId="444CAA23">
      <w:pPr>
        <w:pStyle w:val="6"/>
        <w:numPr>
          <w:ilvl w:val="0"/>
          <w:numId w:val="0"/>
        </w:numPr>
        <w:spacing w:line="360" w:lineRule="auto"/>
        <w:ind w:firstLine="420" w:firstLineChars="200"/>
        <w:rPr>
          <w:rFonts w:ascii="Arial" w:hAnsi="Arial" w:eastAsia="宋体" w:cs="Arial"/>
          <w:i w:val="0"/>
          <w:iCs w:val="0"/>
          <w:caps w:val="0"/>
          <w:color w:val="222222"/>
          <w:spacing w:val="0"/>
          <w:sz w:val="19"/>
          <w:szCs w:val="19"/>
          <w:u w:val="none"/>
          <w:shd w:val="clear" w:fill="FFFFFF"/>
        </w:rPr>
      </w:pPr>
      <w:r>
        <w:rPr>
          <w:rFonts w:hint="eastAsia" w:hAnsi="宋体" w:cs="Times New Roman"/>
          <w:b w:val="0"/>
          <w:bCs w:val="0"/>
          <w:lang w:val="en-US" w:eastAsia="zh-CN"/>
        </w:rPr>
        <w:t>2）</w:t>
      </w:r>
      <w:r>
        <w:rPr>
          <w:rFonts w:ascii="Arial" w:hAnsi="Arial" w:eastAsia="宋体" w:cs="Arial"/>
          <w:i w:val="0"/>
          <w:iCs w:val="0"/>
          <w:caps w:val="0"/>
          <w:color w:val="222222"/>
          <w:spacing w:val="0"/>
          <w:sz w:val="19"/>
          <w:szCs w:val="19"/>
          <w:u w:val="none"/>
          <w:shd w:val="clear" w:fill="FFFFFF"/>
        </w:rPr>
        <w:t>具有三年以上</w:t>
      </w:r>
      <w:r>
        <w:rPr>
          <w:rFonts w:hint="eastAsia" w:ascii="Arial" w:hAnsi="Arial" w:cs="Arial"/>
          <w:i w:val="0"/>
          <w:iCs w:val="0"/>
          <w:caps w:val="0"/>
          <w:color w:val="222222"/>
          <w:spacing w:val="0"/>
          <w:sz w:val="19"/>
          <w:szCs w:val="19"/>
          <w:u w:val="none"/>
          <w:shd w:val="clear" w:fill="FFFFFF"/>
          <w:lang w:val="en-US" w:eastAsia="zh-CN"/>
        </w:rPr>
        <w:t>汽车产品</w:t>
      </w:r>
      <w:r>
        <w:rPr>
          <w:rFonts w:ascii="Arial" w:hAnsi="Arial" w:eastAsia="宋体" w:cs="Arial"/>
          <w:i w:val="0"/>
          <w:iCs w:val="0"/>
          <w:caps w:val="0"/>
          <w:color w:val="222222"/>
          <w:spacing w:val="0"/>
          <w:sz w:val="19"/>
          <w:szCs w:val="19"/>
          <w:u w:val="none"/>
          <w:shd w:val="clear" w:fill="FFFFFF"/>
        </w:rPr>
        <w:t>仓储</w:t>
      </w:r>
      <w:r>
        <w:rPr>
          <w:rFonts w:hint="eastAsia" w:ascii="Arial" w:hAnsi="Arial" w:cs="Arial"/>
          <w:i w:val="0"/>
          <w:iCs w:val="0"/>
          <w:caps w:val="0"/>
          <w:color w:val="222222"/>
          <w:spacing w:val="0"/>
          <w:sz w:val="19"/>
          <w:szCs w:val="19"/>
          <w:u w:val="none"/>
          <w:shd w:val="clear" w:fill="FFFFFF"/>
          <w:lang w:val="en-US" w:eastAsia="zh-CN"/>
        </w:rPr>
        <w:t>服务</w:t>
      </w:r>
      <w:r>
        <w:rPr>
          <w:rFonts w:ascii="Arial" w:hAnsi="Arial" w:eastAsia="宋体" w:cs="Arial"/>
          <w:i w:val="0"/>
          <w:iCs w:val="0"/>
          <w:caps w:val="0"/>
          <w:color w:val="222222"/>
          <w:spacing w:val="0"/>
          <w:sz w:val="19"/>
          <w:szCs w:val="19"/>
          <w:u w:val="none"/>
          <w:shd w:val="clear" w:fill="FFFFFF"/>
        </w:rPr>
        <w:t>经验；具备履行合同所需的仓库、设备、人员和专业物流组织能力。</w:t>
      </w:r>
    </w:p>
    <w:p w14:paraId="0B388681">
      <w:pPr>
        <w:pStyle w:val="6"/>
        <w:numPr>
          <w:ilvl w:val="0"/>
          <w:numId w:val="0"/>
        </w:numPr>
        <w:spacing w:line="360" w:lineRule="auto"/>
        <w:ind w:firstLine="422" w:firstLineChars="200"/>
        <w:rPr>
          <w:rFonts w:hint="eastAsia" w:hAnsi="宋体" w:eastAsia="宋体" w:cs="Times New Roman"/>
          <w:b/>
          <w:bCs/>
          <w:lang w:val="en-US" w:eastAsia="zh-CN"/>
        </w:rPr>
      </w:pPr>
      <w:r>
        <w:rPr>
          <w:rFonts w:hint="eastAsia" w:hAnsi="宋体" w:eastAsia="宋体" w:cs="Times New Roman"/>
          <w:b/>
          <w:bCs/>
          <w:lang w:val="en-US" w:eastAsia="zh-CN"/>
        </w:rPr>
        <w:t>3、财务及信誉要求</w:t>
      </w:r>
    </w:p>
    <w:p w14:paraId="6DDF18B3">
      <w:pPr>
        <w:pStyle w:val="6"/>
        <w:numPr>
          <w:ilvl w:val="0"/>
          <w:numId w:val="0"/>
        </w:numPr>
        <w:spacing w:line="360" w:lineRule="auto"/>
        <w:ind w:firstLine="380" w:firstLineChars="200"/>
        <w:rPr>
          <w:rFonts w:hint="default" w:ascii="Arial" w:hAnsi="Arial" w:eastAsia="宋体" w:cs="Arial"/>
          <w:i w:val="0"/>
          <w:iCs w:val="0"/>
          <w:caps w:val="0"/>
          <w:color w:val="222222"/>
          <w:spacing w:val="0"/>
          <w:sz w:val="19"/>
          <w:szCs w:val="19"/>
          <w:u w:val="none"/>
          <w:shd w:val="clear" w:fill="FFFFFF"/>
        </w:rPr>
      </w:pPr>
      <w:r>
        <w:rPr>
          <w:rFonts w:ascii="Arial" w:hAnsi="Arial" w:eastAsia="宋体" w:cs="Arial"/>
          <w:i w:val="0"/>
          <w:iCs w:val="0"/>
          <w:caps w:val="0"/>
          <w:color w:val="222222"/>
          <w:spacing w:val="0"/>
          <w:sz w:val="19"/>
          <w:szCs w:val="19"/>
          <w:u w:val="none"/>
          <w:shd w:val="clear" w:fill="FFFFFF"/>
        </w:rPr>
        <w:t>投标人必须具备良好的税收和会计保障资金记录</w:t>
      </w:r>
      <w:r>
        <w:rPr>
          <w:rFonts w:hint="eastAsia" w:ascii="Arial" w:hAnsi="Arial" w:cs="Arial"/>
          <w:i w:val="0"/>
          <w:iCs w:val="0"/>
          <w:caps w:val="0"/>
          <w:color w:val="222222"/>
          <w:spacing w:val="0"/>
          <w:sz w:val="19"/>
          <w:szCs w:val="19"/>
          <w:u w:val="none"/>
          <w:shd w:val="clear" w:fill="FFFFFF"/>
          <w:lang w:eastAsia="zh-CN"/>
        </w:rPr>
        <w:t>。</w:t>
      </w:r>
      <w:r>
        <w:rPr>
          <w:rFonts w:hint="default" w:ascii="Arial" w:hAnsi="Arial" w:eastAsia="宋体" w:cs="Arial"/>
          <w:i w:val="0"/>
          <w:iCs w:val="0"/>
          <w:caps w:val="0"/>
          <w:color w:val="222222"/>
          <w:spacing w:val="0"/>
          <w:sz w:val="19"/>
          <w:szCs w:val="19"/>
          <w:u w:val="none"/>
          <w:shd w:val="clear" w:fill="FFFFFF"/>
        </w:rPr>
        <w:t>此外，投标人不得处于财产被接管、冻结或随产状态，</w:t>
      </w:r>
      <w:r>
        <w:rPr>
          <w:rFonts w:hint="eastAsia" w:ascii="Arial" w:hAnsi="Arial" w:cs="Arial"/>
          <w:i w:val="0"/>
          <w:iCs w:val="0"/>
          <w:caps w:val="0"/>
          <w:color w:val="222222"/>
          <w:spacing w:val="0"/>
          <w:sz w:val="19"/>
          <w:szCs w:val="19"/>
          <w:u w:val="none"/>
          <w:shd w:val="clear" w:fill="FFFFFF"/>
          <w:lang w:val="en-US" w:eastAsia="zh-CN"/>
        </w:rPr>
        <w:t>无对方抵押担保</w:t>
      </w:r>
      <w:r>
        <w:rPr>
          <w:rFonts w:hint="default" w:ascii="Arial" w:hAnsi="Arial" w:eastAsia="宋体" w:cs="Arial"/>
          <w:i w:val="0"/>
          <w:iCs w:val="0"/>
          <w:caps w:val="0"/>
          <w:color w:val="222222"/>
          <w:spacing w:val="0"/>
          <w:sz w:val="19"/>
          <w:szCs w:val="19"/>
          <w:u w:val="none"/>
          <w:shd w:val="clear" w:fill="FFFFFF"/>
        </w:rPr>
        <w:t>，确保不影响合作项目的顺利进行。</w:t>
      </w:r>
    </w:p>
    <w:p w14:paraId="47B60C8A">
      <w:pPr>
        <w:pStyle w:val="6"/>
        <w:numPr>
          <w:ilvl w:val="0"/>
          <w:numId w:val="10"/>
        </w:numPr>
        <w:spacing w:line="360" w:lineRule="auto"/>
        <w:rPr>
          <w:rFonts w:hint="eastAsia" w:hAnsi="宋体" w:eastAsia="宋体" w:cs="Times New Roman"/>
          <w:b/>
          <w:bCs/>
          <w:lang w:val="en-US" w:eastAsia="zh-CN"/>
        </w:rPr>
      </w:pPr>
      <w:r>
        <w:rPr>
          <w:rFonts w:hint="eastAsia" w:hAnsi="宋体" w:eastAsia="宋体" w:cs="Times New Roman"/>
          <w:b/>
          <w:bCs/>
          <w:lang w:val="en-US" w:eastAsia="zh-CN"/>
        </w:rPr>
        <w:t>服务要求</w:t>
      </w:r>
    </w:p>
    <w:p w14:paraId="49301DEE">
      <w:pPr>
        <w:pStyle w:val="6"/>
        <w:numPr>
          <w:ilvl w:val="0"/>
          <w:numId w:val="0"/>
        </w:numPr>
        <w:spacing w:line="360" w:lineRule="auto"/>
        <w:ind w:firstLine="422" w:firstLineChars="200"/>
        <w:rPr>
          <w:rFonts w:hint="eastAsia" w:hAnsi="宋体" w:cs="Times New Roman"/>
          <w:b/>
          <w:bCs/>
          <w:lang w:val="en-US" w:eastAsia="zh-CN"/>
        </w:rPr>
      </w:pPr>
      <w:r>
        <w:rPr>
          <w:rFonts w:hint="eastAsia" w:hAnsi="宋体" w:cs="Times New Roman"/>
          <w:b/>
          <w:bCs/>
          <w:lang w:val="en-US" w:eastAsia="zh-CN"/>
        </w:rPr>
        <w:t>1、仓储要求</w:t>
      </w:r>
    </w:p>
    <w:p w14:paraId="60CC74B2">
      <w:pPr>
        <w:pStyle w:val="6"/>
        <w:numPr>
          <w:ilvl w:val="0"/>
          <w:numId w:val="0"/>
        </w:numPr>
        <w:spacing w:line="360" w:lineRule="auto"/>
        <w:ind w:firstLine="380" w:firstLineChars="200"/>
        <w:rPr>
          <w:rFonts w:hint="eastAsia"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1）</w:t>
      </w:r>
      <w:r>
        <w:rPr>
          <w:rFonts w:hint="eastAsia" w:ascii="Arial" w:hAnsi="Arial" w:eastAsia="宋体" w:cs="Arial"/>
          <w:i w:val="0"/>
          <w:iCs w:val="0"/>
          <w:caps w:val="0"/>
          <w:color w:val="222222"/>
          <w:spacing w:val="0"/>
          <w:sz w:val="19"/>
          <w:szCs w:val="19"/>
          <w:u w:val="none"/>
          <w:shd w:val="clear" w:fill="FFFFFF"/>
          <w:lang w:val="en-US" w:eastAsia="zh-CN"/>
        </w:rPr>
        <w:t>在</w:t>
      </w:r>
      <w:r>
        <w:rPr>
          <w:rFonts w:hint="eastAsia" w:ascii="Arial" w:hAnsi="Arial" w:cs="Arial"/>
          <w:i w:val="0"/>
          <w:iCs w:val="0"/>
          <w:caps w:val="0"/>
          <w:color w:val="222222"/>
          <w:spacing w:val="0"/>
          <w:sz w:val="19"/>
          <w:szCs w:val="19"/>
          <w:u w:val="none"/>
          <w:shd w:val="clear" w:fill="FFFFFF"/>
          <w:lang w:val="en-US" w:eastAsia="zh-CN"/>
        </w:rPr>
        <w:t>柳州</w:t>
      </w:r>
      <w:r>
        <w:rPr>
          <w:rFonts w:hint="eastAsia" w:ascii="Arial" w:hAnsi="Arial" w:eastAsia="宋体" w:cs="Arial"/>
          <w:i w:val="0"/>
          <w:iCs w:val="0"/>
          <w:caps w:val="0"/>
          <w:color w:val="222222"/>
          <w:spacing w:val="0"/>
          <w:sz w:val="19"/>
          <w:szCs w:val="19"/>
          <w:u w:val="none"/>
          <w:shd w:val="clear" w:fill="FFFFFF"/>
          <w:lang w:val="en-US" w:eastAsia="zh-CN"/>
        </w:rPr>
        <w:t>地区有库房</w:t>
      </w:r>
      <w:r>
        <w:rPr>
          <w:rFonts w:hint="eastAsia" w:ascii="Arial" w:hAnsi="Arial" w:cs="Arial"/>
          <w:i w:val="0"/>
          <w:iCs w:val="0"/>
          <w:caps w:val="0"/>
          <w:color w:val="222222"/>
          <w:spacing w:val="0"/>
          <w:sz w:val="19"/>
          <w:szCs w:val="19"/>
          <w:u w:val="none"/>
          <w:shd w:val="clear" w:fill="FFFFFF"/>
          <w:lang w:val="en-US" w:eastAsia="zh-CN"/>
        </w:rPr>
        <w:t>（可租赁），面积不限，但需无条件接受投标方发运货物的量，确保所有产品的正确防护，确保在仓储过程中质量完好。</w:t>
      </w:r>
    </w:p>
    <w:p w14:paraId="6C3FACD8">
      <w:pPr>
        <w:pStyle w:val="6"/>
        <w:numPr>
          <w:ilvl w:val="0"/>
          <w:numId w:val="0"/>
        </w:numPr>
        <w:spacing w:line="360" w:lineRule="auto"/>
        <w:ind w:firstLine="380" w:firstLineChars="200"/>
        <w:rPr>
          <w:rFonts w:hint="eastAsia"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3）投标人购置相应的物资保险、添置消防、防盗等设备，确保物资仓储安全。</w:t>
      </w:r>
    </w:p>
    <w:p w14:paraId="2E0876E3">
      <w:pPr>
        <w:pStyle w:val="6"/>
        <w:numPr>
          <w:ilvl w:val="0"/>
          <w:numId w:val="0"/>
        </w:numPr>
        <w:spacing w:line="360" w:lineRule="auto"/>
        <w:ind w:firstLine="380" w:firstLineChars="200"/>
        <w:rPr>
          <w:rFonts w:hint="default"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4）入库清单，并配合招标方核对账物体。如发运过程中产生包装破损，投标方需要予以更换包装，如产生磕碰或者损坏，需要及时告知投标方，确保责任清楚。</w:t>
      </w:r>
    </w:p>
    <w:p w14:paraId="1FC1AA9E">
      <w:pPr>
        <w:pStyle w:val="6"/>
        <w:numPr>
          <w:ilvl w:val="0"/>
          <w:numId w:val="0"/>
        </w:numPr>
        <w:spacing w:line="360" w:lineRule="auto"/>
        <w:ind w:firstLine="380" w:firstLineChars="200"/>
        <w:rPr>
          <w:rFonts w:hint="eastAsia"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5）入库、出库满足目视化管理要求，先进先出。</w:t>
      </w:r>
    </w:p>
    <w:p w14:paraId="227C7C3F">
      <w:pPr>
        <w:pStyle w:val="6"/>
        <w:numPr>
          <w:ilvl w:val="0"/>
          <w:numId w:val="0"/>
        </w:numPr>
        <w:spacing w:line="360" w:lineRule="auto"/>
        <w:ind w:firstLine="380" w:firstLineChars="200"/>
        <w:rPr>
          <w:rFonts w:hint="eastAsia"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6）发现不合格品，及时报告给招标方，并进行隔离，配合招标方进行妥善处置，包括但不限于异地维修、返回等。</w:t>
      </w:r>
    </w:p>
    <w:p w14:paraId="6319A296">
      <w:pPr>
        <w:pStyle w:val="6"/>
        <w:numPr>
          <w:ilvl w:val="0"/>
          <w:numId w:val="0"/>
        </w:numPr>
        <w:spacing w:line="360" w:lineRule="auto"/>
        <w:ind w:firstLine="380" w:firstLineChars="200"/>
        <w:rPr>
          <w:rFonts w:hint="eastAsia"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7）账物一致，日清日结，按招标方要求进行月度盘点、极度盘点和年度盘点，如投标方造成丢夫，由投标方负责。</w:t>
      </w:r>
    </w:p>
    <w:p w14:paraId="44CB1194">
      <w:pPr>
        <w:pStyle w:val="6"/>
        <w:numPr>
          <w:ilvl w:val="0"/>
          <w:numId w:val="0"/>
        </w:numPr>
        <w:spacing w:line="360" w:lineRule="auto"/>
        <w:ind w:firstLine="380" w:firstLineChars="200"/>
        <w:rPr>
          <w:rFonts w:hint="eastAsia"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8）确保变速箱总计和零部件清洁，按要求放置。异地磕碰问题由投标方负责。</w:t>
      </w:r>
    </w:p>
    <w:p w14:paraId="258481D6">
      <w:pPr>
        <w:pStyle w:val="6"/>
        <w:numPr>
          <w:ilvl w:val="0"/>
          <w:numId w:val="0"/>
        </w:numPr>
        <w:spacing w:line="360" w:lineRule="auto"/>
        <w:ind w:firstLine="422" w:firstLineChars="200"/>
        <w:rPr>
          <w:rFonts w:hint="eastAsia" w:hAnsi="宋体" w:cs="Times New Roman"/>
          <w:b/>
          <w:bCs/>
          <w:lang w:val="en-US" w:eastAsia="zh-CN"/>
        </w:rPr>
      </w:pPr>
      <w:r>
        <w:rPr>
          <w:rFonts w:hint="eastAsia" w:hAnsi="宋体" w:cs="Times New Roman"/>
          <w:b/>
          <w:bCs/>
          <w:lang w:val="en-US" w:eastAsia="zh-CN"/>
        </w:rPr>
        <w:t>2、配送要求</w:t>
      </w:r>
    </w:p>
    <w:p w14:paraId="48303593">
      <w:pPr>
        <w:pStyle w:val="6"/>
        <w:numPr>
          <w:ilvl w:val="0"/>
          <w:numId w:val="0"/>
        </w:numPr>
        <w:spacing w:line="360" w:lineRule="auto"/>
        <w:ind w:firstLine="380" w:firstLineChars="200"/>
        <w:rPr>
          <w:rFonts w:hint="eastAsia"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1）需要有专业吊装工具进行变速箱反包，将公司包装更换为符合主机厂要求的包装。</w:t>
      </w:r>
    </w:p>
    <w:p w14:paraId="1C4DC73E">
      <w:pPr>
        <w:pStyle w:val="6"/>
        <w:numPr>
          <w:ilvl w:val="0"/>
          <w:numId w:val="0"/>
        </w:numPr>
        <w:spacing w:line="360" w:lineRule="auto"/>
        <w:ind w:firstLine="380" w:firstLineChars="200"/>
        <w:rPr>
          <w:rFonts w:hint="eastAsia"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2）熟练使用东风柳汽的系统，关注生产排除和配送看板的要求。</w:t>
      </w:r>
    </w:p>
    <w:p w14:paraId="1FBF2232">
      <w:pPr>
        <w:pStyle w:val="6"/>
        <w:numPr>
          <w:ilvl w:val="0"/>
          <w:numId w:val="0"/>
        </w:numPr>
        <w:spacing w:line="360" w:lineRule="auto"/>
        <w:ind w:firstLine="380" w:firstLineChars="200"/>
        <w:rPr>
          <w:rFonts w:hint="eastAsia"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3）反包后的变速箱的工位器具、清洁度符合主机厂要求。数量能够满足主机厂的上线需求。产品到位，但是由于投标方为及时关注排序、配送延误导致的停线，招标方追究投标方责任，按主机厂考核的1.3倍进行考核。</w:t>
      </w:r>
    </w:p>
    <w:p w14:paraId="62324014">
      <w:pPr>
        <w:pStyle w:val="6"/>
        <w:numPr>
          <w:ilvl w:val="0"/>
          <w:numId w:val="0"/>
        </w:numPr>
        <w:spacing w:line="360" w:lineRule="auto"/>
        <w:ind w:firstLine="380" w:firstLineChars="200"/>
        <w:rPr>
          <w:rFonts w:hint="eastAsia"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4）反包过程轻拿轻放，造成磕碰由投标方负责。</w:t>
      </w:r>
    </w:p>
    <w:p w14:paraId="60B3C2DE">
      <w:pPr>
        <w:pStyle w:val="6"/>
        <w:numPr>
          <w:ilvl w:val="0"/>
          <w:numId w:val="0"/>
        </w:numPr>
        <w:spacing w:line="360" w:lineRule="auto"/>
        <w:ind w:firstLine="380" w:firstLineChars="200"/>
        <w:rPr>
          <w:rFonts w:hint="eastAsia"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5）主机厂上线时，需要跟踪，如有零公里等问题，需要投标方协调服务站解决，并对及时性负责。</w:t>
      </w:r>
    </w:p>
    <w:p w14:paraId="3B366E39">
      <w:pPr>
        <w:pStyle w:val="6"/>
        <w:numPr>
          <w:ilvl w:val="0"/>
          <w:numId w:val="0"/>
        </w:numPr>
        <w:spacing w:line="360" w:lineRule="auto"/>
        <w:ind w:firstLine="380" w:firstLineChars="200"/>
        <w:rPr>
          <w:rFonts w:hint="eastAsia"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6）配送时进入主机厂内，需要按主机厂要求进行行驶，包括速度、道路等，防护用品符合主机厂的安全要求。</w:t>
      </w:r>
    </w:p>
    <w:p w14:paraId="4E3EF6D0">
      <w:pPr>
        <w:pStyle w:val="6"/>
        <w:numPr>
          <w:ilvl w:val="0"/>
          <w:numId w:val="0"/>
        </w:numPr>
        <w:spacing w:line="360" w:lineRule="auto"/>
        <w:ind w:firstLine="422" w:firstLineChars="200"/>
        <w:rPr>
          <w:rFonts w:hint="default" w:hAnsi="宋体" w:cs="Times New Roman"/>
          <w:b/>
          <w:bCs/>
          <w:lang w:val="en-US" w:eastAsia="zh-CN"/>
        </w:rPr>
      </w:pPr>
      <w:r>
        <w:rPr>
          <w:rFonts w:hint="eastAsia" w:hAnsi="宋体" w:cs="Times New Roman"/>
          <w:b/>
          <w:bCs/>
          <w:lang w:val="en-US" w:eastAsia="zh-CN"/>
        </w:rPr>
        <w:t>3、工位器具及包装的管理要求</w:t>
      </w:r>
    </w:p>
    <w:p w14:paraId="6E39F357">
      <w:pPr>
        <w:pStyle w:val="6"/>
        <w:numPr>
          <w:ilvl w:val="0"/>
          <w:numId w:val="0"/>
        </w:numPr>
        <w:spacing w:line="360" w:lineRule="auto"/>
        <w:ind w:firstLine="380" w:firstLineChars="200"/>
        <w:rPr>
          <w:rFonts w:hint="eastAsia"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1）无条件接受招标方的器具和包装变动；</w:t>
      </w:r>
    </w:p>
    <w:p w14:paraId="17FEE247">
      <w:pPr>
        <w:pStyle w:val="6"/>
        <w:numPr>
          <w:ilvl w:val="0"/>
          <w:numId w:val="0"/>
        </w:numPr>
        <w:spacing w:line="360" w:lineRule="auto"/>
        <w:ind w:firstLine="380" w:firstLineChars="200"/>
        <w:rPr>
          <w:rFonts w:hint="default"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2）合理保护、按期配合维修工位器具，确保工位器具无磕碰、清洁。</w:t>
      </w:r>
    </w:p>
    <w:p w14:paraId="66958275">
      <w:pPr>
        <w:pStyle w:val="6"/>
        <w:numPr>
          <w:ilvl w:val="0"/>
          <w:numId w:val="0"/>
        </w:numPr>
        <w:spacing w:line="360" w:lineRule="auto"/>
        <w:ind w:firstLine="380" w:firstLineChars="200"/>
        <w:rPr>
          <w:rFonts w:hint="eastAsia"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3）一次性包装需征得招标方同意后进行处置。</w:t>
      </w:r>
    </w:p>
    <w:p w14:paraId="304E9E43">
      <w:pPr>
        <w:pStyle w:val="6"/>
        <w:numPr>
          <w:ilvl w:val="0"/>
          <w:numId w:val="0"/>
        </w:numPr>
        <w:spacing w:line="360" w:lineRule="auto"/>
        <w:ind w:firstLine="380" w:firstLineChars="200"/>
        <w:rPr>
          <w:rFonts w:hint="eastAsia"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4）配合逆向物流返回工位器具，负责工位器具的装载。装载过程中轻拿轻放，避免磕碰和损坏。</w:t>
      </w:r>
    </w:p>
    <w:p w14:paraId="2B8FB49C">
      <w:pPr>
        <w:pStyle w:val="6"/>
        <w:numPr>
          <w:ilvl w:val="0"/>
          <w:numId w:val="0"/>
        </w:numPr>
        <w:spacing w:line="360" w:lineRule="auto"/>
        <w:ind w:firstLine="380" w:firstLineChars="200"/>
        <w:rPr>
          <w:rFonts w:hint="eastAsia"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5）长时间滞留器具能够得到较好的防护，定期检查，报告破损情况。</w:t>
      </w:r>
    </w:p>
    <w:p w14:paraId="78CD9EE1">
      <w:pPr>
        <w:pStyle w:val="6"/>
        <w:numPr>
          <w:ilvl w:val="0"/>
          <w:numId w:val="0"/>
        </w:numPr>
        <w:spacing w:line="360" w:lineRule="auto"/>
        <w:ind w:firstLine="380" w:firstLineChars="200"/>
        <w:rPr>
          <w:rFonts w:hint="default" w:ascii="Arial" w:hAnsi="Arial" w:cs="Arial"/>
          <w:i w:val="0"/>
          <w:iCs w:val="0"/>
          <w:caps w:val="0"/>
          <w:color w:val="222222"/>
          <w:spacing w:val="0"/>
          <w:sz w:val="19"/>
          <w:szCs w:val="19"/>
          <w:u w:val="none"/>
          <w:shd w:val="clear" w:fill="FFFFFF"/>
          <w:lang w:val="en-US" w:eastAsia="zh-CN"/>
        </w:rPr>
      </w:pPr>
      <w:r>
        <w:rPr>
          <w:rFonts w:hint="eastAsia" w:ascii="Arial" w:hAnsi="Arial" w:cs="Arial"/>
          <w:i w:val="0"/>
          <w:iCs w:val="0"/>
          <w:caps w:val="0"/>
          <w:color w:val="222222"/>
          <w:spacing w:val="0"/>
          <w:sz w:val="19"/>
          <w:szCs w:val="19"/>
          <w:u w:val="none"/>
          <w:shd w:val="clear" w:fill="FFFFFF"/>
          <w:lang w:val="en-US" w:eastAsia="zh-CN"/>
        </w:rPr>
        <w:t>6）配合工位器具的定期盘点，包括但不限于月度盘点，季度盘点和年度盘点。</w:t>
      </w:r>
    </w:p>
    <w:p w14:paraId="36A67D6D">
      <w:pPr>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br w:type="page"/>
      </w:r>
    </w:p>
    <w:p w14:paraId="49BAF35F">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12" w:name="_Toc639004"/>
      <w:bookmarkStart w:id="13" w:name="_Toc353881012"/>
      <w:bookmarkStart w:id="14" w:name="_Toc25811"/>
      <w:bookmarkStart w:id="15" w:name="_Toc212369550"/>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12"/>
      <w:bookmarkEnd w:id="13"/>
      <w:bookmarkEnd w:id="14"/>
      <w:bookmarkEnd w:id="15"/>
    </w:p>
    <w:p w14:paraId="6B434CB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cs="Times New Roman"/>
          <w:color w:val="000000"/>
          <w:sz w:val="24"/>
          <w:szCs w:val="24"/>
          <w:lang w:eastAsia="zh-CN"/>
        </w:rPr>
        <w:t>大同齿轮有限公司</w:t>
      </w:r>
      <w:r>
        <w:rPr>
          <w:rFonts w:hint="eastAsia" w:ascii="宋体" w:hAnsi="宋体" w:eastAsia="宋体" w:cs="Times New Roman"/>
          <w:color w:val="000000"/>
          <w:sz w:val="24"/>
          <w:szCs w:val="24"/>
        </w:rPr>
        <w:t>：</w:t>
      </w:r>
    </w:p>
    <w:p w14:paraId="4689B528">
      <w:pPr>
        <w:spacing w:line="360" w:lineRule="auto"/>
        <w:ind w:firstLine="480" w:firstLineChars="200"/>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rPr>
        <w:t>根据贵方</w:t>
      </w:r>
      <w:r>
        <w:rPr>
          <w:rFonts w:hint="eastAsia" w:ascii="宋体" w:hAnsi="宋体" w:cs="宋体"/>
          <w:b/>
          <w:bCs/>
          <w:sz w:val="24"/>
          <w:szCs w:val="24"/>
          <w:highlight w:val="none"/>
          <w:u w:val="single"/>
          <w:lang w:val="en-US" w:eastAsia="zh-CN"/>
        </w:rPr>
        <w:t>2026年度东风柳汽仓储服务项目项目</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bCs/>
          <w:snapToGrid w:val="0"/>
          <w:color w:val="000000"/>
          <w:kern w:val="0"/>
          <w:sz w:val="24"/>
          <w:szCs w:val="24"/>
          <w:lang w:eastAsia="zh-CN"/>
        </w:rPr>
        <w:t>，</w:t>
      </w:r>
      <w:r>
        <w:rPr>
          <w:rFonts w:ascii="宋体" w:hAnsi="宋体" w:eastAsia="宋体" w:cs="Times New Roman"/>
          <w:b/>
          <w:bCs/>
          <w:snapToGrid w:val="0"/>
          <w:color w:val="000000"/>
          <w:kern w:val="0"/>
          <w:sz w:val="24"/>
          <w:szCs w:val="24"/>
          <w:u w:val="single"/>
        </w:rPr>
        <w:t xml:space="preserve">  </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提交投标文件：资质证明文件、商务文件和技术文件</w:t>
      </w:r>
      <w:r>
        <w:rPr>
          <w:rFonts w:hint="eastAsia" w:ascii="宋体" w:hAnsi="宋体" w:eastAsia="宋体" w:cs="Times New Roman"/>
          <w:color w:val="000000"/>
          <w:sz w:val="24"/>
          <w:szCs w:val="24"/>
          <w:lang w:eastAsia="zh-CN"/>
        </w:rPr>
        <w:t>。</w:t>
      </w:r>
    </w:p>
    <w:p w14:paraId="75BC68A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1F4E7D2F">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1A14D0AC">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5ED9EE6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079B436A">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04452304">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075C7BE">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074F815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5B111F4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1FB577D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22AD405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3156CD1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235854B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6264881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6267CFE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0AF93E8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6BE6F399">
      <w:pPr>
        <w:rPr>
          <w:rFonts w:ascii="黑体" w:hAnsi="Calibri" w:eastAsia="黑体" w:cs="Times New Roman"/>
          <w:color w:val="000000"/>
          <w:sz w:val="24"/>
          <w:szCs w:val="24"/>
        </w:rPr>
      </w:pPr>
    </w:p>
    <w:p w14:paraId="69DD60BE">
      <w:pPr>
        <w:pStyle w:val="6"/>
        <w:rPr>
          <w:rFonts w:ascii="黑体" w:hAnsi="Calibri" w:eastAsia="黑体" w:cs="Times New Roman"/>
          <w:color w:val="000000"/>
          <w:sz w:val="24"/>
          <w:szCs w:val="24"/>
        </w:rPr>
      </w:pPr>
    </w:p>
    <w:p w14:paraId="3CA332A9">
      <w:pPr>
        <w:pStyle w:val="6"/>
        <w:rPr>
          <w:rFonts w:ascii="黑体" w:hAnsi="Calibri" w:eastAsia="黑体" w:cs="Times New Roman"/>
          <w:color w:val="000000"/>
          <w:sz w:val="24"/>
          <w:szCs w:val="24"/>
        </w:rPr>
      </w:pPr>
    </w:p>
    <w:p w14:paraId="0E68CCB8">
      <w:pPr>
        <w:pStyle w:val="6"/>
        <w:rPr>
          <w:rFonts w:ascii="黑体" w:hAnsi="Calibri" w:eastAsia="黑体" w:cs="Times New Roman"/>
          <w:color w:val="000000"/>
          <w:sz w:val="24"/>
          <w:szCs w:val="24"/>
        </w:rPr>
      </w:pPr>
    </w:p>
    <w:p w14:paraId="719F9883">
      <w:pPr>
        <w:pStyle w:val="6"/>
        <w:rPr>
          <w:rFonts w:ascii="黑体" w:hAnsi="Calibri" w:eastAsia="黑体" w:cs="Times New Roman"/>
          <w:color w:val="000000"/>
          <w:sz w:val="24"/>
          <w:szCs w:val="24"/>
        </w:rPr>
      </w:pPr>
    </w:p>
    <w:p w14:paraId="13392F15">
      <w:pPr>
        <w:rPr>
          <w:rFonts w:ascii="黑体" w:hAnsi="Calibri" w:eastAsia="黑体" w:cs="Times New Roman"/>
          <w:color w:val="000000"/>
          <w:sz w:val="24"/>
          <w:szCs w:val="24"/>
        </w:rPr>
      </w:pPr>
    </w:p>
    <w:p w14:paraId="78E5B441">
      <w:pPr>
        <w:spacing w:line="360" w:lineRule="auto"/>
        <w:ind w:left="795"/>
        <w:rPr>
          <w:rFonts w:hint="eastAsia"/>
        </w:rPr>
      </w:pPr>
    </w:p>
    <w:p w14:paraId="07A4B409">
      <w:pPr>
        <w:keepNext/>
        <w:keepLines/>
        <w:outlineLvl w:val="2"/>
        <w:rPr>
          <w:rFonts w:ascii="Times New Roman" w:hAnsi="Times New Roman" w:eastAsia="宋体" w:cs="Times New Roman"/>
          <w:b/>
          <w:bCs/>
          <w:color w:val="000000"/>
          <w:sz w:val="24"/>
          <w:szCs w:val="24"/>
        </w:rPr>
      </w:pPr>
      <w:r>
        <w:rPr>
          <w:rFonts w:hint="eastAsia" w:eastAsia="黑体"/>
          <w:b/>
          <w:bCs/>
          <w:sz w:val="28"/>
        </w:rPr>
        <w:br w:type="page"/>
      </w: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1772DFC6">
      <w:pPr>
        <w:adjustRightInd w:val="0"/>
        <w:snapToGrid w:val="0"/>
        <w:spacing w:before="93" w:beforeLines="30" w:line="240" w:lineRule="exact"/>
        <w:jc w:val="center"/>
        <w:rPr>
          <w:rFonts w:ascii="宋体" w:hAnsi="Calibri" w:eastAsia="宋体" w:cs="Times New Roman"/>
          <w:sz w:val="24"/>
          <w:szCs w:val="20"/>
        </w:rPr>
      </w:pPr>
    </w:p>
    <w:p w14:paraId="37749D9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cs="宋体"/>
          <w:b/>
          <w:bCs/>
          <w:sz w:val="24"/>
          <w:szCs w:val="24"/>
          <w:highlight w:val="none"/>
          <w:u w:val="single"/>
          <w:lang w:val="en-US" w:eastAsia="zh-CN"/>
        </w:rPr>
        <w:t>2026年度东风柳汽仓储服务项目</w:t>
      </w:r>
      <w:r>
        <w:rPr>
          <w:rFonts w:hint="eastAsia" w:ascii="宋体" w:hAnsi="宋体" w:eastAsia="宋体" w:cs="Times New Roman"/>
          <w:b/>
          <w:bCs/>
          <w:color w:val="000000"/>
          <w:sz w:val="24"/>
          <w:szCs w:val="24"/>
          <w:u w:val="single"/>
          <w:lang w:eastAsia="zh-CN"/>
        </w:rPr>
        <w:t>（</w:t>
      </w:r>
      <w:r>
        <w:rPr>
          <w:rFonts w:hint="eastAsia" w:ascii="宋体" w:hAnsi="宋体" w:cs="宋体"/>
          <w:b/>
          <w:bCs/>
          <w:sz w:val="24"/>
          <w:szCs w:val="24"/>
          <w:highlight w:val="none"/>
          <w:lang w:val="en-US" w:eastAsia="zh-CN"/>
        </w:rPr>
        <w:t>FSCZB2025110225</w:t>
      </w:r>
      <w:r>
        <w:rPr>
          <w:rFonts w:hint="eastAsia" w:ascii="宋体" w:hAnsi="宋体" w:eastAsia="宋体" w:cs="Times New Roman"/>
          <w:b/>
          <w:bCs/>
          <w:color w:val="000000"/>
          <w:sz w:val="24"/>
          <w:szCs w:val="24"/>
          <w:u w:val="single"/>
          <w:lang w:eastAsia="zh-CN"/>
        </w:rPr>
        <w:t>）</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25E4264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12"/>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4CE62B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65D4225F">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sz w:val="24"/>
                <w:szCs w:val="20"/>
              </w:rPr>
              <w:t>正反面）</w:t>
            </w:r>
          </w:p>
          <w:p w14:paraId="7668FE62">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08D5CD7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61C0E0C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54488B4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5E123F4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018CEBA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25298FE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76DA26C4">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988F6B3">
      <w:pPr>
        <w:rPr>
          <w:rFonts w:ascii="Calibri" w:hAnsi="Calibri" w:eastAsia="黑体" w:cs="Times New Roman"/>
          <w:b/>
          <w:bCs/>
          <w:color w:val="000000"/>
          <w:sz w:val="28"/>
          <w:szCs w:val="20"/>
        </w:rPr>
      </w:pPr>
    </w:p>
    <w:p w14:paraId="2B255B19">
      <w:pPr>
        <w:pStyle w:val="6"/>
        <w:rPr>
          <w:rFonts w:ascii="Calibri" w:hAnsi="Calibri" w:eastAsia="黑体" w:cs="Times New Roman"/>
          <w:b/>
          <w:bCs/>
          <w:color w:val="000000"/>
          <w:sz w:val="28"/>
          <w:szCs w:val="20"/>
        </w:rPr>
        <w:sectPr>
          <w:footerReference r:id="rId7" w:type="first"/>
          <w:headerReference r:id="rId5" w:type="default"/>
          <w:footerReference r:id="rId6" w:type="default"/>
          <w:pgSz w:w="11906" w:h="16838"/>
          <w:pgMar w:top="1588" w:right="1418" w:bottom="1134" w:left="1418" w:header="851" w:footer="992" w:gutter="0"/>
          <w:cols w:space="720" w:num="1"/>
          <w:titlePg/>
          <w:docGrid w:type="lines" w:linePitch="312" w:charSpace="0"/>
        </w:sectPr>
      </w:pPr>
    </w:p>
    <w:p w14:paraId="746ACF65">
      <w:pPr>
        <w:keepNext/>
        <w:keepLines/>
        <w:outlineLvl w:val="2"/>
        <w:rPr>
          <w:rFonts w:hint="eastAsia" w:ascii="宋体" w:hAnsi="宋体" w:eastAsia="宋体" w:cs="宋体"/>
          <w:b w:val="0"/>
          <w:bCs w:val="0"/>
          <w:spacing w:val="-9"/>
          <w:sz w:val="24"/>
          <w:szCs w:val="24"/>
          <w14:textOutline w14:w="4356" w14:cap="flat" w14:cmpd="sng">
            <w14:solidFill>
              <w14:srgbClr w14:val="000000"/>
            </w14:solidFill>
            <w14:prstDash w14:val="solid"/>
            <w14:miter w14:val="0"/>
          </w14:textOutline>
        </w:rPr>
      </w:pPr>
      <w:r>
        <w:rPr>
          <w:rFonts w:hint="eastAsia" w:ascii="宋体" w:hAnsi="宋体" w:eastAsia="宋体" w:cs="宋体"/>
          <w:b w:val="0"/>
          <w:bCs w:val="0"/>
          <w:spacing w:val="-17"/>
          <w:sz w:val="24"/>
          <w:szCs w:val="24"/>
          <w14:textOutline w14:w="4356" w14:cap="sq" w14:cmpd="sng">
            <w14:solidFill>
              <w14:srgbClr w14:val="000000"/>
            </w14:solidFill>
            <w14:prstDash w14:val="solid"/>
            <w14:bevel/>
          </w14:textOutline>
        </w:rPr>
        <w:t>附</w:t>
      </w:r>
      <w:r>
        <w:rPr>
          <w:rFonts w:hint="eastAsia" w:ascii="宋体" w:hAnsi="宋体" w:eastAsia="宋体" w:cs="宋体"/>
          <w:b w:val="0"/>
          <w:bCs w:val="0"/>
          <w:spacing w:val="-14"/>
          <w:sz w:val="24"/>
          <w:szCs w:val="24"/>
          <w14:textOutline w14:w="4356" w14:cap="sq" w14:cmpd="sng">
            <w14:solidFill>
              <w14:srgbClr w14:val="000000"/>
            </w14:solidFill>
            <w14:prstDash w14:val="solid"/>
            <w14:bevel/>
          </w14:textOutline>
        </w:rPr>
        <w:t>件</w:t>
      </w:r>
      <w:r>
        <w:rPr>
          <w:rFonts w:hint="eastAsia" w:ascii="宋体" w:hAnsi="宋体" w:eastAsia="宋体" w:cs="宋体"/>
          <w:b w:val="0"/>
          <w:bCs w:val="0"/>
          <w:spacing w:val="-17"/>
          <w:sz w:val="24"/>
          <w:szCs w:val="24"/>
          <w14:textOutline w14:w="4356" w14:cap="sq" w14:cmpd="sng">
            <w14:solidFill>
              <w14:srgbClr w14:val="000000"/>
            </w14:solidFill>
            <w14:prstDash w14:val="solid"/>
            <w14:bevel/>
          </w14:textOutline>
        </w:rPr>
        <w:t xml:space="preserve">3 </w:t>
      </w:r>
      <w:r>
        <w:rPr>
          <w:rFonts w:hint="eastAsia" w:ascii="宋体" w:hAnsi="宋体" w:eastAsia="宋体" w:cs="宋体"/>
          <w:b w:val="0"/>
          <w:bCs w:val="0"/>
          <w:spacing w:val="15"/>
          <w:position w:val="3"/>
          <w:sz w:val="24"/>
          <w:szCs w:val="24"/>
          <w14:textOutline w14:w="4356" w14:cap="sq" w14:cmpd="sng">
            <w14:solidFill>
              <w14:srgbClr w14:val="000000"/>
            </w14:solidFill>
            <w14:prstDash w14:val="solid"/>
            <w14:bevel/>
          </w14:textOutline>
        </w:rPr>
        <w:t>投</w:t>
      </w:r>
      <w:r>
        <w:rPr>
          <w:rFonts w:hint="eastAsia" w:ascii="宋体" w:hAnsi="宋体" w:eastAsia="宋体" w:cs="宋体"/>
          <w:b w:val="0"/>
          <w:bCs w:val="0"/>
          <w:spacing w:val="8"/>
          <w:position w:val="3"/>
          <w:sz w:val="24"/>
          <w:szCs w:val="24"/>
          <w14:textOutline w14:w="4356" w14:cap="sq" w14:cmpd="sng">
            <w14:solidFill>
              <w14:srgbClr w14:val="000000"/>
            </w14:solidFill>
            <w14:prstDash w14:val="solid"/>
            <w14:bevel/>
          </w14:textOutline>
        </w:rPr>
        <w:t>标人基本情况及</w:t>
      </w:r>
      <w:r>
        <w:rPr>
          <w:rFonts w:hint="eastAsia" w:ascii="宋体" w:hAnsi="宋体" w:eastAsia="宋体" w:cs="宋体"/>
          <w:b w:val="0"/>
          <w:bCs w:val="0"/>
          <w:spacing w:val="8"/>
          <w:sz w:val="24"/>
          <w:szCs w:val="24"/>
          <w14:textOutline w14:w="4356" w14:cap="sq" w14:cmpd="sng">
            <w14:solidFill>
              <w14:srgbClr w14:val="000000"/>
            </w14:solidFill>
            <w14:prstDash w14:val="solid"/>
            <w14:bevel/>
          </w14:textOutline>
        </w:rPr>
        <w:t>资产情况汇总</w:t>
      </w:r>
      <w:r>
        <w:rPr>
          <w:rFonts w:hint="eastAsia" w:ascii="宋体" w:hAnsi="宋体" w:eastAsia="宋体" w:cs="宋体"/>
          <w:b w:val="0"/>
          <w:bCs w:val="0"/>
          <w:spacing w:val="7"/>
          <w:sz w:val="24"/>
          <w:szCs w:val="24"/>
          <w14:textOutline w14:w="4356" w14:cap="sq" w14:cmpd="sng">
            <w14:solidFill>
              <w14:srgbClr w14:val="000000"/>
            </w14:solidFill>
            <w14:prstDash w14:val="solid"/>
            <w14:bevel/>
          </w14:textOutline>
        </w:rPr>
        <w:t>表</w:t>
      </w:r>
    </w:p>
    <w:p w14:paraId="54A6ED78">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w:t>
      </w:r>
    </w:p>
    <w:tbl>
      <w:tblPr>
        <w:tblStyle w:val="22"/>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7D080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73C50E8C">
            <w:pPr>
              <w:pStyle w:val="21"/>
              <w:spacing w:before="114"/>
              <w:ind w:left="720"/>
            </w:pPr>
            <w:r>
              <w:t xml:space="preserve">企业名称 </w:t>
            </w:r>
          </w:p>
        </w:tc>
        <w:tc>
          <w:tcPr>
            <w:tcW w:w="4680" w:type="dxa"/>
            <w:gridSpan w:val="4"/>
            <w:vAlign w:val="center"/>
          </w:tcPr>
          <w:p w14:paraId="0CAD4417">
            <w:pPr>
              <w:widowControl/>
              <w:jc w:val="center"/>
              <w:textAlignment w:val="center"/>
              <w:rPr>
                <w:rFonts w:ascii="宋体" w:hAnsi="宋体" w:eastAsia="宋体" w:cs="宋体"/>
                <w:color w:val="000000"/>
              </w:rPr>
            </w:pPr>
          </w:p>
        </w:tc>
        <w:tc>
          <w:tcPr>
            <w:tcW w:w="1310" w:type="dxa"/>
          </w:tcPr>
          <w:p w14:paraId="0A7032B4">
            <w:pPr>
              <w:pStyle w:val="21"/>
              <w:spacing w:before="106"/>
              <w:ind w:left="154" w:right="26"/>
              <w:jc w:val="center"/>
              <w:rPr>
                <w:color w:val="000000"/>
              </w:rPr>
            </w:pPr>
            <w:r>
              <w:rPr>
                <w:color w:val="000000"/>
              </w:rPr>
              <w:t xml:space="preserve">联系人 </w:t>
            </w:r>
          </w:p>
        </w:tc>
        <w:tc>
          <w:tcPr>
            <w:tcW w:w="1510" w:type="dxa"/>
            <w:vAlign w:val="center"/>
          </w:tcPr>
          <w:p w14:paraId="625436B1">
            <w:pPr>
              <w:widowControl/>
              <w:jc w:val="center"/>
              <w:textAlignment w:val="center"/>
              <w:rPr>
                <w:rFonts w:ascii="宋体" w:hAnsi="宋体" w:eastAsia="宋体" w:cs="宋体"/>
                <w:color w:val="000000"/>
                <w:szCs w:val="21"/>
              </w:rPr>
            </w:pPr>
          </w:p>
        </w:tc>
      </w:tr>
      <w:tr w14:paraId="1FB0C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1DB549DA">
            <w:pPr>
              <w:pStyle w:val="21"/>
              <w:spacing w:before="114"/>
              <w:ind w:left="720"/>
            </w:pPr>
            <w:r>
              <w:t xml:space="preserve">企业地址 </w:t>
            </w:r>
          </w:p>
        </w:tc>
        <w:tc>
          <w:tcPr>
            <w:tcW w:w="4680" w:type="dxa"/>
            <w:gridSpan w:val="4"/>
            <w:vAlign w:val="center"/>
          </w:tcPr>
          <w:p w14:paraId="154756E6">
            <w:pPr>
              <w:widowControl/>
              <w:jc w:val="center"/>
              <w:textAlignment w:val="center"/>
              <w:rPr>
                <w:rFonts w:ascii="宋体" w:hAnsi="宋体" w:eastAsia="宋体" w:cs="宋体"/>
                <w:color w:val="000000"/>
              </w:rPr>
            </w:pPr>
          </w:p>
        </w:tc>
        <w:tc>
          <w:tcPr>
            <w:tcW w:w="1310" w:type="dxa"/>
          </w:tcPr>
          <w:p w14:paraId="7A4E1213">
            <w:pPr>
              <w:pStyle w:val="21"/>
              <w:spacing w:before="106"/>
              <w:ind w:left="154" w:right="26"/>
              <w:jc w:val="center"/>
              <w:rPr>
                <w:color w:val="000000"/>
              </w:rPr>
            </w:pPr>
            <w:r>
              <w:rPr>
                <w:color w:val="000000"/>
              </w:rPr>
              <w:t xml:space="preserve">联系人电话 </w:t>
            </w:r>
          </w:p>
        </w:tc>
        <w:tc>
          <w:tcPr>
            <w:tcW w:w="1510" w:type="dxa"/>
            <w:vAlign w:val="center"/>
          </w:tcPr>
          <w:p w14:paraId="12595D21">
            <w:pPr>
              <w:widowControl/>
              <w:jc w:val="center"/>
              <w:textAlignment w:val="center"/>
              <w:rPr>
                <w:rFonts w:ascii="宋体" w:hAnsi="宋体" w:eastAsia="宋体" w:cs="宋体"/>
                <w:color w:val="000000"/>
                <w:szCs w:val="21"/>
              </w:rPr>
            </w:pPr>
          </w:p>
        </w:tc>
      </w:tr>
      <w:tr w14:paraId="0D788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0B051698">
            <w:pPr>
              <w:pStyle w:val="21"/>
              <w:spacing w:before="111"/>
              <w:ind w:left="720"/>
            </w:pPr>
            <w:r>
              <w:t xml:space="preserve">企业性质 </w:t>
            </w:r>
          </w:p>
        </w:tc>
        <w:tc>
          <w:tcPr>
            <w:tcW w:w="4680" w:type="dxa"/>
            <w:gridSpan w:val="4"/>
            <w:vAlign w:val="center"/>
          </w:tcPr>
          <w:p w14:paraId="2128BB7C">
            <w:pPr>
              <w:widowControl/>
              <w:jc w:val="center"/>
              <w:textAlignment w:val="center"/>
              <w:rPr>
                <w:rFonts w:ascii="宋体" w:hAnsi="宋体" w:eastAsia="宋体" w:cs="宋体"/>
                <w:color w:val="000000"/>
              </w:rPr>
            </w:pPr>
          </w:p>
        </w:tc>
        <w:tc>
          <w:tcPr>
            <w:tcW w:w="1310" w:type="dxa"/>
          </w:tcPr>
          <w:p w14:paraId="5FFE835D">
            <w:pPr>
              <w:pStyle w:val="21"/>
              <w:spacing w:before="103"/>
              <w:ind w:left="154" w:right="26"/>
              <w:jc w:val="center"/>
              <w:rPr>
                <w:color w:val="000000"/>
              </w:rPr>
            </w:pPr>
            <w:r>
              <w:rPr>
                <w:rFonts w:hint="eastAsia"/>
                <w:color w:val="000000"/>
              </w:rPr>
              <w:t>注册时间</w:t>
            </w:r>
            <w:r>
              <w:rPr>
                <w:color w:val="000000"/>
              </w:rPr>
              <w:t xml:space="preserve"> </w:t>
            </w:r>
          </w:p>
        </w:tc>
        <w:tc>
          <w:tcPr>
            <w:tcW w:w="1510" w:type="dxa"/>
            <w:vAlign w:val="center"/>
          </w:tcPr>
          <w:p w14:paraId="098A52AC">
            <w:pPr>
              <w:widowControl/>
              <w:jc w:val="center"/>
              <w:textAlignment w:val="center"/>
              <w:rPr>
                <w:rFonts w:ascii="宋体" w:hAnsi="宋体" w:eastAsia="宋体" w:cs="宋体"/>
                <w:color w:val="000000"/>
                <w:szCs w:val="21"/>
              </w:rPr>
            </w:pPr>
          </w:p>
        </w:tc>
      </w:tr>
      <w:tr w14:paraId="3972B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613CE508">
            <w:pPr>
              <w:pStyle w:val="21"/>
              <w:spacing w:before="111"/>
              <w:ind w:left="509"/>
              <w:rPr>
                <w:highlight w:val="yellow"/>
              </w:rPr>
            </w:pPr>
            <w:r>
              <w:t xml:space="preserve">企业法人代表  </w:t>
            </w:r>
          </w:p>
        </w:tc>
        <w:tc>
          <w:tcPr>
            <w:tcW w:w="4680" w:type="dxa"/>
            <w:gridSpan w:val="4"/>
          </w:tcPr>
          <w:p w14:paraId="7F8464F8">
            <w:pPr>
              <w:pStyle w:val="3"/>
              <w:keepNext w:val="0"/>
              <w:keepLines w:val="0"/>
              <w:widowControl/>
              <w:shd w:val="clear" w:color="auto" w:fill="FFFFFF"/>
              <w:spacing w:before="0" w:after="0" w:line="450" w:lineRule="atLeast"/>
              <w:rPr>
                <w:rFonts w:ascii="宋体" w:hAnsi="宋体" w:cs="宋体"/>
                <w:color w:val="000000"/>
              </w:rPr>
            </w:pPr>
          </w:p>
        </w:tc>
        <w:tc>
          <w:tcPr>
            <w:tcW w:w="1310" w:type="dxa"/>
          </w:tcPr>
          <w:p w14:paraId="73C572FB">
            <w:pPr>
              <w:pStyle w:val="21"/>
              <w:spacing w:before="103"/>
              <w:ind w:right="26"/>
              <w:jc w:val="center"/>
              <w:rPr>
                <w:color w:val="000000"/>
              </w:rPr>
            </w:pPr>
            <w:r>
              <w:rPr>
                <w:color w:val="000000"/>
              </w:rPr>
              <w:t>企业资质</w:t>
            </w:r>
          </w:p>
        </w:tc>
        <w:tc>
          <w:tcPr>
            <w:tcW w:w="1510" w:type="dxa"/>
            <w:vAlign w:val="center"/>
          </w:tcPr>
          <w:p w14:paraId="2E022DC7">
            <w:pPr>
              <w:widowControl/>
              <w:jc w:val="center"/>
              <w:textAlignment w:val="center"/>
              <w:rPr>
                <w:rFonts w:ascii="宋体" w:hAnsi="宋体" w:eastAsia="宋体" w:cs="宋体"/>
                <w:color w:val="000000"/>
                <w:szCs w:val="21"/>
              </w:rPr>
            </w:pPr>
          </w:p>
        </w:tc>
      </w:tr>
      <w:tr w14:paraId="219E4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5EC52E41">
            <w:pPr>
              <w:pStyle w:val="21"/>
              <w:spacing w:before="114"/>
              <w:ind w:left="720"/>
            </w:pPr>
            <w:r>
              <w:t xml:space="preserve">品牌区分 </w:t>
            </w:r>
          </w:p>
        </w:tc>
        <w:tc>
          <w:tcPr>
            <w:tcW w:w="7500" w:type="dxa"/>
            <w:gridSpan w:val="6"/>
          </w:tcPr>
          <w:p w14:paraId="1656B0FF">
            <w:pPr>
              <w:pStyle w:val="21"/>
              <w:spacing w:before="106"/>
              <w:ind w:left="401"/>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7DA74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77CB9604">
            <w:pPr>
              <w:pStyle w:val="21"/>
              <w:spacing w:before="178"/>
              <w:ind w:left="720"/>
            </w:pPr>
            <w:r>
              <w:t xml:space="preserve">品牌名称 </w:t>
            </w:r>
          </w:p>
        </w:tc>
        <w:tc>
          <w:tcPr>
            <w:tcW w:w="3583" w:type="dxa"/>
            <w:gridSpan w:val="3"/>
            <w:vAlign w:val="center"/>
          </w:tcPr>
          <w:p w14:paraId="4A5838A8">
            <w:pPr>
              <w:widowControl/>
              <w:rPr>
                <w:rFonts w:ascii="宋体" w:hAnsi="宋体" w:eastAsia="仿宋_GB2312"/>
                <w:kern w:val="0"/>
                <w:szCs w:val="21"/>
              </w:rPr>
            </w:pPr>
          </w:p>
        </w:tc>
        <w:tc>
          <w:tcPr>
            <w:tcW w:w="1097" w:type="dxa"/>
          </w:tcPr>
          <w:p w14:paraId="6855799B">
            <w:pPr>
              <w:pStyle w:val="21"/>
              <w:spacing w:before="15"/>
              <w:ind w:left="279"/>
            </w:pPr>
            <w:r>
              <w:rPr>
                <w:spacing w:val="-2"/>
              </w:rPr>
              <w:t>质量</w:t>
            </w:r>
            <w:r>
              <w:t xml:space="preserve"> </w:t>
            </w:r>
          </w:p>
          <w:p w14:paraId="3E011E44">
            <w:pPr>
              <w:pStyle w:val="21"/>
              <w:spacing w:before="30" w:line="277" w:lineRule="exact"/>
              <w:ind w:left="279"/>
            </w:pPr>
            <w:r>
              <w:rPr>
                <w:rFonts w:hint="eastAsia"/>
              </w:rPr>
              <w:t>体系</w:t>
            </w:r>
          </w:p>
        </w:tc>
        <w:tc>
          <w:tcPr>
            <w:tcW w:w="2820" w:type="dxa"/>
            <w:gridSpan w:val="2"/>
          </w:tcPr>
          <w:p w14:paraId="1105E90A">
            <w:pPr>
              <w:pStyle w:val="21"/>
              <w:spacing w:before="158"/>
              <w:jc w:val="center"/>
              <w:rPr>
                <w:sz w:val="24"/>
              </w:rPr>
            </w:pPr>
          </w:p>
        </w:tc>
      </w:tr>
      <w:tr w14:paraId="6B5EB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54D04B05">
            <w:pPr>
              <w:pStyle w:val="21"/>
              <w:spacing w:before="149"/>
              <w:ind w:left="3345" w:right="3223"/>
              <w:jc w:val="center"/>
            </w:pPr>
            <w:r>
              <w:rPr>
                <w:rFonts w:hint="eastAsia"/>
                <w:szCs w:val="21"/>
              </w:rPr>
              <w:t>单位概况</w:t>
            </w:r>
          </w:p>
        </w:tc>
      </w:tr>
      <w:tr w14:paraId="7832E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008A9140">
            <w:pPr>
              <w:widowControl/>
              <w:jc w:val="center"/>
              <w:textAlignment w:val="center"/>
              <w:rPr>
                <w:rFonts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62DDB58E">
            <w:pPr>
              <w:widowControl/>
              <w:textAlignment w:val="center"/>
              <w:rPr>
                <w:rFonts w:ascii="宋体" w:hAnsi="宋体" w:eastAsia="宋体" w:cs="宋体"/>
                <w:szCs w:val="21"/>
              </w:rPr>
            </w:pPr>
          </w:p>
        </w:tc>
        <w:tc>
          <w:tcPr>
            <w:tcW w:w="1530" w:type="dxa"/>
            <w:vAlign w:val="center"/>
          </w:tcPr>
          <w:p w14:paraId="02F9954C">
            <w:pPr>
              <w:widowControl/>
              <w:jc w:val="center"/>
              <w:textAlignment w:val="center"/>
              <w:rPr>
                <w:rFonts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020A6B2E">
            <w:pPr>
              <w:widowControl/>
              <w:jc w:val="center"/>
              <w:textAlignment w:val="center"/>
              <w:rPr>
                <w:rFonts w:ascii="宋体" w:hAnsi="宋体" w:eastAsia="宋体" w:cs="宋体"/>
                <w:szCs w:val="21"/>
              </w:rPr>
            </w:pPr>
          </w:p>
        </w:tc>
        <w:tc>
          <w:tcPr>
            <w:tcW w:w="1097" w:type="dxa"/>
            <w:vAlign w:val="center"/>
          </w:tcPr>
          <w:p w14:paraId="5417AD1B">
            <w:pPr>
              <w:widowControl/>
              <w:textAlignment w:val="center"/>
              <w:rPr>
                <w:rFonts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3F95F832">
            <w:pPr>
              <w:widowControl/>
              <w:jc w:val="center"/>
              <w:textAlignment w:val="center"/>
              <w:rPr>
                <w:rFonts w:ascii="宋体" w:hAnsi="宋体" w:eastAsia="宋体" w:cs="宋体"/>
                <w:szCs w:val="21"/>
              </w:rPr>
            </w:pPr>
          </w:p>
        </w:tc>
      </w:tr>
      <w:tr w14:paraId="53B89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33E164C4">
            <w:pPr>
              <w:widowControl/>
              <w:jc w:val="center"/>
              <w:textAlignment w:val="center"/>
              <w:rPr>
                <w:rFonts w:ascii="宋体" w:hAnsi="宋体" w:eastAsia="宋体" w:cs="宋体"/>
                <w:szCs w:val="21"/>
              </w:rPr>
            </w:pPr>
            <w:r>
              <w:rPr>
                <w:rFonts w:hint="eastAsia" w:ascii="宋体" w:hAnsi="宋体" w:eastAsia="宋体" w:cs="宋体"/>
                <w:kern w:val="0"/>
                <w:szCs w:val="21"/>
              </w:rPr>
              <w:t>企业优势、关键产品特点</w:t>
            </w:r>
          </w:p>
        </w:tc>
        <w:tc>
          <w:tcPr>
            <w:tcW w:w="7500" w:type="dxa"/>
            <w:gridSpan w:val="6"/>
            <w:vAlign w:val="center"/>
          </w:tcPr>
          <w:p w14:paraId="3259897E">
            <w:pPr>
              <w:widowControl/>
              <w:jc w:val="left"/>
              <w:rPr>
                <w:rFonts w:ascii="宋体" w:hAnsi="宋体" w:eastAsia="宋体" w:cs="宋体"/>
                <w:szCs w:val="21"/>
              </w:rPr>
            </w:pPr>
            <w:r>
              <w:rPr>
                <w:rFonts w:hint="eastAsia" w:ascii="宋体" w:hAnsi="宋体" w:eastAsia="宋体" w:cs="宋体"/>
                <w:kern w:val="0"/>
                <w:szCs w:val="21"/>
              </w:rPr>
              <w:t>　</w:t>
            </w:r>
          </w:p>
        </w:tc>
      </w:tr>
      <w:tr w14:paraId="74D04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4A8A58A9">
            <w:pPr>
              <w:widowControl/>
              <w:jc w:val="center"/>
              <w:textAlignment w:val="center"/>
              <w:rPr>
                <w:rFonts w:ascii="宋体" w:hAnsi="宋体" w:eastAsia="宋体" w:cs="宋体"/>
                <w:szCs w:val="21"/>
              </w:rPr>
            </w:pPr>
            <w:r>
              <w:rPr>
                <w:rFonts w:hint="eastAsia" w:ascii="宋体" w:hAnsi="宋体" w:eastAsia="宋体" w:cs="宋体"/>
                <w:color w:val="000000"/>
                <w:kern w:val="0"/>
                <w:szCs w:val="21"/>
              </w:rPr>
              <w:t>企业行业水平及行业口碑</w:t>
            </w:r>
          </w:p>
        </w:tc>
        <w:tc>
          <w:tcPr>
            <w:tcW w:w="7500" w:type="dxa"/>
            <w:gridSpan w:val="6"/>
            <w:vAlign w:val="center"/>
          </w:tcPr>
          <w:p w14:paraId="512DB270">
            <w:pPr>
              <w:widowControl/>
              <w:jc w:val="left"/>
              <w:rPr>
                <w:rFonts w:ascii="宋体" w:hAnsi="宋体" w:eastAsia="宋体" w:cs="宋体"/>
                <w:szCs w:val="21"/>
              </w:rPr>
            </w:pPr>
            <w:r>
              <w:rPr>
                <w:rFonts w:hint="eastAsia" w:ascii="宋体" w:hAnsi="宋体" w:eastAsia="宋体" w:cs="宋体"/>
                <w:kern w:val="0"/>
                <w:szCs w:val="21"/>
              </w:rPr>
              <w:t>　</w:t>
            </w:r>
          </w:p>
        </w:tc>
      </w:tr>
      <w:tr w14:paraId="70C00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01BBBFF5">
            <w:pPr>
              <w:widowControl/>
              <w:jc w:val="center"/>
              <w:textAlignment w:val="center"/>
              <w:rPr>
                <w:rFonts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064BE9C0">
            <w:pPr>
              <w:widowControl/>
              <w:jc w:val="left"/>
              <w:rPr>
                <w:rFonts w:ascii="宋体" w:hAnsi="宋体" w:eastAsia="宋体" w:cs="宋体"/>
                <w:szCs w:val="21"/>
              </w:rPr>
            </w:pPr>
            <w:r>
              <w:rPr>
                <w:rFonts w:hint="eastAsia" w:ascii="宋体" w:hAnsi="宋体" w:eastAsia="宋体" w:cs="宋体"/>
                <w:kern w:val="0"/>
                <w:szCs w:val="21"/>
              </w:rPr>
              <w:t>　</w:t>
            </w:r>
          </w:p>
        </w:tc>
      </w:tr>
      <w:tr w14:paraId="0DF0E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3CEF1385">
            <w:pPr>
              <w:widowControl/>
              <w:jc w:val="center"/>
              <w:textAlignment w:val="center"/>
              <w:rPr>
                <w:rFonts w:ascii="宋体" w:hAnsi="宋体" w:eastAsia="宋体" w:cs="宋体"/>
                <w:szCs w:val="21"/>
              </w:rPr>
            </w:pPr>
            <w:r>
              <w:rPr>
                <w:rFonts w:hint="eastAsia" w:ascii="宋体" w:hAnsi="宋体" w:eastAsia="宋体" w:cs="宋体"/>
                <w:kern w:val="0"/>
                <w:szCs w:val="21"/>
              </w:rPr>
              <w:t>近三或五年企业类似业绩及履约情况</w:t>
            </w:r>
          </w:p>
        </w:tc>
        <w:tc>
          <w:tcPr>
            <w:tcW w:w="7500" w:type="dxa"/>
            <w:gridSpan w:val="6"/>
            <w:vAlign w:val="center"/>
          </w:tcPr>
          <w:p w14:paraId="292971FB">
            <w:pPr>
              <w:widowControl/>
              <w:jc w:val="left"/>
              <w:rPr>
                <w:rFonts w:ascii="宋体" w:hAnsi="宋体" w:eastAsia="宋体" w:cs="宋体"/>
                <w:szCs w:val="21"/>
              </w:rPr>
            </w:pPr>
            <w:r>
              <w:rPr>
                <w:rFonts w:hint="eastAsia" w:ascii="宋体" w:hAnsi="宋体" w:eastAsia="宋体" w:cs="宋体"/>
                <w:kern w:val="0"/>
                <w:szCs w:val="21"/>
              </w:rPr>
              <w:t>　</w:t>
            </w:r>
          </w:p>
        </w:tc>
      </w:tr>
      <w:tr w14:paraId="6B381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7F019884">
            <w:pPr>
              <w:widowControl/>
              <w:jc w:val="center"/>
              <w:textAlignment w:val="center"/>
              <w:rPr>
                <w:rFonts w:ascii="宋体" w:hAnsi="宋体" w:eastAsia="宋体" w:cs="宋体"/>
                <w:szCs w:val="21"/>
              </w:rPr>
            </w:pPr>
            <w:r>
              <w:rPr>
                <w:rFonts w:hint="eastAsia" w:ascii="宋体" w:hAnsi="宋体" w:eastAsia="宋体" w:cs="宋体"/>
                <w:kern w:val="0"/>
                <w:szCs w:val="21"/>
              </w:rPr>
              <w:t>售后服务及质量</w:t>
            </w:r>
          </w:p>
        </w:tc>
        <w:tc>
          <w:tcPr>
            <w:tcW w:w="7500" w:type="dxa"/>
            <w:gridSpan w:val="6"/>
            <w:vAlign w:val="center"/>
          </w:tcPr>
          <w:p w14:paraId="73F5DFA4">
            <w:pPr>
              <w:widowControl/>
              <w:jc w:val="left"/>
              <w:rPr>
                <w:rFonts w:ascii="宋体" w:hAnsi="宋体" w:eastAsia="宋体" w:cs="宋体"/>
                <w:szCs w:val="21"/>
              </w:rPr>
            </w:pPr>
            <w:r>
              <w:rPr>
                <w:rFonts w:hint="eastAsia" w:ascii="宋体" w:hAnsi="宋体" w:eastAsia="宋体" w:cs="宋体"/>
                <w:kern w:val="0"/>
                <w:szCs w:val="21"/>
              </w:rPr>
              <w:t>　</w:t>
            </w:r>
          </w:p>
        </w:tc>
      </w:tr>
      <w:tr w14:paraId="7EFB3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673A8EAE">
            <w:pPr>
              <w:widowControl/>
              <w:textAlignment w:val="center"/>
              <w:rPr>
                <w:rFonts w:ascii="宋体" w:hAnsi="宋体" w:eastAsia="宋体" w:cs="宋体"/>
                <w:kern w:val="0"/>
                <w:szCs w:val="21"/>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3BA321AC">
            <w:pPr>
              <w:widowControl/>
              <w:jc w:val="left"/>
              <w:rPr>
                <w:rFonts w:ascii="宋体" w:hAnsi="宋体" w:eastAsia="宋体" w:cs="宋体"/>
                <w:kern w:val="0"/>
                <w:szCs w:val="21"/>
              </w:rPr>
            </w:pPr>
          </w:p>
        </w:tc>
      </w:tr>
    </w:tbl>
    <w:p w14:paraId="670D79BD">
      <w:pPr>
        <w:pStyle w:val="6"/>
        <w:rPr>
          <w:rFonts w:ascii="Times New Roman" w:hAnsi="Times New Roman" w:eastAsia="宋体" w:cs="Times New Roman"/>
          <w:b/>
          <w:bCs/>
          <w:color w:val="000000"/>
          <w:sz w:val="24"/>
          <w:szCs w:val="24"/>
        </w:rPr>
      </w:pPr>
    </w:p>
    <w:p w14:paraId="7BAA91C8">
      <w:pPr>
        <w:pStyle w:val="6"/>
        <w:rPr>
          <w:rFonts w:ascii="Times New Roman" w:hAnsi="Times New Roman" w:eastAsia="宋体" w:cs="Times New Roman"/>
          <w:b/>
          <w:bCs/>
          <w:color w:val="000000"/>
          <w:sz w:val="24"/>
          <w:szCs w:val="24"/>
        </w:rPr>
      </w:pPr>
    </w:p>
    <w:p w14:paraId="22761893">
      <w:pPr>
        <w:pStyle w:val="6"/>
        <w:rPr>
          <w:rFonts w:ascii="Times New Roman" w:hAnsi="Times New Roman" w:eastAsia="宋体" w:cs="Times New Roman"/>
          <w:b/>
          <w:bCs/>
          <w:color w:val="000000"/>
          <w:sz w:val="24"/>
          <w:szCs w:val="24"/>
        </w:rPr>
      </w:pPr>
    </w:p>
    <w:p w14:paraId="75A7E600">
      <w:pPr>
        <w:pStyle w:val="6"/>
        <w:rPr>
          <w:rFonts w:ascii="Times New Roman" w:hAnsi="Times New Roman" w:eastAsia="宋体" w:cs="Times New Roman"/>
          <w:b/>
          <w:bCs/>
          <w:color w:val="000000"/>
          <w:sz w:val="24"/>
          <w:szCs w:val="24"/>
        </w:rPr>
      </w:pPr>
    </w:p>
    <w:p w14:paraId="396F729D">
      <w:pPr>
        <w:pStyle w:val="6"/>
        <w:rPr>
          <w:rFonts w:ascii="Times New Roman" w:hAnsi="Times New Roman" w:eastAsia="宋体" w:cs="Times New Roman"/>
          <w:b/>
          <w:bCs/>
          <w:color w:val="000000"/>
          <w:sz w:val="24"/>
          <w:szCs w:val="24"/>
        </w:rPr>
      </w:pPr>
    </w:p>
    <w:p w14:paraId="3C034D5B">
      <w:pPr>
        <w:pStyle w:val="6"/>
        <w:rPr>
          <w:rFonts w:ascii="Times New Roman" w:hAnsi="Times New Roman" w:eastAsia="宋体" w:cs="Times New Roman"/>
          <w:b/>
          <w:bCs/>
          <w:color w:val="000000"/>
          <w:sz w:val="24"/>
          <w:szCs w:val="24"/>
        </w:rPr>
      </w:pPr>
    </w:p>
    <w:p w14:paraId="213182D5">
      <w:pPr>
        <w:pStyle w:val="6"/>
        <w:outlineLvl w:val="3"/>
        <w:rPr>
          <w:rFonts w:hint="eastAsia"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solidFill>
              <w14:srgbClr w14:val="000000"/>
            </w14:solidFill>
            <w14:prstDash w14:val="solid"/>
            <w14:miter w14:val="0"/>
          </w14:textOutline>
        </w:rPr>
        <w:t>2</w:t>
      </w:r>
      <w:r>
        <w:rPr>
          <w:rFonts w:hint="eastAsia" w:hAnsi="宋体" w:eastAsia="宋体" w:cs="宋体"/>
          <w:spacing w:val="-7"/>
          <w:sz w:val="24"/>
          <w:szCs w:val="24"/>
          <w14:textOutline w14:w="4356" w14:cap="flat" w14:cmpd="sng">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64C65C34">
      <w:pPr>
        <w:pStyle w:val="6"/>
        <w:outlineLvl w:val="3"/>
        <w:rPr>
          <w:rFonts w:hint="eastAsia" w:ascii="Times New Roman" w:hAnsi="Times New Roman" w:eastAsia="宋体" w:cs="Times New Roman"/>
          <w:b/>
          <w:bCs/>
          <w:color w:val="000000"/>
          <w:sz w:val="24"/>
          <w:szCs w:val="24"/>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7133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100BDC46">
            <w:pPr>
              <w:spacing w:line="440" w:lineRule="exact"/>
              <w:jc w:val="center"/>
              <w:rPr>
                <w:rFonts w:ascii="宋体" w:hAnsi="宋体"/>
                <w:szCs w:val="24"/>
                <w:highlight w:val="none"/>
              </w:rPr>
            </w:pPr>
            <w:r>
              <w:rPr>
                <w:rFonts w:ascii="宋体" w:hAnsi="宋体" w:eastAsia="宋体"/>
                <w:color w:val="000000"/>
                <w:sz w:val="24"/>
                <w:szCs w:val="24"/>
                <w:highlight w:val="none"/>
                <w:u w:val="single"/>
              </w:rPr>
              <w:t xml:space="preserve">                   </w:t>
            </w:r>
            <w:r>
              <w:rPr>
                <w:rFonts w:hint="eastAsia" w:ascii="宋体" w:hAnsi="宋体" w:eastAsia="宋体"/>
                <w:color w:val="000000"/>
                <w:sz w:val="24"/>
                <w:szCs w:val="24"/>
                <w:highlight w:val="none"/>
              </w:rPr>
              <w:t>公司资产情况汇总表</w:t>
            </w:r>
          </w:p>
        </w:tc>
      </w:tr>
      <w:tr w14:paraId="2934A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CE412F9">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注册资金（万元）</w:t>
            </w:r>
          </w:p>
        </w:tc>
        <w:tc>
          <w:tcPr>
            <w:tcW w:w="3865" w:type="dxa"/>
            <w:gridSpan w:val="3"/>
          </w:tcPr>
          <w:p w14:paraId="53B937BD">
            <w:pPr>
              <w:spacing w:line="440" w:lineRule="exact"/>
              <w:jc w:val="center"/>
              <w:rPr>
                <w:rFonts w:ascii="宋体" w:hAnsi="宋体"/>
                <w:color w:val="000000"/>
                <w:sz w:val="24"/>
                <w:szCs w:val="24"/>
                <w:highlight w:val="none"/>
              </w:rPr>
            </w:pPr>
          </w:p>
        </w:tc>
      </w:tr>
      <w:tr w14:paraId="0036C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FF136B7">
            <w:pPr>
              <w:spacing w:line="440" w:lineRule="exact"/>
              <w:jc w:val="center"/>
              <w:rPr>
                <w:rFonts w:ascii="宋体" w:hAnsi="宋体"/>
                <w:color w:val="000000"/>
                <w:sz w:val="24"/>
                <w:szCs w:val="24"/>
                <w:highlight w:val="none"/>
              </w:rPr>
            </w:pPr>
            <w:r>
              <w:rPr>
                <w:rFonts w:ascii="宋体" w:hAnsi="宋体" w:eastAsia="宋体"/>
                <w:color w:val="000000"/>
                <w:sz w:val="24"/>
                <w:szCs w:val="24"/>
                <w:highlight w:val="none"/>
              </w:rPr>
              <w:t>实收资金（万元）</w:t>
            </w:r>
          </w:p>
        </w:tc>
        <w:tc>
          <w:tcPr>
            <w:tcW w:w="3865" w:type="dxa"/>
            <w:gridSpan w:val="3"/>
          </w:tcPr>
          <w:p w14:paraId="036E3722">
            <w:pPr>
              <w:spacing w:line="440" w:lineRule="exact"/>
              <w:jc w:val="center"/>
              <w:rPr>
                <w:rFonts w:ascii="宋体" w:hAnsi="宋体"/>
                <w:color w:val="000000"/>
                <w:sz w:val="24"/>
                <w:szCs w:val="24"/>
                <w:highlight w:val="none"/>
              </w:rPr>
            </w:pPr>
          </w:p>
        </w:tc>
      </w:tr>
      <w:tr w14:paraId="42DF7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8D12D9B">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年度资产情况</w:t>
            </w:r>
          </w:p>
        </w:tc>
        <w:tc>
          <w:tcPr>
            <w:tcW w:w="1287" w:type="dxa"/>
            <w:vAlign w:val="center"/>
          </w:tcPr>
          <w:p w14:paraId="316A8E8B">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2</w:t>
            </w:r>
            <w:r>
              <w:rPr>
                <w:rFonts w:hint="eastAsia" w:ascii="宋体" w:hAnsi="宋体" w:eastAsia="宋体"/>
                <w:color w:val="000000"/>
                <w:sz w:val="24"/>
                <w:szCs w:val="24"/>
                <w:highlight w:val="none"/>
              </w:rPr>
              <w:t>年</w:t>
            </w:r>
          </w:p>
        </w:tc>
        <w:tc>
          <w:tcPr>
            <w:tcW w:w="1288" w:type="dxa"/>
            <w:vAlign w:val="center"/>
          </w:tcPr>
          <w:p w14:paraId="30F4F667">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3</w:t>
            </w:r>
            <w:r>
              <w:rPr>
                <w:rFonts w:hint="eastAsia" w:ascii="宋体" w:hAnsi="宋体" w:eastAsia="宋体"/>
                <w:color w:val="000000"/>
                <w:sz w:val="24"/>
                <w:szCs w:val="24"/>
                <w:highlight w:val="none"/>
              </w:rPr>
              <w:t>年</w:t>
            </w:r>
          </w:p>
        </w:tc>
        <w:tc>
          <w:tcPr>
            <w:tcW w:w="1288" w:type="dxa"/>
            <w:vAlign w:val="center"/>
          </w:tcPr>
          <w:p w14:paraId="21AB82DC">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4</w:t>
            </w:r>
            <w:r>
              <w:rPr>
                <w:rFonts w:hint="eastAsia" w:ascii="宋体" w:hAnsi="宋体" w:eastAsia="宋体"/>
                <w:color w:val="000000"/>
                <w:sz w:val="24"/>
                <w:szCs w:val="24"/>
                <w:highlight w:val="none"/>
              </w:rPr>
              <w:t>年</w:t>
            </w:r>
          </w:p>
        </w:tc>
      </w:tr>
      <w:tr w14:paraId="3A9FA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F3A7155">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流动资产（万元）</w:t>
            </w:r>
          </w:p>
        </w:tc>
        <w:tc>
          <w:tcPr>
            <w:tcW w:w="1287" w:type="dxa"/>
          </w:tcPr>
          <w:p w14:paraId="058CDC2F">
            <w:pPr>
              <w:spacing w:line="440" w:lineRule="exact"/>
              <w:jc w:val="center"/>
              <w:rPr>
                <w:rFonts w:ascii="宋体" w:hAnsi="宋体"/>
                <w:color w:val="000000"/>
                <w:sz w:val="24"/>
                <w:szCs w:val="24"/>
                <w:highlight w:val="none"/>
              </w:rPr>
            </w:pPr>
          </w:p>
        </w:tc>
        <w:tc>
          <w:tcPr>
            <w:tcW w:w="1288" w:type="dxa"/>
          </w:tcPr>
          <w:p w14:paraId="25E6B42D">
            <w:pPr>
              <w:spacing w:line="440" w:lineRule="exact"/>
              <w:jc w:val="center"/>
              <w:rPr>
                <w:rFonts w:ascii="宋体" w:hAnsi="宋体"/>
                <w:color w:val="000000"/>
                <w:sz w:val="24"/>
                <w:szCs w:val="24"/>
                <w:highlight w:val="none"/>
              </w:rPr>
            </w:pPr>
          </w:p>
        </w:tc>
        <w:tc>
          <w:tcPr>
            <w:tcW w:w="1288" w:type="dxa"/>
          </w:tcPr>
          <w:p w14:paraId="3FF2EFC2">
            <w:pPr>
              <w:spacing w:line="440" w:lineRule="exact"/>
              <w:jc w:val="center"/>
              <w:rPr>
                <w:rFonts w:ascii="宋体" w:hAnsi="宋体"/>
                <w:color w:val="000000"/>
                <w:sz w:val="24"/>
                <w:szCs w:val="24"/>
                <w:highlight w:val="none"/>
              </w:rPr>
            </w:pPr>
          </w:p>
        </w:tc>
      </w:tr>
      <w:tr w14:paraId="54B4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D684B23">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非流动资产（万元）</w:t>
            </w:r>
          </w:p>
        </w:tc>
        <w:tc>
          <w:tcPr>
            <w:tcW w:w="1287" w:type="dxa"/>
          </w:tcPr>
          <w:p w14:paraId="0C4F4700">
            <w:pPr>
              <w:spacing w:line="440" w:lineRule="exact"/>
              <w:jc w:val="center"/>
              <w:rPr>
                <w:rFonts w:ascii="宋体" w:hAnsi="宋体"/>
                <w:color w:val="000000"/>
                <w:sz w:val="24"/>
                <w:szCs w:val="24"/>
                <w:highlight w:val="none"/>
              </w:rPr>
            </w:pPr>
          </w:p>
        </w:tc>
        <w:tc>
          <w:tcPr>
            <w:tcW w:w="1288" w:type="dxa"/>
          </w:tcPr>
          <w:p w14:paraId="66B378DD">
            <w:pPr>
              <w:spacing w:line="440" w:lineRule="exact"/>
              <w:jc w:val="center"/>
              <w:rPr>
                <w:rFonts w:ascii="宋体" w:hAnsi="宋体"/>
                <w:color w:val="000000"/>
                <w:sz w:val="24"/>
                <w:szCs w:val="24"/>
                <w:highlight w:val="none"/>
              </w:rPr>
            </w:pPr>
          </w:p>
        </w:tc>
        <w:tc>
          <w:tcPr>
            <w:tcW w:w="1288" w:type="dxa"/>
          </w:tcPr>
          <w:p w14:paraId="39BDA792">
            <w:pPr>
              <w:spacing w:line="440" w:lineRule="exact"/>
              <w:jc w:val="center"/>
              <w:rPr>
                <w:rFonts w:ascii="宋体" w:hAnsi="宋体"/>
                <w:color w:val="000000"/>
                <w:sz w:val="24"/>
                <w:szCs w:val="24"/>
                <w:highlight w:val="none"/>
              </w:rPr>
            </w:pPr>
          </w:p>
        </w:tc>
      </w:tr>
      <w:tr w14:paraId="6371E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EBF74FA">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营业收入（万元）</w:t>
            </w:r>
          </w:p>
        </w:tc>
        <w:tc>
          <w:tcPr>
            <w:tcW w:w="1287" w:type="dxa"/>
          </w:tcPr>
          <w:p w14:paraId="7F7FA291">
            <w:pPr>
              <w:spacing w:line="440" w:lineRule="exact"/>
              <w:jc w:val="center"/>
              <w:rPr>
                <w:rFonts w:ascii="宋体" w:hAnsi="宋体"/>
                <w:color w:val="000000"/>
                <w:sz w:val="24"/>
                <w:szCs w:val="24"/>
                <w:highlight w:val="none"/>
              </w:rPr>
            </w:pPr>
          </w:p>
        </w:tc>
        <w:tc>
          <w:tcPr>
            <w:tcW w:w="1288" w:type="dxa"/>
          </w:tcPr>
          <w:p w14:paraId="49FD50C7">
            <w:pPr>
              <w:spacing w:line="440" w:lineRule="exact"/>
              <w:jc w:val="center"/>
              <w:rPr>
                <w:rFonts w:ascii="宋体" w:hAnsi="宋体"/>
                <w:color w:val="000000"/>
                <w:sz w:val="24"/>
                <w:szCs w:val="24"/>
                <w:highlight w:val="none"/>
              </w:rPr>
            </w:pPr>
          </w:p>
        </w:tc>
        <w:tc>
          <w:tcPr>
            <w:tcW w:w="1288" w:type="dxa"/>
          </w:tcPr>
          <w:p w14:paraId="57E2199E">
            <w:pPr>
              <w:spacing w:line="440" w:lineRule="exact"/>
              <w:jc w:val="center"/>
              <w:rPr>
                <w:rFonts w:ascii="宋体" w:hAnsi="宋体"/>
                <w:color w:val="000000"/>
                <w:sz w:val="24"/>
                <w:szCs w:val="24"/>
                <w:highlight w:val="none"/>
              </w:rPr>
            </w:pPr>
          </w:p>
        </w:tc>
      </w:tr>
      <w:tr w14:paraId="3F55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331B020">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年底资产总值（万元）</w:t>
            </w:r>
          </w:p>
        </w:tc>
        <w:tc>
          <w:tcPr>
            <w:tcW w:w="1287" w:type="dxa"/>
          </w:tcPr>
          <w:p w14:paraId="25204010">
            <w:pPr>
              <w:spacing w:line="440" w:lineRule="exact"/>
              <w:jc w:val="center"/>
              <w:rPr>
                <w:rFonts w:ascii="宋体" w:hAnsi="宋体"/>
                <w:color w:val="000000"/>
                <w:sz w:val="24"/>
                <w:szCs w:val="24"/>
                <w:highlight w:val="none"/>
              </w:rPr>
            </w:pPr>
          </w:p>
        </w:tc>
        <w:tc>
          <w:tcPr>
            <w:tcW w:w="1288" w:type="dxa"/>
          </w:tcPr>
          <w:p w14:paraId="221C0B06">
            <w:pPr>
              <w:spacing w:line="440" w:lineRule="exact"/>
              <w:jc w:val="center"/>
              <w:rPr>
                <w:rFonts w:ascii="宋体" w:hAnsi="宋体"/>
                <w:color w:val="000000"/>
                <w:sz w:val="24"/>
                <w:szCs w:val="24"/>
                <w:highlight w:val="none"/>
              </w:rPr>
            </w:pPr>
          </w:p>
        </w:tc>
        <w:tc>
          <w:tcPr>
            <w:tcW w:w="1288" w:type="dxa"/>
          </w:tcPr>
          <w:p w14:paraId="6A9072CF">
            <w:pPr>
              <w:spacing w:line="440" w:lineRule="exact"/>
              <w:jc w:val="center"/>
              <w:rPr>
                <w:rFonts w:ascii="宋体" w:hAnsi="宋体"/>
                <w:color w:val="000000"/>
                <w:sz w:val="24"/>
                <w:szCs w:val="24"/>
                <w:highlight w:val="none"/>
              </w:rPr>
            </w:pPr>
          </w:p>
        </w:tc>
      </w:tr>
      <w:tr w14:paraId="2042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4C0FCB3">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年底负债总值（万元）</w:t>
            </w:r>
          </w:p>
        </w:tc>
        <w:tc>
          <w:tcPr>
            <w:tcW w:w="1287" w:type="dxa"/>
          </w:tcPr>
          <w:p w14:paraId="5E329014">
            <w:pPr>
              <w:spacing w:line="440" w:lineRule="exact"/>
              <w:jc w:val="center"/>
              <w:rPr>
                <w:rFonts w:ascii="宋体" w:hAnsi="宋体"/>
                <w:color w:val="000000"/>
                <w:sz w:val="24"/>
                <w:szCs w:val="24"/>
                <w:highlight w:val="none"/>
              </w:rPr>
            </w:pPr>
          </w:p>
        </w:tc>
        <w:tc>
          <w:tcPr>
            <w:tcW w:w="1288" w:type="dxa"/>
          </w:tcPr>
          <w:p w14:paraId="5ACF2F5D">
            <w:pPr>
              <w:spacing w:line="440" w:lineRule="exact"/>
              <w:jc w:val="center"/>
              <w:rPr>
                <w:rFonts w:ascii="宋体" w:hAnsi="宋体"/>
                <w:color w:val="000000"/>
                <w:sz w:val="24"/>
                <w:szCs w:val="24"/>
                <w:highlight w:val="none"/>
              </w:rPr>
            </w:pPr>
          </w:p>
        </w:tc>
        <w:tc>
          <w:tcPr>
            <w:tcW w:w="1288" w:type="dxa"/>
          </w:tcPr>
          <w:p w14:paraId="24A1B5D5">
            <w:pPr>
              <w:spacing w:line="440" w:lineRule="exact"/>
              <w:jc w:val="center"/>
              <w:rPr>
                <w:rFonts w:ascii="宋体" w:hAnsi="宋体"/>
                <w:color w:val="000000"/>
                <w:sz w:val="24"/>
                <w:szCs w:val="24"/>
                <w:highlight w:val="none"/>
              </w:rPr>
            </w:pPr>
          </w:p>
        </w:tc>
      </w:tr>
      <w:tr w14:paraId="08D4F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24B26F0">
            <w:pPr>
              <w:spacing w:line="440" w:lineRule="exact"/>
              <w:jc w:val="center"/>
              <w:rPr>
                <w:rFonts w:ascii="宋体" w:hAnsi="宋体"/>
                <w:color w:val="000000"/>
                <w:sz w:val="24"/>
                <w:szCs w:val="24"/>
                <w:highlight w:val="none"/>
              </w:rPr>
            </w:pPr>
            <w:r>
              <w:rPr>
                <w:rFonts w:ascii="宋体" w:hAnsi="宋体" w:eastAsia="宋体"/>
                <w:color w:val="000000"/>
                <w:sz w:val="24"/>
                <w:szCs w:val="24"/>
                <w:highlight w:val="none"/>
              </w:rPr>
              <w:t>资产负债率</w:t>
            </w:r>
            <w:r>
              <w:rPr>
                <w:rFonts w:hint="eastAsia" w:ascii="宋体" w:hAnsi="宋体" w:eastAsia="宋体"/>
                <w:color w:val="000000"/>
                <w:sz w:val="24"/>
                <w:szCs w:val="24"/>
                <w:highlight w:val="none"/>
              </w:rPr>
              <w:t>（  %）</w:t>
            </w:r>
          </w:p>
        </w:tc>
        <w:tc>
          <w:tcPr>
            <w:tcW w:w="1287" w:type="dxa"/>
          </w:tcPr>
          <w:p w14:paraId="5D85963B">
            <w:pPr>
              <w:spacing w:line="440" w:lineRule="exact"/>
              <w:jc w:val="center"/>
              <w:rPr>
                <w:rFonts w:ascii="宋体" w:hAnsi="宋体"/>
                <w:color w:val="000000"/>
                <w:sz w:val="24"/>
                <w:szCs w:val="24"/>
                <w:highlight w:val="none"/>
              </w:rPr>
            </w:pPr>
          </w:p>
        </w:tc>
        <w:tc>
          <w:tcPr>
            <w:tcW w:w="1288" w:type="dxa"/>
          </w:tcPr>
          <w:p w14:paraId="00A2A5D4">
            <w:pPr>
              <w:spacing w:line="440" w:lineRule="exact"/>
              <w:jc w:val="center"/>
              <w:rPr>
                <w:rFonts w:ascii="宋体" w:hAnsi="宋体"/>
                <w:color w:val="000000"/>
                <w:sz w:val="24"/>
                <w:szCs w:val="24"/>
                <w:highlight w:val="none"/>
              </w:rPr>
            </w:pPr>
          </w:p>
        </w:tc>
        <w:tc>
          <w:tcPr>
            <w:tcW w:w="1288" w:type="dxa"/>
          </w:tcPr>
          <w:p w14:paraId="426DB36D">
            <w:pPr>
              <w:spacing w:line="440" w:lineRule="exact"/>
              <w:jc w:val="center"/>
              <w:rPr>
                <w:rFonts w:ascii="宋体" w:hAnsi="宋体"/>
                <w:color w:val="000000"/>
                <w:sz w:val="24"/>
                <w:szCs w:val="24"/>
                <w:highlight w:val="none"/>
              </w:rPr>
            </w:pPr>
          </w:p>
        </w:tc>
      </w:tr>
      <w:tr w14:paraId="5059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BBC3269">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净利润（万元）</w:t>
            </w:r>
          </w:p>
        </w:tc>
        <w:tc>
          <w:tcPr>
            <w:tcW w:w="1287" w:type="dxa"/>
          </w:tcPr>
          <w:p w14:paraId="2000AA46">
            <w:pPr>
              <w:spacing w:line="440" w:lineRule="exact"/>
              <w:jc w:val="center"/>
              <w:rPr>
                <w:rFonts w:ascii="宋体" w:hAnsi="宋体"/>
                <w:color w:val="000000"/>
                <w:sz w:val="24"/>
                <w:szCs w:val="24"/>
                <w:highlight w:val="none"/>
              </w:rPr>
            </w:pPr>
          </w:p>
        </w:tc>
        <w:tc>
          <w:tcPr>
            <w:tcW w:w="1288" w:type="dxa"/>
          </w:tcPr>
          <w:p w14:paraId="546FF81A">
            <w:pPr>
              <w:spacing w:line="440" w:lineRule="exact"/>
              <w:jc w:val="center"/>
              <w:rPr>
                <w:rFonts w:ascii="宋体" w:hAnsi="宋体"/>
                <w:color w:val="000000"/>
                <w:sz w:val="24"/>
                <w:szCs w:val="24"/>
                <w:highlight w:val="none"/>
              </w:rPr>
            </w:pPr>
          </w:p>
        </w:tc>
        <w:tc>
          <w:tcPr>
            <w:tcW w:w="1288" w:type="dxa"/>
          </w:tcPr>
          <w:p w14:paraId="51A540AA">
            <w:pPr>
              <w:spacing w:line="440" w:lineRule="exact"/>
              <w:jc w:val="center"/>
              <w:rPr>
                <w:rFonts w:ascii="宋体" w:hAnsi="宋体"/>
                <w:color w:val="000000"/>
                <w:sz w:val="24"/>
                <w:szCs w:val="24"/>
                <w:highlight w:val="none"/>
              </w:rPr>
            </w:pPr>
          </w:p>
        </w:tc>
      </w:tr>
      <w:tr w14:paraId="61877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A68E180">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未分配利润（万元）</w:t>
            </w:r>
          </w:p>
        </w:tc>
        <w:tc>
          <w:tcPr>
            <w:tcW w:w="1287" w:type="dxa"/>
          </w:tcPr>
          <w:p w14:paraId="3A5FB98F">
            <w:pPr>
              <w:spacing w:line="440" w:lineRule="exact"/>
              <w:jc w:val="center"/>
              <w:rPr>
                <w:rFonts w:ascii="宋体" w:hAnsi="宋体"/>
                <w:color w:val="000000"/>
                <w:sz w:val="24"/>
                <w:szCs w:val="24"/>
                <w:highlight w:val="none"/>
              </w:rPr>
            </w:pPr>
          </w:p>
        </w:tc>
        <w:tc>
          <w:tcPr>
            <w:tcW w:w="1288" w:type="dxa"/>
          </w:tcPr>
          <w:p w14:paraId="07203EAC">
            <w:pPr>
              <w:spacing w:line="440" w:lineRule="exact"/>
              <w:jc w:val="center"/>
              <w:rPr>
                <w:rFonts w:ascii="宋体" w:hAnsi="宋体"/>
                <w:color w:val="000000"/>
                <w:sz w:val="24"/>
                <w:szCs w:val="24"/>
                <w:highlight w:val="none"/>
              </w:rPr>
            </w:pPr>
          </w:p>
        </w:tc>
        <w:tc>
          <w:tcPr>
            <w:tcW w:w="1288" w:type="dxa"/>
          </w:tcPr>
          <w:p w14:paraId="70ED70C0">
            <w:pPr>
              <w:spacing w:line="440" w:lineRule="exact"/>
              <w:jc w:val="center"/>
              <w:rPr>
                <w:rFonts w:ascii="宋体" w:hAnsi="宋体"/>
                <w:color w:val="000000"/>
                <w:sz w:val="24"/>
                <w:szCs w:val="24"/>
                <w:highlight w:val="none"/>
              </w:rPr>
            </w:pPr>
          </w:p>
        </w:tc>
      </w:tr>
      <w:tr w14:paraId="44C2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5037698">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营运</w:t>
            </w:r>
            <w:r>
              <w:rPr>
                <w:rFonts w:ascii="宋体" w:hAnsi="宋体" w:eastAsia="宋体"/>
                <w:color w:val="000000"/>
                <w:sz w:val="24"/>
                <w:szCs w:val="24"/>
                <w:highlight w:val="none"/>
              </w:rPr>
              <w:t>资</w:t>
            </w:r>
            <w:r>
              <w:rPr>
                <w:rFonts w:hint="eastAsia" w:ascii="宋体" w:hAnsi="宋体" w:eastAsia="宋体"/>
                <w:color w:val="000000"/>
                <w:sz w:val="24"/>
                <w:szCs w:val="24"/>
                <w:highlight w:val="none"/>
              </w:rPr>
              <w:t>金</w:t>
            </w:r>
          </w:p>
        </w:tc>
        <w:tc>
          <w:tcPr>
            <w:tcW w:w="1287" w:type="dxa"/>
          </w:tcPr>
          <w:p w14:paraId="3BC15564">
            <w:pPr>
              <w:spacing w:line="440" w:lineRule="exact"/>
              <w:jc w:val="center"/>
              <w:rPr>
                <w:rFonts w:ascii="宋体" w:hAnsi="宋体"/>
                <w:color w:val="000000"/>
                <w:sz w:val="24"/>
                <w:szCs w:val="24"/>
                <w:highlight w:val="none"/>
              </w:rPr>
            </w:pPr>
          </w:p>
        </w:tc>
        <w:tc>
          <w:tcPr>
            <w:tcW w:w="1288" w:type="dxa"/>
          </w:tcPr>
          <w:p w14:paraId="4930E756">
            <w:pPr>
              <w:spacing w:line="440" w:lineRule="exact"/>
              <w:jc w:val="center"/>
              <w:rPr>
                <w:rFonts w:ascii="宋体" w:hAnsi="宋体"/>
                <w:color w:val="000000"/>
                <w:sz w:val="24"/>
                <w:szCs w:val="24"/>
                <w:highlight w:val="none"/>
              </w:rPr>
            </w:pPr>
          </w:p>
        </w:tc>
        <w:tc>
          <w:tcPr>
            <w:tcW w:w="1288" w:type="dxa"/>
          </w:tcPr>
          <w:p w14:paraId="227F869A">
            <w:pPr>
              <w:spacing w:line="440" w:lineRule="exact"/>
              <w:jc w:val="center"/>
              <w:rPr>
                <w:rFonts w:ascii="宋体" w:hAnsi="宋体"/>
                <w:color w:val="000000"/>
                <w:sz w:val="24"/>
                <w:szCs w:val="24"/>
                <w:highlight w:val="none"/>
              </w:rPr>
            </w:pPr>
          </w:p>
        </w:tc>
      </w:tr>
      <w:tr w14:paraId="7F74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99CAA76">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（本年营业收入-上年营业收入）÷上年营业收入</w:t>
            </w:r>
          </w:p>
        </w:tc>
        <w:tc>
          <w:tcPr>
            <w:tcW w:w="1287" w:type="dxa"/>
          </w:tcPr>
          <w:p w14:paraId="0349FAC3">
            <w:pPr>
              <w:spacing w:line="440" w:lineRule="exact"/>
              <w:jc w:val="center"/>
              <w:rPr>
                <w:rFonts w:ascii="宋体" w:hAnsi="宋体"/>
                <w:color w:val="000000"/>
                <w:sz w:val="24"/>
                <w:szCs w:val="24"/>
                <w:highlight w:val="none"/>
              </w:rPr>
            </w:pPr>
          </w:p>
        </w:tc>
        <w:tc>
          <w:tcPr>
            <w:tcW w:w="1288" w:type="dxa"/>
          </w:tcPr>
          <w:p w14:paraId="34C5DC23">
            <w:pPr>
              <w:spacing w:line="440" w:lineRule="exact"/>
              <w:jc w:val="center"/>
              <w:rPr>
                <w:rFonts w:ascii="宋体" w:hAnsi="宋体"/>
                <w:color w:val="000000"/>
                <w:sz w:val="24"/>
                <w:szCs w:val="24"/>
                <w:highlight w:val="none"/>
              </w:rPr>
            </w:pPr>
          </w:p>
        </w:tc>
        <w:tc>
          <w:tcPr>
            <w:tcW w:w="1288" w:type="dxa"/>
          </w:tcPr>
          <w:p w14:paraId="6AB75564">
            <w:pPr>
              <w:spacing w:line="440" w:lineRule="exact"/>
              <w:jc w:val="center"/>
              <w:rPr>
                <w:rFonts w:ascii="宋体" w:hAnsi="宋体"/>
                <w:color w:val="000000"/>
                <w:sz w:val="24"/>
                <w:szCs w:val="24"/>
                <w:highlight w:val="none"/>
              </w:rPr>
            </w:pPr>
          </w:p>
        </w:tc>
      </w:tr>
    </w:tbl>
    <w:p w14:paraId="3A229F5D">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17AE443F">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6D41DC90">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9DA8D3E">
      <w:pPr>
        <w:rPr>
          <w:rFonts w:ascii="宋体" w:hAnsi="Calibri" w:eastAsia="宋体" w:cs="宋体"/>
          <w:b/>
          <w:bCs/>
          <w:color w:val="000000"/>
          <w:sz w:val="28"/>
          <w:szCs w:val="20"/>
        </w:rPr>
        <w:sectPr>
          <w:footerReference r:id="rId9" w:type="first"/>
          <w:footerReference r:id="rId8" w:type="default"/>
          <w:pgSz w:w="11906" w:h="16838"/>
          <w:pgMar w:top="1588" w:right="1418" w:bottom="1134" w:left="1418" w:header="851" w:footer="992" w:gutter="0"/>
          <w:cols w:space="720" w:num="1"/>
          <w:titlePg/>
          <w:docGrid w:type="lines" w:linePitch="312" w:charSpace="0"/>
        </w:sectPr>
      </w:pPr>
    </w:p>
    <w:p w14:paraId="0B13CA40">
      <w:pPr>
        <w:pStyle w:val="6"/>
        <w:outlineLvl w:val="2"/>
        <w:rPr>
          <w:rFonts w:hAnsi="宋体" w:eastAsia="宋体" w:cs="宋体"/>
          <w:b/>
          <w:bCs/>
          <w:color w:val="000000"/>
          <w:sz w:val="24"/>
          <w:szCs w:val="24"/>
        </w:rPr>
      </w:pPr>
      <w:r>
        <w:rPr>
          <w:rFonts w:hint="eastAsia" w:hAnsi="宋体" w:eastAsia="宋体" w:cs="宋体"/>
          <w:b/>
          <w:bCs/>
          <w:color w:val="000000"/>
          <w:sz w:val="24"/>
          <w:szCs w:val="24"/>
          <w:highlight w:val="none"/>
        </w:rPr>
        <w:t>附件</w:t>
      </w:r>
      <w:r>
        <w:rPr>
          <w:rFonts w:hint="eastAsia" w:hAnsi="宋体" w:cs="宋体"/>
          <w:b/>
          <w:bCs/>
          <w:color w:val="000000"/>
          <w:sz w:val="24"/>
          <w:szCs w:val="24"/>
          <w:highlight w:val="none"/>
          <w:lang w:val="en-US" w:eastAsia="zh-CN"/>
        </w:rPr>
        <w:t>一</w:t>
      </w:r>
      <w:r>
        <w:rPr>
          <w:rFonts w:hint="eastAsia" w:hAnsi="宋体" w:eastAsia="宋体" w:cs="宋体"/>
          <w:b/>
          <w:bCs/>
          <w:color w:val="000000"/>
          <w:sz w:val="24"/>
          <w:szCs w:val="24"/>
          <w:highlight w:val="none"/>
        </w:rPr>
        <w:t xml:space="preserve"> </w:t>
      </w:r>
      <w:r>
        <w:rPr>
          <w:rFonts w:hint="eastAsia" w:hAnsi="宋体" w:eastAsia="宋体" w:cs="宋体"/>
          <w:b/>
          <w:bCs/>
          <w:color w:val="000000"/>
          <w:sz w:val="24"/>
          <w:szCs w:val="24"/>
        </w:rPr>
        <w:t>SRM非生产供应商注册操作手册</w:t>
      </w:r>
    </w:p>
    <w:p w14:paraId="1F340AF8">
      <w:pPr>
        <w:adjustRightInd w:val="0"/>
        <w:snapToGrid w:val="0"/>
        <w:jc w:val="left"/>
        <w:rPr>
          <w:rFonts w:ascii="宋体" w:hAnsi="宋体" w:eastAsia="宋体" w:cs="宋体"/>
          <w:sz w:val="24"/>
          <w:szCs w:val="24"/>
        </w:rPr>
      </w:pPr>
    </w:p>
    <w:p w14:paraId="44286618">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53F35A8F">
      <w:pPr>
        <w:adjustRightInd w:val="0"/>
        <w:snapToGrid w:val="0"/>
        <w:spacing w:line="360" w:lineRule="auto"/>
        <w:jc w:val="left"/>
        <w:rPr>
          <w:rFonts w:hint="eastAsia" w:ascii="宋体" w:hAnsi="宋体" w:cs="宋体"/>
          <w:b/>
          <w:bCs/>
          <w:sz w:val="24"/>
          <w:szCs w:val="24"/>
          <w:lang w:val="en-US" w:eastAsia="zh-CN"/>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lang w:val="en-US" w:eastAsia="zh-CN"/>
        </w:rPr>
        <w:t>s</w:t>
      </w:r>
      <w:r>
        <w:rPr>
          <w:rFonts w:ascii="宋体" w:hAnsi="宋体" w:eastAsia="宋体" w:cs="宋体"/>
          <w:sz w:val="24"/>
          <w:szCs w:val="24"/>
        </w:rPr>
        <w:t>://ecaitong.sinotruk.com:8012/#/login</w:t>
      </w:r>
      <w:r>
        <w:rPr>
          <w:rFonts w:ascii="宋体" w:hAnsi="宋体" w:eastAsia="宋体" w:cs="宋体"/>
          <w:sz w:val="24"/>
          <w:szCs w:val="24"/>
        </w:rPr>
        <w:fldChar w:fldCharType="end"/>
      </w:r>
      <w:r>
        <w:rPr>
          <w:rFonts w:ascii="宋体" w:hAnsi="宋体" w:eastAsia="宋体" w:cs="宋体"/>
          <w:sz w:val="24"/>
          <w:szCs w:val="24"/>
        </w:rPr>
        <w:br w:type="textWrapping"/>
      </w:r>
      <w:r>
        <w:rPr>
          <w:rFonts w:hint="eastAsia" w:ascii="宋体" w:hAnsi="宋体" w:eastAsia="宋体" w:cs="宋体"/>
          <w:sz w:val="24"/>
          <w:szCs w:val="24"/>
          <w:lang w:val="en-US" w:eastAsia="zh-CN"/>
        </w:rPr>
        <w:t>1.下载《供应商用户手册》</w:t>
      </w:r>
    </w:p>
    <w:p w14:paraId="5FE81A02">
      <w:pPr>
        <w:outlineLvl w:val="9"/>
        <w:rPr>
          <w:rFonts w:hint="default"/>
          <w:lang w:val="en-US" w:eastAsia="zh-CN"/>
        </w:rPr>
      </w:pPr>
      <w: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9"/>
                    <a:stretch>
                      <a:fillRect/>
                    </a:stretch>
                  </pic:blipFill>
                  <pic:spPr>
                    <a:xfrm>
                      <a:off x="0" y="0"/>
                      <a:ext cx="5758815" cy="2764790"/>
                    </a:xfrm>
                    <a:prstGeom prst="rect">
                      <a:avLst/>
                    </a:prstGeom>
                    <a:noFill/>
                    <a:ln>
                      <a:noFill/>
                    </a:ln>
                  </pic:spPr>
                </pic:pic>
              </a:graphicData>
            </a:graphic>
          </wp:inline>
        </w:drawing>
      </w:r>
    </w:p>
    <w:p w14:paraId="6B66287E">
      <w:pPr>
        <w:keepNext w:val="0"/>
        <w:keepLines w:val="0"/>
        <w:pageBreakBefore w:val="0"/>
        <w:widowControl w:val="0"/>
        <w:kinsoku/>
        <w:wordWrap/>
        <w:overflowPunct/>
        <w:topLinePunct w:val="0"/>
        <w:autoSpaceDE/>
        <w:autoSpaceDN/>
        <w:bidi w:val="0"/>
        <w:adjustRightInd w:val="0"/>
        <w:snapToGrid w:val="0"/>
        <w:spacing w:before="313" w:beforeLines="100" w:after="157" w:afterLines="50" w:line="440" w:lineRule="exact"/>
        <w:jc w:val="left"/>
        <w:textAlignment w:val="auto"/>
        <w:outlineLvl w:val="3"/>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一、首次注册</w:t>
      </w:r>
    </w:p>
    <w:p w14:paraId="06AC02F9">
      <w:pPr>
        <w:adjustRightInd w:val="0"/>
        <w:snapToGrid w:val="0"/>
        <w:spacing w:line="360" w:lineRule="auto"/>
        <w:jc w:val="left"/>
        <w:outlineLvl w:val="9"/>
        <w:rPr>
          <w:rFonts w:ascii="宋体" w:hAnsi="宋体" w:eastAsia="宋体" w:cs="宋体"/>
          <w:sz w:val="24"/>
          <w:szCs w:val="24"/>
        </w:rPr>
      </w:pPr>
      <w:r>
        <w:rPr>
          <w:rFonts w:ascii="宋体" w:hAnsi="宋体" w:eastAsia="宋体" w:cs="宋体"/>
          <w:sz w:val="24"/>
          <w:szCs w:val="24"/>
        </w:rPr>
        <w:t>1.点击立即注册</w:t>
      </w:r>
    </w:p>
    <w:p w14:paraId="43E0CCFD">
      <w:pPr>
        <w:snapToGrid w:val="0"/>
        <w:spacing w:line="312" w:lineRule="auto"/>
      </w:pPr>
      <w:r>
        <w:drawing>
          <wp:inline distT="0" distB="0" distL="0" distR="0">
            <wp:extent cx="5760085" cy="2933065"/>
            <wp:effectExtent l="0" t="0" r="5715" b="635"/>
            <wp:docPr id="3" name="picture" descr="descript"/>
            <wp:cNvGraphicFramePr/>
            <a:graphic xmlns:a="http://schemas.openxmlformats.org/drawingml/2006/main">
              <a:graphicData uri="http://schemas.openxmlformats.org/drawingml/2006/picture">
                <pic:pic xmlns:pic="http://schemas.openxmlformats.org/drawingml/2006/picture">
                  <pic:nvPicPr>
                    <pic:cNvPr id="3" name="picture" descr="descript"/>
                    <pic:cNvPicPr/>
                  </pic:nvPicPr>
                  <pic:blipFill>
                    <a:blip r:embed="rId20" cstate="print"/>
                    <a:srcRect/>
                    <a:stretch>
                      <a:fillRect/>
                    </a:stretch>
                  </pic:blipFill>
                  <pic:spPr>
                    <a:xfrm>
                      <a:off x="0" y="0"/>
                      <a:ext cx="5760085" cy="2933065"/>
                    </a:xfrm>
                    <a:prstGeom prst="rect">
                      <a:avLst/>
                    </a:prstGeom>
                  </pic:spPr>
                </pic:pic>
              </a:graphicData>
            </a:graphic>
          </wp:inline>
        </w:drawing>
      </w:r>
    </w:p>
    <w:p w14:paraId="38147027">
      <w:pPr>
        <w:keepNext w:val="0"/>
        <w:keepLines w:val="0"/>
        <w:widowControl/>
        <w:suppressLineNumbers w:val="0"/>
        <w:jc w:val="left"/>
      </w:pPr>
      <w:r>
        <w:rPr>
          <w:rFonts w:hint="eastAsia" w:ascii="宋体" w:hAnsi="宋体" w:eastAsia="宋体" w:cs="宋体"/>
          <w:color w:val="000000"/>
          <w:sz w:val="24"/>
          <w:szCs w:val="28"/>
        </w:rPr>
        <w:t>2.</w:t>
      </w:r>
      <w:r>
        <w:rPr>
          <w:rFonts w:ascii="宋体" w:hAnsi="宋体" w:eastAsia="宋体" w:cs="宋体"/>
          <w:color w:val="000000"/>
          <w:sz w:val="24"/>
          <w:szCs w:val="28"/>
        </w:rPr>
        <w:t>填写</w:t>
      </w:r>
      <w:r>
        <w:rPr>
          <w:rFonts w:hint="eastAsia" w:ascii="宋体" w:hAnsi="宋体" w:cs="宋体"/>
          <w:color w:val="000000"/>
          <w:sz w:val="24"/>
          <w:szCs w:val="28"/>
          <w:lang w:val="en-US" w:eastAsia="zh-CN"/>
        </w:rPr>
        <w:t>姓名、</w:t>
      </w:r>
      <w:r>
        <w:rPr>
          <w:rFonts w:ascii="宋体" w:hAnsi="宋体" w:eastAsia="宋体" w:cs="宋体"/>
          <w:color w:val="000000"/>
          <w:sz w:val="24"/>
          <w:szCs w:val="28"/>
        </w:rPr>
        <w:t>手机号码（没有注册过的）</w:t>
      </w:r>
      <w:r>
        <w:rPr>
          <w:rFonts w:hint="eastAsia" w:ascii="宋体" w:hAnsi="宋体" w:cs="宋体"/>
          <w:color w:val="000000"/>
          <w:sz w:val="24"/>
          <w:szCs w:val="28"/>
          <w:lang w:eastAsia="zh-CN"/>
        </w:rPr>
        <w:t>，</w:t>
      </w:r>
      <w:r>
        <w:rPr>
          <w:rFonts w:hint="eastAsia" w:ascii="宋体" w:hAnsi="宋体" w:eastAsia="宋体" w:cs="宋体"/>
          <w:color w:val="000000"/>
          <w:sz w:val="24"/>
          <w:szCs w:val="28"/>
          <w:lang w:val="en-US" w:eastAsia="zh-CN"/>
        </w:rPr>
        <w:t>通过手机号接收验证码（区分大小写），点击完成后提示“注册成功，请重新登录”。同时系统自动给手机号发送短信，短信中告知登录账号及初始密码。需要使用此账号密码登录系统，进行供应商信息注册</w:t>
      </w:r>
      <w:r>
        <w:rPr>
          <w:rFonts w:hint="eastAsia" w:ascii="宋体" w:hAnsi="宋体" w:eastAsia="宋体" w:cs="宋体"/>
          <w:color w:val="000000"/>
          <w:kern w:val="0"/>
          <w:sz w:val="20"/>
          <w:szCs w:val="20"/>
          <w:lang w:val="en-US" w:eastAsia="zh-CN" w:bidi="ar"/>
        </w:rPr>
        <w:t>。</w:t>
      </w:r>
    </w:p>
    <w:p w14:paraId="0C3D2B1B">
      <w:pPr>
        <w:spacing w:line="360" w:lineRule="auto"/>
        <w:rPr>
          <w:rFonts w:ascii="宋体" w:hAnsi="宋体" w:eastAsia="宋体" w:cs="宋体"/>
          <w:sz w:val="24"/>
          <w:szCs w:val="28"/>
        </w:rPr>
      </w:pPr>
    </w:p>
    <w:p w14:paraId="73620843">
      <w:pPr>
        <w:snapToGrid w:val="0"/>
        <w:spacing w:line="312" w:lineRule="auto"/>
      </w:pPr>
      <w:r>
        <w:drawing>
          <wp:inline distT="0" distB="0" distL="0" distR="0">
            <wp:extent cx="5760085" cy="2766695"/>
            <wp:effectExtent l="0" t="0" r="5715" b="1905"/>
            <wp:docPr id="4" name="picture" descr="descript"/>
            <wp:cNvGraphicFramePr/>
            <a:graphic xmlns:a="http://schemas.openxmlformats.org/drawingml/2006/main">
              <a:graphicData uri="http://schemas.openxmlformats.org/drawingml/2006/picture">
                <pic:pic xmlns:pic="http://schemas.openxmlformats.org/drawingml/2006/picture">
                  <pic:nvPicPr>
                    <pic:cNvPr id="4" name="picture" descr="descript"/>
                    <pic:cNvPicPr/>
                  </pic:nvPicPr>
                  <pic:blipFill>
                    <a:blip r:embed="rId21" cstate="print"/>
                    <a:srcRect/>
                    <a:stretch>
                      <a:fillRect/>
                    </a:stretch>
                  </pic:blipFill>
                  <pic:spPr>
                    <a:xfrm>
                      <a:off x="0" y="0"/>
                      <a:ext cx="5760085" cy="2766695"/>
                    </a:xfrm>
                    <a:prstGeom prst="rect">
                      <a:avLst/>
                    </a:prstGeom>
                  </pic:spPr>
                </pic:pic>
              </a:graphicData>
            </a:graphic>
          </wp:inline>
        </w:drawing>
      </w:r>
    </w:p>
    <w:p w14:paraId="1DF63456">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471D49BE">
      <w:pPr>
        <w:snapToGrid w:val="0"/>
        <w:spacing w:line="312" w:lineRule="auto"/>
      </w:pPr>
      <w:r>
        <w:drawing>
          <wp:inline distT="0" distB="0" distL="0" distR="0">
            <wp:extent cx="5760085" cy="2869565"/>
            <wp:effectExtent l="0" t="0" r="5715" b="635"/>
            <wp:docPr id="1" name="picture" descr="descript"/>
            <wp:cNvGraphicFramePr/>
            <a:graphic xmlns:a="http://schemas.openxmlformats.org/drawingml/2006/main">
              <a:graphicData uri="http://schemas.openxmlformats.org/drawingml/2006/picture">
                <pic:pic xmlns:pic="http://schemas.openxmlformats.org/drawingml/2006/picture">
                  <pic:nvPicPr>
                    <pic:cNvPr id="1" name="picture" descr="descript"/>
                    <pic:cNvPicPr/>
                  </pic:nvPicPr>
                  <pic:blipFill>
                    <a:blip r:embed="rId22" cstate="print"/>
                    <a:srcRect/>
                    <a:stretch>
                      <a:fillRect/>
                    </a:stretch>
                  </pic:blipFill>
                  <pic:spPr>
                    <a:xfrm>
                      <a:off x="0" y="0"/>
                      <a:ext cx="5760085" cy="2869565"/>
                    </a:xfrm>
                    <a:prstGeom prst="rect">
                      <a:avLst/>
                    </a:prstGeom>
                  </pic:spPr>
                </pic:pic>
              </a:graphicData>
            </a:graphic>
          </wp:inline>
        </w:drawing>
      </w:r>
    </w:p>
    <w:p w14:paraId="258F46E5">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7EC3BF17">
      <w:pPr>
        <w:snapToGrid w:val="0"/>
        <w:spacing w:line="312" w:lineRule="auto"/>
      </w:pPr>
      <w:r>
        <w:drawing>
          <wp:inline distT="0" distB="0" distL="0" distR="0">
            <wp:extent cx="5760085" cy="2853055"/>
            <wp:effectExtent l="0" t="0" r="5715" b="4445"/>
            <wp:docPr id="9" name="picture" descr="descript"/>
            <wp:cNvGraphicFramePr/>
            <a:graphic xmlns:a="http://schemas.openxmlformats.org/drawingml/2006/main">
              <a:graphicData uri="http://schemas.openxmlformats.org/drawingml/2006/picture">
                <pic:pic xmlns:pic="http://schemas.openxmlformats.org/drawingml/2006/picture">
                  <pic:nvPicPr>
                    <pic:cNvPr id="9" name="picture" descr="descript"/>
                    <pic:cNvPicPr/>
                  </pic:nvPicPr>
                  <pic:blipFill>
                    <a:blip r:embed="rId23" cstate="print"/>
                    <a:srcRect/>
                    <a:stretch>
                      <a:fillRect/>
                    </a:stretch>
                  </pic:blipFill>
                  <pic:spPr>
                    <a:xfrm>
                      <a:off x="0" y="0"/>
                      <a:ext cx="5760085" cy="2853055"/>
                    </a:xfrm>
                    <a:prstGeom prst="rect">
                      <a:avLst/>
                    </a:prstGeom>
                  </pic:spPr>
                </pic:pic>
              </a:graphicData>
            </a:graphic>
          </wp:inline>
        </w:drawing>
      </w:r>
    </w:p>
    <w:p w14:paraId="619779B8">
      <w:pPr>
        <w:numPr>
          <w:ilvl w:val="0"/>
          <w:numId w:val="11"/>
        </w:numPr>
        <w:spacing w:line="360" w:lineRule="auto"/>
      </w:pPr>
      <w:r>
        <w:rPr>
          <w:rFonts w:ascii="宋体" w:hAnsi="宋体" w:eastAsia="宋体" w:cs="宋体"/>
          <w:color w:val="000000"/>
          <w:sz w:val="24"/>
          <w:szCs w:val="28"/>
        </w:rPr>
        <w:t>按要求填写所有信息，注意非生产类要填写合作单位，最后提交审批</w:t>
      </w:r>
      <w:r>
        <w:drawing>
          <wp:inline distT="0" distB="0" distL="114300" distR="114300">
            <wp:extent cx="5758180" cy="3058795"/>
            <wp:effectExtent l="0" t="0" r="7620" b="190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24"/>
                    <a:stretch>
                      <a:fillRect/>
                    </a:stretch>
                  </pic:blipFill>
                  <pic:spPr>
                    <a:xfrm>
                      <a:off x="0" y="0"/>
                      <a:ext cx="5758180" cy="3058795"/>
                    </a:xfrm>
                    <a:prstGeom prst="rect">
                      <a:avLst/>
                    </a:prstGeom>
                    <a:noFill/>
                    <a:ln>
                      <a:noFill/>
                    </a:ln>
                  </pic:spPr>
                </pic:pic>
              </a:graphicData>
            </a:graphic>
          </wp:inline>
        </w:drawing>
      </w:r>
    </w:p>
    <w:p w14:paraId="23EE8F94">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非生产-直管-直管</w:t>
      </w:r>
      <w:r>
        <w:rPr>
          <w:rFonts w:hint="eastAsia" w:ascii="宋体" w:hAnsi="宋体" w:eastAsia="宋体" w:cs="宋体"/>
          <w:sz w:val="24"/>
          <w:szCs w:val="24"/>
          <w:lang w:val="en-US" w:eastAsia="zh-CN"/>
        </w:rPr>
        <w:t>）</w:t>
      </w:r>
    </w:p>
    <w:p w14:paraId="3A98D68D">
      <w:r>
        <w:drawing>
          <wp:inline distT="0" distB="0" distL="0" distR="0">
            <wp:extent cx="5760085" cy="2809875"/>
            <wp:effectExtent l="0" t="0" r="5715" b="9525"/>
            <wp:docPr id="11" name="picture" descr="descript"/>
            <wp:cNvGraphicFramePr/>
            <a:graphic xmlns:a="http://schemas.openxmlformats.org/drawingml/2006/main">
              <a:graphicData uri="http://schemas.openxmlformats.org/drawingml/2006/picture">
                <pic:pic xmlns:pic="http://schemas.openxmlformats.org/drawingml/2006/picture">
                  <pic:nvPicPr>
                    <pic:cNvPr id="11" name="picture" descr="descript"/>
                    <pic:cNvPicPr/>
                  </pic:nvPicPr>
                  <pic:blipFill>
                    <a:blip r:embed="rId25" cstate="print"/>
                    <a:srcRect/>
                    <a:stretch>
                      <a:fillRect/>
                    </a:stretch>
                  </pic:blipFill>
                  <pic:spPr>
                    <a:xfrm>
                      <a:off x="0" y="0"/>
                      <a:ext cx="5760085" cy="2809875"/>
                    </a:xfrm>
                    <a:prstGeom prst="rect">
                      <a:avLst/>
                    </a:prstGeom>
                  </pic:spPr>
                </pic:pic>
              </a:graphicData>
            </a:graphic>
          </wp:inline>
        </w:drawing>
      </w:r>
    </w:p>
    <w:p w14:paraId="43BDB6C9">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377A2D12">
      <w:pPr>
        <w:keepNext w:val="0"/>
        <w:keepLines w:val="0"/>
        <w:pageBreakBefore w:val="0"/>
        <w:widowControl w:val="0"/>
        <w:numPr>
          <w:ilvl w:val="0"/>
          <w:numId w:val="12"/>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“项目名称”和“采购形式编号”见</w:t>
      </w:r>
      <w:r>
        <w:rPr>
          <w:rFonts w:hint="eastAsia" w:ascii="宋体" w:hAnsi="宋体" w:cs="宋体"/>
          <w:b/>
          <w:bCs/>
          <w:color w:val="000000"/>
          <w:sz w:val="24"/>
          <w:szCs w:val="28"/>
          <w:highlight w:val="none"/>
          <w:lang w:val="en-US" w:eastAsia="zh-CN"/>
        </w:rPr>
        <w:t>第一部分的</w:t>
      </w:r>
      <w:r>
        <w:rPr>
          <w:rFonts w:hint="eastAsia" w:ascii="宋体" w:hAnsi="宋体" w:cs="宋体"/>
          <w:b/>
          <w:bCs/>
          <w:color w:val="000000"/>
          <w:sz w:val="24"/>
          <w:szCs w:val="28"/>
          <w:highlight w:val="none"/>
          <w:lang w:eastAsia="zh-CN"/>
        </w:rPr>
        <w:t>“</w:t>
      </w:r>
      <w:r>
        <w:rPr>
          <w:rFonts w:hint="eastAsia" w:ascii="宋体" w:hAnsi="宋体" w:cs="宋体"/>
          <w:b/>
          <w:bCs/>
          <w:color w:val="000000"/>
          <w:sz w:val="24"/>
          <w:szCs w:val="28"/>
          <w:highlight w:val="none"/>
          <w:lang w:val="en-US" w:eastAsia="zh-CN"/>
        </w:rPr>
        <w:t>项目介绍”</w:t>
      </w:r>
      <w:r>
        <w:rPr>
          <w:rFonts w:hint="eastAsia" w:ascii="宋体" w:hAnsi="宋体" w:eastAsia="宋体" w:cs="宋体"/>
          <w:b/>
          <w:bCs/>
          <w:color w:val="000000"/>
          <w:sz w:val="24"/>
          <w:szCs w:val="28"/>
          <w:highlight w:val="none"/>
        </w:rPr>
        <w:t>；</w:t>
      </w:r>
    </w:p>
    <w:p w14:paraId="665FE416">
      <w:pPr>
        <w:keepNext w:val="0"/>
        <w:keepLines w:val="0"/>
        <w:pageBreakBefore w:val="0"/>
        <w:widowControl w:val="0"/>
        <w:numPr>
          <w:ilvl w:val="0"/>
          <w:numId w:val="12"/>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lang w:val="en-US" w:eastAsia="zh-CN"/>
        </w:rPr>
        <w:t>基本信息</w:t>
      </w:r>
      <w:r>
        <w:rPr>
          <w:rFonts w:hint="eastAsia" w:ascii="宋体" w:hAnsi="宋体" w:cs="宋体"/>
          <w:b/>
          <w:bCs/>
          <w:color w:val="000000"/>
          <w:sz w:val="24"/>
          <w:szCs w:val="28"/>
          <w:highlight w:val="none"/>
          <w:lang w:val="en-US" w:eastAsia="zh-CN"/>
        </w:rPr>
        <w:t>的填写</w:t>
      </w:r>
      <w:r>
        <w:rPr>
          <w:rFonts w:hint="eastAsia" w:ascii="宋体" w:hAnsi="宋体" w:eastAsia="宋体" w:cs="宋体"/>
          <w:b/>
          <w:bCs/>
          <w:color w:val="000000"/>
          <w:sz w:val="24"/>
          <w:szCs w:val="28"/>
          <w:highlight w:val="none"/>
          <w:lang w:val="en-US" w:eastAsia="zh-CN"/>
        </w:rPr>
        <w:t>尽可能完整，原则上要求供应商</w:t>
      </w:r>
      <w:r>
        <w:rPr>
          <w:rFonts w:hint="eastAsia" w:ascii="宋体" w:hAnsi="宋体" w:eastAsia="宋体" w:cs="宋体"/>
          <w:b/>
          <w:bCs/>
          <w:color w:val="000000"/>
          <w:sz w:val="24"/>
          <w:szCs w:val="28"/>
          <w:highlight w:val="yellow"/>
          <w:lang w:val="en-US" w:eastAsia="zh-CN"/>
        </w:rPr>
        <w:t>必须填写近三年财务指标情况</w:t>
      </w:r>
      <w:r>
        <w:rPr>
          <w:rFonts w:hint="eastAsia" w:ascii="宋体" w:hAnsi="宋体" w:eastAsia="宋体" w:cs="宋体"/>
          <w:b/>
          <w:bCs/>
          <w:color w:val="000000"/>
          <w:sz w:val="24"/>
          <w:szCs w:val="28"/>
          <w:highlight w:val="none"/>
          <w:lang w:val="en-US" w:eastAsia="zh-CN"/>
        </w:rPr>
        <w:t>；</w:t>
      </w:r>
    </w:p>
    <w:p w14:paraId="5E34F900">
      <w:pPr>
        <w:keepNext w:val="0"/>
        <w:keepLines w:val="0"/>
        <w:pageBreakBefore w:val="0"/>
        <w:widowControl w:val="0"/>
        <w:numPr>
          <w:ilvl w:val="0"/>
          <w:numId w:val="12"/>
        </w:numPr>
        <w:kinsoku/>
        <w:wordWrap/>
        <w:overflowPunct/>
        <w:topLinePunct w:val="0"/>
        <w:autoSpaceDE/>
        <w:autoSpaceDN/>
        <w:bidi w:val="0"/>
        <w:adjustRightInd/>
        <w:snapToGrid/>
        <w:spacing w:line="440" w:lineRule="exact"/>
        <w:ind w:left="0" w:leftChars="0" w:firstLine="0" w:firstLineChars="0"/>
        <w:textAlignment w:val="auto"/>
      </w:pPr>
      <w:r>
        <w:rPr>
          <w:rFonts w:hint="eastAsia" w:ascii="宋体" w:hAnsi="宋体" w:eastAsia="宋体" w:cs="宋体"/>
          <w:b/>
          <w:bCs/>
          <w:color w:val="000000"/>
          <w:sz w:val="24"/>
          <w:szCs w:val="28"/>
          <w:highlight w:val="none"/>
        </w:rPr>
        <w:t>管理单位选择【直管单位】、意向配套单位选择【直管单位】</w:t>
      </w:r>
      <w:r>
        <w:rPr>
          <w:rFonts w:hint="eastAsia" w:ascii="宋体" w:hAnsi="宋体" w:eastAsia="宋体" w:cs="宋体"/>
          <w:b/>
          <w:bCs/>
          <w:color w:val="000000"/>
          <w:sz w:val="24"/>
          <w:szCs w:val="28"/>
          <w:highlight w:val="none"/>
          <w:lang w:eastAsia="zh-CN"/>
        </w:rPr>
        <w:t>，</w:t>
      </w:r>
      <w:r>
        <w:rPr>
          <w:rFonts w:hint="eastAsia" w:ascii="宋体" w:hAnsi="宋体" w:eastAsia="宋体" w:cs="宋体"/>
          <w:b/>
          <w:bCs/>
          <w:color w:val="000000"/>
          <w:sz w:val="24"/>
          <w:szCs w:val="28"/>
          <w:highlight w:val="none"/>
        </w:rPr>
        <w:t>配套能力“供货类别”填“</w:t>
      </w:r>
      <w:r>
        <w:rPr>
          <w:rFonts w:hint="eastAsia" w:ascii="宋体" w:hAnsi="宋体" w:eastAsia="宋体" w:cs="宋体"/>
          <w:b/>
          <w:bCs/>
          <w:color w:val="000000"/>
          <w:sz w:val="24"/>
          <w:szCs w:val="28"/>
          <w:highlight w:val="yellow"/>
        </w:rPr>
        <w:t>直管单位非生产招标 / 服务 / 仓储配送</w:t>
      </w:r>
      <w:r>
        <w:rPr>
          <w:rFonts w:hint="eastAsia" w:ascii="宋体" w:hAnsi="宋体" w:eastAsia="宋体" w:cs="宋体"/>
          <w:b/>
          <w:bCs/>
          <w:color w:val="000000"/>
          <w:sz w:val="24"/>
          <w:szCs w:val="28"/>
          <w:highlight w:val="none"/>
        </w:rPr>
        <w:t>”，业务主管部门选择“</w:t>
      </w:r>
      <w:r>
        <w:rPr>
          <w:rFonts w:hint="eastAsia" w:ascii="宋体" w:hAnsi="宋体" w:eastAsia="宋体" w:cs="宋体"/>
          <w:b/>
          <w:bCs/>
          <w:color w:val="000000"/>
          <w:sz w:val="24"/>
          <w:szCs w:val="28"/>
          <w:highlight w:val="yellow"/>
        </w:rPr>
        <w:t>智能物流中心</w:t>
      </w:r>
      <w:r>
        <w:rPr>
          <w:rFonts w:hint="eastAsia" w:ascii="宋体" w:hAnsi="宋体" w:eastAsia="宋体" w:cs="宋体"/>
          <w:b/>
          <w:bCs/>
          <w:color w:val="000000"/>
          <w:sz w:val="24"/>
          <w:szCs w:val="28"/>
          <w:highlight w:val="none"/>
        </w:rPr>
        <w:t>”。</w:t>
      </w:r>
    </w:p>
    <w:p w14:paraId="1D2D9672">
      <w:pPr>
        <w:keepNext w:val="0"/>
        <w:keepLines w:val="0"/>
        <w:pageBreakBefore w:val="0"/>
        <w:widowControl w:val="0"/>
        <w:numPr>
          <w:ilvl w:val="0"/>
          <w:numId w:val="13"/>
        </w:numPr>
        <w:kinsoku/>
        <w:wordWrap/>
        <w:overflowPunct/>
        <w:topLinePunct w:val="0"/>
        <w:autoSpaceDE/>
        <w:autoSpaceDN/>
        <w:bidi w:val="0"/>
        <w:adjustRightInd w:val="0"/>
        <w:snapToGrid w:val="0"/>
        <w:spacing w:before="313" w:beforeLines="100" w:after="157" w:afterLines="50" w:line="440" w:lineRule="exact"/>
        <w:jc w:val="left"/>
        <w:textAlignment w:val="auto"/>
        <w:outlineLvl w:val="3"/>
        <w:rPr>
          <w:rFonts w:hint="default"/>
          <w:sz w:val="24"/>
          <w:szCs w:val="24"/>
          <w:lang w:val="en-US" w:eastAsia="zh-CN"/>
        </w:rPr>
      </w:pPr>
      <w:r>
        <w:rPr>
          <w:rFonts w:hint="eastAsia"/>
          <w:b/>
          <w:bCs/>
          <w:sz w:val="24"/>
          <w:szCs w:val="24"/>
          <w:lang w:val="en-US" w:eastAsia="zh-CN"/>
        </w:rPr>
        <w:t>维护近三年财务指标</w:t>
      </w:r>
    </w:p>
    <w:p w14:paraId="5FE132AC">
      <w:pPr>
        <w:numPr>
          <w:ilvl w:val="0"/>
          <w:numId w:val="0"/>
        </w:numPr>
        <w:spacing w:line="360" w:lineRule="auto"/>
        <w:rPr>
          <w:rFonts w:ascii="宋体" w:hAnsi="宋体" w:eastAsia="宋体" w:cs="宋体"/>
          <w:color w:val="000000"/>
          <w:sz w:val="24"/>
          <w:szCs w:val="28"/>
        </w:rPr>
      </w:pPr>
      <w:r>
        <w:rPr>
          <w:rFonts w:hint="eastAsia" w:ascii="宋体" w:hAnsi="宋体" w:cs="宋体"/>
          <w:color w:val="000000"/>
          <w:sz w:val="24"/>
          <w:szCs w:val="28"/>
          <w:lang w:val="en-US" w:eastAsia="zh-CN"/>
        </w:rPr>
        <w:t>1.</w:t>
      </w:r>
      <w:r>
        <w:rPr>
          <w:rFonts w:hint="eastAsia" w:ascii="宋体" w:hAnsi="宋体" w:eastAsia="宋体" w:cs="宋体"/>
          <w:color w:val="000000"/>
          <w:sz w:val="24"/>
          <w:szCs w:val="28"/>
          <w:lang w:val="en-US" w:eastAsia="zh-CN"/>
        </w:rPr>
        <w:t>供应商使用业务账号登录系统后，通过菜单路径：供应商中心→供应商变更→供应商财务数据变更管理，点击【发起变更】按钮，进入供应商财务数据变更填写界面。</w:t>
      </w:r>
    </w:p>
    <w:p w14:paraId="53AC016A">
      <w:pPr>
        <w:outlineLvl w:val="9"/>
        <w:rPr>
          <w:rFonts w:hint="default"/>
          <w:lang w:val="en-US" w:eastAsia="zh-CN"/>
        </w:rPr>
        <w:sectPr>
          <w:headerReference r:id="rId11" w:type="first"/>
          <w:footerReference r:id="rId13" w:type="first"/>
          <w:headerReference r:id="rId10" w:type="default"/>
          <w:footerReference r:id="rId12" w:type="default"/>
          <w:pgSz w:w="11906" w:h="16838"/>
          <w:pgMar w:top="1588" w:right="1418" w:bottom="1134" w:left="1418" w:header="851" w:footer="992" w:gutter="0"/>
          <w:cols w:space="720" w:num="1"/>
          <w:titlePg/>
          <w:docGrid w:type="lines" w:linePitch="312" w:charSpace="0"/>
        </w:sectPr>
      </w:pPr>
      <w:r>
        <w:rPr>
          <w:rFonts w:hint="default"/>
          <w:lang w:val="en-US" w:eastAsia="zh-CN"/>
        </w:rPr>
        <w:br w:type="textWrapping"/>
      </w:r>
      <w:r>
        <w:drawing>
          <wp:inline distT="0" distB="0" distL="114300" distR="114300">
            <wp:extent cx="5486400" cy="2661285"/>
            <wp:effectExtent l="0" t="0" r="0" b="571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26"/>
                    <a:stretch>
                      <a:fillRect/>
                    </a:stretch>
                  </pic:blipFill>
                  <pic:spPr>
                    <a:xfrm>
                      <a:off x="0" y="0"/>
                      <a:ext cx="5486400" cy="2661285"/>
                    </a:xfrm>
                    <a:prstGeom prst="rect">
                      <a:avLst/>
                    </a:prstGeom>
                    <a:noFill/>
                    <a:ln>
                      <a:noFill/>
                    </a:ln>
                  </pic:spPr>
                </pic:pic>
              </a:graphicData>
            </a:graphic>
          </wp:inline>
        </w:drawing>
      </w:r>
    </w:p>
    <w:p w14:paraId="1D419B5D">
      <w:pPr>
        <w:pStyle w:val="18"/>
        <w:numPr>
          <w:ilvl w:val="0"/>
          <w:numId w:val="0"/>
        </w:numPr>
        <w:ind w:leftChars="0"/>
        <w:outlineLvl w:val="2"/>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附件二 SRM系统供应商用户手册</w:t>
      </w:r>
    </w:p>
    <w:p w14:paraId="4014C854">
      <w:pPr>
        <w:spacing w:line="360" w:lineRule="auto"/>
        <w:rPr>
          <w:rFonts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16"/>
          <w:rFonts w:hint="eastAsia" w:ascii="宋体" w:hAnsi="宋体" w:eastAsia="宋体" w:cs="宋体"/>
          <w:sz w:val="24"/>
          <w:szCs w:val="24"/>
        </w:rPr>
        <w:t>http</w:t>
      </w:r>
      <w:r>
        <w:rPr>
          <w:rStyle w:val="16"/>
          <w:rFonts w:hint="eastAsia" w:ascii="宋体" w:hAnsi="宋体" w:eastAsia="宋体" w:cs="宋体"/>
          <w:sz w:val="24"/>
          <w:szCs w:val="24"/>
          <w:lang w:val="en-US" w:eastAsia="zh-CN"/>
        </w:rPr>
        <w:t>s</w:t>
      </w:r>
      <w:r>
        <w:rPr>
          <w:rStyle w:val="16"/>
          <w:rFonts w:hint="eastAsia" w:ascii="宋体" w:hAnsi="宋体" w:eastAsia="宋体" w:cs="宋体"/>
          <w:sz w:val="24"/>
          <w:szCs w:val="24"/>
        </w:rPr>
        <w:t>://ecaitong.sinotruk.com:8012/</w:t>
      </w:r>
      <w:r>
        <w:rPr>
          <w:rStyle w:val="16"/>
          <w:rFonts w:hint="eastAsia" w:ascii="宋体" w:hAnsi="宋体" w:eastAsia="宋体" w:cs="宋体"/>
          <w:sz w:val="24"/>
          <w:szCs w:val="24"/>
        </w:rPr>
        <w:fldChar w:fldCharType="end"/>
      </w:r>
    </w:p>
    <w:p w14:paraId="0224AABE">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160FE9C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39D800F0">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192809BF">
      <w:r>
        <w:drawing>
          <wp:inline distT="0" distB="0" distL="0" distR="0">
            <wp:extent cx="5760085" cy="2269490"/>
            <wp:effectExtent l="0" t="0" r="5715" b="3810"/>
            <wp:docPr id="15" name="picture" descr="descript"/>
            <wp:cNvGraphicFramePr/>
            <a:graphic xmlns:a="http://schemas.openxmlformats.org/drawingml/2006/main">
              <a:graphicData uri="http://schemas.openxmlformats.org/drawingml/2006/picture">
                <pic:pic xmlns:pic="http://schemas.openxmlformats.org/drawingml/2006/picture">
                  <pic:nvPicPr>
                    <pic:cNvPr id="15" name="picture" descr="descript"/>
                    <pic:cNvPicPr/>
                  </pic:nvPicPr>
                  <pic:blipFill>
                    <a:blip r:embed="rId27" cstate="print"/>
                    <a:srcRect/>
                    <a:stretch>
                      <a:fillRect/>
                    </a:stretch>
                  </pic:blipFill>
                  <pic:spPr>
                    <a:xfrm>
                      <a:off x="0" y="0"/>
                      <a:ext cx="5760085" cy="2269490"/>
                    </a:xfrm>
                    <a:prstGeom prst="rect">
                      <a:avLst/>
                    </a:prstGeom>
                  </pic:spPr>
                </pic:pic>
              </a:graphicData>
            </a:graphic>
          </wp:inline>
        </w:drawing>
      </w:r>
    </w:p>
    <w:p w14:paraId="7F5F97E1">
      <w:pPr>
        <w:pStyle w:val="6"/>
      </w:pPr>
    </w:p>
    <w:p w14:paraId="44F04E35">
      <w:pPr>
        <w:pStyle w:val="6"/>
      </w:pPr>
      <w:r>
        <w:rPr>
          <w:rFonts w:hint="eastAsia" w:cs="Times New Roman"/>
          <w:b/>
          <w:bCs/>
          <w:highlight w:val="none"/>
          <w:lang w:val="en-US" w:eastAsia="zh-CN"/>
        </w:rPr>
        <w:t>2、应标页面否为代理商请如实选择，若为代理商应标，请在应标后联系商务联系人</w:t>
      </w:r>
    </w:p>
    <w:p w14:paraId="253C2BE3"/>
    <w:p w14:paraId="4049123D">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7A173815">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2833D22F">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5715" b="8255"/>
            <wp:docPr id="1033" name="picture" descr="descript"/>
            <wp:cNvGraphicFramePr/>
            <a:graphic xmlns:a="http://schemas.openxmlformats.org/drawingml/2006/main">
              <a:graphicData uri="http://schemas.openxmlformats.org/drawingml/2006/picture">
                <pic:pic xmlns:pic="http://schemas.openxmlformats.org/drawingml/2006/picture">
                  <pic:nvPicPr>
                    <pic:cNvPr id="1033" name="picture" descr="descript"/>
                    <pic:cNvPicPr/>
                  </pic:nvPicPr>
                  <pic:blipFill>
                    <a:blip r:embed="rId28" cstate="print"/>
                    <a:srcRect/>
                    <a:stretch>
                      <a:fillRect/>
                    </a:stretch>
                  </pic:blipFill>
                  <pic:spPr>
                    <a:xfrm>
                      <a:off x="0" y="0"/>
                      <a:ext cx="5760085" cy="2125345"/>
                    </a:xfrm>
                    <a:prstGeom prst="rect">
                      <a:avLst/>
                    </a:prstGeom>
                  </pic:spPr>
                </pic:pic>
              </a:graphicData>
            </a:graphic>
          </wp:inline>
        </w:drawing>
      </w:r>
    </w:p>
    <w:p w14:paraId="6B3098E6">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4AE5A03E">
      <w:pPr>
        <w:pStyle w:val="6"/>
        <w:rPr>
          <w:rFonts w:hint="eastAsia" w:eastAsia="宋体"/>
          <w:lang w:eastAsia="zh-CN"/>
        </w:rPr>
      </w:pPr>
      <w:r>
        <w:rPr>
          <w:rFonts w:hint="eastAsia" w:hAnsi="宋体" w:eastAsia="宋体" w:cs="宋体"/>
          <w:b/>
          <w:bCs/>
          <w:color w:val="000000"/>
          <w:sz w:val="24"/>
          <w:szCs w:val="28"/>
          <w:highlight w:val="yellow"/>
        </w:rPr>
        <w:t>注意：系统内的投标报价单位为“万元”，如开标现场发现填错报价，即直接淘汰</w:t>
      </w:r>
      <w:r>
        <w:rPr>
          <w:rFonts w:hint="eastAsia" w:hAnsi="宋体" w:eastAsia="宋体" w:cs="宋体"/>
          <w:b/>
          <w:bCs/>
          <w:color w:val="000000"/>
          <w:sz w:val="24"/>
          <w:szCs w:val="28"/>
          <w:highlight w:val="yellow"/>
          <w:lang w:eastAsia="zh-CN"/>
        </w:rPr>
        <w:t>。</w:t>
      </w:r>
    </w:p>
    <w:p w14:paraId="2D8BBF64">
      <w:pPr>
        <w:ind w:left="425" w:hanging="425"/>
        <w:outlineLvl w:val="9"/>
        <w:rPr>
          <w:rFonts w:eastAsia="Arial" w:cs="Arial"/>
          <w:color w:val="000000"/>
        </w:rPr>
      </w:pPr>
      <w:r>
        <w:rPr>
          <w:rFonts w:eastAsia="Arial" w:cs="Arial"/>
          <w:color w:val="000000"/>
        </w:rPr>
        <w:drawing>
          <wp:inline distT="0" distB="0" distL="0" distR="0">
            <wp:extent cx="5490210" cy="2668905"/>
            <wp:effectExtent l="0" t="0" r="8890" b="10795"/>
            <wp:docPr id="1034" name="picture" descr="descript"/>
            <wp:cNvGraphicFramePr/>
            <a:graphic xmlns:a="http://schemas.openxmlformats.org/drawingml/2006/main">
              <a:graphicData uri="http://schemas.openxmlformats.org/drawingml/2006/picture">
                <pic:pic xmlns:pic="http://schemas.openxmlformats.org/drawingml/2006/picture">
                  <pic:nvPicPr>
                    <pic:cNvPr id="1034" name="picture" descr="descript"/>
                    <pic:cNvPicPr/>
                  </pic:nvPicPr>
                  <pic:blipFill>
                    <a:blip r:embed="rId29" cstate="print"/>
                    <a:srcRect/>
                    <a:stretch>
                      <a:fillRect/>
                    </a:stretch>
                  </pic:blipFill>
                  <pic:spPr>
                    <a:xfrm>
                      <a:off x="0" y="0"/>
                      <a:ext cx="5490210" cy="2668905"/>
                    </a:xfrm>
                    <a:prstGeom prst="rect">
                      <a:avLst/>
                    </a:prstGeom>
                  </pic:spPr>
                </pic:pic>
              </a:graphicData>
            </a:graphic>
          </wp:inline>
        </w:drawing>
      </w:r>
    </w:p>
    <w:p w14:paraId="5FC6BCBB">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7260FDDB">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684113DA">
      <w:pPr>
        <w:spacing w:line="360" w:lineRule="auto"/>
        <w:rPr>
          <w:rFonts w:ascii="宋体" w:hAnsi="宋体" w:eastAsia="宋体" w:cs="宋体"/>
          <w:sz w:val="24"/>
          <w:szCs w:val="24"/>
        </w:rPr>
      </w:pPr>
      <w:r>
        <w:rPr>
          <w:rFonts w:ascii="宋体" w:hAnsi="宋体" w:eastAsia="宋体" w:cs="宋体"/>
          <w:color w:val="000000"/>
          <w:sz w:val="24"/>
          <w:szCs w:val="24"/>
        </w:rPr>
        <w:t>点击编辑按钮进入系统，上传技术标澄清函。</w:t>
      </w:r>
    </w:p>
    <w:p w14:paraId="5B91C314">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1995"/>
            <wp:effectExtent l="0" t="0" r="8890" b="1905"/>
            <wp:docPr id="1035" name="picture" descr="descript"/>
            <wp:cNvGraphicFramePr/>
            <a:graphic xmlns:a="http://schemas.openxmlformats.org/drawingml/2006/main">
              <a:graphicData uri="http://schemas.openxmlformats.org/drawingml/2006/picture">
                <pic:pic xmlns:pic="http://schemas.openxmlformats.org/drawingml/2006/picture">
                  <pic:nvPicPr>
                    <pic:cNvPr id="1035" name="picture" descr="descript"/>
                    <pic:cNvPicPr/>
                  </pic:nvPicPr>
                  <pic:blipFill>
                    <a:blip r:embed="rId30" cstate="print"/>
                    <a:srcRect/>
                    <a:stretch>
                      <a:fillRect/>
                    </a:stretch>
                  </pic:blipFill>
                  <pic:spPr>
                    <a:xfrm>
                      <a:off x="0" y="0"/>
                      <a:ext cx="5490210" cy="1992629"/>
                    </a:xfrm>
                    <a:prstGeom prst="rect">
                      <a:avLst/>
                    </a:prstGeom>
                  </pic:spPr>
                </pic:pic>
              </a:graphicData>
            </a:graphic>
          </wp:inline>
        </w:drawing>
      </w:r>
    </w:p>
    <w:p w14:paraId="626AAE05">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1B0F8D9">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1028E20B">
      <w:pPr>
        <w:spacing w:line="360" w:lineRule="auto"/>
        <w:rPr>
          <w:rFonts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0944583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6C35D624">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124B52E9">
      <w:pPr>
        <w:spacing w:line="360" w:lineRule="auto"/>
        <w:rPr>
          <w:rFonts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01529799">
      <w:pPr>
        <w:ind w:left="425" w:hanging="425"/>
        <w:outlineLvl w:val="9"/>
        <w:rPr>
          <w:rFonts w:eastAsia="Arial" w:cs="Arial"/>
          <w:color w:val="000000"/>
        </w:rPr>
      </w:pPr>
      <w:r>
        <w:rPr>
          <w:rFonts w:eastAsia="Arial" w:cs="Arial"/>
          <w:color w:val="000000"/>
        </w:rPr>
        <w:drawing>
          <wp:inline distT="0" distB="0" distL="0" distR="0">
            <wp:extent cx="5490210" cy="2544445"/>
            <wp:effectExtent l="0" t="0" r="8890" b="8255"/>
            <wp:docPr id="1036" name="picture" descr="descript"/>
            <wp:cNvGraphicFramePr/>
            <a:graphic xmlns:a="http://schemas.openxmlformats.org/drawingml/2006/main">
              <a:graphicData uri="http://schemas.openxmlformats.org/drawingml/2006/picture">
                <pic:pic xmlns:pic="http://schemas.openxmlformats.org/drawingml/2006/picture">
                  <pic:nvPicPr>
                    <pic:cNvPr id="1036" name="picture" descr="descript"/>
                    <pic:cNvPicPr/>
                  </pic:nvPicPr>
                  <pic:blipFill>
                    <a:blip r:embed="rId31" cstate="print"/>
                    <a:srcRect/>
                    <a:stretch>
                      <a:fillRect/>
                    </a:stretch>
                  </pic:blipFill>
                  <pic:spPr>
                    <a:xfrm>
                      <a:off x="0" y="0"/>
                      <a:ext cx="5490210" cy="2544445"/>
                    </a:xfrm>
                    <a:prstGeom prst="rect">
                      <a:avLst/>
                    </a:prstGeom>
                  </pic:spPr>
                </pic:pic>
              </a:graphicData>
            </a:graphic>
          </wp:inline>
        </w:drawing>
      </w:r>
    </w:p>
    <w:p w14:paraId="352E2EEF">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0845FFE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6902E253">
      <w:pPr>
        <w:spacing w:line="360" w:lineRule="auto"/>
        <w:rPr>
          <w:rFonts w:ascii="宋体" w:hAnsi="宋体" w:eastAsia="宋体" w:cs="宋体"/>
          <w:sz w:val="24"/>
          <w:szCs w:val="24"/>
        </w:rPr>
      </w:pPr>
      <w:r>
        <w:rPr>
          <w:rFonts w:ascii="宋体" w:hAnsi="宋体" w:eastAsia="宋体" w:cs="宋体"/>
          <w:color w:val="000000"/>
          <w:sz w:val="24"/>
          <w:szCs w:val="24"/>
        </w:rPr>
        <w:t>点击查看进入查看中标项目详情</w:t>
      </w:r>
    </w:p>
    <w:p w14:paraId="3DF53F64">
      <w:r>
        <w:drawing>
          <wp:inline distT="0" distB="0" distL="0" distR="0">
            <wp:extent cx="5760085" cy="1956435"/>
            <wp:effectExtent l="0" t="0" r="5715" b="12065"/>
            <wp:docPr id="1037" name="picture" descr="descript"/>
            <wp:cNvGraphicFramePr/>
            <a:graphic xmlns:a="http://schemas.openxmlformats.org/drawingml/2006/main">
              <a:graphicData uri="http://schemas.openxmlformats.org/drawingml/2006/picture">
                <pic:pic xmlns:pic="http://schemas.openxmlformats.org/drawingml/2006/picture">
                  <pic:nvPicPr>
                    <pic:cNvPr id="1037" name="picture" descr="descript"/>
                    <pic:cNvPicPr/>
                  </pic:nvPicPr>
                  <pic:blipFill>
                    <a:blip r:embed="rId32" cstate="print"/>
                    <a:srcRect/>
                    <a:stretch>
                      <a:fillRect/>
                    </a:stretch>
                  </pic:blipFill>
                  <pic:spPr>
                    <a:xfrm>
                      <a:off x="0" y="0"/>
                      <a:ext cx="5760085" cy="1956435"/>
                    </a:xfrm>
                    <a:prstGeom prst="rect">
                      <a:avLst/>
                    </a:prstGeom>
                  </pic:spPr>
                </pic:pic>
              </a:graphicData>
            </a:graphic>
          </wp:inline>
        </w:drawing>
      </w:r>
    </w:p>
    <w:p w14:paraId="3FF7DF5D">
      <w:pPr>
        <w:pStyle w:val="6"/>
        <w:rPr>
          <w:rFonts w:hAnsi="宋体" w:eastAsia="宋体" w:cs="Times New Roman"/>
          <w:b/>
          <w:color w:val="000000"/>
          <w:sz w:val="24"/>
          <w:szCs w:val="24"/>
        </w:rPr>
      </w:pPr>
    </w:p>
    <w:p w14:paraId="3CEE3B78">
      <w:pPr>
        <w:pStyle w:val="6"/>
        <w:rPr>
          <w:rFonts w:hAnsi="宋体" w:eastAsia="宋体" w:cs="Times New Roman"/>
          <w:b/>
          <w:color w:val="000000"/>
          <w:sz w:val="24"/>
          <w:szCs w:val="24"/>
        </w:rPr>
      </w:pPr>
    </w:p>
    <w:p w14:paraId="67DF5B41">
      <w:pPr>
        <w:rPr>
          <w:rFonts w:hint="default" w:ascii="宋体" w:hAnsi="宋体" w:eastAsia="宋体" w:cs="宋体"/>
          <w:sz w:val="24"/>
          <w:szCs w:val="24"/>
          <w:lang w:val="en-US"/>
        </w:rPr>
      </w:pPr>
    </w:p>
    <w:p w14:paraId="767790E8">
      <w:pPr>
        <w:pStyle w:val="19"/>
        <w:rPr>
          <w:rFonts w:hint="default" w:hAnsi="宋体"/>
          <w:sz w:val="24"/>
          <w:lang w:val="en-US"/>
        </w:rPr>
      </w:pPr>
    </w:p>
    <w:p w14:paraId="7AF3479E">
      <w:pPr>
        <w:pStyle w:val="19"/>
        <w:rPr>
          <w:rFonts w:hint="default" w:hAnsi="宋体"/>
          <w:sz w:val="24"/>
          <w:lang w:val="en-US"/>
        </w:rPr>
      </w:pPr>
    </w:p>
    <w:p w14:paraId="690F0775">
      <w:pPr>
        <w:pStyle w:val="2"/>
      </w:pPr>
    </w:p>
    <w:sectPr>
      <w:headerReference r:id="rId15" w:type="first"/>
      <w:footerReference r:id="rId17" w:type="first"/>
      <w:headerReference r:id="rId14" w:type="default"/>
      <w:footerReference r:id="rId16" w:type="default"/>
      <w:pgSz w:w="11906" w:h="16838"/>
      <w:pgMar w:top="1588" w:right="1418" w:bottom="1134"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KSOF0B7949D1">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3344E">
    <w:pPr>
      <w:pStyle w:val="7"/>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88276">
    <w:pPr>
      <w:pStyle w:val="7"/>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4897E2F">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14:paraId="74897E2F">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19010">
    <w:pPr>
      <w:pStyle w:val="7"/>
      <w:jc w:val="cente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F157D29">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14:paraId="3F157D29">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ACFC4">
    <w:pPr>
      <w:pStyle w:val="7"/>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4" name="文本框 10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842BFF5">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d0knKMwBAACUAwAADgAAAAAAAAABACAAAAAfAQAAZHJzL2Uy&#10;b0RvYy54bWxQSwUGAAAAAAYABgBZAQAAXQUAAAAA&#10;">
              <v:fill on="f" focussize="0,0"/>
              <v:stroke on="f"/>
              <v:imagedata o:title=""/>
              <o:lock v:ext="edit" aspectratio="f"/>
              <v:textbox inset="0mm,0mm,0mm,0mm" style="mso-fit-shape-to-text:t;">
                <w:txbxContent>
                  <w:p w14:paraId="1842BFF5">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0F72C">
    <w:pPr>
      <w:pStyle w:val="7"/>
      <w:jc w:val="cente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5" name="文本框 10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14ABD5D">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lHSZgMwBAACUAwAADgAAAAAAAAABACAAAAAfAQAAZHJzL2Uy&#10;b0RvYy54bWxQSwUGAAAAAAYABgBZAQAAXQUAAAAA&#10;">
              <v:fill on="f" focussize="0,0"/>
              <v:stroke on="f"/>
              <v:imagedata o:title=""/>
              <o:lock v:ext="edit" aspectratio="f"/>
              <v:textbox inset="0mm,0mm,0mm,0mm" style="mso-fit-shape-to-text:t;">
                <w:txbxContent>
                  <w:p w14:paraId="114ABD5D">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290C">
    <w:pPr>
      <w:spacing w:line="194" w:lineRule="auto"/>
      <w:rPr>
        <w:rFonts w:ascii="等线" w:hAnsi="等线" w:eastAsia="等线" w:cs="等线"/>
        <w:sz w:val="17"/>
        <w:szCs w:val="17"/>
      </w:rPr>
    </w:pPr>
    <w:r>
      <w:rPr>
        <w:sz w:val="17"/>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86C9511">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486C9511">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5DE4B">
    <w:pPr>
      <w:pStyle w:val="7"/>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1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5F8E294">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7"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BlMXkDKAQAAkgMAAA4AAAAAAAAAAQAgAAAAHwEAAGRycy9lMm9E&#10;b2MueG1sUEsFBgAAAAAGAAYAWQEAAFsFAAAAAA==&#10;">
              <v:fill on="f" focussize="0,0"/>
              <v:stroke on="f"/>
              <v:imagedata o:title=""/>
              <o:lock v:ext="edit" aspectratio="f"/>
              <v:textbox inset="0mm,0mm,0mm,0mm" style="mso-fit-shape-to-text:t;">
                <w:txbxContent>
                  <w:p w14:paraId="25F8E294">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77E4C">
    <w:pPr>
      <w:spacing w:line="194" w:lineRule="auto"/>
      <w:rPr>
        <w:rFonts w:ascii="等线" w:hAnsi="等线" w:eastAsia="等线" w:cs="等线"/>
        <w:sz w:val="17"/>
        <w:szCs w:val="17"/>
      </w:rPr>
    </w:pPr>
    <w:r>
      <w:rPr>
        <w:sz w:val="17"/>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57ECC41">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OjFcwckBAACSAwAADgAAAAAAAAABACAAAAAfAQAAZHJzL2Uyb0Rv&#10;Yy54bWxQSwUGAAAAAAYABgBZAQAAWgUAAAAA&#10;">
              <v:fill on="f" focussize="0,0"/>
              <v:stroke on="f"/>
              <v:imagedata o:title=""/>
              <o:lock v:ext="edit" aspectratio="f"/>
              <v:textbox inset="0mm,0mm,0mm,0mm" style="mso-fit-shape-to-text:t;">
                <w:txbxContent>
                  <w:p w14:paraId="257ECC41">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E43D2">
    <w:pPr>
      <w:pStyle w:val="7"/>
      <w:jc w:val="cente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1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FF8588C">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7"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2QziackBAACSAwAADgAAAAAAAAABACAAAAAfAQAAZHJzL2Uyb0Rv&#10;Yy54bWxQSwUGAAAAAAYABgBZAQAAWgUAAAAA&#10;">
              <v:fill on="f" focussize="0,0"/>
              <v:stroke on="f"/>
              <v:imagedata o:title=""/>
              <o:lock v:ext="edit" aspectratio="f"/>
              <v:textbox inset="0mm,0mm,0mm,0mm" style="mso-fit-shape-to-text:t;">
                <w:txbxContent>
                  <w:p w14:paraId="0FF8588C">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8A4CE">
    <w:pPr>
      <w:pStyle w:val="8"/>
      <w:pBdr>
        <w:bottom w:val="none" w:color="auto" w:sz="0" w:space="1"/>
      </w:pBdr>
      <w:jc w:val="left"/>
    </w:pPr>
    <w:r>
      <w:drawing>
        <wp:inline distT="0" distB="0" distL="114300" distR="114300">
          <wp:extent cx="1257300" cy="398145"/>
          <wp:effectExtent l="0" t="0" r="0" b="190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
                  <a:stretch>
                    <a:fillRect/>
                  </a:stretch>
                </pic:blipFill>
                <pic:spPr>
                  <a:xfrm>
                    <a:off x="0" y="0"/>
                    <a:ext cx="1257300" cy="398145"/>
                  </a:xfrm>
                  <a:prstGeom prst="rect">
                    <a:avLst/>
                  </a:prstGeom>
                  <a:solidFill>
                    <a:srgbClr val="FFCC99"/>
                  </a:solid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C7EFD">
    <w:pPr>
      <w:pStyle w:val="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2FD6">
    <w:pPr>
      <w:pStyle w:val="8"/>
    </w:pPr>
  </w:p>
  <w:p w14:paraId="75DC59E1">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9094">
    <w:pPr>
      <w:pStyle w:val="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817CE">
    <w:pPr>
      <w:pStyle w:val="8"/>
    </w:pPr>
  </w:p>
  <w:p w14:paraId="0A8AD883">
    <w:pPr>
      <w:pStyle w:val="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A8A4C">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19E2BD"/>
    <w:multiLevelType w:val="singleLevel"/>
    <w:tmpl w:val="B019E2BD"/>
    <w:lvl w:ilvl="0" w:tentative="0">
      <w:start w:val="3"/>
      <w:numFmt w:val="chineseCounting"/>
      <w:suff w:val="space"/>
      <w:lvlText w:val="第%1章"/>
      <w:lvlJc w:val="left"/>
      <w:rPr>
        <w:rFonts w:hint="eastAsia"/>
      </w:rPr>
    </w:lvl>
  </w:abstractNum>
  <w:abstractNum w:abstractNumId="1">
    <w:nsid w:val="B12C4597"/>
    <w:multiLevelType w:val="singleLevel"/>
    <w:tmpl w:val="B12C4597"/>
    <w:lvl w:ilvl="0" w:tentative="0">
      <w:start w:val="1"/>
      <w:numFmt w:val="decimal"/>
      <w:lvlText w:val="%1."/>
      <w:lvlJc w:val="left"/>
      <w:pPr>
        <w:ind w:left="425" w:hanging="425"/>
      </w:pPr>
      <w:rPr>
        <w:rFonts w:hint="default"/>
        <w:highlight w:val="none"/>
      </w:rPr>
    </w:lvl>
  </w:abstractNum>
  <w:abstractNum w:abstractNumId="2">
    <w:nsid w:val="E9DDACA4"/>
    <w:multiLevelType w:val="singleLevel"/>
    <w:tmpl w:val="E9DDACA4"/>
    <w:lvl w:ilvl="0" w:tentative="0">
      <w:start w:val="3"/>
      <w:numFmt w:val="decimal"/>
      <w:lvlText w:val="%1."/>
      <w:lvlJc w:val="left"/>
      <w:pPr>
        <w:tabs>
          <w:tab w:val="left" w:pos="312"/>
        </w:tabs>
      </w:pPr>
    </w:lvl>
  </w:abstractNum>
  <w:abstractNum w:abstractNumId="3">
    <w:nsid w:val="F54BF83F"/>
    <w:multiLevelType w:val="singleLevel"/>
    <w:tmpl w:val="F54BF83F"/>
    <w:lvl w:ilvl="0" w:tentative="0">
      <w:start w:val="1"/>
      <w:numFmt w:val="decimal"/>
      <w:suff w:val="space"/>
      <w:lvlText w:val="%1."/>
      <w:lvlJc w:val="left"/>
      <w:pPr>
        <w:ind w:left="0" w:firstLine="0"/>
      </w:pPr>
    </w:lvl>
  </w:abstractNum>
  <w:abstractNum w:abstractNumId="4">
    <w:nsid w:val="00000003"/>
    <w:multiLevelType w:val="singleLevel"/>
    <w:tmpl w:val="00000003"/>
    <w:lvl w:ilvl="0" w:tentative="0">
      <w:start w:val="5"/>
      <w:numFmt w:val="decimal"/>
      <w:lvlText w:val="%1."/>
      <w:lvlJc w:val="left"/>
      <w:pPr>
        <w:tabs>
          <w:tab w:val="left" w:pos="312"/>
        </w:tabs>
      </w:pPr>
    </w:lvl>
  </w:abstractNum>
  <w:abstractNum w:abstractNumId="5">
    <w:nsid w:val="23C75392"/>
    <w:multiLevelType w:val="singleLevel"/>
    <w:tmpl w:val="23C75392"/>
    <w:lvl w:ilvl="0" w:tentative="0">
      <w:start w:val="1"/>
      <w:numFmt w:val="chineseCounting"/>
      <w:suff w:val="nothing"/>
      <w:lvlText w:val="%1、"/>
      <w:lvlJc w:val="left"/>
      <w:rPr>
        <w:rFonts w:hint="eastAsia"/>
      </w:rPr>
    </w:lvl>
  </w:abstractNum>
  <w:abstractNum w:abstractNumId="6">
    <w:nsid w:val="3D2537F8"/>
    <w:multiLevelType w:val="singleLevel"/>
    <w:tmpl w:val="3D2537F8"/>
    <w:lvl w:ilvl="0" w:tentative="0">
      <w:start w:val="1"/>
      <w:numFmt w:val="decimal"/>
      <w:lvlText w:val="%1."/>
      <w:lvlJc w:val="left"/>
      <w:pPr>
        <w:ind w:left="425" w:hanging="425"/>
      </w:pPr>
      <w:rPr>
        <w:rFonts w:hint="default"/>
        <w:b w:val="0"/>
        <w:bCs w:val="0"/>
        <w:color w:val="auto"/>
      </w:rPr>
    </w:lvl>
  </w:abstractNum>
  <w:abstractNum w:abstractNumId="7">
    <w:nsid w:val="4AF0723E"/>
    <w:multiLevelType w:val="singleLevel"/>
    <w:tmpl w:val="4AF0723E"/>
    <w:lvl w:ilvl="0" w:tentative="0">
      <w:start w:val="2"/>
      <w:numFmt w:val="chineseCounting"/>
      <w:suff w:val="nothing"/>
      <w:lvlText w:val="%1、"/>
      <w:lvlJc w:val="left"/>
      <w:rPr>
        <w:rFonts w:hint="eastAsia"/>
      </w:rPr>
    </w:lvl>
  </w:abstractNum>
  <w:abstractNum w:abstractNumId="8">
    <w:nsid w:val="56D20133"/>
    <w:multiLevelType w:val="multilevel"/>
    <w:tmpl w:val="56D20133"/>
    <w:lvl w:ilvl="0" w:tentative="0">
      <w:start w:val="1"/>
      <w:numFmt w:val="chineseCountingThousand"/>
      <w:pStyle w:val="68"/>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9">
    <w:nsid w:val="656A6EAE"/>
    <w:multiLevelType w:val="multilevel"/>
    <w:tmpl w:val="656A6EAE"/>
    <w:lvl w:ilvl="0" w:tentative="0">
      <w:start w:val="1"/>
      <w:numFmt w:val="chineseCountingThousand"/>
      <w:pStyle w:val="18"/>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0">
    <w:nsid w:val="6A04D9AD"/>
    <w:multiLevelType w:val="singleLevel"/>
    <w:tmpl w:val="6A04D9AD"/>
    <w:lvl w:ilvl="0" w:tentative="0">
      <w:start w:val="2"/>
      <w:numFmt w:val="chineseCounting"/>
      <w:suff w:val="nothing"/>
      <w:lvlText w:val="%1、"/>
      <w:lvlJc w:val="left"/>
      <w:rPr>
        <w:rFonts w:hint="eastAsia"/>
      </w:rPr>
    </w:lvl>
  </w:abstractNum>
  <w:abstractNum w:abstractNumId="11">
    <w:nsid w:val="6AF5568C"/>
    <w:multiLevelType w:val="singleLevel"/>
    <w:tmpl w:val="6AF5568C"/>
    <w:lvl w:ilvl="0" w:tentative="0">
      <w:start w:val="1"/>
      <w:numFmt w:val="decimal"/>
      <w:suff w:val="nothing"/>
      <w:lvlText w:val="%1）"/>
      <w:lvlJc w:val="left"/>
    </w:lvl>
  </w:abstractNum>
  <w:abstractNum w:abstractNumId="12">
    <w:nsid w:val="70EB3FAA"/>
    <w:multiLevelType w:val="singleLevel"/>
    <w:tmpl w:val="70EB3FAA"/>
    <w:lvl w:ilvl="0" w:tentative="0">
      <w:start w:val="1"/>
      <w:numFmt w:val="decimal"/>
      <w:lvlText w:val="%1."/>
      <w:lvlJc w:val="left"/>
      <w:pPr>
        <w:ind w:left="425" w:hanging="425"/>
      </w:pPr>
      <w:rPr>
        <w:rFonts w:hint="default"/>
      </w:rPr>
    </w:lvl>
  </w:abstractNum>
  <w:num w:numId="1">
    <w:abstractNumId w:val="9"/>
  </w:num>
  <w:num w:numId="2">
    <w:abstractNumId w:val="8"/>
  </w:num>
  <w:num w:numId="3">
    <w:abstractNumId w:val="12"/>
  </w:num>
  <w:num w:numId="4">
    <w:abstractNumId w:val="1"/>
  </w:num>
  <w:num w:numId="5">
    <w:abstractNumId w:val="6"/>
  </w:num>
  <w:num w:numId="6">
    <w:abstractNumId w:val="2"/>
  </w:num>
  <w:num w:numId="7">
    <w:abstractNumId w:val="0"/>
  </w:num>
  <w:num w:numId="8">
    <w:abstractNumId w:val="5"/>
  </w:num>
  <w:num w:numId="9">
    <w:abstractNumId w:val="11"/>
  </w:num>
  <w:num w:numId="10">
    <w:abstractNumId w:val="10"/>
  </w:num>
  <w:num w:numId="11">
    <w:abstractNumId w:val="4"/>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0YTViYjUyMjA3NDdjNDFjY2ZjZWYwYmZhZmI2YTEifQ=="/>
  </w:docVars>
  <w:rsids>
    <w:rsidRoot w:val="50367907"/>
    <w:rsid w:val="00005F7A"/>
    <w:rsid w:val="00213CF6"/>
    <w:rsid w:val="00784799"/>
    <w:rsid w:val="009E69C7"/>
    <w:rsid w:val="00F27441"/>
    <w:rsid w:val="012478C3"/>
    <w:rsid w:val="015679D0"/>
    <w:rsid w:val="01EE5E5A"/>
    <w:rsid w:val="02427F54"/>
    <w:rsid w:val="040645B1"/>
    <w:rsid w:val="04275653"/>
    <w:rsid w:val="0462668B"/>
    <w:rsid w:val="05720B50"/>
    <w:rsid w:val="05850883"/>
    <w:rsid w:val="05FE0636"/>
    <w:rsid w:val="0754675F"/>
    <w:rsid w:val="0758018E"/>
    <w:rsid w:val="07660241"/>
    <w:rsid w:val="07AB0349"/>
    <w:rsid w:val="09727371"/>
    <w:rsid w:val="09AE43B9"/>
    <w:rsid w:val="0A256191"/>
    <w:rsid w:val="0A434869"/>
    <w:rsid w:val="0BC33EB3"/>
    <w:rsid w:val="0BF347E8"/>
    <w:rsid w:val="0CC021A1"/>
    <w:rsid w:val="0D083FB4"/>
    <w:rsid w:val="0D5A377C"/>
    <w:rsid w:val="0DCF4A41"/>
    <w:rsid w:val="0EE7610B"/>
    <w:rsid w:val="0EFE3455"/>
    <w:rsid w:val="0F010326"/>
    <w:rsid w:val="0F946D68"/>
    <w:rsid w:val="0FB104C7"/>
    <w:rsid w:val="103F3D25"/>
    <w:rsid w:val="1084528B"/>
    <w:rsid w:val="10991687"/>
    <w:rsid w:val="10ED1690"/>
    <w:rsid w:val="11286567"/>
    <w:rsid w:val="1147185D"/>
    <w:rsid w:val="115B2DE0"/>
    <w:rsid w:val="118B27F3"/>
    <w:rsid w:val="119A3908"/>
    <w:rsid w:val="121E1ADF"/>
    <w:rsid w:val="125515DD"/>
    <w:rsid w:val="12DD37BE"/>
    <w:rsid w:val="136E6A2E"/>
    <w:rsid w:val="139D4FEA"/>
    <w:rsid w:val="13FD2512"/>
    <w:rsid w:val="1517661E"/>
    <w:rsid w:val="15657D89"/>
    <w:rsid w:val="16C44F84"/>
    <w:rsid w:val="16D76A65"/>
    <w:rsid w:val="16EA2C3C"/>
    <w:rsid w:val="17032A46"/>
    <w:rsid w:val="17726840"/>
    <w:rsid w:val="17BA0860"/>
    <w:rsid w:val="193A152D"/>
    <w:rsid w:val="19444B5F"/>
    <w:rsid w:val="19722A75"/>
    <w:rsid w:val="19CE23A1"/>
    <w:rsid w:val="1A134258"/>
    <w:rsid w:val="1B4C6BAC"/>
    <w:rsid w:val="1CAA49F8"/>
    <w:rsid w:val="1CBE2546"/>
    <w:rsid w:val="1D623FD6"/>
    <w:rsid w:val="1E1E766F"/>
    <w:rsid w:val="1F8A033E"/>
    <w:rsid w:val="20801F1B"/>
    <w:rsid w:val="215B7B93"/>
    <w:rsid w:val="21B93937"/>
    <w:rsid w:val="220D5A31"/>
    <w:rsid w:val="22160D89"/>
    <w:rsid w:val="23244DE0"/>
    <w:rsid w:val="235B27CC"/>
    <w:rsid w:val="23714228"/>
    <w:rsid w:val="23CB7951"/>
    <w:rsid w:val="23E9442E"/>
    <w:rsid w:val="24694FDB"/>
    <w:rsid w:val="249A35D5"/>
    <w:rsid w:val="24D665AE"/>
    <w:rsid w:val="25044CD2"/>
    <w:rsid w:val="259C2031"/>
    <w:rsid w:val="25A5657F"/>
    <w:rsid w:val="26C07516"/>
    <w:rsid w:val="27035654"/>
    <w:rsid w:val="272A0AD1"/>
    <w:rsid w:val="27AE1D78"/>
    <w:rsid w:val="280E0B21"/>
    <w:rsid w:val="287560DE"/>
    <w:rsid w:val="29C76E0D"/>
    <w:rsid w:val="2A1132FB"/>
    <w:rsid w:val="2A2D4EC2"/>
    <w:rsid w:val="2A5103CA"/>
    <w:rsid w:val="2A895E70"/>
    <w:rsid w:val="2AAD6003"/>
    <w:rsid w:val="2ACB0237"/>
    <w:rsid w:val="2B2E2E69"/>
    <w:rsid w:val="2B6366C1"/>
    <w:rsid w:val="2B8925CC"/>
    <w:rsid w:val="2C3818FC"/>
    <w:rsid w:val="2CDA6E57"/>
    <w:rsid w:val="2D236108"/>
    <w:rsid w:val="2D50441C"/>
    <w:rsid w:val="2D962D7E"/>
    <w:rsid w:val="2E026666"/>
    <w:rsid w:val="2F61560E"/>
    <w:rsid w:val="2FF47BED"/>
    <w:rsid w:val="308E2433"/>
    <w:rsid w:val="30F027A5"/>
    <w:rsid w:val="31DD5420"/>
    <w:rsid w:val="32333292"/>
    <w:rsid w:val="32BA306B"/>
    <w:rsid w:val="341E587B"/>
    <w:rsid w:val="34E73EBF"/>
    <w:rsid w:val="35E0728C"/>
    <w:rsid w:val="36885E68"/>
    <w:rsid w:val="36B67FED"/>
    <w:rsid w:val="370451FC"/>
    <w:rsid w:val="373A29CC"/>
    <w:rsid w:val="382A0C93"/>
    <w:rsid w:val="38523D46"/>
    <w:rsid w:val="387651EF"/>
    <w:rsid w:val="398F2A5E"/>
    <w:rsid w:val="39A20CFD"/>
    <w:rsid w:val="39A71E6F"/>
    <w:rsid w:val="3A033549"/>
    <w:rsid w:val="3AEA4709"/>
    <w:rsid w:val="3B365BA1"/>
    <w:rsid w:val="3B4756B8"/>
    <w:rsid w:val="3BC1546A"/>
    <w:rsid w:val="3C4D6CFE"/>
    <w:rsid w:val="3CCF1E09"/>
    <w:rsid w:val="3D8B21D4"/>
    <w:rsid w:val="3F144495"/>
    <w:rsid w:val="3F760C61"/>
    <w:rsid w:val="3F863274"/>
    <w:rsid w:val="3FE61943"/>
    <w:rsid w:val="3FF322B2"/>
    <w:rsid w:val="40EC18A8"/>
    <w:rsid w:val="414D154E"/>
    <w:rsid w:val="41656898"/>
    <w:rsid w:val="41962EF5"/>
    <w:rsid w:val="41AC44C7"/>
    <w:rsid w:val="42141C1A"/>
    <w:rsid w:val="423A5F76"/>
    <w:rsid w:val="42D54FED"/>
    <w:rsid w:val="434B5F61"/>
    <w:rsid w:val="439416B6"/>
    <w:rsid w:val="43F54DA9"/>
    <w:rsid w:val="44A27E03"/>
    <w:rsid w:val="45A35BE1"/>
    <w:rsid w:val="45CD0EAF"/>
    <w:rsid w:val="47BC567F"/>
    <w:rsid w:val="49CA5E32"/>
    <w:rsid w:val="4C325F10"/>
    <w:rsid w:val="4C432784"/>
    <w:rsid w:val="4CDA761C"/>
    <w:rsid w:val="4D6F029E"/>
    <w:rsid w:val="4D996326"/>
    <w:rsid w:val="4E832A53"/>
    <w:rsid w:val="4F732AC8"/>
    <w:rsid w:val="4FC926E8"/>
    <w:rsid w:val="50367907"/>
    <w:rsid w:val="507029B3"/>
    <w:rsid w:val="50A72271"/>
    <w:rsid w:val="512A365A"/>
    <w:rsid w:val="51300A07"/>
    <w:rsid w:val="517C731C"/>
    <w:rsid w:val="52A66D10"/>
    <w:rsid w:val="52EA12F3"/>
    <w:rsid w:val="53226CDE"/>
    <w:rsid w:val="53277100"/>
    <w:rsid w:val="53934391"/>
    <w:rsid w:val="5435659E"/>
    <w:rsid w:val="5663112E"/>
    <w:rsid w:val="569021B1"/>
    <w:rsid w:val="575E405D"/>
    <w:rsid w:val="57B65C47"/>
    <w:rsid w:val="57B8376D"/>
    <w:rsid w:val="57D936E4"/>
    <w:rsid w:val="57EF1159"/>
    <w:rsid w:val="58EE6BF3"/>
    <w:rsid w:val="59280444"/>
    <w:rsid w:val="5BDF6DA3"/>
    <w:rsid w:val="5C5531DE"/>
    <w:rsid w:val="5CDF79EE"/>
    <w:rsid w:val="5D465377"/>
    <w:rsid w:val="5D4E06D0"/>
    <w:rsid w:val="5D973E25"/>
    <w:rsid w:val="5DC50992"/>
    <w:rsid w:val="5DD159D8"/>
    <w:rsid w:val="5DDE1A77"/>
    <w:rsid w:val="5E2F405E"/>
    <w:rsid w:val="5E3873B6"/>
    <w:rsid w:val="5EA031AD"/>
    <w:rsid w:val="60EE1FAE"/>
    <w:rsid w:val="611A2DA3"/>
    <w:rsid w:val="616B0B5C"/>
    <w:rsid w:val="619568CD"/>
    <w:rsid w:val="61CD6067"/>
    <w:rsid w:val="61EA1238"/>
    <w:rsid w:val="62051CA5"/>
    <w:rsid w:val="621C2B4B"/>
    <w:rsid w:val="63293771"/>
    <w:rsid w:val="63343EC4"/>
    <w:rsid w:val="633F5278"/>
    <w:rsid w:val="63B41E9C"/>
    <w:rsid w:val="63C70946"/>
    <w:rsid w:val="646F3406"/>
    <w:rsid w:val="647F354D"/>
    <w:rsid w:val="64BA4740"/>
    <w:rsid w:val="64E01C52"/>
    <w:rsid w:val="654E019A"/>
    <w:rsid w:val="654F3237"/>
    <w:rsid w:val="65624F9A"/>
    <w:rsid w:val="658F7EFB"/>
    <w:rsid w:val="661F2C0A"/>
    <w:rsid w:val="66650F64"/>
    <w:rsid w:val="666D1BC7"/>
    <w:rsid w:val="669E1E6E"/>
    <w:rsid w:val="67874F0A"/>
    <w:rsid w:val="683F57E5"/>
    <w:rsid w:val="6874548F"/>
    <w:rsid w:val="68993147"/>
    <w:rsid w:val="68993A9E"/>
    <w:rsid w:val="689B09AB"/>
    <w:rsid w:val="68EB3A39"/>
    <w:rsid w:val="68EB3DB7"/>
    <w:rsid w:val="69467F49"/>
    <w:rsid w:val="696A60B8"/>
    <w:rsid w:val="696A6892"/>
    <w:rsid w:val="6B3E3B32"/>
    <w:rsid w:val="6B480E55"/>
    <w:rsid w:val="6B6C68F1"/>
    <w:rsid w:val="6B822971"/>
    <w:rsid w:val="6C35284A"/>
    <w:rsid w:val="6C7749C2"/>
    <w:rsid w:val="6CC91FF4"/>
    <w:rsid w:val="6E2711F5"/>
    <w:rsid w:val="6F6532C9"/>
    <w:rsid w:val="6FA81EC2"/>
    <w:rsid w:val="6FAA3E8C"/>
    <w:rsid w:val="70407F78"/>
    <w:rsid w:val="70B34FC2"/>
    <w:rsid w:val="70C930F5"/>
    <w:rsid w:val="715611F3"/>
    <w:rsid w:val="71F633B8"/>
    <w:rsid w:val="7298621E"/>
    <w:rsid w:val="72E01973"/>
    <w:rsid w:val="72F74E03"/>
    <w:rsid w:val="73C53042"/>
    <w:rsid w:val="73DE4104"/>
    <w:rsid w:val="73F77193"/>
    <w:rsid w:val="73FD2E3F"/>
    <w:rsid w:val="7416564C"/>
    <w:rsid w:val="745B39A7"/>
    <w:rsid w:val="7476258E"/>
    <w:rsid w:val="74CC6652"/>
    <w:rsid w:val="74F945A2"/>
    <w:rsid w:val="75AC3A76"/>
    <w:rsid w:val="75E654F2"/>
    <w:rsid w:val="761B163F"/>
    <w:rsid w:val="76515061"/>
    <w:rsid w:val="770E0474"/>
    <w:rsid w:val="77437B39"/>
    <w:rsid w:val="77A60107"/>
    <w:rsid w:val="77EB3293"/>
    <w:rsid w:val="78063C29"/>
    <w:rsid w:val="780B1240"/>
    <w:rsid w:val="786F2FE2"/>
    <w:rsid w:val="797E7695"/>
    <w:rsid w:val="7A6B246A"/>
    <w:rsid w:val="7B7B048A"/>
    <w:rsid w:val="7B8A691F"/>
    <w:rsid w:val="7D0F17D2"/>
    <w:rsid w:val="7DA168CE"/>
    <w:rsid w:val="7DC720AD"/>
    <w:rsid w:val="7E464D80"/>
    <w:rsid w:val="7E7F64E4"/>
    <w:rsid w:val="7F547970"/>
    <w:rsid w:val="7FC44AF6"/>
    <w:rsid w:val="7FFA4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3"/>
    <w:basedOn w:val="1"/>
    <w:next w:val="1"/>
    <w:semiHidden/>
    <w:qFormat/>
    <w:uiPriority w:val="0"/>
    <w:pPr>
      <w:keepNext/>
      <w:keepLines/>
      <w:spacing w:line="416" w:lineRule="auto"/>
      <w:outlineLvl w:val="2"/>
    </w:pPr>
    <w:rPr>
      <w:b/>
      <w:bCs/>
      <w:sz w:val="32"/>
      <w:szCs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rPr>
      <w:rFonts w:ascii="仿宋_GB2312" w:eastAsia="仿宋_GB2312"/>
      <w:sz w:val="32"/>
    </w:rPr>
  </w:style>
  <w:style w:type="paragraph" w:customStyle="1" w:styleId="5">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6">
    <w:name w:val="Plain Text"/>
    <w:basedOn w:val="1"/>
    <w:qFormat/>
    <w:uiPriority w:val="0"/>
    <w:rPr>
      <w:rFonts w:ascii="宋体" w:hAnsi="Courier New"/>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semiHidden/>
    <w:qFormat/>
    <w:uiPriority w:val="0"/>
    <w:pPr>
      <w:tabs>
        <w:tab w:val="right" w:leader="dot" w:pos="8729"/>
      </w:tabs>
      <w:spacing w:line="480" w:lineRule="auto"/>
      <w:jc w:val="left"/>
    </w:pPr>
    <w:rPr>
      <w:rFonts w:ascii="宋体" w:hAnsi="宋体"/>
      <w:b/>
      <w:caps/>
      <w:sz w:val="28"/>
      <w:szCs w:val="28"/>
    </w:rPr>
  </w:style>
  <w:style w:type="paragraph" w:styleId="10">
    <w:name w:val="List"/>
    <w:basedOn w:val="1"/>
    <w:qFormat/>
    <w:uiPriority w:val="0"/>
    <w:pPr>
      <w:ind w:left="200" w:hanging="200" w:hangingChars="200"/>
    </w:pPr>
  </w:style>
  <w:style w:type="paragraph" w:styleId="11">
    <w:name w:val="Normal (Web)"/>
    <w:basedOn w:val="1"/>
    <w:qFormat/>
    <w:uiPriority w:val="0"/>
    <w:rPr>
      <w:sz w:val="24"/>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Hyperlink"/>
    <w:basedOn w:val="14"/>
    <w:semiHidden/>
    <w:qFormat/>
    <w:uiPriority w:val="99"/>
    <w:rPr>
      <w:rFonts w:cs="Times New Roman"/>
      <w:color w:val="1F4F88"/>
      <w:u w:val="none"/>
    </w:rPr>
  </w:style>
  <w:style w:type="paragraph" w:styleId="17">
    <w:name w:val="List Paragraph"/>
    <w:basedOn w:val="1"/>
    <w:qFormat/>
    <w:uiPriority w:val="99"/>
    <w:pPr>
      <w:ind w:firstLine="420" w:firstLineChars="200"/>
    </w:pPr>
  </w:style>
  <w:style w:type="paragraph" w:customStyle="1" w:styleId="18">
    <w:name w:val="一级标题"/>
    <w:basedOn w:val="6"/>
    <w:qFormat/>
    <w:uiPriority w:val="1"/>
    <w:pPr>
      <w:numPr>
        <w:ilvl w:val="0"/>
        <w:numId w:val="1"/>
      </w:numPr>
      <w:spacing w:line="360" w:lineRule="auto"/>
      <w:ind w:left="420"/>
      <w:outlineLvl w:val="1"/>
    </w:pPr>
    <w:rPr>
      <w:rFonts w:ascii="黑体" w:eastAsia="黑体"/>
      <w:b/>
      <w:bCs/>
      <w:sz w:val="28"/>
    </w:rPr>
  </w:style>
  <w:style w:type="paragraph" w:customStyle="1" w:styleId="19">
    <w:name w:val="标书正文"/>
    <w:basedOn w:val="6"/>
    <w:qFormat/>
    <w:uiPriority w:val="9"/>
    <w:pPr>
      <w:spacing w:line="360" w:lineRule="auto"/>
      <w:jc w:val="left"/>
    </w:pPr>
  </w:style>
  <w:style w:type="paragraph" w:customStyle="1" w:styleId="20">
    <w:name w:val="标书正文格式"/>
    <w:basedOn w:val="6"/>
    <w:qFormat/>
    <w:uiPriority w:val="0"/>
    <w:pPr>
      <w:spacing w:line="360" w:lineRule="auto"/>
      <w:ind w:firstLine="200" w:firstLineChars="200"/>
    </w:pPr>
    <w:rPr>
      <w:rFonts w:hAnsi="宋体" w:eastAsiaTheme="minorEastAsia"/>
      <w:color w:val="000000"/>
      <w:sz w:val="24"/>
      <w:szCs w:val="24"/>
    </w:rPr>
  </w:style>
  <w:style w:type="paragraph" w:customStyle="1" w:styleId="21">
    <w:name w:val="Table Paragraph"/>
    <w:basedOn w:val="1"/>
    <w:autoRedefine/>
    <w:qFormat/>
    <w:uiPriority w:val="1"/>
    <w:rPr>
      <w:rFonts w:ascii="宋体" w:hAnsi="宋体" w:eastAsia="宋体" w:cs="宋体"/>
    </w:rPr>
  </w:style>
  <w:style w:type="table" w:customStyle="1" w:styleId="22">
    <w:name w:val="Table Normal"/>
    <w:autoRedefine/>
    <w:qFormat/>
    <w:uiPriority w:val="0"/>
    <w:tblPr>
      <w:tblCellMar>
        <w:top w:w="0" w:type="dxa"/>
        <w:left w:w="0" w:type="dxa"/>
        <w:bottom w:w="0" w:type="dxa"/>
        <w:right w:w="0" w:type="dxa"/>
      </w:tblCellMar>
    </w:tblPr>
  </w:style>
  <w:style w:type="paragraph" w:customStyle="1" w:styleId="23">
    <w:name w:val="null22"/>
    <w:qFormat/>
    <w:uiPriority w:val="0"/>
    <w:rPr>
      <w:rFonts w:ascii="Times New Roman" w:hAnsi="Times New Roman" w:eastAsia="宋体" w:cs="Times New Roman"/>
      <w:szCs w:val="21"/>
      <w:lang w:val="en-US" w:eastAsia="zh-CN" w:bidi="ar-SA"/>
    </w:rPr>
  </w:style>
  <w:style w:type="paragraph" w:customStyle="1" w:styleId="24">
    <w:name w:val="null23"/>
    <w:qFormat/>
    <w:uiPriority w:val="0"/>
    <w:rPr>
      <w:rFonts w:ascii="Times New Roman" w:hAnsi="Times New Roman" w:eastAsia="宋体" w:cs="Times New Roman"/>
      <w:szCs w:val="21"/>
      <w:lang w:val="en-US" w:eastAsia="zh-CN" w:bidi="ar-SA"/>
    </w:rPr>
  </w:style>
  <w:style w:type="paragraph" w:customStyle="1" w:styleId="25">
    <w:name w:val="null24"/>
    <w:qFormat/>
    <w:uiPriority w:val="0"/>
    <w:rPr>
      <w:rFonts w:ascii="Times New Roman" w:hAnsi="Times New Roman" w:eastAsia="宋体" w:cs="Times New Roman"/>
      <w:szCs w:val="21"/>
      <w:lang w:val="en-US" w:eastAsia="zh-CN" w:bidi="ar-SA"/>
    </w:rPr>
  </w:style>
  <w:style w:type="paragraph" w:customStyle="1" w:styleId="26">
    <w:name w:val="null25"/>
    <w:qFormat/>
    <w:uiPriority w:val="0"/>
    <w:rPr>
      <w:rFonts w:ascii="Times New Roman" w:hAnsi="Times New Roman" w:eastAsia="宋体" w:cs="Times New Roman"/>
      <w:szCs w:val="21"/>
      <w:lang w:val="en-US" w:eastAsia="zh-CN" w:bidi="ar-SA"/>
    </w:rPr>
  </w:style>
  <w:style w:type="paragraph" w:customStyle="1" w:styleId="27">
    <w:name w:val="null26"/>
    <w:qFormat/>
    <w:uiPriority w:val="0"/>
    <w:rPr>
      <w:rFonts w:ascii="Times New Roman" w:hAnsi="Times New Roman" w:eastAsia="宋体" w:cs="Times New Roman"/>
      <w:szCs w:val="21"/>
      <w:lang w:val="en-US" w:eastAsia="zh-CN" w:bidi="ar-SA"/>
    </w:rPr>
  </w:style>
  <w:style w:type="paragraph" w:customStyle="1" w:styleId="28">
    <w:name w:val="null27"/>
    <w:qFormat/>
    <w:uiPriority w:val="0"/>
    <w:rPr>
      <w:rFonts w:ascii="Times New Roman" w:hAnsi="Times New Roman" w:eastAsia="宋体" w:cs="Times New Roman"/>
      <w:szCs w:val="21"/>
      <w:lang w:val="en-US" w:eastAsia="zh-CN" w:bidi="ar-SA"/>
    </w:rPr>
  </w:style>
  <w:style w:type="paragraph" w:customStyle="1" w:styleId="29">
    <w:name w:val="null28"/>
    <w:qFormat/>
    <w:uiPriority w:val="0"/>
    <w:rPr>
      <w:rFonts w:ascii="Times New Roman" w:hAnsi="Times New Roman" w:eastAsia="宋体" w:cs="Times New Roman"/>
      <w:szCs w:val="21"/>
      <w:lang w:val="en-US" w:eastAsia="zh-CN" w:bidi="ar-SA"/>
    </w:rPr>
  </w:style>
  <w:style w:type="paragraph" w:customStyle="1" w:styleId="30">
    <w:name w:val="null29"/>
    <w:qFormat/>
    <w:uiPriority w:val="0"/>
    <w:rPr>
      <w:rFonts w:ascii="Times New Roman" w:hAnsi="Times New Roman" w:eastAsia="宋体" w:cs="Times New Roman"/>
      <w:szCs w:val="21"/>
      <w:lang w:val="en-US" w:eastAsia="zh-CN" w:bidi="ar-SA"/>
    </w:rPr>
  </w:style>
  <w:style w:type="paragraph" w:customStyle="1" w:styleId="31">
    <w:name w:val="null30"/>
    <w:qFormat/>
    <w:uiPriority w:val="0"/>
    <w:rPr>
      <w:rFonts w:ascii="Times New Roman" w:hAnsi="Times New Roman" w:eastAsia="宋体" w:cs="Times New Roman"/>
      <w:szCs w:val="21"/>
      <w:lang w:val="en-US" w:eastAsia="zh-CN" w:bidi="ar-SA"/>
    </w:rPr>
  </w:style>
  <w:style w:type="paragraph" w:customStyle="1" w:styleId="32">
    <w:name w:val="null31"/>
    <w:qFormat/>
    <w:uiPriority w:val="0"/>
    <w:rPr>
      <w:rFonts w:ascii="Times New Roman" w:hAnsi="Times New Roman" w:eastAsia="宋体" w:cs="Times New Roman"/>
      <w:szCs w:val="21"/>
      <w:lang w:val="en-US" w:eastAsia="zh-CN" w:bidi="ar-SA"/>
    </w:rPr>
  </w:style>
  <w:style w:type="paragraph" w:customStyle="1" w:styleId="33">
    <w:name w:val="null32"/>
    <w:qFormat/>
    <w:uiPriority w:val="0"/>
    <w:rPr>
      <w:rFonts w:ascii="Times New Roman" w:hAnsi="Times New Roman" w:eastAsia="宋体" w:cs="Times New Roman"/>
      <w:szCs w:val="21"/>
      <w:lang w:val="en-US" w:eastAsia="zh-CN" w:bidi="ar-SA"/>
    </w:rPr>
  </w:style>
  <w:style w:type="paragraph" w:customStyle="1" w:styleId="34">
    <w:name w:val="null33"/>
    <w:qFormat/>
    <w:uiPriority w:val="0"/>
    <w:rPr>
      <w:rFonts w:ascii="Times New Roman" w:hAnsi="Times New Roman" w:eastAsia="宋体" w:cs="Times New Roman"/>
      <w:szCs w:val="21"/>
      <w:lang w:val="en-US" w:eastAsia="zh-CN" w:bidi="ar-SA"/>
    </w:rPr>
  </w:style>
  <w:style w:type="paragraph" w:customStyle="1" w:styleId="35">
    <w:name w:val="null34"/>
    <w:qFormat/>
    <w:uiPriority w:val="0"/>
    <w:rPr>
      <w:rFonts w:ascii="Times New Roman" w:hAnsi="Times New Roman" w:eastAsia="宋体" w:cs="Times New Roman"/>
      <w:szCs w:val="21"/>
      <w:lang w:val="en-US" w:eastAsia="zh-CN" w:bidi="ar-SA"/>
    </w:rPr>
  </w:style>
  <w:style w:type="paragraph" w:customStyle="1" w:styleId="36">
    <w:name w:val="null35"/>
    <w:qFormat/>
    <w:uiPriority w:val="0"/>
    <w:rPr>
      <w:rFonts w:ascii="Times New Roman" w:hAnsi="Times New Roman" w:eastAsia="宋体" w:cs="Times New Roman"/>
      <w:szCs w:val="21"/>
      <w:lang w:val="en-US" w:eastAsia="zh-CN" w:bidi="ar-SA"/>
    </w:rPr>
  </w:style>
  <w:style w:type="paragraph" w:customStyle="1" w:styleId="37">
    <w:name w:val="null36"/>
    <w:qFormat/>
    <w:uiPriority w:val="0"/>
    <w:rPr>
      <w:rFonts w:ascii="Times New Roman" w:hAnsi="Times New Roman" w:eastAsia="宋体" w:cs="Times New Roman"/>
      <w:szCs w:val="21"/>
      <w:lang w:val="en-US" w:eastAsia="zh-CN" w:bidi="ar-SA"/>
    </w:rPr>
  </w:style>
  <w:style w:type="paragraph" w:customStyle="1" w:styleId="38">
    <w:name w:val="null37"/>
    <w:qFormat/>
    <w:uiPriority w:val="0"/>
    <w:rPr>
      <w:rFonts w:ascii="Times New Roman" w:hAnsi="Times New Roman" w:eastAsia="宋体" w:cs="Times New Roman"/>
      <w:szCs w:val="21"/>
      <w:lang w:val="en-US" w:eastAsia="zh-CN" w:bidi="ar-SA"/>
    </w:rPr>
  </w:style>
  <w:style w:type="paragraph" w:customStyle="1" w:styleId="39">
    <w:name w:val="null38"/>
    <w:qFormat/>
    <w:uiPriority w:val="0"/>
    <w:rPr>
      <w:rFonts w:ascii="Times New Roman" w:hAnsi="Times New Roman" w:eastAsia="宋体" w:cs="Times New Roman"/>
      <w:szCs w:val="21"/>
      <w:lang w:val="en-US" w:eastAsia="zh-CN" w:bidi="ar-SA"/>
    </w:rPr>
  </w:style>
  <w:style w:type="paragraph" w:customStyle="1" w:styleId="40">
    <w:name w:val="null39"/>
    <w:qFormat/>
    <w:uiPriority w:val="0"/>
    <w:rPr>
      <w:rFonts w:ascii="Times New Roman" w:hAnsi="Times New Roman" w:eastAsia="宋体" w:cs="Times New Roman"/>
      <w:szCs w:val="21"/>
      <w:lang w:val="en-US" w:eastAsia="zh-CN" w:bidi="ar-SA"/>
    </w:rPr>
  </w:style>
  <w:style w:type="paragraph" w:customStyle="1" w:styleId="41">
    <w:name w:val="null40"/>
    <w:qFormat/>
    <w:uiPriority w:val="0"/>
    <w:rPr>
      <w:rFonts w:ascii="Times New Roman" w:hAnsi="Times New Roman" w:eastAsia="宋体" w:cs="Times New Roman"/>
      <w:szCs w:val="21"/>
      <w:lang w:val="en-US" w:eastAsia="zh-CN" w:bidi="ar-SA"/>
    </w:rPr>
  </w:style>
  <w:style w:type="paragraph" w:customStyle="1" w:styleId="42">
    <w:name w:val="null41"/>
    <w:qFormat/>
    <w:uiPriority w:val="0"/>
    <w:rPr>
      <w:rFonts w:ascii="Times New Roman" w:hAnsi="Times New Roman" w:eastAsia="宋体" w:cs="Times New Roman"/>
      <w:szCs w:val="21"/>
      <w:lang w:val="en-US" w:eastAsia="zh-CN" w:bidi="ar-SA"/>
    </w:rPr>
  </w:style>
  <w:style w:type="paragraph" w:customStyle="1" w:styleId="43">
    <w:name w:val="null42"/>
    <w:qFormat/>
    <w:uiPriority w:val="0"/>
    <w:rPr>
      <w:rFonts w:ascii="Times New Roman" w:hAnsi="Times New Roman" w:eastAsia="宋体" w:cs="Times New Roman"/>
      <w:szCs w:val="21"/>
      <w:lang w:val="en-US" w:eastAsia="zh-CN" w:bidi="ar-SA"/>
    </w:rPr>
  </w:style>
  <w:style w:type="paragraph" w:customStyle="1" w:styleId="44">
    <w:name w:val="null43"/>
    <w:qFormat/>
    <w:uiPriority w:val="0"/>
    <w:rPr>
      <w:rFonts w:ascii="Times New Roman" w:hAnsi="Times New Roman" w:eastAsia="宋体" w:cs="Times New Roman"/>
      <w:szCs w:val="21"/>
      <w:lang w:val="en-US" w:eastAsia="zh-CN" w:bidi="ar-SA"/>
    </w:rPr>
  </w:style>
  <w:style w:type="paragraph" w:customStyle="1" w:styleId="45">
    <w:name w:val="null44"/>
    <w:qFormat/>
    <w:uiPriority w:val="0"/>
    <w:rPr>
      <w:rFonts w:ascii="Times New Roman" w:hAnsi="Times New Roman" w:eastAsia="宋体" w:cs="Times New Roman"/>
      <w:szCs w:val="21"/>
      <w:lang w:val="en-US" w:eastAsia="zh-CN" w:bidi="ar-SA"/>
    </w:rPr>
  </w:style>
  <w:style w:type="paragraph" w:customStyle="1" w:styleId="46">
    <w:name w:val="null45"/>
    <w:qFormat/>
    <w:uiPriority w:val="0"/>
    <w:rPr>
      <w:rFonts w:ascii="Times New Roman" w:hAnsi="Times New Roman" w:eastAsia="宋体" w:cs="Times New Roman"/>
      <w:szCs w:val="21"/>
      <w:lang w:val="en-US" w:eastAsia="zh-CN" w:bidi="ar-SA"/>
    </w:rPr>
  </w:style>
  <w:style w:type="paragraph" w:customStyle="1" w:styleId="47">
    <w:name w:val="null46"/>
    <w:qFormat/>
    <w:uiPriority w:val="0"/>
    <w:rPr>
      <w:rFonts w:ascii="Times New Roman" w:hAnsi="Times New Roman" w:eastAsia="宋体" w:cs="Times New Roman"/>
      <w:szCs w:val="21"/>
      <w:lang w:val="en-US" w:eastAsia="zh-CN" w:bidi="ar-SA"/>
    </w:rPr>
  </w:style>
  <w:style w:type="paragraph" w:customStyle="1" w:styleId="48">
    <w:name w:val="null47"/>
    <w:qFormat/>
    <w:uiPriority w:val="0"/>
    <w:rPr>
      <w:rFonts w:ascii="Times New Roman" w:hAnsi="Times New Roman" w:eastAsia="宋体" w:cs="Times New Roman"/>
      <w:szCs w:val="21"/>
      <w:lang w:val="en-US" w:eastAsia="zh-CN" w:bidi="ar-SA"/>
    </w:rPr>
  </w:style>
  <w:style w:type="paragraph" w:customStyle="1" w:styleId="49">
    <w:name w:val="null48"/>
    <w:qFormat/>
    <w:uiPriority w:val="0"/>
    <w:rPr>
      <w:rFonts w:ascii="Times New Roman" w:hAnsi="Times New Roman" w:eastAsia="宋体" w:cs="Times New Roman"/>
      <w:szCs w:val="21"/>
      <w:lang w:val="en-US" w:eastAsia="zh-CN" w:bidi="ar-SA"/>
    </w:rPr>
  </w:style>
  <w:style w:type="paragraph" w:customStyle="1" w:styleId="50">
    <w:name w:val="null58"/>
    <w:qFormat/>
    <w:uiPriority w:val="0"/>
    <w:rPr>
      <w:rFonts w:ascii="Times New Roman" w:hAnsi="Times New Roman" w:eastAsia="宋体" w:cs="Times New Roman"/>
      <w:szCs w:val="21"/>
      <w:lang w:val="en-US" w:eastAsia="zh-CN" w:bidi="ar-SA"/>
    </w:rPr>
  </w:style>
  <w:style w:type="paragraph" w:customStyle="1" w:styleId="51">
    <w:name w:val="null59"/>
    <w:qFormat/>
    <w:uiPriority w:val="0"/>
    <w:rPr>
      <w:rFonts w:ascii="Times New Roman" w:hAnsi="Times New Roman" w:eastAsia="宋体" w:cs="Times New Roman"/>
      <w:szCs w:val="21"/>
      <w:lang w:val="en-US" w:eastAsia="zh-CN" w:bidi="ar-SA"/>
    </w:rPr>
  </w:style>
  <w:style w:type="paragraph" w:customStyle="1" w:styleId="52">
    <w:name w:val="null60"/>
    <w:qFormat/>
    <w:uiPriority w:val="0"/>
    <w:rPr>
      <w:rFonts w:ascii="Times New Roman" w:hAnsi="Times New Roman" w:eastAsia="宋体" w:cs="Times New Roman"/>
      <w:szCs w:val="21"/>
      <w:lang w:val="en-US" w:eastAsia="zh-CN" w:bidi="ar-SA"/>
    </w:rPr>
  </w:style>
  <w:style w:type="paragraph" w:customStyle="1" w:styleId="53">
    <w:name w:val="null67"/>
    <w:qFormat/>
    <w:uiPriority w:val="0"/>
    <w:rPr>
      <w:rFonts w:ascii="Times New Roman" w:hAnsi="Times New Roman" w:eastAsia="宋体" w:cs="Times New Roman"/>
      <w:szCs w:val="21"/>
      <w:lang w:val="en-US" w:eastAsia="zh-CN" w:bidi="ar-SA"/>
    </w:rPr>
  </w:style>
  <w:style w:type="paragraph" w:customStyle="1" w:styleId="54">
    <w:name w:val="null68"/>
    <w:qFormat/>
    <w:uiPriority w:val="0"/>
    <w:rPr>
      <w:rFonts w:ascii="Times New Roman" w:hAnsi="Times New Roman" w:eastAsia="宋体" w:cs="Times New Roman"/>
      <w:szCs w:val="21"/>
      <w:lang w:val="en-US" w:eastAsia="zh-CN" w:bidi="ar-SA"/>
    </w:rPr>
  </w:style>
  <w:style w:type="paragraph" w:customStyle="1" w:styleId="55">
    <w:name w:val="null69"/>
    <w:qFormat/>
    <w:uiPriority w:val="0"/>
    <w:rPr>
      <w:rFonts w:ascii="Times New Roman" w:hAnsi="Times New Roman" w:eastAsia="宋体" w:cs="Times New Roman"/>
      <w:szCs w:val="21"/>
      <w:lang w:val="en-US" w:eastAsia="zh-CN" w:bidi="ar-SA"/>
    </w:rPr>
  </w:style>
  <w:style w:type="paragraph" w:customStyle="1" w:styleId="56">
    <w:name w:val="null70"/>
    <w:qFormat/>
    <w:uiPriority w:val="0"/>
    <w:rPr>
      <w:rFonts w:ascii="Times New Roman" w:hAnsi="Times New Roman" w:eastAsia="宋体" w:cs="Times New Roman"/>
      <w:szCs w:val="21"/>
      <w:lang w:val="en-US" w:eastAsia="zh-CN" w:bidi="ar-SA"/>
    </w:rPr>
  </w:style>
  <w:style w:type="paragraph" w:customStyle="1" w:styleId="57">
    <w:name w:val="null71"/>
    <w:qFormat/>
    <w:uiPriority w:val="0"/>
    <w:rPr>
      <w:rFonts w:ascii="Times New Roman" w:hAnsi="Times New Roman" w:eastAsia="宋体" w:cs="Times New Roman"/>
      <w:szCs w:val="21"/>
      <w:lang w:val="en-US" w:eastAsia="zh-CN" w:bidi="ar-SA"/>
    </w:rPr>
  </w:style>
  <w:style w:type="paragraph" w:customStyle="1" w:styleId="58">
    <w:name w:val="null72"/>
    <w:qFormat/>
    <w:uiPriority w:val="0"/>
    <w:rPr>
      <w:rFonts w:ascii="Times New Roman" w:hAnsi="Times New Roman" w:eastAsia="宋体" w:cs="Times New Roman"/>
      <w:szCs w:val="21"/>
      <w:lang w:val="en-US" w:eastAsia="zh-CN" w:bidi="ar-SA"/>
    </w:rPr>
  </w:style>
  <w:style w:type="paragraph" w:customStyle="1" w:styleId="59">
    <w:name w:val="null76"/>
    <w:qFormat/>
    <w:uiPriority w:val="0"/>
    <w:rPr>
      <w:rFonts w:ascii="Times New Roman" w:hAnsi="Times New Roman" w:eastAsia="宋体" w:cs="Times New Roman"/>
      <w:szCs w:val="21"/>
      <w:lang w:val="en-US" w:eastAsia="zh-CN" w:bidi="ar-SA"/>
    </w:rPr>
  </w:style>
  <w:style w:type="paragraph" w:customStyle="1" w:styleId="60">
    <w:name w:val="null77"/>
    <w:qFormat/>
    <w:uiPriority w:val="0"/>
    <w:rPr>
      <w:rFonts w:ascii="Times New Roman" w:hAnsi="Times New Roman" w:eastAsia="宋体" w:cs="Times New Roman"/>
      <w:szCs w:val="21"/>
      <w:lang w:val="en-US" w:eastAsia="zh-CN" w:bidi="ar-SA"/>
    </w:rPr>
  </w:style>
  <w:style w:type="paragraph" w:customStyle="1" w:styleId="61">
    <w:name w:val="null78"/>
    <w:qFormat/>
    <w:uiPriority w:val="0"/>
    <w:rPr>
      <w:rFonts w:ascii="Times New Roman" w:hAnsi="Times New Roman" w:eastAsia="宋体" w:cs="Times New Roman"/>
      <w:szCs w:val="21"/>
      <w:lang w:val="en-US" w:eastAsia="zh-CN" w:bidi="ar-SA"/>
    </w:rPr>
  </w:style>
  <w:style w:type="paragraph" w:customStyle="1" w:styleId="62">
    <w:name w:val="null82"/>
    <w:qFormat/>
    <w:uiPriority w:val="0"/>
    <w:rPr>
      <w:rFonts w:ascii="Times New Roman" w:hAnsi="Times New Roman" w:eastAsia="宋体" w:cs="Times New Roman"/>
      <w:szCs w:val="21"/>
      <w:lang w:val="en-US" w:eastAsia="zh-CN" w:bidi="ar-SA"/>
    </w:rPr>
  </w:style>
  <w:style w:type="paragraph" w:customStyle="1" w:styleId="63">
    <w:name w:val="null83"/>
    <w:qFormat/>
    <w:uiPriority w:val="0"/>
    <w:rPr>
      <w:rFonts w:ascii="Times New Roman" w:hAnsi="Times New Roman" w:eastAsia="宋体" w:cs="Times New Roman"/>
      <w:szCs w:val="21"/>
      <w:lang w:val="en-US" w:eastAsia="zh-CN" w:bidi="ar-SA"/>
    </w:rPr>
  </w:style>
  <w:style w:type="paragraph" w:customStyle="1" w:styleId="64">
    <w:name w:val="null84"/>
    <w:qFormat/>
    <w:uiPriority w:val="0"/>
    <w:rPr>
      <w:rFonts w:ascii="Times New Roman" w:hAnsi="Times New Roman" w:eastAsia="宋体" w:cs="Times New Roman"/>
      <w:szCs w:val="21"/>
      <w:lang w:val="en-US" w:eastAsia="zh-CN" w:bidi="ar-SA"/>
    </w:rPr>
  </w:style>
  <w:style w:type="paragraph" w:customStyle="1" w:styleId="65">
    <w:name w:val="null85"/>
    <w:qFormat/>
    <w:uiPriority w:val="0"/>
    <w:rPr>
      <w:rFonts w:ascii="Times New Roman" w:hAnsi="Times New Roman" w:eastAsia="宋体" w:cs="Times New Roman"/>
      <w:szCs w:val="21"/>
      <w:lang w:val="en-US" w:eastAsia="zh-CN" w:bidi="ar-SA"/>
    </w:rPr>
  </w:style>
  <w:style w:type="paragraph" w:customStyle="1" w:styleId="66">
    <w:name w:val="null86"/>
    <w:qFormat/>
    <w:uiPriority w:val="0"/>
    <w:rPr>
      <w:rFonts w:ascii="Times New Roman" w:hAnsi="Times New Roman" w:eastAsia="宋体" w:cs="Times New Roman"/>
      <w:szCs w:val="21"/>
      <w:lang w:val="en-US" w:eastAsia="zh-CN" w:bidi="ar-SA"/>
    </w:rPr>
  </w:style>
  <w:style w:type="paragraph" w:customStyle="1" w:styleId="67">
    <w:name w:val="null87"/>
    <w:qFormat/>
    <w:uiPriority w:val="0"/>
    <w:rPr>
      <w:rFonts w:ascii="Times New Roman" w:hAnsi="Times New Roman" w:eastAsia="宋体" w:cs="Times New Roman"/>
      <w:szCs w:val="21"/>
      <w:lang w:val="en-US" w:eastAsia="zh-CN" w:bidi="ar-SA"/>
    </w:rPr>
  </w:style>
  <w:style w:type="paragraph" w:customStyle="1" w:styleId="68">
    <w:name w:val="（二）级标题"/>
    <w:basedOn w:val="6"/>
    <w:qFormat/>
    <w:uiPriority w:val="2"/>
    <w:pPr>
      <w:numPr>
        <w:ilvl w:val="0"/>
        <w:numId w:val="2"/>
      </w:numPr>
      <w:spacing w:line="360" w:lineRule="auto"/>
      <w:outlineLvl w:val="2"/>
    </w:pPr>
    <w:rPr>
      <w:b/>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260</Words>
  <Characters>283</Characters>
  <Lines>0</Lines>
  <Paragraphs>0</Paragraphs>
  <TotalTime>2</TotalTime>
  <ScaleCrop>false</ScaleCrop>
  <LinksUpToDate>false</LinksUpToDate>
  <CharactersWithSpaces>300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2023-07-13T06:53:00Z</dcterms:created>
  <dc:creator>求知无坦途～</dc:creator>
  <cp:lastModifiedBy>陳大兵</cp:lastModifiedBy>
  <dcterms:modified xsi:type="dcterms:W3CDTF">2026-10-14T23:56:05Z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FB00008AF9734EEFAAAAF752AA3E152D_13</vt:lpwstr>
  </property>
  <property fmtid="{D5CDD505-2E9C-101B-9397-08002B2CF9AE}" pid="4" name="KSOTemplateDocerSaveRecord">
    <vt:lpwstr>eyJoZGlkIjoiN2Q5ZTYxNmFkOGQ3NzM3MDUwMWE3NGI1ZTExYjBiOWIiLCJ1c2VySWQiOiIxMDg2NTY4NzQ1In0=</vt:lpwstr>
  </property>
</Properties>
</file>