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D4A88">
      <w:pPr>
        <w:pStyle w:val="41"/>
        <w:jc w:val="both"/>
        <w:rPr>
          <w:rStyle w:val="39"/>
          <w:rFonts w:ascii="宋体" w:hAnsi="宋体" w:cs="仿宋"/>
          <w:b/>
          <w:bCs/>
          <w:sz w:val="48"/>
          <w:szCs w:val="48"/>
        </w:rPr>
      </w:pPr>
      <w:r>
        <w:rPr>
          <w:sz w:val="24"/>
        </w:rPr>
        <w:drawing>
          <wp:anchor distT="0" distB="0" distL="114300" distR="114300" simplePos="0" relativeHeight="251659264" behindDoc="0" locked="0" layoutInCell="1" allowOverlap="1">
            <wp:simplePos x="0" y="0"/>
            <wp:positionH relativeFrom="column">
              <wp:posOffset>-97155</wp:posOffset>
            </wp:positionH>
            <wp:positionV relativeFrom="paragraph">
              <wp:posOffset>81915</wp:posOffset>
            </wp:positionV>
            <wp:extent cx="2400300" cy="852170"/>
            <wp:effectExtent l="0" t="0" r="0" b="508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400300" cy="852170"/>
                    </a:xfrm>
                    <a:prstGeom prst="rect">
                      <a:avLst/>
                    </a:prstGeom>
                  </pic:spPr>
                </pic:pic>
              </a:graphicData>
            </a:graphic>
          </wp:anchor>
        </w:drawing>
      </w:r>
    </w:p>
    <w:p w14:paraId="5D3E40A1">
      <w:pPr>
        <w:pStyle w:val="41"/>
        <w:jc w:val="center"/>
        <w:rPr>
          <w:rStyle w:val="39"/>
          <w:rFonts w:ascii="宋体" w:hAnsi="宋体" w:cs="仿宋"/>
          <w:b/>
          <w:bCs/>
          <w:sz w:val="48"/>
          <w:szCs w:val="48"/>
        </w:rPr>
      </w:pPr>
    </w:p>
    <w:p w14:paraId="7BEB9390">
      <w:pPr>
        <w:spacing w:line="360" w:lineRule="auto"/>
        <w:jc w:val="center"/>
        <w:rPr>
          <w:rFonts w:hint="eastAsia" w:ascii="宋体" w:cs="宋体"/>
          <w:b/>
          <w:bCs/>
          <w:sz w:val="56"/>
          <w:szCs w:val="56"/>
          <w:highlight w:val="none"/>
        </w:rPr>
      </w:pPr>
    </w:p>
    <w:p w14:paraId="30CCB762">
      <w:pPr>
        <w:spacing w:line="360" w:lineRule="auto"/>
        <w:jc w:val="center"/>
        <w:rPr>
          <w:rFonts w:hint="default" w:ascii="宋体" w:cs="宋体"/>
          <w:b/>
          <w:bCs/>
          <w:sz w:val="56"/>
          <w:szCs w:val="56"/>
          <w:highlight w:val="none"/>
          <w:lang w:val="en-US" w:eastAsia="zh-CN"/>
        </w:rPr>
      </w:pPr>
      <w:r>
        <w:rPr>
          <w:rFonts w:hint="eastAsia" w:ascii="宋体" w:cs="宋体"/>
          <w:b/>
          <w:bCs/>
          <w:sz w:val="56"/>
          <w:szCs w:val="56"/>
          <w:highlight w:val="none"/>
        </w:rPr>
        <w:t>济南橡塑件公司质量提升专项新建职工停车场技改项目</w:t>
      </w:r>
      <w:r>
        <w:rPr>
          <w:rFonts w:hint="eastAsia" w:ascii="宋体" w:cs="宋体"/>
          <w:b/>
          <w:bCs/>
          <w:sz w:val="56"/>
          <w:szCs w:val="56"/>
          <w:highlight w:val="none"/>
          <w:lang w:val="en-US" w:eastAsia="zh-CN"/>
        </w:rPr>
        <w:t>工程施工</w:t>
      </w:r>
    </w:p>
    <w:p w14:paraId="78E831F7">
      <w:pPr>
        <w:pStyle w:val="41"/>
        <w:rPr>
          <w:rStyle w:val="39"/>
          <w:rFonts w:ascii="宋体" w:hAnsi="宋体"/>
          <w:b/>
          <w:sz w:val="18"/>
          <w:szCs w:val="18"/>
        </w:rPr>
      </w:pPr>
    </w:p>
    <w:p w14:paraId="481223C9">
      <w:pPr>
        <w:pStyle w:val="41"/>
        <w:rPr>
          <w:rStyle w:val="39"/>
          <w:rFonts w:ascii="宋体" w:hAnsi="宋体"/>
          <w:b/>
          <w:sz w:val="18"/>
          <w:szCs w:val="18"/>
        </w:rPr>
      </w:pPr>
    </w:p>
    <w:p w14:paraId="75B49D88">
      <w:pPr>
        <w:pStyle w:val="41"/>
        <w:rPr>
          <w:rStyle w:val="39"/>
          <w:rFonts w:ascii="宋体" w:hAnsi="宋体"/>
          <w:b/>
          <w:sz w:val="18"/>
          <w:szCs w:val="18"/>
        </w:rPr>
      </w:pPr>
    </w:p>
    <w:p w14:paraId="24929A01">
      <w:pPr>
        <w:pStyle w:val="41"/>
        <w:jc w:val="center"/>
        <w:rPr>
          <w:rStyle w:val="39"/>
          <w:rFonts w:ascii="宋体" w:hAnsi="宋体"/>
          <w:b/>
          <w:sz w:val="84"/>
          <w:szCs w:val="84"/>
        </w:rPr>
      </w:pPr>
      <w:r>
        <w:rPr>
          <w:rStyle w:val="39"/>
          <w:rFonts w:ascii="宋体" w:hAnsi="宋体"/>
          <w:b/>
          <w:sz w:val="84"/>
          <w:szCs w:val="84"/>
        </w:rPr>
        <w:t>招 标 文 件</w:t>
      </w:r>
    </w:p>
    <w:p w14:paraId="1EEAFF18">
      <w:pPr>
        <w:pStyle w:val="41"/>
        <w:jc w:val="center"/>
        <w:rPr>
          <w:rStyle w:val="39"/>
          <w:rFonts w:ascii="宋体" w:hAnsi="宋体"/>
          <w:b/>
          <w:sz w:val="32"/>
          <w:szCs w:val="32"/>
        </w:rPr>
      </w:pPr>
    </w:p>
    <w:p w14:paraId="7DCD7B27">
      <w:pPr>
        <w:snapToGrid w:val="0"/>
        <w:spacing w:line="560" w:lineRule="exact"/>
        <w:jc w:val="center"/>
        <w:rPr>
          <w:rFonts w:hint="eastAsia" w:ascii="宋体" w:cs="宋体"/>
          <w:b/>
          <w:bCs/>
          <w:sz w:val="30"/>
          <w:szCs w:val="30"/>
          <w:highlight w:val="none"/>
          <w:lang w:bidi="ar-SA"/>
        </w:rPr>
      </w:pPr>
      <w:r>
        <w:rPr>
          <w:rFonts w:hint="eastAsia" w:ascii="宋体" w:cs="宋体"/>
          <w:b/>
          <w:bCs/>
          <w:sz w:val="30"/>
          <w:szCs w:val="30"/>
          <w:highlight w:val="none"/>
          <w:lang w:bidi="ar-SA"/>
        </w:rPr>
        <w:t>招标编号:ZBGL2026090244</w:t>
      </w:r>
    </w:p>
    <w:p w14:paraId="700D412B">
      <w:pPr>
        <w:snapToGrid w:val="0"/>
        <w:spacing w:line="300" w:lineRule="auto"/>
        <w:ind w:firstLine="1355" w:firstLineChars="450"/>
        <w:rPr>
          <w:rStyle w:val="39"/>
          <w:rFonts w:ascii="宋体" w:hAnsi="宋体"/>
          <w:b/>
          <w:sz w:val="30"/>
        </w:rPr>
      </w:pPr>
    </w:p>
    <w:p w14:paraId="2C2F0B74">
      <w:pPr>
        <w:snapToGrid w:val="0"/>
        <w:spacing w:line="300" w:lineRule="auto"/>
        <w:ind w:firstLine="1355" w:firstLineChars="450"/>
        <w:rPr>
          <w:rStyle w:val="39"/>
          <w:rFonts w:ascii="宋体" w:hAnsi="宋体"/>
          <w:b/>
          <w:sz w:val="30"/>
        </w:rPr>
      </w:pPr>
    </w:p>
    <w:p w14:paraId="5565AEE8">
      <w:pPr>
        <w:snapToGrid w:val="0"/>
        <w:spacing w:line="300" w:lineRule="auto"/>
        <w:ind w:firstLine="1355" w:firstLineChars="450"/>
        <w:rPr>
          <w:rStyle w:val="39"/>
          <w:rFonts w:ascii="宋体" w:hAnsi="宋体"/>
          <w:b/>
          <w:sz w:val="30"/>
        </w:rPr>
      </w:pPr>
    </w:p>
    <w:p w14:paraId="1B5D3563">
      <w:pPr>
        <w:snapToGrid w:val="0"/>
        <w:spacing w:line="300" w:lineRule="auto"/>
        <w:ind w:firstLine="1355" w:firstLineChars="450"/>
        <w:rPr>
          <w:rStyle w:val="39"/>
          <w:rFonts w:ascii="宋体" w:hAnsi="宋体"/>
          <w:b/>
          <w:sz w:val="30"/>
        </w:rPr>
      </w:pPr>
    </w:p>
    <w:p w14:paraId="571E300E">
      <w:pPr>
        <w:snapToGrid w:val="0"/>
        <w:spacing w:line="300" w:lineRule="auto"/>
        <w:ind w:firstLine="1355" w:firstLineChars="450"/>
        <w:rPr>
          <w:rStyle w:val="39"/>
          <w:rFonts w:ascii="宋体" w:hAnsi="宋体"/>
          <w:b/>
          <w:sz w:val="30"/>
        </w:rPr>
      </w:pPr>
    </w:p>
    <w:p w14:paraId="372E4C68">
      <w:pPr>
        <w:pStyle w:val="13"/>
      </w:pPr>
    </w:p>
    <w:p w14:paraId="6D30B4B9">
      <w:pPr>
        <w:snapToGrid w:val="0"/>
        <w:spacing w:line="560" w:lineRule="exact"/>
        <w:rPr>
          <w:rStyle w:val="39"/>
          <w:rFonts w:ascii="宋体" w:hAnsi="宋体"/>
          <w:b/>
          <w:sz w:val="30"/>
        </w:rPr>
      </w:pPr>
    </w:p>
    <w:p w14:paraId="6F2C78CF">
      <w:pPr>
        <w:snapToGrid w:val="0"/>
        <w:spacing w:line="560" w:lineRule="exact"/>
        <w:jc w:val="center"/>
        <w:rPr>
          <w:rStyle w:val="39"/>
          <w:rFonts w:hint="eastAsia" w:ascii="宋体" w:hAnsi="宋体" w:eastAsia="宋体"/>
          <w:b/>
          <w:sz w:val="30"/>
          <w:lang w:eastAsia="zh-CN"/>
        </w:rPr>
      </w:pPr>
      <w:r>
        <w:rPr>
          <w:rStyle w:val="39"/>
          <w:rFonts w:ascii="宋体" w:hAnsi="宋体"/>
          <w:b/>
          <w:sz w:val="30"/>
        </w:rPr>
        <w:t>招 标 人：</w:t>
      </w:r>
      <w:r>
        <w:rPr>
          <w:rFonts w:hint="eastAsia" w:ascii="宋体" w:cs="宋体"/>
          <w:b/>
          <w:bCs/>
          <w:sz w:val="30"/>
          <w:szCs w:val="30"/>
          <w:highlight w:val="none"/>
          <w:lang w:bidi="ar-SA"/>
        </w:rPr>
        <w:t>中国重汽集团</w:t>
      </w:r>
      <w:r>
        <w:rPr>
          <w:rFonts w:hint="eastAsia" w:ascii="宋体" w:cs="宋体"/>
          <w:b/>
          <w:bCs/>
          <w:sz w:val="30"/>
          <w:szCs w:val="30"/>
          <w:highlight w:val="none"/>
          <w:lang w:eastAsia="zh-CN" w:bidi="ar-SA"/>
        </w:rPr>
        <w:t>济南商用车有限公司</w:t>
      </w:r>
    </w:p>
    <w:p w14:paraId="71BAC045">
      <w:pPr>
        <w:snapToGrid w:val="0"/>
        <w:spacing w:line="560" w:lineRule="exact"/>
        <w:jc w:val="center"/>
        <w:rPr>
          <w:rStyle w:val="39"/>
          <w:rFonts w:ascii="宋体" w:hAnsi="宋体"/>
          <w:b/>
          <w:sz w:val="30"/>
        </w:rPr>
      </w:pPr>
      <w:r>
        <w:rPr>
          <w:rStyle w:val="39"/>
          <w:rFonts w:ascii="宋体" w:hAnsi="宋体"/>
          <w:b/>
          <w:sz w:val="30"/>
        </w:rPr>
        <w:t>编制日期：二〇</w:t>
      </w:r>
      <w:r>
        <w:rPr>
          <w:rStyle w:val="39"/>
          <w:rFonts w:hint="eastAsia" w:ascii="宋体" w:hAnsi="宋体"/>
          <w:b/>
          <w:sz w:val="30"/>
        </w:rPr>
        <w:t>二</w:t>
      </w:r>
      <w:r>
        <w:rPr>
          <w:rStyle w:val="39"/>
          <w:rFonts w:hint="eastAsia" w:ascii="宋体" w:hAnsi="宋体"/>
          <w:b/>
          <w:sz w:val="30"/>
          <w:lang w:val="en-US" w:eastAsia="zh-CN"/>
        </w:rPr>
        <w:t>六</w:t>
      </w:r>
      <w:r>
        <w:rPr>
          <w:rStyle w:val="39"/>
          <w:rFonts w:ascii="宋体" w:hAnsi="宋体"/>
          <w:b/>
          <w:sz w:val="30"/>
        </w:rPr>
        <w:t>年</w:t>
      </w:r>
      <w:r>
        <w:rPr>
          <w:rStyle w:val="39"/>
          <w:rFonts w:hint="eastAsia" w:ascii="宋体" w:hAnsi="宋体"/>
          <w:b/>
          <w:sz w:val="30"/>
          <w:lang w:val="en-US" w:eastAsia="zh-CN"/>
        </w:rPr>
        <w:t>九</w:t>
      </w:r>
      <w:r>
        <w:rPr>
          <w:rStyle w:val="39"/>
          <w:rFonts w:ascii="宋体" w:hAnsi="宋体"/>
          <w:b/>
          <w:sz w:val="30"/>
        </w:rPr>
        <w:t>月</w:t>
      </w:r>
    </w:p>
    <w:p w14:paraId="139F0D17">
      <w:pPr>
        <w:snapToGrid w:val="0"/>
        <w:spacing w:line="360" w:lineRule="auto"/>
        <w:jc w:val="center"/>
        <w:rPr>
          <w:rStyle w:val="39"/>
          <w:rFonts w:ascii="宋体" w:hAnsi="宋体"/>
          <w:b/>
          <w:sz w:val="32"/>
          <w:szCs w:val="44"/>
        </w:rPr>
      </w:pPr>
      <w:r>
        <w:rPr>
          <w:rStyle w:val="39"/>
          <w:rFonts w:ascii="宋体" w:hAnsi="宋体"/>
          <w:b/>
          <w:sz w:val="30"/>
        </w:rPr>
        <w:br w:type="page"/>
      </w:r>
      <w:r>
        <w:rPr>
          <w:rStyle w:val="39"/>
          <w:rFonts w:ascii="宋体" w:hAnsi="宋体"/>
          <w:b/>
          <w:sz w:val="32"/>
          <w:szCs w:val="44"/>
        </w:rPr>
        <w:t>目   录</w:t>
      </w:r>
    </w:p>
    <w:p w14:paraId="49B7658E">
      <w:pPr>
        <w:pStyle w:val="19"/>
        <w:tabs>
          <w:tab w:val="right" w:leader="dot" w:pos="9900"/>
          <w:tab w:val="clear" w:pos="9629"/>
        </w:tabs>
      </w:pPr>
      <w:r>
        <w:rPr>
          <w:rStyle w:val="39"/>
          <w:sz w:val="20"/>
        </w:rPr>
        <w:fldChar w:fldCharType="begin"/>
      </w:r>
      <w:r>
        <w:rPr>
          <w:rStyle w:val="39"/>
          <w:rFonts w:asciiTheme="minorEastAsia" w:hAnsiTheme="minorEastAsia" w:eastAsiaTheme="minorEastAsia"/>
          <w:sz w:val="20"/>
          <w:szCs w:val="21"/>
        </w:rPr>
        <w:instrText xml:space="preserve"> TOC \o "1-3" \h \z \u </w:instrText>
      </w:r>
      <w:r>
        <w:rPr>
          <w:rStyle w:val="39"/>
          <w:sz w:val="20"/>
        </w:rPr>
        <w:fldChar w:fldCharType="separate"/>
      </w:r>
      <w:r>
        <w:fldChar w:fldCharType="begin"/>
      </w:r>
      <w:r>
        <w:instrText xml:space="preserve"> HYPERLINK \l _Toc27923 </w:instrText>
      </w:r>
      <w:r>
        <w:fldChar w:fldCharType="separate"/>
      </w:r>
      <w:r>
        <w:rPr>
          <w:szCs w:val="48"/>
        </w:rPr>
        <w:t>第一卷</w:t>
      </w:r>
      <w:r>
        <w:tab/>
      </w:r>
      <w:r>
        <w:fldChar w:fldCharType="begin"/>
      </w:r>
      <w:r>
        <w:instrText xml:space="preserve"> PAGEREF _Toc27923 \h </w:instrText>
      </w:r>
      <w:r>
        <w:fldChar w:fldCharType="separate"/>
      </w:r>
      <w:r>
        <w:t>3</w:t>
      </w:r>
      <w:r>
        <w:fldChar w:fldCharType="end"/>
      </w:r>
      <w:r>
        <w:fldChar w:fldCharType="end"/>
      </w:r>
    </w:p>
    <w:p w14:paraId="10B813E5">
      <w:pPr>
        <w:pStyle w:val="4"/>
        <w:tabs>
          <w:tab w:val="right" w:leader="dot" w:pos="9900"/>
          <w:tab w:val="clear" w:pos="9629"/>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_Toc15906 </w:instrText>
      </w:r>
      <w:r>
        <w:rPr>
          <w:rFonts w:asciiTheme="minorEastAsia" w:hAnsiTheme="minorEastAsia" w:eastAsiaTheme="minorEastAsia"/>
          <w:szCs w:val="21"/>
        </w:rPr>
        <w:fldChar w:fldCharType="separate"/>
      </w:r>
      <w:r>
        <w:rPr>
          <w:rFonts w:hint="eastAsia"/>
          <w:i w:val="0"/>
          <w:szCs w:val="32"/>
        </w:rPr>
        <w:t>第一章   招标公告</w:t>
      </w:r>
      <w:r>
        <w:tab/>
      </w:r>
      <w:r>
        <w:fldChar w:fldCharType="begin"/>
      </w:r>
      <w:r>
        <w:instrText xml:space="preserve"> PAGEREF _Toc15906 \h </w:instrText>
      </w:r>
      <w:r>
        <w:fldChar w:fldCharType="separate"/>
      </w:r>
      <w:r>
        <w:t>4</w:t>
      </w:r>
      <w:r>
        <w:fldChar w:fldCharType="end"/>
      </w:r>
      <w:r>
        <w:rPr>
          <w:rFonts w:asciiTheme="minorEastAsia" w:hAnsiTheme="minorEastAsia" w:eastAsiaTheme="minorEastAsia"/>
          <w:szCs w:val="21"/>
        </w:rPr>
        <w:fldChar w:fldCharType="end"/>
      </w:r>
    </w:p>
    <w:p w14:paraId="034890A0">
      <w:pPr>
        <w:pStyle w:val="4"/>
        <w:tabs>
          <w:tab w:val="right" w:leader="dot" w:pos="9900"/>
          <w:tab w:val="clear" w:pos="9629"/>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_Toc22244 </w:instrText>
      </w:r>
      <w:r>
        <w:rPr>
          <w:rFonts w:asciiTheme="minorEastAsia" w:hAnsiTheme="minorEastAsia" w:eastAsiaTheme="minorEastAsia"/>
          <w:szCs w:val="21"/>
        </w:rPr>
        <w:fldChar w:fldCharType="separate"/>
      </w:r>
      <w:r>
        <w:rPr>
          <w:rFonts w:hint="eastAsia"/>
          <w:i w:val="0"/>
          <w:iCs w:val="0"/>
          <w:szCs w:val="32"/>
        </w:rPr>
        <w:t xml:space="preserve">第二章  </w:t>
      </w:r>
      <w:r>
        <w:rPr>
          <w:i w:val="0"/>
          <w:iCs w:val="0"/>
          <w:szCs w:val="32"/>
        </w:rPr>
        <w:t>投标人须知</w:t>
      </w:r>
      <w:r>
        <w:tab/>
      </w:r>
      <w:r>
        <w:fldChar w:fldCharType="begin"/>
      </w:r>
      <w:r>
        <w:instrText xml:space="preserve"> PAGEREF _Toc22244 \h </w:instrText>
      </w:r>
      <w:r>
        <w:fldChar w:fldCharType="separate"/>
      </w:r>
      <w:r>
        <w:t>19</w:t>
      </w:r>
      <w:r>
        <w:fldChar w:fldCharType="end"/>
      </w:r>
      <w:r>
        <w:rPr>
          <w:rFonts w:asciiTheme="minorEastAsia" w:hAnsiTheme="minorEastAsia" w:eastAsiaTheme="minorEastAsia"/>
          <w:szCs w:val="21"/>
        </w:rPr>
        <w:fldChar w:fldCharType="end"/>
      </w:r>
    </w:p>
    <w:p w14:paraId="0FFB4650">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_Toc2140 </w:instrText>
      </w:r>
      <w:r>
        <w:rPr>
          <w:rFonts w:asciiTheme="minorEastAsia" w:hAnsiTheme="minorEastAsia" w:eastAsiaTheme="minorEastAsia"/>
          <w:szCs w:val="21"/>
        </w:rPr>
        <w:fldChar w:fldCharType="separate"/>
      </w:r>
      <w:r>
        <w:rPr>
          <w:szCs w:val="30"/>
        </w:rPr>
        <w:t>投标人须知前附表</w:t>
      </w:r>
      <w:r>
        <w:tab/>
      </w:r>
      <w:r>
        <w:fldChar w:fldCharType="begin"/>
      </w:r>
      <w:r>
        <w:instrText xml:space="preserve"> PAGEREF _Toc2140 \h </w:instrText>
      </w:r>
      <w:r>
        <w:fldChar w:fldCharType="separate"/>
      </w:r>
      <w:r>
        <w:t>19</w:t>
      </w:r>
      <w:r>
        <w:fldChar w:fldCharType="end"/>
      </w:r>
      <w:r>
        <w:rPr>
          <w:rFonts w:asciiTheme="minorEastAsia" w:hAnsiTheme="minorEastAsia" w:eastAsiaTheme="minorEastAsia"/>
          <w:szCs w:val="21"/>
        </w:rPr>
        <w:fldChar w:fldCharType="end"/>
      </w:r>
    </w:p>
    <w:p w14:paraId="2CAC170F">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_Toc28350 </w:instrText>
      </w:r>
      <w:r>
        <w:rPr>
          <w:rFonts w:asciiTheme="minorEastAsia" w:hAnsiTheme="minorEastAsia" w:eastAsiaTheme="minorEastAsia"/>
          <w:szCs w:val="21"/>
        </w:rPr>
        <w:fldChar w:fldCharType="separate"/>
      </w:r>
      <w:r>
        <w:rPr>
          <w:szCs w:val="30"/>
        </w:rPr>
        <w:t>1. 总则</w:t>
      </w:r>
      <w:r>
        <w:tab/>
      </w:r>
      <w:r>
        <w:fldChar w:fldCharType="begin"/>
      </w:r>
      <w:r>
        <w:instrText xml:space="preserve"> PAGEREF _Toc28350 \h </w:instrText>
      </w:r>
      <w:r>
        <w:fldChar w:fldCharType="separate"/>
      </w:r>
      <w:r>
        <w:t>26</w:t>
      </w:r>
      <w:r>
        <w:fldChar w:fldCharType="end"/>
      </w:r>
      <w:r>
        <w:rPr>
          <w:rFonts w:asciiTheme="minorEastAsia" w:hAnsiTheme="minorEastAsia" w:eastAsiaTheme="minorEastAsia"/>
          <w:szCs w:val="21"/>
        </w:rPr>
        <w:fldChar w:fldCharType="end"/>
      </w:r>
    </w:p>
    <w:p w14:paraId="6E8BC53C">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_Toc30184 </w:instrText>
      </w:r>
      <w:r>
        <w:rPr>
          <w:rFonts w:asciiTheme="minorEastAsia" w:hAnsiTheme="minorEastAsia" w:eastAsiaTheme="minorEastAsia"/>
          <w:szCs w:val="21"/>
        </w:rPr>
        <w:fldChar w:fldCharType="separate"/>
      </w:r>
      <w:r>
        <w:rPr>
          <w:szCs w:val="30"/>
        </w:rPr>
        <w:t>2. 招标文件</w:t>
      </w:r>
      <w:r>
        <w:tab/>
      </w:r>
      <w:r>
        <w:fldChar w:fldCharType="begin"/>
      </w:r>
      <w:r>
        <w:instrText xml:space="preserve"> PAGEREF _Toc30184 \h </w:instrText>
      </w:r>
      <w:r>
        <w:fldChar w:fldCharType="separate"/>
      </w:r>
      <w:r>
        <w:t>29</w:t>
      </w:r>
      <w:r>
        <w:fldChar w:fldCharType="end"/>
      </w:r>
      <w:r>
        <w:rPr>
          <w:rFonts w:asciiTheme="minorEastAsia" w:hAnsiTheme="minorEastAsia" w:eastAsiaTheme="minorEastAsia"/>
          <w:szCs w:val="21"/>
        </w:rPr>
        <w:fldChar w:fldCharType="end"/>
      </w:r>
    </w:p>
    <w:p w14:paraId="1258BD1E">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_Toc29034 </w:instrText>
      </w:r>
      <w:r>
        <w:rPr>
          <w:rFonts w:asciiTheme="minorEastAsia" w:hAnsiTheme="minorEastAsia" w:eastAsiaTheme="minorEastAsia"/>
          <w:szCs w:val="21"/>
        </w:rPr>
        <w:fldChar w:fldCharType="separate"/>
      </w:r>
      <w:r>
        <w:rPr>
          <w:rFonts w:ascii="Times New Roman" w:hAnsi="Times New Roman"/>
          <w:szCs w:val="30"/>
        </w:rPr>
        <w:t>3. 投标文件</w:t>
      </w:r>
      <w:r>
        <w:tab/>
      </w:r>
      <w:r>
        <w:fldChar w:fldCharType="begin"/>
      </w:r>
      <w:r>
        <w:instrText xml:space="preserve"> PAGEREF _Toc29034 \h </w:instrText>
      </w:r>
      <w:r>
        <w:fldChar w:fldCharType="separate"/>
      </w:r>
      <w:r>
        <w:t>30</w:t>
      </w:r>
      <w:r>
        <w:fldChar w:fldCharType="end"/>
      </w:r>
      <w:r>
        <w:rPr>
          <w:rFonts w:asciiTheme="minorEastAsia" w:hAnsiTheme="minorEastAsia" w:eastAsiaTheme="minorEastAsia"/>
          <w:szCs w:val="21"/>
        </w:rPr>
        <w:fldChar w:fldCharType="end"/>
      </w:r>
    </w:p>
    <w:p w14:paraId="19467FF2">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_Toc19470 </w:instrText>
      </w:r>
      <w:r>
        <w:rPr>
          <w:rFonts w:asciiTheme="minorEastAsia" w:hAnsiTheme="minorEastAsia" w:eastAsiaTheme="minorEastAsia"/>
          <w:szCs w:val="21"/>
        </w:rPr>
        <w:fldChar w:fldCharType="separate"/>
      </w:r>
      <w:r>
        <w:rPr>
          <w:rFonts w:ascii="Times New Roman" w:hAnsi="Times New Roman"/>
          <w:szCs w:val="30"/>
        </w:rPr>
        <w:t>4. 投标</w:t>
      </w:r>
      <w:r>
        <w:tab/>
      </w:r>
      <w:r>
        <w:fldChar w:fldCharType="begin"/>
      </w:r>
      <w:r>
        <w:instrText xml:space="preserve"> PAGEREF _Toc19470 \h </w:instrText>
      </w:r>
      <w:r>
        <w:fldChar w:fldCharType="separate"/>
      </w:r>
      <w:r>
        <w:t>32</w:t>
      </w:r>
      <w:r>
        <w:fldChar w:fldCharType="end"/>
      </w:r>
      <w:r>
        <w:rPr>
          <w:rFonts w:asciiTheme="minorEastAsia" w:hAnsiTheme="minorEastAsia" w:eastAsiaTheme="minorEastAsia"/>
          <w:szCs w:val="21"/>
        </w:rPr>
        <w:fldChar w:fldCharType="end"/>
      </w:r>
    </w:p>
    <w:p w14:paraId="2A7C7638">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_Toc5142 </w:instrText>
      </w:r>
      <w:r>
        <w:rPr>
          <w:rFonts w:asciiTheme="minorEastAsia" w:hAnsiTheme="minorEastAsia" w:eastAsiaTheme="minorEastAsia"/>
          <w:szCs w:val="21"/>
        </w:rPr>
        <w:fldChar w:fldCharType="separate"/>
      </w:r>
      <w:r>
        <w:rPr>
          <w:szCs w:val="30"/>
        </w:rPr>
        <w:t>5. 开标</w:t>
      </w:r>
      <w:r>
        <w:tab/>
      </w:r>
      <w:r>
        <w:fldChar w:fldCharType="begin"/>
      </w:r>
      <w:r>
        <w:instrText xml:space="preserve"> PAGEREF _Toc5142 \h </w:instrText>
      </w:r>
      <w:r>
        <w:fldChar w:fldCharType="separate"/>
      </w:r>
      <w:r>
        <w:t>33</w:t>
      </w:r>
      <w:r>
        <w:fldChar w:fldCharType="end"/>
      </w:r>
      <w:r>
        <w:rPr>
          <w:rFonts w:asciiTheme="minorEastAsia" w:hAnsiTheme="minorEastAsia" w:eastAsiaTheme="minorEastAsia"/>
          <w:szCs w:val="21"/>
        </w:rPr>
        <w:fldChar w:fldCharType="end"/>
      </w:r>
    </w:p>
    <w:p w14:paraId="196492BB">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_Toc13776 </w:instrText>
      </w:r>
      <w:r>
        <w:rPr>
          <w:rFonts w:asciiTheme="minorEastAsia" w:hAnsiTheme="minorEastAsia" w:eastAsiaTheme="minorEastAsia"/>
          <w:szCs w:val="21"/>
        </w:rPr>
        <w:fldChar w:fldCharType="separate"/>
      </w:r>
      <w:r>
        <w:rPr>
          <w:szCs w:val="30"/>
        </w:rPr>
        <w:t>6. 评标</w:t>
      </w:r>
      <w:r>
        <w:tab/>
      </w:r>
      <w:r>
        <w:fldChar w:fldCharType="begin"/>
      </w:r>
      <w:r>
        <w:instrText xml:space="preserve"> PAGEREF _Toc13776 \h </w:instrText>
      </w:r>
      <w:r>
        <w:fldChar w:fldCharType="separate"/>
      </w:r>
      <w:r>
        <w:t>34</w:t>
      </w:r>
      <w:r>
        <w:fldChar w:fldCharType="end"/>
      </w:r>
      <w:r>
        <w:rPr>
          <w:rFonts w:asciiTheme="minorEastAsia" w:hAnsiTheme="minorEastAsia" w:eastAsiaTheme="minorEastAsia"/>
          <w:szCs w:val="21"/>
        </w:rPr>
        <w:fldChar w:fldCharType="end"/>
      </w:r>
    </w:p>
    <w:p w14:paraId="5D73C7D4">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_Toc7708 </w:instrText>
      </w:r>
      <w:r>
        <w:rPr>
          <w:rFonts w:asciiTheme="minorEastAsia" w:hAnsiTheme="minorEastAsia" w:eastAsiaTheme="minorEastAsia"/>
          <w:szCs w:val="21"/>
        </w:rPr>
        <w:fldChar w:fldCharType="separate"/>
      </w:r>
      <w:r>
        <w:rPr>
          <w:szCs w:val="30"/>
        </w:rPr>
        <w:t>7. 合同授予</w:t>
      </w:r>
      <w:r>
        <w:tab/>
      </w:r>
      <w:r>
        <w:fldChar w:fldCharType="begin"/>
      </w:r>
      <w:r>
        <w:instrText xml:space="preserve"> PAGEREF _Toc7708 \h </w:instrText>
      </w:r>
      <w:r>
        <w:fldChar w:fldCharType="separate"/>
      </w:r>
      <w:r>
        <w:t>36</w:t>
      </w:r>
      <w:r>
        <w:fldChar w:fldCharType="end"/>
      </w:r>
      <w:r>
        <w:rPr>
          <w:rFonts w:asciiTheme="minorEastAsia" w:hAnsiTheme="minorEastAsia" w:eastAsiaTheme="minorEastAsia"/>
          <w:szCs w:val="21"/>
        </w:rPr>
        <w:fldChar w:fldCharType="end"/>
      </w:r>
    </w:p>
    <w:p w14:paraId="4085342F">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_Toc3067 </w:instrText>
      </w:r>
      <w:r>
        <w:rPr>
          <w:rFonts w:asciiTheme="minorEastAsia" w:hAnsiTheme="minorEastAsia" w:eastAsiaTheme="minorEastAsia"/>
          <w:szCs w:val="21"/>
        </w:rPr>
        <w:fldChar w:fldCharType="separate"/>
      </w:r>
      <w:r>
        <w:rPr>
          <w:rFonts w:ascii="Times New Roman" w:hAnsi="Times New Roman"/>
          <w:szCs w:val="30"/>
        </w:rPr>
        <w:t>8. 重新招标和不再招标</w:t>
      </w:r>
      <w:r>
        <w:tab/>
      </w:r>
      <w:r>
        <w:fldChar w:fldCharType="begin"/>
      </w:r>
      <w:r>
        <w:instrText xml:space="preserve"> PAGEREF _Toc3067 \h </w:instrText>
      </w:r>
      <w:r>
        <w:fldChar w:fldCharType="separate"/>
      </w:r>
      <w:r>
        <w:t>37</w:t>
      </w:r>
      <w:r>
        <w:fldChar w:fldCharType="end"/>
      </w:r>
      <w:r>
        <w:rPr>
          <w:rFonts w:asciiTheme="minorEastAsia" w:hAnsiTheme="minorEastAsia" w:eastAsiaTheme="minorEastAsia"/>
          <w:szCs w:val="21"/>
        </w:rPr>
        <w:fldChar w:fldCharType="end"/>
      </w:r>
    </w:p>
    <w:p w14:paraId="21DD5E1D">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_Toc24713 </w:instrText>
      </w:r>
      <w:r>
        <w:rPr>
          <w:rFonts w:asciiTheme="minorEastAsia" w:hAnsiTheme="minorEastAsia" w:eastAsiaTheme="minorEastAsia"/>
          <w:szCs w:val="21"/>
        </w:rPr>
        <w:fldChar w:fldCharType="separate"/>
      </w:r>
      <w:r>
        <w:rPr>
          <w:rFonts w:ascii="Times New Roman" w:hAnsi="Times New Roman"/>
          <w:szCs w:val="30"/>
        </w:rPr>
        <w:t>9. 纪律和监督</w:t>
      </w:r>
      <w:r>
        <w:tab/>
      </w:r>
      <w:r>
        <w:fldChar w:fldCharType="begin"/>
      </w:r>
      <w:r>
        <w:instrText xml:space="preserve"> PAGEREF _Toc24713 \h </w:instrText>
      </w:r>
      <w:r>
        <w:fldChar w:fldCharType="separate"/>
      </w:r>
      <w:r>
        <w:t>37</w:t>
      </w:r>
      <w:r>
        <w:fldChar w:fldCharType="end"/>
      </w:r>
      <w:r>
        <w:rPr>
          <w:rFonts w:asciiTheme="minorEastAsia" w:hAnsiTheme="minorEastAsia" w:eastAsiaTheme="minorEastAsia"/>
          <w:szCs w:val="21"/>
        </w:rPr>
        <w:fldChar w:fldCharType="end"/>
      </w:r>
    </w:p>
    <w:p w14:paraId="425E5CF4">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_Toc4368 </w:instrText>
      </w:r>
      <w:r>
        <w:rPr>
          <w:rFonts w:asciiTheme="minorEastAsia" w:hAnsiTheme="minorEastAsia" w:eastAsiaTheme="minorEastAsia"/>
          <w:szCs w:val="21"/>
        </w:rPr>
        <w:fldChar w:fldCharType="separate"/>
      </w:r>
      <w:r>
        <w:rPr>
          <w:rFonts w:ascii="Times New Roman" w:hAnsi="Times New Roman"/>
          <w:szCs w:val="30"/>
        </w:rPr>
        <w:t>10.中标人瑕疵滞后发现的处理原则</w:t>
      </w:r>
      <w:r>
        <w:tab/>
      </w:r>
      <w:r>
        <w:fldChar w:fldCharType="begin"/>
      </w:r>
      <w:r>
        <w:instrText xml:space="preserve"> PAGEREF _Toc4368 \h </w:instrText>
      </w:r>
      <w:r>
        <w:fldChar w:fldCharType="separate"/>
      </w:r>
      <w:r>
        <w:t>38</w:t>
      </w:r>
      <w:r>
        <w:fldChar w:fldCharType="end"/>
      </w:r>
      <w:r>
        <w:rPr>
          <w:rFonts w:asciiTheme="minorEastAsia" w:hAnsiTheme="minorEastAsia" w:eastAsiaTheme="minorEastAsia"/>
          <w:szCs w:val="21"/>
        </w:rPr>
        <w:fldChar w:fldCharType="end"/>
      </w:r>
    </w:p>
    <w:p w14:paraId="759E3305">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_Toc6873 </w:instrText>
      </w:r>
      <w:r>
        <w:rPr>
          <w:rFonts w:asciiTheme="minorEastAsia" w:hAnsiTheme="minorEastAsia" w:eastAsiaTheme="minorEastAsia"/>
          <w:szCs w:val="21"/>
        </w:rPr>
        <w:fldChar w:fldCharType="separate"/>
      </w:r>
      <w:r>
        <w:rPr>
          <w:rFonts w:ascii="Times New Roman" w:hAnsi="Times New Roman"/>
          <w:szCs w:val="30"/>
        </w:rPr>
        <w:t>11. 需要补充的其他内容</w:t>
      </w:r>
      <w:r>
        <w:tab/>
      </w:r>
      <w:r>
        <w:fldChar w:fldCharType="begin"/>
      </w:r>
      <w:r>
        <w:instrText xml:space="preserve"> PAGEREF _Toc6873 \h </w:instrText>
      </w:r>
      <w:r>
        <w:fldChar w:fldCharType="separate"/>
      </w:r>
      <w:r>
        <w:t>38</w:t>
      </w:r>
      <w:r>
        <w:fldChar w:fldCharType="end"/>
      </w:r>
      <w:r>
        <w:rPr>
          <w:rFonts w:asciiTheme="minorEastAsia" w:hAnsiTheme="minorEastAsia" w:eastAsiaTheme="minorEastAsia"/>
          <w:szCs w:val="21"/>
        </w:rPr>
        <w:fldChar w:fldCharType="end"/>
      </w:r>
    </w:p>
    <w:p w14:paraId="0D8AD783">
      <w:pPr>
        <w:pStyle w:val="4"/>
        <w:tabs>
          <w:tab w:val="right" w:leader="dot" w:pos="9900"/>
          <w:tab w:val="clear" w:pos="9629"/>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_Toc31123 </w:instrText>
      </w:r>
      <w:r>
        <w:rPr>
          <w:rFonts w:asciiTheme="minorEastAsia" w:hAnsiTheme="minorEastAsia" w:eastAsiaTheme="minorEastAsia"/>
          <w:szCs w:val="21"/>
        </w:rPr>
        <w:fldChar w:fldCharType="separate"/>
      </w:r>
      <w:r>
        <w:rPr>
          <w:i w:val="0"/>
          <w:iCs w:val="0"/>
          <w:szCs w:val="32"/>
        </w:rPr>
        <w:t>第三章 评标办法</w:t>
      </w:r>
      <w:r>
        <w:tab/>
      </w:r>
      <w:r>
        <w:fldChar w:fldCharType="begin"/>
      </w:r>
      <w:r>
        <w:instrText xml:space="preserve"> PAGEREF _Toc31123 \h </w:instrText>
      </w:r>
      <w:r>
        <w:fldChar w:fldCharType="separate"/>
      </w:r>
      <w:r>
        <w:t>39</w:t>
      </w:r>
      <w:r>
        <w:fldChar w:fldCharType="end"/>
      </w:r>
      <w:r>
        <w:rPr>
          <w:rFonts w:asciiTheme="minorEastAsia" w:hAnsiTheme="minorEastAsia" w:eastAsiaTheme="minorEastAsia"/>
          <w:szCs w:val="21"/>
        </w:rPr>
        <w:fldChar w:fldCharType="end"/>
      </w:r>
    </w:p>
    <w:p w14:paraId="0AE09135">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_Toc16017 </w:instrText>
      </w:r>
      <w:r>
        <w:rPr>
          <w:rFonts w:asciiTheme="minorEastAsia" w:hAnsiTheme="minorEastAsia" w:eastAsiaTheme="minorEastAsia"/>
          <w:szCs w:val="21"/>
        </w:rPr>
        <w:fldChar w:fldCharType="separate"/>
      </w:r>
      <w:r>
        <w:rPr>
          <w:szCs w:val="30"/>
        </w:rPr>
        <w:t>一、评标办法前附表</w:t>
      </w:r>
      <w:r>
        <w:tab/>
      </w:r>
      <w:r>
        <w:fldChar w:fldCharType="begin"/>
      </w:r>
      <w:r>
        <w:instrText xml:space="preserve"> PAGEREF _Toc16017 \h </w:instrText>
      </w:r>
      <w:r>
        <w:fldChar w:fldCharType="separate"/>
      </w:r>
      <w:r>
        <w:t>39</w:t>
      </w:r>
      <w:r>
        <w:fldChar w:fldCharType="end"/>
      </w:r>
      <w:r>
        <w:rPr>
          <w:rFonts w:asciiTheme="minorEastAsia" w:hAnsiTheme="minorEastAsia" w:eastAsiaTheme="minorEastAsia"/>
          <w:szCs w:val="21"/>
        </w:rPr>
        <w:fldChar w:fldCharType="end"/>
      </w:r>
    </w:p>
    <w:p w14:paraId="6A14A138">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_Toc3011 </w:instrText>
      </w:r>
      <w:r>
        <w:rPr>
          <w:rFonts w:asciiTheme="minorEastAsia" w:hAnsiTheme="minorEastAsia" w:eastAsiaTheme="minorEastAsia"/>
          <w:szCs w:val="21"/>
        </w:rPr>
        <w:fldChar w:fldCharType="separate"/>
      </w:r>
      <w:r>
        <w:rPr>
          <w:szCs w:val="30"/>
        </w:rPr>
        <w:t>二、评标办法</w:t>
      </w:r>
      <w:r>
        <w:tab/>
      </w:r>
      <w:r>
        <w:fldChar w:fldCharType="begin"/>
      </w:r>
      <w:r>
        <w:instrText xml:space="preserve"> PAGEREF _Toc3011 \h </w:instrText>
      </w:r>
      <w:r>
        <w:fldChar w:fldCharType="separate"/>
      </w:r>
      <w:r>
        <w:t>43</w:t>
      </w:r>
      <w:r>
        <w:fldChar w:fldCharType="end"/>
      </w:r>
      <w:r>
        <w:rPr>
          <w:rFonts w:asciiTheme="minorEastAsia" w:hAnsiTheme="minorEastAsia" w:eastAsiaTheme="minorEastAsia"/>
          <w:szCs w:val="21"/>
        </w:rPr>
        <w:fldChar w:fldCharType="end"/>
      </w:r>
    </w:p>
    <w:p w14:paraId="30046159">
      <w:pPr>
        <w:pStyle w:val="4"/>
        <w:tabs>
          <w:tab w:val="right" w:leader="dot" w:pos="9900"/>
          <w:tab w:val="clear" w:pos="9629"/>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_Toc20634 </w:instrText>
      </w:r>
      <w:r>
        <w:rPr>
          <w:rFonts w:asciiTheme="minorEastAsia" w:hAnsiTheme="minorEastAsia" w:eastAsiaTheme="minorEastAsia"/>
          <w:szCs w:val="21"/>
        </w:rPr>
        <w:fldChar w:fldCharType="separate"/>
      </w:r>
      <w:r>
        <w:rPr>
          <w:i w:val="0"/>
          <w:iCs w:val="0"/>
          <w:szCs w:val="32"/>
        </w:rPr>
        <w:t>第四章合同条款及格式</w:t>
      </w:r>
      <w:r>
        <w:tab/>
      </w:r>
      <w:r>
        <w:fldChar w:fldCharType="begin"/>
      </w:r>
      <w:r>
        <w:instrText xml:space="preserve"> PAGEREF _Toc20634 \h </w:instrText>
      </w:r>
      <w:r>
        <w:fldChar w:fldCharType="separate"/>
      </w:r>
      <w:r>
        <w:t>48</w:t>
      </w:r>
      <w:r>
        <w:fldChar w:fldCharType="end"/>
      </w:r>
      <w:r>
        <w:rPr>
          <w:rFonts w:asciiTheme="minorEastAsia" w:hAnsiTheme="minorEastAsia" w:eastAsiaTheme="minorEastAsia"/>
          <w:szCs w:val="21"/>
        </w:rPr>
        <w:fldChar w:fldCharType="end"/>
      </w:r>
    </w:p>
    <w:p w14:paraId="3EC8254E">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_Toc14845 </w:instrText>
      </w:r>
      <w:r>
        <w:rPr>
          <w:rFonts w:asciiTheme="minorEastAsia" w:hAnsiTheme="minorEastAsia" w:eastAsiaTheme="minorEastAsia"/>
          <w:szCs w:val="21"/>
        </w:rPr>
        <w:fldChar w:fldCharType="separate"/>
      </w:r>
      <w:r>
        <w:rPr>
          <w:rFonts w:ascii="Times New Roman" w:hAnsi="Times New Roman" w:eastAsia="华文中宋"/>
          <w:szCs w:val="44"/>
        </w:rPr>
        <w:t>第一部分 合同协议书</w:t>
      </w:r>
      <w:r>
        <w:tab/>
      </w:r>
      <w:r>
        <w:fldChar w:fldCharType="begin"/>
      </w:r>
      <w:r>
        <w:instrText xml:space="preserve"> PAGEREF _Toc14845 \h </w:instrText>
      </w:r>
      <w:r>
        <w:fldChar w:fldCharType="separate"/>
      </w:r>
      <w:r>
        <w:t>49</w:t>
      </w:r>
      <w:r>
        <w:fldChar w:fldCharType="end"/>
      </w:r>
      <w:r>
        <w:rPr>
          <w:rFonts w:asciiTheme="minorEastAsia" w:hAnsiTheme="minorEastAsia" w:eastAsiaTheme="minorEastAsia"/>
          <w:szCs w:val="21"/>
        </w:rPr>
        <w:fldChar w:fldCharType="end"/>
      </w:r>
    </w:p>
    <w:p w14:paraId="30E48CE4">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_Toc24206 </w:instrText>
      </w:r>
      <w:r>
        <w:rPr>
          <w:rFonts w:asciiTheme="minorEastAsia" w:hAnsiTheme="minorEastAsia" w:eastAsiaTheme="minorEastAsia"/>
          <w:szCs w:val="21"/>
        </w:rPr>
        <w:fldChar w:fldCharType="separate"/>
      </w:r>
      <w:r>
        <w:rPr>
          <w:rFonts w:ascii="Times New Roman" w:hAnsi="Times New Roman" w:eastAsia="华文中宋"/>
          <w:szCs w:val="44"/>
        </w:rPr>
        <w:t>第二部分 通用合同条款</w:t>
      </w:r>
      <w:r>
        <w:tab/>
      </w:r>
      <w:r>
        <w:fldChar w:fldCharType="begin"/>
      </w:r>
      <w:r>
        <w:instrText xml:space="preserve"> PAGEREF _Toc24206 \h </w:instrText>
      </w:r>
      <w:r>
        <w:fldChar w:fldCharType="separate"/>
      </w:r>
      <w:r>
        <w:t>56</w:t>
      </w:r>
      <w:r>
        <w:fldChar w:fldCharType="end"/>
      </w:r>
      <w:r>
        <w:rPr>
          <w:rFonts w:asciiTheme="minorEastAsia" w:hAnsiTheme="minorEastAsia" w:eastAsiaTheme="minorEastAsia"/>
          <w:szCs w:val="21"/>
        </w:rPr>
        <w:fldChar w:fldCharType="end"/>
      </w:r>
    </w:p>
    <w:p w14:paraId="1833D583">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_Toc30047 </w:instrText>
      </w:r>
      <w:r>
        <w:rPr>
          <w:rFonts w:asciiTheme="minorEastAsia" w:hAnsiTheme="minorEastAsia" w:eastAsiaTheme="minorEastAsia"/>
          <w:szCs w:val="21"/>
        </w:rPr>
        <w:fldChar w:fldCharType="separate"/>
      </w:r>
      <w:r>
        <w:rPr>
          <w:rFonts w:ascii="Times New Roman" w:hAnsi="Times New Roman" w:eastAsia="华文中宋"/>
          <w:szCs w:val="44"/>
        </w:rPr>
        <w:t>第三部分 专用合同条款</w:t>
      </w:r>
      <w:r>
        <w:tab/>
      </w:r>
      <w:r>
        <w:fldChar w:fldCharType="begin"/>
      </w:r>
      <w:r>
        <w:instrText xml:space="preserve"> PAGEREF _Toc30047 \h </w:instrText>
      </w:r>
      <w:r>
        <w:fldChar w:fldCharType="separate"/>
      </w:r>
      <w:r>
        <w:t>57</w:t>
      </w:r>
      <w:r>
        <w:fldChar w:fldCharType="end"/>
      </w:r>
      <w:r>
        <w:rPr>
          <w:rFonts w:asciiTheme="minorEastAsia" w:hAnsiTheme="minorEastAsia" w:eastAsiaTheme="minorEastAsia"/>
          <w:szCs w:val="21"/>
        </w:rPr>
        <w:fldChar w:fldCharType="end"/>
      </w:r>
    </w:p>
    <w:p w14:paraId="0E248395">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_Toc28501 </w:instrText>
      </w:r>
      <w:r>
        <w:rPr>
          <w:rFonts w:asciiTheme="minorEastAsia" w:hAnsiTheme="minorEastAsia" w:eastAsiaTheme="minorEastAsia"/>
          <w:szCs w:val="21"/>
        </w:rPr>
        <w:fldChar w:fldCharType="separate"/>
      </w:r>
      <w:r>
        <w:rPr>
          <w:rFonts w:ascii="Times New Roman" w:hAnsi="Times New Roman"/>
        </w:rPr>
        <w:t>附件</w:t>
      </w:r>
      <w:r>
        <w:tab/>
      </w:r>
      <w:r>
        <w:fldChar w:fldCharType="begin"/>
      </w:r>
      <w:r>
        <w:instrText xml:space="preserve"> PAGEREF _Toc28501 \h </w:instrText>
      </w:r>
      <w:r>
        <w:fldChar w:fldCharType="separate"/>
      </w:r>
      <w:r>
        <w:t>110</w:t>
      </w:r>
      <w:r>
        <w:fldChar w:fldCharType="end"/>
      </w:r>
      <w:r>
        <w:rPr>
          <w:rFonts w:asciiTheme="minorEastAsia" w:hAnsiTheme="minorEastAsia" w:eastAsiaTheme="minorEastAsia"/>
          <w:szCs w:val="21"/>
        </w:rPr>
        <w:fldChar w:fldCharType="end"/>
      </w:r>
    </w:p>
    <w:p w14:paraId="4A593A5C">
      <w:pPr>
        <w:pStyle w:val="4"/>
        <w:tabs>
          <w:tab w:val="right" w:leader="dot" w:pos="9900"/>
          <w:tab w:val="clear" w:pos="9629"/>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_Toc8807 </w:instrText>
      </w:r>
      <w:r>
        <w:rPr>
          <w:rFonts w:asciiTheme="minorEastAsia" w:hAnsiTheme="minorEastAsia" w:eastAsiaTheme="minorEastAsia"/>
          <w:szCs w:val="21"/>
        </w:rPr>
        <w:fldChar w:fldCharType="separate"/>
      </w:r>
      <w:r>
        <w:rPr>
          <w:rFonts w:hint="eastAsia" w:ascii="宋体" w:hAnsi="宋体"/>
          <w:i w:val="0"/>
          <w:iCs w:val="0"/>
        </w:rPr>
        <w:t>第五章 投标报价要求</w:t>
      </w:r>
      <w:r>
        <w:tab/>
      </w:r>
      <w:r>
        <w:fldChar w:fldCharType="begin"/>
      </w:r>
      <w:r>
        <w:instrText xml:space="preserve"> PAGEREF _Toc8807 \h </w:instrText>
      </w:r>
      <w:r>
        <w:fldChar w:fldCharType="separate"/>
      </w:r>
      <w:r>
        <w:t>158</w:t>
      </w:r>
      <w:r>
        <w:fldChar w:fldCharType="end"/>
      </w:r>
      <w:r>
        <w:rPr>
          <w:rFonts w:asciiTheme="minorEastAsia" w:hAnsiTheme="minorEastAsia" w:eastAsiaTheme="minorEastAsia"/>
          <w:szCs w:val="21"/>
        </w:rPr>
        <w:fldChar w:fldCharType="end"/>
      </w:r>
    </w:p>
    <w:p w14:paraId="23A25E4E">
      <w:pPr>
        <w:pStyle w:val="4"/>
        <w:tabs>
          <w:tab w:val="right" w:leader="dot" w:pos="9900"/>
          <w:tab w:val="clear" w:pos="9629"/>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_Toc20933 </w:instrText>
      </w:r>
      <w:r>
        <w:rPr>
          <w:rFonts w:asciiTheme="minorEastAsia" w:hAnsiTheme="minorEastAsia" w:eastAsiaTheme="minorEastAsia"/>
          <w:szCs w:val="21"/>
        </w:rPr>
        <w:fldChar w:fldCharType="separate"/>
      </w:r>
      <w:r>
        <w:rPr>
          <w:rFonts w:hint="eastAsia" w:ascii="宋体" w:hAnsi="宋体" w:cs="TimesNewRomanPSMT"/>
          <w:bCs w:val="0"/>
          <w:i w:val="0"/>
          <w:iCs w:val="0"/>
          <w:szCs w:val="24"/>
        </w:rPr>
        <w:t>1 工程量清单部分</w:t>
      </w:r>
      <w:r>
        <w:tab/>
      </w:r>
      <w:r>
        <w:fldChar w:fldCharType="begin"/>
      </w:r>
      <w:r>
        <w:instrText xml:space="preserve"> PAGEREF _Toc20933 \h </w:instrText>
      </w:r>
      <w:r>
        <w:fldChar w:fldCharType="separate"/>
      </w:r>
      <w:r>
        <w:t>158</w:t>
      </w:r>
      <w:r>
        <w:fldChar w:fldCharType="end"/>
      </w:r>
      <w:r>
        <w:rPr>
          <w:rFonts w:asciiTheme="minorEastAsia" w:hAnsiTheme="minorEastAsia" w:eastAsiaTheme="minorEastAsia"/>
          <w:szCs w:val="21"/>
        </w:rPr>
        <w:fldChar w:fldCharType="end"/>
      </w:r>
    </w:p>
    <w:p w14:paraId="1223DE9C">
      <w:pPr>
        <w:pStyle w:val="4"/>
        <w:tabs>
          <w:tab w:val="right" w:leader="dot" w:pos="9900"/>
          <w:tab w:val="clear" w:pos="9629"/>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_Toc10143 </w:instrText>
      </w:r>
      <w:r>
        <w:rPr>
          <w:rFonts w:asciiTheme="minorEastAsia" w:hAnsiTheme="minorEastAsia" w:eastAsiaTheme="minorEastAsia"/>
          <w:szCs w:val="21"/>
        </w:rPr>
        <w:fldChar w:fldCharType="separate"/>
      </w:r>
      <w:r>
        <w:rPr>
          <w:rFonts w:hint="eastAsia" w:ascii="宋体" w:hAnsi="宋体" w:cs="TimesNewRomanPSMT"/>
          <w:bCs w:val="0"/>
          <w:i w:val="0"/>
          <w:iCs w:val="0"/>
          <w:szCs w:val="24"/>
        </w:rPr>
        <w:t>2 清单以外项目</w:t>
      </w:r>
      <w:r>
        <w:tab/>
      </w:r>
      <w:r>
        <w:fldChar w:fldCharType="begin"/>
      </w:r>
      <w:r>
        <w:instrText xml:space="preserve"> PAGEREF _Toc10143 \h </w:instrText>
      </w:r>
      <w:r>
        <w:fldChar w:fldCharType="separate"/>
      </w:r>
      <w:r>
        <w:t>161</w:t>
      </w:r>
      <w:r>
        <w:fldChar w:fldCharType="end"/>
      </w:r>
      <w:r>
        <w:rPr>
          <w:rFonts w:asciiTheme="minorEastAsia" w:hAnsiTheme="minorEastAsia" w:eastAsiaTheme="minorEastAsia"/>
          <w:szCs w:val="21"/>
        </w:rPr>
        <w:fldChar w:fldCharType="end"/>
      </w:r>
    </w:p>
    <w:p w14:paraId="509F94F3">
      <w:pPr>
        <w:pStyle w:val="4"/>
        <w:tabs>
          <w:tab w:val="right" w:leader="dot" w:pos="9900"/>
          <w:tab w:val="clear" w:pos="9629"/>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_Toc289 </w:instrText>
      </w:r>
      <w:r>
        <w:rPr>
          <w:rFonts w:asciiTheme="minorEastAsia" w:hAnsiTheme="minorEastAsia" w:eastAsiaTheme="minorEastAsia"/>
          <w:szCs w:val="21"/>
        </w:rPr>
        <w:fldChar w:fldCharType="separate"/>
      </w:r>
      <w:r>
        <w:rPr>
          <w:rFonts w:hint="eastAsia" w:ascii="宋体" w:hAnsi="宋体" w:cs="TimesNewRomanPSMT"/>
          <w:bCs w:val="0"/>
          <w:i w:val="0"/>
          <w:iCs w:val="0"/>
          <w:szCs w:val="24"/>
        </w:rPr>
        <w:t>3 其他说明</w:t>
      </w:r>
      <w:r>
        <w:tab/>
      </w:r>
      <w:r>
        <w:fldChar w:fldCharType="begin"/>
      </w:r>
      <w:r>
        <w:instrText xml:space="preserve"> PAGEREF _Toc289 \h </w:instrText>
      </w:r>
      <w:r>
        <w:fldChar w:fldCharType="separate"/>
      </w:r>
      <w:r>
        <w:t>162</w:t>
      </w:r>
      <w:r>
        <w:fldChar w:fldCharType="end"/>
      </w:r>
      <w:r>
        <w:rPr>
          <w:rFonts w:asciiTheme="minorEastAsia" w:hAnsiTheme="minorEastAsia" w:eastAsiaTheme="minorEastAsia"/>
          <w:szCs w:val="21"/>
        </w:rPr>
        <w:fldChar w:fldCharType="end"/>
      </w:r>
    </w:p>
    <w:p w14:paraId="56643476">
      <w:pPr>
        <w:pStyle w:val="19"/>
        <w:tabs>
          <w:tab w:val="right" w:leader="dot" w:pos="9900"/>
          <w:tab w:val="clear" w:pos="9629"/>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_Toc3738 </w:instrText>
      </w:r>
      <w:r>
        <w:rPr>
          <w:rFonts w:asciiTheme="minorEastAsia" w:hAnsiTheme="minorEastAsia" w:eastAsiaTheme="minorEastAsia"/>
          <w:szCs w:val="21"/>
        </w:rPr>
        <w:fldChar w:fldCharType="separate"/>
      </w:r>
      <w:r>
        <w:rPr>
          <w:szCs w:val="48"/>
        </w:rPr>
        <w:t>第二卷</w:t>
      </w:r>
      <w:r>
        <w:tab/>
      </w:r>
      <w:r>
        <w:fldChar w:fldCharType="begin"/>
      </w:r>
      <w:r>
        <w:instrText xml:space="preserve"> PAGEREF _Toc3738 \h </w:instrText>
      </w:r>
      <w:r>
        <w:fldChar w:fldCharType="separate"/>
      </w:r>
      <w:r>
        <w:t>166</w:t>
      </w:r>
      <w:r>
        <w:fldChar w:fldCharType="end"/>
      </w:r>
      <w:r>
        <w:rPr>
          <w:rFonts w:asciiTheme="minorEastAsia" w:hAnsiTheme="minorEastAsia" w:eastAsiaTheme="minorEastAsia"/>
          <w:szCs w:val="21"/>
        </w:rPr>
        <w:fldChar w:fldCharType="end"/>
      </w:r>
    </w:p>
    <w:p w14:paraId="357B7EB0">
      <w:pPr>
        <w:pStyle w:val="4"/>
        <w:tabs>
          <w:tab w:val="right" w:leader="dot" w:pos="9900"/>
          <w:tab w:val="clear" w:pos="9629"/>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_Toc22184 </w:instrText>
      </w:r>
      <w:r>
        <w:rPr>
          <w:rFonts w:asciiTheme="minorEastAsia" w:hAnsiTheme="minorEastAsia" w:eastAsiaTheme="minorEastAsia"/>
          <w:szCs w:val="21"/>
        </w:rPr>
        <w:fldChar w:fldCharType="separate"/>
      </w:r>
      <w:r>
        <w:rPr>
          <w:i w:val="0"/>
          <w:iCs w:val="0"/>
          <w:szCs w:val="32"/>
        </w:rPr>
        <w:t>第六章  图  纸</w:t>
      </w:r>
      <w:r>
        <w:tab/>
      </w:r>
      <w:r>
        <w:fldChar w:fldCharType="begin"/>
      </w:r>
      <w:r>
        <w:instrText xml:space="preserve"> PAGEREF _Toc22184 \h </w:instrText>
      </w:r>
      <w:r>
        <w:fldChar w:fldCharType="separate"/>
      </w:r>
      <w:r>
        <w:t>167</w:t>
      </w:r>
      <w:r>
        <w:fldChar w:fldCharType="end"/>
      </w:r>
      <w:r>
        <w:rPr>
          <w:rFonts w:asciiTheme="minorEastAsia" w:hAnsiTheme="minorEastAsia" w:eastAsiaTheme="minorEastAsia"/>
          <w:szCs w:val="21"/>
        </w:rPr>
        <w:fldChar w:fldCharType="end"/>
      </w:r>
    </w:p>
    <w:p w14:paraId="63F1B833">
      <w:pPr>
        <w:pStyle w:val="19"/>
        <w:tabs>
          <w:tab w:val="right" w:leader="dot" w:pos="9900"/>
          <w:tab w:val="clear" w:pos="9629"/>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_Toc12737 </w:instrText>
      </w:r>
      <w:r>
        <w:rPr>
          <w:rFonts w:asciiTheme="minorEastAsia" w:hAnsiTheme="minorEastAsia" w:eastAsiaTheme="minorEastAsia"/>
          <w:szCs w:val="21"/>
        </w:rPr>
        <w:fldChar w:fldCharType="separate"/>
      </w:r>
      <w:r>
        <w:rPr>
          <w:szCs w:val="48"/>
        </w:rPr>
        <w:t>第三卷</w:t>
      </w:r>
      <w:r>
        <w:tab/>
      </w:r>
      <w:r>
        <w:fldChar w:fldCharType="begin"/>
      </w:r>
      <w:r>
        <w:instrText xml:space="preserve"> PAGEREF _Toc12737 \h </w:instrText>
      </w:r>
      <w:r>
        <w:fldChar w:fldCharType="separate"/>
      </w:r>
      <w:r>
        <w:t>168</w:t>
      </w:r>
      <w:r>
        <w:fldChar w:fldCharType="end"/>
      </w:r>
      <w:r>
        <w:rPr>
          <w:rFonts w:asciiTheme="minorEastAsia" w:hAnsiTheme="minorEastAsia" w:eastAsiaTheme="minorEastAsia"/>
          <w:szCs w:val="21"/>
        </w:rPr>
        <w:fldChar w:fldCharType="end"/>
      </w:r>
    </w:p>
    <w:p w14:paraId="4AE11AD4">
      <w:pPr>
        <w:pStyle w:val="4"/>
        <w:tabs>
          <w:tab w:val="right" w:leader="dot" w:pos="9900"/>
          <w:tab w:val="clear" w:pos="9629"/>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_Toc14490 </w:instrText>
      </w:r>
      <w:r>
        <w:rPr>
          <w:rFonts w:asciiTheme="minorEastAsia" w:hAnsiTheme="minorEastAsia" w:eastAsiaTheme="minorEastAsia"/>
          <w:szCs w:val="21"/>
        </w:rPr>
        <w:fldChar w:fldCharType="separate"/>
      </w:r>
      <w:r>
        <w:rPr>
          <w:i w:val="0"/>
          <w:iCs w:val="0"/>
          <w:szCs w:val="32"/>
        </w:rPr>
        <w:t>第七章  技术标准和要求</w:t>
      </w:r>
      <w:r>
        <w:tab/>
      </w:r>
      <w:r>
        <w:fldChar w:fldCharType="begin"/>
      </w:r>
      <w:r>
        <w:instrText xml:space="preserve"> PAGEREF _Toc14490 \h </w:instrText>
      </w:r>
      <w:r>
        <w:fldChar w:fldCharType="separate"/>
      </w:r>
      <w:r>
        <w:t>169</w:t>
      </w:r>
      <w:r>
        <w:fldChar w:fldCharType="end"/>
      </w:r>
      <w:r>
        <w:rPr>
          <w:rFonts w:asciiTheme="minorEastAsia" w:hAnsiTheme="minorEastAsia" w:eastAsiaTheme="minorEastAsia"/>
          <w:szCs w:val="21"/>
        </w:rPr>
        <w:fldChar w:fldCharType="end"/>
      </w:r>
    </w:p>
    <w:p w14:paraId="7A2D844C">
      <w:pPr>
        <w:pStyle w:val="19"/>
        <w:tabs>
          <w:tab w:val="right" w:leader="dot" w:pos="9900"/>
          <w:tab w:val="clear" w:pos="9629"/>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_Toc1489 </w:instrText>
      </w:r>
      <w:r>
        <w:rPr>
          <w:rFonts w:asciiTheme="minorEastAsia" w:hAnsiTheme="minorEastAsia" w:eastAsiaTheme="minorEastAsia"/>
          <w:szCs w:val="21"/>
        </w:rPr>
        <w:fldChar w:fldCharType="separate"/>
      </w:r>
      <w:r>
        <w:rPr>
          <w:szCs w:val="48"/>
        </w:rPr>
        <w:t>第四卷</w:t>
      </w:r>
      <w:r>
        <w:tab/>
      </w:r>
      <w:r>
        <w:fldChar w:fldCharType="begin"/>
      </w:r>
      <w:r>
        <w:instrText xml:space="preserve"> PAGEREF _Toc1489 \h </w:instrText>
      </w:r>
      <w:r>
        <w:fldChar w:fldCharType="separate"/>
      </w:r>
      <w:r>
        <w:t>170</w:t>
      </w:r>
      <w:r>
        <w:fldChar w:fldCharType="end"/>
      </w:r>
      <w:r>
        <w:rPr>
          <w:rFonts w:asciiTheme="minorEastAsia" w:hAnsiTheme="minorEastAsia" w:eastAsiaTheme="minorEastAsia"/>
          <w:szCs w:val="21"/>
        </w:rPr>
        <w:fldChar w:fldCharType="end"/>
      </w:r>
    </w:p>
    <w:p w14:paraId="2113883A">
      <w:pPr>
        <w:pStyle w:val="4"/>
        <w:tabs>
          <w:tab w:val="right" w:leader="dot" w:pos="9900"/>
          <w:tab w:val="clear" w:pos="9629"/>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_Toc14936 </w:instrText>
      </w:r>
      <w:r>
        <w:rPr>
          <w:rFonts w:asciiTheme="minorEastAsia" w:hAnsiTheme="minorEastAsia" w:eastAsiaTheme="minorEastAsia"/>
          <w:szCs w:val="21"/>
        </w:rPr>
        <w:fldChar w:fldCharType="separate"/>
      </w:r>
      <w:r>
        <w:rPr>
          <w:i w:val="0"/>
          <w:iCs w:val="0"/>
          <w:szCs w:val="32"/>
        </w:rPr>
        <w:t>第八章  投标文件格式</w:t>
      </w:r>
      <w:r>
        <w:tab/>
      </w:r>
      <w:r>
        <w:fldChar w:fldCharType="begin"/>
      </w:r>
      <w:r>
        <w:instrText xml:space="preserve"> PAGEREF _Toc14936 \h </w:instrText>
      </w:r>
      <w:r>
        <w:fldChar w:fldCharType="separate"/>
      </w:r>
      <w:r>
        <w:t>171</w:t>
      </w:r>
      <w:r>
        <w:fldChar w:fldCharType="end"/>
      </w:r>
      <w:r>
        <w:rPr>
          <w:rFonts w:asciiTheme="minorEastAsia" w:hAnsiTheme="minorEastAsia" w:eastAsiaTheme="minorEastAsia"/>
          <w:szCs w:val="21"/>
        </w:rPr>
        <w:fldChar w:fldCharType="end"/>
      </w:r>
    </w:p>
    <w:p w14:paraId="7DA37EC7">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_Toc17394 </w:instrText>
      </w:r>
      <w:r>
        <w:rPr>
          <w:rFonts w:asciiTheme="minorEastAsia" w:hAnsiTheme="minorEastAsia" w:eastAsiaTheme="minorEastAsia"/>
          <w:szCs w:val="21"/>
        </w:rPr>
        <w:fldChar w:fldCharType="separate"/>
      </w:r>
      <w:r>
        <w:rPr>
          <w:szCs w:val="30"/>
        </w:rPr>
        <w:t>一、投标函及投标函附录</w:t>
      </w:r>
      <w:r>
        <w:tab/>
      </w:r>
      <w:r>
        <w:fldChar w:fldCharType="begin"/>
      </w:r>
      <w:r>
        <w:instrText xml:space="preserve"> PAGEREF _Toc17394 \h </w:instrText>
      </w:r>
      <w:r>
        <w:fldChar w:fldCharType="separate"/>
      </w:r>
      <w:r>
        <w:t>173</w:t>
      </w:r>
      <w:r>
        <w:fldChar w:fldCharType="end"/>
      </w:r>
      <w:r>
        <w:rPr>
          <w:rFonts w:asciiTheme="minorEastAsia" w:hAnsiTheme="minorEastAsia" w:eastAsiaTheme="minorEastAsia"/>
          <w:szCs w:val="21"/>
        </w:rPr>
        <w:fldChar w:fldCharType="end"/>
      </w:r>
    </w:p>
    <w:p w14:paraId="2FAECDCD">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_Toc32391 </w:instrText>
      </w:r>
      <w:r>
        <w:rPr>
          <w:rFonts w:asciiTheme="minorEastAsia" w:hAnsiTheme="minorEastAsia" w:eastAsiaTheme="minorEastAsia"/>
          <w:szCs w:val="21"/>
        </w:rPr>
        <w:fldChar w:fldCharType="separate"/>
      </w:r>
      <w:r>
        <w:rPr>
          <w:szCs w:val="30"/>
        </w:rPr>
        <w:t>二、法定代表人身份证明</w:t>
      </w:r>
      <w:r>
        <w:tab/>
      </w:r>
      <w:r>
        <w:fldChar w:fldCharType="begin"/>
      </w:r>
      <w:r>
        <w:instrText xml:space="preserve"> PAGEREF _Toc32391 \h </w:instrText>
      </w:r>
      <w:r>
        <w:fldChar w:fldCharType="separate"/>
      </w:r>
      <w:r>
        <w:t>178</w:t>
      </w:r>
      <w:r>
        <w:fldChar w:fldCharType="end"/>
      </w:r>
      <w:r>
        <w:rPr>
          <w:rFonts w:asciiTheme="minorEastAsia" w:hAnsiTheme="minorEastAsia" w:eastAsiaTheme="minorEastAsia"/>
          <w:szCs w:val="21"/>
        </w:rPr>
        <w:fldChar w:fldCharType="end"/>
      </w:r>
    </w:p>
    <w:p w14:paraId="6A67FB8C">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_Toc8651 </w:instrText>
      </w:r>
      <w:r>
        <w:rPr>
          <w:rFonts w:asciiTheme="minorEastAsia" w:hAnsiTheme="minorEastAsia" w:eastAsiaTheme="minorEastAsia"/>
          <w:szCs w:val="21"/>
        </w:rPr>
        <w:fldChar w:fldCharType="separate"/>
      </w:r>
      <w:r>
        <w:rPr>
          <w:szCs w:val="30"/>
        </w:rPr>
        <w:t>三、授权委托书</w:t>
      </w:r>
      <w:r>
        <w:tab/>
      </w:r>
      <w:r>
        <w:fldChar w:fldCharType="begin"/>
      </w:r>
      <w:r>
        <w:instrText xml:space="preserve"> PAGEREF _Toc8651 \h </w:instrText>
      </w:r>
      <w:r>
        <w:fldChar w:fldCharType="separate"/>
      </w:r>
      <w:r>
        <w:t>179</w:t>
      </w:r>
      <w:r>
        <w:fldChar w:fldCharType="end"/>
      </w:r>
      <w:r>
        <w:rPr>
          <w:rFonts w:asciiTheme="minorEastAsia" w:hAnsiTheme="minorEastAsia" w:eastAsiaTheme="minorEastAsia"/>
          <w:szCs w:val="21"/>
        </w:rPr>
        <w:fldChar w:fldCharType="end"/>
      </w:r>
    </w:p>
    <w:p w14:paraId="44910248">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_Toc29544 </w:instrText>
      </w:r>
      <w:r>
        <w:rPr>
          <w:rFonts w:asciiTheme="minorEastAsia" w:hAnsiTheme="minorEastAsia" w:eastAsiaTheme="minorEastAsia"/>
          <w:szCs w:val="21"/>
        </w:rPr>
        <w:fldChar w:fldCharType="separate"/>
      </w:r>
      <w:r>
        <w:rPr>
          <w:szCs w:val="30"/>
        </w:rPr>
        <w:t>四、投标保证金</w:t>
      </w:r>
      <w:r>
        <w:tab/>
      </w:r>
      <w:r>
        <w:fldChar w:fldCharType="begin"/>
      </w:r>
      <w:r>
        <w:instrText xml:space="preserve"> PAGEREF _Toc29544 \h </w:instrText>
      </w:r>
      <w:r>
        <w:fldChar w:fldCharType="separate"/>
      </w:r>
      <w:r>
        <w:t>180</w:t>
      </w:r>
      <w:r>
        <w:fldChar w:fldCharType="end"/>
      </w:r>
      <w:r>
        <w:rPr>
          <w:rFonts w:asciiTheme="minorEastAsia" w:hAnsiTheme="minorEastAsia" w:eastAsiaTheme="minorEastAsia"/>
          <w:szCs w:val="21"/>
        </w:rPr>
        <w:fldChar w:fldCharType="end"/>
      </w:r>
    </w:p>
    <w:p w14:paraId="18DB8B07">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_Toc28423 </w:instrText>
      </w:r>
      <w:r>
        <w:rPr>
          <w:rFonts w:asciiTheme="minorEastAsia" w:hAnsiTheme="minorEastAsia" w:eastAsiaTheme="minorEastAsia"/>
          <w:szCs w:val="21"/>
        </w:rPr>
        <w:fldChar w:fldCharType="separate"/>
      </w:r>
      <w:r>
        <w:rPr>
          <w:szCs w:val="30"/>
        </w:rPr>
        <w:t>五、已标价工程量清单</w:t>
      </w:r>
      <w:r>
        <w:tab/>
      </w:r>
      <w:r>
        <w:fldChar w:fldCharType="begin"/>
      </w:r>
      <w:r>
        <w:instrText xml:space="preserve"> PAGEREF _Toc28423 \h </w:instrText>
      </w:r>
      <w:r>
        <w:fldChar w:fldCharType="separate"/>
      </w:r>
      <w:r>
        <w:t>181</w:t>
      </w:r>
      <w:r>
        <w:fldChar w:fldCharType="end"/>
      </w:r>
      <w:r>
        <w:rPr>
          <w:rFonts w:asciiTheme="minorEastAsia" w:hAnsiTheme="minorEastAsia" w:eastAsiaTheme="minorEastAsia"/>
          <w:szCs w:val="21"/>
        </w:rPr>
        <w:fldChar w:fldCharType="end"/>
      </w:r>
    </w:p>
    <w:p w14:paraId="4778E0DC">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_Toc698 </w:instrText>
      </w:r>
      <w:r>
        <w:rPr>
          <w:rFonts w:asciiTheme="minorEastAsia" w:hAnsiTheme="minorEastAsia" w:eastAsiaTheme="minorEastAsia"/>
          <w:szCs w:val="21"/>
        </w:rPr>
        <w:fldChar w:fldCharType="separate"/>
      </w:r>
      <w:r>
        <w:rPr>
          <w:rFonts w:hint="eastAsia"/>
          <w:szCs w:val="30"/>
        </w:rPr>
        <w:t xml:space="preserve">六、 </w:t>
      </w:r>
      <w:r>
        <w:rPr>
          <w:szCs w:val="30"/>
        </w:rPr>
        <w:t>施工组织设计</w:t>
      </w:r>
      <w:r>
        <w:tab/>
      </w:r>
      <w:r>
        <w:fldChar w:fldCharType="begin"/>
      </w:r>
      <w:r>
        <w:instrText xml:space="preserve"> PAGEREF _Toc698 \h </w:instrText>
      </w:r>
      <w:r>
        <w:fldChar w:fldCharType="separate"/>
      </w:r>
      <w:r>
        <w:t>182</w:t>
      </w:r>
      <w:r>
        <w:fldChar w:fldCharType="end"/>
      </w:r>
      <w:r>
        <w:rPr>
          <w:rFonts w:asciiTheme="minorEastAsia" w:hAnsiTheme="minorEastAsia" w:eastAsiaTheme="minorEastAsia"/>
          <w:szCs w:val="21"/>
        </w:rPr>
        <w:fldChar w:fldCharType="end"/>
      </w:r>
    </w:p>
    <w:p w14:paraId="0D34A12C">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_Toc27679 </w:instrText>
      </w:r>
      <w:r>
        <w:rPr>
          <w:rFonts w:asciiTheme="minorEastAsia" w:hAnsiTheme="minorEastAsia" w:eastAsiaTheme="minorEastAsia"/>
          <w:szCs w:val="21"/>
        </w:rPr>
        <w:fldChar w:fldCharType="separate"/>
      </w:r>
      <w:r>
        <w:rPr>
          <w:rFonts w:hint="eastAsia"/>
          <w:szCs w:val="30"/>
        </w:rPr>
        <w:t>七、 项目管理机构</w:t>
      </w:r>
      <w:r>
        <w:tab/>
      </w:r>
      <w:r>
        <w:fldChar w:fldCharType="begin"/>
      </w:r>
      <w:r>
        <w:instrText xml:space="preserve"> PAGEREF _Toc27679 \h </w:instrText>
      </w:r>
      <w:r>
        <w:fldChar w:fldCharType="separate"/>
      </w:r>
      <w:r>
        <w:t>183</w:t>
      </w:r>
      <w:r>
        <w:fldChar w:fldCharType="end"/>
      </w:r>
      <w:r>
        <w:rPr>
          <w:rFonts w:asciiTheme="minorEastAsia" w:hAnsiTheme="minorEastAsia" w:eastAsiaTheme="minorEastAsia"/>
          <w:szCs w:val="21"/>
        </w:rPr>
        <w:fldChar w:fldCharType="end"/>
      </w:r>
    </w:p>
    <w:p w14:paraId="4D33B36E">
      <w:pPr>
        <w:pStyle w:val="15"/>
        <w:tabs>
          <w:tab w:val="right" w:leader="dot" w:pos="9900"/>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_Toc23012 </w:instrText>
      </w:r>
      <w:r>
        <w:rPr>
          <w:rFonts w:asciiTheme="minorEastAsia" w:hAnsiTheme="minorEastAsia" w:eastAsiaTheme="minorEastAsia"/>
          <w:szCs w:val="21"/>
        </w:rPr>
        <w:fldChar w:fldCharType="separate"/>
      </w:r>
      <w:r>
        <w:rPr>
          <w:rFonts w:hint="eastAsia"/>
          <w:szCs w:val="30"/>
        </w:rPr>
        <w:t>八、 其他材料</w:t>
      </w:r>
      <w:r>
        <w:tab/>
      </w:r>
      <w:r>
        <w:fldChar w:fldCharType="begin"/>
      </w:r>
      <w:r>
        <w:instrText xml:space="preserve"> PAGEREF _Toc23012 \h </w:instrText>
      </w:r>
      <w:r>
        <w:fldChar w:fldCharType="separate"/>
      </w:r>
      <w:r>
        <w:t>187</w:t>
      </w:r>
      <w:r>
        <w:fldChar w:fldCharType="end"/>
      </w:r>
      <w:r>
        <w:rPr>
          <w:rFonts w:asciiTheme="minorEastAsia" w:hAnsiTheme="minorEastAsia" w:eastAsiaTheme="minorEastAsia"/>
          <w:szCs w:val="21"/>
        </w:rPr>
        <w:fldChar w:fldCharType="end"/>
      </w:r>
    </w:p>
    <w:p w14:paraId="7F75F5F1">
      <w:pPr>
        <w:pStyle w:val="4"/>
        <w:tabs>
          <w:tab w:val="right" w:leader="dot" w:pos="9900"/>
          <w:tab w:val="clear" w:pos="9629"/>
        </w:tabs>
      </w:pPr>
      <w:r>
        <w:rPr>
          <w:rFonts w:asciiTheme="minorEastAsia" w:hAnsiTheme="minorEastAsia" w:eastAsiaTheme="minorEastAsia"/>
          <w:szCs w:val="21"/>
        </w:rPr>
        <w:fldChar w:fldCharType="begin"/>
      </w:r>
      <w:r>
        <w:rPr>
          <w:rFonts w:asciiTheme="minorEastAsia" w:hAnsiTheme="minorEastAsia" w:eastAsiaTheme="minorEastAsia"/>
          <w:szCs w:val="21"/>
        </w:rPr>
        <w:instrText xml:space="preserve"> HYPERLINK \l _Toc3181 </w:instrText>
      </w:r>
      <w:r>
        <w:rPr>
          <w:rFonts w:asciiTheme="minorEastAsia" w:hAnsiTheme="minorEastAsia" w:eastAsiaTheme="minorEastAsia"/>
          <w:szCs w:val="21"/>
        </w:rPr>
        <w:fldChar w:fldCharType="separate"/>
      </w:r>
      <w:r>
        <w:rPr>
          <w:i w:val="0"/>
          <w:iCs w:val="0"/>
          <w:szCs w:val="32"/>
        </w:rPr>
        <w:t>第九章  资格审查文件</w:t>
      </w:r>
      <w:r>
        <w:tab/>
      </w:r>
      <w:r>
        <w:fldChar w:fldCharType="begin"/>
      </w:r>
      <w:r>
        <w:instrText xml:space="preserve"> PAGEREF _Toc3181 \h </w:instrText>
      </w:r>
      <w:r>
        <w:fldChar w:fldCharType="separate"/>
      </w:r>
      <w:r>
        <w:t>188</w:t>
      </w:r>
      <w:r>
        <w:fldChar w:fldCharType="end"/>
      </w:r>
      <w:r>
        <w:rPr>
          <w:rFonts w:asciiTheme="minorEastAsia" w:hAnsiTheme="minorEastAsia" w:eastAsiaTheme="minorEastAsia"/>
          <w:szCs w:val="21"/>
        </w:rPr>
        <w:fldChar w:fldCharType="end"/>
      </w:r>
    </w:p>
    <w:p w14:paraId="43C6E90A">
      <w:pPr>
        <w:spacing w:line="360" w:lineRule="auto"/>
        <w:rPr>
          <w:rStyle w:val="39"/>
          <w:rFonts w:ascii="宋体" w:hAnsi="宋体"/>
        </w:rPr>
      </w:pPr>
      <w:r>
        <w:rPr>
          <w:rFonts w:asciiTheme="minorEastAsia" w:hAnsiTheme="minorEastAsia" w:eastAsiaTheme="minorEastAsia"/>
          <w:szCs w:val="21"/>
        </w:rPr>
        <w:fldChar w:fldCharType="end"/>
      </w:r>
    </w:p>
    <w:p w14:paraId="0C5FD019">
      <w:pPr>
        <w:spacing w:line="500" w:lineRule="exact"/>
        <w:rPr>
          <w:rStyle w:val="39"/>
          <w:rFonts w:ascii="宋体" w:hAnsi="宋体"/>
        </w:rPr>
      </w:pPr>
    </w:p>
    <w:p w14:paraId="713C740A">
      <w:pPr>
        <w:spacing w:line="500" w:lineRule="exact"/>
        <w:rPr>
          <w:rStyle w:val="39"/>
          <w:rFonts w:ascii="宋体" w:hAnsi="宋体"/>
        </w:rPr>
      </w:pPr>
    </w:p>
    <w:p w14:paraId="4FD06514">
      <w:pPr>
        <w:spacing w:line="500" w:lineRule="exact"/>
        <w:rPr>
          <w:rStyle w:val="39"/>
          <w:rFonts w:ascii="宋体" w:hAnsi="宋体"/>
        </w:rPr>
      </w:pPr>
    </w:p>
    <w:p w14:paraId="27389DAD">
      <w:pPr>
        <w:pStyle w:val="13"/>
        <w:rPr>
          <w:lang w:bidi="en-US"/>
        </w:rPr>
      </w:pPr>
    </w:p>
    <w:p w14:paraId="22DBB769">
      <w:pPr>
        <w:pStyle w:val="13"/>
        <w:rPr>
          <w:lang w:bidi="en-US"/>
        </w:rPr>
      </w:pPr>
    </w:p>
    <w:p w14:paraId="247F5C07">
      <w:pPr>
        <w:pStyle w:val="13"/>
        <w:rPr>
          <w:lang w:bidi="en-US"/>
        </w:rPr>
      </w:pPr>
    </w:p>
    <w:p w14:paraId="76A832EE">
      <w:pPr>
        <w:pStyle w:val="13"/>
        <w:rPr>
          <w:lang w:bidi="en-US"/>
        </w:rPr>
      </w:pPr>
    </w:p>
    <w:p w14:paraId="07965D45">
      <w:pPr>
        <w:pStyle w:val="13"/>
        <w:rPr>
          <w:lang w:bidi="en-US"/>
        </w:rPr>
      </w:pPr>
    </w:p>
    <w:p w14:paraId="7D7337C6">
      <w:pPr>
        <w:spacing w:line="500" w:lineRule="exact"/>
        <w:rPr>
          <w:rStyle w:val="39"/>
          <w:rFonts w:ascii="宋体" w:hAnsi="宋体"/>
        </w:rPr>
      </w:pPr>
    </w:p>
    <w:p w14:paraId="37330274">
      <w:pPr>
        <w:pStyle w:val="5"/>
        <w:jc w:val="center"/>
        <w:rPr>
          <w:sz w:val="48"/>
          <w:szCs w:val="48"/>
        </w:rPr>
      </w:pPr>
      <w:bookmarkStart w:id="0" w:name="_Toc1616"/>
      <w:bookmarkStart w:id="1" w:name="_Toc17817319"/>
      <w:bookmarkStart w:id="2" w:name="_Toc27923"/>
      <w:r>
        <w:rPr>
          <w:sz w:val="48"/>
          <w:szCs w:val="48"/>
        </w:rPr>
        <w:t>第一卷</w:t>
      </w:r>
      <w:bookmarkEnd w:id="0"/>
      <w:bookmarkEnd w:id="1"/>
      <w:bookmarkEnd w:id="2"/>
    </w:p>
    <w:p w14:paraId="19774BE7">
      <w:pPr>
        <w:spacing w:line="500" w:lineRule="exact"/>
        <w:jc w:val="center"/>
        <w:rPr>
          <w:rStyle w:val="39"/>
          <w:rFonts w:ascii="宋体" w:hAnsi="宋体"/>
        </w:rPr>
      </w:pPr>
    </w:p>
    <w:p w14:paraId="656E2C6A">
      <w:pPr>
        <w:spacing w:line="500" w:lineRule="exact"/>
        <w:jc w:val="center"/>
        <w:rPr>
          <w:rStyle w:val="39"/>
          <w:rFonts w:ascii="宋体" w:hAnsi="宋体"/>
        </w:rPr>
      </w:pPr>
    </w:p>
    <w:p w14:paraId="2CAEA993">
      <w:pPr>
        <w:spacing w:line="500" w:lineRule="exact"/>
        <w:jc w:val="center"/>
        <w:rPr>
          <w:rStyle w:val="39"/>
          <w:rFonts w:ascii="宋体" w:hAnsi="宋体"/>
        </w:rPr>
      </w:pPr>
    </w:p>
    <w:p w14:paraId="32EE5DA7">
      <w:pPr>
        <w:spacing w:line="500" w:lineRule="exact"/>
        <w:jc w:val="center"/>
        <w:rPr>
          <w:rStyle w:val="39"/>
          <w:rFonts w:ascii="宋体" w:hAnsi="宋体"/>
        </w:rPr>
      </w:pPr>
    </w:p>
    <w:p w14:paraId="3DE43252">
      <w:pPr>
        <w:spacing w:line="500" w:lineRule="exact"/>
        <w:jc w:val="center"/>
        <w:rPr>
          <w:rStyle w:val="39"/>
          <w:rFonts w:ascii="宋体" w:hAnsi="宋体"/>
        </w:rPr>
      </w:pPr>
    </w:p>
    <w:p w14:paraId="5F8B92FA">
      <w:pPr>
        <w:pStyle w:val="13"/>
        <w:rPr>
          <w:lang w:bidi="en-US"/>
        </w:rPr>
      </w:pPr>
    </w:p>
    <w:p w14:paraId="44CB247F">
      <w:pPr>
        <w:pStyle w:val="13"/>
        <w:rPr>
          <w:lang w:bidi="en-US"/>
        </w:rPr>
      </w:pPr>
    </w:p>
    <w:p w14:paraId="49B813AA">
      <w:pPr>
        <w:spacing w:line="500" w:lineRule="exact"/>
        <w:rPr>
          <w:rStyle w:val="39"/>
          <w:rFonts w:ascii="宋体" w:hAnsi="宋体"/>
        </w:rPr>
      </w:pPr>
    </w:p>
    <w:p w14:paraId="78024F1F">
      <w:pPr>
        <w:spacing w:line="500" w:lineRule="exact"/>
        <w:jc w:val="center"/>
        <w:rPr>
          <w:rStyle w:val="39"/>
          <w:rFonts w:ascii="宋体" w:hAnsi="宋体"/>
        </w:rPr>
      </w:pPr>
    </w:p>
    <w:p w14:paraId="508265DA">
      <w:pPr>
        <w:spacing w:line="500" w:lineRule="exact"/>
        <w:jc w:val="center"/>
        <w:rPr>
          <w:rStyle w:val="39"/>
          <w:rFonts w:ascii="宋体" w:hAnsi="宋体"/>
        </w:rPr>
      </w:pPr>
    </w:p>
    <w:p w14:paraId="755015CF">
      <w:pPr>
        <w:pStyle w:val="13"/>
        <w:rPr>
          <w:rStyle w:val="39"/>
          <w:rFonts w:ascii="宋体" w:hAnsi="宋体"/>
        </w:rPr>
      </w:pPr>
    </w:p>
    <w:p w14:paraId="50A2301F"/>
    <w:p w14:paraId="7CF957D8">
      <w:pPr>
        <w:spacing w:line="500" w:lineRule="exact"/>
        <w:jc w:val="center"/>
        <w:rPr>
          <w:rStyle w:val="39"/>
          <w:rFonts w:ascii="宋体" w:hAnsi="宋体"/>
        </w:rPr>
      </w:pPr>
    </w:p>
    <w:p w14:paraId="4F2C207D">
      <w:pPr>
        <w:spacing w:line="500" w:lineRule="exact"/>
        <w:jc w:val="center"/>
        <w:rPr>
          <w:rStyle w:val="39"/>
          <w:rFonts w:ascii="宋体" w:hAnsi="宋体"/>
        </w:rPr>
      </w:pPr>
    </w:p>
    <w:p w14:paraId="1512758D">
      <w:pPr>
        <w:pStyle w:val="6"/>
        <w:jc w:val="center"/>
      </w:pPr>
      <w:bookmarkStart w:id="3" w:name="_Toc23462"/>
      <w:bookmarkStart w:id="4" w:name="_Toc15906"/>
      <w:bookmarkStart w:id="5" w:name="_Toc16518"/>
      <w:bookmarkStart w:id="6" w:name="_Toc17817321"/>
      <w:bookmarkStart w:id="7" w:name="_Toc9654"/>
      <w:r>
        <w:rPr>
          <w:rFonts w:hint="eastAsia"/>
          <w:i w:val="0"/>
          <w:sz w:val="32"/>
          <w:szCs w:val="32"/>
        </w:rPr>
        <w:t>第一章   招标公告</w:t>
      </w:r>
      <w:bookmarkEnd w:id="3"/>
      <w:bookmarkEnd w:id="4"/>
      <w:bookmarkEnd w:id="5"/>
    </w:p>
    <w:p w14:paraId="72C7DAB4">
      <w:pPr>
        <w:pStyle w:val="6"/>
        <w:jc w:val="left"/>
        <w:rPr>
          <w:rFonts w:ascii="宋体" w:hAnsi="宋体" w:cs="宋体"/>
          <w:kern w:val="0"/>
          <w:sz w:val="24"/>
          <w:lang w:bidi="en-US"/>
        </w:rPr>
      </w:pPr>
      <w:bookmarkStart w:id="8" w:name="_Toc29543"/>
      <w:bookmarkStart w:id="9" w:name="_Toc9088"/>
      <w:bookmarkStart w:id="10" w:name="_Toc12765"/>
      <w:r>
        <w:rPr>
          <w:rFonts w:hint="eastAsia" w:ascii="宋体" w:hAnsi="宋体" w:cs="宋体"/>
          <w:i w:val="0"/>
          <w:iCs w:val="0"/>
          <w:kern w:val="0"/>
          <w:sz w:val="24"/>
          <w:szCs w:val="24"/>
          <w:lang w:bidi="en-US"/>
        </w:rPr>
        <w:t>1.招标条件</w:t>
      </w:r>
      <w:bookmarkEnd w:id="8"/>
      <w:bookmarkEnd w:id="9"/>
      <w:bookmarkEnd w:id="10"/>
    </w:p>
    <w:p w14:paraId="2EC28B18">
      <w:pPr>
        <w:widowControl/>
        <w:spacing w:line="360" w:lineRule="auto"/>
        <w:ind w:firstLine="480" w:firstLineChars="200"/>
        <w:jc w:val="left"/>
        <w:rPr>
          <w:rFonts w:ascii="宋体" w:cs="宋体"/>
          <w:sz w:val="24"/>
          <w:lang w:bidi="ar"/>
        </w:rPr>
      </w:pPr>
      <w:r>
        <w:rPr>
          <w:rFonts w:hint="eastAsia" w:ascii="宋体" w:hAnsi="宋体" w:cs="宋体"/>
          <w:kern w:val="0"/>
          <w:sz w:val="24"/>
          <w:u w:val="single"/>
          <w:lang w:eastAsia="zh-CN" w:bidi="en-US"/>
        </w:rPr>
        <w:t>中国重汽集团济南商用车有限公司</w:t>
      </w:r>
      <w:r>
        <w:rPr>
          <w:rFonts w:hint="eastAsia" w:ascii="宋体" w:hAnsi="宋体" w:cs="宋体"/>
          <w:kern w:val="0"/>
          <w:sz w:val="24"/>
          <w:lang w:bidi="en-US"/>
        </w:rPr>
        <w:t>针对</w:t>
      </w:r>
      <w:r>
        <w:rPr>
          <w:rFonts w:hint="eastAsia" w:ascii="宋体" w:hAnsi="宋体" w:cs="宋体"/>
          <w:kern w:val="0"/>
          <w:sz w:val="24"/>
          <w:u w:val="single"/>
          <w:lang w:eastAsia="zh-CN" w:bidi="en-US"/>
        </w:rPr>
        <w:t>济南橡塑件公司质量提升专项新建职工停车场技改项目工程施工</w:t>
      </w:r>
      <w:r>
        <w:rPr>
          <w:rFonts w:hint="eastAsia" w:ascii="宋体" w:hAnsi="宋体" w:cs="宋体"/>
          <w:kern w:val="0"/>
          <w:sz w:val="24"/>
          <w:lang w:bidi="en-US"/>
        </w:rPr>
        <w:t>项目，以公开招标的方式组织招标。本项目业主为</w:t>
      </w:r>
      <w:r>
        <w:rPr>
          <w:rFonts w:hint="eastAsia" w:ascii="宋体" w:hAnsi="宋体" w:cs="宋体"/>
          <w:kern w:val="0"/>
          <w:sz w:val="24"/>
          <w:u w:val="single"/>
          <w:lang w:eastAsia="zh-CN" w:bidi="en-US"/>
        </w:rPr>
        <w:t>中国重汽集团济南商用车有限公司</w:t>
      </w:r>
      <w:r>
        <w:rPr>
          <w:rFonts w:hint="eastAsia" w:ascii="宋体" w:hAnsi="宋体" w:cs="宋体"/>
          <w:kern w:val="0"/>
          <w:sz w:val="24"/>
          <w:lang w:bidi="en-US"/>
        </w:rPr>
        <w:t>，建设资金来自</w:t>
      </w:r>
      <w:r>
        <w:rPr>
          <w:rFonts w:hint="eastAsia" w:ascii="宋体" w:hAnsi="宋体" w:cs="宋体"/>
          <w:kern w:val="0"/>
          <w:sz w:val="24"/>
          <w:u w:val="single"/>
          <w:lang w:bidi="en-US"/>
        </w:rPr>
        <w:t xml:space="preserve"> 企业自筹 </w:t>
      </w:r>
      <w:r>
        <w:rPr>
          <w:rFonts w:hint="eastAsia" w:ascii="宋体" w:hAnsi="宋体" w:cs="宋体"/>
          <w:kern w:val="0"/>
          <w:sz w:val="24"/>
          <w:lang w:bidi="en-US"/>
        </w:rPr>
        <w:t>，出资比例为</w:t>
      </w:r>
      <w:r>
        <w:rPr>
          <w:rFonts w:hint="eastAsia" w:ascii="宋体" w:hAnsi="宋体" w:cs="宋体"/>
          <w:kern w:val="0"/>
          <w:sz w:val="24"/>
          <w:u w:val="single"/>
          <w:lang w:bidi="en-US"/>
        </w:rPr>
        <w:t xml:space="preserve"> 100% </w:t>
      </w:r>
      <w:r>
        <w:rPr>
          <w:rFonts w:hint="eastAsia" w:ascii="宋体" w:hAnsi="宋体" w:cs="宋体"/>
          <w:kern w:val="0"/>
          <w:sz w:val="24"/>
          <w:lang w:bidi="en-US"/>
        </w:rPr>
        <w:t>。该项目现已具备招标条件，欢迎具备条件的潜在投标人参加投标。</w:t>
      </w:r>
    </w:p>
    <w:p w14:paraId="27E73067">
      <w:pPr>
        <w:widowControl/>
        <w:spacing w:line="500" w:lineRule="exact"/>
        <w:jc w:val="left"/>
        <w:rPr>
          <w:rFonts w:ascii="宋体" w:hAnsi="宋体" w:cs="宋体"/>
          <w:kern w:val="0"/>
          <w:sz w:val="24"/>
          <w:lang w:bidi="en-US"/>
        </w:rPr>
      </w:pPr>
      <w:r>
        <w:rPr>
          <w:rFonts w:hint="eastAsia" w:ascii="宋体" w:hAnsi="宋体" w:cs="宋体"/>
          <w:b/>
          <w:bCs/>
          <w:kern w:val="0"/>
          <w:sz w:val="24"/>
          <w:lang w:bidi="en-US"/>
        </w:rPr>
        <w:t>2.项目概况与招标范围</w:t>
      </w:r>
    </w:p>
    <w:p w14:paraId="2AB4FEF3">
      <w:pPr>
        <w:widowControl/>
        <w:spacing w:line="360" w:lineRule="auto"/>
        <w:jc w:val="left"/>
        <w:rPr>
          <w:rStyle w:val="39"/>
          <w:rFonts w:hint="eastAsia" w:ascii="宋体" w:hAnsi="宋体"/>
          <w:sz w:val="24"/>
          <w:u w:val="single"/>
          <w:lang w:eastAsia="zh-CN"/>
        </w:rPr>
      </w:pPr>
      <w:bookmarkStart w:id="11" w:name="_Toc179632530"/>
      <w:bookmarkEnd w:id="11"/>
      <w:bookmarkStart w:id="12" w:name="_Toc285809451"/>
      <w:bookmarkEnd w:id="12"/>
      <w:bookmarkStart w:id="13" w:name="_Toc144974482"/>
      <w:bookmarkEnd w:id="13"/>
      <w:bookmarkStart w:id="14" w:name="_Toc152045514"/>
      <w:bookmarkEnd w:id="14"/>
      <w:bookmarkStart w:id="15" w:name="_Toc152042290"/>
      <w:bookmarkEnd w:id="15"/>
      <w:r>
        <w:rPr>
          <w:rFonts w:hint="eastAsia" w:ascii="宋体" w:hAnsi="宋体" w:cs="宋体"/>
          <w:kern w:val="0"/>
          <w:sz w:val="24"/>
          <w:lang w:bidi="en-US"/>
        </w:rPr>
        <w:t>2.1工程名称：</w:t>
      </w:r>
      <w:r>
        <w:rPr>
          <w:rStyle w:val="39"/>
          <w:rFonts w:hint="eastAsia" w:ascii="宋体" w:hAnsi="宋体"/>
          <w:sz w:val="24"/>
          <w:u w:val="single"/>
          <w:lang w:eastAsia="zh-CN"/>
        </w:rPr>
        <w:t>济南橡塑件公司质量提升专项新建职工停车场技改项目工程施工</w:t>
      </w:r>
    </w:p>
    <w:p w14:paraId="283FEA40">
      <w:pPr>
        <w:widowControl/>
        <w:spacing w:line="360" w:lineRule="auto"/>
        <w:jc w:val="left"/>
        <w:rPr>
          <w:rStyle w:val="39"/>
          <w:rFonts w:hint="eastAsia" w:ascii="宋体" w:hAnsi="宋体" w:eastAsia="宋体"/>
          <w:sz w:val="24"/>
          <w:u w:val="single"/>
          <w:lang w:eastAsia="zh-CN"/>
        </w:rPr>
      </w:pPr>
      <w:r>
        <w:rPr>
          <w:rFonts w:hint="eastAsia" w:ascii="宋体" w:hAnsi="宋体" w:cs="宋体"/>
          <w:kern w:val="0"/>
          <w:sz w:val="24"/>
          <w:lang w:bidi="en-US"/>
        </w:rPr>
        <w:t>2.2工程地点：</w:t>
      </w:r>
      <w:r>
        <w:rPr>
          <w:rStyle w:val="39"/>
          <w:rFonts w:hint="eastAsia" w:ascii="宋体" w:hAnsi="宋体"/>
          <w:sz w:val="24"/>
          <w:u w:val="single"/>
        </w:rPr>
        <w:t>山东省济南市</w:t>
      </w:r>
      <w:r>
        <w:rPr>
          <w:rStyle w:val="39"/>
          <w:rFonts w:hint="eastAsia" w:ascii="宋体" w:hAnsi="宋体"/>
          <w:sz w:val="24"/>
          <w:u w:val="single"/>
          <w:lang w:eastAsia="zh-CN"/>
        </w:rPr>
        <w:t>长清区；</w:t>
      </w:r>
    </w:p>
    <w:p w14:paraId="35D989D7">
      <w:pPr>
        <w:widowControl/>
        <w:spacing w:line="360" w:lineRule="auto"/>
        <w:jc w:val="left"/>
        <w:rPr>
          <w:rFonts w:hint="default" w:ascii="宋体" w:hAnsi="宋体" w:eastAsia="宋体" w:cs="宋体"/>
          <w:kern w:val="0"/>
          <w:sz w:val="24"/>
          <w:szCs w:val="24"/>
          <w:highlight w:val="none"/>
          <w:u w:val="single"/>
          <w:lang w:val="en-US" w:eastAsia="zh-CN" w:bidi="en-US"/>
        </w:rPr>
      </w:pPr>
      <w:r>
        <w:rPr>
          <w:rFonts w:hint="eastAsia" w:ascii="宋体" w:hAnsi="宋体" w:cs="宋体"/>
          <w:kern w:val="0"/>
          <w:sz w:val="24"/>
          <w:lang w:bidi="en-US"/>
        </w:rPr>
        <w:t>2.3工程概况：</w:t>
      </w:r>
      <w:r>
        <w:rPr>
          <w:rStyle w:val="39"/>
          <w:rFonts w:hint="eastAsia" w:ascii="宋体" w:hAnsi="宋体"/>
          <w:color w:val="auto"/>
          <w:sz w:val="24"/>
          <w:u w:val="single"/>
          <w:lang w:val="en-US" w:eastAsia="zh-CN"/>
        </w:rPr>
        <w:t xml:space="preserve"> </w:t>
      </w:r>
      <w:r>
        <w:rPr>
          <w:rStyle w:val="39"/>
          <w:rFonts w:hint="eastAsia" w:ascii="宋体" w:hAnsi="宋体"/>
          <w:sz w:val="24"/>
          <w:u w:val="single"/>
          <w:lang w:eastAsia="zh-CN"/>
        </w:rPr>
        <w:t>济南橡塑件公司质量提升专项新建职工停车场技改项目：</w:t>
      </w:r>
      <w:r>
        <w:rPr>
          <w:rStyle w:val="39"/>
          <w:rFonts w:hint="eastAsia" w:ascii="宋体" w:hAnsi="宋体"/>
          <w:sz w:val="24"/>
          <w:u w:val="single"/>
          <w:lang w:val="en-US" w:eastAsia="zh-CN"/>
        </w:rPr>
        <w:t>包含</w:t>
      </w:r>
      <w:r>
        <w:rPr>
          <w:rStyle w:val="39"/>
          <w:rFonts w:hint="eastAsia" w:ascii="宋体" w:hAnsi="宋体"/>
          <w:color w:val="auto"/>
          <w:sz w:val="24"/>
          <w:u w:val="single"/>
          <w:lang w:val="en-US" w:eastAsia="zh-CN"/>
        </w:rPr>
        <w:t>平整场地、道路硬化、车位划线、围墙、门卫、出入口道闸系统、太阳能路灯、监控、配电系统等图纸及工程量清单范围内的</w:t>
      </w:r>
      <w:r>
        <w:rPr>
          <w:rStyle w:val="39"/>
          <w:rFonts w:hint="eastAsia" w:ascii="宋体" w:hAnsi="宋体" w:eastAsiaTheme="minorEastAsia" w:cstheme="minorBidi"/>
          <w:sz w:val="24"/>
          <w:u w:val="single"/>
        </w:rPr>
        <w:t>室内外建安施工内容。</w:t>
      </w:r>
    </w:p>
    <w:p w14:paraId="4CC0B78D">
      <w:pPr>
        <w:widowControl/>
        <w:spacing w:line="360" w:lineRule="auto"/>
        <w:jc w:val="left"/>
        <w:rPr>
          <w:rFonts w:hint="eastAsia" w:ascii="宋体" w:hAnsi="宋体" w:eastAsia="宋体" w:cs="宋体"/>
          <w:kern w:val="0"/>
          <w:sz w:val="24"/>
          <w:lang w:eastAsia="zh-CN" w:bidi="en-US"/>
        </w:rPr>
      </w:pPr>
      <w:r>
        <w:rPr>
          <w:rFonts w:hint="eastAsia" w:ascii="宋体" w:hAnsi="宋体" w:cs="宋体"/>
          <w:kern w:val="0"/>
          <w:sz w:val="24"/>
          <w:lang w:bidi="en-US"/>
        </w:rPr>
        <w:t>2.4资金来源：</w:t>
      </w:r>
      <w:r>
        <w:rPr>
          <w:rFonts w:hint="eastAsia" w:ascii="宋体" w:hAnsi="宋体" w:cs="宋体"/>
          <w:kern w:val="0"/>
          <w:sz w:val="24"/>
          <w:u w:val="single"/>
          <w:lang w:bidi="en-US"/>
        </w:rPr>
        <w:t>企业自筹，已落实</w:t>
      </w:r>
      <w:r>
        <w:rPr>
          <w:rFonts w:hint="eastAsia" w:ascii="宋体" w:hAnsi="宋体" w:cs="宋体"/>
          <w:kern w:val="0"/>
          <w:sz w:val="24"/>
          <w:u w:val="single"/>
          <w:lang w:eastAsia="zh-CN" w:bidi="en-US"/>
        </w:rPr>
        <w:t>；</w:t>
      </w:r>
    </w:p>
    <w:p w14:paraId="65FF1B1F">
      <w:pPr>
        <w:widowControl/>
        <w:spacing w:line="360" w:lineRule="auto"/>
        <w:jc w:val="left"/>
        <w:rPr>
          <w:rStyle w:val="39"/>
          <w:rFonts w:hint="eastAsia" w:ascii="宋体" w:hAnsi="宋体" w:eastAsia="宋体" w:cstheme="minorBidi"/>
          <w:sz w:val="24"/>
          <w:lang w:eastAsia="zh-CN"/>
        </w:rPr>
      </w:pPr>
      <w:r>
        <w:rPr>
          <w:rFonts w:hint="eastAsia" w:ascii="宋体" w:hAnsi="宋体" w:cs="宋体"/>
          <w:kern w:val="0"/>
          <w:sz w:val="24"/>
          <w:lang w:bidi="en-US"/>
        </w:rPr>
        <w:t>2.5工期要求</w:t>
      </w:r>
      <w:r>
        <w:rPr>
          <w:rStyle w:val="39"/>
          <w:rFonts w:hint="eastAsia" w:ascii="宋体" w:hAnsi="宋体" w:eastAsiaTheme="minorEastAsia" w:cstheme="minorBidi"/>
          <w:sz w:val="24"/>
        </w:rPr>
        <w:t>：</w:t>
      </w:r>
      <w:r>
        <w:rPr>
          <w:rStyle w:val="39"/>
          <w:rFonts w:hint="eastAsia" w:ascii="宋体" w:hAnsi="宋体" w:eastAsiaTheme="minorEastAsia" w:cstheme="minorBidi"/>
          <w:sz w:val="24"/>
          <w:highlight w:val="none"/>
          <w:u w:val="single"/>
        </w:rPr>
        <w:t>总工期暂定</w:t>
      </w:r>
      <w:r>
        <w:rPr>
          <w:rStyle w:val="39"/>
          <w:rFonts w:hint="eastAsia" w:ascii="宋体" w:hAnsi="宋体" w:eastAsiaTheme="minorEastAsia" w:cstheme="minorBidi"/>
          <w:sz w:val="24"/>
          <w:highlight w:val="none"/>
          <w:u w:val="single"/>
          <w:lang w:val="en-US" w:eastAsia="zh-CN"/>
        </w:rPr>
        <w:t>60</w:t>
      </w:r>
      <w:r>
        <w:rPr>
          <w:rStyle w:val="39"/>
          <w:rFonts w:ascii="宋体" w:hAnsi="宋体" w:eastAsiaTheme="minorEastAsia" w:cstheme="minorBidi"/>
          <w:sz w:val="24"/>
          <w:highlight w:val="none"/>
          <w:u w:val="single"/>
        </w:rPr>
        <w:t>天</w:t>
      </w:r>
      <w:r>
        <w:rPr>
          <w:rStyle w:val="39"/>
          <w:rFonts w:hint="eastAsia" w:ascii="宋体" w:hAnsi="宋体" w:eastAsiaTheme="minorEastAsia" w:cstheme="minorBidi"/>
          <w:sz w:val="24"/>
          <w:highlight w:val="none"/>
          <w:u w:val="single"/>
        </w:rPr>
        <w:t>，最终以招标文件为准；</w:t>
      </w:r>
    </w:p>
    <w:p w14:paraId="02A9F7A8">
      <w:pPr>
        <w:widowControl/>
        <w:spacing w:line="360" w:lineRule="auto"/>
        <w:jc w:val="left"/>
      </w:pPr>
      <w:r>
        <w:rPr>
          <w:rFonts w:hint="eastAsia" w:ascii="宋体" w:hAnsi="宋体" w:cs="宋体"/>
          <w:kern w:val="0"/>
          <w:sz w:val="24"/>
          <w:lang w:bidi="en-US"/>
        </w:rPr>
        <w:t>2.6招标范围</w:t>
      </w:r>
      <w:r>
        <w:rPr>
          <w:rStyle w:val="39"/>
          <w:rFonts w:hint="eastAsia" w:ascii="宋体" w:hAnsi="宋体" w:eastAsiaTheme="minorEastAsia" w:cstheme="minorBidi"/>
          <w:sz w:val="24"/>
        </w:rPr>
        <w:t>：</w:t>
      </w:r>
      <w:r>
        <w:rPr>
          <w:rFonts w:hint="eastAsia" w:ascii="宋体" w:hAnsi="宋体"/>
          <w:sz w:val="24"/>
          <w:u w:val="single"/>
        </w:rPr>
        <w:t>本次招标范围包括但不限于施工图纸范围内的全部工作内容的施工、验收及质量保修，以及设计变更、补充，以及清单外新增施工内容等。具体详见</w:t>
      </w:r>
      <w:r>
        <w:rPr>
          <w:rFonts w:hint="eastAsia" w:ascii="宋体" w:hAnsi="宋体" w:cs="宋体"/>
          <w:kern w:val="0"/>
          <w:sz w:val="24"/>
          <w:u w:val="single"/>
          <w:lang w:bidi="en-US"/>
        </w:rPr>
        <w:t>招标文件、图纸及工程量清单</w:t>
      </w:r>
      <w:r>
        <w:rPr>
          <w:rStyle w:val="39"/>
          <w:rFonts w:hint="eastAsia" w:ascii="宋体" w:hAnsi="宋体" w:eastAsiaTheme="minorEastAsia" w:cstheme="minorBidi"/>
          <w:sz w:val="24"/>
          <w:u w:val="single"/>
        </w:rPr>
        <w:t>。</w:t>
      </w:r>
    </w:p>
    <w:p w14:paraId="05CE40A6">
      <w:pPr>
        <w:widowControl/>
        <w:spacing w:line="360" w:lineRule="auto"/>
        <w:jc w:val="left"/>
        <w:rPr>
          <w:rFonts w:ascii="宋体" w:hAnsi="宋体" w:cs="宋体"/>
          <w:kern w:val="0"/>
          <w:sz w:val="24"/>
          <w:lang w:bidi="en-US"/>
        </w:rPr>
      </w:pPr>
      <w:r>
        <w:rPr>
          <w:rFonts w:hint="eastAsia" w:ascii="宋体" w:hAnsi="宋体" w:cs="宋体"/>
          <w:kern w:val="0"/>
          <w:sz w:val="24"/>
          <w:lang w:bidi="en-US"/>
        </w:rPr>
        <w:t>2.</w:t>
      </w:r>
      <w:r>
        <w:rPr>
          <w:rFonts w:hint="eastAsia" w:ascii="宋体" w:hAnsi="宋体" w:cs="宋体"/>
          <w:kern w:val="0"/>
          <w:sz w:val="24"/>
          <w:lang w:val="en-US" w:eastAsia="zh-CN" w:bidi="en-US"/>
        </w:rPr>
        <w:t>7</w:t>
      </w:r>
      <w:r>
        <w:rPr>
          <w:rFonts w:hint="eastAsia" w:ascii="宋体" w:hAnsi="宋体" w:cs="宋体"/>
          <w:kern w:val="0"/>
          <w:sz w:val="24"/>
          <w:lang w:bidi="en-US"/>
        </w:rPr>
        <w:t>本工程共分：</w:t>
      </w:r>
      <w:r>
        <w:rPr>
          <w:rFonts w:hint="eastAsia" w:ascii="宋体" w:hAnsi="宋体" w:cs="宋体"/>
          <w:kern w:val="0"/>
          <w:sz w:val="24"/>
          <w:u w:val="single"/>
          <w:lang w:bidi="en-US"/>
        </w:rPr>
        <w:t>一个</w:t>
      </w:r>
      <w:r>
        <w:rPr>
          <w:rFonts w:hint="eastAsia" w:ascii="宋体" w:hAnsi="宋体" w:cs="宋体"/>
          <w:kern w:val="0"/>
          <w:sz w:val="24"/>
          <w:lang w:bidi="en-US"/>
        </w:rPr>
        <w:t>标段</w:t>
      </w:r>
    </w:p>
    <w:p w14:paraId="6BE5A434">
      <w:pPr>
        <w:widowControl/>
        <w:spacing w:line="500" w:lineRule="exact"/>
        <w:jc w:val="left"/>
        <w:rPr>
          <w:rFonts w:ascii="宋体" w:hAnsi="宋体" w:cs="宋体"/>
          <w:b/>
          <w:bCs/>
          <w:kern w:val="0"/>
          <w:sz w:val="24"/>
          <w:lang w:bidi="en-US"/>
        </w:rPr>
      </w:pPr>
      <w:r>
        <w:rPr>
          <w:rFonts w:hint="eastAsia" w:ascii="宋体" w:hAnsi="宋体" w:cs="宋体"/>
          <w:b/>
          <w:bCs/>
          <w:kern w:val="0"/>
          <w:sz w:val="24"/>
          <w:lang w:bidi="en-US"/>
        </w:rPr>
        <w:t>3．投标人资格要求</w:t>
      </w:r>
    </w:p>
    <w:p w14:paraId="17ADB1F9">
      <w:pPr>
        <w:widowControl/>
        <w:spacing w:line="360" w:lineRule="auto"/>
        <w:ind w:left="2" w:firstLine="480" w:firstLineChars="200"/>
        <w:jc w:val="left"/>
        <w:rPr>
          <w:rFonts w:hint="eastAsia" w:ascii="宋体" w:hAnsi="宋体" w:cs="宋体"/>
          <w:kern w:val="0"/>
          <w:sz w:val="24"/>
          <w:lang w:bidi="en-US"/>
        </w:rPr>
      </w:pPr>
      <w:r>
        <w:rPr>
          <w:rFonts w:hint="eastAsia" w:ascii="宋体" w:hAnsi="宋体" w:cs="宋体"/>
          <w:kern w:val="0"/>
          <w:sz w:val="24"/>
          <w:lang w:bidi="en-US"/>
        </w:rPr>
        <w:t>3.1 本次招标要求投标人具备：</w:t>
      </w:r>
    </w:p>
    <w:p w14:paraId="70E575E3">
      <w:pPr>
        <w:widowControl/>
        <w:spacing w:line="360" w:lineRule="auto"/>
        <w:ind w:left="2" w:firstLine="480" w:firstLineChars="200"/>
        <w:jc w:val="left"/>
        <w:rPr>
          <w:rFonts w:hint="eastAsia" w:ascii="宋体" w:hAnsi="宋体" w:cs="宋体"/>
          <w:kern w:val="0"/>
          <w:sz w:val="24"/>
          <w:lang w:bidi="en-US"/>
        </w:rPr>
      </w:pPr>
      <w:r>
        <w:rPr>
          <w:rFonts w:hint="eastAsia" w:ascii="宋体" w:hAnsi="宋体" w:cs="宋体"/>
          <w:kern w:val="0"/>
          <w:sz w:val="24"/>
          <w:lang w:bidi="en-US"/>
        </w:rPr>
        <w:t>（1）投标人必须是在中华人民共和国境内注册的独立法人机构，具有独立承担民事责任能力，注册资金不少于500万人民币；公司成立三年以上（以营业执照成立日期到开标当日满三年为准）；并在人员、设备、资金等方面具有承担本项目的能力；</w:t>
      </w:r>
    </w:p>
    <w:p w14:paraId="10CC3F8C">
      <w:pPr>
        <w:widowControl/>
        <w:spacing w:line="360" w:lineRule="auto"/>
        <w:ind w:left="2" w:firstLine="480" w:firstLineChars="200"/>
        <w:jc w:val="left"/>
        <w:rPr>
          <w:rFonts w:hint="eastAsia" w:ascii="宋体" w:hAnsi="宋体" w:cs="宋体"/>
          <w:kern w:val="0"/>
          <w:sz w:val="24"/>
          <w:lang w:bidi="en-US"/>
        </w:rPr>
      </w:pPr>
      <w:r>
        <w:rPr>
          <w:rFonts w:hint="eastAsia" w:ascii="宋体" w:hAnsi="宋体" w:cs="宋体"/>
          <w:kern w:val="0"/>
          <w:sz w:val="24"/>
          <w:lang w:bidi="en-US"/>
        </w:rPr>
        <w:t>（2）投标人资质要求：须具有建筑工程施工总承包叁级及以上资质，并具有有效的安全生产许可证；</w:t>
      </w:r>
    </w:p>
    <w:p w14:paraId="5F7F9F18">
      <w:pPr>
        <w:widowControl/>
        <w:spacing w:line="360" w:lineRule="auto"/>
        <w:ind w:left="2" w:firstLine="480" w:firstLineChars="200"/>
        <w:jc w:val="left"/>
        <w:rPr>
          <w:rFonts w:hint="eastAsia" w:ascii="宋体" w:hAnsi="宋体" w:cs="宋体"/>
          <w:kern w:val="0"/>
          <w:sz w:val="24"/>
          <w:lang w:bidi="en-US"/>
        </w:rPr>
      </w:pPr>
      <w:r>
        <w:rPr>
          <w:rFonts w:hint="eastAsia" w:ascii="宋体" w:hAnsi="宋体" w:cs="宋体"/>
          <w:kern w:val="0"/>
          <w:sz w:val="24"/>
          <w:lang w:eastAsia="zh-CN" w:bidi="en-US"/>
        </w:rPr>
        <w:t>（</w:t>
      </w:r>
      <w:r>
        <w:rPr>
          <w:rFonts w:hint="eastAsia" w:ascii="宋体" w:hAnsi="宋体" w:cs="宋体"/>
          <w:kern w:val="0"/>
          <w:sz w:val="24"/>
          <w:lang w:val="en-US" w:eastAsia="zh-CN" w:bidi="en-US"/>
        </w:rPr>
        <w:t>3</w:t>
      </w:r>
      <w:r>
        <w:rPr>
          <w:rFonts w:hint="eastAsia" w:ascii="宋体" w:hAnsi="宋体" w:cs="宋体"/>
          <w:kern w:val="0"/>
          <w:sz w:val="24"/>
          <w:lang w:eastAsia="zh-CN" w:bidi="en-US"/>
        </w:rPr>
        <w:t>）</w:t>
      </w:r>
      <w:r>
        <w:rPr>
          <w:rFonts w:hint="eastAsia" w:ascii="宋体" w:hAnsi="宋体" w:cs="宋体"/>
          <w:kern w:val="0"/>
          <w:sz w:val="24"/>
          <w:lang w:bidi="en-US"/>
        </w:rPr>
        <w:t>投标人拟派项目负责人要求：须具备建筑工程专业二级注册建造师证书，具有有效的安全考核合格B证且不得担任其他在施建设工程项目的项目经理；</w:t>
      </w:r>
    </w:p>
    <w:p w14:paraId="0C250D25">
      <w:pPr>
        <w:widowControl/>
        <w:spacing w:line="360" w:lineRule="auto"/>
        <w:ind w:left="2" w:firstLine="480" w:firstLineChars="200"/>
        <w:jc w:val="left"/>
        <w:rPr>
          <w:rFonts w:ascii="宋体" w:hAnsi="宋体" w:cs="宋体"/>
          <w:kern w:val="0"/>
          <w:sz w:val="24"/>
          <w:lang w:bidi="en-US"/>
        </w:rPr>
      </w:pPr>
      <w:r>
        <w:rPr>
          <w:rFonts w:hint="eastAsia" w:ascii="宋体" w:hAnsi="宋体" w:eastAsia="宋体" w:cs="宋体"/>
          <w:i w:val="0"/>
          <w:iCs w:val="0"/>
          <w:caps w:val="0"/>
          <w:color w:val="auto"/>
          <w:spacing w:val="0"/>
          <w:kern w:val="0"/>
          <w:sz w:val="24"/>
          <w:szCs w:val="24"/>
          <w:shd w:val="clear" w:fill="auto"/>
          <w:lang w:bidi="en-US"/>
        </w:rPr>
        <w:t>(</w:t>
      </w:r>
      <w:r>
        <w:rPr>
          <w:rFonts w:hint="eastAsia" w:ascii="宋体" w:hAnsi="宋体" w:cs="宋体"/>
          <w:i w:val="0"/>
          <w:iCs w:val="0"/>
          <w:caps w:val="0"/>
          <w:color w:val="auto"/>
          <w:spacing w:val="0"/>
          <w:kern w:val="0"/>
          <w:sz w:val="24"/>
          <w:szCs w:val="24"/>
          <w:shd w:val="clear" w:fill="auto"/>
          <w:lang w:val="en-US" w:eastAsia="zh-CN" w:bidi="en-US"/>
        </w:rPr>
        <w:t>须为</w:t>
      </w:r>
      <w:r>
        <w:rPr>
          <w:rFonts w:hint="eastAsia" w:ascii="宋体" w:hAnsi="宋体" w:eastAsia="宋体" w:cs="宋体"/>
          <w:i w:val="0"/>
          <w:iCs w:val="0"/>
          <w:caps w:val="0"/>
          <w:color w:val="auto"/>
          <w:spacing w:val="0"/>
          <w:kern w:val="0"/>
          <w:sz w:val="24"/>
          <w:szCs w:val="24"/>
          <w:shd w:val="clear" w:fill="auto"/>
          <w:lang w:bidi="en-US"/>
        </w:rPr>
        <w:t>为本单位在职人员，须提供至投标截止时间</w:t>
      </w:r>
      <w:r>
        <w:rPr>
          <w:rFonts w:hint="eastAsia" w:ascii="宋体" w:hAnsi="宋体" w:cs="宋体"/>
          <w:i w:val="0"/>
          <w:iCs w:val="0"/>
          <w:caps w:val="0"/>
          <w:spacing w:val="0"/>
          <w:kern w:val="0"/>
          <w:sz w:val="24"/>
          <w:szCs w:val="24"/>
          <w:shd w:val="clear"/>
          <w:lang w:val="en-US" w:eastAsia="zh-CN" w:bidi="en-US"/>
        </w:rPr>
        <w:t>前</w:t>
      </w:r>
      <w:r>
        <w:rPr>
          <w:rFonts w:hint="eastAsia" w:ascii="宋体" w:hAnsi="宋体" w:eastAsia="宋体" w:cs="宋体"/>
          <w:i w:val="0"/>
          <w:iCs w:val="0"/>
          <w:caps w:val="0"/>
          <w:color w:val="auto"/>
          <w:spacing w:val="0"/>
          <w:kern w:val="0"/>
          <w:sz w:val="24"/>
          <w:szCs w:val="24"/>
          <w:shd w:val="clear" w:fill="auto"/>
          <w:lang w:bidi="en-US"/>
        </w:rPr>
        <w:t>连续</w:t>
      </w:r>
      <w:r>
        <w:rPr>
          <w:rFonts w:hint="eastAsia" w:ascii="宋体" w:hAnsi="宋体" w:cs="宋体"/>
          <w:i w:val="0"/>
          <w:iCs w:val="0"/>
          <w:caps w:val="0"/>
          <w:spacing w:val="0"/>
          <w:kern w:val="0"/>
          <w:sz w:val="24"/>
          <w:szCs w:val="24"/>
          <w:shd w:val="clear"/>
          <w:lang w:eastAsia="zh-CN" w:bidi="en-US"/>
        </w:rPr>
        <w:t>6</w:t>
      </w:r>
      <w:r>
        <w:rPr>
          <w:rFonts w:hint="eastAsia" w:ascii="宋体" w:hAnsi="宋体" w:eastAsia="宋体" w:cs="宋体"/>
          <w:i w:val="0"/>
          <w:iCs w:val="0"/>
          <w:caps w:val="0"/>
          <w:color w:val="auto"/>
          <w:spacing w:val="0"/>
          <w:kern w:val="0"/>
          <w:sz w:val="24"/>
          <w:szCs w:val="24"/>
          <w:shd w:val="clear" w:fill="auto"/>
          <w:lang w:bidi="en-US"/>
        </w:rPr>
        <w:t>个月的社保缴费证明)</w:t>
      </w:r>
    </w:p>
    <w:p w14:paraId="13DEAF91">
      <w:pPr>
        <w:widowControl/>
        <w:spacing w:line="360" w:lineRule="auto"/>
        <w:ind w:left="2" w:firstLine="480" w:firstLineChars="200"/>
        <w:jc w:val="left"/>
        <w:rPr>
          <w:rFonts w:ascii="宋体" w:hAnsi="宋体" w:cs="宋体"/>
          <w:kern w:val="0"/>
          <w:sz w:val="24"/>
          <w:lang w:bidi="en-US"/>
        </w:rPr>
      </w:pPr>
      <w:r>
        <w:rPr>
          <w:rFonts w:hint="eastAsia" w:ascii="宋体" w:hAnsi="宋体" w:cs="宋体"/>
          <w:kern w:val="0"/>
          <w:sz w:val="24"/>
          <w:lang w:eastAsia="zh-CN" w:bidi="en-US"/>
        </w:rPr>
        <w:t>（</w:t>
      </w:r>
      <w:r>
        <w:rPr>
          <w:rFonts w:hint="eastAsia" w:ascii="宋体" w:hAnsi="宋体" w:cs="宋体"/>
          <w:kern w:val="0"/>
          <w:sz w:val="24"/>
          <w:lang w:val="en-US" w:eastAsia="zh-CN" w:bidi="en-US"/>
        </w:rPr>
        <w:t>4）</w:t>
      </w:r>
      <w:r>
        <w:rPr>
          <w:rFonts w:hint="eastAsia" w:ascii="宋体" w:hAnsi="宋体" w:cs="宋体"/>
          <w:kern w:val="0"/>
          <w:sz w:val="24"/>
          <w:lang w:bidi="en-US"/>
        </w:rPr>
        <w:t>财务要求：近三年财务状况良好（近三年指202</w:t>
      </w:r>
      <w:r>
        <w:rPr>
          <w:rFonts w:hint="eastAsia" w:ascii="宋体" w:hAnsi="宋体" w:cs="宋体"/>
          <w:kern w:val="0"/>
          <w:sz w:val="24"/>
          <w:lang w:val="en-US" w:eastAsia="zh-CN" w:bidi="en-US"/>
        </w:rPr>
        <w:t>3</w:t>
      </w:r>
      <w:r>
        <w:rPr>
          <w:rFonts w:hint="eastAsia" w:ascii="宋体" w:hAnsi="宋体" w:cs="宋体"/>
          <w:kern w:val="0"/>
          <w:sz w:val="24"/>
          <w:lang w:bidi="en-US"/>
        </w:rPr>
        <w:t>、202</w:t>
      </w:r>
      <w:r>
        <w:rPr>
          <w:rFonts w:hint="eastAsia" w:ascii="宋体" w:hAnsi="宋体" w:cs="宋体"/>
          <w:kern w:val="0"/>
          <w:sz w:val="24"/>
          <w:lang w:val="en-US" w:eastAsia="zh-CN" w:bidi="en-US"/>
        </w:rPr>
        <w:t>4</w:t>
      </w:r>
      <w:r>
        <w:rPr>
          <w:rFonts w:hint="eastAsia" w:ascii="宋体" w:hAnsi="宋体" w:cs="宋体"/>
          <w:kern w:val="0"/>
          <w:sz w:val="24"/>
          <w:lang w:bidi="en-US"/>
        </w:rPr>
        <w:t>、202</w:t>
      </w:r>
      <w:r>
        <w:rPr>
          <w:rFonts w:hint="eastAsia" w:ascii="宋体" w:hAnsi="宋体" w:cs="宋体"/>
          <w:kern w:val="0"/>
          <w:sz w:val="24"/>
          <w:lang w:val="en-US" w:eastAsia="zh-CN" w:bidi="en-US"/>
        </w:rPr>
        <w:t>5</w:t>
      </w:r>
      <w:r>
        <w:rPr>
          <w:rFonts w:hint="eastAsia" w:ascii="宋体" w:hAnsi="宋体" w:cs="宋体"/>
          <w:kern w:val="0"/>
          <w:sz w:val="24"/>
          <w:lang w:bidi="en-US"/>
        </w:rPr>
        <w:t>年</w:t>
      </w:r>
      <w:r>
        <w:rPr>
          <w:rFonts w:hint="eastAsia" w:ascii="宋体" w:hAnsi="宋体" w:cs="宋体"/>
          <w:kern w:val="0"/>
          <w:sz w:val="24"/>
          <w:lang w:eastAsia="zh-CN" w:bidi="en-US"/>
        </w:rPr>
        <w:t>）</w:t>
      </w:r>
      <w:r>
        <w:rPr>
          <w:rFonts w:hint="eastAsia" w:ascii="宋体" w:hAnsi="宋体" w:cs="宋体"/>
          <w:kern w:val="0"/>
          <w:sz w:val="24"/>
          <w:lang w:bidi="en-US"/>
        </w:rPr>
        <w:t>要求包含企业最近半年完税证明、信用证明材料（中国人民银行征信报告）；年度纳税信用评价信息；企业对外担保说明）；</w:t>
      </w:r>
    </w:p>
    <w:p w14:paraId="51B2DF0C">
      <w:pPr>
        <w:widowControl/>
        <w:spacing w:line="360" w:lineRule="auto"/>
        <w:ind w:firstLine="480" w:firstLineChars="200"/>
        <w:rPr>
          <w:rFonts w:ascii="宋体" w:hAnsi="宋体" w:cs="宋体"/>
          <w:kern w:val="0"/>
          <w:sz w:val="24"/>
          <w:lang w:bidi="en-US"/>
        </w:rPr>
      </w:pPr>
      <w:r>
        <w:rPr>
          <w:rFonts w:hint="eastAsia" w:ascii="宋体" w:hAnsi="宋体" w:cs="宋体"/>
          <w:kern w:val="0"/>
          <w:sz w:val="24"/>
          <w:lang w:bidi="en-US"/>
        </w:rPr>
        <w:t>（</w:t>
      </w:r>
      <w:r>
        <w:rPr>
          <w:rFonts w:hint="eastAsia" w:ascii="宋体" w:hAnsi="宋体" w:cs="宋体"/>
          <w:kern w:val="0"/>
          <w:sz w:val="24"/>
          <w:lang w:val="en-US" w:eastAsia="zh-CN" w:bidi="en-US"/>
        </w:rPr>
        <w:t>6</w:t>
      </w:r>
      <w:r>
        <w:rPr>
          <w:rFonts w:hint="eastAsia" w:ascii="宋体" w:hAnsi="宋体" w:cs="宋体"/>
          <w:kern w:val="0"/>
          <w:sz w:val="24"/>
          <w:lang w:bidi="en-US"/>
        </w:rPr>
        <w:t>）信誉要求：公司信誉良好，无行政处罚及失信记录等信息，无与本项目有关的违法违规等不良行为，无招标违规、谎报年度报告信息、提供虚假资质资料等行为或其他行政处罚记录；</w:t>
      </w:r>
    </w:p>
    <w:p w14:paraId="0F59C062">
      <w:pPr>
        <w:widowControl/>
        <w:spacing w:line="360" w:lineRule="auto"/>
        <w:ind w:left="2" w:firstLine="480" w:firstLineChars="200"/>
        <w:jc w:val="left"/>
        <w:rPr>
          <w:rFonts w:ascii="宋体" w:hAnsi="宋体" w:cs="宋体"/>
          <w:kern w:val="0"/>
          <w:sz w:val="24"/>
          <w:lang w:bidi="en-US"/>
        </w:rPr>
      </w:pPr>
      <w:r>
        <w:rPr>
          <w:rFonts w:hint="eastAsia" w:ascii="宋体" w:hAnsi="宋体" w:cs="宋体"/>
          <w:kern w:val="0"/>
          <w:sz w:val="24"/>
          <w:lang w:bidi="en-US"/>
        </w:rPr>
        <w:t>（</w:t>
      </w:r>
      <w:r>
        <w:rPr>
          <w:rFonts w:hint="eastAsia" w:ascii="宋体" w:hAnsi="宋体" w:cs="宋体"/>
          <w:kern w:val="0"/>
          <w:sz w:val="24"/>
          <w:lang w:val="en-US" w:eastAsia="zh-CN" w:bidi="en-US"/>
        </w:rPr>
        <w:t>7</w:t>
      </w:r>
      <w:r>
        <w:rPr>
          <w:rFonts w:hint="eastAsia" w:ascii="宋体" w:hAnsi="宋体" w:cs="宋体"/>
          <w:kern w:val="0"/>
          <w:sz w:val="24"/>
          <w:lang w:bidi="en-US"/>
        </w:rPr>
        <w:t>）单位负责人为同一人或者存在控股、管理关系的不同投标人，不得同时报名参加本次招标活动，否则须另提供上级单位对本项目投标的授权。</w:t>
      </w:r>
    </w:p>
    <w:p w14:paraId="010ED653">
      <w:pPr>
        <w:widowControl/>
        <w:spacing w:line="360" w:lineRule="auto"/>
        <w:ind w:left="2" w:firstLine="480" w:firstLineChars="200"/>
        <w:jc w:val="left"/>
        <w:rPr>
          <w:rFonts w:ascii="宋体" w:hAnsi="宋体" w:cs="宋体"/>
          <w:kern w:val="0"/>
          <w:sz w:val="24"/>
          <w:lang w:bidi="en-US"/>
        </w:rPr>
      </w:pPr>
      <w:r>
        <w:rPr>
          <w:rFonts w:hint="eastAsia" w:ascii="宋体" w:hAnsi="宋体" w:cs="宋体"/>
          <w:kern w:val="0"/>
          <w:sz w:val="24"/>
          <w:lang w:bidi="en-US"/>
        </w:rPr>
        <w:t>（</w:t>
      </w:r>
      <w:r>
        <w:rPr>
          <w:rFonts w:hint="eastAsia" w:ascii="宋体" w:hAnsi="宋体" w:cs="宋体"/>
          <w:kern w:val="0"/>
          <w:sz w:val="24"/>
          <w:lang w:val="en-US" w:eastAsia="zh-CN" w:bidi="en-US"/>
        </w:rPr>
        <w:t>8</w:t>
      </w:r>
      <w:r>
        <w:rPr>
          <w:rFonts w:hint="eastAsia" w:ascii="宋体" w:hAnsi="宋体" w:cs="宋体"/>
          <w:kern w:val="0"/>
          <w:sz w:val="24"/>
          <w:lang w:bidi="en-US"/>
        </w:rPr>
        <w:t>）投标人没有被我公司列入黑名单；</w:t>
      </w:r>
    </w:p>
    <w:p w14:paraId="3CAE3E38">
      <w:pPr>
        <w:widowControl/>
        <w:spacing w:line="360" w:lineRule="auto"/>
        <w:ind w:left="2" w:firstLine="480" w:firstLineChars="200"/>
        <w:jc w:val="left"/>
        <w:rPr>
          <w:rFonts w:ascii="宋体" w:hAnsi="宋体" w:cs="宋体"/>
          <w:kern w:val="0"/>
          <w:sz w:val="24"/>
          <w:lang w:bidi="en-US"/>
        </w:rPr>
      </w:pPr>
      <w:r>
        <w:rPr>
          <w:rFonts w:hint="eastAsia" w:ascii="宋体" w:hAnsi="宋体" w:cs="宋体"/>
          <w:kern w:val="0"/>
          <w:sz w:val="24"/>
          <w:lang w:bidi="en-US"/>
        </w:rPr>
        <w:t>（</w:t>
      </w:r>
      <w:r>
        <w:rPr>
          <w:rFonts w:hint="eastAsia" w:ascii="宋体" w:hAnsi="宋体" w:cs="宋体"/>
          <w:kern w:val="0"/>
          <w:sz w:val="24"/>
          <w:lang w:val="en-US" w:eastAsia="zh-CN" w:bidi="en-US"/>
        </w:rPr>
        <w:t>9</w:t>
      </w:r>
      <w:r>
        <w:rPr>
          <w:rFonts w:hint="eastAsia" w:ascii="宋体" w:hAnsi="宋体" w:cs="宋体"/>
          <w:kern w:val="0"/>
          <w:sz w:val="24"/>
          <w:lang w:bidi="en-US"/>
        </w:rPr>
        <w:t>）投标人的直接或间接股东、法定代表人、董事、监事、高管非重汽员工及其亲属。</w:t>
      </w:r>
    </w:p>
    <w:p w14:paraId="1D7DA866">
      <w:pPr>
        <w:widowControl/>
        <w:spacing w:line="360" w:lineRule="auto"/>
        <w:ind w:left="2" w:firstLine="480" w:firstLineChars="200"/>
        <w:jc w:val="left"/>
        <w:rPr>
          <w:rFonts w:ascii="宋体" w:hAnsi="宋体" w:cs="宋体"/>
          <w:kern w:val="0"/>
          <w:sz w:val="24"/>
          <w:lang w:bidi="en-US"/>
        </w:rPr>
      </w:pPr>
      <w:r>
        <w:rPr>
          <w:rFonts w:hint="eastAsia" w:ascii="宋体" w:hAnsi="宋体" w:cs="宋体"/>
          <w:kern w:val="0"/>
          <w:sz w:val="24"/>
          <w:lang w:bidi="en-US"/>
        </w:rPr>
        <w:t>（</w:t>
      </w:r>
      <w:r>
        <w:rPr>
          <w:rFonts w:hint="eastAsia" w:ascii="宋体" w:hAnsi="宋体" w:cs="宋体"/>
          <w:kern w:val="0"/>
          <w:sz w:val="24"/>
          <w:lang w:val="en-US" w:eastAsia="zh-CN" w:bidi="en-US"/>
        </w:rPr>
        <w:t>10</w:t>
      </w:r>
      <w:r>
        <w:rPr>
          <w:rFonts w:hint="eastAsia" w:ascii="宋体" w:hAnsi="宋体" w:cs="宋体"/>
          <w:kern w:val="0"/>
          <w:sz w:val="24"/>
          <w:lang w:bidi="en-US"/>
        </w:rPr>
        <w:t>）法律法规对合格投标人的其他要求、规定。</w:t>
      </w:r>
    </w:p>
    <w:p w14:paraId="75732B5A">
      <w:pPr>
        <w:widowControl/>
        <w:spacing w:line="360" w:lineRule="auto"/>
        <w:ind w:firstLine="480" w:firstLineChars="200"/>
        <w:jc w:val="left"/>
        <w:rPr>
          <w:rFonts w:ascii="宋体" w:hAnsi="宋体" w:cs="宋体"/>
          <w:kern w:val="0"/>
          <w:sz w:val="24"/>
          <w:lang w:bidi="en-US"/>
        </w:rPr>
      </w:pPr>
      <w:r>
        <w:rPr>
          <w:rFonts w:hint="eastAsia" w:ascii="宋体" w:hAnsi="宋体" w:cs="宋体"/>
          <w:kern w:val="0"/>
          <w:sz w:val="24"/>
          <w:lang w:bidi="en-US"/>
        </w:rPr>
        <w:t>3.2 被邀请单位</w:t>
      </w:r>
      <w:r>
        <w:rPr>
          <w:rFonts w:hint="eastAsia" w:ascii="宋体" w:hAnsi="宋体" w:cs="宋体"/>
          <w:kern w:val="0"/>
          <w:sz w:val="24"/>
          <w:u w:val="single"/>
          <w:lang w:bidi="en-US"/>
        </w:rPr>
        <w:t xml:space="preserve"> 不可以 </w:t>
      </w:r>
      <w:r>
        <w:rPr>
          <w:rFonts w:hint="eastAsia" w:ascii="宋体" w:hAnsi="宋体" w:cs="宋体"/>
          <w:kern w:val="0"/>
          <w:sz w:val="24"/>
          <w:lang w:bidi="en-US"/>
        </w:rPr>
        <w:t>组成联合体投标。</w:t>
      </w:r>
    </w:p>
    <w:p w14:paraId="5CA9B363">
      <w:pPr>
        <w:widowControl/>
        <w:spacing w:line="500" w:lineRule="exact"/>
        <w:jc w:val="left"/>
        <w:rPr>
          <w:rFonts w:ascii="宋体" w:hAnsi="宋体" w:cs="宋体"/>
          <w:b/>
          <w:bCs/>
          <w:kern w:val="0"/>
          <w:sz w:val="24"/>
          <w:lang w:bidi="en-US"/>
        </w:rPr>
      </w:pPr>
      <w:r>
        <w:rPr>
          <w:rFonts w:hint="eastAsia" w:ascii="宋体" w:hAnsi="宋体" w:cs="宋体"/>
          <w:b/>
          <w:bCs/>
          <w:kern w:val="0"/>
          <w:sz w:val="24"/>
          <w:lang w:bidi="en-US"/>
        </w:rPr>
        <w:t>4．报名及招标文件的获取</w:t>
      </w:r>
    </w:p>
    <w:p w14:paraId="4F9B1FC8">
      <w:pPr>
        <w:widowControl/>
        <w:spacing w:line="360" w:lineRule="auto"/>
        <w:ind w:firstLine="480" w:firstLineChars="200"/>
        <w:rPr>
          <w:rFonts w:ascii="宋体" w:cs="宋体"/>
          <w:sz w:val="24"/>
          <w:lang w:bidi="ar"/>
        </w:rPr>
      </w:pPr>
      <w:r>
        <w:rPr>
          <w:rFonts w:hint="eastAsia" w:ascii="宋体" w:hAnsi="宋体" w:cs="宋体"/>
          <w:kern w:val="0"/>
          <w:sz w:val="24"/>
          <w:lang w:bidi="en-US"/>
        </w:rPr>
        <w:t>4.1</w:t>
      </w:r>
      <w:r>
        <w:rPr>
          <w:rFonts w:hint="eastAsia" w:ascii="宋体" w:cs="宋体"/>
          <w:sz w:val="24"/>
          <w:lang w:bidi="ar"/>
        </w:rPr>
        <w:t>凡有意参加投标者，请于</w:t>
      </w:r>
      <w:r>
        <w:rPr>
          <w:rFonts w:hint="eastAsia" w:ascii="宋体" w:cs="宋体"/>
          <w:sz w:val="24"/>
          <w:highlight w:val="green"/>
          <w:lang w:bidi="ar"/>
        </w:rPr>
        <w:t>202</w:t>
      </w:r>
      <w:r>
        <w:rPr>
          <w:rFonts w:hint="eastAsia" w:ascii="宋体" w:cs="宋体"/>
          <w:sz w:val="24"/>
          <w:highlight w:val="green"/>
          <w:lang w:val="en-US" w:eastAsia="zh-CN" w:bidi="ar"/>
        </w:rPr>
        <w:t>6</w:t>
      </w:r>
      <w:r>
        <w:rPr>
          <w:rFonts w:hint="eastAsia" w:ascii="宋体" w:cs="宋体"/>
          <w:sz w:val="24"/>
          <w:highlight w:val="green"/>
          <w:lang w:bidi="ar"/>
        </w:rPr>
        <w:t>年</w:t>
      </w:r>
      <w:r>
        <w:rPr>
          <w:rFonts w:hint="eastAsia" w:ascii="宋体" w:cs="宋体"/>
          <w:sz w:val="24"/>
          <w:highlight w:val="green"/>
          <w:lang w:val="en-US" w:eastAsia="zh-CN" w:bidi="ar"/>
        </w:rPr>
        <w:t>9</w:t>
      </w:r>
      <w:r>
        <w:rPr>
          <w:rFonts w:hint="eastAsia" w:ascii="宋体" w:cs="宋体"/>
          <w:sz w:val="24"/>
          <w:highlight w:val="green"/>
          <w:lang w:bidi="ar"/>
        </w:rPr>
        <w:t>月</w:t>
      </w:r>
      <w:r>
        <w:rPr>
          <w:rFonts w:hint="eastAsia" w:ascii="宋体" w:cs="宋体"/>
          <w:sz w:val="24"/>
          <w:highlight w:val="green"/>
          <w:lang w:val="en-US" w:eastAsia="zh-CN" w:bidi="ar"/>
        </w:rPr>
        <w:t>24</w:t>
      </w:r>
      <w:r>
        <w:rPr>
          <w:rFonts w:hint="eastAsia" w:ascii="宋体" w:cs="宋体"/>
          <w:sz w:val="24"/>
          <w:highlight w:val="green"/>
          <w:lang w:bidi="ar"/>
        </w:rPr>
        <w:t>日到</w:t>
      </w:r>
      <w:r>
        <w:rPr>
          <w:rFonts w:hint="eastAsia" w:ascii="宋体" w:cs="宋体"/>
          <w:sz w:val="24"/>
          <w:highlight w:val="green"/>
          <w:lang w:val="en-US" w:eastAsia="zh-CN" w:bidi="ar"/>
        </w:rPr>
        <w:t>9</w:t>
      </w:r>
      <w:r>
        <w:rPr>
          <w:rFonts w:hint="eastAsia" w:ascii="宋体" w:cs="宋体"/>
          <w:sz w:val="24"/>
          <w:highlight w:val="green"/>
          <w:lang w:bidi="ar"/>
        </w:rPr>
        <w:t>月</w:t>
      </w:r>
      <w:r>
        <w:rPr>
          <w:rFonts w:hint="eastAsia" w:ascii="宋体" w:cs="宋体"/>
          <w:sz w:val="24"/>
          <w:highlight w:val="green"/>
          <w:lang w:val="en-US" w:eastAsia="zh-CN" w:bidi="ar"/>
        </w:rPr>
        <w:t>30</w:t>
      </w:r>
      <w:r>
        <w:rPr>
          <w:rFonts w:hint="eastAsia" w:ascii="宋体" w:cs="宋体"/>
          <w:sz w:val="24"/>
          <w:highlight w:val="green"/>
          <w:lang w:bidi="ar"/>
        </w:rPr>
        <w:t>日</w:t>
      </w:r>
      <w:r>
        <w:rPr>
          <w:rFonts w:hint="eastAsia" w:ascii="宋体" w:cs="宋体"/>
          <w:sz w:val="24"/>
          <w:lang w:bidi="ar"/>
        </w:rPr>
        <w:t>1</w:t>
      </w:r>
      <w:r>
        <w:rPr>
          <w:rFonts w:hint="eastAsia" w:ascii="宋体" w:cs="宋体"/>
          <w:sz w:val="24"/>
          <w:lang w:val="en-US" w:eastAsia="zh-CN" w:bidi="ar"/>
        </w:rPr>
        <w:t>2:0</w:t>
      </w:r>
      <w:r>
        <w:rPr>
          <w:rFonts w:hint="eastAsia" w:ascii="宋体" w:cs="宋体"/>
          <w:sz w:val="24"/>
          <w:lang w:bidi="ar"/>
        </w:rPr>
        <w:t>0</w:t>
      </w:r>
      <w:r>
        <w:rPr>
          <w:rFonts w:hint="eastAsia" w:ascii="宋体" w:hAnsi="宋体" w:cs="宋体"/>
          <w:kern w:val="0"/>
          <w:sz w:val="24"/>
          <w:lang w:bidi="en-US"/>
        </w:rPr>
        <w:t>（北京时间，下同），</w:t>
      </w:r>
      <w:r>
        <w:rPr>
          <w:rFonts w:hint="eastAsia" w:ascii="宋体" w:cs="宋体"/>
          <w:sz w:val="24"/>
          <w:lang w:bidi="ar"/>
        </w:rPr>
        <w:t>按照以下顺序及所列项相关资料的</w:t>
      </w:r>
      <w:r>
        <w:rPr>
          <w:rFonts w:hint="eastAsia" w:ascii="宋体" w:cs="宋体"/>
          <w:b/>
          <w:bCs/>
          <w:sz w:val="24"/>
          <w:lang w:bidi="ar"/>
        </w:rPr>
        <w:t>原件的扫描件</w:t>
      </w:r>
      <w:r>
        <w:rPr>
          <w:rFonts w:hint="eastAsia" w:ascii="宋体" w:cs="宋体"/>
          <w:sz w:val="24"/>
          <w:lang w:bidi="ar"/>
        </w:rPr>
        <w:t>（要求每一页原文件扫描在一页上，扫描文件必须清晰可辨否则影响报名的审核，扫描文件格式为pdf格式，禁止采用压缩文件格式或图片格式，</w:t>
      </w:r>
      <w:r>
        <w:rPr>
          <w:rFonts w:hint="eastAsia" w:ascii="宋体" w:cs="宋体"/>
          <w:b/>
          <w:bCs/>
          <w:sz w:val="24"/>
          <w:lang w:bidi="ar"/>
        </w:rPr>
        <w:t>所有扫描文件都集成到1个pdf文档</w:t>
      </w:r>
      <w:r>
        <w:rPr>
          <w:rFonts w:hint="eastAsia" w:ascii="宋体" w:cs="宋体"/>
          <w:sz w:val="24"/>
          <w:lang w:bidi="ar"/>
        </w:rPr>
        <w:t>并设置目录，</w:t>
      </w:r>
      <w:r>
        <w:rPr>
          <w:rFonts w:hint="eastAsia" w:ascii="宋体" w:cs="宋体"/>
          <w:b/>
          <w:bCs/>
          <w:sz w:val="24"/>
          <w:lang w:bidi="ar"/>
        </w:rPr>
        <w:t>所有文件要求字体向上，不允许横向扫描</w:t>
      </w:r>
      <w:r>
        <w:rPr>
          <w:rFonts w:hint="eastAsia" w:ascii="宋体" w:cs="宋体"/>
          <w:sz w:val="24"/>
          <w:lang w:bidi="ar"/>
        </w:rPr>
        <w:t>）</w:t>
      </w:r>
    </w:p>
    <w:p w14:paraId="0205C2B9">
      <w:pPr>
        <w:pStyle w:val="2"/>
        <w:spacing w:line="360" w:lineRule="auto"/>
        <w:ind w:left="0" w:leftChars="0" w:firstLine="420" w:firstLineChars="0"/>
        <w:rPr>
          <w:rFonts w:ascii="宋体" w:cs="宋体"/>
          <w:sz w:val="24"/>
          <w:lang w:bidi="ar"/>
        </w:rPr>
      </w:pPr>
      <w:r>
        <w:rPr>
          <w:rFonts w:hint="eastAsia" w:ascii="宋体" w:cs="宋体"/>
          <w:sz w:val="24"/>
          <w:lang w:bidi="ar"/>
        </w:rPr>
        <w:t>根据招标人在中国重汽官网等公开媒体上发布的招标信息，在“中国重汽e采通”平台报名。按照中国重汽e采通“SRM非生产供应商注册手册”（附件-供应商注册）进行注册，注册完毕后按照“SRM系统供应商用户手册（附件-供应商应标）”，登录重汽e采通平台后进入“供应商应标”，选择对应的项目，点击“应标”后按照下方资质文件组成准备资料并上传(资质标，要求做好目录），资质审查通过即为报名成功；公示期间请尽快报名。</w:t>
      </w:r>
    </w:p>
    <w:p w14:paraId="7A107E58">
      <w:pPr>
        <w:widowControl/>
        <w:spacing w:line="360" w:lineRule="auto"/>
        <w:ind w:firstLine="482" w:firstLineChars="200"/>
        <w:rPr>
          <w:rFonts w:hint="eastAsia" w:ascii="宋体" w:cs="宋体"/>
          <w:b/>
          <w:bCs/>
          <w:color w:val="FF0000"/>
          <w:sz w:val="24"/>
          <w:lang w:bidi="ar"/>
        </w:rPr>
      </w:pPr>
      <w:r>
        <w:rPr>
          <w:rFonts w:hint="eastAsia" w:ascii="宋体" w:cs="宋体"/>
          <w:b/>
          <w:bCs/>
          <w:color w:val="FF0000"/>
          <w:sz w:val="24"/>
          <w:lang w:bidi="ar"/>
        </w:rPr>
        <w:t>报名时提供的资料不合格的会在系统被驳回，请及时及时查阅并补齐资料，不能按时补充资料的视为自动放弃本次投标。</w:t>
      </w:r>
    </w:p>
    <w:p w14:paraId="262B0F0B">
      <w:pPr>
        <w:widowControl/>
        <w:spacing w:line="360" w:lineRule="auto"/>
        <w:ind w:firstLine="482" w:firstLineChars="200"/>
      </w:pPr>
      <w:r>
        <w:rPr>
          <w:rFonts w:hint="eastAsia" w:ascii="宋体" w:hAnsi="Times New Roman" w:eastAsia="宋体" w:cs="宋体"/>
          <w:b/>
          <w:bCs/>
          <w:color w:val="FF0000"/>
          <w:kern w:val="2"/>
          <w:sz w:val="24"/>
          <w:szCs w:val="24"/>
          <w:lang w:val="en-US" w:eastAsia="zh-CN" w:bidi="ar"/>
        </w:rPr>
        <w:t>已注册的投标人注意去重汽e采通平台检查更新近三年的经营概况，财务信息更新到近三年，且不许有空余，若因此造成应标不成功，后果由投标人自行承担。（更新路径：重汽e采通-供应商中心-供应商变更-供应商财务数据变更管理-右上角：发起变更）</w:t>
      </w:r>
    </w:p>
    <w:p w14:paraId="4D6A540D">
      <w:pPr>
        <w:pStyle w:val="8"/>
      </w:pPr>
      <w:r>
        <w:rPr>
          <w:rFonts w:hint="eastAsia"/>
        </w:rPr>
        <w:t>资质文件组成</w:t>
      </w:r>
    </w:p>
    <w:p w14:paraId="49193D55">
      <w:pPr>
        <w:widowControl/>
        <w:numPr>
          <w:ilvl w:val="0"/>
          <w:numId w:val="1"/>
        </w:numPr>
        <w:spacing w:line="360" w:lineRule="auto"/>
        <w:rPr>
          <w:kern w:val="0"/>
          <w:sz w:val="24"/>
          <w:szCs w:val="21"/>
          <w:lang w:bidi="en-US"/>
        </w:rPr>
      </w:pPr>
      <w:r>
        <w:rPr>
          <w:rFonts w:hint="eastAsia"/>
          <w:kern w:val="0"/>
          <w:sz w:val="24"/>
          <w:szCs w:val="21"/>
          <w:lang w:bidi="en-US"/>
        </w:rPr>
        <w:t>XXX公司XXX项目投标信息明细表（详见本公告附件1，</w:t>
      </w:r>
      <w:r>
        <w:rPr>
          <w:rFonts w:hint="eastAsia"/>
          <w:b/>
          <w:bCs/>
          <w:kern w:val="0"/>
          <w:sz w:val="24"/>
          <w:szCs w:val="21"/>
          <w:lang w:bidi="en-US"/>
        </w:rPr>
        <w:t>注意要求附件1同时提供一份EXCEL格式，与上述PDF扫描件同时提交</w:t>
      </w:r>
      <w:r>
        <w:rPr>
          <w:rFonts w:hint="eastAsia"/>
          <w:kern w:val="0"/>
          <w:sz w:val="24"/>
          <w:szCs w:val="21"/>
          <w:lang w:bidi="en-US"/>
        </w:rPr>
        <w:t>）</w:t>
      </w:r>
    </w:p>
    <w:p w14:paraId="48574CBE">
      <w:pPr>
        <w:widowControl/>
        <w:numPr>
          <w:ilvl w:val="0"/>
          <w:numId w:val="1"/>
        </w:numPr>
        <w:spacing w:line="360" w:lineRule="auto"/>
        <w:rPr>
          <w:kern w:val="0"/>
          <w:sz w:val="24"/>
          <w:szCs w:val="21"/>
          <w:lang w:bidi="en-US"/>
        </w:rPr>
      </w:pPr>
      <w:r>
        <w:rPr>
          <w:rFonts w:hint="eastAsia"/>
          <w:kern w:val="0"/>
          <w:sz w:val="24"/>
          <w:szCs w:val="21"/>
          <w:lang w:bidi="en-US"/>
        </w:rPr>
        <w:t>营业执照；</w:t>
      </w:r>
    </w:p>
    <w:p w14:paraId="19CA1E22">
      <w:pPr>
        <w:widowControl/>
        <w:numPr>
          <w:ilvl w:val="0"/>
          <w:numId w:val="1"/>
        </w:numPr>
        <w:spacing w:line="360" w:lineRule="auto"/>
        <w:rPr>
          <w:kern w:val="0"/>
          <w:sz w:val="24"/>
          <w:szCs w:val="21"/>
          <w:lang w:bidi="en-US"/>
        </w:rPr>
      </w:pPr>
      <w:r>
        <w:rPr>
          <w:rFonts w:hint="eastAsia"/>
          <w:kern w:val="0"/>
          <w:sz w:val="24"/>
          <w:szCs w:val="21"/>
          <w:lang w:bidi="en-US"/>
        </w:rPr>
        <w:t>资质证书；</w:t>
      </w:r>
    </w:p>
    <w:p w14:paraId="6DAD8D1B">
      <w:pPr>
        <w:widowControl/>
        <w:numPr>
          <w:ilvl w:val="0"/>
          <w:numId w:val="1"/>
        </w:numPr>
        <w:spacing w:line="360" w:lineRule="auto"/>
        <w:rPr>
          <w:kern w:val="0"/>
          <w:sz w:val="24"/>
          <w:szCs w:val="21"/>
          <w:lang w:bidi="en-US"/>
        </w:rPr>
      </w:pPr>
      <w:r>
        <w:rPr>
          <w:rFonts w:hint="eastAsia"/>
          <w:kern w:val="0"/>
          <w:sz w:val="24"/>
          <w:szCs w:val="21"/>
          <w:lang w:bidi="en-US"/>
        </w:rPr>
        <w:t>安全生产许可证；</w:t>
      </w:r>
    </w:p>
    <w:p w14:paraId="4E351637">
      <w:pPr>
        <w:widowControl/>
        <w:numPr>
          <w:ilvl w:val="0"/>
          <w:numId w:val="1"/>
        </w:numPr>
        <w:spacing w:line="360" w:lineRule="auto"/>
        <w:rPr>
          <w:kern w:val="0"/>
          <w:sz w:val="24"/>
          <w:szCs w:val="21"/>
          <w:lang w:bidi="en-US"/>
        </w:rPr>
      </w:pPr>
      <w:r>
        <w:rPr>
          <w:rFonts w:hint="eastAsia"/>
          <w:kern w:val="0"/>
          <w:sz w:val="24"/>
          <w:szCs w:val="21"/>
          <w:lang w:bidi="en-US"/>
        </w:rPr>
        <w:t>信用中国，</w:t>
      </w:r>
      <w:r>
        <w:rPr>
          <w:rFonts w:hint="eastAsia" w:ascii="宋体" w:cs="宋体"/>
          <w:sz w:val="24"/>
          <w:lang w:bidi="ar"/>
        </w:rPr>
        <w:t>“中国执行信息公开网”截图</w:t>
      </w:r>
      <w:r>
        <w:rPr>
          <w:rFonts w:hint="eastAsia"/>
          <w:kern w:val="0"/>
          <w:sz w:val="24"/>
          <w:szCs w:val="21"/>
          <w:lang w:bidi="en-US"/>
        </w:rPr>
        <w:t>；</w:t>
      </w:r>
    </w:p>
    <w:p w14:paraId="7958E213">
      <w:pPr>
        <w:widowControl/>
        <w:numPr>
          <w:ilvl w:val="0"/>
          <w:numId w:val="1"/>
        </w:numPr>
        <w:spacing w:line="360" w:lineRule="auto"/>
        <w:jc w:val="left"/>
        <w:rPr>
          <w:rFonts w:hint="eastAsia" w:ascii="宋体" w:cs="宋体"/>
          <w:b/>
          <w:bCs/>
          <w:color w:val="000000"/>
          <w:sz w:val="24"/>
          <w:u w:val="single"/>
          <w:shd w:val="solid" w:color="D8D8D8" w:fill="FFFFFF"/>
          <w:lang w:bidi="ar"/>
        </w:rPr>
      </w:pPr>
      <w:r>
        <w:rPr>
          <w:rFonts w:hint="eastAsia" w:ascii="宋体" w:cs="宋体"/>
          <w:sz w:val="24"/>
          <w:lang w:bidi="ar"/>
        </w:rPr>
        <w:t>投标单位资产情况汇总表，按照下述表格内容及顺序如实填写。填写的依据为经审计事务所审计并盖章的企业财务审计报告等相关资料，并将对应年度（202</w:t>
      </w:r>
      <w:r>
        <w:rPr>
          <w:rFonts w:hint="eastAsia" w:ascii="宋体" w:cs="宋体"/>
          <w:sz w:val="24"/>
          <w:lang w:val="en-US" w:eastAsia="zh-CN" w:bidi="ar"/>
        </w:rPr>
        <w:t>3</w:t>
      </w:r>
      <w:r>
        <w:rPr>
          <w:rFonts w:hint="eastAsia" w:ascii="宋体" w:cs="宋体"/>
          <w:sz w:val="24"/>
          <w:lang w:bidi="ar"/>
        </w:rPr>
        <w:t>-202</w:t>
      </w:r>
      <w:r>
        <w:rPr>
          <w:rFonts w:hint="eastAsia" w:ascii="宋体" w:cs="宋体"/>
          <w:sz w:val="24"/>
          <w:lang w:val="en-US" w:eastAsia="zh-CN" w:bidi="ar"/>
        </w:rPr>
        <w:t>5</w:t>
      </w:r>
      <w:r>
        <w:rPr>
          <w:rFonts w:hint="eastAsia" w:ascii="宋体" w:cs="宋体"/>
          <w:sz w:val="24"/>
          <w:lang w:bidi="ar"/>
        </w:rPr>
        <w:t>年，提供最近三年报告）企业财务审计报告扫描件附后，</w:t>
      </w:r>
      <w:r>
        <w:rPr>
          <w:rFonts w:hint="eastAsia" w:ascii="宋体" w:hAnsi="宋体"/>
          <w:kern w:val="0"/>
          <w:sz w:val="24"/>
          <w:lang w:bidi="en-US"/>
        </w:rPr>
        <w:t>还应包含</w:t>
      </w:r>
      <w:r>
        <w:rPr>
          <w:rFonts w:hint="eastAsia" w:ascii="宋体" w:hAnsi="宋体"/>
          <w:b/>
          <w:bCs/>
          <w:kern w:val="0"/>
          <w:sz w:val="24"/>
          <w:lang w:bidi="en-US"/>
        </w:rPr>
        <w:t>企业最近半年完税证明、信用证明材料</w:t>
      </w:r>
      <w:r>
        <w:rPr>
          <w:rFonts w:hint="eastAsia" w:ascii="宋体" w:hAnsi="宋体"/>
          <w:kern w:val="0"/>
          <w:sz w:val="24"/>
          <w:lang w:bidi="en-US"/>
        </w:rPr>
        <w:t>（中国人民银行征信报告）；</w:t>
      </w:r>
      <w:r>
        <w:rPr>
          <w:rFonts w:hint="eastAsia" w:ascii="宋体" w:hAnsi="宋体"/>
          <w:b/>
          <w:bCs/>
          <w:kern w:val="0"/>
          <w:sz w:val="24"/>
          <w:lang w:bidi="en-US"/>
        </w:rPr>
        <w:t>年度纳税信用评价信息</w:t>
      </w:r>
      <w:r>
        <w:rPr>
          <w:rFonts w:hint="eastAsia"/>
          <w:kern w:val="0"/>
          <w:sz w:val="24"/>
          <w:szCs w:val="21"/>
          <w:lang w:bidi="en-US"/>
        </w:rPr>
        <w:t>（可从电子税务局查询截图，需加盖公章）</w:t>
      </w:r>
      <w:r>
        <w:rPr>
          <w:rFonts w:hint="eastAsia" w:ascii="宋体" w:hAnsi="宋体"/>
          <w:kern w:val="0"/>
          <w:sz w:val="24"/>
          <w:lang w:bidi="en-US"/>
        </w:rPr>
        <w:t>；</w:t>
      </w:r>
      <w:r>
        <w:rPr>
          <w:rFonts w:hint="eastAsia" w:ascii="宋体" w:hAnsi="宋体"/>
          <w:b/>
          <w:bCs/>
          <w:kern w:val="0"/>
          <w:sz w:val="24"/>
          <w:lang w:bidi="en-US"/>
        </w:rPr>
        <w:t>企业对外担保说明</w:t>
      </w:r>
      <w:r>
        <w:rPr>
          <w:rFonts w:hint="eastAsia"/>
          <w:kern w:val="0"/>
          <w:sz w:val="24"/>
          <w:szCs w:val="21"/>
          <w:lang w:bidi="en-US"/>
        </w:rPr>
        <w:t>（写明贵单位对外有无对外担保和质押业务，需加盖公章）</w:t>
      </w:r>
      <w:r>
        <w:rPr>
          <w:rFonts w:hint="eastAsia" w:ascii="宋体" w:cs="宋体"/>
          <w:sz w:val="24"/>
          <w:lang w:bidi="ar"/>
        </w:rPr>
        <w:t>。</w:t>
      </w:r>
      <w:r>
        <w:rPr>
          <w:rFonts w:hint="eastAsia" w:ascii="宋体" w:cs="宋体"/>
          <w:b/>
          <w:bCs/>
          <w:sz w:val="24"/>
          <w:lang w:bidi="ar"/>
        </w:rPr>
        <w:t>注意没有投标单位资产情况汇总表或扫描件不清晰无法辨认则会影响报名成功</w:t>
      </w:r>
      <w:r>
        <w:rPr>
          <w:rFonts w:hint="eastAsia"/>
          <w:kern w:val="0"/>
          <w:sz w:val="24"/>
          <w:lang w:bidi="en-US"/>
        </w:rPr>
        <w:t>；</w:t>
      </w:r>
    </w:p>
    <w:p w14:paraId="716763D3">
      <w:pPr>
        <w:widowControl/>
        <w:numPr>
          <w:ilvl w:val="0"/>
          <w:numId w:val="0"/>
        </w:numPr>
        <w:spacing w:line="360" w:lineRule="auto"/>
        <w:ind w:left="420" w:leftChars="0" w:firstLine="482" w:firstLineChars="200"/>
        <w:jc w:val="left"/>
        <w:rPr>
          <w:rFonts w:hint="eastAsia" w:ascii="宋体" w:cs="宋体"/>
          <w:b/>
          <w:bCs/>
          <w:color w:val="000000"/>
          <w:sz w:val="24"/>
          <w:u w:val="single"/>
          <w:shd w:val="solid" w:color="D8D8D8" w:fill="FFFFFF"/>
          <w:lang w:bidi="ar"/>
        </w:rPr>
      </w:pPr>
      <w:r>
        <w:rPr>
          <w:rFonts w:hint="eastAsia" w:ascii="宋体" w:cs="宋体"/>
          <w:b/>
          <w:bCs/>
          <w:color w:val="000000"/>
          <w:sz w:val="24"/>
          <w:u w:val="single"/>
          <w:shd w:val="solid" w:color="D8D8D8" w:fill="FFFFFF"/>
          <w:lang w:bidi="ar"/>
        </w:rPr>
        <w:t>以上报名资料均要加盖公章.</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3"/>
        <w:gridCol w:w="2397"/>
        <w:gridCol w:w="2384"/>
        <w:gridCol w:w="2386"/>
      </w:tblGrid>
      <w:tr w14:paraId="5891E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9700" w:type="dxa"/>
            <w:gridSpan w:val="4"/>
            <w:vAlign w:val="center"/>
          </w:tcPr>
          <w:p w14:paraId="605AAE36">
            <w:pPr>
              <w:spacing w:line="360" w:lineRule="auto"/>
              <w:jc w:val="center"/>
              <w:rPr>
                <w:rStyle w:val="39"/>
                <w:rFonts w:ascii="宋体"/>
              </w:rPr>
            </w:pPr>
            <w:r>
              <w:rPr>
                <w:rStyle w:val="39"/>
                <w:rFonts w:hint="eastAsia" w:ascii="宋体"/>
              </w:rPr>
              <w:t>投标单位资产情况汇总表</w:t>
            </w:r>
          </w:p>
        </w:tc>
      </w:tr>
      <w:tr w14:paraId="2694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2533" w:type="dxa"/>
          </w:tcPr>
          <w:p w14:paraId="48414993">
            <w:pPr>
              <w:spacing w:line="360" w:lineRule="auto"/>
              <w:jc w:val="center"/>
              <w:rPr>
                <w:rStyle w:val="39"/>
                <w:rFonts w:ascii="宋体"/>
              </w:rPr>
            </w:pPr>
            <w:r>
              <w:rPr>
                <w:rStyle w:val="39"/>
                <w:rFonts w:hint="eastAsia" w:ascii="宋体"/>
              </w:rPr>
              <w:t>注册资金（万元）</w:t>
            </w:r>
          </w:p>
        </w:tc>
        <w:tc>
          <w:tcPr>
            <w:tcW w:w="7167" w:type="dxa"/>
            <w:gridSpan w:val="3"/>
          </w:tcPr>
          <w:p w14:paraId="42534401">
            <w:pPr>
              <w:spacing w:line="360" w:lineRule="auto"/>
              <w:jc w:val="center"/>
              <w:rPr>
                <w:rStyle w:val="39"/>
                <w:rFonts w:ascii="宋体"/>
              </w:rPr>
            </w:pPr>
          </w:p>
        </w:tc>
      </w:tr>
      <w:tr w14:paraId="100FA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2533" w:type="dxa"/>
          </w:tcPr>
          <w:p w14:paraId="43216AD5">
            <w:pPr>
              <w:spacing w:line="360" w:lineRule="auto"/>
              <w:jc w:val="center"/>
              <w:rPr>
                <w:rStyle w:val="39"/>
                <w:rFonts w:ascii="宋体"/>
              </w:rPr>
            </w:pPr>
            <w:r>
              <w:rPr>
                <w:rStyle w:val="39"/>
                <w:rFonts w:hint="eastAsia" w:ascii="宋体"/>
              </w:rPr>
              <w:t>实收资金（万元）</w:t>
            </w:r>
          </w:p>
        </w:tc>
        <w:tc>
          <w:tcPr>
            <w:tcW w:w="7167" w:type="dxa"/>
            <w:gridSpan w:val="3"/>
          </w:tcPr>
          <w:p w14:paraId="4186F780">
            <w:pPr>
              <w:spacing w:line="360" w:lineRule="auto"/>
              <w:jc w:val="center"/>
              <w:rPr>
                <w:rStyle w:val="39"/>
                <w:rFonts w:ascii="宋体"/>
              </w:rPr>
            </w:pPr>
          </w:p>
        </w:tc>
      </w:tr>
      <w:tr w14:paraId="6936C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2533" w:type="dxa"/>
          </w:tcPr>
          <w:p w14:paraId="68FA6287">
            <w:pPr>
              <w:spacing w:line="360" w:lineRule="auto"/>
              <w:jc w:val="center"/>
              <w:rPr>
                <w:rStyle w:val="39"/>
                <w:rFonts w:ascii="宋体"/>
              </w:rPr>
            </w:pPr>
            <w:r>
              <w:rPr>
                <w:rStyle w:val="39"/>
                <w:rFonts w:hint="eastAsia" w:ascii="宋体"/>
              </w:rPr>
              <w:t>年度资产情况</w:t>
            </w:r>
          </w:p>
        </w:tc>
        <w:tc>
          <w:tcPr>
            <w:tcW w:w="2397" w:type="dxa"/>
          </w:tcPr>
          <w:p w14:paraId="604E12BD">
            <w:pPr>
              <w:spacing w:line="360" w:lineRule="auto"/>
              <w:jc w:val="center"/>
              <w:rPr>
                <w:rStyle w:val="39"/>
                <w:rFonts w:ascii="宋体"/>
              </w:rPr>
            </w:pPr>
            <w:r>
              <w:rPr>
                <w:rStyle w:val="39"/>
                <w:rFonts w:hint="eastAsia" w:ascii="宋体"/>
              </w:rPr>
              <w:t>202</w:t>
            </w:r>
            <w:r>
              <w:rPr>
                <w:rStyle w:val="39"/>
                <w:rFonts w:hint="eastAsia" w:ascii="宋体"/>
                <w:lang w:val="en-US" w:eastAsia="zh-CN"/>
              </w:rPr>
              <w:t>3</w:t>
            </w:r>
            <w:r>
              <w:rPr>
                <w:rStyle w:val="39"/>
                <w:rFonts w:hint="eastAsia" w:ascii="宋体"/>
              </w:rPr>
              <w:t>年</w:t>
            </w:r>
          </w:p>
        </w:tc>
        <w:tc>
          <w:tcPr>
            <w:tcW w:w="2384" w:type="dxa"/>
          </w:tcPr>
          <w:p w14:paraId="7758CC68">
            <w:pPr>
              <w:spacing w:line="360" w:lineRule="auto"/>
              <w:jc w:val="center"/>
              <w:rPr>
                <w:rStyle w:val="39"/>
                <w:rFonts w:ascii="宋体"/>
              </w:rPr>
            </w:pPr>
            <w:r>
              <w:rPr>
                <w:rStyle w:val="39"/>
                <w:rFonts w:hint="eastAsia" w:ascii="宋体"/>
              </w:rPr>
              <w:t>202</w:t>
            </w:r>
            <w:r>
              <w:rPr>
                <w:rStyle w:val="39"/>
                <w:rFonts w:hint="eastAsia" w:ascii="宋体"/>
                <w:lang w:val="en-US" w:eastAsia="zh-CN"/>
              </w:rPr>
              <w:t>4</w:t>
            </w:r>
            <w:r>
              <w:rPr>
                <w:rStyle w:val="39"/>
                <w:rFonts w:hint="eastAsia" w:ascii="宋体"/>
              </w:rPr>
              <w:t>年</w:t>
            </w:r>
          </w:p>
        </w:tc>
        <w:tc>
          <w:tcPr>
            <w:tcW w:w="2386" w:type="dxa"/>
          </w:tcPr>
          <w:p w14:paraId="6B51F9E4">
            <w:pPr>
              <w:spacing w:line="360" w:lineRule="auto"/>
              <w:jc w:val="center"/>
              <w:rPr>
                <w:rStyle w:val="39"/>
                <w:rFonts w:ascii="宋体"/>
              </w:rPr>
            </w:pPr>
            <w:r>
              <w:rPr>
                <w:rStyle w:val="39"/>
                <w:rFonts w:hint="eastAsia" w:ascii="宋体"/>
              </w:rPr>
              <w:t>202</w:t>
            </w:r>
            <w:r>
              <w:rPr>
                <w:rStyle w:val="39"/>
                <w:rFonts w:hint="eastAsia" w:ascii="宋体"/>
                <w:lang w:val="en-US" w:eastAsia="zh-CN"/>
              </w:rPr>
              <w:t>5</w:t>
            </w:r>
            <w:r>
              <w:rPr>
                <w:rStyle w:val="39"/>
                <w:rFonts w:hint="eastAsia" w:ascii="宋体"/>
              </w:rPr>
              <w:t>年</w:t>
            </w:r>
          </w:p>
        </w:tc>
      </w:tr>
      <w:tr w14:paraId="7C81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2533" w:type="dxa"/>
          </w:tcPr>
          <w:p w14:paraId="27F7A0BE">
            <w:pPr>
              <w:spacing w:line="360" w:lineRule="auto"/>
              <w:jc w:val="center"/>
              <w:rPr>
                <w:rStyle w:val="39"/>
                <w:rFonts w:ascii="宋体"/>
              </w:rPr>
            </w:pPr>
            <w:r>
              <w:rPr>
                <w:rStyle w:val="39"/>
                <w:rFonts w:hint="eastAsia" w:ascii="宋体"/>
              </w:rPr>
              <w:t>流动资产（万元）</w:t>
            </w:r>
          </w:p>
        </w:tc>
        <w:tc>
          <w:tcPr>
            <w:tcW w:w="2397" w:type="dxa"/>
          </w:tcPr>
          <w:p w14:paraId="13510DC7">
            <w:pPr>
              <w:spacing w:line="360" w:lineRule="auto"/>
              <w:jc w:val="center"/>
              <w:rPr>
                <w:rStyle w:val="39"/>
                <w:rFonts w:ascii="宋体"/>
              </w:rPr>
            </w:pPr>
          </w:p>
        </w:tc>
        <w:tc>
          <w:tcPr>
            <w:tcW w:w="2384" w:type="dxa"/>
          </w:tcPr>
          <w:p w14:paraId="7D52EFE6">
            <w:pPr>
              <w:spacing w:line="360" w:lineRule="auto"/>
              <w:jc w:val="center"/>
              <w:rPr>
                <w:rStyle w:val="39"/>
                <w:rFonts w:ascii="宋体"/>
              </w:rPr>
            </w:pPr>
          </w:p>
        </w:tc>
        <w:tc>
          <w:tcPr>
            <w:tcW w:w="2386" w:type="dxa"/>
          </w:tcPr>
          <w:p w14:paraId="3BB965A0">
            <w:pPr>
              <w:spacing w:line="360" w:lineRule="auto"/>
              <w:jc w:val="center"/>
              <w:rPr>
                <w:rStyle w:val="39"/>
                <w:rFonts w:ascii="宋体"/>
              </w:rPr>
            </w:pPr>
          </w:p>
        </w:tc>
      </w:tr>
      <w:tr w14:paraId="2A19F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2533" w:type="dxa"/>
          </w:tcPr>
          <w:p w14:paraId="6B032683">
            <w:pPr>
              <w:spacing w:line="360" w:lineRule="auto"/>
              <w:jc w:val="center"/>
              <w:rPr>
                <w:rStyle w:val="39"/>
                <w:rFonts w:ascii="宋体"/>
              </w:rPr>
            </w:pPr>
            <w:r>
              <w:rPr>
                <w:rStyle w:val="39"/>
                <w:rFonts w:hint="eastAsia" w:ascii="宋体"/>
              </w:rPr>
              <w:t>非流动资产（万元）</w:t>
            </w:r>
          </w:p>
        </w:tc>
        <w:tc>
          <w:tcPr>
            <w:tcW w:w="2397" w:type="dxa"/>
          </w:tcPr>
          <w:p w14:paraId="3FF4BAC8">
            <w:pPr>
              <w:spacing w:line="360" w:lineRule="auto"/>
              <w:jc w:val="center"/>
              <w:rPr>
                <w:rStyle w:val="39"/>
                <w:rFonts w:ascii="宋体"/>
              </w:rPr>
            </w:pPr>
          </w:p>
        </w:tc>
        <w:tc>
          <w:tcPr>
            <w:tcW w:w="2384" w:type="dxa"/>
          </w:tcPr>
          <w:p w14:paraId="20525627">
            <w:pPr>
              <w:spacing w:line="360" w:lineRule="auto"/>
              <w:jc w:val="center"/>
              <w:rPr>
                <w:rStyle w:val="39"/>
                <w:rFonts w:ascii="宋体"/>
              </w:rPr>
            </w:pPr>
          </w:p>
        </w:tc>
        <w:tc>
          <w:tcPr>
            <w:tcW w:w="2386" w:type="dxa"/>
          </w:tcPr>
          <w:p w14:paraId="1E2513AC">
            <w:pPr>
              <w:spacing w:line="360" w:lineRule="auto"/>
              <w:jc w:val="center"/>
              <w:rPr>
                <w:rStyle w:val="39"/>
                <w:rFonts w:ascii="宋体"/>
              </w:rPr>
            </w:pPr>
          </w:p>
        </w:tc>
      </w:tr>
      <w:tr w14:paraId="75511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2" w:hRule="atLeast"/>
        </w:trPr>
        <w:tc>
          <w:tcPr>
            <w:tcW w:w="2533" w:type="dxa"/>
          </w:tcPr>
          <w:p w14:paraId="32812B6B">
            <w:pPr>
              <w:spacing w:line="360" w:lineRule="auto"/>
              <w:jc w:val="center"/>
              <w:rPr>
                <w:rStyle w:val="39"/>
                <w:rFonts w:ascii="宋体"/>
              </w:rPr>
            </w:pPr>
            <w:r>
              <w:rPr>
                <w:rStyle w:val="39"/>
                <w:rFonts w:hint="eastAsia" w:ascii="宋体"/>
              </w:rPr>
              <w:t>营业收入（万元）</w:t>
            </w:r>
          </w:p>
        </w:tc>
        <w:tc>
          <w:tcPr>
            <w:tcW w:w="2397" w:type="dxa"/>
          </w:tcPr>
          <w:p w14:paraId="3DFBD9AD">
            <w:pPr>
              <w:spacing w:line="360" w:lineRule="auto"/>
              <w:jc w:val="center"/>
              <w:rPr>
                <w:rStyle w:val="39"/>
                <w:rFonts w:ascii="宋体"/>
              </w:rPr>
            </w:pPr>
          </w:p>
        </w:tc>
        <w:tc>
          <w:tcPr>
            <w:tcW w:w="2384" w:type="dxa"/>
          </w:tcPr>
          <w:p w14:paraId="4432B9E3">
            <w:pPr>
              <w:spacing w:line="360" w:lineRule="auto"/>
              <w:jc w:val="center"/>
              <w:rPr>
                <w:rStyle w:val="39"/>
                <w:rFonts w:ascii="宋体"/>
              </w:rPr>
            </w:pPr>
          </w:p>
        </w:tc>
        <w:tc>
          <w:tcPr>
            <w:tcW w:w="2386" w:type="dxa"/>
          </w:tcPr>
          <w:p w14:paraId="4F62481D">
            <w:pPr>
              <w:spacing w:line="360" w:lineRule="auto"/>
              <w:jc w:val="center"/>
              <w:rPr>
                <w:rStyle w:val="39"/>
                <w:rFonts w:ascii="宋体"/>
              </w:rPr>
            </w:pPr>
          </w:p>
        </w:tc>
      </w:tr>
      <w:tr w14:paraId="0FC37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2533" w:type="dxa"/>
          </w:tcPr>
          <w:p w14:paraId="6CE512E2">
            <w:pPr>
              <w:spacing w:line="360" w:lineRule="auto"/>
              <w:jc w:val="center"/>
              <w:rPr>
                <w:rStyle w:val="39"/>
                <w:rFonts w:ascii="宋体"/>
              </w:rPr>
            </w:pPr>
            <w:r>
              <w:rPr>
                <w:rStyle w:val="39"/>
                <w:rFonts w:hint="eastAsia" w:ascii="宋体"/>
              </w:rPr>
              <w:t>年底资产总值（万元）</w:t>
            </w:r>
          </w:p>
        </w:tc>
        <w:tc>
          <w:tcPr>
            <w:tcW w:w="2397" w:type="dxa"/>
          </w:tcPr>
          <w:p w14:paraId="2705D734">
            <w:pPr>
              <w:spacing w:line="360" w:lineRule="auto"/>
              <w:jc w:val="center"/>
              <w:rPr>
                <w:rStyle w:val="39"/>
                <w:rFonts w:ascii="宋体"/>
              </w:rPr>
            </w:pPr>
          </w:p>
        </w:tc>
        <w:tc>
          <w:tcPr>
            <w:tcW w:w="2384" w:type="dxa"/>
          </w:tcPr>
          <w:p w14:paraId="7B95D771">
            <w:pPr>
              <w:spacing w:line="360" w:lineRule="auto"/>
              <w:jc w:val="center"/>
              <w:rPr>
                <w:rStyle w:val="39"/>
                <w:rFonts w:ascii="宋体"/>
              </w:rPr>
            </w:pPr>
          </w:p>
        </w:tc>
        <w:tc>
          <w:tcPr>
            <w:tcW w:w="2386" w:type="dxa"/>
          </w:tcPr>
          <w:p w14:paraId="6C29FE73">
            <w:pPr>
              <w:spacing w:line="360" w:lineRule="auto"/>
              <w:jc w:val="center"/>
              <w:rPr>
                <w:rStyle w:val="39"/>
                <w:rFonts w:ascii="宋体"/>
              </w:rPr>
            </w:pPr>
          </w:p>
        </w:tc>
      </w:tr>
      <w:tr w14:paraId="6A21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2533" w:type="dxa"/>
          </w:tcPr>
          <w:p w14:paraId="5CF9DDE6">
            <w:pPr>
              <w:spacing w:line="360" w:lineRule="auto"/>
              <w:jc w:val="center"/>
              <w:rPr>
                <w:rStyle w:val="39"/>
                <w:rFonts w:ascii="宋体"/>
              </w:rPr>
            </w:pPr>
            <w:r>
              <w:rPr>
                <w:rStyle w:val="39"/>
                <w:rFonts w:hint="eastAsia" w:ascii="宋体"/>
              </w:rPr>
              <w:t>年底负债总值（万元）</w:t>
            </w:r>
          </w:p>
        </w:tc>
        <w:tc>
          <w:tcPr>
            <w:tcW w:w="2397" w:type="dxa"/>
          </w:tcPr>
          <w:p w14:paraId="4B0397D8">
            <w:pPr>
              <w:spacing w:line="360" w:lineRule="auto"/>
              <w:jc w:val="center"/>
              <w:rPr>
                <w:rStyle w:val="39"/>
                <w:rFonts w:ascii="宋体"/>
              </w:rPr>
            </w:pPr>
          </w:p>
        </w:tc>
        <w:tc>
          <w:tcPr>
            <w:tcW w:w="2384" w:type="dxa"/>
          </w:tcPr>
          <w:p w14:paraId="7C97F7AB">
            <w:pPr>
              <w:spacing w:line="360" w:lineRule="auto"/>
              <w:jc w:val="center"/>
              <w:rPr>
                <w:rStyle w:val="39"/>
                <w:rFonts w:ascii="宋体"/>
              </w:rPr>
            </w:pPr>
          </w:p>
        </w:tc>
        <w:tc>
          <w:tcPr>
            <w:tcW w:w="2386" w:type="dxa"/>
          </w:tcPr>
          <w:p w14:paraId="6F1E4F1A">
            <w:pPr>
              <w:spacing w:line="360" w:lineRule="auto"/>
              <w:jc w:val="center"/>
              <w:rPr>
                <w:rStyle w:val="39"/>
                <w:rFonts w:ascii="宋体"/>
              </w:rPr>
            </w:pPr>
          </w:p>
        </w:tc>
      </w:tr>
      <w:tr w14:paraId="20C3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2533" w:type="dxa"/>
          </w:tcPr>
          <w:p w14:paraId="2005117E">
            <w:pPr>
              <w:spacing w:line="360" w:lineRule="auto"/>
              <w:jc w:val="center"/>
              <w:rPr>
                <w:rStyle w:val="39"/>
                <w:rFonts w:ascii="宋体"/>
              </w:rPr>
            </w:pPr>
            <w:r>
              <w:rPr>
                <w:rStyle w:val="39"/>
                <w:rFonts w:hint="eastAsia" w:ascii="宋体"/>
              </w:rPr>
              <w:t>资产负债率（</w:t>
            </w:r>
            <w:r>
              <w:rPr>
                <w:rStyle w:val="39"/>
                <w:rFonts w:hint="eastAsia" w:ascii="宋体"/>
                <w:u w:val="single"/>
              </w:rPr>
              <w:t xml:space="preserve">  </w:t>
            </w:r>
            <w:r>
              <w:rPr>
                <w:rStyle w:val="39"/>
                <w:rFonts w:hint="eastAsia" w:ascii="宋体"/>
              </w:rPr>
              <w:t>%）</w:t>
            </w:r>
          </w:p>
        </w:tc>
        <w:tc>
          <w:tcPr>
            <w:tcW w:w="2397" w:type="dxa"/>
          </w:tcPr>
          <w:p w14:paraId="59D59249">
            <w:pPr>
              <w:spacing w:line="360" w:lineRule="auto"/>
              <w:jc w:val="center"/>
              <w:rPr>
                <w:rStyle w:val="39"/>
                <w:rFonts w:ascii="宋体"/>
              </w:rPr>
            </w:pPr>
          </w:p>
        </w:tc>
        <w:tc>
          <w:tcPr>
            <w:tcW w:w="2384" w:type="dxa"/>
          </w:tcPr>
          <w:p w14:paraId="77658D26">
            <w:pPr>
              <w:spacing w:line="360" w:lineRule="auto"/>
              <w:jc w:val="center"/>
              <w:rPr>
                <w:rStyle w:val="39"/>
                <w:rFonts w:ascii="宋体"/>
              </w:rPr>
            </w:pPr>
          </w:p>
        </w:tc>
        <w:tc>
          <w:tcPr>
            <w:tcW w:w="2386" w:type="dxa"/>
          </w:tcPr>
          <w:p w14:paraId="61398051">
            <w:pPr>
              <w:spacing w:line="360" w:lineRule="auto"/>
              <w:jc w:val="center"/>
              <w:rPr>
                <w:rStyle w:val="39"/>
                <w:rFonts w:ascii="宋体"/>
              </w:rPr>
            </w:pPr>
          </w:p>
        </w:tc>
      </w:tr>
      <w:tr w14:paraId="4099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2533" w:type="dxa"/>
          </w:tcPr>
          <w:p w14:paraId="401C6C1F">
            <w:pPr>
              <w:spacing w:line="360" w:lineRule="auto"/>
              <w:jc w:val="center"/>
              <w:rPr>
                <w:rStyle w:val="39"/>
                <w:rFonts w:ascii="宋体"/>
              </w:rPr>
            </w:pPr>
            <w:r>
              <w:rPr>
                <w:rStyle w:val="39"/>
                <w:rFonts w:hint="eastAsia" w:ascii="宋体"/>
              </w:rPr>
              <w:t>净利润（万元）</w:t>
            </w:r>
          </w:p>
        </w:tc>
        <w:tc>
          <w:tcPr>
            <w:tcW w:w="2397" w:type="dxa"/>
          </w:tcPr>
          <w:p w14:paraId="5DFD30C5">
            <w:pPr>
              <w:spacing w:line="360" w:lineRule="auto"/>
              <w:jc w:val="center"/>
              <w:rPr>
                <w:rStyle w:val="39"/>
                <w:rFonts w:ascii="宋体"/>
              </w:rPr>
            </w:pPr>
          </w:p>
        </w:tc>
        <w:tc>
          <w:tcPr>
            <w:tcW w:w="2384" w:type="dxa"/>
          </w:tcPr>
          <w:p w14:paraId="3C4BE586">
            <w:pPr>
              <w:spacing w:line="360" w:lineRule="auto"/>
              <w:jc w:val="center"/>
              <w:rPr>
                <w:rStyle w:val="39"/>
                <w:rFonts w:ascii="宋体"/>
              </w:rPr>
            </w:pPr>
          </w:p>
        </w:tc>
        <w:tc>
          <w:tcPr>
            <w:tcW w:w="2386" w:type="dxa"/>
          </w:tcPr>
          <w:p w14:paraId="2A501879">
            <w:pPr>
              <w:spacing w:line="360" w:lineRule="auto"/>
              <w:jc w:val="center"/>
              <w:rPr>
                <w:rStyle w:val="39"/>
                <w:rFonts w:ascii="宋体"/>
              </w:rPr>
            </w:pPr>
          </w:p>
        </w:tc>
      </w:tr>
      <w:tr w14:paraId="61593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2533" w:type="dxa"/>
          </w:tcPr>
          <w:p w14:paraId="039ED4BE">
            <w:pPr>
              <w:spacing w:line="360" w:lineRule="auto"/>
              <w:jc w:val="center"/>
              <w:rPr>
                <w:rStyle w:val="39"/>
                <w:rFonts w:ascii="宋体"/>
              </w:rPr>
            </w:pPr>
            <w:r>
              <w:rPr>
                <w:rStyle w:val="39"/>
                <w:rFonts w:hint="eastAsia" w:ascii="宋体"/>
              </w:rPr>
              <w:t>未分配利润（万元）</w:t>
            </w:r>
          </w:p>
        </w:tc>
        <w:tc>
          <w:tcPr>
            <w:tcW w:w="2397" w:type="dxa"/>
          </w:tcPr>
          <w:p w14:paraId="4E7C236E">
            <w:pPr>
              <w:spacing w:line="360" w:lineRule="auto"/>
              <w:jc w:val="center"/>
              <w:rPr>
                <w:rStyle w:val="39"/>
                <w:rFonts w:ascii="宋体"/>
              </w:rPr>
            </w:pPr>
          </w:p>
        </w:tc>
        <w:tc>
          <w:tcPr>
            <w:tcW w:w="2384" w:type="dxa"/>
          </w:tcPr>
          <w:p w14:paraId="1F06BBD2">
            <w:pPr>
              <w:spacing w:line="360" w:lineRule="auto"/>
              <w:jc w:val="center"/>
              <w:rPr>
                <w:rStyle w:val="39"/>
                <w:rFonts w:ascii="宋体"/>
              </w:rPr>
            </w:pPr>
          </w:p>
        </w:tc>
        <w:tc>
          <w:tcPr>
            <w:tcW w:w="2386" w:type="dxa"/>
          </w:tcPr>
          <w:p w14:paraId="3F73A6A7">
            <w:pPr>
              <w:spacing w:line="360" w:lineRule="auto"/>
              <w:jc w:val="center"/>
              <w:rPr>
                <w:rStyle w:val="39"/>
                <w:rFonts w:ascii="宋体"/>
              </w:rPr>
            </w:pPr>
          </w:p>
        </w:tc>
      </w:tr>
      <w:tr w14:paraId="7016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2533" w:type="dxa"/>
          </w:tcPr>
          <w:p w14:paraId="623BB73D">
            <w:pPr>
              <w:spacing w:line="360" w:lineRule="auto"/>
              <w:jc w:val="center"/>
              <w:rPr>
                <w:rFonts w:ascii="宋体"/>
              </w:rPr>
            </w:pPr>
            <w:r>
              <w:rPr>
                <w:rStyle w:val="39"/>
                <w:rFonts w:hint="eastAsia" w:ascii="宋体"/>
              </w:rPr>
              <w:t>营运资金</w:t>
            </w:r>
          </w:p>
        </w:tc>
        <w:tc>
          <w:tcPr>
            <w:tcW w:w="2397" w:type="dxa"/>
          </w:tcPr>
          <w:p w14:paraId="3C762BC4">
            <w:pPr>
              <w:spacing w:line="360" w:lineRule="auto"/>
              <w:jc w:val="center"/>
              <w:rPr>
                <w:rStyle w:val="39"/>
                <w:rFonts w:ascii="宋体"/>
              </w:rPr>
            </w:pPr>
          </w:p>
        </w:tc>
        <w:tc>
          <w:tcPr>
            <w:tcW w:w="2384" w:type="dxa"/>
          </w:tcPr>
          <w:p w14:paraId="58F775A2">
            <w:pPr>
              <w:spacing w:line="360" w:lineRule="auto"/>
              <w:jc w:val="center"/>
              <w:rPr>
                <w:rStyle w:val="39"/>
                <w:rFonts w:ascii="宋体"/>
              </w:rPr>
            </w:pPr>
          </w:p>
        </w:tc>
        <w:tc>
          <w:tcPr>
            <w:tcW w:w="2386" w:type="dxa"/>
          </w:tcPr>
          <w:p w14:paraId="64C8A468">
            <w:pPr>
              <w:spacing w:line="360" w:lineRule="auto"/>
              <w:jc w:val="center"/>
              <w:rPr>
                <w:rStyle w:val="39"/>
                <w:rFonts w:ascii="宋体"/>
              </w:rPr>
            </w:pPr>
          </w:p>
        </w:tc>
      </w:tr>
      <w:tr w14:paraId="3981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533" w:type="dxa"/>
          </w:tcPr>
          <w:p w14:paraId="28EF672E">
            <w:pPr>
              <w:spacing w:line="360" w:lineRule="auto"/>
              <w:jc w:val="center"/>
              <w:rPr>
                <w:rFonts w:ascii="宋体"/>
              </w:rPr>
            </w:pPr>
            <w:r>
              <w:rPr>
                <w:rStyle w:val="39"/>
                <w:rFonts w:hint="eastAsia" w:ascii="宋体"/>
                <w:sz w:val="20"/>
                <w:szCs w:val="20"/>
              </w:rPr>
              <w:t>（本年营业收入-上年营业收入）÷上年营业收入</w:t>
            </w:r>
          </w:p>
        </w:tc>
        <w:tc>
          <w:tcPr>
            <w:tcW w:w="2397" w:type="dxa"/>
          </w:tcPr>
          <w:p w14:paraId="679CF291">
            <w:pPr>
              <w:spacing w:line="360" w:lineRule="auto"/>
              <w:jc w:val="center"/>
              <w:rPr>
                <w:rStyle w:val="39"/>
                <w:rFonts w:ascii="宋体"/>
              </w:rPr>
            </w:pPr>
          </w:p>
        </w:tc>
        <w:tc>
          <w:tcPr>
            <w:tcW w:w="2384" w:type="dxa"/>
          </w:tcPr>
          <w:p w14:paraId="26E3D67B">
            <w:pPr>
              <w:spacing w:line="360" w:lineRule="auto"/>
              <w:jc w:val="center"/>
              <w:rPr>
                <w:rStyle w:val="39"/>
                <w:rFonts w:ascii="宋体"/>
              </w:rPr>
            </w:pPr>
          </w:p>
        </w:tc>
        <w:tc>
          <w:tcPr>
            <w:tcW w:w="2386" w:type="dxa"/>
          </w:tcPr>
          <w:p w14:paraId="1D8E628B">
            <w:pPr>
              <w:spacing w:line="360" w:lineRule="auto"/>
              <w:jc w:val="center"/>
              <w:rPr>
                <w:rStyle w:val="39"/>
                <w:rFonts w:ascii="宋体"/>
              </w:rPr>
            </w:pPr>
          </w:p>
        </w:tc>
      </w:tr>
    </w:tbl>
    <w:p w14:paraId="20FE5D2E">
      <w:pPr>
        <w:pStyle w:val="2"/>
      </w:pPr>
    </w:p>
    <w:p w14:paraId="0C14CB11">
      <w:pPr>
        <w:widowControl/>
        <w:numPr>
          <w:ilvl w:val="0"/>
          <w:numId w:val="1"/>
        </w:numPr>
        <w:spacing w:line="360" w:lineRule="auto"/>
        <w:rPr>
          <w:kern w:val="0"/>
          <w:sz w:val="24"/>
          <w:szCs w:val="21"/>
          <w:lang w:bidi="en-US"/>
        </w:rPr>
      </w:pPr>
      <w:r>
        <w:rPr>
          <w:rFonts w:hint="eastAsia"/>
          <w:kern w:val="0"/>
          <w:sz w:val="24"/>
          <w:szCs w:val="21"/>
          <w:lang w:bidi="en-US"/>
        </w:rPr>
        <w:t>公司简介：包括但不限于公司发展史、企业文化、企业性质、规模和实力、营业水平、技术人员情况、在建项目情况、企业荣誉及认证、企业优势等；</w:t>
      </w:r>
    </w:p>
    <w:p w14:paraId="1B64CAB5">
      <w:pPr>
        <w:widowControl/>
        <w:numPr>
          <w:ilvl w:val="0"/>
          <w:numId w:val="1"/>
        </w:numPr>
        <w:spacing w:line="360" w:lineRule="auto"/>
        <w:rPr>
          <w:rFonts w:ascii="宋体"/>
          <w:kern w:val="0"/>
          <w:sz w:val="24"/>
          <w:szCs w:val="21"/>
          <w:lang w:bidi="en-US"/>
        </w:rPr>
      </w:pPr>
      <w:r>
        <w:rPr>
          <w:rFonts w:hint="eastAsia"/>
          <w:kern w:val="0"/>
          <w:sz w:val="24"/>
          <w:szCs w:val="21"/>
          <w:lang w:bidi="en-US"/>
        </w:rPr>
        <w:t>拟派项目经理注册建造师证书证及有效的安全考核合格</w:t>
      </w:r>
      <w:r>
        <w:rPr>
          <w:kern w:val="0"/>
          <w:sz w:val="24"/>
          <w:szCs w:val="21"/>
          <w:lang w:bidi="en-US"/>
        </w:rPr>
        <w:t>B</w:t>
      </w:r>
      <w:r>
        <w:rPr>
          <w:rFonts w:hint="eastAsia"/>
          <w:kern w:val="0"/>
          <w:sz w:val="24"/>
          <w:szCs w:val="21"/>
          <w:lang w:bidi="en-US"/>
        </w:rPr>
        <w:t>证，项目经理的履历简介、从业业绩、近</w:t>
      </w:r>
      <w:r>
        <w:rPr>
          <w:kern w:val="0"/>
          <w:sz w:val="24"/>
          <w:szCs w:val="21"/>
          <w:lang w:bidi="en-US"/>
        </w:rPr>
        <w:t>6</w:t>
      </w:r>
      <w:r>
        <w:rPr>
          <w:rFonts w:hint="eastAsia"/>
          <w:kern w:val="0"/>
          <w:sz w:val="24"/>
          <w:szCs w:val="21"/>
          <w:lang w:bidi="en-US"/>
        </w:rPr>
        <w:t>个月社保缴纳证明；</w:t>
      </w:r>
    </w:p>
    <w:p w14:paraId="5CAF5A97">
      <w:pPr>
        <w:widowControl/>
        <w:numPr>
          <w:ilvl w:val="0"/>
          <w:numId w:val="1"/>
        </w:numPr>
        <w:spacing w:line="360" w:lineRule="auto"/>
        <w:rPr>
          <w:rFonts w:hint="eastAsia"/>
          <w:kern w:val="0"/>
          <w:sz w:val="24"/>
          <w:szCs w:val="21"/>
          <w:lang w:bidi="en-US"/>
        </w:rPr>
      </w:pPr>
      <w:r>
        <w:rPr>
          <w:rFonts w:hint="eastAsia"/>
          <w:kern w:val="0"/>
          <w:sz w:val="24"/>
          <w:szCs w:val="21"/>
          <w:lang w:bidi="en-US"/>
        </w:rPr>
        <w:t>唯一的法人授权委托书（附件</w:t>
      </w:r>
      <w:r>
        <w:rPr>
          <w:rFonts w:hint="eastAsia"/>
          <w:kern w:val="0"/>
          <w:sz w:val="24"/>
          <w:szCs w:val="21"/>
          <w:lang w:val="en-US" w:eastAsia="zh-CN" w:bidi="en-US"/>
        </w:rPr>
        <w:t>2</w:t>
      </w:r>
      <w:r>
        <w:rPr>
          <w:rFonts w:hint="eastAsia"/>
          <w:kern w:val="0"/>
          <w:sz w:val="24"/>
          <w:szCs w:val="21"/>
          <w:lang w:bidi="en-US"/>
        </w:rPr>
        <w:t>）、授权人和被授权人身份证，及在本单位近6个月社保缴纳证明；</w:t>
      </w:r>
    </w:p>
    <w:p w14:paraId="3C149091">
      <w:pPr>
        <w:widowControl/>
        <w:numPr>
          <w:ilvl w:val="0"/>
          <w:numId w:val="1"/>
        </w:numPr>
        <w:spacing w:line="360" w:lineRule="auto"/>
        <w:rPr>
          <w:rFonts w:hint="eastAsia"/>
          <w:kern w:val="0"/>
          <w:sz w:val="24"/>
          <w:szCs w:val="21"/>
          <w:lang w:bidi="en-US"/>
        </w:rPr>
      </w:pPr>
      <w:r>
        <w:rPr>
          <w:rFonts w:hint="eastAsia"/>
          <w:kern w:val="0"/>
          <w:sz w:val="24"/>
          <w:szCs w:val="21"/>
          <w:lang w:bidi="en-US"/>
        </w:rPr>
        <w:t>联系人、联系方式、电子邮箱。</w:t>
      </w:r>
    </w:p>
    <w:p w14:paraId="72454510">
      <w:pPr>
        <w:adjustRightInd w:val="0"/>
        <w:snapToGrid w:val="0"/>
        <w:spacing w:line="360" w:lineRule="auto"/>
        <w:ind w:firstLine="482" w:firstLineChars="200"/>
        <w:rPr>
          <w:rFonts w:hint="eastAsia" w:ascii="宋体" w:cs="宋体"/>
          <w:b/>
          <w:bCs/>
          <w:kern w:val="0"/>
          <w:sz w:val="24"/>
          <w:u w:val="single"/>
          <w:lang w:bidi="en-US"/>
        </w:rPr>
      </w:pPr>
      <w:r>
        <w:rPr>
          <w:rFonts w:hint="eastAsia" w:ascii="宋体" w:cs="宋体"/>
          <w:b/>
          <w:bCs/>
          <w:kern w:val="0"/>
          <w:sz w:val="24"/>
          <w:u w:val="single"/>
          <w:lang w:bidi="en-US"/>
        </w:rPr>
        <w:t>以上报名资料均要加盖公章。</w:t>
      </w:r>
    </w:p>
    <w:p w14:paraId="469BD6F2">
      <w:pPr>
        <w:spacing w:line="360" w:lineRule="auto"/>
        <w:ind w:firstLine="482" w:firstLineChars="200"/>
        <w:rPr>
          <w:rFonts w:ascii="宋体" w:cs="宋体"/>
          <w:b/>
          <w:bCs/>
          <w:sz w:val="24"/>
        </w:rPr>
      </w:pPr>
      <w:r>
        <w:rPr>
          <w:rFonts w:hint="eastAsia" w:ascii="宋体" w:cs="宋体"/>
          <w:b/>
          <w:bCs/>
          <w:kern w:val="0"/>
          <w:sz w:val="24"/>
          <w:lang w:bidi="en-US"/>
        </w:rPr>
        <w:t>本项目实行报名资格预审+开标资格后审，报名阶段资质审查通过即为报名成功，开标再次进行资格审查。</w:t>
      </w:r>
      <w:r>
        <w:rPr>
          <w:rFonts w:hint="eastAsia" w:ascii="宋体" w:cs="宋体"/>
          <w:sz w:val="24"/>
          <w:lang w:bidi="ar"/>
        </w:rPr>
        <w:t>。</w:t>
      </w:r>
    </w:p>
    <w:p w14:paraId="7681ED1C">
      <w:pPr>
        <w:spacing w:line="360" w:lineRule="auto"/>
        <w:ind w:firstLine="482" w:firstLineChars="200"/>
        <w:jc w:val="left"/>
        <w:rPr>
          <w:rFonts w:ascii="宋体" w:cs="宋体"/>
          <w:b/>
          <w:bCs/>
          <w:sz w:val="24"/>
        </w:rPr>
      </w:pPr>
      <w:r>
        <w:rPr>
          <w:rFonts w:hint="eastAsia" w:ascii="宋体" w:cs="宋体"/>
          <w:b/>
          <w:bCs/>
          <w:sz w:val="24"/>
        </w:rPr>
        <w:t>入围者通过重汽e采通平台接收电子版招标文件，具体发送时间另行通知。</w:t>
      </w:r>
    </w:p>
    <w:p w14:paraId="590C4D22">
      <w:pPr>
        <w:spacing w:line="360" w:lineRule="auto"/>
        <w:ind w:firstLine="482" w:firstLineChars="200"/>
        <w:jc w:val="left"/>
        <w:rPr>
          <w:rStyle w:val="29"/>
          <w:color w:val="C00000"/>
          <w:lang w:bidi="ar"/>
        </w:rPr>
      </w:pPr>
      <w:r>
        <w:rPr>
          <w:rFonts w:hint="eastAsia" w:ascii="宋体" w:cs="宋体"/>
          <w:b/>
          <w:bCs/>
          <w:sz w:val="24"/>
          <w:lang w:bidi="ar"/>
        </w:rPr>
        <w:t>报名同时请按照本公告附件《非生产供应商注册操作手册》及e采通首页《供应商用户手册》提示完成平台注册（网址：</w:t>
      </w:r>
      <w:r>
        <w:rPr>
          <w:sz w:val="24"/>
        </w:rPr>
        <w:t>http</w:t>
      </w:r>
      <w:r>
        <w:rPr>
          <w:rFonts w:hint="eastAsia"/>
          <w:sz w:val="24"/>
        </w:rPr>
        <w:t>s</w:t>
      </w:r>
      <w:r>
        <w:rPr>
          <w:sz w:val="24"/>
        </w:rPr>
        <w:t>://ecaitong.sinotruk.com:8012/#/login），注册时，</w:t>
      </w:r>
      <w:r>
        <w:rPr>
          <w:rFonts w:hint="eastAsia"/>
          <w:sz w:val="24"/>
        </w:rPr>
        <w:t>供应商属性选择【非生产】、管理单位选择【直管单位】、意向配套单位选择【直管单位】；采购形式编号见本公告标题下方；经营概况“是否提供”原则上选择【能提供】，近三年财务数据</w:t>
      </w:r>
      <w:r>
        <w:rPr>
          <w:sz w:val="24"/>
        </w:rPr>
        <w:t>为必填项，要求如实填写</w:t>
      </w:r>
      <w:r>
        <w:rPr>
          <w:rFonts w:hint="eastAsia"/>
          <w:sz w:val="24"/>
        </w:rPr>
        <w:t>；配套能力的</w:t>
      </w:r>
      <w:r>
        <w:rPr>
          <w:sz w:val="24"/>
        </w:rPr>
        <w:t>供货类别选择“工程建设-工程建设”；账号信息</w:t>
      </w:r>
      <w:r>
        <w:rPr>
          <w:b/>
          <w:bCs/>
          <w:sz w:val="24"/>
          <w:em w:val="dot"/>
        </w:rPr>
        <w:t>不允许有任何空格</w:t>
      </w:r>
      <w:r>
        <w:rPr>
          <w:sz w:val="24"/>
        </w:rPr>
        <w:t>且</w:t>
      </w:r>
      <w:r>
        <w:rPr>
          <w:b/>
          <w:bCs/>
          <w:sz w:val="24"/>
          <w:em w:val="dot"/>
        </w:rPr>
        <w:t>必须填写对公账号</w:t>
      </w:r>
      <w:r>
        <w:rPr>
          <w:sz w:val="24"/>
        </w:rPr>
        <w:t>（不按要求填写的将影响投标保证金退还）。</w:t>
      </w:r>
    </w:p>
    <w:p w14:paraId="6FDE539F">
      <w:pPr>
        <w:spacing w:line="360" w:lineRule="auto"/>
        <w:ind w:firstLine="482" w:firstLineChars="200"/>
        <w:jc w:val="left"/>
        <w:rPr>
          <w:rFonts w:hint="eastAsia" w:ascii="宋体" w:cs="宋体"/>
          <w:b/>
          <w:bCs/>
          <w:sz w:val="24"/>
          <w:lang w:bidi="ar"/>
        </w:rPr>
      </w:pPr>
      <w:r>
        <w:rPr>
          <w:rFonts w:hint="eastAsia" w:ascii="宋体" w:cs="宋体"/>
          <w:b/>
          <w:bCs/>
          <w:sz w:val="24"/>
          <w:lang w:bidi="ar"/>
        </w:rPr>
        <w:t>e采通注册并</w:t>
      </w:r>
      <w:r>
        <w:rPr>
          <w:rFonts w:hint="eastAsia" w:ascii="宋体" w:cs="宋体"/>
          <w:b/>
          <w:bCs/>
          <w:sz w:val="24"/>
          <w:em w:val="dot"/>
          <w:lang w:bidi="ar"/>
        </w:rPr>
        <w:t>审核通过后</w:t>
      </w:r>
      <w:r>
        <w:rPr>
          <w:rFonts w:hint="eastAsia" w:ascii="宋体" w:cs="宋体"/>
          <w:b/>
          <w:bCs/>
          <w:sz w:val="24"/>
          <w:lang w:bidi="ar"/>
        </w:rPr>
        <w:t>方能参与本项目应标及后续投标，审核通过后请电话告知招标方联系人。</w:t>
      </w:r>
    </w:p>
    <w:p w14:paraId="21540FE9">
      <w:pPr>
        <w:widowControl/>
        <w:spacing w:line="500" w:lineRule="exact"/>
        <w:ind w:firstLine="480" w:firstLineChars="200"/>
        <w:jc w:val="left"/>
        <w:rPr>
          <w:rFonts w:hint="eastAsia" w:ascii="宋体" w:hAnsi="宋体" w:cs="宋体"/>
          <w:kern w:val="0"/>
          <w:sz w:val="24"/>
          <w:lang w:bidi="en-US"/>
        </w:rPr>
      </w:pPr>
      <w:r>
        <w:rPr>
          <w:rFonts w:hint="eastAsia" w:ascii="宋体" w:hAnsi="宋体" w:cs="宋体"/>
          <w:kern w:val="0"/>
          <w:sz w:val="24"/>
          <w:lang w:bidi="en-US"/>
        </w:rPr>
        <w:t>4.2招标文件获取：上述资格预审入围者通过重汽e采通平台接收电子版招标文件。</w:t>
      </w:r>
    </w:p>
    <w:p w14:paraId="1E26869F">
      <w:pPr>
        <w:widowControl/>
        <w:spacing w:line="500" w:lineRule="exact"/>
        <w:ind w:firstLine="480" w:firstLineChars="200"/>
        <w:jc w:val="left"/>
        <w:rPr>
          <w:rFonts w:hint="eastAsia" w:ascii="宋体" w:hAnsi="宋体" w:cs="宋体"/>
          <w:kern w:val="0"/>
          <w:sz w:val="24"/>
          <w:lang w:bidi="en-US"/>
        </w:rPr>
      </w:pPr>
      <w:r>
        <w:rPr>
          <w:rFonts w:hint="eastAsia" w:ascii="宋体" w:hAnsi="宋体" w:cs="宋体"/>
          <w:kern w:val="0"/>
          <w:sz w:val="24"/>
          <w:lang w:bidi="en-US"/>
        </w:rPr>
        <w:t>4.3招标文件工本费：无。</w:t>
      </w:r>
    </w:p>
    <w:p w14:paraId="6732FBAA">
      <w:pPr>
        <w:widowControl/>
        <w:spacing w:line="500" w:lineRule="exact"/>
        <w:ind w:firstLine="480" w:firstLineChars="200"/>
        <w:jc w:val="left"/>
        <w:rPr>
          <w:rFonts w:hint="eastAsia" w:ascii="宋体" w:hAnsi="宋体" w:cs="宋体"/>
          <w:kern w:val="0"/>
          <w:sz w:val="24"/>
          <w:lang w:bidi="en-US"/>
        </w:rPr>
      </w:pPr>
      <w:r>
        <w:rPr>
          <w:rFonts w:hint="eastAsia" w:ascii="宋体" w:hAnsi="宋体" w:cs="宋体"/>
          <w:kern w:val="0"/>
          <w:sz w:val="24"/>
          <w:lang w:bidi="en-US"/>
        </w:rPr>
        <w:t>4.4投标保证金金额、形式和递交：详见招标文件。</w:t>
      </w:r>
    </w:p>
    <w:p w14:paraId="54D1118F">
      <w:pPr>
        <w:widowControl/>
        <w:spacing w:line="500" w:lineRule="exact"/>
        <w:ind w:firstLine="480" w:firstLineChars="200"/>
        <w:jc w:val="left"/>
      </w:pPr>
      <w:r>
        <w:rPr>
          <w:rFonts w:hint="eastAsia" w:ascii="宋体" w:hAnsi="宋体" w:cs="宋体"/>
          <w:kern w:val="0"/>
          <w:sz w:val="24"/>
          <w:lang w:bidi="en-US"/>
        </w:rPr>
        <w:t>4.5中标服务费：无。</w:t>
      </w:r>
    </w:p>
    <w:p w14:paraId="0BABBC66">
      <w:pPr>
        <w:widowControl/>
        <w:spacing w:line="500" w:lineRule="exact"/>
        <w:jc w:val="left"/>
        <w:rPr>
          <w:rFonts w:ascii="宋体" w:hAnsi="宋体" w:cs="宋体"/>
          <w:b/>
          <w:bCs/>
          <w:kern w:val="0"/>
          <w:sz w:val="24"/>
          <w:lang w:bidi="en-US"/>
        </w:rPr>
      </w:pPr>
      <w:r>
        <w:rPr>
          <w:rFonts w:hint="eastAsia" w:ascii="宋体" w:hAnsi="宋体" w:cs="宋体"/>
          <w:b/>
          <w:bCs/>
          <w:kern w:val="0"/>
          <w:sz w:val="24"/>
          <w:lang w:bidi="en-US"/>
        </w:rPr>
        <w:t>5．投标文件的递交</w:t>
      </w:r>
    </w:p>
    <w:p w14:paraId="597754E3">
      <w:pPr>
        <w:widowControl/>
        <w:spacing w:line="500" w:lineRule="exact"/>
        <w:ind w:firstLine="480" w:firstLineChars="200"/>
        <w:jc w:val="left"/>
        <w:rPr>
          <w:rFonts w:ascii="宋体" w:hAnsi="宋体" w:cs="宋体"/>
          <w:kern w:val="0"/>
          <w:sz w:val="24"/>
          <w:lang w:bidi="en-US"/>
        </w:rPr>
      </w:pPr>
      <w:r>
        <w:rPr>
          <w:rFonts w:hint="eastAsia" w:ascii="宋体" w:hAnsi="宋体" w:cs="宋体"/>
          <w:kern w:val="0"/>
          <w:sz w:val="24"/>
          <w:lang w:bidi="en-US"/>
        </w:rPr>
        <w:t>5.1 投标文件递交的截止时间：（投标截止时间，下同）详见招标文件。</w:t>
      </w:r>
    </w:p>
    <w:p w14:paraId="1D694EE5">
      <w:pPr>
        <w:widowControl/>
        <w:spacing w:line="500" w:lineRule="exact"/>
        <w:ind w:firstLine="480" w:firstLineChars="200"/>
        <w:jc w:val="left"/>
        <w:rPr>
          <w:rFonts w:ascii="宋体" w:hAnsi="宋体" w:cs="宋体"/>
          <w:kern w:val="0"/>
          <w:sz w:val="24"/>
          <w:lang w:bidi="en-US"/>
        </w:rPr>
      </w:pPr>
      <w:r>
        <w:rPr>
          <w:rFonts w:hint="eastAsia" w:ascii="宋体" w:hAnsi="宋体" w:cs="宋体"/>
          <w:kern w:val="0"/>
          <w:sz w:val="24"/>
          <w:lang w:bidi="en-US"/>
        </w:rPr>
        <w:t>5.2 逾期送达的或者未送达指定地点的投标文件，招标人不予受理。</w:t>
      </w:r>
    </w:p>
    <w:p w14:paraId="51417BB7">
      <w:pPr>
        <w:widowControl/>
        <w:spacing w:line="500" w:lineRule="exact"/>
        <w:jc w:val="left"/>
        <w:rPr>
          <w:rFonts w:ascii="宋体" w:hAnsi="宋体" w:cs="宋体"/>
          <w:b/>
          <w:bCs/>
          <w:kern w:val="0"/>
          <w:sz w:val="24"/>
          <w:lang w:bidi="en-US"/>
        </w:rPr>
      </w:pPr>
      <w:r>
        <w:rPr>
          <w:rFonts w:hint="eastAsia" w:ascii="宋体" w:hAnsi="宋体" w:cs="宋体"/>
          <w:b/>
          <w:bCs/>
          <w:kern w:val="0"/>
          <w:sz w:val="24"/>
          <w:lang w:bidi="en-US"/>
        </w:rPr>
        <w:t>6．招标公告发布媒介</w:t>
      </w:r>
    </w:p>
    <w:p w14:paraId="1EC4008F">
      <w:pPr>
        <w:widowControl/>
        <w:spacing w:line="500" w:lineRule="exact"/>
        <w:ind w:firstLine="480" w:firstLineChars="200"/>
        <w:jc w:val="left"/>
        <w:rPr>
          <w:rFonts w:ascii="宋体" w:hAnsi="宋体" w:cs="宋体"/>
          <w:kern w:val="0"/>
          <w:sz w:val="24"/>
          <w:highlight w:val="none"/>
          <w:lang w:bidi="en-US"/>
        </w:rPr>
      </w:pPr>
      <w:r>
        <w:rPr>
          <w:rFonts w:hint="eastAsia" w:ascii="宋体" w:hAnsi="宋体" w:cs="宋体"/>
          <w:kern w:val="0"/>
          <w:sz w:val="24"/>
          <w:lang w:bidi="en-US"/>
        </w:rPr>
        <w:t>本次公告同时在山东省阳光采购服务平台、中国招标投标</w:t>
      </w:r>
      <w:r>
        <w:rPr>
          <w:rFonts w:hint="eastAsia" w:ascii="宋体" w:hAnsi="宋体" w:cs="宋体"/>
          <w:kern w:val="0"/>
          <w:sz w:val="24"/>
          <w:highlight w:val="none"/>
          <w:lang w:bidi="en-US"/>
        </w:rPr>
        <w:t>公共服务平台及中国重型汽车集团有限公司网站上发布。</w:t>
      </w:r>
    </w:p>
    <w:p w14:paraId="188B1EC8">
      <w:pPr>
        <w:widowControl/>
        <w:spacing w:line="360" w:lineRule="auto"/>
        <w:jc w:val="left"/>
        <w:rPr>
          <w:rFonts w:ascii="宋体" w:hAnsi="宋体" w:cs="宋体"/>
          <w:b/>
          <w:bCs/>
          <w:kern w:val="0"/>
          <w:sz w:val="24"/>
          <w:highlight w:val="none"/>
          <w:lang w:bidi="en-US"/>
        </w:rPr>
      </w:pPr>
      <w:r>
        <w:rPr>
          <w:rFonts w:hint="eastAsia" w:ascii="宋体" w:hAnsi="宋体" w:cs="宋体"/>
          <w:b/>
          <w:bCs/>
          <w:kern w:val="0"/>
          <w:sz w:val="24"/>
          <w:highlight w:val="none"/>
          <w:lang w:bidi="en-US"/>
        </w:rPr>
        <w:t>7</w:t>
      </w:r>
      <w:bookmarkStart w:id="16" w:name="_Toc234382576"/>
      <w:bookmarkEnd w:id="16"/>
      <w:r>
        <w:rPr>
          <w:rFonts w:hint="eastAsia" w:ascii="宋体" w:hAnsi="宋体" w:cs="宋体"/>
          <w:b/>
          <w:bCs/>
          <w:kern w:val="0"/>
          <w:sz w:val="24"/>
          <w:highlight w:val="none"/>
          <w:lang w:bidi="en-US"/>
        </w:rPr>
        <w:t>．联系方式</w:t>
      </w:r>
    </w:p>
    <w:p w14:paraId="39AEBB0F">
      <w:pPr>
        <w:widowControl/>
        <w:adjustRightInd w:val="0"/>
        <w:snapToGrid w:val="0"/>
        <w:spacing w:line="360" w:lineRule="auto"/>
        <w:ind w:firstLine="480" w:firstLineChars="200"/>
        <w:jc w:val="left"/>
        <w:rPr>
          <w:rFonts w:hint="eastAsia" w:eastAsia="宋体"/>
          <w:kern w:val="0"/>
          <w:sz w:val="24"/>
          <w:lang w:eastAsia="zh-CN" w:bidi="en-US"/>
        </w:rPr>
      </w:pPr>
      <w:r>
        <w:rPr>
          <w:kern w:val="0"/>
          <w:sz w:val="24"/>
          <w:lang w:bidi="en-US"/>
        </w:rPr>
        <w:t>招 标 人：中国重汽集团</w:t>
      </w:r>
      <w:r>
        <w:rPr>
          <w:rFonts w:hint="eastAsia"/>
          <w:kern w:val="0"/>
          <w:sz w:val="24"/>
          <w:lang w:eastAsia="zh-CN" w:bidi="en-US"/>
        </w:rPr>
        <w:t>济南商用车有限公司</w:t>
      </w:r>
    </w:p>
    <w:p w14:paraId="7F4B0058">
      <w:pPr>
        <w:widowControl/>
        <w:adjustRightInd w:val="0"/>
        <w:snapToGrid w:val="0"/>
        <w:spacing w:line="360" w:lineRule="auto"/>
        <w:ind w:firstLine="480" w:firstLineChars="200"/>
        <w:jc w:val="left"/>
        <w:rPr>
          <w:kern w:val="0"/>
          <w:sz w:val="24"/>
          <w:lang w:bidi="en-US"/>
        </w:rPr>
      </w:pPr>
      <w:r>
        <w:rPr>
          <w:kern w:val="0"/>
          <w:sz w:val="24"/>
          <w:lang w:bidi="en-US"/>
        </w:rPr>
        <w:t>地    址：济南市高新区华奥路777号重汽科技大厦</w:t>
      </w:r>
    </w:p>
    <w:p w14:paraId="7B591E43">
      <w:pPr>
        <w:widowControl/>
        <w:adjustRightInd w:val="0"/>
        <w:snapToGrid w:val="0"/>
        <w:spacing w:line="360" w:lineRule="auto"/>
        <w:ind w:firstLine="480" w:firstLineChars="200"/>
        <w:jc w:val="left"/>
        <w:rPr>
          <w:rFonts w:hint="eastAsia" w:eastAsia="宋体"/>
          <w:kern w:val="0"/>
          <w:sz w:val="24"/>
          <w:highlight w:val="none"/>
          <w:lang w:eastAsia="zh-CN" w:bidi="en-US"/>
        </w:rPr>
      </w:pPr>
      <w:r>
        <w:rPr>
          <w:kern w:val="0"/>
          <w:sz w:val="24"/>
          <w:highlight w:val="none"/>
          <w:lang w:bidi="en-US"/>
        </w:rPr>
        <w:t>商务联系人：</w:t>
      </w:r>
      <w:r>
        <w:rPr>
          <w:rFonts w:hint="eastAsia"/>
          <w:kern w:val="0"/>
          <w:sz w:val="24"/>
          <w:highlight w:val="none"/>
          <w:lang w:val="en-US" w:eastAsia="zh-CN" w:bidi="en-US"/>
        </w:rPr>
        <w:t>王瑄</w:t>
      </w:r>
    </w:p>
    <w:p w14:paraId="24EAD891">
      <w:pPr>
        <w:widowControl/>
        <w:adjustRightInd w:val="0"/>
        <w:snapToGrid w:val="0"/>
        <w:spacing w:line="360" w:lineRule="auto"/>
        <w:ind w:firstLine="480" w:firstLineChars="200"/>
        <w:jc w:val="left"/>
        <w:rPr>
          <w:rFonts w:hint="eastAsia" w:eastAsia="宋体"/>
          <w:kern w:val="0"/>
          <w:sz w:val="24"/>
          <w:highlight w:val="none"/>
          <w:lang w:eastAsia="zh-CN" w:bidi="en-US"/>
        </w:rPr>
      </w:pPr>
      <w:r>
        <w:rPr>
          <w:kern w:val="0"/>
          <w:sz w:val="24"/>
          <w:highlight w:val="none"/>
          <w:lang w:bidi="en-US"/>
        </w:rPr>
        <w:t>联系电话：</w:t>
      </w:r>
      <w:r>
        <w:rPr>
          <w:rFonts w:hint="eastAsia"/>
          <w:kern w:val="0"/>
          <w:sz w:val="24"/>
          <w:highlight w:val="none"/>
          <w:lang w:bidi="en-US"/>
        </w:rPr>
        <w:t>17860605786</w:t>
      </w:r>
    </w:p>
    <w:p w14:paraId="6082FFA0">
      <w:pPr>
        <w:widowControl/>
        <w:adjustRightInd w:val="0"/>
        <w:snapToGrid w:val="0"/>
        <w:spacing w:line="360" w:lineRule="auto"/>
        <w:ind w:firstLine="480" w:firstLineChars="200"/>
        <w:jc w:val="left"/>
        <w:rPr>
          <w:rFonts w:hint="eastAsia" w:eastAsia="宋体"/>
          <w:kern w:val="0"/>
          <w:sz w:val="24"/>
          <w:highlight w:val="none"/>
          <w:lang w:eastAsia="zh-CN" w:bidi="en-US"/>
        </w:rPr>
      </w:pPr>
      <w:r>
        <w:rPr>
          <w:kern w:val="0"/>
          <w:sz w:val="24"/>
          <w:highlight w:val="none"/>
          <w:lang w:bidi="en-US"/>
        </w:rPr>
        <w:t>邮箱：</w:t>
      </w:r>
      <w:r>
        <w:rPr>
          <w:rFonts w:hint="eastAsia"/>
          <w:kern w:val="0"/>
          <w:sz w:val="24"/>
          <w:highlight w:val="none"/>
          <w:lang w:val="en-US" w:eastAsia="zh-CN" w:bidi="en-US"/>
        </w:rPr>
        <w:t>wangxuan1@sinotruk.com</w:t>
      </w:r>
    </w:p>
    <w:p w14:paraId="1C958BDF">
      <w:pPr>
        <w:widowControl/>
        <w:adjustRightInd w:val="0"/>
        <w:snapToGrid w:val="0"/>
        <w:spacing w:line="360" w:lineRule="auto"/>
        <w:ind w:firstLine="480" w:firstLineChars="200"/>
        <w:jc w:val="left"/>
        <w:rPr>
          <w:rFonts w:hint="eastAsia" w:eastAsia="宋体"/>
          <w:kern w:val="0"/>
          <w:sz w:val="24"/>
          <w:highlight w:val="none"/>
          <w:lang w:eastAsia="zh-CN" w:bidi="en-US"/>
        </w:rPr>
      </w:pPr>
      <w:r>
        <w:rPr>
          <w:kern w:val="0"/>
          <w:sz w:val="24"/>
          <w:highlight w:val="none"/>
          <w:lang w:bidi="en-US"/>
        </w:rPr>
        <w:t>技术联系人：</w:t>
      </w:r>
      <w:r>
        <w:rPr>
          <w:rFonts w:hint="eastAsia"/>
          <w:kern w:val="0"/>
          <w:sz w:val="24"/>
          <w:highlight w:val="none"/>
          <w:lang w:val="en-US" w:eastAsia="zh-CN" w:bidi="en-US"/>
        </w:rPr>
        <w:t>刘圆</w:t>
      </w:r>
    </w:p>
    <w:p w14:paraId="3023AF52">
      <w:pPr>
        <w:widowControl/>
        <w:adjustRightInd w:val="0"/>
        <w:snapToGrid w:val="0"/>
        <w:spacing w:line="360" w:lineRule="auto"/>
        <w:ind w:firstLine="480" w:firstLineChars="200"/>
        <w:jc w:val="left"/>
        <w:rPr>
          <w:rFonts w:hint="default" w:eastAsia="宋体"/>
          <w:kern w:val="0"/>
          <w:sz w:val="24"/>
          <w:highlight w:val="none"/>
          <w:lang w:val="en-US" w:eastAsia="zh-CN" w:bidi="en-US"/>
        </w:rPr>
      </w:pPr>
      <w:r>
        <w:rPr>
          <w:kern w:val="0"/>
          <w:sz w:val="24"/>
          <w:highlight w:val="none"/>
          <w:lang w:bidi="en-US"/>
        </w:rPr>
        <w:t>联系电话：</w:t>
      </w:r>
      <w:r>
        <w:rPr>
          <w:rFonts w:hint="eastAsia"/>
          <w:kern w:val="0"/>
          <w:sz w:val="24"/>
          <w:highlight w:val="none"/>
          <w:lang w:val="en-US" w:eastAsia="zh-CN" w:bidi="en-US"/>
        </w:rPr>
        <w:t>13953178362</w:t>
      </w:r>
    </w:p>
    <w:p w14:paraId="6409B74D">
      <w:pPr>
        <w:widowControl/>
        <w:adjustRightInd w:val="0"/>
        <w:snapToGrid w:val="0"/>
        <w:spacing w:line="360" w:lineRule="auto"/>
        <w:ind w:firstLine="480" w:firstLineChars="200"/>
        <w:jc w:val="left"/>
        <w:rPr>
          <w:kern w:val="0"/>
          <w:sz w:val="24"/>
          <w:lang w:bidi="en-US"/>
        </w:rPr>
      </w:pPr>
      <w:r>
        <w:rPr>
          <w:kern w:val="0"/>
          <w:sz w:val="24"/>
          <w:highlight w:val="none"/>
          <w:lang w:bidi="en-US"/>
        </w:rPr>
        <w:t>邮箱：</w:t>
      </w:r>
      <w:r>
        <w:rPr>
          <w:rFonts w:hint="eastAsia"/>
          <w:kern w:val="0"/>
          <w:sz w:val="24"/>
          <w:highlight w:val="none"/>
          <w:lang w:val="en-US" w:eastAsia="zh-CN" w:bidi="en-US"/>
        </w:rPr>
        <w:t>l</w:t>
      </w:r>
      <w:r>
        <w:rPr>
          <w:rFonts w:hint="eastAsia"/>
          <w:kern w:val="0"/>
          <w:sz w:val="24"/>
          <w:highlight w:val="none"/>
          <w:lang w:bidi="en-US"/>
        </w:rPr>
        <w:t>iuyuan@sinotruk.com</w:t>
      </w:r>
      <w:r>
        <w:rPr>
          <w:kern w:val="0"/>
          <w:sz w:val="24"/>
          <w:highlight w:val="none"/>
          <w:lang w:bidi="en-US"/>
        </w:rPr>
        <w:t xml:space="preserve">  </w:t>
      </w:r>
      <w:r>
        <w:rPr>
          <w:kern w:val="0"/>
          <w:sz w:val="24"/>
          <w:lang w:bidi="en-US"/>
        </w:rPr>
        <w:t xml:space="preserve">   </w:t>
      </w:r>
    </w:p>
    <w:p w14:paraId="0AC37664">
      <w:pPr>
        <w:widowControl/>
        <w:spacing w:line="360" w:lineRule="auto"/>
        <w:ind w:firstLine="480" w:firstLineChars="200"/>
        <w:jc w:val="right"/>
        <w:rPr>
          <w:rFonts w:ascii="宋体" w:hAnsi="宋体"/>
          <w:kern w:val="0"/>
          <w:sz w:val="24"/>
          <w:szCs w:val="21"/>
          <w:lang w:bidi="en-US"/>
        </w:rPr>
      </w:pPr>
      <w:r>
        <w:rPr>
          <w:rFonts w:hint="eastAsia" w:ascii="宋体" w:hAnsi="宋体"/>
          <w:kern w:val="0"/>
          <w:sz w:val="24"/>
          <w:szCs w:val="21"/>
          <w:lang w:bidi="en-US"/>
        </w:rPr>
        <w:t>202</w:t>
      </w:r>
      <w:r>
        <w:rPr>
          <w:rFonts w:hint="eastAsia" w:ascii="宋体" w:hAnsi="宋体"/>
          <w:kern w:val="0"/>
          <w:sz w:val="24"/>
          <w:szCs w:val="21"/>
          <w:lang w:val="en-US" w:eastAsia="zh-CN" w:bidi="en-US"/>
        </w:rPr>
        <w:t>6</w:t>
      </w:r>
      <w:r>
        <w:rPr>
          <w:rFonts w:hint="eastAsia" w:ascii="宋体" w:hAnsi="宋体"/>
          <w:kern w:val="0"/>
          <w:sz w:val="24"/>
          <w:szCs w:val="21"/>
          <w:lang w:bidi="en-US"/>
        </w:rPr>
        <w:t>年</w:t>
      </w:r>
      <w:r>
        <w:rPr>
          <w:rFonts w:hint="eastAsia" w:ascii="宋体" w:hAnsi="宋体"/>
          <w:kern w:val="0"/>
          <w:sz w:val="24"/>
          <w:szCs w:val="21"/>
          <w:lang w:val="en-US" w:eastAsia="zh-CN" w:bidi="en-US"/>
        </w:rPr>
        <w:t>9</w:t>
      </w:r>
      <w:r>
        <w:rPr>
          <w:rFonts w:hint="eastAsia" w:ascii="宋体" w:hAnsi="宋体"/>
          <w:kern w:val="0"/>
          <w:sz w:val="24"/>
          <w:szCs w:val="21"/>
          <w:lang w:bidi="en-US"/>
        </w:rPr>
        <w:t>月</w:t>
      </w:r>
      <w:r>
        <w:rPr>
          <w:rFonts w:hint="eastAsia" w:ascii="宋体" w:hAnsi="宋体"/>
          <w:kern w:val="0"/>
          <w:sz w:val="24"/>
          <w:szCs w:val="21"/>
          <w:lang w:val="en-US" w:eastAsia="zh-CN" w:bidi="en-US"/>
        </w:rPr>
        <w:t>24</w:t>
      </w:r>
      <w:r>
        <w:rPr>
          <w:rFonts w:hint="eastAsia" w:ascii="宋体" w:hAnsi="宋体"/>
          <w:kern w:val="0"/>
          <w:sz w:val="24"/>
          <w:szCs w:val="21"/>
          <w:lang w:bidi="en-US"/>
        </w:rPr>
        <w:t xml:space="preserve">日 </w:t>
      </w:r>
    </w:p>
    <w:p w14:paraId="16EDB564">
      <w:pPr>
        <w:pStyle w:val="19"/>
        <w:rPr>
          <w:rFonts w:ascii="宋体" w:hAnsi="宋体"/>
          <w:color w:val="FF0000"/>
          <w:kern w:val="0"/>
          <w:sz w:val="24"/>
          <w:szCs w:val="21"/>
          <w:lang w:bidi="en-US"/>
        </w:rPr>
      </w:pPr>
    </w:p>
    <w:p w14:paraId="00BE3215">
      <w:pPr>
        <w:rPr>
          <w:rFonts w:ascii="宋体" w:hAnsi="宋体"/>
          <w:kern w:val="0"/>
          <w:sz w:val="24"/>
          <w:szCs w:val="21"/>
          <w:lang w:bidi="en-US"/>
        </w:rPr>
      </w:pPr>
    </w:p>
    <w:p w14:paraId="02808D6E">
      <w:pPr>
        <w:rPr>
          <w:rFonts w:ascii="宋体" w:hAnsi="宋体"/>
          <w:kern w:val="0"/>
          <w:sz w:val="24"/>
          <w:szCs w:val="21"/>
          <w:lang w:bidi="en-US"/>
        </w:rPr>
        <w:sectPr>
          <w:headerReference r:id="rId3" w:type="default"/>
          <w:footerReference r:id="rId4" w:type="default"/>
          <w:pgSz w:w="11906" w:h="16838"/>
          <w:pgMar w:top="833" w:right="1003" w:bottom="777" w:left="1003" w:header="227" w:footer="227" w:gutter="0"/>
          <w:pgBorders>
            <w:top w:val="none" w:sz="0" w:space="0"/>
            <w:left w:val="none" w:sz="0" w:space="0"/>
            <w:bottom w:val="none" w:sz="0" w:space="0"/>
            <w:right w:val="none" w:sz="0" w:space="0"/>
          </w:pgBorders>
          <w:cols w:space="720" w:num="1"/>
          <w:docGrid w:type="lines" w:linePitch="381" w:charSpace="0"/>
        </w:sectPr>
      </w:pPr>
    </w:p>
    <w:p w14:paraId="33E70480">
      <w:pPr>
        <w:rPr>
          <w:rFonts w:ascii="宋体" w:hAnsi="宋体"/>
          <w:kern w:val="0"/>
          <w:sz w:val="24"/>
          <w:szCs w:val="21"/>
          <w:lang w:bidi="en-US"/>
        </w:rPr>
      </w:pPr>
    </w:p>
    <w:p w14:paraId="3CF10BC6">
      <w:pPr>
        <w:pStyle w:val="8"/>
        <w:rPr>
          <w:rFonts w:hint="eastAsia" w:ascii="宋体" w:hAnsi="宋体"/>
          <w:kern w:val="0"/>
          <w:sz w:val="24"/>
          <w:szCs w:val="21"/>
          <w:lang w:bidi="en-US"/>
        </w:rPr>
      </w:pPr>
      <w:r>
        <w:rPr>
          <w:rFonts w:hint="eastAsia" w:ascii="宋体" w:hAnsi="宋体"/>
          <w:kern w:val="0"/>
          <w:sz w:val="24"/>
          <w:szCs w:val="21"/>
          <w:lang w:bidi="en-US"/>
        </w:rPr>
        <w:t>附件1:</w:t>
      </w:r>
    </w:p>
    <w:p w14:paraId="7990AA32">
      <w:pPr>
        <w:pStyle w:val="8"/>
        <w:jc w:val="center"/>
      </w:pPr>
      <w:r>
        <w:rPr>
          <w:rFonts w:hint="eastAsia"/>
        </w:rPr>
        <w:t>投标信息明细表</w:t>
      </w:r>
    </w:p>
    <w:tbl>
      <w:tblPr>
        <w:tblStyle w:val="25"/>
        <w:tblW w:w="5275" w:type="pct"/>
        <w:tblInd w:w="0" w:type="dxa"/>
        <w:tblLayout w:type="autofit"/>
        <w:tblCellMar>
          <w:top w:w="0" w:type="dxa"/>
          <w:left w:w="108" w:type="dxa"/>
          <w:bottom w:w="0" w:type="dxa"/>
          <w:right w:w="108" w:type="dxa"/>
        </w:tblCellMar>
      </w:tblPr>
      <w:tblGrid>
        <w:gridCol w:w="451"/>
        <w:gridCol w:w="889"/>
        <w:gridCol w:w="451"/>
        <w:gridCol w:w="451"/>
        <w:gridCol w:w="697"/>
        <w:gridCol w:w="744"/>
        <w:gridCol w:w="667"/>
        <w:gridCol w:w="481"/>
        <w:gridCol w:w="455"/>
        <w:gridCol w:w="451"/>
        <w:gridCol w:w="451"/>
        <w:gridCol w:w="885"/>
        <w:gridCol w:w="451"/>
        <w:gridCol w:w="451"/>
        <w:gridCol w:w="460"/>
        <w:gridCol w:w="454"/>
        <w:gridCol w:w="458"/>
        <w:gridCol w:w="452"/>
      </w:tblGrid>
      <w:tr w14:paraId="61AD42C3">
        <w:tblPrEx>
          <w:tblCellMar>
            <w:top w:w="0" w:type="dxa"/>
            <w:left w:w="108" w:type="dxa"/>
            <w:bottom w:w="0" w:type="dxa"/>
            <w:right w:w="108" w:type="dxa"/>
          </w:tblCellMar>
        </w:tblPrEx>
        <w:trPr>
          <w:trHeight w:val="628" w:hRule="atLeast"/>
        </w:trPr>
        <w:tc>
          <w:tcPr>
            <w:tcW w:w="23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56677F">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序</w:t>
            </w:r>
            <w:r>
              <w:rPr>
                <w:rFonts w:hint="eastAsia" w:ascii="宋体" w:hAnsi="宋体" w:cs="宋体"/>
                <w:kern w:val="0"/>
                <w:sz w:val="20"/>
                <w:szCs w:val="20"/>
                <w:lang w:bidi="ar"/>
              </w:rPr>
              <w:br w:type="textWrapping"/>
            </w:r>
            <w:r>
              <w:rPr>
                <w:rFonts w:hint="eastAsia" w:ascii="宋体" w:hAnsi="宋体" w:cs="宋体"/>
                <w:kern w:val="0"/>
                <w:sz w:val="20"/>
                <w:szCs w:val="20"/>
                <w:lang w:bidi="ar"/>
              </w:rPr>
              <w:t>号</w:t>
            </w: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C2E0FD">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单位名称</w:t>
            </w:r>
          </w:p>
        </w:tc>
        <w:tc>
          <w:tcPr>
            <w:tcW w:w="23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12B1BF">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地区</w:t>
            </w:r>
          </w:p>
        </w:tc>
        <w:tc>
          <w:tcPr>
            <w:tcW w:w="23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8CB029">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联系人</w:t>
            </w:r>
          </w:p>
        </w:tc>
        <w:tc>
          <w:tcPr>
            <w:tcW w:w="35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0CE160">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联系方式</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02A628">
            <w:pPr>
              <w:widowControl/>
              <w:jc w:val="center"/>
              <w:textAlignment w:val="center"/>
              <w:rPr>
                <w:rFonts w:hint="eastAsia" w:ascii="宋体" w:hAnsi="宋体" w:cs="宋体"/>
                <w:kern w:val="0"/>
                <w:sz w:val="20"/>
                <w:szCs w:val="20"/>
                <w:lang w:bidi="ar"/>
              </w:rPr>
            </w:pPr>
            <w:r>
              <w:rPr>
                <w:rFonts w:hint="eastAsia" w:ascii="宋体" w:hAnsi="宋体" w:cs="宋体"/>
                <w:kern w:val="0"/>
                <w:sz w:val="20"/>
                <w:szCs w:val="20"/>
                <w:lang w:bidi="ar"/>
              </w:rPr>
              <w:t>唯一指定</w:t>
            </w:r>
          </w:p>
          <w:p w14:paraId="3938F2EB">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邮箱</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94A10F">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注册资金</w:t>
            </w:r>
            <w:r>
              <w:rPr>
                <w:rFonts w:hint="eastAsia" w:ascii="宋体" w:hAnsi="宋体" w:cs="宋体"/>
                <w:kern w:val="0"/>
                <w:sz w:val="20"/>
                <w:szCs w:val="20"/>
                <w:lang w:bidi="ar"/>
              </w:rPr>
              <w:br w:type="textWrapping"/>
            </w:r>
            <w:r>
              <w:rPr>
                <w:rFonts w:hint="eastAsia" w:ascii="宋体" w:hAnsi="宋体" w:cs="宋体"/>
                <w:kern w:val="0"/>
                <w:sz w:val="20"/>
                <w:szCs w:val="20"/>
                <w:lang w:bidi="ar"/>
              </w:rPr>
              <w:t>（≥500万）</w:t>
            </w:r>
          </w:p>
        </w:tc>
        <w:tc>
          <w:tcPr>
            <w:tcW w:w="2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D1EF08">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注册时间</w:t>
            </w:r>
          </w:p>
        </w:tc>
        <w:tc>
          <w:tcPr>
            <w:tcW w:w="23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E2283D">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企业性质</w:t>
            </w:r>
          </w:p>
        </w:tc>
        <w:tc>
          <w:tcPr>
            <w:tcW w:w="230" w:type="pct"/>
            <w:vMerge w:val="restart"/>
            <w:tcBorders>
              <w:top w:val="single" w:color="000000" w:sz="4" w:space="0"/>
              <w:left w:val="single" w:color="000000" w:sz="4" w:space="0"/>
              <w:right w:val="single" w:color="000000" w:sz="4" w:space="0"/>
            </w:tcBorders>
            <w:shd w:val="clear" w:color="auto" w:fill="FFFFFF"/>
          </w:tcPr>
          <w:p w14:paraId="28FCA764">
            <w:pPr>
              <w:widowControl/>
              <w:jc w:val="center"/>
              <w:textAlignment w:val="center"/>
              <w:rPr>
                <w:rFonts w:hint="eastAsia" w:ascii="宋体" w:hAnsi="宋体" w:cs="宋体"/>
                <w:kern w:val="0"/>
                <w:sz w:val="20"/>
                <w:szCs w:val="20"/>
                <w:lang w:bidi="ar"/>
              </w:rPr>
            </w:pPr>
            <w:r>
              <w:rPr>
                <w:rFonts w:hint="eastAsia" w:ascii="宋体" w:hAnsi="宋体" w:cs="宋体"/>
                <w:kern w:val="0"/>
                <w:sz w:val="20"/>
                <w:szCs w:val="20"/>
                <w:lang w:bidi="ar"/>
              </w:rPr>
              <w:t>施工总承包资质</w:t>
            </w:r>
          </w:p>
        </w:tc>
        <w:tc>
          <w:tcPr>
            <w:tcW w:w="23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C4B686">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项目经理</w:t>
            </w:r>
          </w:p>
        </w:tc>
        <w:tc>
          <w:tcPr>
            <w:tcW w:w="45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78BD6F">
            <w:pPr>
              <w:widowControl/>
              <w:jc w:val="center"/>
              <w:textAlignment w:val="center"/>
              <w:rPr>
                <w:rFonts w:hint="eastAsia" w:ascii="宋体" w:hAnsi="宋体" w:cs="宋体"/>
                <w:kern w:val="0"/>
                <w:sz w:val="20"/>
                <w:szCs w:val="20"/>
                <w:lang w:bidi="ar"/>
              </w:rPr>
            </w:pPr>
            <w:r>
              <w:rPr>
                <w:rFonts w:hint="eastAsia" w:ascii="宋体" w:hAnsi="宋体" w:cs="宋体"/>
                <w:kern w:val="0"/>
                <w:sz w:val="20"/>
                <w:szCs w:val="20"/>
                <w:lang w:bidi="ar"/>
              </w:rPr>
              <w:t>类似</w:t>
            </w:r>
            <w:r>
              <w:rPr>
                <w:rFonts w:hint="eastAsia" w:ascii="宋体" w:hAnsi="宋体" w:cs="宋体"/>
                <w:kern w:val="0"/>
                <w:sz w:val="20"/>
                <w:szCs w:val="20"/>
                <w:lang w:bidi="ar"/>
              </w:rPr>
              <w:br w:type="textWrapping"/>
            </w:r>
            <w:r>
              <w:rPr>
                <w:rFonts w:hint="eastAsia" w:ascii="宋体" w:hAnsi="宋体" w:cs="宋体"/>
                <w:kern w:val="0"/>
                <w:sz w:val="20"/>
                <w:szCs w:val="20"/>
                <w:lang w:bidi="ar"/>
              </w:rPr>
              <w:t>业绩</w:t>
            </w:r>
          </w:p>
          <w:p w14:paraId="54859CE3">
            <w:pPr>
              <w:widowControl/>
              <w:jc w:val="center"/>
              <w:textAlignment w:val="center"/>
              <w:rPr>
                <w:rFonts w:hint="eastAsia" w:ascii="宋体" w:hAnsi="宋体" w:cs="宋体"/>
                <w:kern w:val="0"/>
                <w:sz w:val="20"/>
                <w:szCs w:val="20"/>
                <w:lang w:bidi="ar"/>
              </w:rPr>
            </w:pPr>
            <w:r>
              <w:rPr>
                <w:rFonts w:hint="eastAsia" w:ascii="宋体" w:hAnsi="宋体" w:cs="宋体"/>
                <w:kern w:val="0"/>
                <w:sz w:val="20"/>
                <w:szCs w:val="20"/>
                <w:lang w:bidi="ar"/>
              </w:rPr>
              <w:t>数量</w:t>
            </w:r>
          </w:p>
          <w:p w14:paraId="27530DA0">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（项）</w:t>
            </w:r>
          </w:p>
        </w:tc>
        <w:tc>
          <w:tcPr>
            <w:tcW w:w="460"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9349CA">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202</w:t>
            </w:r>
            <w:r>
              <w:rPr>
                <w:rFonts w:hint="eastAsia" w:ascii="宋体" w:hAnsi="宋体" w:cs="宋体"/>
                <w:kern w:val="0"/>
                <w:sz w:val="20"/>
                <w:szCs w:val="20"/>
                <w:lang w:val="en-US" w:eastAsia="zh-CN" w:bidi="ar"/>
              </w:rPr>
              <w:t>3</w:t>
            </w:r>
            <w:r>
              <w:rPr>
                <w:rFonts w:hint="eastAsia" w:ascii="宋体" w:hAnsi="宋体" w:cs="宋体"/>
                <w:kern w:val="0"/>
                <w:sz w:val="20"/>
                <w:szCs w:val="20"/>
                <w:lang w:bidi="ar"/>
              </w:rPr>
              <w:t>年</w:t>
            </w:r>
          </w:p>
        </w:tc>
        <w:tc>
          <w:tcPr>
            <w:tcW w:w="46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B97850">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202</w:t>
            </w:r>
            <w:r>
              <w:rPr>
                <w:rFonts w:hint="eastAsia" w:ascii="宋体" w:hAnsi="宋体" w:cs="宋体"/>
                <w:kern w:val="0"/>
                <w:sz w:val="20"/>
                <w:szCs w:val="20"/>
                <w:lang w:val="en-US" w:eastAsia="zh-CN" w:bidi="ar"/>
              </w:rPr>
              <w:t>4</w:t>
            </w:r>
            <w:r>
              <w:rPr>
                <w:rFonts w:hint="eastAsia" w:ascii="宋体" w:hAnsi="宋体" w:cs="宋体"/>
                <w:kern w:val="0"/>
                <w:sz w:val="20"/>
                <w:szCs w:val="20"/>
                <w:lang w:bidi="ar"/>
              </w:rPr>
              <w:t>年</w:t>
            </w:r>
          </w:p>
        </w:tc>
        <w:tc>
          <w:tcPr>
            <w:tcW w:w="463"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185462">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202</w:t>
            </w:r>
            <w:r>
              <w:rPr>
                <w:rFonts w:hint="eastAsia" w:ascii="宋体" w:hAnsi="宋体" w:cs="宋体"/>
                <w:kern w:val="0"/>
                <w:sz w:val="20"/>
                <w:szCs w:val="20"/>
                <w:lang w:val="en-US" w:eastAsia="zh-CN" w:bidi="ar"/>
              </w:rPr>
              <w:t>5</w:t>
            </w:r>
            <w:r>
              <w:rPr>
                <w:rFonts w:hint="eastAsia" w:ascii="宋体" w:hAnsi="宋体" w:cs="宋体"/>
                <w:kern w:val="0"/>
                <w:sz w:val="20"/>
                <w:szCs w:val="20"/>
                <w:lang w:bidi="ar"/>
              </w:rPr>
              <w:t>年</w:t>
            </w:r>
          </w:p>
        </w:tc>
      </w:tr>
      <w:tr w14:paraId="7ACFFD90">
        <w:tblPrEx>
          <w:tblCellMar>
            <w:top w:w="0" w:type="dxa"/>
            <w:left w:w="108" w:type="dxa"/>
            <w:bottom w:w="0" w:type="dxa"/>
            <w:right w:w="108" w:type="dxa"/>
          </w:tblCellMar>
        </w:tblPrEx>
        <w:trPr>
          <w:trHeight w:val="1555" w:hRule="atLeast"/>
        </w:trPr>
        <w:tc>
          <w:tcPr>
            <w:tcW w:w="23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EAC842">
            <w:pPr>
              <w:rPr>
                <w:sz w:val="20"/>
                <w:szCs w:val="20"/>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8B1292">
            <w:pPr>
              <w:rPr>
                <w:sz w:val="20"/>
                <w:szCs w:val="20"/>
              </w:rPr>
            </w:pPr>
          </w:p>
        </w:tc>
        <w:tc>
          <w:tcPr>
            <w:tcW w:w="23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8EC80B">
            <w:pPr>
              <w:rPr>
                <w:sz w:val="20"/>
                <w:szCs w:val="20"/>
              </w:rPr>
            </w:pPr>
          </w:p>
        </w:tc>
        <w:tc>
          <w:tcPr>
            <w:tcW w:w="23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80B021">
            <w:pPr>
              <w:rPr>
                <w:sz w:val="20"/>
                <w:szCs w:val="20"/>
              </w:rPr>
            </w:pPr>
          </w:p>
        </w:tc>
        <w:tc>
          <w:tcPr>
            <w:tcW w:w="35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6738A9">
            <w:pPr>
              <w:rPr>
                <w:sz w:val="20"/>
                <w:szCs w:val="20"/>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7EA18E">
            <w:pPr>
              <w:rPr>
                <w:sz w:val="20"/>
                <w:szCs w:val="20"/>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AD2FD0">
            <w:pPr>
              <w:rPr>
                <w:sz w:val="20"/>
                <w:szCs w:val="20"/>
              </w:rPr>
            </w:pPr>
          </w:p>
        </w:tc>
        <w:tc>
          <w:tcPr>
            <w:tcW w:w="2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249454">
            <w:pPr>
              <w:rPr>
                <w:sz w:val="20"/>
                <w:szCs w:val="20"/>
              </w:rPr>
            </w:pPr>
          </w:p>
        </w:tc>
        <w:tc>
          <w:tcPr>
            <w:tcW w:w="2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A92B95">
            <w:pPr>
              <w:rPr>
                <w:sz w:val="20"/>
                <w:szCs w:val="20"/>
              </w:rPr>
            </w:pPr>
          </w:p>
        </w:tc>
        <w:tc>
          <w:tcPr>
            <w:tcW w:w="230" w:type="pct"/>
            <w:vMerge w:val="continue"/>
            <w:tcBorders>
              <w:left w:val="single" w:color="000000" w:sz="4" w:space="0"/>
              <w:bottom w:val="single" w:color="000000" w:sz="4" w:space="0"/>
              <w:right w:val="single" w:color="000000" w:sz="4" w:space="0"/>
            </w:tcBorders>
            <w:shd w:val="clear" w:color="auto" w:fill="FFFFFF"/>
          </w:tcPr>
          <w:p w14:paraId="3BBC8C3A">
            <w:pPr>
              <w:rPr>
                <w:sz w:val="20"/>
                <w:szCs w:val="20"/>
              </w:rPr>
            </w:pPr>
          </w:p>
        </w:tc>
        <w:tc>
          <w:tcPr>
            <w:tcW w:w="23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5CF8B8">
            <w:pPr>
              <w:rPr>
                <w:sz w:val="20"/>
                <w:szCs w:val="20"/>
              </w:rPr>
            </w:pPr>
          </w:p>
        </w:tc>
        <w:tc>
          <w:tcPr>
            <w:tcW w:w="45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6011E2">
            <w:pPr>
              <w:rPr>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D7F5AC">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营收</w:t>
            </w:r>
            <w:r>
              <w:rPr>
                <w:rFonts w:hint="eastAsia" w:ascii="宋体" w:hAnsi="宋体" w:cs="宋体"/>
                <w:kern w:val="0"/>
                <w:sz w:val="20"/>
                <w:szCs w:val="20"/>
                <w:lang w:bidi="ar"/>
              </w:rPr>
              <w:br w:type="textWrapping"/>
            </w:r>
            <w:r>
              <w:rPr>
                <w:rFonts w:hint="eastAsia" w:ascii="宋体" w:hAnsi="宋体" w:cs="宋体"/>
                <w:kern w:val="0"/>
                <w:sz w:val="20"/>
                <w:szCs w:val="20"/>
                <w:lang w:bidi="ar"/>
              </w:rPr>
              <w:t>/万元</w:t>
            </w: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001A0B">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资产负债率</w:t>
            </w:r>
          </w:p>
        </w:tc>
        <w:tc>
          <w:tcPr>
            <w:tcW w:w="2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75D8FA">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营收</w:t>
            </w:r>
            <w:r>
              <w:rPr>
                <w:rFonts w:hint="eastAsia" w:ascii="宋体" w:hAnsi="宋体" w:cs="宋体"/>
                <w:kern w:val="0"/>
                <w:sz w:val="20"/>
                <w:szCs w:val="20"/>
                <w:lang w:bidi="ar"/>
              </w:rPr>
              <w:br w:type="textWrapping"/>
            </w:r>
            <w:r>
              <w:rPr>
                <w:rFonts w:hint="eastAsia" w:ascii="宋体" w:hAnsi="宋体" w:cs="宋体"/>
                <w:kern w:val="0"/>
                <w:sz w:val="20"/>
                <w:szCs w:val="20"/>
                <w:lang w:bidi="ar"/>
              </w:rPr>
              <w:t>/万元</w:t>
            </w: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CE5031">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资产负债率</w:t>
            </w:r>
          </w:p>
        </w:tc>
        <w:tc>
          <w:tcPr>
            <w:tcW w:w="2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6CC838">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营收</w:t>
            </w:r>
            <w:r>
              <w:rPr>
                <w:rFonts w:hint="eastAsia" w:ascii="宋体" w:hAnsi="宋体" w:cs="宋体"/>
                <w:kern w:val="0"/>
                <w:sz w:val="20"/>
                <w:szCs w:val="20"/>
                <w:lang w:bidi="ar"/>
              </w:rPr>
              <w:br w:type="textWrapping"/>
            </w:r>
            <w:r>
              <w:rPr>
                <w:rFonts w:hint="eastAsia" w:ascii="宋体" w:hAnsi="宋体" w:cs="宋体"/>
                <w:kern w:val="0"/>
                <w:sz w:val="20"/>
                <w:szCs w:val="20"/>
                <w:lang w:bidi="ar"/>
              </w:rPr>
              <w:t>/万元</w:t>
            </w: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911115">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资产负债率</w:t>
            </w:r>
          </w:p>
        </w:tc>
      </w:tr>
      <w:tr w14:paraId="7A96CCA3">
        <w:tblPrEx>
          <w:tblCellMar>
            <w:top w:w="0" w:type="dxa"/>
            <w:left w:w="108" w:type="dxa"/>
            <w:bottom w:w="0" w:type="dxa"/>
            <w:right w:w="108" w:type="dxa"/>
          </w:tblCellMar>
        </w:tblPrEx>
        <w:trPr>
          <w:trHeight w:val="653" w:hRule="atLeast"/>
        </w:trPr>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48C3C5">
            <w:pPr>
              <w:jc w:val="center"/>
              <w:rPr>
                <w:rFonts w:hint="eastAsia" w:ascii="宋体" w:hAnsi="宋体" w:cs="宋体"/>
                <w:sz w:val="20"/>
                <w:szCs w:val="20"/>
              </w:rPr>
            </w:pPr>
          </w:p>
        </w:tc>
        <w:tc>
          <w:tcPr>
            <w:tcW w:w="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EB50F0">
            <w:pP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6273B2">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34BF8E">
            <w:pPr>
              <w:jc w:val="center"/>
              <w:rPr>
                <w:rFonts w:hint="eastAsia" w:ascii="宋体" w:hAnsi="宋体" w:cs="宋体"/>
                <w:sz w:val="20"/>
                <w:szCs w:val="20"/>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890510">
            <w:pPr>
              <w:jc w:val="center"/>
              <w:rPr>
                <w:rFonts w:hint="eastAsia" w:ascii="宋体" w:hAnsi="宋体" w:cs="宋体"/>
                <w:sz w:val="20"/>
                <w:szCs w:val="20"/>
              </w:rPr>
            </w:pPr>
          </w:p>
        </w:tc>
        <w:tc>
          <w:tcPr>
            <w:tcW w:w="3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13BD8">
            <w:pPr>
              <w:jc w:val="center"/>
              <w:rPr>
                <w:rFonts w:hint="eastAsia" w:ascii="宋体" w:hAnsi="宋体" w:cs="宋体"/>
                <w:sz w:val="20"/>
                <w:szCs w:val="20"/>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573A1">
            <w:pPr>
              <w:jc w:val="center"/>
              <w:rPr>
                <w:rFonts w:hint="eastAsia" w:ascii="宋体" w:hAnsi="宋体" w:cs="宋体"/>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070CF7">
            <w:pPr>
              <w:jc w:val="center"/>
              <w:rPr>
                <w:rFonts w:hint="eastAsia" w:ascii="宋体" w:hAnsi="宋体" w:cs="宋体"/>
                <w:sz w:val="20"/>
                <w:szCs w:val="20"/>
              </w:rPr>
            </w:pP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8EA158">
            <w:pPr>
              <w:jc w:val="left"/>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tcPr>
          <w:p w14:paraId="1D530C31">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B29E4D">
            <w:pPr>
              <w:jc w:val="center"/>
              <w:rPr>
                <w:rFonts w:hint="eastAsia" w:ascii="宋体" w:hAnsi="宋体" w:cs="宋体"/>
                <w:sz w:val="20"/>
                <w:szCs w:val="20"/>
              </w:rPr>
            </w:pP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DE3053">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720A20">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79951C">
            <w:pPr>
              <w:jc w:val="center"/>
              <w:rPr>
                <w:rFonts w:hint="eastAsia" w:ascii="宋体" w:hAnsi="宋体" w:cs="宋体"/>
                <w:sz w:val="20"/>
                <w:szCs w:val="20"/>
              </w:rPr>
            </w:pPr>
            <w:r>
              <w:rPr>
                <w:rFonts w:hint="eastAsia" w:ascii="宋体" w:hAnsi="宋体" w:cs="宋体"/>
                <w:sz w:val="20"/>
                <w:szCs w:val="20"/>
              </w:rPr>
              <w:t>%</w:t>
            </w:r>
          </w:p>
        </w:tc>
        <w:tc>
          <w:tcPr>
            <w:tcW w:w="2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31CE49">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tcPr>
          <w:p w14:paraId="3FF89D2C">
            <w:pPr>
              <w:jc w:val="center"/>
              <w:rPr>
                <w:rFonts w:hint="eastAsia" w:ascii="宋体" w:hAnsi="宋体" w:cs="宋体"/>
                <w:sz w:val="20"/>
                <w:szCs w:val="20"/>
              </w:rPr>
            </w:pPr>
            <w:r>
              <w:rPr>
                <w:rFonts w:hint="eastAsia" w:ascii="宋体" w:hAnsi="宋体" w:cs="宋体"/>
                <w:sz w:val="20"/>
                <w:szCs w:val="20"/>
              </w:rPr>
              <w:t>%</w:t>
            </w:r>
          </w:p>
        </w:tc>
        <w:tc>
          <w:tcPr>
            <w:tcW w:w="2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E6839">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tcPr>
          <w:p w14:paraId="569F1ADD">
            <w:pPr>
              <w:jc w:val="center"/>
              <w:rPr>
                <w:rFonts w:hint="eastAsia" w:ascii="宋体" w:hAnsi="宋体" w:cs="宋体"/>
                <w:sz w:val="20"/>
                <w:szCs w:val="20"/>
              </w:rPr>
            </w:pPr>
            <w:r>
              <w:rPr>
                <w:rFonts w:hint="eastAsia" w:ascii="宋体" w:hAnsi="宋体" w:cs="宋体"/>
                <w:sz w:val="20"/>
                <w:szCs w:val="20"/>
              </w:rPr>
              <w:t>%</w:t>
            </w:r>
          </w:p>
        </w:tc>
      </w:tr>
      <w:tr w14:paraId="4F7C48A3">
        <w:tblPrEx>
          <w:tblCellMar>
            <w:top w:w="0" w:type="dxa"/>
            <w:left w:w="108" w:type="dxa"/>
            <w:bottom w:w="0" w:type="dxa"/>
            <w:right w:w="108" w:type="dxa"/>
          </w:tblCellMar>
        </w:tblPrEx>
        <w:trPr>
          <w:trHeight w:val="697" w:hRule="atLeast"/>
        </w:trPr>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6ADF08">
            <w:pPr>
              <w:jc w:val="center"/>
              <w:rPr>
                <w:rFonts w:hint="eastAsia" w:ascii="宋体" w:hAnsi="宋体" w:cs="宋体"/>
                <w:sz w:val="20"/>
                <w:szCs w:val="20"/>
              </w:rPr>
            </w:pPr>
          </w:p>
        </w:tc>
        <w:tc>
          <w:tcPr>
            <w:tcW w:w="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6DE3CF">
            <w:pP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4C04C2">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2CBF7">
            <w:pPr>
              <w:jc w:val="center"/>
              <w:rPr>
                <w:rFonts w:hint="eastAsia" w:ascii="宋体" w:hAnsi="宋体" w:cs="宋体"/>
                <w:sz w:val="20"/>
                <w:szCs w:val="20"/>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7ED7A">
            <w:pPr>
              <w:jc w:val="center"/>
              <w:rPr>
                <w:rFonts w:hint="eastAsia" w:ascii="宋体" w:hAnsi="宋体" w:cs="宋体"/>
                <w:sz w:val="20"/>
                <w:szCs w:val="20"/>
              </w:rPr>
            </w:pPr>
          </w:p>
        </w:tc>
        <w:tc>
          <w:tcPr>
            <w:tcW w:w="3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21E515">
            <w:pPr>
              <w:jc w:val="center"/>
              <w:rPr>
                <w:rFonts w:hint="eastAsia" w:ascii="宋体" w:hAnsi="宋体" w:cs="宋体"/>
                <w:sz w:val="20"/>
                <w:szCs w:val="20"/>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330124">
            <w:pPr>
              <w:jc w:val="center"/>
              <w:rPr>
                <w:rFonts w:hint="eastAsia" w:ascii="宋体" w:hAnsi="宋体" w:cs="宋体"/>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59BA6F">
            <w:pPr>
              <w:jc w:val="center"/>
              <w:rPr>
                <w:rFonts w:hint="eastAsia" w:ascii="宋体" w:hAnsi="宋体" w:cs="宋体"/>
                <w:sz w:val="20"/>
                <w:szCs w:val="20"/>
              </w:rPr>
            </w:pP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5F83D4">
            <w:pPr>
              <w:jc w:val="left"/>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tcPr>
          <w:p w14:paraId="2266B485">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796BA">
            <w:pPr>
              <w:jc w:val="center"/>
              <w:rPr>
                <w:rFonts w:hint="eastAsia" w:ascii="宋体" w:hAnsi="宋体" w:cs="宋体"/>
                <w:sz w:val="20"/>
                <w:szCs w:val="20"/>
              </w:rPr>
            </w:pP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A399F7">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B77E8B">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tcPr>
          <w:p w14:paraId="1359F9E5">
            <w:pPr>
              <w:jc w:val="center"/>
              <w:rPr>
                <w:rFonts w:hint="eastAsia" w:ascii="宋体" w:hAnsi="宋体" w:cs="宋体"/>
                <w:sz w:val="20"/>
                <w:szCs w:val="20"/>
              </w:rPr>
            </w:pPr>
            <w:r>
              <w:rPr>
                <w:rFonts w:hint="eastAsia" w:ascii="宋体" w:hAnsi="宋体" w:cs="宋体"/>
                <w:sz w:val="20"/>
                <w:szCs w:val="20"/>
              </w:rPr>
              <w:t>%</w:t>
            </w:r>
          </w:p>
        </w:tc>
        <w:tc>
          <w:tcPr>
            <w:tcW w:w="2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51A104">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tcPr>
          <w:p w14:paraId="54B26CB4">
            <w:pPr>
              <w:jc w:val="center"/>
              <w:rPr>
                <w:rFonts w:hint="eastAsia" w:ascii="宋体" w:hAnsi="宋体" w:cs="宋体"/>
                <w:sz w:val="20"/>
                <w:szCs w:val="20"/>
              </w:rPr>
            </w:pPr>
            <w:r>
              <w:rPr>
                <w:rFonts w:hint="eastAsia" w:ascii="宋体" w:hAnsi="宋体" w:cs="宋体"/>
                <w:sz w:val="20"/>
                <w:szCs w:val="20"/>
              </w:rPr>
              <w:t>%</w:t>
            </w:r>
          </w:p>
        </w:tc>
        <w:tc>
          <w:tcPr>
            <w:tcW w:w="2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B50225">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tcPr>
          <w:p w14:paraId="773A065C">
            <w:pPr>
              <w:jc w:val="center"/>
              <w:rPr>
                <w:rFonts w:hint="eastAsia" w:ascii="宋体" w:hAnsi="宋体" w:cs="宋体"/>
                <w:sz w:val="20"/>
                <w:szCs w:val="20"/>
              </w:rPr>
            </w:pPr>
            <w:r>
              <w:rPr>
                <w:rFonts w:hint="eastAsia" w:ascii="宋体" w:hAnsi="宋体" w:cs="宋体"/>
                <w:sz w:val="20"/>
                <w:szCs w:val="20"/>
              </w:rPr>
              <w:t>%</w:t>
            </w:r>
          </w:p>
        </w:tc>
      </w:tr>
      <w:tr w14:paraId="03001F3D">
        <w:tblPrEx>
          <w:tblCellMar>
            <w:top w:w="0" w:type="dxa"/>
            <w:left w:w="108" w:type="dxa"/>
            <w:bottom w:w="0" w:type="dxa"/>
            <w:right w:w="108" w:type="dxa"/>
          </w:tblCellMar>
        </w:tblPrEx>
        <w:trPr>
          <w:trHeight w:val="732" w:hRule="atLeast"/>
        </w:trPr>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49AE9">
            <w:pPr>
              <w:jc w:val="center"/>
              <w:rPr>
                <w:rFonts w:hint="eastAsia" w:ascii="宋体" w:hAnsi="宋体" w:cs="宋体"/>
                <w:sz w:val="20"/>
                <w:szCs w:val="20"/>
              </w:rPr>
            </w:pPr>
          </w:p>
        </w:tc>
        <w:tc>
          <w:tcPr>
            <w:tcW w:w="4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2F4BE4">
            <w:pP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464F7A">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D43E20">
            <w:pPr>
              <w:jc w:val="center"/>
              <w:rPr>
                <w:rFonts w:hint="eastAsia" w:ascii="宋体" w:hAnsi="宋体" w:cs="宋体"/>
                <w:sz w:val="20"/>
                <w:szCs w:val="20"/>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AA0BCF">
            <w:pPr>
              <w:jc w:val="center"/>
              <w:rPr>
                <w:rFonts w:hint="eastAsia" w:ascii="宋体" w:hAnsi="宋体" w:cs="宋体"/>
                <w:sz w:val="20"/>
                <w:szCs w:val="20"/>
              </w:rPr>
            </w:pPr>
          </w:p>
        </w:tc>
        <w:tc>
          <w:tcPr>
            <w:tcW w:w="3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2C3A75">
            <w:pPr>
              <w:jc w:val="center"/>
              <w:rPr>
                <w:rFonts w:hint="eastAsia" w:ascii="宋体" w:hAnsi="宋体" w:cs="宋体"/>
                <w:sz w:val="20"/>
                <w:szCs w:val="20"/>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007CE6">
            <w:pPr>
              <w:jc w:val="center"/>
              <w:rPr>
                <w:rFonts w:hint="eastAsia" w:ascii="宋体" w:hAnsi="宋体" w:cs="宋体"/>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6732EF">
            <w:pPr>
              <w:jc w:val="center"/>
              <w:rPr>
                <w:rFonts w:hint="eastAsia" w:ascii="宋体" w:hAnsi="宋体" w:cs="宋体"/>
                <w:sz w:val="20"/>
                <w:szCs w:val="20"/>
              </w:rPr>
            </w:pP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F1A1D5">
            <w:pPr>
              <w:jc w:val="left"/>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tcPr>
          <w:p w14:paraId="75FA21B7">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C0093F">
            <w:pPr>
              <w:jc w:val="center"/>
              <w:rPr>
                <w:rFonts w:hint="eastAsia" w:ascii="宋体" w:hAnsi="宋体" w:cs="宋体"/>
                <w:sz w:val="20"/>
                <w:szCs w:val="20"/>
              </w:rPr>
            </w:pPr>
          </w:p>
        </w:tc>
        <w:tc>
          <w:tcPr>
            <w:tcW w:w="4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8B5EB5">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A05DD2">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tcPr>
          <w:p w14:paraId="61DA7CA6">
            <w:pPr>
              <w:jc w:val="center"/>
              <w:rPr>
                <w:rFonts w:hint="eastAsia" w:ascii="宋体" w:hAnsi="宋体" w:cs="宋体"/>
                <w:sz w:val="20"/>
                <w:szCs w:val="20"/>
              </w:rPr>
            </w:pPr>
            <w:r>
              <w:rPr>
                <w:rFonts w:hint="eastAsia" w:ascii="宋体" w:hAnsi="宋体" w:cs="宋体"/>
                <w:sz w:val="20"/>
                <w:szCs w:val="20"/>
              </w:rPr>
              <w:t>%</w:t>
            </w:r>
          </w:p>
        </w:tc>
        <w:tc>
          <w:tcPr>
            <w:tcW w:w="2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EDDB7E">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tcPr>
          <w:p w14:paraId="3F3AC8AA">
            <w:pPr>
              <w:jc w:val="center"/>
              <w:rPr>
                <w:rFonts w:hint="eastAsia" w:ascii="宋体" w:hAnsi="宋体" w:cs="宋体"/>
                <w:sz w:val="20"/>
                <w:szCs w:val="20"/>
              </w:rPr>
            </w:pPr>
            <w:r>
              <w:rPr>
                <w:rFonts w:hint="eastAsia" w:ascii="宋体" w:hAnsi="宋体" w:cs="宋体"/>
                <w:sz w:val="20"/>
                <w:szCs w:val="20"/>
              </w:rPr>
              <w:t>%</w:t>
            </w:r>
          </w:p>
        </w:tc>
        <w:tc>
          <w:tcPr>
            <w:tcW w:w="2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6E14DF">
            <w:pPr>
              <w:jc w:val="center"/>
              <w:rPr>
                <w:rFonts w:hint="eastAsia" w:ascii="宋体" w:hAnsi="宋体" w:cs="宋体"/>
                <w:sz w:val="20"/>
                <w:szCs w:val="20"/>
              </w:rPr>
            </w:pPr>
          </w:p>
        </w:tc>
        <w:tc>
          <w:tcPr>
            <w:tcW w:w="230" w:type="pct"/>
            <w:tcBorders>
              <w:top w:val="single" w:color="000000" w:sz="4" w:space="0"/>
              <w:left w:val="single" w:color="000000" w:sz="4" w:space="0"/>
              <w:bottom w:val="single" w:color="000000" w:sz="4" w:space="0"/>
              <w:right w:val="single" w:color="000000" w:sz="4" w:space="0"/>
            </w:tcBorders>
            <w:shd w:val="clear" w:color="auto" w:fill="FFFFFF"/>
          </w:tcPr>
          <w:p w14:paraId="67DEF5FE">
            <w:pPr>
              <w:jc w:val="center"/>
              <w:rPr>
                <w:rFonts w:hint="eastAsia" w:ascii="宋体" w:hAnsi="宋体" w:cs="宋体"/>
                <w:sz w:val="20"/>
                <w:szCs w:val="20"/>
              </w:rPr>
            </w:pPr>
            <w:r>
              <w:rPr>
                <w:rFonts w:hint="eastAsia" w:ascii="宋体" w:hAnsi="宋体" w:cs="宋体"/>
                <w:sz w:val="20"/>
                <w:szCs w:val="20"/>
              </w:rPr>
              <w:t>%</w:t>
            </w:r>
          </w:p>
        </w:tc>
      </w:tr>
    </w:tbl>
    <w:p w14:paraId="78F3098D">
      <w:pPr>
        <w:rPr>
          <w:rFonts w:hint="eastAsia" w:ascii="宋体" w:hAnsi="宋体"/>
          <w:kern w:val="0"/>
          <w:sz w:val="24"/>
          <w:szCs w:val="21"/>
          <w:lang w:bidi="en-US"/>
        </w:rPr>
      </w:pPr>
    </w:p>
    <w:p w14:paraId="142C803C">
      <w:pPr>
        <w:autoSpaceDE w:val="0"/>
        <w:autoSpaceDN w:val="0"/>
        <w:adjustRightInd w:val="0"/>
        <w:snapToGrid w:val="0"/>
        <w:spacing w:line="420" w:lineRule="exact"/>
        <w:jc w:val="left"/>
        <w:rPr>
          <w:rFonts w:ascii="宋体" w:cs="宋体"/>
          <w:b/>
          <w:bCs/>
          <w:sz w:val="24"/>
          <w:lang w:bidi="ar"/>
        </w:rPr>
      </w:pPr>
      <w:r>
        <w:rPr>
          <w:rFonts w:hint="eastAsia" w:ascii="宋体" w:cs="宋体"/>
          <w:b/>
          <w:bCs/>
          <w:sz w:val="24"/>
          <w:lang w:bidi="ar"/>
        </w:rPr>
        <w:t>注意：数据依据为报名单位提供的</w:t>
      </w:r>
      <w:r>
        <w:rPr>
          <w:rFonts w:hint="eastAsia" w:ascii="宋体" w:cs="宋体"/>
          <w:b/>
          <w:bCs/>
          <w:sz w:val="24"/>
          <w:em w:val="dot"/>
          <w:lang w:bidi="ar"/>
        </w:rPr>
        <w:t>近三年财务审计报告数据</w:t>
      </w:r>
      <w:r>
        <w:rPr>
          <w:rFonts w:hint="eastAsia" w:ascii="宋体" w:cs="宋体"/>
          <w:b/>
          <w:bCs/>
          <w:sz w:val="24"/>
          <w:lang w:bidi="ar"/>
        </w:rPr>
        <w:t>，各报名单位务必确保数据真实及填写格式准确，如有不实之处一经核实将取消报名资格，e采通注册时未填报财务数据的，将无法提交应标资料并无法参加投标，请及时补充资料，详见后附说明。</w:t>
      </w:r>
    </w:p>
    <w:p w14:paraId="11F29357">
      <w:pPr>
        <w:autoSpaceDE w:val="0"/>
        <w:autoSpaceDN w:val="0"/>
        <w:adjustRightInd w:val="0"/>
        <w:snapToGrid w:val="0"/>
        <w:spacing w:line="420" w:lineRule="exact"/>
        <w:jc w:val="left"/>
        <w:rPr>
          <w:rFonts w:ascii="宋体" w:cs="宋体"/>
          <w:b/>
          <w:bCs/>
          <w:sz w:val="24"/>
          <w:lang w:bidi="ar"/>
        </w:rPr>
      </w:pPr>
    </w:p>
    <w:p w14:paraId="58CA0F92">
      <w:pPr>
        <w:rPr>
          <w:rFonts w:ascii="宋体" w:hAnsi="宋体"/>
          <w:kern w:val="0"/>
          <w:sz w:val="24"/>
          <w:szCs w:val="21"/>
          <w:lang w:bidi="en-US"/>
        </w:rPr>
      </w:pPr>
    </w:p>
    <w:p w14:paraId="7F8C5842">
      <w:pPr>
        <w:rPr>
          <w:rFonts w:ascii="宋体" w:hAnsi="宋体"/>
          <w:kern w:val="0"/>
          <w:sz w:val="24"/>
          <w:szCs w:val="21"/>
          <w:lang w:bidi="en-US"/>
        </w:rPr>
      </w:pPr>
    </w:p>
    <w:p w14:paraId="3515C34F">
      <w:pPr>
        <w:rPr>
          <w:rFonts w:ascii="宋体" w:hAnsi="宋体"/>
          <w:kern w:val="0"/>
          <w:sz w:val="24"/>
          <w:szCs w:val="21"/>
          <w:lang w:bidi="en-US"/>
        </w:rPr>
      </w:pPr>
    </w:p>
    <w:p w14:paraId="6EEB5875">
      <w:pPr>
        <w:rPr>
          <w:rFonts w:ascii="宋体" w:hAnsi="宋体"/>
          <w:kern w:val="0"/>
          <w:sz w:val="24"/>
          <w:szCs w:val="21"/>
          <w:lang w:bidi="en-US"/>
        </w:rPr>
      </w:pPr>
    </w:p>
    <w:p w14:paraId="7CECD229">
      <w:pPr>
        <w:rPr>
          <w:rFonts w:ascii="宋体" w:hAnsi="宋体"/>
          <w:kern w:val="0"/>
          <w:sz w:val="24"/>
          <w:szCs w:val="21"/>
          <w:lang w:bidi="en-US"/>
        </w:rPr>
      </w:pPr>
    </w:p>
    <w:p w14:paraId="1A854011">
      <w:pPr>
        <w:rPr>
          <w:rFonts w:ascii="宋体" w:hAnsi="宋体"/>
          <w:kern w:val="0"/>
          <w:sz w:val="24"/>
          <w:szCs w:val="21"/>
          <w:lang w:bidi="en-US"/>
        </w:rPr>
      </w:pPr>
    </w:p>
    <w:p w14:paraId="388E2480">
      <w:pPr>
        <w:rPr>
          <w:rFonts w:ascii="宋体" w:hAnsi="宋体"/>
          <w:kern w:val="0"/>
          <w:sz w:val="24"/>
          <w:szCs w:val="21"/>
          <w:lang w:bidi="en-US"/>
        </w:rPr>
      </w:pPr>
    </w:p>
    <w:p w14:paraId="752DC966">
      <w:pPr>
        <w:pStyle w:val="13"/>
        <w:rPr>
          <w:rFonts w:ascii="宋体" w:hAnsi="宋体"/>
          <w:kern w:val="0"/>
          <w:sz w:val="24"/>
          <w:szCs w:val="21"/>
          <w:lang w:bidi="en-US"/>
        </w:rPr>
      </w:pPr>
    </w:p>
    <w:p w14:paraId="7B26FF60">
      <w:pPr>
        <w:rPr>
          <w:rFonts w:ascii="宋体" w:hAnsi="宋体"/>
          <w:kern w:val="0"/>
          <w:sz w:val="24"/>
          <w:szCs w:val="21"/>
          <w:lang w:bidi="en-US"/>
        </w:rPr>
      </w:pPr>
    </w:p>
    <w:p w14:paraId="27756B3D">
      <w:pPr>
        <w:pStyle w:val="13"/>
        <w:rPr>
          <w:rFonts w:ascii="宋体" w:hAnsi="宋体"/>
          <w:kern w:val="0"/>
          <w:sz w:val="24"/>
          <w:szCs w:val="21"/>
          <w:lang w:bidi="en-US"/>
        </w:rPr>
      </w:pPr>
    </w:p>
    <w:p w14:paraId="478AFAEC">
      <w:pPr>
        <w:rPr>
          <w:rFonts w:ascii="宋体" w:hAnsi="宋体"/>
          <w:kern w:val="0"/>
          <w:sz w:val="24"/>
          <w:szCs w:val="21"/>
          <w:lang w:bidi="en-US"/>
        </w:rPr>
      </w:pPr>
    </w:p>
    <w:p w14:paraId="616DF9AA">
      <w:pPr>
        <w:pStyle w:val="13"/>
        <w:rPr>
          <w:rFonts w:ascii="宋体" w:hAnsi="宋体"/>
          <w:kern w:val="0"/>
          <w:sz w:val="24"/>
          <w:szCs w:val="21"/>
          <w:lang w:bidi="en-US"/>
        </w:rPr>
      </w:pPr>
    </w:p>
    <w:p w14:paraId="5777E75C">
      <w:pPr>
        <w:widowControl/>
        <w:jc w:val="left"/>
        <w:rPr>
          <w:rFonts w:ascii="宋体" w:hAnsi="宋体"/>
          <w:kern w:val="0"/>
          <w:sz w:val="24"/>
          <w:szCs w:val="21"/>
          <w:lang w:bidi="en-US"/>
        </w:rPr>
      </w:pPr>
      <w:r>
        <w:rPr>
          <w:rFonts w:hint="eastAsia" w:ascii="宋体" w:hAnsi="宋体"/>
          <w:kern w:val="0"/>
          <w:sz w:val="24"/>
          <w:szCs w:val="21"/>
          <w:lang w:bidi="en-US"/>
        </w:rPr>
        <w:br w:type="page"/>
      </w:r>
    </w:p>
    <w:p w14:paraId="59C40015">
      <w:pPr>
        <w:rPr>
          <w:sz w:val="28"/>
          <w:szCs w:val="28"/>
        </w:rPr>
      </w:pPr>
      <w:bookmarkStart w:id="17" w:name="_Toc136871075"/>
      <w:r>
        <w:rPr>
          <w:sz w:val="30"/>
          <w:szCs w:val="30"/>
        </w:rPr>
        <w:t>附件</w:t>
      </w:r>
      <w:r>
        <w:rPr>
          <w:rFonts w:hint="eastAsia"/>
          <w:sz w:val="30"/>
          <w:szCs w:val="30"/>
          <w:lang w:val="en-US" w:eastAsia="zh-CN"/>
        </w:rPr>
        <w:t>2</w:t>
      </w:r>
      <w:r>
        <w:rPr>
          <w:sz w:val="30"/>
          <w:szCs w:val="30"/>
        </w:rPr>
        <w:t>：</w:t>
      </w:r>
    </w:p>
    <w:bookmarkEnd w:id="17"/>
    <w:p w14:paraId="4F440157">
      <w:pPr>
        <w:spacing w:line="360" w:lineRule="auto"/>
        <w:jc w:val="center"/>
        <w:rPr>
          <w:b/>
          <w:sz w:val="32"/>
          <w:szCs w:val="32"/>
        </w:rPr>
      </w:pPr>
      <w:r>
        <w:rPr>
          <w:b/>
          <w:sz w:val="32"/>
          <w:szCs w:val="32"/>
        </w:rPr>
        <w:t>法人授权委托书</w:t>
      </w:r>
    </w:p>
    <w:p w14:paraId="7EF44D07">
      <w:pPr>
        <w:snapToGrid w:val="0"/>
        <w:spacing w:line="360" w:lineRule="auto"/>
        <w:rPr>
          <w:sz w:val="24"/>
        </w:rPr>
      </w:pPr>
      <w:r>
        <w:rPr>
          <w:sz w:val="24"/>
        </w:rPr>
        <w:t>致:</w:t>
      </w:r>
      <w:r>
        <w:rPr>
          <w:sz w:val="24"/>
          <w:u w:val="single"/>
        </w:rPr>
        <w:t xml:space="preserve">                    </w:t>
      </w:r>
    </w:p>
    <w:p w14:paraId="7D3C115B">
      <w:pPr>
        <w:snapToGrid w:val="0"/>
        <w:spacing w:line="360" w:lineRule="auto"/>
        <w:ind w:firstLine="480" w:firstLineChars="200"/>
        <w:rPr>
          <w:sz w:val="24"/>
        </w:rPr>
      </w:pPr>
      <w:r>
        <w:rPr>
          <w:sz w:val="24"/>
        </w:rPr>
        <w:t>本授权书宣告，我单位</w:t>
      </w:r>
      <w:r>
        <w:rPr>
          <w:sz w:val="24"/>
          <w:u w:val="single"/>
        </w:rPr>
        <w:t xml:space="preserve">            </w:t>
      </w:r>
      <w:r>
        <w:rPr>
          <w:sz w:val="24"/>
        </w:rPr>
        <w:t>（以下简称“投标人”）授权</w:t>
      </w:r>
      <w:r>
        <w:rPr>
          <w:sz w:val="24"/>
          <w:u w:val="single"/>
        </w:rPr>
        <w:t xml:space="preserve">    （姓名）</w:t>
      </w:r>
      <w:r>
        <w:rPr>
          <w:sz w:val="24"/>
        </w:rPr>
        <w:t>为本单位的合法代理人，授权其在</w:t>
      </w:r>
      <w:r>
        <w:rPr>
          <w:sz w:val="24"/>
          <w:u w:val="single"/>
        </w:rPr>
        <w:t xml:space="preserve">                    项目</w:t>
      </w:r>
      <w:r>
        <w:rPr>
          <w:sz w:val="24"/>
        </w:rPr>
        <w:t>的投标活动中，以本单位的名义，并代表投标人签署、澄清、说明、补正、递交、撤回、修改文件和处理一切与本项目有关的事务，包括合同签订。代理人在本招标及合同签订活动中的一切行为，均代表本单位，与本人的行为具有同等法律效力。</w:t>
      </w:r>
    </w:p>
    <w:p w14:paraId="0472CE2B">
      <w:pPr>
        <w:snapToGrid w:val="0"/>
        <w:spacing w:line="360" w:lineRule="auto"/>
        <w:ind w:firstLine="480"/>
        <w:rPr>
          <w:sz w:val="24"/>
          <w:u w:val="single"/>
        </w:rPr>
      </w:pPr>
      <w:r>
        <w:rPr>
          <w:sz w:val="24"/>
        </w:rPr>
        <w:t>有效期：</w:t>
      </w:r>
      <w:r>
        <w:rPr>
          <w:sz w:val="24"/>
          <w:u w:val="single"/>
        </w:rPr>
        <w:t xml:space="preserve">           </w:t>
      </w:r>
    </w:p>
    <w:p w14:paraId="435BEFB5">
      <w:pPr>
        <w:snapToGrid w:val="0"/>
        <w:spacing w:line="360" w:lineRule="auto"/>
        <w:ind w:firstLine="480"/>
        <w:rPr>
          <w:sz w:val="24"/>
        </w:rPr>
      </w:pPr>
      <w:r>
        <w:rPr>
          <w:sz w:val="24"/>
        </w:rPr>
        <w:t xml:space="preserve">代理人无权转换委托权。特此委托。  </w:t>
      </w:r>
    </w:p>
    <w:tbl>
      <w:tblPr>
        <w:tblStyle w:val="25"/>
        <w:tblW w:w="5000" w:type="pct"/>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9288"/>
      </w:tblGrid>
      <w:tr w14:paraId="477DC65C">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4563" w:hRule="atLeast"/>
        </w:trPr>
        <w:tc>
          <w:tcPr>
            <w:tcW w:w="5000" w:type="pct"/>
          </w:tcPr>
          <w:p w14:paraId="3907D36A">
            <w:pPr>
              <w:snapToGrid w:val="0"/>
              <w:spacing w:line="360" w:lineRule="auto"/>
              <w:ind w:firstLine="480" w:firstLineChars="200"/>
              <w:jc w:val="left"/>
              <w:rPr>
                <w:sz w:val="24"/>
              </w:rPr>
            </w:pPr>
            <w:r>
              <w:rPr>
                <w:sz w:val="24"/>
              </w:rPr>
              <w:t>（</w:t>
            </w:r>
            <w:r>
              <w:rPr>
                <w:b/>
                <w:bCs/>
                <w:sz w:val="24"/>
              </w:rPr>
              <w:t>法定代表人</w:t>
            </w:r>
            <w:r>
              <w:rPr>
                <w:sz w:val="24"/>
              </w:rPr>
              <w:t>及</w:t>
            </w:r>
            <w:r>
              <w:rPr>
                <w:b/>
                <w:bCs/>
                <w:sz w:val="24"/>
              </w:rPr>
              <w:t>委托代理人</w:t>
            </w:r>
            <w:r>
              <w:rPr>
                <w:sz w:val="24"/>
              </w:rPr>
              <w:t>身份证正、反面复印件）</w:t>
            </w:r>
          </w:p>
          <w:p w14:paraId="7C46491E">
            <w:pPr>
              <w:snapToGrid w:val="0"/>
              <w:spacing w:line="360" w:lineRule="auto"/>
              <w:ind w:firstLine="480"/>
              <w:rPr>
                <w:sz w:val="24"/>
              </w:rPr>
            </w:pPr>
          </w:p>
          <w:p w14:paraId="2F700C45">
            <w:pPr>
              <w:pStyle w:val="11"/>
              <w:rPr>
                <w:rFonts w:ascii="Times New Roman"/>
              </w:rPr>
            </w:pPr>
          </w:p>
          <w:p w14:paraId="78937D04"/>
          <w:p w14:paraId="4D300D5F">
            <w:pPr>
              <w:pStyle w:val="11"/>
              <w:rPr>
                <w:rFonts w:ascii="Times New Roman"/>
              </w:rPr>
            </w:pPr>
          </w:p>
        </w:tc>
      </w:tr>
    </w:tbl>
    <w:p w14:paraId="3F2F90E3">
      <w:pPr>
        <w:snapToGrid w:val="0"/>
        <w:spacing w:line="360" w:lineRule="auto"/>
        <w:rPr>
          <w:sz w:val="24"/>
        </w:rPr>
      </w:pPr>
    </w:p>
    <w:p w14:paraId="1ED629A9">
      <w:pPr>
        <w:snapToGrid w:val="0"/>
        <w:spacing w:line="360" w:lineRule="auto"/>
        <w:rPr>
          <w:sz w:val="24"/>
        </w:rPr>
      </w:pPr>
      <w:r>
        <w:rPr>
          <w:sz w:val="24"/>
        </w:rPr>
        <w:t>代理人姓名：</w:t>
      </w:r>
      <w:r>
        <w:rPr>
          <w:sz w:val="24"/>
          <w:u w:val="single"/>
        </w:rPr>
        <w:t xml:space="preserve">          </w:t>
      </w:r>
      <w:r>
        <w:rPr>
          <w:sz w:val="24"/>
        </w:rPr>
        <w:t xml:space="preserve"> 性别：</w:t>
      </w:r>
      <w:r>
        <w:rPr>
          <w:sz w:val="24"/>
          <w:u w:val="single"/>
        </w:rPr>
        <w:t xml:space="preserve">           </w:t>
      </w:r>
    </w:p>
    <w:p w14:paraId="19090007">
      <w:pPr>
        <w:snapToGrid w:val="0"/>
        <w:spacing w:line="360" w:lineRule="auto"/>
        <w:rPr>
          <w:sz w:val="24"/>
        </w:rPr>
      </w:pPr>
      <w:r>
        <w:rPr>
          <w:sz w:val="24"/>
        </w:rPr>
        <w:t xml:space="preserve">年龄： </w:t>
      </w:r>
      <w:r>
        <w:rPr>
          <w:sz w:val="24"/>
          <w:u w:val="single"/>
        </w:rPr>
        <w:t xml:space="preserve">               </w:t>
      </w:r>
      <w:r>
        <w:rPr>
          <w:sz w:val="24"/>
        </w:rPr>
        <w:t xml:space="preserve"> 职务：</w:t>
      </w:r>
      <w:r>
        <w:rPr>
          <w:sz w:val="24"/>
          <w:u w:val="single"/>
        </w:rPr>
        <w:t xml:space="preserve">           </w:t>
      </w:r>
      <w:r>
        <w:rPr>
          <w:sz w:val="24"/>
        </w:rPr>
        <w:t xml:space="preserve">       </w:t>
      </w:r>
    </w:p>
    <w:p w14:paraId="0952D8E6">
      <w:pPr>
        <w:snapToGrid w:val="0"/>
        <w:spacing w:line="360" w:lineRule="auto"/>
        <w:rPr>
          <w:sz w:val="24"/>
        </w:rPr>
      </w:pPr>
      <w:r>
        <w:rPr>
          <w:sz w:val="24"/>
        </w:rPr>
        <w:t>身份证号：</w:t>
      </w:r>
      <w:r>
        <w:rPr>
          <w:sz w:val="24"/>
          <w:u w:val="single"/>
        </w:rPr>
        <w:t xml:space="preserve">                              </w:t>
      </w:r>
    </w:p>
    <w:p w14:paraId="4A57A68D">
      <w:pPr>
        <w:snapToGrid w:val="0"/>
        <w:spacing w:line="360" w:lineRule="auto"/>
        <w:ind w:firstLine="4920" w:firstLineChars="2050"/>
        <w:rPr>
          <w:sz w:val="24"/>
        </w:rPr>
      </w:pPr>
    </w:p>
    <w:p w14:paraId="1F9D5581">
      <w:pPr>
        <w:tabs>
          <w:tab w:val="left" w:pos="4395"/>
        </w:tabs>
        <w:snapToGrid w:val="0"/>
        <w:spacing w:line="360" w:lineRule="auto"/>
        <w:ind w:right="240"/>
        <w:jc w:val="left"/>
        <w:rPr>
          <w:sz w:val="24"/>
        </w:rPr>
      </w:pPr>
      <w:r>
        <w:rPr>
          <w:sz w:val="24"/>
        </w:rPr>
        <w:tab/>
      </w:r>
      <w:r>
        <w:rPr>
          <w:sz w:val="24"/>
        </w:rPr>
        <w:t xml:space="preserve">投标人（盖章）：       </w:t>
      </w:r>
    </w:p>
    <w:p w14:paraId="71E5E703">
      <w:pPr>
        <w:tabs>
          <w:tab w:val="left" w:pos="4395"/>
        </w:tabs>
        <w:snapToGrid w:val="0"/>
        <w:spacing w:line="360" w:lineRule="auto"/>
        <w:ind w:right="240"/>
        <w:jc w:val="left"/>
        <w:rPr>
          <w:sz w:val="24"/>
        </w:rPr>
      </w:pPr>
      <w:r>
        <w:rPr>
          <w:sz w:val="24"/>
        </w:rPr>
        <w:tab/>
      </w:r>
      <w:r>
        <w:rPr>
          <w:sz w:val="24"/>
        </w:rPr>
        <w:t>法定代表人（签字或盖章）：</w:t>
      </w:r>
    </w:p>
    <w:p w14:paraId="1BDC644A">
      <w:pPr>
        <w:tabs>
          <w:tab w:val="left" w:pos="4395"/>
        </w:tabs>
        <w:snapToGrid w:val="0"/>
        <w:spacing w:line="360" w:lineRule="auto"/>
        <w:ind w:right="240" w:firstLine="4320" w:firstLineChars="1800"/>
        <w:jc w:val="left"/>
        <w:rPr>
          <w:sz w:val="24"/>
        </w:rPr>
      </w:pPr>
      <w:r>
        <w:rPr>
          <w:sz w:val="24"/>
        </w:rPr>
        <w:t>日期：    年   月   日</w:t>
      </w:r>
    </w:p>
    <w:p w14:paraId="71002AA5">
      <w:pPr>
        <w:pStyle w:val="2"/>
        <w:ind w:left="420" w:firstLine="420"/>
      </w:pPr>
    </w:p>
    <w:p w14:paraId="174878A4">
      <w:pPr>
        <w:jc w:val="left"/>
        <w:rPr>
          <w:rFonts w:hint="eastAsia" w:ascii="宋体" w:hAnsi="宋体"/>
          <w:kern w:val="0"/>
          <w:sz w:val="24"/>
          <w:szCs w:val="21"/>
          <w:lang w:bidi="en-US"/>
        </w:rPr>
      </w:pPr>
    </w:p>
    <w:p w14:paraId="13BFAF97">
      <w:pPr>
        <w:jc w:val="left"/>
        <w:rPr>
          <w:rFonts w:hint="eastAsia" w:ascii="宋体" w:hAnsi="宋体"/>
          <w:kern w:val="0"/>
          <w:sz w:val="24"/>
          <w:szCs w:val="21"/>
          <w:lang w:bidi="en-US"/>
        </w:rPr>
      </w:pPr>
      <w:r>
        <w:rPr>
          <w:rFonts w:hint="eastAsia" w:ascii="宋体" w:hAnsi="宋体"/>
          <w:kern w:val="0"/>
          <w:sz w:val="24"/>
          <w:szCs w:val="21"/>
          <w:lang w:bidi="en-US"/>
        </w:rPr>
        <w:t>附件</w:t>
      </w:r>
      <w:r>
        <w:rPr>
          <w:rFonts w:hint="eastAsia" w:ascii="宋体" w:hAnsi="宋体"/>
          <w:kern w:val="0"/>
          <w:sz w:val="24"/>
          <w:szCs w:val="21"/>
          <w:lang w:val="en-US" w:eastAsia="zh-CN" w:bidi="en-US"/>
        </w:rPr>
        <w:t>3</w:t>
      </w:r>
      <w:r>
        <w:rPr>
          <w:rFonts w:hint="eastAsia" w:ascii="宋体" w:hAnsi="宋体"/>
          <w:kern w:val="0"/>
          <w:sz w:val="24"/>
          <w:szCs w:val="21"/>
          <w:lang w:bidi="en-US"/>
        </w:rPr>
        <w:t>:</w:t>
      </w:r>
      <w:bookmarkStart w:id="18" w:name="_Toc3889"/>
      <w:bookmarkStart w:id="19" w:name="_Toc9534"/>
      <w:bookmarkStart w:id="20" w:name="_Toc20729"/>
      <w:bookmarkStart w:id="21" w:name="_Toc6557"/>
      <w:bookmarkStart w:id="22" w:name="_Toc25980"/>
    </w:p>
    <w:p w14:paraId="1C2F35D1">
      <w:pPr>
        <w:jc w:val="center"/>
        <w:rPr>
          <w:b/>
          <w:bCs/>
          <w:sz w:val="30"/>
          <w:szCs w:val="30"/>
        </w:rPr>
      </w:pPr>
      <w:r>
        <w:rPr>
          <w:rFonts w:hint="eastAsia"/>
          <w:b/>
          <w:bCs/>
          <w:sz w:val="30"/>
          <w:szCs w:val="30"/>
        </w:rPr>
        <w:t>非生产供应商注册操作手册</w:t>
      </w:r>
      <w:bookmarkEnd w:id="18"/>
      <w:bookmarkEnd w:id="19"/>
      <w:bookmarkEnd w:id="20"/>
      <w:bookmarkEnd w:id="21"/>
      <w:bookmarkEnd w:id="22"/>
    </w:p>
    <w:p w14:paraId="6B80311F">
      <w:pPr>
        <w:snapToGrid w:val="0"/>
        <w:spacing w:line="288" w:lineRule="auto"/>
        <w:rPr>
          <w:rFonts w:hint="eastAsia" w:ascii="宋体" w:hAnsi="宋体" w:cs="宋体"/>
          <w:b/>
          <w:bCs/>
          <w:color w:val="FF0000"/>
          <w:szCs w:val="21"/>
        </w:rPr>
      </w:pPr>
      <w:r>
        <w:rPr>
          <w:rFonts w:hint="eastAsia" w:ascii="宋体" w:hAnsi="宋体" w:cs="宋体"/>
          <w:b/>
          <w:bCs/>
          <w:szCs w:val="21"/>
        </w:rPr>
        <w:t>e采通账号注册</w:t>
      </w:r>
    </w:p>
    <w:p w14:paraId="0F20C10F">
      <w:pPr>
        <w:snapToGrid w:val="0"/>
        <w:spacing w:line="288" w:lineRule="auto"/>
        <w:rPr>
          <w:rFonts w:hint="eastAsia" w:ascii="宋体" w:hAnsi="宋体" w:cs="宋体"/>
          <w:b/>
          <w:bCs/>
          <w:color w:val="FF0000"/>
          <w:szCs w:val="21"/>
        </w:rPr>
      </w:pPr>
      <w:r>
        <w:rPr>
          <w:rFonts w:hint="eastAsia" w:ascii="宋体" w:hAnsi="宋体" w:cs="宋体"/>
          <w:szCs w:val="21"/>
        </w:rPr>
        <w:t>投标人必须在报名时完成账号注册，</w:t>
      </w:r>
      <w:r>
        <w:rPr>
          <w:rFonts w:hint="eastAsia" w:ascii="宋体" w:hAnsi="宋体" w:cs="宋体"/>
          <w:b/>
          <w:bCs/>
          <w:color w:val="FF0000"/>
          <w:szCs w:val="21"/>
        </w:rPr>
        <w:t>注册成功后会收到短信通知，用收到的供应商账号和密码登录，请牢记。已注册过账号密码丢失的，用注册时的手机号登录，点击忘记密码，自行重新设置。已注册过账号登录时提示账号已注销的请联系招标人协调解决。</w:t>
      </w:r>
    </w:p>
    <w:p w14:paraId="60C6921C">
      <w:pPr>
        <w:snapToGrid w:val="0"/>
        <w:spacing w:line="288" w:lineRule="auto"/>
        <w:rPr>
          <w:rFonts w:hint="eastAsia" w:ascii="宋体" w:hAnsi="宋体" w:cs="宋体"/>
          <w:b/>
          <w:bCs/>
          <w:szCs w:val="21"/>
        </w:rPr>
      </w:pPr>
      <w:r>
        <w:rPr>
          <w:rFonts w:hint="eastAsia" w:ascii="宋体" w:hAnsi="宋体" w:cs="宋体"/>
          <w:b/>
          <w:bCs/>
          <w:szCs w:val="21"/>
        </w:rPr>
        <w:t>投标单位名称带有括号的，应确保括号的样式（区分英文或汉字输入法）与银行预留的、e采通注册的完全一致，不一致的请自行在e采通中修改，否则影响后续退保证金及付款。</w:t>
      </w:r>
    </w:p>
    <w:p w14:paraId="035A66D1">
      <w:pPr>
        <w:snapToGrid w:val="0"/>
        <w:spacing w:line="288" w:lineRule="auto"/>
        <w:rPr>
          <w:b/>
          <w:bCs/>
        </w:rPr>
      </w:pPr>
      <w:r>
        <w:rPr>
          <w:rFonts w:hint="eastAsia" w:ascii="宋体" w:hAnsi="宋体" w:cs="宋体"/>
          <w:b/>
          <w:bCs/>
          <w:color w:val="0000FF"/>
          <w:szCs w:val="21"/>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3979740F">
      <w:pPr>
        <w:rPr>
          <w:rFonts w:ascii="宋体" w:cs="宋体"/>
          <w:b/>
          <w:bCs/>
          <w:color w:val="C00000"/>
          <w:lang w:bidi="ar"/>
        </w:rPr>
      </w:pPr>
    </w:p>
    <w:p w14:paraId="2E24F70E">
      <w:pPr>
        <w:rPr>
          <w:rFonts w:ascii="宋体" w:cs="宋体"/>
          <w:b/>
          <w:bCs/>
          <w:color w:val="C00000"/>
          <w:lang w:bidi="ar"/>
        </w:rPr>
      </w:pPr>
    </w:p>
    <w:p w14:paraId="4AF2215E">
      <w:pPr>
        <w:rPr>
          <w:rFonts w:ascii="宋体" w:cs="宋体"/>
          <w:b/>
          <w:bCs/>
          <w:sz w:val="32"/>
          <w:szCs w:val="40"/>
          <w:highlight w:val="yellow"/>
        </w:rPr>
      </w:pPr>
      <w:r>
        <w:rPr>
          <w:rFonts w:hint="eastAsia" w:ascii="宋体" w:cs="宋体"/>
          <w:b/>
          <w:bCs/>
          <w:sz w:val="32"/>
          <w:szCs w:val="40"/>
          <w:highlight w:val="yellow"/>
          <w:lang w:bidi="ar"/>
        </w:rPr>
        <w:t>供应商注册</w:t>
      </w:r>
    </w:p>
    <w:p w14:paraId="5D67F6EE">
      <w:pPr>
        <w:rPr>
          <w:rFonts w:ascii="宋体" w:cs="宋体"/>
          <w:b/>
          <w:bCs/>
          <w:color w:val="C00000"/>
        </w:rPr>
      </w:pPr>
      <w:r>
        <w:rPr>
          <w:rFonts w:hint="eastAsia" w:ascii="宋体" w:cs="宋体"/>
          <w:b/>
          <w:bCs/>
          <w:color w:val="C00000"/>
          <w:lang w:bidi="ar"/>
        </w:rPr>
        <w:t>归口部门选“技术改造部”</w:t>
      </w:r>
    </w:p>
    <w:p w14:paraId="7F72C288">
      <w:r>
        <w:rPr>
          <w:rFonts w:hint="eastAsia" w:ascii="宋体" w:cs="宋体"/>
          <w:color w:val="000000"/>
          <w:lang w:bidi="ar"/>
        </w:rPr>
        <w:t>浏览器中输入地址</w:t>
      </w:r>
      <w:r>
        <w:rPr>
          <w:rFonts w:ascii="Calibri" w:hAnsi="Calibri" w:eastAsia="Calibri" w:cs="Calibri"/>
          <w:color w:val="000000"/>
          <w:lang w:bidi="ar"/>
        </w:rPr>
        <w:t>;</w:t>
      </w:r>
    </w:p>
    <w:p w14:paraId="04A92EBB">
      <w:r>
        <w:fldChar w:fldCharType="begin"/>
      </w:r>
      <w:r>
        <w:instrText xml:space="preserve"> HYPERLINK "http://ecaitong.sinotruk.com:8012/" \l "/login normalLink /tdkey d38o9f /tdfe -10 /tdfu http:/ecaitong.sinotruk.com:8012/#/login /tdlt inline" </w:instrText>
      </w:r>
      <w:r>
        <w:fldChar w:fldCharType="separate"/>
      </w:r>
      <w:r>
        <w:rPr>
          <w:rStyle w:val="29"/>
        </w:rPr>
        <w:t>http</w:t>
      </w:r>
      <w:r>
        <w:rPr>
          <w:rStyle w:val="29"/>
          <w:rFonts w:hint="eastAsia"/>
        </w:rPr>
        <w:t>s</w:t>
      </w:r>
      <w:r>
        <w:rPr>
          <w:rStyle w:val="29"/>
        </w:rPr>
        <w:t>://ecaitong.sinotruk.com:8012/#/login</w:t>
      </w:r>
      <w:r>
        <w:rPr>
          <w:rStyle w:val="29"/>
        </w:rPr>
        <w:fldChar w:fldCharType="end"/>
      </w:r>
    </w:p>
    <w:p w14:paraId="59D01CF9">
      <w:pPr>
        <w:numPr>
          <w:ilvl w:val="0"/>
          <w:numId w:val="2"/>
        </w:numPr>
        <w:rPr>
          <w:rFonts w:ascii="宋体" w:cs="宋体"/>
          <w:color w:val="000000"/>
          <w:lang w:bidi="ar"/>
        </w:rPr>
      </w:pPr>
      <w:r>
        <w:rPr>
          <w:rFonts w:hint="eastAsia" w:ascii="宋体" w:cs="宋体"/>
          <w:color w:val="000000"/>
          <w:lang w:bidi="ar"/>
        </w:rPr>
        <w:t>点击立即注册</w:t>
      </w:r>
    </w:p>
    <w:p w14:paraId="7AF86BB9">
      <w:pPr>
        <w:rPr>
          <w:sz w:val="13"/>
          <w:szCs w:val="16"/>
          <w:highlight w:val="red"/>
        </w:rPr>
      </w:pPr>
      <w:r>
        <w:rPr>
          <w:rFonts w:hint="eastAsia" w:ascii="宋体" w:cs="宋体"/>
          <w:b/>
          <w:bCs/>
          <w:color w:val="C00000"/>
          <w:sz w:val="28"/>
          <w:szCs w:val="36"/>
          <w:highlight w:val="yellow"/>
          <w:lang w:bidi="ar"/>
        </w:rPr>
        <w:t>新用户注册前请务必仔细阅读系统中的供应商用户手册，根据手册提示进行操作，见下图所示</w:t>
      </w:r>
    </w:p>
    <w:p w14:paraId="7556CA39">
      <w:pPr>
        <w:snapToGrid w:val="0"/>
        <w:spacing w:line="312" w:lineRule="auto"/>
      </w:pPr>
      <w:r>
        <w:rPr>
          <w:rFonts w:ascii="宋体" w:hAnsi="宋体" w:cs="宋体"/>
          <w:sz w:val="24"/>
        </w:rPr>
        <w:drawing>
          <wp:inline distT="0" distB="0" distL="114300" distR="114300">
            <wp:extent cx="5605145" cy="2578735"/>
            <wp:effectExtent l="0" t="0" r="5080" b="2540"/>
            <wp:docPr id="196354397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43973" name="图片 1" descr="IMG_256"/>
                    <pic:cNvPicPr>
                      <a:picLocks noChangeAspect="1"/>
                    </pic:cNvPicPr>
                  </pic:nvPicPr>
                  <pic:blipFill>
                    <a:blip r:embed="rId10"/>
                    <a:stretch>
                      <a:fillRect/>
                    </a:stretch>
                  </pic:blipFill>
                  <pic:spPr>
                    <a:xfrm>
                      <a:off x="0" y="0"/>
                      <a:ext cx="5605145" cy="2578735"/>
                    </a:xfrm>
                    <a:prstGeom prst="rect">
                      <a:avLst/>
                    </a:prstGeom>
                    <a:noFill/>
                    <a:ln w="9525">
                      <a:noFill/>
                    </a:ln>
                  </pic:spPr>
                </pic:pic>
              </a:graphicData>
            </a:graphic>
          </wp:inline>
        </w:drawing>
      </w:r>
    </w:p>
    <w:p w14:paraId="5A0A8EB6">
      <w:r>
        <w:rPr>
          <w:rFonts w:ascii="Calibri" w:hAnsi="Calibri" w:eastAsia="Calibri" w:cs="Calibri"/>
          <w:color w:val="000000"/>
          <w:lang w:bidi="ar"/>
        </w:rPr>
        <w:t xml:space="preserve">2.     </w:t>
      </w:r>
      <w:r>
        <w:rPr>
          <w:rFonts w:hint="eastAsia" w:ascii="宋体" w:cs="宋体"/>
          <w:color w:val="000000"/>
          <w:lang w:bidi="ar"/>
        </w:rPr>
        <w:t>填写手机号码（没有注册过的）</w:t>
      </w:r>
    </w:p>
    <w:p w14:paraId="5ECC8143">
      <w:pPr>
        <w:snapToGrid w:val="0"/>
        <w:spacing w:line="312" w:lineRule="auto"/>
      </w:pPr>
      <w:r>
        <w:drawing>
          <wp:inline distT="0" distB="0" distL="114300" distR="114300">
            <wp:extent cx="5758180" cy="2765425"/>
            <wp:effectExtent l="0" t="0" r="4445" b="6350"/>
            <wp:docPr id="17" name="图片 17" descr="descript"/>
            <wp:cNvGraphicFramePr/>
            <a:graphic xmlns:a="http://schemas.openxmlformats.org/drawingml/2006/main">
              <a:graphicData uri="http://schemas.openxmlformats.org/drawingml/2006/picture">
                <pic:pic xmlns:pic="http://schemas.openxmlformats.org/drawingml/2006/picture">
                  <pic:nvPicPr>
                    <pic:cNvPr id="17" name="图片 17" descr="descript"/>
                    <pic:cNvPicPr/>
                  </pic:nvPicPr>
                  <pic:blipFill>
                    <a:blip r:embed="rId11"/>
                    <a:stretch>
                      <a:fillRect/>
                    </a:stretch>
                  </pic:blipFill>
                  <pic:spPr>
                    <a:xfrm>
                      <a:off x="0" y="0"/>
                      <a:ext cx="5758180" cy="2765425"/>
                    </a:xfrm>
                    <a:prstGeom prst="rect">
                      <a:avLst/>
                    </a:prstGeom>
                    <a:noFill/>
                    <a:ln>
                      <a:noFill/>
                    </a:ln>
                  </pic:spPr>
                </pic:pic>
              </a:graphicData>
            </a:graphic>
          </wp:inline>
        </w:drawing>
      </w:r>
    </w:p>
    <w:p w14:paraId="5F211881">
      <w:pPr>
        <w:rPr>
          <w:b/>
          <w:bCs/>
        </w:rPr>
      </w:pPr>
      <w:r>
        <w:rPr>
          <w:rFonts w:ascii="Calibri" w:hAnsi="Calibri" w:eastAsia="Calibri" w:cs="Calibri"/>
          <w:b/>
          <w:bCs/>
          <w:color w:val="000000"/>
          <w:lang w:bidi="ar"/>
        </w:rPr>
        <w:t xml:space="preserve">3.     </w:t>
      </w:r>
      <w:r>
        <w:rPr>
          <w:rFonts w:hint="eastAsia" w:ascii="宋体" w:cs="宋体"/>
          <w:b/>
          <w:bCs/>
          <w:color w:val="000000"/>
          <w:lang w:bidi="ar"/>
        </w:rPr>
        <w:t>注册成功登录这个手机号码的账号进入系统，点击供应商注册</w:t>
      </w:r>
    </w:p>
    <w:p w14:paraId="43AE76E1">
      <w:pPr>
        <w:snapToGrid w:val="0"/>
        <w:spacing w:line="312" w:lineRule="auto"/>
      </w:pPr>
      <w:r>
        <w:drawing>
          <wp:inline distT="0" distB="0" distL="114300" distR="114300">
            <wp:extent cx="5760085" cy="2867025"/>
            <wp:effectExtent l="0" t="0" r="2540" b="0"/>
            <wp:docPr id="8" name="图片 8" descr="descript"/>
            <wp:cNvGraphicFramePr/>
            <a:graphic xmlns:a="http://schemas.openxmlformats.org/drawingml/2006/main">
              <a:graphicData uri="http://schemas.openxmlformats.org/drawingml/2006/picture">
                <pic:pic xmlns:pic="http://schemas.openxmlformats.org/drawingml/2006/picture">
                  <pic:nvPicPr>
                    <pic:cNvPr id="8" name="图片 8" descr="descript"/>
                    <pic:cNvPicPr/>
                  </pic:nvPicPr>
                  <pic:blipFill>
                    <a:blip r:embed="rId12"/>
                    <a:stretch>
                      <a:fillRect/>
                    </a:stretch>
                  </pic:blipFill>
                  <pic:spPr>
                    <a:xfrm>
                      <a:off x="0" y="0"/>
                      <a:ext cx="5760085" cy="2867025"/>
                    </a:xfrm>
                    <a:prstGeom prst="rect">
                      <a:avLst/>
                    </a:prstGeom>
                    <a:noFill/>
                    <a:ln>
                      <a:noFill/>
                    </a:ln>
                  </pic:spPr>
                </pic:pic>
              </a:graphicData>
            </a:graphic>
          </wp:inline>
        </w:drawing>
      </w:r>
    </w:p>
    <w:p w14:paraId="014BE73E">
      <w:r>
        <w:rPr>
          <w:rFonts w:ascii="Calibri" w:hAnsi="Calibri" w:eastAsia="Calibri" w:cs="Calibri"/>
          <w:color w:val="000000"/>
          <w:lang w:bidi="ar"/>
        </w:rPr>
        <w:t xml:space="preserve">4.     </w:t>
      </w:r>
      <w:r>
        <w:rPr>
          <w:rFonts w:hint="eastAsia" w:ascii="宋体" w:cs="宋体"/>
          <w:color w:val="000000"/>
          <w:lang w:bidi="ar"/>
        </w:rPr>
        <w:t>点击新增</w:t>
      </w:r>
    </w:p>
    <w:p w14:paraId="36EC96A3">
      <w:pPr>
        <w:snapToGrid w:val="0"/>
        <w:spacing w:line="312" w:lineRule="auto"/>
      </w:pPr>
      <w:r>
        <w:drawing>
          <wp:inline distT="0" distB="0" distL="114300" distR="114300">
            <wp:extent cx="5758180" cy="2852420"/>
            <wp:effectExtent l="0" t="0" r="4445" b="5080"/>
            <wp:docPr id="4" name="图片 4" descr="descript"/>
            <wp:cNvGraphicFramePr/>
            <a:graphic xmlns:a="http://schemas.openxmlformats.org/drawingml/2006/main">
              <a:graphicData uri="http://schemas.openxmlformats.org/drawingml/2006/picture">
                <pic:pic xmlns:pic="http://schemas.openxmlformats.org/drawingml/2006/picture">
                  <pic:nvPicPr>
                    <pic:cNvPr id="4" name="图片 4" descr="descript"/>
                    <pic:cNvPicPr/>
                  </pic:nvPicPr>
                  <pic:blipFill>
                    <a:blip r:embed="rId13"/>
                    <a:stretch>
                      <a:fillRect/>
                    </a:stretch>
                  </pic:blipFill>
                  <pic:spPr>
                    <a:xfrm>
                      <a:off x="0" y="0"/>
                      <a:ext cx="5758180" cy="2852420"/>
                    </a:xfrm>
                    <a:prstGeom prst="rect">
                      <a:avLst/>
                    </a:prstGeom>
                    <a:noFill/>
                    <a:ln>
                      <a:noFill/>
                    </a:ln>
                  </pic:spPr>
                </pic:pic>
              </a:graphicData>
            </a:graphic>
          </wp:inline>
        </w:drawing>
      </w:r>
    </w:p>
    <w:p w14:paraId="68F571D8">
      <w:r>
        <w:rPr>
          <w:lang w:bidi="ar"/>
        </w:rPr>
        <w:t>5</w:t>
      </w:r>
      <w:r>
        <w:rPr>
          <w:rFonts w:ascii="Calibri" w:hAnsi="Calibri" w:eastAsia="Calibri" w:cs="Calibri"/>
          <w:color w:val="000000"/>
          <w:lang w:bidi="ar"/>
        </w:rPr>
        <w:t xml:space="preserve"> </w:t>
      </w:r>
      <w:r>
        <w:rPr>
          <w:rFonts w:hint="eastAsia" w:ascii="宋体" w:cs="宋体"/>
          <w:color w:val="000000"/>
          <w:lang w:bidi="ar"/>
        </w:rPr>
        <w:t>按要求填写所有信息，注意非生产类要填写合作单位，最后提交审批</w:t>
      </w:r>
    </w:p>
    <w:p w14:paraId="44FCFB29">
      <w:pPr>
        <w:rPr>
          <w:rFonts w:ascii="宋体" w:cs="宋体"/>
          <w:color w:val="000000"/>
        </w:rPr>
      </w:pPr>
      <w:r>
        <w:drawing>
          <wp:inline distT="0" distB="0" distL="114300" distR="114300">
            <wp:extent cx="5760085" cy="2807335"/>
            <wp:effectExtent l="0" t="0" r="2540" b="2540"/>
            <wp:docPr id="18" name="图片 18" descr="descript"/>
            <wp:cNvGraphicFramePr/>
            <a:graphic xmlns:a="http://schemas.openxmlformats.org/drawingml/2006/main">
              <a:graphicData uri="http://schemas.openxmlformats.org/drawingml/2006/picture">
                <pic:pic xmlns:pic="http://schemas.openxmlformats.org/drawingml/2006/picture">
                  <pic:nvPicPr>
                    <pic:cNvPr id="18" name="图片 18" descr="descript"/>
                    <pic:cNvPicPr/>
                  </pic:nvPicPr>
                  <pic:blipFill>
                    <a:blip r:embed="rId14"/>
                    <a:stretch>
                      <a:fillRect/>
                    </a:stretch>
                  </pic:blipFill>
                  <pic:spPr>
                    <a:xfrm>
                      <a:off x="0" y="0"/>
                      <a:ext cx="5760085" cy="2807335"/>
                    </a:xfrm>
                    <a:prstGeom prst="rect">
                      <a:avLst/>
                    </a:prstGeom>
                    <a:noFill/>
                    <a:ln>
                      <a:noFill/>
                    </a:ln>
                  </pic:spPr>
                </pic:pic>
              </a:graphicData>
            </a:graphic>
          </wp:inline>
        </w:drawing>
      </w:r>
      <w:r>
        <w:drawing>
          <wp:inline distT="0" distB="0" distL="114300" distR="114300">
            <wp:extent cx="5758180" cy="2817495"/>
            <wp:effectExtent l="0" t="0" r="4445" b="1905"/>
            <wp:docPr id="6" name="图片 6" descr="descript"/>
            <wp:cNvGraphicFramePr/>
            <a:graphic xmlns:a="http://schemas.openxmlformats.org/drawingml/2006/main">
              <a:graphicData uri="http://schemas.openxmlformats.org/drawingml/2006/picture">
                <pic:pic xmlns:pic="http://schemas.openxmlformats.org/drawingml/2006/picture">
                  <pic:nvPicPr>
                    <pic:cNvPr id="6" name="图片 6" descr="descript"/>
                    <pic:cNvPicPr/>
                  </pic:nvPicPr>
                  <pic:blipFill>
                    <a:blip r:embed="rId15"/>
                    <a:stretch>
                      <a:fillRect/>
                    </a:stretch>
                  </pic:blipFill>
                  <pic:spPr>
                    <a:xfrm>
                      <a:off x="0" y="0"/>
                      <a:ext cx="5758180" cy="2817495"/>
                    </a:xfrm>
                    <a:prstGeom prst="rect">
                      <a:avLst/>
                    </a:prstGeom>
                    <a:noFill/>
                    <a:ln>
                      <a:noFill/>
                    </a:ln>
                  </pic:spPr>
                </pic:pic>
              </a:graphicData>
            </a:graphic>
          </wp:inline>
        </w:drawing>
      </w:r>
      <w:r>
        <w:drawing>
          <wp:inline distT="0" distB="0" distL="114300" distR="114300">
            <wp:extent cx="5758180" cy="2817495"/>
            <wp:effectExtent l="0" t="0" r="4445" b="1905"/>
            <wp:docPr id="7" name="图片 7" descr="descript"/>
            <wp:cNvGraphicFramePr/>
            <a:graphic xmlns:a="http://schemas.openxmlformats.org/drawingml/2006/main">
              <a:graphicData uri="http://schemas.openxmlformats.org/drawingml/2006/picture">
                <pic:pic xmlns:pic="http://schemas.openxmlformats.org/drawingml/2006/picture">
                  <pic:nvPicPr>
                    <pic:cNvPr id="7" name="图片 7" descr="descript"/>
                    <pic:cNvPicPr/>
                  </pic:nvPicPr>
                  <pic:blipFill>
                    <a:blip r:embed="rId15"/>
                    <a:stretch>
                      <a:fillRect/>
                    </a:stretch>
                  </pic:blipFill>
                  <pic:spPr>
                    <a:xfrm>
                      <a:off x="0" y="0"/>
                      <a:ext cx="5758180" cy="2817495"/>
                    </a:xfrm>
                    <a:prstGeom prst="rect">
                      <a:avLst/>
                    </a:prstGeom>
                    <a:noFill/>
                    <a:ln>
                      <a:noFill/>
                    </a:ln>
                  </pic:spPr>
                </pic:pic>
              </a:graphicData>
            </a:graphic>
          </wp:inline>
        </w:drawing>
      </w:r>
    </w:p>
    <w:p w14:paraId="28F9393F"/>
    <w:p w14:paraId="22635A8E">
      <w:pPr>
        <w:snapToGrid w:val="0"/>
        <w:spacing w:line="312" w:lineRule="auto"/>
      </w:pPr>
    </w:p>
    <w:p w14:paraId="0EC25764"/>
    <w:p w14:paraId="6BFE0FC9">
      <w:pPr>
        <w:pStyle w:val="8"/>
        <w:widowControl/>
        <w:rPr>
          <w:rFonts w:ascii="Cambria" w:hAnsi="Cambria" w:cs="Cambria"/>
          <w:highlight w:val="yellow"/>
        </w:rPr>
      </w:pPr>
      <w:r>
        <w:rPr>
          <w:rFonts w:hint="eastAsia" w:ascii="宋体" w:cs="宋体"/>
          <w:highlight w:val="yellow"/>
        </w:rPr>
        <w:t>附件-e采通登录界面</w:t>
      </w:r>
    </w:p>
    <w:p w14:paraId="76723C9C">
      <w:pPr>
        <w:spacing w:line="360" w:lineRule="auto"/>
      </w:pPr>
      <w:r>
        <w:rPr>
          <w:lang w:bidi="ar"/>
        </w:rPr>
        <w:t>1</w:t>
      </w:r>
      <w:r>
        <w:rPr>
          <w:rFonts w:hint="eastAsia" w:ascii="宋体" w:cs="宋体"/>
          <w:lang w:bidi="ar"/>
        </w:rPr>
        <w:t>）功能简介</w:t>
      </w:r>
    </w:p>
    <w:p w14:paraId="23713CE5">
      <w:pPr>
        <w:spacing w:line="360" w:lineRule="auto"/>
      </w:pPr>
      <w:r>
        <w:rPr>
          <w:rFonts w:hint="eastAsia" w:ascii="宋体" w:cs="宋体"/>
          <w:lang w:bidi="ar"/>
        </w:rPr>
        <w:t>此页面用于进行账号登录，找回密码。</w:t>
      </w:r>
    </w:p>
    <w:p w14:paraId="57251529">
      <w:pPr>
        <w:numPr>
          <w:ilvl w:val="0"/>
          <w:numId w:val="3"/>
        </w:numPr>
        <w:spacing w:line="360" w:lineRule="auto"/>
      </w:pPr>
      <w:r>
        <w:rPr>
          <w:rFonts w:hint="eastAsia" w:ascii="宋体" w:cs="宋体"/>
          <w:lang w:bidi="ar"/>
        </w:rPr>
        <w:t>界面如下</w:t>
      </w:r>
    </w:p>
    <w:p w14:paraId="22711B1B">
      <w:r>
        <w:drawing>
          <wp:inline distT="0" distB="0" distL="114300" distR="114300">
            <wp:extent cx="5278120" cy="2660650"/>
            <wp:effectExtent l="0" t="0" r="8255" b="6350"/>
            <wp:docPr id="9" name="图片 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
                    <pic:cNvPicPr>
                      <a:picLocks noChangeAspect="1"/>
                    </pic:cNvPicPr>
                  </pic:nvPicPr>
                  <pic:blipFill>
                    <a:blip r:embed="rId16"/>
                    <a:stretch>
                      <a:fillRect/>
                    </a:stretch>
                  </pic:blipFill>
                  <pic:spPr>
                    <a:xfrm>
                      <a:off x="0" y="0"/>
                      <a:ext cx="5278120" cy="2660650"/>
                    </a:xfrm>
                    <a:prstGeom prst="rect">
                      <a:avLst/>
                    </a:prstGeom>
                    <a:noFill/>
                    <a:ln>
                      <a:noFill/>
                    </a:ln>
                  </pic:spPr>
                </pic:pic>
              </a:graphicData>
            </a:graphic>
          </wp:inline>
        </w:drawing>
      </w:r>
    </w:p>
    <w:p w14:paraId="32A1471B">
      <w:pPr>
        <w:pStyle w:val="66"/>
        <w:widowControl/>
        <w:ind w:firstLine="0" w:firstLineChars="0"/>
        <w:rPr>
          <w:kern w:val="2"/>
          <w:sz w:val="21"/>
          <w:szCs w:val="21"/>
        </w:rPr>
      </w:pPr>
      <w:r>
        <w:rPr>
          <w:kern w:val="2"/>
          <w:sz w:val="21"/>
          <w:szCs w:val="21"/>
        </w:rPr>
        <w:t>3</w:t>
      </w:r>
      <w:r>
        <w:rPr>
          <w:rFonts w:hint="eastAsia" w:ascii="宋体" w:cs="宋体"/>
          <w:kern w:val="2"/>
          <w:sz w:val="21"/>
          <w:szCs w:val="21"/>
        </w:rPr>
        <w:t>）页面规则</w:t>
      </w:r>
    </w:p>
    <w:p w14:paraId="6671DC30">
      <w:pPr>
        <w:pStyle w:val="66"/>
        <w:widowControl/>
        <w:ind w:firstLine="0" w:firstLineChars="0"/>
        <w:rPr>
          <w:kern w:val="2"/>
          <w:sz w:val="21"/>
          <w:szCs w:val="21"/>
        </w:rPr>
      </w:pPr>
      <w:r>
        <w:rPr>
          <w:rFonts w:hint="eastAsia" w:ascii="宋体" w:cs="宋体"/>
          <w:b/>
          <w:bCs/>
          <w:kern w:val="2"/>
          <w:sz w:val="21"/>
          <w:szCs w:val="21"/>
        </w:rPr>
        <w:t>重置密码：</w:t>
      </w:r>
      <w:r>
        <w:rPr>
          <w:rFonts w:hint="eastAsia" w:ascii="宋体" w:cs="宋体"/>
          <w:kern w:val="2"/>
          <w:sz w:val="21"/>
          <w:szCs w:val="21"/>
        </w:rPr>
        <w:t>对于新注册的供应商，审批流程结束之后</w:t>
      </w:r>
      <w:r>
        <w:rPr>
          <w:kern w:val="2"/>
          <w:sz w:val="21"/>
          <w:szCs w:val="21"/>
        </w:rPr>
        <w:t>e</w:t>
      </w:r>
      <w:r>
        <w:rPr>
          <w:rFonts w:hint="eastAsia" w:ascii="宋体" w:cs="宋体"/>
          <w:kern w:val="2"/>
          <w:sz w:val="21"/>
          <w:szCs w:val="21"/>
        </w:rPr>
        <w:t>采通系统会发送短信到注册的收据号上，会告知登录账号和密码，</w:t>
      </w:r>
      <w:r>
        <w:rPr>
          <w:rFonts w:hint="eastAsia" w:ascii="宋体" w:cs="宋体"/>
          <w:b/>
          <w:bCs/>
          <w:kern w:val="2"/>
          <w:sz w:val="21"/>
          <w:szCs w:val="21"/>
        </w:rPr>
        <w:t>账号为供应商注册完成后发送到手机上的账号密码。</w:t>
      </w:r>
      <w:r>
        <w:rPr>
          <w:rFonts w:hint="eastAsia" w:ascii="宋体" w:cs="宋体"/>
          <w:kern w:val="2"/>
          <w:sz w:val="21"/>
          <w:szCs w:val="21"/>
        </w:rPr>
        <w:t>登录系统之后，立即绑定手机号，后续所有的密码重置都可以在登录界面点击忘记密码按钮，验证手机号码进行重置！</w:t>
      </w:r>
    </w:p>
    <w:p w14:paraId="18E46FE0">
      <w:pPr>
        <w:spacing w:line="360" w:lineRule="auto"/>
      </w:pPr>
      <w:r>
        <w:rPr>
          <w:rFonts w:hint="eastAsia" w:ascii="宋体" w:cs="宋体"/>
          <w:lang w:bidi="ar"/>
        </w:rPr>
        <w:t>如果供应商从未在系统内注册，此时认为是新供应商注册，需要点击“立即注册”按钮，用自己的手机号码登陆系统，进入系统之后点击供应商中心——》供应商注册，填写供应商注册信息，注意此时需要尽量把所有信息都维护完整，才可以提交成功，如果点击提交系统报错或者系统没反应请先仔细检查自己的填写数据是否完整正确。</w:t>
      </w:r>
    </w:p>
    <w:p w14:paraId="2B6BF4E0">
      <w:pPr>
        <w:pStyle w:val="8"/>
        <w:widowControl/>
        <w:spacing w:line="360" w:lineRule="auto"/>
        <w:rPr>
          <w:rFonts w:ascii="Cambria" w:hAnsi="Cambria" w:cs="Cambria"/>
          <w:highlight w:val="yellow"/>
        </w:rPr>
      </w:pPr>
      <w:r>
        <w:rPr>
          <w:rFonts w:hint="eastAsia" w:ascii="宋体" w:cs="宋体"/>
          <w:highlight w:val="yellow"/>
        </w:rPr>
        <w:t>附件-供应商注册</w:t>
      </w:r>
    </w:p>
    <w:p w14:paraId="49A536D6">
      <w:pPr>
        <w:spacing w:line="360" w:lineRule="auto"/>
      </w:pPr>
      <w:r>
        <w:rPr>
          <w:lang w:bidi="ar"/>
        </w:rPr>
        <w:t>1</w:t>
      </w:r>
      <w:r>
        <w:rPr>
          <w:rFonts w:hint="eastAsia" w:ascii="宋体" w:cs="宋体"/>
          <w:lang w:bidi="ar"/>
        </w:rPr>
        <w:t>）功能简介</w:t>
      </w:r>
    </w:p>
    <w:p w14:paraId="4E860D8D">
      <w:pPr>
        <w:spacing w:line="360" w:lineRule="auto"/>
      </w:pPr>
      <w:r>
        <w:rPr>
          <w:rFonts w:hint="eastAsia" w:ascii="宋体" w:cs="宋体"/>
          <w:lang w:bidi="ar"/>
        </w:rPr>
        <w:t>此页面用于进行供应商注册</w:t>
      </w:r>
    </w:p>
    <w:p w14:paraId="2D9232EA">
      <w:pPr>
        <w:pStyle w:val="66"/>
        <w:widowControl/>
        <w:ind w:firstLine="0" w:firstLineChars="0"/>
        <w:rPr>
          <w:kern w:val="2"/>
          <w:sz w:val="21"/>
          <w:szCs w:val="21"/>
        </w:rPr>
      </w:pPr>
      <w:r>
        <w:rPr>
          <w:kern w:val="2"/>
          <w:sz w:val="21"/>
          <w:szCs w:val="21"/>
        </w:rPr>
        <w:t>2</w:t>
      </w:r>
      <w:r>
        <w:rPr>
          <w:rFonts w:hint="eastAsia" w:ascii="宋体" w:cs="宋体"/>
          <w:kern w:val="2"/>
          <w:sz w:val="21"/>
          <w:szCs w:val="21"/>
        </w:rPr>
        <w:t>）界面如下</w:t>
      </w:r>
    </w:p>
    <w:p w14:paraId="649AE9EE">
      <w:r>
        <w:drawing>
          <wp:inline distT="0" distB="0" distL="114300" distR="114300">
            <wp:extent cx="5342255" cy="2485390"/>
            <wp:effectExtent l="0" t="0" r="1270" b="635"/>
            <wp:docPr id="1505033164" name="图片 150503316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33164" name="图片 1505033164" descr="8"/>
                    <pic:cNvPicPr>
                      <a:picLocks noChangeAspect="1"/>
                    </pic:cNvPicPr>
                  </pic:nvPicPr>
                  <pic:blipFill>
                    <a:blip r:embed="rId17"/>
                    <a:stretch>
                      <a:fillRect/>
                    </a:stretch>
                  </pic:blipFill>
                  <pic:spPr>
                    <a:xfrm>
                      <a:off x="0" y="0"/>
                      <a:ext cx="5342255" cy="2485390"/>
                    </a:xfrm>
                    <a:prstGeom prst="rect">
                      <a:avLst/>
                    </a:prstGeom>
                    <a:noFill/>
                    <a:ln>
                      <a:noFill/>
                    </a:ln>
                  </pic:spPr>
                </pic:pic>
              </a:graphicData>
            </a:graphic>
          </wp:inline>
        </w:drawing>
      </w:r>
    </w:p>
    <w:p w14:paraId="437DFA90">
      <w:pPr>
        <w:pStyle w:val="66"/>
        <w:widowControl/>
        <w:tabs>
          <w:tab w:val="left" w:pos="0"/>
        </w:tabs>
        <w:ind w:firstLine="0" w:firstLineChars="0"/>
        <w:rPr>
          <w:kern w:val="2"/>
          <w:sz w:val="21"/>
          <w:szCs w:val="21"/>
        </w:rPr>
      </w:pPr>
      <w:r>
        <w:rPr>
          <w:rFonts w:hint="eastAsia" w:ascii="宋体" w:cs="宋体"/>
          <w:kern w:val="2"/>
          <w:sz w:val="21"/>
          <w:szCs w:val="21"/>
        </w:rPr>
        <w:t>3）页面规则</w:t>
      </w:r>
    </w:p>
    <w:p w14:paraId="6A85B684">
      <w:pPr>
        <w:pStyle w:val="66"/>
        <w:widowControl/>
        <w:ind w:firstLine="0" w:firstLineChars="0"/>
        <w:rPr>
          <w:kern w:val="2"/>
          <w:sz w:val="21"/>
          <w:szCs w:val="21"/>
        </w:rPr>
      </w:pPr>
      <w:r>
        <w:rPr>
          <w:rFonts w:hint="eastAsia" w:ascii="宋体" w:cs="宋体"/>
          <w:kern w:val="2"/>
          <w:sz w:val="21"/>
          <w:szCs w:val="21"/>
        </w:rPr>
        <w:t>点击新增按钮进入注册界面，如果点击提交，系统报错或者系统没反应请先仔细检查自己的填写数据是否完整正确。</w:t>
      </w:r>
    </w:p>
    <w:p w14:paraId="426ABE37">
      <w:pPr>
        <w:spacing w:line="360" w:lineRule="auto"/>
      </w:pPr>
      <w:r>
        <w:rPr>
          <w:rFonts w:hint="eastAsia" w:ascii="宋体" w:cs="宋体"/>
          <w:lang w:bidi="ar"/>
        </w:rPr>
        <w:t>注册信息的字段：尽量把所有信息都填写完整，</w:t>
      </w:r>
    </w:p>
    <w:p w14:paraId="073B0498">
      <w:pPr>
        <w:numPr>
          <w:ilvl w:val="0"/>
          <w:numId w:val="4"/>
        </w:numPr>
        <w:spacing w:line="360" w:lineRule="auto"/>
      </w:pPr>
      <w:r>
        <w:rPr>
          <w:rFonts w:hint="eastAsia" w:ascii="宋体" w:cs="宋体"/>
          <w:lang w:bidi="ar"/>
        </w:rPr>
        <w:t>统一社会信用代码字段，是供应商的唯一标识字段，没有校验规则，如果系统报统一社会信用代码重复则说明此供应商已经在</w:t>
      </w:r>
      <w:r>
        <w:rPr>
          <w:lang w:bidi="ar"/>
        </w:rPr>
        <w:t>e</w:t>
      </w:r>
      <w:r>
        <w:rPr>
          <w:rFonts w:hint="eastAsia" w:ascii="宋体" w:cs="宋体"/>
          <w:lang w:bidi="ar"/>
        </w:rPr>
        <w:t>采通内存在，请咨询对应的采购工程师账号密码。</w:t>
      </w:r>
    </w:p>
    <w:p w14:paraId="6AD9E0FC">
      <w:pPr>
        <w:numPr>
          <w:ilvl w:val="0"/>
          <w:numId w:val="4"/>
        </w:numPr>
        <w:spacing w:line="360" w:lineRule="auto"/>
        <w:rPr>
          <w:b/>
          <w:bCs/>
          <w:color w:val="C00000"/>
        </w:rPr>
      </w:pPr>
      <w:r>
        <w:rPr>
          <w:rFonts w:hint="eastAsia" w:ascii="宋体" w:cs="宋体"/>
          <w:b/>
          <w:bCs/>
          <w:color w:val="C00000"/>
          <w:lang w:bidi="ar"/>
        </w:rPr>
        <w:t>采购形式编号和投标项目名称、近三年财务指标情况，对于非生产类供应商都是必填项。</w:t>
      </w:r>
    </w:p>
    <w:p w14:paraId="4286CC71">
      <w:pPr>
        <w:numPr>
          <w:ilvl w:val="0"/>
          <w:numId w:val="4"/>
        </w:numPr>
        <w:spacing w:line="360" w:lineRule="auto"/>
      </w:pPr>
      <w:r>
        <w:rPr>
          <w:rFonts w:hint="eastAsia" w:ascii="宋体" w:cs="宋体"/>
          <w:lang w:bidi="ar"/>
        </w:rPr>
        <w:t>营业执照有效结束日期目前限制在当前日期及之前，应该限制在当前日期之后，最大允许“</w:t>
      </w:r>
      <w:r>
        <w:rPr>
          <w:lang w:bidi="ar"/>
        </w:rPr>
        <w:t>9999-12-31</w:t>
      </w:r>
      <w:r>
        <w:rPr>
          <w:rFonts w:hint="eastAsia" w:ascii="宋体" w:cs="宋体"/>
          <w:lang w:bidi="ar"/>
        </w:rPr>
        <w:t>”，即代表永久有效。</w:t>
      </w:r>
    </w:p>
    <w:p w14:paraId="50D86AEB">
      <w:pPr>
        <w:numPr>
          <w:ilvl w:val="0"/>
          <w:numId w:val="4"/>
        </w:numPr>
        <w:spacing w:line="360" w:lineRule="auto"/>
      </w:pPr>
      <w:r>
        <w:rPr>
          <w:rFonts w:hint="eastAsia" w:ascii="宋体" w:cs="宋体"/>
          <w:lang w:bidi="ar"/>
        </w:rPr>
        <w:t>提交成功之后进入审批流，每个节点都会由</w:t>
      </w:r>
      <w:r>
        <w:rPr>
          <w:lang w:bidi="ar"/>
        </w:rPr>
        <w:t>1</w:t>
      </w:r>
      <w:r>
        <w:rPr>
          <w:rFonts w:hint="eastAsia" w:ascii="宋体" w:cs="宋体"/>
          <w:lang w:bidi="ar"/>
        </w:rPr>
        <w:t>个或多个负责人审批，</w:t>
      </w:r>
      <w:r>
        <w:rPr>
          <w:rFonts w:hint="eastAsia" w:ascii="宋体" w:cs="宋体"/>
          <w:color w:val="C00000"/>
          <w:em w:val="dot"/>
          <w:lang w:bidi="ar"/>
        </w:rPr>
        <w:t>提交之后需要随时关注审批进度，被驳回的需要修改后重新提交信息。</w:t>
      </w:r>
      <w:r>
        <w:rPr>
          <w:rFonts w:hint="eastAsia" w:ascii="宋体" w:cs="宋体"/>
          <w:b/>
          <w:bCs/>
          <w:color w:val="C00000"/>
          <w:em w:val="dot"/>
          <w:lang w:bidi="ar"/>
        </w:rPr>
        <w:t>审批流程全部走完结束之后，且有短信通知供应商才算注册成功</w:t>
      </w:r>
      <w:r>
        <w:rPr>
          <w:rFonts w:hint="eastAsia" w:ascii="宋体" w:cs="宋体"/>
          <w:b/>
          <w:bCs/>
          <w:lang w:bidi="ar"/>
        </w:rPr>
        <w:t>。</w:t>
      </w:r>
    </w:p>
    <w:p w14:paraId="2076EC38">
      <w:pPr>
        <w:pStyle w:val="10"/>
        <w:widowControl/>
        <w:numPr>
          <w:ilvl w:val="0"/>
          <w:numId w:val="4"/>
        </w:numPr>
        <w:spacing w:line="360" w:lineRule="auto"/>
        <w:ind w:firstLine="420"/>
        <w:jc w:val="left"/>
      </w:pPr>
      <w:r>
        <w:rPr>
          <w:rFonts w:hint="eastAsia" w:ascii="宋体" w:cs="宋体"/>
          <w:kern w:val="2"/>
        </w:rPr>
        <w:t>点击“查看”按钮可以进行查看注册信息，供应商提交注册之后想查看审批进度，可以点击此按钮。</w:t>
      </w:r>
    </w:p>
    <w:p w14:paraId="6470709D">
      <w:pPr>
        <w:pStyle w:val="10"/>
        <w:widowControl/>
        <w:tabs>
          <w:tab w:val="left" w:pos="312"/>
        </w:tabs>
        <w:spacing w:line="360" w:lineRule="auto"/>
        <w:ind w:firstLine="422"/>
        <w:jc w:val="left"/>
        <w:rPr>
          <w:rFonts w:ascii="宋体" w:cs="宋体"/>
          <w:kern w:val="2"/>
          <w:szCs w:val="21"/>
        </w:rPr>
      </w:pPr>
      <w:r>
        <w:rPr>
          <w:rFonts w:hint="eastAsia" w:ascii="宋体" w:hAnsi="宋体" w:cs="宋体"/>
          <w:b/>
          <w:bCs/>
          <w:szCs w:val="21"/>
          <w:lang w:val="de-DE"/>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627283CB">
      <w:pPr>
        <w:pStyle w:val="10"/>
        <w:widowControl/>
        <w:tabs>
          <w:tab w:val="left" w:pos="312"/>
        </w:tabs>
        <w:spacing w:line="360" w:lineRule="auto"/>
        <w:ind w:firstLine="420"/>
        <w:jc w:val="left"/>
        <w:rPr>
          <w:rFonts w:ascii="宋体" w:cs="宋体"/>
          <w:kern w:val="2"/>
        </w:rPr>
      </w:pPr>
    </w:p>
    <w:p w14:paraId="6E4883A5">
      <w:pPr>
        <w:pStyle w:val="8"/>
        <w:widowControl/>
        <w:rPr>
          <w:highlight w:val="yellow"/>
        </w:rPr>
      </w:pPr>
      <w:r>
        <w:rPr>
          <w:rFonts w:hint="eastAsia" w:eastAsia="黑体" w:cs="黑体"/>
          <w:highlight w:val="yellow"/>
        </w:rPr>
        <w:t>附件-供应商应标</w:t>
      </w:r>
    </w:p>
    <w:p w14:paraId="22F3C169">
      <w:pPr>
        <w:rPr>
          <w:rFonts w:hint="eastAsia" w:ascii="宋体" w:hAnsi="宋体" w:cs="宋体"/>
          <w:sz w:val="28"/>
          <w:szCs w:val="28"/>
        </w:rPr>
      </w:pPr>
      <w:r>
        <w:rPr>
          <w:rFonts w:hint="eastAsia" w:ascii="宋体" w:hAnsi="宋体" w:cs="宋体"/>
          <w:sz w:val="28"/>
          <w:szCs w:val="28"/>
          <w:lang w:bidi="ar"/>
        </w:rPr>
        <w:t>路径：招投标中心-非生产类招投标-供应商应标</w:t>
      </w:r>
    </w:p>
    <w:p w14:paraId="66B2DAD4">
      <w:pPr>
        <w:rPr>
          <w:rFonts w:hint="eastAsia" w:ascii="宋体" w:hAnsi="宋体" w:cs="宋体"/>
          <w:sz w:val="28"/>
          <w:szCs w:val="28"/>
          <w:lang w:bidi="ar"/>
        </w:rPr>
      </w:pPr>
      <w:r>
        <w:rPr>
          <w:rFonts w:hint="eastAsia" w:ascii="宋体" w:hAnsi="宋体" w:cs="宋体"/>
          <w:sz w:val="28"/>
          <w:szCs w:val="28"/>
          <w:lang w:bidi="ar"/>
        </w:rPr>
        <w:t>e采通发布招标文件后，根据项目编号搜索本项目并点击应标，上传文件之后点击提交。</w:t>
      </w:r>
    </w:p>
    <w:p w14:paraId="5A4FD69A">
      <w:r>
        <w:rPr>
          <w:rFonts w:hint="eastAsia" w:ascii="宋体" w:hAnsi="宋体" w:cs="宋体"/>
          <w:b/>
          <w:bCs/>
          <w:sz w:val="24"/>
        </w:rPr>
        <w:t>此处应标为线上资格审查环节，不是投标环节，不需要上传投标文件。投标单位应尽快应标以验证e采通账号是否可以正常使用，账号异常的请按下述提示修改账号后提交应标资料，</w:t>
      </w:r>
      <w:r>
        <w:rPr>
          <w:rFonts w:hint="eastAsia" w:ascii="宋体" w:hAnsi="宋体" w:cs="宋体"/>
          <w:b/>
          <w:bCs/>
          <w:color w:val="FF0000"/>
          <w:sz w:val="24"/>
        </w:rPr>
        <w:t>应标审核通过后方可进入投标环节，逾期不应标的无法参与投标</w:t>
      </w:r>
      <w:r>
        <w:rPr>
          <w:rFonts w:hint="eastAsia" w:ascii="宋体" w:hAnsi="宋体" w:cs="宋体"/>
          <w:b/>
          <w:bCs/>
          <w:sz w:val="24"/>
        </w:rPr>
        <w:t>。</w:t>
      </w:r>
    </w:p>
    <w:p w14:paraId="6B206824">
      <w:r>
        <w:drawing>
          <wp:inline distT="0" distB="0" distL="114300" distR="114300">
            <wp:extent cx="5393690" cy="2126615"/>
            <wp:effectExtent l="0" t="0" r="6985"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8"/>
                    <a:stretch>
                      <a:fillRect/>
                    </a:stretch>
                  </pic:blipFill>
                  <pic:spPr>
                    <a:xfrm>
                      <a:off x="0" y="0"/>
                      <a:ext cx="5393690" cy="2126615"/>
                    </a:xfrm>
                    <a:prstGeom prst="rect">
                      <a:avLst/>
                    </a:prstGeom>
                    <a:noFill/>
                    <a:ln>
                      <a:noFill/>
                    </a:ln>
                  </pic:spPr>
                </pic:pic>
              </a:graphicData>
            </a:graphic>
          </wp:inline>
        </w:drawing>
      </w:r>
    </w:p>
    <w:p w14:paraId="1C08A64C">
      <w:pPr>
        <w:rPr>
          <w:rFonts w:cs="宋体"/>
          <w:sz w:val="24"/>
          <w:lang w:bidi="ar"/>
        </w:rPr>
      </w:pPr>
      <w:r>
        <w:rPr>
          <w:rFonts w:hint="eastAsia" w:cs="宋体"/>
          <w:sz w:val="24"/>
          <w:lang w:bidi="ar"/>
        </w:rPr>
        <w:t>注意：</w:t>
      </w:r>
    </w:p>
    <w:p w14:paraId="46AB9D88">
      <w:pPr>
        <w:ind w:firstLine="480" w:firstLineChars="200"/>
        <w:rPr>
          <w:rFonts w:hint="eastAsia" w:eastAsia="宋体" w:cs="宋体"/>
          <w:sz w:val="24"/>
          <w:lang w:eastAsia="zh-CN" w:bidi="ar"/>
        </w:rPr>
      </w:pPr>
      <w:r>
        <w:rPr>
          <w:rFonts w:hint="eastAsia" w:cs="宋体"/>
          <w:sz w:val="24"/>
          <w:lang w:bidi="ar"/>
        </w:rPr>
        <w:t>此处如果出现“请到供应商基本信息界面，编辑补充提供财务数据再参与招投标！”提示，则说明供应商基本信息缺失财务数据，重汽财务部门和采购中心要求必须提供财务数据才可以参与招标</w:t>
      </w:r>
      <w:r>
        <w:rPr>
          <w:rFonts w:hint="eastAsia" w:cs="宋体"/>
          <w:sz w:val="24"/>
          <w:lang w:eastAsia="zh-CN" w:bidi="ar"/>
        </w:rPr>
        <w:t>。</w:t>
      </w:r>
    </w:p>
    <w:p w14:paraId="1508E977">
      <w:pPr>
        <w:ind w:firstLine="480" w:firstLineChars="200"/>
        <w:rPr>
          <w:rFonts w:cs="宋体"/>
          <w:sz w:val="24"/>
          <w:lang w:bidi="ar"/>
        </w:rPr>
      </w:pPr>
      <w:r>
        <w:rPr>
          <w:rFonts w:hint="eastAsia" w:cs="宋体"/>
          <w:sz w:val="24"/>
          <w:lang w:bidi="ar"/>
        </w:rPr>
        <w:t>补充信息请到供应商中心——供应商变更任务——发起变更，进入信息填写界面，有①基本信息变更②供货类别变更③供货类别变更，选择《是否提供？一般是提供》，此处如果选择“否”系统则允许不提供财务数据的情况下参与应标，但是必须要先和采购中心联系，且此时提交的流程财务数据是不显示的且为空的，慎重。</w:t>
      </w:r>
    </w:p>
    <w:p w14:paraId="37687EE2">
      <w:pPr>
        <w:ind w:firstLine="480" w:firstLineChars="200"/>
        <w:rPr>
          <w:sz w:val="24"/>
        </w:rPr>
      </w:pPr>
      <w:r>
        <w:rPr>
          <w:rFonts w:hint="eastAsia" w:cs="宋体"/>
          <w:sz w:val="24"/>
          <w:lang w:bidi="ar"/>
        </w:rPr>
        <w:t>按要求填写财务数据，财务数据除长期借款、短期借款、对外担保金额可以为</w:t>
      </w:r>
      <w:r>
        <w:rPr>
          <w:sz w:val="24"/>
          <w:lang w:bidi="ar"/>
        </w:rPr>
        <w:t>0</w:t>
      </w:r>
      <w:r>
        <w:rPr>
          <w:rFonts w:hint="eastAsia" w:cs="宋体"/>
          <w:sz w:val="24"/>
          <w:lang w:bidi="ar"/>
        </w:rPr>
        <w:t>其他数据不允许为空，全部信息补充完整（上面其他的名称、地址、等等其他数据不变更不需要填写）之后选择采购工程师提交，经过审批后后才可以参与招标。</w:t>
      </w:r>
    </w:p>
    <w:p w14:paraId="74306074">
      <w:pPr>
        <w:ind w:firstLine="480" w:firstLineChars="200"/>
        <w:rPr>
          <w:sz w:val="24"/>
        </w:rPr>
      </w:pPr>
      <w:r>
        <w:rPr>
          <w:rFonts w:hint="eastAsia" w:cs="宋体"/>
          <w:sz w:val="24"/>
          <w:lang w:bidi="ar"/>
        </w:rPr>
        <w:t>但是注意，如果您无法选择采购工程师，采购工程师可选为空，则说明您家缺失供货类别信息，请退出界面后重新发起优先走供货类别变更增加供货类别！！！审批通过之后再走基本信息变更补充财务数据。截图路径如下</w:t>
      </w:r>
    </w:p>
    <w:p w14:paraId="7D0BBE5F">
      <w:r>
        <w:drawing>
          <wp:inline distT="0" distB="0" distL="114300" distR="114300">
            <wp:extent cx="5426075" cy="2279015"/>
            <wp:effectExtent l="0" t="0" r="3175" b="6985"/>
            <wp:docPr id="7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2"/>
                    <pic:cNvPicPr>
                      <a:picLocks noChangeAspect="1"/>
                    </pic:cNvPicPr>
                  </pic:nvPicPr>
                  <pic:blipFill>
                    <a:blip r:embed="rId19"/>
                    <a:stretch>
                      <a:fillRect/>
                    </a:stretch>
                  </pic:blipFill>
                  <pic:spPr>
                    <a:xfrm>
                      <a:off x="0" y="0"/>
                      <a:ext cx="5426075" cy="2279015"/>
                    </a:xfrm>
                    <a:prstGeom prst="rect">
                      <a:avLst/>
                    </a:prstGeom>
                    <a:noFill/>
                    <a:ln>
                      <a:noFill/>
                    </a:ln>
                  </pic:spPr>
                </pic:pic>
              </a:graphicData>
            </a:graphic>
          </wp:inline>
        </w:drawing>
      </w:r>
    </w:p>
    <w:p w14:paraId="2D8D887D">
      <w:pPr>
        <w:pStyle w:val="10"/>
        <w:widowControl/>
        <w:tabs>
          <w:tab w:val="left" w:pos="312"/>
        </w:tabs>
        <w:spacing w:line="360" w:lineRule="auto"/>
        <w:ind w:firstLine="0" w:firstLineChars="0"/>
        <w:jc w:val="left"/>
        <w:rPr>
          <w:rFonts w:ascii="宋体" w:cs="宋体"/>
          <w:kern w:val="2"/>
        </w:rPr>
      </w:pPr>
      <w:r>
        <w:drawing>
          <wp:inline distT="0" distB="0" distL="114300" distR="114300">
            <wp:extent cx="5331460" cy="2324100"/>
            <wp:effectExtent l="0" t="0" r="2540" b="0"/>
            <wp:docPr id="7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3"/>
                    <pic:cNvPicPr>
                      <a:picLocks noChangeAspect="1"/>
                    </pic:cNvPicPr>
                  </pic:nvPicPr>
                  <pic:blipFill>
                    <a:blip r:embed="rId20"/>
                    <a:stretch>
                      <a:fillRect/>
                    </a:stretch>
                  </pic:blipFill>
                  <pic:spPr>
                    <a:xfrm>
                      <a:off x="0" y="0"/>
                      <a:ext cx="5331460" cy="2324100"/>
                    </a:xfrm>
                    <a:prstGeom prst="rect">
                      <a:avLst/>
                    </a:prstGeom>
                    <a:noFill/>
                    <a:ln>
                      <a:noFill/>
                    </a:ln>
                  </pic:spPr>
                </pic:pic>
              </a:graphicData>
            </a:graphic>
          </wp:inline>
        </w:drawing>
      </w:r>
    </w:p>
    <w:p w14:paraId="494F1BD0">
      <w:pPr>
        <w:rPr>
          <w:sz w:val="32"/>
          <w:szCs w:val="32"/>
        </w:rPr>
      </w:pPr>
      <w:r>
        <w:rPr>
          <w:rFonts w:hint="eastAsia"/>
          <w:sz w:val="32"/>
          <w:szCs w:val="32"/>
        </w:rPr>
        <w:br w:type="page"/>
      </w:r>
    </w:p>
    <w:p w14:paraId="39182A9B">
      <w:pPr>
        <w:pStyle w:val="6"/>
        <w:jc w:val="center"/>
        <w:rPr>
          <w:i w:val="0"/>
          <w:iCs w:val="0"/>
          <w:sz w:val="32"/>
          <w:szCs w:val="32"/>
        </w:rPr>
      </w:pPr>
      <w:bookmarkStart w:id="23" w:name="_Toc22244"/>
      <w:r>
        <w:rPr>
          <w:rFonts w:hint="eastAsia"/>
          <w:i w:val="0"/>
          <w:iCs w:val="0"/>
          <w:sz w:val="32"/>
          <w:szCs w:val="32"/>
        </w:rPr>
        <w:t xml:space="preserve">第二章  </w:t>
      </w:r>
      <w:r>
        <w:rPr>
          <w:i w:val="0"/>
          <w:iCs w:val="0"/>
          <w:sz w:val="32"/>
          <w:szCs w:val="32"/>
        </w:rPr>
        <w:t>投标人须知</w:t>
      </w:r>
      <w:bookmarkEnd w:id="6"/>
      <w:bookmarkEnd w:id="7"/>
      <w:bookmarkEnd w:id="23"/>
    </w:p>
    <w:p w14:paraId="6A4B6C30">
      <w:pPr>
        <w:pStyle w:val="7"/>
        <w:spacing w:before="0" w:after="0"/>
        <w:jc w:val="center"/>
        <w:rPr>
          <w:sz w:val="30"/>
          <w:szCs w:val="30"/>
        </w:rPr>
      </w:pPr>
      <w:bookmarkStart w:id="24" w:name="_Toc2140"/>
      <w:bookmarkStart w:id="25" w:name="_Toc17817322"/>
      <w:bookmarkStart w:id="26" w:name="_Toc6745"/>
      <w:r>
        <w:rPr>
          <w:sz w:val="30"/>
          <w:szCs w:val="30"/>
        </w:rPr>
        <w:t>投标人须知前附表</w:t>
      </w:r>
      <w:bookmarkEnd w:id="24"/>
      <w:bookmarkEnd w:id="25"/>
      <w:bookmarkEnd w:id="26"/>
    </w:p>
    <w:tbl>
      <w:tblPr>
        <w:tblStyle w:val="25"/>
        <w:tblW w:w="10185"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962"/>
        <w:gridCol w:w="2293"/>
        <w:gridCol w:w="6930"/>
      </w:tblGrid>
      <w:tr w14:paraId="562E218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05" w:hRule="atLeast"/>
          <w:jc w:val="center"/>
        </w:trPr>
        <w:tc>
          <w:tcPr>
            <w:tcW w:w="962" w:type="dxa"/>
            <w:tcBorders>
              <w:top w:val="single" w:color="000000" w:sz="12" w:space="0"/>
              <w:left w:val="single" w:color="000000" w:sz="12" w:space="0"/>
              <w:bottom w:val="single" w:color="000000" w:sz="6" w:space="0"/>
              <w:right w:val="single" w:color="000000" w:sz="6" w:space="0"/>
            </w:tcBorders>
            <w:vAlign w:val="center"/>
          </w:tcPr>
          <w:p w14:paraId="73AB0460">
            <w:pPr>
              <w:rPr>
                <w:rStyle w:val="39"/>
                <w:rFonts w:ascii="宋体" w:hAnsi="宋体"/>
                <w:b/>
                <w:szCs w:val="21"/>
              </w:rPr>
            </w:pPr>
            <w:r>
              <w:rPr>
                <w:rStyle w:val="39"/>
                <w:rFonts w:ascii="宋体" w:hAnsi="宋体"/>
                <w:b/>
                <w:szCs w:val="21"/>
              </w:rPr>
              <w:t>条款号</w:t>
            </w:r>
          </w:p>
        </w:tc>
        <w:tc>
          <w:tcPr>
            <w:tcW w:w="2293" w:type="dxa"/>
            <w:tcBorders>
              <w:top w:val="single" w:color="000000" w:sz="12" w:space="0"/>
              <w:left w:val="single" w:color="000000" w:sz="6" w:space="0"/>
              <w:bottom w:val="single" w:color="000000" w:sz="6" w:space="0"/>
              <w:right w:val="single" w:color="000000" w:sz="6" w:space="0"/>
            </w:tcBorders>
            <w:vAlign w:val="center"/>
          </w:tcPr>
          <w:p w14:paraId="1505F4D1">
            <w:pPr>
              <w:jc w:val="center"/>
              <w:rPr>
                <w:rStyle w:val="39"/>
                <w:rFonts w:ascii="宋体" w:hAnsi="宋体"/>
                <w:b/>
                <w:szCs w:val="21"/>
              </w:rPr>
            </w:pPr>
            <w:r>
              <w:rPr>
                <w:rStyle w:val="39"/>
                <w:rFonts w:ascii="宋体" w:hAnsi="宋体"/>
                <w:b/>
                <w:szCs w:val="21"/>
              </w:rPr>
              <w:t>条款名称</w:t>
            </w:r>
          </w:p>
        </w:tc>
        <w:tc>
          <w:tcPr>
            <w:tcW w:w="6930" w:type="dxa"/>
            <w:tcBorders>
              <w:top w:val="single" w:color="000000" w:sz="12" w:space="0"/>
              <w:left w:val="single" w:color="000000" w:sz="6" w:space="0"/>
              <w:bottom w:val="single" w:color="000000" w:sz="6" w:space="0"/>
              <w:right w:val="single" w:color="000000" w:sz="12" w:space="0"/>
            </w:tcBorders>
            <w:vAlign w:val="center"/>
          </w:tcPr>
          <w:p w14:paraId="04C32CA3">
            <w:pPr>
              <w:jc w:val="center"/>
              <w:rPr>
                <w:rStyle w:val="39"/>
                <w:rFonts w:ascii="宋体" w:hAnsi="宋体"/>
                <w:b/>
                <w:szCs w:val="21"/>
              </w:rPr>
            </w:pPr>
            <w:r>
              <w:rPr>
                <w:rStyle w:val="39"/>
                <w:rFonts w:ascii="宋体" w:hAnsi="宋体"/>
                <w:b/>
                <w:szCs w:val="21"/>
              </w:rPr>
              <w:t>编  列  内  容</w:t>
            </w:r>
          </w:p>
        </w:tc>
      </w:tr>
      <w:tr w14:paraId="784FFFE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6FF3B0AA">
            <w:pPr>
              <w:rPr>
                <w:rStyle w:val="39"/>
                <w:rFonts w:ascii="宋体" w:hAnsi="宋体"/>
                <w:szCs w:val="21"/>
              </w:rPr>
            </w:pPr>
            <w:r>
              <w:rPr>
                <w:rStyle w:val="39"/>
                <w:rFonts w:ascii="宋体" w:hAnsi="宋体"/>
                <w:szCs w:val="21"/>
              </w:rPr>
              <w:t>1.1.2</w:t>
            </w:r>
          </w:p>
        </w:tc>
        <w:tc>
          <w:tcPr>
            <w:tcW w:w="2293" w:type="dxa"/>
            <w:tcBorders>
              <w:top w:val="single" w:color="000000" w:sz="6" w:space="0"/>
              <w:left w:val="single" w:color="000000" w:sz="6" w:space="0"/>
              <w:bottom w:val="single" w:color="000000" w:sz="6" w:space="0"/>
              <w:right w:val="single" w:color="000000" w:sz="6" w:space="0"/>
            </w:tcBorders>
            <w:vAlign w:val="center"/>
          </w:tcPr>
          <w:p w14:paraId="06C3E050">
            <w:pPr>
              <w:rPr>
                <w:rStyle w:val="39"/>
                <w:rFonts w:ascii="宋体" w:hAnsi="宋体"/>
                <w:szCs w:val="21"/>
              </w:rPr>
            </w:pPr>
            <w:r>
              <w:rPr>
                <w:rStyle w:val="39"/>
                <w:rFonts w:ascii="宋体" w:hAnsi="宋体"/>
                <w:szCs w:val="21"/>
              </w:rPr>
              <w:t>招标人</w:t>
            </w:r>
          </w:p>
        </w:tc>
        <w:tc>
          <w:tcPr>
            <w:tcW w:w="6930" w:type="dxa"/>
            <w:tcBorders>
              <w:top w:val="single" w:color="000000" w:sz="6" w:space="0"/>
              <w:left w:val="single" w:color="000000" w:sz="6" w:space="0"/>
              <w:bottom w:val="single" w:color="000000" w:sz="6" w:space="0"/>
              <w:right w:val="single" w:color="000000" w:sz="12" w:space="0"/>
            </w:tcBorders>
          </w:tcPr>
          <w:p w14:paraId="05B8A54C">
            <w:pPr>
              <w:spacing w:line="276" w:lineRule="auto"/>
              <w:rPr>
                <w:rFonts w:hint="eastAsia" w:eastAsia="宋体"/>
                <w:szCs w:val="21"/>
                <w:lang w:eastAsia="zh-CN"/>
              </w:rPr>
            </w:pPr>
            <w:r>
              <w:rPr>
                <w:szCs w:val="21"/>
              </w:rPr>
              <w:t>名  称：</w:t>
            </w:r>
            <w:r>
              <w:rPr>
                <w:kern w:val="0"/>
                <w:szCs w:val="21"/>
                <w:lang w:bidi="en-US"/>
              </w:rPr>
              <w:t>中国重汽集团</w:t>
            </w:r>
            <w:r>
              <w:rPr>
                <w:rFonts w:hint="eastAsia"/>
                <w:kern w:val="0"/>
                <w:szCs w:val="21"/>
                <w:lang w:eastAsia="zh-CN" w:bidi="en-US"/>
              </w:rPr>
              <w:t>济南商用车有限公司</w:t>
            </w:r>
          </w:p>
          <w:p w14:paraId="0C94F09C">
            <w:pPr>
              <w:spacing w:line="276" w:lineRule="auto"/>
              <w:rPr>
                <w:kern w:val="0"/>
                <w:szCs w:val="21"/>
                <w:lang w:bidi="en-US"/>
              </w:rPr>
            </w:pPr>
            <w:r>
              <w:rPr>
                <w:szCs w:val="21"/>
              </w:rPr>
              <w:t>地  址：济南市高新区华奥路777号重汽科技大厦</w:t>
            </w:r>
          </w:p>
          <w:p w14:paraId="11C74B40">
            <w:pPr>
              <w:rPr>
                <w:rStyle w:val="39"/>
                <w:rFonts w:hint="eastAsia" w:ascii="宋体" w:hAnsi="宋体" w:eastAsia="宋体"/>
                <w:lang w:eastAsia="zh-CN"/>
              </w:rPr>
            </w:pPr>
            <w:r>
              <w:rPr>
                <w:rStyle w:val="39"/>
                <w:rFonts w:hint="eastAsia" w:ascii="宋体" w:hAnsi="宋体" w:eastAsia="宋体"/>
                <w:lang w:eastAsia="zh-CN"/>
              </w:rPr>
              <w:t>商务联系人：王瑄</w:t>
            </w:r>
          </w:p>
          <w:p w14:paraId="74F8FA69">
            <w:pPr>
              <w:rPr>
                <w:rStyle w:val="39"/>
                <w:rFonts w:hint="eastAsia" w:ascii="宋体" w:hAnsi="宋体" w:eastAsia="宋体"/>
                <w:lang w:eastAsia="zh-CN"/>
              </w:rPr>
            </w:pPr>
            <w:r>
              <w:rPr>
                <w:rStyle w:val="39"/>
                <w:rFonts w:hint="eastAsia" w:ascii="宋体" w:hAnsi="宋体" w:eastAsia="宋体"/>
                <w:lang w:eastAsia="zh-CN"/>
              </w:rPr>
              <w:t>联系电话：17860605786</w:t>
            </w:r>
          </w:p>
          <w:p w14:paraId="372CE1F1">
            <w:pPr>
              <w:rPr>
                <w:rStyle w:val="39"/>
                <w:rFonts w:hint="eastAsia" w:ascii="宋体" w:hAnsi="宋体" w:eastAsia="宋体"/>
                <w:lang w:eastAsia="zh-CN"/>
              </w:rPr>
            </w:pPr>
            <w:r>
              <w:rPr>
                <w:rStyle w:val="39"/>
                <w:rFonts w:hint="eastAsia" w:ascii="宋体" w:hAnsi="宋体" w:eastAsia="宋体"/>
                <w:lang w:eastAsia="zh-CN"/>
              </w:rPr>
              <w:t>邮箱：</w:t>
            </w:r>
            <w:r>
              <w:rPr>
                <w:rStyle w:val="39"/>
                <w:rFonts w:hint="eastAsia" w:ascii="宋体" w:hAnsi="宋体" w:eastAsia="宋体"/>
                <w:lang w:eastAsia="zh-CN"/>
              </w:rPr>
              <w:fldChar w:fldCharType="begin"/>
            </w:r>
            <w:r>
              <w:rPr>
                <w:rStyle w:val="39"/>
                <w:rFonts w:hint="eastAsia" w:ascii="宋体" w:hAnsi="宋体" w:eastAsia="宋体"/>
                <w:lang w:eastAsia="zh-CN"/>
              </w:rPr>
              <w:instrText xml:space="preserve"> HYPERLINK "mailto:wangxuan1@sinotruk.com" </w:instrText>
            </w:r>
            <w:r>
              <w:rPr>
                <w:rStyle w:val="39"/>
                <w:rFonts w:hint="eastAsia" w:ascii="宋体" w:hAnsi="宋体" w:eastAsia="宋体"/>
                <w:lang w:eastAsia="zh-CN"/>
              </w:rPr>
              <w:fldChar w:fldCharType="separate"/>
            </w:r>
            <w:r>
              <w:rPr>
                <w:rStyle w:val="39"/>
                <w:rFonts w:hint="eastAsia" w:ascii="宋体" w:hAnsi="宋体" w:eastAsia="宋体"/>
                <w:lang w:eastAsia="zh-CN"/>
              </w:rPr>
              <w:t>wangxuan1@sinotruk.com</w:t>
            </w:r>
            <w:r>
              <w:rPr>
                <w:rStyle w:val="39"/>
                <w:rFonts w:hint="eastAsia" w:ascii="宋体" w:hAnsi="宋体" w:eastAsia="宋体"/>
                <w:lang w:eastAsia="zh-CN"/>
              </w:rPr>
              <w:fldChar w:fldCharType="end"/>
            </w:r>
          </w:p>
          <w:p w14:paraId="150AACA8">
            <w:pPr>
              <w:rPr>
                <w:rStyle w:val="39"/>
                <w:rFonts w:hint="eastAsia" w:ascii="宋体" w:hAnsi="宋体" w:eastAsia="宋体"/>
                <w:lang w:eastAsia="zh-CN"/>
              </w:rPr>
            </w:pPr>
            <w:r>
              <w:rPr>
                <w:rStyle w:val="39"/>
                <w:rFonts w:hint="eastAsia" w:ascii="宋体" w:hAnsi="宋体" w:eastAsia="宋体"/>
                <w:lang w:eastAsia="zh-CN"/>
              </w:rPr>
              <w:t>技术联系人：刘圆</w:t>
            </w:r>
          </w:p>
          <w:p w14:paraId="32338F19">
            <w:pPr>
              <w:rPr>
                <w:rStyle w:val="39"/>
                <w:rFonts w:hint="eastAsia" w:ascii="宋体" w:hAnsi="宋体" w:eastAsia="宋体"/>
                <w:lang w:eastAsia="zh-CN"/>
              </w:rPr>
            </w:pPr>
            <w:r>
              <w:rPr>
                <w:rStyle w:val="39"/>
                <w:rFonts w:hint="eastAsia" w:ascii="宋体" w:hAnsi="宋体" w:eastAsia="宋体"/>
                <w:lang w:eastAsia="zh-CN"/>
              </w:rPr>
              <w:t>联系电话：13953178362</w:t>
            </w:r>
          </w:p>
          <w:p w14:paraId="4DF85282">
            <w:pPr>
              <w:rPr>
                <w:rStyle w:val="39"/>
                <w:rFonts w:hint="eastAsia" w:ascii="宋体" w:hAnsi="宋体" w:eastAsia="宋体"/>
                <w:lang w:eastAsia="zh-CN"/>
              </w:rPr>
            </w:pPr>
            <w:r>
              <w:rPr>
                <w:rStyle w:val="39"/>
                <w:rFonts w:hint="eastAsia" w:ascii="宋体" w:hAnsi="宋体" w:eastAsia="宋体"/>
                <w:lang w:eastAsia="zh-CN"/>
              </w:rPr>
              <w:t xml:space="preserve">邮箱：liuyuan@sinotruk.com     </w:t>
            </w:r>
          </w:p>
        </w:tc>
      </w:tr>
      <w:tr w14:paraId="48DC4C9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92" w:hRule="exact"/>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38F8E759">
            <w:pPr>
              <w:rPr>
                <w:rStyle w:val="39"/>
                <w:rFonts w:ascii="宋体" w:hAnsi="宋体"/>
                <w:szCs w:val="21"/>
              </w:rPr>
            </w:pPr>
            <w:r>
              <w:rPr>
                <w:rStyle w:val="39"/>
                <w:rFonts w:ascii="宋体" w:hAnsi="宋体"/>
                <w:szCs w:val="21"/>
              </w:rPr>
              <w:t>1.1.4</w:t>
            </w:r>
          </w:p>
        </w:tc>
        <w:tc>
          <w:tcPr>
            <w:tcW w:w="2293" w:type="dxa"/>
            <w:tcBorders>
              <w:top w:val="single" w:color="000000" w:sz="6" w:space="0"/>
              <w:left w:val="single" w:color="000000" w:sz="6" w:space="0"/>
              <w:bottom w:val="single" w:color="000000" w:sz="6" w:space="0"/>
              <w:right w:val="single" w:color="000000" w:sz="6" w:space="0"/>
            </w:tcBorders>
            <w:vAlign w:val="center"/>
          </w:tcPr>
          <w:p w14:paraId="77EFD794">
            <w:pPr>
              <w:rPr>
                <w:rStyle w:val="39"/>
                <w:rFonts w:ascii="宋体" w:hAnsi="宋体"/>
                <w:szCs w:val="21"/>
              </w:rPr>
            </w:pPr>
            <w:r>
              <w:rPr>
                <w:rStyle w:val="39"/>
                <w:rFonts w:ascii="宋体" w:hAnsi="宋体"/>
                <w:szCs w:val="21"/>
              </w:rPr>
              <w:t>项目名称</w:t>
            </w:r>
          </w:p>
        </w:tc>
        <w:tc>
          <w:tcPr>
            <w:tcW w:w="6930" w:type="dxa"/>
            <w:tcBorders>
              <w:top w:val="single" w:color="000000" w:sz="6" w:space="0"/>
              <w:left w:val="single" w:color="000000" w:sz="6" w:space="0"/>
              <w:bottom w:val="single" w:color="000000" w:sz="6" w:space="0"/>
              <w:right w:val="single" w:color="000000" w:sz="12" w:space="0"/>
            </w:tcBorders>
            <w:vAlign w:val="center"/>
          </w:tcPr>
          <w:p w14:paraId="6B2A4B5E">
            <w:pPr>
              <w:spacing w:line="276" w:lineRule="auto"/>
              <w:rPr>
                <w:rStyle w:val="39"/>
                <w:rFonts w:hint="eastAsia" w:ascii="宋体" w:hAnsi="宋体" w:eastAsia="宋体"/>
                <w:szCs w:val="21"/>
                <w:lang w:val="en-US" w:eastAsia="zh-CN"/>
              </w:rPr>
            </w:pPr>
            <w:r>
              <w:rPr>
                <w:rStyle w:val="39"/>
                <w:rFonts w:hint="eastAsia" w:ascii="宋体" w:hAnsi="宋体"/>
                <w:szCs w:val="21"/>
                <w:lang w:eastAsia="zh-CN"/>
              </w:rPr>
              <w:t>济南橡塑件公司质量提升专项新建职工停车场技改项目工程施工</w:t>
            </w:r>
          </w:p>
        </w:tc>
      </w:tr>
      <w:tr w14:paraId="441ACB1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87" w:hRule="exact"/>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581257B2">
            <w:pPr>
              <w:rPr>
                <w:rStyle w:val="39"/>
                <w:rFonts w:ascii="宋体" w:hAnsi="宋体"/>
                <w:szCs w:val="21"/>
              </w:rPr>
            </w:pPr>
            <w:r>
              <w:rPr>
                <w:rStyle w:val="39"/>
                <w:rFonts w:ascii="宋体" w:hAnsi="宋体"/>
                <w:szCs w:val="21"/>
              </w:rPr>
              <w:t>1.1.</w:t>
            </w:r>
            <w:r>
              <w:rPr>
                <w:rStyle w:val="39"/>
                <w:rFonts w:hint="eastAsia" w:ascii="宋体" w:hAnsi="宋体"/>
                <w:szCs w:val="21"/>
              </w:rPr>
              <w:t>5</w:t>
            </w:r>
          </w:p>
        </w:tc>
        <w:tc>
          <w:tcPr>
            <w:tcW w:w="2293" w:type="dxa"/>
            <w:tcBorders>
              <w:top w:val="single" w:color="000000" w:sz="6" w:space="0"/>
              <w:left w:val="single" w:color="000000" w:sz="6" w:space="0"/>
              <w:bottom w:val="single" w:color="000000" w:sz="6" w:space="0"/>
              <w:right w:val="single" w:color="000000" w:sz="6" w:space="0"/>
            </w:tcBorders>
            <w:vAlign w:val="center"/>
          </w:tcPr>
          <w:p w14:paraId="16B3CE1C">
            <w:pPr>
              <w:spacing w:line="276" w:lineRule="auto"/>
              <w:rPr>
                <w:rStyle w:val="39"/>
                <w:rFonts w:ascii="宋体" w:hAnsi="宋体"/>
                <w:szCs w:val="21"/>
              </w:rPr>
            </w:pPr>
            <w:r>
              <w:rPr>
                <w:rStyle w:val="39"/>
                <w:rFonts w:ascii="宋体" w:hAnsi="宋体"/>
                <w:szCs w:val="21"/>
              </w:rPr>
              <w:t>建设地点</w:t>
            </w:r>
          </w:p>
        </w:tc>
        <w:tc>
          <w:tcPr>
            <w:tcW w:w="6930" w:type="dxa"/>
            <w:tcBorders>
              <w:top w:val="single" w:color="000000" w:sz="6" w:space="0"/>
              <w:left w:val="single" w:color="000000" w:sz="6" w:space="0"/>
              <w:bottom w:val="single" w:color="000000" w:sz="6" w:space="0"/>
              <w:right w:val="single" w:color="000000" w:sz="12" w:space="0"/>
            </w:tcBorders>
            <w:vAlign w:val="center"/>
          </w:tcPr>
          <w:p w14:paraId="1E02C4F5">
            <w:pPr>
              <w:spacing w:line="276" w:lineRule="auto"/>
              <w:rPr>
                <w:rStyle w:val="39"/>
                <w:rFonts w:hint="eastAsia" w:ascii="宋体" w:hAnsi="宋体" w:eastAsia="宋体"/>
                <w:szCs w:val="21"/>
                <w:lang w:eastAsia="zh-CN"/>
              </w:rPr>
            </w:pPr>
            <w:r>
              <w:rPr>
                <w:rStyle w:val="39"/>
                <w:rFonts w:ascii="宋体" w:hAnsi="宋体"/>
                <w:szCs w:val="21"/>
              </w:rPr>
              <w:t>济南市</w:t>
            </w:r>
            <w:r>
              <w:rPr>
                <w:rStyle w:val="39"/>
                <w:rFonts w:hint="eastAsia" w:ascii="宋体" w:hAnsi="宋体"/>
                <w:szCs w:val="21"/>
                <w:lang w:eastAsia="zh-CN"/>
              </w:rPr>
              <w:t>长清区</w:t>
            </w:r>
          </w:p>
        </w:tc>
      </w:tr>
      <w:tr w14:paraId="10BCB2F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5" w:hRule="exact"/>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78813117">
            <w:pPr>
              <w:rPr>
                <w:rStyle w:val="39"/>
                <w:rFonts w:ascii="宋体" w:hAnsi="宋体"/>
                <w:szCs w:val="21"/>
              </w:rPr>
            </w:pPr>
            <w:r>
              <w:rPr>
                <w:rStyle w:val="39"/>
                <w:rFonts w:ascii="宋体" w:hAnsi="宋体"/>
                <w:szCs w:val="21"/>
              </w:rPr>
              <w:t>1.2.1</w:t>
            </w:r>
          </w:p>
        </w:tc>
        <w:tc>
          <w:tcPr>
            <w:tcW w:w="2293" w:type="dxa"/>
            <w:tcBorders>
              <w:top w:val="single" w:color="000000" w:sz="6" w:space="0"/>
              <w:left w:val="single" w:color="000000" w:sz="6" w:space="0"/>
              <w:bottom w:val="single" w:color="000000" w:sz="6" w:space="0"/>
              <w:right w:val="single" w:color="000000" w:sz="6" w:space="0"/>
            </w:tcBorders>
            <w:vAlign w:val="center"/>
          </w:tcPr>
          <w:p w14:paraId="51AA77A2">
            <w:pPr>
              <w:rPr>
                <w:rStyle w:val="39"/>
                <w:rFonts w:ascii="宋体" w:hAnsi="宋体"/>
                <w:szCs w:val="21"/>
              </w:rPr>
            </w:pPr>
            <w:r>
              <w:rPr>
                <w:rStyle w:val="39"/>
                <w:rFonts w:ascii="宋体" w:hAnsi="宋体"/>
                <w:szCs w:val="21"/>
              </w:rPr>
              <w:t>资金来源</w:t>
            </w:r>
          </w:p>
        </w:tc>
        <w:tc>
          <w:tcPr>
            <w:tcW w:w="6930" w:type="dxa"/>
            <w:tcBorders>
              <w:top w:val="single" w:color="000000" w:sz="6" w:space="0"/>
              <w:left w:val="single" w:color="000000" w:sz="6" w:space="0"/>
              <w:bottom w:val="single" w:color="000000" w:sz="6" w:space="0"/>
              <w:right w:val="single" w:color="000000" w:sz="12" w:space="0"/>
            </w:tcBorders>
            <w:vAlign w:val="center"/>
          </w:tcPr>
          <w:p w14:paraId="3EF5722E">
            <w:pPr>
              <w:spacing w:line="276" w:lineRule="auto"/>
              <w:rPr>
                <w:rStyle w:val="39"/>
                <w:rFonts w:ascii="宋体" w:hAnsi="宋体"/>
                <w:szCs w:val="21"/>
              </w:rPr>
            </w:pPr>
            <w:r>
              <w:rPr>
                <w:rStyle w:val="39"/>
                <w:rFonts w:ascii="宋体" w:hAnsi="宋体"/>
                <w:szCs w:val="21"/>
              </w:rPr>
              <w:t>自筹</w:t>
            </w:r>
          </w:p>
        </w:tc>
      </w:tr>
      <w:tr w14:paraId="225A10D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59" w:hRule="exact"/>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1260DBA7">
            <w:pPr>
              <w:rPr>
                <w:rStyle w:val="39"/>
                <w:rFonts w:ascii="宋体" w:hAnsi="宋体"/>
                <w:szCs w:val="21"/>
              </w:rPr>
            </w:pPr>
            <w:r>
              <w:rPr>
                <w:rStyle w:val="39"/>
                <w:rFonts w:ascii="宋体" w:hAnsi="宋体"/>
                <w:szCs w:val="21"/>
              </w:rPr>
              <w:t>1.2.2</w:t>
            </w:r>
          </w:p>
        </w:tc>
        <w:tc>
          <w:tcPr>
            <w:tcW w:w="2293" w:type="dxa"/>
            <w:tcBorders>
              <w:top w:val="single" w:color="000000" w:sz="6" w:space="0"/>
              <w:left w:val="single" w:color="000000" w:sz="6" w:space="0"/>
              <w:bottom w:val="single" w:color="000000" w:sz="6" w:space="0"/>
              <w:right w:val="single" w:color="000000" w:sz="6" w:space="0"/>
            </w:tcBorders>
            <w:vAlign w:val="center"/>
          </w:tcPr>
          <w:p w14:paraId="475CA457">
            <w:pPr>
              <w:rPr>
                <w:rStyle w:val="39"/>
                <w:rFonts w:ascii="宋体" w:hAnsi="宋体"/>
                <w:szCs w:val="21"/>
              </w:rPr>
            </w:pPr>
            <w:r>
              <w:rPr>
                <w:rStyle w:val="39"/>
                <w:rFonts w:ascii="宋体" w:hAnsi="宋体"/>
                <w:szCs w:val="21"/>
              </w:rPr>
              <w:t>出资比例</w:t>
            </w:r>
          </w:p>
        </w:tc>
        <w:tc>
          <w:tcPr>
            <w:tcW w:w="6930" w:type="dxa"/>
            <w:tcBorders>
              <w:top w:val="single" w:color="000000" w:sz="6" w:space="0"/>
              <w:left w:val="single" w:color="000000" w:sz="6" w:space="0"/>
              <w:bottom w:val="single" w:color="000000" w:sz="6" w:space="0"/>
              <w:right w:val="single" w:color="000000" w:sz="12" w:space="0"/>
            </w:tcBorders>
            <w:vAlign w:val="center"/>
          </w:tcPr>
          <w:p w14:paraId="741D06BE">
            <w:pPr>
              <w:spacing w:line="276" w:lineRule="auto"/>
              <w:rPr>
                <w:rStyle w:val="39"/>
                <w:rFonts w:ascii="宋体" w:hAnsi="宋体"/>
                <w:szCs w:val="21"/>
              </w:rPr>
            </w:pPr>
            <w:r>
              <w:rPr>
                <w:rStyle w:val="39"/>
                <w:rFonts w:ascii="宋体" w:hAnsi="宋体"/>
                <w:szCs w:val="21"/>
              </w:rPr>
              <w:t>100%</w:t>
            </w:r>
          </w:p>
        </w:tc>
      </w:tr>
      <w:tr w14:paraId="1BC95A7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53" w:hRule="exact"/>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543A970E">
            <w:pPr>
              <w:rPr>
                <w:rStyle w:val="39"/>
                <w:rFonts w:ascii="宋体" w:hAnsi="宋体"/>
                <w:szCs w:val="21"/>
              </w:rPr>
            </w:pPr>
            <w:r>
              <w:rPr>
                <w:rStyle w:val="39"/>
                <w:rFonts w:ascii="宋体" w:hAnsi="宋体"/>
                <w:szCs w:val="21"/>
              </w:rPr>
              <w:t>1.2.3</w:t>
            </w:r>
          </w:p>
        </w:tc>
        <w:tc>
          <w:tcPr>
            <w:tcW w:w="2293" w:type="dxa"/>
            <w:tcBorders>
              <w:top w:val="single" w:color="000000" w:sz="6" w:space="0"/>
              <w:left w:val="single" w:color="000000" w:sz="6" w:space="0"/>
              <w:bottom w:val="single" w:color="000000" w:sz="6" w:space="0"/>
              <w:right w:val="single" w:color="000000" w:sz="6" w:space="0"/>
            </w:tcBorders>
            <w:vAlign w:val="center"/>
          </w:tcPr>
          <w:p w14:paraId="289C8843">
            <w:pPr>
              <w:rPr>
                <w:rStyle w:val="39"/>
                <w:rFonts w:ascii="宋体" w:hAnsi="宋体"/>
                <w:szCs w:val="21"/>
              </w:rPr>
            </w:pPr>
            <w:r>
              <w:rPr>
                <w:rStyle w:val="39"/>
                <w:rFonts w:ascii="宋体" w:hAnsi="宋体"/>
                <w:szCs w:val="21"/>
              </w:rPr>
              <w:t>资金落实情况</w:t>
            </w:r>
          </w:p>
        </w:tc>
        <w:tc>
          <w:tcPr>
            <w:tcW w:w="6930" w:type="dxa"/>
            <w:tcBorders>
              <w:top w:val="single" w:color="000000" w:sz="6" w:space="0"/>
              <w:left w:val="single" w:color="000000" w:sz="6" w:space="0"/>
              <w:bottom w:val="single" w:color="000000" w:sz="6" w:space="0"/>
              <w:right w:val="single" w:color="000000" w:sz="12" w:space="0"/>
            </w:tcBorders>
            <w:vAlign w:val="center"/>
          </w:tcPr>
          <w:p w14:paraId="18752726">
            <w:pPr>
              <w:spacing w:line="276" w:lineRule="auto"/>
              <w:rPr>
                <w:rStyle w:val="39"/>
                <w:rFonts w:ascii="宋体" w:hAnsi="宋体"/>
                <w:szCs w:val="21"/>
              </w:rPr>
            </w:pPr>
            <w:r>
              <w:rPr>
                <w:rStyle w:val="39"/>
                <w:rFonts w:ascii="宋体" w:hAnsi="宋体"/>
                <w:szCs w:val="21"/>
              </w:rPr>
              <w:t>已落实</w:t>
            </w:r>
          </w:p>
        </w:tc>
      </w:tr>
      <w:tr w14:paraId="6669A00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67" w:hRule="atLeast"/>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3113FDD3">
            <w:pPr>
              <w:rPr>
                <w:rStyle w:val="39"/>
                <w:rFonts w:ascii="宋体" w:hAnsi="宋体"/>
                <w:szCs w:val="21"/>
              </w:rPr>
            </w:pPr>
            <w:r>
              <w:rPr>
                <w:rStyle w:val="39"/>
                <w:rFonts w:ascii="宋体" w:hAnsi="宋体"/>
                <w:szCs w:val="21"/>
              </w:rPr>
              <w:t>1.3.1</w:t>
            </w:r>
          </w:p>
        </w:tc>
        <w:tc>
          <w:tcPr>
            <w:tcW w:w="2293" w:type="dxa"/>
            <w:tcBorders>
              <w:top w:val="single" w:color="000000" w:sz="6" w:space="0"/>
              <w:left w:val="single" w:color="000000" w:sz="6" w:space="0"/>
              <w:bottom w:val="single" w:color="000000" w:sz="6" w:space="0"/>
              <w:right w:val="single" w:color="000000" w:sz="6" w:space="0"/>
            </w:tcBorders>
            <w:vAlign w:val="center"/>
          </w:tcPr>
          <w:p w14:paraId="3CE2C4A5">
            <w:pPr>
              <w:rPr>
                <w:rStyle w:val="39"/>
                <w:rFonts w:ascii="宋体" w:hAnsi="宋体"/>
                <w:szCs w:val="21"/>
              </w:rPr>
            </w:pPr>
            <w:r>
              <w:rPr>
                <w:rStyle w:val="39"/>
                <w:rFonts w:ascii="宋体" w:hAnsi="宋体"/>
                <w:szCs w:val="21"/>
              </w:rPr>
              <w:t>招标范围</w:t>
            </w:r>
          </w:p>
        </w:tc>
        <w:tc>
          <w:tcPr>
            <w:tcW w:w="6930" w:type="dxa"/>
            <w:tcBorders>
              <w:top w:val="single" w:color="000000" w:sz="6" w:space="0"/>
              <w:left w:val="single" w:color="000000" w:sz="6" w:space="0"/>
              <w:bottom w:val="single" w:color="000000" w:sz="6" w:space="0"/>
              <w:right w:val="single" w:color="000000" w:sz="12" w:space="0"/>
            </w:tcBorders>
          </w:tcPr>
          <w:p w14:paraId="59A40899">
            <w:pPr>
              <w:pStyle w:val="12"/>
              <w:keepNext w:val="0"/>
              <w:keepLines w:val="0"/>
              <w:suppressLineNumbers w:val="0"/>
              <w:spacing w:before="0" w:beforeAutospacing="0" w:after="0" w:afterAutospacing="0"/>
              <w:ind w:left="0" w:right="0"/>
              <w:rPr>
                <w:rStyle w:val="39"/>
                <w:rFonts w:hint="eastAsia" w:ascii="宋体" w:hAnsi="宋体"/>
                <w:highlight w:val="none"/>
              </w:rPr>
            </w:pPr>
            <w:r>
              <w:rPr>
                <w:rStyle w:val="39"/>
                <w:rFonts w:hint="eastAsia" w:ascii="宋体" w:hAnsi="宋体"/>
                <w:highlight w:val="none"/>
              </w:rPr>
              <w:t>济南橡塑件公司质量提</w:t>
            </w:r>
            <w:r>
              <w:rPr>
                <w:rStyle w:val="39"/>
                <w:rFonts w:hint="eastAsia" w:ascii="宋体" w:hAnsi="宋体" w:cs="Times New Roman"/>
                <w:highlight w:val="none"/>
              </w:rPr>
              <w:t>升专项新建职工停车场技改项目：包含平整场地、道路硬化、车位划线、围墙、门卫</w:t>
            </w:r>
            <w:r>
              <w:rPr>
                <w:rStyle w:val="39"/>
                <w:rFonts w:hint="eastAsia" w:ascii="宋体" w:hAnsi="宋体" w:cs="Times New Roman"/>
                <w:sz w:val="21"/>
                <w:highlight w:val="none"/>
                <w:u w:val="none"/>
                <w:lang w:val="en-US" w:eastAsia="zh-CN"/>
              </w:rPr>
              <w:t>、出入口道闸系统、太阳能路灯、监控、配电系统等</w:t>
            </w:r>
            <w:r>
              <w:rPr>
                <w:rStyle w:val="39"/>
                <w:rFonts w:hint="eastAsia" w:ascii="宋体" w:hAnsi="宋体" w:cs="Times New Roman"/>
                <w:highlight w:val="none"/>
              </w:rPr>
              <w:t>图纸及工程量</w:t>
            </w:r>
            <w:r>
              <w:rPr>
                <w:rStyle w:val="39"/>
                <w:rFonts w:hint="eastAsia" w:ascii="宋体" w:hAnsi="宋体"/>
                <w:highlight w:val="none"/>
              </w:rPr>
              <w:t>清单范围内的室内外建安施工内容。</w:t>
            </w:r>
          </w:p>
          <w:p w14:paraId="2C0F935D">
            <w:pPr>
              <w:pStyle w:val="12"/>
              <w:keepNext w:val="0"/>
              <w:keepLines w:val="0"/>
              <w:suppressLineNumbers w:val="0"/>
              <w:spacing w:before="0" w:beforeAutospacing="0" w:after="0" w:afterAutospacing="0"/>
              <w:ind w:left="0" w:right="0"/>
              <w:rPr>
                <w:rStyle w:val="39"/>
                <w:rFonts w:ascii="宋体" w:hAnsi="宋体"/>
                <w:highlight w:val="none"/>
              </w:rPr>
            </w:pPr>
            <w:r>
              <w:rPr>
                <w:rStyle w:val="39"/>
                <w:rFonts w:hint="eastAsia" w:ascii="宋体" w:hAnsi="宋体"/>
                <w:highlight w:val="none"/>
              </w:rPr>
              <w:t>本次招标范围包括但不限于施工图纸范围内的全部工作内容的施工、验收及质量保修，以及设计变更、补充，以及清单外新增施工内容等。</w:t>
            </w:r>
          </w:p>
        </w:tc>
      </w:tr>
      <w:tr w14:paraId="3D32225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105" w:hRule="atLeast"/>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6D1C0027">
            <w:pPr>
              <w:rPr>
                <w:rStyle w:val="39"/>
                <w:rFonts w:ascii="宋体" w:hAnsi="宋体"/>
                <w:szCs w:val="21"/>
              </w:rPr>
            </w:pPr>
            <w:r>
              <w:rPr>
                <w:rStyle w:val="39"/>
                <w:rFonts w:ascii="宋体" w:hAnsi="宋体"/>
                <w:szCs w:val="21"/>
              </w:rPr>
              <w:t>1.3.2</w:t>
            </w:r>
          </w:p>
        </w:tc>
        <w:tc>
          <w:tcPr>
            <w:tcW w:w="2293" w:type="dxa"/>
            <w:tcBorders>
              <w:top w:val="single" w:color="000000" w:sz="6" w:space="0"/>
              <w:left w:val="single" w:color="000000" w:sz="6" w:space="0"/>
              <w:bottom w:val="single" w:color="000000" w:sz="6" w:space="0"/>
              <w:right w:val="single" w:color="000000" w:sz="6" w:space="0"/>
            </w:tcBorders>
            <w:vAlign w:val="center"/>
          </w:tcPr>
          <w:p w14:paraId="4250F5F6">
            <w:pPr>
              <w:spacing w:line="276" w:lineRule="auto"/>
              <w:rPr>
                <w:rFonts w:ascii="宋体" w:hAnsi="宋体" w:cs="宋体"/>
                <w:b/>
                <w:bCs/>
                <w:szCs w:val="21"/>
                <w:highlight w:val="none"/>
              </w:rPr>
            </w:pPr>
            <w:r>
              <w:rPr>
                <w:rStyle w:val="39"/>
                <w:rFonts w:hint="eastAsia" w:ascii="宋体" w:hAnsi="宋体" w:cs="宋体"/>
                <w:b/>
                <w:bCs/>
                <w:szCs w:val="21"/>
                <w:highlight w:val="none"/>
              </w:rPr>
              <w:t>计划工期</w:t>
            </w:r>
          </w:p>
        </w:tc>
        <w:tc>
          <w:tcPr>
            <w:tcW w:w="6930" w:type="dxa"/>
            <w:tcBorders>
              <w:top w:val="single" w:color="000000" w:sz="6" w:space="0"/>
              <w:left w:val="single" w:color="000000" w:sz="6" w:space="0"/>
              <w:bottom w:val="single" w:color="000000" w:sz="6" w:space="0"/>
              <w:right w:val="single" w:color="000000" w:sz="12" w:space="0"/>
            </w:tcBorders>
          </w:tcPr>
          <w:p w14:paraId="567530CD">
            <w:pPr>
              <w:spacing w:line="276" w:lineRule="auto"/>
              <w:ind w:firstLine="210" w:firstLineChars="100"/>
              <w:rPr>
                <w:highlight w:val="green"/>
              </w:rPr>
            </w:pPr>
            <w:r>
              <w:rPr>
                <w:rFonts w:hint="eastAsia"/>
                <w:highlight w:val="green"/>
              </w:rPr>
              <w:t>计划总工期：</w:t>
            </w:r>
            <w:r>
              <w:rPr>
                <w:rFonts w:hint="eastAsia"/>
                <w:highlight w:val="green"/>
                <w:lang w:val="en-US" w:eastAsia="zh-CN"/>
              </w:rPr>
              <w:t>60</w:t>
            </w:r>
            <w:r>
              <w:rPr>
                <w:rFonts w:hint="eastAsia"/>
                <w:highlight w:val="green"/>
              </w:rPr>
              <w:t>日历天；</w:t>
            </w:r>
          </w:p>
          <w:p w14:paraId="58A607EE">
            <w:pPr>
              <w:spacing w:line="276" w:lineRule="auto"/>
              <w:ind w:firstLine="210" w:firstLineChars="100"/>
              <w:rPr>
                <w:highlight w:val="green"/>
              </w:rPr>
            </w:pPr>
            <w:r>
              <w:rPr>
                <w:rFonts w:hint="eastAsia"/>
                <w:highlight w:val="green"/>
              </w:rPr>
              <w:t>计划开工日期：202</w:t>
            </w:r>
            <w:r>
              <w:rPr>
                <w:rFonts w:hint="eastAsia"/>
                <w:highlight w:val="green"/>
                <w:lang w:val="en-US" w:eastAsia="zh-CN"/>
              </w:rPr>
              <w:t>6</w:t>
            </w:r>
            <w:r>
              <w:rPr>
                <w:rFonts w:hint="eastAsia"/>
                <w:highlight w:val="green"/>
              </w:rPr>
              <w:t>年</w:t>
            </w:r>
            <w:r>
              <w:rPr>
                <w:rFonts w:hint="eastAsia"/>
                <w:highlight w:val="green"/>
                <w:lang w:val="en-US" w:eastAsia="zh-CN"/>
              </w:rPr>
              <w:t>11</w:t>
            </w:r>
            <w:r>
              <w:rPr>
                <w:rFonts w:hint="eastAsia"/>
                <w:highlight w:val="green"/>
              </w:rPr>
              <w:t>月</w:t>
            </w:r>
            <w:r>
              <w:rPr>
                <w:rFonts w:hint="eastAsia"/>
                <w:highlight w:val="green"/>
                <w:lang w:val="en-US" w:eastAsia="zh-CN"/>
              </w:rPr>
              <w:t>1</w:t>
            </w:r>
            <w:r>
              <w:rPr>
                <w:rFonts w:hint="eastAsia"/>
                <w:highlight w:val="green"/>
              </w:rPr>
              <w:t>日（以招标人开工令为准）；</w:t>
            </w:r>
          </w:p>
          <w:p w14:paraId="691EEC2C">
            <w:pPr>
              <w:spacing w:line="276" w:lineRule="auto"/>
              <w:ind w:firstLine="210" w:firstLineChars="100"/>
              <w:rPr>
                <w:rFonts w:hint="default"/>
                <w:highlight w:val="none"/>
                <w:lang w:val="en-US"/>
              </w:rPr>
            </w:pPr>
            <w:r>
              <w:rPr>
                <w:rFonts w:hint="eastAsia"/>
                <w:highlight w:val="green"/>
              </w:rPr>
              <w:t>计划竣工日期：202</w:t>
            </w:r>
            <w:r>
              <w:rPr>
                <w:rFonts w:hint="eastAsia"/>
                <w:highlight w:val="green"/>
                <w:lang w:val="en-US" w:eastAsia="zh-CN"/>
              </w:rPr>
              <w:t>6</w:t>
            </w:r>
            <w:r>
              <w:rPr>
                <w:rFonts w:hint="eastAsia"/>
                <w:highlight w:val="green"/>
              </w:rPr>
              <w:t>年</w:t>
            </w:r>
            <w:r>
              <w:rPr>
                <w:rFonts w:hint="eastAsia"/>
                <w:highlight w:val="green"/>
                <w:lang w:val="en-US" w:eastAsia="zh-CN"/>
              </w:rPr>
              <w:t>12</w:t>
            </w:r>
            <w:r>
              <w:rPr>
                <w:rFonts w:hint="eastAsia"/>
                <w:highlight w:val="green"/>
              </w:rPr>
              <w:t>月</w:t>
            </w:r>
            <w:r>
              <w:rPr>
                <w:rFonts w:hint="eastAsia"/>
                <w:highlight w:val="green"/>
                <w:lang w:val="en-US" w:eastAsia="zh-CN"/>
              </w:rPr>
              <w:t>30</w:t>
            </w:r>
            <w:r>
              <w:rPr>
                <w:rFonts w:hint="eastAsia"/>
                <w:highlight w:val="green"/>
              </w:rPr>
              <w:t>日</w:t>
            </w:r>
            <w:r>
              <w:rPr>
                <w:rFonts w:hint="eastAsia"/>
                <w:highlight w:val="green"/>
                <w:lang w:eastAsia="zh-CN"/>
              </w:rPr>
              <w:t>。</w:t>
            </w:r>
          </w:p>
        </w:tc>
      </w:tr>
      <w:tr w14:paraId="6BC6105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54388566">
            <w:pPr>
              <w:rPr>
                <w:rStyle w:val="39"/>
                <w:rFonts w:ascii="宋体" w:hAnsi="宋体"/>
                <w:szCs w:val="21"/>
              </w:rPr>
            </w:pPr>
            <w:r>
              <w:rPr>
                <w:rStyle w:val="39"/>
                <w:rFonts w:ascii="宋体" w:hAnsi="宋体"/>
                <w:szCs w:val="21"/>
              </w:rPr>
              <w:t>1.3.3</w:t>
            </w:r>
          </w:p>
        </w:tc>
        <w:tc>
          <w:tcPr>
            <w:tcW w:w="2293" w:type="dxa"/>
            <w:tcBorders>
              <w:top w:val="single" w:color="000000" w:sz="6" w:space="0"/>
              <w:left w:val="single" w:color="000000" w:sz="6" w:space="0"/>
              <w:bottom w:val="single" w:color="000000" w:sz="6" w:space="0"/>
              <w:right w:val="single" w:color="000000" w:sz="6" w:space="0"/>
            </w:tcBorders>
            <w:vAlign w:val="center"/>
          </w:tcPr>
          <w:p w14:paraId="1F9E07C1">
            <w:pPr>
              <w:spacing w:line="400" w:lineRule="exact"/>
              <w:rPr>
                <w:rStyle w:val="39"/>
                <w:rFonts w:ascii="宋体" w:hAnsi="宋体"/>
                <w:szCs w:val="21"/>
              </w:rPr>
            </w:pPr>
            <w:r>
              <w:rPr>
                <w:rStyle w:val="39"/>
                <w:rFonts w:ascii="宋体" w:hAnsi="宋体"/>
                <w:szCs w:val="21"/>
              </w:rPr>
              <w:t>质量要求</w:t>
            </w:r>
          </w:p>
        </w:tc>
        <w:tc>
          <w:tcPr>
            <w:tcW w:w="6930" w:type="dxa"/>
            <w:tcBorders>
              <w:top w:val="single" w:color="000000" w:sz="6" w:space="0"/>
              <w:left w:val="single" w:color="000000" w:sz="6" w:space="0"/>
              <w:bottom w:val="single" w:color="000000" w:sz="6" w:space="0"/>
              <w:right w:val="single" w:color="000000" w:sz="12" w:space="0"/>
            </w:tcBorders>
          </w:tcPr>
          <w:p w14:paraId="62B22A11">
            <w:pPr>
              <w:spacing w:line="276" w:lineRule="auto"/>
              <w:rPr>
                <w:rStyle w:val="39"/>
                <w:rFonts w:ascii="宋体" w:hAnsi="宋体"/>
                <w:szCs w:val="21"/>
              </w:rPr>
            </w:pPr>
            <w:r>
              <w:rPr>
                <w:rStyle w:val="39"/>
                <w:rFonts w:ascii="宋体" w:hAnsi="宋体"/>
                <w:szCs w:val="21"/>
              </w:rPr>
              <w:t>质量标准：</w:t>
            </w:r>
            <w:r>
              <w:rPr>
                <w:rStyle w:val="39"/>
                <w:rFonts w:ascii="宋体" w:hAnsi="宋体"/>
                <w:szCs w:val="21"/>
                <w:u w:val="single"/>
              </w:rPr>
              <w:t>合格</w:t>
            </w:r>
            <w:r>
              <w:rPr>
                <w:rStyle w:val="39"/>
                <w:rFonts w:hint="eastAsia" w:ascii="宋体" w:hAnsi="宋体"/>
                <w:szCs w:val="21"/>
              </w:rPr>
              <w:t>；</w:t>
            </w:r>
          </w:p>
          <w:p w14:paraId="1130BCF2">
            <w:pPr>
              <w:spacing w:line="276" w:lineRule="auto"/>
              <w:rPr>
                <w:rStyle w:val="39"/>
                <w:rFonts w:ascii="宋体" w:hAnsi="宋体"/>
                <w:szCs w:val="21"/>
              </w:rPr>
            </w:pPr>
            <w:r>
              <w:rPr>
                <w:rStyle w:val="39"/>
                <w:rFonts w:ascii="宋体" w:hAnsi="宋体"/>
                <w:szCs w:val="21"/>
              </w:rPr>
              <w:t>关于质量要求的详细说明见第七章“技术标准和要求”。</w:t>
            </w:r>
          </w:p>
        </w:tc>
      </w:tr>
      <w:tr w14:paraId="737DA93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jc w:val="center"/>
        </w:trPr>
        <w:tc>
          <w:tcPr>
            <w:tcW w:w="962" w:type="dxa"/>
            <w:vMerge w:val="restart"/>
            <w:tcBorders>
              <w:top w:val="single" w:color="000000" w:sz="6" w:space="0"/>
              <w:left w:val="single" w:color="000000" w:sz="12" w:space="0"/>
              <w:bottom w:val="single" w:color="000000" w:sz="6" w:space="0"/>
              <w:right w:val="single" w:color="000000" w:sz="6" w:space="0"/>
            </w:tcBorders>
            <w:vAlign w:val="center"/>
          </w:tcPr>
          <w:p w14:paraId="533E1273">
            <w:pPr>
              <w:rPr>
                <w:rStyle w:val="39"/>
                <w:rFonts w:ascii="宋体" w:hAnsi="宋体"/>
                <w:szCs w:val="21"/>
              </w:rPr>
            </w:pPr>
            <w:r>
              <w:rPr>
                <w:rStyle w:val="39"/>
                <w:rFonts w:ascii="宋体" w:hAnsi="宋体"/>
                <w:szCs w:val="21"/>
              </w:rPr>
              <w:t>1.4.1</w:t>
            </w:r>
          </w:p>
        </w:tc>
        <w:tc>
          <w:tcPr>
            <w:tcW w:w="2293" w:type="dxa"/>
            <w:tcBorders>
              <w:top w:val="single" w:color="000000" w:sz="6" w:space="0"/>
              <w:left w:val="single" w:color="000000" w:sz="6" w:space="0"/>
              <w:bottom w:val="single" w:color="000000" w:sz="6" w:space="0"/>
              <w:right w:val="single" w:color="000000" w:sz="6" w:space="0"/>
            </w:tcBorders>
            <w:vAlign w:val="center"/>
          </w:tcPr>
          <w:p w14:paraId="3EA8E482">
            <w:pPr>
              <w:spacing w:line="400" w:lineRule="exact"/>
              <w:rPr>
                <w:rStyle w:val="39"/>
                <w:rFonts w:ascii="宋体" w:hAnsi="宋体"/>
                <w:szCs w:val="21"/>
              </w:rPr>
            </w:pPr>
            <w:r>
              <w:rPr>
                <w:rStyle w:val="39"/>
                <w:rFonts w:ascii="宋体" w:hAnsi="宋体"/>
                <w:szCs w:val="21"/>
              </w:rPr>
              <w:t>投标人资格</w:t>
            </w:r>
          </w:p>
        </w:tc>
        <w:tc>
          <w:tcPr>
            <w:tcW w:w="6930" w:type="dxa"/>
            <w:tcBorders>
              <w:top w:val="single" w:color="000000" w:sz="6" w:space="0"/>
              <w:left w:val="single" w:color="000000" w:sz="6" w:space="0"/>
              <w:bottom w:val="single" w:color="000000" w:sz="6" w:space="0"/>
              <w:right w:val="single" w:color="000000" w:sz="12" w:space="0"/>
            </w:tcBorders>
          </w:tcPr>
          <w:p w14:paraId="34E2F31B">
            <w:pPr>
              <w:spacing w:line="276" w:lineRule="auto"/>
              <w:rPr>
                <w:rFonts w:ascii="宋体" w:hAnsi="宋体"/>
                <w:szCs w:val="21"/>
              </w:rPr>
            </w:pPr>
            <w:r>
              <w:rPr>
                <w:rFonts w:hint="eastAsia" w:ascii="宋体" w:hAnsi="宋体"/>
                <w:szCs w:val="21"/>
              </w:rPr>
              <w:t>1.资质条件：详见招标公告；</w:t>
            </w:r>
          </w:p>
          <w:p w14:paraId="3A43BA1C">
            <w:pPr>
              <w:spacing w:line="276" w:lineRule="auto"/>
              <w:rPr>
                <w:rFonts w:ascii="宋体" w:hAnsi="宋体"/>
                <w:szCs w:val="21"/>
              </w:rPr>
            </w:pPr>
            <w:r>
              <w:rPr>
                <w:rFonts w:hint="eastAsia" w:ascii="宋体" w:hAnsi="宋体"/>
                <w:szCs w:val="21"/>
              </w:rPr>
              <w:t>2.财务要求：详见招标公告；</w:t>
            </w:r>
          </w:p>
          <w:p w14:paraId="48D76A3E">
            <w:pPr>
              <w:spacing w:line="276" w:lineRule="auto"/>
              <w:rPr>
                <w:rFonts w:ascii="宋体" w:hAnsi="宋体"/>
                <w:szCs w:val="21"/>
              </w:rPr>
            </w:pPr>
            <w:r>
              <w:rPr>
                <w:rFonts w:hint="eastAsia" w:ascii="宋体" w:hAnsi="宋体"/>
                <w:szCs w:val="21"/>
              </w:rPr>
              <w:t>3.信誉要求：详见招标公告；</w:t>
            </w:r>
          </w:p>
          <w:p w14:paraId="56ACD6D6">
            <w:pPr>
              <w:spacing w:line="276" w:lineRule="auto"/>
              <w:rPr>
                <w:rFonts w:ascii="宋体" w:hAnsi="宋体"/>
                <w:szCs w:val="21"/>
              </w:rPr>
            </w:pPr>
            <w:r>
              <w:rPr>
                <w:rFonts w:hint="eastAsia" w:ascii="宋体" w:hAnsi="宋体"/>
                <w:szCs w:val="21"/>
              </w:rPr>
              <w:t>4.拟派项目经理资格要求：详见招标公告；</w:t>
            </w:r>
          </w:p>
          <w:p w14:paraId="716CCD05">
            <w:pPr>
              <w:rPr>
                <w:rStyle w:val="39"/>
                <w:rFonts w:ascii="宋体" w:hAnsi="宋体"/>
                <w:b/>
                <w:szCs w:val="21"/>
              </w:rPr>
            </w:pPr>
            <w:r>
              <w:rPr>
                <w:rFonts w:hint="eastAsia" w:ascii="宋体" w:hAnsi="宋体"/>
                <w:szCs w:val="21"/>
              </w:rPr>
              <w:t>对投标人的资格审查实行资格后审，资格审查资料的具体编制要求详见第九章资格审查文件。</w:t>
            </w:r>
          </w:p>
        </w:tc>
      </w:tr>
      <w:tr w14:paraId="744E79A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jc w:val="center"/>
        </w:trPr>
        <w:tc>
          <w:tcPr>
            <w:tcW w:w="962" w:type="dxa"/>
            <w:vMerge w:val="continue"/>
            <w:tcBorders>
              <w:top w:val="single" w:color="000000" w:sz="6" w:space="0"/>
              <w:left w:val="single" w:color="000000" w:sz="12" w:space="0"/>
              <w:bottom w:val="single" w:color="000000" w:sz="6" w:space="0"/>
              <w:right w:val="single" w:color="000000" w:sz="6" w:space="0"/>
            </w:tcBorders>
            <w:vAlign w:val="center"/>
          </w:tcPr>
          <w:p w14:paraId="6E29D14A">
            <w:pPr>
              <w:rPr>
                <w:rStyle w:val="39"/>
                <w:rFonts w:ascii="宋体" w:hAnsi="宋体"/>
                <w:szCs w:val="21"/>
              </w:rPr>
            </w:pPr>
          </w:p>
        </w:tc>
        <w:tc>
          <w:tcPr>
            <w:tcW w:w="2293" w:type="dxa"/>
            <w:tcBorders>
              <w:top w:val="single" w:color="000000" w:sz="6" w:space="0"/>
              <w:left w:val="single" w:color="000000" w:sz="6" w:space="0"/>
              <w:bottom w:val="single" w:color="000000" w:sz="6" w:space="0"/>
              <w:right w:val="single" w:color="000000" w:sz="6" w:space="0"/>
            </w:tcBorders>
            <w:vAlign w:val="center"/>
          </w:tcPr>
          <w:p w14:paraId="5AD6C98C">
            <w:pPr>
              <w:spacing w:line="276" w:lineRule="auto"/>
              <w:rPr>
                <w:rStyle w:val="39"/>
                <w:rFonts w:ascii="宋体" w:hAnsi="宋体"/>
                <w:szCs w:val="21"/>
              </w:rPr>
            </w:pPr>
            <w:r>
              <w:rPr>
                <w:rStyle w:val="39"/>
                <w:rFonts w:ascii="宋体" w:hAnsi="宋体"/>
                <w:szCs w:val="21"/>
              </w:rPr>
              <w:t>近年财务状况的年份要求</w:t>
            </w:r>
          </w:p>
        </w:tc>
        <w:tc>
          <w:tcPr>
            <w:tcW w:w="6930" w:type="dxa"/>
            <w:tcBorders>
              <w:top w:val="single" w:color="000000" w:sz="6" w:space="0"/>
              <w:left w:val="single" w:color="000000" w:sz="6" w:space="0"/>
              <w:bottom w:val="single" w:color="000000" w:sz="6" w:space="0"/>
              <w:right w:val="single" w:color="000000" w:sz="12" w:space="0"/>
            </w:tcBorders>
            <w:vAlign w:val="center"/>
          </w:tcPr>
          <w:p w14:paraId="7043841D">
            <w:pPr>
              <w:spacing w:line="276" w:lineRule="auto"/>
              <w:rPr>
                <w:rStyle w:val="39"/>
                <w:rFonts w:hint="default" w:ascii="宋体" w:hAnsi="宋体"/>
                <w:szCs w:val="21"/>
                <w:lang w:val="en-US" w:eastAsia="zh-CN"/>
              </w:rPr>
            </w:pPr>
            <w:r>
              <w:rPr>
                <w:rStyle w:val="39"/>
                <w:rFonts w:hint="eastAsia" w:ascii="宋体" w:hAnsi="宋体"/>
                <w:szCs w:val="21"/>
              </w:rPr>
              <w:t>202</w:t>
            </w:r>
            <w:r>
              <w:rPr>
                <w:rStyle w:val="39"/>
                <w:rFonts w:hint="eastAsia" w:ascii="宋体" w:hAnsi="宋体"/>
                <w:szCs w:val="21"/>
                <w:lang w:val="en-US" w:eastAsia="zh-CN"/>
              </w:rPr>
              <w:t>3</w:t>
            </w:r>
            <w:r>
              <w:rPr>
                <w:rStyle w:val="39"/>
                <w:rFonts w:hint="eastAsia" w:ascii="宋体" w:hAnsi="宋体"/>
                <w:szCs w:val="21"/>
              </w:rPr>
              <w:t>年</w:t>
            </w:r>
            <w:r>
              <w:rPr>
                <w:rStyle w:val="39"/>
                <w:rFonts w:ascii="宋体" w:hAnsi="宋体"/>
                <w:szCs w:val="21"/>
              </w:rPr>
              <w:t>、202</w:t>
            </w:r>
            <w:r>
              <w:rPr>
                <w:rStyle w:val="39"/>
                <w:rFonts w:hint="eastAsia" w:ascii="宋体" w:hAnsi="宋体"/>
                <w:szCs w:val="21"/>
                <w:lang w:val="en-US" w:eastAsia="zh-CN"/>
              </w:rPr>
              <w:t>4</w:t>
            </w:r>
            <w:r>
              <w:rPr>
                <w:rStyle w:val="39"/>
                <w:rFonts w:hint="eastAsia" w:ascii="宋体" w:hAnsi="宋体"/>
                <w:szCs w:val="21"/>
              </w:rPr>
              <w:t>年</w:t>
            </w:r>
            <w:r>
              <w:rPr>
                <w:rStyle w:val="39"/>
                <w:rFonts w:ascii="宋体" w:hAnsi="宋体"/>
                <w:szCs w:val="21"/>
              </w:rPr>
              <w:t>、202</w:t>
            </w:r>
            <w:r>
              <w:rPr>
                <w:rStyle w:val="39"/>
                <w:rFonts w:hint="eastAsia" w:ascii="宋体" w:hAnsi="宋体"/>
                <w:szCs w:val="21"/>
                <w:lang w:val="en-US" w:eastAsia="zh-CN"/>
              </w:rPr>
              <w:t>5年</w:t>
            </w:r>
          </w:p>
          <w:p w14:paraId="0B1A7746">
            <w:pPr>
              <w:spacing w:line="276" w:lineRule="auto"/>
              <w:rPr>
                <w:rStyle w:val="39"/>
                <w:rFonts w:ascii="宋体" w:hAnsi="宋体"/>
                <w:szCs w:val="21"/>
              </w:rPr>
            </w:pPr>
            <w:r>
              <w:rPr>
                <w:rStyle w:val="39"/>
                <w:rFonts w:hint="eastAsia" w:ascii="宋体" w:hAnsi="宋体"/>
                <w:b/>
                <w:bCs/>
                <w:szCs w:val="21"/>
              </w:rPr>
              <w:t>要求包含企业最近半年完税证明、信用证明材料（中国人民银行征信报告）；年度纳税信用评价信息（可从电子税务局查询截图）；企业对外担保说明（写明贵单位对外有无对外担保和质押业务）</w:t>
            </w:r>
          </w:p>
        </w:tc>
      </w:tr>
      <w:tr w14:paraId="1B4DB91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jc w:val="center"/>
        </w:trPr>
        <w:tc>
          <w:tcPr>
            <w:tcW w:w="962" w:type="dxa"/>
            <w:vMerge w:val="continue"/>
            <w:tcBorders>
              <w:top w:val="single" w:color="000000" w:sz="6" w:space="0"/>
              <w:left w:val="single" w:color="000000" w:sz="12" w:space="0"/>
              <w:bottom w:val="single" w:color="000000" w:sz="6" w:space="0"/>
              <w:right w:val="single" w:color="000000" w:sz="6" w:space="0"/>
            </w:tcBorders>
            <w:vAlign w:val="center"/>
          </w:tcPr>
          <w:p w14:paraId="06E32808">
            <w:pPr>
              <w:rPr>
                <w:rStyle w:val="39"/>
                <w:rFonts w:ascii="宋体" w:hAnsi="宋体"/>
                <w:szCs w:val="21"/>
              </w:rPr>
            </w:pPr>
          </w:p>
        </w:tc>
        <w:tc>
          <w:tcPr>
            <w:tcW w:w="2293" w:type="dxa"/>
            <w:tcBorders>
              <w:top w:val="single" w:color="000000" w:sz="6" w:space="0"/>
              <w:left w:val="single" w:color="000000" w:sz="6" w:space="0"/>
              <w:bottom w:val="single" w:color="000000" w:sz="6" w:space="0"/>
              <w:right w:val="single" w:color="000000" w:sz="6" w:space="0"/>
            </w:tcBorders>
            <w:vAlign w:val="center"/>
          </w:tcPr>
          <w:p w14:paraId="44F076F5">
            <w:pPr>
              <w:spacing w:line="276" w:lineRule="auto"/>
              <w:rPr>
                <w:rStyle w:val="39"/>
                <w:rFonts w:ascii="宋体" w:hAnsi="宋体"/>
                <w:szCs w:val="21"/>
              </w:rPr>
            </w:pPr>
            <w:r>
              <w:rPr>
                <w:rStyle w:val="39"/>
                <w:rFonts w:ascii="宋体" w:hAnsi="宋体"/>
                <w:szCs w:val="21"/>
              </w:rPr>
              <w:t>近年承担的类似工程的年份要求</w:t>
            </w:r>
          </w:p>
        </w:tc>
        <w:tc>
          <w:tcPr>
            <w:tcW w:w="6930" w:type="dxa"/>
            <w:tcBorders>
              <w:top w:val="single" w:color="000000" w:sz="6" w:space="0"/>
              <w:left w:val="single" w:color="000000" w:sz="6" w:space="0"/>
              <w:bottom w:val="single" w:color="000000" w:sz="6" w:space="0"/>
              <w:right w:val="single" w:color="000000" w:sz="12" w:space="0"/>
            </w:tcBorders>
            <w:vAlign w:val="center"/>
          </w:tcPr>
          <w:p w14:paraId="3DCDC31C">
            <w:pPr>
              <w:spacing w:line="276" w:lineRule="auto"/>
              <w:rPr>
                <w:rStyle w:val="39"/>
                <w:rFonts w:ascii="宋体" w:hAnsi="宋体"/>
                <w:szCs w:val="21"/>
              </w:rPr>
            </w:pPr>
            <w:r>
              <w:rPr>
                <w:rStyle w:val="39"/>
                <w:rFonts w:ascii="宋体" w:hAnsi="宋体"/>
                <w:szCs w:val="21"/>
                <w:u w:val="single"/>
              </w:rPr>
              <w:t xml:space="preserve"> </w:t>
            </w:r>
            <w:r>
              <w:rPr>
                <w:rStyle w:val="39"/>
                <w:rFonts w:hint="eastAsia" w:ascii="宋体" w:hAnsi="宋体"/>
                <w:szCs w:val="21"/>
                <w:u w:val="single"/>
                <w:lang w:val="en-US" w:eastAsia="zh-CN"/>
              </w:rPr>
              <w:t>三</w:t>
            </w:r>
            <w:r>
              <w:rPr>
                <w:rStyle w:val="39"/>
                <w:rFonts w:ascii="宋体" w:hAnsi="宋体"/>
                <w:szCs w:val="21"/>
                <w:u w:val="single"/>
              </w:rPr>
              <w:t xml:space="preserve"> </w:t>
            </w:r>
            <w:r>
              <w:rPr>
                <w:rStyle w:val="39"/>
                <w:rFonts w:ascii="宋体" w:hAnsi="宋体"/>
                <w:szCs w:val="21"/>
              </w:rPr>
              <w:t>年，指</w:t>
            </w:r>
            <w:r>
              <w:rPr>
                <w:rStyle w:val="39"/>
                <w:rFonts w:ascii="宋体" w:hAnsi="宋体"/>
                <w:szCs w:val="21"/>
                <w:u w:val="single"/>
              </w:rPr>
              <w:t>20</w:t>
            </w:r>
            <w:r>
              <w:rPr>
                <w:rStyle w:val="39"/>
                <w:rFonts w:hint="eastAsia" w:ascii="宋体" w:hAnsi="宋体"/>
                <w:szCs w:val="21"/>
                <w:u w:val="single"/>
              </w:rPr>
              <w:t>2</w:t>
            </w:r>
            <w:r>
              <w:rPr>
                <w:rStyle w:val="39"/>
                <w:rFonts w:hint="eastAsia" w:ascii="宋体" w:hAnsi="宋体"/>
                <w:szCs w:val="21"/>
                <w:u w:val="single"/>
                <w:lang w:val="en-US" w:eastAsia="zh-CN"/>
              </w:rPr>
              <w:t>3</w:t>
            </w:r>
            <w:r>
              <w:rPr>
                <w:rStyle w:val="39"/>
                <w:rFonts w:ascii="宋体" w:hAnsi="宋体"/>
                <w:szCs w:val="21"/>
              </w:rPr>
              <w:t>年</w:t>
            </w:r>
            <w:r>
              <w:rPr>
                <w:rStyle w:val="39"/>
                <w:rFonts w:hint="eastAsia" w:ascii="宋体" w:hAnsi="宋体"/>
                <w:szCs w:val="21"/>
                <w:u w:val="single"/>
              </w:rPr>
              <w:t>1</w:t>
            </w:r>
            <w:r>
              <w:rPr>
                <w:rStyle w:val="39"/>
                <w:rFonts w:ascii="宋体" w:hAnsi="宋体"/>
                <w:szCs w:val="21"/>
              </w:rPr>
              <w:t>月</w:t>
            </w:r>
            <w:r>
              <w:rPr>
                <w:rStyle w:val="39"/>
                <w:rFonts w:ascii="宋体" w:hAnsi="宋体"/>
                <w:szCs w:val="21"/>
                <w:u w:val="single"/>
              </w:rPr>
              <w:t>1</w:t>
            </w:r>
            <w:r>
              <w:rPr>
                <w:rStyle w:val="39"/>
                <w:rFonts w:ascii="宋体" w:hAnsi="宋体"/>
                <w:szCs w:val="21"/>
              </w:rPr>
              <w:t>日至开标之日</w:t>
            </w:r>
            <w:r>
              <w:rPr>
                <w:rStyle w:val="39"/>
                <w:rFonts w:ascii="宋体" w:hAnsi="宋体"/>
                <w:szCs w:val="21"/>
                <w:highlight w:val="none"/>
              </w:rPr>
              <w:t>（以</w:t>
            </w:r>
            <w:r>
              <w:rPr>
                <w:rStyle w:val="39"/>
                <w:rFonts w:hint="eastAsia" w:ascii="宋体" w:hAnsi="宋体"/>
                <w:szCs w:val="21"/>
                <w:highlight w:val="none"/>
                <w:lang w:val="en-US" w:eastAsia="zh-CN"/>
              </w:rPr>
              <w:t>竣工验收</w:t>
            </w:r>
            <w:r>
              <w:rPr>
                <w:rStyle w:val="39"/>
                <w:rFonts w:ascii="宋体" w:hAnsi="宋体"/>
                <w:szCs w:val="21"/>
                <w:highlight w:val="none"/>
              </w:rPr>
              <w:t>时间为准）。</w:t>
            </w:r>
          </w:p>
        </w:tc>
      </w:tr>
      <w:tr w14:paraId="33B48B0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jc w:val="center"/>
        </w:trPr>
        <w:tc>
          <w:tcPr>
            <w:tcW w:w="962" w:type="dxa"/>
            <w:vMerge w:val="continue"/>
            <w:tcBorders>
              <w:top w:val="single" w:color="000000" w:sz="6" w:space="0"/>
              <w:left w:val="single" w:color="000000" w:sz="12" w:space="0"/>
              <w:bottom w:val="single" w:color="000000" w:sz="6" w:space="0"/>
              <w:right w:val="single" w:color="000000" w:sz="6" w:space="0"/>
            </w:tcBorders>
            <w:vAlign w:val="center"/>
          </w:tcPr>
          <w:p w14:paraId="5F90C993">
            <w:pPr>
              <w:rPr>
                <w:rStyle w:val="39"/>
                <w:rFonts w:ascii="宋体" w:hAnsi="宋体"/>
                <w:szCs w:val="21"/>
              </w:rPr>
            </w:pPr>
          </w:p>
        </w:tc>
        <w:tc>
          <w:tcPr>
            <w:tcW w:w="2293" w:type="dxa"/>
            <w:tcBorders>
              <w:top w:val="single" w:color="000000" w:sz="6" w:space="0"/>
              <w:left w:val="single" w:color="000000" w:sz="6" w:space="0"/>
              <w:bottom w:val="single" w:color="000000" w:sz="6" w:space="0"/>
              <w:right w:val="single" w:color="000000" w:sz="6" w:space="0"/>
            </w:tcBorders>
            <w:vAlign w:val="center"/>
          </w:tcPr>
          <w:p w14:paraId="0EBB0A92">
            <w:pPr>
              <w:spacing w:line="276" w:lineRule="auto"/>
              <w:rPr>
                <w:rStyle w:val="39"/>
                <w:rFonts w:ascii="宋体" w:hAnsi="宋体"/>
                <w:szCs w:val="21"/>
              </w:rPr>
            </w:pPr>
            <w:r>
              <w:rPr>
                <w:rStyle w:val="39"/>
                <w:rFonts w:ascii="宋体" w:hAnsi="宋体"/>
                <w:szCs w:val="21"/>
              </w:rPr>
              <w:t>近年发生的诉讼及仲裁情况的年份要求</w:t>
            </w:r>
          </w:p>
        </w:tc>
        <w:tc>
          <w:tcPr>
            <w:tcW w:w="6930" w:type="dxa"/>
            <w:tcBorders>
              <w:top w:val="single" w:color="000000" w:sz="6" w:space="0"/>
              <w:left w:val="single" w:color="000000" w:sz="6" w:space="0"/>
              <w:bottom w:val="single" w:color="000000" w:sz="6" w:space="0"/>
              <w:right w:val="single" w:color="000000" w:sz="12" w:space="0"/>
            </w:tcBorders>
            <w:vAlign w:val="center"/>
          </w:tcPr>
          <w:p w14:paraId="7D489DF0">
            <w:pPr>
              <w:spacing w:line="276" w:lineRule="auto"/>
              <w:rPr>
                <w:rStyle w:val="39"/>
                <w:rFonts w:ascii="宋体" w:hAnsi="宋体"/>
                <w:szCs w:val="21"/>
              </w:rPr>
            </w:pPr>
            <w:r>
              <w:rPr>
                <w:rStyle w:val="39"/>
                <w:rFonts w:ascii="宋体" w:hAnsi="宋体"/>
                <w:szCs w:val="21"/>
                <w:u w:val="single"/>
              </w:rPr>
              <w:t xml:space="preserve"> 三 </w:t>
            </w:r>
            <w:r>
              <w:rPr>
                <w:rStyle w:val="39"/>
                <w:rFonts w:ascii="宋体" w:hAnsi="宋体"/>
                <w:szCs w:val="21"/>
              </w:rPr>
              <w:t>年，指</w:t>
            </w:r>
            <w:r>
              <w:rPr>
                <w:rStyle w:val="39"/>
                <w:rFonts w:ascii="宋体" w:hAnsi="宋体"/>
                <w:szCs w:val="21"/>
                <w:u w:val="single"/>
              </w:rPr>
              <w:t>20</w:t>
            </w:r>
            <w:r>
              <w:rPr>
                <w:rStyle w:val="39"/>
                <w:rFonts w:hint="eastAsia" w:ascii="宋体" w:hAnsi="宋体"/>
                <w:szCs w:val="21"/>
                <w:u w:val="single"/>
              </w:rPr>
              <w:t>2</w:t>
            </w:r>
            <w:r>
              <w:rPr>
                <w:rStyle w:val="39"/>
                <w:rFonts w:hint="eastAsia" w:ascii="宋体" w:hAnsi="宋体"/>
                <w:szCs w:val="21"/>
                <w:u w:val="single"/>
                <w:lang w:val="en-US" w:eastAsia="zh-CN"/>
              </w:rPr>
              <w:t>3</w:t>
            </w:r>
            <w:r>
              <w:rPr>
                <w:rStyle w:val="39"/>
                <w:rFonts w:ascii="宋体" w:hAnsi="宋体"/>
                <w:szCs w:val="21"/>
              </w:rPr>
              <w:t>年</w:t>
            </w:r>
            <w:r>
              <w:rPr>
                <w:rStyle w:val="39"/>
                <w:rFonts w:hint="eastAsia" w:ascii="宋体" w:hAnsi="宋体"/>
                <w:szCs w:val="21"/>
                <w:u w:val="single"/>
              </w:rPr>
              <w:t>1</w:t>
            </w:r>
            <w:r>
              <w:rPr>
                <w:rStyle w:val="39"/>
                <w:rFonts w:ascii="宋体" w:hAnsi="宋体"/>
                <w:szCs w:val="21"/>
              </w:rPr>
              <w:t>月</w:t>
            </w:r>
            <w:r>
              <w:rPr>
                <w:rStyle w:val="39"/>
                <w:rFonts w:ascii="宋体" w:hAnsi="宋体"/>
                <w:szCs w:val="21"/>
                <w:u w:val="single"/>
              </w:rPr>
              <w:t>1</w:t>
            </w:r>
            <w:r>
              <w:rPr>
                <w:rStyle w:val="39"/>
                <w:rFonts w:ascii="宋体" w:hAnsi="宋体"/>
                <w:szCs w:val="21"/>
              </w:rPr>
              <w:t>日至开标之日。</w:t>
            </w:r>
          </w:p>
        </w:tc>
      </w:tr>
      <w:tr w14:paraId="75E388A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jc w:val="center"/>
        </w:trPr>
        <w:tc>
          <w:tcPr>
            <w:tcW w:w="962" w:type="dxa"/>
            <w:vMerge w:val="continue"/>
            <w:tcBorders>
              <w:top w:val="single" w:color="000000" w:sz="6" w:space="0"/>
              <w:left w:val="single" w:color="000000" w:sz="12" w:space="0"/>
              <w:bottom w:val="single" w:color="000000" w:sz="6" w:space="0"/>
              <w:right w:val="single" w:color="000000" w:sz="6" w:space="0"/>
            </w:tcBorders>
            <w:vAlign w:val="center"/>
          </w:tcPr>
          <w:p w14:paraId="55D33BC7">
            <w:pPr>
              <w:rPr>
                <w:rStyle w:val="39"/>
                <w:rFonts w:ascii="宋体" w:hAnsi="宋体"/>
                <w:szCs w:val="21"/>
              </w:rPr>
            </w:pPr>
          </w:p>
        </w:tc>
        <w:tc>
          <w:tcPr>
            <w:tcW w:w="2293" w:type="dxa"/>
            <w:tcBorders>
              <w:top w:val="single" w:color="000000" w:sz="6" w:space="0"/>
              <w:left w:val="single" w:color="000000" w:sz="6" w:space="0"/>
              <w:bottom w:val="single" w:color="000000" w:sz="6" w:space="0"/>
              <w:right w:val="single" w:color="000000" w:sz="6" w:space="0"/>
            </w:tcBorders>
            <w:vAlign w:val="center"/>
          </w:tcPr>
          <w:p w14:paraId="7E323B36">
            <w:pPr>
              <w:spacing w:line="276" w:lineRule="auto"/>
              <w:rPr>
                <w:rStyle w:val="39"/>
                <w:rFonts w:ascii="宋体" w:hAnsi="宋体"/>
                <w:szCs w:val="21"/>
              </w:rPr>
            </w:pPr>
            <w:r>
              <w:rPr>
                <w:rStyle w:val="39"/>
                <w:rFonts w:ascii="宋体" w:hAnsi="宋体"/>
                <w:szCs w:val="21"/>
              </w:rPr>
              <w:t>是否允许递交备选投标方案</w:t>
            </w:r>
          </w:p>
        </w:tc>
        <w:tc>
          <w:tcPr>
            <w:tcW w:w="6930" w:type="dxa"/>
            <w:tcBorders>
              <w:top w:val="single" w:color="000000" w:sz="6" w:space="0"/>
              <w:left w:val="single" w:color="000000" w:sz="6" w:space="0"/>
              <w:bottom w:val="single" w:color="000000" w:sz="6" w:space="0"/>
              <w:right w:val="single" w:color="000000" w:sz="12" w:space="0"/>
            </w:tcBorders>
            <w:vAlign w:val="center"/>
          </w:tcPr>
          <w:p w14:paraId="33ACD61F">
            <w:pPr>
              <w:spacing w:line="276" w:lineRule="auto"/>
              <w:rPr>
                <w:rStyle w:val="39"/>
                <w:rFonts w:ascii="宋体" w:hAnsi="宋体"/>
                <w:szCs w:val="21"/>
                <w:u w:val="single"/>
              </w:rPr>
            </w:pPr>
            <w:r>
              <w:rPr>
                <w:rStyle w:val="39"/>
                <w:rFonts w:ascii="宋体" w:hAnsi="宋体"/>
                <w:szCs w:val="21"/>
              </w:rPr>
              <w:t>不允许</w:t>
            </w:r>
          </w:p>
        </w:tc>
      </w:tr>
      <w:tr w14:paraId="516853E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58F3361D">
            <w:pPr>
              <w:rPr>
                <w:rStyle w:val="39"/>
                <w:rFonts w:ascii="宋体" w:hAnsi="宋体"/>
                <w:szCs w:val="21"/>
              </w:rPr>
            </w:pPr>
            <w:r>
              <w:rPr>
                <w:rStyle w:val="39"/>
                <w:rFonts w:ascii="宋体" w:hAnsi="宋体"/>
                <w:szCs w:val="21"/>
              </w:rPr>
              <w:t>1.4.2</w:t>
            </w:r>
          </w:p>
        </w:tc>
        <w:tc>
          <w:tcPr>
            <w:tcW w:w="2293" w:type="dxa"/>
            <w:tcBorders>
              <w:top w:val="single" w:color="000000" w:sz="6" w:space="0"/>
              <w:left w:val="single" w:color="000000" w:sz="6" w:space="0"/>
              <w:bottom w:val="single" w:color="000000" w:sz="6" w:space="0"/>
              <w:right w:val="single" w:color="000000" w:sz="6" w:space="0"/>
            </w:tcBorders>
            <w:vAlign w:val="center"/>
          </w:tcPr>
          <w:p w14:paraId="087992F3">
            <w:pPr>
              <w:spacing w:line="276" w:lineRule="auto"/>
              <w:rPr>
                <w:rStyle w:val="39"/>
                <w:rFonts w:ascii="宋体" w:hAnsi="宋体"/>
                <w:szCs w:val="21"/>
              </w:rPr>
            </w:pPr>
            <w:r>
              <w:rPr>
                <w:rStyle w:val="39"/>
                <w:rFonts w:ascii="宋体" w:hAnsi="宋体"/>
                <w:szCs w:val="21"/>
              </w:rPr>
              <w:t>是否接受联合体投标</w:t>
            </w:r>
          </w:p>
        </w:tc>
        <w:tc>
          <w:tcPr>
            <w:tcW w:w="6930" w:type="dxa"/>
            <w:tcBorders>
              <w:top w:val="single" w:color="000000" w:sz="6" w:space="0"/>
              <w:left w:val="single" w:color="000000" w:sz="6" w:space="0"/>
              <w:bottom w:val="single" w:color="000000" w:sz="6" w:space="0"/>
              <w:right w:val="single" w:color="000000" w:sz="12" w:space="0"/>
            </w:tcBorders>
            <w:vAlign w:val="center"/>
          </w:tcPr>
          <w:p w14:paraId="1EECA34C">
            <w:pPr>
              <w:spacing w:line="276" w:lineRule="auto"/>
              <w:rPr>
                <w:rStyle w:val="39"/>
                <w:rFonts w:ascii="宋体" w:hAnsi="宋体"/>
                <w:szCs w:val="21"/>
              </w:rPr>
            </w:pPr>
            <w:r>
              <w:rPr>
                <w:rStyle w:val="39"/>
                <w:rFonts w:ascii="宋体" w:hAnsi="宋体"/>
                <w:szCs w:val="21"/>
              </w:rPr>
              <w:t>不接受</w:t>
            </w:r>
          </w:p>
        </w:tc>
      </w:tr>
      <w:tr w14:paraId="6DDEB67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247" w:hRule="atLeast"/>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62D9396A">
            <w:pPr>
              <w:rPr>
                <w:rStyle w:val="39"/>
                <w:rFonts w:ascii="宋体" w:hAnsi="宋体"/>
                <w:szCs w:val="21"/>
              </w:rPr>
            </w:pPr>
            <w:r>
              <w:rPr>
                <w:rStyle w:val="39"/>
                <w:rFonts w:ascii="宋体" w:hAnsi="宋体"/>
                <w:szCs w:val="21"/>
              </w:rPr>
              <w:t>1.9.1</w:t>
            </w:r>
          </w:p>
        </w:tc>
        <w:tc>
          <w:tcPr>
            <w:tcW w:w="2293" w:type="dxa"/>
            <w:tcBorders>
              <w:top w:val="single" w:color="000000" w:sz="6" w:space="0"/>
              <w:left w:val="single" w:color="000000" w:sz="6" w:space="0"/>
              <w:bottom w:val="single" w:color="000000" w:sz="6" w:space="0"/>
              <w:right w:val="single" w:color="000000" w:sz="6" w:space="0"/>
            </w:tcBorders>
            <w:vAlign w:val="center"/>
          </w:tcPr>
          <w:p w14:paraId="167C4E8B">
            <w:pPr>
              <w:spacing w:line="276" w:lineRule="auto"/>
              <w:rPr>
                <w:rStyle w:val="39"/>
                <w:rFonts w:ascii="宋体" w:hAnsi="宋体"/>
                <w:szCs w:val="21"/>
              </w:rPr>
            </w:pPr>
            <w:r>
              <w:rPr>
                <w:rStyle w:val="39"/>
                <w:rFonts w:ascii="宋体" w:hAnsi="宋体"/>
                <w:szCs w:val="21"/>
              </w:rPr>
              <w:t>踏勘现场</w:t>
            </w:r>
          </w:p>
        </w:tc>
        <w:tc>
          <w:tcPr>
            <w:tcW w:w="6930" w:type="dxa"/>
            <w:tcBorders>
              <w:top w:val="single" w:color="000000" w:sz="6" w:space="0"/>
              <w:left w:val="single" w:color="000000" w:sz="6" w:space="0"/>
              <w:bottom w:val="single" w:color="000000" w:sz="6" w:space="0"/>
              <w:right w:val="single" w:color="000000" w:sz="12" w:space="0"/>
            </w:tcBorders>
            <w:vAlign w:val="center"/>
          </w:tcPr>
          <w:p w14:paraId="108C0243">
            <w:pPr>
              <w:spacing w:line="276" w:lineRule="auto"/>
              <w:rPr>
                <w:rFonts w:hint="eastAsia" w:ascii="宋体" w:hAnsi="宋体"/>
                <w:szCs w:val="21"/>
              </w:rPr>
            </w:pPr>
            <w:r>
              <w:rPr>
                <w:rFonts w:hint="eastAsia" w:ascii="宋体" w:hAnsi="宋体"/>
                <w:szCs w:val="21"/>
              </w:rPr>
              <w:t>组织统一踏勘，时间：</w:t>
            </w:r>
            <w:r>
              <w:rPr>
                <w:rFonts w:hint="eastAsia" w:ascii="宋体" w:hAnsi="宋体"/>
                <w:szCs w:val="21"/>
                <w:highlight w:val="green"/>
                <w:u w:val="single"/>
              </w:rPr>
              <w:t>202</w:t>
            </w:r>
            <w:r>
              <w:rPr>
                <w:rFonts w:hint="eastAsia" w:ascii="宋体" w:hAnsi="宋体"/>
                <w:szCs w:val="21"/>
                <w:highlight w:val="green"/>
                <w:u w:val="single"/>
                <w:lang w:val="en-US" w:eastAsia="zh-CN"/>
              </w:rPr>
              <w:t>6</w:t>
            </w:r>
            <w:r>
              <w:rPr>
                <w:rFonts w:hint="eastAsia" w:ascii="宋体" w:hAnsi="宋体"/>
                <w:szCs w:val="21"/>
                <w:highlight w:val="green"/>
                <w:u w:val="single"/>
              </w:rPr>
              <w:t>年</w:t>
            </w:r>
            <w:r>
              <w:rPr>
                <w:rFonts w:hint="eastAsia" w:ascii="宋体" w:hAnsi="宋体"/>
                <w:szCs w:val="21"/>
                <w:highlight w:val="green"/>
                <w:u w:val="single"/>
                <w:lang w:val="en-US" w:eastAsia="zh-CN"/>
              </w:rPr>
              <w:t>9</w:t>
            </w:r>
            <w:r>
              <w:rPr>
                <w:rFonts w:hint="eastAsia" w:ascii="宋体" w:hAnsi="宋体"/>
                <w:szCs w:val="21"/>
                <w:highlight w:val="green"/>
                <w:u w:val="single"/>
              </w:rPr>
              <w:t>月</w:t>
            </w:r>
            <w:r>
              <w:rPr>
                <w:rFonts w:hint="eastAsia" w:ascii="宋体" w:hAnsi="宋体"/>
                <w:szCs w:val="21"/>
                <w:highlight w:val="green"/>
                <w:u w:val="single"/>
                <w:lang w:val="en-US" w:eastAsia="zh-CN"/>
              </w:rPr>
              <w:t>30</w:t>
            </w:r>
            <w:r>
              <w:rPr>
                <w:rFonts w:hint="eastAsia" w:ascii="宋体" w:hAnsi="宋体"/>
                <w:szCs w:val="21"/>
                <w:highlight w:val="green"/>
                <w:u w:val="single"/>
              </w:rPr>
              <w:t>日</w:t>
            </w:r>
            <w:r>
              <w:rPr>
                <w:rFonts w:hint="eastAsia" w:ascii="宋体" w:hAnsi="宋体"/>
                <w:szCs w:val="21"/>
                <w:u w:val="single"/>
                <w:lang w:val="en-US" w:eastAsia="zh-CN"/>
              </w:rPr>
              <w:t>13</w:t>
            </w:r>
            <w:r>
              <w:rPr>
                <w:rFonts w:hint="eastAsia" w:ascii="宋体" w:hAnsi="宋体"/>
                <w:szCs w:val="21"/>
                <w:u w:val="single"/>
              </w:rPr>
              <w:t>:</w:t>
            </w:r>
            <w:r>
              <w:rPr>
                <w:rFonts w:hint="eastAsia" w:ascii="宋体" w:hAnsi="宋体"/>
                <w:szCs w:val="21"/>
                <w:u w:val="single"/>
                <w:lang w:val="en-US" w:eastAsia="zh-CN"/>
              </w:rPr>
              <w:t>3</w:t>
            </w:r>
            <w:r>
              <w:rPr>
                <w:rFonts w:hint="eastAsia" w:ascii="宋体" w:hAnsi="宋体"/>
                <w:szCs w:val="21"/>
                <w:u w:val="single"/>
              </w:rPr>
              <w:t>0</w:t>
            </w:r>
            <w:r>
              <w:rPr>
                <w:rFonts w:hint="eastAsia" w:ascii="宋体" w:hAnsi="宋体"/>
                <w:szCs w:val="21"/>
              </w:rPr>
              <w:t>，请自行前往，提前对接踏勘联系人进行入厂报备。</w:t>
            </w:r>
          </w:p>
          <w:p w14:paraId="64499814">
            <w:pPr>
              <w:spacing w:line="276" w:lineRule="auto"/>
              <w:rPr>
                <w:rStyle w:val="39"/>
                <w:rFonts w:hint="eastAsia" w:ascii="宋体" w:hAnsi="宋体"/>
                <w:szCs w:val="21"/>
                <w:highlight w:val="none"/>
              </w:rPr>
            </w:pPr>
            <w:r>
              <w:rPr>
                <w:rStyle w:val="39"/>
                <w:rFonts w:hint="eastAsia" w:ascii="宋体" w:hAnsi="宋体"/>
                <w:szCs w:val="21"/>
              </w:rPr>
              <w:t>如因对</w:t>
            </w:r>
            <w:r>
              <w:rPr>
                <w:rStyle w:val="39"/>
                <w:rFonts w:hint="eastAsia" w:ascii="宋体" w:hAnsi="宋体"/>
                <w:szCs w:val="21"/>
                <w:highlight w:val="none"/>
              </w:rPr>
              <w:t>现场情况了解、考虑不周造成的投标风险和一切后果由投标人自行承担。</w:t>
            </w:r>
          </w:p>
          <w:p w14:paraId="7E043B01">
            <w:pPr>
              <w:spacing w:line="276" w:lineRule="auto"/>
              <w:rPr>
                <w:rStyle w:val="39"/>
                <w:rFonts w:ascii="宋体" w:hAnsi="宋体"/>
                <w:szCs w:val="21"/>
                <w:u w:val="single"/>
              </w:rPr>
            </w:pPr>
            <w:r>
              <w:rPr>
                <w:rStyle w:val="39"/>
                <w:rFonts w:ascii="宋体" w:hAnsi="宋体"/>
                <w:szCs w:val="21"/>
                <w:highlight w:val="none"/>
              </w:rPr>
              <w:t>踏勘联系人：</w:t>
            </w:r>
            <w:r>
              <w:rPr>
                <w:rFonts w:hint="eastAsia" w:cs="宋体"/>
                <w:sz w:val="24"/>
                <w:highlight w:val="none"/>
                <w:u w:val="single"/>
              </w:rPr>
              <w:t xml:space="preserve"> </w:t>
            </w:r>
            <w:r>
              <w:rPr>
                <w:rStyle w:val="39"/>
                <w:rFonts w:hint="eastAsia" w:ascii="宋体" w:hAnsi="宋体"/>
                <w:szCs w:val="21"/>
                <w:highlight w:val="none"/>
                <w:u w:val="single"/>
                <w:lang w:val="en-US" w:eastAsia="zh-CN"/>
              </w:rPr>
              <w:t xml:space="preserve"> 王利强</w:t>
            </w:r>
            <w:r>
              <w:rPr>
                <w:rFonts w:cs="宋体"/>
                <w:szCs w:val="21"/>
                <w:highlight w:val="none"/>
                <w:u w:val="single"/>
              </w:rPr>
              <w:t xml:space="preserve"> </w:t>
            </w:r>
            <w:r>
              <w:rPr>
                <w:rFonts w:hint="eastAsia" w:cs="宋体"/>
                <w:szCs w:val="21"/>
                <w:highlight w:val="none"/>
                <w:u w:val="single"/>
                <w:lang w:val="en-US" w:eastAsia="zh-CN"/>
              </w:rPr>
              <w:t xml:space="preserve"> </w:t>
            </w:r>
            <w:r>
              <w:rPr>
                <w:rStyle w:val="39"/>
                <w:rFonts w:ascii="宋体" w:hAnsi="宋体"/>
                <w:szCs w:val="21"/>
                <w:highlight w:val="none"/>
              </w:rPr>
              <w:t>，联系电话：</w:t>
            </w:r>
            <w:r>
              <w:rPr>
                <w:rStyle w:val="39"/>
                <w:rFonts w:hint="eastAsia" w:ascii="宋体" w:hAnsi="宋体"/>
                <w:szCs w:val="21"/>
                <w:highlight w:val="none"/>
                <w:u w:val="single"/>
              </w:rPr>
              <w:t xml:space="preserve"> 13954153180</w:t>
            </w:r>
            <w:r>
              <w:rPr>
                <w:rStyle w:val="39"/>
                <w:rFonts w:hint="eastAsia" w:ascii="宋体" w:hAnsi="宋体"/>
                <w:szCs w:val="21"/>
                <w:highlight w:val="none"/>
                <w:u w:val="single"/>
                <w:lang w:val="en-US" w:eastAsia="zh-CN"/>
              </w:rPr>
              <w:t xml:space="preserve"> </w:t>
            </w:r>
            <w:r>
              <w:rPr>
                <w:rStyle w:val="39"/>
                <w:rFonts w:hint="eastAsia" w:ascii="宋体" w:hAnsi="宋体"/>
                <w:szCs w:val="21"/>
                <w:highlight w:val="none"/>
              </w:rPr>
              <w:t>。</w:t>
            </w:r>
          </w:p>
        </w:tc>
      </w:tr>
      <w:tr w14:paraId="74C6513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31" w:hRule="atLeast"/>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75050BD2">
            <w:pPr>
              <w:rPr>
                <w:rStyle w:val="39"/>
                <w:rFonts w:ascii="宋体" w:hAnsi="宋体"/>
                <w:szCs w:val="21"/>
              </w:rPr>
            </w:pPr>
            <w:r>
              <w:rPr>
                <w:rStyle w:val="39"/>
                <w:rFonts w:ascii="宋体" w:hAnsi="宋体"/>
                <w:szCs w:val="21"/>
              </w:rPr>
              <w:t>1.10.1</w:t>
            </w:r>
          </w:p>
        </w:tc>
        <w:tc>
          <w:tcPr>
            <w:tcW w:w="2293" w:type="dxa"/>
            <w:tcBorders>
              <w:top w:val="single" w:color="000000" w:sz="6" w:space="0"/>
              <w:left w:val="single" w:color="000000" w:sz="6" w:space="0"/>
              <w:bottom w:val="single" w:color="000000" w:sz="6" w:space="0"/>
              <w:right w:val="single" w:color="000000" w:sz="6" w:space="0"/>
            </w:tcBorders>
            <w:vAlign w:val="center"/>
          </w:tcPr>
          <w:p w14:paraId="1E03D834">
            <w:pPr>
              <w:spacing w:line="276" w:lineRule="auto"/>
              <w:rPr>
                <w:rStyle w:val="39"/>
                <w:rFonts w:ascii="宋体" w:hAnsi="宋体"/>
                <w:szCs w:val="21"/>
              </w:rPr>
            </w:pPr>
            <w:r>
              <w:rPr>
                <w:rStyle w:val="39"/>
                <w:rFonts w:ascii="宋体" w:hAnsi="宋体"/>
                <w:szCs w:val="21"/>
              </w:rPr>
              <w:t>投标预备会</w:t>
            </w:r>
          </w:p>
        </w:tc>
        <w:tc>
          <w:tcPr>
            <w:tcW w:w="6930" w:type="dxa"/>
            <w:tcBorders>
              <w:top w:val="single" w:color="000000" w:sz="6" w:space="0"/>
              <w:left w:val="single" w:color="000000" w:sz="6" w:space="0"/>
              <w:bottom w:val="single" w:color="000000" w:sz="6" w:space="0"/>
              <w:right w:val="single" w:color="000000" w:sz="12" w:space="0"/>
            </w:tcBorders>
            <w:vAlign w:val="center"/>
          </w:tcPr>
          <w:p w14:paraId="6D4A2EF7">
            <w:pPr>
              <w:spacing w:line="276" w:lineRule="auto"/>
              <w:rPr>
                <w:rStyle w:val="39"/>
                <w:rFonts w:ascii="宋体" w:hAnsi="宋体"/>
                <w:szCs w:val="21"/>
              </w:rPr>
            </w:pPr>
            <w:r>
              <w:rPr>
                <w:rStyle w:val="39"/>
                <w:rFonts w:ascii="宋体" w:hAnsi="宋体"/>
                <w:szCs w:val="21"/>
              </w:rPr>
              <w:t>不召开</w:t>
            </w:r>
          </w:p>
        </w:tc>
      </w:tr>
      <w:tr w14:paraId="51BB8B3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232AD8A9">
            <w:pPr>
              <w:rPr>
                <w:rStyle w:val="39"/>
                <w:rFonts w:ascii="宋体" w:hAnsi="宋体"/>
                <w:szCs w:val="21"/>
              </w:rPr>
            </w:pPr>
            <w:r>
              <w:rPr>
                <w:rStyle w:val="39"/>
                <w:rFonts w:ascii="宋体" w:hAnsi="宋体"/>
                <w:szCs w:val="21"/>
              </w:rPr>
              <w:t>1.10.2</w:t>
            </w:r>
          </w:p>
        </w:tc>
        <w:tc>
          <w:tcPr>
            <w:tcW w:w="2293" w:type="dxa"/>
            <w:tcBorders>
              <w:top w:val="single" w:color="000000" w:sz="6" w:space="0"/>
              <w:left w:val="single" w:color="000000" w:sz="6" w:space="0"/>
              <w:bottom w:val="single" w:color="000000" w:sz="6" w:space="0"/>
              <w:right w:val="single" w:color="000000" w:sz="6" w:space="0"/>
            </w:tcBorders>
            <w:vAlign w:val="center"/>
          </w:tcPr>
          <w:p w14:paraId="792A07BE">
            <w:pPr>
              <w:spacing w:line="276" w:lineRule="auto"/>
              <w:rPr>
                <w:rStyle w:val="39"/>
                <w:rFonts w:ascii="宋体" w:hAnsi="宋体"/>
                <w:szCs w:val="21"/>
              </w:rPr>
            </w:pPr>
            <w:r>
              <w:rPr>
                <w:rStyle w:val="39"/>
                <w:rFonts w:ascii="宋体" w:hAnsi="宋体"/>
                <w:szCs w:val="21"/>
              </w:rPr>
              <w:t>投标人提出问题的截止时间</w:t>
            </w:r>
          </w:p>
        </w:tc>
        <w:tc>
          <w:tcPr>
            <w:tcW w:w="6930" w:type="dxa"/>
            <w:tcBorders>
              <w:top w:val="single" w:color="000000" w:sz="6" w:space="0"/>
              <w:left w:val="single" w:color="000000" w:sz="6" w:space="0"/>
              <w:bottom w:val="single" w:color="000000" w:sz="6" w:space="0"/>
              <w:right w:val="single" w:color="000000" w:sz="12" w:space="0"/>
            </w:tcBorders>
          </w:tcPr>
          <w:p w14:paraId="01ED13EA">
            <w:pPr>
              <w:spacing w:line="276" w:lineRule="auto"/>
              <w:rPr>
                <w:rStyle w:val="39"/>
                <w:rFonts w:hint="eastAsia" w:ascii="宋体" w:hAnsi="宋体"/>
                <w:bCs/>
                <w:szCs w:val="21"/>
              </w:rPr>
            </w:pPr>
            <w:r>
              <w:rPr>
                <w:rFonts w:hint="eastAsia" w:ascii="宋体" w:hAnsi="宋体"/>
                <w:szCs w:val="21"/>
                <w:highlight w:val="green"/>
                <w:u w:val="single"/>
              </w:rPr>
              <w:t>202</w:t>
            </w:r>
            <w:r>
              <w:rPr>
                <w:rFonts w:hint="eastAsia" w:ascii="宋体" w:hAnsi="宋体"/>
                <w:szCs w:val="21"/>
                <w:highlight w:val="green"/>
                <w:u w:val="single"/>
                <w:lang w:val="en-US" w:eastAsia="zh-CN"/>
              </w:rPr>
              <w:t>6</w:t>
            </w:r>
            <w:r>
              <w:rPr>
                <w:rFonts w:hint="eastAsia" w:ascii="宋体" w:hAnsi="宋体"/>
                <w:szCs w:val="21"/>
                <w:highlight w:val="green"/>
                <w:u w:val="single"/>
              </w:rPr>
              <w:t>年</w:t>
            </w:r>
            <w:r>
              <w:rPr>
                <w:rFonts w:hint="eastAsia" w:ascii="宋体" w:hAnsi="宋体"/>
                <w:szCs w:val="21"/>
                <w:highlight w:val="green"/>
                <w:u w:val="single"/>
                <w:lang w:val="en-US" w:eastAsia="zh-CN"/>
              </w:rPr>
              <w:t>10</w:t>
            </w:r>
            <w:r>
              <w:rPr>
                <w:rFonts w:hint="eastAsia" w:ascii="宋体" w:hAnsi="宋体"/>
                <w:szCs w:val="21"/>
                <w:highlight w:val="green"/>
                <w:u w:val="single"/>
              </w:rPr>
              <w:t>月</w:t>
            </w:r>
            <w:r>
              <w:rPr>
                <w:rFonts w:hint="eastAsia" w:ascii="宋体" w:hAnsi="宋体"/>
                <w:szCs w:val="21"/>
                <w:highlight w:val="green"/>
                <w:u w:val="single"/>
                <w:lang w:val="en-US" w:eastAsia="zh-CN"/>
              </w:rPr>
              <w:t>7</w:t>
            </w:r>
            <w:r>
              <w:rPr>
                <w:rFonts w:hint="eastAsia" w:ascii="宋体" w:hAnsi="宋体"/>
                <w:szCs w:val="21"/>
                <w:highlight w:val="green"/>
                <w:u w:val="single"/>
              </w:rPr>
              <w:t>日</w:t>
            </w:r>
            <w:r>
              <w:rPr>
                <w:rStyle w:val="39"/>
                <w:rFonts w:ascii="宋体" w:hAnsi="宋体"/>
                <w:szCs w:val="21"/>
                <w:u w:val="single"/>
              </w:rPr>
              <w:t>1</w:t>
            </w:r>
            <w:r>
              <w:rPr>
                <w:rStyle w:val="39"/>
                <w:rFonts w:hint="eastAsia" w:ascii="宋体" w:hAnsi="宋体"/>
                <w:szCs w:val="21"/>
                <w:u w:val="single"/>
                <w:lang w:val="en-US" w:eastAsia="zh-CN"/>
              </w:rPr>
              <w:t>2</w:t>
            </w:r>
            <w:r>
              <w:rPr>
                <w:rStyle w:val="39"/>
                <w:rFonts w:ascii="宋体" w:hAnsi="宋体"/>
                <w:szCs w:val="21"/>
                <w:u w:val="single"/>
              </w:rPr>
              <w:t>：00前，</w:t>
            </w:r>
            <w:r>
              <w:rPr>
                <w:rStyle w:val="39"/>
                <w:rFonts w:ascii="宋体" w:hAnsi="宋体"/>
                <w:szCs w:val="21"/>
                <w:highlight w:val="none"/>
              </w:rPr>
              <w:t>发电子邮件（WORD版及加盖公章的扫描件）至</w:t>
            </w:r>
            <w:r>
              <w:rPr>
                <w:rStyle w:val="39"/>
                <w:rFonts w:hint="eastAsia" w:ascii="宋体" w:hAnsi="宋体"/>
                <w:szCs w:val="21"/>
                <w:highlight w:val="none"/>
                <w:u w:val="single"/>
                <w:lang w:val="en-US" w:eastAsia="zh-CN"/>
              </w:rPr>
              <w:t>liuyuan</w:t>
            </w:r>
            <w:r>
              <w:rPr>
                <w:rStyle w:val="39"/>
                <w:rFonts w:ascii="宋体" w:hAnsi="宋体"/>
                <w:szCs w:val="21"/>
                <w:highlight w:val="none"/>
              </w:rPr>
              <w:t>@sinotruk.com，并</w:t>
            </w:r>
            <w:r>
              <w:rPr>
                <w:rStyle w:val="39"/>
                <w:rFonts w:hint="eastAsia" w:ascii="宋体" w:hAnsi="宋体"/>
                <w:bCs/>
                <w:szCs w:val="21"/>
                <w:highlight w:val="none"/>
              </w:rPr>
              <w:t>电话通知工作人员查收（联系人：</w:t>
            </w:r>
            <w:r>
              <w:rPr>
                <w:rStyle w:val="39"/>
                <w:rFonts w:hint="eastAsia" w:ascii="宋体" w:hAnsi="宋体"/>
                <w:bCs/>
                <w:szCs w:val="21"/>
                <w:highlight w:val="none"/>
                <w:lang w:val="en-US" w:eastAsia="zh-CN"/>
              </w:rPr>
              <w:t>刘圆</w:t>
            </w:r>
            <w:r>
              <w:rPr>
                <w:rStyle w:val="39"/>
                <w:rFonts w:hint="eastAsia" w:ascii="宋体" w:hAnsi="宋体"/>
                <w:bCs/>
                <w:szCs w:val="21"/>
                <w:highlight w:val="none"/>
              </w:rPr>
              <w:t>；联系方式：</w:t>
            </w:r>
            <w:r>
              <w:rPr>
                <w:rStyle w:val="39"/>
                <w:rFonts w:hint="eastAsia" w:ascii="宋体" w:hAnsi="宋体"/>
                <w:bCs/>
                <w:szCs w:val="21"/>
                <w:highlight w:val="none"/>
                <w:lang w:val="en-US" w:eastAsia="zh-CN"/>
              </w:rPr>
              <w:t>13953178362</w:t>
            </w:r>
            <w:r>
              <w:rPr>
                <w:rStyle w:val="39"/>
                <w:rFonts w:hint="eastAsia" w:ascii="宋体" w:hAnsi="宋体"/>
                <w:bCs/>
                <w:szCs w:val="21"/>
                <w:highlight w:val="none"/>
              </w:rPr>
              <w:t>）。</w:t>
            </w:r>
          </w:p>
          <w:p w14:paraId="0098586B">
            <w:pPr>
              <w:spacing w:line="276" w:lineRule="auto"/>
              <w:rPr>
                <w:rStyle w:val="39"/>
                <w:rFonts w:ascii="宋体" w:hAnsi="宋体"/>
                <w:szCs w:val="21"/>
              </w:rPr>
            </w:pPr>
            <w:r>
              <w:rPr>
                <w:rStyle w:val="39"/>
                <w:rFonts w:hint="eastAsia" w:ascii="宋体" w:hAnsi="宋体"/>
                <w:b/>
                <w:szCs w:val="21"/>
              </w:rPr>
              <w:t>对招标文件及附件有任何疑问均应在此阶段提出，此阶段未提出异议的视为完全认可招标文件约定的各项条款要求。</w:t>
            </w:r>
          </w:p>
        </w:tc>
      </w:tr>
      <w:tr w14:paraId="579F54F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49" w:hRule="exact"/>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1C0F4F20">
            <w:pPr>
              <w:rPr>
                <w:rStyle w:val="39"/>
                <w:rFonts w:ascii="宋体" w:hAnsi="宋体"/>
                <w:szCs w:val="21"/>
              </w:rPr>
            </w:pPr>
            <w:r>
              <w:rPr>
                <w:rStyle w:val="39"/>
                <w:rFonts w:ascii="宋体" w:hAnsi="宋体"/>
                <w:szCs w:val="21"/>
              </w:rPr>
              <w:t>1.10.3</w:t>
            </w:r>
          </w:p>
        </w:tc>
        <w:tc>
          <w:tcPr>
            <w:tcW w:w="2293" w:type="dxa"/>
            <w:tcBorders>
              <w:top w:val="single" w:color="000000" w:sz="6" w:space="0"/>
              <w:left w:val="single" w:color="000000" w:sz="6" w:space="0"/>
              <w:bottom w:val="single" w:color="000000" w:sz="6" w:space="0"/>
              <w:right w:val="single" w:color="000000" w:sz="6" w:space="0"/>
            </w:tcBorders>
            <w:vAlign w:val="center"/>
          </w:tcPr>
          <w:p w14:paraId="02088424">
            <w:pPr>
              <w:spacing w:line="276" w:lineRule="auto"/>
              <w:rPr>
                <w:rStyle w:val="39"/>
                <w:rFonts w:ascii="宋体" w:hAnsi="宋体"/>
                <w:szCs w:val="21"/>
              </w:rPr>
            </w:pPr>
            <w:r>
              <w:rPr>
                <w:rStyle w:val="39"/>
                <w:rFonts w:ascii="宋体" w:hAnsi="宋体"/>
                <w:szCs w:val="21"/>
              </w:rPr>
              <w:t>招标人书面澄清时间</w:t>
            </w:r>
          </w:p>
        </w:tc>
        <w:tc>
          <w:tcPr>
            <w:tcW w:w="6930" w:type="dxa"/>
            <w:tcBorders>
              <w:top w:val="single" w:color="000000" w:sz="6" w:space="0"/>
              <w:left w:val="single" w:color="000000" w:sz="6" w:space="0"/>
              <w:bottom w:val="single" w:color="000000" w:sz="6" w:space="0"/>
              <w:right w:val="single" w:color="000000" w:sz="12" w:space="0"/>
            </w:tcBorders>
            <w:vAlign w:val="center"/>
          </w:tcPr>
          <w:p w14:paraId="20E0305A">
            <w:pPr>
              <w:spacing w:line="276" w:lineRule="auto"/>
              <w:jc w:val="left"/>
              <w:rPr>
                <w:rStyle w:val="39"/>
                <w:rFonts w:ascii="宋体" w:hAnsi="宋体"/>
                <w:szCs w:val="21"/>
                <w:u w:val="single"/>
              </w:rPr>
            </w:pPr>
            <w:r>
              <w:rPr>
                <w:rFonts w:hint="eastAsia" w:ascii="宋体" w:hAnsi="宋体"/>
                <w:szCs w:val="21"/>
                <w:highlight w:val="green"/>
                <w:u w:val="single"/>
              </w:rPr>
              <w:t>202</w:t>
            </w:r>
            <w:r>
              <w:rPr>
                <w:rFonts w:hint="eastAsia" w:ascii="宋体" w:hAnsi="宋体"/>
                <w:szCs w:val="21"/>
                <w:highlight w:val="green"/>
                <w:u w:val="single"/>
                <w:lang w:val="en-US" w:eastAsia="zh-CN"/>
              </w:rPr>
              <w:t>6</w:t>
            </w:r>
            <w:r>
              <w:rPr>
                <w:rFonts w:hint="eastAsia" w:ascii="宋体" w:hAnsi="宋体"/>
                <w:szCs w:val="21"/>
                <w:highlight w:val="green"/>
                <w:u w:val="single"/>
              </w:rPr>
              <w:t>年</w:t>
            </w:r>
            <w:r>
              <w:rPr>
                <w:rFonts w:hint="eastAsia" w:ascii="宋体" w:hAnsi="宋体"/>
                <w:szCs w:val="21"/>
                <w:highlight w:val="green"/>
                <w:u w:val="single"/>
                <w:lang w:val="en-US" w:eastAsia="zh-CN"/>
              </w:rPr>
              <w:t>10</w:t>
            </w:r>
            <w:r>
              <w:rPr>
                <w:rFonts w:hint="eastAsia" w:ascii="宋体" w:hAnsi="宋体"/>
                <w:szCs w:val="21"/>
                <w:highlight w:val="green"/>
                <w:u w:val="single"/>
              </w:rPr>
              <w:t>月</w:t>
            </w:r>
            <w:r>
              <w:rPr>
                <w:rFonts w:hint="eastAsia" w:ascii="宋体" w:hAnsi="宋体"/>
                <w:szCs w:val="21"/>
                <w:highlight w:val="green"/>
                <w:u w:val="single"/>
                <w:lang w:val="en-US" w:eastAsia="zh-CN"/>
              </w:rPr>
              <w:t>8</w:t>
            </w:r>
            <w:r>
              <w:rPr>
                <w:rFonts w:hint="eastAsia" w:ascii="宋体" w:hAnsi="宋体"/>
                <w:szCs w:val="21"/>
                <w:highlight w:val="green"/>
                <w:u w:val="single"/>
              </w:rPr>
              <w:t>日</w:t>
            </w:r>
            <w:r>
              <w:rPr>
                <w:rFonts w:hint="eastAsia" w:ascii="宋体" w:hAnsi="宋体"/>
                <w:szCs w:val="21"/>
                <w:highlight w:val="none"/>
                <w:u w:val="single"/>
                <w:lang w:val="en-US" w:eastAsia="zh-CN"/>
              </w:rPr>
              <w:t>17</w:t>
            </w:r>
            <w:r>
              <w:rPr>
                <w:rStyle w:val="39"/>
                <w:rFonts w:ascii="宋体" w:hAnsi="宋体"/>
                <w:szCs w:val="21"/>
                <w:u w:val="single"/>
              </w:rPr>
              <w:t>：00前</w:t>
            </w:r>
          </w:p>
        </w:tc>
      </w:tr>
      <w:tr w14:paraId="399E1A7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36FEED82">
            <w:pPr>
              <w:rPr>
                <w:rStyle w:val="39"/>
                <w:rFonts w:ascii="宋体" w:hAnsi="宋体"/>
                <w:szCs w:val="21"/>
              </w:rPr>
            </w:pPr>
            <w:r>
              <w:rPr>
                <w:rStyle w:val="39"/>
                <w:rFonts w:ascii="宋体" w:hAnsi="宋体"/>
                <w:szCs w:val="21"/>
              </w:rPr>
              <w:t>1.11</w:t>
            </w:r>
          </w:p>
        </w:tc>
        <w:tc>
          <w:tcPr>
            <w:tcW w:w="2293" w:type="dxa"/>
            <w:tcBorders>
              <w:top w:val="single" w:color="000000" w:sz="6" w:space="0"/>
              <w:left w:val="single" w:color="000000" w:sz="6" w:space="0"/>
              <w:bottom w:val="single" w:color="000000" w:sz="6" w:space="0"/>
              <w:right w:val="single" w:color="000000" w:sz="6" w:space="0"/>
            </w:tcBorders>
            <w:vAlign w:val="center"/>
          </w:tcPr>
          <w:p w14:paraId="7BAD0234">
            <w:pPr>
              <w:spacing w:line="276" w:lineRule="auto"/>
              <w:rPr>
                <w:rStyle w:val="39"/>
                <w:rFonts w:ascii="宋体" w:hAnsi="宋体"/>
                <w:szCs w:val="21"/>
              </w:rPr>
            </w:pPr>
            <w:r>
              <w:rPr>
                <w:rStyle w:val="39"/>
                <w:rFonts w:ascii="宋体" w:hAnsi="宋体"/>
                <w:szCs w:val="21"/>
              </w:rPr>
              <w:t>工程分包</w:t>
            </w:r>
          </w:p>
        </w:tc>
        <w:tc>
          <w:tcPr>
            <w:tcW w:w="6930" w:type="dxa"/>
            <w:tcBorders>
              <w:top w:val="single" w:color="000000" w:sz="6" w:space="0"/>
              <w:left w:val="single" w:color="000000" w:sz="6" w:space="0"/>
              <w:bottom w:val="single" w:color="000000" w:sz="6" w:space="0"/>
              <w:right w:val="single" w:color="000000" w:sz="12" w:space="0"/>
            </w:tcBorders>
            <w:vAlign w:val="center"/>
          </w:tcPr>
          <w:p w14:paraId="29B00A66">
            <w:pPr>
              <w:spacing w:line="276" w:lineRule="auto"/>
              <w:rPr>
                <w:rStyle w:val="39"/>
                <w:rFonts w:ascii="宋体" w:hAnsi="宋体"/>
                <w:szCs w:val="21"/>
              </w:rPr>
            </w:pPr>
            <w:r>
              <w:rPr>
                <w:rStyle w:val="39"/>
                <w:rFonts w:hint="eastAsia" w:ascii="宋体" w:hAnsi="宋体"/>
                <w:bCs/>
                <w:szCs w:val="21"/>
              </w:rPr>
              <w:t>原则上</w:t>
            </w:r>
            <w:r>
              <w:rPr>
                <w:rStyle w:val="39"/>
                <w:rFonts w:ascii="宋体" w:hAnsi="宋体"/>
                <w:bCs/>
                <w:szCs w:val="21"/>
              </w:rPr>
              <w:t>不允许</w:t>
            </w:r>
            <w:r>
              <w:rPr>
                <w:rStyle w:val="39"/>
                <w:rFonts w:hint="eastAsia" w:ascii="宋体" w:hAnsi="宋体"/>
                <w:bCs/>
                <w:szCs w:val="21"/>
              </w:rPr>
              <w:t>，</w:t>
            </w:r>
            <w:r>
              <w:rPr>
                <w:rFonts w:hint="eastAsia"/>
              </w:rPr>
              <w:t>如需专业分包须经招标人审核同意</w:t>
            </w:r>
          </w:p>
        </w:tc>
      </w:tr>
      <w:tr w14:paraId="098B750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12" w:space="0"/>
              <w:right w:val="single" w:color="000000" w:sz="6" w:space="0"/>
            </w:tcBorders>
            <w:vAlign w:val="center"/>
          </w:tcPr>
          <w:p w14:paraId="0A3560DF">
            <w:pPr>
              <w:rPr>
                <w:rStyle w:val="39"/>
                <w:rFonts w:ascii="宋体" w:hAnsi="宋体"/>
                <w:szCs w:val="21"/>
              </w:rPr>
            </w:pPr>
            <w:r>
              <w:rPr>
                <w:rStyle w:val="39"/>
                <w:rFonts w:ascii="宋体" w:hAnsi="宋体"/>
                <w:szCs w:val="21"/>
              </w:rPr>
              <w:t>1.12</w:t>
            </w:r>
          </w:p>
        </w:tc>
        <w:tc>
          <w:tcPr>
            <w:tcW w:w="2293" w:type="dxa"/>
            <w:tcBorders>
              <w:top w:val="single" w:color="000000" w:sz="6" w:space="0"/>
              <w:left w:val="single" w:color="000000" w:sz="6" w:space="0"/>
              <w:bottom w:val="single" w:color="000000" w:sz="12" w:space="0"/>
              <w:right w:val="single" w:color="000000" w:sz="6" w:space="0"/>
            </w:tcBorders>
            <w:vAlign w:val="center"/>
          </w:tcPr>
          <w:p w14:paraId="38BBF4A0">
            <w:pPr>
              <w:spacing w:line="276" w:lineRule="auto"/>
              <w:rPr>
                <w:rStyle w:val="39"/>
                <w:rFonts w:ascii="宋体" w:hAnsi="宋体"/>
                <w:szCs w:val="21"/>
              </w:rPr>
            </w:pPr>
            <w:r>
              <w:rPr>
                <w:rStyle w:val="39"/>
                <w:rFonts w:ascii="宋体" w:hAnsi="宋体"/>
                <w:szCs w:val="21"/>
              </w:rPr>
              <w:t>偏离</w:t>
            </w:r>
          </w:p>
        </w:tc>
        <w:tc>
          <w:tcPr>
            <w:tcW w:w="6930" w:type="dxa"/>
            <w:tcBorders>
              <w:top w:val="single" w:color="000000" w:sz="6" w:space="0"/>
              <w:left w:val="single" w:color="000000" w:sz="6" w:space="0"/>
              <w:bottom w:val="single" w:color="000000" w:sz="12" w:space="0"/>
              <w:right w:val="single" w:color="000000" w:sz="12" w:space="0"/>
            </w:tcBorders>
            <w:vAlign w:val="center"/>
          </w:tcPr>
          <w:p w14:paraId="4FE2B399">
            <w:pPr>
              <w:spacing w:line="276" w:lineRule="auto"/>
              <w:rPr>
                <w:rStyle w:val="39"/>
                <w:rFonts w:ascii="宋体" w:hAnsi="宋体"/>
                <w:szCs w:val="21"/>
              </w:rPr>
            </w:pPr>
            <w:r>
              <w:rPr>
                <w:rStyle w:val="39"/>
                <w:rFonts w:ascii="宋体" w:hAnsi="宋体"/>
                <w:szCs w:val="21"/>
              </w:rPr>
              <w:t>不允许</w:t>
            </w:r>
          </w:p>
        </w:tc>
      </w:tr>
      <w:tr w14:paraId="502D77A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12" w:space="0"/>
              <w:left w:val="single" w:color="000000" w:sz="12" w:space="0"/>
              <w:bottom w:val="single" w:color="000000" w:sz="6" w:space="0"/>
              <w:right w:val="single" w:color="000000" w:sz="6" w:space="0"/>
            </w:tcBorders>
            <w:vAlign w:val="center"/>
          </w:tcPr>
          <w:p w14:paraId="7B903853">
            <w:pPr>
              <w:rPr>
                <w:rStyle w:val="39"/>
                <w:rFonts w:ascii="宋体" w:hAnsi="宋体"/>
                <w:szCs w:val="21"/>
              </w:rPr>
            </w:pPr>
            <w:r>
              <w:rPr>
                <w:rStyle w:val="39"/>
                <w:rFonts w:ascii="宋体" w:hAnsi="宋体"/>
                <w:szCs w:val="21"/>
              </w:rPr>
              <w:t>2.1</w:t>
            </w:r>
          </w:p>
        </w:tc>
        <w:tc>
          <w:tcPr>
            <w:tcW w:w="2293" w:type="dxa"/>
            <w:tcBorders>
              <w:top w:val="single" w:color="000000" w:sz="12" w:space="0"/>
              <w:left w:val="single" w:color="000000" w:sz="6" w:space="0"/>
              <w:bottom w:val="single" w:color="000000" w:sz="6" w:space="0"/>
              <w:right w:val="single" w:color="000000" w:sz="6" w:space="0"/>
            </w:tcBorders>
            <w:vAlign w:val="center"/>
          </w:tcPr>
          <w:p w14:paraId="33188CFC">
            <w:pPr>
              <w:spacing w:line="276" w:lineRule="auto"/>
              <w:rPr>
                <w:rStyle w:val="39"/>
                <w:rFonts w:ascii="宋体" w:hAnsi="宋体"/>
                <w:szCs w:val="21"/>
              </w:rPr>
            </w:pPr>
            <w:r>
              <w:rPr>
                <w:rStyle w:val="39"/>
                <w:rFonts w:ascii="宋体" w:hAnsi="宋体"/>
                <w:szCs w:val="21"/>
              </w:rPr>
              <w:t>构成招标文件的其他材料</w:t>
            </w:r>
          </w:p>
        </w:tc>
        <w:tc>
          <w:tcPr>
            <w:tcW w:w="6930" w:type="dxa"/>
            <w:tcBorders>
              <w:top w:val="single" w:color="000000" w:sz="12" w:space="0"/>
              <w:left w:val="single" w:color="000000" w:sz="6" w:space="0"/>
              <w:bottom w:val="single" w:color="000000" w:sz="6" w:space="0"/>
              <w:right w:val="single" w:color="000000" w:sz="12" w:space="0"/>
            </w:tcBorders>
            <w:vAlign w:val="center"/>
          </w:tcPr>
          <w:p w14:paraId="204EB90F">
            <w:pPr>
              <w:spacing w:line="276" w:lineRule="auto"/>
              <w:rPr>
                <w:rStyle w:val="39"/>
                <w:rFonts w:ascii="宋体" w:hAnsi="宋体"/>
                <w:szCs w:val="21"/>
                <w:shd w:val="pct10" w:color="auto" w:fill="FFFFFF"/>
              </w:rPr>
            </w:pPr>
            <w:r>
              <w:rPr>
                <w:rStyle w:val="39"/>
                <w:rFonts w:ascii="宋体" w:hAnsi="宋体"/>
                <w:szCs w:val="21"/>
              </w:rPr>
              <w:t>本项目的招标答疑文件及补充通知（如有）</w:t>
            </w:r>
          </w:p>
        </w:tc>
      </w:tr>
      <w:tr w14:paraId="1F54507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542CAAC8">
            <w:pPr>
              <w:rPr>
                <w:rStyle w:val="39"/>
                <w:rFonts w:ascii="宋体" w:hAnsi="宋体"/>
                <w:szCs w:val="21"/>
              </w:rPr>
            </w:pPr>
            <w:r>
              <w:rPr>
                <w:rStyle w:val="39"/>
                <w:rFonts w:ascii="宋体" w:hAnsi="宋体"/>
                <w:szCs w:val="21"/>
              </w:rPr>
              <w:t>2.2.1</w:t>
            </w:r>
          </w:p>
        </w:tc>
        <w:tc>
          <w:tcPr>
            <w:tcW w:w="2293" w:type="dxa"/>
            <w:tcBorders>
              <w:top w:val="single" w:color="000000" w:sz="6" w:space="0"/>
              <w:left w:val="single" w:color="000000" w:sz="6" w:space="0"/>
              <w:bottom w:val="single" w:color="000000" w:sz="6" w:space="0"/>
              <w:right w:val="single" w:color="000000" w:sz="6" w:space="0"/>
            </w:tcBorders>
            <w:vAlign w:val="center"/>
          </w:tcPr>
          <w:p w14:paraId="44B53A47">
            <w:pPr>
              <w:spacing w:line="276" w:lineRule="auto"/>
              <w:rPr>
                <w:rStyle w:val="39"/>
                <w:rFonts w:ascii="宋体" w:hAnsi="宋体"/>
                <w:szCs w:val="21"/>
              </w:rPr>
            </w:pPr>
            <w:r>
              <w:rPr>
                <w:rStyle w:val="39"/>
                <w:rFonts w:ascii="宋体" w:hAnsi="宋体"/>
                <w:szCs w:val="21"/>
              </w:rPr>
              <w:t>投标人要求澄清招标文件的截止时间</w:t>
            </w:r>
          </w:p>
        </w:tc>
        <w:tc>
          <w:tcPr>
            <w:tcW w:w="6930" w:type="dxa"/>
            <w:tcBorders>
              <w:top w:val="single" w:color="000000" w:sz="6" w:space="0"/>
              <w:left w:val="single" w:color="000000" w:sz="6" w:space="0"/>
              <w:bottom w:val="single" w:color="000000" w:sz="6" w:space="0"/>
              <w:right w:val="single" w:color="000000" w:sz="12" w:space="0"/>
            </w:tcBorders>
            <w:vAlign w:val="center"/>
          </w:tcPr>
          <w:p w14:paraId="584C1D44">
            <w:pPr>
              <w:spacing w:line="276" w:lineRule="auto"/>
              <w:rPr>
                <w:rStyle w:val="39"/>
                <w:rFonts w:ascii="宋体" w:hAnsi="宋体"/>
                <w:szCs w:val="21"/>
                <w:u w:val="single"/>
              </w:rPr>
            </w:pPr>
            <w:r>
              <w:rPr>
                <w:rFonts w:hint="eastAsia" w:ascii="宋体" w:hAnsi="宋体"/>
                <w:szCs w:val="21"/>
                <w:highlight w:val="green"/>
                <w:u w:val="single"/>
              </w:rPr>
              <w:t>202</w:t>
            </w:r>
            <w:r>
              <w:rPr>
                <w:rFonts w:hint="eastAsia" w:ascii="宋体" w:hAnsi="宋体"/>
                <w:szCs w:val="21"/>
                <w:highlight w:val="green"/>
                <w:u w:val="single"/>
                <w:lang w:val="en-US" w:eastAsia="zh-CN"/>
              </w:rPr>
              <w:t>6</w:t>
            </w:r>
            <w:r>
              <w:rPr>
                <w:rFonts w:hint="eastAsia" w:ascii="宋体" w:hAnsi="宋体"/>
                <w:szCs w:val="21"/>
                <w:highlight w:val="green"/>
                <w:u w:val="single"/>
              </w:rPr>
              <w:t>年</w:t>
            </w:r>
            <w:r>
              <w:rPr>
                <w:rFonts w:hint="eastAsia" w:ascii="宋体" w:hAnsi="宋体"/>
                <w:szCs w:val="21"/>
                <w:highlight w:val="green"/>
                <w:u w:val="single"/>
                <w:lang w:val="en-US" w:eastAsia="zh-CN"/>
              </w:rPr>
              <w:t>10</w:t>
            </w:r>
            <w:r>
              <w:rPr>
                <w:rFonts w:hint="eastAsia" w:ascii="宋体" w:hAnsi="宋体"/>
                <w:szCs w:val="21"/>
                <w:highlight w:val="green"/>
                <w:u w:val="single"/>
              </w:rPr>
              <w:t>月</w:t>
            </w:r>
            <w:r>
              <w:rPr>
                <w:rFonts w:hint="eastAsia" w:ascii="宋体" w:hAnsi="宋体"/>
                <w:szCs w:val="21"/>
                <w:highlight w:val="green"/>
                <w:u w:val="single"/>
                <w:lang w:val="en-US" w:eastAsia="zh-CN"/>
              </w:rPr>
              <w:t>8</w:t>
            </w:r>
            <w:r>
              <w:rPr>
                <w:rFonts w:hint="eastAsia" w:ascii="宋体" w:hAnsi="宋体"/>
                <w:szCs w:val="21"/>
                <w:highlight w:val="green"/>
                <w:u w:val="single"/>
              </w:rPr>
              <w:t>日</w:t>
            </w:r>
            <w:r>
              <w:rPr>
                <w:rStyle w:val="39"/>
                <w:rFonts w:hint="eastAsia" w:ascii="宋体" w:hAnsi="宋体"/>
                <w:szCs w:val="21"/>
                <w:u w:val="single"/>
                <w:lang w:val="en-US" w:eastAsia="zh-CN"/>
              </w:rPr>
              <w:t>17</w:t>
            </w:r>
            <w:r>
              <w:rPr>
                <w:rStyle w:val="39"/>
                <w:rFonts w:ascii="宋体" w:hAnsi="宋体"/>
                <w:szCs w:val="21"/>
                <w:u w:val="single"/>
              </w:rPr>
              <w:t>时00</w:t>
            </w:r>
          </w:p>
        </w:tc>
      </w:tr>
      <w:tr w14:paraId="5FFE462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exact"/>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08B298AD">
            <w:pPr>
              <w:rPr>
                <w:rStyle w:val="39"/>
                <w:rFonts w:ascii="宋体" w:hAnsi="宋体"/>
                <w:szCs w:val="21"/>
              </w:rPr>
            </w:pPr>
            <w:r>
              <w:rPr>
                <w:rStyle w:val="39"/>
                <w:rFonts w:ascii="宋体" w:hAnsi="宋体"/>
                <w:szCs w:val="21"/>
              </w:rPr>
              <w:t>2.2.2</w:t>
            </w:r>
          </w:p>
        </w:tc>
        <w:tc>
          <w:tcPr>
            <w:tcW w:w="2293" w:type="dxa"/>
            <w:tcBorders>
              <w:top w:val="single" w:color="000000" w:sz="6" w:space="0"/>
              <w:left w:val="single" w:color="000000" w:sz="6" w:space="0"/>
              <w:bottom w:val="single" w:color="000000" w:sz="6" w:space="0"/>
              <w:right w:val="single" w:color="000000" w:sz="6" w:space="0"/>
            </w:tcBorders>
            <w:vAlign w:val="center"/>
          </w:tcPr>
          <w:p w14:paraId="2C65FE86">
            <w:pPr>
              <w:spacing w:line="276" w:lineRule="auto"/>
              <w:rPr>
                <w:rStyle w:val="39"/>
                <w:rFonts w:ascii="宋体" w:hAnsi="宋体"/>
                <w:szCs w:val="21"/>
              </w:rPr>
            </w:pPr>
            <w:r>
              <w:rPr>
                <w:rStyle w:val="39"/>
                <w:rFonts w:ascii="宋体" w:hAnsi="宋体"/>
                <w:szCs w:val="21"/>
              </w:rPr>
              <w:t>投标截止时间</w:t>
            </w:r>
          </w:p>
        </w:tc>
        <w:tc>
          <w:tcPr>
            <w:tcW w:w="6930" w:type="dxa"/>
            <w:tcBorders>
              <w:top w:val="single" w:color="000000" w:sz="6" w:space="0"/>
              <w:left w:val="single" w:color="000000" w:sz="6" w:space="0"/>
              <w:bottom w:val="single" w:color="000000" w:sz="6" w:space="0"/>
              <w:right w:val="single" w:color="000000" w:sz="12" w:space="0"/>
            </w:tcBorders>
            <w:vAlign w:val="center"/>
          </w:tcPr>
          <w:p w14:paraId="0E23147A">
            <w:pPr>
              <w:spacing w:line="276" w:lineRule="auto"/>
              <w:rPr>
                <w:rStyle w:val="39"/>
                <w:rFonts w:ascii="宋体" w:hAnsi="宋体"/>
                <w:szCs w:val="21"/>
                <w:u w:val="single"/>
              </w:rPr>
            </w:pPr>
            <w:r>
              <w:rPr>
                <w:rFonts w:hint="eastAsia" w:ascii="宋体" w:hAnsi="宋体"/>
                <w:szCs w:val="21"/>
                <w:highlight w:val="green"/>
                <w:u w:val="single"/>
              </w:rPr>
              <w:t>202</w:t>
            </w:r>
            <w:r>
              <w:rPr>
                <w:rFonts w:hint="eastAsia" w:ascii="宋体" w:hAnsi="宋体"/>
                <w:szCs w:val="21"/>
                <w:highlight w:val="green"/>
                <w:u w:val="single"/>
                <w:lang w:val="en-US" w:eastAsia="zh-CN"/>
              </w:rPr>
              <w:t>6</w:t>
            </w:r>
            <w:r>
              <w:rPr>
                <w:rFonts w:hint="eastAsia" w:ascii="宋体" w:hAnsi="宋体"/>
                <w:szCs w:val="21"/>
                <w:highlight w:val="green"/>
                <w:u w:val="single"/>
              </w:rPr>
              <w:t>年</w:t>
            </w:r>
            <w:r>
              <w:rPr>
                <w:rFonts w:hint="eastAsia" w:ascii="宋体" w:hAnsi="宋体"/>
                <w:szCs w:val="21"/>
                <w:highlight w:val="green"/>
                <w:u w:val="single"/>
                <w:lang w:val="en-US" w:eastAsia="zh-CN"/>
              </w:rPr>
              <w:t>10</w:t>
            </w:r>
            <w:r>
              <w:rPr>
                <w:rFonts w:hint="eastAsia" w:ascii="宋体" w:hAnsi="宋体"/>
                <w:szCs w:val="21"/>
                <w:highlight w:val="green"/>
                <w:u w:val="single"/>
              </w:rPr>
              <w:t>月</w:t>
            </w:r>
            <w:r>
              <w:rPr>
                <w:rFonts w:hint="eastAsia" w:ascii="宋体" w:hAnsi="宋体"/>
                <w:szCs w:val="21"/>
                <w:highlight w:val="green"/>
                <w:u w:val="single"/>
                <w:lang w:val="en-US" w:eastAsia="zh-CN"/>
              </w:rPr>
              <w:t>14</w:t>
            </w:r>
            <w:r>
              <w:rPr>
                <w:rFonts w:hint="eastAsia" w:ascii="宋体" w:hAnsi="宋体"/>
                <w:szCs w:val="21"/>
                <w:highlight w:val="green"/>
                <w:u w:val="single"/>
              </w:rPr>
              <w:t>日</w:t>
            </w:r>
            <w:r>
              <w:rPr>
                <w:rStyle w:val="39"/>
                <w:rFonts w:hint="eastAsia" w:ascii="宋体" w:hAnsi="宋体"/>
                <w:szCs w:val="21"/>
                <w:u w:val="single"/>
              </w:rPr>
              <w:t>9</w:t>
            </w:r>
            <w:r>
              <w:rPr>
                <w:rStyle w:val="39"/>
                <w:rFonts w:ascii="宋体" w:hAnsi="宋体"/>
                <w:szCs w:val="21"/>
                <w:u w:val="single"/>
              </w:rPr>
              <w:t>时</w:t>
            </w:r>
            <w:r>
              <w:rPr>
                <w:rStyle w:val="39"/>
                <w:rFonts w:hint="eastAsia" w:ascii="宋体" w:hAnsi="宋体"/>
                <w:szCs w:val="21"/>
                <w:u w:val="single"/>
              </w:rPr>
              <w:t>00</w:t>
            </w:r>
            <w:r>
              <w:rPr>
                <w:rStyle w:val="67"/>
                <w:rFonts w:eastAsiaTheme="minorEastAsia"/>
                <w:b w:val="0"/>
                <w:bCs w:val="0"/>
                <w:szCs w:val="21"/>
              </w:rPr>
              <w:t>（以重汽e采通实际设置为准）</w:t>
            </w:r>
            <w:r>
              <w:rPr>
                <w:rStyle w:val="67"/>
                <w:b w:val="0"/>
                <w:bCs w:val="0"/>
                <w:szCs w:val="21"/>
              </w:rPr>
              <w:t xml:space="preserve"> </w:t>
            </w:r>
          </w:p>
        </w:tc>
      </w:tr>
      <w:tr w14:paraId="1DAA23F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7701C572">
            <w:pPr>
              <w:rPr>
                <w:rStyle w:val="39"/>
                <w:rFonts w:ascii="宋体" w:hAnsi="宋体"/>
                <w:szCs w:val="21"/>
              </w:rPr>
            </w:pPr>
            <w:r>
              <w:rPr>
                <w:rStyle w:val="39"/>
                <w:rFonts w:ascii="宋体" w:hAnsi="宋体"/>
                <w:szCs w:val="21"/>
              </w:rPr>
              <w:t>2.2.3</w:t>
            </w:r>
          </w:p>
        </w:tc>
        <w:tc>
          <w:tcPr>
            <w:tcW w:w="2293" w:type="dxa"/>
            <w:tcBorders>
              <w:top w:val="single" w:color="000000" w:sz="6" w:space="0"/>
              <w:left w:val="single" w:color="000000" w:sz="6" w:space="0"/>
              <w:bottom w:val="single" w:color="000000" w:sz="6" w:space="0"/>
              <w:right w:val="single" w:color="000000" w:sz="6" w:space="0"/>
            </w:tcBorders>
            <w:vAlign w:val="center"/>
          </w:tcPr>
          <w:p w14:paraId="7FDE5A73">
            <w:pPr>
              <w:spacing w:line="276" w:lineRule="auto"/>
              <w:rPr>
                <w:rStyle w:val="39"/>
                <w:rFonts w:ascii="宋体" w:hAnsi="宋体"/>
                <w:szCs w:val="21"/>
              </w:rPr>
            </w:pPr>
            <w:r>
              <w:rPr>
                <w:rStyle w:val="39"/>
                <w:rFonts w:ascii="宋体" w:hAnsi="宋体"/>
                <w:szCs w:val="21"/>
              </w:rPr>
              <w:t>投标人确认收到招标文件澄清的时间及方式</w:t>
            </w:r>
          </w:p>
        </w:tc>
        <w:tc>
          <w:tcPr>
            <w:tcW w:w="6930" w:type="dxa"/>
            <w:tcBorders>
              <w:top w:val="single" w:color="000000" w:sz="6" w:space="0"/>
              <w:left w:val="single" w:color="000000" w:sz="6" w:space="0"/>
              <w:bottom w:val="single" w:color="000000" w:sz="6" w:space="0"/>
              <w:right w:val="single" w:color="000000" w:sz="12" w:space="0"/>
            </w:tcBorders>
            <w:vAlign w:val="center"/>
          </w:tcPr>
          <w:p w14:paraId="52219416">
            <w:pPr>
              <w:spacing w:line="276" w:lineRule="auto"/>
              <w:ind w:left="-2" w:leftChars="-1" w:firstLine="2" w:firstLineChars="1"/>
              <w:rPr>
                <w:rStyle w:val="39"/>
                <w:rFonts w:ascii="宋体" w:hAnsi="宋体"/>
                <w:szCs w:val="21"/>
                <w:u w:val="single"/>
              </w:rPr>
            </w:pPr>
            <w:r>
              <w:rPr>
                <w:rStyle w:val="39"/>
                <w:rFonts w:ascii="宋体" w:hAnsi="宋体"/>
                <w:szCs w:val="21"/>
              </w:rPr>
              <w:t>在收到相应澄清文件后</w:t>
            </w:r>
            <w:r>
              <w:rPr>
                <w:rStyle w:val="39"/>
                <w:rFonts w:ascii="宋体" w:hAnsi="宋体"/>
                <w:szCs w:val="21"/>
                <w:u w:val="single"/>
              </w:rPr>
              <w:t>24</w:t>
            </w:r>
            <w:r>
              <w:rPr>
                <w:rStyle w:val="39"/>
                <w:rFonts w:ascii="宋体" w:hAnsi="宋体"/>
                <w:szCs w:val="21"/>
              </w:rPr>
              <w:t>小时内；在回执单上盖上单位公章，以书面方式回执。</w:t>
            </w:r>
          </w:p>
        </w:tc>
      </w:tr>
      <w:tr w14:paraId="79BA190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0E976BAC">
            <w:pPr>
              <w:rPr>
                <w:rStyle w:val="39"/>
                <w:rFonts w:ascii="宋体" w:hAnsi="宋体"/>
                <w:szCs w:val="21"/>
              </w:rPr>
            </w:pPr>
            <w:r>
              <w:rPr>
                <w:rStyle w:val="39"/>
                <w:rFonts w:ascii="宋体" w:hAnsi="宋体"/>
                <w:szCs w:val="21"/>
              </w:rPr>
              <w:t>2.3.2</w:t>
            </w:r>
          </w:p>
        </w:tc>
        <w:tc>
          <w:tcPr>
            <w:tcW w:w="2293" w:type="dxa"/>
            <w:tcBorders>
              <w:top w:val="single" w:color="000000" w:sz="6" w:space="0"/>
              <w:left w:val="single" w:color="000000" w:sz="6" w:space="0"/>
              <w:bottom w:val="single" w:color="000000" w:sz="6" w:space="0"/>
              <w:right w:val="single" w:color="000000" w:sz="6" w:space="0"/>
            </w:tcBorders>
            <w:vAlign w:val="center"/>
          </w:tcPr>
          <w:p w14:paraId="6658F6B6">
            <w:pPr>
              <w:spacing w:line="276" w:lineRule="auto"/>
              <w:rPr>
                <w:rStyle w:val="39"/>
                <w:rFonts w:ascii="宋体" w:hAnsi="宋体"/>
                <w:szCs w:val="21"/>
              </w:rPr>
            </w:pPr>
            <w:r>
              <w:rPr>
                <w:rStyle w:val="39"/>
                <w:rFonts w:ascii="宋体" w:hAnsi="宋体"/>
                <w:szCs w:val="21"/>
              </w:rPr>
              <w:t>投标人确认收到招标文件修改的时间及方式</w:t>
            </w:r>
          </w:p>
        </w:tc>
        <w:tc>
          <w:tcPr>
            <w:tcW w:w="6930" w:type="dxa"/>
            <w:tcBorders>
              <w:top w:val="single" w:color="000000" w:sz="6" w:space="0"/>
              <w:left w:val="single" w:color="000000" w:sz="6" w:space="0"/>
              <w:bottom w:val="single" w:color="000000" w:sz="6" w:space="0"/>
              <w:right w:val="single" w:color="000000" w:sz="12" w:space="0"/>
            </w:tcBorders>
            <w:vAlign w:val="center"/>
          </w:tcPr>
          <w:p w14:paraId="18D1A128">
            <w:pPr>
              <w:spacing w:line="276" w:lineRule="auto"/>
              <w:rPr>
                <w:rStyle w:val="39"/>
                <w:rFonts w:ascii="宋体" w:hAnsi="宋体"/>
                <w:szCs w:val="21"/>
              </w:rPr>
            </w:pPr>
            <w:r>
              <w:rPr>
                <w:rStyle w:val="39"/>
                <w:rFonts w:ascii="宋体" w:hAnsi="宋体"/>
                <w:szCs w:val="21"/>
              </w:rPr>
              <w:t>在收到相应修改文件后</w:t>
            </w:r>
            <w:r>
              <w:rPr>
                <w:rStyle w:val="39"/>
                <w:rFonts w:ascii="宋体" w:hAnsi="宋体"/>
                <w:szCs w:val="21"/>
                <w:u w:val="single"/>
              </w:rPr>
              <w:t>24</w:t>
            </w:r>
            <w:r>
              <w:rPr>
                <w:rStyle w:val="39"/>
                <w:rFonts w:ascii="宋体" w:hAnsi="宋体"/>
                <w:szCs w:val="21"/>
              </w:rPr>
              <w:t>小时内；在回执单上盖上单位公章，以书面方式回执。</w:t>
            </w:r>
          </w:p>
        </w:tc>
      </w:tr>
      <w:tr w14:paraId="71956B3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5CADE9E8">
            <w:pPr>
              <w:rPr>
                <w:rStyle w:val="39"/>
                <w:rFonts w:ascii="宋体" w:hAnsi="宋体"/>
                <w:szCs w:val="21"/>
              </w:rPr>
            </w:pPr>
            <w:r>
              <w:rPr>
                <w:rStyle w:val="39"/>
                <w:rFonts w:ascii="宋体" w:hAnsi="宋体"/>
                <w:szCs w:val="21"/>
              </w:rPr>
              <w:t>3.1.1</w:t>
            </w:r>
          </w:p>
        </w:tc>
        <w:tc>
          <w:tcPr>
            <w:tcW w:w="2293" w:type="dxa"/>
            <w:tcBorders>
              <w:top w:val="single" w:color="000000" w:sz="6" w:space="0"/>
              <w:left w:val="single" w:color="000000" w:sz="6" w:space="0"/>
              <w:bottom w:val="single" w:color="000000" w:sz="6" w:space="0"/>
              <w:right w:val="single" w:color="000000" w:sz="6" w:space="0"/>
            </w:tcBorders>
            <w:vAlign w:val="center"/>
          </w:tcPr>
          <w:p w14:paraId="33CE7ADE">
            <w:pPr>
              <w:spacing w:line="276" w:lineRule="auto"/>
              <w:rPr>
                <w:rStyle w:val="39"/>
                <w:rFonts w:ascii="宋体" w:hAnsi="宋体"/>
                <w:szCs w:val="21"/>
              </w:rPr>
            </w:pPr>
            <w:r>
              <w:rPr>
                <w:rStyle w:val="39"/>
                <w:rFonts w:ascii="宋体" w:hAnsi="宋体"/>
                <w:szCs w:val="21"/>
              </w:rPr>
              <w:t>构成投标文件的其他材料</w:t>
            </w:r>
          </w:p>
        </w:tc>
        <w:tc>
          <w:tcPr>
            <w:tcW w:w="6930" w:type="dxa"/>
            <w:tcBorders>
              <w:top w:val="single" w:color="000000" w:sz="6" w:space="0"/>
              <w:left w:val="single" w:color="000000" w:sz="6" w:space="0"/>
              <w:bottom w:val="single" w:color="000000" w:sz="6" w:space="0"/>
              <w:right w:val="single" w:color="000000" w:sz="12" w:space="0"/>
            </w:tcBorders>
            <w:vAlign w:val="center"/>
          </w:tcPr>
          <w:p w14:paraId="06A3366F">
            <w:pPr>
              <w:spacing w:line="276" w:lineRule="auto"/>
              <w:rPr>
                <w:rStyle w:val="39"/>
                <w:rFonts w:ascii="宋体" w:hAnsi="宋体"/>
                <w:szCs w:val="21"/>
              </w:rPr>
            </w:pPr>
            <w:r>
              <w:rPr>
                <w:rStyle w:val="39"/>
                <w:rFonts w:ascii="宋体" w:hAnsi="宋体"/>
                <w:szCs w:val="21"/>
              </w:rPr>
              <w:t>投标人的澄清及承诺（如果有）</w:t>
            </w:r>
          </w:p>
        </w:tc>
      </w:tr>
      <w:tr w14:paraId="0ECDC0B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55" w:hRule="atLeast"/>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0577DE5D">
            <w:pPr>
              <w:rPr>
                <w:rStyle w:val="39"/>
                <w:rFonts w:ascii="宋体" w:hAnsi="宋体"/>
                <w:szCs w:val="21"/>
              </w:rPr>
            </w:pPr>
            <w:r>
              <w:rPr>
                <w:rStyle w:val="39"/>
                <w:rFonts w:ascii="宋体" w:hAnsi="宋体"/>
                <w:szCs w:val="21"/>
              </w:rPr>
              <w:t>3.3.1</w:t>
            </w:r>
          </w:p>
        </w:tc>
        <w:tc>
          <w:tcPr>
            <w:tcW w:w="2293" w:type="dxa"/>
            <w:tcBorders>
              <w:top w:val="single" w:color="000000" w:sz="6" w:space="0"/>
              <w:left w:val="single" w:color="000000" w:sz="6" w:space="0"/>
              <w:bottom w:val="single" w:color="000000" w:sz="6" w:space="0"/>
              <w:right w:val="single" w:color="000000" w:sz="6" w:space="0"/>
            </w:tcBorders>
            <w:vAlign w:val="center"/>
          </w:tcPr>
          <w:p w14:paraId="001A96CA">
            <w:pPr>
              <w:spacing w:line="276" w:lineRule="auto"/>
              <w:rPr>
                <w:rStyle w:val="39"/>
                <w:rFonts w:ascii="宋体" w:hAnsi="宋体"/>
                <w:szCs w:val="21"/>
              </w:rPr>
            </w:pPr>
            <w:r>
              <w:rPr>
                <w:rStyle w:val="39"/>
                <w:rFonts w:ascii="宋体" w:hAnsi="宋体"/>
                <w:szCs w:val="21"/>
              </w:rPr>
              <w:t>投标有效期</w:t>
            </w:r>
          </w:p>
        </w:tc>
        <w:tc>
          <w:tcPr>
            <w:tcW w:w="6930" w:type="dxa"/>
            <w:tcBorders>
              <w:top w:val="single" w:color="000000" w:sz="6" w:space="0"/>
              <w:left w:val="single" w:color="000000" w:sz="6" w:space="0"/>
              <w:bottom w:val="single" w:color="000000" w:sz="6" w:space="0"/>
              <w:right w:val="single" w:color="000000" w:sz="12" w:space="0"/>
            </w:tcBorders>
            <w:vAlign w:val="center"/>
          </w:tcPr>
          <w:p w14:paraId="6EF3340B">
            <w:pPr>
              <w:spacing w:line="276" w:lineRule="auto"/>
              <w:rPr>
                <w:rStyle w:val="39"/>
                <w:rFonts w:ascii="宋体" w:hAnsi="宋体"/>
                <w:szCs w:val="21"/>
              </w:rPr>
            </w:pPr>
            <w:r>
              <w:rPr>
                <w:rStyle w:val="39"/>
                <w:rFonts w:ascii="宋体" w:hAnsi="宋体"/>
                <w:szCs w:val="21"/>
                <w:u w:val="single"/>
              </w:rPr>
              <w:t>90</w:t>
            </w:r>
            <w:r>
              <w:rPr>
                <w:rStyle w:val="39"/>
                <w:rFonts w:ascii="宋体" w:hAnsi="宋体"/>
                <w:szCs w:val="21"/>
              </w:rPr>
              <w:t>天</w:t>
            </w:r>
          </w:p>
        </w:tc>
      </w:tr>
      <w:tr w14:paraId="604B08F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08B34800">
            <w:pPr>
              <w:rPr>
                <w:rStyle w:val="39"/>
                <w:rFonts w:ascii="宋体" w:hAnsi="宋体"/>
                <w:szCs w:val="21"/>
              </w:rPr>
            </w:pPr>
            <w:r>
              <w:rPr>
                <w:rStyle w:val="39"/>
                <w:rFonts w:ascii="宋体" w:hAnsi="宋体"/>
                <w:szCs w:val="21"/>
              </w:rPr>
              <w:t>3.4.1</w:t>
            </w:r>
          </w:p>
        </w:tc>
        <w:tc>
          <w:tcPr>
            <w:tcW w:w="2293" w:type="dxa"/>
            <w:tcBorders>
              <w:top w:val="single" w:color="000000" w:sz="6" w:space="0"/>
              <w:left w:val="single" w:color="000000" w:sz="6" w:space="0"/>
              <w:bottom w:val="single" w:color="000000" w:sz="6" w:space="0"/>
              <w:right w:val="single" w:color="000000" w:sz="6" w:space="0"/>
            </w:tcBorders>
            <w:vAlign w:val="center"/>
          </w:tcPr>
          <w:p w14:paraId="7B2994EF">
            <w:pPr>
              <w:spacing w:line="276" w:lineRule="auto"/>
              <w:rPr>
                <w:rStyle w:val="39"/>
                <w:rFonts w:ascii="宋体" w:hAnsi="宋体"/>
                <w:szCs w:val="21"/>
              </w:rPr>
            </w:pPr>
            <w:r>
              <w:rPr>
                <w:rStyle w:val="39"/>
                <w:rFonts w:ascii="宋体" w:hAnsi="宋体"/>
                <w:szCs w:val="21"/>
              </w:rPr>
              <w:t>投标保证金的递交及相关费用的收取</w:t>
            </w:r>
          </w:p>
        </w:tc>
        <w:tc>
          <w:tcPr>
            <w:tcW w:w="6930" w:type="dxa"/>
            <w:tcBorders>
              <w:top w:val="single" w:color="000000" w:sz="6" w:space="0"/>
              <w:left w:val="single" w:color="000000" w:sz="6" w:space="0"/>
              <w:bottom w:val="single" w:color="000000" w:sz="6" w:space="0"/>
              <w:right w:val="single" w:color="000000" w:sz="12" w:space="0"/>
            </w:tcBorders>
          </w:tcPr>
          <w:p w14:paraId="717981F0">
            <w:r>
              <w:t>投标保证金的形式：</w:t>
            </w:r>
          </w:p>
          <w:p w14:paraId="70BE3685">
            <w:r>
              <w:rPr/>
              <w:sym w:font="Wingdings 2" w:char="0052"/>
            </w:r>
            <w:r>
              <w:t>电汇或网银</w:t>
            </w:r>
            <w:r>
              <w:rPr>
                <w:rFonts w:hint="eastAsia"/>
              </w:rPr>
              <w:t>或银行保函；</w:t>
            </w:r>
          </w:p>
          <w:p w14:paraId="313DB677">
            <w:pPr>
              <w:rPr>
                <w:highlight w:val="cyan"/>
              </w:rPr>
            </w:pPr>
            <w:r>
              <w:rPr>
                <w:highlight w:val="cyan"/>
              </w:rPr>
              <w:t>投标保证金的金额：</w:t>
            </w:r>
            <w:r>
              <w:rPr>
                <w:rFonts w:hint="eastAsia"/>
                <w:highlight w:val="cyan"/>
                <w:lang w:val="en-US" w:eastAsia="zh-CN"/>
              </w:rPr>
              <w:t>贰</w:t>
            </w:r>
            <w:r>
              <w:rPr>
                <w:rFonts w:hint="eastAsia"/>
                <w:highlight w:val="cyan"/>
              </w:rPr>
              <w:t>万元整（</w:t>
            </w:r>
            <w:r>
              <w:rPr>
                <w:rFonts w:hint="eastAsia"/>
                <w:highlight w:val="cyan"/>
                <w:lang w:val="en-US" w:eastAsia="zh-CN"/>
              </w:rPr>
              <w:t>2</w:t>
            </w:r>
            <w:bookmarkStart w:id="818" w:name="_GoBack"/>
            <w:bookmarkEnd w:id="818"/>
            <w:r>
              <w:rPr>
                <w:rFonts w:hint="eastAsia"/>
                <w:highlight w:val="cyan"/>
              </w:rPr>
              <w:t>0000元）</w:t>
            </w:r>
          </w:p>
          <w:p w14:paraId="7D12DA98">
            <w:r>
              <w:t>投标保证金提交截止期限：</w:t>
            </w:r>
            <w:r>
              <w:rPr>
                <w:rFonts w:hint="eastAsia" w:ascii="宋体" w:hAnsi="宋体"/>
                <w:szCs w:val="21"/>
                <w:highlight w:val="green"/>
                <w:u w:val="single"/>
              </w:rPr>
              <w:t>202</w:t>
            </w:r>
            <w:r>
              <w:rPr>
                <w:rFonts w:hint="eastAsia" w:ascii="宋体" w:hAnsi="宋体"/>
                <w:szCs w:val="21"/>
                <w:highlight w:val="green"/>
                <w:u w:val="single"/>
                <w:lang w:val="en-US" w:eastAsia="zh-CN"/>
              </w:rPr>
              <w:t>6</w:t>
            </w:r>
            <w:r>
              <w:rPr>
                <w:rFonts w:hint="eastAsia" w:ascii="宋体" w:hAnsi="宋体"/>
                <w:szCs w:val="21"/>
                <w:highlight w:val="green"/>
                <w:u w:val="single"/>
              </w:rPr>
              <w:t>年</w:t>
            </w:r>
            <w:r>
              <w:rPr>
                <w:rFonts w:hint="eastAsia" w:ascii="宋体" w:hAnsi="宋体"/>
                <w:szCs w:val="21"/>
                <w:highlight w:val="green"/>
                <w:u w:val="single"/>
                <w:lang w:val="en-US" w:eastAsia="zh-CN"/>
              </w:rPr>
              <w:t>10</w:t>
            </w:r>
            <w:r>
              <w:rPr>
                <w:rFonts w:hint="eastAsia" w:ascii="宋体" w:hAnsi="宋体"/>
                <w:szCs w:val="21"/>
                <w:highlight w:val="green"/>
                <w:u w:val="single"/>
              </w:rPr>
              <w:t>月</w:t>
            </w:r>
            <w:r>
              <w:rPr>
                <w:rFonts w:hint="eastAsia" w:ascii="宋体" w:hAnsi="宋体"/>
                <w:szCs w:val="21"/>
                <w:highlight w:val="green"/>
                <w:u w:val="single"/>
                <w:lang w:val="en-US" w:eastAsia="zh-CN"/>
              </w:rPr>
              <w:t>14</w:t>
            </w:r>
            <w:r>
              <w:rPr>
                <w:rFonts w:hint="eastAsia" w:ascii="宋体" w:hAnsi="宋体"/>
                <w:szCs w:val="21"/>
                <w:highlight w:val="green"/>
                <w:u w:val="single"/>
              </w:rPr>
              <w:t>日</w:t>
            </w:r>
            <w:r>
              <w:rPr>
                <w:rFonts w:hint="eastAsia"/>
                <w:lang w:val="en-US" w:eastAsia="zh-CN"/>
              </w:rPr>
              <w:t>9</w:t>
            </w:r>
            <w:r>
              <w:t>:00时前</w:t>
            </w:r>
            <w:r>
              <w:rPr>
                <w:rFonts w:hint="eastAsia"/>
              </w:rPr>
              <w:t>（逾期未提交的视为自动弃标）</w:t>
            </w:r>
          </w:p>
          <w:p w14:paraId="0214C1A7">
            <w:r>
              <w:rPr>
                <w:rFonts w:hint="eastAsia"/>
              </w:rPr>
              <w:t>投标保证金提交到：</w:t>
            </w:r>
          </w:p>
          <w:p w14:paraId="7443AEA8">
            <w:pPr>
              <w:pStyle w:val="13"/>
              <w:rPr>
                <w:rFonts w:ascii="宋体" w:hAnsi="宋体" w:eastAsia="宋体"/>
                <w:sz w:val="21"/>
                <w:szCs w:val="21"/>
              </w:rPr>
            </w:pPr>
            <w:r>
              <w:rPr>
                <w:rFonts w:hint="eastAsia" w:ascii="宋体" w:hAnsi="宋体" w:eastAsia="宋体"/>
                <w:sz w:val="21"/>
                <w:szCs w:val="21"/>
              </w:rPr>
              <w:t>开户名称：中国重汽集团济南动力有限公司</w:t>
            </w:r>
          </w:p>
          <w:p w14:paraId="6B1C49AC">
            <w:pPr>
              <w:pStyle w:val="13"/>
              <w:rPr>
                <w:rFonts w:ascii="宋体" w:hAnsi="宋体" w:eastAsia="宋体"/>
                <w:sz w:val="21"/>
                <w:szCs w:val="21"/>
              </w:rPr>
            </w:pPr>
            <w:r>
              <w:rPr>
                <w:rFonts w:hint="eastAsia" w:ascii="宋体" w:hAnsi="宋体" w:eastAsia="宋体"/>
                <w:sz w:val="21"/>
                <w:szCs w:val="21"/>
              </w:rPr>
              <w:t>开户银行：中国建设银行济南市天桥区支行</w:t>
            </w:r>
          </w:p>
          <w:p w14:paraId="376AB574">
            <w:pPr>
              <w:pStyle w:val="13"/>
              <w:rPr>
                <w:rFonts w:ascii="宋体" w:hAnsi="宋体" w:eastAsia="宋体"/>
                <w:sz w:val="21"/>
                <w:szCs w:val="21"/>
              </w:rPr>
            </w:pPr>
            <w:r>
              <w:rPr>
                <w:rFonts w:hint="eastAsia" w:ascii="宋体" w:hAnsi="宋体" w:eastAsia="宋体"/>
                <w:sz w:val="21"/>
                <w:szCs w:val="21"/>
              </w:rPr>
              <w:t>银行帐号：37001616508050150300</w:t>
            </w:r>
          </w:p>
          <w:p w14:paraId="407C9E00">
            <w:pPr>
              <w:pStyle w:val="13"/>
              <w:rPr>
                <w:rFonts w:ascii="宋体" w:hAnsi="宋体" w:eastAsia="宋体"/>
                <w:sz w:val="21"/>
                <w:szCs w:val="21"/>
              </w:rPr>
            </w:pPr>
            <w:r>
              <w:rPr>
                <w:rFonts w:hint="eastAsia" w:ascii="宋体" w:hAnsi="宋体" w:eastAsia="宋体"/>
                <w:sz w:val="21"/>
                <w:szCs w:val="21"/>
              </w:rPr>
              <w:t>开户行行号：105451000362</w:t>
            </w:r>
          </w:p>
          <w:p w14:paraId="1D785790">
            <w:pPr>
              <w:rPr>
                <w:highlight w:val="none"/>
              </w:rPr>
            </w:pPr>
            <w:r>
              <w:rPr>
                <w:rFonts w:hint="eastAsia"/>
              </w:rPr>
              <w:t>保证金未</w:t>
            </w:r>
            <w:r>
              <w:rPr>
                <w:rFonts w:hint="eastAsia"/>
                <w:highlight w:val="none"/>
              </w:rPr>
              <w:t>按上述规定缴纳的，视为自动放弃投标资格。</w:t>
            </w:r>
          </w:p>
          <w:p w14:paraId="1BAB33FF">
            <w:pPr>
              <w:pStyle w:val="2"/>
              <w:ind w:left="0" w:leftChars="0" w:firstLine="0" w:firstLineChars="0"/>
              <w:rPr>
                <w:b/>
                <w:bCs/>
                <w:highlight w:val="none"/>
              </w:rPr>
            </w:pPr>
            <w:r>
              <w:rPr>
                <w:b/>
                <w:bCs/>
                <w:highlight w:val="none"/>
              </w:rPr>
              <w:t>特别提醒：</w:t>
            </w:r>
          </w:p>
          <w:p w14:paraId="11F66C52">
            <w:pPr>
              <w:rPr>
                <w:b/>
                <w:bCs/>
                <w:highlight w:val="none"/>
              </w:rPr>
            </w:pPr>
            <w:r>
              <w:rPr>
                <w:highlight w:val="none"/>
              </w:rPr>
              <w:t>1、</w:t>
            </w:r>
            <w:r>
              <w:rPr>
                <w:b/>
                <w:bCs/>
                <w:highlight w:val="none"/>
              </w:rPr>
              <w:t>投标人原则上应以提交银行投标保函或从银行基本账户转账的方式缴纳投标保证金。</w:t>
            </w:r>
          </w:p>
          <w:p w14:paraId="35A63F7C">
            <w:pPr>
              <w:ind w:firstLine="420" w:firstLineChars="200"/>
            </w:pPr>
            <w:r>
              <w:t>投标人提交银行投标保函的，应在开标时提交投标保函正本</w:t>
            </w:r>
            <w:r>
              <w:rPr>
                <w:b/>
                <w:bCs/>
              </w:rPr>
              <w:t>（若有，需单独密封）</w:t>
            </w:r>
            <w:r>
              <w:t>，作为《投标文件》的一部分，该投标保函应是不可撤销的“见索即付”保函，保函有效期应满足投标有效期要求；</w:t>
            </w:r>
          </w:p>
          <w:p w14:paraId="45DE4CA4">
            <w:pPr>
              <w:ind w:firstLine="420" w:firstLineChars="200"/>
            </w:pPr>
            <w:bookmarkStart w:id="27" w:name="_Hlk234332102"/>
            <w:r>
              <w:t>投标人从银行基本账户转账的，需在规定日期内，将投标保证金转入招标人指定账户，</w:t>
            </w:r>
            <w:r>
              <w:rPr>
                <w:b/>
                <w:bCs/>
              </w:rPr>
              <w:t>银行摘要信息中要求有“保证金”字样且字数不超过24个。</w:t>
            </w:r>
          </w:p>
          <w:bookmarkEnd w:id="27"/>
          <w:p w14:paraId="7C2F0C30">
            <w:r>
              <w:t>2、投标保证金的退还</w:t>
            </w:r>
          </w:p>
          <w:p w14:paraId="33F37AC2">
            <w:pPr>
              <w:ind w:firstLine="420" w:firstLineChars="200"/>
            </w:pPr>
            <w:r>
              <w:t>按照招投标法保证金返还相关条款约定，结合我公司财务管理流程等综合因素，保证金退款流程申请成功退款到账时间为：未中标的投标人投标保证金将在中标通知书发出后60日内予以退还；中标人的投标保证金自合同签订之日起最长约60日予以退还。</w:t>
            </w:r>
          </w:p>
          <w:p w14:paraId="7F645718">
            <w:r>
              <w:t>请各投标单位知悉且视为认同此条款。</w:t>
            </w:r>
          </w:p>
        </w:tc>
      </w:tr>
      <w:tr w14:paraId="1CB728E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47C4A15A">
            <w:pPr>
              <w:spacing w:line="276" w:lineRule="auto"/>
              <w:rPr>
                <w:rStyle w:val="39"/>
                <w:rFonts w:ascii="宋体" w:hAnsi="宋体"/>
                <w:szCs w:val="21"/>
              </w:rPr>
            </w:pPr>
            <w:r>
              <w:rPr>
                <w:rStyle w:val="39"/>
                <w:rFonts w:ascii="宋体" w:hAnsi="宋体"/>
                <w:szCs w:val="21"/>
              </w:rPr>
              <w:t>3.6.3</w:t>
            </w:r>
          </w:p>
        </w:tc>
        <w:tc>
          <w:tcPr>
            <w:tcW w:w="2293" w:type="dxa"/>
            <w:tcBorders>
              <w:top w:val="single" w:color="000000" w:sz="6" w:space="0"/>
              <w:left w:val="single" w:color="000000" w:sz="6" w:space="0"/>
              <w:bottom w:val="single" w:color="000000" w:sz="6" w:space="0"/>
              <w:right w:val="single" w:color="000000" w:sz="6" w:space="0"/>
            </w:tcBorders>
            <w:vAlign w:val="center"/>
          </w:tcPr>
          <w:p w14:paraId="024D8122">
            <w:pPr>
              <w:spacing w:line="276" w:lineRule="auto"/>
              <w:rPr>
                <w:rStyle w:val="39"/>
                <w:rFonts w:ascii="宋体" w:hAnsi="宋体"/>
                <w:szCs w:val="21"/>
              </w:rPr>
            </w:pPr>
            <w:r>
              <w:rPr>
                <w:rStyle w:val="39"/>
                <w:rFonts w:ascii="宋体" w:hAnsi="宋体"/>
                <w:szCs w:val="21"/>
              </w:rPr>
              <w:t>签字和（或）盖章要求</w:t>
            </w:r>
          </w:p>
        </w:tc>
        <w:tc>
          <w:tcPr>
            <w:tcW w:w="6930" w:type="dxa"/>
            <w:tcBorders>
              <w:top w:val="single" w:color="000000" w:sz="6" w:space="0"/>
              <w:left w:val="single" w:color="000000" w:sz="6" w:space="0"/>
              <w:bottom w:val="single" w:color="000000" w:sz="6" w:space="0"/>
              <w:right w:val="single" w:color="000000" w:sz="12" w:space="0"/>
            </w:tcBorders>
          </w:tcPr>
          <w:p w14:paraId="1BB41E3C">
            <w:pPr>
              <w:spacing w:line="276" w:lineRule="auto"/>
              <w:rPr>
                <w:rStyle w:val="39"/>
                <w:rFonts w:ascii="宋体" w:hAnsi="宋体"/>
                <w:szCs w:val="21"/>
              </w:rPr>
            </w:pPr>
            <w:r>
              <w:rPr>
                <w:rStyle w:val="39"/>
                <w:rFonts w:ascii="宋体" w:hAnsi="宋体"/>
                <w:szCs w:val="21"/>
              </w:rPr>
              <w:t>投标文件封面处及投标函均应加盖投标人印章并经法定代表人或其委托代理人签字或盖章。</w:t>
            </w:r>
          </w:p>
        </w:tc>
      </w:tr>
      <w:tr w14:paraId="2219FEF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47" w:hRule="atLeast"/>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37797BD1">
            <w:pPr>
              <w:spacing w:line="276" w:lineRule="auto"/>
              <w:rPr>
                <w:rStyle w:val="39"/>
                <w:rFonts w:ascii="宋体" w:hAnsi="宋体"/>
                <w:szCs w:val="21"/>
              </w:rPr>
            </w:pPr>
            <w:r>
              <w:rPr>
                <w:rStyle w:val="39"/>
                <w:rFonts w:ascii="宋体" w:hAnsi="宋体"/>
                <w:szCs w:val="21"/>
              </w:rPr>
              <w:t>3.6.4</w:t>
            </w:r>
          </w:p>
        </w:tc>
        <w:tc>
          <w:tcPr>
            <w:tcW w:w="2293" w:type="dxa"/>
            <w:tcBorders>
              <w:top w:val="single" w:color="000000" w:sz="6" w:space="0"/>
              <w:left w:val="single" w:color="000000" w:sz="6" w:space="0"/>
              <w:bottom w:val="single" w:color="000000" w:sz="6" w:space="0"/>
              <w:right w:val="single" w:color="000000" w:sz="6" w:space="0"/>
            </w:tcBorders>
            <w:vAlign w:val="center"/>
          </w:tcPr>
          <w:p w14:paraId="2C0172D7">
            <w:pPr>
              <w:spacing w:line="276" w:lineRule="auto"/>
              <w:rPr>
                <w:rStyle w:val="39"/>
                <w:rFonts w:ascii="宋体" w:hAnsi="宋体"/>
                <w:szCs w:val="21"/>
              </w:rPr>
            </w:pPr>
            <w:r>
              <w:rPr>
                <w:rStyle w:val="39"/>
                <w:rFonts w:ascii="宋体" w:hAnsi="宋体"/>
                <w:szCs w:val="21"/>
              </w:rPr>
              <w:t>投标文件副本份数</w:t>
            </w:r>
          </w:p>
        </w:tc>
        <w:tc>
          <w:tcPr>
            <w:tcW w:w="6930" w:type="dxa"/>
            <w:tcBorders>
              <w:top w:val="single" w:color="000000" w:sz="6" w:space="0"/>
              <w:left w:val="single" w:color="000000" w:sz="6" w:space="0"/>
              <w:bottom w:val="single" w:color="000000" w:sz="6" w:space="0"/>
              <w:right w:val="single" w:color="000000" w:sz="12" w:space="0"/>
            </w:tcBorders>
            <w:vAlign w:val="center"/>
          </w:tcPr>
          <w:p w14:paraId="0688D8F0">
            <w:pPr>
              <w:spacing w:line="276" w:lineRule="auto"/>
              <w:jc w:val="left"/>
              <w:rPr>
                <w:rStyle w:val="39"/>
                <w:rFonts w:ascii="宋体" w:hAnsi="宋体"/>
                <w:szCs w:val="21"/>
              </w:rPr>
            </w:pPr>
            <w:r>
              <w:rPr>
                <w:rStyle w:val="39"/>
                <w:rFonts w:hint="eastAsia" w:ascii="宋体" w:hAnsi="宋体"/>
                <w:szCs w:val="21"/>
              </w:rPr>
              <w:t>商务标二份；技术标</w:t>
            </w:r>
            <w:r>
              <w:rPr>
                <w:rStyle w:val="39"/>
                <w:rFonts w:ascii="宋体" w:hAnsi="宋体"/>
                <w:szCs w:val="21"/>
              </w:rPr>
              <w:t>四份</w:t>
            </w:r>
          </w:p>
        </w:tc>
      </w:tr>
      <w:tr w14:paraId="3D8E050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3FAB3093">
            <w:pPr>
              <w:spacing w:line="276" w:lineRule="auto"/>
              <w:rPr>
                <w:rStyle w:val="39"/>
                <w:rFonts w:ascii="宋体" w:hAnsi="宋体"/>
                <w:szCs w:val="21"/>
              </w:rPr>
            </w:pPr>
            <w:r>
              <w:rPr>
                <w:rStyle w:val="39"/>
                <w:rFonts w:ascii="宋体" w:hAnsi="宋体"/>
                <w:szCs w:val="21"/>
              </w:rPr>
              <w:t>3.6.5</w:t>
            </w:r>
          </w:p>
        </w:tc>
        <w:tc>
          <w:tcPr>
            <w:tcW w:w="2293" w:type="dxa"/>
            <w:tcBorders>
              <w:top w:val="single" w:color="000000" w:sz="6" w:space="0"/>
              <w:left w:val="single" w:color="000000" w:sz="6" w:space="0"/>
              <w:bottom w:val="single" w:color="000000" w:sz="6" w:space="0"/>
              <w:right w:val="single" w:color="000000" w:sz="6" w:space="0"/>
            </w:tcBorders>
            <w:vAlign w:val="center"/>
          </w:tcPr>
          <w:p w14:paraId="1957072A">
            <w:pPr>
              <w:spacing w:line="276" w:lineRule="auto"/>
              <w:rPr>
                <w:rStyle w:val="39"/>
                <w:rFonts w:ascii="宋体" w:hAnsi="宋体"/>
                <w:szCs w:val="21"/>
              </w:rPr>
            </w:pPr>
            <w:r>
              <w:rPr>
                <w:rStyle w:val="39"/>
                <w:rFonts w:ascii="宋体" w:hAnsi="宋体"/>
                <w:szCs w:val="21"/>
              </w:rPr>
              <w:t>装订要求</w:t>
            </w:r>
          </w:p>
        </w:tc>
        <w:tc>
          <w:tcPr>
            <w:tcW w:w="6930" w:type="dxa"/>
            <w:tcBorders>
              <w:top w:val="single" w:color="000000" w:sz="6" w:space="0"/>
              <w:left w:val="single" w:color="000000" w:sz="6" w:space="0"/>
              <w:bottom w:val="single" w:color="000000" w:sz="6" w:space="0"/>
              <w:right w:val="single" w:color="000000" w:sz="12" w:space="0"/>
            </w:tcBorders>
          </w:tcPr>
          <w:p w14:paraId="2FA6D17D">
            <w:pPr>
              <w:spacing w:line="276" w:lineRule="auto"/>
              <w:rPr>
                <w:rStyle w:val="39"/>
                <w:rFonts w:ascii="宋体" w:hAnsi="宋体"/>
                <w:szCs w:val="21"/>
              </w:rPr>
            </w:pPr>
            <w:r>
              <w:rPr>
                <w:rStyle w:val="39"/>
                <w:rFonts w:ascii="宋体" w:hAnsi="宋体"/>
                <w:szCs w:val="21"/>
              </w:rPr>
              <w:t>按照</w:t>
            </w:r>
            <w:r>
              <w:rPr>
                <w:rStyle w:val="39"/>
                <w:rFonts w:hint="eastAsia" w:ascii="宋体" w:hAnsi="宋体"/>
                <w:szCs w:val="21"/>
              </w:rPr>
              <w:t>总则、</w:t>
            </w:r>
            <w:r>
              <w:rPr>
                <w:rStyle w:val="39"/>
                <w:rFonts w:ascii="宋体" w:hAnsi="宋体"/>
                <w:szCs w:val="21"/>
              </w:rPr>
              <w:t>投标人须知第3.1.1项规定的投标文件组成内容，投标文件应按以下要求装订；</w:t>
            </w:r>
          </w:p>
          <w:p w14:paraId="50D971A8">
            <w:pPr>
              <w:spacing w:line="276" w:lineRule="auto"/>
            </w:pPr>
            <w:r>
              <w:rPr>
                <w:rFonts w:hint="eastAsia"/>
              </w:rPr>
              <w:t>（1）</w:t>
            </w:r>
            <w:r>
              <w:rPr>
                <w:rFonts w:hint="eastAsia"/>
                <w:b/>
                <w:bCs/>
              </w:rPr>
              <w:t>工程唱标单</w:t>
            </w:r>
            <w:r>
              <w:rPr>
                <w:rFonts w:hint="eastAsia"/>
              </w:rPr>
              <w:t>：一式二份，单独密封。</w:t>
            </w:r>
          </w:p>
          <w:p w14:paraId="69083FDA">
            <w:pPr>
              <w:spacing w:line="276" w:lineRule="auto"/>
            </w:pPr>
            <w:r>
              <w:rPr>
                <w:rFonts w:hint="eastAsia"/>
              </w:rPr>
              <w:t>（2）</w:t>
            </w:r>
            <w:r>
              <w:rPr>
                <w:rFonts w:hint="eastAsia"/>
                <w:b/>
                <w:bCs/>
              </w:rPr>
              <w:t>投标文件电子版</w:t>
            </w:r>
            <w:r>
              <w:rPr>
                <w:rFonts w:hint="eastAsia"/>
              </w:rPr>
              <w:t>：</w:t>
            </w:r>
            <w:r>
              <w:rPr>
                <w:rStyle w:val="39"/>
                <w:rFonts w:ascii="宋体" w:hAnsi="宋体"/>
                <w:szCs w:val="21"/>
              </w:rPr>
              <w:t>U盘</w:t>
            </w:r>
            <w:r>
              <w:rPr>
                <w:rStyle w:val="39"/>
                <w:rFonts w:hint="eastAsia" w:ascii="宋体" w:hAnsi="宋体"/>
                <w:szCs w:val="21"/>
              </w:rPr>
              <w:t>，两份，</w:t>
            </w:r>
            <w:r>
              <w:rPr>
                <w:rStyle w:val="39"/>
                <w:rFonts w:ascii="宋体" w:hAnsi="宋体"/>
                <w:szCs w:val="21"/>
              </w:rPr>
              <w:t>单独放入一个密封袋中</w:t>
            </w:r>
            <w:r>
              <w:rPr>
                <w:rStyle w:val="39"/>
                <w:rFonts w:hint="eastAsia" w:ascii="宋体" w:hAnsi="宋体"/>
                <w:szCs w:val="21"/>
              </w:rPr>
              <w:t>。投标文件电子版应包含</w:t>
            </w:r>
            <w:r>
              <w:rPr>
                <w:rStyle w:val="39"/>
                <w:rFonts w:ascii="宋体" w:hAnsi="宋体"/>
                <w:szCs w:val="21"/>
              </w:rPr>
              <w:t>PDF</w:t>
            </w:r>
            <w:r>
              <w:rPr>
                <w:rStyle w:val="39"/>
                <w:rFonts w:hint="eastAsia" w:ascii="宋体" w:hAnsi="宋体"/>
                <w:szCs w:val="21"/>
              </w:rPr>
              <w:t>、</w:t>
            </w:r>
            <w:r>
              <w:rPr>
                <w:rStyle w:val="39"/>
                <w:rFonts w:ascii="宋体" w:hAnsi="宋体"/>
                <w:szCs w:val="21"/>
              </w:rPr>
              <w:t>WORD</w:t>
            </w:r>
            <w:r>
              <w:rPr>
                <w:rStyle w:val="39"/>
                <w:rFonts w:hint="eastAsia" w:ascii="宋体" w:hAnsi="宋体"/>
                <w:szCs w:val="21"/>
              </w:rPr>
              <w:t>、</w:t>
            </w:r>
            <w:r>
              <w:rPr>
                <w:rStyle w:val="39"/>
                <w:rFonts w:ascii="宋体" w:hAnsi="宋体"/>
                <w:szCs w:val="21"/>
              </w:rPr>
              <w:t>EXCEL格式</w:t>
            </w:r>
            <w:r>
              <w:rPr>
                <w:rStyle w:val="39"/>
                <w:rFonts w:hint="eastAsia" w:ascii="宋体" w:hAnsi="宋体"/>
                <w:szCs w:val="21"/>
              </w:rPr>
              <w:t>（P</w:t>
            </w:r>
            <w:r>
              <w:rPr>
                <w:rStyle w:val="39"/>
                <w:rFonts w:ascii="宋体" w:hAnsi="宋体"/>
                <w:szCs w:val="21"/>
              </w:rPr>
              <w:t>DF</w:t>
            </w:r>
            <w:r>
              <w:rPr>
                <w:rStyle w:val="39"/>
                <w:rFonts w:hint="eastAsia" w:ascii="宋体" w:hAnsi="宋体"/>
                <w:szCs w:val="21"/>
              </w:rPr>
              <w:t>版需逐页加盖公章），确保与上传重汽e采通的投标文件电子版一致。其中，</w:t>
            </w:r>
            <w:r>
              <w:rPr>
                <w:rStyle w:val="39"/>
                <w:rFonts w:ascii="宋体" w:hAnsi="宋体"/>
                <w:b/>
                <w:bCs/>
                <w:szCs w:val="21"/>
              </w:rPr>
              <w:t>《分部分项工程量清单与计价表》应为EXCEL格式</w:t>
            </w:r>
            <w:r>
              <w:rPr>
                <w:rStyle w:val="39"/>
                <w:rFonts w:hint="eastAsia" w:ascii="宋体" w:hAnsi="宋体"/>
                <w:b/>
                <w:bCs/>
                <w:szCs w:val="21"/>
              </w:rPr>
              <w:t>，并应包含广联达软件版报价文件。</w:t>
            </w:r>
          </w:p>
          <w:p w14:paraId="43A7FB74">
            <w:pPr>
              <w:spacing w:line="276" w:lineRule="auto"/>
              <w:rPr>
                <w:rStyle w:val="39"/>
                <w:rFonts w:ascii="宋体" w:hAnsi="宋体"/>
                <w:szCs w:val="21"/>
              </w:rPr>
            </w:pPr>
            <w:r>
              <w:rPr>
                <w:rStyle w:val="39"/>
                <w:rFonts w:ascii="宋体" w:hAnsi="宋体"/>
                <w:szCs w:val="21"/>
              </w:rPr>
              <w:t>（</w:t>
            </w:r>
            <w:r>
              <w:rPr>
                <w:rStyle w:val="39"/>
                <w:rFonts w:hint="eastAsia" w:ascii="宋体" w:hAnsi="宋体"/>
                <w:szCs w:val="21"/>
              </w:rPr>
              <w:t>3</w:t>
            </w:r>
            <w:r>
              <w:rPr>
                <w:rStyle w:val="39"/>
                <w:rFonts w:ascii="宋体" w:hAnsi="宋体"/>
                <w:szCs w:val="21"/>
              </w:rPr>
              <w:t>）资格审查文件：</w:t>
            </w:r>
            <w:r>
              <w:rPr>
                <w:rStyle w:val="29"/>
                <w:rFonts w:ascii="宋体" w:hAnsi="宋体"/>
                <w:color w:val="auto"/>
              </w:rPr>
              <w:t>第九章</w:t>
            </w:r>
            <w:r>
              <w:rPr>
                <w:rStyle w:val="39"/>
                <w:rFonts w:ascii="宋体" w:hAnsi="宋体"/>
                <w:szCs w:val="21"/>
              </w:rPr>
              <w:t>内容（只需一份，单独装密封）</w:t>
            </w:r>
          </w:p>
          <w:p w14:paraId="71E97208">
            <w:pPr>
              <w:spacing w:line="276" w:lineRule="auto"/>
              <w:rPr>
                <w:rStyle w:val="39"/>
                <w:rFonts w:ascii="宋体" w:hAnsi="宋体"/>
                <w:b/>
                <w:bCs/>
                <w:szCs w:val="21"/>
              </w:rPr>
            </w:pPr>
            <w:r>
              <w:rPr>
                <w:rStyle w:val="39"/>
                <w:rFonts w:ascii="宋体" w:hAnsi="宋体"/>
                <w:szCs w:val="21"/>
              </w:rPr>
              <w:t>（</w:t>
            </w:r>
            <w:r>
              <w:rPr>
                <w:rStyle w:val="39"/>
                <w:rFonts w:hint="eastAsia" w:ascii="宋体" w:hAnsi="宋体"/>
                <w:b/>
                <w:bCs/>
                <w:szCs w:val="21"/>
              </w:rPr>
              <w:t>4</w:t>
            </w:r>
            <w:r>
              <w:rPr>
                <w:rStyle w:val="39"/>
                <w:rFonts w:ascii="宋体" w:hAnsi="宋体"/>
                <w:b/>
                <w:bCs/>
                <w:szCs w:val="21"/>
              </w:rPr>
              <w:t>）商务标及技术标文件，分两册装订，分别为：</w:t>
            </w:r>
          </w:p>
          <w:p w14:paraId="02D03D8B">
            <w:pPr>
              <w:spacing w:line="276" w:lineRule="auto"/>
              <w:ind w:firstLine="211" w:firstLineChars="100"/>
              <w:rPr>
                <w:rStyle w:val="39"/>
                <w:rFonts w:ascii="宋体" w:hAnsi="宋体"/>
                <w:b/>
                <w:bCs/>
                <w:szCs w:val="21"/>
              </w:rPr>
            </w:pPr>
            <w:r>
              <w:rPr>
                <w:rStyle w:val="39"/>
                <w:rFonts w:ascii="宋体" w:hAnsi="宋体"/>
                <w:b/>
                <w:bCs/>
                <w:szCs w:val="21"/>
              </w:rPr>
              <w:t>商务标册：包括</w:t>
            </w:r>
            <w:r>
              <w:rPr>
                <w:rStyle w:val="39"/>
                <w:rFonts w:ascii="宋体" w:hAnsi="宋体"/>
                <w:b/>
                <w:bCs/>
                <w:szCs w:val="21"/>
                <w:u w:val="single"/>
              </w:rPr>
              <w:t>（1）</w:t>
            </w:r>
            <w:r>
              <w:rPr>
                <w:rStyle w:val="39"/>
                <w:rFonts w:ascii="宋体" w:hAnsi="宋体"/>
                <w:b/>
                <w:bCs/>
                <w:szCs w:val="21"/>
              </w:rPr>
              <w:t>至</w:t>
            </w:r>
            <w:r>
              <w:rPr>
                <w:rStyle w:val="39"/>
                <w:rFonts w:ascii="宋体" w:hAnsi="宋体"/>
                <w:b/>
                <w:bCs/>
                <w:szCs w:val="21"/>
                <w:u w:val="single"/>
              </w:rPr>
              <w:t>（5）</w:t>
            </w:r>
            <w:r>
              <w:rPr>
                <w:rStyle w:val="39"/>
                <w:rFonts w:ascii="宋体" w:hAnsi="宋体"/>
                <w:b/>
                <w:bCs/>
                <w:szCs w:val="21"/>
              </w:rPr>
              <w:t>的内容（</w:t>
            </w:r>
            <w:r>
              <w:rPr>
                <w:rStyle w:val="39"/>
                <w:rFonts w:ascii="宋体" w:hAnsi="宋体"/>
                <w:b/>
                <w:bCs/>
                <w:szCs w:val="21"/>
                <w:u w:val="single"/>
              </w:rPr>
              <w:t>一正</w:t>
            </w:r>
            <w:r>
              <w:rPr>
                <w:rStyle w:val="39"/>
                <w:rFonts w:hint="eastAsia" w:ascii="宋体" w:hAnsi="宋体"/>
                <w:b/>
                <w:bCs/>
                <w:szCs w:val="21"/>
                <w:u w:val="single"/>
              </w:rPr>
              <w:t>二</w:t>
            </w:r>
            <w:r>
              <w:rPr>
                <w:rStyle w:val="39"/>
                <w:rFonts w:ascii="宋体" w:hAnsi="宋体"/>
                <w:b/>
                <w:bCs/>
                <w:szCs w:val="21"/>
                <w:u w:val="single"/>
              </w:rPr>
              <w:t>副</w:t>
            </w:r>
            <w:r>
              <w:rPr>
                <w:rStyle w:val="39"/>
                <w:rFonts w:ascii="宋体" w:hAnsi="宋体"/>
                <w:b/>
                <w:bCs/>
                <w:szCs w:val="21"/>
              </w:rPr>
              <w:t>）</w:t>
            </w:r>
          </w:p>
          <w:p w14:paraId="2D0F2D6E">
            <w:pPr>
              <w:spacing w:line="276" w:lineRule="auto"/>
              <w:ind w:firstLine="211" w:firstLineChars="100"/>
              <w:rPr>
                <w:rStyle w:val="39"/>
                <w:rFonts w:ascii="宋体" w:hAnsi="宋体"/>
                <w:b/>
                <w:bCs/>
                <w:szCs w:val="21"/>
              </w:rPr>
            </w:pPr>
            <w:r>
              <w:rPr>
                <w:rStyle w:val="39"/>
                <w:rFonts w:ascii="宋体" w:hAnsi="宋体"/>
                <w:b/>
                <w:bCs/>
                <w:szCs w:val="21"/>
              </w:rPr>
              <w:t>技术标册：包括</w:t>
            </w:r>
            <w:r>
              <w:rPr>
                <w:rStyle w:val="39"/>
                <w:rFonts w:ascii="宋体" w:hAnsi="宋体"/>
                <w:b/>
                <w:bCs/>
                <w:szCs w:val="21"/>
                <w:u w:val="single"/>
              </w:rPr>
              <w:t>（6）</w:t>
            </w:r>
            <w:r>
              <w:rPr>
                <w:rStyle w:val="39"/>
                <w:rFonts w:ascii="宋体" w:hAnsi="宋体"/>
                <w:b/>
                <w:bCs/>
                <w:szCs w:val="21"/>
              </w:rPr>
              <w:t>至</w:t>
            </w:r>
            <w:r>
              <w:rPr>
                <w:rStyle w:val="39"/>
                <w:rFonts w:ascii="宋体" w:hAnsi="宋体"/>
                <w:b/>
                <w:bCs/>
                <w:szCs w:val="21"/>
                <w:u w:val="single"/>
              </w:rPr>
              <w:t>（</w:t>
            </w:r>
            <w:r>
              <w:rPr>
                <w:rStyle w:val="39"/>
                <w:rFonts w:hint="eastAsia" w:ascii="宋体" w:hAnsi="宋体"/>
                <w:b/>
                <w:bCs/>
                <w:szCs w:val="21"/>
                <w:u w:val="single"/>
                <w:lang w:val="en-US" w:eastAsia="zh-CN"/>
              </w:rPr>
              <w:t>7</w:t>
            </w:r>
            <w:r>
              <w:rPr>
                <w:rStyle w:val="39"/>
                <w:rFonts w:ascii="宋体" w:hAnsi="宋体"/>
                <w:b/>
                <w:bCs/>
                <w:szCs w:val="21"/>
                <w:u w:val="single"/>
              </w:rPr>
              <w:t>）</w:t>
            </w:r>
            <w:r>
              <w:rPr>
                <w:rStyle w:val="39"/>
                <w:rFonts w:ascii="宋体" w:hAnsi="宋体"/>
                <w:b/>
                <w:bCs/>
                <w:szCs w:val="21"/>
              </w:rPr>
              <w:t>的内容（一正四副）</w:t>
            </w:r>
          </w:p>
          <w:p w14:paraId="375B042D">
            <w:pPr>
              <w:spacing w:line="276" w:lineRule="auto"/>
              <w:rPr>
                <w:rStyle w:val="39"/>
                <w:rFonts w:ascii="宋体" w:hAnsi="宋体"/>
                <w:szCs w:val="21"/>
              </w:rPr>
            </w:pPr>
            <w:r>
              <w:rPr>
                <w:rStyle w:val="39"/>
                <w:rFonts w:ascii="宋体" w:hAnsi="宋体"/>
                <w:szCs w:val="21"/>
              </w:rPr>
              <w:t>以上文件每册采用</w:t>
            </w:r>
            <w:r>
              <w:rPr>
                <w:rStyle w:val="39"/>
                <w:rFonts w:ascii="宋体" w:hAnsi="宋体"/>
                <w:szCs w:val="21"/>
                <w:u w:val="single"/>
              </w:rPr>
              <w:t>胶装</w:t>
            </w:r>
            <w:r>
              <w:rPr>
                <w:rStyle w:val="39"/>
                <w:rFonts w:ascii="宋体" w:hAnsi="宋体"/>
                <w:szCs w:val="21"/>
              </w:rPr>
              <w:t>方式装订，应牢固、不易拆散和换页，不得采用活页装订。</w:t>
            </w:r>
          </w:p>
        </w:tc>
      </w:tr>
      <w:tr w14:paraId="7C8B4CA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432492BC">
            <w:pPr>
              <w:spacing w:line="276" w:lineRule="auto"/>
              <w:rPr>
                <w:rStyle w:val="39"/>
                <w:rFonts w:ascii="宋体" w:hAnsi="宋体"/>
                <w:szCs w:val="21"/>
              </w:rPr>
            </w:pPr>
            <w:r>
              <w:rPr>
                <w:rStyle w:val="39"/>
                <w:rFonts w:ascii="宋体" w:hAnsi="宋体"/>
                <w:szCs w:val="21"/>
              </w:rPr>
              <w:t>4.1.2</w:t>
            </w:r>
          </w:p>
        </w:tc>
        <w:tc>
          <w:tcPr>
            <w:tcW w:w="2293" w:type="dxa"/>
            <w:tcBorders>
              <w:top w:val="single" w:color="000000" w:sz="6" w:space="0"/>
              <w:left w:val="single" w:color="000000" w:sz="6" w:space="0"/>
              <w:bottom w:val="single" w:color="000000" w:sz="6" w:space="0"/>
              <w:right w:val="single" w:color="000000" w:sz="6" w:space="0"/>
            </w:tcBorders>
            <w:vAlign w:val="center"/>
          </w:tcPr>
          <w:p w14:paraId="3B762E23">
            <w:pPr>
              <w:spacing w:line="276" w:lineRule="auto"/>
              <w:jc w:val="center"/>
              <w:rPr>
                <w:rStyle w:val="39"/>
                <w:rFonts w:ascii="宋体" w:hAnsi="宋体"/>
                <w:szCs w:val="21"/>
              </w:rPr>
            </w:pPr>
            <w:r>
              <w:rPr>
                <w:rStyle w:val="39"/>
                <w:rFonts w:ascii="宋体" w:hAnsi="宋体"/>
                <w:szCs w:val="21"/>
              </w:rPr>
              <w:t>封套上写明</w:t>
            </w:r>
          </w:p>
        </w:tc>
        <w:tc>
          <w:tcPr>
            <w:tcW w:w="6930" w:type="dxa"/>
            <w:tcBorders>
              <w:top w:val="single" w:color="000000" w:sz="6" w:space="0"/>
              <w:left w:val="single" w:color="000000" w:sz="6" w:space="0"/>
              <w:bottom w:val="single" w:color="000000" w:sz="6" w:space="0"/>
              <w:right w:val="single" w:color="000000" w:sz="12" w:space="0"/>
            </w:tcBorders>
          </w:tcPr>
          <w:p w14:paraId="0A918D17">
            <w:pPr>
              <w:spacing w:line="276" w:lineRule="auto"/>
              <w:rPr>
                <w:rStyle w:val="39"/>
                <w:rFonts w:ascii="宋体" w:hAnsi="宋体"/>
                <w:szCs w:val="21"/>
              </w:rPr>
            </w:pPr>
            <w:r>
              <w:rPr>
                <w:rStyle w:val="39"/>
                <w:rFonts w:hint="eastAsia" w:ascii="宋体" w:hAnsi="宋体"/>
                <w:szCs w:val="21"/>
              </w:rPr>
              <w:t>1) 项目编号、项目名称；</w:t>
            </w:r>
          </w:p>
          <w:p w14:paraId="027103DB">
            <w:pPr>
              <w:spacing w:line="276" w:lineRule="auto"/>
              <w:rPr>
                <w:rStyle w:val="39"/>
                <w:rFonts w:ascii="宋体" w:hAnsi="宋体"/>
                <w:szCs w:val="21"/>
              </w:rPr>
            </w:pPr>
            <w:r>
              <w:rPr>
                <w:rStyle w:val="39"/>
                <w:rFonts w:hint="eastAsia" w:ascii="宋体" w:hAnsi="宋体"/>
                <w:szCs w:val="21"/>
              </w:rPr>
              <w:t>2) 技术标书、开标一览表</w:t>
            </w:r>
            <w:r>
              <w:rPr>
                <w:rStyle w:val="39"/>
                <w:rFonts w:hint="eastAsia" w:ascii="宋体" w:hAnsi="宋体"/>
                <w:szCs w:val="21"/>
                <w:lang w:val="en-US" w:eastAsia="zh-CN"/>
              </w:rPr>
              <w:t>/唱标单</w:t>
            </w:r>
            <w:r>
              <w:rPr>
                <w:rStyle w:val="39"/>
                <w:rFonts w:hint="eastAsia" w:ascii="宋体" w:hAnsi="宋体"/>
                <w:szCs w:val="21"/>
              </w:rPr>
              <w:t>、投标文件电子版、技术标书、商务标书、资格审核文件；</w:t>
            </w:r>
          </w:p>
          <w:p w14:paraId="04FF3469">
            <w:pPr>
              <w:spacing w:line="276" w:lineRule="auto"/>
              <w:rPr>
                <w:rStyle w:val="39"/>
                <w:rFonts w:ascii="宋体" w:hAnsi="宋体"/>
                <w:szCs w:val="21"/>
              </w:rPr>
            </w:pPr>
            <w:r>
              <w:rPr>
                <w:rStyle w:val="39"/>
                <w:rFonts w:hint="eastAsia" w:ascii="宋体" w:hAnsi="宋体"/>
                <w:szCs w:val="21"/>
              </w:rPr>
              <w:t>3) 投标人名称（加盖公章）、地址、固定电话、授权人手机号；</w:t>
            </w:r>
          </w:p>
          <w:p w14:paraId="5460A1A8">
            <w:pPr>
              <w:spacing w:line="276" w:lineRule="auto"/>
              <w:rPr>
                <w:rStyle w:val="39"/>
                <w:rFonts w:ascii="宋体" w:hAnsi="宋体"/>
                <w:szCs w:val="21"/>
              </w:rPr>
            </w:pPr>
            <w:r>
              <w:rPr>
                <w:rStyle w:val="39"/>
                <w:rFonts w:hint="eastAsia" w:ascii="宋体" w:hAnsi="宋体"/>
                <w:szCs w:val="21"/>
              </w:rPr>
              <w:t>4）每一密封件在封口处注明“于    年  月   日  时  分</w:t>
            </w:r>
            <w:r>
              <w:rPr>
                <w:rStyle w:val="39"/>
                <w:rFonts w:ascii="宋体" w:hAnsi="宋体"/>
                <w:szCs w:val="21"/>
              </w:rPr>
              <w:t>（按实际开标时间填写）</w:t>
            </w:r>
            <w:r>
              <w:rPr>
                <w:rStyle w:val="39"/>
                <w:rFonts w:hint="eastAsia" w:ascii="宋体" w:hAnsi="宋体"/>
                <w:szCs w:val="21"/>
              </w:rPr>
              <w:t>之前不准启封”字样。</w:t>
            </w:r>
          </w:p>
        </w:tc>
      </w:tr>
      <w:tr w14:paraId="629E011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2D3E63BD">
            <w:pPr>
              <w:spacing w:line="276" w:lineRule="auto"/>
              <w:rPr>
                <w:rStyle w:val="39"/>
                <w:rFonts w:ascii="宋体" w:hAnsi="宋体"/>
                <w:szCs w:val="21"/>
              </w:rPr>
            </w:pPr>
            <w:r>
              <w:rPr>
                <w:rStyle w:val="39"/>
                <w:rFonts w:ascii="宋体" w:hAnsi="宋体"/>
                <w:szCs w:val="21"/>
              </w:rPr>
              <w:t>4.2.2</w:t>
            </w:r>
          </w:p>
        </w:tc>
        <w:tc>
          <w:tcPr>
            <w:tcW w:w="2293" w:type="dxa"/>
            <w:tcBorders>
              <w:top w:val="single" w:color="000000" w:sz="6" w:space="0"/>
              <w:left w:val="single" w:color="000000" w:sz="6" w:space="0"/>
              <w:bottom w:val="single" w:color="000000" w:sz="6" w:space="0"/>
              <w:right w:val="single" w:color="000000" w:sz="6" w:space="0"/>
            </w:tcBorders>
            <w:vAlign w:val="center"/>
          </w:tcPr>
          <w:p w14:paraId="5EFC7D84">
            <w:pPr>
              <w:spacing w:line="276" w:lineRule="auto"/>
              <w:jc w:val="center"/>
              <w:rPr>
                <w:rStyle w:val="39"/>
                <w:rFonts w:ascii="宋体" w:hAnsi="宋体"/>
                <w:szCs w:val="21"/>
              </w:rPr>
            </w:pPr>
            <w:r>
              <w:rPr>
                <w:rStyle w:val="39"/>
                <w:rFonts w:ascii="宋体" w:hAnsi="宋体"/>
                <w:szCs w:val="21"/>
              </w:rPr>
              <w:t>递交投标文件地点</w:t>
            </w:r>
          </w:p>
        </w:tc>
        <w:tc>
          <w:tcPr>
            <w:tcW w:w="6930" w:type="dxa"/>
            <w:tcBorders>
              <w:top w:val="single" w:color="000000" w:sz="6" w:space="0"/>
              <w:left w:val="single" w:color="000000" w:sz="6" w:space="0"/>
              <w:bottom w:val="single" w:color="000000" w:sz="6" w:space="0"/>
              <w:right w:val="single" w:color="000000" w:sz="12" w:space="0"/>
            </w:tcBorders>
          </w:tcPr>
          <w:p w14:paraId="165C55DE">
            <w:pPr>
              <w:snapToGrid w:val="0"/>
              <w:spacing w:line="288" w:lineRule="auto"/>
              <w:rPr>
                <w:rFonts w:ascii="宋体" w:hAnsi="宋体" w:cs="宋体"/>
                <w:szCs w:val="21"/>
              </w:rPr>
            </w:pPr>
            <w:r>
              <w:rPr>
                <w:rFonts w:hint="eastAsia" w:ascii="宋体" w:hAnsi="宋体" w:cs="宋体"/>
                <w:szCs w:val="21"/>
              </w:rPr>
              <w:t>纸版投标文件递交地点：</w:t>
            </w:r>
            <w:r>
              <w:rPr>
                <w:rFonts w:hint="eastAsia" w:ascii="宋体" w:hAnsi="宋体" w:cs="宋体"/>
                <w:szCs w:val="21"/>
                <w:highlight w:val="yellow"/>
              </w:rPr>
              <w:t>济南市高新区华奥路777号重汽科技大厦</w:t>
            </w:r>
            <w:r>
              <w:rPr>
                <w:rFonts w:hint="eastAsia" w:ascii="宋体" w:hAnsi="宋体" w:cs="宋体"/>
                <w:szCs w:val="21"/>
                <w:highlight w:val="yellow"/>
                <w:u w:val="single"/>
              </w:rPr>
              <w:t xml:space="preserve"> 1307 </w:t>
            </w:r>
            <w:r>
              <w:rPr>
                <w:rFonts w:hint="eastAsia" w:ascii="宋体" w:hAnsi="宋体" w:cs="宋体"/>
                <w:szCs w:val="21"/>
                <w:highlight w:val="yellow"/>
              </w:rPr>
              <w:t>会议室</w:t>
            </w:r>
            <w:r>
              <w:rPr>
                <w:rFonts w:hint="eastAsia" w:ascii="宋体" w:hAnsi="宋体" w:cs="宋体"/>
                <w:szCs w:val="21"/>
              </w:rPr>
              <w:t>，</w:t>
            </w:r>
            <w:r>
              <w:rPr>
                <w:rFonts w:hint="eastAsia" w:ascii="宋体" w:hAnsi="宋体" w:cs="宋体"/>
                <w:b/>
                <w:bCs/>
                <w:color w:val="C00000"/>
                <w:szCs w:val="21"/>
              </w:rPr>
              <w:t>线上线下同时开标</w:t>
            </w:r>
            <w:r>
              <w:rPr>
                <w:rFonts w:hint="eastAsia" w:ascii="宋体" w:hAnsi="宋体" w:cs="宋体"/>
                <w:szCs w:val="21"/>
              </w:rPr>
              <w:t>。</w:t>
            </w:r>
          </w:p>
          <w:p w14:paraId="329A4B9F">
            <w:pPr>
              <w:snapToGrid w:val="0"/>
              <w:spacing w:line="288" w:lineRule="auto"/>
              <w:rPr>
                <w:rFonts w:ascii="宋体" w:hAnsi="宋体" w:cs="宋体"/>
                <w:color w:val="FF0000"/>
                <w:szCs w:val="21"/>
              </w:rPr>
            </w:pPr>
            <w:r>
              <w:rPr>
                <w:rFonts w:hint="eastAsia" w:ascii="宋体" w:hAnsi="宋体" w:cs="宋体"/>
                <w:color w:val="FF0000"/>
                <w:szCs w:val="21"/>
              </w:rPr>
              <w:t>同时，投标人须在投标截止日期前（</w:t>
            </w:r>
            <w:r>
              <w:rPr>
                <w:rFonts w:hint="eastAsia" w:ascii="宋体" w:hAnsi="宋体" w:cs="宋体"/>
                <w:color w:val="FF0000"/>
                <w:szCs w:val="21"/>
                <w:em w:val="dot"/>
              </w:rPr>
              <w:t>为避免网络或电脑设备等临时出现问题，建议在投标截止日期前至少一天</w:t>
            </w:r>
            <w:r>
              <w:rPr>
                <w:rFonts w:hint="eastAsia" w:ascii="宋体" w:hAnsi="宋体" w:cs="宋体"/>
                <w:color w:val="FF0000"/>
                <w:szCs w:val="21"/>
              </w:rPr>
              <w:t>）将电子标书上传到重汽e采通平台</w:t>
            </w:r>
            <w:r>
              <w:fldChar w:fldCharType="begin"/>
            </w:r>
            <w:r>
              <w:instrText xml:space="preserve"> HYPERLINK "http://ecaitong.sinotruk.com:8012/%20normalLink" </w:instrText>
            </w:r>
            <w:r>
              <w:fldChar w:fldCharType="separate"/>
            </w:r>
            <w:r>
              <w:rPr>
                <w:rFonts w:hint="eastAsia" w:ascii="宋体" w:hAnsi="宋体" w:cs="宋体"/>
                <w:color w:val="FF0000"/>
                <w:szCs w:val="21"/>
              </w:rPr>
              <w:t>https://ecaitong.sinotruk.com:8012/</w:t>
            </w:r>
            <w:r>
              <w:rPr>
                <w:rFonts w:hint="eastAsia" w:ascii="宋体" w:hAnsi="宋体" w:cs="宋体"/>
                <w:color w:val="FF0000"/>
                <w:szCs w:val="21"/>
              </w:rPr>
              <w:fldChar w:fldCharType="end"/>
            </w:r>
            <w:r>
              <w:rPr>
                <w:rFonts w:hint="eastAsia" w:ascii="宋体" w:hAnsi="宋体" w:cs="宋体"/>
                <w:color w:val="FF0000"/>
                <w:szCs w:val="21"/>
              </w:rPr>
              <w:t>，操作方式详见《SRM-系统用户手册-非生产招投标（供应商使用）》。</w:t>
            </w:r>
            <w:r>
              <w:rPr>
                <w:rFonts w:hint="eastAsia" w:ascii="宋体" w:hAnsi="宋体" w:cs="宋体"/>
                <w:b/>
                <w:bCs/>
                <w:color w:val="FF0000"/>
                <w:szCs w:val="21"/>
                <w:em w:val="dot"/>
              </w:rPr>
              <w:t>若逾期未完成重汽e采通上传标书，开标时间截止之后投标系统自动关闭，即便递交了纸版投标文件，一律视为自动放弃本次投标</w:t>
            </w:r>
            <w:r>
              <w:rPr>
                <w:rFonts w:hint="eastAsia" w:ascii="宋体" w:hAnsi="宋体" w:cs="宋体"/>
                <w:b/>
                <w:bCs/>
                <w:color w:val="FF0000"/>
                <w:szCs w:val="21"/>
              </w:rPr>
              <w:t>。</w:t>
            </w:r>
          </w:p>
          <w:p w14:paraId="36289971">
            <w:pPr>
              <w:snapToGrid w:val="0"/>
              <w:spacing w:line="288" w:lineRule="auto"/>
              <w:rPr>
                <w:rFonts w:ascii="宋体" w:hAnsi="宋体" w:cs="宋体"/>
                <w:szCs w:val="21"/>
              </w:rPr>
            </w:pPr>
            <w:r>
              <w:rPr>
                <w:rFonts w:hint="eastAsia" w:ascii="宋体" w:hAnsi="宋体" w:cs="宋体"/>
                <w:szCs w:val="21"/>
              </w:rPr>
              <w:t>注意：投标人必须在报名时根据《非生产供应商注册操作手册》完成账号注册，注册审核需2-4日，审核通过后使用企业账号gsy+供应商编码，初始密码为scm@2022（或@2023，以注册成功收到的短信通知为准）登录。报名成功后进入“招投标中心-非生产类招投标-供应商应标”，上传资格审查资料后通知招标联系人。</w:t>
            </w:r>
            <w:bookmarkStart w:id="28" w:name="_Hlk161833507"/>
          </w:p>
          <w:p w14:paraId="1B906352">
            <w:pPr>
              <w:snapToGrid w:val="0"/>
              <w:spacing w:line="288" w:lineRule="auto"/>
            </w:pPr>
            <w:r>
              <w:rPr>
                <w:rFonts w:hint="eastAsia" w:ascii="宋体" w:hAnsi="宋体" w:cs="宋体"/>
                <w:szCs w:val="21"/>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bookmarkEnd w:id="28"/>
          </w:p>
          <w:p w14:paraId="0BA75679">
            <w:pPr>
              <w:spacing w:line="360" w:lineRule="auto"/>
              <w:rPr>
                <w:rFonts w:hint="eastAsia" w:ascii="宋体" w:hAnsi="宋体" w:cs="宋体"/>
                <w:color w:val="FF0000"/>
                <w:szCs w:val="21"/>
              </w:rPr>
            </w:pPr>
            <w:r>
              <w:rPr>
                <w:rFonts w:hint="eastAsia" w:ascii="宋体" w:hAnsi="宋体" w:cs="宋体"/>
                <w:color w:val="FF0000"/>
                <w:szCs w:val="21"/>
              </w:rPr>
              <w:t>应标截止时间为</w:t>
            </w:r>
            <w:r>
              <w:rPr>
                <w:rFonts w:hint="eastAsia" w:ascii="宋体" w:hAnsi="宋体" w:cs="宋体"/>
                <w:color w:val="FF0000"/>
                <w:szCs w:val="21"/>
                <w:highlight w:val="green"/>
              </w:rPr>
              <w:t>202</w:t>
            </w:r>
            <w:r>
              <w:rPr>
                <w:rFonts w:hint="eastAsia" w:ascii="宋体" w:hAnsi="宋体" w:cs="宋体"/>
                <w:color w:val="FF0000"/>
                <w:szCs w:val="21"/>
                <w:highlight w:val="green"/>
                <w:lang w:val="en-US" w:eastAsia="zh-CN"/>
              </w:rPr>
              <w:t>6</w:t>
            </w:r>
            <w:r>
              <w:rPr>
                <w:rFonts w:hint="eastAsia" w:ascii="宋体" w:hAnsi="宋体" w:cs="宋体"/>
                <w:color w:val="FF0000"/>
                <w:szCs w:val="21"/>
                <w:highlight w:val="green"/>
              </w:rPr>
              <w:t>年</w:t>
            </w:r>
            <w:r>
              <w:rPr>
                <w:rFonts w:hint="eastAsia" w:ascii="宋体" w:hAnsi="宋体" w:cs="宋体"/>
                <w:color w:val="FF0000"/>
                <w:szCs w:val="21"/>
                <w:highlight w:val="green"/>
                <w:lang w:val="en-US" w:eastAsia="zh-CN"/>
              </w:rPr>
              <w:t>9</w:t>
            </w:r>
            <w:r>
              <w:rPr>
                <w:rFonts w:hint="eastAsia" w:ascii="宋体" w:hAnsi="宋体" w:cs="宋体"/>
                <w:color w:val="FF0000"/>
                <w:szCs w:val="21"/>
                <w:highlight w:val="green"/>
              </w:rPr>
              <w:t>月</w:t>
            </w:r>
            <w:r>
              <w:rPr>
                <w:rFonts w:hint="eastAsia" w:ascii="宋体" w:hAnsi="宋体" w:cs="宋体"/>
                <w:color w:val="FF0000"/>
                <w:szCs w:val="21"/>
                <w:highlight w:val="green"/>
                <w:lang w:val="en-US" w:eastAsia="zh-CN"/>
              </w:rPr>
              <w:t>30</w:t>
            </w:r>
            <w:r>
              <w:rPr>
                <w:rFonts w:hint="eastAsia" w:ascii="宋体" w:hAnsi="宋体" w:cs="宋体"/>
                <w:color w:val="FF0000"/>
                <w:szCs w:val="21"/>
                <w:highlight w:val="green"/>
              </w:rPr>
              <w:t>日</w:t>
            </w:r>
            <w:r>
              <w:rPr>
                <w:rFonts w:hint="eastAsia" w:ascii="宋体" w:hAnsi="宋体" w:cs="宋体"/>
                <w:color w:val="FF0000"/>
                <w:szCs w:val="21"/>
              </w:rPr>
              <w:t>1</w:t>
            </w:r>
            <w:r>
              <w:rPr>
                <w:rFonts w:hint="eastAsia" w:ascii="宋体" w:hAnsi="宋体" w:cs="宋体"/>
                <w:color w:val="FF0000"/>
                <w:szCs w:val="21"/>
                <w:lang w:val="en-US" w:eastAsia="zh-CN"/>
              </w:rPr>
              <w:t>2</w:t>
            </w:r>
            <w:r>
              <w:rPr>
                <w:rFonts w:hint="eastAsia" w:ascii="宋体" w:hAnsi="宋体" w:cs="宋体"/>
                <w:color w:val="FF0000"/>
                <w:szCs w:val="21"/>
              </w:rPr>
              <w:t>:00:00精确到秒，逾期将无法应标。逾期未上传应标资料或应标审核未通过均视为报名不成功，无法参与投标。请自行掌握时间安排，避免报名不成功。</w:t>
            </w:r>
          </w:p>
          <w:p w14:paraId="479F5997">
            <w:pPr>
              <w:spacing w:line="360" w:lineRule="auto"/>
            </w:pPr>
            <w:r>
              <w:rPr>
                <w:rFonts w:hint="eastAsia" w:ascii="宋体" w:hAnsi="宋体" w:cs="宋体"/>
                <w:szCs w:val="21"/>
              </w:rPr>
              <w:t>注：资格审查未通过，不允许进入技术和商务开标、评审</w:t>
            </w:r>
          </w:p>
        </w:tc>
      </w:tr>
      <w:tr w14:paraId="1FAF048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07F2529A">
            <w:pPr>
              <w:spacing w:line="276" w:lineRule="auto"/>
              <w:rPr>
                <w:rStyle w:val="39"/>
                <w:rFonts w:ascii="宋体" w:hAnsi="宋体"/>
                <w:szCs w:val="21"/>
              </w:rPr>
            </w:pPr>
            <w:r>
              <w:rPr>
                <w:rStyle w:val="39"/>
                <w:rFonts w:ascii="宋体" w:hAnsi="宋体"/>
                <w:szCs w:val="21"/>
              </w:rPr>
              <w:t>4.2.3</w:t>
            </w:r>
          </w:p>
        </w:tc>
        <w:tc>
          <w:tcPr>
            <w:tcW w:w="2293" w:type="dxa"/>
            <w:tcBorders>
              <w:top w:val="single" w:color="000000" w:sz="6" w:space="0"/>
              <w:left w:val="single" w:color="000000" w:sz="6" w:space="0"/>
              <w:bottom w:val="single" w:color="000000" w:sz="6" w:space="0"/>
              <w:right w:val="single" w:color="000000" w:sz="6" w:space="0"/>
            </w:tcBorders>
          </w:tcPr>
          <w:p w14:paraId="17E0D4A1">
            <w:pPr>
              <w:spacing w:line="276" w:lineRule="auto"/>
              <w:rPr>
                <w:rStyle w:val="39"/>
                <w:rFonts w:ascii="宋体" w:hAnsi="宋体"/>
                <w:szCs w:val="21"/>
              </w:rPr>
            </w:pPr>
            <w:r>
              <w:rPr>
                <w:rStyle w:val="39"/>
                <w:rFonts w:ascii="宋体" w:hAnsi="宋体"/>
                <w:szCs w:val="21"/>
              </w:rPr>
              <w:t>是否退还投标文件</w:t>
            </w:r>
          </w:p>
        </w:tc>
        <w:tc>
          <w:tcPr>
            <w:tcW w:w="6930" w:type="dxa"/>
            <w:tcBorders>
              <w:top w:val="single" w:color="000000" w:sz="6" w:space="0"/>
              <w:left w:val="single" w:color="000000" w:sz="6" w:space="0"/>
              <w:bottom w:val="single" w:color="000000" w:sz="6" w:space="0"/>
              <w:right w:val="single" w:color="000000" w:sz="12" w:space="0"/>
            </w:tcBorders>
          </w:tcPr>
          <w:p w14:paraId="1934B294">
            <w:pPr>
              <w:spacing w:line="276" w:lineRule="auto"/>
              <w:rPr>
                <w:rStyle w:val="39"/>
                <w:rFonts w:ascii="宋体" w:hAnsi="宋体"/>
                <w:szCs w:val="21"/>
              </w:rPr>
            </w:pPr>
            <w:r>
              <w:rPr>
                <w:rStyle w:val="39"/>
                <w:rFonts w:ascii="宋体" w:hAnsi="宋体"/>
                <w:szCs w:val="21"/>
              </w:rPr>
              <w:t>否</w:t>
            </w:r>
          </w:p>
        </w:tc>
      </w:tr>
      <w:tr w14:paraId="27CFA8B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59CA5AFE">
            <w:pPr>
              <w:spacing w:line="276" w:lineRule="auto"/>
              <w:rPr>
                <w:rStyle w:val="39"/>
                <w:rFonts w:ascii="宋体" w:hAnsi="宋体"/>
                <w:szCs w:val="21"/>
              </w:rPr>
            </w:pPr>
            <w:r>
              <w:rPr>
                <w:rStyle w:val="39"/>
                <w:rFonts w:ascii="宋体" w:hAnsi="宋体"/>
                <w:szCs w:val="21"/>
              </w:rPr>
              <w:t>5.1</w:t>
            </w:r>
          </w:p>
        </w:tc>
        <w:tc>
          <w:tcPr>
            <w:tcW w:w="2293" w:type="dxa"/>
            <w:tcBorders>
              <w:top w:val="single" w:color="000000" w:sz="6" w:space="0"/>
              <w:left w:val="single" w:color="000000" w:sz="6" w:space="0"/>
              <w:bottom w:val="single" w:color="000000" w:sz="6" w:space="0"/>
              <w:right w:val="single" w:color="000000" w:sz="6" w:space="0"/>
            </w:tcBorders>
          </w:tcPr>
          <w:p w14:paraId="669A54F2">
            <w:pPr>
              <w:spacing w:line="276" w:lineRule="auto"/>
              <w:rPr>
                <w:rStyle w:val="39"/>
                <w:rFonts w:ascii="宋体" w:hAnsi="宋体"/>
                <w:szCs w:val="21"/>
              </w:rPr>
            </w:pPr>
            <w:r>
              <w:rPr>
                <w:rStyle w:val="39"/>
                <w:rFonts w:ascii="宋体" w:hAnsi="宋体"/>
                <w:szCs w:val="21"/>
              </w:rPr>
              <w:t>开标时间和地点</w:t>
            </w:r>
          </w:p>
        </w:tc>
        <w:tc>
          <w:tcPr>
            <w:tcW w:w="6930" w:type="dxa"/>
            <w:tcBorders>
              <w:top w:val="single" w:color="000000" w:sz="6" w:space="0"/>
              <w:left w:val="single" w:color="000000" w:sz="6" w:space="0"/>
              <w:bottom w:val="single" w:color="000000" w:sz="6" w:space="0"/>
              <w:right w:val="single" w:color="000000" w:sz="12" w:space="0"/>
            </w:tcBorders>
          </w:tcPr>
          <w:p w14:paraId="3D15FB10">
            <w:pPr>
              <w:spacing w:line="276" w:lineRule="auto"/>
              <w:rPr>
                <w:rStyle w:val="39"/>
                <w:rFonts w:hint="eastAsia" w:ascii="宋体" w:hAnsi="宋体" w:eastAsia="宋体"/>
                <w:szCs w:val="21"/>
                <w:lang w:eastAsia="zh-CN"/>
              </w:rPr>
            </w:pPr>
            <w:r>
              <w:rPr>
                <w:rStyle w:val="39"/>
                <w:rFonts w:ascii="宋体" w:hAnsi="宋体"/>
                <w:szCs w:val="21"/>
              </w:rPr>
              <w:t>开标时间：同投标截止时间</w:t>
            </w:r>
            <w:r>
              <w:rPr>
                <w:rStyle w:val="39"/>
                <w:rFonts w:hint="eastAsia" w:ascii="宋体" w:hAnsi="宋体"/>
                <w:szCs w:val="21"/>
                <w:lang w:eastAsia="zh-CN"/>
              </w:rPr>
              <w:t>，</w:t>
            </w:r>
            <w:r>
              <w:rPr>
                <w:rFonts w:hint="eastAsia" w:ascii="宋体" w:hAnsi="宋体"/>
                <w:szCs w:val="21"/>
                <w:highlight w:val="green"/>
                <w:u w:val="single"/>
              </w:rPr>
              <w:t>202</w:t>
            </w:r>
            <w:r>
              <w:rPr>
                <w:rFonts w:hint="eastAsia" w:ascii="宋体" w:hAnsi="宋体"/>
                <w:szCs w:val="21"/>
                <w:highlight w:val="green"/>
                <w:u w:val="single"/>
                <w:lang w:val="en-US" w:eastAsia="zh-CN"/>
              </w:rPr>
              <w:t>6</w:t>
            </w:r>
            <w:r>
              <w:rPr>
                <w:rFonts w:hint="eastAsia" w:ascii="宋体" w:hAnsi="宋体"/>
                <w:szCs w:val="21"/>
                <w:highlight w:val="green"/>
                <w:u w:val="single"/>
              </w:rPr>
              <w:t>年</w:t>
            </w:r>
            <w:r>
              <w:rPr>
                <w:rFonts w:hint="eastAsia" w:ascii="宋体" w:hAnsi="宋体"/>
                <w:szCs w:val="21"/>
                <w:highlight w:val="green"/>
                <w:u w:val="single"/>
                <w:lang w:val="en-US" w:eastAsia="zh-CN"/>
              </w:rPr>
              <w:t>10</w:t>
            </w:r>
            <w:r>
              <w:rPr>
                <w:rFonts w:hint="eastAsia" w:ascii="宋体" w:hAnsi="宋体"/>
                <w:szCs w:val="21"/>
                <w:highlight w:val="green"/>
                <w:u w:val="single"/>
              </w:rPr>
              <w:t>月</w:t>
            </w:r>
            <w:r>
              <w:rPr>
                <w:rFonts w:hint="eastAsia" w:ascii="宋体" w:hAnsi="宋体"/>
                <w:szCs w:val="21"/>
                <w:highlight w:val="green"/>
                <w:u w:val="single"/>
                <w:lang w:val="en-US" w:eastAsia="zh-CN"/>
              </w:rPr>
              <w:t>14</w:t>
            </w:r>
            <w:r>
              <w:rPr>
                <w:rFonts w:hint="eastAsia" w:ascii="宋体" w:hAnsi="宋体"/>
                <w:szCs w:val="21"/>
                <w:highlight w:val="green"/>
                <w:u w:val="single"/>
              </w:rPr>
              <w:t>日</w:t>
            </w:r>
            <w:r>
              <w:rPr>
                <w:rStyle w:val="39"/>
                <w:rFonts w:hint="eastAsia" w:ascii="宋体" w:hAnsi="宋体"/>
                <w:szCs w:val="21"/>
                <w:u w:val="single"/>
              </w:rPr>
              <w:t>9</w:t>
            </w:r>
            <w:r>
              <w:rPr>
                <w:rStyle w:val="39"/>
                <w:rFonts w:ascii="宋体" w:hAnsi="宋体"/>
                <w:szCs w:val="21"/>
                <w:u w:val="single"/>
              </w:rPr>
              <w:t>时</w:t>
            </w:r>
            <w:r>
              <w:rPr>
                <w:rStyle w:val="39"/>
                <w:rFonts w:hint="eastAsia" w:ascii="宋体" w:hAnsi="宋体"/>
                <w:szCs w:val="21"/>
                <w:u w:val="single"/>
              </w:rPr>
              <w:t>00</w:t>
            </w:r>
            <w:r>
              <w:rPr>
                <w:rStyle w:val="67"/>
                <w:rFonts w:eastAsiaTheme="minorEastAsia"/>
                <w:b w:val="0"/>
                <w:bCs w:val="0"/>
                <w:szCs w:val="21"/>
              </w:rPr>
              <w:t>（以重汽e采通实际设置为准）</w:t>
            </w:r>
            <w:r>
              <w:rPr>
                <w:rStyle w:val="67"/>
                <w:b w:val="0"/>
                <w:bCs w:val="0"/>
                <w:szCs w:val="21"/>
              </w:rPr>
              <w:t xml:space="preserve"> </w:t>
            </w:r>
          </w:p>
          <w:p w14:paraId="70F7357C">
            <w:pPr>
              <w:spacing w:line="276" w:lineRule="auto"/>
              <w:rPr>
                <w:rStyle w:val="39"/>
                <w:rFonts w:ascii="宋体" w:hAnsi="宋体"/>
                <w:szCs w:val="21"/>
              </w:rPr>
            </w:pPr>
            <w:r>
              <w:rPr>
                <w:rStyle w:val="39"/>
                <w:rFonts w:ascii="宋体" w:hAnsi="宋体"/>
                <w:szCs w:val="21"/>
                <w:highlight w:val="yellow"/>
              </w:rPr>
              <w:t>开标地点：</w:t>
            </w:r>
            <w:r>
              <w:rPr>
                <w:rStyle w:val="39"/>
                <w:rFonts w:hint="eastAsia" w:ascii="宋体" w:hAnsi="宋体"/>
                <w:szCs w:val="21"/>
                <w:highlight w:val="yellow"/>
              </w:rPr>
              <w:t>济南市华奥路777号重汽科技大厦1307室</w:t>
            </w:r>
          </w:p>
        </w:tc>
      </w:tr>
      <w:tr w14:paraId="3CA5BF2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783A5885">
            <w:pPr>
              <w:spacing w:line="276" w:lineRule="auto"/>
              <w:rPr>
                <w:rStyle w:val="39"/>
                <w:rFonts w:ascii="宋体" w:hAnsi="宋体"/>
                <w:szCs w:val="21"/>
              </w:rPr>
            </w:pPr>
            <w:r>
              <w:rPr>
                <w:rStyle w:val="39"/>
                <w:rFonts w:ascii="宋体" w:hAnsi="宋体"/>
                <w:szCs w:val="21"/>
              </w:rPr>
              <w:t>5.2</w:t>
            </w:r>
          </w:p>
        </w:tc>
        <w:tc>
          <w:tcPr>
            <w:tcW w:w="2293" w:type="dxa"/>
            <w:tcBorders>
              <w:top w:val="single" w:color="000000" w:sz="6" w:space="0"/>
              <w:left w:val="single" w:color="000000" w:sz="6" w:space="0"/>
              <w:bottom w:val="single" w:color="000000" w:sz="6" w:space="0"/>
              <w:right w:val="single" w:color="000000" w:sz="6" w:space="0"/>
            </w:tcBorders>
          </w:tcPr>
          <w:p w14:paraId="5192F191">
            <w:pPr>
              <w:spacing w:line="276" w:lineRule="auto"/>
              <w:rPr>
                <w:rStyle w:val="39"/>
                <w:rFonts w:ascii="宋体" w:hAnsi="宋体"/>
                <w:szCs w:val="21"/>
              </w:rPr>
            </w:pPr>
            <w:r>
              <w:rPr>
                <w:rStyle w:val="39"/>
                <w:rFonts w:ascii="宋体" w:hAnsi="宋体"/>
                <w:szCs w:val="21"/>
              </w:rPr>
              <w:t>开标程序</w:t>
            </w:r>
          </w:p>
        </w:tc>
        <w:tc>
          <w:tcPr>
            <w:tcW w:w="6930" w:type="dxa"/>
            <w:tcBorders>
              <w:top w:val="single" w:color="000000" w:sz="6" w:space="0"/>
              <w:left w:val="single" w:color="000000" w:sz="6" w:space="0"/>
              <w:bottom w:val="single" w:color="000000" w:sz="6" w:space="0"/>
              <w:right w:val="single" w:color="000000" w:sz="12" w:space="0"/>
            </w:tcBorders>
          </w:tcPr>
          <w:p w14:paraId="39ADE771">
            <w:pPr>
              <w:spacing w:line="276" w:lineRule="auto"/>
              <w:rPr>
                <w:rStyle w:val="39"/>
                <w:rFonts w:ascii="宋体" w:hAnsi="宋体"/>
                <w:szCs w:val="21"/>
              </w:rPr>
            </w:pPr>
            <w:r>
              <w:rPr>
                <w:rStyle w:val="39"/>
                <w:rFonts w:ascii="宋体" w:hAnsi="宋体"/>
                <w:szCs w:val="21"/>
              </w:rPr>
              <w:t>详见投标人须知</w:t>
            </w:r>
          </w:p>
        </w:tc>
      </w:tr>
      <w:tr w14:paraId="77FB83D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67A71EE5">
            <w:pPr>
              <w:spacing w:line="276" w:lineRule="auto"/>
              <w:rPr>
                <w:rStyle w:val="39"/>
                <w:rFonts w:ascii="宋体" w:hAnsi="宋体"/>
                <w:szCs w:val="21"/>
              </w:rPr>
            </w:pPr>
            <w:r>
              <w:rPr>
                <w:rStyle w:val="39"/>
                <w:rFonts w:ascii="宋体" w:hAnsi="宋体"/>
                <w:szCs w:val="21"/>
              </w:rPr>
              <w:t>6.1.1</w:t>
            </w:r>
          </w:p>
        </w:tc>
        <w:tc>
          <w:tcPr>
            <w:tcW w:w="2293" w:type="dxa"/>
            <w:tcBorders>
              <w:top w:val="single" w:color="000000" w:sz="6" w:space="0"/>
              <w:left w:val="single" w:color="000000" w:sz="6" w:space="0"/>
              <w:bottom w:val="single" w:color="000000" w:sz="6" w:space="0"/>
              <w:right w:val="single" w:color="000000" w:sz="6" w:space="0"/>
            </w:tcBorders>
          </w:tcPr>
          <w:p w14:paraId="0A7CC362">
            <w:pPr>
              <w:spacing w:line="276" w:lineRule="auto"/>
              <w:rPr>
                <w:rStyle w:val="39"/>
                <w:rFonts w:ascii="宋体" w:hAnsi="宋体"/>
                <w:szCs w:val="21"/>
              </w:rPr>
            </w:pPr>
            <w:r>
              <w:rPr>
                <w:rStyle w:val="39"/>
                <w:rFonts w:ascii="宋体" w:hAnsi="宋体"/>
                <w:szCs w:val="21"/>
              </w:rPr>
              <w:t>评标委员会的组建</w:t>
            </w:r>
          </w:p>
        </w:tc>
        <w:tc>
          <w:tcPr>
            <w:tcW w:w="6930" w:type="dxa"/>
            <w:tcBorders>
              <w:top w:val="single" w:color="000000" w:sz="6" w:space="0"/>
              <w:left w:val="single" w:color="000000" w:sz="6" w:space="0"/>
              <w:bottom w:val="single" w:color="000000" w:sz="6" w:space="0"/>
              <w:right w:val="single" w:color="000000" w:sz="12" w:space="0"/>
            </w:tcBorders>
          </w:tcPr>
          <w:p w14:paraId="74E23EC5">
            <w:pPr>
              <w:spacing w:line="276" w:lineRule="auto"/>
              <w:rPr>
                <w:rStyle w:val="39"/>
                <w:rFonts w:ascii="宋体" w:hAnsi="宋体"/>
                <w:szCs w:val="21"/>
              </w:rPr>
            </w:pPr>
            <w:r>
              <w:rPr>
                <w:rStyle w:val="39"/>
                <w:rFonts w:ascii="宋体" w:hAnsi="宋体"/>
                <w:szCs w:val="21"/>
              </w:rPr>
              <w:t>评标委员会构成：</w:t>
            </w:r>
            <w:r>
              <w:rPr>
                <w:rStyle w:val="39"/>
                <w:rFonts w:hint="eastAsia" w:ascii="宋体" w:hAnsi="宋体"/>
                <w:szCs w:val="21"/>
              </w:rPr>
              <w:t>技术标/商务标专家组均为</w:t>
            </w:r>
            <w:r>
              <w:rPr>
                <w:rStyle w:val="39"/>
                <w:rFonts w:hint="eastAsia" w:ascii="宋体" w:hAnsi="宋体"/>
                <w:szCs w:val="21"/>
                <w:lang w:val="en-US" w:eastAsia="zh-CN"/>
              </w:rPr>
              <w:t>5</w:t>
            </w:r>
            <w:r>
              <w:rPr>
                <w:rStyle w:val="39"/>
                <w:rFonts w:ascii="宋体" w:hAnsi="宋体"/>
                <w:szCs w:val="21"/>
              </w:rPr>
              <w:t>人或以上单数。</w:t>
            </w:r>
          </w:p>
        </w:tc>
      </w:tr>
      <w:tr w14:paraId="6E8EB41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13E44B38">
            <w:pPr>
              <w:spacing w:line="276" w:lineRule="auto"/>
              <w:rPr>
                <w:rStyle w:val="39"/>
                <w:rFonts w:ascii="宋体" w:hAnsi="宋体"/>
                <w:szCs w:val="21"/>
              </w:rPr>
            </w:pPr>
            <w:r>
              <w:rPr>
                <w:rStyle w:val="39"/>
                <w:rFonts w:ascii="宋体" w:hAnsi="宋体"/>
                <w:szCs w:val="21"/>
              </w:rPr>
              <w:t>7.1</w:t>
            </w:r>
          </w:p>
        </w:tc>
        <w:tc>
          <w:tcPr>
            <w:tcW w:w="2293" w:type="dxa"/>
            <w:tcBorders>
              <w:top w:val="single" w:color="000000" w:sz="6" w:space="0"/>
              <w:left w:val="single" w:color="000000" w:sz="6" w:space="0"/>
              <w:bottom w:val="single" w:color="000000" w:sz="6" w:space="0"/>
              <w:right w:val="single" w:color="000000" w:sz="6" w:space="0"/>
            </w:tcBorders>
          </w:tcPr>
          <w:p w14:paraId="78856D0A">
            <w:pPr>
              <w:spacing w:line="276" w:lineRule="auto"/>
              <w:rPr>
                <w:rStyle w:val="39"/>
                <w:rFonts w:ascii="宋体" w:hAnsi="宋体"/>
                <w:szCs w:val="21"/>
              </w:rPr>
            </w:pPr>
            <w:r>
              <w:rPr>
                <w:rStyle w:val="39"/>
                <w:rFonts w:ascii="宋体" w:hAnsi="宋体"/>
                <w:szCs w:val="21"/>
              </w:rPr>
              <w:t>是否授权评标委员会确定中标人</w:t>
            </w:r>
          </w:p>
        </w:tc>
        <w:tc>
          <w:tcPr>
            <w:tcW w:w="6930" w:type="dxa"/>
            <w:tcBorders>
              <w:top w:val="single" w:color="000000" w:sz="6" w:space="0"/>
              <w:left w:val="single" w:color="000000" w:sz="6" w:space="0"/>
              <w:bottom w:val="single" w:color="000000" w:sz="6" w:space="0"/>
              <w:right w:val="single" w:color="000000" w:sz="12" w:space="0"/>
            </w:tcBorders>
            <w:vAlign w:val="center"/>
          </w:tcPr>
          <w:p w14:paraId="7A934C11">
            <w:pPr>
              <w:spacing w:line="276" w:lineRule="auto"/>
              <w:rPr>
                <w:rStyle w:val="39"/>
                <w:rFonts w:ascii="宋体" w:hAnsi="宋体"/>
                <w:szCs w:val="21"/>
              </w:rPr>
            </w:pPr>
            <w:r>
              <w:rPr>
                <w:rStyle w:val="39"/>
                <w:rFonts w:ascii="宋体" w:hAnsi="宋体"/>
                <w:szCs w:val="21"/>
              </w:rPr>
              <w:t>否</w:t>
            </w:r>
          </w:p>
        </w:tc>
      </w:tr>
      <w:tr w14:paraId="74B6A74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7BBFB855">
            <w:pPr>
              <w:spacing w:line="276" w:lineRule="auto"/>
              <w:rPr>
                <w:rStyle w:val="39"/>
                <w:rFonts w:ascii="宋体" w:hAnsi="宋体"/>
                <w:szCs w:val="21"/>
              </w:rPr>
            </w:pPr>
            <w:r>
              <w:rPr>
                <w:rStyle w:val="39"/>
                <w:rFonts w:ascii="宋体" w:hAnsi="宋体"/>
                <w:szCs w:val="21"/>
              </w:rPr>
              <w:t>7.3.1</w:t>
            </w:r>
          </w:p>
        </w:tc>
        <w:tc>
          <w:tcPr>
            <w:tcW w:w="2293" w:type="dxa"/>
            <w:tcBorders>
              <w:top w:val="single" w:color="000000" w:sz="6" w:space="0"/>
              <w:left w:val="single" w:color="000000" w:sz="6" w:space="0"/>
              <w:bottom w:val="single" w:color="000000" w:sz="6" w:space="0"/>
              <w:right w:val="single" w:color="000000" w:sz="6" w:space="0"/>
            </w:tcBorders>
          </w:tcPr>
          <w:p w14:paraId="74233319">
            <w:pPr>
              <w:spacing w:line="276" w:lineRule="auto"/>
              <w:rPr>
                <w:rStyle w:val="39"/>
                <w:rFonts w:ascii="宋体" w:hAnsi="宋体"/>
                <w:szCs w:val="21"/>
              </w:rPr>
            </w:pPr>
            <w:r>
              <w:rPr>
                <w:rStyle w:val="39"/>
                <w:rFonts w:ascii="宋体" w:hAnsi="宋体"/>
                <w:szCs w:val="21"/>
              </w:rPr>
              <w:t>履约担保</w:t>
            </w:r>
          </w:p>
        </w:tc>
        <w:tc>
          <w:tcPr>
            <w:tcW w:w="6930" w:type="dxa"/>
            <w:tcBorders>
              <w:top w:val="single" w:color="000000" w:sz="6" w:space="0"/>
              <w:left w:val="single" w:color="000000" w:sz="6" w:space="0"/>
              <w:bottom w:val="single" w:color="000000" w:sz="6" w:space="0"/>
              <w:right w:val="single" w:color="000000" w:sz="12" w:space="0"/>
            </w:tcBorders>
          </w:tcPr>
          <w:p w14:paraId="546A1808">
            <w:pPr>
              <w:spacing w:line="276" w:lineRule="auto"/>
              <w:rPr>
                <w:highlight w:val="none"/>
              </w:rPr>
            </w:pPr>
            <w:r>
              <w:rPr>
                <w:rFonts w:hint="eastAsia"/>
                <w:highlight w:val="none"/>
              </w:rPr>
              <w:sym w:font="Wingdings 2" w:char="00A3"/>
            </w:r>
            <w:r>
              <w:rPr>
                <w:rFonts w:hint="eastAsia"/>
                <w:highlight w:val="none"/>
              </w:rPr>
              <w:t>银行保函（中标价的10%）</w:t>
            </w:r>
            <w:r>
              <w:rPr>
                <w:rFonts w:hint="eastAsia" w:eastAsia="宋体"/>
                <w:sz w:val="21"/>
                <w:szCs w:val="24"/>
                <w:highlight w:val="green"/>
              </w:rPr>
              <w:sym w:font="Wingdings 2" w:char="0052"/>
            </w:r>
            <w:r>
              <w:rPr>
                <w:rFonts w:hint="eastAsia" w:eastAsia="宋体"/>
                <w:sz w:val="21"/>
                <w:szCs w:val="24"/>
                <w:highlight w:val="green"/>
              </w:rPr>
              <w:t>投标保证金转为履约保证金</w:t>
            </w:r>
          </w:p>
        </w:tc>
      </w:tr>
      <w:tr w14:paraId="2F5C608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41" w:hRule="exact"/>
          <w:jc w:val="center"/>
        </w:trPr>
        <w:tc>
          <w:tcPr>
            <w:tcW w:w="10185" w:type="dxa"/>
            <w:gridSpan w:val="3"/>
            <w:tcBorders>
              <w:top w:val="single" w:color="000000" w:sz="6" w:space="0"/>
              <w:left w:val="single" w:color="000000" w:sz="12" w:space="0"/>
              <w:bottom w:val="single" w:color="000000" w:sz="6" w:space="0"/>
              <w:right w:val="single" w:color="000000" w:sz="12" w:space="0"/>
            </w:tcBorders>
            <w:vAlign w:val="center"/>
          </w:tcPr>
          <w:p w14:paraId="5EF4D6D4">
            <w:pPr>
              <w:spacing w:line="276" w:lineRule="auto"/>
              <w:rPr>
                <w:rStyle w:val="39"/>
                <w:rFonts w:ascii="宋体" w:hAnsi="宋体"/>
                <w:szCs w:val="21"/>
              </w:rPr>
            </w:pPr>
            <w:r>
              <w:rPr>
                <w:rStyle w:val="39"/>
                <w:rFonts w:ascii="宋体" w:hAnsi="宋体"/>
                <w:szCs w:val="21"/>
              </w:rPr>
              <w:t>10. 需要补充的其他内容</w:t>
            </w:r>
          </w:p>
        </w:tc>
      </w:tr>
      <w:tr w14:paraId="7EA07D1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33" w:hRule="exact"/>
          <w:jc w:val="center"/>
        </w:trPr>
        <w:tc>
          <w:tcPr>
            <w:tcW w:w="10185" w:type="dxa"/>
            <w:gridSpan w:val="3"/>
            <w:tcBorders>
              <w:top w:val="single" w:color="000000" w:sz="6" w:space="0"/>
              <w:left w:val="single" w:color="000000" w:sz="12" w:space="0"/>
              <w:bottom w:val="single" w:color="000000" w:sz="6" w:space="0"/>
              <w:right w:val="single" w:color="000000" w:sz="12" w:space="0"/>
            </w:tcBorders>
            <w:vAlign w:val="center"/>
          </w:tcPr>
          <w:p w14:paraId="6D92E5D4">
            <w:pPr>
              <w:spacing w:line="276" w:lineRule="auto"/>
              <w:rPr>
                <w:rStyle w:val="39"/>
                <w:rFonts w:ascii="宋体" w:hAnsi="宋体"/>
                <w:szCs w:val="21"/>
              </w:rPr>
            </w:pPr>
            <w:r>
              <w:rPr>
                <w:rStyle w:val="39"/>
                <w:rFonts w:ascii="宋体" w:hAnsi="宋体"/>
                <w:szCs w:val="21"/>
              </w:rPr>
              <w:t>10.1词语定义</w:t>
            </w:r>
          </w:p>
        </w:tc>
      </w:tr>
      <w:tr w14:paraId="2C4A3BE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84" w:hRule="exact"/>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475BBA96">
            <w:pPr>
              <w:spacing w:line="276" w:lineRule="auto"/>
              <w:rPr>
                <w:rStyle w:val="39"/>
                <w:rFonts w:ascii="宋体" w:hAnsi="宋体"/>
                <w:szCs w:val="21"/>
              </w:rPr>
            </w:pPr>
            <w:r>
              <w:rPr>
                <w:rStyle w:val="39"/>
                <w:rFonts w:ascii="宋体" w:hAnsi="宋体"/>
                <w:szCs w:val="21"/>
              </w:rPr>
              <w:t>10.1.1</w:t>
            </w:r>
          </w:p>
        </w:tc>
        <w:tc>
          <w:tcPr>
            <w:tcW w:w="2293" w:type="dxa"/>
            <w:tcBorders>
              <w:top w:val="single" w:color="000000" w:sz="6" w:space="0"/>
              <w:left w:val="single" w:color="000000" w:sz="6" w:space="0"/>
              <w:bottom w:val="single" w:color="000000" w:sz="6" w:space="0"/>
              <w:right w:val="single" w:color="000000" w:sz="6" w:space="0"/>
            </w:tcBorders>
            <w:vAlign w:val="center"/>
          </w:tcPr>
          <w:p w14:paraId="47D6E4D2">
            <w:pPr>
              <w:spacing w:line="276" w:lineRule="auto"/>
              <w:rPr>
                <w:rStyle w:val="39"/>
                <w:rFonts w:ascii="宋体" w:hAnsi="宋体"/>
                <w:szCs w:val="21"/>
              </w:rPr>
            </w:pPr>
            <w:r>
              <w:rPr>
                <w:rStyle w:val="39"/>
                <w:rFonts w:ascii="宋体" w:hAnsi="宋体"/>
                <w:szCs w:val="21"/>
              </w:rPr>
              <w:t>类似工程</w:t>
            </w:r>
          </w:p>
        </w:tc>
        <w:tc>
          <w:tcPr>
            <w:tcW w:w="6930" w:type="dxa"/>
            <w:tcBorders>
              <w:top w:val="single" w:color="000000" w:sz="6" w:space="0"/>
              <w:left w:val="single" w:color="000000" w:sz="6" w:space="0"/>
              <w:bottom w:val="single" w:color="000000" w:sz="6" w:space="0"/>
              <w:right w:val="single" w:color="000000" w:sz="12" w:space="0"/>
            </w:tcBorders>
            <w:vAlign w:val="center"/>
          </w:tcPr>
          <w:p w14:paraId="6C696F49">
            <w:pPr>
              <w:spacing w:line="276" w:lineRule="auto"/>
              <w:rPr>
                <w:rStyle w:val="39"/>
                <w:rFonts w:hint="eastAsia" w:ascii="宋体" w:hAnsi="宋体" w:eastAsia="宋体"/>
                <w:szCs w:val="21"/>
                <w:highlight w:val="none"/>
                <w:lang w:val="en-US" w:eastAsia="zh-CN"/>
              </w:rPr>
            </w:pPr>
            <w:r>
              <w:rPr>
                <w:rStyle w:val="39"/>
                <w:rFonts w:ascii="宋体" w:hAnsi="宋体"/>
                <w:b/>
                <w:bCs/>
                <w:szCs w:val="21"/>
                <w:highlight w:val="none"/>
              </w:rPr>
              <w:t>类似工程是指：</w:t>
            </w:r>
            <w:r>
              <w:rPr>
                <w:rStyle w:val="39"/>
                <w:rFonts w:hint="eastAsia" w:ascii="宋体" w:hAnsi="宋体"/>
                <w:b/>
                <w:bCs/>
                <w:szCs w:val="21"/>
                <w:highlight w:val="none"/>
                <w:lang w:val="en-US" w:eastAsia="zh-CN"/>
              </w:rPr>
              <w:t>/</w:t>
            </w:r>
          </w:p>
        </w:tc>
      </w:tr>
      <w:tr w14:paraId="081F1CC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907" w:hRule="exact"/>
          <w:jc w:val="center"/>
        </w:trPr>
        <w:tc>
          <w:tcPr>
            <w:tcW w:w="962" w:type="dxa"/>
            <w:tcBorders>
              <w:top w:val="single" w:color="000000" w:sz="6" w:space="0"/>
              <w:left w:val="single" w:color="000000" w:sz="12" w:space="0"/>
              <w:bottom w:val="single" w:color="000000" w:sz="6" w:space="0"/>
              <w:right w:val="single" w:color="000000" w:sz="6" w:space="0"/>
            </w:tcBorders>
            <w:vAlign w:val="center"/>
          </w:tcPr>
          <w:p w14:paraId="7A7F55AF">
            <w:pPr>
              <w:spacing w:line="276" w:lineRule="auto"/>
              <w:rPr>
                <w:rStyle w:val="39"/>
                <w:rFonts w:ascii="宋体" w:hAnsi="宋体"/>
                <w:szCs w:val="21"/>
              </w:rPr>
            </w:pPr>
            <w:r>
              <w:rPr>
                <w:rStyle w:val="39"/>
                <w:rFonts w:ascii="宋体" w:hAnsi="宋体"/>
                <w:szCs w:val="21"/>
              </w:rPr>
              <w:t>10.1.2</w:t>
            </w:r>
          </w:p>
        </w:tc>
        <w:tc>
          <w:tcPr>
            <w:tcW w:w="2293" w:type="dxa"/>
            <w:tcBorders>
              <w:top w:val="single" w:color="000000" w:sz="6" w:space="0"/>
              <w:left w:val="single" w:color="000000" w:sz="6" w:space="0"/>
              <w:bottom w:val="single" w:color="000000" w:sz="6" w:space="0"/>
              <w:right w:val="single" w:color="000000" w:sz="6" w:space="0"/>
            </w:tcBorders>
            <w:vAlign w:val="center"/>
          </w:tcPr>
          <w:p w14:paraId="63B67780">
            <w:pPr>
              <w:spacing w:line="276" w:lineRule="auto"/>
              <w:rPr>
                <w:rStyle w:val="39"/>
                <w:rFonts w:ascii="宋体" w:hAnsi="宋体"/>
                <w:szCs w:val="21"/>
              </w:rPr>
            </w:pPr>
            <w:r>
              <w:rPr>
                <w:rStyle w:val="39"/>
                <w:rFonts w:ascii="宋体" w:hAnsi="宋体"/>
                <w:szCs w:val="21"/>
              </w:rPr>
              <w:t>不良行为记录</w:t>
            </w:r>
          </w:p>
        </w:tc>
        <w:tc>
          <w:tcPr>
            <w:tcW w:w="6930" w:type="dxa"/>
            <w:tcBorders>
              <w:top w:val="single" w:color="000000" w:sz="6" w:space="0"/>
              <w:left w:val="single" w:color="000000" w:sz="6" w:space="0"/>
              <w:bottom w:val="single" w:color="000000" w:sz="6" w:space="0"/>
              <w:right w:val="single" w:color="000000" w:sz="12" w:space="0"/>
            </w:tcBorders>
          </w:tcPr>
          <w:p w14:paraId="73A0CDB9">
            <w:pPr>
              <w:spacing w:line="276" w:lineRule="auto"/>
              <w:rPr>
                <w:rStyle w:val="39"/>
                <w:rFonts w:ascii="宋体" w:hAnsi="宋体"/>
                <w:szCs w:val="21"/>
              </w:rPr>
            </w:pPr>
            <w:r>
              <w:rPr>
                <w:rStyle w:val="39"/>
                <w:rFonts w:ascii="宋体" w:hAnsi="宋体"/>
                <w:szCs w:val="21"/>
              </w:rPr>
              <w:t>不良行为记录是指：</w:t>
            </w:r>
            <w:r>
              <w:rPr>
                <w:rStyle w:val="39"/>
                <w:szCs w:val="21"/>
              </w:rPr>
              <w:t>a、</w:t>
            </w:r>
            <w:r>
              <w:rPr>
                <w:rStyle w:val="39"/>
                <w:rFonts w:ascii="宋体" w:hAnsi="宋体"/>
                <w:szCs w:val="21"/>
              </w:rPr>
              <w:t>企业不良行为记录情况主要是近年投标人在工程建设过程中因违反有关工程建设的法律、法规、规章或强制性标准和执业行为规范，经县级以上建设行政主管部门或其委托的执法监督机构查实和行政处罚，形成的不良行为记录。</w:t>
            </w:r>
            <w:r>
              <w:rPr>
                <w:rStyle w:val="39"/>
                <w:b/>
                <w:szCs w:val="21"/>
              </w:rPr>
              <w:t>b、经中国裁判文书网查询投标人有单位行贿犯罪记录的（投标人自行查询，并附在投标文件中）。</w:t>
            </w:r>
          </w:p>
        </w:tc>
      </w:tr>
      <w:tr w14:paraId="375AD46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72" w:hRule="exact"/>
          <w:jc w:val="center"/>
        </w:trPr>
        <w:tc>
          <w:tcPr>
            <w:tcW w:w="10185" w:type="dxa"/>
            <w:gridSpan w:val="3"/>
            <w:tcBorders>
              <w:top w:val="single" w:color="000000" w:sz="6" w:space="0"/>
              <w:left w:val="single" w:color="000000" w:sz="12" w:space="0"/>
              <w:bottom w:val="single" w:color="000000" w:sz="12" w:space="0"/>
              <w:right w:val="single" w:color="000000" w:sz="12" w:space="0"/>
            </w:tcBorders>
            <w:vAlign w:val="center"/>
          </w:tcPr>
          <w:p w14:paraId="4F542B12">
            <w:pPr>
              <w:spacing w:line="276" w:lineRule="auto"/>
              <w:rPr>
                <w:rStyle w:val="39"/>
                <w:rFonts w:ascii="宋体" w:hAnsi="宋体"/>
                <w:szCs w:val="21"/>
              </w:rPr>
            </w:pPr>
            <w:r>
              <w:rPr>
                <w:rStyle w:val="39"/>
                <w:rFonts w:ascii="宋体" w:hAnsi="宋体"/>
                <w:szCs w:val="21"/>
              </w:rPr>
              <w:t>10.2 “暗标”评审</w:t>
            </w:r>
          </w:p>
        </w:tc>
      </w:tr>
      <w:tr w14:paraId="603653C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12" w:space="0"/>
              <w:left w:val="single" w:color="000000" w:sz="12" w:space="0"/>
              <w:bottom w:val="single" w:color="000000" w:sz="6" w:space="0"/>
              <w:right w:val="single" w:color="000000" w:sz="6" w:space="0"/>
            </w:tcBorders>
          </w:tcPr>
          <w:p w14:paraId="304747D8">
            <w:pPr>
              <w:spacing w:line="276" w:lineRule="auto"/>
              <w:rPr>
                <w:rStyle w:val="39"/>
                <w:rFonts w:ascii="宋体" w:hAnsi="宋体"/>
                <w:szCs w:val="21"/>
              </w:rPr>
            </w:pPr>
          </w:p>
        </w:tc>
        <w:tc>
          <w:tcPr>
            <w:tcW w:w="2293" w:type="dxa"/>
            <w:tcBorders>
              <w:top w:val="single" w:color="000000" w:sz="12" w:space="0"/>
              <w:left w:val="single" w:color="000000" w:sz="6" w:space="0"/>
              <w:bottom w:val="single" w:color="000000" w:sz="6" w:space="0"/>
              <w:right w:val="single" w:color="000000" w:sz="6" w:space="0"/>
            </w:tcBorders>
          </w:tcPr>
          <w:p w14:paraId="2D0D666A">
            <w:pPr>
              <w:spacing w:line="276" w:lineRule="auto"/>
              <w:rPr>
                <w:rStyle w:val="39"/>
                <w:rFonts w:ascii="宋体" w:hAnsi="宋体"/>
                <w:szCs w:val="21"/>
              </w:rPr>
            </w:pPr>
            <w:r>
              <w:rPr>
                <w:rStyle w:val="39"/>
                <w:rFonts w:ascii="宋体" w:hAnsi="宋体"/>
                <w:szCs w:val="21"/>
              </w:rPr>
              <w:t>施工组织设计是否采用“暗标”评审方式</w:t>
            </w:r>
          </w:p>
        </w:tc>
        <w:tc>
          <w:tcPr>
            <w:tcW w:w="6930" w:type="dxa"/>
            <w:tcBorders>
              <w:top w:val="single" w:color="000000" w:sz="12" w:space="0"/>
              <w:left w:val="single" w:color="000000" w:sz="6" w:space="0"/>
              <w:bottom w:val="single" w:color="000000" w:sz="6" w:space="0"/>
              <w:right w:val="single" w:color="000000" w:sz="12" w:space="0"/>
            </w:tcBorders>
          </w:tcPr>
          <w:p w14:paraId="76726E56">
            <w:pPr>
              <w:spacing w:line="276" w:lineRule="auto"/>
              <w:rPr>
                <w:rStyle w:val="39"/>
                <w:rFonts w:ascii="宋体" w:hAnsi="宋体"/>
                <w:szCs w:val="21"/>
              </w:rPr>
            </w:pPr>
            <w:r>
              <w:rPr>
                <w:rStyle w:val="39"/>
                <w:rFonts w:ascii="宋体" w:hAnsi="宋体"/>
                <w:szCs w:val="21"/>
              </w:rPr>
              <w:t>不采用</w:t>
            </w:r>
          </w:p>
        </w:tc>
      </w:tr>
      <w:tr w14:paraId="6758664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58" w:hRule="exact"/>
          <w:jc w:val="center"/>
        </w:trPr>
        <w:tc>
          <w:tcPr>
            <w:tcW w:w="10185" w:type="dxa"/>
            <w:gridSpan w:val="3"/>
            <w:tcBorders>
              <w:top w:val="single" w:color="000000" w:sz="6" w:space="0"/>
              <w:left w:val="single" w:color="000000" w:sz="12" w:space="0"/>
              <w:bottom w:val="single" w:color="000000" w:sz="6" w:space="0"/>
              <w:right w:val="single" w:color="000000" w:sz="12" w:space="0"/>
            </w:tcBorders>
            <w:vAlign w:val="center"/>
          </w:tcPr>
          <w:p w14:paraId="658C4196">
            <w:pPr>
              <w:spacing w:line="276" w:lineRule="auto"/>
              <w:rPr>
                <w:rStyle w:val="39"/>
                <w:rFonts w:ascii="宋体" w:hAnsi="宋体"/>
                <w:szCs w:val="21"/>
              </w:rPr>
            </w:pPr>
            <w:r>
              <w:rPr>
                <w:rStyle w:val="39"/>
                <w:rFonts w:ascii="宋体" w:hAnsi="宋体"/>
                <w:szCs w:val="21"/>
              </w:rPr>
              <w:t>10.3  投标文件电子版</w:t>
            </w:r>
          </w:p>
        </w:tc>
      </w:tr>
      <w:tr w14:paraId="6D0C6ED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tcPr>
          <w:p w14:paraId="59F25E99">
            <w:pPr>
              <w:spacing w:line="276" w:lineRule="auto"/>
              <w:rPr>
                <w:rStyle w:val="39"/>
                <w:rFonts w:ascii="宋体" w:hAnsi="宋体"/>
                <w:szCs w:val="21"/>
              </w:rPr>
            </w:pPr>
          </w:p>
        </w:tc>
        <w:tc>
          <w:tcPr>
            <w:tcW w:w="2293" w:type="dxa"/>
            <w:tcBorders>
              <w:top w:val="single" w:color="000000" w:sz="6" w:space="0"/>
              <w:left w:val="single" w:color="000000" w:sz="6" w:space="0"/>
              <w:bottom w:val="single" w:color="000000" w:sz="6" w:space="0"/>
              <w:right w:val="single" w:color="000000" w:sz="6" w:space="0"/>
            </w:tcBorders>
            <w:vAlign w:val="center"/>
          </w:tcPr>
          <w:p w14:paraId="626FC31F">
            <w:pPr>
              <w:spacing w:line="276" w:lineRule="auto"/>
              <w:rPr>
                <w:rStyle w:val="39"/>
                <w:rFonts w:ascii="宋体" w:hAnsi="宋体"/>
                <w:szCs w:val="21"/>
              </w:rPr>
            </w:pPr>
            <w:r>
              <w:rPr>
                <w:rStyle w:val="39"/>
                <w:rFonts w:ascii="宋体" w:hAnsi="宋体"/>
                <w:szCs w:val="21"/>
              </w:rPr>
              <w:t>是否要求投标人在递交投标文件时，同时递交投标文件电子版</w:t>
            </w:r>
          </w:p>
        </w:tc>
        <w:tc>
          <w:tcPr>
            <w:tcW w:w="6930" w:type="dxa"/>
            <w:tcBorders>
              <w:top w:val="single" w:color="000000" w:sz="6" w:space="0"/>
              <w:left w:val="single" w:color="000000" w:sz="6" w:space="0"/>
              <w:bottom w:val="single" w:color="000000" w:sz="6" w:space="0"/>
              <w:right w:val="single" w:color="000000" w:sz="12" w:space="0"/>
            </w:tcBorders>
          </w:tcPr>
          <w:p w14:paraId="4FE121A8">
            <w:pPr>
              <w:spacing w:line="276" w:lineRule="auto"/>
              <w:rPr>
                <w:rStyle w:val="39"/>
                <w:rFonts w:ascii="宋体" w:hAnsi="宋体"/>
                <w:szCs w:val="21"/>
              </w:rPr>
            </w:pPr>
            <w:r>
              <w:rPr>
                <w:rStyle w:val="39"/>
                <w:rFonts w:ascii="宋体" w:hAnsi="宋体"/>
                <w:szCs w:val="21"/>
              </w:rPr>
              <w:t>要求，投标文件电子版内容：</w:t>
            </w:r>
          </w:p>
          <w:p w14:paraId="58DDD1A7">
            <w:pPr>
              <w:spacing w:line="276" w:lineRule="auto"/>
              <w:rPr>
                <w:rStyle w:val="39"/>
                <w:rFonts w:ascii="宋体" w:hAnsi="宋体"/>
                <w:szCs w:val="21"/>
              </w:rPr>
            </w:pPr>
            <w:r>
              <w:rPr>
                <w:rStyle w:val="39"/>
                <w:rFonts w:ascii="宋体" w:hAnsi="宋体"/>
                <w:szCs w:val="21"/>
              </w:rPr>
              <w:t>投标文件电子版份数：两份；</w:t>
            </w:r>
          </w:p>
          <w:p w14:paraId="1FC7194B">
            <w:pPr>
              <w:spacing w:line="276" w:lineRule="auto"/>
              <w:rPr>
                <w:rStyle w:val="39"/>
                <w:rFonts w:ascii="宋体" w:hAnsi="宋体"/>
                <w:szCs w:val="21"/>
              </w:rPr>
            </w:pPr>
            <w:r>
              <w:rPr>
                <w:rStyle w:val="39"/>
                <w:rFonts w:ascii="宋体" w:hAnsi="宋体"/>
                <w:szCs w:val="21"/>
              </w:rPr>
              <w:t>投标文件电子版形式：U盘。</w:t>
            </w:r>
            <w:r>
              <w:rPr>
                <w:rStyle w:val="39"/>
                <w:rFonts w:hint="eastAsia" w:ascii="宋体" w:hAnsi="宋体"/>
                <w:szCs w:val="21"/>
              </w:rPr>
              <w:t>应包含</w:t>
            </w:r>
            <w:r>
              <w:rPr>
                <w:rStyle w:val="39"/>
                <w:rFonts w:ascii="宋体" w:hAnsi="宋体"/>
                <w:szCs w:val="21"/>
              </w:rPr>
              <w:t>PDF</w:t>
            </w:r>
            <w:r>
              <w:rPr>
                <w:rStyle w:val="39"/>
                <w:rFonts w:hint="eastAsia" w:ascii="宋体" w:hAnsi="宋体"/>
                <w:szCs w:val="21"/>
              </w:rPr>
              <w:t>、</w:t>
            </w:r>
            <w:r>
              <w:rPr>
                <w:rStyle w:val="39"/>
                <w:rFonts w:ascii="宋体" w:hAnsi="宋体"/>
                <w:szCs w:val="21"/>
              </w:rPr>
              <w:t>WORD</w:t>
            </w:r>
            <w:r>
              <w:rPr>
                <w:rStyle w:val="39"/>
                <w:rFonts w:hint="eastAsia" w:ascii="宋体" w:hAnsi="宋体"/>
                <w:szCs w:val="21"/>
              </w:rPr>
              <w:t>、</w:t>
            </w:r>
            <w:r>
              <w:rPr>
                <w:rStyle w:val="39"/>
                <w:rFonts w:ascii="宋体" w:hAnsi="宋体"/>
                <w:szCs w:val="21"/>
              </w:rPr>
              <w:t>EXCEL格式</w:t>
            </w:r>
            <w:r>
              <w:rPr>
                <w:rStyle w:val="39"/>
                <w:rFonts w:hint="eastAsia" w:ascii="宋体" w:hAnsi="宋体"/>
                <w:szCs w:val="21"/>
              </w:rPr>
              <w:t>（P</w:t>
            </w:r>
            <w:r>
              <w:rPr>
                <w:rStyle w:val="39"/>
                <w:rFonts w:ascii="宋体" w:hAnsi="宋体"/>
                <w:szCs w:val="21"/>
              </w:rPr>
              <w:t>DF</w:t>
            </w:r>
            <w:r>
              <w:rPr>
                <w:rStyle w:val="39"/>
                <w:rFonts w:hint="eastAsia" w:ascii="宋体" w:hAnsi="宋体"/>
                <w:szCs w:val="21"/>
              </w:rPr>
              <w:t>版需逐页加盖公章），确保与上传重汽e采通的投标文件电子版一致。其中，</w:t>
            </w:r>
            <w:r>
              <w:rPr>
                <w:rStyle w:val="39"/>
                <w:rFonts w:ascii="宋体" w:hAnsi="宋体"/>
                <w:szCs w:val="21"/>
              </w:rPr>
              <w:t>《分部分项工程量清单与计价表》应为EXCEL格式</w:t>
            </w:r>
            <w:r>
              <w:rPr>
                <w:rStyle w:val="39"/>
                <w:rFonts w:hint="eastAsia" w:ascii="宋体" w:hAnsi="宋体"/>
                <w:szCs w:val="21"/>
              </w:rPr>
              <w:t>，并应包含广联达软件版报价文件。</w:t>
            </w:r>
          </w:p>
          <w:p w14:paraId="033D0124">
            <w:pPr>
              <w:spacing w:line="276" w:lineRule="auto"/>
              <w:rPr>
                <w:rStyle w:val="39"/>
                <w:rFonts w:ascii="宋体" w:hAnsi="宋体"/>
                <w:szCs w:val="21"/>
              </w:rPr>
            </w:pPr>
            <w:r>
              <w:rPr>
                <w:rStyle w:val="39"/>
                <w:rFonts w:ascii="宋体" w:hAnsi="宋体"/>
                <w:szCs w:val="21"/>
              </w:rPr>
              <w:t>投标文件电子版密封方式：单独放入一个密封袋中，并在封套每个封口处加盖投标人单位公章，在封套上标记“投标文件电子版”字样。</w:t>
            </w:r>
          </w:p>
          <w:p w14:paraId="518918E9">
            <w:pPr>
              <w:spacing w:line="276" w:lineRule="auto"/>
              <w:rPr>
                <w:rStyle w:val="39"/>
                <w:rFonts w:ascii="宋体" w:hAnsi="宋体"/>
                <w:szCs w:val="21"/>
              </w:rPr>
            </w:pPr>
            <w:r>
              <w:rPr>
                <w:rStyle w:val="39"/>
                <w:rFonts w:hint="eastAsia" w:ascii="宋体" w:hAnsi="宋体"/>
                <w:b/>
                <w:bCs/>
                <w:szCs w:val="21"/>
              </w:rPr>
              <w:t>投标人需确保与上传重汽e采通的投标文件电子版一致</w:t>
            </w:r>
          </w:p>
        </w:tc>
      </w:tr>
      <w:tr w14:paraId="039D37D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76" w:hRule="exact"/>
          <w:jc w:val="center"/>
        </w:trPr>
        <w:tc>
          <w:tcPr>
            <w:tcW w:w="10185" w:type="dxa"/>
            <w:gridSpan w:val="3"/>
            <w:tcBorders>
              <w:top w:val="single" w:color="000000" w:sz="6" w:space="0"/>
              <w:left w:val="single" w:color="000000" w:sz="12" w:space="0"/>
              <w:bottom w:val="single" w:color="000000" w:sz="6" w:space="0"/>
              <w:right w:val="single" w:color="000000" w:sz="12" w:space="0"/>
            </w:tcBorders>
            <w:vAlign w:val="center"/>
          </w:tcPr>
          <w:p w14:paraId="30919557">
            <w:pPr>
              <w:spacing w:line="276" w:lineRule="auto"/>
              <w:rPr>
                <w:rStyle w:val="39"/>
                <w:rFonts w:ascii="宋体" w:hAnsi="宋体"/>
                <w:szCs w:val="21"/>
              </w:rPr>
            </w:pPr>
            <w:r>
              <w:rPr>
                <w:rStyle w:val="39"/>
                <w:rFonts w:ascii="宋体" w:hAnsi="宋体"/>
                <w:szCs w:val="21"/>
              </w:rPr>
              <w:t>10.4 计算机辅助评标</w:t>
            </w:r>
          </w:p>
        </w:tc>
      </w:tr>
      <w:tr w14:paraId="3011515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tcPr>
          <w:p w14:paraId="1939B3B3">
            <w:pPr>
              <w:spacing w:line="276" w:lineRule="auto"/>
              <w:rPr>
                <w:rStyle w:val="39"/>
                <w:rFonts w:ascii="宋体" w:hAnsi="宋体"/>
                <w:szCs w:val="21"/>
              </w:rPr>
            </w:pPr>
          </w:p>
        </w:tc>
        <w:tc>
          <w:tcPr>
            <w:tcW w:w="2293" w:type="dxa"/>
            <w:tcBorders>
              <w:top w:val="single" w:color="000000" w:sz="6" w:space="0"/>
              <w:left w:val="single" w:color="000000" w:sz="6" w:space="0"/>
              <w:bottom w:val="single" w:color="000000" w:sz="6" w:space="0"/>
              <w:right w:val="single" w:color="000000" w:sz="6" w:space="0"/>
            </w:tcBorders>
          </w:tcPr>
          <w:p w14:paraId="49148170">
            <w:pPr>
              <w:spacing w:line="276" w:lineRule="auto"/>
              <w:rPr>
                <w:rStyle w:val="39"/>
                <w:rFonts w:ascii="宋体" w:hAnsi="宋体"/>
                <w:szCs w:val="21"/>
              </w:rPr>
            </w:pPr>
            <w:r>
              <w:rPr>
                <w:rStyle w:val="39"/>
                <w:rFonts w:ascii="宋体" w:hAnsi="宋体"/>
                <w:szCs w:val="21"/>
              </w:rPr>
              <w:t>是否实行计算机辅助评标</w:t>
            </w:r>
          </w:p>
        </w:tc>
        <w:tc>
          <w:tcPr>
            <w:tcW w:w="6930" w:type="dxa"/>
            <w:tcBorders>
              <w:top w:val="single" w:color="000000" w:sz="6" w:space="0"/>
              <w:left w:val="single" w:color="000000" w:sz="6" w:space="0"/>
              <w:bottom w:val="single" w:color="000000" w:sz="6" w:space="0"/>
              <w:right w:val="single" w:color="000000" w:sz="12" w:space="0"/>
            </w:tcBorders>
          </w:tcPr>
          <w:p w14:paraId="4FC66638">
            <w:pPr>
              <w:spacing w:line="276" w:lineRule="auto"/>
              <w:rPr>
                <w:rStyle w:val="39"/>
                <w:rFonts w:ascii="宋体" w:hAnsi="宋体"/>
                <w:szCs w:val="21"/>
              </w:rPr>
            </w:pPr>
            <w:r>
              <w:rPr>
                <w:rStyle w:val="39"/>
                <w:rFonts w:ascii="宋体" w:hAnsi="宋体"/>
                <w:szCs w:val="21"/>
              </w:rPr>
              <w:t>否</w:t>
            </w:r>
          </w:p>
        </w:tc>
      </w:tr>
      <w:tr w14:paraId="370117D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48" w:hRule="exact"/>
          <w:jc w:val="center"/>
        </w:trPr>
        <w:tc>
          <w:tcPr>
            <w:tcW w:w="10185" w:type="dxa"/>
            <w:gridSpan w:val="3"/>
            <w:tcBorders>
              <w:top w:val="single" w:color="000000" w:sz="6" w:space="0"/>
              <w:left w:val="single" w:color="000000" w:sz="12" w:space="0"/>
              <w:bottom w:val="single" w:color="000000" w:sz="6" w:space="0"/>
              <w:right w:val="single" w:color="000000" w:sz="12" w:space="0"/>
            </w:tcBorders>
            <w:vAlign w:val="center"/>
          </w:tcPr>
          <w:p w14:paraId="76F99F51">
            <w:pPr>
              <w:spacing w:line="276" w:lineRule="auto"/>
              <w:rPr>
                <w:rStyle w:val="39"/>
                <w:rFonts w:ascii="宋体" w:hAnsi="宋体"/>
                <w:szCs w:val="21"/>
              </w:rPr>
            </w:pPr>
            <w:r>
              <w:rPr>
                <w:rStyle w:val="39"/>
                <w:rFonts w:ascii="宋体" w:hAnsi="宋体"/>
                <w:szCs w:val="21"/>
              </w:rPr>
              <w:t>10.5 投标人代表出席开标会</w:t>
            </w:r>
          </w:p>
        </w:tc>
      </w:tr>
      <w:tr w14:paraId="263644E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tcPr>
          <w:p w14:paraId="1C487D06">
            <w:pPr>
              <w:spacing w:line="276" w:lineRule="auto"/>
              <w:rPr>
                <w:rStyle w:val="39"/>
                <w:rFonts w:ascii="宋体" w:hAnsi="宋体"/>
                <w:szCs w:val="21"/>
              </w:rPr>
            </w:pPr>
          </w:p>
        </w:tc>
        <w:tc>
          <w:tcPr>
            <w:tcW w:w="9223" w:type="dxa"/>
            <w:gridSpan w:val="2"/>
            <w:tcBorders>
              <w:top w:val="single" w:color="000000" w:sz="6" w:space="0"/>
              <w:left w:val="single" w:color="000000" w:sz="6" w:space="0"/>
              <w:bottom w:val="single" w:color="000000" w:sz="6" w:space="0"/>
              <w:right w:val="single" w:color="000000" w:sz="12" w:space="0"/>
            </w:tcBorders>
          </w:tcPr>
          <w:p w14:paraId="6D19FB7C">
            <w:pPr>
              <w:spacing w:line="276" w:lineRule="auto"/>
            </w:pPr>
            <w:r>
              <w:rPr>
                <w:rFonts w:hint="eastAsia"/>
              </w:rPr>
              <w:t>按照本须知</w:t>
            </w:r>
            <w:r>
              <w:fldChar w:fldCharType="begin"/>
            </w:r>
            <w:r>
              <w:instrText xml:space="preserve"> HYPERLINK \l "开标时间和地点" </w:instrText>
            </w:r>
            <w:r>
              <w:fldChar w:fldCharType="separate"/>
            </w:r>
            <w:r>
              <w:rPr>
                <w:rFonts w:hint="eastAsia"/>
              </w:rPr>
              <w:t>第</w:t>
            </w:r>
            <w:bookmarkStart w:id="29" w:name="_Hlt363566421"/>
            <w:r>
              <w:rPr>
                <w:rFonts w:hint="eastAsia"/>
              </w:rPr>
              <w:t>5</w:t>
            </w:r>
            <w:bookmarkEnd w:id="29"/>
            <w:r>
              <w:rPr>
                <w:rFonts w:hint="eastAsia"/>
              </w:rPr>
              <w:t>.</w:t>
            </w:r>
            <w:bookmarkStart w:id="30" w:name="_Hlt364843077"/>
            <w:bookmarkStart w:id="31" w:name="_Hlt363565524"/>
            <w:bookmarkStart w:id="32" w:name="_Hlt364843078"/>
            <w:r>
              <w:rPr>
                <w:rFonts w:hint="eastAsia"/>
              </w:rPr>
              <w:t>1</w:t>
            </w:r>
            <w:bookmarkEnd w:id="30"/>
            <w:bookmarkEnd w:id="31"/>
            <w:bookmarkEnd w:id="32"/>
            <w:r>
              <w:rPr>
                <w:rFonts w:hint="eastAsia"/>
              </w:rPr>
              <w:t>款</w:t>
            </w:r>
            <w:r>
              <w:rPr>
                <w:rFonts w:hint="eastAsia"/>
              </w:rPr>
              <w:fldChar w:fldCharType="end"/>
            </w:r>
            <w:r>
              <w:rPr>
                <w:rFonts w:hint="eastAsia"/>
              </w:rPr>
              <w:t>的规定，招标人邀请</w:t>
            </w:r>
            <w:r>
              <w:rPr>
                <w:rFonts w:hint="eastAsia"/>
                <w:b/>
                <w:bCs/>
              </w:rPr>
              <w:t>所有投标人的法定代表人或其委托代理人参加现场开标会，同时登录重汽e采通平台</w:t>
            </w:r>
            <w:r>
              <w:rPr>
                <w:rFonts w:hint="eastAsia"/>
              </w:rPr>
              <w:t>。投标人的法定代表人或其委托代理人应当按时参加开标会，并在招标人按开标程序进行点名时，向招标人提交法定代表人身份证明文件（或法定代表人授权委托书）原件及本人身份证原件供校验。</w:t>
            </w:r>
          </w:p>
        </w:tc>
      </w:tr>
      <w:tr w14:paraId="55FE2FA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41" w:hRule="exact"/>
          <w:jc w:val="center"/>
        </w:trPr>
        <w:tc>
          <w:tcPr>
            <w:tcW w:w="10185" w:type="dxa"/>
            <w:gridSpan w:val="3"/>
            <w:tcBorders>
              <w:top w:val="single" w:color="000000" w:sz="6" w:space="0"/>
              <w:left w:val="single" w:color="000000" w:sz="12" w:space="0"/>
              <w:bottom w:val="single" w:color="000000" w:sz="6" w:space="0"/>
              <w:right w:val="single" w:color="000000" w:sz="12" w:space="0"/>
            </w:tcBorders>
            <w:vAlign w:val="center"/>
          </w:tcPr>
          <w:p w14:paraId="3FF7100A">
            <w:pPr>
              <w:spacing w:line="276" w:lineRule="auto"/>
              <w:rPr>
                <w:rStyle w:val="39"/>
                <w:rFonts w:ascii="宋体" w:hAnsi="宋体"/>
                <w:szCs w:val="21"/>
              </w:rPr>
            </w:pPr>
            <w:r>
              <w:rPr>
                <w:rStyle w:val="39"/>
                <w:rFonts w:ascii="宋体" w:hAnsi="宋体"/>
                <w:szCs w:val="21"/>
              </w:rPr>
              <w:t>10.6 中标公示</w:t>
            </w:r>
          </w:p>
        </w:tc>
      </w:tr>
      <w:tr w14:paraId="5D95957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tcPr>
          <w:p w14:paraId="27F4EDE7">
            <w:pPr>
              <w:spacing w:line="276" w:lineRule="auto"/>
              <w:rPr>
                <w:rStyle w:val="39"/>
                <w:rFonts w:ascii="宋体" w:hAnsi="宋体"/>
                <w:szCs w:val="21"/>
              </w:rPr>
            </w:pPr>
          </w:p>
        </w:tc>
        <w:tc>
          <w:tcPr>
            <w:tcW w:w="9223" w:type="dxa"/>
            <w:gridSpan w:val="2"/>
            <w:tcBorders>
              <w:top w:val="single" w:color="000000" w:sz="6" w:space="0"/>
              <w:left w:val="single" w:color="000000" w:sz="6" w:space="0"/>
              <w:bottom w:val="single" w:color="000000" w:sz="6" w:space="0"/>
              <w:right w:val="single" w:color="000000" w:sz="12" w:space="0"/>
            </w:tcBorders>
          </w:tcPr>
          <w:p w14:paraId="278D786C">
            <w:pPr>
              <w:spacing w:line="276" w:lineRule="auto"/>
              <w:rPr>
                <w:rStyle w:val="39"/>
                <w:rFonts w:ascii="宋体" w:hAnsi="宋体"/>
                <w:szCs w:val="21"/>
              </w:rPr>
            </w:pPr>
            <w:r>
              <w:rPr>
                <w:rStyle w:val="39"/>
                <w:rFonts w:ascii="宋体" w:hAnsi="宋体"/>
                <w:szCs w:val="21"/>
              </w:rPr>
              <w:t>/</w:t>
            </w:r>
          </w:p>
        </w:tc>
      </w:tr>
      <w:tr w14:paraId="040673F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02" w:hRule="exact"/>
          <w:jc w:val="center"/>
        </w:trPr>
        <w:tc>
          <w:tcPr>
            <w:tcW w:w="10185" w:type="dxa"/>
            <w:gridSpan w:val="3"/>
            <w:tcBorders>
              <w:top w:val="single" w:color="000000" w:sz="6" w:space="0"/>
              <w:left w:val="single" w:color="000000" w:sz="12" w:space="0"/>
              <w:bottom w:val="single" w:color="000000" w:sz="6" w:space="0"/>
              <w:right w:val="single" w:color="000000" w:sz="12" w:space="0"/>
            </w:tcBorders>
            <w:vAlign w:val="center"/>
          </w:tcPr>
          <w:p w14:paraId="1B7D62BD">
            <w:pPr>
              <w:spacing w:line="276" w:lineRule="auto"/>
              <w:rPr>
                <w:rStyle w:val="39"/>
                <w:rFonts w:ascii="宋体" w:hAnsi="宋体"/>
                <w:szCs w:val="21"/>
              </w:rPr>
            </w:pPr>
            <w:r>
              <w:rPr>
                <w:rStyle w:val="39"/>
                <w:rFonts w:ascii="宋体" w:hAnsi="宋体"/>
                <w:szCs w:val="21"/>
              </w:rPr>
              <w:t>10.7 知识产权</w:t>
            </w:r>
          </w:p>
        </w:tc>
      </w:tr>
      <w:tr w14:paraId="5865522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tcPr>
          <w:p w14:paraId="1009CA1E">
            <w:pPr>
              <w:spacing w:line="276" w:lineRule="auto"/>
              <w:rPr>
                <w:rStyle w:val="39"/>
                <w:rFonts w:ascii="宋体" w:hAnsi="宋体"/>
                <w:szCs w:val="21"/>
              </w:rPr>
            </w:pPr>
          </w:p>
        </w:tc>
        <w:tc>
          <w:tcPr>
            <w:tcW w:w="9223" w:type="dxa"/>
            <w:gridSpan w:val="2"/>
            <w:tcBorders>
              <w:top w:val="single" w:color="000000" w:sz="6" w:space="0"/>
              <w:left w:val="single" w:color="000000" w:sz="6" w:space="0"/>
              <w:bottom w:val="single" w:color="000000" w:sz="6" w:space="0"/>
              <w:right w:val="single" w:color="000000" w:sz="12" w:space="0"/>
            </w:tcBorders>
          </w:tcPr>
          <w:p w14:paraId="5BC7F352">
            <w:pPr>
              <w:spacing w:line="276" w:lineRule="auto"/>
              <w:rPr>
                <w:rStyle w:val="39"/>
                <w:rFonts w:ascii="宋体" w:hAnsi="宋体"/>
                <w:szCs w:val="21"/>
              </w:rPr>
            </w:pPr>
            <w:r>
              <w:rPr>
                <w:rStyle w:val="39"/>
                <w:rFonts w:ascii="宋体" w:hAnsi="宋体"/>
                <w:szCs w:val="21"/>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14:paraId="5080C95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67" w:hRule="exact"/>
          <w:jc w:val="center"/>
        </w:trPr>
        <w:tc>
          <w:tcPr>
            <w:tcW w:w="10185" w:type="dxa"/>
            <w:gridSpan w:val="3"/>
            <w:tcBorders>
              <w:top w:val="single" w:color="000000" w:sz="6" w:space="0"/>
              <w:left w:val="single" w:color="000000" w:sz="12" w:space="0"/>
              <w:bottom w:val="single" w:color="000000" w:sz="6" w:space="0"/>
              <w:right w:val="single" w:color="000000" w:sz="12" w:space="0"/>
            </w:tcBorders>
            <w:vAlign w:val="center"/>
          </w:tcPr>
          <w:p w14:paraId="55587D0E">
            <w:pPr>
              <w:spacing w:line="276" w:lineRule="auto"/>
              <w:rPr>
                <w:rStyle w:val="39"/>
                <w:rFonts w:ascii="宋体" w:hAnsi="宋体"/>
                <w:szCs w:val="21"/>
              </w:rPr>
            </w:pPr>
            <w:r>
              <w:rPr>
                <w:rStyle w:val="39"/>
                <w:rFonts w:ascii="宋体" w:hAnsi="宋体"/>
                <w:szCs w:val="21"/>
              </w:rPr>
              <w:t>10.8 重新招标的其他情形</w:t>
            </w:r>
          </w:p>
        </w:tc>
      </w:tr>
      <w:tr w14:paraId="0EB22AC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tcPr>
          <w:p w14:paraId="781489F7">
            <w:pPr>
              <w:spacing w:line="276" w:lineRule="auto"/>
              <w:rPr>
                <w:rStyle w:val="39"/>
                <w:rFonts w:ascii="宋体" w:hAnsi="宋体"/>
                <w:szCs w:val="21"/>
              </w:rPr>
            </w:pPr>
          </w:p>
        </w:tc>
        <w:tc>
          <w:tcPr>
            <w:tcW w:w="9223" w:type="dxa"/>
            <w:gridSpan w:val="2"/>
            <w:tcBorders>
              <w:top w:val="single" w:color="000000" w:sz="6" w:space="0"/>
              <w:left w:val="single" w:color="000000" w:sz="6" w:space="0"/>
              <w:bottom w:val="single" w:color="000000" w:sz="6" w:space="0"/>
              <w:right w:val="single" w:color="000000" w:sz="12" w:space="0"/>
            </w:tcBorders>
          </w:tcPr>
          <w:p w14:paraId="522DC05C">
            <w:pPr>
              <w:spacing w:line="276" w:lineRule="auto"/>
              <w:rPr>
                <w:rStyle w:val="39"/>
                <w:rFonts w:ascii="宋体" w:hAnsi="宋体"/>
                <w:szCs w:val="21"/>
              </w:rPr>
            </w:pPr>
            <w:r>
              <w:rPr>
                <w:rStyle w:val="39"/>
                <w:rFonts w:ascii="宋体" w:hAnsi="宋体"/>
                <w:szCs w:val="21"/>
              </w:rPr>
              <w:t>除投标人须知正文第8条规定的情形外，除非已经产生中标候选人，在投标有效期内同意延长投标有效期的投标人少于三个的，招标人应当依法重新招标。</w:t>
            </w:r>
          </w:p>
        </w:tc>
      </w:tr>
      <w:tr w14:paraId="0BB6283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16" w:hRule="exact"/>
          <w:jc w:val="center"/>
        </w:trPr>
        <w:tc>
          <w:tcPr>
            <w:tcW w:w="10185" w:type="dxa"/>
            <w:gridSpan w:val="3"/>
            <w:tcBorders>
              <w:top w:val="single" w:color="000000" w:sz="6" w:space="0"/>
              <w:left w:val="single" w:color="000000" w:sz="12" w:space="0"/>
              <w:bottom w:val="single" w:color="000000" w:sz="6" w:space="0"/>
              <w:right w:val="single" w:color="000000" w:sz="12" w:space="0"/>
            </w:tcBorders>
            <w:vAlign w:val="center"/>
          </w:tcPr>
          <w:p w14:paraId="240A67CF">
            <w:pPr>
              <w:spacing w:line="276" w:lineRule="auto"/>
              <w:rPr>
                <w:rStyle w:val="39"/>
                <w:rFonts w:ascii="宋体" w:hAnsi="宋体"/>
                <w:szCs w:val="21"/>
              </w:rPr>
            </w:pPr>
            <w:r>
              <w:rPr>
                <w:rStyle w:val="39"/>
                <w:rFonts w:ascii="宋体" w:hAnsi="宋体"/>
                <w:szCs w:val="21"/>
              </w:rPr>
              <w:t>10.9 同义词语</w:t>
            </w:r>
          </w:p>
        </w:tc>
      </w:tr>
      <w:tr w14:paraId="49AF45F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962" w:type="dxa"/>
            <w:tcBorders>
              <w:top w:val="single" w:color="000000" w:sz="6" w:space="0"/>
              <w:left w:val="single" w:color="000000" w:sz="12" w:space="0"/>
              <w:bottom w:val="single" w:color="000000" w:sz="6" w:space="0"/>
              <w:right w:val="single" w:color="000000" w:sz="6" w:space="0"/>
            </w:tcBorders>
          </w:tcPr>
          <w:p w14:paraId="2FA37B5E">
            <w:pPr>
              <w:spacing w:line="276" w:lineRule="auto"/>
              <w:rPr>
                <w:rStyle w:val="39"/>
                <w:rFonts w:ascii="宋体" w:hAnsi="宋体"/>
                <w:szCs w:val="21"/>
              </w:rPr>
            </w:pPr>
          </w:p>
        </w:tc>
        <w:tc>
          <w:tcPr>
            <w:tcW w:w="9223" w:type="dxa"/>
            <w:gridSpan w:val="2"/>
            <w:tcBorders>
              <w:top w:val="single" w:color="000000" w:sz="6" w:space="0"/>
              <w:left w:val="single" w:color="000000" w:sz="6" w:space="0"/>
              <w:bottom w:val="single" w:color="000000" w:sz="6" w:space="0"/>
              <w:right w:val="single" w:color="000000" w:sz="12" w:space="0"/>
            </w:tcBorders>
          </w:tcPr>
          <w:p w14:paraId="3B2F5669">
            <w:pPr>
              <w:spacing w:line="276" w:lineRule="auto"/>
              <w:rPr>
                <w:rStyle w:val="39"/>
                <w:rFonts w:ascii="宋体" w:hAnsi="宋体"/>
                <w:szCs w:val="21"/>
              </w:rPr>
            </w:pPr>
            <w:r>
              <w:rPr>
                <w:rStyle w:val="39"/>
                <w:rFonts w:ascii="宋体" w:hAnsi="宋体"/>
                <w:szCs w:val="21"/>
              </w:rPr>
              <w:t>构成招标文件组成部分的“通用合同条款”、“专用合同条款”、“技术标准和要求”和“工程量清单”等章节中出现的措辞“发包人”和“承包人”，在招标投标阶段应当分别按“招标人”和“投标人”进行理解。</w:t>
            </w:r>
          </w:p>
        </w:tc>
      </w:tr>
      <w:tr w14:paraId="1EA86CF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66" w:hRule="exact"/>
          <w:jc w:val="center"/>
        </w:trPr>
        <w:tc>
          <w:tcPr>
            <w:tcW w:w="10185" w:type="dxa"/>
            <w:gridSpan w:val="3"/>
            <w:tcBorders>
              <w:top w:val="single" w:color="000000" w:sz="6" w:space="0"/>
              <w:left w:val="single" w:color="000000" w:sz="12" w:space="0"/>
              <w:bottom w:val="single" w:color="000000" w:sz="6" w:space="0"/>
              <w:right w:val="single" w:color="000000" w:sz="12" w:space="0"/>
            </w:tcBorders>
            <w:vAlign w:val="center"/>
          </w:tcPr>
          <w:p w14:paraId="65B2DCF3">
            <w:pPr>
              <w:spacing w:line="276" w:lineRule="auto"/>
              <w:rPr>
                <w:rStyle w:val="39"/>
                <w:rFonts w:ascii="宋体" w:hAnsi="宋体"/>
                <w:szCs w:val="21"/>
              </w:rPr>
            </w:pPr>
            <w:r>
              <w:rPr>
                <w:rStyle w:val="39"/>
                <w:rFonts w:ascii="宋体" w:hAnsi="宋体"/>
                <w:szCs w:val="21"/>
              </w:rPr>
              <w:t>10.10 解释权</w:t>
            </w:r>
          </w:p>
        </w:tc>
      </w:tr>
      <w:tr w14:paraId="7CAE18E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10185" w:type="dxa"/>
            <w:gridSpan w:val="3"/>
            <w:tcBorders>
              <w:top w:val="single" w:color="000000" w:sz="6" w:space="0"/>
              <w:left w:val="single" w:color="000000" w:sz="12" w:space="0"/>
              <w:bottom w:val="single" w:color="000000" w:sz="6" w:space="0"/>
              <w:right w:val="single" w:color="000000" w:sz="12" w:space="0"/>
            </w:tcBorders>
          </w:tcPr>
          <w:p w14:paraId="641BA701">
            <w:pPr>
              <w:spacing w:line="276" w:lineRule="auto"/>
              <w:rPr>
                <w:rStyle w:val="39"/>
                <w:rFonts w:ascii="宋体" w:hAnsi="宋体"/>
                <w:szCs w:val="21"/>
              </w:rPr>
            </w:pPr>
            <w:r>
              <w:rPr>
                <w:rStyle w:val="39"/>
                <w:rFonts w:ascii="宋体" w:hAnsi="宋体"/>
                <w:szCs w:val="21"/>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w:t>
            </w:r>
            <w:r>
              <w:rPr>
                <w:rStyle w:val="39"/>
                <w:rFonts w:hint="eastAsia" w:ascii="宋体" w:hAnsi="宋体"/>
                <w:szCs w:val="21"/>
              </w:rPr>
              <w:t>招标公告</w:t>
            </w:r>
            <w:r>
              <w:rPr>
                <w:rStyle w:val="39"/>
                <w:rFonts w:ascii="宋体" w:hAnsi="宋体"/>
                <w:szCs w:val="21"/>
              </w:rPr>
              <w:t>（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14:paraId="54B90B8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78" w:hRule="atLeast"/>
          <w:jc w:val="center"/>
        </w:trPr>
        <w:tc>
          <w:tcPr>
            <w:tcW w:w="10185" w:type="dxa"/>
            <w:gridSpan w:val="3"/>
            <w:tcBorders>
              <w:top w:val="single" w:color="000000" w:sz="6" w:space="0"/>
              <w:left w:val="single" w:color="000000" w:sz="12" w:space="0"/>
              <w:bottom w:val="single" w:color="000000" w:sz="6" w:space="0"/>
              <w:right w:val="single" w:color="000000" w:sz="12" w:space="0"/>
            </w:tcBorders>
            <w:vAlign w:val="center"/>
          </w:tcPr>
          <w:p w14:paraId="7A1675B7">
            <w:pPr>
              <w:spacing w:line="276" w:lineRule="auto"/>
              <w:rPr>
                <w:rStyle w:val="39"/>
                <w:rFonts w:ascii="宋体" w:hAnsi="宋体"/>
                <w:szCs w:val="21"/>
              </w:rPr>
            </w:pPr>
            <w:r>
              <w:rPr>
                <w:rStyle w:val="39"/>
                <w:rFonts w:ascii="宋体" w:hAnsi="宋体"/>
                <w:szCs w:val="21"/>
              </w:rPr>
              <w:t>10.11 招标人补充的其他内容</w:t>
            </w:r>
          </w:p>
        </w:tc>
      </w:tr>
      <w:tr w14:paraId="4B82F9B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10185" w:type="dxa"/>
            <w:gridSpan w:val="3"/>
            <w:tcBorders>
              <w:top w:val="single" w:color="000000" w:sz="6" w:space="0"/>
              <w:left w:val="single" w:color="000000" w:sz="12" w:space="0"/>
              <w:bottom w:val="single" w:color="000000" w:sz="12" w:space="0"/>
              <w:right w:val="single" w:color="000000" w:sz="12" w:space="0"/>
            </w:tcBorders>
          </w:tcPr>
          <w:p w14:paraId="71035975">
            <w:pPr>
              <w:keepNext w:val="0"/>
              <w:keepLines w:val="0"/>
              <w:suppressLineNumbers w:val="0"/>
              <w:snapToGrid w:val="0"/>
              <w:spacing w:before="0" w:beforeAutospacing="0" w:after="0" w:afterAutospacing="0" w:line="276" w:lineRule="auto"/>
              <w:ind w:left="0" w:right="0"/>
              <w:rPr>
                <w:rFonts w:hint="default"/>
                <w:b w:val="0"/>
                <w:bCs w:val="0"/>
                <w:highlight w:val="none"/>
              </w:rPr>
            </w:pPr>
            <w:r>
              <w:rPr>
                <w:rFonts w:hint="eastAsia"/>
                <w:b w:val="0"/>
                <w:bCs w:val="0"/>
              </w:rPr>
              <w:t>（</w:t>
            </w:r>
            <w:r>
              <w:rPr>
                <w:rFonts w:hint="eastAsia"/>
                <w:b w:val="0"/>
                <w:bCs w:val="0"/>
                <w:lang w:val="en-US" w:eastAsia="zh-CN"/>
              </w:rPr>
              <w:t>1</w:t>
            </w:r>
            <w:r>
              <w:rPr>
                <w:rFonts w:hint="eastAsia"/>
                <w:b w:val="0"/>
                <w:bCs w:val="0"/>
              </w:rPr>
              <w:t>）</w:t>
            </w:r>
            <w:r>
              <w:rPr>
                <w:rFonts w:hint="eastAsia"/>
              </w:rPr>
              <w:t>预</w:t>
            </w:r>
            <w:r>
              <w:rPr>
                <w:rFonts w:hint="default"/>
              </w:rPr>
              <w:t>中标</w:t>
            </w:r>
            <w:r>
              <w:rPr>
                <w:rFonts w:hint="eastAsia"/>
              </w:rPr>
              <w:t>单位</w:t>
            </w:r>
            <w:r>
              <w:rPr>
                <w:rFonts w:hint="default"/>
              </w:rPr>
              <w:t>放弃中标、因不可抗力不能履行合同、不按照招标文件要求提交履约保证金</w:t>
            </w:r>
            <w:r>
              <w:rPr>
                <w:rFonts w:hint="eastAsia"/>
              </w:rPr>
              <w:t>/保函</w:t>
            </w:r>
            <w:r>
              <w:rPr>
                <w:rFonts w:hint="default"/>
              </w:rPr>
              <w:t>，或者被查实存在影响中标结果的违法行为等情形，不符合中标条件的，招标人可以按照评标委员会提出的中标候选人名单</w:t>
            </w:r>
            <w:r>
              <w:rPr>
                <w:rFonts w:hint="eastAsia"/>
              </w:rPr>
              <w:t>择优</w:t>
            </w:r>
            <w:r>
              <w:rPr>
                <w:rFonts w:hint="default"/>
              </w:rPr>
              <w:t>确定其他中标候选人为中</w:t>
            </w:r>
            <w:r>
              <w:rPr>
                <w:rFonts w:hint="default"/>
                <w:highlight w:val="none"/>
              </w:rPr>
              <w:t>标人，也可以重新招标。</w:t>
            </w:r>
          </w:p>
          <w:p w14:paraId="396BA7BD">
            <w:pPr>
              <w:keepNext w:val="0"/>
              <w:keepLines w:val="0"/>
              <w:numPr>
                <w:ilvl w:val="0"/>
                <w:numId w:val="0"/>
              </w:numPr>
              <w:suppressLineNumbers w:val="0"/>
              <w:snapToGrid w:val="0"/>
              <w:spacing w:before="0" w:beforeAutospacing="0" w:after="0" w:afterAutospacing="0" w:line="276" w:lineRule="auto"/>
              <w:ind w:left="0" w:right="0" w:rightChars="0"/>
              <w:rPr>
                <w:rFonts w:hint="eastAsia"/>
                <w:b/>
                <w:bCs/>
                <w:highlight w:val="none"/>
              </w:rPr>
            </w:pPr>
            <w:r>
              <w:rPr>
                <w:rFonts w:hint="eastAsia"/>
                <w:highlight w:val="none"/>
                <w:lang w:eastAsia="zh-CN"/>
              </w:rPr>
              <w:t>（</w:t>
            </w:r>
            <w:r>
              <w:rPr>
                <w:rFonts w:hint="eastAsia"/>
                <w:highlight w:val="none"/>
                <w:lang w:val="en-US" w:eastAsia="zh-CN"/>
              </w:rPr>
              <w:t>2</w:t>
            </w:r>
            <w:r>
              <w:rPr>
                <w:rFonts w:hint="eastAsia"/>
                <w:highlight w:val="none"/>
                <w:lang w:eastAsia="zh-CN"/>
              </w:rPr>
              <w:t>）</w:t>
            </w:r>
            <w:r>
              <w:rPr>
                <w:rFonts w:hint="eastAsia"/>
                <w:highlight w:val="none"/>
              </w:rPr>
              <w:t>投标人应到工地踏勘以充分了解工地位置、周边情况、地质水文、道路、储存空间、装卸限制及任何其它足以影响投标报价的情况。任何因忽视或误解工地情况而导致的索赔或工期延长申请将不予批准。施工期间服从、配合招标人厂区生产要求。</w:t>
            </w:r>
          </w:p>
          <w:p w14:paraId="36A8484B">
            <w:pPr>
              <w:numPr>
                <w:ilvl w:val="0"/>
                <w:numId w:val="0"/>
              </w:numPr>
              <w:snapToGrid w:val="0"/>
              <w:spacing w:line="276" w:lineRule="auto"/>
              <w:rPr>
                <w:highlight w:val="none"/>
              </w:rPr>
            </w:pPr>
          </w:p>
          <w:p w14:paraId="302F3580">
            <w:pPr>
              <w:numPr>
                <w:ilvl w:val="0"/>
                <w:numId w:val="0"/>
              </w:numPr>
              <w:snapToGrid w:val="0"/>
              <w:spacing w:before="120" w:beforeLines="50" w:line="276" w:lineRule="auto"/>
              <w:rPr>
                <w:b/>
                <w:bCs/>
                <w:highlight w:val="yellow"/>
              </w:rPr>
            </w:pPr>
            <w:r>
              <w:rPr>
                <w:rFonts w:hint="eastAsia"/>
                <w:b/>
                <w:bCs/>
                <w:highlight w:val="yellow"/>
                <w:lang w:eastAsia="zh-CN"/>
              </w:rPr>
              <w:t>（</w:t>
            </w:r>
            <w:r>
              <w:rPr>
                <w:rFonts w:hint="eastAsia"/>
                <w:b/>
                <w:bCs/>
                <w:highlight w:val="yellow"/>
                <w:lang w:val="en-US" w:eastAsia="zh-CN"/>
              </w:rPr>
              <w:t>3</w:t>
            </w:r>
            <w:r>
              <w:rPr>
                <w:rFonts w:hint="eastAsia"/>
                <w:b/>
                <w:bCs/>
                <w:highlight w:val="yellow"/>
                <w:lang w:eastAsia="zh-CN"/>
              </w:rPr>
              <w:t>）</w:t>
            </w:r>
            <w:r>
              <w:rPr>
                <w:rFonts w:hint="eastAsia"/>
                <w:b/>
                <w:bCs/>
                <w:highlight w:val="yellow"/>
              </w:rPr>
              <w:t>造价咨询费执行2026年度造价咨询服务合同约定，其中：</w:t>
            </w:r>
          </w:p>
          <w:p w14:paraId="4E58A20D">
            <w:pPr>
              <w:snapToGrid w:val="0"/>
              <w:spacing w:line="276" w:lineRule="auto"/>
              <w:ind w:firstLine="422" w:firstLineChars="200"/>
              <w:rPr>
                <w:rFonts w:hint="default"/>
                <w:b/>
                <w:bCs/>
                <w:highlight w:val="yellow"/>
                <w:lang w:val="en-US" w:eastAsia="zh-CN"/>
              </w:rPr>
            </w:pPr>
            <w:r>
              <w:rPr>
                <w:rFonts w:hint="eastAsia"/>
                <w:b/>
                <w:bCs/>
                <w:highlight w:val="yellow"/>
                <w:lang w:val="en-US" w:eastAsia="zh-CN"/>
              </w:rPr>
              <w:t>招标阶段清单编制费：执行固定费率0.5‰（千分之0.5），取费基数为施工合同金额（中标金额，含暂估价、暂列金额）。单个项目的招标阶段咨询服务费用低于500元的按500元收取。</w:t>
            </w:r>
            <w:r>
              <w:rPr>
                <w:rFonts w:hint="eastAsia" w:ascii="Times New Roman" w:hAnsi="Times New Roman" w:eastAsia="宋体" w:cs="Times New Roman"/>
                <w:b/>
                <w:bCs/>
                <w:i w:val="0"/>
                <w:iCs w:val="0"/>
                <w:kern w:val="2"/>
                <w:sz w:val="21"/>
                <w:szCs w:val="24"/>
                <w:highlight w:val="yellow"/>
                <w:u w:val="none"/>
                <w:lang w:val="en-US" w:eastAsia="zh-CN" w:bidi="ar-SA"/>
              </w:rPr>
              <w:t>施工合同签订后</w:t>
            </w:r>
            <w:r>
              <w:rPr>
                <w:rFonts w:hint="eastAsia" w:cs="Times New Roman"/>
                <w:b/>
                <w:bCs/>
                <w:i w:val="0"/>
                <w:iCs w:val="0"/>
                <w:kern w:val="2"/>
                <w:sz w:val="21"/>
                <w:szCs w:val="24"/>
                <w:highlight w:val="yellow"/>
                <w:u w:val="none"/>
                <w:lang w:val="en-US" w:eastAsia="zh-CN" w:bidi="ar-SA"/>
              </w:rPr>
              <w:t>一次性</w:t>
            </w:r>
            <w:r>
              <w:rPr>
                <w:rFonts w:hint="eastAsia" w:ascii="Times New Roman" w:hAnsi="Times New Roman" w:eastAsia="宋体" w:cs="Times New Roman"/>
                <w:b/>
                <w:bCs/>
                <w:i w:val="0"/>
                <w:iCs w:val="0"/>
                <w:kern w:val="2"/>
                <w:sz w:val="21"/>
                <w:szCs w:val="24"/>
                <w:highlight w:val="yellow"/>
                <w:u w:val="none"/>
                <w:lang w:val="en-US" w:eastAsia="zh-CN" w:bidi="ar-SA"/>
              </w:rPr>
              <w:t>支付</w:t>
            </w:r>
            <w:r>
              <w:rPr>
                <w:rFonts w:hint="eastAsia" w:cs="Times New Roman"/>
                <w:b/>
                <w:bCs/>
                <w:i w:val="0"/>
                <w:iCs w:val="0"/>
                <w:kern w:val="2"/>
                <w:sz w:val="21"/>
                <w:szCs w:val="24"/>
                <w:highlight w:val="yellow"/>
                <w:u w:val="none"/>
                <w:lang w:val="en-US" w:eastAsia="zh-CN" w:bidi="ar-SA"/>
              </w:rPr>
              <w:t>。</w:t>
            </w:r>
          </w:p>
          <w:p w14:paraId="20F1186F">
            <w:pPr>
              <w:snapToGrid w:val="0"/>
              <w:spacing w:line="276" w:lineRule="auto"/>
              <w:ind w:firstLine="422" w:firstLineChars="200"/>
              <w:rPr>
                <w:highlight w:val="yellow"/>
              </w:rPr>
            </w:pPr>
            <w:r>
              <w:rPr>
                <w:rFonts w:hint="eastAsia"/>
                <w:b/>
                <w:bCs/>
                <w:highlight w:val="yellow"/>
                <w:lang w:val="en-US" w:eastAsia="zh-CN"/>
              </w:rPr>
              <w:t>施工阶段造价咨询费（若需）：固定综合费率为0.75‰（千分之0.75），取费基数为施工合同金额（中标金额）</w:t>
            </w:r>
            <w:r>
              <w:rPr>
                <w:rFonts w:hint="eastAsia" w:cs="Times New Roman"/>
                <w:b/>
                <w:bCs/>
                <w:i w:val="0"/>
                <w:iCs w:val="0"/>
                <w:kern w:val="2"/>
                <w:sz w:val="21"/>
                <w:szCs w:val="24"/>
                <w:highlight w:val="yellow"/>
                <w:u w:val="none"/>
                <w:lang w:val="en-US" w:eastAsia="zh-CN" w:bidi="ar-SA"/>
              </w:rPr>
              <w:t>。此部分费用</w:t>
            </w:r>
            <w:r>
              <w:rPr>
                <w:rFonts w:hint="eastAsia" w:ascii="Times New Roman" w:hAnsi="Times New Roman" w:eastAsia="宋体" w:cs="Times New Roman"/>
                <w:b/>
                <w:bCs/>
                <w:i w:val="0"/>
                <w:iCs w:val="0"/>
                <w:kern w:val="2"/>
                <w:sz w:val="21"/>
                <w:szCs w:val="24"/>
                <w:highlight w:val="yellow"/>
                <w:u w:val="none"/>
                <w:lang w:val="en-US" w:eastAsia="zh-CN" w:bidi="ar-SA"/>
              </w:rPr>
              <w:t>竣工验收后支付</w:t>
            </w:r>
            <w:r>
              <w:rPr>
                <w:rFonts w:hint="eastAsia"/>
                <w:b/>
                <w:bCs/>
                <w:highlight w:val="yellow"/>
                <w:lang w:val="en-US" w:eastAsia="zh-CN"/>
              </w:rPr>
              <w:t>。</w:t>
            </w:r>
          </w:p>
          <w:p w14:paraId="6E3BA183">
            <w:pPr>
              <w:snapToGrid w:val="0"/>
              <w:spacing w:before="120" w:beforeLines="50" w:after="120" w:afterLines="50" w:line="276" w:lineRule="auto"/>
              <w:ind w:firstLine="422" w:firstLineChars="200"/>
              <w:rPr>
                <w:highlight w:val="yellow"/>
              </w:rPr>
            </w:pPr>
            <w:r>
              <w:rPr>
                <w:rFonts w:hint="eastAsia"/>
                <w:b/>
                <w:bCs/>
                <w:highlight w:val="yellow"/>
              </w:rPr>
              <w:t>上述费用由中标人单独向造价咨询单位缴纳，持相应收费凭证，按招标文件约定时间申请退还投标保证金，收费基数为成交价格，各报价人无需将本项费用单独列项，但应将其综合考虑到报价中。</w:t>
            </w:r>
          </w:p>
          <w:p w14:paraId="2D602CE5">
            <w:pPr>
              <w:snapToGrid w:val="0"/>
              <w:spacing w:line="276" w:lineRule="auto"/>
            </w:pPr>
          </w:p>
          <w:p w14:paraId="23911669">
            <w:r>
              <w:rPr>
                <w:rFonts w:hint="eastAsia"/>
              </w:rPr>
              <w:t>（</w:t>
            </w:r>
            <w:r>
              <w:rPr>
                <w:rFonts w:hint="eastAsia"/>
                <w:lang w:val="en-US" w:eastAsia="zh-CN"/>
              </w:rPr>
              <w:t>4</w:t>
            </w:r>
            <w:r>
              <w:rPr>
                <w:rFonts w:hint="eastAsia"/>
              </w:rPr>
              <w:t>）现场施工要求</w:t>
            </w:r>
          </w:p>
          <w:p w14:paraId="407E4987">
            <w:pPr>
              <w:ind w:firstLine="420" w:firstLineChars="200"/>
              <w:rPr>
                <w:rFonts w:hint="eastAsia" w:eastAsia="宋体"/>
                <w:lang w:val="en-US" w:eastAsia="zh-CN"/>
              </w:rPr>
            </w:pPr>
            <w:r>
              <w:rPr>
                <w:rFonts w:hint="eastAsia"/>
              </w:rPr>
              <w:sym w:font="Wingdings 2" w:char="0052"/>
            </w:r>
            <w:r>
              <w:rPr>
                <w:rFonts w:hint="eastAsia"/>
              </w:rPr>
              <w:t>投标人投报的项目班子成员必须始终在工地现场管理，不得擅自更换、不得兼职其他项目，否则按合同条款执行。施工过程中如发现另行设立执行项目经理的情况，给予警告或</w:t>
            </w:r>
            <w:r>
              <w:rPr>
                <w:rFonts w:hint="eastAsia"/>
                <w:highlight w:val="none"/>
              </w:rPr>
              <w:t>违约金处罚，若仍不整改，视为承包人违约，招标人有权终止协议并要求赔偿损失。</w:t>
            </w:r>
          </w:p>
          <w:p w14:paraId="691F2BE8">
            <w:pPr>
              <w:pStyle w:val="12"/>
              <w:ind w:firstLine="420" w:firstLineChars="200"/>
              <w:rPr>
                <w:rFonts w:hint="eastAsia"/>
                <w:highlight w:val="none"/>
                <w:lang w:eastAsia="zh-CN"/>
              </w:rPr>
            </w:pPr>
            <w:r>
              <w:rPr>
                <w:rFonts w:hint="eastAsia"/>
                <w:highlight w:val="none"/>
              </w:rPr>
              <w:sym w:font="Wingdings 2" w:char="0052"/>
            </w:r>
            <w:r>
              <w:rPr>
                <w:rFonts w:hint="eastAsia"/>
                <w:highlight w:val="none"/>
              </w:rPr>
              <w:t>现场不提供工人生活区和办公区</w:t>
            </w:r>
            <w:r>
              <w:rPr>
                <w:rFonts w:hint="eastAsia"/>
                <w:highlight w:val="none"/>
                <w:lang w:eastAsia="zh-CN"/>
              </w:rPr>
              <w:t>、</w:t>
            </w:r>
            <w:r>
              <w:rPr>
                <w:rFonts w:hint="eastAsia"/>
                <w:highlight w:val="none"/>
                <w:lang w:val="en-US" w:eastAsia="zh-CN"/>
              </w:rPr>
              <w:t>不提供施工水电</w:t>
            </w:r>
            <w:r>
              <w:rPr>
                <w:rFonts w:hint="eastAsia"/>
                <w:highlight w:val="none"/>
              </w:rPr>
              <w:t>，自行解决。</w:t>
            </w:r>
          </w:p>
          <w:p w14:paraId="01400EA7">
            <w:pPr>
              <w:pStyle w:val="12"/>
              <w:ind w:firstLine="420" w:firstLineChars="200"/>
            </w:pPr>
            <w:r>
              <w:rPr>
                <w:rFonts w:hint="eastAsia"/>
                <w:highlight w:val="none"/>
              </w:rPr>
              <w:sym w:font="Wingdings 2" w:char="0052"/>
            </w:r>
            <w:r>
              <w:rPr>
                <w:rFonts w:hint="eastAsia"/>
                <w:highlight w:val="none"/>
              </w:rPr>
              <w:t>施工期间应服从厂区安全文明管理规定，车辆人员进出管理规定（物流运输</w:t>
            </w:r>
            <w:r>
              <w:rPr>
                <w:rFonts w:hint="eastAsia"/>
              </w:rPr>
              <w:t>、施工车辆，优先选用重汽品牌以及一切厂区管理制度，如人员登记、防疫管理、禁止吸烟、特种作业、动火审批用电审批、登高审批及相关安全环保检查等。</w:t>
            </w:r>
          </w:p>
          <w:p w14:paraId="19326762">
            <w:pPr>
              <w:widowControl/>
              <w:snapToGrid w:val="0"/>
              <w:spacing w:line="276" w:lineRule="auto"/>
              <w:ind w:firstLine="420" w:firstLineChars="200"/>
            </w:pPr>
            <w:r>
              <w:rPr/>
              <w:sym w:font="Wingdings 2" w:char="0052"/>
            </w:r>
            <w:r>
              <w:t>中标人自行负责进场设备材料物资的看护责任，若现场发生的丢失损坏，不得以此向招标人索赔工期和费用。</w:t>
            </w:r>
          </w:p>
          <w:p w14:paraId="469DB755">
            <w:pPr>
              <w:ind w:firstLine="420" w:firstLineChars="200"/>
            </w:pPr>
            <w:r>
              <w:rPr/>
              <w:sym w:font="Wingdings 2" w:char="0052"/>
            </w:r>
            <w:r>
              <w:rPr>
                <w:rFonts w:hint="eastAsia"/>
              </w:rPr>
              <w:t>中标人自进场施工开始至交接验收前负责施工范围内的成品保护工作，包括自身自己的成品及其它施工单位的成品、半成品等，如发生损坏、更改变化，由中标人负责免费进行恢复原状。</w:t>
            </w:r>
          </w:p>
          <w:p w14:paraId="4853AC53">
            <w:pPr>
              <w:ind w:firstLine="420" w:firstLineChars="200"/>
            </w:pPr>
            <w:r>
              <w:rPr>
                <w:rFonts w:hint="eastAsia"/>
              </w:rPr>
              <w:sym w:font="Wingdings 2" w:char="0052"/>
            </w:r>
            <w:r>
              <w:rPr>
                <w:rFonts w:hint="eastAsia"/>
              </w:rPr>
              <w:t>施工期间不得以进入冬雨季施工、中高考期间、秋冬季大气污染应急响应（均为可预见因素）、法定节假日等作为工期延误的理由，必须采取施工措施保证施工质量和进度。</w:t>
            </w:r>
          </w:p>
          <w:p w14:paraId="122E0739">
            <w:pPr>
              <w:pStyle w:val="31"/>
              <w:ind w:firstLine="420" w:firstLineChars="200"/>
              <w:rPr>
                <w:rFonts w:hint="default"/>
              </w:rPr>
            </w:pPr>
            <w:r>
              <w:rPr/>
              <w:sym w:font="Wingdings 2" w:char="0052"/>
            </w:r>
            <w:r>
              <w:t>施工期间必须采取抑尘降尘措施，施工区域采用封闭围挡进行封闭施工</w:t>
            </w:r>
          </w:p>
          <w:p w14:paraId="5C58BB09">
            <w:pPr>
              <w:pStyle w:val="12"/>
              <w:ind w:firstLine="420" w:firstLineChars="200"/>
            </w:pPr>
            <w:r>
              <w:rPr>
                <w:rFonts w:hint="eastAsia"/>
              </w:rPr>
              <w:sym w:font="Wingdings 2" w:char="0052"/>
            </w:r>
            <w:r>
              <w:rPr>
                <w:rFonts w:hint="eastAsia"/>
              </w:rPr>
              <w:t>投标人须认可招标人的工作指令，包括节、假日（包含春节）能正常开展工作的要求。</w:t>
            </w:r>
          </w:p>
          <w:p w14:paraId="69904277">
            <w:pPr>
              <w:ind w:firstLine="420" w:firstLineChars="200"/>
              <w:rPr>
                <w:rFonts w:hint="eastAsia" w:eastAsia="宋体"/>
              </w:rPr>
            </w:pPr>
            <w:r>
              <w:rPr>
                <w:rFonts w:hint="eastAsia" w:eastAsia="宋体"/>
              </w:rPr>
              <w:t>施工期间应严格落实项目所在地的政府安全文明标准、渣土处置标准、扬尘环保、重污染天气应急响应等标准，做到六个百分百，采取湿法作业，冲洗设备、密目网裸土全覆盖，施工结束每日及时恢复，运输期间，中标人负责运输路线上道路的及时清理、冲洗，确保文明卫生。</w:t>
            </w:r>
          </w:p>
          <w:p w14:paraId="4FB82677">
            <w:pPr>
              <w:ind w:firstLine="420" w:firstLineChars="200"/>
              <w:rPr>
                <w:rFonts w:hint="eastAsia" w:eastAsia="宋体"/>
              </w:rPr>
            </w:pPr>
            <w:r>
              <w:rPr>
                <w:rFonts w:hint="eastAsia" w:eastAsia="宋体"/>
              </w:rPr>
              <w:sym w:font="Wingdings 2" w:char="0052"/>
            </w:r>
            <w:r>
              <w:rPr>
                <w:rFonts w:hint="eastAsia" w:eastAsia="宋体"/>
              </w:rPr>
              <w:t>现场施工人员登高、电工、焊工等作业必须持证上岗。</w:t>
            </w:r>
          </w:p>
          <w:p w14:paraId="155D94A3">
            <w:pPr>
              <w:ind w:firstLine="420" w:firstLineChars="200"/>
              <w:rPr>
                <w:rFonts w:hint="eastAsia" w:eastAsia="宋体"/>
              </w:rPr>
            </w:pPr>
            <w:r>
              <w:rPr>
                <w:rFonts w:hint="eastAsia" w:eastAsia="宋体"/>
              </w:rPr>
              <w:sym w:font="Wingdings 2" w:char="F052"/>
            </w:r>
            <w:r>
              <w:rPr>
                <w:rFonts w:hint="eastAsia" w:eastAsia="宋体"/>
              </w:rPr>
              <w:t>若承包人施工进度严重滞后且无有效抢工措施，施工进度无明显改善的，经发包人函告后仍未在通知的时间内积极采取有效措施达到现场进度要求的，发包人有权自行委托其他施工单位（第三方）替代施工，而不构成违约，承包人须无条件服从。第三方施工单位施工所发生的费用，由发包人书面认可即视为有效且承包人亦认可，最终由承包人承担，承担方式：承包人直接向第三方支付或由发包人代为支付，在承包人的竣工结算中对成本增加部分（双方价差）予以扣减。</w:t>
            </w:r>
          </w:p>
          <w:p w14:paraId="145A7E35">
            <w:pPr>
              <w:ind w:firstLine="420"/>
              <w:rPr>
                <w:rFonts w:hint="eastAsia" w:ascii="Times New Roman" w:hAnsi="Times New Roman" w:eastAsia="宋体" w:cs="Times New Roman"/>
                <w:sz w:val="21"/>
                <w:szCs w:val="24"/>
              </w:rPr>
            </w:pPr>
            <w:r>
              <w:rPr>
                <w:rFonts w:hint="eastAsia" w:cs="Times New Roman"/>
                <w:sz w:val="21"/>
                <w:szCs w:val="24"/>
                <w:lang w:val="en-US" w:eastAsia="zh-CN"/>
              </w:rPr>
              <w:t>中</w:t>
            </w:r>
            <w:r>
              <w:rPr>
                <w:rFonts w:hint="eastAsia" w:ascii="Times New Roman" w:hAnsi="Times New Roman" w:eastAsia="宋体" w:cs="Times New Roman"/>
                <w:sz w:val="21"/>
                <w:szCs w:val="24"/>
              </w:rPr>
              <w:t>标单位须提供混凝土</w:t>
            </w:r>
            <w:r>
              <w:rPr>
                <w:rFonts w:hint="eastAsia" w:cs="Times New Roman"/>
                <w:sz w:val="21"/>
                <w:szCs w:val="24"/>
                <w:lang w:val="en-US" w:eastAsia="zh-CN"/>
              </w:rPr>
              <w:t>搅拌</w:t>
            </w:r>
            <w:r>
              <w:rPr>
                <w:rFonts w:hint="eastAsia" w:ascii="Times New Roman" w:hAnsi="Times New Roman" w:eastAsia="宋体" w:cs="Times New Roman"/>
                <w:sz w:val="21"/>
                <w:szCs w:val="24"/>
              </w:rPr>
              <w:t>站的相关信息，并考察通过后方可实施。</w:t>
            </w:r>
          </w:p>
          <w:p w14:paraId="6A380B8F">
            <w:pPr>
              <w:ind w:firstLine="420"/>
              <w:rPr>
                <w:rFonts w:hint="eastAsia" w:ascii="Times New Roman" w:hAnsi="Times New Roman" w:eastAsia="宋体" w:cs="Times New Roman"/>
                <w:sz w:val="21"/>
                <w:szCs w:val="24"/>
              </w:rPr>
            </w:pPr>
            <w:r>
              <w:rPr>
                <w:rFonts w:hint="eastAsia" w:ascii="Times New Roman" w:hAnsi="Times New Roman" w:eastAsia="宋体" w:cs="Times New Roman"/>
                <w:sz w:val="21"/>
                <w:szCs w:val="24"/>
              </w:rPr>
              <w:t>混凝土浇筑实施前，招标人、使用单位</w:t>
            </w:r>
            <w:r>
              <w:rPr>
                <w:rFonts w:hint="eastAsia" w:cs="Times New Roman"/>
                <w:sz w:val="21"/>
                <w:szCs w:val="24"/>
                <w:lang w:eastAsia="zh-CN"/>
              </w:rPr>
              <w:t>、</w:t>
            </w:r>
            <w:r>
              <w:rPr>
                <w:rFonts w:hint="eastAsia" w:cs="Times New Roman"/>
                <w:sz w:val="21"/>
                <w:szCs w:val="24"/>
                <w:lang w:val="en-US" w:eastAsia="zh-CN"/>
              </w:rPr>
              <w:t>设计单位、</w:t>
            </w:r>
            <w:r>
              <w:rPr>
                <w:rFonts w:hint="eastAsia" w:ascii="Times New Roman" w:hAnsi="Times New Roman" w:eastAsia="宋体" w:cs="Times New Roman"/>
                <w:sz w:val="21"/>
                <w:szCs w:val="24"/>
              </w:rPr>
              <w:t>监理单位对</w:t>
            </w:r>
            <w:r>
              <w:rPr>
                <w:rFonts w:hint="eastAsia" w:cs="Times New Roman"/>
                <w:sz w:val="21"/>
                <w:szCs w:val="24"/>
                <w:lang w:val="en-US" w:eastAsia="zh-CN"/>
              </w:rPr>
              <w:t>中标</w:t>
            </w:r>
            <w:r>
              <w:rPr>
                <w:rFonts w:hint="eastAsia" w:ascii="Times New Roman" w:hAnsi="Times New Roman" w:eastAsia="宋体" w:cs="Times New Roman"/>
                <w:sz w:val="21"/>
                <w:szCs w:val="24"/>
              </w:rPr>
              <w:t>单位提报的混凝土搅拌站的混凝土配比等相关信息确认无误，达成一致意见后方可进行施工。</w:t>
            </w:r>
          </w:p>
          <w:p w14:paraId="48A46AE1">
            <w:pPr>
              <w:pStyle w:val="2"/>
              <w:rPr>
                <w:rFonts w:hint="default" w:eastAsia="宋体"/>
                <w:lang w:val="en-US" w:eastAsia="zh-CN"/>
              </w:rPr>
            </w:pPr>
            <w:r>
              <w:rPr>
                <w:rFonts w:hint="eastAsia" w:cs="Times New Roman"/>
                <w:sz w:val="21"/>
                <w:szCs w:val="24"/>
                <w:lang w:val="en-US" w:eastAsia="zh-CN"/>
              </w:rPr>
              <w:t>中标单位自行负责施工场地的治安保卫及周边关系协调。</w:t>
            </w:r>
          </w:p>
          <w:p w14:paraId="6A3EA433">
            <w:pPr>
              <w:numPr>
                <w:ilvl w:val="255"/>
                <w:numId w:val="0"/>
              </w:numPr>
              <w:snapToGrid w:val="0"/>
              <w:spacing w:line="276" w:lineRule="auto"/>
              <w:rPr>
                <w:rFonts w:hint="eastAsia"/>
                <w:b/>
                <w:bCs/>
                <w:highlight w:val="none"/>
              </w:rPr>
            </w:pPr>
          </w:p>
          <w:p w14:paraId="4BB7E276">
            <w:pPr>
              <w:numPr>
                <w:ilvl w:val="255"/>
                <w:numId w:val="0"/>
              </w:numPr>
              <w:snapToGrid w:val="0"/>
              <w:spacing w:line="276" w:lineRule="auto"/>
              <w:rPr>
                <w:rFonts w:hint="eastAsia"/>
                <w:b/>
                <w:bCs/>
                <w:highlight w:val="none"/>
              </w:rPr>
            </w:pPr>
          </w:p>
          <w:p w14:paraId="6419E975">
            <w:pPr>
              <w:pStyle w:val="2"/>
              <w:widowControl/>
              <w:snapToGrid w:val="0"/>
              <w:spacing w:after="0"/>
              <w:ind w:left="0" w:leftChars="0" w:firstLine="0" w:firstLineChars="0"/>
              <w:jc w:val="both"/>
              <w:rPr>
                <w:highlight w:val="none"/>
              </w:rPr>
            </w:pPr>
            <w:r>
              <w:rPr>
                <w:rFonts w:hint="eastAsia"/>
              </w:rPr>
              <w:t>（</w:t>
            </w:r>
            <w:r>
              <w:rPr>
                <w:rFonts w:hint="eastAsia"/>
                <w:lang w:val="en-US" w:eastAsia="zh-CN"/>
              </w:rPr>
              <w:t>5</w:t>
            </w:r>
            <w:r>
              <w:rPr>
                <w:rFonts w:hint="eastAsia"/>
              </w:rPr>
              <w:t>）商务</w:t>
            </w:r>
            <w:r>
              <w:rPr>
                <w:rFonts w:hint="eastAsia"/>
                <w:highlight w:val="none"/>
              </w:rPr>
              <w:t>报价注意内容</w:t>
            </w:r>
          </w:p>
          <w:p w14:paraId="6A70822C">
            <w:pPr>
              <w:snapToGrid w:val="0"/>
              <w:spacing w:line="276" w:lineRule="auto"/>
              <w:ind w:firstLine="420" w:firstLineChars="200"/>
              <w:rPr>
                <w:highlight w:val="none"/>
              </w:rPr>
            </w:pPr>
            <w:r>
              <w:rPr>
                <w:rFonts w:hint="eastAsia"/>
                <w:highlight w:val="none"/>
              </w:rPr>
              <w:sym w:font="Wingdings 2" w:char="0052"/>
            </w:r>
            <w:r>
              <w:rPr>
                <w:rFonts w:hint="eastAsia"/>
                <w:highlight w:val="none"/>
              </w:rPr>
              <w:t>本工程不设暂列金。</w:t>
            </w:r>
          </w:p>
          <w:p w14:paraId="05E47188">
            <w:pPr>
              <w:snapToGrid w:val="0"/>
              <w:spacing w:line="276" w:lineRule="auto"/>
              <w:ind w:firstLine="420" w:firstLineChars="200"/>
              <w:rPr>
                <w:rFonts w:ascii="宋体" w:hAnsi="宋体"/>
                <w:b/>
                <w:bCs/>
                <w:szCs w:val="21"/>
                <w:highlight w:val="none"/>
              </w:rPr>
            </w:pPr>
            <w:r>
              <w:rPr>
                <w:rFonts w:hint="eastAsia"/>
                <w:highlight w:val="none"/>
              </w:rPr>
              <w:sym w:font="Wingdings 2" w:char="0052"/>
            </w:r>
            <w:r>
              <w:rPr>
                <w:rFonts w:hint="eastAsia"/>
                <w:highlight w:val="none"/>
              </w:rPr>
              <w:t>本次招标无甲供材料（设备）、无甲分包，不计取采保费和总承包管理费。</w:t>
            </w:r>
          </w:p>
          <w:p w14:paraId="7264C3E1">
            <w:pPr>
              <w:snapToGrid w:val="0"/>
              <w:spacing w:line="276" w:lineRule="auto"/>
              <w:rPr>
                <w:rFonts w:ascii="宋体" w:hAnsi="宋体"/>
                <w:b/>
                <w:bCs/>
                <w:szCs w:val="21"/>
              </w:rPr>
            </w:pPr>
          </w:p>
          <w:p w14:paraId="7821CC48">
            <w:pPr>
              <w:snapToGrid w:val="0"/>
              <w:spacing w:line="276" w:lineRule="auto"/>
            </w:pPr>
            <w:r>
              <w:rPr>
                <w:rFonts w:hint="eastAsia"/>
              </w:rPr>
              <w:t>（</w:t>
            </w:r>
            <w:r>
              <w:rPr>
                <w:rFonts w:hint="eastAsia"/>
                <w:lang w:val="en-US" w:eastAsia="zh-CN"/>
              </w:rPr>
              <w:t>6</w:t>
            </w:r>
            <w:r>
              <w:rPr>
                <w:rFonts w:hint="eastAsia"/>
              </w:rPr>
              <w:t>）合同付款条件</w:t>
            </w:r>
          </w:p>
          <w:p w14:paraId="39C9072E">
            <w:pPr>
              <w:snapToGrid w:val="0"/>
              <w:spacing w:line="276" w:lineRule="auto"/>
              <w:ind w:firstLine="420" w:firstLineChars="200"/>
              <w:rPr>
                <w:rFonts w:hint="eastAsia"/>
                <w:highlight w:val="none"/>
              </w:rPr>
            </w:pPr>
            <w:r>
              <w:rPr>
                <w:rFonts w:hint="eastAsia"/>
              </w:rPr>
              <w:t>付款方式：半年期商业汇票（包含</w:t>
            </w:r>
            <w:r>
              <w:rPr>
                <w:rFonts w:hint="eastAsia"/>
                <w:highlight w:val="none"/>
              </w:rPr>
              <w:t>银行承兑汇票和商业承兑汇票）。</w:t>
            </w:r>
          </w:p>
          <w:p w14:paraId="423E374B">
            <w:pPr>
              <w:pStyle w:val="2"/>
              <w:ind w:left="0" w:leftChars="0" w:firstLine="420" w:firstLineChars="200"/>
            </w:pPr>
            <w:r>
              <w:rPr>
                <w:rFonts w:hint="eastAsia"/>
              </w:rPr>
              <w:t>工程款支付按月形象进度报表，</w:t>
            </w:r>
            <w:r>
              <w:rPr>
                <w:rFonts w:hint="eastAsia"/>
                <w:highlight w:val="none"/>
              </w:rPr>
              <w:t>经监理工程师、发包人审核签认工程款支付会签表后于次月月底前付至工程月形象进度造价的</w:t>
            </w:r>
            <w:r>
              <w:rPr>
                <w:rFonts w:hint="eastAsia"/>
              </w:rPr>
              <w:t>75%，累计进度款最高付至合同签约价的75%；完成工程竣工资料移交、竣工结算申报及内部竣工验收后付至已完成形象进度产值的80%，且最高付至合同签约价80%；竣工结算审计完毕后付款至工程结算款的97%，结算款的3%作为质量保修金，无质量问题两年后支付。</w:t>
            </w:r>
          </w:p>
          <w:p w14:paraId="6034E84B">
            <w:pPr>
              <w:snapToGrid w:val="0"/>
              <w:spacing w:line="276" w:lineRule="auto"/>
            </w:pPr>
            <w:r>
              <w:rPr>
                <w:rFonts w:hint="eastAsia"/>
              </w:rPr>
              <w:t>发包人所有款项的支付均需承包人持当批付款金额一致的符合国家要求的增值税专用发票、收据、授权委托书、经办人身份证明原件及复印件等其他发包人财务制度要求的资料办理。</w:t>
            </w:r>
          </w:p>
          <w:p w14:paraId="6CFD859E">
            <w:pPr>
              <w:snapToGrid w:val="0"/>
              <w:spacing w:line="276" w:lineRule="auto"/>
            </w:pPr>
          </w:p>
          <w:p w14:paraId="04F8977D">
            <w:pPr>
              <w:snapToGrid w:val="0"/>
              <w:spacing w:line="276" w:lineRule="auto"/>
            </w:pPr>
            <w:r>
              <w:rPr>
                <w:rFonts w:hint="eastAsia"/>
              </w:rPr>
              <w:t>（</w:t>
            </w:r>
            <w:r>
              <w:rPr>
                <w:rFonts w:hint="eastAsia"/>
                <w:lang w:val="en-US" w:eastAsia="zh-CN"/>
              </w:rPr>
              <w:t>7</w:t>
            </w:r>
            <w:r>
              <w:rPr>
                <w:rFonts w:hint="eastAsia"/>
              </w:rPr>
              <w:t>）其他</w:t>
            </w:r>
          </w:p>
          <w:p w14:paraId="3B60139C">
            <w:pPr>
              <w:pStyle w:val="4"/>
              <w:ind w:left="0" w:leftChars="0" w:firstLine="420" w:firstLineChars="200"/>
              <w:jc w:val="left"/>
            </w:pPr>
            <w:r>
              <w:rPr>
                <w:b w:val="0"/>
              </w:rPr>
              <w:sym w:font="Wingdings 2" w:char="0052"/>
            </w:r>
            <w:r>
              <w:rPr>
                <w:b w:val="0"/>
              </w:rPr>
              <w:t>项目施工所有（不含甲供材料设备、甲分包部分）试验检测费用（包括但不限于见证取样复试、地基基础检测、防雷检测等）均已综合考虑并包含在承包人投标总价中。</w:t>
            </w:r>
          </w:p>
          <w:p w14:paraId="287296E3">
            <w:pPr>
              <w:snapToGrid w:val="0"/>
              <w:spacing w:line="276" w:lineRule="auto"/>
              <w:ind w:firstLine="422" w:firstLineChars="200"/>
              <w:rPr>
                <w:b/>
                <w:bCs/>
              </w:rPr>
            </w:pPr>
            <w:r>
              <w:rPr>
                <w:rFonts w:hint="eastAsia"/>
                <w:b/>
                <w:bCs/>
              </w:rPr>
              <w:sym w:font="Wingdings 2" w:char="0052"/>
            </w:r>
            <w:r>
              <w:rPr>
                <w:rFonts w:hint="eastAsia"/>
                <w:b/>
                <w:bCs/>
              </w:rPr>
              <w:t>承包人申请工程款支付时需按发包人要求同步完善工程技术及质量控制资料，因资料不完善影响工程款支付的，不得以此为由影响施工进度。</w:t>
            </w:r>
          </w:p>
          <w:p w14:paraId="2148ADAB">
            <w:pPr>
              <w:pStyle w:val="12"/>
              <w:keepNext w:val="0"/>
              <w:keepLines w:val="0"/>
              <w:suppressLineNumbers w:val="0"/>
              <w:spacing w:before="0" w:beforeAutospacing="0" w:after="0" w:afterAutospacing="0"/>
              <w:ind w:left="0" w:right="0" w:firstLine="420" w:firstLineChars="200"/>
              <w:rPr>
                <w:rFonts w:hint="default"/>
              </w:rPr>
            </w:pPr>
            <w:r>
              <w:rPr>
                <w:rFonts w:hint="eastAsia"/>
                <w:b w:val="0"/>
                <w:bCs/>
              </w:rPr>
              <w:sym w:font="Wingdings 2" w:char="0052"/>
            </w:r>
            <w:r>
              <w:rPr>
                <w:rFonts w:hint="eastAsia"/>
                <w:b w:val="0"/>
                <w:bCs/>
              </w:rPr>
              <w:t>工程结算审计，由发包人委托造价咨询单位审计或自行审计。（1）初审审计：结算审计费=基本审计费+效益审计费，其中：基本审计费1000元，效益审计费根据工程项目审减额参考鲁价费发【2007】205号文收费标准执行，对结算审减额超过5%部分，按5%计取审计费，以上费用均由承包人支付。审计费由承包人直接缴纳或者由发包人在工程款中代扣代缴。（2）复审审计：结算审计费根据工程项目审减额参考鲁价费发【2007】205号文收费标准执行，结算审减额按5%计取审计费，由承包人支付。审计费由承包人直接缴纳或者由发包人在工程款中代扣代缴。</w:t>
            </w:r>
          </w:p>
          <w:p w14:paraId="6C13E37F"/>
          <w:p w14:paraId="62E3B0ED">
            <w:pPr>
              <w:snapToGrid w:val="0"/>
              <w:spacing w:line="276" w:lineRule="auto"/>
            </w:pPr>
            <w:r>
              <w:rPr>
                <w:rFonts w:hint="eastAsia"/>
              </w:rPr>
              <w:t>（</w:t>
            </w:r>
            <w:r>
              <w:rPr>
                <w:rFonts w:hint="eastAsia"/>
                <w:lang w:val="en-US" w:eastAsia="zh-CN"/>
              </w:rPr>
              <w:t>8</w:t>
            </w:r>
            <w:r>
              <w:rPr>
                <w:rFonts w:hint="eastAsia"/>
              </w:rPr>
              <w:t>）开标进场注意事项</w:t>
            </w:r>
          </w:p>
          <w:p w14:paraId="65955C62">
            <w:pPr>
              <w:numPr>
                <w:ilvl w:val="255"/>
                <w:numId w:val="0"/>
              </w:numPr>
              <w:snapToGrid w:val="0"/>
              <w:spacing w:line="276" w:lineRule="auto"/>
              <w:ind w:firstLine="420" w:firstLineChars="200"/>
            </w:pPr>
            <w:r>
              <w:rPr/>
              <w:sym w:font="Wingdings 2" w:char="0052"/>
            </w:r>
            <w:r>
              <w:t>开标当日，投标单位的授权委托人</w:t>
            </w:r>
            <w:r>
              <w:rPr>
                <w:rFonts w:hint="eastAsia"/>
              </w:rPr>
              <w:t>及投标项目经理必须到场。</w:t>
            </w:r>
          </w:p>
          <w:p w14:paraId="4FCE6F9A">
            <w:pPr>
              <w:pStyle w:val="2"/>
              <w:snapToGrid w:val="0"/>
              <w:spacing w:after="0"/>
              <w:ind w:left="0" w:leftChars="0" w:firstLine="0" w:firstLineChars="0"/>
              <w:jc w:val="both"/>
            </w:pPr>
          </w:p>
          <w:p w14:paraId="39BF7EC8">
            <w:pPr>
              <w:pStyle w:val="2"/>
              <w:snapToGrid w:val="0"/>
              <w:spacing w:after="0"/>
              <w:ind w:left="0" w:leftChars="0" w:firstLine="0" w:firstLineChars="0"/>
              <w:jc w:val="both"/>
            </w:pPr>
            <w:r>
              <w:rPr>
                <w:rFonts w:hint="eastAsia"/>
              </w:rPr>
              <w:t>特别着重提醒：</w:t>
            </w:r>
          </w:p>
          <w:p w14:paraId="41BFE20E">
            <w:pPr>
              <w:pStyle w:val="2"/>
              <w:numPr>
                <w:ilvl w:val="0"/>
                <w:numId w:val="5"/>
              </w:numPr>
              <w:snapToGrid w:val="0"/>
              <w:spacing w:after="0"/>
              <w:ind w:left="0" w:leftChars="0" w:firstLine="0" w:firstLineChars="0"/>
              <w:jc w:val="both"/>
            </w:pPr>
            <w:r>
              <w:rPr>
                <w:rFonts w:hint="eastAsia"/>
              </w:rPr>
              <w:t>投标时须提交杜绝挂靠、转包承诺函（详见投标函附录-4），函必须经公司法务部门/人员签字及法定代表人签字盖公章。</w:t>
            </w:r>
          </w:p>
        </w:tc>
      </w:tr>
    </w:tbl>
    <w:p w14:paraId="287B571C">
      <w:pPr>
        <w:pStyle w:val="13"/>
        <w:rPr>
          <w:lang w:bidi="en-US"/>
        </w:rPr>
      </w:pPr>
      <w:bookmarkStart w:id="33" w:name="_Toc28870"/>
      <w:bookmarkStart w:id="34" w:name="_Toc17817323"/>
      <w:bookmarkStart w:id="35" w:name="_Toc16063893"/>
    </w:p>
    <w:p w14:paraId="6679911A">
      <w:pPr>
        <w:pStyle w:val="7"/>
        <w:spacing w:before="0" w:after="0"/>
        <w:jc w:val="center"/>
        <w:rPr>
          <w:sz w:val="30"/>
          <w:szCs w:val="30"/>
        </w:rPr>
      </w:pPr>
      <w:bookmarkStart w:id="36" w:name="_Toc28350"/>
      <w:r>
        <w:rPr>
          <w:sz w:val="30"/>
          <w:szCs w:val="30"/>
        </w:rPr>
        <w:t>1. 总则</w:t>
      </w:r>
      <w:bookmarkEnd w:id="33"/>
      <w:bookmarkEnd w:id="34"/>
      <w:bookmarkEnd w:id="35"/>
      <w:bookmarkEnd w:id="36"/>
    </w:p>
    <w:p w14:paraId="3C650FE6">
      <w:pPr>
        <w:spacing w:line="360" w:lineRule="auto"/>
        <w:rPr>
          <w:rStyle w:val="67"/>
          <w:sz w:val="24"/>
        </w:rPr>
      </w:pPr>
      <w:bookmarkStart w:id="37" w:name="_Toc17817324"/>
      <w:bookmarkStart w:id="38" w:name="_Toc11696"/>
      <w:bookmarkStart w:id="39" w:name="_Toc16063894"/>
      <w:r>
        <w:rPr>
          <w:rStyle w:val="67"/>
          <w:sz w:val="24"/>
        </w:rPr>
        <w:t>1.1 项目概况</w:t>
      </w:r>
    </w:p>
    <w:p w14:paraId="0C1FC3B9">
      <w:pPr>
        <w:spacing w:line="360" w:lineRule="auto"/>
        <w:ind w:firstLine="420" w:firstLineChars="200"/>
        <w:rPr>
          <w:rStyle w:val="67"/>
          <w:b w:val="0"/>
          <w:bCs w:val="0"/>
        </w:rPr>
      </w:pPr>
      <w:r>
        <w:rPr>
          <w:rStyle w:val="67"/>
          <w:b w:val="0"/>
          <w:bCs w:val="0"/>
        </w:rPr>
        <w:t>1.1.1根据《中华人民共和国招标投标法》等有关法律、法规和规章的规定，本招标项目已具备招标条件，现对本项目施工进行招标。</w:t>
      </w:r>
    </w:p>
    <w:p w14:paraId="39A44987">
      <w:pPr>
        <w:spacing w:line="360" w:lineRule="auto"/>
        <w:ind w:firstLine="420" w:firstLineChars="200"/>
        <w:rPr>
          <w:rStyle w:val="67"/>
          <w:b w:val="0"/>
          <w:bCs w:val="0"/>
        </w:rPr>
      </w:pPr>
      <w:r>
        <w:rPr>
          <w:rStyle w:val="67"/>
          <w:b w:val="0"/>
          <w:bCs w:val="0"/>
        </w:rPr>
        <w:t>1.1.2 本招标项目招标人：见投标人须知前附表。</w:t>
      </w:r>
    </w:p>
    <w:p w14:paraId="6EA59828">
      <w:pPr>
        <w:spacing w:line="360" w:lineRule="auto"/>
        <w:ind w:firstLine="420" w:firstLineChars="200"/>
        <w:rPr>
          <w:rStyle w:val="67"/>
          <w:b w:val="0"/>
          <w:bCs w:val="0"/>
        </w:rPr>
      </w:pPr>
      <w:r>
        <w:rPr>
          <w:rStyle w:val="67"/>
          <w:b w:val="0"/>
          <w:bCs w:val="0"/>
        </w:rPr>
        <w:t>1.1.3 本项目招标代理机构：见投标人须知前附表。</w:t>
      </w:r>
    </w:p>
    <w:p w14:paraId="61CB27BF">
      <w:pPr>
        <w:spacing w:line="360" w:lineRule="auto"/>
        <w:ind w:firstLine="420" w:firstLineChars="200"/>
        <w:rPr>
          <w:rStyle w:val="67"/>
          <w:b w:val="0"/>
          <w:bCs w:val="0"/>
        </w:rPr>
      </w:pPr>
      <w:r>
        <w:rPr>
          <w:rStyle w:val="67"/>
          <w:b w:val="0"/>
          <w:bCs w:val="0"/>
        </w:rPr>
        <w:t>1.1.4 本招标项目名称：见投标人须知前附表。</w:t>
      </w:r>
    </w:p>
    <w:p w14:paraId="49C0B5E9">
      <w:pPr>
        <w:spacing w:line="360" w:lineRule="auto"/>
        <w:ind w:firstLine="420" w:firstLineChars="200"/>
        <w:rPr>
          <w:rStyle w:val="67"/>
          <w:b w:val="0"/>
          <w:bCs w:val="0"/>
        </w:rPr>
      </w:pPr>
      <w:r>
        <w:rPr>
          <w:rStyle w:val="67"/>
          <w:b w:val="0"/>
          <w:bCs w:val="0"/>
        </w:rPr>
        <w:t>1.1.5 本招标项目建设规模：见投标人须知前附表。</w:t>
      </w:r>
    </w:p>
    <w:p w14:paraId="010F783A">
      <w:pPr>
        <w:spacing w:line="360" w:lineRule="auto"/>
        <w:ind w:firstLine="420" w:firstLineChars="200"/>
        <w:rPr>
          <w:rStyle w:val="67"/>
          <w:b w:val="0"/>
          <w:bCs w:val="0"/>
        </w:rPr>
      </w:pPr>
      <w:r>
        <w:rPr>
          <w:rStyle w:val="67"/>
          <w:b w:val="0"/>
          <w:bCs w:val="0"/>
        </w:rPr>
        <w:t>1.1.6 本项目建设地点：见投标人须知前附表。</w:t>
      </w:r>
    </w:p>
    <w:p w14:paraId="4983EE9C">
      <w:pPr>
        <w:spacing w:line="360" w:lineRule="auto"/>
        <w:rPr>
          <w:rStyle w:val="67"/>
          <w:sz w:val="24"/>
        </w:rPr>
      </w:pPr>
      <w:r>
        <w:rPr>
          <w:rStyle w:val="67"/>
          <w:sz w:val="24"/>
        </w:rPr>
        <w:t>1.2 资金来源和落实情况</w:t>
      </w:r>
    </w:p>
    <w:p w14:paraId="6565B096">
      <w:pPr>
        <w:spacing w:line="360" w:lineRule="auto"/>
        <w:ind w:firstLine="420" w:firstLineChars="200"/>
        <w:rPr>
          <w:rStyle w:val="67"/>
          <w:b w:val="0"/>
          <w:bCs w:val="0"/>
        </w:rPr>
      </w:pPr>
      <w:r>
        <w:rPr>
          <w:rStyle w:val="67"/>
          <w:b w:val="0"/>
          <w:bCs w:val="0"/>
        </w:rPr>
        <w:t>1.2.1 本招标项目的资金来源：见投标人须知前附表。</w:t>
      </w:r>
    </w:p>
    <w:p w14:paraId="09344E9A">
      <w:pPr>
        <w:spacing w:line="360" w:lineRule="auto"/>
        <w:ind w:firstLine="420" w:firstLineChars="200"/>
        <w:rPr>
          <w:rStyle w:val="67"/>
          <w:b w:val="0"/>
          <w:bCs w:val="0"/>
        </w:rPr>
      </w:pPr>
      <w:r>
        <w:rPr>
          <w:rStyle w:val="67"/>
          <w:b w:val="0"/>
          <w:bCs w:val="0"/>
        </w:rPr>
        <w:t>1.2.2 本招标项目的出资比例：见投标人须知前附表。</w:t>
      </w:r>
    </w:p>
    <w:p w14:paraId="36B810D6">
      <w:pPr>
        <w:spacing w:line="360" w:lineRule="auto"/>
        <w:ind w:firstLine="420" w:firstLineChars="200"/>
        <w:rPr>
          <w:rStyle w:val="67"/>
          <w:b w:val="0"/>
          <w:bCs w:val="0"/>
        </w:rPr>
      </w:pPr>
      <w:r>
        <w:rPr>
          <w:rStyle w:val="67"/>
          <w:b w:val="0"/>
          <w:bCs w:val="0"/>
        </w:rPr>
        <w:t>1.2.3 本招标项目的资金落实情况：见投标人须知前附表。</w:t>
      </w:r>
    </w:p>
    <w:p w14:paraId="4E6A9FA2">
      <w:pPr>
        <w:spacing w:line="360" w:lineRule="auto"/>
        <w:rPr>
          <w:rStyle w:val="67"/>
          <w:sz w:val="24"/>
        </w:rPr>
      </w:pPr>
      <w:r>
        <w:rPr>
          <w:rStyle w:val="67"/>
          <w:sz w:val="24"/>
        </w:rPr>
        <w:t>1.3 招标范围、计划工期和质量要求</w:t>
      </w:r>
    </w:p>
    <w:p w14:paraId="6B7AE509">
      <w:pPr>
        <w:spacing w:line="360" w:lineRule="auto"/>
        <w:ind w:firstLine="420" w:firstLineChars="200"/>
        <w:rPr>
          <w:rStyle w:val="67"/>
          <w:b w:val="0"/>
          <w:bCs w:val="0"/>
        </w:rPr>
      </w:pPr>
      <w:r>
        <w:rPr>
          <w:rStyle w:val="67"/>
          <w:b w:val="0"/>
          <w:bCs w:val="0"/>
        </w:rPr>
        <w:t>1.3.1 本次招标范围：见投标人须知前附表。</w:t>
      </w:r>
    </w:p>
    <w:p w14:paraId="64B18CA5">
      <w:pPr>
        <w:spacing w:line="360" w:lineRule="auto"/>
        <w:ind w:firstLine="420" w:firstLineChars="200"/>
        <w:rPr>
          <w:rStyle w:val="67"/>
          <w:b w:val="0"/>
          <w:bCs w:val="0"/>
        </w:rPr>
      </w:pPr>
      <w:r>
        <w:rPr>
          <w:rStyle w:val="67"/>
          <w:b w:val="0"/>
          <w:bCs w:val="0"/>
        </w:rPr>
        <w:t>1.3.2 本项目的计划工期：见投标人须知前附表。</w:t>
      </w:r>
    </w:p>
    <w:p w14:paraId="0A6D71E2">
      <w:pPr>
        <w:spacing w:line="360" w:lineRule="auto"/>
        <w:ind w:firstLine="420" w:firstLineChars="200"/>
        <w:rPr>
          <w:rStyle w:val="67"/>
          <w:b w:val="0"/>
          <w:bCs w:val="0"/>
        </w:rPr>
      </w:pPr>
      <w:r>
        <w:rPr>
          <w:rStyle w:val="67"/>
          <w:b w:val="0"/>
          <w:bCs w:val="0"/>
        </w:rPr>
        <w:t>1.3.3 本项目的质量要求：见投标人须知前附表。</w:t>
      </w:r>
    </w:p>
    <w:p w14:paraId="23B699B6">
      <w:pPr>
        <w:spacing w:line="360" w:lineRule="auto"/>
        <w:rPr>
          <w:rStyle w:val="67"/>
          <w:sz w:val="24"/>
        </w:rPr>
      </w:pPr>
      <w:r>
        <w:rPr>
          <w:rStyle w:val="67"/>
          <w:sz w:val="24"/>
        </w:rPr>
        <w:t>1.4 投标人资格要求</w:t>
      </w:r>
    </w:p>
    <w:p w14:paraId="74F43686">
      <w:pPr>
        <w:spacing w:line="360" w:lineRule="auto"/>
        <w:ind w:firstLine="420" w:firstLineChars="200"/>
        <w:rPr>
          <w:rStyle w:val="67"/>
          <w:b w:val="0"/>
          <w:bCs w:val="0"/>
        </w:rPr>
      </w:pPr>
      <w:r>
        <w:rPr>
          <w:rStyle w:val="67"/>
          <w:b w:val="0"/>
          <w:bCs w:val="0"/>
        </w:rPr>
        <w:t>1.4.1投标人应具备承担本项目施工的资质条件、能力和信誉。</w:t>
      </w:r>
    </w:p>
    <w:p w14:paraId="53B3F3E8">
      <w:pPr>
        <w:spacing w:line="360" w:lineRule="auto"/>
        <w:ind w:firstLine="718" w:firstLineChars="342"/>
        <w:rPr>
          <w:rStyle w:val="67"/>
          <w:b w:val="0"/>
          <w:bCs w:val="0"/>
        </w:rPr>
      </w:pPr>
      <w:r>
        <w:rPr>
          <w:rStyle w:val="67"/>
          <w:b w:val="0"/>
          <w:bCs w:val="0"/>
        </w:rPr>
        <w:t>（1）资质条件：见投标人须知前附表；</w:t>
      </w:r>
    </w:p>
    <w:p w14:paraId="5A4BB00D">
      <w:pPr>
        <w:spacing w:line="360" w:lineRule="auto"/>
        <w:ind w:firstLine="718" w:firstLineChars="342"/>
        <w:rPr>
          <w:rStyle w:val="67"/>
          <w:b w:val="0"/>
          <w:bCs w:val="0"/>
        </w:rPr>
      </w:pPr>
      <w:r>
        <w:rPr>
          <w:rStyle w:val="67"/>
          <w:b w:val="0"/>
          <w:bCs w:val="0"/>
        </w:rPr>
        <w:t>（2）财务要求：见投标人须知前附表；</w:t>
      </w:r>
    </w:p>
    <w:p w14:paraId="2CBB1FCF">
      <w:pPr>
        <w:spacing w:line="360" w:lineRule="auto"/>
        <w:ind w:firstLine="718" w:firstLineChars="342"/>
      </w:pPr>
      <w:r>
        <w:t>（3）业绩要求：</w:t>
      </w:r>
      <w:r>
        <w:rPr>
          <w:rStyle w:val="67"/>
          <w:b w:val="0"/>
          <w:bCs w:val="0"/>
        </w:rPr>
        <w:t>见投标人须知前附表；</w:t>
      </w:r>
    </w:p>
    <w:p w14:paraId="5648CE28">
      <w:pPr>
        <w:spacing w:line="360" w:lineRule="auto"/>
        <w:ind w:firstLine="718" w:firstLineChars="342"/>
        <w:rPr>
          <w:rStyle w:val="67"/>
          <w:b w:val="0"/>
          <w:bCs w:val="0"/>
        </w:rPr>
      </w:pPr>
      <w:r>
        <w:rPr>
          <w:rStyle w:val="67"/>
          <w:b w:val="0"/>
          <w:bCs w:val="0"/>
        </w:rPr>
        <w:t>（4）信誉要求：见投标人须知前附表；</w:t>
      </w:r>
    </w:p>
    <w:p w14:paraId="399AD35B">
      <w:pPr>
        <w:spacing w:line="360" w:lineRule="auto"/>
        <w:ind w:firstLine="735" w:firstLineChars="350"/>
        <w:rPr>
          <w:rStyle w:val="67"/>
          <w:b w:val="0"/>
          <w:bCs w:val="0"/>
        </w:rPr>
      </w:pPr>
      <w:r>
        <w:rPr>
          <w:rStyle w:val="67"/>
          <w:b w:val="0"/>
          <w:bCs w:val="0"/>
        </w:rPr>
        <w:t>（5）项目经理资格：见投标人须知前附表；</w:t>
      </w:r>
    </w:p>
    <w:p w14:paraId="3CC46DD9">
      <w:pPr>
        <w:spacing w:line="360" w:lineRule="auto"/>
        <w:ind w:firstLine="735" w:firstLineChars="350"/>
        <w:rPr>
          <w:rStyle w:val="67"/>
          <w:b w:val="0"/>
          <w:bCs w:val="0"/>
        </w:rPr>
      </w:pPr>
      <w:r>
        <w:rPr>
          <w:rStyle w:val="67"/>
          <w:b w:val="0"/>
          <w:bCs w:val="0"/>
        </w:rPr>
        <w:t>（6）其他要求：见投标人须知前附表。</w:t>
      </w:r>
    </w:p>
    <w:p w14:paraId="129B9AFF">
      <w:pPr>
        <w:widowControl/>
        <w:spacing w:line="360" w:lineRule="auto"/>
        <w:ind w:firstLine="420" w:firstLineChars="200"/>
        <w:jc w:val="left"/>
        <w:rPr>
          <w:rStyle w:val="67"/>
          <w:b w:val="0"/>
          <w:bCs w:val="0"/>
        </w:rPr>
      </w:pPr>
      <w:r>
        <w:rPr>
          <w:rStyle w:val="67"/>
          <w:b w:val="0"/>
          <w:bCs w:val="0"/>
        </w:rPr>
        <w:t xml:space="preserve">1.4.2 投标人须知前附表规定接受联合体投标的，除应符合本章第1.4.1项和投标人须知前附表的要求外，还应遵守以下规定： </w:t>
      </w:r>
    </w:p>
    <w:p w14:paraId="10DC35DD">
      <w:pPr>
        <w:widowControl/>
        <w:spacing w:line="360" w:lineRule="auto"/>
        <w:ind w:firstLine="718" w:firstLineChars="342"/>
        <w:jc w:val="left"/>
        <w:rPr>
          <w:rStyle w:val="67"/>
          <w:b w:val="0"/>
          <w:bCs w:val="0"/>
        </w:rPr>
      </w:pPr>
      <w:r>
        <w:rPr>
          <w:rStyle w:val="67"/>
          <w:b w:val="0"/>
          <w:bCs w:val="0"/>
        </w:rPr>
        <w:t xml:space="preserve">（1）联合体各方应按电子招标文件提供的格式签订联合体协议书，明确联合体牵头人和各方权利义务； </w:t>
      </w:r>
    </w:p>
    <w:p w14:paraId="43DBEEA2">
      <w:pPr>
        <w:widowControl/>
        <w:spacing w:line="360" w:lineRule="auto"/>
        <w:ind w:firstLine="718" w:firstLineChars="342"/>
        <w:jc w:val="left"/>
        <w:rPr>
          <w:rStyle w:val="67"/>
          <w:b w:val="0"/>
          <w:bCs w:val="0"/>
        </w:rPr>
      </w:pPr>
      <w:r>
        <w:rPr>
          <w:rStyle w:val="67"/>
          <w:b w:val="0"/>
          <w:bCs w:val="0"/>
        </w:rPr>
        <w:t xml:space="preserve">（2）由同一专业的单位组成的联合体，按照资质等级较低的单位确定资质等级； </w:t>
      </w:r>
    </w:p>
    <w:p w14:paraId="2599BAA0">
      <w:pPr>
        <w:widowControl/>
        <w:spacing w:line="360" w:lineRule="auto"/>
        <w:ind w:firstLine="718" w:firstLineChars="342"/>
        <w:jc w:val="left"/>
        <w:rPr>
          <w:rStyle w:val="67"/>
          <w:b w:val="0"/>
          <w:bCs w:val="0"/>
        </w:rPr>
      </w:pPr>
      <w:r>
        <w:rPr>
          <w:rStyle w:val="67"/>
          <w:b w:val="0"/>
          <w:bCs w:val="0"/>
        </w:rPr>
        <w:t>（3）联合体各方不得再以自己名义单独或参加其他联合体在同一项目中投标。</w:t>
      </w:r>
    </w:p>
    <w:p w14:paraId="75A328B6">
      <w:pPr>
        <w:spacing w:line="360" w:lineRule="auto"/>
        <w:ind w:firstLine="420" w:firstLineChars="200"/>
        <w:rPr>
          <w:rStyle w:val="67"/>
          <w:b w:val="0"/>
          <w:bCs w:val="0"/>
        </w:rPr>
      </w:pPr>
      <w:r>
        <w:rPr>
          <w:rStyle w:val="67"/>
          <w:b w:val="0"/>
          <w:bCs w:val="0"/>
        </w:rPr>
        <w:t>1.4.3 投标人不得存在下列情形之一：</w:t>
      </w:r>
    </w:p>
    <w:p w14:paraId="62DCD1BB">
      <w:pPr>
        <w:spacing w:line="360" w:lineRule="auto"/>
        <w:ind w:firstLine="718" w:firstLineChars="342"/>
        <w:rPr>
          <w:rStyle w:val="67"/>
          <w:b w:val="0"/>
          <w:bCs w:val="0"/>
        </w:rPr>
      </w:pPr>
      <w:r>
        <w:rPr>
          <w:rStyle w:val="67"/>
          <w:b w:val="0"/>
          <w:bCs w:val="0"/>
        </w:rPr>
        <w:t xml:space="preserve">（1）为招标人不具有独立法人资格的附属机构（单位）； </w:t>
      </w:r>
    </w:p>
    <w:p w14:paraId="40A40B81">
      <w:pPr>
        <w:spacing w:line="360" w:lineRule="auto"/>
        <w:ind w:firstLine="718" w:firstLineChars="342"/>
        <w:rPr>
          <w:rStyle w:val="67"/>
          <w:b w:val="0"/>
          <w:bCs w:val="0"/>
        </w:rPr>
      </w:pPr>
      <w:r>
        <w:rPr>
          <w:rStyle w:val="67"/>
          <w:b w:val="0"/>
          <w:bCs w:val="0"/>
        </w:rPr>
        <w:t xml:space="preserve">（2）为本项目前期准备提供设计或咨询服务的，但设计施工总承包的除外； </w:t>
      </w:r>
    </w:p>
    <w:p w14:paraId="684F6129">
      <w:pPr>
        <w:spacing w:line="360" w:lineRule="auto"/>
        <w:ind w:firstLine="718" w:firstLineChars="342"/>
        <w:rPr>
          <w:rStyle w:val="67"/>
          <w:b w:val="0"/>
          <w:bCs w:val="0"/>
        </w:rPr>
      </w:pPr>
      <w:r>
        <w:rPr>
          <w:rStyle w:val="67"/>
          <w:b w:val="0"/>
          <w:bCs w:val="0"/>
        </w:rPr>
        <w:t>（3）为本项目的监理人；</w:t>
      </w:r>
    </w:p>
    <w:p w14:paraId="6D1EACAE">
      <w:pPr>
        <w:spacing w:line="360" w:lineRule="auto"/>
        <w:ind w:firstLine="718" w:firstLineChars="342"/>
        <w:rPr>
          <w:rStyle w:val="67"/>
          <w:b w:val="0"/>
          <w:bCs w:val="0"/>
        </w:rPr>
      </w:pPr>
      <w:r>
        <w:rPr>
          <w:rStyle w:val="67"/>
          <w:b w:val="0"/>
          <w:bCs w:val="0"/>
        </w:rPr>
        <w:t>（4）为本项目的代建人；</w:t>
      </w:r>
    </w:p>
    <w:p w14:paraId="4477C3A8">
      <w:pPr>
        <w:spacing w:line="360" w:lineRule="auto"/>
        <w:ind w:firstLine="718" w:firstLineChars="342"/>
        <w:rPr>
          <w:rStyle w:val="67"/>
          <w:b w:val="0"/>
          <w:bCs w:val="0"/>
        </w:rPr>
      </w:pPr>
      <w:r>
        <w:rPr>
          <w:rStyle w:val="67"/>
          <w:b w:val="0"/>
          <w:bCs w:val="0"/>
        </w:rPr>
        <w:t xml:space="preserve">（5）为本项目提供招标代理服务的； </w:t>
      </w:r>
    </w:p>
    <w:p w14:paraId="4A0FB3E2">
      <w:pPr>
        <w:spacing w:line="360" w:lineRule="auto"/>
        <w:ind w:firstLine="718" w:firstLineChars="342"/>
        <w:rPr>
          <w:rStyle w:val="67"/>
          <w:b w:val="0"/>
          <w:bCs w:val="0"/>
        </w:rPr>
      </w:pPr>
      <w:r>
        <w:rPr>
          <w:rStyle w:val="67"/>
          <w:b w:val="0"/>
          <w:bCs w:val="0"/>
        </w:rPr>
        <w:t>（6）与本项目的监理人或代建人或招标代理机构同为一个法定代表人的；</w:t>
      </w:r>
    </w:p>
    <w:p w14:paraId="7BF2759C">
      <w:pPr>
        <w:spacing w:line="360" w:lineRule="auto"/>
        <w:ind w:firstLine="718" w:firstLineChars="342"/>
        <w:rPr>
          <w:rStyle w:val="67"/>
          <w:b w:val="0"/>
          <w:bCs w:val="0"/>
        </w:rPr>
      </w:pPr>
      <w:r>
        <w:rPr>
          <w:rStyle w:val="67"/>
          <w:b w:val="0"/>
          <w:bCs w:val="0"/>
        </w:rPr>
        <w:t>（7）与本项目的监理人或代建人或招标代理机构相互控股或参股的；</w:t>
      </w:r>
    </w:p>
    <w:p w14:paraId="77F27247">
      <w:pPr>
        <w:spacing w:line="360" w:lineRule="auto"/>
        <w:ind w:firstLine="718" w:firstLineChars="342"/>
        <w:rPr>
          <w:rStyle w:val="67"/>
          <w:b w:val="0"/>
          <w:bCs w:val="0"/>
        </w:rPr>
      </w:pPr>
      <w:r>
        <w:rPr>
          <w:rStyle w:val="67"/>
          <w:b w:val="0"/>
          <w:bCs w:val="0"/>
        </w:rPr>
        <w:t>（8）与本项目的监理人或代建人或招标代理机构相互任职或工作的；</w:t>
      </w:r>
    </w:p>
    <w:p w14:paraId="2E2C0030">
      <w:pPr>
        <w:spacing w:line="360" w:lineRule="auto"/>
        <w:ind w:firstLine="718" w:firstLineChars="342"/>
        <w:rPr>
          <w:rStyle w:val="67"/>
          <w:b w:val="0"/>
          <w:bCs w:val="0"/>
        </w:rPr>
      </w:pPr>
      <w:r>
        <w:rPr>
          <w:rStyle w:val="67"/>
          <w:b w:val="0"/>
          <w:bCs w:val="0"/>
        </w:rPr>
        <w:t xml:space="preserve">（9）被责令停业的； </w:t>
      </w:r>
    </w:p>
    <w:p w14:paraId="3A5337E5">
      <w:pPr>
        <w:spacing w:line="360" w:lineRule="auto"/>
        <w:ind w:firstLine="718" w:firstLineChars="342"/>
        <w:rPr>
          <w:rStyle w:val="67"/>
          <w:b w:val="0"/>
          <w:bCs w:val="0"/>
        </w:rPr>
      </w:pPr>
      <w:r>
        <w:rPr>
          <w:rStyle w:val="67"/>
          <w:b w:val="0"/>
          <w:bCs w:val="0"/>
        </w:rPr>
        <w:t xml:space="preserve">（10）被暂停或取消投标资格的； </w:t>
      </w:r>
    </w:p>
    <w:p w14:paraId="5495CE82">
      <w:pPr>
        <w:spacing w:line="360" w:lineRule="auto"/>
        <w:ind w:firstLine="718" w:firstLineChars="342"/>
        <w:rPr>
          <w:rStyle w:val="67"/>
          <w:b w:val="0"/>
          <w:bCs w:val="0"/>
        </w:rPr>
      </w:pPr>
      <w:r>
        <w:rPr>
          <w:rStyle w:val="67"/>
          <w:b w:val="0"/>
          <w:bCs w:val="0"/>
        </w:rPr>
        <w:t>（11）财产被接管或冻结的；</w:t>
      </w:r>
    </w:p>
    <w:p w14:paraId="3A1795F4">
      <w:pPr>
        <w:spacing w:line="360" w:lineRule="auto"/>
        <w:ind w:firstLine="718" w:firstLineChars="342"/>
        <w:rPr>
          <w:rStyle w:val="67"/>
          <w:b w:val="0"/>
          <w:bCs w:val="0"/>
        </w:rPr>
      </w:pPr>
      <w:r>
        <w:rPr>
          <w:rStyle w:val="67"/>
          <w:b w:val="0"/>
          <w:bCs w:val="0"/>
        </w:rPr>
        <w:t>（12）在最近三年内有骗取中标或严重违约或重大工程质量问题的；</w:t>
      </w:r>
    </w:p>
    <w:p w14:paraId="6ADE9DD4">
      <w:pPr>
        <w:spacing w:line="360" w:lineRule="auto"/>
        <w:ind w:firstLine="718" w:firstLineChars="342"/>
        <w:rPr>
          <w:rStyle w:val="67"/>
        </w:rPr>
      </w:pPr>
      <w:r>
        <w:rPr>
          <w:rStyle w:val="67"/>
          <w:b w:val="0"/>
          <w:bCs w:val="0"/>
        </w:rPr>
        <w:t>（13）单位负责人为同一人或者存在控股、管理关系的不同单位，在同一工程标段中投标。</w:t>
      </w:r>
    </w:p>
    <w:p w14:paraId="7947C9A2">
      <w:pPr>
        <w:spacing w:line="360" w:lineRule="auto"/>
        <w:rPr>
          <w:rStyle w:val="67"/>
          <w:sz w:val="24"/>
        </w:rPr>
      </w:pPr>
      <w:r>
        <w:rPr>
          <w:rStyle w:val="67"/>
          <w:sz w:val="24"/>
        </w:rPr>
        <w:t>1.5 费用承担</w:t>
      </w:r>
    </w:p>
    <w:p w14:paraId="520F4695">
      <w:pPr>
        <w:spacing w:line="360" w:lineRule="auto"/>
        <w:ind w:firstLine="420" w:firstLineChars="200"/>
        <w:rPr>
          <w:rStyle w:val="67"/>
          <w:b w:val="0"/>
          <w:bCs w:val="0"/>
        </w:rPr>
      </w:pPr>
      <w:r>
        <w:rPr>
          <w:rStyle w:val="67"/>
          <w:b w:val="0"/>
          <w:bCs w:val="0"/>
        </w:rPr>
        <w:t>投标人准备和参加投标活动发生的费用自理。招标代理费由中标单位支付。</w:t>
      </w:r>
    </w:p>
    <w:p w14:paraId="2F13B05A">
      <w:pPr>
        <w:spacing w:line="360" w:lineRule="auto"/>
        <w:rPr>
          <w:rStyle w:val="67"/>
          <w:sz w:val="24"/>
        </w:rPr>
      </w:pPr>
      <w:r>
        <w:rPr>
          <w:rStyle w:val="67"/>
          <w:sz w:val="24"/>
        </w:rPr>
        <w:t>1.6 保密</w:t>
      </w:r>
    </w:p>
    <w:p w14:paraId="21612797">
      <w:pPr>
        <w:spacing w:line="360" w:lineRule="auto"/>
        <w:ind w:firstLine="420" w:firstLineChars="200"/>
        <w:rPr>
          <w:rStyle w:val="67"/>
          <w:b w:val="0"/>
          <w:bCs w:val="0"/>
        </w:rPr>
      </w:pPr>
      <w:r>
        <w:rPr>
          <w:rStyle w:val="67"/>
          <w:b w:val="0"/>
          <w:bCs w:val="0"/>
        </w:rPr>
        <w:t xml:space="preserve">参与招标投标活动的各方应对招标文件和投标文件中的商业和技术等秘密保密，违者应对由此造成的后果承担法律责任。 </w:t>
      </w:r>
    </w:p>
    <w:p w14:paraId="27389CDB">
      <w:pPr>
        <w:spacing w:line="360" w:lineRule="auto"/>
        <w:rPr>
          <w:rStyle w:val="67"/>
          <w:sz w:val="24"/>
        </w:rPr>
      </w:pPr>
      <w:r>
        <w:rPr>
          <w:rStyle w:val="67"/>
          <w:sz w:val="24"/>
        </w:rPr>
        <w:t>1.7 语言文字</w:t>
      </w:r>
    </w:p>
    <w:p w14:paraId="41E63E99">
      <w:pPr>
        <w:spacing w:line="360" w:lineRule="auto"/>
        <w:ind w:firstLine="420" w:firstLineChars="200"/>
        <w:rPr>
          <w:rStyle w:val="67"/>
          <w:b w:val="0"/>
          <w:bCs w:val="0"/>
        </w:rPr>
      </w:pPr>
      <w:r>
        <w:rPr>
          <w:rStyle w:val="67"/>
          <w:b w:val="0"/>
          <w:bCs w:val="0"/>
        </w:rPr>
        <w:t>除专用术语外，与招标投标有关的语言均使用中文。必要时专用术语应附有中文注释。</w:t>
      </w:r>
    </w:p>
    <w:p w14:paraId="38FC4089">
      <w:pPr>
        <w:spacing w:line="360" w:lineRule="auto"/>
        <w:rPr>
          <w:rStyle w:val="67"/>
          <w:sz w:val="24"/>
        </w:rPr>
      </w:pPr>
      <w:r>
        <w:rPr>
          <w:rStyle w:val="67"/>
          <w:sz w:val="24"/>
        </w:rPr>
        <w:t>1.8 计量单位</w:t>
      </w:r>
    </w:p>
    <w:p w14:paraId="40449027">
      <w:pPr>
        <w:spacing w:line="360" w:lineRule="auto"/>
        <w:ind w:firstLine="420" w:firstLineChars="200"/>
        <w:rPr>
          <w:rStyle w:val="67"/>
          <w:b w:val="0"/>
          <w:bCs w:val="0"/>
        </w:rPr>
      </w:pPr>
      <w:r>
        <w:rPr>
          <w:rStyle w:val="67"/>
          <w:b w:val="0"/>
          <w:bCs w:val="0"/>
        </w:rPr>
        <w:t>所有计量均采用中华人民共和国法定计量单位。</w:t>
      </w:r>
    </w:p>
    <w:p w14:paraId="215AED7B">
      <w:pPr>
        <w:spacing w:line="360" w:lineRule="auto"/>
        <w:rPr>
          <w:rStyle w:val="67"/>
          <w:sz w:val="24"/>
        </w:rPr>
      </w:pPr>
      <w:r>
        <w:rPr>
          <w:rStyle w:val="67"/>
          <w:sz w:val="24"/>
        </w:rPr>
        <w:t>1.9 踏勘现场</w:t>
      </w:r>
    </w:p>
    <w:p w14:paraId="38553BD6">
      <w:pPr>
        <w:spacing w:line="360" w:lineRule="auto"/>
        <w:ind w:firstLine="420" w:firstLineChars="200"/>
        <w:rPr>
          <w:rStyle w:val="67"/>
          <w:b w:val="0"/>
          <w:bCs w:val="0"/>
        </w:rPr>
      </w:pPr>
      <w:r>
        <w:rPr>
          <w:rStyle w:val="67"/>
          <w:b w:val="0"/>
          <w:bCs w:val="0"/>
        </w:rPr>
        <w:t xml:space="preserve">1.9.1 投标人须知前附表规定组织踏勘现场的，招标人按投标人须知前附表规定的时间、地点组织投标人踏勘项目现场。 </w:t>
      </w:r>
    </w:p>
    <w:p w14:paraId="38E54467">
      <w:pPr>
        <w:spacing w:line="360" w:lineRule="auto"/>
        <w:ind w:firstLine="420" w:firstLineChars="200"/>
        <w:rPr>
          <w:rStyle w:val="67"/>
          <w:b w:val="0"/>
          <w:bCs w:val="0"/>
        </w:rPr>
      </w:pPr>
      <w:r>
        <w:rPr>
          <w:rStyle w:val="67"/>
          <w:b w:val="0"/>
          <w:bCs w:val="0"/>
        </w:rPr>
        <w:t>1.9.2 投标人踏勘现场发生的费用自理。</w:t>
      </w:r>
    </w:p>
    <w:p w14:paraId="4E7DFE15">
      <w:pPr>
        <w:spacing w:line="360" w:lineRule="auto"/>
        <w:ind w:firstLine="420" w:firstLineChars="200"/>
        <w:rPr>
          <w:rStyle w:val="67"/>
          <w:b w:val="0"/>
          <w:bCs w:val="0"/>
        </w:rPr>
      </w:pPr>
      <w:r>
        <w:rPr>
          <w:rStyle w:val="67"/>
          <w:b w:val="0"/>
          <w:bCs w:val="0"/>
        </w:rPr>
        <w:t>1.9.3 除招标人的原因外，投标人自行负责在踏勘现场中所发生的人员伤亡和财产损失。</w:t>
      </w:r>
    </w:p>
    <w:p w14:paraId="52893D3A">
      <w:pPr>
        <w:spacing w:line="360" w:lineRule="auto"/>
        <w:ind w:firstLine="420" w:firstLineChars="200"/>
        <w:rPr>
          <w:rStyle w:val="67"/>
          <w:b w:val="0"/>
          <w:bCs w:val="0"/>
        </w:rPr>
      </w:pPr>
      <w:r>
        <w:rPr>
          <w:rStyle w:val="67"/>
          <w:b w:val="0"/>
          <w:bCs w:val="0"/>
        </w:rPr>
        <w:t>1.9.4 招标人在踏勘现场中介绍的工程场地和相关的周边环境情况，供投标人在编制投标文件时参考，招标人不对投标人据此作出的判断和决策负责。</w:t>
      </w:r>
    </w:p>
    <w:p w14:paraId="75FEAC7D">
      <w:pPr>
        <w:spacing w:line="360" w:lineRule="auto"/>
        <w:rPr>
          <w:rStyle w:val="67"/>
          <w:sz w:val="24"/>
        </w:rPr>
      </w:pPr>
      <w:r>
        <w:rPr>
          <w:rStyle w:val="67"/>
          <w:sz w:val="24"/>
        </w:rPr>
        <w:t>1.10 投标预备会</w:t>
      </w:r>
    </w:p>
    <w:p w14:paraId="462C301F">
      <w:pPr>
        <w:spacing w:line="360" w:lineRule="auto"/>
        <w:ind w:firstLine="420" w:firstLineChars="200"/>
        <w:rPr>
          <w:rStyle w:val="67"/>
          <w:b w:val="0"/>
          <w:bCs w:val="0"/>
        </w:rPr>
      </w:pPr>
      <w:r>
        <w:rPr>
          <w:rStyle w:val="67"/>
          <w:b w:val="0"/>
          <w:bCs w:val="0"/>
        </w:rPr>
        <w:t>按投标人须知前附表规定不召开投标预备会。</w:t>
      </w:r>
    </w:p>
    <w:p w14:paraId="283EE0B7">
      <w:pPr>
        <w:spacing w:line="360" w:lineRule="auto"/>
        <w:rPr>
          <w:rStyle w:val="67"/>
          <w:sz w:val="24"/>
        </w:rPr>
      </w:pPr>
      <w:r>
        <w:rPr>
          <w:rStyle w:val="67"/>
          <w:sz w:val="24"/>
        </w:rPr>
        <w:t>1.11 工程分包</w:t>
      </w:r>
    </w:p>
    <w:p w14:paraId="3BAC215A">
      <w:pPr>
        <w:spacing w:line="360" w:lineRule="auto"/>
        <w:ind w:firstLine="420" w:firstLineChars="200"/>
        <w:rPr>
          <w:rStyle w:val="67"/>
          <w:b w:val="0"/>
          <w:bCs w:val="0"/>
        </w:rPr>
      </w:pPr>
      <w:r>
        <w:rPr>
          <w:rStyle w:val="67"/>
          <w:b w:val="0"/>
          <w:bCs w:val="0"/>
        </w:rPr>
        <w:t>投标人拟在中标后将中标项目的部分非主体、非关键性工作进行分包的，应符合投标人须知前附表规定的分包内容、分包金额和接受分包的第三人资质要求等限制性条件。</w:t>
      </w:r>
    </w:p>
    <w:p w14:paraId="0F3FA2F3">
      <w:pPr>
        <w:spacing w:line="360" w:lineRule="auto"/>
        <w:ind w:firstLine="420" w:firstLineChars="200"/>
        <w:rPr>
          <w:rStyle w:val="67"/>
          <w:b w:val="0"/>
          <w:bCs w:val="0"/>
        </w:rPr>
      </w:pPr>
      <w:r>
        <w:rPr>
          <w:rStyle w:val="67"/>
          <w:b w:val="0"/>
          <w:bCs w:val="0"/>
        </w:rPr>
        <w:t>详见投标人须知前附表。</w:t>
      </w:r>
    </w:p>
    <w:p w14:paraId="175B0F49">
      <w:pPr>
        <w:spacing w:line="360" w:lineRule="auto"/>
        <w:rPr>
          <w:rStyle w:val="67"/>
          <w:sz w:val="24"/>
        </w:rPr>
      </w:pPr>
      <w:r>
        <w:rPr>
          <w:rStyle w:val="67"/>
          <w:sz w:val="24"/>
        </w:rPr>
        <w:t>1.12 偏离</w:t>
      </w:r>
    </w:p>
    <w:p w14:paraId="7AF77136">
      <w:pPr>
        <w:widowControl/>
        <w:spacing w:line="360" w:lineRule="auto"/>
        <w:ind w:firstLine="420" w:firstLineChars="200"/>
        <w:jc w:val="left"/>
        <w:rPr>
          <w:rStyle w:val="67"/>
          <w:b w:val="0"/>
          <w:bCs w:val="0"/>
          <w:szCs w:val="21"/>
        </w:rPr>
      </w:pPr>
      <w:r>
        <w:rPr>
          <w:rStyle w:val="67"/>
          <w:b w:val="0"/>
          <w:bCs w:val="0"/>
          <w:kern w:val="0"/>
          <w:szCs w:val="21"/>
        </w:rPr>
        <w:t>投标人须知前附表允许投标文件偏离电子招标文件某些要求的，偏离应当符合电子招标文件规定的偏离范围和幅度。</w:t>
      </w:r>
    </w:p>
    <w:p w14:paraId="7F2AAB80">
      <w:pPr>
        <w:pStyle w:val="7"/>
        <w:spacing w:before="0" w:after="0"/>
        <w:jc w:val="center"/>
        <w:rPr>
          <w:sz w:val="30"/>
          <w:szCs w:val="30"/>
        </w:rPr>
      </w:pPr>
      <w:bookmarkStart w:id="40" w:name="_Toc30184"/>
      <w:r>
        <w:rPr>
          <w:sz w:val="30"/>
          <w:szCs w:val="30"/>
        </w:rPr>
        <w:t>2. 招标文件</w:t>
      </w:r>
      <w:bookmarkEnd w:id="37"/>
      <w:bookmarkEnd w:id="38"/>
      <w:bookmarkEnd w:id="39"/>
      <w:bookmarkEnd w:id="40"/>
    </w:p>
    <w:p w14:paraId="28303A0A">
      <w:pPr>
        <w:spacing w:line="360" w:lineRule="auto"/>
        <w:rPr>
          <w:rStyle w:val="67"/>
          <w:sz w:val="24"/>
        </w:rPr>
      </w:pPr>
      <w:bookmarkStart w:id="41" w:name="_Toc17817325"/>
      <w:bookmarkStart w:id="42" w:name="_Toc24274"/>
      <w:bookmarkStart w:id="43" w:name="_Toc16063895"/>
      <w:r>
        <w:rPr>
          <w:rStyle w:val="67"/>
          <w:sz w:val="24"/>
        </w:rPr>
        <w:t>2.1 招标文件的组成</w:t>
      </w:r>
    </w:p>
    <w:p w14:paraId="5D2F6421">
      <w:pPr>
        <w:spacing w:line="360" w:lineRule="auto"/>
        <w:ind w:firstLine="359" w:firstLineChars="171"/>
        <w:rPr>
          <w:rStyle w:val="67"/>
          <w:b w:val="0"/>
          <w:bCs w:val="0"/>
        </w:rPr>
      </w:pPr>
      <w:r>
        <w:rPr>
          <w:rStyle w:val="67"/>
          <w:b w:val="0"/>
          <w:bCs w:val="0"/>
        </w:rPr>
        <w:t>本招标文件包括：</w:t>
      </w:r>
    </w:p>
    <w:p w14:paraId="7E211F4D">
      <w:pPr>
        <w:spacing w:line="360" w:lineRule="auto"/>
        <w:ind w:firstLine="359" w:firstLineChars="171"/>
        <w:rPr>
          <w:rStyle w:val="67"/>
          <w:b w:val="0"/>
          <w:bCs w:val="0"/>
        </w:rPr>
      </w:pPr>
      <w:r>
        <w:rPr>
          <w:rStyle w:val="67"/>
          <w:b w:val="0"/>
          <w:bCs w:val="0"/>
        </w:rPr>
        <w:t>（1）招标公告；</w:t>
      </w:r>
    </w:p>
    <w:p w14:paraId="57BABA97">
      <w:pPr>
        <w:spacing w:line="360" w:lineRule="auto"/>
        <w:ind w:firstLine="359" w:firstLineChars="171"/>
        <w:rPr>
          <w:rStyle w:val="67"/>
          <w:b w:val="0"/>
          <w:bCs w:val="0"/>
        </w:rPr>
      </w:pPr>
      <w:r>
        <w:rPr>
          <w:rStyle w:val="67"/>
          <w:b w:val="0"/>
          <w:bCs w:val="0"/>
        </w:rPr>
        <w:t>（2）投标人须知；</w:t>
      </w:r>
    </w:p>
    <w:p w14:paraId="3195292B">
      <w:pPr>
        <w:spacing w:line="360" w:lineRule="auto"/>
        <w:ind w:firstLine="359" w:firstLineChars="171"/>
        <w:rPr>
          <w:rStyle w:val="67"/>
          <w:b w:val="0"/>
          <w:bCs w:val="0"/>
        </w:rPr>
      </w:pPr>
      <w:r>
        <w:rPr>
          <w:rStyle w:val="67"/>
          <w:b w:val="0"/>
          <w:bCs w:val="0"/>
        </w:rPr>
        <w:t>（3）评标办法；</w:t>
      </w:r>
    </w:p>
    <w:p w14:paraId="42592931">
      <w:pPr>
        <w:spacing w:line="360" w:lineRule="auto"/>
        <w:ind w:firstLine="359" w:firstLineChars="171"/>
        <w:rPr>
          <w:rStyle w:val="67"/>
          <w:b w:val="0"/>
          <w:bCs w:val="0"/>
        </w:rPr>
      </w:pPr>
      <w:r>
        <w:rPr>
          <w:rStyle w:val="67"/>
          <w:b w:val="0"/>
          <w:bCs w:val="0"/>
        </w:rPr>
        <w:t>（4）合同条款及格式；</w:t>
      </w:r>
    </w:p>
    <w:p w14:paraId="718E1D15">
      <w:pPr>
        <w:spacing w:line="360" w:lineRule="auto"/>
        <w:ind w:firstLine="359" w:firstLineChars="171"/>
        <w:rPr>
          <w:rStyle w:val="67"/>
          <w:b w:val="0"/>
          <w:bCs w:val="0"/>
        </w:rPr>
      </w:pPr>
      <w:r>
        <w:rPr>
          <w:rStyle w:val="67"/>
          <w:b w:val="0"/>
          <w:bCs w:val="0"/>
        </w:rPr>
        <w:t xml:space="preserve">（5）工程量清单； </w:t>
      </w:r>
    </w:p>
    <w:p w14:paraId="73FE9820">
      <w:pPr>
        <w:spacing w:line="360" w:lineRule="auto"/>
        <w:ind w:firstLine="359" w:firstLineChars="171"/>
        <w:rPr>
          <w:rStyle w:val="67"/>
          <w:b w:val="0"/>
          <w:bCs w:val="0"/>
        </w:rPr>
      </w:pPr>
      <w:r>
        <w:rPr>
          <w:rStyle w:val="67"/>
          <w:b w:val="0"/>
          <w:bCs w:val="0"/>
        </w:rPr>
        <w:t xml:space="preserve">（6）招标图纸； </w:t>
      </w:r>
    </w:p>
    <w:p w14:paraId="091EFA3D">
      <w:pPr>
        <w:spacing w:line="360" w:lineRule="auto"/>
        <w:ind w:firstLine="359" w:firstLineChars="171"/>
        <w:rPr>
          <w:rStyle w:val="67"/>
          <w:b w:val="0"/>
          <w:bCs w:val="0"/>
        </w:rPr>
      </w:pPr>
      <w:r>
        <w:rPr>
          <w:rStyle w:val="67"/>
          <w:b w:val="0"/>
          <w:bCs w:val="0"/>
        </w:rPr>
        <w:t xml:space="preserve">（7）技术标准和要求； </w:t>
      </w:r>
    </w:p>
    <w:p w14:paraId="0472BE52">
      <w:pPr>
        <w:spacing w:line="360" w:lineRule="auto"/>
        <w:ind w:firstLine="359" w:firstLineChars="171"/>
        <w:rPr>
          <w:rStyle w:val="67"/>
          <w:b w:val="0"/>
          <w:bCs w:val="0"/>
        </w:rPr>
      </w:pPr>
      <w:r>
        <w:rPr>
          <w:rStyle w:val="67"/>
          <w:b w:val="0"/>
          <w:bCs w:val="0"/>
        </w:rPr>
        <w:t>（8）投标文件格式；</w:t>
      </w:r>
    </w:p>
    <w:p w14:paraId="40FC0031">
      <w:pPr>
        <w:spacing w:line="360" w:lineRule="auto"/>
        <w:ind w:firstLine="359" w:firstLineChars="171"/>
        <w:rPr>
          <w:rStyle w:val="67"/>
          <w:b w:val="0"/>
          <w:bCs w:val="0"/>
        </w:rPr>
      </w:pPr>
      <w:r>
        <w:rPr>
          <w:rStyle w:val="67"/>
          <w:b w:val="0"/>
          <w:bCs w:val="0"/>
        </w:rPr>
        <w:t>（9）投标人须知前附表规定的其他材料。</w:t>
      </w:r>
    </w:p>
    <w:p w14:paraId="1EA03EAE">
      <w:pPr>
        <w:spacing w:line="360" w:lineRule="auto"/>
        <w:ind w:firstLine="420" w:firstLineChars="200"/>
        <w:rPr>
          <w:rStyle w:val="67"/>
          <w:b w:val="0"/>
          <w:bCs w:val="0"/>
        </w:rPr>
      </w:pPr>
      <w:r>
        <w:rPr>
          <w:rStyle w:val="67"/>
          <w:b w:val="0"/>
          <w:bCs w:val="0"/>
        </w:rPr>
        <w:t>根据本章</w:t>
      </w:r>
      <w:r>
        <w:rPr>
          <w:rStyle w:val="69"/>
          <w:b/>
          <w:bCs/>
          <w:sz w:val="21"/>
        </w:rPr>
        <w:t>第2.2款</w:t>
      </w:r>
      <w:r>
        <w:rPr>
          <w:rStyle w:val="67"/>
          <w:b w:val="0"/>
          <w:bCs w:val="0"/>
        </w:rPr>
        <w:t>和</w:t>
      </w:r>
      <w:r>
        <w:rPr>
          <w:rStyle w:val="69"/>
          <w:b/>
          <w:bCs/>
          <w:sz w:val="21"/>
        </w:rPr>
        <w:t>第2.3款</w:t>
      </w:r>
      <w:r>
        <w:rPr>
          <w:rStyle w:val="67"/>
          <w:b w:val="0"/>
          <w:bCs w:val="0"/>
        </w:rPr>
        <w:t>对招标文件所作的澄清、修改，构成招标文件的组成部分。</w:t>
      </w:r>
    </w:p>
    <w:p w14:paraId="04915BC0">
      <w:pPr>
        <w:spacing w:line="360" w:lineRule="auto"/>
        <w:rPr>
          <w:rStyle w:val="67"/>
          <w:sz w:val="24"/>
        </w:rPr>
      </w:pPr>
      <w:r>
        <w:rPr>
          <w:rStyle w:val="67"/>
          <w:sz w:val="24"/>
        </w:rPr>
        <w:t>2.2 招标文件的澄清</w:t>
      </w:r>
    </w:p>
    <w:p w14:paraId="5779939D">
      <w:pPr>
        <w:spacing w:line="360" w:lineRule="auto"/>
        <w:ind w:firstLine="420" w:firstLineChars="200"/>
        <w:rPr>
          <w:rStyle w:val="67"/>
          <w:b w:val="0"/>
          <w:bCs w:val="0"/>
        </w:rPr>
      </w:pPr>
      <w:r>
        <w:rPr>
          <w:rStyle w:val="67"/>
          <w:b w:val="0"/>
          <w:bCs w:val="0"/>
        </w:rPr>
        <w:t>2.2.1投标人应仔细阅读和检查招标文件的全部内容。</w:t>
      </w:r>
      <w:r>
        <w:rPr>
          <w:rStyle w:val="67"/>
          <w:b w:val="0"/>
          <w:bCs w:val="0"/>
          <w:szCs w:val="21"/>
        </w:rPr>
        <w:t>如发现缺页或附件不全，应及时向招标人提出，以便补齐。</w:t>
      </w:r>
      <w:r>
        <w:rPr>
          <w:rStyle w:val="67"/>
          <w:b w:val="0"/>
          <w:bCs w:val="0"/>
        </w:rPr>
        <w:t>如有疑问，应在投标人须知前附表规定的时间前以书面形式（包括邮件、传真等可以有形地表现所载内容的形式，下同），要求招标人对招标文件予以澄清。</w:t>
      </w:r>
    </w:p>
    <w:p w14:paraId="6E20D715">
      <w:pPr>
        <w:spacing w:line="360" w:lineRule="auto"/>
        <w:ind w:firstLine="420" w:firstLineChars="200"/>
        <w:rPr>
          <w:rStyle w:val="67"/>
          <w:b w:val="0"/>
          <w:bCs w:val="0"/>
        </w:rPr>
      </w:pPr>
      <w:r>
        <w:rPr>
          <w:rStyle w:val="67"/>
          <w:b w:val="0"/>
          <w:bCs w:val="0"/>
        </w:rPr>
        <w:t>2.2.2 招标文件的澄清将在投标人须知前附表规定的投标截止时间</w:t>
      </w:r>
      <w:r>
        <w:rPr>
          <w:rStyle w:val="67"/>
          <w:rFonts w:hint="eastAsia"/>
          <w:b w:val="0"/>
          <w:bCs w:val="0"/>
          <w:lang w:val="en-US" w:eastAsia="zh-CN"/>
        </w:rPr>
        <w:t>3</w:t>
      </w:r>
      <w:r>
        <w:rPr>
          <w:rStyle w:val="67"/>
          <w:b w:val="0"/>
          <w:bCs w:val="0"/>
        </w:rPr>
        <w:t>天前以书面形式发给所有购买招标文件的投标人，但不指明澄清问题的来源。如果澄清发出的时间距投标截止时间不足</w:t>
      </w:r>
      <w:r>
        <w:rPr>
          <w:rStyle w:val="67"/>
          <w:rFonts w:hint="eastAsia"/>
          <w:b w:val="0"/>
          <w:bCs w:val="0"/>
          <w:lang w:val="en-US" w:eastAsia="zh-CN"/>
        </w:rPr>
        <w:t>3</w:t>
      </w:r>
      <w:r>
        <w:rPr>
          <w:rStyle w:val="67"/>
          <w:b w:val="0"/>
          <w:bCs w:val="0"/>
        </w:rPr>
        <w:t>天，相应延长投标截止时间。</w:t>
      </w:r>
    </w:p>
    <w:p w14:paraId="7CE833CA">
      <w:pPr>
        <w:spacing w:line="360" w:lineRule="auto"/>
        <w:ind w:firstLine="420" w:firstLineChars="200"/>
        <w:rPr>
          <w:rStyle w:val="67"/>
          <w:b w:val="0"/>
          <w:bCs w:val="0"/>
        </w:rPr>
      </w:pPr>
      <w:r>
        <w:rPr>
          <w:rStyle w:val="67"/>
          <w:b w:val="0"/>
          <w:bCs w:val="0"/>
        </w:rPr>
        <w:t>2.2.3 投标人在收到澄清后，应在投标人须知前附表规定的时间内以书面形式通知招标人，确认已收到该澄清。</w:t>
      </w:r>
    </w:p>
    <w:p w14:paraId="7317D3A0">
      <w:pPr>
        <w:spacing w:line="360" w:lineRule="auto"/>
        <w:rPr>
          <w:rStyle w:val="67"/>
          <w:sz w:val="24"/>
        </w:rPr>
      </w:pPr>
      <w:r>
        <w:rPr>
          <w:rStyle w:val="67"/>
          <w:sz w:val="24"/>
        </w:rPr>
        <w:t>2.3 招标文件的修改</w:t>
      </w:r>
    </w:p>
    <w:p w14:paraId="780AFF9A">
      <w:pPr>
        <w:spacing w:line="360" w:lineRule="auto"/>
        <w:ind w:firstLine="420" w:firstLineChars="200"/>
        <w:rPr>
          <w:rStyle w:val="67"/>
          <w:rFonts w:ascii="宋体" w:hAnsi="宋体"/>
          <w:b w:val="0"/>
          <w:bCs w:val="0"/>
        </w:rPr>
      </w:pPr>
      <w:r>
        <w:rPr>
          <w:rStyle w:val="67"/>
          <w:b w:val="0"/>
          <w:bCs w:val="0"/>
        </w:rPr>
        <w:t xml:space="preserve">2.3.1 </w:t>
      </w:r>
      <w:r>
        <w:rPr>
          <w:rStyle w:val="67"/>
          <w:rFonts w:ascii="宋体" w:hAnsi="宋体"/>
          <w:b w:val="0"/>
          <w:bCs w:val="0"/>
        </w:rPr>
        <w:t xml:space="preserve">在投标截止时间3天前，招标人可以书面形式修改招标文件，并通知所有已购买招标文件的投标人。如果修改招标文件的时间距投标截止时间不足3天，相应延长投标截止时间。 </w:t>
      </w:r>
    </w:p>
    <w:p w14:paraId="5556AE50">
      <w:pPr>
        <w:spacing w:line="360" w:lineRule="auto"/>
        <w:ind w:firstLine="420" w:firstLineChars="200"/>
        <w:rPr>
          <w:rStyle w:val="67"/>
          <w:b w:val="0"/>
          <w:bCs w:val="0"/>
        </w:rPr>
      </w:pPr>
      <w:r>
        <w:rPr>
          <w:rStyle w:val="67"/>
          <w:b w:val="0"/>
          <w:bCs w:val="0"/>
        </w:rPr>
        <w:t>2.3.2 投标人收到修改内容后，应在投标人须知前附表规定的时间内以书面形式通知招标人，确认已收到该修改。</w:t>
      </w:r>
    </w:p>
    <w:bookmarkEnd w:id="41"/>
    <w:bookmarkEnd w:id="42"/>
    <w:bookmarkEnd w:id="43"/>
    <w:p w14:paraId="796A276C">
      <w:pPr>
        <w:pStyle w:val="7"/>
        <w:spacing w:before="0" w:after="0"/>
        <w:jc w:val="center"/>
        <w:rPr>
          <w:rFonts w:ascii="Times New Roman" w:hAnsi="Times New Roman"/>
          <w:sz w:val="30"/>
          <w:szCs w:val="30"/>
        </w:rPr>
      </w:pPr>
      <w:bookmarkStart w:id="44" w:name="_Toc29034"/>
      <w:bookmarkStart w:id="45" w:name="_Toc237618297"/>
      <w:bookmarkStart w:id="46" w:name="_Toc17817327"/>
      <w:bookmarkStart w:id="47" w:name="_Toc16063897"/>
      <w:bookmarkStart w:id="48" w:name="_Toc9815"/>
      <w:r>
        <w:rPr>
          <w:rFonts w:ascii="Times New Roman" w:hAnsi="Times New Roman"/>
          <w:sz w:val="30"/>
          <w:szCs w:val="30"/>
        </w:rPr>
        <w:t>3. 投标文件</w:t>
      </w:r>
      <w:bookmarkEnd w:id="44"/>
      <w:bookmarkEnd w:id="45"/>
    </w:p>
    <w:p w14:paraId="78775DCE">
      <w:pPr>
        <w:spacing w:line="360" w:lineRule="auto"/>
        <w:rPr>
          <w:rStyle w:val="67"/>
          <w:sz w:val="24"/>
        </w:rPr>
      </w:pPr>
      <w:r>
        <w:rPr>
          <w:rStyle w:val="67"/>
          <w:sz w:val="24"/>
        </w:rPr>
        <w:t>3.1 投标文件的组成</w:t>
      </w:r>
    </w:p>
    <w:p w14:paraId="1656A68B">
      <w:pPr>
        <w:spacing w:line="360" w:lineRule="auto"/>
        <w:ind w:firstLine="422" w:firstLineChars="200"/>
        <w:rPr>
          <w:rStyle w:val="67"/>
          <w:szCs w:val="21"/>
          <w:highlight w:val="cyan"/>
        </w:rPr>
      </w:pPr>
      <w:r>
        <w:rPr>
          <w:rStyle w:val="67"/>
          <w:szCs w:val="21"/>
        </w:rPr>
        <w:t>3.1.1投标文件包括技术标、商务标、资格审查文件。</w:t>
      </w:r>
    </w:p>
    <w:p w14:paraId="309C4CBB">
      <w:pPr>
        <w:pStyle w:val="2"/>
        <w:spacing w:after="0" w:line="360" w:lineRule="auto"/>
        <w:ind w:left="0" w:leftChars="0" w:firstLine="420"/>
        <w:rPr>
          <w:rStyle w:val="67"/>
          <w:b w:val="0"/>
          <w:bCs w:val="0"/>
          <w:szCs w:val="21"/>
        </w:rPr>
      </w:pPr>
      <w:r>
        <w:rPr>
          <w:rStyle w:val="67"/>
          <w:b w:val="0"/>
          <w:bCs w:val="0"/>
          <w:szCs w:val="21"/>
        </w:rPr>
        <w:t>3.1.2投标文件应包括下列内容</w:t>
      </w:r>
      <w:r>
        <w:rPr>
          <w:rStyle w:val="67"/>
          <w:rFonts w:hint="eastAsia"/>
          <w:b w:val="0"/>
          <w:bCs w:val="0"/>
          <w:szCs w:val="21"/>
          <w:lang w:eastAsia="zh-CN"/>
        </w:rPr>
        <w:t>（</w:t>
      </w:r>
      <w:r>
        <w:rPr>
          <w:rStyle w:val="67"/>
          <w:rFonts w:hint="eastAsia"/>
          <w:b w:val="0"/>
          <w:bCs w:val="0"/>
          <w:szCs w:val="21"/>
          <w:lang w:val="en-US" w:eastAsia="zh-CN"/>
        </w:rPr>
        <w:t>格式详见招标文件第八章</w:t>
      </w:r>
      <w:r>
        <w:rPr>
          <w:rStyle w:val="67"/>
          <w:rFonts w:hint="eastAsia"/>
          <w:b w:val="0"/>
          <w:bCs w:val="0"/>
          <w:szCs w:val="21"/>
          <w:lang w:eastAsia="zh-CN"/>
        </w:rPr>
        <w:t>）</w:t>
      </w:r>
      <w:r>
        <w:rPr>
          <w:rStyle w:val="67"/>
          <w:b w:val="0"/>
          <w:bCs w:val="0"/>
          <w:szCs w:val="21"/>
        </w:rPr>
        <w:t>：</w:t>
      </w:r>
    </w:p>
    <w:p w14:paraId="79501CAC">
      <w:pPr>
        <w:pStyle w:val="4"/>
        <w:spacing w:line="360" w:lineRule="auto"/>
        <w:ind w:left="0" w:leftChars="0" w:firstLine="422" w:firstLineChars="200"/>
        <w:rPr>
          <w:rStyle w:val="67"/>
          <w:b/>
          <w:szCs w:val="21"/>
          <w:highlight w:val="none"/>
        </w:rPr>
      </w:pPr>
      <w:r>
        <w:rPr>
          <w:rStyle w:val="67"/>
          <w:b/>
          <w:szCs w:val="21"/>
          <w:highlight w:val="none"/>
        </w:rPr>
        <w:t>3.1.2.1技术标</w:t>
      </w:r>
    </w:p>
    <w:p w14:paraId="4B47E090">
      <w:pPr>
        <w:spacing w:line="360" w:lineRule="auto"/>
        <w:ind w:firstLine="359" w:firstLineChars="171"/>
        <w:rPr>
          <w:rStyle w:val="39"/>
          <w:rFonts w:ascii="宋体" w:hAnsi="宋体"/>
        </w:rPr>
      </w:pPr>
      <w:r>
        <w:rPr>
          <w:rStyle w:val="39"/>
          <w:rFonts w:hint="eastAsia" w:ascii="宋体" w:hAnsi="宋体"/>
          <w:lang w:eastAsia="zh-CN"/>
        </w:rPr>
        <w:t>（</w:t>
      </w:r>
      <w:r>
        <w:rPr>
          <w:rStyle w:val="39"/>
          <w:rFonts w:hint="eastAsia" w:ascii="宋体" w:hAnsi="宋体"/>
        </w:rPr>
        <w:t>6）</w:t>
      </w:r>
      <w:r>
        <w:rPr>
          <w:rStyle w:val="39"/>
          <w:rFonts w:ascii="宋体" w:hAnsi="宋体"/>
        </w:rPr>
        <w:t>施工组织设计</w:t>
      </w:r>
      <w:r>
        <w:rPr>
          <w:rStyle w:val="39"/>
          <w:rFonts w:hint="eastAsia" w:ascii="宋体" w:hAnsi="宋体"/>
          <w:lang w:eastAsia="zh-CN"/>
        </w:rPr>
        <w:t>（</w:t>
      </w:r>
      <w:r>
        <w:rPr>
          <w:rStyle w:val="67"/>
          <w:b w:val="0"/>
          <w:bCs w:val="0"/>
          <w:kern w:val="0"/>
          <w:szCs w:val="21"/>
          <w:highlight w:val="none"/>
        </w:rPr>
        <w:t>施工组织设计方案</w:t>
      </w:r>
      <w:r>
        <w:rPr>
          <w:rStyle w:val="67"/>
          <w:rFonts w:hint="eastAsia"/>
          <w:b w:val="0"/>
          <w:bCs w:val="0"/>
          <w:kern w:val="0"/>
          <w:szCs w:val="21"/>
          <w:highlight w:val="none"/>
          <w:lang w:val="en-US" w:eastAsia="zh-CN"/>
        </w:rPr>
        <w:t>请根据</w:t>
      </w:r>
      <w:r>
        <w:rPr>
          <w:rStyle w:val="67"/>
          <w:b w:val="0"/>
          <w:bCs w:val="0"/>
          <w:kern w:val="0"/>
          <w:szCs w:val="21"/>
          <w:highlight w:val="none"/>
        </w:rPr>
        <w:t>技术标评分细则</w:t>
      </w:r>
      <w:r>
        <w:rPr>
          <w:rStyle w:val="67"/>
          <w:rFonts w:hint="eastAsia"/>
          <w:b w:val="0"/>
          <w:bCs w:val="0"/>
          <w:kern w:val="0"/>
          <w:szCs w:val="21"/>
          <w:highlight w:val="none"/>
          <w:lang w:val="en-US" w:eastAsia="zh-CN"/>
        </w:rPr>
        <w:t>编制</w:t>
      </w:r>
      <w:r>
        <w:rPr>
          <w:rStyle w:val="67"/>
          <w:b w:val="0"/>
          <w:bCs w:val="0"/>
          <w:kern w:val="0"/>
          <w:szCs w:val="21"/>
          <w:highlight w:val="none"/>
        </w:rPr>
        <w:t>）</w:t>
      </w:r>
      <w:r>
        <w:rPr>
          <w:rStyle w:val="39"/>
          <w:rFonts w:hint="eastAsia" w:ascii="宋体" w:hAnsi="宋体"/>
        </w:rPr>
        <w:t>；</w:t>
      </w:r>
    </w:p>
    <w:p w14:paraId="010610F9">
      <w:pPr>
        <w:spacing w:line="360" w:lineRule="auto"/>
        <w:ind w:firstLine="359" w:firstLineChars="171"/>
        <w:rPr>
          <w:rStyle w:val="67"/>
          <w:rFonts w:hint="eastAsia" w:eastAsia="宋体"/>
          <w:b w:val="0"/>
          <w:bCs w:val="0"/>
          <w:kern w:val="0"/>
          <w:szCs w:val="21"/>
          <w:highlight w:val="none"/>
          <w:lang w:eastAsia="zh-CN"/>
        </w:rPr>
      </w:pPr>
      <w:r>
        <w:rPr>
          <w:rStyle w:val="39"/>
          <w:rFonts w:hint="eastAsia" w:ascii="宋体" w:hAnsi="宋体"/>
        </w:rPr>
        <w:t>（</w:t>
      </w:r>
      <w:r>
        <w:rPr>
          <w:rStyle w:val="39"/>
          <w:rFonts w:hint="eastAsia" w:ascii="宋体" w:hAnsi="宋体"/>
          <w:lang w:val="en-US" w:eastAsia="zh-CN"/>
        </w:rPr>
        <w:t>7</w:t>
      </w:r>
      <w:r>
        <w:rPr>
          <w:rStyle w:val="39"/>
          <w:rFonts w:hint="eastAsia" w:ascii="宋体" w:hAnsi="宋体"/>
        </w:rPr>
        <w:t>）其他材料</w:t>
      </w:r>
      <w:r>
        <w:rPr>
          <w:rStyle w:val="39"/>
          <w:rFonts w:hint="eastAsia" w:ascii="宋体" w:hAnsi="宋体"/>
          <w:lang w:eastAsia="zh-CN"/>
        </w:rPr>
        <w:t>。</w:t>
      </w:r>
    </w:p>
    <w:p w14:paraId="51A16025">
      <w:pPr>
        <w:pStyle w:val="2"/>
        <w:widowControl/>
        <w:spacing w:after="0" w:line="360" w:lineRule="auto"/>
        <w:ind w:left="0" w:leftChars="0" w:firstLine="422"/>
        <w:rPr>
          <w:rStyle w:val="67"/>
          <w:szCs w:val="21"/>
          <w:highlight w:val="none"/>
        </w:rPr>
      </w:pPr>
      <w:r>
        <w:rPr>
          <w:rStyle w:val="67"/>
          <w:szCs w:val="21"/>
          <w:highlight w:val="none"/>
        </w:rPr>
        <w:t>3.1.2.</w:t>
      </w:r>
      <w:r>
        <w:rPr>
          <w:rStyle w:val="67"/>
          <w:rFonts w:hint="eastAsia"/>
          <w:szCs w:val="21"/>
          <w:highlight w:val="none"/>
          <w:lang w:val="en-US" w:eastAsia="zh-CN"/>
        </w:rPr>
        <w:t>2</w:t>
      </w:r>
      <w:r>
        <w:rPr>
          <w:rStyle w:val="67"/>
          <w:szCs w:val="21"/>
          <w:highlight w:val="none"/>
        </w:rPr>
        <w:t>商务标</w:t>
      </w:r>
    </w:p>
    <w:p w14:paraId="153FDBF8">
      <w:pPr>
        <w:numPr>
          <w:ilvl w:val="0"/>
          <w:numId w:val="6"/>
        </w:numPr>
        <w:spacing w:line="360" w:lineRule="auto"/>
        <w:ind w:left="0" w:firstLine="420" w:firstLineChars="200"/>
        <w:rPr>
          <w:rStyle w:val="67"/>
          <w:b w:val="0"/>
          <w:bCs w:val="0"/>
          <w:highlight w:val="none"/>
        </w:rPr>
      </w:pPr>
      <w:r>
        <w:rPr>
          <w:rStyle w:val="67"/>
          <w:b w:val="0"/>
          <w:bCs w:val="0"/>
          <w:highlight w:val="none"/>
        </w:rPr>
        <w:t>投标函及投标函附录；</w:t>
      </w:r>
    </w:p>
    <w:p w14:paraId="4A8EBEAF">
      <w:pPr>
        <w:numPr>
          <w:ilvl w:val="0"/>
          <w:numId w:val="6"/>
        </w:numPr>
        <w:spacing w:line="360" w:lineRule="auto"/>
        <w:ind w:left="0" w:firstLine="420" w:firstLineChars="200"/>
        <w:rPr>
          <w:rStyle w:val="67"/>
          <w:b w:val="0"/>
          <w:bCs w:val="0"/>
          <w:highlight w:val="none"/>
        </w:rPr>
      </w:pPr>
      <w:r>
        <w:rPr>
          <w:rStyle w:val="67"/>
          <w:b w:val="0"/>
          <w:bCs w:val="0"/>
          <w:highlight w:val="none"/>
        </w:rPr>
        <w:t>法定代表人身份证明</w:t>
      </w:r>
      <w:r>
        <w:rPr>
          <w:rStyle w:val="67"/>
          <w:rFonts w:hint="eastAsia"/>
          <w:b w:val="0"/>
          <w:bCs w:val="0"/>
          <w:highlight w:val="none"/>
          <w:lang w:val="en-US" w:eastAsia="zh-CN"/>
        </w:rPr>
        <w:t>；</w:t>
      </w:r>
    </w:p>
    <w:p w14:paraId="4DE678C8">
      <w:pPr>
        <w:numPr>
          <w:ilvl w:val="0"/>
          <w:numId w:val="6"/>
        </w:numPr>
        <w:spacing w:line="360" w:lineRule="auto"/>
        <w:ind w:left="0" w:firstLine="420" w:firstLineChars="200"/>
        <w:rPr>
          <w:rStyle w:val="67"/>
          <w:b w:val="0"/>
          <w:bCs w:val="0"/>
          <w:highlight w:val="none"/>
        </w:rPr>
      </w:pPr>
      <w:r>
        <w:rPr>
          <w:rStyle w:val="67"/>
          <w:b w:val="0"/>
          <w:bCs w:val="0"/>
          <w:highlight w:val="none"/>
        </w:rPr>
        <w:t>授权委托书；</w:t>
      </w:r>
    </w:p>
    <w:p w14:paraId="2FAB01B0">
      <w:pPr>
        <w:numPr>
          <w:ilvl w:val="0"/>
          <w:numId w:val="6"/>
        </w:numPr>
        <w:spacing w:line="360" w:lineRule="auto"/>
        <w:ind w:left="0" w:firstLine="420" w:firstLineChars="200"/>
        <w:rPr>
          <w:rStyle w:val="67"/>
          <w:b w:val="0"/>
          <w:bCs w:val="0"/>
          <w:highlight w:val="none"/>
        </w:rPr>
      </w:pPr>
      <w:r>
        <w:rPr>
          <w:rStyle w:val="67"/>
          <w:b w:val="0"/>
          <w:bCs w:val="0"/>
          <w:highlight w:val="none"/>
        </w:rPr>
        <w:t>投标保证金；</w:t>
      </w:r>
    </w:p>
    <w:p w14:paraId="4E6C7B81">
      <w:pPr>
        <w:numPr>
          <w:ilvl w:val="0"/>
          <w:numId w:val="6"/>
        </w:numPr>
        <w:spacing w:line="360" w:lineRule="auto"/>
        <w:ind w:left="0" w:firstLine="420" w:firstLineChars="200"/>
        <w:rPr>
          <w:rStyle w:val="67"/>
          <w:b w:val="0"/>
          <w:bCs w:val="0"/>
          <w:highlight w:val="none"/>
        </w:rPr>
      </w:pPr>
      <w:r>
        <w:rPr>
          <w:rStyle w:val="67"/>
          <w:b w:val="0"/>
          <w:bCs w:val="0"/>
          <w:highlight w:val="none"/>
        </w:rPr>
        <w:t>商务报价（</w:t>
      </w:r>
      <w:r>
        <w:rPr>
          <w:rStyle w:val="67"/>
          <w:rFonts w:hint="eastAsia"/>
          <w:b w:val="0"/>
          <w:bCs w:val="0"/>
          <w:highlight w:val="none"/>
          <w:lang w:val="en-US" w:eastAsia="zh-CN"/>
        </w:rPr>
        <w:t>含</w:t>
      </w:r>
      <w:r>
        <w:rPr>
          <w:rStyle w:val="67"/>
          <w:b w:val="0"/>
          <w:bCs w:val="0"/>
          <w:highlight w:val="none"/>
        </w:rPr>
        <w:t>已标价工程量清单）；</w:t>
      </w:r>
    </w:p>
    <w:p w14:paraId="42CFC797">
      <w:pPr>
        <w:pStyle w:val="2"/>
        <w:widowControl/>
        <w:spacing w:after="0" w:line="360" w:lineRule="auto"/>
        <w:ind w:left="0" w:leftChars="0" w:firstLine="422"/>
        <w:rPr>
          <w:rStyle w:val="67"/>
          <w:highlight w:val="none"/>
        </w:rPr>
      </w:pPr>
      <w:r>
        <w:rPr>
          <w:rStyle w:val="67"/>
          <w:highlight w:val="none"/>
        </w:rPr>
        <w:t>3.1.2.</w:t>
      </w:r>
      <w:r>
        <w:rPr>
          <w:rStyle w:val="67"/>
          <w:rFonts w:hint="eastAsia"/>
          <w:highlight w:val="none"/>
          <w:lang w:val="en-US" w:eastAsia="zh-CN"/>
        </w:rPr>
        <w:t>3</w:t>
      </w:r>
      <w:r>
        <w:rPr>
          <w:rStyle w:val="67"/>
          <w:highlight w:val="none"/>
        </w:rPr>
        <w:t>资格审查文件</w:t>
      </w:r>
    </w:p>
    <w:p w14:paraId="31CDB8B0">
      <w:pPr>
        <w:pStyle w:val="4"/>
        <w:ind w:left="420"/>
        <w:rPr>
          <w:bCs/>
          <w:highlight w:val="none"/>
        </w:rPr>
      </w:pPr>
      <w:r>
        <w:rPr>
          <w:rStyle w:val="67"/>
          <w:b w:val="0"/>
          <w:bCs w:val="0"/>
          <w:highlight w:val="none"/>
        </w:rPr>
        <w:t>其内容详见第九章</w:t>
      </w:r>
    </w:p>
    <w:p w14:paraId="3FA5C12B">
      <w:pPr>
        <w:spacing w:line="360" w:lineRule="auto"/>
        <w:rPr>
          <w:rStyle w:val="67"/>
          <w:sz w:val="24"/>
        </w:rPr>
      </w:pPr>
      <w:r>
        <w:rPr>
          <w:rStyle w:val="67"/>
          <w:sz w:val="24"/>
        </w:rPr>
        <w:t>3.2 投标报价</w:t>
      </w:r>
    </w:p>
    <w:p w14:paraId="54F05ECB">
      <w:pPr>
        <w:spacing w:line="360" w:lineRule="auto"/>
        <w:ind w:firstLine="420" w:firstLineChars="200"/>
        <w:rPr>
          <w:rStyle w:val="67"/>
          <w:b w:val="0"/>
          <w:bCs w:val="0"/>
        </w:rPr>
      </w:pPr>
      <w:r>
        <w:rPr>
          <w:rStyle w:val="67"/>
          <w:b w:val="0"/>
          <w:bCs w:val="0"/>
        </w:rPr>
        <w:t>3.2.1 投标人应按</w:t>
      </w:r>
      <w:r>
        <w:rPr>
          <w:rStyle w:val="69"/>
          <w:b/>
          <w:bCs/>
          <w:sz w:val="21"/>
        </w:rPr>
        <w:t>第五章“工程量清单”</w:t>
      </w:r>
      <w:r>
        <w:rPr>
          <w:rStyle w:val="67"/>
          <w:b w:val="0"/>
          <w:bCs w:val="0"/>
        </w:rPr>
        <w:t>的要求填写相应表格。</w:t>
      </w:r>
    </w:p>
    <w:p w14:paraId="24717939">
      <w:pPr>
        <w:spacing w:line="360" w:lineRule="auto"/>
        <w:ind w:firstLine="420" w:firstLineChars="200"/>
        <w:rPr>
          <w:rStyle w:val="67"/>
          <w:b w:val="0"/>
          <w:bCs w:val="0"/>
        </w:rPr>
      </w:pPr>
      <w:r>
        <w:rPr>
          <w:rStyle w:val="67"/>
          <w:b w:val="0"/>
          <w:bCs w:val="0"/>
        </w:rPr>
        <w:t>3.2.2 投标人在投标截止时间前修改投标函中的投标总报价，应同时修改</w:t>
      </w:r>
      <w:r>
        <w:rPr>
          <w:rStyle w:val="69"/>
          <w:b/>
          <w:bCs/>
          <w:sz w:val="21"/>
        </w:rPr>
        <w:t>第五章“工程量清单”</w:t>
      </w:r>
      <w:r>
        <w:rPr>
          <w:rStyle w:val="67"/>
          <w:b w:val="0"/>
          <w:bCs w:val="0"/>
        </w:rPr>
        <w:t>中的相应报价。此修改须符合本章</w:t>
      </w:r>
      <w:r>
        <w:rPr>
          <w:rStyle w:val="69"/>
          <w:b/>
          <w:bCs/>
          <w:sz w:val="21"/>
        </w:rPr>
        <w:t>第4.3款</w:t>
      </w:r>
      <w:r>
        <w:rPr>
          <w:rStyle w:val="67"/>
          <w:b w:val="0"/>
          <w:bCs w:val="0"/>
        </w:rPr>
        <w:t>的有关要求。</w:t>
      </w:r>
    </w:p>
    <w:p w14:paraId="304453A1">
      <w:pPr>
        <w:spacing w:line="360" w:lineRule="auto"/>
        <w:rPr>
          <w:rStyle w:val="67"/>
          <w:sz w:val="24"/>
        </w:rPr>
      </w:pPr>
      <w:r>
        <w:rPr>
          <w:rStyle w:val="67"/>
          <w:sz w:val="24"/>
        </w:rPr>
        <w:t>3.3 投标有效期</w:t>
      </w:r>
    </w:p>
    <w:p w14:paraId="48490BBF">
      <w:pPr>
        <w:spacing w:line="360" w:lineRule="auto"/>
        <w:ind w:firstLine="420" w:firstLineChars="200"/>
        <w:rPr>
          <w:rStyle w:val="67"/>
          <w:b w:val="0"/>
          <w:bCs w:val="0"/>
        </w:rPr>
      </w:pPr>
      <w:r>
        <w:rPr>
          <w:rStyle w:val="67"/>
          <w:b w:val="0"/>
          <w:bCs w:val="0"/>
        </w:rPr>
        <w:t>3.3.1 在投标人须知前附表规定的投标有效期内，投标人不得要求撤销或修改其投标文件。</w:t>
      </w:r>
    </w:p>
    <w:p w14:paraId="35548A6F">
      <w:pPr>
        <w:spacing w:line="360" w:lineRule="auto"/>
        <w:ind w:firstLine="420" w:firstLineChars="200"/>
        <w:rPr>
          <w:rStyle w:val="67"/>
          <w:b w:val="0"/>
          <w:bCs w:val="0"/>
        </w:rPr>
      </w:pPr>
      <w:r>
        <w:rPr>
          <w:rStyle w:val="67"/>
          <w:b w:val="0"/>
          <w:bCs w:val="0"/>
        </w:rPr>
        <w:t>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074F9B52">
      <w:pPr>
        <w:spacing w:line="360" w:lineRule="auto"/>
        <w:rPr>
          <w:rStyle w:val="67"/>
          <w:sz w:val="24"/>
        </w:rPr>
      </w:pPr>
      <w:r>
        <w:rPr>
          <w:rStyle w:val="67"/>
          <w:sz w:val="24"/>
        </w:rPr>
        <w:t>3.4 投标保证金</w:t>
      </w:r>
    </w:p>
    <w:p w14:paraId="3BCC7736">
      <w:pPr>
        <w:spacing w:line="360" w:lineRule="auto"/>
        <w:ind w:firstLine="420" w:firstLineChars="200"/>
        <w:rPr>
          <w:rStyle w:val="67"/>
        </w:rPr>
      </w:pPr>
      <w:r>
        <w:rPr>
          <w:rStyle w:val="67"/>
          <w:b w:val="0"/>
          <w:bCs w:val="0"/>
        </w:rPr>
        <w:t>3.4.1 投标人在递交投标文件的同时，应按投标人须知前附表规定的金额和形式递交投标保证金，并作为其投标文件的组成部分。联合体投标的，其投标保证金由牵头人递交，并应符合投标人须知前附表的规定。</w:t>
      </w:r>
      <w:r>
        <w:rPr>
          <w:rStyle w:val="67"/>
        </w:rPr>
        <w:t>招标人或招标代理不得强制投标保证金交纳方式，投标人可选择银行转账或银行保函。</w:t>
      </w:r>
    </w:p>
    <w:p w14:paraId="4FFF0601">
      <w:pPr>
        <w:spacing w:line="360" w:lineRule="auto"/>
        <w:ind w:firstLine="420" w:firstLineChars="200"/>
        <w:rPr>
          <w:rStyle w:val="67"/>
          <w:b w:val="0"/>
          <w:bCs w:val="0"/>
        </w:rPr>
      </w:pPr>
      <w:r>
        <w:rPr>
          <w:rStyle w:val="67"/>
          <w:b w:val="0"/>
          <w:bCs w:val="0"/>
        </w:rPr>
        <w:t>3.4.2 投标人不按本章第3.4.1项要求提交投标保证金的，其投标文件作无效标处理。</w:t>
      </w:r>
    </w:p>
    <w:p w14:paraId="05963AB8">
      <w:pPr>
        <w:spacing w:line="360" w:lineRule="auto"/>
        <w:ind w:firstLine="420" w:firstLineChars="200"/>
        <w:rPr>
          <w:rStyle w:val="67"/>
          <w:b w:val="0"/>
          <w:bCs w:val="0"/>
          <w:shd w:val="pct10" w:color="auto" w:fill="FFFFFF"/>
        </w:rPr>
      </w:pPr>
      <w:r>
        <w:rPr>
          <w:rStyle w:val="67"/>
          <w:b w:val="0"/>
          <w:bCs w:val="0"/>
        </w:rPr>
        <w:t>3.4.3未中标的投标人投标保证金将在中标通知书发出后60日内予以退还。中标人的投标保证金将在招标人与中标人签订施工合同后60日内予以退还。</w:t>
      </w:r>
    </w:p>
    <w:p w14:paraId="6F575CF6">
      <w:pPr>
        <w:spacing w:line="360" w:lineRule="auto"/>
        <w:ind w:firstLine="420" w:firstLineChars="200"/>
        <w:rPr>
          <w:rStyle w:val="67"/>
          <w:b w:val="0"/>
          <w:bCs w:val="0"/>
        </w:rPr>
      </w:pPr>
      <w:r>
        <w:rPr>
          <w:rStyle w:val="67"/>
          <w:b w:val="0"/>
          <w:bCs w:val="0"/>
        </w:rPr>
        <w:t xml:space="preserve">3.4.4 有下列情形之一的，投标保证金将不予退还： </w:t>
      </w:r>
    </w:p>
    <w:p w14:paraId="05964B72">
      <w:pPr>
        <w:numPr>
          <w:ilvl w:val="0"/>
          <w:numId w:val="7"/>
        </w:numPr>
        <w:spacing w:line="360" w:lineRule="auto"/>
        <w:ind w:left="0" w:firstLine="420"/>
      </w:pPr>
      <w:r>
        <w:t>投标人在规定的投标有效期内撤销或修改其投标文件的；</w:t>
      </w:r>
    </w:p>
    <w:p w14:paraId="71D9147A">
      <w:pPr>
        <w:numPr>
          <w:ilvl w:val="0"/>
          <w:numId w:val="7"/>
        </w:numPr>
        <w:spacing w:line="360" w:lineRule="auto"/>
        <w:ind w:left="0" w:firstLine="420"/>
      </w:pPr>
      <w:r>
        <w:t>投标人与招标人、其他投标人或者采购代理机构恶意串通、围标、陪标的；</w:t>
      </w:r>
    </w:p>
    <w:p w14:paraId="2FF371C6">
      <w:pPr>
        <w:numPr>
          <w:ilvl w:val="0"/>
          <w:numId w:val="7"/>
        </w:numPr>
        <w:spacing w:line="360" w:lineRule="auto"/>
        <w:ind w:left="0" w:firstLine="420"/>
      </w:pPr>
      <w:r>
        <w:t>截至开标前3天，投标人无正当理由、未以书面形式向招标人递交说明而在投标截止日不来投标的；</w:t>
      </w:r>
    </w:p>
    <w:p w14:paraId="296090AC">
      <w:pPr>
        <w:numPr>
          <w:ilvl w:val="0"/>
          <w:numId w:val="7"/>
        </w:numPr>
        <w:spacing w:line="360" w:lineRule="auto"/>
        <w:ind w:left="0" w:firstLine="420"/>
      </w:pPr>
      <w:r>
        <w:t>投标人递送投标文件后，无正当理由放弃投标的；</w:t>
      </w:r>
    </w:p>
    <w:p w14:paraId="789AE4DB">
      <w:pPr>
        <w:numPr>
          <w:ilvl w:val="0"/>
          <w:numId w:val="7"/>
        </w:numPr>
        <w:spacing w:line="360" w:lineRule="auto"/>
        <w:ind w:left="0" w:firstLine="420"/>
      </w:pPr>
      <w:r>
        <w:t>投标人在投标文件中提供虚假材料的；</w:t>
      </w:r>
    </w:p>
    <w:p w14:paraId="694AA59C">
      <w:pPr>
        <w:numPr>
          <w:ilvl w:val="0"/>
          <w:numId w:val="7"/>
        </w:numPr>
        <w:spacing w:line="360" w:lineRule="auto"/>
        <w:ind w:left="0" w:firstLine="420"/>
      </w:pPr>
      <w:r>
        <w:t>自中标通知书发出之日起30日内，中标人无正当理由不与招标人签订合同的；</w:t>
      </w:r>
    </w:p>
    <w:p w14:paraId="6FC03BD8">
      <w:pPr>
        <w:numPr>
          <w:ilvl w:val="0"/>
          <w:numId w:val="7"/>
        </w:numPr>
        <w:spacing w:line="360" w:lineRule="auto"/>
        <w:ind w:left="0" w:firstLine="420"/>
      </w:pPr>
      <w:r>
        <w:t>除因不可抗力或谈判文件、询价通知书认可的情形以外，中标人不与招标人签订合同的；</w:t>
      </w:r>
    </w:p>
    <w:p w14:paraId="3CC4B612">
      <w:pPr>
        <w:numPr>
          <w:ilvl w:val="0"/>
          <w:numId w:val="7"/>
        </w:numPr>
        <w:spacing w:line="360" w:lineRule="auto"/>
        <w:ind w:left="0" w:firstLine="420"/>
      </w:pPr>
      <w:r>
        <w:t>投标人有违约违规行为或被投诉、举报的，在调查处理期间，保证金暂不退还，待调查处理结束后按有关规定处理。</w:t>
      </w:r>
    </w:p>
    <w:p w14:paraId="4C9F7EBB">
      <w:pPr>
        <w:spacing w:line="360" w:lineRule="auto"/>
        <w:rPr>
          <w:rStyle w:val="67"/>
          <w:sz w:val="24"/>
        </w:rPr>
      </w:pPr>
      <w:r>
        <w:rPr>
          <w:rStyle w:val="67"/>
          <w:sz w:val="24"/>
        </w:rPr>
        <w:t xml:space="preserve">3.5 资格审查资料 </w:t>
      </w:r>
    </w:p>
    <w:p w14:paraId="25C64F0D">
      <w:pPr>
        <w:spacing w:line="360" w:lineRule="auto"/>
        <w:ind w:firstLine="420" w:firstLineChars="200"/>
      </w:pPr>
      <w:r>
        <w:rPr>
          <w:rStyle w:val="67"/>
          <w:b w:val="0"/>
          <w:bCs w:val="0"/>
        </w:rPr>
        <w:t>投标人在编制投标文件时，应按新情况更新或补充其在申请资格预审时提供的资料，以证实其各项资格条件仍能继续满足资格预审文件的要求，具备承担本项目施工的资质条件、能力和信誉。资格预审时，提交的项目班子管理人员投标时无正当理由不得更换。</w:t>
      </w:r>
    </w:p>
    <w:p w14:paraId="618999E4">
      <w:pPr>
        <w:spacing w:line="360" w:lineRule="auto"/>
        <w:rPr>
          <w:rStyle w:val="67"/>
          <w:sz w:val="24"/>
        </w:rPr>
      </w:pPr>
      <w:r>
        <w:rPr>
          <w:rStyle w:val="67"/>
          <w:sz w:val="24"/>
        </w:rPr>
        <w:t>3.6 备选投标方案</w:t>
      </w:r>
    </w:p>
    <w:p w14:paraId="76E1B95C">
      <w:pPr>
        <w:spacing w:line="360" w:lineRule="auto"/>
        <w:ind w:firstLine="420" w:firstLineChars="200"/>
        <w:rPr>
          <w:rStyle w:val="67"/>
          <w:b w:val="0"/>
          <w:bCs w:val="0"/>
        </w:rPr>
      </w:pPr>
      <w:r>
        <w:rPr>
          <w:rStyle w:val="67"/>
          <w:b w:val="0"/>
          <w:bCs w:val="0"/>
        </w:rPr>
        <w:t>除投标人须知前附表另有规定外，投标人不得递交备选投标方案。</w:t>
      </w:r>
    </w:p>
    <w:p w14:paraId="4C90F016">
      <w:pPr>
        <w:spacing w:line="360" w:lineRule="auto"/>
        <w:rPr>
          <w:rStyle w:val="67"/>
          <w:sz w:val="24"/>
        </w:rPr>
      </w:pPr>
      <w:r>
        <w:rPr>
          <w:rStyle w:val="67"/>
          <w:sz w:val="24"/>
        </w:rPr>
        <w:t>3.7 投标文件的编制</w:t>
      </w:r>
    </w:p>
    <w:p w14:paraId="6F576AF5">
      <w:pPr>
        <w:spacing w:line="360" w:lineRule="auto"/>
        <w:ind w:firstLine="420" w:firstLineChars="200"/>
        <w:rPr>
          <w:rStyle w:val="67"/>
          <w:b w:val="0"/>
          <w:bCs w:val="0"/>
        </w:rPr>
      </w:pPr>
      <w:r>
        <w:rPr>
          <w:rStyle w:val="67"/>
          <w:b w:val="0"/>
          <w:bCs w:val="0"/>
        </w:rPr>
        <w:t>3.7.1投标文件应按</w:t>
      </w:r>
      <w:r>
        <w:rPr>
          <w:rStyle w:val="69"/>
          <w:b/>
          <w:bCs/>
          <w:sz w:val="21"/>
        </w:rPr>
        <w:t>第八章“投标文件格式”</w:t>
      </w:r>
      <w:r>
        <w:rPr>
          <w:rStyle w:val="67"/>
          <w:b w:val="0"/>
          <w:bCs w:val="0"/>
        </w:rPr>
        <w:t>进行编写，如有必要，可以增加附页，作为投标文件的组成部分。其中，投标函附录在满足招标文件实质性要求的基础上，可以提出比招标文件要求更有利于招标人的承诺。</w:t>
      </w:r>
    </w:p>
    <w:p w14:paraId="07AF3996">
      <w:pPr>
        <w:spacing w:line="360" w:lineRule="auto"/>
        <w:ind w:firstLine="420" w:firstLineChars="200"/>
        <w:rPr>
          <w:rStyle w:val="67"/>
          <w:b w:val="0"/>
          <w:bCs w:val="0"/>
          <w:szCs w:val="21"/>
        </w:rPr>
      </w:pPr>
      <w:r>
        <w:rPr>
          <w:rStyle w:val="67"/>
          <w:b w:val="0"/>
          <w:bCs w:val="0"/>
        </w:rPr>
        <w:t>3.7.2 投标文件应当对招标文件有关</w:t>
      </w:r>
      <w:r>
        <w:rPr>
          <w:rStyle w:val="67"/>
          <w:b w:val="0"/>
          <w:bCs w:val="0"/>
          <w:szCs w:val="21"/>
        </w:rPr>
        <w:t>工期、投标有效期、质量要求、技术标准和要求、招标范围等实质性内容作出响应。</w:t>
      </w:r>
    </w:p>
    <w:p w14:paraId="6840D747">
      <w:pPr>
        <w:spacing w:line="360" w:lineRule="auto"/>
        <w:ind w:firstLine="420" w:firstLineChars="200"/>
        <w:rPr>
          <w:rStyle w:val="67"/>
          <w:b w:val="0"/>
          <w:bCs w:val="0"/>
        </w:rPr>
      </w:pPr>
      <w:r>
        <w:rPr>
          <w:rStyle w:val="67"/>
          <w:b w:val="0"/>
          <w:bCs w:val="0"/>
        </w:rPr>
        <w:t>3.7.3投标文件应用不褪色的材料书写或打印，并由投标人的法定代表人（或其委托代理人）签字（或盖单位公章）。委托代理人签字的，投标文件应附法定代表人签署的授权委托书。投标文件应尽量避免涂改、行间插字或删除。如果出现上述情况，改动之处应加盖单位公章或由投标人的法定代表人或其授权的代理人签字确认。签字或盖章的具体要求见投标人须知前附表。</w:t>
      </w:r>
    </w:p>
    <w:p w14:paraId="1A8FA9F1">
      <w:pPr>
        <w:spacing w:line="400" w:lineRule="exact"/>
        <w:ind w:firstLine="420" w:firstLineChars="200"/>
        <w:rPr>
          <w:rStyle w:val="67"/>
          <w:b w:val="0"/>
          <w:bCs w:val="0"/>
        </w:rPr>
      </w:pPr>
      <w:r>
        <w:rPr>
          <w:rStyle w:val="67"/>
          <w:b w:val="0"/>
          <w:bCs w:val="0"/>
        </w:rPr>
        <w:t>3.7.4投标文件正本一份,副本份数详见投标须知前附表，资格审查文件一份（不分正、副本，单独成册）。正本和副本的封面上应清楚地标记“正本”或“副本”的字样。当副本和正本不一致时，以正本为准。</w:t>
      </w:r>
    </w:p>
    <w:p w14:paraId="147752A7">
      <w:pPr>
        <w:spacing w:line="400" w:lineRule="exact"/>
        <w:ind w:firstLine="420" w:firstLineChars="200"/>
        <w:rPr>
          <w:rStyle w:val="67"/>
          <w:b w:val="0"/>
          <w:bCs w:val="0"/>
        </w:rPr>
      </w:pPr>
      <w:r>
        <w:rPr>
          <w:rStyle w:val="67"/>
          <w:b w:val="0"/>
          <w:bCs w:val="0"/>
        </w:rPr>
        <w:t>3.7.5投标文件的正本与副本及资格审查文件应分别装订成册，并编制目录，具体装订要求见投标人须知前附表规定。</w:t>
      </w:r>
    </w:p>
    <w:p w14:paraId="276E6658">
      <w:pPr>
        <w:spacing w:line="400" w:lineRule="exact"/>
        <w:ind w:firstLine="420" w:firstLineChars="200"/>
      </w:pPr>
      <w:r>
        <w:rPr>
          <w:rStyle w:val="67"/>
          <w:b w:val="0"/>
          <w:bCs w:val="0"/>
        </w:rPr>
        <w:t>3.7.6电子投标文件与纸质投标文件应保持一致，存在不一致的应以上传e采通平台的电子投标文件为准，并以有利于招标人的原则执行。</w:t>
      </w:r>
    </w:p>
    <w:p w14:paraId="40AA8AD0">
      <w:pPr>
        <w:pStyle w:val="7"/>
        <w:spacing w:before="0" w:after="0"/>
        <w:jc w:val="center"/>
        <w:rPr>
          <w:rFonts w:ascii="Times New Roman" w:hAnsi="Times New Roman"/>
          <w:sz w:val="30"/>
          <w:szCs w:val="30"/>
        </w:rPr>
      </w:pPr>
      <w:bookmarkStart w:id="49" w:name="_Toc17817326"/>
      <w:bookmarkStart w:id="50" w:name="_Toc19470"/>
      <w:bookmarkStart w:id="51" w:name="_Toc16063896"/>
      <w:bookmarkStart w:id="52" w:name="_Toc23160"/>
      <w:bookmarkStart w:id="53" w:name="_Toc237618298"/>
      <w:r>
        <w:rPr>
          <w:rFonts w:ascii="Times New Roman" w:hAnsi="Times New Roman"/>
          <w:sz w:val="30"/>
          <w:szCs w:val="30"/>
        </w:rPr>
        <w:t>4. 投标</w:t>
      </w:r>
      <w:bookmarkEnd w:id="49"/>
      <w:bookmarkEnd w:id="50"/>
      <w:bookmarkEnd w:id="51"/>
      <w:bookmarkEnd w:id="52"/>
      <w:bookmarkEnd w:id="53"/>
    </w:p>
    <w:p w14:paraId="699C259A">
      <w:pPr>
        <w:spacing w:line="360" w:lineRule="auto"/>
        <w:rPr>
          <w:rStyle w:val="67"/>
          <w:sz w:val="24"/>
        </w:rPr>
      </w:pPr>
      <w:r>
        <w:rPr>
          <w:rStyle w:val="67"/>
          <w:sz w:val="24"/>
        </w:rPr>
        <w:t>4.1 投标文件的密封和标记</w:t>
      </w:r>
    </w:p>
    <w:p w14:paraId="265B6F32">
      <w:pPr>
        <w:spacing w:line="360" w:lineRule="auto"/>
        <w:ind w:firstLine="420" w:firstLineChars="200"/>
        <w:rPr>
          <w:rStyle w:val="67"/>
          <w:b w:val="0"/>
          <w:bCs w:val="0"/>
        </w:rPr>
      </w:pPr>
      <w:r>
        <w:rPr>
          <w:rStyle w:val="67"/>
          <w:b w:val="0"/>
          <w:bCs w:val="0"/>
        </w:rPr>
        <w:t>4.1.1除资格审查文件单独密封包装外，</w:t>
      </w:r>
      <w:r>
        <w:rPr>
          <w:rStyle w:val="67"/>
          <w:b w:val="0"/>
          <w:bCs w:val="0"/>
          <w:highlight w:val="none"/>
        </w:rPr>
        <w:t>投标文件商务标（正本+</w:t>
      </w:r>
      <w:r>
        <w:rPr>
          <w:rStyle w:val="67"/>
          <w:rFonts w:hint="eastAsia"/>
          <w:b w:val="0"/>
          <w:bCs w:val="0"/>
          <w:highlight w:val="none"/>
          <w:lang w:val="en-US" w:eastAsia="zh-CN"/>
        </w:rPr>
        <w:t>2</w:t>
      </w:r>
      <w:r>
        <w:rPr>
          <w:rStyle w:val="67"/>
          <w:b w:val="0"/>
          <w:bCs w:val="0"/>
          <w:highlight w:val="none"/>
        </w:rPr>
        <w:t>副本）、技术标（正本+</w:t>
      </w:r>
      <w:r>
        <w:rPr>
          <w:rStyle w:val="67"/>
          <w:rFonts w:hint="eastAsia"/>
          <w:b w:val="0"/>
          <w:bCs w:val="0"/>
          <w:highlight w:val="none"/>
          <w:lang w:val="en-US" w:eastAsia="zh-CN"/>
        </w:rPr>
        <w:t>4</w:t>
      </w:r>
      <w:r>
        <w:rPr>
          <w:rStyle w:val="67"/>
          <w:b w:val="0"/>
          <w:bCs w:val="0"/>
          <w:highlight w:val="none"/>
        </w:rPr>
        <w:t>副本），电子文档（内容包含全部投标文件）单独</w:t>
      </w:r>
      <w:r>
        <w:rPr>
          <w:rStyle w:val="67"/>
          <w:b w:val="0"/>
          <w:bCs w:val="0"/>
        </w:rPr>
        <w:t>密封包装，唱标单单独密封包装。所有封套的每个封口处均应加盖投标人单位公章。</w:t>
      </w:r>
    </w:p>
    <w:p w14:paraId="1CC59A5F">
      <w:pPr>
        <w:spacing w:line="360" w:lineRule="auto"/>
        <w:ind w:firstLine="420" w:firstLineChars="200"/>
        <w:rPr>
          <w:highlight w:val="yellow"/>
        </w:rPr>
      </w:pPr>
      <w:r>
        <w:t>纸版投标文件和电子版投标文件必须保证内容一致，如确实存在不一致的，总报价以重汽e采通系统报出金额为准。同时要求投标方对纸版商务标书的错误一并做出修正。</w:t>
      </w:r>
    </w:p>
    <w:p w14:paraId="63BFF3BE">
      <w:pPr>
        <w:spacing w:line="360" w:lineRule="auto"/>
        <w:ind w:firstLine="420" w:firstLineChars="200"/>
        <w:rPr>
          <w:rStyle w:val="67"/>
          <w:b w:val="0"/>
          <w:bCs w:val="0"/>
        </w:rPr>
      </w:pPr>
      <w:r>
        <w:rPr>
          <w:rStyle w:val="67"/>
          <w:b w:val="0"/>
          <w:bCs w:val="0"/>
        </w:rPr>
        <w:t>4.1.2投标文件的封套上应清楚地标记“商务标”或“技术标”或“资格审查文件”或“唱标单”或“电子文档”等字样，封套上应写明的其他内容见投标人须知前附表。</w:t>
      </w:r>
    </w:p>
    <w:p w14:paraId="55F6B9EE">
      <w:pPr>
        <w:spacing w:line="360" w:lineRule="auto"/>
        <w:ind w:firstLine="420" w:firstLineChars="200"/>
        <w:rPr>
          <w:rStyle w:val="67"/>
          <w:b w:val="0"/>
          <w:bCs w:val="0"/>
        </w:rPr>
      </w:pPr>
      <w:r>
        <w:rPr>
          <w:rStyle w:val="67"/>
          <w:b w:val="0"/>
          <w:bCs w:val="0"/>
        </w:rPr>
        <w:t>4.1.3 未按本章第4.1.1项或第4.1.2项要求密封和加写标记的投标文件，招标人不予受理。</w:t>
      </w:r>
    </w:p>
    <w:p w14:paraId="7547CD9A">
      <w:pPr>
        <w:spacing w:line="360" w:lineRule="auto"/>
        <w:rPr>
          <w:rStyle w:val="67"/>
          <w:sz w:val="24"/>
        </w:rPr>
      </w:pPr>
      <w:r>
        <w:rPr>
          <w:rStyle w:val="67"/>
          <w:sz w:val="24"/>
        </w:rPr>
        <w:t>4.2 投标文件的递交</w:t>
      </w:r>
    </w:p>
    <w:p w14:paraId="5EA78D98">
      <w:pPr>
        <w:spacing w:line="360" w:lineRule="auto"/>
        <w:ind w:firstLine="420" w:firstLineChars="200"/>
        <w:rPr>
          <w:rStyle w:val="67"/>
          <w:b w:val="0"/>
          <w:bCs w:val="0"/>
        </w:rPr>
      </w:pPr>
      <w:r>
        <w:rPr>
          <w:rStyle w:val="67"/>
          <w:b w:val="0"/>
          <w:bCs w:val="0"/>
        </w:rPr>
        <w:t>4.2.1 投标人应在本章</w:t>
      </w:r>
      <w:r>
        <w:rPr>
          <w:rStyle w:val="69"/>
          <w:sz w:val="21"/>
        </w:rPr>
        <w:t>第2.2.2项</w:t>
      </w:r>
      <w:r>
        <w:rPr>
          <w:rStyle w:val="67"/>
          <w:b w:val="0"/>
          <w:bCs w:val="0"/>
        </w:rPr>
        <w:t>规定的投标截止时间前递交投标文件。</w:t>
      </w:r>
    </w:p>
    <w:p w14:paraId="5CEFFBC6">
      <w:pPr>
        <w:spacing w:line="360" w:lineRule="auto"/>
        <w:ind w:firstLine="420" w:firstLineChars="200"/>
        <w:rPr>
          <w:rStyle w:val="67"/>
          <w:b w:val="0"/>
          <w:bCs w:val="0"/>
        </w:rPr>
      </w:pPr>
      <w:r>
        <w:rPr>
          <w:rStyle w:val="67"/>
          <w:b w:val="0"/>
          <w:bCs w:val="0"/>
        </w:rPr>
        <w:t>4.2.2 投标人递交投标文件的地点：见投标人须知前附表。</w:t>
      </w:r>
    </w:p>
    <w:p w14:paraId="7D9AC8EC">
      <w:pPr>
        <w:spacing w:line="360" w:lineRule="auto"/>
        <w:ind w:firstLine="420" w:firstLineChars="200"/>
        <w:rPr>
          <w:rStyle w:val="67"/>
          <w:b w:val="0"/>
          <w:bCs w:val="0"/>
        </w:rPr>
      </w:pPr>
      <w:r>
        <w:rPr>
          <w:rStyle w:val="67"/>
          <w:b w:val="0"/>
          <w:bCs w:val="0"/>
        </w:rPr>
        <w:t>4.2.3 除投标人须知前附表另有规定外，投标人所递交的投标文件不予退还。</w:t>
      </w:r>
    </w:p>
    <w:p w14:paraId="361AF873">
      <w:pPr>
        <w:spacing w:line="360" w:lineRule="auto"/>
        <w:ind w:firstLine="420" w:firstLineChars="200"/>
        <w:rPr>
          <w:rStyle w:val="67"/>
          <w:b w:val="0"/>
          <w:bCs w:val="0"/>
        </w:rPr>
      </w:pPr>
      <w:r>
        <w:rPr>
          <w:rStyle w:val="67"/>
          <w:b w:val="0"/>
          <w:bCs w:val="0"/>
        </w:rPr>
        <w:t>4.2.4 逾期送达的或者未送达指定地点的投标文件，招标人不予受理。</w:t>
      </w:r>
    </w:p>
    <w:p w14:paraId="0BC00864">
      <w:pPr>
        <w:spacing w:line="360" w:lineRule="auto"/>
        <w:ind w:firstLine="420" w:firstLineChars="200"/>
        <w:rPr>
          <w:rStyle w:val="67"/>
          <w:b w:val="0"/>
          <w:bCs w:val="0"/>
        </w:rPr>
      </w:pPr>
      <w:r>
        <w:rPr>
          <w:rStyle w:val="67"/>
          <w:b w:val="0"/>
          <w:bCs w:val="0"/>
        </w:rPr>
        <w:t>4.2.5 投标截止时间前未完成投标文件传输的，视为撤回投标文件。投标截止时间后传输的投标文件，系统平台拒收。</w:t>
      </w:r>
    </w:p>
    <w:p w14:paraId="43BA3137">
      <w:pPr>
        <w:spacing w:line="360" w:lineRule="auto"/>
        <w:rPr>
          <w:rStyle w:val="67"/>
          <w:sz w:val="24"/>
        </w:rPr>
      </w:pPr>
      <w:r>
        <w:rPr>
          <w:rStyle w:val="67"/>
          <w:sz w:val="24"/>
        </w:rPr>
        <w:t>4.3 投标文件的修改与撤回</w:t>
      </w:r>
    </w:p>
    <w:p w14:paraId="58FED1DD">
      <w:pPr>
        <w:spacing w:line="360" w:lineRule="auto"/>
        <w:ind w:firstLine="420" w:firstLineChars="200"/>
        <w:rPr>
          <w:rStyle w:val="67"/>
          <w:b w:val="0"/>
          <w:bCs w:val="0"/>
        </w:rPr>
      </w:pPr>
      <w:r>
        <w:rPr>
          <w:rStyle w:val="67"/>
          <w:b w:val="0"/>
          <w:bCs w:val="0"/>
        </w:rPr>
        <w:t>4.3.1 在本章</w:t>
      </w:r>
      <w:r>
        <w:rPr>
          <w:rStyle w:val="69"/>
          <w:sz w:val="21"/>
        </w:rPr>
        <w:t>第2.2.2项</w:t>
      </w:r>
      <w:r>
        <w:rPr>
          <w:rStyle w:val="67"/>
          <w:b w:val="0"/>
          <w:bCs w:val="0"/>
        </w:rPr>
        <w:t>规定的投标截止时间前，投标人可以撤回已递交的投标文件，但应以书面形式通知招标人。</w:t>
      </w:r>
    </w:p>
    <w:p w14:paraId="11108E73">
      <w:pPr>
        <w:spacing w:line="360" w:lineRule="auto"/>
        <w:ind w:firstLine="420" w:firstLineChars="200"/>
        <w:rPr>
          <w:rStyle w:val="67"/>
          <w:b w:val="0"/>
          <w:bCs w:val="0"/>
        </w:rPr>
      </w:pPr>
      <w:r>
        <w:rPr>
          <w:rStyle w:val="67"/>
          <w:b w:val="0"/>
          <w:bCs w:val="0"/>
        </w:rPr>
        <w:t>4.3.2 投标人撤回已递交投标文件的书面通知应按照本章</w:t>
      </w:r>
      <w:r>
        <w:rPr>
          <w:rStyle w:val="69"/>
          <w:sz w:val="21"/>
        </w:rPr>
        <w:t>第3.7.3项</w:t>
      </w:r>
      <w:r>
        <w:rPr>
          <w:rStyle w:val="67"/>
          <w:b w:val="0"/>
          <w:bCs w:val="0"/>
        </w:rPr>
        <w:t>的要求签字或盖章。</w:t>
      </w:r>
    </w:p>
    <w:p w14:paraId="4E6021C9">
      <w:pPr>
        <w:pStyle w:val="7"/>
        <w:spacing w:before="0" w:after="0"/>
        <w:jc w:val="center"/>
        <w:rPr>
          <w:sz w:val="30"/>
          <w:szCs w:val="30"/>
        </w:rPr>
      </w:pPr>
      <w:bookmarkStart w:id="54" w:name="_Toc5142"/>
      <w:r>
        <w:rPr>
          <w:sz w:val="30"/>
          <w:szCs w:val="30"/>
        </w:rPr>
        <w:t>5. 开标</w:t>
      </w:r>
      <w:bookmarkEnd w:id="46"/>
      <w:bookmarkEnd w:id="47"/>
      <w:bookmarkEnd w:id="48"/>
      <w:bookmarkEnd w:id="54"/>
    </w:p>
    <w:p w14:paraId="7CC8C3C9">
      <w:pPr>
        <w:spacing w:line="360" w:lineRule="auto"/>
        <w:rPr>
          <w:rStyle w:val="67"/>
          <w:sz w:val="24"/>
        </w:rPr>
      </w:pPr>
      <w:bookmarkStart w:id="55" w:name="_Toc17817328"/>
      <w:bookmarkStart w:id="56" w:name="_Toc16063898"/>
      <w:bookmarkStart w:id="57" w:name="_Toc630"/>
      <w:r>
        <w:rPr>
          <w:rStyle w:val="67"/>
          <w:sz w:val="24"/>
        </w:rPr>
        <w:t>5.1 开标时间和地点</w:t>
      </w:r>
    </w:p>
    <w:p w14:paraId="3D0BE417">
      <w:pPr>
        <w:spacing w:line="400" w:lineRule="exact"/>
        <w:ind w:firstLine="420" w:firstLineChars="200"/>
        <w:rPr>
          <w:rStyle w:val="67"/>
          <w:b w:val="0"/>
          <w:bCs w:val="0"/>
        </w:rPr>
      </w:pPr>
      <w:r>
        <w:rPr>
          <w:rStyle w:val="67"/>
          <w:b w:val="0"/>
          <w:bCs w:val="0"/>
        </w:rPr>
        <w:t>招标人在本章</w:t>
      </w:r>
      <w:r>
        <w:rPr>
          <w:rStyle w:val="69"/>
          <w:sz w:val="21"/>
        </w:rPr>
        <w:t>第2.2.2项</w:t>
      </w:r>
      <w:r>
        <w:rPr>
          <w:rStyle w:val="67"/>
          <w:b w:val="0"/>
          <w:bCs w:val="0"/>
        </w:rPr>
        <w:t>规定的投标截止时间（开标时间）和投标人须知前附表规定的地点公开开标，并邀请所有投标人的法定代表人或其委托代理人准时参加。</w:t>
      </w:r>
    </w:p>
    <w:p w14:paraId="0C3A19C1">
      <w:pPr>
        <w:adjustRightInd w:val="0"/>
        <w:snapToGrid w:val="0"/>
        <w:spacing w:before="72" w:after="50" w:line="460" w:lineRule="exact"/>
        <w:ind w:firstLine="422" w:firstLineChars="200"/>
        <w:rPr>
          <w:rStyle w:val="67"/>
          <w:i/>
          <w:iCs/>
          <w:color w:val="FF0000"/>
          <w:u w:val="single"/>
        </w:rPr>
      </w:pPr>
      <w:r>
        <w:rPr>
          <w:rStyle w:val="67"/>
        </w:rPr>
        <w:t>本次招标的开标、评标由招标人依法组织实施，通过资格审查后，采用技术标和商务标同时开标、分阶段评标的模式。首先进行技术标评审，由评标专家组对所有投标方的技术标部分综合评定和打分，确定进入商务标评比资格的投标方。然后进行商务标的评标，招标人有权根据项目情况，采取</w:t>
      </w:r>
      <w:r>
        <w:rPr>
          <w:rStyle w:val="67"/>
          <w:rFonts w:hint="eastAsia"/>
          <w:lang w:val="en-US" w:eastAsia="zh-CN"/>
        </w:rPr>
        <w:t>多伦多次</w:t>
      </w:r>
      <w:r>
        <w:rPr>
          <w:rStyle w:val="67"/>
        </w:rPr>
        <w:t>报价模式，最终根据综合得分确定各投标人排序，原则上按照综合得分最高分确定推荐中标人，对未中标单位不做任何解释。</w:t>
      </w:r>
    </w:p>
    <w:p w14:paraId="2BFABAF6">
      <w:pPr>
        <w:spacing w:line="360" w:lineRule="auto"/>
        <w:ind w:firstLine="420" w:firstLineChars="200"/>
        <w:rPr>
          <w:color w:val="FF0000"/>
        </w:rPr>
      </w:pPr>
      <w:r>
        <w:rPr>
          <w:rStyle w:val="67"/>
          <w:b w:val="0"/>
          <w:bCs w:val="0"/>
        </w:rPr>
        <w:t>开标形式：现场</w:t>
      </w:r>
      <w:r>
        <w:rPr>
          <w:rStyle w:val="67"/>
          <w:b w:val="0"/>
          <w:bCs w:val="0"/>
          <w:highlight w:val="none"/>
        </w:rPr>
        <w:t>和重汽e采通同时开标。</w:t>
      </w:r>
      <w:r>
        <w:rPr>
          <w:rStyle w:val="67"/>
          <w:b w:val="0"/>
          <w:bCs w:val="0"/>
          <w:color w:val="FF0000"/>
          <w:szCs w:val="22"/>
          <w:highlight w:val="none"/>
          <w:u w:val="single"/>
        </w:rPr>
        <w:t>（所有澄清及报价均需要在线上操作，请自行准备电脑等设备）</w:t>
      </w:r>
    </w:p>
    <w:p w14:paraId="4CE32B89">
      <w:pPr>
        <w:spacing w:line="360" w:lineRule="auto"/>
        <w:rPr>
          <w:rStyle w:val="67"/>
          <w:sz w:val="24"/>
        </w:rPr>
      </w:pPr>
      <w:r>
        <w:rPr>
          <w:rStyle w:val="67"/>
          <w:sz w:val="24"/>
        </w:rPr>
        <w:t>5.2 开、评标程序</w:t>
      </w:r>
    </w:p>
    <w:p w14:paraId="4209FB24">
      <w:pPr>
        <w:spacing w:line="400" w:lineRule="exact"/>
        <w:ind w:firstLine="420" w:firstLineChars="200"/>
        <w:rPr>
          <w:rStyle w:val="67"/>
          <w:b w:val="0"/>
          <w:bCs w:val="0"/>
          <w:szCs w:val="22"/>
        </w:rPr>
      </w:pPr>
      <w:r>
        <w:rPr>
          <w:rStyle w:val="67"/>
          <w:b w:val="0"/>
          <w:bCs w:val="0"/>
          <w:szCs w:val="22"/>
        </w:rPr>
        <w:t>（1）投标截止时间前准时进入开标现场，登录重汽e采通按最新版《SRM-系统用户手册-非生产招投标（供应商使用）》，并按顺序进行操作，迟到按弃标处理。</w:t>
      </w:r>
    </w:p>
    <w:p w14:paraId="13F45BCA">
      <w:pPr>
        <w:spacing w:line="400" w:lineRule="exact"/>
        <w:ind w:firstLine="420" w:firstLineChars="200"/>
        <w:rPr>
          <w:rStyle w:val="67"/>
          <w:b w:val="0"/>
          <w:bCs w:val="0"/>
          <w:szCs w:val="22"/>
        </w:rPr>
      </w:pPr>
      <w:r>
        <w:rPr>
          <w:rStyle w:val="67"/>
          <w:b w:val="0"/>
          <w:bCs w:val="0"/>
          <w:szCs w:val="22"/>
        </w:rPr>
        <w:t>（2）宣读开标纪律；</w:t>
      </w:r>
    </w:p>
    <w:p w14:paraId="20720158">
      <w:pPr>
        <w:spacing w:line="400" w:lineRule="exact"/>
        <w:ind w:firstLine="420" w:firstLineChars="200"/>
        <w:rPr>
          <w:rStyle w:val="67"/>
          <w:b w:val="0"/>
          <w:bCs w:val="0"/>
          <w:szCs w:val="22"/>
        </w:rPr>
      </w:pPr>
      <w:r>
        <w:rPr>
          <w:rStyle w:val="67"/>
          <w:b w:val="0"/>
          <w:bCs w:val="0"/>
          <w:szCs w:val="22"/>
        </w:rPr>
        <w:t>（3）公布在投标截止时间前递交投标文件的投标人名称，并点名确认投标人的法定代表人或其委托代理人是否到场；</w:t>
      </w:r>
    </w:p>
    <w:p w14:paraId="50AA3FD8">
      <w:pPr>
        <w:spacing w:line="400" w:lineRule="exact"/>
        <w:ind w:firstLine="420" w:firstLineChars="200"/>
        <w:rPr>
          <w:rStyle w:val="67"/>
          <w:b w:val="0"/>
          <w:bCs w:val="0"/>
          <w:szCs w:val="22"/>
        </w:rPr>
      </w:pPr>
      <w:r>
        <w:rPr>
          <w:rStyle w:val="67"/>
          <w:b w:val="0"/>
          <w:bCs w:val="0"/>
          <w:szCs w:val="22"/>
        </w:rPr>
        <w:t>（4）宣布招标人、唱标人等有关单位；</w:t>
      </w:r>
    </w:p>
    <w:p w14:paraId="4582173B">
      <w:pPr>
        <w:spacing w:line="400" w:lineRule="exact"/>
        <w:ind w:firstLine="420" w:firstLineChars="200"/>
        <w:rPr>
          <w:rStyle w:val="67"/>
          <w:b w:val="0"/>
          <w:bCs w:val="0"/>
          <w:szCs w:val="22"/>
        </w:rPr>
      </w:pPr>
      <w:r>
        <w:rPr>
          <w:rStyle w:val="67"/>
          <w:b w:val="0"/>
          <w:bCs w:val="0"/>
          <w:szCs w:val="22"/>
        </w:rPr>
        <w:t>（5）由招标人核验投标单位的相关证件</w:t>
      </w:r>
      <w:r>
        <w:rPr>
          <w:color w:val="000000"/>
          <w:kern w:val="0"/>
          <w:szCs w:val="21"/>
          <w:lang w:bidi="ar"/>
        </w:rPr>
        <w:t>（法定代表人身份证明或授权委托书、被授权人身份证原件）</w:t>
      </w:r>
      <w:r>
        <w:rPr>
          <w:rStyle w:val="67"/>
          <w:b w:val="0"/>
          <w:bCs w:val="0"/>
          <w:szCs w:val="21"/>
        </w:rPr>
        <w:t>，并宣布核验结果，</w:t>
      </w:r>
      <w:r>
        <w:rPr>
          <w:color w:val="000000"/>
          <w:kern w:val="0"/>
          <w:szCs w:val="21"/>
          <w:lang w:bidi="ar"/>
        </w:rPr>
        <w:t>未按规定提交的视为自动放弃投标资格；</w:t>
      </w:r>
    </w:p>
    <w:p w14:paraId="39F00142">
      <w:pPr>
        <w:spacing w:line="400" w:lineRule="exact"/>
        <w:ind w:firstLine="420" w:firstLineChars="200"/>
        <w:rPr>
          <w:rStyle w:val="67"/>
          <w:b w:val="0"/>
          <w:bCs w:val="0"/>
          <w:szCs w:val="22"/>
        </w:rPr>
      </w:pPr>
      <w:r>
        <w:rPr>
          <w:rStyle w:val="67"/>
          <w:b w:val="0"/>
          <w:bCs w:val="0"/>
          <w:szCs w:val="22"/>
        </w:rPr>
        <w:t>（6）由招标人代表或投标人推选的代表检查投标文件的密封情况并予以确认；</w:t>
      </w:r>
    </w:p>
    <w:p w14:paraId="476D0C34">
      <w:pPr>
        <w:spacing w:line="400" w:lineRule="exact"/>
        <w:ind w:firstLine="420" w:firstLineChars="200"/>
        <w:rPr>
          <w:rStyle w:val="67"/>
          <w:b w:val="0"/>
          <w:bCs w:val="0"/>
          <w:szCs w:val="22"/>
        </w:rPr>
      </w:pPr>
      <w:r>
        <w:rPr>
          <w:rStyle w:val="67"/>
          <w:b w:val="0"/>
          <w:bCs w:val="0"/>
          <w:szCs w:val="22"/>
        </w:rPr>
        <w:t>（7）按照宣布的开标顺序当众开标，公布投标人名称、项目名称、投标报价、质量目标、工期及其他内容，并记录在案；</w:t>
      </w:r>
    </w:p>
    <w:p w14:paraId="3D7A0ED1">
      <w:pPr>
        <w:spacing w:line="400" w:lineRule="exact"/>
        <w:ind w:firstLine="420" w:firstLineChars="200"/>
        <w:rPr>
          <w:rStyle w:val="67"/>
          <w:b w:val="0"/>
          <w:bCs w:val="0"/>
          <w:szCs w:val="22"/>
        </w:rPr>
      </w:pPr>
      <w:r>
        <w:rPr>
          <w:rStyle w:val="67"/>
          <w:b w:val="0"/>
          <w:bCs w:val="0"/>
          <w:szCs w:val="22"/>
        </w:rPr>
        <w:t>（8）询问投标人对本次开标过程是否存在异议，如有异议请现场提出，否则事后不予受理；</w:t>
      </w:r>
    </w:p>
    <w:p w14:paraId="5B63F224">
      <w:pPr>
        <w:spacing w:line="400" w:lineRule="exact"/>
        <w:ind w:firstLine="420" w:firstLineChars="200"/>
        <w:rPr>
          <w:rStyle w:val="67"/>
          <w:b w:val="0"/>
          <w:bCs w:val="0"/>
          <w:szCs w:val="22"/>
        </w:rPr>
      </w:pPr>
      <w:r>
        <w:rPr>
          <w:rStyle w:val="67"/>
          <w:b w:val="0"/>
          <w:bCs w:val="0"/>
          <w:szCs w:val="22"/>
        </w:rPr>
        <w:t>（9）开标会结束，投标人退场，进入评审阶段。</w:t>
      </w:r>
    </w:p>
    <w:p w14:paraId="244D3D60">
      <w:pPr>
        <w:spacing w:line="400" w:lineRule="exact"/>
        <w:ind w:firstLine="420" w:firstLineChars="200"/>
        <w:rPr>
          <w:rStyle w:val="67"/>
          <w:b w:val="0"/>
          <w:bCs w:val="0"/>
          <w:szCs w:val="22"/>
        </w:rPr>
      </w:pPr>
      <w:r>
        <w:rPr>
          <w:rStyle w:val="67"/>
          <w:b w:val="0"/>
          <w:bCs w:val="0"/>
          <w:szCs w:val="22"/>
        </w:rPr>
        <w:t>（10）技术标评审，专家组根据评标办法对技术标进行评分，需要技术澄清的，通过重汽e采通递交澄清材料；同时，</w:t>
      </w:r>
      <w:r>
        <w:rPr>
          <w:rStyle w:val="67"/>
          <w:szCs w:val="22"/>
          <w:u w:val="single"/>
        </w:rPr>
        <w:t>招标人将在技术标评审环节组织商务标清标工作，识别出各投标单位的不平衡报价及其他不合理项，投标单位据之纠正澄清，并同步修正开标总价；修正完成后需经经招标人审核确认；修正后的总价不得突破投标价、并作为开标后第一轮报价及后续调价基准。技术标评审结束后，专家组推荐入围商务标的投标单位，通过技术标评审的投标单位进入商务标评审。</w:t>
      </w:r>
    </w:p>
    <w:p w14:paraId="42384DBD">
      <w:pPr>
        <w:spacing w:line="400" w:lineRule="exact"/>
        <w:ind w:firstLine="420" w:firstLineChars="200"/>
        <w:rPr>
          <w:rStyle w:val="67"/>
          <w:b w:val="0"/>
          <w:bCs w:val="0"/>
          <w:szCs w:val="22"/>
        </w:rPr>
      </w:pPr>
      <w:r>
        <w:rPr>
          <w:rStyle w:val="67"/>
          <w:b w:val="0"/>
          <w:bCs w:val="0"/>
          <w:szCs w:val="22"/>
        </w:rPr>
        <w:t>（11）商务标评审采用多轮</w:t>
      </w:r>
      <w:r>
        <w:rPr>
          <w:rStyle w:val="67"/>
          <w:rFonts w:hint="eastAsia"/>
          <w:b w:val="0"/>
          <w:bCs w:val="0"/>
          <w:szCs w:val="22"/>
          <w:lang w:val="en-US" w:eastAsia="zh-CN"/>
        </w:rPr>
        <w:t>多次</w:t>
      </w:r>
      <w:r>
        <w:rPr>
          <w:rStyle w:val="67"/>
          <w:b w:val="0"/>
          <w:bCs w:val="0"/>
          <w:szCs w:val="22"/>
        </w:rPr>
        <w:t>报价，除开标唱标为公开报价方式外，后续多轮</w:t>
      </w:r>
      <w:r>
        <w:rPr>
          <w:rStyle w:val="67"/>
          <w:rFonts w:hint="eastAsia"/>
          <w:b w:val="0"/>
          <w:bCs w:val="0"/>
          <w:szCs w:val="22"/>
          <w:lang w:val="en-US" w:eastAsia="zh-CN"/>
        </w:rPr>
        <w:t>多次</w:t>
      </w:r>
      <w:r>
        <w:rPr>
          <w:rStyle w:val="67"/>
          <w:b w:val="0"/>
          <w:bCs w:val="0"/>
          <w:szCs w:val="22"/>
        </w:rPr>
        <w:t>澄清报价均为非公开的方式，在重汽e采通进行提报。</w:t>
      </w:r>
      <w:r>
        <w:rPr>
          <w:rStyle w:val="67"/>
          <w:szCs w:val="22"/>
          <w:u w:val="single"/>
        </w:rPr>
        <w:t>商务标开标后，投标单位需在第一轮报价时，将修正后的报价清单上传至重汽E采通，并与开标后第一轮报价金额一致；</w:t>
      </w:r>
      <w:bookmarkStart w:id="58" w:name="_Hlk182473828"/>
      <w:r>
        <w:rPr>
          <w:rStyle w:val="67"/>
          <w:szCs w:val="22"/>
          <w:u w:val="single"/>
        </w:rPr>
        <w:t>后续报价只上传每轮报价总金额，合同清单部分的价格结算时按照承包人开标修正后的已标价工程量清单价格乘下浮系数（商务标最后一轮澄清含税总报价/开标清标修正后的含税总报价）执行。单独澄清的清单项除外。</w:t>
      </w:r>
      <w:bookmarkEnd w:id="58"/>
    </w:p>
    <w:p w14:paraId="050B188A">
      <w:pPr>
        <w:spacing w:line="400" w:lineRule="exact"/>
        <w:ind w:firstLine="420" w:firstLineChars="200"/>
        <w:rPr>
          <w:rStyle w:val="67"/>
          <w:b w:val="0"/>
          <w:bCs w:val="0"/>
          <w:color w:val="FF0000"/>
          <w:szCs w:val="22"/>
          <w:em w:val="dot"/>
        </w:rPr>
      </w:pPr>
      <w:r>
        <w:rPr>
          <w:rStyle w:val="67"/>
          <w:b w:val="0"/>
          <w:bCs w:val="0"/>
          <w:color w:val="FF0000"/>
          <w:szCs w:val="22"/>
          <w:em w:val="dot"/>
        </w:rPr>
        <w:t>注意：每一轮在重汽e采通提供澄清报价均有时间限制，未能在规定时间内提交澄清函及报价的视为放弃本次投标。</w:t>
      </w:r>
    </w:p>
    <w:p w14:paraId="15B9278C">
      <w:pPr>
        <w:spacing w:line="400" w:lineRule="exact"/>
        <w:ind w:firstLine="420" w:firstLineChars="200"/>
        <w:rPr>
          <w:rStyle w:val="67"/>
          <w:b w:val="0"/>
          <w:bCs w:val="0"/>
          <w:szCs w:val="22"/>
        </w:rPr>
      </w:pPr>
      <w:r>
        <w:rPr>
          <w:rStyle w:val="67"/>
          <w:b w:val="0"/>
          <w:bCs w:val="0"/>
          <w:szCs w:val="22"/>
        </w:rPr>
        <w:t>（12）原则上按照综合得分最高分确定推荐中标人，对未中标单位不做任何解释。</w:t>
      </w:r>
    </w:p>
    <w:p w14:paraId="7B2EEF49">
      <w:pPr>
        <w:spacing w:line="400" w:lineRule="exact"/>
        <w:ind w:firstLine="420" w:firstLineChars="200"/>
      </w:pPr>
      <w:r>
        <w:rPr>
          <w:rStyle w:val="67"/>
          <w:b w:val="0"/>
          <w:bCs w:val="0"/>
          <w:szCs w:val="22"/>
        </w:rPr>
        <w:t>以上步骤全部结束后，本次招标过程全部结束。</w:t>
      </w:r>
    </w:p>
    <w:p w14:paraId="529EC405">
      <w:pPr>
        <w:spacing w:line="400" w:lineRule="exact"/>
        <w:ind w:firstLine="420" w:firstLineChars="200"/>
        <w:rPr>
          <w:rStyle w:val="67"/>
          <w:b w:val="0"/>
          <w:bCs w:val="0"/>
          <w:szCs w:val="22"/>
        </w:rPr>
      </w:pPr>
      <w:r>
        <w:rPr>
          <w:rStyle w:val="67"/>
          <w:b w:val="0"/>
          <w:bCs w:val="0"/>
          <w:szCs w:val="22"/>
        </w:rPr>
        <w:t>投标前请各投标方按照招标文件要求对项目方案进行充分准备，投标单位已默认认可上述开标、评标过程，无异议。招标人无义务对未入围投标方及未中标方做任何解释。</w:t>
      </w:r>
    </w:p>
    <w:p w14:paraId="2FD2E170">
      <w:pPr>
        <w:spacing w:line="360" w:lineRule="auto"/>
        <w:rPr>
          <w:rStyle w:val="67"/>
          <w:sz w:val="24"/>
        </w:rPr>
      </w:pPr>
      <w:r>
        <w:rPr>
          <w:rStyle w:val="67"/>
          <w:sz w:val="24"/>
        </w:rPr>
        <w:t>5.3 其他说明</w:t>
      </w:r>
    </w:p>
    <w:p w14:paraId="481F5590">
      <w:pPr>
        <w:spacing w:line="400" w:lineRule="exact"/>
        <w:ind w:firstLine="420" w:firstLineChars="200"/>
        <w:rPr>
          <w:rStyle w:val="67"/>
          <w:b w:val="0"/>
          <w:bCs w:val="0"/>
          <w:szCs w:val="22"/>
        </w:rPr>
      </w:pPr>
      <w:r>
        <w:rPr>
          <w:rStyle w:val="67"/>
          <w:b w:val="0"/>
          <w:bCs w:val="0"/>
          <w:color w:val="FF0000"/>
          <w:szCs w:val="22"/>
        </w:rPr>
        <w:t>1.</w:t>
      </w:r>
      <w:r>
        <w:rPr>
          <w:rStyle w:val="67"/>
          <w:b w:val="0"/>
          <w:bCs w:val="0"/>
          <w:color w:val="FF0000"/>
          <w:szCs w:val="22"/>
          <w:em w:val="dot"/>
        </w:rPr>
        <w:t>技术标根据评分办法进行打分，技术标评标小组推荐至少3家技术得分70分（含）以上的投标人入围商务标</w:t>
      </w:r>
      <w:r>
        <w:rPr>
          <w:rStyle w:val="67"/>
          <w:b w:val="0"/>
          <w:bCs w:val="0"/>
          <w:szCs w:val="22"/>
          <w:em w:val="dot"/>
        </w:rPr>
        <w:t>。</w:t>
      </w:r>
      <w:r>
        <w:rPr>
          <w:rStyle w:val="67"/>
          <w:b w:val="0"/>
          <w:bCs w:val="0"/>
          <w:szCs w:val="22"/>
        </w:rPr>
        <w:t>技术入围投标人不足三家时，本次按废标处理，招标人有权根据招标采购管理流程重新组织招标。</w:t>
      </w:r>
    </w:p>
    <w:p w14:paraId="3E21356A">
      <w:pPr>
        <w:adjustRightInd w:val="0"/>
        <w:snapToGrid w:val="0"/>
        <w:spacing w:before="72" w:after="50" w:line="312" w:lineRule="auto"/>
        <w:ind w:firstLine="420" w:firstLineChars="200"/>
        <w:rPr>
          <w:szCs w:val="21"/>
        </w:rPr>
      </w:pPr>
      <w:r>
        <w:rPr>
          <w:szCs w:val="21"/>
        </w:rPr>
        <w:t>2.商务标专家组与技术入围的有效投标人在其开标报价及清标修正总价的基础上进行商务谈判，招标人有权根据项目特点及投标人报价情况开展</w:t>
      </w:r>
      <w:r>
        <w:rPr>
          <w:rStyle w:val="67"/>
          <w:b w:val="0"/>
          <w:bCs w:val="0"/>
          <w:szCs w:val="22"/>
        </w:rPr>
        <w:t>多轮</w:t>
      </w:r>
      <w:r>
        <w:rPr>
          <w:rStyle w:val="67"/>
          <w:rFonts w:hint="eastAsia"/>
          <w:b w:val="0"/>
          <w:bCs w:val="0"/>
          <w:szCs w:val="22"/>
          <w:lang w:val="en-US" w:eastAsia="zh-CN"/>
        </w:rPr>
        <w:t>多次</w:t>
      </w:r>
      <w:r>
        <w:rPr>
          <w:szCs w:val="21"/>
        </w:rPr>
        <w:t>竞价，最终确定推荐中标人。原则上按照最终综合得分最高确定推荐中标人，但是明显低于成本的除外。</w:t>
      </w:r>
    </w:p>
    <w:p w14:paraId="44DEC508">
      <w:pPr>
        <w:pStyle w:val="2"/>
        <w:ind w:left="420" w:firstLine="420"/>
      </w:pPr>
    </w:p>
    <w:p w14:paraId="01897FE3">
      <w:pPr>
        <w:pStyle w:val="7"/>
        <w:spacing w:before="0" w:after="0"/>
        <w:jc w:val="center"/>
        <w:rPr>
          <w:sz w:val="30"/>
          <w:szCs w:val="30"/>
        </w:rPr>
      </w:pPr>
      <w:bookmarkStart w:id="59" w:name="_Toc13776"/>
      <w:r>
        <w:rPr>
          <w:sz w:val="30"/>
          <w:szCs w:val="30"/>
        </w:rPr>
        <w:t>6. 评标</w:t>
      </w:r>
      <w:bookmarkEnd w:id="55"/>
      <w:bookmarkEnd w:id="56"/>
      <w:bookmarkEnd w:id="57"/>
      <w:bookmarkEnd w:id="59"/>
    </w:p>
    <w:p w14:paraId="0C30B8D7">
      <w:pPr>
        <w:spacing w:line="360" w:lineRule="auto"/>
        <w:rPr>
          <w:rStyle w:val="67"/>
          <w:sz w:val="24"/>
        </w:rPr>
      </w:pPr>
      <w:bookmarkStart w:id="60" w:name="_Toc17817329"/>
      <w:bookmarkStart w:id="61" w:name="_Toc31317"/>
      <w:bookmarkStart w:id="62" w:name="_Toc16063899"/>
      <w:r>
        <w:rPr>
          <w:rStyle w:val="67"/>
          <w:sz w:val="24"/>
        </w:rPr>
        <w:t>6.1 评标委员会</w:t>
      </w:r>
    </w:p>
    <w:p w14:paraId="442FC66E">
      <w:pPr>
        <w:spacing w:line="360" w:lineRule="auto"/>
        <w:ind w:firstLine="420" w:firstLineChars="200"/>
        <w:rPr>
          <w:rStyle w:val="67"/>
          <w:b w:val="0"/>
          <w:bCs w:val="0"/>
        </w:rPr>
      </w:pPr>
      <w:r>
        <w:rPr>
          <w:rStyle w:val="67"/>
          <w:b w:val="0"/>
          <w:bCs w:val="0"/>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77DC37E2">
      <w:pPr>
        <w:spacing w:line="360" w:lineRule="auto"/>
        <w:ind w:firstLine="420" w:firstLineChars="200"/>
        <w:rPr>
          <w:rStyle w:val="67"/>
          <w:b w:val="0"/>
          <w:bCs w:val="0"/>
        </w:rPr>
      </w:pPr>
      <w:r>
        <w:rPr>
          <w:rStyle w:val="67"/>
          <w:b w:val="0"/>
          <w:bCs w:val="0"/>
        </w:rPr>
        <w:t>6.1.2 评标委员会成员有下列情形之一的，应当回避：</w:t>
      </w:r>
    </w:p>
    <w:p w14:paraId="56571FAD">
      <w:pPr>
        <w:spacing w:line="360" w:lineRule="auto"/>
        <w:ind w:firstLine="718" w:firstLineChars="342"/>
        <w:rPr>
          <w:rStyle w:val="39"/>
        </w:rPr>
      </w:pPr>
      <w:r>
        <w:rPr>
          <w:rStyle w:val="39"/>
        </w:rPr>
        <w:t xml:space="preserve">（1）3年以内与投标人存在劳动关系，或者担任过投标人的董事、监事，或者是投标人的控股股东、实际控制人； </w:t>
      </w:r>
    </w:p>
    <w:p w14:paraId="5463B2C8">
      <w:pPr>
        <w:spacing w:line="360" w:lineRule="auto"/>
        <w:ind w:firstLine="718" w:firstLineChars="342"/>
        <w:rPr>
          <w:rStyle w:val="39"/>
        </w:rPr>
      </w:pPr>
      <w:r>
        <w:rPr>
          <w:rStyle w:val="39"/>
        </w:rPr>
        <w:t xml:space="preserve">（2）3年以内与投标人发生过法律纠纷； </w:t>
      </w:r>
    </w:p>
    <w:p w14:paraId="69BADC7D">
      <w:pPr>
        <w:spacing w:line="360" w:lineRule="auto"/>
        <w:ind w:firstLine="718" w:firstLineChars="342"/>
        <w:rPr>
          <w:rStyle w:val="39"/>
        </w:rPr>
      </w:pPr>
      <w:r>
        <w:rPr>
          <w:rStyle w:val="39"/>
        </w:rPr>
        <w:t xml:space="preserve">（3）与投标人的法定代表人或者负责人有亲属或近亲属关系； </w:t>
      </w:r>
    </w:p>
    <w:p w14:paraId="747897CC">
      <w:pPr>
        <w:spacing w:line="360" w:lineRule="auto"/>
        <w:ind w:firstLine="718" w:firstLineChars="342"/>
        <w:rPr>
          <w:rStyle w:val="39"/>
        </w:rPr>
      </w:pPr>
      <w:r>
        <w:rPr>
          <w:rStyle w:val="39"/>
        </w:rPr>
        <w:t xml:space="preserve">（4）同一招标项目的专家有亲属或近亲属关系； </w:t>
      </w:r>
    </w:p>
    <w:p w14:paraId="5E04FB27">
      <w:pPr>
        <w:spacing w:line="360" w:lineRule="auto"/>
        <w:ind w:firstLine="718" w:firstLineChars="342"/>
        <w:rPr>
          <w:rStyle w:val="39"/>
        </w:rPr>
      </w:pPr>
      <w:r>
        <w:rPr>
          <w:rStyle w:val="39"/>
        </w:rPr>
        <w:t xml:space="preserve">（5）与投标人有其他可能影响评标评审活动公平、公正进行的关系； </w:t>
      </w:r>
    </w:p>
    <w:p w14:paraId="1E09F769">
      <w:pPr>
        <w:spacing w:line="360" w:lineRule="auto"/>
        <w:ind w:firstLine="718" w:firstLineChars="342"/>
        <w:rPr>
          <w:rStyle w:val="39"/>
        </w:rPr>
      </w:pPr>
      <w:r>
        <w:rPr>
          <w:rStyle w:val="39"/>
        </w:rPr>
        <w:t>（6）法律法规规定的其他情形。</w:t>
      </w:r>
    </w:p>
    <w:p w14:paraId="443007DE">
      <w:pPr>
        <w:spacing w:line="360" w:lineRule="auto"/>
        <w:rPr>
          <w:rStyle w:val="67"/>
          <w:sz w:val="24"/>
        </w:rPr>
      </w:pPr>
      <w:r>
        <w:rPr>
          <w:rStyle w:val="67"/>
          <w:sz w:val="24"/>
        </w:rPr>
        <w:t>6.2 评标原则</w:t>
      </w:r>
    </w:p>
    <w:p w14:paraId="426CF076">
      <w:pPr>
        <w:spacing w:line="360" w:lineRule="auto"/>
        <w:ind w:firstLine="420" w:firstLineChars="200"/>
        <w:rPr>
          <w:color w:val="000000"/>
          <w:kern w:val="0"/>
          <w:szCs w:val="21"/>
          <w:lang w:bidi="ar"/>
        </w:rPr>
      </w:pPr>
      <w:r>
        <w:rPr>
          <w:color w:val="000000"/>
          <w:kern w:val="0"/>
          <w:szCs w:val="21"/>
          <w:lang w:bidi="ar"/>
        </w:rPr>
        <w:t>评标活动遵循公平、公正、科学、择优的原则依法进行，任何单位和个人不得非法干预或影响评标过程和结果。</w:t>
      </w:r>
    </w:p>
    <w:p w14:paraId="5F67B9C6">
      <w:pPr>
        <w:spacing w:line="360" w:lineRule="auto"/>
        <w:rPr>
          <w:rStyle w:val="67"/>
          <w:sz w:val="24"/>
        </w:rPr>
      </w:pPr>
      <w:r>
        <w:rPr>
          <w:rStyle w:val="67"/>
          <w:sz w:val="24"/>
        </w:rPr>
        <w:t>6.3评标内容的保密</w:t>
      </w:r>
    </w:p>
    <w:p w14:paraId="71F548C2">
      <w:pPr>
        <w:spacing w:line="360" w:lineRule="auto"/>
        <w:ind w:firstLine="420" w:firstLineChars="200"/>
        <w:rPr>
          <w:color w:val="000000"/>
          <w:kern w:val="0"/>
          <w:szCs w:val="21"/>
          <w:lang w:bidi="ar"/>
        </w:rPr>
      </w:pPr>
      <w:r>
        <w:rPr>
          <w:color w:val="000000"/>
          <w:kern w:val="0"/>
          <w:szCs w:val="21"/>
          <w:lang w:bidi="ar"/>
        </w:rPr>
        <w:t>6.3.1公开开标后，直到宣布授予中标人合同为止，凡属于审查、澄清、评价和比较投标书的所有资料，有关授予合同的信息，都不应向投标人或与评标无关的其他人泄露。</w:t>
      </w:r>
    </w:p>
    <w:p w14:paraId="7831BD9E">
      <w:pPr>
        <w:spacing w:line="360" w:lineRule="auto"/>
        <w:ind w:firstLine="420" w:firstLineChars="200"/>
        <w:rPr>
          <w:color w:val="000000"/>
          <w:kern w:val="0"/>
          <w:szCs w:val="21"/>
          <w:lang w:bidi="ar"/>
        </w:rPr>
      </w:pPr>
      <w:r>
        <w:rPr>
          <w:color w:val="000000"/>
          <w:kern w:val="0"/>
          <w:szCs w:val="21"/>
          <w:lang w:bidi="ar"/>
        </w:rPr>
        <w:t>6.3.2在投标文件的审查、澄清、评价和比较及授予合同过程中，投标人对招标人和评标委员会成员施加影响的任何行为，都将导致取消其投标资格。</w:t>
      </w:r>
    </w:p>
    <w:p w14:paraId="6E499621">
      <w:pPr>
        <w:spacing w:line="360" w:lineRule="auto"/>
        <w:rPr>
          <w:rStyle w:val="67"/>
          <w:sz w:val="24"/>
        </w:rPr>
      </w:pPr>
      <w:r>
        <w:rPr>
          <w:rStyle w:val="67"/>
          <w:sz w:val="24"/>
        </w:rPr>
        <w:t>6.4评标纪律</w:t>
      </w:r>
    </w:p>
    <w:p w14:paraId="2DB22819">
      <w:pPr>
        <w:pStyle w:val="2"/>
        <w:spacing w:after="0" w:line="360" w:lineRule="auto"/>
        <w:ind w:left="0" w:leftChars="0" w:firstLine="420"/>
      </w:pPr>
      <w:r>
        <w:t>6.4.1为了规范评标活动，保证评标的公平、公正，维护招标投标活动当事人的合法权益，依据《中华人民共和国招标投标法》及国家有关法律、法规制定本规定。</w:t>
      </w:r>
    </w:p>
    <w:p w14:paraId="14AABE1C">
      <w:pPr>
        <w:pStyle w:val="2"/>
        <w:spacing w:after="0" w:line="360" w:lineRule="auto"/>
        <w:ind w:left="0" w:leftChars="0" w:firstLine="420"/>
      </w:pPr>
      <w:r>
        <w:t>6.4.2评标活动在严格保密的情况下进行，只有依法组建的评标委员会的成员、监督人员及经批准的招标人或者其委托的招标代理机构的有关工作人员参加。其他任何人员不得随意进入评标地点。</w:t>
      </w:r>
    </w:p>
    <w:p w14:paraId="7E98DA15">
      <w:pPr>
        <w:pStyle w:val="2"/>
        <w:spacing w:after="0" w:line="360" w:lineRule="auto"/>
        <w:ind w:left="0" w:leftChars="0" w:firstLine="420"/>
      </w:pPr>
      <w:r>
        <w:t>6.4.3在评标过程中，只有评标委员会的成员享有评审发言权，其他人员不得随意发表评审意见。</w:t>
      </w:r>
    </w:p>
    <w:p w14:paraId="3A5AD9AE">
      <w:pPr>
        <w:pStyle w:val="2"/>
        <w:spacing w:after="0" w:line="360" w:lineRule="auto"/>
        <w:ind w:left="0" w:leftChars="0" w:firstLine="420"/>
      </w:pPr>
      <w:r>
        <w:t>6.4.4评标委员会成员应当客观、公正地履行职责，遵守职业道德，对所提出的评审意见承担个人责任。</w:t>
      </w:r>
    </w:p>
    <w:p w14:paraId="06CE0239">
      <w:pPr>
        <w:pStyle w:val="2"/>
        <w:spacing w:after="0" w:line="360" w:lineRule="auto"/>
        <w:ind w:left="0" w:leftChars="0" w:firstLine="420"/>
      </w:pPr>
      <w:r>
        <w:t>6.4.5评标委员会应当根据招标文件规定的评标标准和方法，对投标文件进行系统地评审和比较。招标文件中没有规定的标准和方法不得作为评标的依据。</w:t>
      </w:r>
    </w:p>
    <w:p w14:paraId="04C065B1">
      <w:pPr>
        <w:pStyle w:val="2"/>
        <w:spacing w:after="0" w:line="360" w:lineRule="auto"/>
        <w:ind w:left="0" w:leftChars="0" w:firstLine="420"/>
      </w:pPr>
      <w:r>
        <w:t>6.4.6评标委员会成员不得与任何投标人或者与招标结果有利害关系的人进行私下接触，不得收受投标人、中介人、其他利害关系人的财物或者其他好处。</w:t>
      </w:r>
    </w:p>
    <w:p w14:paraId="6409ED19">
      <w:pPr>
        <w:pStyle w:val="2"/>
        <w:spacing w:after="0" w:line="360" w:lineRule="auto"/>
        <w:ind w:left="0" w:leftChars="0" w:firstLine="420"/>
      </w:pPr>
      <w:r>
        <w:t>6.4.7评标期间，评标人员不得单独出入评标地点、与外界通讯、会客等。</w:t>
      </w:r>
    </w:p>
    <w:p w14:paraId="1BF2A0BC">
      <w:pPr>
        <w:pStyle w:val="2"/>
        <w:spacing w:after="0" w:line="360" w:lineRule="auto"/>
        <w:ind w:left="0" w:leftChars="0" w:firstLine="420"/>
      </w:pPr>
      <w:r>
        <w:t>6.4.8评标委员会成员和与评标活动有关的工作人员不得透露对投标文件的评审和比较、中标候选人的推荐情况以及与评标有关的其他情况。</w:t>
      </w:r>
    </w:p>
    <w:p w14:paraId="7BBD2099">
      <w:pPr>
        <w:pStyle w:val="2"/>
        <w:spacing w:after="0" w:line="360" w:lineRule="auto"/>
        <w:ind w:left="0" w:leftChars="0" w:firstLine="420"/>
      </w:pPr>
      <w:r>
        <w:t>6.4.9评标结束后，各评标人员应将全部资料整理上交招标人或者招标代理机构，严禁将评标过程中有关资料向投标人或者其他单位提供。</w:t>
      </w:r>
    </w:p>
    <w:p w14:paraId="2DFF719C">
      <w:pPr>
        <w:pStyle w:val="2"/>
        <w:spacing w:after="0" w:line="360" w:lineRule="auto"/>
        <w:ind w:left="0" w:leftChars="0" w:firstLine="420"/>
      </w:pPr>
      <w:r>
        <w:t>6.4.10评标委员会成员在评标过程中擅离职守，影响评标程序正常进行或者在评标过程中不能客观公正地履行职责的，给予警告；情节严重的，取消担任评标委员会成员的资格，不得再参加依法必须进行招标项目的评标，并处3000元以上5万元以下的罚款；构成犯罪的，依法追究刑事责任。</w:t>
      </w:r>
    </w:p>
    <w:p w14:paraId="3BB63D19">
      <w:pPr>
        <w:pStyle w:val="2"/>
        <w:spacing w:after="0" w:line="360" w:lineRule="auto"/>
        <w:ind w:left="0" w:leftChars="0" w:firstLine="420"/>
      </w:pPr>
      <w:r>
        <w:t>6.4.11城乡建设行政主管部门依法对本工程招标过程实行监督。</w:t>
      </w:r>
    </w:p>
    <w:p w14:paraId="4B7E85E7">
      <w:pPr>
        <w:pStyle w:val="2"/>
        <w:spacing w:after="0" w:line="360" w:lineRule="auto"/>
        <w:ind w:left="0" w:leftChars="0" w:firstLine="420"/>
      </w:pPr>
      <w:r>
        <w:t>6.5评标</w:t>
      </w:r>
    </w:p>
    <w:p w14:paraId="1775755C">
      <w:pPr>
        <w:pStyle w:val="2"/>
        <w:spacing w:after="0" w:line="360" w:lineRule="auto"/>
        <w:ind w:left="0" w:leftChars="0" w:firstLine="420"/>
      </w:pPr>
      <w:r>
        <w:t>6.5.1评标委员会按照第三章“评标办法”规定的方法、评审因素、标准和程序对投标文件进行评审。第三章“评标办法”没有规定的方法、评审因素和标准，不作为评标依据。</w:t>
      </w:r>
    </w:p>
    <w:p w14:paraId="50149133">
      <w:pPr>
        <w:pStyle w:val="2"/>
        <w:spacing w:after="0" w:line="360" w:lineRule="auto"/>
        <w:ind w:left="0" w:leftChars="0" w:firstLine="420"/>
      </w:pPr>
      <w:r>
        <w:t>6.5.2为了有助于投标文件的审查、评价和比较，评标委员会可以要求投标人对投标文件含义不明确的内容作必要的澄清或者说明，有关澄清说明与答复，投标人应在济南公共资源交易中心电子交易系统中回复，但对投标报价和实质性的内容不得更改。</w:t>
      </w:r>
    </w:p>
    <w:p w14:paraId="0D17F35D">
      <w:pPr>
        <w:spacing w:line="360" w:lineRule="auto"/>
        <w:rPr>
          <w:rStyle w:val="67"/>
          <w:sz w:val="24"/>
        </w:rPr>
      </w:pPr>
      <w:r>
        <w:rPr>
          <w:rStyle w:val="67"/>
          <w:sz w:val="24"/>
        </w:rPr>
        <w:t>6.5评标</w:t>
      </w:r>
    </w:p>
    <w:p w14:paraId="6ADFDEF2">
      <w:pPr>
        <w:spacing w:line="360" w:lineRule="auto"/>
        <w:ind w:firstLine="420" w:firstLineChars="200"/>
        <w:rPr>
          <w:rStyle w:val="67"/>
          <w:b w:val="0"/>
          <w:bCs w:val="0"/>
        </w:rPr>
      </w:pPr>
      <w:r>
        <w:rPr>
          <w:rStyle w:val="67"/>
          <w:b w:val="0"/>
          <w:bCs w:val="0"/>
        </w:rPr>
        <w:t>6.5.1评标委员会按照第三章“评标办法”规定的方法、评审因素、标准和程序对投标文件进行评审。第三章“评标办法”没有规定的方法、评审因素和标准，不作为评标依据。</w:t>
      </w:r>
    </w:p>
    <w:p w14:paraId="3311D7F2">
      <w:pPr>
        <w:spacing w:line="360" w:lineRule="auto"/>
        <w:ind w:firstLine="420" w:firstLineChars="200"/>
        <w:rPr>
          <w:szCs w:val="21"/>
        </w:rPr>
      </w:pPr>
      <w:r>
        <w:rPr>
          <w:rStyle w:val="67"/>
          <w:b w:val="0"/>
          <w:bCs w:val="0"/>
          <w:szCs w:val="21"/>
        </w:rPr>
        <w:t>6.5.2</w:t>
      </w:r>
      <w:r>
        <w:rPr>
          <w:color w:val="000000"/>
          <w:kern w:val="0"/>
          <w:szCs w:val="21"/>
          <w:lang w:bidi="ar"/>
        </w:rPr>
        <w:t>为了有助于投标文件的审查、评价和比较，评标委员会可以要求投标人对投标文件含义不明确的内容作必要的澄清或者说明，有关澄清说明与答复，投标人应在重汽e采通系统中回复。</w:t>
      </w:r>
    </w:p>
    <w:p w14:paraId="4CFE44D9">
      <w:pPr>
        <w:pStyle w:val="7"/>
        <w:spacing w:before="0" w:after="0"/>
        <w:jc w:val="center"/>
        <w:rPr>
          <w:sz w:val="30"/>
          <w:szCs w:val="30"/>
        </w:rPr>
      </w:pPr>
      <w:bookmarkStart w:id="63" w:name="_Toc7708"/>
      <w:r>
        <w:rPr>
          <w:sz w:val="30"/>
          <w:szCs w:val="30"/>
        </w:rPr>
        <w:t>7. 合同授予</w:t>
      </w:r>
      <w:bookmarkEnd w:id="60"/>
      <w:bookmarkEnd w:id="61"/>
      <w:bookmarkEnd w:id="62"/>
      <w:bookmarkEnd w:id="63"/>
    </w:p>
    <w:p w14:paraId="1E7D996D">
      <w:pPr>
        <w:spacing w:line="360" w:lineRule="auto"/>
        <w:rPr>
          <w:rStyle w:val="67"/>
          <w:sz w:val="24"/>
        </w:rPr>
      </w:pPr>
      <w:r>
        <w:rPr>
          <w:rStyle w:val="67"/>
          <w:sz w:val="24"/>
        </w:rPr>
        <w:t>7.1 定标方式</w:t>
      </w:r>
    </w:p>
    <w:p w14:paraId="5373B347">
      <w:pPr>
        <w:spacing w:line="360" w:lineRule="auto"/>
        <w:ind w:firstLine="420" w:firstLineChars="200"/>
      </w:pPr>
      <w:r>
        <w:t>除投标人须知前附表规定评标委员会直接确定中标人外，招标人依据评标委员会提供的评标资料择优确定中标人，评标委员会推荐中标候选人的人数见投标人须知前附表。</w:t>
      </w:r>
    </w:p>
    <w:p w14:paraId="18B18BFA">
      <w:pPr>
        <w:spacing w:line="360" w:lineRule="auto"/>
        <w:rPr>
          <w:rStyle w:val="67"/>
          <w:sz w:val="24"/>
        </w:rPr>
      </w:pPr>
      <w:r>
        <w:rPr>
          <w:rStyle w:val="67"/>
          <w:sz w:val="24"/>
        </w:rPr>
        <w:t>7.2 中标通知</w:t>
      </w:r>
    </w:p>
    <w:p w14:paraId="6E53BFD9">
      <w:pPr>
        <w:spacing w:line="360" w:lineRule="auto"/>
        <w:ind w:firstLine="420" w:firstLineChars="200"/>
        <w:rPr>
          <w:rStyle w:val="67"/>
          <w:b w:val="0"/>
          <w:bCs w:val="0"/>
        </w:rPr>
      </w:pPr>
      <w:r>
        <w:rPr>
          <w:rStyle w:val="67"/>
          <w:b w:val="0"/>
          <w:bCs w:val="0"/>
        </w:rPr>
        <w:t>在本章</w:t>
      </w:r>
      <w:r>
        <w:rPr>
          <w:rStyle w:val="69"/>
          <w:b/>
          <w:bCs/>
          <w:sz w:val="21"/>
        </w:rPr>
        <w:t>第3.3款</w:t>
      </w:r>
      <w:r>
        <w:rPr>
          <w:rStyle w:val="67"/>
          <w:b w:val="0"/>
          <w:bCs w:val="0"/>
        </w:rPr>
        <w:t>规定的投标有效期内，招标人通过重汽e采通平台向中标人发出中标通知书。中标通知包括但不限于电话、微信、邮件、书面通知等形式，中标人应在收到中标通知后立即对接进场事宜，不得以未收到纸质中标通知书做为延期的条件拒绝招标人的进场要求。</w:t>
      </w:r>
    </w:p>
    <w:p w14:paraId="0D0BF189">
      <w:pPr>
        <w:spacing w:line="360" w:lineRule="auto"/>
        <w:rPr>
          <w:rStyle w:val="67"/>
          <w:rFonts w:hint="eastAsia"/>
          <w:sz w:val="24"/>
        </w:rPr>
      </w:pPr>
      <w:r>
        <w:rPr>
          <w:rStyle w:val="67"/>
          <w:sz w:val="24"/>
        </w:rPr>
        <w:t>7.3履约担保</w:t>
      </w:r>
    </w:p>
    <w:p w14:paraId="679A14EB">
      <w:pPr>
        <w:spacing w:line="360" w:lineRule="auto"/>
        <w:ind w:firstLine="420" w:firstLineChars="200"/>
        <w:rPr>
          <w:rStyle w:val="67"/>
          <w:rFonts w:hint="eastAsia"/>
          <w:b w:val="0"/>
          <w:bCs w:val="0"/>
        </w:rPr>
      </w:pPr>
      <w:r>
        <w:rPr>
          <w:rStyle w:val="67"/>
          <w:rFonts w:hint="eastAsia"/>
          <w:b w:val="0"/>
          <w:bCs w:val="0"/>
        </w:rPr>
        <w:t>7.</w:t>
      </w:r>
      <w:r>
        <w:rPr>
          <w:rStyle w:val="67"/>
          <w:b w:val="0"/>
          <w:bCs w:val="0"/>
        </w:rPr>
        <w:t>3</w:t>
      </w:r>
      <w:r>
        <w:rPr>
          <w:rStyle w:val="67"/>
          <w:rFonts w:hint="eastAsia"/>
          <w:b w:val="0"/>
          <w:bCs w:val="0"/>
        </w:rPr>
        <w:t>.1 在签订合同前，中标人应按投标人须知前附表规定的金额、担保形式和招标文件第四章“合同条款及格式”规定的履约担保格式向招标人提交履约担保。</w:t>
      </w:r>
    </w:p>
    <w:p w14:paraId="24D43303">
      <w:pPr>
        <w:spacing w:line="360" w:lineRule="auto"/>
        <w:ind w:firstLine="420" w:firstLineChars="200"/>
        <w:rPr>
          <w:rStyle w:val="67"/>
          <w:rFonts w:hint="eastAsia"/>
          <w:b w:val="0"/>
          <w:bCs w:val="0"/>
        </w:rPr>
      </w:pPr>
      <w:r>
        <w:rPr>
          <w:rStyle w:val="67"/>
          <w:rFonts w:hint="eastAsia"/>
          <w:b w:val="0"/>
          <w:bCs w:val="0"/>
        </w:rPr>
        <w:t>联合体中标的，其履约担保由牵头人递交，并应符合投标人须知前附表规定的金额、担保形式和电子招标文件第四章“合同条款及格式”规定的履约担保格式要求。</w:t>
      </w:r>
    </w:p>
    <w:p w14:paraId="7F1EB9E7">
      <w:pPr>
        <w:spacing w:line="360" w:lineRule="auto"/>
        <w:ind w:firstLine="420" w:firstLineChars="200"/>
        <w:rPr>
          <w:rStyle w:val="67"/>
          <w:b w:val="0"/>
          <w:bCs w:val="0"/>
        </w:rPr>
      </w:pPr>
      <w:r>
        <w:rPr>
          <w:rStyle w:val="67"/>
          <w:rFonts w:hint="eastAsia"/>
          <w:b w:val="0"/>
          <w:bCs w:val="0"/>
        </w:rPr>
        <w:t>7.</w:t>
      </w:r>
      <w:r>
        <w:rPr>
          <w:rStyle w:val="67"/>
          <w:b w:val="0"/>
          <w:bCs w:val="0"/>
        </w:rPr>
        <w:t>3</w:t>
      </w:r>
      <w:r>
        <w:rPr>
          <w:rStyle w:val="67"/>
          <w:rFonts w:hint="eastAsia"/>
          <w:b w:val="0"/>
          <w:bCs w:val="0"/>
        </w:rPr>
        <w:t>.2 中标人不能按本章第7.</w:t>
      </w:r>
      <w:r>
        <w:rPr>
          <w:rStyle w:val="67"/>
          <w:b w:val="0"/>
          <w:bCs w:val="0"/>
        </w:rPr>
        <w:t>3</w:t>
      </w:r>
      <w:r>
        <w:rPr>
          <w:rStyle w:val="67"/>
          <w:rFonts w:hint="eastAsia"/>
          <w:b w:val="0"/>
          <w:bCs w:val="0"/>
        </w:rPr>
        <w:t>.1项要求提交履约担保的，视为放弃中标，其投标保证金不予退还，给招标人造成的损失超过投标保证金数额的，中标人还应当对超过部分予以赔偿。</w:t>
      </w:r>
    </w:p>
    <w:p w14:paraId="1DF3D35B">
      <w:pPr>
        <w:spacing w:line="360" w:lineRule="auto"/>
        <w:rPr>
          <w:rStyle w:val="67"/>
          <w:sz w:val="24"/>
        </w:rPr>
      </w:pPr>
      <w:r>
        <w:rPr>
          <w:rStyle w:val="67"/>
          <w:sz w:val="24"/>
        </w:rPr>
        <w:t>7.4 签订合同</w:t>
      </w:r>
    </w:p>
    <w:p w14:paraId="2E0016B6">
      <w:pPr>
        <w:spacing w:line="360" w:lineRule="auto"/>
        <w:ind w:firstLine="420" w:firstLineChars="200"/>
        <w:rPr>
          <w:rStyle w:val="67"/>
          <w:b w:val="0"/>
          <w:bCs w:val="0"/>
        </w:rPr>
      </w:pPr>
      <w:r>
        <w:rPr>
          <w:rStyle w:val="67"/>
          <w:b w:val="0"/>
          <w:bCs w:val="0"/>
        </w:rPr>
        <w:t xml:space="preserve">7.4.1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 </w:t>
      </w:r>
    </w:p>
    <w:p w14:paraId="547416FD">
      <w:pPr>
        <w:spacing w:line="360" w:lineRule="auto"/>
        <w:ind w:firstLine="420" w:firstLineChars="200"/>
        <w:rPr>
          <w:rStyle w:val="67"/>
          <w:b w:val="0"/>
          <w:bCs w:val="0"/>
        </w:rPr>
      </w:pPr>
      <w:r>
        <w:rPr>
          <w:rStyle w:val="67"/>
          <w:b w:val="0"/>
          <w:bCs w:val="0"/>
        </w:rPr>
        <w:t xml:space="preserve">7.4.2发出中标通知书后，招标人无正当理由拒签合同的，招标人向中标人退还投标保证金；给中标人造成损失的，还应当赔偿损失。 </w:t>
      </w:r>
    </w:p>
    <w:p w14:paraId="04A2BDB5">
      <w:pPr>
        <w:pStyle w:val="7"/>
        <w:spacing w:before="0" w:after="0"/>
        <w:jc w:val="center"/>
        <w:rPr>
          <w:rFonts w:ascii="Times New Roman" w:hAnsi="Times New Roman"/>
          <w:sz w:val="30"/>
          <w:szCs w:val="30"/>
        </w:rPr>
      </w:pPr>
      <w:bookmarkStart w:id="64" w:name="_Toc237618302"/>
      <w:bookmarkStart w:id="65" w:name="_Toc19379"/>
      <w:bookmarkStart w:id="66" w:name="_Toc3067"/>
      <w:bookmarkStart w:id="67" w:name="_Toc17817330"/>
      <w:bookmarkStart w:id="68" w:name="_Toc16063900"/>
      <w:r>
        <w:rPr>
          <w:rFonts w:ascii="Times New Roman" w:hAnsi="Times New Roman"/>
          <w:sz w:val="30"/>
          <w:szCs w:val="30"/>
        </w:rPr>
        <w:t>8. 重新招标和不再招标</w:t>
      </w:r>
      <w:bookmarkEnd w:id="64"/>
      <w:bookmarkEnd w:id="65"/>
      <w:bookmarkEnd w:id="66"/>
      <w:bookmarkEnd w:id="67"/>
      <w:bookmarkEnd w:id="68"/>
    </w:p>
    <w:p w14:paraId="72547B67">
      <w:pPr>
        <w:spacing w:line="360" w:lineRule="auto"/>
        <w:rPr>
          <w:rStyle w:val="67"/>
          <w:sz w:val="24"/>
        </w:rPr>
      </w:pPr>
      <w:r>
        <w:rPr>
          <w:rStyle w:val="67"/>
          <w:sz w:val="24"/>
        </w:rPr>
        <w:t>8.1 重新招标</w:t>
      </w:r>
    </w:p>
    <w:p w14:paraId="2E0F1688">
      <w:pPr>
        <w:spacing w:line="360" w:lineRule="auto"/>
        <w:ind w:firstLine="420" w:firstLineChars="200"/>
        <w:rPr>
          <w:rStyle w:val="67"/>
          <w:b w:val="0"/>
          <w:bCs w:val="0"/>
        </w:rPr>
      </w:pPr>
      <w:r>
        <w:rPr>
          <w:rStyle w:val="67"/>
          <w:b w:val="0"/>
          <w:bCs w:val="0"/>
        </w:rPr>
        <w:t>有下列情形之一的，招标人将重新招标：</w:t>
      </w:r>
    </w:p>
    <w:p w14:paraId="13E0197B">
      <w:pPr>
        <w:spacing w:line="360" w:lineRule="auto"/>
        <w:ind w:left="359"/>
        <w:rPr>
          <w:rStyle w:val="67"/>
          <w:rFonts w:eastAsiaTheme="minorEastAsia"/>
          <w:b w:val="0"/>
          <w:bCs w:val="0"/>
        </w:rPr>
      </w:pPr>
      <w:r>
        <w:rPr>
          <w:rStyle w:val="67"/>
          <w:rFonts w:eastAsiaTheme="minorEastAsia"/>
          <w:b w:val="0"/>
          <w:bCs w:val="0"/>
        </w:rPr>
        <w:t>（1）投标截止时间止，投标人少于3个的；</w:t>
      </w:r>
    </w:p>
    <w:p w14:paraId="234C3982">
      <w:pPr>
        <w:spacing w:line="360" w:lineRule="auto"/>
        <w:ind w:left="359"/>
        <w:rPr>
          <w:rStyle w:val="67"/>
          <w:rFonts w:eastAsiaTheme="minorEastAsia"/>
          <w:b w:val="0"/>
          <w:bCs w:val="0"/>
        </w:rPr>
      </w:pPr>
      <w:r>
        <w:rPr>
          <w:rStyle w:val="67"/>
          <w:rFonts w:eastAsiaTheme="minorEastAsia"/>
          <w:b w:val="0"/>
          <w:bCs w:val="0"/>
        </w:rPr>
        <w:t>（2）评标委员会对投标作废标处理后有效投标不足3个，或者因其他原因使得投标明显缺乏竞争的；</w:t>
      </w:r>
    </w:p>
    <w:p w14:paraId="173E2E65">
      <w:pPr>
        <w:spacing w:line="360" w:lineRule="auto"/>
        <w:ind w:left="359"/>
        <w:rPr>
          <w:rStyle w:val="67"/>
          <w:rFonts w:eastAsiaTheme="minorEastAsia"/>
          <w:b w:val="0"/>
          <w:bCs w:val="0"/>
        </w:rPr>
      </w:pPr>
      <w:r>
        <w:rPr>
          <w:rStyle w:val="67"/>
          <w:rFonts w:eastAsiaTheme="minorEastAsia"/>
          <w:b w:val="0"/>
          <w:bCs w:val="0"/>
        </w:rPr>
        <w:t>（3）经评标委员会评审后否决所有投标的。</w:t>
      </w:r>
    </w:p>
    <w:p w14:paraId="4786A0B3">
      <w:pPr>
        <w:spacing w:line="360" w:lineRule="auto"/>
        <w:rPr>
          <w:rStyle w:val="67"/>
          <w:sz w:val="24"/>
        </w:rPr>
      </w:pPr>
      <w:r>
        <w:rPr>
          <w:rStyle w:val="67"/>
          <w:sz w:val="24"/>
        </w:rPr>
        <w:t>8.2 不再招标</w:t>
      </w:r>
    </w:p>
    <w:p w14:paraId="12CFBBDC">
      <w:pPr>
        <w:spacing w:line="360" w:lineRule="auto"/>
        <w:ind w:firstLine="420" w:firstLineChars="200"/>
        <w:rPr>
          <w:rStyle w:val="67"/>
          <w:b w:val="0"/>
          <w:bCs w:val="0"/>
        </w:rPr>
      </w:pPr>
      <w:r>
        <w:rPr>
          <w:rStyle w:val="67"/>
          <w:b w:val="0"/>
          <w:bCs w:val="0"/>
        </w:rPr>
        <w:t>重新招标后投标人仍少于3个或者所有投标被否决的，属于必须审批或核准的工程建设项目，经原审批或核准部门批准后不再进行招标。</w:t>
      </w:r>
    </w:p>
    <w:p w14:paraId="4666AFAD">
      <w:pPr>
        <w:pStyle w:val="7"/>
        <w:spacing w:before="0" w:after="0"/>
        <w:jc w:val="center"/>
        <w:rPr>
          <w:rFonts w:ascii="Times New Roman" w:hAnsi="Times New Roman"/>
          <w:sz w:val="30"/>
          <w:szCs w:val="30"/>
        </w:rPr>
      </w:pPr>
      <w:bookmarkStart w:id="69" w:name="_Toc24713"/>
      <w:bookmarkStart w:id="70" w:name="_Toc237618303"/>
      <w:bookmarkStart w:id="71" w:name="_Toc17817331"/>
      <w:bookmarkStart w:id="72" w:name="_Toc21395"/>
      <w:bookmarkStart w:id="73" w:name="_Toc16063901"/>
      <w:r>
        <w:rPr>
          <w:rFonts w:ascii="Times New Roman" w:hAnsi="Times New Roman"/>
          <w:sz w:val="30"/>
          <w:szCs w:val="30"/>
        </w:rPr>
        <w:t>9. 纪律和监督</w:t>
      </w:r>
      <w:bookmarkEnd w:id="69"/>
      <w:bookmarkEnd w:id="70"/>
      <w:bookmarkEnd w:id="71"/>
      <w:bookmarkEnd w:id="72"/>
      <w:bookmarkEnd w:id="73"/>
    </w:p>
    <w:p w14:paraId="6C6E67FF">
      <w:pPr>
        <w:spacing w:line="360" w:lineRule="auto"/>
        <w:rPr>
          <w:rStyle w:val="67"/>
          <w:sz w:val="24"/>
        </w:rPr>
      </w:pPr>
      <w:r>
        <w:rPr>
          <w:rStyle w:val="67"/>
          <w:sz w:val="24"/>
        </w:rPr>
        <w:t>9.1 对招标人的纪律要求</w:t>
      </w:r>
    </w:p>
    <w:p w14:paraId="62988DE8">
      <w:pPr>
        <w:spacing w:line="360" w:lineRule="auto"/>
        <w:ind w:firstLine="420" w:firstLineChars="200"/>
        <w:rPr>
          <w:rStyle w:val="67"/>
          <w:b w:val="0"/>
          <w:bCs w:val="0"/>
        </w:rPr>
      </w:pPr>
      <w:r>
        <w:rPr>
          <w:rStyle w:val="67"/>
          <w:b w:val="0"/>
          <w:bCs w:val="0"/>
        </w:rPr>
        <w:t>招标人不得泄漏招标投标活动中应当保密的情况和资料，不得与投标人串通损害国家利益、社会公共利益或者他人合法权益。</w:t>
      </w:r>
    </w:p>
    <w:p w14:paraId="1188E942">
      <w:pPr>
        <w:spacing w:line="360" w:lineRule="auto"/>
        <w:rPr>
          <w:rStyle w:val="67"/>
          <w:sz w:val="24"/>
        </w:rPr>
      </w:pPr>
      <w:r>
        <w:rPr>
          <w:rStyle w:val="67"/>
          <w:sz w:val="24"/>
        </w:rPr>
        <w:t>9.2 对投标人的纪律要求</w:t>
      </w:r>
    </w:p>
    <w:p w14:paraId="4C6932A3">
      <w:pPr>
        <w:spacing w:line="360" w:lineRule="auto"/>
        <w:ind w:firstLine="420" w:firstLineChars="200"/>
        <w:rPr>
          <w:rStyle w:val="67"/>
          <w:b w:val="0"/>
          <w:bCs w:val="0"/>
        </w:rPr>
      </w:pPr>
      <w:r>
        <w:rPr>
          <w:rStyle w:val="67"/>
          <w:b w:val="0"/>
          <w:bCs w:val="0"/>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7AC870C0">
      <w:pPr>
        <w:spacing w:line="360" w:lineRule="auto"/>
        <w:rPr>
          <w:rStyle w:val="67"/>
          <w:sz w:val="24"/>
        </w:rPr>
      </w:pPr>
      <w:r>
        <w:rPr>
          <w:rStyle w:val="67"/>
          <w:sz w:val="24"/>
        </w:rPr>
        <w:t>9.3 对评标委员会成员的纪律要求</w:t>
      </w:r>
    </w:p>
    <w:p w14:paraId="769A7846">
      <w:pPr>
        <w:spacing w:line="360" w:lineRule="auto"/>
        <w:ind w:firstLine="420" w:firstLineChars="200"/>
        <w:rPr>
          <w:rStyle w:val="67"/>
          <w:b w:val="0"/>
          <w:bCs w:val="0"/>
        </w:rPr>
      </w:pPr>
      <w:r>
        <w:rPr>
          <w:rStyle w:val="67"/>
          <w:b w:val="0"/>
          <w:bCs w:val="0"/>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1F04FF75">
      <w:pPr>
        <w:spacing w:line="360" w:lineRule="auto"/>
        <w:rPr>
          <w:rStyle w:val="67"/>
          <w:sz w:val="24"/>
        </w:rPr>
      </w:pPr>
      <w:r>
        <w:rPr>
          <w:rStyle w:val="67"/>
          <w:sz w:val="24"/>
        </w:rPr>
        <w:t>9.4 对与评标活动有关的工作人员的纪律要求</w:t>
      </w:r>
    </w:p>
    <w:p w14:paraId="1DC8DFE2">
      <w:pPr>
        <w:spacing w:line="360" w:lineRule="auto"/>
        <w:ind w:firstLine="420" w:firstLineChars="200"/>
        <w:rPr>
          <w:rStyle w:val="67"/>
          <w:b w:val="0"/>
          <w:bCs w:val="0"/>
        </w:rPr>
      </w:pPr>
      <w:r>
        <w:rPr>
          <w:rStyle w:val="67"/>
          <w:b w:val="0"/>
          <w:bCs w:val="0"/>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3E41934E">
      <w:pPr>
        <w:spacing w:line="360" w:lineRule="auto"/>
        <w:rPr>
          <w:rStyle w:val="67"/>
          <w:sz w:val="24"/>
        </w:rPr>
      </w:pPr>
      <w:r>
        <w:rPr>
          <w:rStyle w:val="67"/>
          <w:sz w:val="24"/>
        </w:rPr>
        <w:t>9.5 投诉</w:t>
      </w:r>
    </w:p>
    <w:p w14:paraId="74BCE5A2">
      <w:pPr>
        <w:spacing w:line="360" w:lineRule="auto"/>
        <w:ind w:firstLine="420" w:firstLineChars="200"/>
        <w:rPr>
          <w:rStyle w:val="67"/>
          <w:b w:val="0"/>
          <w:bCs w:val="0"/>
        </w:rPr>
      </w:pPr>
      <w:r>
        <w:rPr>
          <w:rStyle w:val="67"/>
          <w:b w:val="0"/>
          <w:bCs w:val="0"/>
        </w:rPr>
        <w:t>投标人和其他利害关系人认为本次招标活动违反法律、法规和规章规定的，有权向有关行政监督部门投诉。</w:t>
      </w:r>
    </w:p>
    <w:p w14:paraId="0DC270F0">
      <w:pPr>
        <w:spacing w:line="360" w:lineRule="auto"/>
        <w:ind w:firstLine="420" w:firstLineChars="200"/>
        <w:rPr>
          <w:rStyle w:val="67"/>
          <w:b w:val="0"/>
          <w:bCs w:val="0"/>
        </w:rPr>
      </w:pPr>
      <w:r>
        <w:rPr>
          <w:rStyle w:val="67"/>
          <w:b w:val="0"/>
          <w:bCs w:val="0"/>
        </w:rPr>
        <w:t>9.5.1潜在投标人或其他利害关系人对招标文件有异议的，应当在投标截止时间10日前向招标人提出。</w:t>
      </w:r>
    </w:p>
    <w:p w14:paraId="77736F0A">
      <w:pPr>
        <w:spacing w:line="360" w:lineRule="auto"/>
        <w:ind w:firstLine="420" w:firstLineChars="200"/>
        <w:rPr>
          <w:rStyle w:val="67"/>
          <w:b w:val="0"/>
          <w:bCs w:val="0"/>
        </w:rPr>
      </w:pPr>
      <w:r>
        <w:rPr>
          <w:rStyle w:val="67"/>
          <w:b w:val="0"/>
          <w:bCs w:val="0"/>
        </w:rPr>
        <w:t>9.5.2投标人对开标有异议，应在开标现场向招标人提出。</w:t>
      </w:r>
    </w:p>
    <w:p w14:paraId="2277DA41">
      <w:pPr>
        <w:spacing w:line="360" w:lineRule="auto"/>
        <w:ind w:firstLine="420" w:firstLineChars="200"/>
        <w:rPr>
          <w:rStyle w:val="67"/>
          <w:b w:val="0"/>
          <w:bCs w:val="0"/>
        </w:rPr>
      </w:pPr>
      <w:r>
        <w:rPr>
          <w:rStyle w:val="67"/>
          <w:b w:val="0"/>
          <w:bCs w:val="0"/>
        </w:rPr>
        <w:t>9.5.3投标人或者其他利害关系人对依法必须进行招标的项目的评标结果有异议的，应当在中标候选人公示期间向招标人提出。</w:t>
      </w:r>
    </w:p>
    <w:p w14:paraId="6AFCC0C2">
      <w:pPr>
        <w:spacing w:line="360" w:lineRule="auto"/>
        <w:ind w:firstLine="420" w:firstLineChars="200"/>
        <w:rPr>
          <w:rStyle w:val="67"/>
          <w:b w:val="0"/>
          <w:bCs w:val="0"/>
        </w:rPr>
      </w:pPr>
      <w:r>
        <w:rPr>
          <w:rStyle w:val="67"/>
          <w:b w:val="0"/>
          <w:bCs w:val="0"/>
        </w:rPr>
        <w:t>9.5.4投标人或者其他利害关系人认为招标投标活动不符合法律、行政法规规定的，可以自知道或者应当知道之日起10日内向有关行政监督部门投诉。投诉应当有明确的请求和必要的证明材料。就9.5.1、9.5.2、9.5.3规定事项投诉的，应当先向招标人提出异议。</w:t>
      </w:r>
    </w:p>
    <w:p w14:paraId="53B4E727">
      <w:pPr>
        <w:spacing w:line="360" w:lineRule="auto"/>
        <w:ind w:firstLine="420" w:firstLineChars="200"/>
        <w:rPr>
          <w:rStyle w:val="67"/>
          <w:rFonts w:eastAsiaTheme="minorEastAsia"/>
          <w:b w:val="0"/>
          <w:bCs w:val="0"/>
        </w:rPr>
      </w:pPr>
      <w:r>
        <w:rPr>
          <w:rStyle w:val="67"/>
          <w:rFonts w:eastAsiaTheme="minorEastAsia"/>
          <w:b w:val="0"/>
          <w:bCs w:val="0"/>
        </w:rPr>
        <w:t>9.5.5 恶意投诉者经查实，将依法处理。</w:t>
      </w:r>
    </w:p>
    <w:p w14:paraId="7D7BC7D0">
      <w:pPr>
        <w:pStyle w:val="7"/>
        <w:spacing w:before="0" w:after="0" w:line="360" w:lineRule="auto"/>
        <w:jc w:val="center"/>
        <w:rPr>
          <w:rFonts w:ascii="Times New Roman" w:hAnsi="Times New Roman"/>
          <w:sz w:val="30"/>
          <w:szCs w:val="30"/>
        </w:rPr>
      </w:pPr>
      <w:bookmarkStart w:id="74" w:name="_Toc237618304"/>
      <w:bookmarkStart w:id="75" w:name="_Toc4368"/>
      <w:bookmarkStart w:id="76" w:name="_Toc44666935"/>
      <w:bookmarkStart w:id="77" w:name="_Toc17817332"/>
      <w:bookmarkStart w:id="78" w:name="_Toc16063902"/>
      <w:bookmarkStart w:id="79" w:name="_Toc11499"/>
      <w:r>
        <w:rPr>
          <w:rFonts w:ascii="Times New Roman" w:hAnsi="Times New Roman"/>
          <w:sz w:val="30"/>
          <w:szCs w:val="30"/>
        </w:rPr>
        <w:t>10.中标人瑕疵滞后发现的处理原则</w:t>
      </w:r>
      <w:bookmarkEnd w:id="74"/>
      <w:bookmarkEnd w:id="75"/>
      <w:bookmarkEnd w:id="76"/>
    </w:p>
    <w:p w14:paraId="10AD61CA">
      <w:pPr>
        <w:spacing w:line="360" w:lineRule="auto"/>
        <w:ind w:firstLine="420" w:firstLineChars="200"/>
        <w:rPr>
          <w:rStyle w:val="67"/>
          <w:b w:val="0"/>
          <w:bCs w:val="0"/>
        </w:rPr>
      </w:pPr>
      <w:r>
        <w:rPr>
          <w:rStyle w:val="67"/>
          <w:b w:val="0"/>
          <w:bCs w:val="0"/>
        </w:rPr>
        <w:t>无论基于何种原因，各项本应作为拒绝处理的情形即便未被及时发现而使该中标人通过了资格审核、初评、现场复审、终评或其他所有相关程序，包括已签订合同的情形，招标人有权拒绝或取消中标人资格，一旦中标人被拒绝或该中标人此前的评议结果被取消，相关的一切损失均由该中标人承担。</w:t>
      </w:r>
    </w:p>
    <w:p w14:paraId="668D3329">
      <w:pPr>
        <w:pStyle w:val="7"/>
        <w:spacing w:before="0" w:after="0" w:line="360" w:lineRule="auto"/>
        <w:jc w:val="center"/>
        <w:rPr>
          <w:rFonts w:ascii="Times New Roman" w:hAnsi="Times New Roman"/>
          <w:sz w:val="30"/>
          <w:szCs w:val="30"/>
        </w:rPr>
      </w:pPr>
      <w:bookmarkStart w:id="80" w:name="_Toc237618305"/>
      <w:bookmarkStart w:id="81" w:name="_Toc6873"/>
      <w:r>
        <w:rPr>
          <w:rFonts w:ascii="Times New Roman" w:hAnsi="Times New Roman"/>
          <w:sz w:val="30"/>
          <w:szCs w:val="30"/>
        </w:rPr>
        <w:t>11. 需要补充的其他内容</w:t>
      </w:r>
      <w:bookmarkEnd w:id="77"/>
      <w:bookmarkEnd w:id="78"/>
      <w:bookmarkEnd w:id="79"/>
      <w:bookmarkEnd w:id="80"/>
      <w:bookmarkEnd w:id="81"/>
    </w:p>
    <w:p w14:paraId="1134672D">
      <w:pPr>
        <w:pStyle w:val="45"/>
        <w:spacing w:before="0" w:after="0"/>
        <w:ind w:firstLine="420" w:firstLineChars="200"/>
        <w:jc w:val="both"/>
        <w:rPr>
          <w:rStyle w:val="39"/>
          <w:rFonts w:ascii="宋体" w:hAnsi="宋体"/>
          <w:i w:val="0"/>
          <w:iCs w:val="0"/>
        </w:rPr>
      </w:pPr>
      <w:r>
        <w:rPr>
          <w:rStyle w:val="67"/>
          <w:rFonts w:ascii="Times New Roman" w:hAnsi="Times New Roman" w:eastAsia="宋体" w:cs="Times New Roman"/>
          <w:b w:val="0"/>
          <w:bCs w:val="0"/>
          <w:i w:val="0"/>
          <w:iCs w:val="0"/>
          <w:lang w:val="en-US" w:eastAsia="zh-CN" w:bidi="ar-SA"/>
        </w:rPr>
        <w:t>需要补充的其他内容：见投标人须知前附表。</w:t>
      </w:r>
      <w:r>
        <w:rPr>
          <w:rStyle w:val="39"/>
          <w:rFonts w:ascii="宋体" w:hAnsi="宋体"/>
          <w:i w:val="0"/>
          <w:iCs w:val="0"/>
        </w:rPr>
        <w:br w:type="page"/>
      </w:r>
    </w:p>
    <w:p w14:paraId="1C69BF63">
      <w:pPr>
        <w:pStyle w:val="6"/>
        <w:jc w:val="center"/>
        <w:rPr>
          <w:i w:val="0"/>
          <w:iCs w:val="0"/>
          <w:sz w:val="32"/>
          <w:szCs w:val="32"/>
        </w:rPr>
      </w:pPr>
      <w:bookmarkStart w:id="82" w:name="_Toc17817333"/>
      <w:bookmarkStart w:id="83" w:name="_Toc31391"/>
      <w:bookmarkStart w:id="84" w:name="_Toc31123"/>
      <w:bookmarkStart w:id="85" w:name="_Toc21903"/>
      <w:r>
        <w:rPr>
          <w:i w:val="0"/>
          <w:iCs w:val="0"/>
          <w:sz w:val="32"/>
          <w:szCs w:val="32"/>
        </w:rPr>
        <w:t>第三章 评标办法</w:t>
      </w:r>
      <w:bookmarkEnd w:id="82"/>
      <w:bookmarkEnd w:id="83"/>
      <w:bookmarkEnd w:id="84"/>
      <w:bookmarkEnd w:id="85"/>
    </w:p>
    <w:p w14:paraId="11B25CA3">
      <w:pPr>
        <w:pStyle w:val="7"/>
        <w:spacing w:before="0" w:after="0"/>
        <w:jc w:val="center"/>
        <w:rPr>
          <w:sz w:val="30"/>
          <w:szCs w:val="30"/>
        </w:rPr>
      </w:pPr>
      <w:bookmarkStart w:id="86" w:name="_Toc27348"/>
      <w:bookmarkStart w:id="87" w:name="_Toc17817334"/>
      <w:bookmarkStart w:id="88" w:name="_Toc13684"/>
      <w:bookmarkStart w:id="89" w:name="_Toc16017"/>
      <w:bookmarkStart w:id="90" w:name="_Toc11653"/>
      <w:bookmarkStart w:id="91" w:name="_Toc4878"/>
      <w:bookmarkStart w:id="92" w:name="_Toc26585"/>
      <w:bookmarkStart w:id="93" w:name="_Toc16063903"/>
      <w:r>
        <w:rPr>
          <w:sz w:val="30"/>
          <w:szCs w:val="30"/>
        </w:rPr>
        <w:t>一、评标办法前附表</w:t>
      </w:r>
      <w:bookmarkEnd w:id="86"/>
      <w:bookmarkEnd w:id="87"/>
      <w:bookmarkEnd w:id="88"/>
      <w:bookmarkEnd w:id="89"/>
      <w:bookmarkEnd w:id="90"/>
      <w:bookmarkEnd w:id="91"/>
      <w:bookmarkEnd w:id="92"/>
      <w:bookmarkEnd w:id="93"/>
    </w:p>
    <w:tbl>
      <w:tblPr>
        <w:tblStyle w:val="25"/>
        <w:tblW w:w="988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6"/>
        <w:gridCol w:w="1315"/>
        <w:gridCol w:w="2518"/>
        <w:gridCol w:w="5240"/>
      </w:tblGrid>
      <w:tr w14:paraId="73FF5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2131" w:type="dxa"/>
            <w:gridSpan w:val="2"/>
            <w:tcBorders>
              <w:top w:val="single" w:color="000000" w:sz="4" w:space="0"/>
              <w:left w:val="single" w:color="000000" w:sz="4" w:space="0"/>
              <w:bottom w:val="single" w:color="000000" w:sz="4" w:space="0"/>
              <w:right w:val="single" w:color="000000" w:sz="4" w:space="0"/>
            </w:tcBorders>
            <w:vAlign w:val="center"/>
          </w:tcPr>
          <w:p w14:paraId="7D67338F">
            <w:pPr>
              <w:jc w:val="center"/>
              <w:rPr>
                <w:rStyle w:val="39"/>
                <w:rFonts w:ascii="宋体" w:hAnsi="宋体"/>
                <w:b/>
                <w:szCs w:val="21"/>
              </w:rPr>
            </w:pPr>
            <w:r>
              <w:rPr>
                <w:rStyle w:val="39"/>
                <w:rFonts w:ascii="宋体" w:hAnsi="宋体"/>
                <w:b/>
                <w:szCs w:val="21"/>
              </w:rPr>
              <w:t>条款号</w:t>
            </w:r>
          </w:p>
        </w:tc>
        <w:tc>
          <w:tcPr>
            <w:tcW w:w="2518" w:type="dxa"/>
            <w:tcBorders>
              <w:top w:val="single" w:color="000000" w:sz="4" w:space="0"/>
              <w:left w:val="single" w:color="000000" w:sz="4" w:space="0"/>
              <w:bottom w:val="single" w:color="000000" w:sz="4" w:space="0"/>
              <w:right w:val="single" w:color="000000" w:sz="4" w:space="0"/>
            </w:tcBorders>
            <w:vAlign w:val="center"/>
          </w:tcPr>
          <w:p w14:paraId="36877E27">
            <w:pPr>
              <w:jc w:val="center"/>
              <w:rPr>
                <w:rStyle w:val="39"/>
                <w:rFonts w:ascii="宋体" w:hAnsi="宋体"/>
                <w:b/>
                <w:szCs w:val="21"/>
              </w:rPr>
            </w:pPr>
            <w:r>
              <w:rPr>
                <w:rStyle w:val="39"/>
                <w:rFonts w:ascii="宋体" w:hAnsi="宋体"/>
                <w:b/>
                <w:szCs w:val="21"/>
              </w:rPr>
              <w:t>评审因素</w:t>
            </w:r>
          </w:p>
        </w:tc>
        <w:tc>
          <w:tcPr>
            <w:tcW w:w="5240" w:type="dxa"/>
            <w:tcBorders>
              <w:top w:val="single" w:color="000000" w:sz="4" w:space="0"/>
              <w:left w:val="single" w:color="000000" w:sz="4" w:space="0"/>
              <w:bottom w:val="single" w:color="000000" w:sz="4" w:space="0"/>
              <w:right w:val="single" w:color="000000" w:sz="4" w:space="0"/>
            </w:tcBorders>
            <w:vAlign w:val="center"/>
          </w:tcPr>
          <w:p w14:paraId="3628791B">
            <w:pPr>
              <w:jc w:val="center"/>
              <w:rPr>
                <w:rStyle w:val="39"/>
                <w:rFonts w:ascii="宋体" w:hAnsi="宋体"/>
                <w:b/>
                <w:szCs w:val="21"/>
              </w:rPr>
            </w:pPr>
            <w:r>
              <w:rPr>
                <w:rStyle w:val="39"/>
                <w:rFonts w:ascii="宋体" w:hAnsi="宋体"/>
                <w:b/>
                <w:szCs w:val="21"/>
              </w:rPr>
              <w:t>评审标准</w:t>
            </w:r>
          </w:p>
        </w:tc>
      </w:tr>
      <w:tr w14:paraId="3C7D8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6" w:hRule="atLeast"/>
        </w:trPr>
        <w:tc>
          <w:tcPr>
            <w:tcW w:w="816" w:type="dxa"/>
            <w:vMerge w:val="restart"/>
            <w:tcBorders>
              <w:top w:val="single" w:color="000000" w:sz="4" w:space="0"/>
              <w:left w:val="single" w:color="000000" w:sz="4" w:space="0"/>
              <w:bottom w:val="single" w:color="000000" w:sz="4" w:space="0"/>
              <w:right w:val="single" w:color="000000" w:sz="4" w:space="0"/>
            </w:tcBorders>
            <w:vAlign w:val="center"/>
          </w:tcPr>
          <w:p w14:paraId="2506AAF0">
            <w:pPr>
              <w:jc w:val="center"/>
              <w:rPr>
                <w:rStyle w:val="39"/>
                <w:rFonts w:ascii="宋体" w:hAnsi="宋体"/>
                <w:szCs w:val="21"/>
              </w:rPr>
            </w:pPr>
            <w:r>
              <w:rPr>
                <w:rStyle w:val="39"/>
                <w:rFonts w:ascii="宋体" w:hAnsi="宋体"/>
                <w:szCs w:val="21"/>
              </w:rPr>
              <w:t>2.1.1</w:t>
            </w:r>
          </w:p>
        </w:tc>
        <w:tc>
          <w:tcPr>
            <w:tcW w:w="1315" w:type="dxa"/>
            <w:vMerge w:val="restart"/>
            <w:tcBorders>
              <w:top w:val="single" w:color="000000" w:sz="4" w:space="0"/>
              <w:left w:val="single" w:color="000000" w:sz="4" w:space="0"/>
              <w:bottom w:val="single" w:color="000000" w:sz="4" w:space="0"/>
              <w:right w:val="single" w:color="000000" w:sz="4" w:space="0"/>
            </w:tcBorders>
            <w:vAlign w:val="center"/>
          </w:tcPr>
          <w:p w14:paraId="5D3A5F2E">
            <w:pPr>
              <w:jc w:val="center"/>
              <w:rPr>
                <w:rStyle w:val="39"/>
                <w:rFonts w:ascii="宋体" w:hAnsi="宋体"/>
                <w:szCs w:val="21"/>
              </w:rPr>
            </w:pPr>
            <w:r>
              <w:rPr>
                <w:rStyle w:val="39"/>
                <w:rFonts w:ascii="宋体" w:hAnsi="宋体"/>
                <w:szCs w:val="21"/>
              </w:rPr>
              <w:t>形式评审</w:t>
            </w:r>
          </w:p>
          <w:p w14:paraId="63CE0CD3">
            <w:pPr>
              <w:jc w:val="center"/>
              <w:rPr>
                <w:rStyle w:val="39"/>
                <w:rFonts w:ascii="宋体" w:hAnsi="宋体"/>
                <w:szCs w:val="21"/>
              </w:rPr>
            </w:pPr>
            <w:r>
              <w:rPr>
                <w:rStyle w:val="39"/>
                <w:rFonts w:ascii="宋体" w:hAnsi="宋体"/>
                <w:szCs w:val="21"/>
              </w:rPr>
              <w:t>标准</w:t>
            </w:r>
          </w:p>
        </w:tc>
        <w:tc>
          <w:tcPr>
            <w:tcW w:w="2518" w:type="dxa"/>
            <w:tcBorders>
              <w:top w:val="single" w:color="000000" w:sz="4" w:space="0"/>
              <w:left w:val="single" w:color="000000" w:sz="4" w:space="0"/>
              <w:bottom w:val="single" w:color="000000" w:sz="4" w:space="0"/>
              <w:right w:val="single" w:color="000000" w:sz="4" w:space="0"/>
            </w:tcBorders>
            <w:vAlign w:val="center"/>
          </w:tcPr>
          <w:p w14:paraId="6397CD35">
            <w:pPr>
              <w:rPr>
                <w:rStyle w:val="39"/>
                <w:rFonts w:ascii="宋体" w:hAnsi="宋体"/>
                <w:szCs w:val="21"/>
              </w:rPr>
            </w:pPr>
            <w:r>
              <w:rPr>
                <w:rStyle w:val="39"/>
                <w:rFonts w:ascii="宋体" w:hAnsi="宋体"/>
                <w:szCs w:val="21"/>
              </w:rPr>
              <w:t>投标人名称</w:t>
            </w:r>
          </w:p>
        </w:tc>
        <w:tc>
          <w:tcPr>
            <w:tcW w:w="5240" w:type="dxa"/>
            <w:tcBorders>
              <w:top w:val="single" w:color="000000" w:sz="4" w:space="0"/>
              <w:left w:val="single" w:color="000000" w:sz="4" w:space="0"/>
              <w:bottom w:val="single" w:color="000000" w:sz="4" w:space="0"/>
              <w:right w:val="single" w:color="000000" w:sz="4" w:space="0"/>
            </w:tcBorders>
            <w:vAlign w:val="center"/>
          </w:tcPr>
          <w:p w14:paraId="5FA1AC7E">
            <w:pPr>
              <w:rPr>
                <w:rStyle w:val="39"/>
                <w:rFonts w:ascii="宋体" w:hAnsi="宋体"/>
                <w:szCs w:val="21"/>
              </w:rPr>
            </w:pPr>
            <w:r>
              <w:rPr>
                <w:rStyle w:val="39"/>
                <w:rFonts w:ascii="宋体" w:hAnsi="宋体"/>
                <w:szCs w:val="21"/>
              </w:rPr>
              <w:t>与营业执照、资质证书</w:t>
            </w:r>
            <w:r>
              <w:rPr>
                <w:rStyle w:val="39"/>
                <w:rFonts w:hint="eastAsia" w:ascii="宋体" w:hAnsi="宋体"/>
                <w:szCs w:val="21"/>
              </w:rPr>
              <w:t>、安全生产许可证</w:t>
            </w:r>
            <w:r>
              <w:rPr>
                <w:rStyle w:val="39"/>
                <w:rFonts w:ascii="宋体" w:hAnsi="宋体"/>
                <w:szCs w:val="21"/>
              </w:rPr>
              <w:t>一致</w:t>
            </w:r>
          </w:p>
        </w:tc>
      </w:tr>
      <w:tr w14:paraId="452DB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Pr>
        <w:tc>
          <w:tcPr>
            <w:tcW w:w="816" w:type="dxa"/>
            <w:vMerge w:val="continue"/>
            <w:tcBorders>
              <w:top w:val="single" w:color="000000" w:sz="4" w:space="0"/>
              <w:left w:val="single" w:color="000000" w:sz="4" w:space="0"/>
              <w:bottom w:val="single" w:color="000000" w:sz="4" w:space="0"/>
              <w:right w:val="single" w:color="000000" w:sz="4" w:space="0"/>
            </w:tcBorders>
            <w:vAlign w:val="center"/>
          </w:tcPr>
          <w:p w14:paraId="29B13E33">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vAlign w:val="center"/>
          </w:tcPr>
          <w:p w14:paraId="73C1BFCC">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407B5C6C">
            <w:pPr>
              <w:rPr>
                <w:rStyle w:val="39"/>
                <w:rFonts w:ascii="宋体" w:hAnsi="宋体"/>
                <w:szCs w:val="21"/>
              </w:rPr>
            </w:pPr>
            <w:r>
              <w:rPr>
                <w:rStyle w:val="39"/>
                <w:rFonts w:ascii="宋体" w:hAnsi="宋体"/>
                <w:szCs w:val="21"/>
              </w:rPr>
              <w:t>投标函签字盖章</w:t>
            </w:r>
          </w:p>
        </w:tc>
        <w:tc>
          <w:tcPr>
            <w:tcW w:w="5240" w:type="dxa"/>
            <w:tcBorders>
              <w:top w:val="single" w:color="000000" w:sz="4" w:space="0"/>
              <w:left w:val="single" w:color="000000" w:sz="4" w:space="0"/>
              <w:bottom w:val="single" w:color="000000" w:sz="4" w:space="0"/>
              <w:right w:val="single" w:color="000000" w:sz="4" w:space="0"/>
            </w:tcBorders>
            <w:vAlign w:val="center"/>
          </w:tcPr>
          <w:p w14:paraId="3B4EB41C">
            <w:pPr>
              <w:rPr>
                <w:rStyle w:val="39"/>
                <w:rFonts w:ascii="宋体" w:hAnsi="宋体"/>
                <w:szCs w:val="21"/>
              </w:rPr>
            </w:pPr>
            <w:r>
              <w:rPr>
                <w:rStyle w:val="39"/>
                <w:rFonts w:ascii="宋体" w:hAnsi="宋体"/>
                <w:szCs w:val="21"/>
              </w:rPr>
              <w:t>有法定代表人或其委托代理人签字或加盖单位公章</w:t>
            </w:r>
          </w:p>
        </w:tc>
      </w:tr>
      <w:tr w14:paraId="1EA46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89" w:hRule="exact"/>
        </w:trPr>
        <w:tc>
          <w:tcPr>
            <w:tcW w:w="816" w:type="dxa"/>
            <w:vMerge w:val="continue"/>
            <w:tcBorders>
              <w:top w:val="single" w:color="000000" w:sz="4" w:space="0"/>
              <w:left w:val="single" w:color="000000" w:sz="4" w:space="0"/>
              <w:bottom w:val="single" w:color="000000" w:sz="4" w:space="0"/>
              <w:right w:val="single" w:color="000000" w:sz="4" w:space="0"/>
            </w:tcBorders>
            <w:vAlign w:val="center"/>
          </w:tcPr>
          <w:p w14:paraId="6F7A9327">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vAlign w:val="center"/>
          </w:tcPr>
          <w:p w14:paraId="15CC3542">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7FDC79F9">
            <w:pPr>
              <w:rPr>
                <w:rStyle w:val="39"/>
                <w:rFonts w:ascii="宋体" w:hAnsi="宋体"/>
                <w:szCs w:val="21"/>
              </w:rPr>
            </w:pPr>
            <w:r>
              <w:rPr>
                <w:rStyle w:val="39"/>
                <w:rFonts w:ascii="宋体" w:hAnsi="宋体"/>
                <w:szCs w:val="21"/>
              </w:rPr>
              <w:t>投标文件格式</w:t>
            </w:r>
          </w:p>
        </w:tc>
        <w:tc>
          <w:tcPr>
            <w:tcW w:w="5240" w:type="dxa"/>
            <w:tcBorders>
              <w:top w:val="single" w:color="000000" w:sz="4" w:space="0"/>
              <w:left w:val="single" w:color="000000" w:sz="4" w:space="0"/>
              <w:bottom w:val="single" w:color="000000" w:sz="4" w:space="0"/>
              <w:right w:val="single" w:color="000000" w:sz="4" w:space="0"/>
            </w:tcBorders>
            <w:vAlign w:val="center"/>
          </w:tcPr>
          <w:p w14:paraId="6B458992">
            <w:pPr>
              <w:rPr>
                <w:rStyle w:val="39"/>
                <w:rFonts w:ascii="宋体" w:hAnsi="宋体"/>
                <w:szCs w:val="21"/>
              </w:rPr>
            </w:pPr>
            <w:r>
              <w:rPr>
                <w:rStyle w:val="39"/>
                <w:rFonts w:ascii="宋体" w:hAnsi="宋体"/>
                <w:szCs w:val="21"/>
              </w:rPr>
              <w:t>符合</w:t>
            </w:r>
            <w:r>
              <w:rPr>
                <w:rStyle w:val="29"/>
                <w:rFonts w:ascii="宋体" w:hAnsi="宋体"/>
                <w:color w:val="auto"/>
                <w:sz w:val="21"/>
                <w:szCs w:val="21"/>
              </w:rPr>
              <w:t>第八章“投标文件格式”</w:t>
            </w:r>
            <w:r>
              <w:rPr>
                <w:rStyle w:val="39"/>
                <w:rFonts w:ascii="宋体" w:hAnsi="宋体"/>
                <w:szCs w:val="21"/>
              </w:rPr>
              <w:t>的要求</w:t>
            </w:r>
          </w:p>
        </w:tc>
      </w:tr>
      <w:tr w14:paraId="76EFF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Pr>
        <w:tc>
          <w:tcPr>
            <w:tcW w:w="816" w:type="dxa"/>
            <w:vMerge w:val="continue"/>
            <w:tcBorders>
              <w:top w:val="single" w:color="000000" w:sz="4" w:space="0"/>
              <w:left w:val="single" w:color="000000" w:sz="4" w:space="0"/>
              <w:bottom w:val="single" w:color="000000" w:sz="4" w:space="0"/>
              <w:right w:val="single" w:color="000000" w:sz="4" w:space="0"/>
            </w:tcBorders>
            <w:vAlign w:val="center"/>
          </w:tcPr>
          <w:p w14:paraId="4CE9D2DB">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vAlign w:val="center"/>
          </w:tcPr>
          <w:p w14:paraId="511F03A9">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7DC417F4">
            <w:pPr>
              <w:rPr>
                <w:rStyle w:val="39"/>
                <w:rFonts w:ascii="宋体" w:hAnsi="宋体"/>
                <w:szCs w:val="21"/>
              </w:rPr>
            </w:pPr>
            <w:r>
              <w:rPr>
                <w:rStyle w:val="39"/>
                <w:rFonts w:ascii="宋体" w:hAnsi="宋体"/>
                <w:szCs w:val="21"/>
              </w:rPr>
              <w:t>联合体投标人（如有）</w:t>
            </w:r>
          </w:p>
        </w:tc>
        <w:tc>
          <w:tcPr>
            <w:tcW w:w="5240" w:type="dxa"/>
            <w:tcBorders>
              <w:top w:val="single" w:color="000000" w:sz="4" w:space="0"/>
              <w:left w:val="single" w:color="000000" w:sz="4" w:space="0"/>
              <w:bottom w:val="single" w:color="000000" w:sz="4" w:space="0"/>
              <w:right w:val="single" w:color="000000" w:sz="4" w:space="0"/>
            </w:tcBorders>
            <w:vAlign w:val="center"/>
          </w:tcPr>
          <w:p w14:paraId="45F65BBB">
            <w:pPr>
              <w:rPr>
                <w:rStyle w:val="39"/>
                <w:rFonts w:ascii="宋体" w:hAnsi="宋体"/>
                <w:szCs w:val="21"/>
              </w:rPr>
            </w:pPr>
            <w:r>
              <w:rPr>
                <w:rStyle w:val="39"/>
                <w:rFonts w:ascii="宋体" w:hAnsi="宋体"/>
                <w:szCs w:val="21"/>
              </w:rPr>
              <w:t>提交联合体协议书，并明确联合体牵头人</w:t>
            </w:r>
          </w:p>
        </w:tc>
      </w:tr>
      <w:tr w14:paraId="23CEB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trPr>
        <w:tc>
          <w:tcPr>
            <w:tcW w:w="816" w:type="dxa"/>
            <w:vMerge w:val="continue"/>
            <w:tcBorders>
              <w:top w:val="single" w:color="000000" w:sz="4" w:space="0"/>
              <w:left w:val="single" w:color="000000" w:sz="4" w:space="0"/>
              <w:bottom w:val="single" w:color="000000" w:sz="4" w:space="0"/>
              <w:right w:val="single" w:color="000000" w:sz="4" w:space="0"/>
            </w:tcBorders>
            <w:vAlign w:val="center"/>
          </w:tcPr>
          <w:p w14:paraId="2511C146">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vAlign w:val="center"/>
          </w:tcPr>
          <w:p w14:paraId="6D9FB15A">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76D09295">
            <w:pPr>
              <w:rPr>
                <w:rStyle w:val="39"/>
                <w:rFonts w:ascii="宋体" w:hAnsi="宋体"/>
                <w:szCs w:val="21"/>
              </w:rPr>
            </w:pPr>
            <w:r>
              <w:rPr>
                <w:rStyle w:val="39"/>
                <w:rFonts w:ascii="宋体" w:hAnsi="宋体"/>
                <w:szCs w:val="21"/>
              </w:rPr>
              <w:t>报价唯一</w:t>
            </w:r>
          </w:p>
        </w:tc>
        <w:tc>
          <w:tcPr>
            <w:tcW w:w="5240" w:type="dxa"/>
            <w:tcBorders>
              <w:top w:val="single" w:color="000000" w:sz="4" w:space="0"/>
              <w:left w:val="single" w:color="000000" w:sz="4" w:space="0"/>
              <w:bottom w:val="single" w:color="000000" w:sz="4" w:space="0"/>
              <w:right w:val="single" w:color="000000" w:sz="4" w:space="0"/>
            </w:tcBorders>
            <w:vAlign w:val="center"/>
          </w:tcPr>
          <w:p w14:paraId="53B23EE3">
            <w:pPr>
              <w:rPr>
                <w:rStyle w:val="39"/>
                <w:rFonts w:ascii="宋体" w:hAnsi="宋体"/>
                <w:szCs w:val="21"/>
              </w:rPr>
            </w:pPr>
            <w:r>
              <w:rPr>
                <w:rStyle w:val="39"/>
                <w:rFonts w:ascii="宋体" w:hAnsi="宋体"/>
                <w:szCs w:val="21"/>
              </w:rPr>
              <w:t>只能有一个有效报价</w:t>
            </w:r>
          </w:p>
        </w:tc>
      </w:tr>
      <w:tr w14:paraId="3072B3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13" w:hRule="exact"/>
        </w:trPr>
        <w:tc>
          <w:tcPr>
            <w:tcW w:w="816" w:type="dxa"/>
            <w:vMerge w:val="continue"/>
            <w:tcBorders>
              <w:top w:val="single" w:color="000000" w:sz="4" w:space="0"/>
              <w:left w:val="single" w:color="000000" w:sz="4" w:space="0"/>
              <w:bottom w:val="single" w:color="000000" w:sz="4" w:space="0"/>
              <w:right w:val="single" w:color="000000" w:sz="4" w:space="0"/>
            </w:tcBorders>
            <w:vAlign w:val="center"/>
          </w:tcPr>
          <w:p w14:paraId="223194AA">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vAlign w:val="center"/>
          </w:tcPr>
          <w:p w14:paraId="67363314">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18333A3D">
            <w:pPr>
              <w:rPr>
                <w:rStyle w:val="39"/>
                <w:rFonts w:ascii="宋体" w:hAnsi="宋体"/>
                <w:szCs w:val="21"/>
              </w:rPr>
            </w:pPr>
            <w:r>
              <w:rPr>
                <w:rStyle w:val="39"/>
                <w:rFonts w:ascii="宋体" w:hAnsi="宋体"/>
                <w:szCs w:val="21"/>
              </w:rPr>
              <w:t>投标报价盖章</w:t>
            </w:r>
          </w:p>
        </w:tc>
        <w:tc>
          <w:tcPr>
            <w:tcW w:w="5240" w:type="dxa"/>
            <w:tcBorders>
              <w:top w:val="single" w:color="000000" w:sz="4" w:space="0"/>
              <w:left w:val="single" w:color="000000" w:sz="4" w:space="0"/>
              <w:bottom w:val="single" w:color="000000" w:sz="4" w:space="0"/>
              <w:right w:val="single" w:color="000000" w:sz="4" w:space="0"/>
            </w:tcBorders>
            <w:vAlign w:val="center"/>
          </w:tcPr>
          <w:p w14:paraId="79235E0E">
            <w:pPr>
              <w:rPr>
                <w:rStyle w:val="39"/>
                <w:rFonts w:ascii="宋体" w:hAnsi="宋体"/>
                <w:szCs w:val="21"/>
              </w:rPr>
            </w:pPr>
            <w:r>
              <w:rPr>
                <w:rStyle w:val="39"/>
                <w:rFonts w:ascii="宋体" w:hAnsi="宋体"/>
                <w:szCs w:val="21"/>
              </w:rPr>
              <w:t>投标人纸质工程量清单报价有工程造价专业人员签字并加盖专用章</w:t>
            </w:r>
          </w:p>
        </w:tc>
      </w:tr>
      <w:tr w14:paraId="0DAC8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trPr>
        <w:tc>
          <w:tcPr>
            <w:tcW w:w="816" w:type="dxa"/>
            <w:vMerge w:val="restart"/>
            <w:tcBorders>
              <w:top w:val="single" w:color="000000" w:sz="4" w:space="0"/>
              <w:left w:val="single" w:color="000000" w:sz="4" w:space="0"/>
              <w:bottom w:val="single" w:color="000000" w:sz="4" w:space="0"/>
              <w:right w:val="single" w:color="000000" w:sz="4" w:space="0"/>
            </w:tcBorders>
            <w:vAlign w:val="center"/>
          </w:tcPr>
          <w:p w14:paraId="7EF9EC28">
            <w:pPr>
              <w:jc w:val="center"/>
              <w:rPr>
                <w:rStyle w:val="39"/>
                <w:rFonts w:ascii="宋体" w:hAnsi="宋体"/>
                <w:szCs w:val="21"/>
              </w:rPr>
            </w:pPr>
            <w:r>
              <w:rPr>
                <w:rStyle w:val="39"/>
                <w:rFonts w:ascii="宋体" w:hAnsi="宋体"/>
                <w:szCs w:val="21"/>
              </w:rPr>
              <w:t>2.1.2</w:t>
            </w:r>
          </w:p>
        </w:tc>
        <w:tc>
          <w:tcPr>
            <w:tcW w:w="1315" w:type="dxa"/>
            <w:vMerge w:val="restart"/>
            <w:tcBorders>
              <w:top w:val="single" w:color="000000" w:sz="4" w:space="0"/>
              <w:left w:val="single" w:color="000000" w:sz="4" w:space="0"/>
              <w:bottom w:val="single" w:color="000000" w:sz="4" w:space="0"/>
              <w:right w:val="single" w:color="000000" w:sz="4" w:space="0"/>
            </w:tcBorders>
            <w:vAlign w:val="center"/>
          </w:tcPr>
          <w:p w14:paraId="5ACB6033">
            <w:pPr>
              <w:jc w:val="center"/>
              <w:rPr>
                <w:rStyle w:val="39"/>
                <w:rFonts w:ascii="宋体" w:hAnsi="宋体"/>
                <w:szCs w:val="21"/>
              </w:rPr>
            </w:pPr>
            <w:r>
              <w:rPr>
                <w:rStyle w:val="39"/>
                <w:rFonts w:ascii="宋体" w:hAnsi="宋体"/>
                <w:szCs w:val="21"/>
              </w:rPr>
              <w:t>资格评审</w:t>
            </w:r>
          </w:p>
          <w:p w14:paraId="2E3149E0">
            <w:pPr>
              <w:jc w:val="center"/>
              <w:rPr>
                <w:rStyle w:val="39"/>
                <w:rFonts w:ascii="宋体" w:hAnsi="宋体"/>
                <w:szCs w:val="21"/>
              </w:rPr>
            </w:pPr>
            <w:r>
              <w:rPr>
                <w:rStyle w:val="39"/>
                <w:rFonts w:ascii="宋体" w:hAnsi="宋体"/>
                <w:szCs w:val="21"/>
              </w:rPr>
              <w:t>标准</w:t>
            </w:r>
          </w:p>
        </w:tc>
        <w:tc>
          <w:tcPr>
            <w:tcW w:w="2518" w:type="dxa"/>
            <w:tcBorders>
              <w:top w:val="single" w:color="000000" w:sz="4" w:space="0"/>
              <w:left w:val="single" w:color="000000" w:sz="4" w:space="0"/>
              <w:bottom w:val="single" w:color="000000" w:sz="4" w:space="0"/>
              <w:right w:val="single" w:color="000000" w:sz="4" w:space="0"/>
            </w:tcBorders>
            <w:vAlign w:val="center"/>
          </w:tcPr>
          <w:p w14:paraId="62A73F45">
            <w:pPr>
              <w:rPr>
                <w:rStyle w:val="39"/>
                <w:rFonts w:ascii="宋体" w:hAnsi="宋体"/>
                <w:szCs w:val="21"/>
              </w:rPr>
            </w:pPr>
            <w:r>
              <w:rPr>
                <w:rStyle w:val="39"/>
                <w:rFonts w:ascii="宋体" w:hAnsi="宋体"/>
                <w:szCs w:val="21"/>
              </w:rPr>
              <w:t>营业执照</w:t>
            </w:r>
          </w:p>
        </w:tc>
        <w:tc>
          <w:tcPr>
            <w:tcW w:w="5240" w:type="dxa"/>
            <w:tcBorders>
              <w:top w:val="single" w:color="000000" w:sz="4" w:space="0"/>
              <w:left w:val="single" w:color="000000" w:sz="4" w:space="0"/>
              <w:bottom w:val="single" w:color="000000" w:sz="4" w:space="0"/>
              <w:right w:val="single" w:color="000000" w:sz="4" w:space="0"/>
            </w:tcBorders>
            <w:vAlign w:val="center"/>
          </w:tcPr>
          <w:p w14:paraId="6ECDCDEF">
            <w:pPr>
              <w:rPr>
                <w:rStyle w:val="39"/>
                <w:rFonts w:ascii="宋体" w:hAnsi="宋体"/>
                <w:szCs w:val="21"/>
              </w:rPr>
            </w:pPr>
            <w:r>
              <w:rPr>
                <w:rStyle w:val="39"/>
                <w:rFonts w:ascii="宋体" w:hAnsi="宋体"/>
                <w:szCs w:val="21"/>
              </w:rPr>
              <w:t>具备有效的营业执照</w:t>
            </w:r>
          </w:p>
        </w:tc>
      </w:tr>
      <w:tr w14:paraId="2E93E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50" w:hRule="exact"/>
        </w:trPr>
        <w:tc>
          <w:tcPr>
            <w:tcW w:w="816" w:type="dxa"/>
            <w:vMerge w:val="continue"/>
            <w:tcBorders>
              <w:top w:val="single" w:color="000000" w:sz="4" w:space="0"/>
              <w:left w:val="single" w:color="000000" w:sz="4" w:space="0"/>
              <w:bottom w:val="single" w:color="000000" w:sz="4" w:space="0"/>
              <w:right w:val="single" w:color="000000" w:sz="4" w:space="0"/>
            </w:tcBorders>
            <w:vAlign w:val="center"/>
          </w:tcPr>
          <w:p w14:paraId="15F15617">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161095D7">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6100818F">
            <w:pPr>
              <w:rPr>
                <w:rStyle w:val="39"/>
                <w:rFonts w:ascii="宋体" w:hAnsi="宋体"/>
                <w:szCs w:val="21"/>
              </w:rPr>
            </w:pPr>
            <w:r>
              <w:rPr>
                <w:rStyle w:val="39"/>
                <w:rFonts w:ascii="宋体" w:hAnsi="宋体"/>
                <w:szCs w:val="21"/>
              </w:rPr>
              <w:t>资质等级</w:t>
            </w:r>
          </w:p>
        </w:tc>
        <w:tc>
          <w:tcPr>
            <w:tcW w:w="5240" w:type="dxa"/>
            <w:tcBorders>
              <w:top w:val="single" w:color="000000" w:sz="4" w:space="0"/>
              <w:left w:val="single" w:color="000000" w:sz="4" w:space="0"/>
              <w:bottom w:val="single" w:color="000000" w:sz="4" w:space="0"/>
              <w:right w:val="single" w:color="000000" w:sz="4" w:space="0"/>
            </w:tcBorders>
            <w:vAlign w:val="center"/>
          </w:tcPr>
          <w:p w14:paraId="2248A33A">
            <w:pPr>
              <w:rPr>
                <w:rStyle w:val="39"/>
                <w:rFonts w:ascii="宋体" w:hAnsi="宋体"/>
                <w:szCs w:val="21"/>
              </w:rPr>
            </w:pPr>
            <w:r>
              <w:rPr>
                <w:rStyle w:val="39"/>
                <w:rFonts w:ascii="宋体" w:hAnsi="宋体"/>
                <w:szCs w:val="21"/>
              </w:rPr>
              <w:t>符合第二章“投标人须知”</w:t>
            </w:r>
            <w:r>
              <w:rPr>
                <w:rStyle w:val="29"/>
                <w:rFonts w:ascii="宋体" w:hAnsi="宋体"/>
                <w:color w:val="auto"/>
                <w:sz w:val="21"/>
                <w:szCs w:val="21"/>
              </w:rPr>
              <w:t>第1.4.1项</w:t>
            </w:r>
            <w:r>
              <w:rPr>
                <w:rStyle w:val="39"/>
                <w:rFonts w:ascii="宋体" w:hAnsi="宋体"/>
                <w:szCs w:val="21"/>
              </w:rPr>
              <w:t>规定</w:t>
            </w:r>
          </w:p>
        </w:tc>
      </w:tr>
      <w:tr w14:paraId="18C2E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trPr>
        <w:tc>
          <w:tcPr>
            <w:tcW w:w="816" w:type="dxa"/>
            <w:vMerge w:val="continue"/>
            <w:tcBorders>
              <w:top w:val="single" w:color="000000" w:sz="4" w:space="0"/>
              <w:left w:val="single" w:color="000000" w:sz="4" w:space="0"/>
              <w:bottom w:val="single" w:color="000000" w:sz="4" w:space="0"/>
              <w:right w:val="single" w:color="000000" w:sz="4" w:space="0"/>
            </w:tcBorders>
            <w:vAlign w:val="center"/>
          </w:tcPr>
          <w:p w14:paraId="40740C9E">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68808C9D">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0BFBCABC">
            <w:pPr>
              <w:rPr>
                <w:rStyle w:val="39"/>
                <w:rFonts w:ascii="宋体" w:hAnsi="宋体"/>
                <w:szCs w:val="21"/>
              </w:rPr>
            </w:pPr>
            <w:r>
              <w:rPr>
                <w:rStyle w:val="39"/>
                <w:rFonts w:ascii="宋体" w:hAnsi="宋体"/>
                <w:szCs w:val="21"/>
              </w:rPr>
              <w:t>财务状况</w:t>
            </w:r>
          </w:p>
        </w:tc>
        <w:tc>
          <w:tcPr>
            <w:tcW w:w="5240" w:type="dxa"/>
            <w:tcBorders>
              <w:top w:val="single" w:color="000000" w:sz="4" w:space="0"/>
              <w:left w:val="single" w:color="000000" w:sz="4" w:space="0"/>
              <w:bottom w:val="single" w:color="000000" w:sz="4" w:space="0"/>
              <w:right w:val="single" w:color="000000" w:sz="4" w:space="0"/>
            </w:tcBorders>
            <w:vAlign w:val="center"/>
          </w:tcPr>
          <w:p w14:paraId="0C10D9DF">
            <w:pPr>
              <w:rPr>
                <w:rStyle w:val="39"/>
                <w:rFonts w:ascii="宋体" w:hAnsi="宋体"/>
                <w:szCs w:val="21"/>
              </w:rPr>
            </w:pPr>
            <w:r>
              <w:rPr>
                <w:rStyle w:val="39"/>
                <w:rFonts w:ascii="宋体" w:hAnsi="宋体"/>
                <w:szCs w:val="21"/>
              </w:rPr>
              <w:t>符合第二章“投标人须知”第1.4.1项规定</w:t>
            </w:r>
          </w:p>
        </w:tc>
      </w:tr>
      <w:tr w14:paraId="3B563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trPr>
        <w:tc>
          <w:tcPr>
            <w:tcW w:w="816" w:type="dxa"/>
            <w:vMerge w:val="continue"/>
            <w:tcBorders>
              <w:top w:val="single" w:color="000000" w:sz="4" w:space="0"/>
              <w:left w:val="single" w:color="000000" w:sz="4" w:space="0"/>
              <w:bottom w:val="single" w:color="000000" w:sz="4" w:space="0"/>
              <w:right w:val="single" w:color="000000" w:sz="4" w:space="0"/>
            </w:tcBorders>
            <w:vAlign w:val="center"/>
          </w:tcPr>
          <w:p w14:paraId="1D344743">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738DB9EF">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06F1FD2D">
            <w:pPr>
              <w:rPr>
                <w:rStyle w:val="39"/>
                <w:rFonts w:ascii="宋体" w:hAnsi="宋体"/>
                <w:szCs w:val="21"/>
              </w:rPr>
            </w:pPr>
            <w:r>
              <w:rPr>
                <w:rStyle w:val="39"/>
                <w:rFonts w:ascii="宋体" w:hAnsi="宋体"/>
                <w:szCs w:val="21"/>
              </w:rPr>
              <w:t>信誉</w:t>
            </w:r>
          </w:p>
        </w:tc>
        <w:tc>
          <w:tcPr>
            <w:tcW w:w="5240" w:type="dxa"/>
            <w:tcBorders>
              <w:top w:val="single" w:color="000000" w:sz="4" w:space="0"/>
              <w:left w:val="single" w:color="000000" w:sz="4" w:space="0"/>
              <w:bottom w:val="single" w:color="000000" w:sz="4" w:space="0"/>
              <w:right w:val="single" w:color="000000" w:sz="4" w:space="0"/>
            </w:tcBorders>
            <w:vAlign w:val="center"/>
          </w:tcPr>
          <w:p w14:paraId="560CF318">
            <w:pPr>
              <w:rPr>
                <w:rStyle w:val="39"/>
                <w:rFonts w:ascii="宋体" w:hAnsi="宋体"/>
                <w:szCs w:val="21"/>
              </w:rPr>
            </w:pPr>
            <w:r>
              <w:rPr>
                <w:rStyle w:val="39"/>
                <w:rFonts w:ascii="宋体" w:hAnsi="宋体"/>
                <w:szCs w:val="21"/>
              </w:rPr>
              <w:t>符合第二章“投标人须知”第1.4.1项规定</w:t>
            </w:r>
          </w:p>
        </w:tc>
      </w:tr>
      <w:tr w14:paraId="4BC05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trPr>
        <w:tc>
          <w:tcPr>
            <w:tcW w:w="816" w:type="dxa"/>
            <w:vMerge w:val="continue"/>
            <w:tcBorders>
              <w:top w:val="single" w:color="000000" w:sz="4" w:space="0"/>
              <w:left w:val="single" w:color="000000" w:sz="4" w:space="0"/>
              <w:bottom w:val="single" w:color="000000" w:sz="4" w:space="0"/>
              <w:right w:val="single" w:color="000000" w:sz="4" w:space="0"/>
            </w:tcBorders>
            <w:vAlign w:val="center"/>
          </w:tcPr>
          <w:p w14:paraId="19EA103A">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16806DDC">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66B52475">
            <w:pPr>
              <w:rPr>
                <w:rStyle w:val="39"/>
                <w:rFonts w:ascii="宋体" w:hAnsi="宋体"/>
                <w:szCs w:val="21"/>
              </w:rPr>
            </w:pPr>
            <w:r>
              <w:rPr>
                <w:rStyle w:val="39"/>
                <w:rFonts w:ascii="宋体" w:hAnsi="宋体"/>
                <w:szCs w:val="21"/>
              </w:rPr>
              <w:t>项目经理</w:t>
            </w:r>
          </w:p>
        </w:tc>
        <w:tc>
          <w:tcPr>
            <w:tcW w:w="5240" w:type="dxa"/>
            <w:tcBorders>
              <w:top w:val="single" w:color="000000" w:sz="4" w:space="0"/>
              <w:left w:val="single" w:color="000000" w:sz="4" w:space="0"/>
              <w:bottom w:val="single" w:color="000000" w:sz="4" w:space="0"/>
              <w:right w:val="single" w:color="000000" w:sz="4" w:space="0"/>
            </w:tcBorders>
            <w:vAlign w:val="center"/>
          </w:tcPr>
          <w:p w14:paraId="5F208473">
            <w:pPr>
              <w:rPr>
                <w:rStyle w:val="39"/>
                <w:rFonts w:ascii="宋体" w:hAnsi="宋体"/>
                <w:szCs w:val="21"/>
              </w:rPr>
            </w:pPr>
            <w:r>
              <w:rPr>
                <w:rStyle w:val="39"/>
                <w:rFonts w:ascii="宋体" w:hAnsi="宋体"/>
                <w:szCs w:val="21"/>
              </w:rPr>
              <w:t>符合第二章“投标人须知”第1.4.1项规定</w:t>
            </w:r>
          </w:p>
        </w:tc>
      </w:tr>
      <w:tr w14:paraId="26906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trPr>
        <w:tc>
          <w:tcPr>
            <w:tcW w:w="816" w:type="dxa"/>
            <w:vMerge w:val="continue"/>
            <w:tcBorders>
              <w:top w:val="single" w:color="000000" w:sz="4" w:space="0"/>
              <w:left w:val="single" w:color="000000" w:sz="4" w:space="0"/>
              <w:bottom w:val="single" w:color="000000" w:sz="4" w:space="0"/>
              <w:right w:val="single" w:color="000000" w:sz="4" w:space="0"/>
            </w:tcBorders>
            <w:vAlign w:val="center"/>
          </w:tcPr>
          <w:p w14:paraId="6B234255">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31C6FD42">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719AD7DB">
            <w:pPr>
              <w:rPr>
                <w:rStyle w:val="39"/>
                <w:rFonts w:ascii="宋体" w:hAnsi="宋体"/>
                <w:szCs w:val="21"/>
              </w:rPr>
            </w:pPr>
            <w:r>
              <w:rPr>
                <w:rStyle w:val="39"/>
                <w:rFonts w:ascii="宋体" w:hAnsi="宋体"/>
                <w:szCs w:val="21"/>
              </w:rPr>
              <w:t>其他要求</w:t>
            </w:r>
          </w:p>
        </w:tc>
        <w:tc>
          <w:tcPr>
            <w:tcW w:w="5240" w:type="dxa"/>
            <w:tcBorders>
              <w:top w:val="single" w:color="000000" w:sz="4" w:space="0"/>
              <w:left w:val="single" w:color="000000" w:sz="4" w:space="0"/>
              <w:bottom w:val="single" w:color="000000" w:sz="4" w:space="0"/>
              <w:right w:val="single" w:color="000000" w:sz="4" w:space="0"/>
            </w:tcBorders>
            <w:vAlign w:val="center"/>
          </w:tcPr>
          <w:p w14:paraId="26B63EBD">
            <w:pPr>
              <w:rPr>
                <w:rStyle w:val="39"/>
                <w:rFonts w:ascii="宋体" w:hAnsi="宋体"/>
                <w:szCs w:val="21"/>
              </w:rPr>
            </w:pPr>
            <w:r>
              <w:rPr>
                <w:rStyle w:val="39"/>
                <w:rFonts w:ascii="宋体" w:hAnsi="宋体"/>
                <w:szCs w:val="21"/>
              </w:rPr>
              <w:t>符合第二章“投标人须知”第1.4.1项规定</w:t>
            </w:r>
          </w:p>
        </w:tc>
      </w:tr>
      <w:tr w14:paraId="75284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trPr>
        <w:tc>
          <w:tcPr>
            <w:tcW w:w="816" w:type="dxa"/>
            <w:vMerge w:val="continue"/>
            <w:tcBorders>
              <w:top w:val="single" w:color="000000" w:sz="4" w:space="0"/>
              <w:left w:val="single" w:color="000000" w:sz="4" w:space="0"/>
              <w:bottom w:val="single" w:color="000000" w:sz="4" w:space="0"/>
              <w:right w:val="single" w:color="000000" w:sz="4" w:space="0"/>
            </w:tcBorders>
            <w:vAlign w:val="center"/>
          </w:tcPr>
          <w:p w14:paraId="4C0F1B8D">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4208AEF6">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5B70B00A">
            <w:pPr>
              <w:rPr>
                <w:rStyle w:val="39"/>
                <w:rFonts w:ascii="宋体" w:hAnsi="宋体"/>
                <w:szCs w:val="21"/>
              </w:rPr>
            </w:pPr>
            <w:r>
              <w:rPr>
                <w:rStyle w:val="39"/>
                <w:rFonts w:ascii="宋体" w:hAnsi="宋体"/>
                <w:szCs w:val="21"/>
              </w:rPr>
              <w:t>联合体投标人（</w:t>
            </w:r>
            <w:r>
              <w:rPr>
                <w:rStyle w:val="39"/>
                <w:rFonts w:ascii="宋体" w:hAnsi="宋体"/>
                <w:b/>
                <w:szCs w:val="21"/>
              </w:rPr>
              <w:t>如有</w:t>
            </w:r>
            <w:r>
              <w:rPr>
                <w:rStyle w:val="39"/>
                <w:rFonts w:ascii="宋体" w:hAnsi="宋体"/>
                <w:szCs w:val="21"/>
              </w:rPr>
              <w:t>）</w:t>
            </w:r>
          </w:p>
        </w:tc>
        <w:tc>
          <w:tcPr>
            <w:tcW w:w="5240" w:type="dxa"/>
            <w:tcBorders>
              <w:top w:val="single" w:color="000000" w:sz="4" w:space="0"/>
              <w:left w:val="single" w:color="000000" w:sz="4" w:space="0"/>
              <w:bottom w:val="single" w:color="000000" w:sz="4" w:space="0"/>
              <w:right w:val="single" w:color="000000" w:sz="4" w:space="0"/>
            </w:tcBorders>
            <w:vAlign w:val="center"/>
          </w:tcPr>
          <w:p w14:paraId="349A8596">
            <w:pPr>
              <w:rPr>
                <w:rStyle w:val="39"/>
                <w:rFonts w:ascii="宋体" w:hAnsi="宋体"/>
                <w:szCs w:val="21"/>
              </w:rPr>
            </w:pPr>
            <w:r>
              <w:rPr>
                <w:rStyle w:val="39"/>
                <w:rFonts w:ascii="宋体" w:hAnsi="宋体"/>
                <w:szCs w:val="21"/>
              </w:rPr>
              <w:t>符合第二章“投标人须知”第1.4.2项规定</w:t>
            </w:r>
          </w:p>
        </w:tc>
      </w:tr>
      <w:tr w14:paraId="3A89E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90" w:hRule="exact"/>
        </w:trPr>
        <w:tc>
          <w:tcPr>
            <w:tcW w:w="816" w:type="dxa"/>
            <w:vMerge w:val="continue"/>
            <w:tcBorders>
              <w:top w:val="single" w:color="000000" w:sz="4" w:space="0"/>
              <w:left w:val="single" w:color="000000" w:sz="4" w:space="0"/>
              <w:bottom w:val="single" w:color="000000" w:sz="4" w:space="0"/>
              <w:right w:val="single" w:color="000000" w:sz="4" w:space="0"/>
            </w:tcBorders>
            <w:vAlign w:val="center"/>
          </w:tcPr>
          <w:p w14:paraId="59CBDF36">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31CBD811">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40B9403A">
            <w:pPr>
              <w:rPr>
                <w:rStyle w:val="39"/>
                <w:rFonts w:ascii="宋体" w:hAnsi="宋体"/>
                <w:szCs w:val="21"/>
              </w:rPr>
            </w:pPr>
            <w:r>
              <w:rPr>
                <w:rStyle w:val="39"/>
                <w:rFonts w:ascii="宋体" w:hAnsi="宋体"/>
                <w:szCs w:val="21"/>
              </w:rPr>
              <w:t>……</w:t>
            </w:r>
          </w:p>
        </w:tc>
        <w:tc>
          <w:tcPr>
            <w:tcW w:w="5240" w:type="dxa"/>
            <w:tcBorders>
              <w:top w:val="single" w:color="000000" w:sz="4" w:space="0"/>
              <w:left w:val="single" w:color="000000" w:sz="4" w:space="0"/>
              <w:bottom w:val="single" w:color="000000" w:sz="4" w:space="0"/>
              <w:right w:val="single" w:color="000000" w:sz="4" w:space="0"/>
            </w:tcBorders>
            <w:vAlign w:val="center"/>
          </w:tcPr>
          <w:p w14:paraId="048F7F0E">
            <w:pPr>
              <w:rPr>
                <w:rStyle w:val="39"/>
                <w:rFonts w:ascii="宋体" w:hAnsi="宋体"/>
                <w:szCs w:val="21"/>
              </w:rPr>
            </w:pPr>
            <w:r>
              <w:rPr>
                <w:rStyle w:val="39"/>
                <w:rFonts w:ascii="宋体" w:hAnsi="宋体"/>
                <w:szCs w:val="21"/>
              </w:rPr>
              <w:t>……</w:t>
            </w:r>
          </w:p>
        </w:tc>
      </w:tr>
      <w:tr w14:paraId="570B8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exact"/>
        </w:trPr>
        <w:tc>
          <w:tcPr>
            <w:tcW w:w="816" w:type="dxa"/>
            <w:vMerge w:val="continue"/>
            <w:tcBorders>
              <w:top w:val="single" w:color="000000" w:sz="4" w:space="0"/>
              <w:left w:val="single" w:color="000000" w:sz="4" w:space="0"/>
              <w:bottom w:val="single" w:color="000000" w:sz="4" w:space="0"/>
              <w:right w:val="single" w:color="000000" w:sz="4" w:space="0"/>
            </w:tcBorders>
            <w:vAlign w:val="center"/>
          </w:tcPr>
          <w:p w14:paraId="147733F9">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33B24C2D">
            <w:pPr>
              <w:jc w:val="center"/>
              <w:rPr>
                <w:rStyle w:val="39"/>
                <w:rFonts w:ascii="宋体" w:hAnsi="宋体"/>
                <w:szCs w:val="21"/>
              </w:rPr>
            </w:pPr>
          </w:p>
        </w:tc>
        <w:tc>
          <w:tcPr>
            <w:tcW w:w="7758" w:type="dxa"/>
            <w:gridSpan w:val="2"/>
            <w:tcBorders>
              <w:top w:val="single" w:color="000000" w:sz="4" w:space="0"/>
              <w:left w:val="single" w:color="000000" w:sz="4" w:space="0"/>
              <w:bottom w:val="single" w:color="000000" w:sz="4" w:space="0"/>
              <w:right w:val="single" w:color="000000" w:sz="4" w:space="0"/>
            </w:tcBorders>
            <w:vAlign w:val="center"/>
          </w:tcPr>
          <w:p w14:paraId="7ED1DF46">
            <w:pPr>
              <w:rPr>
                <w:rStyle w:val="39"/>
                <w:rFonts w:ascii="宋体" w:hAnsi="宋体"/>
                <w:szCs w:val="21"/>
              </w:rPr>
            </w:pPr>
            <w:r>
              <w:rPr>
                <w:rStyle w:val="39"/>
                <w:rFonts w:ascii="宋体" w:hAnsi="宋体"/>
                <w:szCs w:val="21"/>
              </w:rPr>
              <w:t>编制要求详见</w:t>
            </w:r>
            <w:r>
              <w:rPr>
                <w:rStyle w:val="29"/>
                <w:rFonts w:ascii="宋体" w:hAnsi="宋体"/>
                <w:color w:val="auto"/>
                <w:sz w:val="21"/>
                <w:szCs w:val="21"/>
              </w:rPr>
              <w:t>第九章资格审查文件</w:t>
            </w:r>
          </w:p>
        </w:tc>
      </w:tr>
      <w:tr w14:paraId="51628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exact"/>
        </w:trPr>
        <w:tc>
          <w:tcPr>
            <w:tcW w:w="816" w:type="dxa"/>
            <w:vMerge w:val="restart"/>
            <w:tcBorders>
              <w:top w:val="single" w:color="000000" w:sz="4" w:space="0"/>
              <w:left w:val="single" w:color="000000" w:sz="4" w:space="0"/>
              <w:bottom w:val="single" w:color="000000" w:sz="4" w:space="0"/>
              <w:right w:val="single" w:color="000000" w:sz="4" w:space="0"/>
            </w:tcBorders>
            <w:vAlign w:val="center"/>
          </w:tcPr>
          <w:p w14:paraId="703DCB68">
            <w:pPr>
              <w:jc w:val="center"/>
              <w:rPr>
                <w:rStyle w:val="39"/>
                <w:rFonts w:ascii="宋体" w:hAnsi="宋体"/>
                <w:szCs w:val="21"/>
              </w:rPr>
            </w:pPr>
            <w:r>
              <w:rPr>
                <w:rStyle w:val="39"/>
                <w:rFonts w:ascii="宋体" w:hAnsi="宋体"/>
                <w:szCs w:val="21"/>
              </w:rPr>
              <w:t>2.1.3</w:t>
            </w:r>
          </w:p>
        </w:tc>
        <w:tc>
          <w:tcPr>
            <w:tcW w:w="1315" w:type="dxa"/>
            <w:vMerge w:val="restart"/>
            <w:tcBorders>
              <w:top w:val="single" w:color="000000" w:sz="4" w:space="0"/>
              <w:left w:val="single" w:color="000000" w:sz="4" w:space="0"/>
              <w:bottom w:val="single" w:color="000000" w:sz="4" w:space="0"/>
              <w:right w:val="single" w:color="000000" w:sz="4" w:space="0"/>
            </w:tcBorders>
            <w:vAlign w:val="center"/>
          </w:tcPr>
          <w:p w14:paraId="4C0BC7F6">
            <w:pPr>
              <w:jc w:val="center"/>
              <w:rPr>
                <w:rStyle w:val="39"/>
                <w:rFonts w:ascii="宋体" w:hAnsi="宋体"/>
                <w:szCs w:val="21"/>
              </w:rPr>
            </w:pPr>
            <w:r>
              <w:rPr>
                <w:rStyle w:val="39"/>
                <w:rFonts w:ascii="宋体" w:hAnsi="宋体"/>
                <w:szCs w:val="21"/>
              </w:rPr>
              <w:t>响应性评审标准</w:t>
            </w:r>
          </w:p>
        </w:tc>
        <w:tc>
          <w:tcPr>
            <w:tcW w:w="2518" w:type="dxa"/>
            <w:tcBorders>
              <w:top w:val="single" w:color="000000" w:sz="4" w:space="0"/>
              <w:left w:val="single" w:color="000000" w:sz="4" w:space="0"/>
              <w:bottom w:val="single" w:color="000000" w:sz="4" w:space="0"/>
              <w:right w:val="single" w:color="000000" w:sz="4" w:space="0"/>
            </w:tcBorders>
            <w:vAlign w:val="center"/>
          </w:tcPr>
          <w:p w14:paraId="0EEC68EB">
            <w:pPr>
              <w:rPr>
                <w:rStyle w:val="39"/>
                <w:rFonts w:ascii="宋体" w:hAnsi="宋体"/>
                <w:szCs w:val="21"/>
              </w:rPr>
            </w:pPr>
            <w:r>
              <w:rPr>
                <w:rStyle w:val="39"/>
                <w:rFonts w:ascii="宋体" w:hAnsi="宋体"/>
                <w:szCs w:val="21"/>
              </w:rPr>
              <w:t>投标范围</w:t>
            </w:r>
          </w:p>
        </w:tc>
        <w:tc>
          <w:tcPr>
            <w:tcW w:w="5240" w:type="dxa"/>
            <w:tcBorders>
              <w:top w:val="single" w:color="000000" w:sz="4" w:space="0"/>
              <w:left w:val="single" w:color="000000" w:sz="4" w:space="0"/>
              <w:bottom w:val="single" w:color="000000" w:sz="4" w:space="0"/>
              <w:right w:val="single" w:color="000000" w:sz="4" w:space="0"/>
            </w:tcBorders>
            <w:vAlign w:val="center"/>
          </w:tcPr>
          <w:p w14:paraId="58CAF1E1">
            <w:pPr>
              <w:rPr>
                <w:rStyle w:val="39"/>
                <w:rFonts w:ascii="宋体" w:hAnsi="宋体"/>
                <w:szCs w:val="21"/>
              </w:rPr>
            </w:pPr>
            <w:r>
              <w:rPr>
                <w:rStyle w:val="39"/>
                <w:rFonts w:ascii="宋体" w:hAnsi="宋体"/>
                <w:szCs w:val="21"/>
              </w:rPr>
              <w:t>符合第二章“投标人须知”</w:t>
            </w:r>
            <w:r>
              <w:rPr>
                <w:rStyle w:val="29"/>
                <w:rFonts w:ascii="宋体" w:hAnsi="宋体"/>
                <w:color w:val="auto"/>
                <w:sz w:val="21"/>
                <w:szCs w:val="21"/>
              </w:rPr>
              <w:t>第1.3.1项</w:t>
            </w:r>
            <w:r>
              <w:rPr>
                <w:rStyle w:val="39"/>
                <w:rFonts w:ascii="宋体" w:hAnsi="宋体"/>
                <w:szCs w:val="21"/>
              </w:rPr>
              <w:t>规定</w:t>
            </w:r>
          </w:p>
        </w:tc>
      </w:tr>
      <w:tr w14:paraId="2C9AB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exact"/>
        </w:trPr>
        <w:tc>
          <w:tcPr>
            <w:tcW w:w="816" w:type="dxa"/>
            <w:vMerge w:val="continue"/>
            <w:tcBorders>
              <w:top w:val="single" w:color="000000" w:sz="4" w:space="0"/>
              <w:left w:val="single" w:color="000000" w:sz="4" w:space="0"/>
              <w:bottom w:val="single" w:color="000000" w:sz="4" w:space="0"/>
              <w:right w:val="single" w:color="000000" w:sz="4" w:space="0"/>
            </w:tcBorders>
          </w:tcPr>
          <w:p w14:paraId="596E1994">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6F6EF158">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3CEEB077">
            <w:pPr>
              <w:rPr>
                <w:rStyle w:val="39"/>
                <w:rFonts w:ascii="宋体" w:hAnsi="宋体"/>
                <w:szCs w:val="21"/>
              </w:rPr>
            </w:pPr>
            <w:r>
              <w:rPr>
                <w:rStyle w:val="39"/>
                <w:rFonts w:ascii="宋体" w:hAnsi="宋体"/>
                <w:szCs w:val="21"/>
              </w:rPr>
              <w:t>工期</w:t>
            </w:r>
          </w:p>
        </w:tc>
        <w:tc>
          <w:tcPr>
            <w:tcW w:w="5240" w:type="dxa"/>
            <w:tcBorders>
              <w:top w:val="single" w:color="000000" w:sz="4" w:space="0"/>
              <w:left w:val="single" w:color="000000" w:sz="4" w:space="0"/>
              <w:bottom w:val="single" w:color="000000" w:sz="4" w:space="0"/>
              <w:right w:val="single" w:color="000000" w:sz="4" w:space="0"/>
            </w:tcBorders>
            <w:vAlign w:val="center"/>
          </w:tcPr>
          <w:p w14:paraId="6A9A3863">
            <w:pPr>
              <w:rPr>
                <w:rStyle w:val="39"/>
                <w:rFonts w:ascii="宋体" w:hAnsi="宋体"/>
                <w:szCs w:val="21"/>
              </w:rPr>
            </w:pPr>
            <w:r>
              <w:rPr>
                <w:rStyle w:val="39"/>
                <w:rFonts w:ascii="宋体" w:hAnsi="宋体"/>
                <w:szCs w:val="21"/>
              </w:rPr>
              <w:t>符合第二章“投标人须知”</w:t>
            </w:r>
            <w:r>
              <w:rPr>
                <w:rStyle w:val="29"/>
                <w:rFonts w:ascii="宋体" w:hAnsi="宋体"/>
                <w:color w:val="auto"/>
                <w:sz w:val="21"/>
                <w:szCs w:val="21"/>
              </w:rPr>
              <w:t>第1.3.2项</w:t>
            </w:r>
            <w:r>
              <w:rPr>
                <w:rStyle w:val="39"/>
                <w:rFonts w:ascii="宋体" w:hAnsi="宋体"/>
                <w:szCs w:val="21"/>
              </w:rPr>
              <w:t>规定</w:t>
            </w:r>
          </w:p>
        </w:tc>
      </w:tr>
      <w:tr w14:paraId="12A47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exact"/>
        </w:trPr>
        <w:tc>
          <w:tcPr>
            <w:tcW w:w="816" w:type="dxa"/>
            <w:vMerge w:val="continue"/>
            <w:tcBorders>
              <w:top w:val="single" w:color="000000" w:sz="4" w:space="0"/>
              <w:left w:val="single" w:color="000000" w:sz="4" w:space="0"/>
              <w:bottom w:val="single" w:color="000000" w:sz="4" w:space="0"/>
              <w:right w:val="single" w:color="000000" w:sz="4" w:space="0"/>
            </w:tcBorders>
          </w:tcPr>
          <w:p w14:paraId="16A766B6">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4C90DF68">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6876286D">
            <w:pPr>
              <w:rPr>
                <w:rStyle w:val="39"/>
                <w:rFonts w:ascii="宋体" w:hAnsi="宋体"/>
                <w:szCs w:val="21"/>
              </w:rPr>
            </w:pPr>
            <w:r>
              <w:rPr>
                <w:rStyle w:val="39"/>
                <w:rFonts w:ascii="宋体" w:hAnsi="宋体"/>
                <w:szCs w:val="21"/>
              </w:rPr>
              <w:t>工程质量</w:t>
            </w:r>
          </w:p>
        </w:tc>
        <w:tc>
          <w:tcPr>
            <w:tcW w:w="5240" w:type="dxa"/>
            <w:tcBorders>
              <w:top w:val="single" w:color="000000" w:sz="4" w:space="0"/>
              <w:left w:val="single" w:color="000000" w:sz="4" w:space="0"/>
              <w:bottom w:val="single" w:color="000000" w:sz="4" w:space="0"/>
              <w:right w:val="single" w:color="000000" w:sz="4" w:space="0"/>
            </w:tcBorders>
            <w:vAlign w:val="center"/>
          </w:tcPr>
          <w:p w14:paraId="3FB1E022">
            <w:pPr>
              <w:rPr>
                <w:rStyle w:val="39"/>
                <w:rFonts w:ascii="宋体" w:hAnsi="宋体"/>
                <w:szCs w:val="21"/>
              </w:rPr>
            </w:pPr>
            <w:r>
              <w:rPr>
                <w:rStyle w:val="39"/>
                <w:rFonts w:ascii="宋体" w:hAnsi="宋体"/>
                <w:szCs w:val="21"/>
              </w:rPr>
              <w:t>符合第二章“投标人须知”</w:t>
            </w:r>
            <w:r>
              <w:rPr>
                <w:rStyle w:val="29"/>
                <w:rFonts w:ascii="宋体" w:hAnsi="宋体"/>
                <w:color w:val="auto"/>
                <w:sz w:val="21"/>
                <w:szCs w:val="21"/>
              </w:rPr>
              <w:t>第1.3.3项</w:t>
            </w:r>
            <w:r>
              <w:rPr>
                <w:rStyle w:val="39"/>
                <w:rFonts w:ascii="宋体" w:hAnsi="宋体"/>
                <w:szCs w:val="21"/>
              </w:rPr>
              <w:t>规定</w:t>
            </w:r>
          </w:p>
        </w:tc>
      </w:tr>
      <w:tr w14:paraId="05137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exact"/>
        </w:trPr>
        <w:tc>
          <w:tcPr>
            <w:tcW w:w="816" w:type="dxa"/>
            <w:vMerge w:val="continue"/>
            <w:tcBorders>
              <w:top w:val="single" w:color="000000" w:sz="4" w:space="0"/>
              <w:left w:val="single" w:color="000000" w:sz="4" w:space="0"/>
              <w:bottom w:val="single" w:color="000000" w:sz="4" w:space="0"/>
              <w:right w:val="single" w:color="000000" w:sz="4" w:space="0"/>
            </w:tcBorders>
          </w:tcPr>
          <w:p w14:paraId="0A0DD2D5">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6F041E31">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12A1F885">
            <w:pPr>
              <w:rPr>
                <w:rStyle w:val="39"/>
                <w:rFonts w:ascii="宋体" w:hAnsi="宋体"/>
                <w:szCs w:val="21"/>
              </w:rPr>
            </w:pPr>
            <w:r>
              <w:rPr>
                <w:rStyle w:val="39"/>
                <w:rFonts w:ascii="宋体" w:hAnsi="宋体"/>
                <w:szCs w:val="21"/>
              </w:rPr>
              <w:t>投标有效期</w:t>
            </w:r>
          </w:p>
        </w:tc>
        <w:tc>
          <w:tcPr>
            <w:tcW w:w="5240" w:type="dxa"/>
            <w:tcBorders>
              <w:top w:val="single" w:color="000000" w:sz="4" w:space="0"/>
              <w:left w:val="single" w:color="000000" w:sz="4" w:space="0"/>
              <w:bottom w:val="single" w:color="000000" w:sz="4" w:space="0"/>
              <w:right w:val="single" w:color="000000" w:sz="4" w:space="0"/>
            </w:tcBorders>
            <w:vAlign w:val="center"/>
          </w:tcPr>
          <w:p w14:paraId="56F9A2EA">
            <w:pPr>
              <w:rPr>
                <w:rStyle w:val="39"/>
                <w:rFonts w:ascii="宋体" w:hAnsi="宋体"/>
                <w:szCs w:val="21"/>
              </w:rPr>
            </w:pPr>
            <w:r>
              <w:rPr>
                <w:rStyle w:val="39"/>
                <w:rFonts w:ascii="宋体" w:hAnsi="宋体"/>
                <w:szCs w:val="21"/>
              </w:rPr>
              <w:t>符合第二章“投标人须知”</w:t>
            </w:r>
            <w:r>
              <w:rPr>
                <w:rStyle w:val="29"/>
                <w:rFonts w:ascii="宋体" w:hAnsi="宋体"/>
                <w:color w:val="auto"/>
                <w:sz w:val="21"/>
                <w:szCs w:val="21"/>
              </w:rPr>
              <w:t>第3.3.1项</w:t>
            </w:r>
            <w:r>
              <w:rPr>
                <w:rStyle w:val="39"/>
                <w:rFonts w:ascii="宋体" w:hAnsi="宋体"/>
                <w:szCs w:val="21"/>
              </w:rPr>
              <w:t>规定</w:t>
            </w:r>
          </w:p>
        </w:tc>
      </w:tr>
      <w:tr w14:paraId="58780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exact"/>
        </w:trPr>
        <w:tc>
          <w:tcPr>
            <w:tcW w:w="816" w:type="dxa"/>
            <w:vMerge w:val="continue"/>
            <w:tcBorders>
              <w:top w:val="single" w:color="000000" w:sz="4" w:space="0"/>
              <w:left w:val="single" w:color="000000" w:sz="4" w:space="0"/>
              <w:bottom w:val="single" w:color="000000" w:sz="4" w:space="0"/>
              <w:right w:val="single" w:color="000000" w:sz="4" w:space="0"/>
            </w:tcBorders>
          </w:tcPr>
          <w:p w14:paraId="621148EC">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10413AEE">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75BA108A">
            <w:pPr>
              <w:rPr>
                <w:rStyle w:val="39"/>
                <w:rFonts w:ascii="宋体" w:hAnsi="宋体"/>
                <w:szCs w:val="21"/>
              </w:rPr>
            </w:pPr>
            <w:r>
              <w:rPr>
                <w:rStyle w:val="39"/>
                <w:rFonts w:ascii="宋体" w:hAnsi="宋体"/>
                <w:szCs w:val="21"/>
              </w:rPr>
              <w:t>投标保证金</w:t>
            </w:r>
          </w:p>
        </w:tc>
        <w:tc>
          <w:tcPr>
            <w:tcW w:w="5240" w:type="dxa"/>
            <w:tcBorders>
              <w:top w:val="single" w:color="000000" w:sz="4" w:space="0"/>
              <w:left w:val="single" w:color="000000" w:sz="4" w:space="0"/>
              <w:bottom w:val="single" w:color="000000" w:sz="4" w:space="0"/>
              <w:right w:val="single" w:color="000000" w:sz="4" w:space="0"/>
            </w:tcBorders>
            <w:vAlign w:val="center"/>
          </w:tcPr>
          <w:p w14:paraId="65BC9C3D">
            <w:pPr>
              <w:rPr>
                <w:rStyle w:val="39"/>
                <w:rFonts w:ascii="宋体" w:hAnsi="宋体"/>
                <w:szCs w:val="21"/>
              </w:rPr>
            </w:pPr>
            <w:r>
              <w:rPr>
                <w:rStyle w:val="39"/>
                <w:rFonts w:ascii="宋体" w:hAnsi="宋体"/>
                <w:szCs w:val="21"/>
              </w:rPr>
              <w:t>符合第二章“投标人须知”</w:t>
            </w:r>
            <w:r>
              <w:rPr>
                <w:rStyle w:val="29"/>
                <w:rFonts w:ascii="宋体" w:hAnsi="宋体"/>
                <w:color w:val="auto"/>
                <w:sz w:val="21"/>
                <w:szCs w:val="21"/>
              </w:rPr>
              <w:t>第3.4.1项</w:t>
            </w:r>
            <w:r>
              <w:rPr>
                <w:rStyle w:val="39"/>
                <w:rFonts w:ascii="宋体" w:hAnsi="宋体"/>
                <w:szCs w:val="21"/>
              </w:rPr>
              <w:t>规定</w:t>
            </w:r>
          </w:p>
        </w:tc>
      </w:tr>
      <w:tr w14:paraId="7D093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Pr>
        <w:tc>
          <w:tcPr>
            <w:tcW w:w="816" w:type="dxa"/>
            <w:vMerge w:val="continue"/>
            <w:tcBorders>
              <w:top w:val="single" w:color="000000" w:sz="4" w:space="0"/>
              <w:left w:val="single" w:color="000000" w:sz="4" w:space="0"/>
              <w:bottom w:val="single" w:color="000000" w:sz="4" w:space="0"/>
              <w:right w:val="single" w:color="000000" w:sz="4" w:space="0"/>
            </w:tcBorders>
          </w:tcPr>
          <w:p w14:paraId="33AD278C">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64D6A271">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19F0C0E0">
            <w:pPr>
              <w:rPr>
                <w:rStyle w:val="39"/>
                <w:rFonts w:ascii="宋体" w:hAnsi="宋体"/>
                <w:szCs w:val="21"/>
              </w:rPr>
            </w:pPr>
            <w:r>
              <w:rPr>
                <w:rStyle w:val="39"/>
                <w:rFonts w:ascii="宋体" w:hAnsi="宋体"/>
                <w:szCs w:val="21"/>
              </w:rPr>
              <w:t>权利义务</w:t>
            </w:r>
          </w:p>
        </w:tc>
        <w:tc>
          <w:tcPr>
            <w:tcW w:w="5240" w:type="dxa"/>
            <w:tcBorders>
              <w:top w:val="single" w:color="000000" w:sz="4" w:space="0"/>
              <w:left w:val="single" w:color="000000" w:sz="4" w:space="0"/>
              <w:bottom w:val="single" w:color="000000" w:sz="4" w:space="0"/>
              <w:right w:val="single" w:color="000000" w:sz="4" w:space="0"/>
            </w:tcBorders>
            <w:vAlign w:val="center"/>
          </w:tcPr>
          <w:p w14:paraId="45ACAA6E">
            <w:pPr>
              <w:rPr>
                <w:rStyle w:val="39"/>
                <w:rFonts w:ascii="宋体" w:hAnsi="宋体"/>
                <w:szCs w:val="21"/>
              </w:rPr>
            </w:pPr>
            <w:r>
              <w:rPr>
                <w:rStyle w:val="39"/>
                <w:rFonts w:ascii="宋体" w:hAnsi="宋体"/>
                <w:szCs w:val="21"/>
              </w:rPr>
              <w:t>投标函附录中的相关承诺符合或优于</w:t>
            </w:r>
            <w:r>
              <w:rPr>
                <w:rStyle w:val="29"/>
                <w:rFonts w:ascii="宋体" w:hAnsi="宋体"/>
                <w:color w:val="auto"/>
                <w:sz w:val="21"/>
                <w:szCs w:val="21"/>
              </w:rPr>
              <w:t>第四章</w:t>
            </w:r>
            <w:r>
              <w:rPr>
                <w:rStyle w:val="39"/>
                <w:rFonts w:ascii="宋体" w:hAnsi="宋体"/>
                <w:szCs w:val="21"/>
              </w:rPr>
              <w:t>“合同条款及格式”的相关规定</w:t>
            </w:r>
          </w:p>
        </w:tc>
      </w:tr>
      <w:tr w14:paraId="3A4B0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57" w:hRule="atLeast"/>
        </w:trPr>
        <w:tc>
          <w:tcPr>
            <w:tcW w:w="816" w:type="dxa"/>
            <w:vMerge w:val="continue"/>
            <w:tcBorders>
              <w:top w:val="single" w:color="000000" w:sz="4" w:space="0"/>
              <w:left w:val="single" w:color="000000" w:sz="4" w:space="0"/>
              <w:bottom w:val="single" w:color="000000" w:sz="4" w:space="0"/>
              <w:right w:val="single" w:color="000000" w:sz="4" w:space="0"/>
            </w:tcBorders>
          </w:tcPr>
          <w:p w14:paraId="5061BFCB">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106A234D">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75A0FA29">
            <w:pPr>
              <w:rPr>
                <w:rStyle w:val="39"/>
                <w:rFonts w:ascii="宋体" w:hAnsi="宋体"/>
                <w:szCs w:val="21"/>
              </w:rPr>
            </w:pPr>
            <w:r>
              <w:rPr>
                <w:rStyle w:val="39"/>
                <w:rFonts w:ascii="宋体" w:hAnsi="宋体"/>
                <w:szCs w:val="21"/>
              </w:rPr>
              <w:t>已标价工程量清单</w:t>
            </w:r>
          </w:p>
        </w:tc>
        <w:tc>
          <w:tcPr>
            <w:tcW w:w="5240" w:type="dxa"/>
            <w:tcBorders>
              <w:top w:val="single" w:color="000000" w:sz="4" w:space="0"/>
              <w:left w:val="single" w:color="000000" w:sz="4" w:space="0"/>
              <w:bottom w:val="single" w:color="000000" w:sz="4" w:space="0"/>
              <w:right w:val="single" w:color="000000" w:sz="4" w:space="0"/>
            </w:tcBorders>
            <w:vAlign w:val="center"/>
          </w:tcPr>
          <w:p w14:paraId="1BC9085B">
            <w:pPr>
              <w:rPr>
                <w:rStyle w:val="39"/>
                <w:rFonts w:ascii="宋体" w:hAnsi="宋体"/>
                <w:szCs w:val="21"/>
              </w:rPr>
            </w:pPr>
            <w:r>
              <w:rPr>
                <w:rStyle w:val="39"/>
                <w:rFonts w:ascii="宋体" w:hAnsi="宋体"/>
                <w:szCs w:val="21"/>
              </w:rPr>
              <w:t>符合</w:t>
            </w:r>
            <w:r>
              <w:rPr>
                <w:rStyle w:val="29"/>
                <w:rFonts w:ascii="宋体" w:hAnsi="宋体"/>
                <w:color w:val="auto"/>
                <w:sz w:val="21"/>
                <w:szCs w:val="21"/>
              </w:rPr>
              <w:t>第五章“工程量清单”</w:t>
            </w:r>
            <w:r>
              <w:rPr>
                <w:rStyle w:val="39"/>
                <w:rFonts w:ascii="宋体" w:hAnsi="宋体"/>
                <w:szCs w:val="21"/>
              </w:rPr>
              <w:t>的强制性规定</w:t>
            </w:r>
          </w:p>
        </w:tc>
      </w:tr>
      <w:tr w14:paraId="39F35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exact"/>
        </w:trPr>
        <w:tc>
          <w:tcPr>
            <w:tcW w:w="816" w:type="dxa"/>
            <w:vMerge w:val="continue"/>
            <w:tcBorders>
              <w:top w:val="single" w:color="000000" w:sz="4" w:space="0"/>
              <w:left w:val="single" w:color="000000" w:sz="4" w:space="0"/>
              <w:bottom w:val="single" w:color="000000" w:sz="4" w:space="0"/>
              <w:right w:val="single" w:color="000000" w:sz="4" w:space="0"/>
            </w:tcBorders>
          </w:tcPr>
          <w:p w14:paraId="25184D68">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78BE1475">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3FB8DB08">
            <w:pPr>
              <w:rPr>
                <w:rStyle w:val="39"/>
                <w:rFonts w:ascii="宋体" w:hAnsi="宋体"/>
                <w:szCs w:val="21"/>
              </w:rPr>
            </w:pPr>
            <w:r>
              <w:rPr>
                <w:rStyle w:val="39"/>
                <w:rFonts w:ascii="宋体" w:hAnsi="宋体"/>
                <w:szCs w:val="21"/>
              </w:rPr>
              <w:t>技术标准和要求</w:t>
            </w:r>
          </w:p>
        </w:tc>
        <w:tc>
          <w:tcPr>
            <w:tcW w:w="5240" w:type="dxa"/>
            <w:tcBorders>
              <w:top w:val="single" w:color="000000" w:sz="4" w:space="0"/>
              <w:left w:val="single" w:color="000000" w:sz="4" w:space="0"/>
              <w:bottom w:val="single" w:color="000000" w:sz="4" w:space="0"/>
              <w:right w:val="single" w:color="000000" w:sz="4" w:space="0"/>
            </w:tcBorders>
            <w:vAlign w:val="center"/>
          </w:tcPr>
          <w:p w14:paraId="466D9AB6">
            <w:pPr>
              <w:rPr>
                <w:rStyle w:val="39"/>
                <w:rFonts w:ascii="宋体" w:hAnsi="宋体"/>
                <w:szCs w:val="21"/>
              </w:rPr>
            </w:pPr>
            <w:r>
              <w:rPr>
                <w:rStyle w:val="39"/>
                <w:rFonts w:ascii="宋体" w:hAnsi="宋体"/>
                <w:szCs w:val="21"/>
              </w:rPr>
              <w:t>符合</w:t>
            </w:r>
            <w:r>
              <w:rPr>
                <w:rStyle w:val="29"/>
                <w:rFonts w:ascii="宋体" w:hAnsi="宋体"/>
                <w:color w:val="auto"/>
                <w:sz w:val="21"/>
                <w:szCs w:val="21"/>
              </w:rPr>
              <w:t>第七章“技术标准和要求”</w:t>
            </w:r>
            <w:r>
              <w:rPr>
                <w:rStyle w:val="39"/>
                <w:rFonts w:ascii="宋体" w:hAnsi="宋体"/>
                <w:szCs w:val="21"/>
              </w:rPr>
              <w:t>的强制性规定</w:t>
            </w:r>
          </w:p>
        </w:tc>
      </w:tr>
      <w:tr w14:paraId="425BC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Pr>
        <w:tc>
          <w:tcPr>
            <w:tcW w:w="816" w:type="dxa"/>
            <w:vMerge w:val="continue"/>
            <w:tcBorders>
              <w:top w:val="single" w:color="000000" w:sz="4" w:space="0"/>
              <w:left w:val="single" w:color="000000" w:sz="4" w:space="0"/>
              <w:bottom w:val="single" w:color="000000" w:sz="4" w:space="0"/>
              <w:right w:val="single" w:color="000000" w:sz="4" w:space="0"/>
            </w:tcBorders>
          </w:tcPr>
          <w:p w14:paraId="5DC8A348">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7452304E">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136CE94D">
            <w:pPr>
              <w:rPr>
                <w:rStyle w:val="39"/>
                <w:rFonts w:ascii="宋体" w:hAnsi="宋体"/>
                <w:szCs w:val="21"/>
              </w:rPr>
            </w:pPr>
            <w:r>
              <w:rPr>
                <w:rStyle w:val="39"/>
                <w:rFonts w:ascii="宋体" w:hAnsi="宋体"/>
                <w:szCs w:val="21"/>
              </w:rPr>
              <w:t>投标价格</w:t>
            </w:r>
          </w:p>
        </w:tc>
        <w:tc>
          <w:tcPr>
            <w:tcW w:w="5240" w:type="dxa"/>
            <w:tcBorders>
              <w:top w:val="single" w:color="000000" w:sz="4" w:space="0"/>
              <w:left w:val="single" w:color="000000" w:sz="4" w:space="0"/>
              <w:bottom w:val="single" w:color="000000" w:sz="4" w:space="0"/>
              <w:right w:val="single" w:color="000000" w:sz="4" w:space="0"/>
            </w:tcBorders>
            <w:vAlign w:val="center"/>
          </w:tcPr>
          <w:p w14:paraId="5E5AB137">
            <w:pPr>
              <w:rPr>
                <w:rStyle w:val="39"/>
                <w:rFonts w:ascii="宋体" w:hAnsi="宋体"/>
                <w:szCs w:val="21"/>
              </w:rPr>
            </w:pPr>
            <w:r>
              <w:rPr>
                <w:rStyle w:val="39"/>
                <w:rFonts w:ascii="宋体" w:hAnsi="宋体"/>
                <w:szCs w:val="21"/>
              </w:rPr>
              <w:t>具有唯一性,符合</w:t>
            </w:r>
            <w:r>
              <w:rPr>
                <w:rStyle w:val="29"/>
                <w:rFonts w:ascii="宋体" w:hAnsi="宋体"/>
                <w:color w:val="auto"/>
                <w:sz w:val="21"/>
                <w:szCs w:val="21"/>
              </w:rPr>
              <w:t>第五章“工程量清单”</w:t>
            </w:r>
            <w:r>
              <w:rPr>
                <w:rStyle w:val="39"/>
                <w:rFonts w:ascii="宋体" w:hAnsi="宋体"/>
                <w:szCs w:val="21"/>
              </w:rPr>
              <w:t>的强制性规定</w:t>
            </w:r>
          </w:p>
        </w:tc>
      </w:tr>
      <w:tr w14:paraId="10AF8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2" w:hRule="exact"/>
        </w:trPr>
        <w:tc>
          <w:tcPr>
            <w:tcW w:w="816" w:type="dxa"/>
            <w:vMerge w:val="continue"/>
            <w:tcBorders>
              <w:top w:val="single" w:color="000000" w:sz="4" w:space="0"/>
              <w:left w:val="single" w:color="000000" w:sz="4" w:space="0"/>
              <w:bottom w:val="single" w:color="000000" w:sz="4" w:space="0"/>
              <w:right w:val="single" w:color="000000" w:sz="4" w:space="0"/>
            </w:tcBorders>
          </w:tcPr>
          <w:p w14:paraId="11194401">
            <w:pPr>
              <w:jc w:val="center"/>
              <w:rPr>
                <w:rStyle w:val="39"/>
                <w:rFonts w:ascii="宋体" w:hAnsi="宋体"/>
                <w:szCs w:val="21"/>
              </w:rPr>
            </w:pPr>
          </w:p>
        </w:tc>
        <w:tc>
          <w:tcPr>
            <w:tcW w:w="1315" w:type="dxa"/>
            <w:vMerge w:val="continue"/>
            <w:tcBorders>
              <w:top w:val="single" w:color="000000" w:sz="4" w:space="0"/>
              <w:left w:val="single" w:color="000000" w:sz="4" w:space="0"/>
              <w:bottom w:val="single" w:color="000000" w:sz="4" w:space="0"/>
              <w:right w:val="single" w:color="000000" w:sz="4" w:space="0"/>
            </w:tcBorders>
          </w:tcPr>
          <w:p w14:paraId="085D9B64">
            <w:pPr>
              <w:jc w:val="center"/>
              <w:rPr>
                <w:rStyle w:val="39"/>
                <w:rFonts w:ascii="宋体" w:hAnsi="宋体"/>
                <w:szCs w:val="21"/>
              </w:rPr>
            </w:pPr>
          </w:p>
        </w:tc>
        <w:tc>
          <w:tcPr>
            <w:tcW w:w="2518" w:type="dxa"/>
            <w:tcBorders>
              <w:top w:val="single" w:color="000000" w:sz="4" w:space="0"/>
              <w:left w:val="single" w:color="000000" w:sz="4" w:space="0"/>
              <w:bottom w:val="single" w:color="000000" w:sz="4" w:space="0"/>
              <w:right w:val="single" w:color="000000" w:sz="4" w:space="0"/>
            </w:tcBorders>
            <w:vAlign w:val="center"/>
          </w:tcPr>
          <w:p w14:paraId="5A3BB2DA">
            <w:pPr>
              <w:rPr>
                <w:rStyle w:val="39"/>
                <w:rFonts w:ascii="宋体" w:hAnsi="宋体"/>
                <w:szCs w:val="21"/>
              </w:rPr>
            </w:pPr>
            <w:r>
              <w:rPr>
                <w:rStyle w:val="39"/>
                <w:rFonts w:ascii="宋体" w:hAnsi="宋体"/>
                <w:szCs w:val="21"/>
              </w:rPr>
              <w:t>……</w:t>
            </w:r>
          </w:p>
        </w:tc>
        <w:tc>
          <w:tcPr>
            <w:tcW w:w="5240" w:type="dxa"/>
            <w:tcBorders>
              <w:top w:val="single" w:color="000000" w:sz="4" w:space="0"/>
              <w:left w:val="single" w:color="000000" w:sz="4" w:space="0"/>
              <w:bottom w:val="single" w:color="000000" w:sz="4" w:space="0"/>
              <w:right w:val="single" w:color="000000" w:sz="4" w:space="0"/>
            </w:tcBorders>
            <w:vAlign w:val="center"/>
          </w:tcPr>
          <w:p w14:paraId="0F9C671F">
            <w:pPr>
              <w:rPr>
                <w:rStyle w:val="39"/>
                <w:rFonts w:ascii="宋体" w:hAnsi="宋体"/>
                <w:szCs w:val="21"/>
              </w:rPr>
            </w:pPr>
          </w:p>
        </w:tc>
      </w:tr>
      <w:tr w14:paraId="57960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2131" w:type="dxa"/>
            <w:gridSpan w:val="2"/>
            <w:tcBorders>
              <w:top w:val="single" w:color="000000" w:sz="4" w:space="0"/>
              <w:left w:val="single" w:color="000000" w:sz="4" w:space="0"/>
              <w:bottom w:val="single" w:color="000000" w:sz="4" w:space="0"/>
              <w:right w:val="single" w:color="000000" w:sz="4" w:space="0"/>
            </w:tcBorders>
            <w:vAlign w:val="center"/>
          </w:tcPr>
          <w:p w14:paraId="4C164AB2">
            <w:pPr>
              <w:jc w:val="center"/>
              <w:rPr>
                <w:rStyle w:val="39"/>
                <w:rFonts w:ascii="宋体" w:hAnsi="宋体"/>
                <w:b/>
                <w:szCs w:val="21"/>
              </w:rPr>
            </w:pPr>
            <w:r>
              <w:rPr>
                <w:rStyle w:val="39"/>
                <w:rFonts w:ascii="宋体" w:hAnsi="宋体"/>
                <w:b/>
                <w:szCs w:val="21"/>
              </w:rPr>
              <w:t>条款号</w:t>
            </w:r>
          </w:p>
        </w:tc>
        <w:tc>
          <w:tcPr>
            <w:tcW w:w="2518" w:type="dxa"/>
            <w:tcBorders>
              <w:top w:val="single" w:color="000000" w:sz="4" w:space="0"/>
              <w:left w:val="single" w:color="000000" w:sz="4" w:space="0"/>
              <w:bottom w:val="single" w:color="000000" w:sz="4" w:space="0"/>
              <w:right w:val="single" w:color="000000" w:sz="4" w:space="0"/>
            </w:tcBorders>
            <w:vAlign w:val="center"/>
          </w:tcPr>
          <w:p w14:paraId="676B6138">
            <w:pPr>
              <w:rPr>
                <w:rStyle w:val="39"/>
                <w:rFonts w:ascii="宋体" w:hAnsi="宋体"/>
                <w:b/>
                <w:szCs w:val="21"/>
              </w:rPr>
            </w:pPr>
            <w:r>
              <w:rPr>
                <w:rStyle w:val="39"/>
                <w:rFonts w:ascii="宋体" w:hAnsi="宋体"/>
                <w:b/>
                <w:szCs w:val="21"/>
              </w:rPr>
              <w:t>条款内容</w:t>
            </w:r>
          </w:p>
        </w:tc>
        <w:tc>
          <w:tcPr>
            <w:tcW w:w="5240" w:type="dxa"/>
            <w:tcBorders>
              <w:top w:val="single" w:color="000000" w:sz="4" w:space="0"/>
              <w:left w:val="single" w:color="000000" w:sz="4" w:space="0"/>
              <w:bottom w:val="single" w:color="000000" w:sz="4" w:space="0"/>
              <w:right w:val="single" w:color="000000" w:sz="4" w:space="0"/>
            </w:tcBorders>
            <w:vAlign w:val="center"/>
          </w:tcPr>
          <w:p w14:paraId="41EBFAE6">
            <w:pPr>
              <w:rPr>
                <w:rStyle w:val="39"/>
                <w:rFonts w:ascii="宋体" w:hAnsi="宋体"/>
                <w:b/>
                <w:szCs w:val="21"/>
              </w:rPr>
            </w:pPr>
            <w:r>
              <w:rPr>
                <w:rStyle w:val="39"/>
                <w:rFonts w:ascii="宋体" w:hAnsi="宋体"/>
                <w:b/>
                <w:szCs w:val="21"/>
              </w:rPr>
              <w:t>编列内容</w:t>
            </w:r>
          </w:p>
        </w:tc>
      </w:tr>
      <w:tr w14:paraId="21D36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2131" w:type="dxa"/>
            <w:gridSpan w:val="2"/>
            <w:tcBorders>
              <w:top w:val="single" w:color="000000" w:sz="4" w:space="0"/>
              <w:left w:val="single" w:color="000000" w:sz="4" w:space="0"/>
              <w:bottom w:val="single" w:color="000000" w:sz="4" w:space="0"/>
              <w:right w:val="single" w:color="000000" w:sz="4" w:space="0"/>
            </w:tcBorders>
            <w:vAlign w:val="center"/>
          </w:tcPr>
          <w:p w14:paraId="7D988FA9">
            <w:pPr>
              <w:jc w:val="center"/>
              <w:rPr>
                <w:rStyle w:val="39"/>
                <w:rFonts w:ascii="宋体" w:hAnsi="宋体"/>
                <w:szCs w:val="21"/>
              </w:rPr>
            </w:pPr>
            <w:r>
              <w:rPr>
                <w:rStyle w:val="39"/>
                <w:rFonts w:ascii="宋体" w:hAnsi="宋体"/>
                <w:szCs w:val="21"/>
              </w:rPr>
              <w:t>2.2.1</w:t>
            </w:r>
          </w:p>
        </w:tc>
        <w:tc>
          <w:tcPr>
            <w:tcW w:w="2518" w:type="dxa"/>
            <w:tcBorders>
              <w:top w:val="single" w:color="000000" w:sz="4" w:space="0"/>
              <w:left w:val="single" w:color="000000" w:sz="4" w:space="0"/>
              <w:bottom w:val="single" w:color="000000" w:sz="4" w:space="0"/>
              <w:right w:val="single" w:color="000000" w:sz="4" w:space="0"/>
            </w:tcBorders>
            <w:vAlign w:val="center"/>
          </w:tcPr>
          <w:p w14:paraId="53706E79">
            <w:pPr>
              <w:rPr>
                <w:rStyle w:val="39"/>
                <w:rFonts w:ascii="宋体" w:hAnsi="宋体"/>
                <w:szCs w:val="21"/>
              </w:rPr>
            </w:pPr>
            <w:r>
              <w:rPr>
                <w:rStyle w:val="39"/>
                <w:rFonts w:ascii="宋体" w:hAnsi="宋体"/>
                <w:szCs w:val="21"/>
              </w:rPr>
              <w:t>分值构成（总分100分）</w:t>
            </w:r>
          </w:p>
        </w:tc>
        <w:tc>
          <w:tcPr>
            <w:tcW w:w="5240" w:type="dxa"/>
            <w:tcBorders>
              <w:top w:val="single" w:color="000000" w:sz="4" w:space="0"/>
              <w:left w:val="single" w:color="000000" w:sz="4" w:space="0"/>
              <w:bottom w:val="single" w:color="000000" w:sz="4" w:space="0"/>
              <w:right w:val="single" w:color="000000" w:sz="4" w:space="0"/>
            </w:tcBorders>
            <w:vAlign w:val="center"/>
          </w:tcPr>
          <w:p w14:paraId="0EA6D344">
            <w:pPr>
              <w:rPr>
                <w:rStyle w:val="39"/>
                <w:rFonts w:ascii="宋体" w:hAnsi="宋体"/>
                <w:szCs w:val="21"/>
              </w:rPr>
            </w:pPr>
            <w:r>
              <w:rPr>
                <w:rStyle w:val="39"/>
                <w:rFonts w:ascii="宋体" w:hAnsi="宋体"/>
                <w:szCs w:val="21"/>
              </w:rPr>
              <w:t>详见本章</w:t>
            </w:r>
            <w:r>
              <w:rPr>
                <w:rStyle w:val="29"/>
                <w:rFonts w:ascii="宋体" w:hAnsi="宋体"/>
                <w:color w:val="auto"/>
                <w:sz w:val="21"/>
                <w:szCs w:val="21"/>
              </w:rPr>
              <w:t>第2.2.4款</w:t>
            </w:r>
          </w:p>
        </w:tc>
      </w:tr>
      <w:tr w14:paraId="0572C1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2131" w:type="dxa"/>
            <w:gridSpan w:val="2"/>
            <w:tcBorders>
              <w:top w:val="single" w:color="000000" w:sz="4" w:space="0"/>
              <w:left w:val="single" w:color="000000" w:sz="4" w:space="0"/>
              <w:bottom w:val="single" w:color="000000" w:sz="4" w:space="0"/>
              <w:right w:val="single" w:color="000000" w:sz="4" w:space="0"/>
            </w:tcBorders>
            <w:vAlign w:val="center"/>
          </w:tcPr>
          <w:p w14:paraId="2EAA7543">
            <w:pPr>
              <w:jc w:val="center"/>
              <w:rPr>
                <w:rStyle w:val="39"/>
                <w:rFonts w:ascii="宋体" w:hAnsi="宋体"/>
                <w:szCs w:val="21"/>
              </w:rPr>
            </w:pPr>
            <w:r>
              <w:rPr>
                <w:rStyle w:val="39"/>
                <w:rFonts w:ascii="宋体" w:hAnsi="宋体"/>
                <w:szCs w:val="21"/>
              </w:rPr>
              <w:t>2.2.2</w:t>
            </w:r>
          </w:p>
        </w:tc>
        <w:tc>
          <w:tcPr>
            <w:tcW w:w="2518" w:type="dxa"/>
            <w:tcBorders>
              <w:top w:val="single" w:color="000000" w:sz="4" w:space="0"/>
              <w:left w:val="single" w:color="000000" w:sz="4" w:space="0"/>
              <w:bottom w:val="single" w:color="000000" w:sz="4" w:space="0"/>
              <w:right w:val="single" w:color="000000" w:sz="4" w:space="0"/>
            </w:tcBorders>
            <w:vAlign w:val="center"/>
          </w:tcPr>
          <w:p w14:paraId="7ED2D630">
            <w:pPr>
              <w:rPr>
                <w:rStyle w:val="39"/>
                <w:rFonts w:ascii="宋体" w:hAnsi="宋体"/>
                <w:szCs w:val="21"/>
              </w:rPr>
            </w:pPr>
            <w:r>
              <w:rPr>
                <w:rStyle w:val="39"/>
                <w:rFonts w:ascii="宋体" w:hAnsi="宋体"/>
                <w:szCs w:val="21"/>
              </w:rPr>
              <w:t>评标基准价计算方法</w:t>
            </w:r>
          </w:p>
        </w:tc>
        <w:tc>
          <w:tcPr>
            <w:tcW w:w="5240" w:type="dxa"/>
            <w:tcBorders>
              <w:top w:val="single" w:color="000000" w:sz="4" w:space="0"/>
              <w:left w:val="single" w:color="000000" w:sz="4" w:space="0"/>
              <w:bottom w:val="single" w:color="000000" w:sz="4" w:space="0"/>
              <w:right w:val="single" w:color="000000" w:sz="4" w:space="0"/>
            </w:tcBorders>
            <w:vAlign w:val="center"/>
          </w:tcPr>
          <w:p w14:paraId="1058ED74">
            <w:pPr>
              <w:rPr>
                <w:rStyle w:val="39"/>
                <w:rFonts w:ascii="宋体" w:hAnsi="宋体"/>
                <w:szCs w:val="21"/>
              </w:rPr>
            </w:pPr>
            <w:r>
              <w:rPr>
                <w:rStyle w:val="39"/>
                <w:rFonts w:ascii="宋体" w:hAnsi="宋体"/>
                <w:szCs w:val="21"/>
              </w:rPr>
              <w:t>详见本章</w:t>
            </w:r>
            <w:r>
              <w:rPr>
                <w:rStyle w:val="29"/>
                <w:rFonts w:ascii="宋体" w:hAnsi="宋体"/>
                <w:color w:val="auto"/>
                <w:sz w:val="21"/>
                <w:szCs w:val="21"/>
              </w:rPr>
              <w:t>第2.2.4款</w:t>
            </w:r>
          </w:p>
        </w:tc>
      </w:tr>
      <w:tr w14:paraId="6634F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2131" w:type="dxa"/>
            <w:gridSpan w:val="2"/>
            <w:tcBorders>
              <w:top w:val="single" w:color="000000" w:sz="4" w:space="0"/>
              <w:left w:val="single" w:color="000000" w:sz="4" w:space="0"/>
              <w:bottom w:val="single" w:color="000000" w:sz="4" w:space="0"/>
              <w:right w:val="single" w:color="000000" w:sz="4" w:space="0"/>
            </w:tcBorders>
            <w:vAlign w:val="center"/>
          </w:tcPr>
          <w:p w14:paraId="3E82AF9F">
            <w:pPr>
              <w:jc w:val="center"/>
              <w:rPr>
                <w:rStyle w:val="39"/>
                <w:rFonts w:ascii="宋体" w:hAnsi="宋体"/>
                <w:szCs w:val="21"/>
              </w:rPr>
            </w:pPr>
            <w:r>
              <w:rPr>
                <w:rStyle w:val="39"/>
                <w:rFonts w:ascii="宋体" w:hAnsi="宋体"/>
                <w:szCs w:val="21"/>
              </w:rPr>
              <w:t>2.2.3</w:t>
            </w:r>
          </w:p>
        </w:tc>
        <w:tc>
          <w:tcPr>
            <w:tcW w:w="2518" w:type="dxa"/>
            <w:tcBorders>
              <w:top w:val="single" w:color="000000" w:sz="4" w:space="0"/>
              <w:left w:val="single" w:color="000000" w:sz="4" w:space="0"/>
              <w:bottom w:val="single" w:color="000000" w:sz="4" w:space="0"/>
              <w:right w:val="single" w:color="000000" w:sz="4" w:space="0"/>
            </w:tcBorders>
            <w:vAlign w:val="center"/>
          </w:tcPr>
          <w:p w14:paraId="1D1D89D8">
            <w:pPr>
              <w:rPr>
                <w:rStyle w:val="39"/>
                <w:rFonts w:ascii="宋体" w:hAnsi="宋体"/>
                <w:szCs w:val="21"/>
              </w:rPr>
            </w:pPr>
            <w:r>
              <w:rPr>
                <w:rStyle w:val="39"/>
                <w:rFonts w:ascii="宋体" w:hAnsi="宋体"/>
                <w:szCs w:val="21"/>
              </w:rPr>
              <w:t>投标报价的偏差率计算公式</w:t>
            </w:r>
          </w:p>
        </w:tc>
        <w:tc>
          <w:tcPr>
            <w:tcW w:w="5240" w:type="dxa"/>
            <w:tcBorders>
              <w:top w:val="single" w:color="000000" w:sz="4" w:space="0"/>
              <w:left w:val="single" w:color="000000" w:sz="4" w:space="0"/>
              <w:bottom w:val="single" w:color="000000" w:sz="4" w:space="0"/>
              <w:right w:val="single" w:color="000000" w:sz="4" w:space="0"/>
            </w:tcBorders>
            <w:vAlign w:val="center"/>
          </w:tcPr>
          <w:p w14:paraId="681BCB8F">
            <w:pPr>
              <w:rPr>
                <w:rStyle w:val="39"/>
                <w:rFonts w:ascii="宋体" w:hAnsi="宋体"/>
                <w:szCs w:val="21"/>
              </w:rPr>
            </w:pPr>
            <w:r>
              <w:rPr>
                <w:rStyle w:val="39"/>
                <w:rFonts w:ascii="宋体" w:hAnsi="宋体"/>
                <w:szCs w:val="21"/>
              </w:rPr>
              <w:t>偏差率＝100％×（投标人报价-评标基准价）/评标基准价</w:t>
            </w:r>
          </w:p>
        </w:tc>
      </w:tr>
      <w:tr w14:paraId="2CE06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2131" w:type="dxa"/>
            <w:gridSpan w:val="2"/>
            <w:tcBorders>
              <w:top w:val="single" w:color="000000" w:sz="4" w:space="0"/>
              <w:left w:val="single" w:color="000000" w:sz="4" w:space="0"/>
              <w:bottom w:val="single" w:color="000000" w:sz="4" w:space="0"/>
              <w:right w:val="single" w:color="000000" w:sz="4" w:space="0"/>
            </w:tcBorders>
            <w:vAlign w:val="center"/>
          </w:tcPr>
          <w:p w14:paraId="48D5B4A2">
            <w:pPr>
              <w:jc w:val="center"/>
              <w:rPr>
                <w:rStyle w:val="39"/>
                <w:rFonts w:ascii="宋体" w:hAnsi="宋体"/>
                <w:szCs w:val="21"/>
              </w:rPr>
            </w:pPr>
            <w:r>
              <w:rPr>
                <w:rStyle w:val="39"/>
                <w:rFonts w:ascii="宋体" w:hAnsi="宋体"/>
                <w:szCs w:val="21"/>
              </w:rPr>
              <w:t>条款号</w:t>
            </w:r>
          </w:p>
        </w:tc>
        <w:tc>
          <w:tcPr>
            <w:tcW w:w="2518" w:type="dxa"/>
            <w:tcBorders>
              <w:top w:val="single" w:color="000000" w:sz="4" w:space="0"/>
              <w:left w:val="single" w:color="000000" w:sz="4" w:space="0"/>
              <w:bottom w:val="single" w:color="000000" w:sz="4" w:space="0"/>
              <w:right w:val="single" w:color="000000" w:sz="4" w:space="0"/>
            </w:tcBorders>
            <w:vAlign w:val="center"/>
          </w:tcPr>
          <w:p w14:paraId="5191DA36">
            <w:pPr>
              <w:rPr>
                <w:rStyle w:val="39"/>
                <w:rFonts w:ascii="宋体" w:hAnsi="宋体"/>
                <w:szCs w:val="21"/>
              </w:rPr>
            </w:pPr>
            <w:r>
              <w:rPr>
                <w:rStyle w:val="39"/>
                <w:rFonts w:ascii="宋体" w:hAnsi="宋体"/>
                <w:szCs w:val="21"/>
              </w:rPr>
              <w:t>评分因素</w:t>
            </w:r>
          </w:p>
        </w:tc>
        <w:tc>
          <w:tcPr>
            <w:tcW w:w="5240" w:type="dxa"/>
            <w:tcBorders>
              <w:top w:val="single" w:color="000000" w:sz="4" w:space="0"/>
              <w:left w:val="single" w:color="000000" w:sz="4" w:space="0"/>
              <w:bottom w:val="single" w:color="000000" w:sz="4" w:space="0"/>
              <w:right w:val="single" w:color="000000" w:sz="4" w:space="0"/>
            </w:tcBorders>
            <w:vAlign w:val="center"/>
          </w:tcPr>
          <w:p w14:paraId="62938C0C">
            <w:pPr>
              <w:rPr>
                <w:rStyle w:val="39"/>
                <w:rFonts w:ascii="宋体" w:hAnsi="宋体"/>
                <w:szCs w:val="21"/>
              </w:rPr>
            </w:pPr>
            <w:r>
              <w:rPr>
                <w:rStyle w:val="39"/>
                <w:rFonts w:ascii="宋体" w:hAnsi="宋体"/>
                <w:szCs w:val="21"/>
              </w:rPr>
              <w:t>评分标准</w:t>
            </w:r>
          </w:p>
        </w:tc>
      </w:tr>
      <w:tr w14:paraId="6765C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2131" w:type="dxa"/>
            <w:gridSpan w:val="2"/>
            <w:tcBorders>
              <w:top w:val="single" w:color="000000" w:sz="4" w:space="0"/>
              <w:left w:val="single" w:color="000000" w:sz="4" w:space="0"/>
              <w:bottom w:val="single" w:color="000000" w:sz="4" w:space="0"/>
              <w:right w:val="single" w:color="000000" w:sz="4" w:space="0"/>
            </w:tcBorders>
            <w:vAlign w:val="center"/>
          </w:tcPr>
          <w:p w14:paraId="1849B524">
            <w:pPr>
              <w:jc w:val="center"/>
              <w:rPr>
                <w:rStyle w:val="39"/>
                <w:rFonts w:ascii="宋体" w:hAnsi="宋体"/>
                <w:b/>
                <w:szCs w:val="21"/>
              </w:rPr>
            </w:pPr>
            <w:r>
              <w:rPr>
                <w:rStyle w:val="39"/>
                <w:rFonts w:ascii="宋体" w:hAnsi="宋体"/>
                <w:b/>
                <w:szCs w:val="21"/>
              </w:rPr>
              <w:t>2.2.4</w:t>
            </w:r>
          </w:p>
        </w:tc>
        <w:tc>
          <w:tcPr>
            <w:tcW w:w="7758" w:type="dxa"/>
            <w:gridSpan w:val="2"/>
            <w:tcBorders>
              <w:top w:val="single" w:color="000000" w:sz="4" w:space="0"/>
              <w:left w:val="single" w:color="000000" w:sz="4" w:space="0"/>
              <w:bottom w:val="single" w:color="000000" w:sz="4" w:space="0"/>
              <w:right w:val="single" w:color="000000" w:sz="4" w:space="0"/>
            </w:tcBorders>
            <w:vAlign w:val="center"/>
          </w:tcPr>
          <w:p w14:paraId="0058707B">
            <w:pPr>
              <w:jc w:val="center"/>
              <w:rPr>
                <w:rStyle w:val="39"/>
                <w:rFonts w:ascii="宋体" w:hAnsi="宋体"/>
                <w:b/>
                <w:szCs w:val="21"/>
              </w:rPr>
            </w:pPr>
            <w:r>
              <w:rPr>
                <w:rStyle w:val="29"/>
                <w:rFonts w:ascii="宋体" w:hAnsi="宋体"/>
                <w:b/>
                <w:color w:val="auto"/>
                <w:sz w:val="21"/>
                <w:szCs w:val="21"/>
              </w:rPr>
              <w:t>详见评分细则</w:t>
            </w:r>
          </w:p>
        </w:tc>
      </w:tr>
      <w:tr w14:paraId="67664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trPr>
        <w:tc>
          <w:tcPr>
            <w:tcW w:w="2131" w:type="dxa"/>
            <w:gridSpan w:val="2"/>
            <w:tcBorders>
              <w:top w:val="single" w:color="000000" w:sz="4" w:space="0"/>
              <w:left w:val="single" w:color="000000" w:sz="4" w:space="0"/>
              <w:bottom w:val="single" w:color="000000" w:sz="4" w:space="0"/>
              <w:right w:val="single" w:color="000000" w:sz="4" w:space="0"/>
            </w:tcBorders>
            <w:vAlign w:val="center"/>
          </w:tcPr>
          <w:p w14:paraId="175F9F73">
            <w:pPr>
              <w:jc w:val="center"/>
              <w:rPr>
                <w:rStyle w:val="39"/>
                <w:rFonts w:ascii="宋体" w:hAnsi="宋体"/>
                <w:szCs w:val="21"/>
              </w:rPr>
            </w:pPr>
            <w:r>
              <w:rPr>
                <w:rStyle w:val="39"/>
                <w:rFonts w:ascii="宋体" w:hAnsi="宋体"/>
                <w:szCs w:val="21"/>
              </w:rPr>
              <w:t>条款号</w:t>
            </w:r>
          </w:p>
        </w:tc>
        <w:tc>
          <w:tcPr>
            <w:tcW w:w="7758" w:type="dxa"/>
            <w:gridSpan w:val="2"/>
            <w:tcBorders>
              <w:top w:val="single" w:color="000000" w:sz="4" w:space="0"/>
              <w:left w:val="single" w:color="000000" w:sz="4" w:space="0"/>
              <w:bottom w:val="single" w:color="000000" w:sz="4" w:space="0"/>
              <w:right w:val="single" w:color="000000" w:sz="4" w:space="0"/>
            </w:tcBorders>
            <w:vAlign w:val="center"/>
          </w:tcPr>
          <w:p w14:paraId="7B84AD54">
            <w:pPr>
              <w:jc w:val="center"/>
              <w:rPr>
                <w:rStyle w:val="39"/>
                <w:rFonts w:ascii="宋体" w:hAnsi="宋体"/>
                <w:szCs w:val="21"/>
              </w:rPr>
            </w:pPr>
            <w:r>
              <w:rPr>
                <w:rStyle w:val="39"/>
                <w:rFonts w:ascii="宋体" w:hAnsi="宋体"/>
                <w:szCs w:val="21"/>
              </w:rPr>
              <w:t>编 列 内 容</w:t>
            </w:r>
          </w:p>
        </w:tc>
      </w:tr>
      <w:tr w14:paraId="740AB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trPr>
        <w:tc>
          <w:tcPr>
            <w:tcW w:w="816" w:type="dxa"/>
            <w:tcBorders>
              <w:top w:val="single" w:color="000000" w:sz="4" w:space="0"/>
              <w:left w:val="single" w:color="000000" w:sz="4" w:space="0"/>
              <w:bottom w:val="single" w:color="000000" w:sz="4" w:space="0"/>
              <w:right w:val="single" w:color="000000" w:sz="4" w:space="0"/>
            </w:tcBorders>
            <w:vAlign w:val="center"/>
          </w:tcPr>
          <w:p w14:paraId="2B307E66">
            <w:pPr>
              <w:jc w:val="center"/>
              <w:rPr>
                <w:rStyle w:val="39"/>
                <w:rFonts w:ascii="宋体" w:hAnsi="宋体"/>
                <w:szCs w:val="21"/>
              </w:rPr>
            </w:pPr>
            <w:r>
              <w:rPr>
                <w:rStyle w:val="39"/>
                <w:rFonts w:ascii="宋体" w:hAnsi="宋体"/>
                <w:szCs w:val="21"/>
              </w:rPr>
              <w:t>3</w:t>
            </w:r>
          </w:p>
        </w:tc>
        <w:tc>
          <w:tcPr>
            <w:tcW w:w="1315" w:type="dxa"/>
            <w:tcBorders>
              <w:top w:val="single" w:color="000000" w:sz="4" w:space="0"/>
              <w:left w:val="single" w:color="000000" w:sz="4" w:space="0"/>
              <w:bottom w:val="single" w:color="000000" w:sz="4" w:space="0"/>
              <w:right w:val="single" w:color="000000" w:sz="4" w:space="0"/>
            </w:tcBorders>
            <w:vAlign w:val="center"/>
          </w:tcPr>
          <w:p w14:paraId="051FBA93">
            <w:pPr>
              <w:jc w:val="center"/>
              <w:rPr>
                <w:rStyle w:val="39"/>
                <w:rFonts w:ascii="宋体" w:hAnsi="宋体"/>
                <w:szCs w:val="21"/>
              </w:rPr>
            </w:pPr>
            <w:r>
              <w:rPr>
                <w:rStyle w:val="39"/>
                <w:rFonts w:ascii="宋体" w:hAnsi="宋体"/>
                <w:szCs w:val="21"/>
              </w:rPr>
              <w:t>评标程序</w:t>
            </w:r>
          </w:p>
        </w:tc>
        <w:tc>
          <w:tcPr>
            <w:tcW w:w="7758" w:type="dxa"/>
            <w:gridSpan w:val="2"/>
            <w:tcBorders>
              <w:top w:val="single" w:color="000000" w:sz="4" w:space="0"/>
              <w:left w:val="single" w:color="000000" w:sz="4" w:space="0"/>
              <w:bottom w:val="single" w:color="000000" w:sz="4" w:space="0"/>
              <w:right w:val="single" w:color="000000" w:sz="4" w:space="0"/>
            </w:tcBorders>
            <w:vAlign w:val="center"/>
          </w:tcPr>
          <w:p w14:paraId="0C9A58B8">
            <w:pPr>
              <w:rPr>
                <w:rStyle w:val="39"/>
                <w:rFonts w:ascii="宋体" w:hAnsi="宋体"/>
                <w:szCs w:val="21"/>
              </w:rPr>
            </w:pPr>
            <w:r>
              <w:rPr>
                <w:rStyle w:val="39"/>
                <w:rFonts w:ascii="宋体" w:hAnsi="宋体"/>
                <w:szCs w:val="21"/>
              </w:rPr>
              <w:t>详见本章附件A： 评标详细程序</w:t>
            </w:r>
          </w:p>
        </w:tc>
      </w:tr>
      <w:tr w14:paraId="4E9AE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trPr>
        <w:tc>
          <w:tcPr>
            <w:tcW w:w="816" w:type="dxa"/>
            <w:tcBorders>
              <w:top w:val="single" w:color="000000" w:sz="4" w:space="0"/>
              <w:left w:val="single" w:color="000000" w:sz="4" w:space="0"/>
              <w:bottom w:val="single" w:color="000000" w:sz="4" w:space="0"/>
              <w:right w:val="single" w:color="000000" w:sz="4" w:space="0"/>
            </w:tcBorders>
            <w:vAlign w:val="center"/>
          </w:tcPr>
          <w:p w14:paraId="7F1BBC72">
            <w:pPr>
              <w:jc w:val="center"/>
              <w:rPr>
                <w:rStyle w:val="39"/>
                <w:rFonts w:ascii="宋体" w:hAnsi="宋体"/>
                <w:szCs w:val="21"/>
              </w:rPr>
            </w:pPr>
            <w:r>
              <w:rPr>
                <w:rStyle w:val="39"/>
                <w:rFonts w:ascii="宋体" w:hAnsi="宋体"/>
                <w:szCs w:val="21"/>
              </w:rPr>
              <w:t>3.1.2</w:t>
            </w:r>
          </w:p>
        </w:tc>
        <w:tc>
          <w:tcPr>
            <w:tcW w:w="1315" w:type="dxa"/>
            <w:tcBorders>
              <w:top w:val="single" w:color="000000" w:sz="4" w:space="0"/>
              <w:left w:val="single" w:color="000000" w:sz="4" w:space="0"/>
              <w:bottom w:val="single" w:color="000000" w:sz="4" w:space="0"/>
              <w:right w:val="single" w:color="000000" w:sz="4" w:space="0"/>
            </w:tcBorders>
            <w:vAlign w:val="center"/>
          </w:tcPr>
          <w:p w14:paraId="35BF81F8">
            <w:pPr>
              <w:jc w:val="center"/>
              <w:rPr>
                <w:rStyle w:val="39"/>
                <w:rFonts w:ascii="宋体" w:hAnsi="宋体"/>
                <w:szCs w:val="21"/>
              </w:rPr>
            </w:pPr>
            <w:r>
              <w:rPr>
                <w:rStyle w:val="39"/>
                <w:rFonts w:ascii="宋体" w:hAnsi="宋体"/>
                <w:szCs w:val="21"/>
              </w:rPr>
              <w:t>废标条件</w:t>
            </w:r>
          </w:p>
        </w:tc>
        <w:tc>
          <w:tcPr>
            <w:tcW w:w="7758" w:type="dxa"/>
            <w:gridSpan w:val="2"/>
            <w:tcBorders>
              <w:top w:val="single" w:color="000000" w:sz="4" w:space="0"/>
              <w:left w:val="single" w:color="000000" w:sz="4" w:space="0"/>
              <w:bottom w:val="single" w:color="000000" w:sz="4" w:space="0"/>
              <w:right w:val="single" w:color="000000" w:sz="4" w:space="0"/>
            </w:tcBorders>
            <w:vAlign w:val="center"/>
          </w:tcPr>
          <w:p w14:paraId="6ECC579E">
            <w:pPr>
              <w:rPr>
                <w:rStyle w:val="39"/>
                <w:rFonts w:ascii="宋体" w:hAnsi="宋体"/>
                <w:szCs w:val="21"/>
              </w:rPr>
            </w:pPr>
            <w:r>
              <w:rPr>
                <w:rStyle w:val="39"/>
                <w:rFonts w:ascii="宋体" w:hAnsi="宋体"/>
                <w:szCs w:val="21"/>
              </w:rPr>
              <w:t>详见本章附件B： 废标条件</w:t>
            </w:r>
          </w:p>
        </w:tc>
      </w:tr>
    </w:tbl>
    <w:p w14:paraId="1BC44A4D">
      <w:pPr>
        <w:rPr>
          <w:rStyle w:val="39"/>
          <w:rFonts w:ascii="宋体" w:hAnsi="宋体"/>
        </w:rPr>
      </w:pPr>
    </w:p>
    <w:p w14:paraId="74702D83">
      <w:pPr>
        <w:rPr>
          <w:rStyle w:val="39"/>
          <w:rFonts w:ascii="宋体" w:hAnsi="宋体"/>
        </w:rPr>
      </w:pPr>
    </w:p>
    <w:p w14:paraId="35EAA1A6">
      <w:pPr>
        <w:rPr>
          <w:rStyle w:val="39"/>
          <w:rFonts w:ascii="宋体" w:hAnsi="宋体"/>
        </w:rPr>
      </w:pPr>
    </w:p>
    <w:p w14:paraId="71E77283">
      <w:pPr>
        <w:rPr>
          <w:rStyle w:val="39"/>
          <w:rFonts w:ascii="宋体" w:hAnsi="宋体"/>
        </w:rPr>
      </w:pPr>
    </w:p>
    <w:p w14:paraId="266CCE0A">
      <w:pPr>
        <w:rPr>
          <w:rStyle w:val="39"/>
          <w:rFonts w:ascii="宋体" w:hAnsi="宋体"/>
        </w:rPr>
      </w:pPr>
    </w:p>
    <w:p w14:paraId="290E2CA2">
      <w:pPr>
        <w:rPr>
          <w:rStyle w:val="39"/>
          <w:rFonts w:ascii="宋体" w:hAnsi="宋体"/>
        </w:rPr>
      </w:pPr>
    </w:p>
    <w:p w14:paraId="5C99D6BD">
      <w:pPr>
        <w:rPr>
          <w:rStyle w:val="39"/>
          <w:rFonts w:ascii="宋体" w:hAnsi="宋体"/>
        </w:rPr>
      </w:pPr>
    </w:p>
    <w:p w14:paraId="7535E616">
      <w:pPr>
        <w:rPr>
          <w:rStyle w:val="39"/>
          <w:rFonts w:ascii="宋体" w:hAnsi="宋体"/>
        </w:rPr>
      </w:pPr>
    </w:p>
    <w:p w14:paraId="7ED20178">
      <w:pPr>
        <w:rPr>
          <w:rStyle w:val="39"/>
          <w:rFonts w:ascii="宋体" w:hAnsi="宋体"/>
        </w:rPr>
      </w:pPr>
    </w:p>
    <w:p w14:paraId="14A79671">
      <w:pPr>
        <w:rPr>
          <w:rStyle w:val="39"/>
          <w:rFonts w:ascii="宋体" w:hAnsi="宋体"/>
        </w:rPr>
      </w:pPr>
    </w:p>
    <w:p w14:paraId="079964B4">
      <w:pPr>
        <w:rPr>
          <w:rStyle w:val="39"/>
          <w:rFonts w:ascii="宋体" w:hAnsi="宋体"/>
        </w:rPr>
      </w:pPr>
    </w:p>
    <w:p w14:paraId="2E2B610F">
      <w:pPr>
        <w:rPr>
          <w:rStyle w:val="39"/>
          <w:rFonts w:ascii="宋体" w:hAnsi="宋体"/>
        </w:rPr>
      </w:pPr>
    </w:p>
    <w:p w14:paraId="7EBB4D8A">
      <w:pPr>
        <w:rPr>
          <w:rStyle w:val="39"/>
          <w:rFonts w:ascii="宋体" w:hAnsi="宋体"/>
        </w:rPr>
      </w:pPr>
    </w:p>
    <w:p w14:paraId="5B282F02">
      <w:pPr>
        <w:rPr>
          <w:rStyle w:val="39"/>
          <w:rFonts w:ascii="宋体" w:hAnsi="宋体"/>
        </w:rPr>
      </w:pPr>
    </w:p>
    <w:p w14:paraId="285BF037">
      <w:pPr>
        <w:rPr>
          <w:rStyle w:val="39"/>
          <w:rFonts w:ascii="宋体" w:hAnsi="宋体"/>
        </w:rPr>
      </w:pPr>
    </w:p>
    <w:p w14:paraId="44864797">
      <w:pPr>
        <w:rPr>
          <w:rStyle w:val="39"/>
          <w:rFonts w:ascii="宋体" w:hAnsi="宋体"/>
        </w:rPr>
      </w:pPr>
    </w:p>
    <w:p w14:paraId="05F01EE2">
      <w:pPr>
        <w:rPr>
          <w:rStyle w:val="39"/>
          <w:rFonts w:ascii="宋体" w:hAnsi="宋体"/>
        </w:rPr>
      </w:pPr>
    </w:p>
    <w:p w14:paraId="7522127D">
      <w:pPr>
        <w:rPr>
          <w:rStyle w:val="39"/>
          <w:rFonts w:ascii="宋体" w:hAnsi="宋体"/>
        </w:rPr>
      </w:pPr>
    </w:p>
    <w:p w14:paraId="3E102F7D">
      <w:pPr>
        <w:rPr>
          <w:rStyle w:val="39"/>
          <w:rFonts w:ascii="宋体" w:hAnsi="宋体"/>
        </w:rPr>
      </w:pPr>
    </w:p>
    <w:p w14:paraId="1F748E9F">
      <w:pPr>
        <w:rPr>
          <w:rStyle w:val="39"/>
          <w:rFonts w:ascii="宋体" w:hAnsi="宋体"/>
        </w:rPr>
      </w:pPr>
    </w:p>
    <w:p w14:paraId="503E1A75">
      <w:pPr>
        <w:rPr>
          <w:rStyle w:val="39"/>
          <w:rFonts w:ascii="宋体" w:hAnsi="宋体"/>
        </w:rPr>
      </w:pPr>
    </w:p>
    <w:p w14:paraId="2700D870">
      <w:pPr>
        <w:rPr>
          <w:rStyle w:val="39"/>
          <w:rFonts w:ascii="宋体" w:hAnsi="宋体"/>
        </w:rPr>
      </w:pPr>
    </w:p>
    <w:p w14:paraId="46C00D37">
      <w:pPr>
        <w:rPr>
          <w:rStyle w:val="39"/>
          <w:rFonts w:ascii="宋体" w:hAnsi="宋体"/>
        </w:rPr>
      </w:pPr>
    </w:p>
    <w:p w14:paraId="49C110B6">
      <w:pPr>
        <w:rPr>
          <w:rStyle w:val="39"/>
          <w:rFonts w:ascii="宋体" w:hAnsi="宋体"/>
        </w:rPr>
      </w:pPr>
    </w:p>
    <w:p w14:paraId="653017C5">
      <w:pPr>
        <w:rPr>
          <w:rStyle w:val="39"/>
          <w:rFonts w:ascii="宋体" w:hAnsi="宋体"/>
        </w:rPr>
      </w:pPr>
    </w:p>
    <w:p w14:paraId="27853FAB">
      <w:pPr>
        <w:pStyle w:val="43"/>
        <w:spacing w:before="0" w:after="0"/>
        <w:jc w:val="center"/>
        <w:rPr>
          <w:rStyle w:val="39"/>
        </w:rPr>
      </w:pPr>
      <w:r>
        <w:rPr>
          <w:rStyle w:val="39"/>
        </w:rPr>
        <w:br w:type="page"/>
      </w:r>
    </w:p>
    <w:p w14:paraId="6C67463C">
      <w:pPr>
        <w:pStyle w:val="43"/>
        <w:spacing w:before="0" w:after="0"/>
        <w:jc w:val="center"/>
        <w:rPr>
          <w:rStyle w:val="39"/>
          <w:rFonts w:ascii="宋体" w:hAnsi="宋体"/>
          <w:sz w:val="24"/>
        </w:rPr>
      </w:pPr>
      <w:r>
        <w:rPr>
          <w:rStyle w:val="39"/>
          <w:rFonts w:ascii="宋体" w:hAnsi="宋体"/>
          <w:sz w:val="24"/>
        </w:rPr>
        <w:t>2．2．4 评分细则</w:t>
      </w:r>
    </w:p>
    <w:p w14:paraId="109D2672">
      <w:pPr>
        <w:pStyle w:val="43"/>
        <w:spacing w:before="0" w:after="0"/>
        <w:jc w:val="center"/>
        <w:rPr>
          <w:rStyle w:val="39"/>
          <w:rFonts w:ascii="宋体" w:hAnsi="宋体"/>
          <w:sz w:val="24"/>
        </w:rPr>
      </w:pPr>
    </w:p>
    <w:p w14:paraId="052A8207">
      <w:pPr>
        <w:spacing w:line="360" w:lineRule="auto"/>
        <w:ind w:firstLine="569" w:firstLineChars="236"/>
        <w:rPr>
          <w:b/>
          <w:bCs/>
          <w:sz w:val="24"/>
        </w:rPr>
      </w:pPr>
      <w:bookmarkStart w:id="94" w:name="_Toc17817335"/>
      <w:bookmarkStart w:id="95" w:name="_Toc3914"/>
      <w:r>
        <w:rPr>
          <w:b/>
          <w:bCs/>
          <w:sz w:val="24"/>
        </w:rPr>
        <w:t>本次评标采用技术标和商务标同时开标、分阶段评标的模式。</w:t>
      </w:r>
    </w:p>
    <w:p w14:paraId="4ACAF90B">
      <w:pPr>
        <w:spacing w:line="360" w:lineRule="auto"/>
        <w:ind w:firstLine="569" w:firstLineChars="236"/>
        <w:rPr>
          <w:b/>
          <w:bCs/>
          <w:sz w:val="24"/>
        </w:rPr>
      </w:pPr>
      <w:r>
        <w:rPr>
          <w:b/>
          <w:bCs/>
          <w:sz w:val="24"/>
        </w:rPr>
        <w:t>首先进行技术标评审，由评标专家组对所有投标方的技术标部分综合评定和打分，确定进入商务标评比资格的投标方。然后对所有入围商务标的单位进行综合评审，招标人有权根据项目情况，商务标采取</w:t>
      </w:r>
      <w:r>
        <w:rPr>
          <w:rFonts w:hint="eastAsia"/>
          <w:b/>
          <w:bCs/>
          <w:sz w:val="24"/>
        </w:rPr>
        <w:t>多轮多次</w:t>
      </w:r>
      <w:r>
        <w:rPr>
          <w:b/>
          <w:bCs/>
          <w:sz w:val="24"/>
        </w:rPr>
        <w:t>报价模式，最终根据综合得分确定各投标人排序，原则上按照综合得分最高分确定推荐中标人，对未中标单位不做任何解释。</w:t>
      </w:r>
    </w:p>
    <w:p w14:paraId="67C1052B">
      <w:pPr>
        <w:spacing w:line="360" w:lineRule="auto"/>
        <w:ind w:firstLine="569" w:firstLineChars="236"/>
        <w:rPr>
          <w:b/>
          <w:bCs/>
          <w:sz w:val="24"/>
        </w:rPr>
      </w:pPr>
      <w:r>
        <w:rPr>
          <w:b/>
          <w:bCs/>
          <w:sz w:val="24"/>
        </w:rPr>
        <w:t>根据最终有效综合得分由高到低进行排序，综合得分最高者排名第一，综合得分次高者排名第二，以此类推，综合得分最低者排名最后。最终综合得分第一的推荐为拟中标人，但是报价明显低于成本的除外。</w:t>
      </w:r>
    </w:p>
    <w:p w14:paraId="72F02B38">
      <w:pPr>
        <w:spacing w:line="360" w:lineRule="auto"/>
        <w:ind w:firstLine="569" w:firstLineChars="236"/>
        <w:rPr>
          <w:b/>
          <w:bCs/>
          <w:sz w:val="24"/>
        </w:rPr>
      </w:pPr>
      <w:r>
        <w:rPr>
          <w:b/>
          <w:bCs/>
          <w:sz w:val="24"/>
        </w:rPr>
        <w:t>综合得分=技术标得分*0.</w:t>
      </w:r>
      <w:r>
        <w:rPr>
          <w:rFonts w:hint="default"/>
          <w:b/>
          <w:bCs/>
          <w:sz w:val="24"/>
          <w:lang w:val="en-US"/>
        </w:rPr>
        <w:t>3</w:t>
      </w:r>
      <w:r>
        <w:rPr>
          <w:b/>
          <w:bCs/>
          <w:sz w:val="24"/>
        </w:rPr>
        <w:t>+商务标得分*0.7</w:t>
      </w:r>
    </w:p>
    <w:p w14:paraId="4840AFCD">
      <w:pPr>
        <w:spacing w:line="360" w:lineRule="auto"/>
        <w:ind w:firstLine="566" w:firstLineChars="236"/>
        <w:rPr>
          <w:rFonts w:ascii="宋体" w:cs="宋体"/>
          <w:kern w:val="0"/>
          <w:sz w:val="24"/>
        </w:rPr>
      </w:pPr>
      <w:r>
        <w:rPr>
          <w:rFonts w:hint="eastAsia" w:ascii="宋体" w:hAnsi="宋体" w:cs="宋体"/>
          <w:sz w:val="24"/>
        </w:rPr>
        <w:t>评分细则如下：</w:t>
      </w:r>
    </w:p>
    <w:p w14:paraId="0173E7C7">
      <w:pPr>
        <w:pStyle w:val="43"/>
        <w:spacing w:before="0" w:after="0"/>
        <w:jc w:val="center"/>
        <w:rPr>
          <w:rStyle w:val="39"/>
          <w:rFonts w:ascii="宋体" w:hAnsi="宋体"/>
          <w:sz w:val="24"/>
        </w:rPr>
      </w:pPr>
    </w:p>
    <w:p w14:paraId="1E2AFE4E">
      <w:pPr>
        <w:pStyle w:val="43"/>
        <w:spacing w:before="0" w:after="0"/>
        <w:jc w:val="center"/>
        <w:rPr>
          <w:rStyle w:val="39"/>
          <w:rFonts w:ascii="宋体" w:hAnsi="宋体"/>
          <w:sz w:val="24"/>
        </w:rPr>
      </w:pPr>
      <w:r>
        <w:rPr>
          <w:rStyle w:val="39"/>
          <w:rFonts w:ascii="宋体" w:hAnsi="宋体"/>
          <w:sz w:val="24"/>
        </w:rPr>
        <w:t>技术标评分细则（满分</w:t>
      </w:r>
      <w:r>
        <w:rPr>
          <w:rStyle w:val="39"/>
          <w:rFonts w:hint="eastAsia" w:ascii="宋体" w:hAnsi="宋体"/>
          <w:sz w:val="24"/>
        </w:rPr>
        <w:t>100</w:t>
      </w:r>
      <w:r>
        <w:rPr>
          <w:rStyle w:val="39"/>
          <w:rFonts w:ascii="宋体" w:hAnsi="宋体"/>
          <w:sz w:val="24"/>
        </w:rPr>
        <w:t>分）</w:t>
      </w:r>
    </w:p>
    <w:p w14:paraId="442898FC">
      <w:pPr>
        <w:pStyle w:val="43"/>
        <w:spacing w:before="0" w:after="0"/>
        <w:rPr>
          <w:rStyle w:val="39"/>
          <w:rFonts w:ascii="宋体" w:hAnsi="宋体"/>
          <w:sz w:val="24"/>
        </w:rPr>
      </w:pPr>
    </w:p>
    <w:tbl>
      <w:tblPr>
        <w:tblStyle w:val="25"/>
        <w:tblW w:w="99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1084"/>
        <w:gridCol w:w="887"/>
        <w:gridCol w:w="7458"/>
      </w:tblGrid>
      <w:tr w14:paraId="2773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8" w:type="dxa"/>
            <w:tcBorders>
              <w:top w:val="single" w:color="auto" w:sz="4" w:space="0"/>
              <w:left w:val="single" w:color="auto" w:sz="4" w:space="0"/>
              <w:bottom w:val="single" w:color="auto" w:sz="4" w:space="0"/>
              <w:right w:val="single" w:color="auto" w:sz="4" w:space="0"/>
            </w:tcBorders>
            <w:noWrap/>
            <w:vAlign w:val="center"/>
          </w:tcPr>
          <w:p w14:paraId="14058FB0">
            <w:pPr>
              <w:widowControl/>
              <w:spacing w:line="360" w:lineRule="auto"/>
              <w:jc w:val="center"/>
              <w:rPr>
                <w:rFonts w:ascii="宋体" w:cs="宋体"/>
                <w:spacing w:val="-20"/>
              </w:rPr>
            </w:pPr>
            <w:r>
              <w:rPr>
                <w:rFonts w:hint="eastAsia" w:ascii="宋体" w:cs="宋体"/>
                <w:spacing w:val="-20"/>
                <w:kern w:val="0"/>
                <w:szCs w:val="21"/>
              </w:rPr>
              <w:t>序号</w:t>
            </w:r>
          </w:p>
        </w:tc>
        <w:tc>
          <w:tcPr>
            <w:tcW w:w="1084" w:type="dxa"/>
            <w:tcBorders>
              <w:top w:val="single" w:color="auto" w:sz="4" w:space="0"/>
              <w:left w:val="single" w:color="auto" w:sz="4" w:space="0"/>
              <w:bottom w:val="single" w:color="auto" w:sz="4" w:space="0"/>
              <w:right w:val="single" w:color="auto" w:sz="4" w:space="0"/>
            </w:tcBorders>
            <w:noWrap/>
            <w:vAlign w:val="center"/>
          </w:tcPr>
          <w:p w14:paraId="35E5909B">
            <w:pPr>
              <w:widowControl/>
              <w:spacing w:line="360" w:lineRule="auto"/>
              <w:jc w:val="center"/>
              <w:rPr>
                <w:rFonts w:ascii="宋体" w:cs="宋体"/>
              </w:rPr>
            </w:pPr>
            <w:r>
              <w:rPr>
                <w:rFonts w:hint="eastAsia" w:ascii="宋体" w:cs="宋体"/>
                <w:kern w:val="0"/>
                <w:szCs w:val="21"/>
              </w:rPr>
              <w:t>类别</w:t>
            </w:r>
          </w:p>
        </w:tc>
        <w:tc>
          <w:tcPr>
            <w:tcW w:w="887" w:type="dxa"/>
            <w:tcBorders>
              <w:top w:val="single" w:color="auto" w:sz="4" w:space="0"/>
              <w:left w:val="single" w:color="auto" w:sz="4" w:space="0"/>
              <w:bottom w:val="single" w:color="auto" w:sz="4" w:space="0"/>
              <w:right w:val="single" w:color="auto" w:sz="4" w:space="0"/>
            </w:tcBorders>
            <w:noWrap/>
            <w:vAlign w:val="center"/>
          </w:tcPr>
          <w:p w14:paraId="055620D4">
            <w:pPr>
              <w:widowControl/>
              <w:spacing w:line="360" w:lineRule="auto"/>
              <w:jc w:val="center"/>
              <w:rPr>
                <w:rFonts w:ascii="宋体" w:cs="宋体"/>
              </w:rPr>
            </w:pPr>
            <w:r>
              <w:rPr>
                <w:rFonts w:hint="eastAsia" w:ascii="宋体" w:cs="宋体"/>
                <w:kern w:val="0"/>
                <w:szCs w:val="21"/>
              </w:rPr>
              <w:t>满分</w:t>
            </w:r>
          </w:p>
        </w:tc>
        <w:tc>
          <w:tcPr>
            <w:tcW w:w="7458" w:type="dxa"/>
            <w:tcBorders>
              <w:top w:val="single" w:color="auto" w:sz="4" w:space="0"/>
              <w:left w:val="single" w:color="auto" w:sz="4" w:space="0"/>
              <w:bottom w:val="single" w:color="auto" w:sz="4" w:space="0"/>
              <w:right w:val="single" w:color="auto" w:sz="4" w:space="0"/>
            </w:tcBorders>
            <w:noWrap/>
            <w:vAlign w:val="center"/>
          </w:tcPr>
          <w:p w14:paraId="255574F8">
            <w:pPr>
              <w:widowControl/>
              <w:spacing w:line="360" w:lineRule="auto"/>
              <w:jc w:val="center"/>
              <w:rPr>
                <w:rFonts w:ascii="宋体" w:cs="宋体"/>
              </w:rPr>
            </w:pPr>
            <w:r>
              <w:rPr>
                <w:rFonts w:hint="eastAsia" w:ascii="宋体" w:cs="宋体"/>
                <w:kern w:val="0"/>
                <w:szCs w:val="21"/>
              </w:rPr>
              <w:t>得  分  标  准</w:t>
            </w:r>
          </w:p>
        </w:tc>
      </w:tr>
      <w:tr w14:paraId="78A3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538" w:type="dxa"/>
            <w:vMerge w:val="restart"/>
            <w:tcBorders>
              <w:top w:val="single" w:color="auto" w:sz="4" w:space="0"/>
              <w:left w:val="single" w:color="auto" w:sz="4" w:space="0"/>
              <w:bottom w:val="single" w:color="auto" w:sz="4" w:space="0"/>
              <w:right w:val="single" w:color="auto" w:sz="4" w:space="0"/>
            </w:tcBorders>
            <w:noWrap/>
            <w:vAlign w:val="center"/>
          </w:tcPr>
          <w:p w14:paraId="760AB4E5">
            <w:pPr>
              <w:widowControl/>
              <w:spacing w:line="360" w:lineRule="auto"/>
              <w:jc w:val="center"/>
              <w:rPr>
                <w:rFonts w:ascii="宋体" w:cs="宋体"/>
              </w:rPr>
            </w:pPr>
            <w:r>
              <w:rPr>
                <w:rFonts w:hint="eastAsia" w:ascii="宋体" w:cs="宋体"/>
                <w:kern w:val="0"/>
                <w:szCs w:val="21"/>
              </w:rPr>
              <w:t>1</w:t>
            </w:r>
          </w:p>
        </w:tc>
        <w:tc>
          <w:tcPr>
            <w:tcW w:w="1084" w:type="dxa"/>
            <w:vMerge w:val="restart"/>
            <w:tcBorders>
              <w:top w:val="single" w:color="auto" w:sz="4" w:space="0"/>
              <w:left w:val="single" w:color="auto" w:sz="4" w:space="0"/>
              <w:bottom w:val="single" w:color="auto" w:sz="4" w:space="0"/>
              <w:right w:val="single" w:color="auto" w:sz="4" w:space="0"/>
            </w:tcBorders>
            <w:noWrap/>
            <w:vAlign w:val="center"/>
          </w:tcPr>
          <w:p w14:paraId="790D6E3C">
            <w:pPr>
              <w:widowControl/>
              <w:spacing w:line="360" w:lineRule="auto"/>
              <w:rPr>
                <w:rFonts w:ascii="宋体" w:cs="宋体"/>
              </w:rPr>
            </w:pPr>
            <w:r>
              <w:rPr>
                <w:rFonts w:hint="eastAsia" w:ascii="宋体" w:cs="宋体"/>
                <w:kern w:val="0"/>
                <w:szCs w:val="21"/>
              </w:rPr>
              <w:t>施工</w:t>
            </w:r>
          </w:p>
          <w:p w14:paraId="4234A857">
            <w:pPr>
              <w:widowControl/>
              <w:spacing w:line="360" w:lineRule="auto"/>
              <w:rPr>
                <w:rFonts w:ascii="宋体" w:cs="宋体"/>
              </w:rPr>
            </w:pPr>
            <w:r>
              <w:rPr>
                <w:rFonts w:hint="eastAsia" w:ascii="宋体" w:cs="宋体"/>
                <w:kern w:val="0"/>
                <w:szCs w:val="21"/>
              </w:rPr>
              <w:t>组织设计（</w:t>
            </w:r>
            <w:r>
              <w:rPr>
                <w:rFonts w:hint="eastAsia" w:ascii="宋体" w:cs="宋体"/>
                <w:kern w:val="0"/>
                <w:szCs w:val="21"/>
                <w:lang w:val="en-US" w:eastAsia="zh-CN"/>
              </w:rPr>
              <w:t>10</w:t>
            </w:r>
            <w:r>
              <w:rPr>
                <w:rFonts w:hint="eastAsia" w:ascii="宋体" w:cs="宋体"/>
                <w:kern w:val="0"/>
                <w:szCs w:val="21"/>
              </w:rPr>
              <w:t>0分）</w:t>
            </w:r>
          </w:p>
        </w:tc>
        <w:tc>
          <w:tcPr>
            <w:tcW w:w="887" w:type="dxa"/>
            <w:tcBorders>
              <w:top w:val="single" w:color="auto" w:sz="4" w:space="0"/>
              <w:left w:val="single" w:color="auto" w:sz="4" w:space="0"/>
              <w:bottom w:val="single" w:color="auto" w:sz="4" w:space="0"/>
              <w:right w:val="single" w:color="auto" w:sz="4" w:space="0"/>
            </w:tcBorders>
            <w:noWrap/>
            <w:vAlign w:val="center"/>
          </w:tcPr>
          <w:p w14:paraId="25029D36">
            <w:pPr>
              <w:widowControl/>
              <w:spacing w:line="360" w:lineRule="auto"/>
              <w:jc w:val="center"/>
              <w:rPr>
                <w:rFonts w:ascii="宋体" w:cs="宋体"/>
              </w:rPr>
            </w:pPr>
            <w:r>
              <w:rPr>
                <w:rFonts w:hint="eastAsia" w:ascii="宋体" w:cs="宋体"/>
                <w:kern w:val="0"/>
                <w:szCs w:val="21"/>
              </w:rPr>
              <w:t>20分</w:t>
            </w:r>
          </w:p>
        </w:tc>
        <w:tc>
          <w:tcPr>
            <w:tcW w:w="7458" w:type="dxa"/>
            <w:tcBorders>
              <w:top w:val="single" w:color="auto" w:sz="4" w:space="0"/>
              <w:left w:val="single" w:color="auto" w:sz="4" w:space="0"/>
              <w:bottom w:val="single" w:color="auto" w:sz="4" w:space="0"/>
              <w:right w:val="single" w:color="auto" w:sz="4" w:space="0"/>
            </w:tcBorders>
            <w:noWrap/>
          </w:tcPr>
          <w:p w14:paraId="6098B004">
            <w:pPr>
              <w:pStyle w:val="12"/>
              <w:widowControl/>
              <w:spacing w:line="360" w:lineRule="auto"/>
              <w:rPr>
                <w:rFonts w:ascii="宋体" w:hAnsi="Calibri" w:cs="宋体"/>
              </w:rPr>
            </w:pPr>
            <w:r>
              <w:rPr>
                <w:rFonts w:hint="eastAsia" w:ascii="宋体" w:hAnsi="Calibri" w:cs="宋体"/>
              </w:rPr>
              <w:t>施工组织总体方案（</w:t>
            </w:r>
            <w:r>
              <w:rPr>
                <w:rFonts w:hint="eastAsia" w:ascii="宋体" w:cs="宋体"/>
              </w:rPr>
              <w:t>对项目特点认知、项目管理机构组建、施工准备、施工总平面布置、施工组织等）等进行阐述，</w:t>
            </w:r>
            <w:r>
              <w:rPr>
                <w:rFonts w:hint="eastAsia" w:ascii="宋体" w:hAnsi="Calibri" w:cs="宋体"/>
              </w:rPr>
              <w:t>力求简洁。评委根据</w:t>
            </w:r>
            <w:r>
              <w:rPr>
                <w:rFonts w:hint="eastAsia" w:ascii="宋体" w:hAnsi="Calibri" w:cs="宋体"/>
                <w:b/>
                <w:bCs/>
              </w:rPr>
              <w:t>投标文件情况及项目经理现场答辩情况</w:t>
            </w:r>
            <w:r>
              <w:rPr>
                <w:rFonts w:hint="eastAsia" w:ascii="宋体" w:hAnsi="Calibri" w:cs="宋体"/>
              </w:rPr>
              <w:t>分为一般、良、优，</w:t>
            </w:r>
            <w:r>
              <w:rPr>
                <w:rFonts w:hint="eastAsia" w:ascii="宋体" w:hAnsi="Times New Roman" w:cs="宋体"/>
                <w:kern w:val="0"/>
                <w:szCs w:val="21"/>
              </w:rPr>
              <w:t>分别酌情得</w:t>
            </w:r>
            <w:r>
              <w:rPr>
                <w:rFonts w:hint="eastAsia" w:ascii="宋体" w:cs="宋体"/>
                <w:kern w:val="0"/>
                <w:szCs w:val="21"/>
              </w:rPr>
              <w:t>0-10分,10-15分,15-20</w:t>
            </w:r>
            <w:r>
              <w:rPr>
                <w:rFonts w:hint="eastAsia" w:ascii="宋体" w:cs="宋体"/>
              </w:rPr>
              <w:t>分，</w:t>
            </w:r>
            <w:r>
              <w:rPr>
                <w:rFonts w:hint="eastAsia" w:ascii="宋体" w:hAnsi="Calibri" w:cs="宋体"/>
              </w:rPr>
              <w:t>内容不全酌情扣分，若此条缺项不得分。</w:t>
            </w:r>
          </w:p>
        </w:tc>
      </w:tr>
      <w:tr w14:paraId="59AC6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538" w:type="dxa"/>
            <w:vMerge w:val="continue"/>
            <w:tcBorders>
              <w:top w:val="single" w:color="auto" w:sz="4" w:space="0"/>
              <w:left w:val="single" w:color="auto" w:sz="4" w:space="0"/>
              <w:bottom w:val="single" w:color="auto" w:sz="4" w:space="0"/>
              <w:right w:val="single" w:color="auto" w:sz="4" w:space="0"/>
            </w:tcBorders>
            <w:noWrap/>
            <w:vAlign w:val="center"/>
          </w:tcPr>
          <w:p w14:paraId="098009E3">
            <w:pPr>
              <w:rPr>
                <w:sz w:val="20"/>
                <w:szCs w:val="20"/>
              </w:rPr>
            </w:pPr>
          </w:p>
        </w:tc>
        <w:tc>
          <w:tcPr>
            <w:tcW w:w="1084" w:type="dxa"/>
            <w:vMerge w:val="continue"/>
            <w:tcBorders>
              <w:top w:val="single" w:color="auto" w:sz="4" w:space="0"/>
              <w:left w:val="single" w:color="auto" w:sz="4" w:space="0"/>
              <w:bottom w:val="single" w:color="auto" w:sz="4" w:space="0"/>
              <w:right w:val="single" w:color="auto" w:sz="4" w:space="0"/>
            </w:tcBorders>
            <w:noWrap/>
            <w:vAlign w:val="center"/>
          </w:tcPr>
          <w:p w14:paraId="121A53F2">
            <w:pPr>
              <w:rPr>
                <w:sz w:val="20"/>
                <w:szCs w:val="20"/>
              </w:rPr>
            </w:pPr>
          </w:p>
        </w:tc>
        <w:tc>
          <w:tcPr>
            <w:tcW w:w="887" w:type="dxa"/>
            <w:tcBorders>
              <w:top w:val="single" w:color="auto" w:sz="4" w:space="0"/>
              <w:left w:val="single" w:color="auto" w:sz="4" w:space="0"/>
              <w:bottom w:val="single" w:color="auto" w:sz="4" w:space="0"/>
              <w:right w:val="single" w:color="auto" w:sz="4" w:space="0"/>
            </w:tcBorders>
            <w:noWrap/>
            <w:vAlign w:val="center"/>
          </w:tcPr>
          <w:p w14:paraId="30C550F0">
            <w:pPr>
              <w:widowControl/>
              <w:spacing w:line="360" w:lineRule="auto"/>
              <w:jc w:val="center"/>
              <w:rPr>
                <w:rFonts w:ascii="宋体" w:cs="宋体"/>
              </w:rPr>
            </w:pPr>
            <w:r>
              <w:rPr>
                <w:rFonts w:hint="eastAsia" w:ascii="宋体" w:cs="宋体"/>
                <w:kern w:val="0"/>
                <w:szCs w:val="21"/>
              </w:rPr>
              <w:t>20分</w:t>
            </w:r>
          </w:p>
        </w:tc>
        <w:tc>
          <w:tcPr>
            <w:tcW w:w="7458" w:type="dxa"/>
            <w:tcBorders>
              <w:top w:val="single" w:color="auto" w:sz="4" w:space="0"/>
              <w:left w:val="single" w:color="auto" w:sz="4" w:space="0"/>
              <w:bottom w:val="single" w:color="auto" w:sz="4" w:space="0"/>
              <w:right w:val="single" w:color="auto" w:sz="4" w:space="0"/>
            </w:tcBorders>
            <w:noWrap/>
          </w:tcPr>
          <w:p w14:paraId="27504910">
            <w:pPr>
              <w:widowControl/>
              <w:spacing w:line="360" w:lineRule="auto"/>
              <w:rPr>
                <w:rFonts w:ascii="宋体" w:cs="宋体"/>
              </w:rPr>
            </w:pPr>
            <w:r>
              <w:rPr>
                <w:rFonts w:hint="eastAsia" w:ascii="宋体" w:cs="宋体"/>
                <w:kern w:val="0"/>
                <w:szCs w:val="21"/>
              </w:rPr>
              <w:t>施工进度计划及保证措施（1、要求根据建设单位提供的关键节点，提供施工总进度横道图或网络图计划，施工内容要切合实际、全面；2、列举分析本工程的工期风险点及应对保证措施）。评委根据投标文件情况分为一般、良、优，分分别酌情得0-10分,10-15分,15-20</w:t>
            </w:r>
            <w:r>
              <w:rPr>
                <w:rFonts w:hint="eastAsia" w:ascii="宋体" w:cs="宋体"/>
              </w:rPr>
              <w:t>分</w:t>
            </w:r>
            <w:r>
              <w:rPr>
                <w:rFonts w:hint="eastAsia" w:ascii="宋体" w:cs="宋体"/>
                <w:kern w:val="0"/>
                <w:szCs w:val="21"/>
              </w:rPr>
              <w:t>，内容不全酌情扣分，若此条缺项不得分。</w:t>
            </w:r>
          </w:p>
        </w:tc>
      </w:tr>
      <w:tr w14:paraId="598F0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538" w:type="dxa"/>
            <w:vMerge w:val="continue"/>
            <w:tcBorders>
              <w:top w:val="single" w:color="auto" w:sz="4" w:space="0"/>
              <w:left w:val="single" w:color="auto" w:sz="4" w:space="0"/>
              <w:bottom w:val="single" w:color="auto" w:sz="4" w:space="0"/>
              <w:right w:val="single" w:color="auto" w:sz="4" w:space="0"/>
            </w:tcBorders>
            <w:noWrap/>
            <w:vAlign w:val="center"/>
          </w:tcPr>
          <w:p w14:paraId="4E3D6F18">
            <w:pPr>
              <w:rPr>
                <w:sz w:val="20"/>
                <w:szCs w:val="20"/>
              </w:rPr>
            </w:pPr>
          </w:p>
        </w:tc>
        <w:tc>
          <w:tcPr>
            <w:tcW w:w="1084" w:type="dxa"/>
            <w:vMerge w:val="continue"/>
            <w:tcBorders>
              <w:top w:val="single" w:color="auto" w:sz="4" w:space="0"/>
              <w:left w:val="single" w:color="auto" w:sz="4" w:space="0"/>
              <w:bottom w:val="single" w:color="auto" w:sz="4" w:space="0"/>
              <w:right w:val="single" w:color="auto" w:sz="4" w:space="0"/>
            </w:tcBorders>
            <w:noWrap/>
            <w:vAlign w:val="center"/>
          </w:tcPr>
          <w:p w14:paraId="7D3B078A">
            <w:pPr>
              <w:rPr>
                <w:sz w:val="20"/>
                <w:szCs w:val="20"/>
              </w:rPr>
            </w:pPr>
          </w:p>
        </w:tc>
        <w:tc>
          <w:tcPr>
            <w:tcW w:w="887" w:type="dxa"/>
            <w:tcBorders>
              <w:top w:val="single" w:color="auto" w:sz="4" w:space="0"/>
              <w:left w:val="single" w:color="auto" w:sz="4" w:space="0"/>
              <w:bottom w:val="single" w:color="auto" w:sz="4" w:space="0"/>
              <w:right w:val="single" w:color="auto" w:sz="4" w:space="0"/>
            </w:tcBorders>
            <w:noWrap/>
            <w:vAlign w:val="center"/>
          </w:tcPr>
          <w:p w14:paraId="7CED0F58">
            <w:pPr>
              <w:widowControl/>
              <w:spacing w:line="360" w:lineRule="auto"/>
              <w:jc w:val="center"/>
              <w:rPr>
                <w:rFonts w:ascii="宋体" w:cs="宋体"/>
              </w:rPr>
            </w:pPr>
            <w:r>
              <w:rPr>
                <w:rFonts w:hint="eastAsia" w:ascii="宋体" w:cs="宋体"/>
                <w:kern w:val="0"/>
                <w:szCs w:val="21"/>
              </w:rPr>
              <w:t>20分</w:t>
            </w:r>
          </w:p>
        </w:tc>
        <w:tc>
          <w:tcPr>
            <w:tcW w:w="7458" w:type="dxa"/>
            <w:tcBorders>
              <w:top w:val="single" w:color="auto" w:sz="4" w:space="0"/>
              <w:left w:val="single" w:color="auto" w:sz="4" w:space="0"/>
              <w:bottom w:val="single" w:color="auto" w:sz="4" w:space="0"/>
              <w:right w:val="single" w:color="auto" w:sz="4" w:space="0"/>
            </w:tcBorders>
            <w:noWrap/>
          </w:tcPr>
          <w:p w14:paraId="7EB9F533">
            <w:pPr>
              <w:widowControl/>
              <w:spacing w:line="360" w:lineRule="auto"/>
              <w:rPr>
                <w:rFonts w:ascii="宋体" w:cs="宋体"/>
              </w:rPr>
            </w:pPr>
            <w:r>
              <w:rPr>
                <w:rFonts w:hint="eastAsia" w:ascii="宋体" w:cs="宋体"/>
                <w:kern w:val="0"/>
                <w:szCs w:val="21"/>
              </w:rPr>
              <w:t>关键施工技术、工艺及工程实施的重点、难点分析。要求提炼出招标项目的关键施工工艺、施工重难点、危险性较大的专项工程等。评委根据投标文件情况分为一般、良、优，别酌情得分别酌情得0-10分,10-15分,15-20</w:t>
            </w:r>
            <w:r>
              <w:rPr>
                <w:rFonts w:hint="eastAsia" w:ascii="宋体" w:cs="宋体"/>
              </w:rPr>
              <w:t>分</w:t>
            </w:r>
            <w:r>
              <w:rPr>
                <w:rFonts w:hint="eastAsia" w:ascii="宋体" w:cs="宋体"/>
                <w:kern w:val="0"/>
                <w:szCs w:val="21"/>
              </w:rPr>
              <w:t>，内容不全酌情扣分，若此条缺项不得分。</w:t>
            </w:r>
          </w:p>
        </w:tc>
      </w:tr>
      <w:tr w14:paraId="3267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538" w:type="dxa"/>
            <w:vMerge w:val="continue"/>
            <w:tcBorders>
              <w:top w:val="single" w:color="auto" w:sz="4" w:space="0"/>
              <w:left w:val="single" w:color="auto" w:sz="4" w:space="0"/>
              <w:bottom w:val="single" w:color="auto" w:sz="4" w:space="0"/>
              <w:right w:val="single" w:color="auto" w:sz="4" w:space="0"/>
            </w:tcBorders>
            <w:noWrap/>
            <w:vAlign w:val="center"/>
          </w:tcPr>
          <w:p w14:paraId="244C2C43">
            <w:pPr>
              <w:rPr>
                <w:sz w:val="20"/>
                <w:szCs w:val="20"/>
              </w:rPr>
            </w:pPr>
          </w:p>
        </w:tc>
        <w:tc>
          <w:tcPr>
            <w:tcW w:w="1084" w:type="dxa"/>
            <w:vMerge w:val="continue"/>
            <w:tcBorders>
              <w:top w:val="single" w:color="auto" w:sz="4" w:space="0"/>
              <w:left w:val="single" w:color="auto" w:sz="4" w:space="0"/>
              <w:bottom w:val="single" w:color="auto" w:sz="4" w:space="0"/>
              <w:right w:val="single" w:color="auto" w:sz="4" w:space="0"/>
            </w:tcBorders>
            <w:noWrap/>
            <w:vAlign w:val="center"/>
          </w:tcPr>
          <w:p w14:paraId="648D9FCF">
            <w:pPr>
              <w:rPr>
                <w:sz w:val="20"/>
                <w:szCs w:val="20"/>
              </w:rPr>
            </w:pPr>
          </w:p>
        </w:tc>
        <w:tc>
          <w:tcPr>
            <w:tcW w:w="887" w:type="dxa"/>
            <w:tcBorders>
              <w:top w:val="single" w:color="auto" w:sz="4" w:space="0"/>
              <w:left w:val="single" w:color="auto" w:sz="4" w:space="0"/>
              <w:bottom w:val="single" w:color="auto" w:sz="4" w:space="0"/>
              <w:right w:val="single" w:color="auto" w:sz="4" w:space="0"/>
            </w:tcBorders>
            <w:noWrap/>
            <w:vAlign w:val="center"/>
          </w:tcPr>
          <w:p w14:paraId="062FF3FB">
            <w:pPr>
              <w:widowControl/>
              <w:spacing w:line="360" w:lineRule="auto"/>
              <w:jc w:val="center"/>
              <w:rPr>
                <w:rFonts w:ascii="宋体" w:cs="宋体"/>
              </w:rPr>
            </w:pPr>
            <w:r>
              <w:rPr>
                <w:rFonts w:hint="eastAsia" w:ascii="宋体" w:cs="宋体"/>
                <w:kern w:val="0"/>
                <w:szCs w:val="21"/>
              </w:rPr>
              <w:t>20分</w:t>
            </w:r>
          </w:p>
        </w:tc>
        <w:tc>
          <w:tcPr>
            <w:tcW w:w="7458" w:type="dxa"/>
            <w:tcBorders>
              <w:top w:val="single" w:color="auto" w:sz="4" w:space="0"/>
              <w:left w:val="single" w:color="auto" w:sz="4" w:space="0"/>
              <w:bottom w:val="single" w:color="auto" w:sz="4" w:space="0"/>
              <w:right w:val="single" w:color="auto" w:sz="4" w:space="0"/>
            </w:tcBorders>
            <w:noWrap/>
          </w:tcPr>
          <w:p w14:paraId="6A1E109F">
            <w:pPr>
              <w:widowControl/>
              <w:spacing w:line="360" w:lineRule="auto"/>
              <w:rPr>
                <w:rFonts w:ascii="宋体" w:cs="宋体"/>
              </w:rPr>
            </w:pPr>
            <w:r>
              <w:rPr>
                <w:rFonts w:hint="eastAsia" w:ascii="宋体" w:cs="宋体"/>
                <w:kern w:val="0"/>
                <w:szCs w:val="21"/>
              </w:rPr>
              <w:t>质量保证措施。（要求针对性分析本工程容易出现的质量通病、质量控制重点和保证措施）评委根据投标文件情况分为一般、良、优，</w:t>
            </w:r>
            <w:r>
              <w:rPr>
                <w:rFonts w:hint="eastAsia" w:ascii="宋体" w:hAnsi="Calibri" w:cs="宋体"/>
              </w:rPr>
              <w:t>分别酌情得</w:t>
            </w:r>
            <w:r>
              <w:rPr>
                <w:rFonts w:hint="eastAsia" w:ascii="宋体" w:cs="宋体"/>
                <w:kern w:val="0"/>
                <w:szCs w:val="21"/>
              </w:rPr>
              <w:t>分别酌情得0-10分,10-15分,15-20</w:t>
            </w:r>
            <w:r>
              <w:rPr>
                <w:rFonts w:hint="eastAsia" w:ascii="宋体" w:cs="宋体"/>
              </w:rPr>
              <w:t>分</w:t>
            </w:r>
            <w:r>
              <w:rPr>
                <w:rFonts w:hint="eastAsia" w:ascii="宋体" w:cs="宋体"/>
                <w:kern w:val="0"/>
                <w:szCs w:val="21"/>
              </w:rPr>
              <w:t>，内容不全酌情扣分，若此条缺项不得分。</w:t>
            </w:r>
          </w:p>
        </w:tc>
      </w:tr>
      <w:tr w14:paraId="66D4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538" w:type="dxa"/>
            <w:vMerge w:val="continue"/>
            <w:tcBorders>
              <w:top w:val="single" w:color="auto" w:sz="4" w:space="0"/>
              <w:left w:val="single" w:color="auto" w:sz="4" w:space="0"/>
              <w:bottom w:val="single" w:color="auto" w:sz="4" w:space="0"/>
              <w:right w:val="single" w:color="auto" w:sz="4" w:space="0"/>
            </w:tcBorders>
            <w:noWrap/>
            <w:vAlign w:val="center"/>
          </w:tcPr>
          <w:p w14:paraId="05808BAE">
            <w:pPr>
              <w:rPr>
                <w:sz w:val="20"/>
                <w:szCs w:val="20"/>
              </w:rPr>
            </w:pPr>
          </w:p>
        </w:tc>
        <w:tc>
          <w:tcPr>
            <w:tcW w:w="1084" w:type="dxa"/>
            <w:vMerge w:val="continue"/>
            <w:tcBorders>
              <w:top w:val="single" w:color="auto" w:sz="4" w:space="0"/>
              <w:left w:val="single" w:color="auto" w:sz="4" w:space="0"/>
              <w:bottom w:val="single" w:color="auto" w:sz="4" w:space="0"/>
              <w:right w:val="single" w:color="auto" w:sz="4" w:space="0"/>
            </w:tcBorders>
            <w:noWrap/>
            <w:vAlign w:val="center"/>
          </w:tcPr>
          <w:p w14:paraId="0109FBFE">
            <w:pPr>
              <w:rPr>
                <w:sz w:val="20"/>
                <w:szCs w:val="20"/>
              </w:rPr>
            </w:pPr>
          </w:p>
        </w:tc>
        <w:tc>
          <w:tcPr>
            <w:tcW w:w="887" w:type="dxa"/>
            <w:tcBorders>
              <w:top w:val="single" w:color="auto" w:sz="4" w:space="0"/>
              <w:left w:val="single" w:color="auto" w:sz="4" w:space="0"/>
              <w:bottom w:val="single" w:color="auto" w:sz="4" w:space="0"/>
              <w:right w:val="single" w:color="auto" w:sz="4" w:space="0"/>
            </w:tcBorders>
            <w:noWrap/>
            <w:vAlign w:val="center"/>
          </w:tcPr>
          <w:p w14:paraId="4F3E987D">
            <w:pPr>
              <w:widowControl/>
              <w:spacing w:line="360" w:lineRule="auto"/>
              <w:jc w:val="center"/>
              <w:rPr>
                <w:rFonts w:ascii="宋体" w:cs="宋体"/>
              </w:rPr>
            </w:pPr>
            <w:r>
              <w:rPr>
                <w:rFonts w:hint="eastAsia" w:ascii="宋体" w:cs="宋体"/>
                <w:kern w:val="0"/>
                <w:szCs w:val="21"/>
              </w:rPr>
              <w:t>20分</w:t>
            </w:r>
          </w:p>
        </w:tc>
        <w:tc>
          <w:tcPr>
            <w:tcW w:w="7458" w:type="dxa"/>
            <w:tcBorders>
              <w:top w:val="single" w:color="auto" w:sz="4" w:space="0"/>
              <w:left w:val="single" w:color="auto" w:sz="4" w:space="0"/>
              <w:bottom w:val="single" w:color="auto" w:sz="4" w:space="0"/>
              <w:right w:val="single" w:color="auto" w:sz="4" w:space="0"/>
            </w:tcBorders>
            <w:noWrap/>
          </w:tcPr>
          <w:p w14:paraId="03392FD9">
            <w:pPr>
              <w:widowControl/>
              <w:spacing w:line="360" w:lineRule="auto"/>
              <w:rPr>
                <w:rFonts w:ascii="宋体" w:cs="宋体"/>
              </w:rPr>
            </w:pPr>
            <w:r>
              <w:rPr>
                <w:rFonts w:hint="eastAsia" w:ascii="宋体" w:cs="宋体"/>
                <w:kern w:val="0"/>
                <w:szCs w:val="21"/>
              </w:rPr>
              <w:t>安全文明施工措施。（要求对安全生产、文明施工、环境保护及防尘施工措施，制定保证措施和承诺）。评委根据投标文件情况分为一般、良、优，</w:t>
            </w:r>
            <w:r>
              <w:rPr>
                <w:rFonts w:hint="eastAsia" w:ascii="宋体" w:hAnsi="Calibri" w:cs="宋体"/>
              </w:rPr>
              <w:t>分别酌情</w:t>
            </w:r>
            <w:r>
              <w:rPr>
                <w:rFonts w:hint="eastAsia" w:ascii="宋体" w:cs="宋体"/>
                <w:kern w:val="0"/>
                <w:szCs w:val="21"/>
              </w:rPr>
              <w:t>得0-10分,10-15分,15-20</w:t>
            </w:r>
            <w:r>
              <w:rPr>
                <w:rFonts w:hint="eastAsia" w:ascii="宋体" w:cs="宋体"/>
              </w:rPr>
              <w:t>分</w:t>
            </w:r>
            <w:r>
              <w:rPr>
                <w:rFonts w:hint="eastAsia" w:ascii="宋体" w:cs="宋体"/>
                <w:kern w:val="0"/>
                <w:szCs w:val="21"/>
              </w:rPr>
              <w:t>，内容不全酌情扣分，若此条缺项不得分。</w:t>
            </w:r>
          </w:p>
        </w:tc>
      </w:tr>
      <w:tr w14:paraId="666F1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38" w:type="dxa"/>
            <w:tcBorders>
              <w:top w:val="single" w:color="auto" w:sz="2" w:space="0"/>
              <w:left w:val="single" w:color="auto" w:sz="2" w:space="0"/>
              <w:bottom w:val="single" w:color="auto" w:sz="2" w:space="0"/>
              <w:right w:val="single" w:color="auto" w:sz="2" w:space="0"/>
            </w:tcBorders>
            <w:noWrap/>
            <w:tcMar>
              <w:left w:w="91" w:type="dxa"/>
            </w:tcMar>
            <w:vAlign w:val="center"/>
          </w:tcPr>
          <w:p w14:paraId="482B49A8">
            <w:pPr>
              <w:widowControl/>
              <w:spacing w:line="360" w:lineRule="auto"/>
              <w:jc w:val="center"/>
              <w:rPr>
                <w:rFonts w:ascii="宋体" w:cs="宋体"/>
              </w:rPr>
            </w:pPr>
            <w:r>
              <w:rPr>
                <w:rFonts w:hint="eastAsia" w:ascii="宋体" w:cs="宋体"/>
                <w:kern w:val="0"/>
                <w:szCs w:val="21"/>
              </w:rPr>
              <w:t>2</w:t>
            </w:r>
          </w:p>
        </w:tc>
        <w:tc>
          <w:tcPr>
            <w:tcW w:w="1084" w:type="dxa"/>
            <w:tcBorders>
              <w:top w:val="single" w:color="auto" w:sz="2" w:space="0"/>
              <w:left w:val="single" w:color="auto" w:sz="2" w:space="0"/>
              <w:bottom w:val="single" w:color="auto" w:sz="2" w:space="0"/>
              <w:right w:val="single" w:color="auto" w:sz="2" w:space="0"/>
            </w:tcBorders>
            <w:noWrap/>
            <w:tcMar>
              <w:left w:w="91" w:type="dxa"/>
            </w:tcMar>
            <w:vAlign w:val="center"/>
          </w:tcPr>
          <w:p w14:paraId="5D660303">
            <w:pPr>
              <w:widowControl/>
              <w:spacing w:line="360" w:lineRule="auto"/>
              <w:jc w:val="center"/>
              <w:rPr>
                <w:rFonts w:ascii="宋体" w:cs="宋体"/>
              </w:rPr>
            </w:pPr>
            <w:r>
              <w:rPr>
                <w:rFonts w:hint="eastAsia" w:ascii="宋体" w:cs="宋体"/>
                <w:kern w:val="0"/>
                <w:szCs w:val="21"/>
              </w:rPr>
              <w:t>合计</w:t>
            </w:r>
          </w:p>
        </w:tc>
        <w:tc>
          <w:tcPr>
            <w:tcW w:w="887" w:type="dxa"/>
            <w:tcBorders>
              <w:top w:val="single" w:color="auto" w:sz="2" w:space="0"/>
              <w:left w:val="single" w:color="auto" w:sz="2" w:space="0"/>
              <w:bottom w:val="single" w:color="auto" w:sz="2" w:space="0"/>
              <w:right w:val="single" w:color="auto" w:sz="2" w:space="0"/>
            </w:tcBorders>
            <w:noWrap/>
            <w:tcMar>
              <w:left w:w="91" w:type="dxa"/>
            </w:tcMar>
            <w:vAlign w:val="center"/>
          </w:tcPr>
          <w:p w14:paraId="5474BD0F">
            <w:pPr>
              <w:widowControl/>
              <w:spacing w:line="360" w:lineRule="auto"/>
              <w:jc w:val="center"/>
              <w:rPr>
                <w:rFonts w:ascii="宋体" w:cs="宋体"/>
              </w:rPr>
            </w:pPr>
            <w:r>
              <w:rPr>
                <w:rFonts w:hint="eastAsia" w:ascii="宋体" w:cs="宋体"/>
                <w:kern w:val="0"/>
                <w:szCs w:val="21"/>
              </w:rPr>
              <w:t>100分</w:t>
            </w:r>
          </w:p>
        </w:tc>
        <w:tc>
          <w:tcPr>
            <w:tcW w:w="7458" w:type="dxa"/>
            <w:tcBorders>
              <w:top w:val="single" w:color="auto" w:sz="2" w:space="0"/>
              <w:left w:val="single" w:color="auto" w:sz="2" w:space="0"/>
              <w:bottom w:val="single" w:color="auto" w:sz="2" w:space="0"/>
              <w:right w:val="single" w:color="auto" w:sz="2" w:space="0"/>
            </w:tcBorders>
            <w:noWrap/>
            <w:tcMar>
              <w:left w:w="91" w:type="dxa"/>
            </w:tcMar>
            <w:vAlign w:val="center"/>
          </w:tcPr>
          <w:p w14:paraId="31A0C8A0">
            <w:pPr>
              <w:widowControl/>
              <w:spacing w:line="360" w:lineRule="auto"/>
              <w:rPr>
                <w:rFonts w:ascii="宋体" w:cs="宋体"/>
              </w:rPr>
            </w:pPr>
            <w:r>
              <w:rPr>
                <w:rFonts w:hint="eastAsia" w:ascii="宋体" w:cs="宋体"/>
                <w:kern w:val="0"/>
                <w:szCs w:val="21"/>
              </w:rPr>
              <w:t>=1</w:t>
            </w:r>
          </w:p>
        </w:tc>
      </w:tr>
      <w:tr w14:paraId="5A2B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9967" w:type="dxa"/>
            <w:gridSpan w:val="4"/>
            <w:tcBorders>
              <w:top w:val="single" w:color="auto" w:sz="2" w:space="0"/>
              <w:left w:val="single" w:color="auto" w:sz="2" w:space="0"/>
              <w:bottom w:val="single" w:color="auto" w:sz="2" w:space="0"/>
              <w:right w:val="single" w:color="auto" w:sz="2" w:space="0"/>
            </w:tcBorders>
            <w:noWrap/>
            <w:tcMar>
              <w:left w:w="91" w:type="dxa"/>
            </w:tcMar>
            <w:vAlign w:val="center"/>
          </w:tcPr>
          <w:p w14:paraId="7407405E">
            <w:pPr>
              <w:widowControl/>
              <w:spacing w:line="360" w:lineRule="auto"/>
              <w:rPr>
                <w:rFonts w:ascii="宋体" w:cs="宋体"/>
                <w:b/>
                <w:kern w:val="0"/>
                <w:szCs w:val="21"/>
              </w:rPr>
            </w:pPr>
            <w:r>
              <w:rPr>
                <w:rFonts w:hint="eastAsia" w:ascii="宋体" w:cs="宋体"/>
                <w:b/>
                <w:kern w:val="0"/>
                <w:szCs w:val="21"/>
              </w:rPr>
              <w:t>1、投标人技术标的最终得分为所有评委打分汇总后的算术平均值。</w:t>
            </w:r>
          </w:p>
          <w:p w14:paraId="68B8E221">
            <w:pPr>
              <w:widowControl/>
              <w:spacing w:line="360" w:lineRule="auto"/>
            </w:pPr>
            <w:r>
              <w:rPr>
                <w:rFonts w:hint="eastAsia" w:ascii="宋体" w:cs="宋体"/>
                <w:b/>
                <w:kern w:val="0"/>
                <w:szCs w:val="21"/>
              </w:rPr>
              <w:t>2、技术标根据评分办法进行打分，技术标评标小组推荐至少3家技术得分70分以上的投标人进入商务标。技术入围投标人不足三家时，本次按废标处理，招标人有权根据招标采购管理流程重新组织招标。</w:t>
            </w:r>
          </w:p>
        </w:tc>
      </w:tr>
    </w:tbl>
    <w:p w14:paraId="723AC4AC">
      <w:pPr>
        <w:pStyle w:val="43"/>
        <w:spacing w:before="0" w:after="0"/>
        <w:jc w:val="center"/>
        <w:rPr>
          <w:rStyle w:val="39"/>
          <w:rFonts w:ascii="宋体" w:hAnsi="宋体"/>
          <w:sz w:val="24"/>
        </w:rPr>
      </w:pPr>
    </w:p>
    <w:p w14:paraId="5DEF423A">
      <w:pPr>
        <w:pStyle w:val="43"/>
        <w:spacing w:before="0" w:after="0"/>
        <w:jc w:val="center"/>
        <w:rPr>
          <w:rStyle w:val="39"/>
          <w:rFonts w:ascii="宋体" w:hAnsi="宋体"/>
          <w:sz w:val="24"/>
        </w:rPr>
      </w:pPr>
      <w:r>
        <w:rPr>
          <w:rStyle w:val="39"/>
          <w:rFonts w:ascii="宋体" w:hAnsi="宋体"/>
          <w:sz w:val="24"/>
        </w:rPr>
        <w:t>商务标评分细则</w:t>
      </w:r>
    </w:p>
    <w:tbl>
      <w:tblPr>
        <w:tblStyle w:val="25"/>
        <w:tblW w:w="98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0"/>
        <w:gridCol w:w="1676"/>
        <w:gridCol w:w="699"/>
        <w:gridCol w:w="6764"/>
      </w:tblGrid>
      <w:tr w14:paraId="2F295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741FAB18">
            <w:pPr>
              <w:jc w:val="center"/>
              <w:rPr>
                <w:rStyle w:val="39"/>
                <w:rFonts w:ascii="宋体" w:hAnsi="宋体"/>
                <w:bCs/>
              </w:rPr>
            </w:pPr>
            <w:r>
              <w:rPr>
                <w:rStyle w:val="39"/>
                <w:rFonts w:ascii="宋体" w:hAnsi="宋体"/>
                <w:bCs/>
              </w:rPr>
              <w:t>序号</w:t>
            </w:r>
          </w:p>
        </w:tc>
        <w:tc>
          <w:tcPr>
            <w:tcW w:w="1676" w:type="dxa"/>
            <w:tcBorders>
              <w:top w:val="single" w:color="000000" w:sz="4" w:space="0"/>
              <w:left w:val="single" w:color="000000" w:sz="4" w:space="0"/>
              <w:bottom w:val="single" w:color="000000" w:sz="4" w:space="0"/>
              <w:right w:val="single" w:color="000000" w:sz="4" w:space="0"/>
            </w:tcBorders>
            <w:vAlign w:val="center"/>
          </w:tcPr>
          <w:p w14:paraId="450F3475">
            <w:pPr>
              <w:jc w:val="center"/>
              <w:rPr>
                <w:rStyle w:val="39"/>
                <w:rFonts w:ascii="宋体" w:hAnsi="宋体"/>
                <w:bCs/>
              </w:rPr>
            </w:pPr>
            <w:r>
              <w:rPr>
                <w:rStyle w:val="39"/>
                <w:rFonts w:ascii="宋体" w:hAnsi="宋体"/>
                <w:bCs/>
              </w:rPr>
              <w:t>类别</w:t>
            </w:r>
          </w:p>
        </w:tc>
        <w:tc>
          <w:tcPr>
            <w:tcW w:w="699" w:type="dxa"/>
            <w:tcBorders>
              <w:top w:val="single" w:color="000000" w:sz="4" w:space="0"/>
              <w:left w:val="single" w:color="000000" w:sz="4" w:space="0"/>
              <w:bottom w:val="single" w:color="000000" w:sz="4" w:space="0"/>
              <w:right w:val="single" w:color="000000" w:sz="4" w:space="0"/>
            </w:tcBorders>
            <w:vAlign w:val="center"/>
          </w:tcPr>
          <w:p w14:paraId="54C14FC3">
            <w:pPr>
              <w:jc w:val="center"/>
              <w:rPr>
                <w:rStyle w:val="39"/>
                <w:rFonts w:ascii="宋体" w:hAnsi="宋体"/>
                <w:bCs/>
              </w:rPr>
            </w:pPr>
            <w:r>
              <w:rPr>
                <w:rStyle w:val="39"/>
                <w:rFonts w:ascii="宋体" w:hAnsi="宋体"/>
                <w:bCs/>
              </w:rPr>
              <w:t>满分</w:t>
            </w:r>
          </w:p>
        </w:tc>
        <w:tc>
          <w:tcPr>
            <w:tcW w:w="6764" w:type="dxa"/>
            <w:tcBorders>
              <w:top w:val="single" w:color="000000" w:sz="4" w:space="0"/>
              <w:left w:val="single" w:color="000000" w:sz="4" w:space="0"/>
              <w:bottom w:val="single" w:color="000000" w:sz="4" w:space="0"/>
              <w:right w:val="single" w:color="000000" w:sz="4" w:space="0"/>
            </w:tcBorders>
            <w:vAlign w:val="center"/>
          </w:tcPr>
          <w:p w14:paraId="2D820DCB">
            <w:pPr>
              <w:jc w:val="center"/>
              <w:rPr>
                <w:rStyle w:val="39"/>
                <w:rFonts w:ascii="宋体" w:hAnsi="宋体"/>
                <w:bCs/>
                <w:sz w:val="20"/>
                <w:szCs w:val="22"/>
              </w:rPr>
            </w:pPr>
            <w:r>
              <w:rPr>
                <w:rFonts w:hint="eastAsia" w:ascii="宋体" w:hAnsi="宋体" w:cs="宋体"/>
              </w:rPr>
              <w:t>得   分   标   准</w:t>
            </w:r>
          </w:p>
        </w:tc>
      </w:tr>
      <w:tr w14:paraId="4C87C4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782F788E">
            <w:pPr>
              <w:jc w:val="center"/>
              <w:rPr>
                <w:rStyle w:val="39"/>
                <w:rFonts w:ascii="宋体" w:hAnsi="宋体"/>
                <w:bCs/>
              </w:rPr>
            </w:pPr>
            <w:r>
              <w:rPr>
                <w:rStyle w:val="39"/>
                <w:rFonts w:ascii="宋体" w:hAnsi="宋体"/>
                <w:bCs/>
              </w:rPr>
              <w:t>1</w:t>
            </w:r>
          </w:p>
        </w:tc>
        <w:tc>
          <w:tcPr>
            <w:tcW w:w="1676" w:type="dxa"/>
            <w:tcBorders>
              <w:top w:val="single" w:color="000000" w:sz="4" w:space="0"/>
              <w:left w:val="single" w:color="000000" w:sz="4" w:space="0"/>
              <w:bottom w:val="single" w:color="000000" w:sz="4" w:space="0"/>
              <w:right w:val="single" w:color="000000" w:sz="4" w:space="0"/>
            </w:tcBorders>
            <w:vAlign w:val="center"/>
          </w:tcPr>
          <w:p w14:paraId="6CFCA4C8">
            <w:pPr>
              <w:jc w:val="center"/>
              <w:rPr>
                <w:rStyle w:val="39"/>
                <w:rFonts w:ascii="宋体" w:hAnsi="宋体"/>
                <w:bCs/>
              </w:rPr>
            </w:pPr>
            <w:r>
              <w:rPr>
                <w:rStyle w:val="39"/>
                <w:rFonts w:ascii="宋体" w:hAnsi="宋体"/>
                <w:bCs/>
              </w:rPr>
              <w:t>工程总报价</w:t>
            </w:r>
          </w:p>
        </w:tc>
        <w:tc>
          <w:tcPr>
            <w:tcW w:w="699" w:type="dxa"/>
            <w:tcBorders>
              <w:top w:val="single" w:color="000000" w:sz="4" w:space="0"/>
              <w:left w:val="single" w:color="000000" w:sz="4" w:space="0"/>
              <w:bottom w:val="single" w:color="000000" w:sz="4" w:space="0"/>
              <w:right w:val="single" w:color="000000" w:sz="4" w:space="0"/>
            </w:tcBorders>
            <w:vAlign w:val="center"/>
          </w:tcPr>
          <w:p w14:paraId="1AC5E643">
            <w:pPr>
              <w:snapToGrid w:val="0"/>
              <w:spacing w:line="312" w:lineRule="auto"/>
              <w:jc w:val="left"/>
              <w:rPr>
                <w:rFonts w:ascii="宋体" w:hAnsi="宋体" w:cs="宋体"/>
                <w:bCs/>
                <w:szCs w:val="21"/>
              </w:rPr>
            </w:pPr>
            <w:r>
              <w:rPr>
                <w:rFonts w:hint="eastAsia" w:ascii="宋体" w:hAnsi="宋体" w:cs="宋体"/>
                <w:bCs/>
                <w:szCs w:val="21"/>
              </w:rPr>
              <w:t>/</w:t>
            </w:r>
          </w:p>
        </w:tc>
        <w:tc>
          <w:tcPr>
            <w:tcW w:w="6764" w:type="dxa"/>
            <w:tcBorders>
              <w:top w:val="single" w:color="000000" w:sz="4" w:space="0"/>
              <w:left w:val="single" w:color="000000" w:sz="4" w:space="0"/>
              <w:bottom w:val="single" w:color="000000" w:sz="4" w:space="0"/>
              <w:right w:val="single" w:color="000000" w:sz="4" w:space="0"/>
            </w:tcBorders>
            <w:vAlign w:val="center"/>
          </w:tcPr>
          <w:p w14:paraId="0F599129">
            <w:pPr>
              <w:spacing w:line="360" w:lineRule="auto"/>
              <w:ind w:firstLine="420" w:firstLineChars="200"/>
              <w:jc w:val="left"/>
              <w:rPr>
                <w:bCs/>
                <w:szCs w:val="21"/>
                <w:lang w:bidi="ar"/>
              </w:rPr>
            </w:pPr>
            <w:r>
              <w:rPr>
                <w:bCs/>
                <w:szCs w:val="21"/>
                <w:lang w:bidi="ar"/>
              </w:rPr>
              <w:t>入围商务标的进行商务评审。</w:t>
            </w:r>
          </w:p>
          <w:p w14:paraId="7A228298">
            <w:pPr>
              <w:spacing w:line="360" w:lineRule="auto"/>
              <w:ind w:firstLine="422" w:firstLineChars="200"/>
              <w:jc w:val="left"/>
              <w:rPr>
                <w:b/>
                <w:szCs w:val="21"/>
                <w:lang w:bidi="ar"/>
              </w:rPr>
            </w:pPr>
            <w:r>
              <w:rPr>
                <w:b/>
                <w:szCs w:val="21"/>
                <w:lang w:bidi="ar"/>
              </w:rPr>
              <w:t>商务标得分=当前轮次最低价/供方投标价×商务标总分</w:t>
            </w:r>
          </w:p>
          <w:p w14:paraId="18F903F9">
            <w:pPr>
              <w:pStyle w:val="2"/>
              <w:ind w:left="420" w:firstLine="420"/>
              <w:rPr>
                <w:lang w:bidi="ar"/>
              </w:rPr>
            </w:pPr>
          </w:p>
          <w:p w14:paraId="241A1996">
            <w:pPr>
              <w:spacing w:line="360" w:lineRule="auto"/>
              <w:ind w:firstLine="422" w:firstLineChars="200"/>
              <w:jc w:val="left"/>
              <w:rPr>
                <w:b/>
                <w:szCs w:val="21"/>
                <w:lang w:bidi="ar"/>
              </w:rPr>
            </w:pPr>
            <w:r>
              <w:rPr>
                <w:b/>
                <w:szCs w:val="21"/>
                <w:lang w:bidi="ar"/>
              </w:rPr>
              <w:t>特别提醒：</w:t>
            </w:r>
          </w:p>
          <w:p w14:paraId="185456D4">
            <w:pPr>
              <w:spacing w:line="360" w:lineRule="auto"/>
              <w:ind w:firstLine="422" w:firstLineChars="200"/>
              <w:jc w:val="left"/>
              <w:rPr>
                <w:b/>
                <w:szCs w:val="21"/>
              </w:rPr>
            </w:pPr>
            <w:r>
              <w:rPr>
                <w:b/>
                <w:szCs w:val="21"/>
              </w:rPr>
              <w:t>不允许采用不平衡报价。</w:t>
            </w:r>
          </w:p>
          <w:p w14:paraId="7693B37E">
            <w:pPr>
              <w:spacing w:line="360" w:lineRule="auto"/>
              <w:ind w:firstLine="422" w:firstLineChars="200"/>
              <w:jc w:val="left"/>
              <w:rPr>
                <w:b/>
                <w:kern w:val="0"/>
                <w:szCs w:val="21"/>
                <w:lang w:bidi="ar"/>
              </w:rPr>
            </w:pPr>
            <w:r>
              <w:rPr>
                <w:b/>
                <w:kern w:val="0"/>
                <w:szCs w:val="21"/>
                <w:lang w:bidi="ar"/>
              </w:rPr>
              <w:t>开标清标后按照招标人清标发现的问题进行纠偏调整，形成修正版工程量清单并同步修正开标报价（但不得高于开标唱标价），推荐拟中标价格以此修正版清单进行同比例下浮，下浮系数=商务标最后一轮澄清总报价/开标清标修正后的总报价。单独澄清的清单项除外。</w:t>
            </w:r>
          </w:p>
          <w:p w14:paraId="1B59D69F">
            <w:pPr>
              <w:spacing w:line="360" w:lineRule="auto"/>
              <w:ind w:firstLine="422" w:firstLineChars="200"/>
              <w:jc w:val="left"/>
              <w:rPr>
                <w:b/>
                <w:kern w:val="0"/>
                <w:szCs w:val="21"/>
                <w:lang w:bidi="ar"/>
              </w:rPr>
            </w:pPr>
            <w:r>
              <w:rPr>
                <w:b/>
                <w:kern w:val="0"/>
                <w:szCs w:val="21"/>
                <w:lang w:bidi="ar"/>
              </w:rPr>
              <w:t>投标人开标清标修正后的已标价工程量清单随开标后第一轮报价上传到e采通附件中，并与开标后第一轮报价金额一致，后续报价只上传每轮报价总金额。</w:t>
            </w:r>
          </w:p>
          <w:p w14:paraId="50AB7FF8">
            <w:pPr>
              <w:snapToGrid w:val="0"/>
              <w:spacing w:line="312" w:lineRule="auto"/>
              <w:ind w:firstLine="422" w:firstLineChars="200"/>
              <w:jc w:val="left"/>
              <w:rPr>
                <w:rFonts w:ascii="宋体" w:hAnsi="宋体" w:cs="宋体"/>
                <w:b/>
                <w:szCs w:val="21"/>
              </w:rPr>
            </w:pPr>
            <w:r>
              <w:rPr>
                <w:b/>
                <w:kern w:val="0"/>
                <w:szCs w:val="21"/>
                <w:lang w:bidi="ar"/>
              </w:rPr>
              <w:t>招标人对下浮后的工程量清单价格进一步价格审核，如发现不平衡报价，招标人有权对其高报价部分予以调低，同时降低拟中标总价。</w:t>
            </w:r>
          </w:p>
        </w:tc>
      </w:tr>
    </w:tbl>
    <w:p w14:paraId="6367F93E">
      <w:pPr>
        <w:pStyle w:val="13"/>
        <w:rPr>
          <w:lang w:bidi="en-US"/>
        </w:rPr>
      </w:pPr>
    </w:p>
    <w:p w14:paraId="52F2DBCA">
      <w:pPr>
        <w:pStyle w:val="13"/>
        <w:rPr>
          <w:lang w:bidi="en-US"/>
        </w:rPr>
      </w:pPr>
    </w:p>
    <w:p w14:paraId="2CEE6215">
      <w:pPr>
        <w:pStyle w:val="7"/>
        <w:spacing w:before="0" w:after="0"/>
        <w:jc w:val="center"/>
        <w:rPr>
          <w:sz w:val="30"/>
          <w:szCs w:val="30"/>
        </w:rPr>
      </w:pPr>
      <w:bookmarkStart w:id="96" w:name="_Toc32749"/>
      <w:bookmarkStart w:id="97" w:name="_Toc3011"/>
      <w:bookmarkStart w:id="98" w:name="_Toc4894"/>
      <w:bookmarkStart w:id="99" w:name="_Toc6825"/>
      <w:bookmarkStart w:id="100" w:name="_Toc29153"/>
      <w:r>
        <w:rPr>
          <w:sz w:val="30"/>
          <w:szCs w:val="30"/>
        </w:rPr>
        <w:t>二、评标办法</w:t>
      </w:r>
      <w:bookmarkEnd w:id="94"/>
      <w:bookmarkEnd w:id="95"/>
      <w:bookmarkEnd w:id="96"/>
      <w:bookmarkEnd w:id="97"/>
      <w:bookmarkEnd w:id="98"/>
      <w:bookmarkEnd w:id="99"/>
      <w:bookmarkEnd w:id="100"/>
    </w:p>
    <w:p w14:paraId="4DFFE31C">
      <w:pPr>
        <w:rPr>
          <w:rStyle w:val="67"/>
          <w:sz w:val="24"/>
        </w:rPr>
      </w:pPr>
      <w:r>
        <w:rPr>
          <w:rStyle w:val="67"/>
          <w:sz w:val="24"/>
        </w:rPr>
        <w:t>1. 评标方法</w:t>
      </w:r>
    </w:p>
    <w:p w14:paraId="6CB888A1">
      <w:pPr>
        <w:spacing w:line="360" w:lineRule="auto"/>
        <w:rPr>
          <w:rStyle w:val="67"/>
        </w:rPr>
      </w:pPr>
      <w:r>
        <w:rPr>
          <w:rStyle w:val="67"/>
        </w:rPr>
        <w:t>1.1评标方法</w:t>
      </w:r>
    </w:p>
    <w:p w14:paraId="0C1CCB77">
      <w:pPr>
        <w:spacing w:line="360" w:lineRule="auto"/>
        <w:ind w:firstLine="420" w:firstLineChars="200"/>
        <w:rPr>
          <w:rStyle w:val="67"/>
          <w:b w:val="0"/>
          <w:bCs w:val="0"/>
        </w:rPr>
      </w:pPr>
      <w:r>
        <w:rPr>
          <w:rStyle w:val="67"/>
          <w:b w:val="0"/>
          <w:bCs w:val="0"/>
        </w:rPr>
        <w:t>本次评标采用综合评估法。评标委员会对满足电子招标文件实质性要求的投标文件，按照本章第2.2款规定的评分细则进行打分，并按得分由高到低顺序推荐中标候选人，或根据招标人授权直接确定中标人，但投标报价低于其成本的除外。最终评标得分相等时，以投标报价低的优先；投标报价也相等的，由招标人自行确定。</w:t>
      </w:r>
    </w:p>
    <w:p w14:paraId="7E5E720F">
      <w:pPr>
        <w:spacing w:line="360" w:lineRule="auto"/>
        <w:rPr>
          <w:rStyle w:val="67"/>
        </w:rPr>
      </w:pPr>
      <w:r>
        <w:rPr>
          <w:rStyle w:val="67"/>
        </w:rPr>
        <w:t>1.2评分及排序</w:t>
      </w:r>
    </w:p>
    <w:p w14:paraId="084AA71C">
      <w:pPr>
        <w:spacing w:line="360" w:lineRule="auto"/>
        <w:ind w:firstLine="420" w:firstLineChars="200"/>
        <w:rPr>
          <w:rStyle w:val="67"/>
          <w:b w:val="0"/>
          <w:bCs w:val="0"/>
        </w:rPr>
      </w:pPr>
      <w:r>
        <w:rPr>
          <w:rStyle w:val="67"/>
          <w:b w:val="0"/>
          <w:bCs w:val="0"/>
        </w:rPr>
        <w:t>技术标和商务标同时开标、分阶段评标的模式。</w:t>
      </w:r>
    </w:p>
    <w:p w14:paraId="7DD81BA7">
      <w:pPr>
        <w:spacing w:line="360" w:lineRule="auto"/>
        <w:ind w:firstLine="420" w:firstLineChars="200"/>
        <w:rPr>
          <w:rStyle w:val="67"/>
          <w:b w:val="0"/>
          <w:bCs w:val="0"/>
        </w:rPr>
      </w:pPr>
      <w:r>
        <w:rPr>
          <w:rStyle w:val="67"/>
          <w:b w:val="0"/>
          <w:bCs w:val="0"/>
        </w:rPr>
        <w:t>首先进行技术标评审，由评标专家组对所有投标方的技术标部分综合评定和打分，确定进入商务标评比资格的投标方。</w:t>
      </w:r>
    </w:p>
    <w:p w14:paraId="4E81E6EC">
      <w:pPr>
        <w:spacing w:line="360" w:lineRule="auto"/>
        <w:ind w:firstLine="420" w:firstLineChars="200"/>
        <w:rPr>
          <w:rStyle w:val="67"/>
          <w:b w:val="0"/>
          <w:bCs w:val="0"/>
        </w:rPr>
      </w:pPr>
      <w:r>
        <w:rPr>
          <w:rStyle w:val="67"/>
          <w:b w:val="0"/>
          <w:bCs w:val="0"/>
        </w:rPr>
        <w:t>然后对入围商务标的投标单位进行综合评审，招标人有权根据项目情况，采取</w:t>
      </w:r>
      <w:r>
        <w:rPr>
          <w:rStyle w:val="67"/>
          <w:b w:val="0"/>
          <w:bCs w:val="0"/>
          <w:szCs w:val="22"/>
        </w:rPr>
        <w:t>多轮</w:t>
      </w:r>
      <w:r>
        <w:rPr>
          <w:rStyle w:val="67"/>
          <w:rFonts w:hint="eastAsia"/>
          <w:b w:val="0"/>
          <w:bCs w:val="0"/>
          <w:szCs w:val="22"/>
          <w:lang w:val="en-US" w:eastAsia="zh-CN"/>
        </w:rPr>
        <w:t>多次</w:t>
      </w:r>
      <w:r>
        <w:rPr>
          <w:rStyle w:val="67"/>
          <w:b w:val="0"/>
          <w:bCs w:val="0"/>
        </w:rPr>
        <w:t>报价模式，最终根据综合得分确定各投标人排序。</w:t>
      </w:r>
    </w:p>
    <w:p w14:paraId="7AF5C6DB">
      <w:pPr>
        <w:spacing w:line="360" w:lineRule="auto"/>
        <w:ind w:firstLine="420" w:firstLineChars="200"/>
        <w:rPr>
          <w:rStyle w:val="67"/>
          <w:b w:val="0"/>
          <w:bCs w:val="0"/>
        </w:rPr>
      </w:pPr>
      <w:r>
        <w:rPr>
          <w:rStyle w:val="67"/>
          <w:b w:val="0"/>
          <w:bCs w:val="0"/>
        </w:rPr>
        <w:t>评标委员会对满足招标文件实质性要求的投标文件，按照本章第2.2款规定的评分标准进行打分，评标委员会按照最终综合得分由高到低的次序排列，但投标报价低于其成本的除外。评分相等时由招标人自行确定排序。</w:t>
      </w:r>
    </w:p>
    <w:p w14:paraId="41DAB6B2">
      <w:pPr>
        <w:spacing w:line="360" w:lineRule="auto"/>
        <w:rPr>
          <w:rStyle w:val="67"/>
          <w:b w:val="0"/>
          <w:bCs w:val="0"/>
          <w:color w:val="FF0000"/>
          <w:szCs w:val="22"/>
        </w:rPr>
      </w:pPr>
      <w:r>
        <w:rPr>
          <w:rStyle w:val="67"/>
          <w:color w:val="FF0000"/>
          <w:szCs w:val="22"/>
        </w:rPr>
        <w:t>1.3招标人有权根据项目情况，采取</w:t>
      </w:r>
      <w:r>
        <w:rPr>
          <w:rStyle w:val="67"/>
          <w:rFonts w:hint="eastAsia"/>
          <w:color w:val="FF0000"/>
          <w:szCs w:val="22"/>
        </w:rPr>
        <w:t>多轮多次</w:t>
      </w:r>
      <w:r>
        <w:rPr>
          <w:rStyle w:val="67"/>
          <w:color w:val="FF0000"/>
          <w:szCs w:val="22"/>
        </w:rPr>
        <w:t>报价模式。</w:t>
      </w:r>
      <w:r>
        <w:rPr>
          <w:rStyle w:val="67"/>
          <w:b w:val="0"/>
          <w:bCs w:val="0"/>
          <w:color w:val="FF0000"/>
          <w:szCs w:val="22"/>
        </w:rPr>
        <w:t>除开标唱标为公开报价方式外，后续</w:t>
      </w:r>
      <w:r>
        <w:rPr>
          <w:rStyle w:val="67"/>
          <w:rFonts w:hint="eastAsia"/>
          <w:b w:val="0"/>
          <w:bCs w:val="0"/>
          <w:color w:val="FF0000"/>
          <w:szCs w:val="22"/>
        </w:rPr>
        <w:t>多轮多次</w:t>
      </w:r>
      <w:r>
        <w:rPr>
          <w:rStyle w:val="67"/>
          <w:b w:val="0"/>
          <w:bCs w:val="0"/>
          <w:color w:val="FF0000"/>
          <w:szCs w:val="22"/>
        </w:rPr>
        <w:t>澄清报价均为非公开的方式，投标人在重汽e采通进行提报报价。</w:t>
      </w:r>
    </w:p>
    <w:p w14:paraId="26CC3E10">
      <w:pPr>
        <w:rPr>
          <w:rStyle w:val="67"/>
          <w:sz w:val="24"/>
        </w:rPr>
      </w:pPr>
      <w:r>
        <w:rPr>
          <w:rStyle w:val="67"/>
          <w:sz w:val="24"/>
        </w:rPr>
        <w:t>2. 评审标准</w:t>
      </w:r>
    </w:p>
    <w:p w14:paraId="0475BCF7">
      <w:pPr>
        <w:spacing w:line="360" w:lineRule="auto"/>
        <w:rPr>
          <w:rStyle w:val="39"/>
          <w:b/>
        </w:rPr>
      </w:pPr>
      <w:r>
        <w:rPr>
          <w:rStyle w:val="39"/>
          <w:b/>
        </w:rPr>
        <w:t>2.1 初步评审标准</w:t>
      </w:r>
    </w:p>
    <w:p w14:paraId="33DEF858">
      <w:pPr>
        <w:spacing w:line="360" w:lineRule="auto"/>
        <w:ind w:firstLine="420" w:firstLineChars="200"/>
        <w:rPr>
          <w:rStyle w:val="39"/>
          <w:szCs w:val="21"/>
        </w:rPr>
      </w:pPr>
      <w:r>
        <w:rPr>
          <w:rStyle w:val="39"/>
        </w:rPr>
        <w:t>2.1.1 形式评审标</w:t>
      </w:r>
      <w:r>
        <w:rPr>
          <w:rStyle w:val="39"/>
          <w:szCs w:val="21"/>
        </w:rPr>
        <w:t>准：见评标办法前附表；</w:t>
      </w:r>
    </w:p>
    <w:p w14:paraId="0BEA0CAE">
      <w:pPr>
        <w:spacing w:line="360" w:lineRule="auto"/>
        <w:ind w:firstLine="420" w:firstLineChars="200"/>
        <w:rPr>
          <w:rStyle w:val="39"/>
          <w:szCs w:val="21"/>
        </w:rPr>
      </w:pPr>
      <w:r>
        <w:rPr>
          <w:rStyle w:val="39"/>
          <w:szCs w:val="21"/>
        </w:rPr>
        <w:t>2.1.2 资格评审标准：见评标办法前附表；</w:t>
      </w:r>
    </w:p>
    <w:p w14:paraId="2CF53858">
      <w:pPr>
        <w:spacing w:line="360" w:lineRule="auto"/>
        <w:ind w:firstLine="420" w:firstLineChars="200"/>
        <w:rPr>
          <w:rStyle w:val="39"/>
          <w:szCs w:val="21"/>
        </w:rPr>
      </w:pPr>
      <w:r>
        <w:rPr>
          <w:rStyle w:val="39"/>
          <w:szCs w:val="21"/>
        </w:rPr>
        <w:t>2.1.3 响应性评审标准：见评标办法前附表。</w:t>
      </w:r>
    </w:p>
    <w:p w14:paraId="567F463C">
      <w:pPr>
        <w:spacing w:line="360" w:lineRule="auto"/>
        <w:rPr>
          <w:rStyle w:val="39"/>
          <w:b/>
          <w:szCs w:val="21"/>
        </w:rPr>
      </w:pPr>
      <w:r>
        <w:rPr>
          <w:rStyle w:val="39"/>
          <w:b/>
          <w:szCs w:val="21"/>
        </w:rPr>
        <w:t>2.2 分值构成与评分标准</w:t>
      </w:r>
    </w:p>
    <w:p w14:paraId="6BB64376">
      <w:pPr>
        <w:spacing w:line="360" w:lineRule="auto"/>
        <w:ind w:firstLine="420" w:firstLineChars="200"/>
        <w:rPr>
          <w:rStyle w:val="39"/>
          <w:szCs w:val="21"/>
        </w:rPr>
      </w:pPr>
      <w:r>
        <w:rPr>
          <w:rStyle w:val="39"/>
          <w:szCs w:val="21"/>
        </w:rPr>
        <w:t>2.2.1 分值构成：见</w:t>
      </w:r>
      <w:r>
        <w:rPr>
          <w:rStyle w:val="29"/>
          <w:color w:val="auto"/>
          <w:sz w:val="21"/>
          <w:szCs w:val="21"/>
          <w:u w:val="none"/>
        </w:rPr>
        <w:t>评标办法前附表及评分细则</w:t>
      </w:r>
      <w:r>
        <w:rPr>
          <w:rStyle w:val="39"/>
          <w:szCs w:val="21"/>
        </w:rPr>
        <w:t>。</w:t>
      </w:r>
    </w:p>
    <w:p w14:paraId="4A46F3A3">
      <w:pPr>
        <w:spacing w:line="360" w:lineRule="auto"/>
        <w:ind w:firstLine="420" w:firstLineChars="200"/>
        <w:rPr>
          <w:rStyle w:val="39"/>
          <w:szCs w:val="21"/>
        </w:rPr>
      </w:pPr>
      <w:r>
        <w:rPr>
          <w:rStyle w:val="39"/>
          <w:szCs w:val="21"/>
        </w:rPr>
        <w:t>2.2.2 评标基准值计算：见</w:t>
      </w:r>
      <w:r>
        <w:rPr>
          <w:rStyle w:val="29"/>
          <w:color w:val="auto"/>
          <w:sz w:val="21"/>
          <w:szCs w:val="21"/>
          <w:u w:val="none"/>
        </w:rPr>
        <w:t>评分细则</w:t>
      </w:r>
      <w:r>
        <w:rPr>
          <w:rStyle w:val="39"/>
          <w:szCs w:val="21"/>
        </w:rPr>
        <w:t>。</w:t>
      </w:r>
    </w:p>
    <w:p w14:paraId="00DAB9C7">
      <w:pPr>
        <w:spacing w:line="360" w:lineRule="auto"/>
        <w:ind w:firstLine="420" w:firstLineChars="200"/>
        <w:rPr>
          <w:rStyle w:val="39"/>
          <w:szCs w:val="21"/>
        </w:rPr>
      </w:pPr>
      <w:r>
        <w:rPr>
          <w:rStyle w:val="39"/>
          <w:szCs w:val="21"/>
        </w:rPr>
        <w:t>2.2.3 投标报价的偏差率计算：</w:t>
      </w:r>
      <w:r>
        <w:rPr>
          <w:rStyle w:val="29"/>
          <w:color w:val="auto"/>
          <w:sz w:val="21"/>
          <w:szCs w:val="21"/>
          <w:u w:val="none"/>
        </w:rPr>
        <w:t>见评标办法评分细则</w:t>
      </w:r>
      <w:r>
        <w:rPr>
          <w:rStyle w:val="39"/>
          <w:szCs w:val="21"/>
        </w:rPr>
        <w:t>。</w:t>
      </w:r>
    </w:p>
    <w:p w14:paraId="6215C1F6">
      <w:pPr>
        <w:spacing w:line="360" w:lineRule="auto"/>
        <w:ind w:firstLine="420" w:firstLineChars="200"/>
        <w:rPr>
          <w:rStyle w:val="39"/>
          <w:b/>
          <w:bCs/>
          <w:szCs w:val="21"/>
        </w:rPr>
      </w:pPr>
      <w:r>
        <w:rPr>
          <w:rStyle w:val="39"/>
          <w:szCs w:val="21"/>
        </w:rPr>
        <w:t>2.2.4 评分细则</w:t>
      </w:r>
      <w:r>
        <w:rPr>
          <w:rStyle w:val="39"/>
          <w:rFonts w:hint="eastAsia"/>
          <w:szCs w:val="21"/>
        </w:rPr>
        <w:t>：</w:t>
      </w:r>
      <w:r>
        <w:rPr>
          <w:rStyle w:val="39"/>
          <w:szCs w:val="21"/>
        </w:rPr>
        <w:t>见</w:t>
      </w:r>
      <w:r>
        <w:rPr>
          <w:rStyle w:val="39"/>
          <w:rFonts w:hint="eastAsia"/>
          <w:szCs w:val="21"/>
        </w:rPr>
        <w:t>技术标评分细则表及商务标评分细则</w:t>
      </w:r>
      <w:r>
        <w:rPr>
          <w:rStyle w:val="39"/>
          <w:szCs w:val="21"/>
        </w:rPr>
        <w:t>表。</w:t>
      </w:r>
    </w:p>
    <w:p w14:paraId="7E9F9D4E">
      <w:pPr>
        <w:rPr>
          <w:rStyle w:val="67"/>
          <w:sz w:val="24"/>
        </w:rPr>
      </w:pPr>
      <w:r>
        <w:rPr>
          <w:rStyle w:val="67"/>
          <w:sz w:val="24"/>
        </w:rPr>
        <w:t>3. 评标程序</w:t>
      </w:r>
    </w:p>
    <w:p w14:paraId="4C62C6F3">
      <w:pPr>
        <w:spacing w:line="360" w:lineRule="auto"/>
        <w:rPr>
          <w:rStyle w:val="67"/>
        </w:rPr>
      </w:pPr>
      <w:r>
        <w:rPr>
          <w:rStyle w:val="67"/>
        </w:rPr>
        <w:t>3.1 初步评审</w:t>
      </w:r>
    </w:p>
    <w:p w14:paraId="04773DCF">
      <w:pPr>
        <w:spacing w:line="360" w:lineRule="auto"/>
        <w:ind w:firstLine="420" w:firstLineChars="200"/>
        <w:rPr>
          <w:rStyle w:val="67"/>
          <w:b w:val="0"/>
          <w:bCs w:val="0"/>
        </w:rPr>
      </w:pPr>
      <w:r>
        <w:rPr>
          <w:rStyle w:val="67"/>
          <w:b w:val="0"/>
          <w:bCs w:val="0"/>
        </w:rPr>
        <w:t>3.1.1 评标委员会可以要求投标人提交</w:t>
      </w:r>
      <w:r>
        <w:rPr>
          <w:rStyle w:val="67"/>
          <w:b w:val="0"/>
          <w:bCs w:val="0"/>
          <w:highlight w:val="none"/>
        </w:rPr>
        <w:t>第九章资格审查文件规</w:t>
      </w:r>
      <w:r>
        <w:rPr>
          <w:rStyle w:val="67"/>
          <w:b w:val="0"/>
          <w:bCs w:val="0"/>
        </w:rPr>
        <w:t>定的有关证明和证件的原件，以便核验。评标委员会对投标文件进行初步评审。有一项不符合资格要求的，作无效标处理。</w:t>
      </w:r>
    </w:p>
    <w:p w14:paraId="6D8AE665">
      <w:pPr>
        <w:spacing w:line="360" w:lineRule="auto"/>
        <w:ind w:firstLine="420" w:firstLineChars="200"/>
        <w:rPr>
          <w:rStyle w:val="67"/>
          <w:b w:val="0"/>
          <w:bCs w:val="0"/>
        </w:rPr>
      </w:pPr>
      <w:r>
        <w:rPr>
          <w:rStyle w:val="67"/>
          <w:b w:val="0"/>
          <w:bCs w:val="0"/>
        </w:rPr>
        <w:t>3.1.2 投标人有以下情形之一的，其投标作废标处理：</w:t>
      </w:r>
      <w:r>
        <w:rPr>
          <w:rStyle w:val="67"/>
          <w:b w:val="0"/>
          <w:bCs w:val="0"/>
          <w:szCs w:val="21"/>
        </w:rPr>
        <w:t>详</w:t>
      </w:r>
      <w:r>
        <w:rPr>
          <w:rStyle w:val="69"/>
          <w:sz w:val="21"/>
          <w:szCs w:val="21"/>
        </w:rPr>
        <w:t>附件B</w:t>
      </w:r>
      <w:r>
        <w:rPr>
          <w:rStyle w:val="67"/>
          <w:b w:val="0"/>
          <w:bCs w:val="0"/>
          <w:szCs w:val="21"/>
        </w:rPr>
        <w:t>：废标条件</w:t>
      </w:r>
    </w:p>
    <w:p w14:paraId="04B59360">
      <w:pPr>
        <w:spacing w:line="360" w:lineRule="auto"/>
        <w:ind w:firstLine="420" w:firstLineChars="200"/>
        <w:rPr>
          <w:rStyle w:val="67"/>
          <w:b w:val="0"/>
          <w:bCs w:val="0"/>
        </w:rPr>
      </w:pPr>
      <w:r>
        <w:rPr>
          <w:rStyle w:val="67"/>
          <w:b w:val="0"/>
          <w:bCs w:val="0"/>
        </w:rPr>
        <w:t>3.1.3投标报价有算术错误的，评标委员会按以下原则对投标报价进行修正，修正的价格经投标人书面确认后具有约束力。投标人不接受修正价格的，其投标作无效标处理。</w:t>
      </w:r>
    </w:p>
    <w:p w14:paraId="44E385E5">
      <w:pPr>
        <w:spacing w:line="360" w:lineRule="auto"/>
        <w:ind w:firstLine="420" w:firstLineChars="200"/>
        <w:rPr>
          <w:rStyle w:val="67"/>
          <w:b w:val="0"/>
          <w:bCs w:val="0"/>
        </w:rPr>
      </w:pPr>
      <w:r>
        <w:rPr>
          <w:rStyle w:val="67"/>
          <w:b w:val="0"/>
          <w:bCs w:val="0"/>
        </w:rPr>
        <w:t>（1）投标文件中的大写金额与小写金额不一致的，以大写金额为准；</w:t>
      </w:r>
    </w:p>
    <w:p w14:paraId="57F1A40D">
      <w:pPr>
        <w:spacing w:line="360" w:lineRule="auto"/>
        <w:ind w:firstLine="420" w:firstLineChars="200"/>
        <w:rPr>
          <w:szCs w:val="21"/>
        </w:rPr>
      </w:pPr>
      <w:r>
        <w:rPr>
          <w:rStyle w:val="67"/>
          <w:b w:val="0"/>
          <w:bCs w:val="0"/>
        </w:rPr>
        <w:t>（2）总价金额与依据单价计算出的结果不一致的</w:t>
      </w:r>
      <w:r>
        <w:rPr>
          <w:rStyle w:val="67"/>
          <w:b w:val="0"/>
          <w:bCs w:val="0"/>
          <w:szCs w:val="21"/>
        </w:rPr>
        <w:t>，</w:t>
      </w:r>
      <w:r>
        <w:rPr>
          <w:color w:val="000000"/>
          <w:kern w:val="0"/>
          <w:szCs w:val="21"/>
          <w:lang w:bidi="ar"/>
        </w:rPr>
        <w:t>以单价金额为准修正总价，但单价金额小数点有明显错误的除外。</w:t>
      </w:r>
    </w:p>
    <w:p w14:paraId="69B6B579">
      <w:pPr>
        <w:spacing w:line="360" w:lineRule="auto"/>
        <w:ind w:firstLine="422" w:firstLineChars="200"/>
        <w:rPr>
          <w:rStyle w:val="67"/>
        </w:rPr>
      </w:pPr>
      <w:r>
        <w:rPr>
          <w:rStyle w:val="67"/>
        </w:rPr>
        <w:t>3.1.4投标人有下列情形之一的视为无效投标：</w:t>
      </w:r>
    </w:p>
    <w:p w14:paraId="215CC33E">
      <w:pPr>
        <w:spacing w:line="360" w:lineRule="auto"/>
        <w:ind w:firstLine="420" w:firstLineChars="200"/>
        <w:rPr>
          <w:rStyle w:val="67"/>
          <w:b w:val="0"/>
          <w:bCs w:val="0"/>
        </w:rPr>
      </w:pPr>
      <w:r>
        <w:rPr>
          <w:rStyle w:val="67"/>
          <w:b w:val="0"/>
          <w:bCs w:val="0"/>
        </w:rPr>
        <w:t>（1）参加开标会议的投标人的法定代表人或其委托代理人未携带本人身份证，委托代理人未携带参加开标会议的法定代表人授权委托书，法定代表人未携带法定代表人证书，无法证明其身份的；</w:t>
      </w:r>
    </w:p>
    <w:p w14:paraId="7EBAE4A8">
      <w:pPr>
        <w:spacing w:line="480" w:lineRule="exact"/>
        <w:ind w:firstLine="420" w:firstLineChars="200"/>
        <w:rPr>
          <w:rStyle w:val="67"/>
          <w:b w:val="0"/>
          <w:bCs w:val="0"/>
        </w:rPr>
      </w:pPr>
      <w:r>
        <w:rPr>
          <w:rStyle w:val="67"/>
          <w:b w:val="0"/>
          <w:bCs w:val="0"/>
        </w:rPr>
        <w:t>（2）无单位盖章并无法定代表人或法定代表人授权的代理人签字或盖章的；</w:t>
      </w:r>
    </w:p>
    <w:p w14:paraId="62E2F7A4">
      <w:pPr>
        <w:spacing w:line="480" w:lineRule="exact"/>
        <w:ind w:firstLine="420" w:firstLineChars="200"/>
        <w:rPr>
          <w:rStyle w:val="67"/>
          <w:b w:val="0"/>
          <w:bCs w:val="0"/>
        </w:rPr>
      </w:pPr>
      <w:r>
        <w:rPr>
          <w:rStyle w:val="67"/>
          <w:b w:val="0"/>
          <w:bCs w:val="0"/>
        </w:rPr>
        <w:t>（3）授权委托书未按规定格式填写，内容不全或关键字迹模糊、无法辨认的；</w:t>
      </w:r>
    </w:p>
    <w:p w14:paraId="38433D19">
      <w:pPr>
        <w:spacing w:line="480" w:lineRule="exact"/>
        <w:ind w:firstLine="420" w:firstLineChars="200"/>
        <w:rPr>
          <w:rStyle w:val="67"/>
          <w:b w:val="0"/>
          <w:bCs w:val="0"/>
        </w:rPr>
      </w:pPr>
      <w:r>
        <w:rPr>
          <w:rStyle w:val="67"/>
          <w:b w:val="0"/>
          <w:bCs w:val="0"/>
        </w:rPr>
        <w:t>（4）投标人递交两份或多份内容不同的投标文件，或在一份投标文件中对同一招标项目抱有两个或多个报价，且未声明哪一个有效，按招标文件规定提交备选投标方案的除外；</w:t>
      </w:r>
    </w:p>
    <w:p w14:paraId="068BBEDA">
      <w:pPr>
        <w:spacing w:line="480" w:lineRule="exact"/>
        <w:ind w:firstLine="420" w:firstLineChars="200"/>
        <w:rPr>
          <w:rStyle w:val="67"/>
          <w:b w:val="0"/>
          <w:bCs w:val="0"/>
        </w:rPr>
      </w:pPr>
      <w:r>
        <w:rPr>
          <w:rStyle w:val="67"/>
          <w:b w:val="0"/>
          <w:bCs w:val="0"/>
        </w:rPr>
        <w:t>（5）投标人名称或组织结构与资格预审时不一致（资格预审的）；</w:t>
      </w:r>
    </w:p>
    <w:p w14:paraId="3A2571B6">
      <w:pPr>
        <w:spacing w:line="480" w:lineRule="exact"/>
        <w:ind w:firstLine="420" w:firstLineChars="200"/>
        <w:rPr>
          <w:rStyle w:val="67"/>
          <w:b w:val="0"/>
          <w:bCs w:val="0"/>
        </w:rPr>
      </w:pPr>
      <w:r>
        <w:rPr>
          <w:rStyle w:val="67"/>
          <w:b w:val="0"/>
          <w:bCs w:val="0"/>
        </w:rPr>
        <w:t>（6）投标人未按投标文件的要求提交投标保证金的；</w:t>
      </w:r>
    </w:p>
    <w:p w14:paraId="498815A7">
      <w:pPr>
        <w:spacing w:line="480" w:lineRule="exact"/>
        <w:ind w:firstLine="420" w:firstLineChars="200"/>
        <w:rPr>
          <w:rStyle w:val="67"/>
          <w:b w:val="0"/>
          <w:bCs w:val="0"/>
        </w:rPr>
      </w:pPr>
      <w:r>
        <w:rPr>
          <w:rStyle w:val="67"/>
          <w:b w:val="0"/>
          <w:bCs w:val="0"/>
        </w:rPr>
        <w:t>（7）联合体投标未附联合体各方共同投标协议的（允许联合体投标的）；</w:t>
      </w:r>
    </w:p>
    <w:p w14:paraId="04B38CE6">
      <w:pPr>
        <w:spacing w:line="480" w:lineRule="exact"/>
        <w:ind w:firstLine="420" w:firstLineChars="200"/>
        <w:rPr>
          <w:rStyle w:val="67"/>
          <w:b w:val="0"/>
          <w:bCs w:val="0"/>
        </w:rPr>
      </w:pPr>
      <w:bookmarkStart w:id="101" w:name="_Toc16063905"/>
      <w:r>
        <w:rPr>
          <w:rStyle w:val="67"/>
          <w:b w:val="0"/>
          <w:bCs w:val="0"/>
        </w:rPr>
        <w:t>（8）投标文件未按照招标文件的要求予以密封的；</w:t>
      </w:r>
      <w:bookmarkEnd w:id="101"/>
    </w:p>
    <w:p w14:paraId="7731163D">
      <w:pPr>
        <w:spacing w:line="480" w:lineRule="exact"/>
        <w:ind w:firstLine="420" w:firstLineChars="200"/>
        <w:rPr>
          <w:rStyle w:val="67"/>
          <w:b w:val="0"/>
          <w:bCs w:val="0"/>
        </w:rPr>
      </w:pPr>
      <w:r>
        <w:rPr>
          <w:rStyle w:val="67"/>
          <w:b w:val="0"/>
          <w:bCs w:val="0"/>
        </w:rPr>
        <w:t>（9）投标文件中的投标函未加盖投标人的企业及企业法定代表人印章的，或者企业法定代表人委托代理人没有合法、有效的委托书（原件）及委托代理人印章的；</w:t>
      </w:r>
    </w:p>
    <w:p w14:paraId="312F1554">
      <w:pPr>
        <w:spacing w:line="480" w:lineRule="exact"/>
        <w:ind w:firstLine="420" w:firstLineChars="200"/>
        <w:rPr>
          <w:rStyle w:val="67"/>
          <w:b w:val="0"/>
          <w:bCs w:val="0"/>
        </w:rPr>
      </w:pPr>
      <w:r>
        <w:rPr>
          <w:rStyle w:val="67"/>
          <w:b w:val="0"/>
          <w:bCs w:val="0"/>
        </w:rPr>
        <w:t>（10）资格审查未通过的；</w:t>
      </w:r>
    </w:p>
    <w:p w14:paraId="7651F208">
      <w:pPr>
        <w:spacing w:line="480" w:lineRule="exact"/>
        <w:ind w:firstLine="420" w:firstLineChars="200"/>
        <w:rPr>
          <w:rStyle w:val="67"/>
          <w:b w:val="0"/>
          <w:bCs w:val="0"/>
        </w:rPr>
      </w:pPr>
      <w:r>
        <w:rPr>
          <w:rStyle w:val="67"/>
          <w:b w:val="0"/>
          <w:bCs w:val="0"/>
        </w:rPr>
        <w:t>（11）未实质性响应招标文件内容的；</w:t>
      </w:r>
    </w:p>
    <w:p w14:paraId="40BF17CA">
      <w:pPr>
        <w:spacing w:line="480" w:lineRule="exact"/>
        <w:ind w:firstLine="420" w:firstLineChars="200"/>
        <w:rPr>
          <w:rStyle w:val="67"/>
          <w:b w:val="0"/>
          <w:bCs w:val="0"/>
        </w:rPr>
      </w:pPr>
      <w:r>
        <w:rPr>
          <w:rStyle w:val="67"/>
          <w:b w:val="0"/>
          <w:bCs w:val="0"/>
        </w:rPr>
        <w:t>（12）投标单位负责人为同一人或存在管理关系的。</w:t>
      </w:r>
    </w:p>
    <w:p w14:paraId="7E007606">
      <w:pPr>
        <w:spacing w:line="480" w:lineRule="exact"/>
        <w:ind w:firstLine="420" w:firstLineChars="200"/>
        <w:rPr>
          <w:rStyle w:val="67"/>
          <w:b w:val="0"/>
          <w:bCs w:val="0"/>
        </w:rPr>
      </w:pPr>
      <w:r>
        <w:rPr>
          <w:rStyle w:val="67"/>
          <w:b w:val="0"/>
          <w:bCs w:val="0"/>
        </w:rPr>
        <w:t>（13）投标人被举报、检举，并经招标方查实无误的。</w:t>
      </w:r>
    </w:p>
    <w:p w14:paraId="72BCB59E">
      <w:pPr>
        <w:spacing w:line="360" w:lineRule="auto"/>
        <w:rPr>
          <w:rStyle w:val="67"/>
        </w:rPr>
      </w:pPr>
      <w:r>
        <w:rPr>
          <w:rStyle w:val="67"/>
        </w:rPr>
        <w:t>3.2 详细评审</w:t>
      </w:r>
    </w:p>
    <w:p w14:paraId="4C906EE6">
      <w:pPr>
        <w:spacing w:line="360" w:lineRule="auto"/>
        <w:ind w:firstLine="420" w:firstLineChars="200"/>
        <w:rPr>
          <w:rStyle w:val="67"/>
          <w:b w:val="0"/>
          <w:bCs w:val="0"/>
        </w:rPr>
      </w:pPr>
      <w:r>
        <w:rPr>
          <w:rStyle w:val="67"/>
          <w:b w:val="0"/>
          <w:bCs w:val="0"/>
        </w:rPr>
        <w:t>3.2.1 技术标：评标委员会按本章评分细则进行打分，并计算出平均得分；</w:t>
      </w:r>
    </w:p>
    <w:p w14:paraId="5BFB5B2C">
      <w:pPr>
        <w:spacing w:line="360" w:lineRule="auto"/>
        <w:ind w:firstLine="420" w:firstLineChars="200"/>
        <w:rPr>
          <w:rStyle w:val="67"/>
          <w:b w:val="0"/>
          <w:bCs w:val="0"/>
          <w:i/>
          <w:iCs/>
          <w:color w:val="FF0000"/>
        </w:rPr>
      </w:pPr>
      <w:r>
        <w:rPr>
          <w:rStyle w:val="67"/>
          <w:b w:val="0"/>
          <w:bCs w:val="0"/>
        </w:rPr>
        <w:t>商务标：按照本章评分细则进行打分，并计算出综合评估得分。</w:t>
      </w:r>
    </w:p>
    <w:p w14:paraId="54E59D38">
      <w:pPr>
        <w:spacing w:line="360" w:lineRule="auto"/>
        <w:ind w:firstLine="420" w:firstLineChars="200"/>
        <w:rPr>
          <w:rStyle w:val="67"/>
          <w:b w:val="0"/>
          <w:bCs w:val="0"/>
        </w:rPr>
      </w:pPr>
      <w:r>
        <w:rPr>
          <w:rStyle w:val="67"/>
          <w:b w:val="0"/>
          <w:bCs w:val="0"/>
        </w:rPr>
        <w:t>3.2.2 评分分值计算保留小数点后两位，小数点后第三位“四舍五入”。</w:t>
      </w:r>
    </w:p>
    <w:p w14:paraId="07CD5F50">
      <w:pPr>
        <w:spacing w:line="360" w:lineRule="auto"/>
        <w:ind w:firstLine="420" w:firstLineChars="200"/>
        <w:rPr>
          <w:rStyle w:val="67"/>
          <w:b w:val="0"/>
          <w:bCs w:val="0"/>
        </w:rPr>
      </w:pPr>
      <w:r>
        <w:rPr>
          <w:rStyle w:val="67"/>
          <w:b w:val="0"/>
          <w:bCs w:val="0"/>
        </w:rPr>
        <w:t>3.2.3 投标人得分=按照本章评分细则计算的综合得分。</w:t>
      </w:r>
    </w:p>
    <w:p w14:paraId="6CCE3E1A">
      <w:pPr>
        <w:spacing w:line="360" w:lineRule="auto"/>
        <w:ind w:firstLine="420" w:firstLineChars="200"/>
        <w:rPr>
          <w:rStyle w:val="67"/>
          <w:b w:val="0"/>
          <w:bCs w:val="0"/>
        </w:rPr>
      </w:pPr>
      <w:r>
        <w:rPr>
          <w:rStyle w:val="67"/>
          <w:b w:val="0"/>
          <w:bCs w:val="0"/>
        </w:rPr>
        <w:t>3.2.4 评标委员会发现投标人的报价明显低于其他投标报价，使得其投标报价可能低于其个别成本的，应当要求该投标人作出书面说明并提供相应的证明材料。投标人不能合理说明或者不能提供相应证明材料的，由评标委员会认定该投标人以低于成本报价竞标，其投标作废标处理。</w:t>
      </w:r>
    </w:p>
    <w:p w14:paraId="3F315492">
      <w:pPr>
        <w:spacing w:line="360" w:lineRule="auto"/>
        <w:rPr>
          <w:rStyle w:val="67"/>
        </w:rPr>
      </w:pPr>
      <w:r>
        <w:rPr>
          <w:rStyle w:val="67"/>
        </w:rPr>
        <w:t>3.3 投标文件的澄清和补正</w:t>
      </w:r>
    </w:p>
    <w:p w14:paraId="628638E2">
      <w:pPr>
        <w:spacing w:line="360" w:lineRule="auto"/>
        <w:ind w:firstLine="420" w:firstLineChars="200"/>
        <w:rPr>
          <w:rStyle w:val="67"/>
          <w:b w:val="0"/>
          <w:bCs w:val="0"/>
        </w:rPr>
      </w:pPr>
      <w:r>
        <w:rPr>
          <w:rStyle w:val="67"/>
          <w:b w:val="0"/>
          <w:bCs w:val="0"/>
        </w:rPr>
        <w:t>3.3.1在评标过程中，评标委员会可以书面形式要求投标人对所提交投标文件中不明确的内容进行书面澄清或说明，或者对细微偏差进行补正。评标委员会不接受投标人主动提出的澄清、说明或补正。</w:t>
      </w:r>
    </w:p>
    <w:p w14:paraId="524119C1">
      <w:pPr>
        <w:spacing w:line="360" w:lineRule="auto"/>
        <w:ind w:firstLine="420" w:firstLineChars="200"/>
        <w:rPr>
          <w:rStyle w:val="67"/>
          <w:b w:val="0"/>
          <w:bCs w:val="0"/>
        </w:rPr>
      </w:pPr>
      <w:r>
        <w:rPr>
          <w:rStyle w:val="67"/>
          <w:b w:val="0"/>
          <w:bCs w:val="0"/>
        </w:rPr>
        <w:t>3.3.2澄清、说明和补正不得改变投标文件的实质性内容（算术性错误修正的除外）。投标人的书面澄清、说明和补正属于投标文件的组成部分。</w:t>
      </w:r>
    </w:p>
    <w:p w14:paraId="2685F148">
      <w:pPr>
        <w:spacing w:line="360" w:lineRule="auto"/>
        <w:ind w:firstLine="420" w:firstLineChars="200"/>
        <w:rPr>
          <w:rStyle w:val="67"/>
          <w:b w:val="0"/>
          <w:bCs w:val="0"/>
        </w:rPr>
      </w:pPr>
      <w:r>
        <w:rPr>
          <w:rStyle w:val="67"/>
          <w:b w:val="0"/>
          <w:bCs w:val="0"/>
        </w:rPr>
        <w:t>3.3.3 评标委员会对投标人提交的澄清、说明或补正有疑问的，可以要求投标人进一步澄清、说明或补正，直至满足评标委员会的要求。</w:t>
      </w:r>
    </w:p>
    <w:p w14:paraId="7B862DC5">
      <w:pPr>
        <w:spacing w:line="360" w:lineRule="auto"/>
        <w:rPr>
          <w:rStyle w:val="67"/>
        </w:rPr>
      </w:pPr>
      <w:r>
        <w:rPr>
          <w:rStyle w:val="67"/>
        </w:rPr>
        <w:t>3.4 评标结果</w:t>
      </w:r>
    </w:p>
    <w:p w14:paraId="6596DDDE">
      <w:pPr>
        <w:spacing w:line="360" w:lineRule="auto"/>
        <w:ind w:firstLine="420" w:firstLineChars="200"/>
      </w:pPr>
      <w:r>
        <w:rPr>
          <w:rStyle w:val="67"/>
          <w:b w:val="0"/>
          <w:bCs w:val="0"/>
        </w:rPr>
        <w:t>3.4.1除第二章“投标人须知”前附表授权直接确定中标人外，评标委员会按照综合得分</w:t>
      </w:r>
      <w:r>
        <w:rPr>
          <w:szCs w:val="21"/>
        </w:rPr>
        <w:t>由高到低的顺序推荐中标候选人</w:t>
      </w:r>
      <w:r>
        <w:t>。</w:t>
      </w:r>
    </w:p>
    <w:p w14:paraId="67CA7EDD">
      <w:pPr>
        <w:spacing w:line="360" w:lineRule="auto"/>
        <w:ind w:firstLine="420" w:firstLineChars="200"/>
        <w:rPr>
          <w:rStyle w:val="67"/>
          <w:b w:val="0"/>
          <w:bCs w:val="0"/>
        </w:rPr>
      </w:pPr>
      <w:r>
        <w:rPr>
          <w:rStyle w:val="67"/>
          <w:b w:val="0"/>
          <w:bCs w:val="0"/>
        </w:rPr>
        <w:t>3.4.2 评标委员会完成评标后，应当向招标人提交书面评标报告。</w:t>
      </w:r>
    </w:p>
    <w:p w14:paraId="5E71CFBB">
      <w:pPr>
        <w:spacing w:line="360" w:lineRule="auto"/>
        <w:rPr>
          <w:rStyle w:val="67"/>
          <w:sz w:val="24"/>
          <w:szCs w:val="32"/>
        </w:rPr>
      </w:pPr>
      <w:r>
        <w:rPr>
          <w:rStyle w:val="67"/>
          <w:sz w:val="24"/>
          <w:szCs w:val="32"/>
        </w:rPr>
        <w:t>附件B：废标条件</w:t>
      </w:r>
    </w:p>
    <w:p w14:paraId="4F3B24E8">
      <w:pPr>
        <w:spacing w:line="360" w:lineRule="auto"/>
        <w:rPr>
          <w:rStyle w:val="67"/>
        </w:rPr>
      </w:pPr>
      <w:bookmarkStart w:id="102" w:name="_Toc16063939"/>
      <w:r>
        <w:rPr>
          <w:rStyle w:val="67"/>
        </w:rPr>
        <w:t>B0 总则</w:t>
      </w:r>
      <w:bookmarkEnd w:id="102"/>
    </w:p>
    <w:p w14:paraId="2B03A84E">
      <w:pPr>
        <w:spacing w:line="360" w:lineRule="auto"/>
        <w:ind w:firstLine="420" w:firstLineChars="200"/>
        <w:rPr>
          <w:rStyle w:val="67"/>
          <w:b w:val="0"/>
          <w:bCs w:val="0"/>
        </w:rPr>
      </w:pPr>
      <w:r>
        <w:rPr>
          <w:rStyle w:val="67"/>
          <w:b w:val="0"/>
          <w:bCs w:val="0"/>
        </w:rPr>
        <w:t>本附件所集中列示的废标条件，是本章“评标办法”的组成部分，是对第二章“投标人须知”和本章正文部分所规定的废标条件的总结和补充，如果出现相互矛盾的情况，以第二章“投标人须知”和本章正文部分的规定为准。</w:t>
      </w:r>
    </w:p>
    <w:p w14:paraId="465C91E0">
      <w:pPr>
        <w:spacing w:line="360" w:lineRule="auto"/>
        <w:rPr>
          <w:rStyle w:val="67"/>
        </w:rPr>
      </w:pPr>
      <w:bookmarkStart w:id="103" w:name="_Toc16063940"/>
      <w:r>
        <w:rPr>
          <w:rStyle w:val="67"/>
        </w:rPr>
        <w:t>B1 废标条件</w:t>
      </w:r>
      <w:bookmarkEnd w:id="103"/>
    </w:p>
    <w:p w14:paraId="68551A89">
      <w:pPr>
        <w:spacing w:line="360" w:lineRule="auto"/>
        <w:ind w:firstLine="420" w:firstLineChars="200"/>
        <w:rPr>
          <w:rStyle w:val="67"/>
          <w:b w:val="0"/>
          <w:bCs w:val="0"/>
        </w:rPr>
      </w:pPr>
      <w:r>
        <w:rPr>
          <w:rStyle w:val="67"/>
          <w:b w:val="0"/>
          <w:bCs w:val="0"/>
        </w:rPr>
        <w:t>投标人或其投标文件有下列情形之一的，其投标作废标处理：</w:t>
      </w:r>
    </w:p>
    <w:p w14:paraId="23E7E3A5">
      <w:pPr>
        <w:spacing w:line="360" w:lineRule="auto"/>
        <w:ind w:firstLine="420" w:firstLineChars="200"/>
        <w:rPr>
          <w:rStyle w:val="67"/>
          <w:b w:val="0"/>
          <w:bCs w:val="0"/>
        </w:rPr>
      </w:pPr>
      <w:r>
        <w:rPr>
          <w:rStyle w:val="67"/>
          <w:b w:val="0"/>
          <w:bCs w:val="0"/>
        </w:rPr>
        <w:t>B1.1有</w:t>
      </w:r>
      <w:r>
        <w:rPr>
          <w:rStyle w:val="67"/>
        </w:rPr>
        <w:t>第二</w:t>
      </w:r>
      <w:r>
        <w:rPr>
          <w:rStyle w:val="67"/>
          <w:szCs w:val="21"/>
        </w:rPr>
        <w:t>章“投标人须知”</w:t>
      </w:r>
      <w:r>
        <w:rPr>
          <w:rStyle w:val="69"/>
          <w:b/>
          <w:bCs/>
          <w:sz w:val="21"/>
          <w:szCs w:val="21"/>
        </w:rPr>
        <w:t>第1.4.3</w:t>
      </w:r>
      <w:r>
        <w:rPr>
          <w:rStyle w:val="67"/>
          <w:szCs w:val="21"/>
        </w:rPr>
        <w:t>项</w:t>
      </w:r>
      <w:r>
        <w:rPr>
          <w:rStyle w:val="67"/>
          <w:b w:val="0"/>
          <w:bCs w:val="0"/>
          <w:szCs w:val="21"/>
        </w:rPr>
        <w:t>规定的任何一</w:t>
      </w:r>
      <w:r>
        <w:rPr>
          <w:rStyle w:val="67"/>
          <w:b w:val="0"/>
          <w:bCs w:val="0"/>
        </w:rPr>
        <w:t>种情形的。</w:t>
      </w:r>
    </w:p>
    <w:p w14:paraId="1214FDAC">
      <w:pPr>
        <w:spacing w:line="360" w:lineRule="auto"/>
        <w:ind w:firstLine="420" w:firstLineChars="200"/>
        <w:rPr>
          <w:rStyle w:val="67"/>
          <w:b w:val="0"/>
          <w:bCs w:val="0"/>
          <w:shd w:val="clear" w:color="auto" w:fill="D9D9D9"/>
        </w:rPr>
      </w:pPr>
      <w:r>
        <w:rPr>
          <w:rStyle w:val="67"/>
          <w:b w:val="0"/>
          <w:bCs w:val="0"/>
          <w:shd w:val="clear" w:color="auto" w:fill="D9D9D9"/>
        </w:rPr>
        <w:t>B1.2 有串通投标或弄虚作假或其他违法行为的，详见下款：</w:t>
      </w:r>
    </w:p>
    <w:p w14:paraId="4A5462F6">
      <w:pPr>
        <w:spacing w:line="360" w:lineRule="auto"/>
        <w:ind w:left="216" w:leftChars="103" w:firstLine="621" w:firstLineChars="296"/>
        <w:rPr>
          <w:rStyle w:val="67"/>
          <w:b w:val="0"/>
          <w:bCs w:val="0"/>
          <w:shd w:val="clear" w:color="auto" w:fill="D9D9D9"/>
        </w:rPr>
      </w:pPr>
      <w:r>
        <w:rPr>
          <w:rStyle w:val="67"/>
          <w:b w:val="0"/>
          <w:bCs w:val="0"/>
          <w:shd w:val="clear" w:color="auto" w:fill="D9D9D9"/>
        </w:rPr>
        <w:t>B1.2.1投标人之间协商投标报价等投标文件的实质性内容；</w:t>
      </w:r>
    </w:p>
    <w:p w14:paraId="2265490B">
      <w:pPr>
        <w:spacing w:line="360" w:lineRule="auto"/>
        <w:ind w:left="216" w:leftChars="103" w:firstLine="621" w:firstLineChars="296"/>
        <w:rPr>
          <w:rStyle w:val="67"/>
          <w:b w:val="0"/>
          <w:bCs w:val="0"/>
          <w:shd w:val="clear" w:color="auto" w:fill="D9D9D9"/>
        </w:rPr>
      </w:pPr>
      <w:r>
        <w:rPr>
          <w:rStyle w:val="67"/>
          <w:b w:val="0"/>
          <w:bCs w:val="0"/>
          <w:shd w:val="clear" w:color="auto" w:fill="D9D9D9"/>
        </w:rPr>
        <w:t>B1.2.2投标人之间约定中标人；</w:t>
      </w:r>
    </w:p>
    <w:p w14:paraId="22AFDE06">
      <w:pPr>
        <w:spacing w:line="360" w:lineRule="auto"/>
        <w:ind w:left="216" w:leftChars="103" w:firstLine="621" w:firstLineChars="296"/>
        <w:rPr>
          <w:rStyle w:val="67"/>
          <w:b w:val="0"/>
          <w:bCs w:val="0"/>
          <w:shd w:val="clear" w:color="auto" w:fill="D9D9D9"/>
        </w:rPr>
      </w:pPr>
      <w:r>
        <w:rPr>
          <w:rStyle w:val="67"/>
          <w:b w:val="0"/>
          <w:bCs w:val="0"/>
          <w:shd w:val="clear" w:color="auto" w:fill="D9D9D9"/>
        </w:rPr>
        <w:t>B1.2.3投标人之间约定部分投标人放弃投标或者中标；</w:t>
      </w:r>
    </w:p>
    <w:p w14:paraId="4FE55A67">
      <w:pPr>
        <w:spacing w:line="360" w:lineRule="auto"/>
        <w:ind w:left="216" w:leftChars="103" w:firstLine="621" w:firstLineChars="296"/>
        <w:rPr>
          <w:rStyle w:val="67"/>
          <w:b w:val="0"/>
          <w:bCs w:val="0"/>
          <w:shd w:val="clear" w:color="auto" w:fill="D9D9D9"/>
        </w:rPr>
      </w:pPr>
      <w:r>
        <w:rPr>
          <w:rStyle w:val="67"/>
          <w:b w:val="0"/>
          <w:bCs w:val="0"/>
          <w:shd w:val="clear" w:color="auto" w:fill="D9D9D9"/>
        </w:rPr>
        <w:t>B1.2.4属于同一集团、协会、商会等组织成员的投标人按照该组织要求协同投标；</w:t>
      </w:r>
    </w:p>
    <w:p w14:paraId="2CCA1389">
      <w:pPr>
        <w:spacing w:line="360" w:lineRule="auto"/>
        <w:ind w:left="216" w:leftChars="103" w:firstLine="621" w:firstLineChars="296"/>
        <w:rPr>
          <w:rStyle w:val="67"/>
          <w:b w:val="0"/>
          <w:bCs w:val="0"/>
          <w:shd w:val="clear" w:color="auto" w:fill="D9D9D9"/>
        </w:rPr>
      </w:pPr>
      <w:bookmarkStart w:id="104" w:name="_Toc16063941"/>
      <w:r>
        <w:rPr>
          <w:rStyle w:val="67"/>
          <w:b w:val="0"/>
          <w:bCs w:val="0"/>
          <w:shd w:val="clear" w:color="auto" w:fill="D9D9D9"/>
        </w:rPr>
        <w:t>B1.2.5投标人之间为谋取中标或者排斥特定投标人而采取的其他联合行动；</w:t>
      </w:r>
      <w:bookmarkEnd w:id="104"/>
    </w:p>
    <w:p w14:paraId="5F5C3ABF">
      <w:pPr>
        <w:spacing w:line="360" w:lineRule="auto"/>
        <w:ind w:left="216" w:leftChars="103" w:firstLine="621" w:firstLineChars="296"/>
        <w:rPr>
          <w:rStyle w:val="67"/>
          <w:b w:val="0"/>
          <w:bCs w:val="0"/>
          <w:shd w:val="clear" w:color="auto" w:fill="D9D9D9"/>
        </w:rPr>
      </w:pPr>
      <w:r>
        <w:rPr>
          <w:rStyle w:val="67"/>
          <w:b w:val="0"/>
          <w:bCs w:val="0"/>
          <w:shd w:val="clear" w:color="auto" w:fill="D9D9D9"/>
        </w:rPr>
        <w:t>B1.2.6不同投标人的投标文件由同一单位或者个人编制；</w:t>
      </w:r>
    </w:p>
    <w:p w14:paraId="70469244">
      <w:pPr>
        <w:spacing w:line="360" w:lineRule="auto"/>
        <w:ind w:left="216" w:leftChars="103" w:firstLine="621" w:firstLineChars="296"/>
        <w:rPr>
          <w:rStyle w:val="67"/>
          <w:b w:val="0"/>
          <w:bCs w:val="0"/>
          <w:shd w:val="clear" w:color="auto" w:fill="D9D9D9"/>
        </w:rPr>
      </w:pPr>
      <w:r>
        <w:rPr>
          <w:rStyle w:val="67"/>
          <w:b w:val="0"/>
          <w:bCs w:val="0"/>
          <w:shd w:val="clear" w:color="auto" w:fill="D9D9D9"/>
        </w:rPr>
        <w:t>B1.2.7不同投标人委托同一单位或者个人办理投标事宜；</w:t>
      </w:r>
    </w:p>
    <w:p w14:paraId="5E663596">
      <w:pPr>
        <w:spacing w:line="360" w:lineRule="auto"/>
        <w:ind w:left="216" w:leftChars="103" w:firstLine="621" w:firstLineChars="296"/>
        <w:rPr>
          <w:rStyle w:val="67"/>
          <w:b w:val="0"/>
          <w:bCs w:val="0"/>
          <w:shd w:val="clear" w:color="auto" w:fill="D9D9D9"/>
        </w:rPr>
      </w:pPr>
      <w:r>
        <w:rPr>
          <w:rStyle w:val="67"/>
          <w:b w:val="0"/>
          <w:bCs w:val="0"/>
          <w:shd w:val="clear" w:color="auto" w:fill="D9D9D9"/>
        </w:rPr>
        <w:t>B1.2.8不同投标人的投标文件载明的项目管理成员为同一人；</w:t>
      </w:r>
    </w:p>
    <w:p w14:paraId="12229123">
      <w:pPr>
        <w:spacing w:line="360" w:lineRule="auto"/>
        <w:ind w:left="216" w:leftChars="103" w:firstLine="621" w:firstLineChars="296"/>
        <w:rPr>
          <w:rStyle w:val="67"/>
          <w:b w:val="0"/>
          <w:bCs w:val="0"/>
          <w:shd w:val="clear" w:color="auto" w:fill="D9D9D9"/>
        </w:rPr>
      </w:pPr>
      <w:r>
        <w:rPr>
          <w:rStyle w:val="67"/>
          <w:b w:val="0"/>
          <w:bCs w:val="0"/>
          <w:shd w:val="clear" w:color="auto" w:fill="D9D9D9"/>
        </w:rPr>
        <w:t>B1.2.9 不同投标人聘请同一个人为其投标提供技术或者经济咨询服务的，但招标工程本身要求采用专有技术的除外；</w:t>
      </w:r>
    </w:p>
    <w:p w14:paraId="5326B6CB">
      <w:pPr>
        <w:spacing w:line="360" w:lineRule="auto"/>
        <w:ind w:left="216" w:leftChars="103" w:firstLine="621" w:firstLineChars="296"/>
        <w:rPr>
          <w:rStyle w:val="67"/>
          <w:b w:val="0"/>
          <w:bCs w:val="0"/>
          <w:shd w:val="clear" w:color="auto" w:fill="D9D9D9"/>
        </w:rPr>
      </w:pPr>
      <w:bookmarkStart w:id="105" w:name="_Toc16063942"/>
      <w:r>
        <w:rPr>
          <w:rStyle w:val="67"/>
          <w:b w:val="0"/>
          <w:bCs w:val="0"/>
          <w:shd w:val="clear" w:color="auto" w:fill="D9D9D9"/>
        </w:rPr>
        <w:t>B1.2.10不同投标人的投标文件异常一致或者投标报价呈规律性差异；</w:t>
      </w:r>
      <w:bookmarkEnd w:id="105"/>
    </w:p>
    <w:p w14:paraId="0F3F63BD">
      <w:pPr>
        <w:spacing w:line="360" w:lineRule="auto"/>
        <w:ind w:left="216" w:leftChars="103" w:firstLine="621" w:firstLineChars="296"/>
        <w:rPr>
          <w:rStyle w:val="67"/>
          <w:b w:val="0"/>
          <w:bCs w:val="0"/>
          <w:shd w:val="clear" w:color="auto" w:fill="D9D9D9"/>
        </w:rPr>
      </w:pPr>
      <w:r>
        <w:rPr>
          <w:rStyle w:val="67"/>
          <w:b w:val="0"/>
          <w:bCs w:val="0"/>
          <w:shd w:val="clear" w:color="auto" w:fill="D9D9D9"/>
        </w:rPr>
        <w:t>B1.2.11不同投标人的投标文件错漏之处一致的；</w:t>
      </w:r>
    </w:p>
    <w:p w14:paraId="0DE202E9">
      <w:pPr>
        <w:spacing w:line="360" w:lineRule="auto"/>
        <w:ind w:left="216" w:leftChars="103" w:firstLine="621" w:firstLineChars="296"/>
        <w:rPr>
          <w:rStyle w:val="67"/>
          <w:b w:val="0"/>
          <w:bCs w:val="0"/>
          <w:shd w:val="clear" w:color="auto" w:fill="D9D9D9"/>
        </w:rPr>
      </w:pPr>
      <w:r>
        <w:rPr>
          <w:rStyle w:val="67"/>
          <w:b w:val="0"/>
          <w:bCs w:val="0"/>
          <w:shd w:val="clear" w:color="auto" w:fill="D9D9D9"/>
        </w:rPr>
        <w:t>B1.2.12不同投标人的投标文件相互混装；</w:t>
      </w:r>
    </w:p>
    <w:p w14:paraId="6DA0EE2E">
      <w:pPr>
        <w:spacing w:line="360" w:lineRule="auto"/>
        <w:ind w:left="216" w:leftChars="103" w:firstLine="621" w:firstLineChars="296"/>
        <w:rPr>
          <w:rStyle w:val="67"/>
          <w:b w:val="0"/>
          <w:bCs w:val="0"/>
          <w:shd w:val="clear" w:color="auto" w:fill="D9D9D9"/>
        </w:rPr>
      </w:pPr>
      <w:r>
        <w:rPr>
          <w:rStyle w:val="67"/>
          <w:b w:val="0"/>
          <w:bCs w:val="0"/>
          <w:shd w:val="clear" w:color="auto" w:fill="D9D9D9"/>
        </w:rPr>
        <w:t>B1.2.13不同投标人的投标文件由同一台电脑编</w:t>
      </w:r>
      <w:r>
        <w:rPr>
          <w:rStyle w:val="67"/>
          <w:b w:val="0"/>
          <w:bCs w:val="0"/>
          <w:szCs w:val="21"/>
          <w:shd w:val="clear" w:color="auto" w:fill="D9D9D9"/>
        </w:rPr>
        <w:t>制或者同一台附属设备</w:t>
      </w:r>
      <w:r>
        <w:rPr>
          <w:rStyle w:val="67"/>
          <w:b w:val="0"/>
          <w:bCs w:val="0"/>
          <w:shd w:val="clear" w:color="auto" w:fill="D9D9D9"/>
        </w:rPr>
        <w:t>打印；同一项目不同投标人的电子投标文件的文件制作机器码（如CPU编码、硬盘编码、MAC地址）存在两项及以上一致的；</w:t>
      </w:r>
    </w:p>
    <w:p w14:paraId="15CBA4B4">
      <w:pPr>
        <w:spacing w:line="360" w:lineRule="auto"/>
        <w:ind w:left="216" w:leftChars="103" w:firstLine="621" w:firstLineChars="296"/>
        <w:rPr>
          <w:rStyle w:val="67"/>
          <w:b w:val="0"/>
          <w:bCs w:val="0"/>
          <w:shd w:val="clear" w:color="auto" w:fill="D9D9D9"/>
        </w:rPr>
      </w:pPr>
      <w:bookmarkStart w:id="106" w:name="_Toc16063943"/>
      <w:r>
        <w:rPr>
          <w:rStyle w:val="67"/>
          <w:b w:val="0"/>
          <w:bCs w:val="0"/>
          <w:shd w:val="clear" w:color="auto" w:fill="D9D9D9"/>
        </w:rPr>
        <w:t>B1.2.14不同投标人从同一单位或同一自然人的MAC地址上传投标文件的；</w:t>
      </w:r>
    </w:p>
    <w:p w14:paraId="04765142">
      <w:pPr>
        <w:spacing w:line="360" w:lineRule="auto"/>
        <w:ind w:left="216" w:leftChars="103" w:firstLine="621" w:firstLineChars="296"/>
        <w:rPr>
          <w:rStyle w:val="67"/>
          <w:b w:val="0"/>
          <w:bCs w:val="0"/>
          <w:shd w:val="clear" w:color="auto" w:fill="D9D9D9"/>
        </w:rPr>
      </w:pPr>
      <w:r>
        <w:rPr>
          <w:rStyle w:val="67"/>
          <w:b w:val="0"/>
          <w:bCs w:val="0"/>
          <w:shd w:val="clear" w:color="auto" w:fill="D9D9D9"/>
        </w:rPr>
        <w:t>B1.2.15同一项目不同投标人通过计价软件制作的电子投标文件(商务部分)的文件创建标识码（如计价软件编码）一致的；</w:t>
      </w:r>
    </w:p>
    <w:p w14:paraId="569973CF">
      <w:pPr>
        <w:widowControl/>
        <w:spacing w:line="360" w:lineRule="auto"/>
        <w:ind w:firstLine="840" w:firstLineChars="400"/>
        <w:jc w:val="left"/>
        <w:rPr>
          <w:rStyle w:val="67"/>
          <w:b w:val="0"/>
          <w:bCs w:val="0"/>
          <w:shd w:val="clear" w:color="auto" w:fill="D9D9D9"/>
        </w:rPr>
      </w:pPr>
      <w:r>
        <w:rPr>
          <w:rStyle w:val="67"/>
          <w:b w:val="0"/>
          <w:bCs w:val="0"/>
          <w:shd w:val="clear" w:color="auto" w:fill="D9D9D9"/>
        </w:rPr>
        <w:t>B1.2.16不同投标人的投标保证金从同一单位或者个人的账户转出；</w:t>
      </w:r>
      <w:bookmarkEnd w:id="106"/>
    </w:p>
    <w:p w14:paraId="6F27A4E5">
      <w:pPr>
        <w:spacing w:line="360" w:lineRule="auto"/>
        <w:ind w:left="216" w:leftChars="103" w:firstLine="621" w:firstLineChars="296"/>
        <w:rPr>
          <w:rStyle w:val="67"/>
          <w:b w:val="0"/>
          <w:bCs w:val="0"/>
          <w:shd w:val="clear" w:color="auto" w:fill="D9D9D9"/>
        </w:rPr>
      </w:pPr>
      <w:r>
        <w:rPr>
          <w:rStyle w:val="67"/>
          <w:b w:val="0"/>
          <w:bCs w:val="0"/>
          <w:shd w:val="clear" w:color="auto" w:fill="D9D9D9"/>
        </w:rPr>
        <w:t>B1.2.17不同投标人使用同一个人或者企业资金交纳投标保证金或者投标保函的反担保的；</w:t>
      </w:r>
    </w:p>
    <w:p w14:paraId="5EEDD4AF">
      <w:pPr>
        <w:spacing w:line="360" w:lineRule="auto"/>
        <w:ind w:left="216" w:leftChars="103" w:firstLine="621" w:firstLineChars="296"/>
        <w:rPr>
          <w:rStyle w:val="67"/>
          <w:b w:val="0"/>
          <w:bCs w:val="0"/>
          <w:shd w:val="clear" w:color="auto" w:fill="D9D9D9"/>
        </w:rPr>
      </w:pPr>
      <w:r>
        <w:rPr>
          <w:rStyle w:val="67"/>
          <w:b w:val="0"/>
          <w:bCs w:val="0"/>
          <w:shd w:val="clear" w:color="auto" w:fill="D9D9D9"/>
        </w:rPr>
        <w:t>B1.2.18使用伪造、变造的许可证件；</w:t>
      </w:r>
    </w:p>
    <w:p w14:paraId="65052233">
      <w:pPr>
        <w:spacing w:line="360" w:lineRule="auto"/>
        <w:ind w:left="216" w:leftChars="103" w:firstLine="621" w:firstLineChars="296"/>
        <w:rPr>
          <w:rStyle w:val="67"/>
          <w:b w:val="0"/>
          <w:bCs w:val="0"/>
          <w:shd w:val="clear" w:color="auto" w:fill="D9D9D9"/>
        </w:rPr>
      </w:pPr>
      <w:r>
        <w:rPr>
          <w:rStyle w:val="67"/>
          <w:b w:val="0"/>
          <w:bCs w:val="0"/>
          <w:shd w:val="clear" w:color="auto" w:fill="D9D9D9"/>
        </w:rPr>
        <w:t>B1.2.19提供虚假的财务状况或者业绩；</w:t>
      </w:r>
    </w:p>
    <w:p w14:paraId="10FDFC8F">
      <w:pPr>
        <w:spacing w:line="360" w:lineRule="auto"/>
        <w:ind w:left="216" w:leftChars="103" w:firstLine="621" w:firstLineChars="296"/>
        <w:rPr>
          <w:rStyle w:val="67"/>
          <w:b w:val="0"/>
          <w:bCs w:val="0"/>
          <w:shd w:val="clear" w:color="auto" w:fill="D9D9D9"/>
        </w:rPr>
      </w:pPr>
      <w:r>
        <w:rPr>
          <w:rStyle w:val="67"/>
          <w:b w:val="0"/>
          <w:bCs w:val="0"/>
          <w:shd w:val="clear" w:color="auto" w:fill="D9D9D9"/>
        </w:rPr>
        <w:t>B1.2.20提供虚假的项目负责人（项目经理）或者主要技术人员简历、劳动关系证明；</w:t>
      </w:r>
    </w:p>
    <w:p w14:paraId="7ACEC15A">
      <w:pPr>
        <w:spacing w:line="360" w:lineRule="auto"/>
        <w:ind w:left="216" w:leftChars="103" w:firstLine="621" w:firstLineChars="296"/>
        <w:rPr>
          <w:rStyle w:val="67"/>
          <w:b w:val="0"/>
          <w:bCs w:val="0"/>
          <w:shd w:val="clear" w:color="auto" w:fill="D9D9D9"/>
        </w:rPr>
      </w:pPr>
      <w:r>
        <w:rPr>
          <w:rStyle w:val="67"/>
          <w:b w:val="0"/>
          <w:bCs w:val="0"/>
          <w:shd w:val="clear" w:color="auto" w:fill="D9D9D9"/>
        </w:rPr>
        <w:t>B1.2.21提供虚假的信用状况；</w:t>
      </w:r>
    </w:p>
    <w:p w14:paraId="68DC9DDE">
      <w:pPr>
        <w:spacing w:line="360" w:lineRule="auto"/>
        <w:ind w:left="216" w:leftChars="103" w:firstLine="621" w:firstLineChars="296"/>
        <w:rPr>
          <w:rStyle w:val="67"/>
          <w:b w:val="0"/>
          <w:bCs w:val="0"/>
          <w:shd w:val="clear" w:color="auto" w:fill="D9D9D9"/>
        </w:rPr>
      </w:pPr>
      <w:r>
        <w:rPr>
          <w:rStyle w:val="67"/>
          <w:b w:val="0"/>
          <w:bCs w:val="0"/>
          <w:shd w:val="clear" w:color="auto" w:fill="D9D9D9"/>
        </w:rPr>
        <w:t>B1.2.22其他弄虚作假的行为；</w:t>
      </w:r>
    </w:p>
    <w:p w14:paraId="72A1375F">
      <w:pPr>
        <w:spacing w:line="360" w:lineRule="auto"/>
        <w:ind w:left="216" w:leftChars="103" w:firstLine="621" w:firstLineChars="296"/>
        <w:rPr>
          <w:rStyle w:val="67"/>
          <w:b w:val="0"/>
          <w:bCs w:val="0"/>
          <w:shd w:val="clear" w:color="auto" w:fill="D9D9D9"/>
        </w:rPr>
      </w:pPr>
      <w:r>
        <w:rPr>
          <w:rStyle w:val="67"/>
          <w:b w:val="0"/>
          <w:bCs w:val="0"/>
          <w:shd w:val="clear" w:color="auto" w:fill="D9D9D9"/>
        </w:rPr>
        <w:t>B1.2.23招标人在开标前开启投标文件并将有关信息泄露给其他投标人;</w:t>
      </w:r>
    </w:p>
    <w:p w14:paraId="2DD61CAB">
      <w:pPr>
        <w:spacing w:line="360" w:lineRule="auto"/>
        <w:ind w:left="216" w:leftChars="103" w:firstLine="621" w:firstLineChars="296"/>
        <w:rPr>
          <w:rStyle w:val="67"/>
          <w:b w:val="0"/>
          <w:bCs w:val="0"/>
          <w:shd w:val="clear" w:color="auto" w:fill="D9D9D9"/>
        </w:rPr>
      </w:pPr>
      <w:bookmarkStart w:id="107" w:name="_Toc16063944"/>
      <w:r>
        <w:rPr>
          <w:rStyle w:val="67"/>
          <w:b w:val="0"/>
          <w:bCs w:val="0"/>
          <w:shd w:val="clear" w:color="auto" w:fill="D9D9D9"/>
        </w:rPr>
        <w:t>B1.2.24招标人直接或者间接向投标人泄露标底、评标委员会成员等信息；</w:t>
      </w:r>
      <w:bookmarkEnd w:id="107"/>
    </w:p>
    <w:p w14:paraId="0A1687FE">
      <w:pPr>
        <w:spacing w:line="360" w:lineRule="auto"/>
        <w:ind w:left="216" w:leftChars="103" w:firstLine="621" w:firstLineChars="296"/>
        <w:rPr>
          <w:rStyle w:val="67"/>
          <w:b w:val="0"/>
          <w:bCs w:val="0"/>
          <w:shd w:val="clear" w:color="auto" w:fill="D9D9D9"/>
        </w:rPr>
      </w:pPr>
      <w:r>
        <w:rPr>
          <w:rStyle w:val="67"/>
          <w:b w:val="0"/>
          <w:bCs w:val="0"/>
          <w:shd w:val="clear" w:color="auto" w:fill="D9D9D9"/>
        </w:rPr>
        <w:t>B1.2.25招标人明示或者暗示投标人压低或者抬高投标报价；</w:t>
      </w:r>
    </w:p>
    <w:p w14:paraId="1D6BD3C6">
      <w:pPr>
        <w:spacing w:line="360" w:lineRule="auto"/>
        <w:ind w:left="216" w:leftChars="103" w:firstLine="621" w:firstLineChars="296"/>
        <w:rPr>
          <w:rStyle w:val="67"/>
          <w:b w:val="0"/>
          <w:bCs w:val="0"/>
          <w:shd w:val="clear" w:color="auto" w:fill="D9D9D9"/>
        </w:rPr>
      </w:pPr>
      <w:r>
        <w:rPr>
          <w:rStyle w:val="67"/>
          <w:b w:val="0"/>
          <w:bCs w:val="0"/>
          <w:shd w:val="clear" w:color="auto" w:fill="D9D9D9"/>
        </w:rPr>
        <w:t>B1.2.26招标人授意投标人撤换、修改投标文件；</w:t>
      </w:r>
    </w:p>
    <w:p w14:paraId="4CA804C2">
      <w:pPr>
        <w:spacing w:line="360" w:lineRule="auto"/>
        <w:ind w:left="216" w:leftChars="103" w:firstLine="621" w:firstLineChars="296"/>
        <w:rPr>
          <w:rStyle w:val="67"/>
          <w:b w:val="0"/>
          <w:bCs w:val="0"/>
          <w:shd w:val="clear" w:color="auto" w:fill="D9D9D9"/>
        </w:rPr>
      </w:pPr>
      <w:r>
        <w:rPr>
          <w:rStyle w:val="67"/>
          <w:b w:val="0"/>
          <w:bCs w:val="0"/>
          <w:shd w:val="clear" w:color="auto" w:fill="D9D9D9"/>
        </w:rPr>
        <w:t>B1.2.27招标人明示或者暗示投标人为特定投标人中标提供方便；</w:t>
      </w:r>
    </w:p>
    <w:p w14:paraId="64CB584C">
      <w:pPr>
        <w:spacing w:line="360" w:lineRule="auto"/>
        <w:ind w:left="216" w:leftChars="103" w:firstLine="621" w:firstLineChars="296"/>
        <w:rPr>
          <w:rStyle w:val="67"/>
          <w:b w:val="0"/>
          <w:bCs w:val="0"/>
          <w:shd w:val="clear" w:color="auto" w:fill="D9D9D9"/>
        </w:rPr>
      </w:pPr>
      <w:r>
        <w:rPr>
          <w:rStyle w:val="67"/>
          <w:b w:val="0"/>
          <w:bCs w:val="0"/>
          <w:shd w:val="clear" w:color="auto" w:fill="D9D9D9"/>
        </w:rPr>
        <w:t>B1.2.28招标人与投标人为谋求特定投标人中标而采取的其他串通行为；</w:t>
      </w:r>
    </w:p>
    <w:p w14:paraId="680742EF">
      <w:pPr>
        <w:spacing w:line="360" w:lineRule="auto"/>
        <w:ind w:left="216" w:leftChars="103" w:firstLine="621" w:firstLineChars="296"/>
        <w:rPr>
          <w:rStyle w:val="67"/>
          <w:b w:val="0"/>
          <w:bCs w:val="0"/>
          <w:shd w:val="clear" w:color="auto" w:fill="D9D9D9"/>
        </w:rPr>
      </w:pPr>
      <w:bookmarkStart w:id="108" w:name="_Toc16063945"/>
      <w:r>
        <w:rPr>
          <w:rStyle w:val="67"/>
          <w:b w:val="0"/>
          <w:bCs w:val="0"/>
          <w:shd w:val="clear" w:color="auto" w:fill="D9D9D9"/>
        </w:rPr>
        <w:t>B1.2.29评标委员会认定的其他串通投标情形；</w:t>
      </w:r>
      <w:bookmarkEnd w:id="108"/>
    </w:p>
    <w:p w14:paraId="799FB72B">
      <w:pPr>
        <w:spacing w:line="360" w:lineRule="auto"/>
        <w:ind w:firstLine="420" w:firstLineChars="200"/>
        <w:rPr>
          <w:rStyle w:val="67"/>
          <w:b w:val="0"/>
          <w:bCs w:val="0"/>
        </w:rPr>
      </w:pPr>
      <w:r>
        <w:rPr>
          <w:rStyle w:val="67"/>
          <w:b w:val="0"/>
          <w:bCs w:val="0"/>
        </w:rPr>
        <w:t>B1.3不按评标委员会要求澄清、说明或补正的。</w:t>
      </w:r>
    </w:p>
    <w:p w14:paraId="4F578FD3">
      <w:pPr>
        <w:spacing w:line="360" w:lineRule="auto"/>
        <w:ind w:firstLine="420" w:firstLineChars="200"/>
        <w:rPr>
          <w:rStyle w:val="67"/>
          <w:b w:val="0"/>
          <w:bCs w:val="0"/>
        </w:rPr>
      </w:pPr>
      <w:r>
        <w:rPr>
          <w:rStyle w:val="67"/>
          <w:b w:val="0"/>
          <w:bCs w:val="0"/>
        </w:rPr>
        <w:t>B1.4在形式评审、响应性评审中，评标委员会认定投标人的投标文件不符合评标办法前附表中规定的任何一项评审标准的。</w:t>
      </w:r>
    </w:p>
    <w:p w14:paraId="610F8475">
      <w:pPr>
        <w:spacing w:line="360" w:lineRule="auto"/>
        <w:ind w:firstLine="420" w:firstLineChars="200"/>
        <w:rPr>
          <w:rStyle w:val="67"/>
          <w:b w:val="0"/>
          <w:bCs w:val="0"/>
        </w:rPr>
      </w:pPr>
      <w:r>
        <w:rPr>
          <w:rStyle w:val="67"/>
          <w:b w:val="0"/>
          <w:bCs w:val="0"/>
        </w:rPr>
        <w:t>B1.5当投标人资格预审申请文件的内容发生重大变化时，其在投标文件中更新的资料，未能通过资格评审的。</w:t>
      </w:r>
    </w:p>
    <w:p w14:paraId="09A9B27D">
      <w:pPr>
        <w:spacing w:line="360" w:lineRule="auto"/>
        <w:ind w:firstLine="420" w:firstLineChars="200"/>
      </w:pPr>
      <w:r>
        <w:rPr>
          <w:rStyle w:val="67"/>
          <w:b w:val="0"/>
          <w:bCs w:val="0"/>
        </w:rPr>
        <w:t>B1.6投标报</w:t>
      </w:r>
      <w:r>
        <w:rPr>
          <w:rStyle w:val="67"/>
          <w:b w:val="0"/>
          <w:bCs w:val="0"/>
          <w:szCs w:val="21"/>
        </w:rPr>
        <w:t>价文件（投标函除外）未经有资格的注册造价工程师签字并加盖执业专用章的</w:t>
      </w:r>
      <w:r>
        <w:rPr>
          <w:color w:val="000000"/>
          <w:kern w:val="0"/>
          <w:szCs w:val="21"/>
          <w:lang w:bidi="ar"/>
        </w:rPr>
        <w:t xml:space="preserve">(盖章的注册造价工程师应是在本单位注册人员，或是投标人委托的造价咨询机构注册造价工程师并附委托合同)，或者不同投标单位，委托同一家造价咨询机构编制报价文件的。 </w:t>
      </w:r>
    </w:p>
    <w:p w14:paraId="4384836B">
      <w:pPr>
        <w:spacing w:line="360" w:lineRule="auto"/>
        <w:ind w:firstLine="420" w:firstLineChars="200"/>
        <w:rPr>
          <w:rStyle w:val="67"/>
          <w:b w:val="0"/>
          <w:bCs w:val="0"/>
        </w:rPr>
      </w:pPr>
      <w:r>
        <w:rPr>
          <w:rStyle w:val="67"/>
          <w:b w:val="0"/>
          <w:bCs w:val="0"/>
        </w:rPr>
        <w:t>B1.7在技术标和资信标评审中，评标委员会认定投标人的投标未能通过此项评审的。</w:t>
      </w:r>
    </w:p>
    <w:p w14:paraId="4DB284F3">
      <w:pPr>
        <w:spacing w:line="360" w:lineRule="auto"/>
        <w:ind w:firstLine="420" w:firstLineChars="200"/>
        <w:rPr>
          <w:rStyle w:val="67"/>
          <w:b w:val="0"/>
          <w:bCs w:val="0"/>
        </w:rPr>
      </w:pPr>
      <w:r>
        <w:rPr>
          <w:rStyle w:val="67"/>
          <w:b w:val="0"/>
          <w:bCs w:val="0"/>
        </w:rPr>
        <w:t>B1.8评标委员会认定投标人以低于成本报价竞标的。</w:t>
      </w:r>
    </w:p>
    <w:p w14:paraId="54A33964">
      <w:pPr>
        <w:spacing w:line="360" w:lineRule="auto"/>
        <w:ind w:firstLine="420" w:firstLineChars="200"/>
        <w:rPr>
          <w:rStyle w:val="67"/>
          <w:b w:val="0"/>
          <w:bCs w:val="0"/>
        </w:rPr>
      </w:pPr>
      <w:r>
        <w:rPr>
          <w:rStyle w:val="67"/>
          <w:b w:val="0"/>
          <w:bCs w:val="0"/>
        </w:rPr>
        <w:t>B1.9投标人未按</w:t>
      </w:r>
      <w:r>
        <w:rPr>
          <w:rStyle w:val="67"/>
        </w:rPr>
        <w:t xml:space="preserve">第二章 </w:t>
      </w:r>
      <w:r>
        <w:rPr>
          <w:rStyle w:val="69"/>
          <w:b/>
          <w:bCs/>
          <w:sz w:val="20"/>
          <w:szCs w:val="20"/>
        </w:rPr>
        <w:t>投标人须知前附表第11.5款</w:t>
      </w:r>
      <w:r>
        <w:rPr>
          <w:rStyle w:val="67"/>
          <w:b w:val="0"/>
          <w:bCs w:val="0"/>
        </w:rPr>
        <w:t>规定出席开标会的。</w:t>
      </w:r>
    </w:p>
    <w:p w14:paraId="14DD8660">
      <w:pPr>
        <w:spacing w:line="360" w:lineRule="auto"/>
        <w:ind w:left="420" w:leftChars="200"/>
        <w:rPr>
          <w:rStyle w:val="67"/>
          <w:b w:val="0"/>
          <w:bCs w:val="0"/>
          <w:szCs w:val="22"/>
        </w:rPr>
      </w:pPr>
      <w:r>
        <w:rPr>
          <w:rStyle w:val="67"/>
          <w:b w:val="0"/>
          <w:bCs w:val="0"/>
          <w:szCs w:val="22"/>
        </w:rPr>
        <w:t>B1.10符合条件、或对招标文件做实质响应的供应商不足3家的。</w:t>
      </w:r>
    </w:p>
    <w:p w14:paraId="05A06890">
      <w:pPr>
        <w:rPr>
          <w:rStyle w:val="39"/>
          <w:rFonts w:ascii="宋体" w:hAnsi="宋体"/>
        </w:rPr>
      </w:pPr>
      <w:r>
        <w:rPr>
          <w:rStyle w:val="67"/>
          <w:b w:val="0"/>
          <w:bCs w:val="0"/>
          <w:szCs w:val="22"/>
        </w:rPr>
        <w:t>B1.11出现影响采购公正的违法违规行为的、投标人报价均超过采购预算的、因重大变故、采购任务取消的等。</w:t>
      </w:r>
    </w:p>
    <w:p w14:paraId="788563D8">
      <w:pPr>
        <w:rPr>
          <w:rStyle w:val="39"/>
          <w:rFonts w:ascii="宋体" w:hAnsi="宋体"/>
        </w:rPr>
      </w:pPr>
    </w:p>
    <w:p w14:paraId="054AEA2D">
      <w:pPr>
        <w:rPr>
          <w:rStyle w:val="39"/>
          <w:rFonts w:ascii="宋体" w:hAnsi="宋体"/>
        </w:rPr>
      </w:pPr>
    </w:p>
    <w:p w14:paraId="601BEDC3">
      <w:pPr>
        <w:rPr>
          <w:sz w:val="32"/>
          <w:szCs w:val="32"/>
        </w:rPr>
      </w:pPr>
      <w:bookmarkStart w:id="109" w:name="_Toc19725"/>
      <w:bookmarkStart w:id="110" w:name="_Toc11114"/>
      <w:bookmarkStart w:id="111" w:name="_Toc17817336"/>
      <w:r>
        <w:rPr>
          <w:sz w:val="32"/>
          <w:szCs w:val="32"/>
        </w:rPr>
        <w:br w:type="page"/>
      </w:r>
    </w:p>
    <w:p w14:paraId="19723EEB">
      <w:pPr>
        <w:pStyle w:val="6"/>
        <w:jc w:val="center"/>
        <w:rPr>
          <w:i w:val="0"/>
          <w:iCs w:val="0"/>
          <w:sz w:val="32"/>
          <w:szCs w:val="32"/>
        </w:rPr>
      </w:pPr>
      <w:bookmarkStart w:id="112" w:name="_Toc20634"/>
      <w:r>
        <w:rPr>
          <w:i w:val="0"/>
          <w:iCs w:val="0"/>
          <w:sz w:val="32"/>
          <w:szCs w:val="32"/>
        </w:rPr>
        <w:t>第四章合同条款及格式</w:t>
      </w:r>
      <w:bookmarkEnd w:id="109"/>
      <w:bookmarkEnd w:id="110"/>
      <w:bookmarkEnd w:id="111"/>
      <w:bookmarkEnd w:id="112"/>
    </w:p>
    <w:p w14:paraId="03C6B38E">
      <w:pPr>
        <w:jc w:val="center"/>
        <w:rPr>
          <w:rStyle w:val="39"/>
        </w:rPr>
      </w:pPr>
      <w:r>
        <w:rPr>
          <w:rFonts w:hint="eastAsia" w:eastAsia="仿宋_GB2312"/>
          <w:bCs/>
          <w:sz w:val="28"/>
          <w:szCs w:val="28"/>
        </w:rPr>
        <w:t>（</w:t>
      </w:r>
      <w:r>
        <w:rPr>
          <w:rFonts w:eastAsia="仿宋_GB2312"/>
          <w:bCs/>
          <w:sz w:val="28"/>
          <w:szCs w:val="28"/>
        </w:rPr>
        <w:t>以最终签署合同文本为准）</w:t>
      </w:r>
    </w:p>
    <w:p w14:paraId="543B8D60">
      <w:pPr>
        <w:wordWrap w:val="0"/>
        <w:adjustRightInd w:val="0"/>
        <w:snapToGrid w:val="0"/>
        <w:spacing w:line="360" w:lineRule="auto"/>
        <w:jc w:val="right"/>
        <w:rPr>
          <w:b/>
          <w:color w:val="000000" w:themeColor="text1"/>
          <w:sz w:val="28"/>
          <w:szCs w:val="28"/>
          <w:u w:val="single"/>
          <w14:textFill>
            <w14:solidFill>
              <w14:schemeClr w14:val="tx1"/>
            </w14:solidFill>
          </w14:textFill>
        </w:rPr>
      </w:pPr>
      <w:bookmarkStart w:id="113" w:name="_Toc363561430"/>
      <w:bookmarkStart w:id="114" w:name="_Toc294124224"/>
      <w:bookmarkStart w:id="115" w:name="_Toc17162"/>
      <w:bookmarkStart w:id="116" w:name="_Toc1254"/>
      <w:bookmarkStart w:id="117" w:name="_Toc19722"/>
      <w:bookmarkStart w:id="118" w:name="_Toc3675"/>
      <w:bookmarkStart w:id="119" w:name="_Toc28547"/>
      <w:bookmarkStart w:id="120" w:name="_Toc372"/>
      <w:bookmarkStart w:id="121" w:name="_Toc24390"/>
      <w:bookmarkStart w:id="122" w:name="_Toc20700"/>
      <w:bookmarkStart w:id="123" w:name="_Toc19628"/>
      <w:bookmarkStart w:id="124" w:name="_Toc17817340"/>
      <w:bookmarkStart w:id="125" w:name="_Toc15775"/>
      <w:bookmarkStart w:id="126" w:name="_Toc22187"/>
      <w:r>
        <w:rPr>
          <w:b/>
          <w:color w:val="000000" w:themeColor="text1"/>
          <w:sz w:val="28"/>
          <w:szCs w:val="28"/>
          <w14:textFill>
            <w14:solidFill>
              <w14:schemeClr w14:val="tx1"/>
            </w14:solidFill>
          </w14:textFill>
        </w:rPr>
        <w:t>合同编号：</w:t>
      </w:r>
      <w:r>
        <w:rPr>
          <w:b/>
          <w:color w:val="000000" w:themeColor="text1"/>
          <w:sz w:val="28"/>
          <w:szCs w:val="36"/>
          <w:u w:val="thick"/>
          <w14:textFill>
            <w14:solidFill>
              <w14:schemeClr w14:val="tx1"/>
            </w14:solidFill>
          </w14:textFill>
        </w:rPr>
        <w:t xml:space="preserve">             </w:t>
      </w:r>
    </w:p>
    <w:p w14:paraId="0BAB6C80">
      <w:pPr>
        <w:adjustRightInd w:val="0"/>
        <w:snapToGrid w:val="0"/>
        <w:spacing w:line="360" w:lineRule="auto"/>
        <w:jc w:val="left"/>
        <w:rPr>
          <w:color w:val="000000" w:themeColor="text1"/>
          <w:sz w:val="20"/>
          <w:szCs w:val="20"/>
          <w14:textFill>
            <w14:solidFill>
              <w14:schemeClr w14:val="tx1"/>
            </w14:solidFill>
          </w14:textFill>
        </w:rPr>
      </w:pPr>
    </w:p>
    <w:p w14:paraId="4A6E2F0F">
      <w:pPr>
        <w:adjustRightInd w:val="0"/>
        <w:snapToGrid w:val="0"/>
        <w:spacing w:line="360" w:lineRule="auto"/>
        <w:jc w:val="left"/>
        <w:rPr>
          <w:color w:val="000000" w:themeColor="text1"/>
          <w:sz w:val="20"/>
          <w:szCs w:val="20"/>
          <w14:textFill>
            <w14:solidFill>
              <w14:schemeClr w14:val="tx1"/>
            </w14:solidFill>
          </w14:textFill>
        </w:rPr>
      </w:pPr>
    </w:p>
    <w:p w14:paraId="00103403">
      <w:pPr>
        <w:adjustRightInd w:val="0"/>
        <w:snapToGrid w:val="0"/>
        <w:spacing w:line="360" w:lineRule="auto"/>
        <w:jc w:val="left"/>
        <w:rPr>
          <w:color w:val="000000" w:themeColor="text1"/>
          <w:sz w:val="20"/>
          <w:szCs w:val="20"/>
          <w14:textFill>
            <w14:solidFill>
              <w14:schemeClr w14:val="tx1"/>
            </w14:solidFill>
          </w14:textFill>
        </w:rPr>
      </w:pPr>
    </w:p>
    <w:p w14:paraId="08A7F73D">
      <w:pPr>
        <w:adjustRightInd w:val="0"/>
        <w:snapToGrid w:val="0"/>
        <w:spacing w:line="360" w:lineRule="auto"/>
        <w:jc w:val="left"/>
        <w:rPr>
          <w:color w:val="000000" w:themeColor="text1"/>
          <w:sz w:val="20"/>
          <w:szCs w:val="20"/>
          <w14:textFill>
            <w14:solidFill>
              <w14:schemeClr w14:val="tx1"/>
            </w14:solidFill>
          </w14:textFill>
        </w:rPr>
      </w:pPr>
    </w:p>
    <w:p w14:paraId="2EC48FB7">
      <w:pPr>
        <w:pStyle w:val="13"/>
      </w:pPr>
    </w:p>
    <w:p w14:paraId="45CA3B96">
      <w:pPr>
        <w:pStyle w:val="13"/>
      </w:pPr>
    </w:p>
    <w:p w14:paraId="7A5CC487">
      <w:pPr>
        <w:adjustRightInd w:val="0"/>
        <w:snapToGrid w:val="0"/>
        <w:spacing w:line="360" w:lineRule="auto"/>
        <w:jc w:val="center"/>
        <w:rPr>
          <w:b/>
          <w:bCs/>
          <w:color w:val="000000" w:themeColor="text1"/>
          <w:sz w:val="52"/>
          <w:szCs w:val="36"/>
          <w14:textFill>
            <w14:solidFill>
              <w14:schemeClr w14:val="tx1"/>
            </w14:solidFill>
          </w14:textFill>
        </w:rPr>
      </w:pPr>
      <w:r>
        <w:rPr>
          <w:b/>
          <w:bCs/>
          <w:color w:val="000000" w:themeColor="text1"/>
          <w:sz w:val="52"/>
          <w:szCs w:val="36"/>
          <w14:textFill>
            <w14:solidFill>
              <w14:schemeClr w14:val="tx1"/>
            </w14:solidFill>
          </w14:textFill>
        </w:rPr>
        <w:t>建设工程施工合同</w:t>
      </w:r>
    </w:p>
    <w:p w14:paraId="53EC637B">
      <w:pPr>
        <w:adjustRightInd w:val="0"/>
        <w:snapToGrid w:val="0"/>
        <w:spacing w:line="360" w:lineRule="auto"/>
        <w:jc w:val="left"/>
        <w:rPr>
          <w:b/>
          <w:color w:val="000000" w:themeColor="text1"/>
          <w:sz w:val="36"/>
          <w:szCs w:val="36"/>
          <w14:textFill>
            <w14:solidFill>
              <w14:schemeClr w14:val="tx1"/>
            </w14:solidFill>
          </w14:textFill>
        </w:rPr>
      </w:pPr>
    </w:p>
    <w:p w14:paraId="2EB14A04">
      <w:pPr>
        <w:adjustRightInd w:val="0"/>
        <w:snapToGrid w:val="0"/>
        <w:spacing w:line="360" w:lineRule="auto"/>
        <w:jc w:val="left"/>
        <w:rPr>
          <w:b/>
          <w:color w:val="000000" w:themeColor="text1"/>
          <w:sz w:val="36"/>
          <w:szCs w:val="36"/>
          <w14:textFill>
            <w14:solidFill>
              <w14:schemeClr w14:val="tx1"/>
            </w14:solidFill>
          </w14:textFill>
        </w:rPr>
      </w:pPr>
    </w:p>
    <w:p w14:paraId="6271373E">
      <w:pPr>
        <w:adjustRightInd w:val="0"/>
        <w:snapToGrid w:val="0"/>
        <w:spacing w:line="360" w:lineRule="auto"/>
        <w:jc w:val="left"/>
        <w:rPr>
          <w:b/>
          <w:color w:val="000000" w:themeColor="text1"/>
          <w:sz w:val="36"/>
          <w:szCs w:val="36"/>
          <w14:textFill>
            <w14:solidFill>
              <w14:schemeClr w14:val="tx1"/>
            </w14:solidFill>
          </w14:textFill>
        </w:rPr>
      </w:pPr>
    </w:p>
    <w:p w14:paraId="2C6143C7">
      <w:pPr>
        <w:adjustRightInd w:val="0"/>
        <w:snapToGrid w:val="0"/>
        <w:spacing w:line="360" w:lineRule="auto"/>
        <w:jc w:val="left"/>
        <w:rPr>
          <w:b/>
          <w:color w:val="000000" w:themeColor="text1"/>
          <w:sz w:val="36"/>
          <w:szCs w:val="36"/>
          <w14:textFill>
            <w14:solidFill>
              <w14:schemeClr w14:val="tx1"/>
            </w14:solidFill>
          </w14:textFill>
        </w:rPr>
      </w:pPr>
    </w:p>
    <w:p w14:paraId="2A72059B">
      <w:pPr>
        <w:adjustRightInd w:val="0"/>
        <w:snapToGrid w:val="0"/>
        <w:spacing w:line="360" w:lineRule="auto"/>
        <w:jc w:val="left"/>
        <w:rPr>
          <w:b/>
          <w:color w:val="000000" w:themeColor="text1"/>
          <w:sz w:val="36"/>
          <w:szCs w:val="36"/>
          <w14:textFill>
            <w14:solidFill>
              <w14:schemeClr w14:val="tx1"/>
            </w14:solidFill>
          </w14:textFill>
        </w:rPr>
      </w:pPr>
    </w:p>
    <w:p w14:paraId="734DDCC1">
      <w:pPr>
        <w:adjustRightInd w:val="0"/>
        <w:snapToGrid w:val="0"/>
        <w:spacing w:line="360" w:lineRule="auto"/>
        <w:ind w:firstLine="1968" w:firstLineChars="700"/>
        <w:jc w:val="left"/>
        <w:rPr>
          <w:b/>
          <w:color w:val="000000" w:themeColor="text1"/>
          <w:sz w:val="28"/>
          <w:szCs w:val="36"/>
          <w:u w:val="thick"/>
          <w14:textFill>
            <w14:solidFill>
              <w14:schemeClr w14:val="tx1"/>
            </w14:solidFill>
          </w14:textFill>
        </w:rPr>
      </w:pPr>
      <w:r>
        <w:rPr>
          <w:b/>
          <w:color w:val="000000" w:themeColor="text1"/>
          <w:sz w:val="28"/>
          <w:szCs w:val="36"/>
          <w14:textFill>
            <w14:solidFill>
              <w14:schemeClr w14:val="tx1"/>
            </w14:solidFill>
          </w14:textFill>
        </w:rPr>
        <w:t>项目名称：</w:t>
      </w:r>
      <w:r>
        <w:rPr>
          <w:b/>
          <w:color w:val="000000" w:themeColor="text1"/>
          <w:sz w:val="28"/>
          <w:szCs w:val="36"/>
          <w:u w:val="thick"/>
          <w14:textFill>
            <w14:solidFill>
              <w14:schemeClr w14:val="tx1"/>
            </w14:solidFill>
          </w14:textFill>
        </w:rPr>
        <w:t xml:space="preserve">                           </w:t>
      </w:r>
    </w:p>
    <w:p w14:paraId="0D1AC2F7">
      <w:pPr>
        <w:rPr>
          <w:rFonts w:eastAsia="楷体_GB2312"/>
          <w:color w:val="000000" w:themeColor="text1"/>
          <w:sz w:val="28"/>
          <w:szCs w:val="20"/>
          <w14:textFill>
            <w14:solidFill>
              <w14:schemeClr w14:val="tx1"/>
            </w14:solidFill>
          </w14:textFill>
        </w:rPr>
      </w:pPr>
    </w:p>
    <w:p w14:paraId="56B6321B">
      <w:pPr>
        <w:adjustRightInd w:val="0"/>
        <w:snapToGrid w:val="0"/>
        <w:spacing w:line="360" w:lineRule="auto"/>
        <w:ind w:firstLine="1968" w:firstLineChars="700"/>
        <w:jc w:val="left"/>
        <w:rPr>
          <w:b/>
          <w:color w:val="000000" w:themeColor="text1"/>
          <w:sz w:val="28"/>
          <w:szCs w:val="36"/>
          <w14:textFill>
            <w14:solidFill>
              <w14:schemeClr w14:val="tx1"/>
            </w14:solidFill>
          </w14:textFill>
        </w:rPr>
      </w:pPr>
      <w:r>
        <w:rPr>
          <w:b/>
          <w:color w:val="000000" w:themeColor="text1"/>
          <w:sz w:val="28"/>
          <w:szCs w:val="36"/>
          <w14:textFill>
            <w14:solidFill>
              <w14:schemeClr w14:val="tx1"/>
            </w14:solidFill>
          </w14:textFill>
        </w:rPr>
        <w:t>发 包 人：</w:t>
      </w:r>
      <w:r>
        <w:rPr>
          <w:b/>
          <w:color w:val="000000" w:themeColor="text1"/>
          <w:sz w:val="28"/>
          <w:szCs w:val="36"/>
          <w:u w:val="thick"/>
          <w14:textFill>
            <w14:solidFill>
              <w14:schemeClr w14:val="tx1"/>
            </w14:solidFill>
          </w14:textFill>
        </w:rPr>
        <w:t xml:space="preserve">                           </w:t>
      </w:r>
    </w:p>
    <w:p w14:paraId="26AD0E60">
      <w:pPr>
        <w:adjustRightInd w:val="0"/>
        <w:snapToGrid w:val="0"/>
        <w:spacing w:line="360" w:lineRule="auto"/>
        <w:jc w:val="left"/>
        <w:rPr>
          <w:b/>
          <w:color w:val="000000" w:themeColor="text1"/>
          <w:sz w:val="28"/>
          <w:szCs w:val="36"/>
          <w14:textFill>
            <w14:solidFill>
              <w14:schemeClr w14:val="tx1"/>
            </w14:solidFill>
          </w14:textFill>
        </w:rPr>
      </w:pPr>
    </w:p>
    <w:p w14:paraId="580D472D">
      <w:pPr>
        <w:adjustRightInd w:val="0"/>
        <w:snapToGrid w:val="0"/>
        <w:spacing w:line="360" w:lineRule="auto"/>
        <w:ind w:firstLine="1968" w:firstLineChars="700"/>
        <w:jc w:val="left"/>
        <w:rPr>
          <w:b/>
          <w:color w:val="000000" w:themeColor="text1"/>
          <w:sz w:val="28"/>
          <w:szCs w:val="36"/>
          <w14:textFill>
            <w14:solidFill>
              <w14:schemeClr w14:val="tx1"/>
            </w14:solidFill>
          </w14:textFill>
        </w:rPr>
      </w:pPr>
      <w:r>
        <w:rPr>
          <w:b/>
          <w:color w:val="000000" w:themeColor="text1"/>
          <w:sz w:val="28"/>
          <w:szCs w:val="36"/>
          <w14:textFill>
            <w14:solidFill>
              <w14:schemeClr w14:val="tx1"/>
            </w14:solidFill>
          </w14:textFill>
        </w:rPr>
        <w:t>承 包 人：</w:t>
      </w:r>
      <w:r>
        <w:rPr>
          <w:b/>
          <w:color w:val="000000" w:themeColor="text1"/>
          <w:sz w:val="28"/>
          <w:szCs w:val="36"/>
          <w:u w:val="thick"/>
          <w14:textFill>
            <w14:solidFill>
              <w14:schemeClr w14:val="tx1"/>
            </w14:solidFill>
          </w14:textFill>
        </w:rPr>
        <w:t xml:space="preserve">                           </w:t>
      </w:r>
    </w:p>
    <w:p w14:paraId="2FAEFCB4">
      <w:pPr>
        <w:pStyle w:val="2"/>
        <w:ind w:left="420" w:firstLine="420"/>
      </w:pPr>
    </w:p>
    <w:p w14:paraId="367FB08C">
      <w:pPr>
        <w:spacing w:line="360" w:lineRule="auto"/>
        <w:rPr>
          <w:rFonts w:eastAsia="仿宋_GB2312"/>
          <w:sz w:val="24"/>
        </w:rPr>
      </w:pPr>
    </w:p>
    <w:p w14:paraId="6D65A842">
      <w:pPr>
        <w:pStyle w:val="7"/>
        <w:spacing w:before="156" w:after="156"/>
        <w:jc w:val="center"/>
        <w:rPr>
          <w:rFonts w:ascii="Times New Roman" w:hAnsi="Times New Roman" w:eastAsia="华文中宋"/>
          <w:b w:val="0"/>
          <w:color w:val="000000" w:themeColor="text1"/>
          <w:sz w:val="44"/>
          <w:szCs w:val="44"/>
          <w14:textFill>
            <w14:solidFill>
              <w14:schemeClr w14:val="tx1"/>
            </w14:solidFill>
          </w14:textFill>
        </w:rPr>
      </w:pPr>
      <w:r>
        <w:rPr>
          <w:rFonts w:ascii="Times New Roman" w:hAnsi="Times New Roman" w:eastAsia="仿宋_GB2312"/>
          <w:sz w:val="24"/>
        </w:rPr>
        <w:br w:type="page"/>
      </w:r>
      <w:bookmarkStart w:id="127" w:name="_Toc237618309"/>
      <w:bookmarkStart w:id="128" w:name="_Toc14845"/>
      <w:r>
        <w:rPr>
          <w:rFonts w:ascii="Times New Roman" w:hAnsi="Times New Roman" w:eastAsia="华文中宋"/>
          <w:color w:val="000000" w:themeColor="text1"/>
          <w:sz w:val="44"/>
          <w:szCs w:val="44"/>
          <w14:textFill>
            <w14:solidFill>
              <w14:schemeClr w14:val="tx1"/>
            </w14:solidFill>
          </w14:textFill>
        </w:rPr>
        <w:t>第一部分 合同协议书</w:t>
      </w:r>
      <w:bookmarkEnd w:id="127"/>
      <w:bookmarkEnd w:id="128"/>
    </w:p>
    <w:p w14:paraId="6FF4D0FA">
      <w:pPr>
        <w:spacing w:line="360" w:lineRule="auto"/>
        <w:rPr>
          <w:rFonts w:eastAsia="仿宋_GB2312"/>
          <w:b/>
          <w:color w:val="000000" w:themeColor="text1"/>
          <w:sz w:val="30"/>
          <w:szCs w:val="30"/>
          <w:u w:val="single"/>
          <w14:textFill>
            <w14:solidFill>
              <w14:schemeClr w14:val="tx1"/>
            </w14:solidFill>
          </w14:textFill>
        </w:rPr>
      </w:pPr>
      <w:r>
        <w:rPr>
          <w:rFonts w:eastAsia="仿宋_GB2312"/>
          <w:b/>
          <w:color w:val="000000" w:themeColor="text1"/>
          <w:sz w:val="30"/>
          <w:szCs w:val="30"/>
          <w14:textFill>
            <w14:solidFill>
              <w14:schemeClr w14:val="tx1"/>
            </w14:solidFill>
          </w14:textFill>
        </w:rPr>
        <w:t>发包人（全称）：</w:t>
      </w:r>
      <w:r>
        <w:rPr>
          <w:rFonts w:eastAsia="仿宋_GB2312"/>
          <w:b/>
          <w:color w:val="000000" w:themeColor="text1"/>
          <w:sz w:val="30"/>
          <w:szCs w:val="30"/>
          <w:u w:val="single"/>
          <w14:textFill>
            <w14:solidFill>
              <w14:schemeClr w14:val="tx1"/>
            </w14:solidFill>
          </w14:textFill>
        </w:rPr>
        <w:t xml:space="preserve">                                </w:t>
      </w:r>
    </w:p>
    <w:p w14:paraId="1E020155">
      <w:pPr>
        <w:spacing w:line="360" w:lineRule="auto"/>
        <w:rPr>
          <w:rFonts w:eastAsia="仿宋_GB2312"/>
          <w:b/>
          <w:color w:val="000000" w:themeColor="text1"/>
          <w:sz w:val="30"/>
          <w:szCs w:val="30"/>
          <w14:textFill>
            <w14:solidFill>
              <w14:schemeClr w14:val="tx1"/>
            </w14:solidFill>
          </w14:textFill>
        </w:rPr>
      </w:pPr>
      <w:r>
        <w:rPr>
          <w:rFonts w:eastAsia="仿宋_GB2312"/>
          <w:b/>
          <w:color w:val="000000" w:themeColor="text1"/>
          <w:sz w:val="30"/>
          <w:szCs w:val="30"/>
          <w14:textFill>
            <w14:solidFill>
              <w14:schemeClr w14:val="tx1"/>
            </w14:solidFill>
          </w14:textFill>
        </w:rPr>
        <w:t>住所：</w:t>
      </w:r>
      <w:r>
        <w:rPr>
          <w:rFonts w:eastAsia="仿宋_GB2312"/>
          <w:b/>
          <w:color w:val="000000" w:themeColor="text1"/>
          <w:sz w:val="30"/>
          <w:szCs w:val="30"/>
          <w:u w:val="single"/>
          <w14:textFill>
            <w14:solidFill>
              <w14:schemeClr w14:val="tx1"/>
            </w14:solidFill>
          </w14:textFill>
        </w:rPr>
        <w:t xml:space="preserve">                  </w:t>
      </w:r>
    </w:p>
    <w:p w14:paraId="4DF9CCC1">
      <w:pPr>
        <w:pStyle w:val="13"/>
      </w:pPr>
    </w:p>
    <w:p w14:paraId="0330EEC5">
      <w:pPr>
        <w:spacing w:line="360" w:lineRule="auto"/>
        <w:rPr>
          <w:rFonts w:eastAsia="仿宋_GB2312"/>
          <w:b/>
          <w:color w:val="000000" w:themeColor="text1"/>
          <w:sz w:val="30"/>
          <w:szCs w:val="30"/>
          <w:u w:val="single"/>
          <w14:textFill>
            <w14:solidFill>
              <w14:schemeClr w14:val="tx1"/>
            </w14:solidFill>
          </w14:textFill>
        </w:rPr>
      </w:pPr>
      <w:r>
        <w:rPr>
          <w:rFonts w:eastAsia="仿宋_GB2312"/>
          <w:b/>
          <w:color w:val="000000" w:themeColor="text1"/>
          <w:sz w:val="30"/>
          <w:szCs w:val="30"/>
          <w14:textFill>
            <w14:solidFill>
              <w14:schemeClr w14:val="tx1"/>
            </w14:solidFill>
          </w14:textFill>
        </w:rPr>
        <w:t>承包人（全称）：</w:t>
      </w:r>
      <w:r>
        <w:rPr>
          <w:rFonts w:eastAsia="仿宋_GB2312"/>
          <w:b/>
          <w:color w:val="000000" w:themeColor="text1"/>
          <w:sz w:val="30"/>
          <w:szCs w:val="30"/>
          <w:u w:val="single"/>
          <w14:textFill>
            <w14:solidFill>
              <w14:schemeClr w14:val="tx1"/>
            </w14:solidFill>
          </w14:textFill>
        </w:rPr>
        <w:t xml:space="preserve">                               </w:t>
      </w:r>
    </w:p>
    <w:p w14:paraId="0744A934">
      <w:pPr>
        <w:spacing w:line="360" w:lineRule="auto"/>
        <w:rPr>
          <w:rFonts w:eastAsia="仿宋_GB2312"/>
          <w:b/>
          <w:color w:val="000000" w:themeColor="text1"/>
          <w:sz w:val="30"/>
          <w:szCs w:val="30"/>
          <w14:textFill>
            <w14:solidFill>
              <w14:schemeClr w14:val="tx1"/>
            </w14:solidFill>
          </w14:textFill>
        </w:rPr>
      </w:pPr>
      <w:r>
        <w:rPr>
          <w:rFonts w:eastAsia="仿宋_GB2312"/>
          <w:b/>
          <w:color w:val="000000" w:themeColor="text1"/>
          <w:sz w:val="30"/>
          <w:szCs w:val="30"/>
          <w14:textFill>
            <w14:solidFill>
              <w14:schemeClr w14:val="tx1"/>
            </w14:solidFill>
          </w14:textFill>
        </w:rPr>
        <w:t>住所：</w:t>
      </w:r>
      <w:r>
        <w:rPr>
          <w:rFonts w:eastAsia="仿宋_GB2312"/>
          <w:b/>
          <w:color w:val="000000" w:themeColor="text1"/>
          <w:sz w:val="30"/>
          <w:szCs w:val="30"/>
          <w:u w:val="single"/>
          <w14:textFill>
            <w14:solidFill>
              <w14:schemeClr w14:val="tx1"/>
            </w14:solidFill>
          </w14:textFill>
        </w:rPr>
        <w:t xml:space="preserve">                  </w:t>
      </w:r>
    </w:p>
    <w:p w14:paraId="701BD4C1">
      <w:pPr>
        <w:pStyle w:val="13"/>
      </w:pPr>
    </w:p>
    <w:p w14:paraId="76BDEF08">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根据《中华人民共和国民法典》《中华人民共和国建筑法》及有关法律规定，遵循平等、自愿、公平和诚实信用的原则，双方就</w:t>
      </w:r>
      <w:r>
        <w:rPr>
          <w:rFonts w:eastAsia="仿宋_GB2312"/>
          <w:color w:val="000000" w:themeColor="text1"/>
          <w:sz w:val="30"/>
          <w:szCs w:val="30"/>
          <w:u w:val="single"/>
          <w14:textFill>
            <w14:solidFill>
              <w14:schemeClr w14:val="tx1"/>
            </w14:solidFill>
          </w14:textFill>
        </w:rPr>
        <w:t xml:space="preserve">       </w:t>
      </w:r>
      <w:r>
        <w:rPr>
          <w:rFonts w:eastAsia="仿宋_GB2312"/>
          <w:i/>
          <w:iCs/>
          <w:color w:val="000000" w:themeColor="text1"/>
          <w:sz w:val="30"/>
          <w:szCs w:val="30"/>
          <w:u w:val="single"/>
          <w14:textFill>
            <w14:solidFill>
              <w14:schemeClr w14:val="tx1"/>
            </w14:solidFill>
          </w14:textFill>
        </w:rPr>
        <w:t>参照以下工程名称</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工程施工及有关事项协商一致，共同达成如下协议：</w:t>
      </w:r>
    </w:p>
    <w:p w14:paraId="6F87EB6E">
      <w:pPr>
        <w:pStyle w:val="8"/>
        <w:rPr>
          <w:rFonts w:ascii="Times New Roman" w:hAnsi="Times New Roman" w:cs="Times New Roman"/>
        </w:rPr>
      </w:pPr>
      <w:r>
        <w:rPr>
          <w:rFonts w:ascii="Times New Roman" w:hAnsi="Times New Roman" w:cs="Times New Roman"/>
        </w:rPr>
        <w:t xml:space="preserve">    </w:t>
      </w:r>
      <w:bookmarkStart w:id="129" w:name="_Toc351203481"/>
      <w:r>
        <w:rPr>
          <w:rFonts w:ascii="Times New Roman" w:hAnsi="Times New Roman" w:cs="Times New Roman"/>
        </w:rPr>
        <w:t>一、工程概况</w:t>
      </w:r>
      <w:bookmarkEnd w:id="129"/>
    </w:p>
    <w:p w14:paraId="4C5FDFF5">
      <w:pPr>
        <w:spacing w:line="360" w:lineRule="auto"/>
        <w:ind w:firstLine="588" w:firstLineChars="196"/>
        <w:rPr>
          <w:rFonts w:eastAsia="仿宋_GB2312"/>
          <w:color w:val="000000" w:themeColor="text1"/>
          <w:sz w:val="30"/>
          <w:szCs w:val="30"/>
          <w:u w:val="single"/>
          <w14:textFill>
            <w14:solidFill>
              <w14:schemeClr w14:val="tx1"/>
            </w14:solidFill>
          </w14:textFill>
        </w:rPr>
      </w:pPr>
      <w:r>
        <w:rPr>
          <w:rFonts w:eastAsia="仿宋_GB2312"/>
          <w:bCs/>
          <w:color w:val="000000" w:themeColor="text1"/>
          <w:sz w:val="30"/>
          <w:szCs w:val="30"/>
          <w14:textFill>
            <w14:solidFill>
              <w14:schemeClr w14:val="tx1"/>
            </w14:solidFill>
          </w14:textFill>
        </w:rPr>
        <w:t>1.工程名称</w:t>
      </w:r>
      <w:r>
        <w:rPr>
          <w:rFonts w:eastAsia="仿宋_GB2312"/>
          <w:color w:val="000000" w:themeColor="text1"/>
          <w:sz w:val="30"/>
          <w:szCs w:val="30"/>
          <w14:textFill>
            <w14:solidFill>
              <w14:schemeClr w14:val="tx1"/>
            </w14:solidFill>
          </w14:textFill>
        </w:rPr>
        <w:t>：</w:t>
      </w:r>
      <w:r>
        <w:rPr>
          <w:rFonts w:eastAsia="仿宋_GB2312"/>
          <w:color w:val="000000" w:themeColor="text1"/>
          <w:sz w:val="30"/>
          <w:szCs w:val="30"/>
          <w:u w:val="single"/>
          <w14:textFill>
            <w14:solidFill>
              <w14:schemeClr w14:val="tx1"/>
            </w14:solidFill>
          </w14:textFill>
        </w:rPr>
        <w:t xml:space="preserve"> </w:t>
      </w:r>
      <w:r>
        <w:rPr>
          <w:rFonts w:eastAsia="仿宋_GB2312"/>
          <w:i/>
          <w:iCs/>
          <w:color w:val="000000" w:themeColor="text1"/>
          <w:sz w:val="30"/>
          <w:szCs w:val="30"/>
          <w:u w:val="single"/>
          <w14:textFill>
            <w14:solidFill>
              <w14:schemeClr w14:val="tx1"/>
            </w14:solidFill>
          </w14:textFill>
        </w:rPr>
        <w:t>与外部立项（若有）、内部立项文件或招标文件填写一致</w:t>
      </w:r>
      <w:r>
        <w:rPr>
          <w:rFonts w:eastAsia="仿宋_GB2312"/>
          <w:color w:val="000000" w:themeColor="text1"/>
          <w:sz w:val="30"/>
          <w:szCs w:val="30"/>
          <w14:textFill>
            <w14:solidFill>
              <w14:schemeClr w14:val="tx1"/>
            </w14:solidFill>
          </w14:textFill>
        </w:rPr>
        <w:t>。</w:t>
      </w:r>
    </w:p>
    <w:p w14:paraId="151FA3BB">
      <w:pPr>
        <w:spacing w:line="360" w:lineRule="auto"/>
        <w:ind w:firstLine="588" w:firstLineChars="196"/>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2.工程地点：</w:t>
      </w:r>
      <w:r>
        <w:rPr>
          <w:rFonts w:eastAsia="仿宋_GB2312"/>
          <w:i/>
          <w:iCs/>
          <w:color w:val="000000" w:themeColor="text1"/>
          <w:sz w:val="30"/>
          <w:szCs w:val="30"/>
          <w:u w:val="single"/>
          <w14:textFill>
            <w14:solidFill>
              <w14:schemeClr w14:val="tx1"/>
            </w14:solidFill>
          </w14:textFill>
        </w:rPr>
        <w:t>据实填写</w:t>
      </w:r>
      <w:r>
        <w:rPr>
          <w:rFonts w:eastAsia="仿宋_GB2312"/>
          <w:color w:val="000000" w:themeColor="text1"/>
          <w:sz w:val="30"/>
          <w:szCs w:val="30"/>
          <w14:textFill>
            <w14:solidFill>
              <w14:schemeClr w14:val="tx1"/>
            </w14:solidFill>
          </w14:textFill>
        </w:rPr>
        <w:t>。</w:t>
      </w:r>
    </w:p>
    <w:p w14:paraId="79D8FBB8">
      <w:pPr>
        <w:spacing w:line="360" w:lineRule="auto"/>
        <w:ind w:firstLine="588" w:firstLineChars="196"/>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3.工程立项批准文号：</w:t>
      </w:r>
      <w:r>
        <w:rPr>
          <w:rFonts w:eastAsia="仿宋_GB2312"/>
          <w:i/>
          <w:iCs/>
          <w:color w:val="000000" w:themeColor="text1"/>
          <w:sz w:val="30"/>
          <w:szCs w:val="30"/>
          <w:u w:val="single"/>
          <w14:textFill>
            <w14:solidFill>
              <w14:schemeClr w14:val="tx1"/>
            </w14:solidFill>
          </w14:textFill>
        </w:rPr>
        <w:t>据实填写或无</w:t>
      </w:r>
      <w:r>
        <w:rPr>
          <w:rFonts w:eastAsia="仿宋_GB2312"/>
          <w:bCs/>
          <w:color w:val="000000" w:themeColor="text1"/>
          <w:sz w:val="30"/>
          <w:szCs w:val="30"/>
          <w14:textFill>
            <w14:solidFill>
              <w14:schemeClr w14:val="tx1"/>
            </w14:solidFill>
          </w14:textFill>
        </w:rPr>
        <w:t>。</w:t>
      </w:r>
    </w:p>
    <w:p w14:paraId="143DCA4B">
      <w:pPr>
        <w:spacing w:line="360" w:lineRule="auto"/>
        <w:ind w:firstLine="588" w:firstLineChars="196"/>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4.资金来源：</w:t>
      </w:r>
      <w:r>
        <w:rPr>
          <w:rFonts w:eastAsia="仿宋_GB2312"/>
          <w:color w:val="000000" w:themeColor="text1"/>
          <w:sz w:val="30"/>
          <w:szCs w:val="30"/>
          <w:u w:val="single"/>
          <w14:textFill>
            <w14:solidFill>
              <w14:schemeClr w14:val="tx1"/>
            </w14:solidFill>
          </w14:textFill>
        </w:rPr>
        <w:t>企业自筹</w:t>
      </w:r>
      <w:r>
        <w:rPr>
          <w:rFonts w:eastAsia="仿宋_GB2312"/>
          <w:bCs/>
          <w:color w:val="000000" w:themeColor="text1"/>
          <w:sz w:val="30"/>
          <w:szCs w:val="30"/>
          <w14:textFill>
            <w14:solidFill>
              <w14:schemeClr w14:val="tx1"/>
            </w14:solidFill>
          </w14:textFill>
        </w:rPr>
        <w:t>。</w:t>
      </w:r>
    </w:p>
    <w:p w14:paraId="218649E2">
      <w:pPr>
        <w:spacing w:line="360" w:lineRule="auto"/>
        <w:ind w:firstLine="588" w:firstLineChars="196"/>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5.工程内容：</w:t>
      </w:r>
      <w:r>
        <w:rPr>
          <w:rFonts w:eastAsia="仿宋_GB2312"/>
          <w:i/>
          <w:iCs/>
          <w:color w:val="000000" w:themeColor="text1"/>
          <w:sz w:val="30"/>
          <w:szCs w:val="30"/>
          <w:u w:val="single"/>
          <w14:textFill>
            <w14:solidFill>
              <w14:schemeClr w14:val="tx1"/>
            </w14:solidFill>
          </w14:textFill>
        </w:rPr>
        <w:t>按招标文件填写</w:t>
      </w:r>
      <w:r>
        <w:rPr>
          <w:rFonts w:eastAsia="仿宋_GB2312"/>
          <w:bCs/>
          <w:color w:val="000000" w:themeColor="text1"/>
          <w:sz w:val="30"/>
          <w:szCs w:val="30"/>
          <w14:textFill>
            <w14:solidFill>
              <w14:schemeClr w14:val="tx1"/>
            </w14:solidFill>
          </w14:textFill>
        </w:rPr>
        <w:t>。</w:t>
      </w:r>
    </w:p>
    <w:p w14:paraId="37CD2424">
      <w:pPr>
        <w:spacing w:line="360" w:lineRule="auto"/>
        <w:ind w:firstLine="588" w:firstLineChars="196"/>
        <w:rPr>
          <w:rFonts w:eastAsia="仿宋_GB2312"/>
          <w:bCs/>
          <w:color w:val="000000" w:themeColor="text1"/>
          <w:sz w:val="30"/>
          <w:szCs w:val="30"/>
          <w14:textFill>
            <w14:solidFill>
              <w14:schemeClr w14:val="tx1"/>
            </w14:solidFill>
          </w14:textFill>
        </w:rPr>
      </w:pPr>
      <w:r>
        <w:rPr>
          <w:rFonts w:eastAsia="仿宋_GB2312"/>
          <w:color w:val="000000" w:themeColor="text1"/>
          <w:sz w:val="30"/>
          <w:szCs w:val="32"/>
          <w14:textFill>
            <w14:solidFill>
              <w14:schemeClr w14:val="tx1"/>
            </w14:solidFill>
          </w14:textFill>
        </w:rPr>
        <w:t>群体工程应附《承包人承揽工程项目一览表》（附件1）。</w:t>
      </w:r>
    </w:p>
    <w:p w14:paraId="53F04607">
      <w:pPr>
        <w:spacing w:line="360" w:lineRule="auto"/>
        <w:ind w:firstLine="588" w:firstLineChars="196"/>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6.工程承包范围：</w:t>
      </w:r>
    </w:p>
    <w:p w14:paraId="43BB6949">
      <w:pPr>
        <w:spacing w:after="156" w:line="360" w:lineRule="auto"/>
        <w:ind w:firstLine="600" w:firstLineChars="200"/>
        <w:rPr>
          <w:rFonts w:eastAsia="仿宋_GB2312"/>
          <w:color w:val="000000" w:themeColor="text1"/>
          <w:sz w:val="30"/>
          <w:szCs w:val="30"/>
          <w:u w:val="single"/>
          <w14:textFill>
            <w14:solidFill>
              <w14:schemeClr w14:val="tx1"/>
            </w14:solidFill>
          </w14:textFill>
        </w:rPr>
      </w:pPr>
      <w:r>
        <w:rPr>
          <w:rFonts w:eastAsia="仿宋_GB2312"/>
          <w:i/>
          <w:iCs/>
          <w:color w:val="000000" w:themeColor="text1"/>
          <w:sz w:val="30"/>
          <w:szCs w:val="30"/>
          <w:u w:val="single"/>
          <w14:textFill>
            <w14:solidFill>
              <w14:schemeClr w14:val="tx1"/>
            </w14:solidFill>
          </w14:textFill>
        </w:rPr>
        <w:t>本工程承包范围为除发包人专业分包工程及发包人供货的材料及设备外，本工程设计图纸内所包含的土建、钢结构、装饰、安装工程，以及质量保修期内的质保服务，包括发包人设计变更、工作联系单涉及补充、完善和变更施工内容以及生产工艺设备的水、电、气等公用管线的连接</w:t>
      </w:r>
      <w:r>
        <w:rPr>
          <w:rFonts w:eastAsia="仿宋_GB2312"/>
          <w:color w:val="000000" w:themeColor="text1"/>
          <w:sz w:val="30"/>
          <w:szCs w:val="30"/>
          <w:u w:val="single"/>
          <w14:textFill>
            <w14:solidFill>
              <w14:schemeClr w14:val="tx1"/>
            </w14:solidFill>
          </w14:textFill>
        </w:rPr>
        <w:t>。</w:t>
      </w:r>
    </w:p>
    <w:p w14:paraId="07C30132">
      <w:pPr>
        <w:spacing w:line="360" w:lineRule="auto"/>
        <w:ind w:firstLine="888" w:firstLineChars="296"/>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00A3"/>
      </w:r>
      <w:r>
        <w:rPr>
          <w:rFonts w:eastAsia="仿宋_GB2312"/>
          <w:color w:val="000000" w:themeColor="text1"/>
          <w:sz w:val="30"/>
          <w:szCs w:val="32"/>
          <w:u w:val="single"/>
          <w14:textFill>
            <w14:solidFill>
              <w14:schemeClr w14:val="tx1"/>
            </w14:solidFill>
          </w14:textFill>
        </w:rPr>
        <w:t>详细的工程施工界面划分表：详见附件2。</w:t>
      </w:r>
    </w:p>
    <w:p w14:paraId="5F118F50">
      <w:pPr>
        <w:pStyle w:val="8"/>
        <w:rPr>
          <w:rFonts w:ascii="Times New Roman" w:hAnsi="Times New Roman" w:cs="Times New Roman"/>
          <w:b w:val="0"/>
        </w:rPr>
      </w:pPr>
      <w:r>
        <w:rPr>
          <w:rFonts w:ascii="Times New Roman" w:hAnsi="Times New Roman" w:cs="Times New Roman"/>
        </w:rPr>
        <w:t xml:space="preserve">    </w:t>
      </w:r>
      <w:bookmarkStart w:id="130" w:name="_Toc351203482"/>
      <w:r>
        <w:rPr>
          <w:rFonts w:ascii="Times New Roman" w:hAnsi="Times New Roman" w:cs="Times New Roman"/>
        </w:rPr>
        <w:t>二、合同工期</w:t>
      </w:r>
      <w:bookmarkEnd w:id="130"/>
    </w:p>
    <w:p w14:paraId="3FB3DA16">
      <w:pPr>
        <w:spacing w:line="360" w:lineRule="auto"/>
        <w:ind w:firstLine="459"/>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计划开工日期：</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年</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月</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日。</w:t>
      </w:r>
    </w:p>
    <w:p w14:paraId="71C258A7">
      <w:pPr>
        <w:spacing w:line="360" w:lineRule="auto"/>
        <w:ind w:firstLine="459"/>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计划竣工日期：</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年</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月</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日。</w:t>
      </w:r>
    </w:p>
    <w:p w14:paraId="47CFF6A1">
      <w:pPr>
        <w:spacing w:line="360" w:lineRule="auto"/>
        <w:ind w:firstLine="459"/>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工期总日历天数：</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天。工期总日历天数与根据前述计划开竣工日期计算的工期天数不一致的，以工期总日历天数为准。</w:t>
      </w:r>
    </w:p>
    <w:p w14:paraId="103550FD">
      <w:pPr>
        <w:spacing w:line="360" w:lineRule="auto"/>
        <w:ind w:firstLine="588" w:firstLineChars="196"/>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00A3"/>
      </w:r>
      <w:r>
        <w:rPr>
          <w:rFonts w:eastAsia="仿宋_GB2312"/>
          <w:color w:val="000000" w:themeColor="text1"/>
          <w:sz w:val="30"/>
          <w:szCs w:val="32"/>
          <w:u w:val="single"/>
          <w14:textFill>
            <w14:solidFill>
              <w14:schemeClr w14:val="tx1"/>
            </w14:solidFill>
          </w14:textFill>
        </w:rPr>
        <w:t>其中关键节点工期计划：详见附件3。</w:t>
      </w:r>
    </w:p>
    <w:p w14:paraId="6870ACDC">
      <w:pPr>
        <w:pStyle w:val="8"/>
        <w:rPr>
          <w:rFonts w:ascii="Times New Roman" w:hAnsi="Times New Roman" w:cs="Times New Roman"/>
        </w:rPr>
      </w:pPr>
      <w:r>
        <w:rPr>
          <w:rFonts w:ascii="Times New Roman" w:hAnsi="Times New Roman" w:cs="Times New Roman"/>
        </w:rPr>
        <w:t xml:space="preserve">    </w:t>
      </w:r>
      <w:bookmarkStart w:id="131" w:name="_Toc351203483"/>
      <w:r>
        <w:rPr>
          <w:rFonts w:ascii="Times New Roman" w:hAnsi="Times New Roman" w:cs="Times New Roman"/>
        </w:rPr>
        <w:t>三、质量标准</w:t>
      </w:r>
      <w:bookmarkEnd w:id="131"/>
    </w:p>
    <w:p w14:paraId="45A4618B">
      <w:pPr>
        <w:spacing w:line="360" w:lineRule="auto"/>
        <w:ind w:firstLine="459"/>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工程质量符合</w:t>
      </w:r>
      <w:r>
        <w:rPr>
          <w:rFonts w:eastAsia="仿宋_GB2312"/>
          <w:i/>
          <w:iCs/>
          <w:color w:val="000000" w:themeColor="text1"/>
          <w:sz w:val="30"/>
          <w:szCs w:val="30"/>
          <w:u w:val="single"/>
          <w14:textFill>
            <w14:solidFill>
              <w14:schemeClr w14:val="tx1"/>
            </w14:solidFill>
          </w14:textFill>
        </w:rPr>
        <w:t>根据招标文件要求，若无特殊要求按“合格”</w:t>
      </w:r>
      <w:r>
        <w:rPr>
          <w:rFonts w:eastAsia="仿宋_GB2312"/>
          <w:color w:val="000000" w:themeColor="text1"/>
          <w:sz w:val="30"/>
          <w:szCs w:val="30"/>
          <w14:textFill>
            <w14:solidFill>
              <w14:schemeClr w14:val="tx1"/>
            </w14:solidFill>
          </w14:textFill>
        </w:rPr>
        <w:t>标准。</w:t>
      </w:r>
    </w:p>
    <w:p w14:paraId="4E3EE15E">
      <w:pPr>
        <w:pStyle w:val="8"/>
        <w:rPr>
          <w:rFonts w:ascii="Times New Roman" w:hAnsi="Times New Roman" w:cs="Times New Roman"/>
        </w:rPr>
      </w:pPr>
      <w:r>
        <w:rPr>
          <w:rFonts w:ascii="Times New Roman" w:hAnsi="Times New Roman" w:cs="Times New Roman"/>
        </w:rPr>
        <w:t xml:space="preserve">    </w:t>
      </w:r>
      <w:bookmarkStart w:id="132" w:name="_Toc351203484"/>
      <w:r>
        <w:rPr>
          <w:rFonts w:ascii="Times New Roman" w:hAnsi="Times New Roman" w:cs="Times New Roman"/>
        </w:rPr>
        <w:t>四、签约合同价与合同价格形式</w:t>
      </w:r>
      <w:bookmarkEnd w:id="132"/>
      <w:r>
        <w:rPr>
          <w:rFonts w:ascii="Times New Roman" w:hAnsi="Times New Roman" w:cs="Times New Roman"/>
        </w:rPr>
        <w:tab/>
      </w:r>
    </w:p>
    <w:p w14:paraId="5D58C51D">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1.签约合同暂定价为：</w:t>
      </w:r>
    </w:p>
    <w:p w14:paraId="318ECDF1">
      <w:pPr>
        <w:spacing w:line="360" w:lineRule="auto"/>
        <w:ind w:firstLine="750" w:firstLineChars="2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不含税价为人民币¥</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元（大写：</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），增值税税率</w:t>
      </w:r>
      <w:r>
        <w:rPr>
          <w:rFonts w:eastAsia="仿宋_GB2312"/>
          <w:color w:val="000000" w:themeColor="text1"/>
          <w:sz w:val="30"/>
          <w:szCs w:val="30"/>
          <w:u w:val="single"/>
          <w14:textFill>
            <w14:solidFill>
              <w14:schemeClr w14:val="tx1"/>
            </w14:solidFill>
          </w14:textFill>
        </w:rPr>
        <w:t>【】</w:t>
      </w:r>
      <w:r>
        <w:rPr>
          <w:rFonts w:eastAsia="仿宋_GB2312"/>
          <w:color w:val="000000" w:themeColor="text1"/>
          <w:sz w:val="30"/>
          <w:szCs w:val="30"/>
          <w14:textFill>
            <w14:solidFill>
              <w14:schemeClr w14:val="tx1"/>
            </w14:solidFill>
          </w14:textFill>
        </w:rPr>
        <w:t>%，税额</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元，含税价</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元人民币（大写：</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），如国家出台新政策对增值税率进行了调整，则不含税价款不变，本合同含税总价在不含税价基础上根据国家最新税法进行相应的调整。</w:t>
      </w:r>
    </w:p>
    <w:p w14:paraId="4E7F5950">
      <w:pPr>
        <w:spacing w:line="360" w:lineRule="auto"/>
        <w:ind w:firstLine="600" w:firstLineChars="200"/>
        <w:rPr>
          <w:rFonts w:eastAsia="仿宋_GB2312"/>
          <w:i/>
        </w:rPr>
      </w:pPr>
      <w:r>
        <w:rPr>
          <w:rFonts w:eastAsia="仿宋_GB2312"/>
          <w:bCs/>
          <w:i/>
          <w:iCs/>
          <w:sz w:val="30"/>
          <w:szCs w:val="30"/>
        </w:rPr>
        <w:t>□</w:t>
      </w:r>
      <w:r>
        <w:rPr>
          <w:rFonts w:eastAsia="仿宋_GB2312"/>
          <w:i/>
          <w:sz w:val="30"/>
        </w:rPr>
        <w:t>清单报价部分的价格结算时按照承包人中标后调整的最终版工程量清单执行。</w:t>
      </w:r>
    </w:p>
    <w:p w14:paraId="069225D6">
      <w:pPr>
        <w:spacing w:line="360" w:lineRule="auto"/>
        <w:ind w:firstLine="600" w:firstLineChars="200"/>
        <w:rPr>
          <w:rFonts w:eastAsia="仿宋_GB2312"/>
          <w:i/>
          <w:iCs/>
        </w:rPr>
      </w:pPr>
      <w:r>
        <w:rPr>
          <w:rFonts w:hint="eastAsia" w:eastAsia="仿宋_GB2312"/>
          <w:bCs/>
          <w:i/>
          <w:iCs/>
          <w:sz w:val="30"/>
          <w:szCs w:val="30"/>
          <w:lang w:eastAsia="zh-CN"/>
        </w:rPr>
        <w:t>☑</w:t>
      </w:r>
      <w:r>
        <w:rPr>
          <w:rFonts w:eastAsia="仿宋_GB2312"/>
          <w:bCs/>
          <w:i/>
          <w:iCs/>
          <w:sz w:val="30"/>
          <w:szCs w:val="30"/>
        </w:rPr>
        <w:t>合同清单部分的价格结算时按照承包人开标修正后的已标价工程量清单价格乘下浮系数（商务标最后一轮澄清含税总报价扣除固定费用/开标清标修正后的含税总报价扣除固定费用）执行，单独澄清的清单项除外。</w:t>
      </w:r>
    </w:p>
    <w:p w14:paraId="2FC23911">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其中：以下价格均为含税价格</w:t>
      </w:r>
    </w:p>
    <w:p w14:paraId="49140F1A">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（1）安全文明施工费：</w:t>
      </w:r>
    </w:p>
    <w:p w14:paraId="21942EB1">
      <w:pPr>
        <w:spacing w:line="360" w:lineRule="auto"/>
        <w:ind w:firstLine="1350" w:firstLineChars="4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人民币（大写）</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元)；</w:t>
      </w:r>
    </w:p>
    <w:p w14:paraId="4CCFF266">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（2）材料和工程设备暂估价金额：</w:t>
      </w:r>
    </w:p>
    <w:p w14:paraId="60931270">
      <w:pPr>
        <w:spacing w:line="360" w:lineRule="auto"/>
        <w:ind w:firstLine="1350" w:firstLineChars="4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人民币（大写）</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元)；</w:t>
      </w:r>
    </w:p>
    <w:p w14:paraId="0537354C">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（3）专业工程暂估价金额：</w:t>
      </w:r>
    </w:p>
    <w:p w14:paraId="32045996">
      <w:pPr>
        <w:spacing w:line="360" w:lineRule="auto"/>
        <w:ind w:firstLine="1350" w:firstLineChars="4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人民币（大写）</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元)；</w:t>
      </w:r>
    </w:p>
    <w:p w14:paraId="6BED9313">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（4）暂列金额：</w:t>
      </w:r>
    </w:p>
    <w:p w14:paraId="143039F7">
      <w:pPr>
        <w:spacing w:line="360" w:lineRule="auto"/>
        <w:ind w:firstLine="1350" w:firstLineChars="4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人民币（大写）</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元)。</w:t>
      </w:r>
    </w:p>
    <w:p w14:paraId="192C682A">
      <w:pPr>
        <w:numPr>
          <w:ilvl w:val="0"/>
          <w:numId w:val="8"/>
        </w:numPr>
        <w:spacing w:line="360" w:lineRule="auto"/>
        <w:ind w:firstLine="600" w:firstLineChars="200"/>
        <w:rPr>
          <w:rFonts w:eastAsia="仿宋_GB2312"/>
          <w:i/>
          <w:iCs/>
          <w:color w:val="000000" w:themeColor="text1"/>
          <w:sz w:val="30"/>
          <w:szCs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合同价格形式：</w:t>
      </w:r>
      <w:r>
        <w:rPr>
          <w:rFonts w:eastAsia="仿宋_GB2312"/>
          <w:i/>
          <w:iCs/>
          <w:color w:val="000000" w:themeColor="text1"/>
          <w:sz w:val="30"/>
          <w:szCs w:val="30"/>
          <w:u w:val="single"/>
          <w14:textFill>
            <w14:solidFill>
              <w14:schemeClr w14:val="tx1"/>
            </w14:solidFill>
          </w14:textFill>
        </w:rPr>
        <w:t>单价合同</w:t>
      </w:r>
    </w:p>
    <w:p w14:paraId="57A4C5E9">
      <w:pPr>
        <w:spacing w:line="360" w:lineRule="auto"/>
        <w:rPr>
          <w:rFonts w:eastAsia="仿宋_GB2312"/>
          <w:color w:val="000000" w:themeColor="text1"/>
          <w:sz w:val="30"/>
          <w:szCs w:val="30"/>
          <w14:textFill>
            <w14:solidFill>
              <w14:schemeClr w14:val="tx1"/>
            </w14:solidFill>
          </w14:textFill>
        </w:rPr>
      </w:pPr>
      <w:r>
        <w:rPr>
          <w:rFonts w:eastAsia="仿宋_GB2312"/>
          <w:i/>
          <w:iCs/>
          <w:color w:val="000000" w:themeColor="text1"/>
          <w:sz w:val="30"/>
          <w:szCs w:val="30"/>
          <w:u w:val="single"/>
          <w14:textFill>
            <w14:solidFill>
              <w14:schemeClr w14:val="tx1"/>
            </w14:solidFill>
          </w14:textFill>
        </w:rPr>
        <w:t>（填写说明：根据招标文件要求，以及通用条款12.1条选择合同价格形式，如总价合同、单价合同，目前集团公司技改基建项目一般均采用单价合同</w:t>
      </w:r>
      <w:r>
        <w:rPr>
          <w:rFonts w:eastAsia="仿宋_GB2312"/>
          <w:color w:val="000000" w:themeColor="text1"/>
          <w:sz w:val="30"/>
          <w:szCs w:val="30"/>
          <w:u w:val="single"/>
          <w14:textFill>
            <w14:solidFill>
              <w14:schemeClr w14:val="tx1"/>
            </w14:solidFill>
          </w14:textFill>
        </w:rPr>
        <w:t>）</w:t>
      </w:r>
      <w:r>
        <w:rPr>
          <w:rFonts w:eastAsia="仿宋_GB2312"/>
          <w:color w:val="000000" w:themeColor="text1"/>
          <w:sz w:val="30"/>
          <w:szCs w:val="30"/>
          <w14:textFill>
            <w14:solidFill>
              <w14:schemeClr w14:val="tx1"/>
            </w14:solidFill>
          </w14:textFill>
        </w:rPr>
        <w:t>。</w:t>
      </w:r>
    </w:p>
    <w:p w14:paraId="67494D64">
      <w:pPr>
        <w:pStyle w:val="8"/>
        <w:rPr>
          <w:rFonts w:ascii="Times New Roman" w:hAnsi="Times New Roman" w:cs="Times New Roman"/>
          <w:b w:val="0"/>
        </w:rPr>
      </w:pPr>
      <w:r>
        <w:rPr>
          <w:rFonts w:ascii="Times New Roman" w:hAnsi="Times New Roman" w:cs="Times New Roman"/>
        </w:rPr>
        <w:t xml:space="preserve">    </w:t>
      </w:r>
      <w:bookmarkStart w:id="133" w:name="_Toc351203485"/>
      <w:r>
        <w:rPr>
          <w:rFonts w:ascii="Times New Roman" w:hAnsi="Times New Roman" w:cs="Times New Roman"/>
        </w:rPr>
        <w:t>五、</w:t>
      </w:r>
      <w:bookmarkEnd w:id="133"/>
      <w:r>
        <w:rPr>
          <w:rFonts w:ascii="Times New Roman" w:hAnsi="Times New Roman" w:cs="Times New Roman"/>
        </w:rPr>
        <w:t>项目经理</w:t>
      </w:r>
    </w:p>
    <w:p w14:paraId="022AD5B1">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承包人项目经理：</w:t>
      </w:r>
      <w:r>
        <w:rPr>
          <w:rFonts w:eastAsia="仿宋_GB2312"/>
          <w:i/>
          <w:iCs/>
          <w:color w:val="000000" w:themeColor="text1"/>
          <w:sz w:val="30"/>
          <w:szCs w:val="30"/>
          <w:u w:val="single"/>
          <w14:textFill>
            <w14:solidFill>
              <w14:schemeClr w14:val="tx1"/>
            </w14:solidFill>
          </w14:textFill>
        </w:rPr>
        <w:t>与投标文件一致</w:t>
      </w:r>
      <w:r>
        <w:rPr>
          <w:rFonts w:eastAsia="仿宋_GB2312"/>
          <w:color w:val="000000" w:themeColor="text1"/>
          <w:sz w:val="30"/>
          <w:szCs w:val="30"/>
          <w14:textFill>
            <w14:solidFill>
              <w14:schemeClr w14:val="tx1"/>
            </w14:solidFill>
          </w14:textFill>
        </w:rPr>
        <w:t>。</w:t>
      </w:r>
    </w:p>
    <w:p w14:paraId="40548B0B">
      <w:pPr>
        <w:pStyle w:val="8"/>
        <w:rPr>
          <w:rFonts w:ascii="Times New Roman" w:hAnsi="Times New Roman" w:cs="Times New Roman"/>
        </w:rPr>
      </w:pPr>
      <w:r>
        <w:rPr>
          <w:rFonts w:ascii="Times New Roman" w:hAnsi="Times New Roman" w:cs="Times New Roman"/>
        </w:rPr>
        <w:t xml:space="preserve">    </w:t>
      </w:r>
      <w:bookmarkStart w:id="134" w:name="_Toc351203486"/>
      <w:r>
        <w:rPr>
          <w:rFonts w:ascii="Times New Roman" w:hAnsi="Times New Roman" w:cs="Times New Roman"/>
        </w:rPr>
        <w:t>六、合同文件构成</w:t>
      </w:r>
      <w:bookmarkEnd w:id="134"/>
    </w:p>
    <w:p w14:paraId="0666F121">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本协议书与下列文件一起构成合同文件：</w:t>
      </w:r>
    </w:p>
    <w:p w14:paraId="363D3816">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（1）补充协议、承诺书（若有）；</w:t>
      </w:r>
    </w:p>
    <w:p w14:paraId="659D6733">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（2）中标通知书（若有）；</w:t>
      </w:r>
    </w:p>
    <w:p w14:paraId="628D0D1B">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 xml:space="preserve">（3）专用合同条款及其附件； </w:t>
      </w:r>
    </w:p>
    <w:p w14:paraId="583CAF21">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（4）招标文件及答疑文件；</w:t>
      </w:r>
    </w:p>
    <w:p w14:paraId="2B177B87">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（5）通用合同条款;</w:t>
      </w:r>
    </w:p>
    <w:p w14:paraId="3EEAAB28">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（6）投标函及其附录（若有）；</w:t>
      </w:r>
    </w:p>
    <w:p w14:paraId="4BB4F173">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（7）投标文件;</w:t>
      </w:r>
    </w:p>
    <w:p w14:paraId="779FB366">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（8）图纸；</w:t>
      </w:r>
    </w:p>
    <w:p w14:paraId="44B23C1A">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（9）技术标准和要求；</w:t>
      </w:r>
    </w:p>
    <w:p w14:paraId="04B88897">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（10）已标价工程量清单或预算书；</w:t>
      </w:r>
    </w:p>
    <w:p w14:paraId="365CC5D9">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（11）其他合同文件。</w:t>
      </w:r>
    </w:p>
    <w:p w14:paraId="201EEA21">
      <w:pPr>
        <w:autoSpaceDE w:val="0"/>
        <w:autoSpaceDN w:val="0"/>
        <w:adjustRightInd w:val="0"/>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在合同订立及履行过程中形成的与合同有关的文件均构成合同文件组成部分，与本合同具有同等法律效力。</w:t>
      </w:r>
    </w:p>
    <w:p w14:paraId="5D08B4BA">
      <w:pPr>
        <w:pStyle w:val="8"/>
        <w:rPr>
          <w:rFonts w:ascii="Times New Roman" w:hAnsi="Times New Roman" w:cs="Times New Roman"/>
          <w:b w:val="0"/>
        </w:rPr>
      </w:pPr>
      <w:r>
        <w:rPr>
          <w:rFonts w:ascii="Times New Roman" w:hAnsi="Times New Roman" w:cs="Times New Roman"/>
        </w:rPr>
        <w:t xml:space="preserve">    </w:t>
      </w:r>
      <w:bookmarkStart w:id="135" w:name="_Toc351203487"/>
      <w:r>
        <w:rPr>
          <w:rFonts w:ascii="Times New Roman" w:hAnsi="Times New Roman" w:cs="Times New Roman"/>
        </w:rPr>
        <w:t>七、承诺</w:t>
      </w:r>
      <w:bookmarkEnd w:id="135"/>
    </w:p>
    <w:p w14:paraId="320A1B03">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1.发包人承诺按照法律规定履行项目审批手续、筹集工程建设资金并按照合同约定的期限和方式支付合同价款。</w:t>
      </w:r>
    </w:p>
    <w:p w14:paraId="48BB1AF4">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2.承包人承诺按照法律规定及合同约定组织完成工程施工，确保工程质量和安全，不进行转包及违法分包，并在缺陷责任期及保修期内承担相应的工程维修责任。</w:t>
      </w:r>
    </w:p>
    <w:p w14:paraId="4D05ECD0">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3.发包人和承包人通过招投标形式签订合同的，双方理解并承诺不再就同一工程另行签订与合同实质性内容相背离的协议。</w:t>
      </w:r>
    </w:p>
    <w:p w14:paraId="775AD029">
      <w:pPr>
        <w:pStyle w:val="8"/>
        <w:rPr>
          <w:rFonts w:ascii="Times New Roman" w:hAnsi="Times New Roman" w:cs="Times New Roman"/>
          <w:b w:val="0"/>
        </w:rPr>
      </w:pPr>
      <w:bookmarkStart w:id="136" w:name="_Toc351203488"/>
      <w:r>
        <w:rPr>
          <w:rFonts w:ascii="Times New Roman" w:hAnsi="Times New Roman" w:cs="Times New Roman"/>
        </w:rPr>
        <w:t xml:space="preserve">    八、词语含义</w:t>
      </w:r>
      <w:bookmarkEnd w:id="136"/>
    </w:p>
    <w:p w14:paraId="71F0A49C">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本协议书中词语含义与第二部分通用合同条款中赋予的含义相同。</w:t>
      </w:r>
    </w:p>
    <w:p w14:paraId="37E7EE48">
      <w:pPr>
        <w:pStyle w:val="8"/>
        <w:rPr>
          <w:rFonts w:ascii="Times New Roman" w:hAnsi="Times New Roman" w:cs="Times New Roman"/>
          <w:b w:val="0"/>
        </w:rPr>
      </w:pPr>
      <w:r>
        <w:rPr>
          <w:rFonts w:ascii="Times New Roman" w:hAnsi="Times New Roman" w:cs="Times New Roman"/>
        </w:rPr>
        <w:t xml:space="preserve">    </w:t>
      </w:r>
      <w:bookmarkStart w:id="137" w:name="_Toc351203489"/>
      <w:bookmarkStart w:id="138" w:name="_Toc351203490"/>
      <w:r>
        <w:rPr>
          <w:rFonts w:ascii="Times New Roman" w:hAnsi="Times New Roman" w:cs="Times New Roman"/>
        </w:rPr>
        <w:t>九、签订</w:t>
      </w:r>
      <w:bookmarkEnd w:id="137"/>
      <w:r>
        <w:rPr>
          <w:rFonts w:ascii="Times New Roman" w:hAnsi="Times New Roman" w:cs="Times New Roman"/>
        </w:rPr>
        <w:t>地点</w:t>
      </w:r>
      <w:bookmarkEnd w:id="138"/>
    </w:p>
    <w:p w14:paraId="57AD1280">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本合同在</w:t>
      </w:r>
      <w:r>
        <w:rPr>
          <w:rFonts w:eastAsia="仿宋_GB2312"/>
          <w:bCs/>
          <w:color w:val="000000" w:themeColor="text1"/>
          <w:sz w:val="30"/>
          <w:szCs w:val="30"/>
          <w:u w:val="single"/>
          <w14:textFill>
            <w14:solidFill>
              <w14:schemeClr w14:val="tx1"/>
            </w14:solidFill>
          </w14:textFill>
        </w:rPr>
        <w:t xml:space="preserve">    </w:t>
      </w:r>
      <w:r>
        <w:rPr>
          <w:rFonts w:eastAsia="仿宋_GB2312"/>
          <w:bCs/>
          <w:i/>
          <w:iCs/>
          <w:color w:val="000000" w:themeColor="text1"/>
          <w:sz w:val="30"/>
          <w:szCs w:val="30"/>
          <w:u w:val="single"/>
          <w14:textFill>
            <w14:solidFill>
              <w14:schemeClr w14:val="tx1"/>
            </w14:solidFill>
          </w14:textFill>
        </w:rPr>
        <w:t>（据实填写）</w:t>
      </w:r>
      <w:r>
        <w:rPr>
          <w:rFonts w:eastAsia="仿宋_GB2312"/>
          <w:bCs/>
          <w:color w:val="000000" w:themeColor="text1"/>
          <w:sz w:val="30"/>
          <w:szCs w:val="30"/>
          <w:u w:val="single"/>
          <w14:textFill>
            <w14:solidFill>
              <w14:schemeClr w14:val="tx1"/>
            </w14:solidFill>
          </w14:textFill>
        </w:rPr>
        <w:t xml:space="preserve">  </w:t>
      </w:r>
      <w:r>
        <w:rPr>
          <w:rFonts w:eastAsia="仿宋_GB2312"/>
          <w:bCs/>
          <w:color w:val="000000" w:themeColor="text1"/>
          <w:sz w:val="30"/>
          <w:szCs w:val="30"/>
          <w14:textFill>
            <w14:solidFill>
              <w14:schemeClr w14:val="tx1"/>
            </w14:solidFill>
          </w14:textFill>
        </w:rPr>
        <w:t>签订。</w:t>
      </w:r>
    </w:p>
    <w:p w14:paraId="25ABAA3E">
      <w:pPr>
        <w:pStyle w:val="8"/>
        <w:rPr>
          <w:rFonts w:ascii="Times New Roman" w:hAnsi="Times New Roman" w:cs="Times New Roman"/>
          <w:b w:val="0"/>
        </w:rPr>
      </w:pPr>
      <w:r>
        <w:rPr>
          <w:rFonts w:ascii="Times New Roman" w:hAnsi="Times New Roman" w:cs="Times New Roman"/>
        </w:rPr>
        <w:t xml:space="preserve">    </w:t>
      </w:r>
      <w:bookmarkStart w:id="139" w:name="_Toc351203491"/>
      <w:r>
        <w:rPr>
          <w:rFonts w:ascii="Times New Roman" w:hAnsi="Times New Roman" w:cs="Times New Roman"/>
        </w:rPr>
        <w:t>十、</w:t>
      </w:r>
      <w:bookmarkEnd w:id="139"/>
      <w:r>
        <w:rPr>
          <w:rFonts w:ascii="Times New Roman" w:hAnsi="Times New Roman" w:cs="Times New Roman"/>
        </w:rPr>
        <w:t>其他</w:t>
      </w:r>
    </w:p>
    <w:p w14:paraId="45AEDC06">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本合同为双方签署的最终版本，如有任何与本合同相冲突的版本，均以本合同为准。</w:t>
      </w:r>
    </w:p>
    <w:p w14:paraId="603BA14D">
      <w:pPr>
        <w:pStyle w:val="8"/>
        <w:rPr>
          <w:rFonts w:ascii="Times New Roman" w:hAnsi="Times New Roman" w:cs="Times New Roman"/>
        </w:rPr>
      </w:pPr>
      <w:r>
        <w:rPr>
          <w:rFonts w:ascii="Times New Roman" w:hAnsi="Times New Roman" w:cs="Times New Roman"/>
        </w:rPr>
        <w:t xml:space="preserve">    </w:t>
      </w:r>
      <w:bookmarkStart w:id="140" w:name="_Toc351203492"/>
      <w:r>
        <w:rPr>
          <w:rFonts w:ascii="Times New Roman" w:hAnsi="Times New Roman" w:cs="Times New Roman"/>
        </w:rPr>
        <w:t>十一、合同生效</w:t>
      </w:r>
      <w:bookmarkEnd w:id="140"/>
    </w:p>
    <w:p w14:paraId="6AA7FFFB">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本合同自</w:t>
      </w:r>
      <w:r>
        <w:rPr>
          <w:rFonts w:eastAsia="仿宋_GB2312"/>
          <w:bCs/>
          <w:color w:val="000000" w:themeColor="text1"/>
          <w:sz w:val="30"/>
          <w:szCs w:val="30"/>
          <w:u w:val="single"/>
          <w14:textFill>
            <w14:solidFill>
              <w14:schemeClr w14:val="tx1"/>
            </w14:solidFill>
          </w14:textFill>
        </w:rPr>
        <w:t xml:space="preserve"> 双方授权代表签署并加盖公章或者合同专用章之日起 </w:t>
      </w:r>
      <w:r>
        <w:rPr>
          <w:rFonts w:eastAsia="仿宋_GB2312"/>
          <w:bCs/>
          <w:color w:val="000000" w:themeColor="text1"/>
          <w:sz w:val="30"/>
          <w:szCs w:val="30"/>
          <w14:textFill>
            <w14:solidFill>
              <w14:schemeClr w14:val="tx1"/>
            </w14:solidFill>
          </w14:textFill>
        </w:rPr>
        <w:t>生效。</w:t>
      </w:r>
    </w:p>
    <w:p w14:paraId="4A14276F">
      <w:pPr>
        <w:pStyle w:val="8"/>
        <w:rPr>
          <w:rFonts w:ascii="Times New Roman" w:hAnsi="Times New Roman" w:cs="Times New Roman"/>
        </w:rPr>
      </w:pPr>
      <w:r>
        <w:rPr>
          <w:rFonts w:ascii="Times New Roman" w:hAnsi="Times New Roman" w:cs="Times New Roman"/>
        </w:rPr>
        <w:t xml:space="preserve">    </w:t>
      </w:r>
      <w:bookmarkStart w:id="141" w:name="_Toc351203493"/>
      <w:r>
        <w:rPr>
          <w:rFonts w:ascii="Times New Roman" w:hAnsi="Times New Roman" w:cs="Times New Roman"/>
        </w:rPr>
        <w:t>十二、合同份数</w:t>
      </w:r>
      <w:bookmarkEnd w:id="141"/>
    </w:p>
    <w:p w14:paraId="0239B2B5">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本合同一式</w:t>
      </w:r>
      <w:r>
        <w:rPr>
          <w:rFonts w:eastAsia="仿宋_GB2312"/>
          <w:bCs/>
          <w:color w:val="000000" w:themeColor="text1"/>
          <w:sz w:val="30"/>
          <w:szCs w:val="30"/>
          <w:u w:val="single"/>
          <w14:textFill>
            <w14:solidFill>
              <w14:schemeClr w14:val="tx1"/>
            </w14:solidFill>
          </w14:textFill>
        </w:rPr>
        <w:t xml:space="preserve"> </w:t>
      </w:r>
      <w:r>
        <w:rPr>
          <w:rFonts w:eastAsia="仿宋_GB2312"/>
          <w:bCs/>
          <w:i/>
          <w:iCs/>
          <w:color w:val="000000" w:themeColor="text1"/>
          <w:sz w:val="30"/>
          <w:szCs w:val="30"/>
          <w:u w:val="single"/>
          <w14:textFill>
            <w14:solidFill>
              <w14:schemeClr w14:val="tx1"/>
            </w14:solidFill>
          </w14:textFill>
        </w:rPr>
        <w:t>陆</w:t>
      </w:r>
      <w:r>
        <w:rPr>
          <w:rFonts w:eastAsia="仿宋_GB2312"/>
          <w:bCs/>
          <w:color w:val="000000" w:themeColor="text1"/>
          <w:sz w:val="30"/>
          <w:szCs w:val="30"/>
          <w:u w:val="single"/>
          <w14:textFill>
            <w14:solidFill>
              <w14:schemeClr w14:val="tx1"/>
            </w14:solidFill>
          </w14:textFill>
        </w:rPr>
        <w:t xml:space="preserve"> </w:t>
      </w:r>
      <w:r>
        <w:rPr>
          <w:rFonts w:eastAsia="仿宋_GB2312"/>
          <w:bCs/>
          <w:color w:val="000000" w:themeColor="text1"/>
          <w:sz w:val="30"/>
          <w:szCs w:val="30"/>
          <w14:textFill>
            <w14:solidFill>
              <w14:schemeClr w14:val="tx1"/>
            </w14:solidFill>
          </w14:textFill>
        </w:rPr>
        <w:t>份，均具有同等法律效力，发包人执</w:t>
      </w:r>
      <w:r>
        <w:rPr>
          <w:rFonts w:eastAsia="仿宋_GB2312"/>
          <w:bCs/>
          <w:color w:val="000000" w:themeColor="text1"/>
          <w:sz w:val="30"/>
          <w:szCs w:val="30"/>
          <w:u w:val="single"/>
          <w14:textFill>
            <w14:solidFill>
              <w14:schemeClr w14:val="tx1"/>
            </w14:solidFill>
          </w14:textFill>
        </w:rPr>
        <w:t xml:space="preserve"> </w:t>
      </w:r>
      <w:r>
        <w:rPr>
          <w:rFonts w:eastAsia="仿宋_GB2312"/>
          <w:bCs/>
          <w:i/>
          <w:iCs/>
          <w:color w:val="000000" w:themeColor="text1"/>
          <w:sz w:val="30"/>
          <w:szCs w:val="30"/>
          <w:u w:val="single"/>
          <w14:textFill>
            <w14:solidFill>
              <w14:schemeClr w14:val="tx1"/>
            </w14:solidFill>
          </w14:textFill>
        </w:rPr>
        <w:t>肆</w:t>
      </w:r>
      <w:r>
        <w:rPr>
          <w:rFonts w:eastAsia="仿宋_GB2312"/>
          <w:bCs/>
          <w:color w:val="000000" w:themeColor="text1"/>
          <w:sz w:val="30"/>
          <w:szCs w:val="30"/>
          <w:u w:val="single"/>
          <w14:textFill>
            <w14:solidFill>
              <w14:schemeClr w14:val="tx1"/>
            </w14:solidFill>
          </w14:textFill>
        </w:rPr>
        <w:t xml:space="preserve"> </w:t>
      </w:r>
      <w:r>
        <w:rPr>
          <w:rFonts w:eastAsia="仿宋_GB2312"/>
          <w:bCs/>
          <w:color w:val="000000" w:themeColor="text1"/>
          <w:sz w:val="30"/>
          <w:szCs w:val="30"/>
          <w14:textFill>
            <w14:solidFill>
              <w14:schemeClr w14:val="tx1"/>
            </w14:solidFill>
          </w14:textFill>
        </w:rPr>
        <w:t>份，承包人执</w:t>
      </w:r>
      <w:r>
        <w:rPr>
          <w:rFonts w:eastAsia="仿宋_GB2312"/>
          <w:bCs/>
          <w:color w:val="000000" w:themeColor="text1"/>
          <w:sz w:val="30"/>
          <w:szCs w:val="30"/>
          <w:u w:val="single"/>
          <w14:textFill>
            <w14:solidFill>
              <w14:schemeClr w14:val="tx1"/>
            </w14:solidFill>
          </w14:textFill>
        </w:rPr>
        <w:t xml:space="preserve"> </w:t>
      </w:r>
      <w:r>
        <w:rPr>
          <w:rFonts w:eastAsia="仿宋_GB2312"/>
          <w:bCs/>
          <w:i/>
          <w:iCs/>
          <w:color w:val="000000" w:themeColor="text1"/>
          <w:sz w:val="30"/>
          <w:szCs w:val="30"/>
          <w:u w:val="single"/>
          <w14:textFill>
            <w14:solidFill>
              <w14:schemeClr w14:val="tx1"/>
            </w14:solidFill>
          </w14:textFill>
        </w:rPr>
        <w:t>贰</w:t>
      </w:r>
      <w:r>
        <w:rPr>
          <w:rFonts w:eastAsia="仿宋_GB2312"/>
          <w:bCs/>
          <w:color w:val="000000" w:themeColor="text1"/>
          <w:sz w:val="30"/>
          <w:szCs w:val="30"/>
          <w:u w:val="single"/>
          <w14:textFill>
            <w14:solidFill>
              <w14:schemeClr w14:val="tx1"/>
            </w14:solidFill>
          </w14:textFill>
        </w:rPr>
        <w:t xml:space="preserve"> </w:t>
      </w:r>
      <w:r>
        <w:rPr>
          <w:rFonts w:eastAsia="仿宋_GB2312"/>
          <w:bCs/>
          <w:color w:val="000000" w:themeColor="text1"/>
          <w:sz w:val="30"/>
          <w:szCs w:val="30"/>
          <w14:textFill>
            <w14:solidFill>
              <w14:schemeClr w14:val="tx1"/>
            </w14:solidFill>
          </w14:textFill>
        </w:rPr>
        <w:t>份。</w:t>
      </w:r>
    </w:p>
    <w:p w14:paraId="7A897403">
      <w:pPr>
        <w:spacing w:line="360" w:lineRule="auto"/>
        <w:ind w:firstLine="602" w:firstLineChars="200"/>
        <w:rPr>
          <w:rFonts w:eastAsia="仿宋_GB2312"/>
          <w:b/>
          <w:bCs/>
          <w:color w:val="000000" w:themeColor="text1"/>
          <w:sz w:val="30"/>
          <w:szCs w:val="30"/>
          <w14:textFill>
            <w14:solidFill>
              <w14:schemeClr w14:val="tx1"/>
            </w14:solidFill>
          </w14:textFill>
        </w:rPr>
      </w:pPr>
      <w:r>
        <w:rPr>
          <w:rFonts w:eastAsia="仿宋_GB2312"/>
          <w:b/>
          <w:bCs/>
          <w:color w:val="000000" w:themeColor="text1"/>
          <w:sz w:val="30"/>
          <w:szCs w:val="30"/>
          <w14:textFill>
            <w14:solidFill>
              <w14:schemeClr w14:val="tx1"/>
            </w14:solidFill>
          </w14:textFill>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06348205">
      <w:pPr>
        <w:spacing w:line="360" w:lineRule="auto"/>
        <w:ind w:firstLine="602" w:firstLineChars="200"/>
        <w:rPr>
          <w:rFonts w:eastAsia="仿宋_GB2312"/>
          <w:b/>
          <w:bCs/>
          <w:color w:val="000000" w:themeColor="text1"/>
          <w:sz w:val="30"/>
          <w:szCs w:val="30"/>
          <w14:textFill>
            <w14:solidFill>
              <w14:schemeClr w14:val="tx1"/>
            </w14:solidFill>
          </w14:textFill>
        </w:rPr>
      </w:pPr>
      <w:r>
        <w:rPr>
          <w:rFonts w:eastAsia="仿宋_GB2312"/>
          <w:b/>
          <w:bCs/>
          <w:color w:val="000000" w:themeColor="text1"/>
          <w:sz w:val="30"/>
          <w:szCs w:val="30"/>
          <w14:textFill>
            <w14:solidFill>
              <w14:schemeClr w14:val="tx1"/>
            </w14:solidFill>
          </w14:textFill>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276CA5A7">
      <w:pPr>
        <w:spacing w:line="360" w:lineRule="auto"/>
        <w:rPr>
          <w:rFonts w:eastAsia="仿宋_GB2312"/>
          <w:color w:val="000000" w:themeColor="text1"/>
          <w:sz w:val="30"/>
          <w:szCs w:val="30"/>
          <w14:textFill>
            <w14:solidFill>
              <w14:schemeClr w14:val="tx1"/>
            </w14:solidFill>
          </w14:textFill>
        </w:rPr>
      </w:pPr>
    </w:p>
    <w:p w14:paraId="0E1BB51D">
      <w:pPr>
        <w:spacing w:line="360" w:lineRule="auto"/>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 xml:space="preserve">发包人：  (盖章)             承包人：  (盖章)                                </w:t>
      </w:r>
    </w:p>
    <w:p w14:paraId="57FFCAE9">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法定代表人或其委托代理人：  法定代表人或其委托代理人：</w:t>
      </w:r>
    </w:p>
    <w:p w14:paraId="0B184163">
      <w:pPr>
        <w:spacing w:line="360" w:lineRule="auto"/>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（签字）                    （签字）</w:t>
      </w:r>
    </w:p>
    <w:p w14:paraId="3C91264B">
      <w:pPr>
        <w:tabs>
          <w:tab w:val="left" w:pos="4410"/>
        </w:tabs>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统一社会信用代码：</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统一社会信用代码：</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w:t>
      </w:r>
    </w:p>
    <w:p w14:paraId="2776CEFC">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地  址：</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地  址：</w:t>
      </w:r>
      <w:r>
        <w:rPr>
          <w:rFonts w:eastAsia="仿宋_GB2312"/>
          <w:color w:val="000000" w:themeColor="text1"/>
          <w:sz w:val="30"/>
          <w:szCs w:val="30"/>
          <w:u w:val="single"/>
          <w14:textFill>
            <w14:solidFill>
              <w14:schemeClr w14:val="tx1"/>
            </w14:solidFill>
          </w14:textFill>
        </w:rPr>
        <w:t xml:space="preserve">               </w:t>
      </w:r>
    </w:p>
    <w:p w14:paraId="13EF54D1">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邮政编码：</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邮政编码：</w:t>
      </w:r>
      <w:r>
        <w:rPr>
          <w:rFonts w:eastAsia="仿宋_GB2312"/>
          <w:color w:val="000000" w:themeColor="text1"/>
          <w:sz w:val="30"/>
          <w:szCs w:val="30"/>
          <w:u w:val="single"/>
          <w14:textFill>
            <w14:solidFill>
              <w14:schemeClr w14:val="tx1"/>
            </w14:solidFill>
          </w14:textFill>
        </w:rPr>
        <w:t xml:space="preserve">           </w:t>
      </w:r>
    </w:p>
    <w:p w14:paraId="5F95A366">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法定代表人：</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法定代表人：</w:t>
      </w:r>
      <w:r>
        <w:rPr>
          <w:rFonts w:eastAsia="仿宋_GB2312"/>
          <w:color w:val="000000" w:themeColor="text1"/>
          <w:sz w:val="30"/>
          <w:szCs w:val="30"/>
          <w:u w:val="single"/>
          <w14:textFill>
            <w14:solidFill>
              <w14:schemeClr w14:val="tx1"/>
            </w14:solidFill>
          </w14:textFill>
        </w:rPr>
        <w:t xml:space="preserve">               </w:t>
      </w:r>
    </w:p>
    <w:p w14:paraId="0AAA7938">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委托代理人：</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委托代理人：</w:t>
      </w:r>
      <w:r>
        <w:rPr>
          <w:rFonts w:eastAsia="仿宋_GB2312"/>
          <w:color w:val="000000" w:themeColor="text1"/>
          <w:sz w:val="30"/>
          <w:szCs w:val="30"/>
          <w:u w:val="single"/>
          <w14:textFill>
            <w14:solidFill>
              <w14:schemeClr w14:val="tx1"/>
            </w14:solidFill>
          </w14:textFill>
        </w:rPr>
        <w:t xml:space="preserve">               </w:t>
      </w:r>
    </w:p>
    <w:p w14:paraId="48F901CE">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电  话：</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电  话：</w:t>
      </w:r>
      <w:r>
        <w:rPr>
          <w:rFonts w:eastAsia="仿宋_GB2312"/>
          <w:color w:val="000000" w:themeColor="text1"/>
          <w:sz w:val="30"/>
          <w:szCs w:val="30"/>
          <w:u w:val="single"/>
          <w14:textFill>
            <w14:solidFill>
              <w14:schemeClr w14:val="tx1"/>
            </w14:solidFill>
          </w14:textFill>
        </w:rPr>
        <w:t xml:space="preserve">             </w:t>
      </w:r>
    </w:p>
    <w:p w14:paraId="13C718FA">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传  真：</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传  真：</w:t>
      </w:r>
      <w:r>
        <w:rPr>
          <w:rFonts w:eastAsia="仿宋_GB2312"/>
          <w:color w:val="000000" w:themeColor="text1"/>
          <w:sz w:val="30"/>
          <w:szCs w:val="30"/>
          <w:u w:val="single"/>
          <w14:textFill>
            <w14:solidFill>
              <w14:schemeClr w14:val="tx1"/>
            </w14:solidFill>
          </w14:textFill>
        </w:rPr>
        <w:t xml:space="preserve">             </w:t>
      </w:r>
    </w:p>
    <w:p w14:paraId="5815D9D4">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电子信箱：</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电子信箱：</w:t>
      </w:r>
      <w:r>
        <w:rPr>
          <w:rFonts w:eastAsia="仿宋_GB2312"/>
          <w:color w:val="000000" w:themeColor="text1"/>
          <w:sz w:val="30"/>
          <w:szCs w:val="30"/>
          <w:u w:val="single"/>
          <w14:textFill>
            <w14:solidFill>
              <w14:schemeClr w14:val="tx1"/>
            </w14:solidFill>
          </w14:textFill>
        </w:rPr>
        <w:t xml:space="preserve">           </w:t>
      </w:r>
    </w:p>
    <w:p w14:paraId="59527DE5">
      <w:pPr>
        <w:spacing w:line="360" w:lineRule="auto"/>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开户银行：</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开户银行：</w:t>
      </w:r>
      <w:r>
        <w:rPr>
          <w:rFonts w:eastAsia="仿宋_GB2312"/>
          <w:color w:val="000000" w:themeColor="text1"/>
          <w:sz w:val="30"/>
          <w:szCs w:val="30"/>
          <w:u w:val="single"/>
          <w14:textFill>
            <w14:solidFill>
              <w14:schemeClr w14:val="tx1"/>
            </w14:solidFill>
          </w14:textFill>
        </w:rPr>
        <w:t xml:space="preserve">           </w:t>
      </w:r>
    </w:p>
    <w:p w14:paraId="4CB498E6">
      <w:pPr>
        <w:spacing w:line="360" w:lineRule="auto"/>
        <w:rPr>
          <w:color w:val="000000" w:themeColor="text1"/>
          <w:sz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账  号：</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账  号：</w:t>
      </w:r>
      <w:r>
        <w:rPr>
          <w:rFonts w:eastAsia="仿宋_GB2312"/>
          <w:color w:val="000000" w:themeColor="text1"/>
          <w:sz w:val="30"/>
          <w:szCs w:val="30"/>
          <w:u w:val="single"/>
          <w14:textFill>
            <w14:solidFill>
              <w14:schemeClr w14:val="tx1"/>
            </w14:solidFill>
          </w14:textFill>
        </w:rPr>
        <w:t xml:space="preserve">             </w:t>
      </w:r>
    </w:p>
    <w:p w14:paraId="475AA02C">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日  期：</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日  期：</w:t>
      </w:r>
      <w:r>
        <w:rPr>
          <w:rFonts w:eastAsia="仿宋_GB2312"/>
          <w:color w:val="000000" w:themeColor="text1"/>
          <w:sz w:val="30"/>
          <w:szCs w:val="30"/>
          <w:u w:val="single"/>
          <w14:textFill>
            <w14:solidFill>
              <w14:schemeClr w14:val="tx1"/>
            </w14:solidFill>
          </w14:textFill>
        </w:rPr>
        <w:t xml:space="preserve">                      </w:t>
      </w:r>
    </w:p>
    <w:p w14:paraId="7ABF920C">
      <w:pPr>
        <w:spacing w:line="360" w:lineRule="auto"/>
        <w:rPr>
          <w:color w:val="000000" w:themeColor="text1"/>
          <w:sz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账  号：</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账  号：</w:t>
      </w:r>
      <w:r>
        <w:rPr>
          <w:rFonts w:eastAsia="仿宋_GB2312"/>
          <w:color w:val="000000" w:themeColor="text1"/>
          <w:sz w:val="30"/>
          <w:szCs w:val="30"/>
          <w:u w:val="single"/>
          <w14:textFill>
            <w14:solidFill>
              <w14:schemeClr w14:val="tx1"/>
            </w14:solidFill>
          </w14:textFill>
        </w:rPr>
        <w:t xml:space="preserve">             </w:t>
      </w:r>
      <w:bookmarkStart w:id="142" w:name="_Toc351203494"/>
    </w:p>
    <w:p w14:paraId="2252BCF0">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日  期：</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日  期：</w:t>
      </w:r>
      <w:r>
        <w:rPr>
          <w:rFonts w:eastAsia="仿宋_GB2312"/>
          <w:color w:val="000000" w:themeColor="text1"/>
          <w:sz w:val="30"/>
          <w:szCs w:val="30"/>
          <w:u w:val="single"/>
          <w14:textFill>
            <w14:solidFill>
              <w14:schemeClr w14:val="tx1"/>
            </w14:solidFill>
          </w14:textFill>
        </w:rPr>
        <w:t xml:space="preserve">                      </w:t>
      </w:r>
    </w:p>
    <w:p w14:paraId="5B27104A">
      <w:pPr>
        <w:spacing w:line="360" w:lineRule="auto"/>
        <w:jc w:val="center"/>
        <w:rPr>
          <w:rFonts w:eastAsia="华文中宋"/>
          <w:b/>
          <w:bCs/>
          <w:color w:val="000000" w:themeColor="text1"/>
          <w:sz w:val="44"/>
          <w:szCs w:val="44"/>
          <w:lang w:bidi="en-US"/>
          <w14:textFill>
            <w14:solidFill>
              <w14:schemeClr w14:val="tx1"/>
            </w14:solidFill>
          </w14:textFill>
        </w:rPr>
      </w:pPr>
      <w:r>
        <w:rPr>
          <w:rFonts w:eastAsia="华文中宋"/>
          <w:b/>
          <w:bCs/>
          <w:color w:val="000000" w:themeColor="text1"/>
          <w:sz w:val="44"/>
          <w:szCs w:val="44"/>
          <w:lang w:bidi="en-US"/>
          <w14:textFill>
            <w14:solidFill>
              <w14:schemeClr w14:val="tx1"/>
            </w14:solidFill>
          </w14:textFill>
        </w:rPr>
        <w:br w:type="page"/>
      </w:r>
    </w:p>
    <w:p w14:paraId="04A8BD34">
      <w:pPr>
        <w:pStyle w:val="7"/>
        <w:spacing w:before="156" w:after="156"/>
        <w:jc w:val="center"/>
        <w:rPr>
          <w:rFonts w:ascii="Times New Roman" w:hAnsi="Times New Roman" w:eastAsia="华文中宋"/>
          <w:color w:val="000000" w:themeColor="text1"/>
          <w:sz w:val="44"/>
          <w:szCs w:val="44"/>
          <w14:textFill>
            <w14:solidFill>
              <w14:schemeClr w14:val="tx1"/>
            </w14:solidFill>
          </w14:textFill>
        </w:rPr>
      </w:pPr>
      <w:bookmarkStart w:id="143" w:name="_Toc237618310"/>
      <w:bookmarkStart w:id="144" w:name="_Toc24206"/>
      <w:r>
        <w:rPr>
          <w:rFonts w:ascii="Times New Roman" w:hAnsi="Times New Roman" w:eastAsia="华文中宋"/>
          <w:color w:val="000000" w:themeColor="text1"/>
          <w:sz w:val="44"/>
          <w:szCs w:val="44"/>
          <w14:textFill>
            <w14:solidFill>
              <w14:schemeClr w14:val="tx1"/>
            </w14:solidFill>
          </w14:textFill>
        </w:rPr>
        <w:t xml:space="preserve">第二部分 </w:t>
      </w:r>
      <w:bookmarkEnd w:id="142"/>
      <w:bookmarkStart w:id="145" w:name="_Toc337558727"/>
      <w:r>
        <w:rPr>
          <w:rFonts w:ascii="Times New Roman" w:hAnsi="Times New Roman" w:eastAsia="华文中宋"/>
          <w:color w:val="000000" w:themeColor="text1"/>
          <w:sz w:val="44"/>
          <w:szCs w:val="44"/>
          <w14:textFill>
            <w14:solidFill>
              <w14:schemeClr w14:val="tx1"/>
            </w14:solidFill>
          </w14:textFill>
        </w:rPr>
        <w:t>通用合同条款</w:t>
      </w:r>
      <w:bookmarkEnd w:id="143"/>
      <w:bookmarkEnd w:id="144"/>
    </w:p>
    <w:p w14:paraId="586F30F5">
      <w:pPr>
        <w:spacing w:line="480" w:lineRule="auto"/>
        <w:rPr>
          <w:rStyle w:val="39"/>
          <w:color w:val="000000" w:themeColor="text1"/>
          <w:szCs w:val="21"/>
          <w14:textFill>
            <w14:solidFill>
              <w14:schemeClr w14:val="tx1"/>
            </w14:solidFill>
          </w14:textFill>
        </w:rPr>
      </w:pPr>
    </w:p>
    <w:p w14:paraId="3CB60244">
      <w:pPr>
        <w:spacing w:line="360" w:lineRule="auto"/>
        <w:ind w:firstLine="600" w:firstLineChars="200"/>
        <w:rPr>
          <w:rFonts w:eastAsia="仿宋_GB2312"/>
          <w:bCs/>
          <w:color w:val="000000" w:themeColor="text1"/>
          <w:sz w:val="30"/>
          <w:szCs w:val="30"/>
          <w14:textFill>
            <w14:solidFill>
              <w14:schemeClr w14:val="tx1"/>
            </w14:solidFill>
          </w14:textFill>
        </w:rPr>
      </w:pPr>
      <w:r>
        <w:rPr>
          <w:rFonts w:eastAsia="仿宋_GB2312"/>
          <w:bCs/>
          <w:color w:val="000000" w:themeColor="text1"/>
          <w:sz w:val="30"/>
          <w:szCs w:val="30"/>
          <w14:textFill>
            <w14:solidFill>
              <w14:schemeClr w14:val="tx1"/>
            </w14:solidFill>
          </w14:textFill>
        </w:rPr>
        <w:t>详见《建筑工程施工合同》示范文本（GF-2013-0201）中第二部分《通用</w:t>
      </w:r>
      <w:bookmarkEnd w:id="145"/>
      <w:r>
        <w:rPr>
          <w:rFonts w:eastAsia="仿宋_GB2312"/>
          <w:bCs/>
          <w:color w:val="000000" w:themeColor="text1"/>
          <w:sz w:val="30"/>
          <w:szCs w:val="30"/>
          <w14:textFill>
            <w14:solidFill>
              <w14:schemeClr w14:val="tx1"/>
            </w14:solidFill>
          </w14:textFill>
        </w:rPr>
        <w:t>合同条款》。</w:t>
      </w:r>
    </w:p>
    <w:p w14:paraId="2D81CDAF">
      <w:pPr>
        <w:pStyle w:val="7"/>
        <w:spacing w:before="156" w:after="156"/>
        <w:jc w:val="center"/>
        <w:rPr>
          <w:rFonts w:ascii="Times New Roman" w:hAnsi="Times New Roman" w:eastAsia="华文中宋"/>
          <w:color w:val="000000" w:themeColor="text1"/>
          <w:sz w:val="44"/>
          <w:szCs w:val="44"/>
          <w14:textFill>
            <w14:solidFill>
              <w14:schemeClr w14:val="tx1"/>
            </w14:solidFill>
          </w14:textFill>
        </w:rPr>
      </w:pPr>
      <w:r>
        <w:rPr>
          <w:rFonts w:ascii="Times New Roman" w:hAnsi="Times New Roman" w:eastAsia="仿宋_GB2312"/>
          <w:b w:val="0"/>
          <w:bCs w:val="0"/>
          <w:color w:val="000000" w:themeColor="text1"/>
          <w14:textFill>
            <w14:solidFill>
              <w14:schemeClr w14:val="tx1"/>
            </w14:solidFill>
          </w14:textFill>
        </w:rPr>
        <w:br w:type="page"/>
      </w:r>
      <w:bookmarkStart w:id="146" w:name="_Toc30047"/>
      <w:bookmarkStart w:id="147" w:name="_Toc237618311"/>
      <w:bookmarkStart w:id="148" w:name="_Toc351203632"/>
      <w:r>
        <w:rPr>
          <w:rFonts w:ascii="Times New Roman" w:hAnsi="Times New Roman" w:eastAsia="华文中宋"/>
          <w:color w:val="000000" w:themeColor="text1"/>
          <w:sz w:val="44"/>
          <w:szCs w:val="44"/>
          <w14:textFill>
            <w14:solidFill>
              <w14:schemeClr w14:val="tx1"/>
            </w14:solidFill>
          </w14:textFill>
        </w:rPr>
        <w:t>第三部分 专用合同条款</w:t>
      </w:r>
      <w:bookmarkEnd w:id="146"/>
      <w:bookmarkEnd w:id="147"/>
      <w:bookmarkEnd w:id="148"/>
    </w:p>
    <w:p w14:paraId="67BC8A63">
      <w:pPr>
        <w:pStyle w:val="8"/>
        <w:rPr>
          <w:rFonts w:ascii="Times New Roman" w:hAnsi="Times New Roman" w:cs="Times New Roman"/>
          <w:b w:val="0"/>
        </w:rPr>
      </w:pPr>
      <w:bookmarkStart w:id="149" w:name="_Toc351203633"/>
      <w:r>
        <w:rPr>
          <w:rFonts w:ascii="Times New Roman" w:hAnsi="Times New Roman" w:cs="Times New Roman"/>
        </w:rPr>
        <w:t>1</w:t>
      </w:r>
      <w:bookmarkStart w:id="150" w:name="_Toc296890984"/>
      <w:bookmarkStart w:id="151" w:name="_Toc292559361"/>
      <w:bookmarkStart w:id="152" w:name="_Toc296347155"/>
      <w:bookmarkStart w:id="153" w:name="_Toc297048342"/>
      <w:bookmarkStart w:id="154" w:name="_Toc292559866"/>
      <w:bookmarkStart w:id="155" w:name="_Toc297120456"/>
      <w:bookmarkStart w:id="156" w:name="_Toc296891196"/>
      <w:bookmarkStart w:id="157" w:name="_Toc296346657"/>
      <w:bookmarkStart w:id="158" w:name="_Toc296944495"/>
      <w:bookmarkStart w:id="159" w:name="_Toc296503156"/>
      <w:r>
        <w:rPr>
          <w:rFonts w:ascii="Times New Roman" w:hAnsi="Times New Roman" w:cs="Times New Roman"/>
        </w:rPr>
        <w:t>. 一般约定</w:t>
      </w:r>
      <w:bookmarkEnd w:id="149"/>
    </w:p>
    <w:bookmarkEnd w:id="150"/>
    <w:bookmarkEnd w:id="151"/>
    <w:bookmarkEnd w:id="152"/>
    <w:bookmarkEnd w:id="153"/>
    <w:bookmarkEnd w:id="154"/>
    <w:bookmarkEnd w:id="155"/>
    <w:bookmarkEnd w:id="156"/>
    <w:bookmarkEnd w:id="157"/>
    <w:bookmarkEnd w:id="158"/>
    <w:bookmarkEnd w:id="159"/>
    <w:p w14:paraId="4715F3AC">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1.1 词语定义</w:t>
      </w:r>
    </w:p>
    <w:p w14:paraId="3031E30E">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1.1.1合同</w:t>
      </w:r>
    </w:p>
    <w:p w14:paraId="04E05433">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1.1.1.10其他合同文件包括：</w:t>
      </w:r>
      <w:r>
        <w:rPr>
          <w:rFonts w:eastAsia="仿宋_GB2312"/>
          <w:color w:val="000000" w:themeColor="text1"/>
          <w:sz w:val="30"/>
          <w:szCs w:val="32"/>
          <w:u w:val="single"/>
          <w14:textFill>
            <w14:solidFill>
              <w14:schemeClr w14:val="tx1"/>
            </w14:solidFill>
          </w14:textFill>
        </w:rPr>
        <w:t>履行合同过程中形成的对合同内容有实质性影响的会议纪要、联系单、承诺等资料。</w:t>
      </w:r>
    </w:p>
    <w:p w14:paraId="2D0AE047">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1.1.2 合同当事人及其他相关方</w:t>
      </w:r>
    </w:p>
    <w:p w14:paraId="154ABCAB">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1.1.2.4监理人：</w:t>
      </w:r>
      <w:r>
        <w:rPr>
          <w:i/>
          <w:color w:val="000000" w:themeColor="text1"/>
          <w:sz w:val="30"/>
          <w14:textFill>
            <w14:solidFill>
              <w14:schemeClr w14:val="tx1"/>
            </w14:solidFill>
          </w14:textFill>
        </w:rPr>
        <w:t>（根据监理合同据实填写）</w:t>
      </w:r>
    </w:p>
    <w:p w14:paraId="6F349A6D">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名    称：</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50152B2D">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资质类别和等级：</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5726469F">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联系电话：</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72702377">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电子信箱：</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530D8709">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通信地址：</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49025962">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1.1.2.5 设计人：</w:t>
      </w:r>
      <w:r>
        <w:rPr>
          <w:i/>
          <w:color w:val="000000" w:themeColor="text1"/>
          <w:sz w:val="30"/>
          <w14:textFill>
            <w14:solidFill>
              <w14:schemeClr w14:val="tx1"/>
            </w14:solidFill>
          </w14:textFill>
        </w:rPr>
        <w:t>（根据设计合同据实填写）</w:t>
      </w:r>
    </w:p>
    <w:p w14:paraId="7A2BDAC4">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名    称：</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7F748D0E">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资质类别和等级：</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35545C08">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联系电话：</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005B61D2">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电子信箱：</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4CC470A2">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通信地址：</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2721CB4D">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1.1.3 工程和设备</w:t>
      </w:r>
    </w:p>
    <w:p w14:paraId="5680FFAB">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1.1.3.7 作为施工现场组成部分的其他场所包括：</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2DDD33E4">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1.1.3.9 永久占地包括：</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kern w:val="0"/>
          <w:sz w:val="30"/>
          <w:szCs w:val="32"/>
          <w14:textFill>
            <w14:solidFill>
              <w14:schemeClr w14:val="tx1"/>
            </w14:solidFill>
          </w14:textFill>
        </w:rPr>
        <w:t>。</w:t>
      </w:r>
    </w:p>
    <w:p w14:paraId="1A1C7378">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1.1.3.10 临时占地包括：</w:t>
      </w:r>
      <w:r>
        <w:rPr>
          <w:rFonts w:eastAsia="仿宋_GB2312"/>
          <w:color w:val="000000" w:themeColor="text1"/>
          <w:sz w:val="30"/>
          <w:szCs w:val="32"/>
          <w:u w:val="single"/>
          <w14:textFill>
            <w14:solidFill>
              <w14:schemeClr w14:val="tx1"/>
            </w14:solidFill>
          </w14:textFill>
        </w:rPr>
        <w:t>发包人现场指定的现场办公场地、职工生活区、材料加工场地、临时堆放场地及其他临时场地</w:t>
      </w:r>
      <w:r>
        <w:rPr>
          <w:rFonts w:eastAsia="仿宋_GB2312"/>
          <w:color w:val="000000" w:themeColor="text1"/>
          <w:kern w:val="0"/>
          <w:sz w:val="30"/>
          <w:szCs w:val="32"/>
          <w14:textFill>
            <w14:solidFill>
              <w14:schemeClr w14:val="tx1"/>
            </w14:solidFill>
          </w14:textFill>
        </w:rPr>
        <w:t>。</w:t>
      </w:r>
    </w:p>
    <w:p w14:paraId="50867A91">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 xml:space="preserve">1.3法律 </w:t>
      </w:r>
    </w:p>
    <w:p w14:paraId="5218DA73">
      <w:pPr>
        <w:spacing w:after="156"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适用于合同的其他规范性文件：</w:t>
      </w:r>
      <w:r>
        <w:rPr>
          <w:rFonts w:eastAsia="仿宋_GB2312"/>
          <w:color w:val="000000" w:themeColor="text1"/>
          <w:sz w:val="30"/>
          <w:szCs w:val="32"/>
          <w:u w:val="single"/>
          <w14:textFill>
            <w14:solidFill>
              <w14:schemeClr w14:val="tx1"/>
            </w14:solidFill>
          </w14:textFill>
        </w:rPr>
        <w:t xml:space="preserve">   /   。</w:t>
      </w:r>
    </w:p>
    <w:p w14:paraId="1E815C73">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1.4 标准和规范</w:t>
      </w:r>
    </w:p>
    <w:p w14:paraId="63C4661E">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1.4.1适用于工程的标准规范包括：</w:t>
      </w:r>
      <w:r>
        <w:rPr>
          <w:rFonts w:eastAsia="仿宋_GB2312"/>
          <w:color w:val="000000" w:themeColor="text1"/>
          <w:sz w:val="30"/>
          <w:szCs w:val="32"/>
          <w:u w:val="single"/>
          <w14:textFill>
            <w14:solidFill>
              <w14:schemeClr w14:val="tx1"/>
            </w14:solidFill>
          </w14:textFill>
        </w:rPr>
        <w:t>同《通用合同条款》1.4.1</w:t>
      </w:r>
      <w:r>
        <w:rPr>
          <w:rFonts w:eastAsia="仿宋_GB2312"/>
          <w:i/>
          <w:iCs/>
          <w:color w:val="000000" w:themeColor="text1"/>
          <w:sz w:val="30"/>
          <w:szCs w:val="32"/>
          <w:u w:val="single"/>
          <w14:textFill>
            <w14:solidFill>
              <w14:schemeClr w14:val="tx1"/>
            </w14:solidFill>
          </w14:textFill>
        </w:rPr>
        <w:t>，</w:t>
      </w:r>
      <w:r>
        <w:rPr>
          <w:rFonts w:eastAsia="仿宋_GB2312"/>
          <w:color w:val="000000" w:themeColor="text1"/>
          <w:sz w:val="30"/>
          <w:szCs w:val="32"/>
          <w:u w:val="single"/>
          <w14:textFill>
            <w14:solidFill>
              <w14:schemeClr w14:val="tx1"/>
            </w14:solidFill>
          </w14:textFill>
        </w:rPr>
        <w:t>前述标准规范发生变化的，承包人应按照最新的标准规范施工，确保工程通过各项验收。各标准规范要求不一致时，应以要求较高者为准</w:t>
      </w:r>
      <w:r>
        <w:rPr>
          <w:rFonts w:eastAsia="仿宋_GB2312"/>
          <w:color w:val="000000" w:themeColor="text1"/>
          <w:sz w:val="30"/>
          <w:szCs w:val="32"/>
          <w14:textFill>
            <w14:solidFill>
              <w14:schemeClr w14:val="tx1"/>
            </w14:solidFill>
          </w14:textFill>
        </w:rPr>
        <w:t>。</w:t>
      </w:r>
    </w:p>
    <w:p w14:paraId="008E6B89">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1.4.2 发包人提供国外标准、规范的名称：</w:t>
      </w:r>
      <w:r>
        <w:rPr>
          <w:rFonts w:eastAsia="仿宋_GB2312"/>
          <w:color w:val="000000" w:themeColor="text1"/>
          <w:kern w:val="0"/>
          <w:sz w:val="30"/>
          <w:szCs w:val="32"/>
          <w:u w:val="single"/>
          <w14:textFill>
            <w14:solidFill>
              <w14:schemeClr w14:val="tx1"/>
            </w14:solidFill>
          </w14:textFill>
        </w:rPr>
        <w:t xml:space="preserve">    无    </w:t>
      </w:r>
      <w:r>
        <w:rPr>
          <w:rFonts w:eastAsia="仿宋_GB2312"/>
          <w:color w:val="000000" w:themeColor="text1"/>
          <w:kern w:val="0"/>
          <w:sz w:val="30"/>
          <w:szCs w:val="32"/>
          <w14:textFill>
            <w14:solidFill>
              <w14:schemeClr w14:val="tx1"/>
            </w14:solidFill>
          </w14:textFill>
        </w:rPr>
        <w:t>；</w:t>
      </w:r>
    </w:p>
    <w:p w14:paraId="72C02A0D">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发包人提供国外标准、规范的份数：</w:t>
      </w:r>
      <w:r>
        <w:rPr>
          <w:rFonts w:eastAsia="仿宋_GB2312"/>
          <w:color w:val="000000" w:themeColor="text1"/>
          <w:kern w:val="0"/>
          <w:sz w:val="30"/>
          <w:szCs w:val="32"/>
          <w:u w:val="single"/>
          <w14:textFill>
            <w14:solidFill>
              <w14:schemeClr w14:val="tx1"/>
            </w14:solidFill>
          </w14:textFill>
        </w:rPr>
        <w:t xml:space="preserve">    无    </w:t>
      </w:r>
      <w:r>
        <w:rPr>
          <w:rFonts w:eastAsia="仿宋_GB2312"/>
          <w:color w:val="000000" w:themeColor="text1"/>
          <w:kern w:val="0"/>
          <w:sz w:val="30"/>
          <w:szCs w:val="32"/>
          <w14:textFill>
            <w14:solidFill>
              <w14:schemeClr w14:val="tx1"/>
            </w14:solidFill>
          </w14:textFill>
        </w:rPr>
        <w:t>；</w:t>
      </w:r>
    </w:p>
    <w:p w14:paraId="511A3945">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发包人提供国外标准、规范的名称：</w:t>
      </w:r>
      <w:r>
        <w:rPr>
          <w:rFonts w:eastAsia="仿宋_GB2312"/>
          <w:color w:val="000000" w:themeColor="text1"/>
          <w:kern w:val="0"/>
          <w:sz w:val="30"/>
          <w:szCs w:val="32"/>
          <w:u w:val="single"/>
          <w14:textFill>
            <w14:solidFill>
              <w14:schemeClr w14:val="tx1"/>
            </w14:solidFill>
          </w14:textFill>
        </w:rPr>
        <w:t xml:space="preserve">    无    </w:t>
      </w:r>
      <w:r>
        <w:rPr>
          <w:rFonts w:eastAsia="仿宋_GB2312"/>
          <w:color w:val="000000" w:themeColor="text1"/>
          <w:kern w:val="0"/>
          <w:sz w:val="30"/>
          <w:szCs w:val="32"/>
          <w14:textFill>
            <w14:solidFill>
              <w14:schemeClr w14:val="tx1"/>
            </w14:solidFill>
          </w14:textFill>
        </w:rPr>
        <w:t>。</w:t>
      </w:r>
    </w:p>
    <w:p w14:paraId="7613FDE1">
      <w:pPr>
        <w:spacing w:line="360" w:lineRule="auto"/>
        <w:ind w:left="596" w:leftChars="284"/>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1.4.3发包人对工程的技术标准和功能要求的特殊要求：</w:t>
      </w:r>
      <w:r>
        <w:rPr>
          <w:rFonts w:eastAsia="仿宋_GB2312"/>
          <w:color w:val="000000" w:themeColor="text1"/>
          <w:sz w:val="30"/>
          <w:szCs w:val="32"/>
          <w:u w:val="single"/>
          <w14:textFill>
            <w14:solidFill>
              <w14:schemeClr w14:val="tx1"/>
            </w14:solidFill>
          </w14:textFill>
        </w:rPr>
        <w:t>无。</w:t>
      </w:r>
    </w:p>
    <w:p w14:paraId="77FF9D91">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1.5 合同文件的优先顺序</w:t>
      </w:r>
    </w:p>
    <w:p w14:paraId="244CB532">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合同文件组成及优先顺序为：</w:t>
      </w:r>
      <w:r>
        <w:rPr>
          <w:rFonts w:eastAsia="仿宋_GB2312"/>
          <w:color w:val="000000" w:themeColor="text1"/>
          <w:sz w:val="30"/>
          <w:szCs w:val="32"/>
          <w:u w:val="single"/>
          <w14:textFill>
            <w14:solidFill>
              <w14:schemeClr w14:val="tx1"/>
            </w14:solidFill>
          </w14:textFill>
        </w:rPr>
        <w:t>执行协议书第六条合同文件顺序</w:t>
      </w:r>
      <w:r>
        <w:rPr>
          <w:rFonts w:eastAsia="仿宋_GB2312"/>
          <w:color w:val="000000" w:themeColor="text1"/>
          <w:sz w:val="30"/>
          <w:szCs w:val="32"/>
          <w14:textFill>
            <w14:solidFill>
              <w14:schemeClr w14:val="tx1"/>
            </w14:solidFill>
          </w14:textFill>
        </w:rPr>
        <w:t>。</w:t>
      </w:r>
    </w:p>
    <w:p w14:paraId="2DCFF9D6">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1.6 图纸和承包人文件</w:t>
      </w:r>
      <w:r>
        <w:rPr>
          <w:rFonts w:eastAsia="黑体"/>
          <w:color w:val="000000" w:themeColor="text1"/>
          <w:sz w:val="30"/>
          <w:szCs w:val="32"/>
          <w14:textFill>
            <w14:solidFill>
              <w14:schemeClr w14:val="tx1"/>
            </w14:solidFill>
          </w14:textFill>
        </w:rPr>
        <w:tab/>
      </w:r>
    </w:p>
    <w:p w14:paraId="1EB042D6">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1.6.1 图纸的提供</w:t>
      </w:r>
    </w:p>
    <w:p w14:paraId="6B00D924">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发包人向承包人提供图纸的期限：</w:t>
      </w:r>
      <w:r>
        <w:rPr>
          <w:rFonts w:eastAsia="仿宋_GB2312"/>
          <w:color w:val="000000" w:themeColor="text1"/>
          <w:sz w:val="30"/>
          <w:szCs w:val="32"/>
          <w:u w:val="single"/>
          <w14:textFill>
            <w14:solidFill>
              <w14:schemeClr w14:val="tx1"/>
            </w14:solidFill>
          </w14:textFill>
        </w:rPr>
        <w:t>合同生效后七日内提供</w:t>
      </w:r>
      <w:r>
        <w:rPr>
          <w:rFonts w:eastAsia="仿宋_GB2312"/>
          <w:color w:val="000000" w:themeColor="text1"/>
          <w:sz w:val="30"/>
          <w:szCs w:val="32"/>
          <w14:textFill>
            <w14:solidFill>
              <w14:schemeClr w14:val="tx1"/>
            </w14:solidFill>
          </w14:textFill>
        </w:rPr>
        <w:t>；</w:t>
      </w:r>
    </w:p>
    <w:p w14:paraId="1A972C45">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发包人向承包人提供图纸的数量：</w:t>
      </w:r>
      <w:r>
        <w:rPr>
          <w:rFonts w:eastAsia="仿宋_GB2312"/>
          <w:color w:val="000000" w:themeColor="text1"/>
          <w:sz w:val="30"/>
          <w:szCs w:val="32"/>
          <w:u w:val="single"/>
          <w14:textFill>
            <w14:solidFill>
              <w14:schemeClr w14:val="tx1"/>
            </w14:solidFill>
          </w14:textFill>
        </w:rPr>
        <w:t>八套纸质版及电子版。已包括承包人为制作竣工图所需要的图纸份数，图纸超过专用条款约定数量部分的复制费由承包人承担。</w:t>
      </w:r>
    </w:p>
    <w:p w14:paraId="348A2603">
      <w:pPr>
        <w:spacing w:line="360" w:lineRule="auto"/>
        <w:ind w:firstLine="600" w:firstLineChars="200"/>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发包人向承包人提供图纸的内容：</w:t>
      </w:r>
      <w:r>
        <w:rPr>
          <w:rFonts w:eastAsia="仿宋"/>
          <w:color w:val="000000" w:themeColor="text1"/>
          <w:sz w:val="30"/>
          <w:szCs w:val="30"/>
          <w:u w:val="single"/>
          <w14:textFill>
            <w14:solidFill>
              <w14:schemeClr w14:val="tx1"/>
            </w14:solidFill>
          </w14:textFill>
        </w:rPr>
        <w:t>承</w:t>
      </w:r>
      <w:r>
        <w:rPr>
          <w:rFonts w:eastAsia="仿宋_GB2312"/>
          <w:color w:val="000000" w:themeColor="text1"/>
          <w:sz w:val="30"/>
          <w:szCs w:val="30"/>
          <w:u w:val="single"/>
          <w14:textFill>
            <w14:solidFill>
              <w14:schemeClr w14:val="tx1"/>
            </w14:solidFill>
          </w14:textFill>
        </w:rPr>
        <w:t>包人承包范围内的所有图纸。</w:t>
      </w:r>
    </w:p>
    <w:p w14:paraId="32E11DDA">
      <w:pPr>
        <w:spacing w:line="360" w:lineRule="auto"/>
        <w:ind w:firstLine="600" w:firstLineChars="200"/>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t>发包人有权根据设计和施工进度分批向承包人提供图纸，承包人不得以此为理由要求增加费用或顺延工期。</w:t>
      </w:r>
    </w:p>
    <w:p w14:paraId="01430918">
      <w:pPr>
        <w:spacing w:line="360" w:lineRule="auto"/>
        <w:ind w:firstLine="600" w:firstLineChars="200"/>
        <w:rPr>
          <w:color w:val="000000" w:themeColor="text1"/>
          <w:sz w:val="30"/>
          <w14:textFill>
            <w14:solidFill>
              <w14:schemeClr w14:val="tx1"/>
            </w14:solidFill>
          </w14:textFill>
        </w:rPr>
      </w:pPr>
      <w:r>
        <w:rPr>
          <w:color w:val="000000" w:themeColor="text1"/>
          <w:sz w:val="30"/>
          <w14:textFill>
            <w14:solidFill>
              <w14:schemeClr w14:val="tx1"/>
            </w14:solidFill>
          </w14:textFill>
        </w:rPr>
        <w:t>1.6.3图纸的修改和补充（增加）</w:t>
      </w:r>
    </w:p>
    <w:p w14:paraId="03C0897B">
      <w:pPr>
        <w:spacing w:line="360" w:lineRule="auto"/>
        <w:ind w:firstLine="600" w:firstLineChars="200"/>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图纸的修改和补充，经发包人确认后发放。</w:t>
      </w:r>
    </w:p>
    <w:p w14:paraId="0C66EA29">
      <w:pPr>
        <w:spacing w:line="360" w:lineRule="auto"/>
        <w:ind w:firstLine="600" w:firstLineChars="200"/>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如果发包人未能向承包人及时提供设计变更、图纸补充，并且承包人认为这种行为将要对施工工期造成影响时，承包人应立即就此以书面形式通知发包人，同时说明所缺图纸的具体细节并解释该图纸的延误对工程施工进度的实际影响以及为避免这种影响该图纸必须提供的最晚期限。如果在该最晚期限届满后，发包人仍然未能向承包人提供所需的图纸且确实影响了关键线路的施工的，则按照第 7.5.1 项〔因发包人原因导致工期延误〕的约定顺延工期。如果承包人未能按本款上述约定通知发包人，承包人无权要求顺延工期。</w:t>
      </w:r>
    </w:p>
    <w:p w14:paraId="6331E7E3">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1.6.4 承包人文件</w:t>
      </w:r>
    </w:p>
    <w:p w14:paraId="0C99EADB">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需要由承包人提供的文件，包括：</w:t>
      </w:r>
    </w:p>
    <w:p w14:paraId="07D39520">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w:t>
      </w:r>
      <w:r>
        <w:rPr>
          <w:rFonts w:eastAsia="仿宋_GB2312"/>
          <w:color w:val="000000" w:themeColor="text1"/>
          <w:sz w:val="30"/>
          <w:szCs w:val="32"/>
          <w:u w:val="single"/>
          <w14:textFill>
            <w14:solidFill>
              <w14:schemeClr w14:val="tx1"/>
            </w14:solidFill>
          </w14:textFill>
        </w:rPr>
        <w:t>1）国家、行业、地方现行法规、规范、标准要求的各种文件，（</w:t>
      </w:r>
      <w:r>
        <w:rPr>
          <w:rFonts w:eastAsia="仿宋_GB2312"/>
          <w:i/>
          <w:iCs/>
          <w:color w:val="000000" w:themeColor="text1"/>
          <w:sz w:val="30"/>
          <w:szCs w:val="32"/>
          <w:u w:val="single"/>
          <w14:textFill>
            <w14:solidFill>
              <w14:schemeClr w14:val="tx1"/>
            </w14:solidFill>
          </w14:textFill>
        </w:rPr>
        <w:t>如：施工组织设计、专项施工方案、危险性较大的分部分项方案等</w:t>
      </w:r>
      <w:r>
        <w:rPr>
          <w:rFonts w:eastAsia="仿宋_GB2312"/>
          <w:color w:val="000000" w:themeColor="text1"/>
          <w:sz w:val="30"/>
          <w:szCs w:val="32"/>
          <w:u w:val="single"/>
          <w14:textFill>
            <w14:solidFill>
              <w14:schemeClr w14:val="tx1"/>
            </w14:solidFill>
          </w14:textFill>
        </w:rPr>
        <w:t>）</w:t>
      </w:r>
      <w:r>
        <w:rPr>
          <w:rFonts w:eastAsia="仿宋_GB2312"/>
          <w:i/>
          <w:iCs/>
          <w:color w:val="000000" w:themeColor="text1"/>
          <w:sz w:val="30"/>
          <w:szCs w:val="32"/>
          <w:u w:val="single"/>
          <w14:textFill>
            <w14:solidFill>
              <w14:schemeClr w14:val="tx1"/>
            </w14:solidFill>
          </w14:textFill>
        </w:rPr>
        <w:t>；</w:t>
      </w:r>
    </w:p>
    <w:p w14:paraId="5B0C9DA0">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（2）发包人要求的文件，（</w:t>
      </w:r>
      <w:r>
        <w:rPr>
          <w:rFonts w:eastAsia="仿宋_GB2312"/>
          <w:i/>
          <w:iCs/>
          <w:color w:val="000000" w:themeColor="text1"/>
          <w:sz w:val="30"/>
          <w:szCs w:val="32"/>
          <w:u w:val="single"/>
          <w14:textFill>
            <w14:solidFill>
              <w14:schemeClr w14:val="tx1"/>
            </w14:solidFill>
          </w14:textFill>
        </w:rPr>
        <w:t>如：各类施工进度计划、甲供材明细及计划、深化设计图纸、排版图等</w:t>
      </w:r>
      <w:r>
        <w:rPr>
          <w:rFonts w:eastAsia="仿宋_GB2312"/>
          <w:color w:val="000000" w:themeColor="text1"/>
          <w:sz w:val="30"/>
          <w:szCs w:val="32"/>
          <w:u w:val="single"/>
          <w14:textFill>
            <w14:solidFill>
              <w14:schemeClr w14:val="tx1"/>
            </w14:solidFill>
          </w14:textFill>
        </w:rPr>
        <w:t>）；</w:t>
      </w:r>
    </w:p>
    <w:p w14:paraId="0E07FB63">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（3）整套竣工资料及配套电子版（含竣工图）</w:t>
      </w:r>
      <w:r>
        <w:rPr>
          <w:rFonts w:eastAsia="仿宋_GB2312"/>
          <w:color w:val="000000" w:themeColor="text1"/>
          <w:sz w:val="30"/>
          <w:szCs w:val="32"/>
          <w14:textFill>
            <w14:solidFill>
              <w14:schemeClr w14:val="tx1"/>
            </w14:solidFill>
          </w14:textFill>
        </w:rPr>
        <w:t>。</w:t>
      </w:r>
    </w:p>
    <w:p w14:paraId="6343CCE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承包人提供的文件的期限为：</w:t>
      </w:r>
      <w:r>
        <w:rPr>
          <w:rFonts w:eastAsia="仿宋_GB2312"/>
          <w:color w:val="000000" w:themeColor="text1"/>
          <w:sz w:val="30"/>
          <w:szCs w:val="32"/>
          <w:u w:val="single"/>
          <w14:textFill>
            <w14:solidFill>
              <w14:schemeClr w14:val="tx1"/>
            </w14:solidFill>
          </w14:textFill>
        </w:rPr>
        <w:t>发包人下达指令七日内，其中竣工资料应在竣工验收之前提供；</w:t>
      </w:r>
      <w:r>
        <w:rPr>
          <w:rFonts w:eastAsia="仿宋_GB2312"/>
          <w:color w:val="000000" w:themeColor="text1"/>
          <w:sz w:val="30"/>
          <w:szCs w:val="32"/>
          <w14:textFill>
            <w14:solidFill>
              <w14:schemeClr w14:val="tx1"/>
            </w14:solidFill>
          </w14:textFill>
        </w:rPr>
        <w:t>承包人提供的文件的数量为：</w:t>
      </w:r>
      <w:r>
        <w:rPr>
          <w:rFonts w:eastAsia="仿宋_GB2312"/>
          <w:color w:val="000000" w:themeColor="text1"/>
          <w:sz w:val="30"/>
          <w:szCs w:val="32"/>
          <w:u w:val="single"/>
          <w14:textFill>
            <w14:solidFill>
              <w14:schemeClr w14:val="tx1"/>
            </w14:solidFill>
          </w14:textFill>
        </w:rPr>
        <w:t>满足实际使用要求，其中竣工资料三套</w:t>
      </w:r>
      <w:r>
        <w:rPr>
          <w:rFonts w:eastAsia="仿宋_GB2312"/>
          <w:color w:val="000000" w:themeColor="text1"/>
          <w:sz w:val="30"/>
          <w:szCs w:val="32"/>
          <w14:textFill>
            <w14:solidFill>
              <w14:schemeClr w14:val="tx1"/>
            </w14:solidFill>
          </w14:textFill>
        </w:rPr>
        <w:t>；</w:t>
      </w:r>
    </w:p>
    <w:p w14:paraId="3B18556B">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承包人提供的文件的形式为：</w:t>
      </w:r>
      <w:r>
        <w:rPr>
          <w:rFonts w:eastAsia="仿宋_GB2312"/>
          <w:color w:val="000000" w:themeColor="text1"/>
          <w:sz w:val="30"/>
          <w:szCs w:val="32"/>
          <w:u w:val="single"/>
          <w14:textFill>
            <w14:solidFill>
              <w14:schemeClr w14:val="tx1"/>
            </w14:solidFill>
          </w14:textFill>
        </w:rPr>
        <w:t>书面及电子版，书面资料的格式应符合监理人、发包人、政府有关管理部门的要求</w:t>
      </w:r>
      <w:r>
        <w:rPr>
          <w:rFonts w:eastAsia="仿宋_GB2312"/>
          <w:color w:val="000000" w:themeColor="text1"/>
          <w:sz w:val="30"/>
          <w:szCs w:val="32"/>
          <w14:textFill>
            <w14:solidFill>
              <w14:schemeClr w14:val="tx1"/>
            </w14:solidFill>
          </w14:textFill>
        </w:rPr>
        <w:t>；</w:t>
      </w:r>
      <w:r>
        <w:rPr>
          <w:rFonts w:eastAsia="仿宋_GB2312"/>
          <w:color w:val="000000" w:themeColor="text1"/>
          <w:sz w:val="30"/>
          <w:szCs w:val="32"/>
          <w:u w:val="single"/>
          <w14:textFill>
            <w14:solidFill>
              <w14:schemeClr w14:val="tx1"/>
            </w14:solidFill>
          </w14:textFill>
        </w:rPr>
        <w:t>竣工图编制工作要贯穿施工全过程，严禁在工程竣工中集中补办。承包人应按施工进度同步编制形成竣工图，所有隐蔽工程必须留存影像资料，确保竣工图与工程实体保持同步、竣工图与现场实际保持一致。对于设计变更文件必须建立并提供台账，按变更单时间、专业、编号顺序系统整理，作为竣工图修改、签认的依据。</w:t>
      </w:r>
    </w:p>
    <w:p w14:paraId="2F91B6C0">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发包人审批承包人文件的期限：</w:t>
      </w:r>
      <w:r>
        <w:rPr>
          <w:rFonts w:eastAsia="仿宋_GB2312"/>
          <w:color w:val="000000" w:themeColor="text1"/>
          <w:sz w:val="30"/>
          <w:szCs w:val="32"/>
          <w:u w:val="single"/>
          <w14:textFill>
            <w14:solidFill>
              <w14:schemeClr w14:val="tx1"/>
            </w14:solidFill>
          </w14:textFill>
        </w:rPr>
        <w:t>发包人收到承包人文件7天内提出意见；若有异议承包人应予以修改并重新报送直至取得发包人认可。</w:t>
      </w:r>
    </w:p>
    <w:p w14:paraId="041CA52B">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1.6.5 现场图纸准备</w:t>
      </w:r>
    </w:p>
    <w:p w14:paraId="59F905B0">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关于现场图纸准备的约定：</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u w:val="single"/>
          <w14:textFill>
            <w14:solidFill>
              <w14:schemeClr w14:val="tx1"/>
            </w14:solidFill>
          </w14:textFill>
        </w:rPr>
        <w:sym w:font="Wingdings 2" w:char="0052"/>
      </w:r>
      <w:r>
        <w:rPr>
          <w:rFonts w:eastAsia="仿宋_GB2312"/>
          <w:color w:val="000000" w:themeColor="text1"/>
          <w:sz w:val="30"/>
          <w:szCs w:val="32"/>
          <w:u w:val="single"/>
          <w14:textFill>
            <w14:solidFill>
              <w14:schemeClr w14:val="tx1"/>
            </w14:solidFill>
          </w14:textFill>
        </w:rPr>
        <w:t>无；</w:t>
      </w:r>
      <w:r>
        <w:rPr>
          <w:rFonts w:eastAsia="仿宋_GB2312"/>
          <w:color w:val="000000" w:themeColor="text1"/>
          <w:sz w:val="30"/>
          <w:szCs w:val="32"/>
          <w:u w:val="single"/>
          <w14:textFill>
            <w14:solidFill>
              <w14:schemeClr w14:val="tx1"/>
            </w14:solidFill>
          </w14:textFill>
        </w:rPr>
        <w:sym w:font="Wingdings 2" w:char="00A3"/>
      </w:r>
      <w:r>
        <w:rPr>
          <w:rFonts w:eastAsia="仿宋_GB2312"/>
          <w:i/>
          <w:iCs/>
          <w:color w:val="000000" w:themeColor="text1"/>
          <w:sz w:val="30"/>
          <w:szCs w:val="32"/>
          <w:u w:val="single"/>
          <w14:textFill>
            <w14:solidFill>
              <w14:schemeClr w14:val="tx1"/>
            </w14:solidFill>
          </w14:textFill>
        </w:rPr>
        <w:t>现场保存一套盖图纸审查合格章的完整图纸，以供验收时使用</w:t>
      </w:r>
      <w:r>
        <w:rPr>
          <w:rFonts w:eastAsia="仿宋_GB2312"/>
          <w:color w:val="000000" w:themeColor="text1"/>
          <w:sz w:val="30"/>
          <w:szCs w:val="32"/>
          <w:u w:val="single"/>
          <w14:textFill>
            <w14:solidFill>
              <w14:schemeClr w14:val="tx1"/>
            </w14:solidFill>
          </w14:textFill>
        </w:rPr>
        <w:t>。</w:t>
      </w:r>
      <w:r>
        <w:rPr>
          <w:rFonts w:eastAsia="仿宋_GB2312"/>
          <w:color w:val="000000" w:themeColor="text1"/>
          <w:sz w:val="30"/>
          <w:szCs w:val="32"/>
          <w14:textFill>
            <w14:solidFill>
              <w14:schemeClr w14:val="tx1"/>
            </w14:solidFill>
          </w14:textFill>
        </w:rPr>
        <w:t>。</w:t>
      </w:r>
    </w:p>
    <w:p w14:paraId="415C0B14">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1.7 联络</w:t>
      </w:r>
    </w:p>
    <w:p w14:paraId="0321C574">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1.7.1发包人和承包人应当在</w:t>
      </w:r>
      <w:r>
        <w:rPr>
          <w:rFonts w:eastAsia="仿宋_GB2312"/>
          <w:color w:val="000000" w:themeColor="text1"/>
          <w:sz w:val="30"/>
          <w:szCs w:val="32"/>
          <w:u w:val="single"/>
          <w14:textFill>
            <w14:solidFill>
              <w14:schemeClr w14:val="tx1"/>
            </w14:solidFill>
          </w14:textFill>
        </w:rPr>
        <w:t>七</w:t>
      </w:r>
      <w:r>
        <w:rPr>
          <w:rFonts w:eastAsia="仿宋_GB2312"/>
          <w:color w:val="000000" w:themeColor="text1"/>
          <w:kern w:val="0"/>
          <w:sz w:val="30"/>
          <w:szCs w:val="32"/>
          <w14:textFill>
            <w14:solidFill>
              <w14:schemeClr w14:val="tx1"/>
            </w14:solidFill>
          </w14:textFill>
        </w:rPr>
        <w:t>天内将与合同有关的通知、批准、证明、证书、指示、指令、要求、请求、同意、意见、确定和决定等书面函件送达对方当事人。</w:t>
      </w:r>
    </w:p>
    <w:p w14:paraId="41A095AF">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1.7.2 发包人接收文件的地点：</w:t>
      </w:r>
      <w:r>
        <w:rPr>
          <w:rFonts w:eastAsia="仿宋_GB2312"/>
          <w:color w:val="000000" w:themeColor="text1"/>
          <w:sz w:val="30"/>
          <w:szCs w:val="32"/>
          <w:u w:val="single"/>
          <w14:textFill>
            <w14:solidFill>
              <w14:schemeClr w14:val="tx1"/>
            </w14:solidFill>
          </w14:textFill>
        </w:rPr>
        <w:t>发包人项目现场办公室</w:t>
      </w:r>
      <w:r>
        <w:rPr>
          <w:rFonts w:eastAsia="仿宋_GB2312"/>
          <w:color w:val="000000" w:themeColor="text1"/>
          <w:kern w:val="0"/>
          <w:sz w:val="30"/>
          <w:szCs w:val="32"/>
          <w14:textFill>
            <w14:solidFill>
              <w14:schemeClr w14:val="tx1"/>
            </w14:solidFill>
          </w14:textFill>
        </w:rPr>
        <w:t>；</w:t>
      </w:r>
    </w:p>
    <w:p w14:paraId="489B2A4D">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发包人指定的接收人为：</w:t>
      </w:r>
      <w:r>
        <w:rPr>
          <w:rFonts w:eastAsia="仿宋_GB2312"/>
          <w:i/>
          <w:iCs/>
          <w:color w:val="000000" w:themeColor="text1"/>
          <w:sz w:val="30"/>
          <w:szCs w:val="32"/>
          <w:u w:val="single"/>
          <w14:textFill>
            <w14:solidFill>
              <w14:schemeClr w14:val="tx1"/>
            </w14:solidFill>
          </w14:textFill>
        </w:rPr>
        <w:t>合同中的工程师（发包人）姓名</w:t>
      </w:r>
      <w:r>
        <w:rPr>
          <w:rFonts w:eastAsia="仿宋_GB2312"/>
          <w:color w:val="000000" w:themeColor="text1"/>
          <w:kern w:val="0"/>
          <w:sz w:val="30"/>
          <w:szCs w:val="32"/>
          <w14:textFill>
            <w14:solidFill>
              <w14:schemeClr w14:val="tx1"/>
            </w14:solidFill>
          </w14:textFill>
        </w:rPr>
        <w:t>。</w:t>
      </w:r>
    </w:p>
    <w:p w14:paraId="03B2A0A5">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承包人接收文件的地点：</w:t>
      </w:r>
      <w:r>
        <w:rPr>
          <w:rFonts w:eastAsia="仿宋_GB2312"/>
          <w:color w:val="000000" w:themeColor="text1"/>
          <w:sz w:val="30"/>
          <w:szCs w:val="32"/>
          <w:u w:val="single"/>
          <w14:textFill>
            <w14:solidFill>
              <w14:schemeClr w14:val="tx1"/>
            </w14:solidFill>
          </w14:textFill>
        </w:rPr>
        <w:t>承包人项目现场办公室</w:t>
      </w:r>
      <w:r>
        <w:rPr>
          <w:rFonts w:eastAsia="仿宋_GB2312"/>
          <w:color w:val="000000" w:themeColor="text1"/>
          <w:kern w:val="0"/>
          <w:sz w:val="30"/>
          <w:szCs w:val="32"/>
          <w14:textFill>
            <w14:solidFill>
              <w14:schemeClr w14:val="tx1"/>
            </w14:solidFill>
          </w14:textFill>
        </w:rPr>
        <w:t>；</w:t>
      </w:r>
    </w:p>
    <w:p w14:paraId="76C99728">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承包人指定的接收人为：</w:t>
      </w:r>
      <w:r>
        <w:rPr>
          <w:rFonts w:eastAsia="仿宋_GB2312"/>
          <w:i/>
          <w:iCs/>
          <w:color w:val="000000" w:themeColor="text1"/>
          <w:sz w:val="30"/>
          <w:szCs w:val="32"/>
          <w:u w:val="single"/>
          <w14:textFill>
            <w14:solidFill>
              <w14:schemeClr w14:val="tx1"/>
            </w14:solidFill>
          </w14:textFill>
        </w:rPr>
        <w:t>项目经理姓名</w:t>
      </w:r>
      <w:r>
        <w:rPr>
          <w:rFonts w:eastAsia="仿宋_GB2312"/>
          <w:color w:val="000000" w:themeColor="text1"/>
          <w:kern w:val="0"/>
          <w:sz w:val="30"/>
          <w:szCs w:val="32"/>
          <w14:textFill>
            <w14:solidFill>
              <w14:schemeClr w14:val="tx1"/>
            </w14:solidFill>
          </w14:textFill>
        </w:rPr>
        <w:t>。</w:t>
      </w:r>
    </w:p>
    <w:p w14:paraId="2EB8C2BB">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监理人接收文件的地点：</w:t>
      </w:r>
      <w:r>
        <w:rPr>
          <w:rFonts w:eastAsia="仿宋_GB2312"/>
          <w:color w:val="000000" w:themeColor="text1"/>
          <w:sz w:val="30"/>
          <w:szCs w:val="32"/>
          <w:u w:val="single"/>
          <w14:textFill>
            <w14:solidFill>
              <w14:schemeClr w14:val="tx1"/>
            </w14:solidFill>
          </w14:textFill>
        </w:rPr>
        <w:t>监理人项目现场办公室</w:t>
      </w:r>
      <w:r>
        <w:rPr>
          <w:rFonts w:eastAsia="仿宋_GB2312"/>
          <w:color w:val="000000" w:themeColor="text1"/>
          <w:kern w:val="0"/>
          <w:sz w:val="30"/>
          <w:szCs w:val="32"/>
          <w14:textFill>
            <w14:solidFill>
              <w14:schemeClr w14:val="tx1"/>
            </w14:solidFill>
          </w14:textFill>
        </w:rPr>
        <w:t>；</w:t>
      </w:r>
    </w:p>
    <w:p w14:paraId="01135AAD">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监理人指定的接收人为：</w:t>
      </w:r>
      <w:r>
        <w:rPr>
          <w:rFonts w:eastAsia="仿宋_GB2312"/>
          <w:i/>
          <w:iCs/>
          <w:color w:val="000000" w:themeColor="text1"/>
          <w:sz w:val="30"/>
          <w:szCs w:val="32"/>
          <w:u w:val="single"/>
          <w14:textFill>
            <w14:solidFill>
              <w14:schemeClr w14:val="tx1"/>
            </w14:solidFill>
          </w14:textFill>
        </w:rPr>
        <w:t>总监理工程师姓名</w:t>
      </w:r>
      <w:r>
        <w:rPr>
          <w:rFonts w:eastAsia="仿宋_GB2312"/>
          <w:color w:val="000000" w:themeColor="text1"/>
          <w:kern w:val="0"/>
          <w:sz w:val="30"/>
          <w:szCs w:val="32"/>
          <w14:textFill>
            <w14:solidFill>
              <w14:schemeClr w14:val="tx1"/>
            </w14:solidFill>
          </w14:textFill>
        </w:rPr>
        <w:t>。</w:t>
      </w:r>
    </w:p>
    <w:p w14:paraId="5E8A510C">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1.10 交通运输</w:t>
      </w:r>
    </w:p>
    <w:p w14:paraId="7B542E05">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w:t>
      </w:r>
      <w:bookmarkStart w:id="160" w:name="_Toc303539100"/>
      <w:bookmarkStart w:id="161" w:name="_Toc312677986"/>
      <w:bookmarkStart w:id="162" w:name="_Toc304295521"/>
      <w:bookmarkStart w:id="163" w:name="_Toc300934943"/>
      <w:bookmarkStart w:id="164" w:name="_Toc318581155"/>
      <w:r>
        <w:rPr>
          <w:rFonts w:eastAsia="仿宋_GB2312"/>
          <w:color w:val="000000" w:themeColor="text1"/>
          <w:sz w:val="30"/>
          <w:szCs w:val="32"/>
          <w14:textFill>
            <w14:solidFill>
              <w14:schemeClr w14:val="tx1"/>
            </w14:solidFill>
          </w14:textFill>
        </w:rPr>
        <w:t>.10.1 出入现场的权利</w:t>
      </w:r>
    </w:p>
    <w:p w14:paraId="67767A5D">
      <w:pPr>
        <w:spacing w:line="360" w:lineRule="auto"/>
        <w:ind w:left="596" w:leftChars="284"/>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关于出入现场的权利的约定：</w:t>
      </w:r>
      <w:r>
        <w:rPr>
          <w:rFonts w:eastAsia="仿宋_GB2312"/>
          <w:color w:val="000000" w:themeColor="text1"/>
          <w:sz w:val="30"/>
          <w:szCs w:val="32"/>
          <w:u w:val="single"/>
          <w14:textFill>
            <w14:solidFill>
              <w14:schemeClr w14:val="tx1"/>
            </w14:solidFill>
          </w14:textFill>
        </w:rPr>
        <w:t>无</w:t>
      </w:r>
      <w:r>
        <w:rPr>
          <w:rFonts w:eastAsia="仿宋_GB2312"/>
          <w:color w:val="000000" w:themeColor="text1"/>
          <w:sz w:val="30"/>
          <w:szCs w:val="32"/>
          <w14:textFill>
            <w14:solidFill>
              <w14:schemeClr w14:val="tx1"/>
            </w14:solidFill>
          </w14:textFill>
        </w:rPr>
        <w:t>。</w:t>
      </w:r>
    </w:p>
    <w:bookmarkEnd w:id="160"/>
    <w:bookmarkEnd w:id="161"/>
    <w:bookmarkEnd w:id="162"/>
    <w:bookmarkEnd w:id="163"/>
    <w:bookmarkEnd w:id="164"/>
    <w:p w14:paraId="47412810">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w:t>
      </w:r>
      <w:bookmarkStart w:id="165" w:name="_Toc303539101"/>
      <w:bookmarkStart w:id="166" w:name="_Toc312677987"/>
      <w:bookmarkStart w:id="167" w:name="_Toc304295522"/>
      <w:bookmarkStart w:id="168" w:name="_Toc300934944"/>
      <w:bookmarkStart w:id="169" w:name="_Toc318581156"/>
      <w:r>
        <w:rPr>
          <w:rFonts w:eastAsia="仿宋_GB2312"/>
          <w:color w:val="000000" w:themeColor="text1"/>
          <w:sz w:val="30"/>
          <w:szCs w:val="32"/>
          <w14:textFill>
            <w14:solidFill>
              <w14:schemeClr w14:val="tx1"/>
            </w14:solidFill>
          </w14:textFill>
        </w:rPr>
        <w:t>.10.3 场内交通</w:t>
      </w:r>
    </w:p>
    <w:p w14:paraId="29AAC555">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关于场外交通和场内交通的边界的约定：</w:t>
      </w:r>
    </w:p>
    <w:p w14:paraId="1761075A">
      <w:pPr>
        <w:spacing w:line="360" w:lineRule="auto"/>
        <w:ind w:firstLine="600" w:firstLineChars="200"/>
        <w:jc w:val="left"/>
        <w:rPr>
          <w:rFonts w:eastAsia="仿宋_GB2312"/>
          <w:i/>
          <w:iCs/>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sym w:font="Wingdings 2" w:char="00A3"/>
      </w:r>
      <w:r>
        <w:rPr>
          <w:rFonts w:eastAsia="仿宋_GB2312"/>
          <w:color w:val="000000" w:themeColor="text1"/>
          <w:kern w:val="0"/>
          <w:sz w:val="30"/>
          <w:szCs w:val="32"/>
          <w:u w:val="single"/>
          <w14:textFill>
            <w14:solidFill>
              <w14:schemeClr w14:val="tx1"/>
            </w14:solidFill>
          </w14:textFill>
        </w:rPr>
        <w:t>新建厂区项目，以项目用地红线为界，红线以内为场内交通，红线以外为场外交通。</w:t>
      </w:r>
    </w:p>
    <w:p w14:paraId="0063C763">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sym w:font="Wingdings 2" w:char="0052"/>
      </w:r>
      <w:r>
        <w:rPr>
          <w:rFonts w:eastAsia="仿宋_GB2312"/>
          <w:color w:val="000000" w:themeColor="text1"/>
          <w:kern w:val="0"/>
          <w:sz w:val="30"/>
          <w:szCs w:val="32"/>
          <w:u w:val="single"/>
          <w14:textFill>
            <w14:solidFill>
              <w14:schemeClr w14:val="tx1"/>
            </w14:solidFill>
          </w14:textFill>
        </w:rPr>
        <w:t>已有厂区内项目，以监理人/发包人审核通过的施工组织设计中的施工总平面布置图为依据，以项目施工场地与非施工区域的区域隔离为界，隔离分界以内为场内交通，分界以外为场外交通</w:t>
      </w:r>
      <w:r>
        <w:rPr>
          <w:rFonts w:eastAsia="仿宋_GB2312"/>
          <w:color w:val="000000" w:themeColor="text1"/>
          <w:sz w:val="30"/>
          <w:szCs w:val="32"/>
          <w14:textFill>
            <w14:solidFill>
              <w14:schemeClr w14:val="tx1"/>
            </w14:solidFill>
          </w14:textFill>
        </w:rPr>
        <w:t>。</w:t>
      </w:r>
    </w:p>
    <w:p w14:paraId="0EE4E394">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关于发包人向承包人免费提供满足工程施工需要的场内道路和交通设施的约定：</w:t>
      </w:r>
      <w:r>
        <w:rPr>
          <w:rFonts w:eastAsia="仿宋_GB2312"/>
          <w:color w:val="000000" w:themeColor="text1"/>
          <w:sz w:val="30"/>
          <w:szCs w:val="32"/>
          <w:u w:val="single"/>
          <w14:textFill>
            <w14:solidFill>
              <w14:schemeClr w14:val="tx1"/>
            </w14:solidFill>
          </w14:textFill>
        </w:rPr>
        <w:t>场内交通设施及道路由承包人负责修建、维修、养护，其费用已在签约合同价中</w:t>
      </w:r>
      <w:r>
        <w:rPr>
          <w:rFonts w:eastAsia="仿宋_GB2312"/>
          <w:color w:val="000000" w:themeColor="text1"/>
          <w:sz w:val="30"/>
          <w:szCs w:val="32"/>
          <w14:textFill>
            <w14:solidFill>
              <w14:schemeClr w14:val="tx1"/>
            </w14:solidFill>
          </w14:textFill>
        </w:rPr>
        <w:t>。</w:t>
      </w:r>
      <w:bookmarkEnd w:id="165"/>
      <w:bookmarkEnd w:id="166"/>
      <w:bookmarkEnd w:id="167"/>
      <w:bookmarkEnd w:id="168"/>
      <w:bookmarkEnd w:id="169"/>
      <w:bookmarkStart w:id="170" w:name="_Toc318581157"/>
    </w:p>
    <w:p w14:paraId="7DFB6A9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1.10.4超大件和超重件的运输</w:t>
      </w:r>
    </w:p>
    <w:p w14:paraId="313562E1">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运输超大件或超重件所需的道路和桥梁临时加固改造费用和其他有关费用由</w:t>
      </w:r>
      <w:r>
        <w:rPr>
          <w:rFonts w:eastAsia="仿宋_GB2312"/>
          <w:color w:val="000000" w:themeColor="text1"/>
          <w:sz w:val="30"/>
          <w:szCs w:val="32"/>
          <w:u w:val="single"/>
          <w14:textFill>
            <w14:solidFill>
              <w14:schemeClr w14:val="tx1"/>
            </w14:solidFill>
          </w14:textFill>
        </w:rPr>
        <w:t>承包人</w:t>
      </w:r>
      <w:r>
        <w:rPr>
          <w:rFonts w:eastAsia="仿宋_GB2312"/>
          <w:color w:val="000000" w:themeColor="text1"/>
          <w:sz w:val="30"/>
          <w:szCs w:val="32"/>
          <w14:textFill>
            <w14:solidFill>
              <w14:schemeClr w14:val="tx1"/>
            </w14:solidFill>
          </w14:textFill>
        </w:rPr>
        <w:t>承担。</w:t>
      </w:r>
    </w:p>
    <w:bookmarkEnd w:id="170"/>
    <w:p w14:paraId="681F21FC">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1.11 知识产权</w:t>
      </w:r>
    </w:p>
    <w:p w14:paraId="0D67AEFF">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1.11.1关于发包人提供给承包人的图纸、发包人为实施工程自行编制或委托编制的技术规范以及反映发包人关于合同要求或其他类似性质的文件的著作权的归属：</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5DB11612">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关于发包人提供的上述文件的使用限制的要求：</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6DA89B89">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1.11.2 关于承包人为实施工程所编制文件的著作权的归属：</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7863BF4B">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关于承包人提供的上述文件的使用限制的要求：</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25AE8913">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1.11.4 承包人在施工过程中所采用的专利、专有技术、技术秘密的使用费的承担方式：</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kern w:val="0"/>
          <w:sz w:val="30"/>
          <w:szCs w:val="32"/>
          <w14:textFill>
            <w14:solidFill>
              <w14:schemeClr w14:val="tx1"/>
            </w14:solidFill>
          </w14:textFill>
        </w:rPr>
        <w:t>。</w:t>
      </w:r>
    </w:p>
    <w:p w14:paraId="33CD55E0">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1.13工程量清单错误的修正</w:t>
      </w:r>
    </w:p>
    <w:p w14:paraId="67644026">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出现工程量清单错误时，是否调整合同价格：</w:t>
      </w:r>
    </w:p>
    <w:p w14:paraId="0BFDE07A">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00A3"/>
      </w:r>
      <w:r>
        <w:rPr>
          <w:rFonts w:eastAsia="仿宋_GB2312"/>
          <w:color w:val="000000" w:themeColor="text1"/>
          <w:sz w:val="30"/>
          <w:szCs w:val="32"/>
          <w:u w:val="single"/>
          <w14:textFill>
            <w14:solidFill>
              <w14:schemeClr w14:val="tx1"/>
            </w14:solidFill>
          </w14:textFill>
        </w:rPr>
        <w:t>本合同为总价合同，合同价格（总价）不因</w:t>
      </w:r>
      <w:r>
        <w:rPr>
          <w:rFonts w:eastAsia="仿宋_GB2312"/>
          <w:color w:val="000000" w:themeColor="text1"/>
          <w:sz w:val="30"/>
          <w:szCs w:val="32"/>
          <w14:textFill>
            <w14:solidFill>
              <w14:schemeClr w14:val="tx1"/>
            </w14:solidFill>
          </w14:textFill>
        </w:rPr>
        <w:t>工程量清单错误</w:t>
      </w:r>
      <w:r>
        <w:rPr>
          <w:rFonts w:eastAsia="仿宋_GB2312"/>
          <w:color w:val="000000" w:themeColor="text1"/>
          <w:sz w:val="30"/>
          <w:szCs w:val="32"/>
          <w:u w:val="single"/>
          <w14:textFill>
            <w14:solidFill>
              <w14:schemeClr w14:val="tx1"/>
            </w14:solidFill>
          </w14:textFill>
        </w:rPr>
        <w:t>而调整；</w:t>
      </w:r>
    </w:p>
    <w:p w14:paraId="259966AA">
      <w:pPr>
        <w:spacing w:line="360" w:lineRule="auto"/>
        <w:ind w:firstLine="600" w:firstLineChars="200"/>
        <w:rPr>
          <w:rFonts w:eastAsia="仿宋_GB2312"/>
          <w:i/>
          <w:iCs/>
          <w:color w:val="000000" w:themeColor="text1"/>
          <w:sz w:val="30"/>
          <w:szCs w:val="32"/>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0052"/>
      </w:r>
      <w:r>
        <w:rPr>
          <w:rFonts w:eastAsia="仿宋_GB2312"/>
          <w:color w:val="000000" w:themeColor="text1"/>
          <w:sz w:val="30"/>
          <w:szCs w:val="32"/>
          <w:u w:val="single"/>
          <w14:textFill>
            <w14:solidFill>
              <w14:schemeClr w14:val="tx1"/>
            </w14:solidFill>
          </w14:textFill>
        </w:rPr>
        <w:t xml:space="preserve">本合同为单价合同，综合单价不因工程量清单的变化而调整，工程量据实计量，合同价格的调整以最终结算为准 </w:t>
      </w:r>
      <w:r>
        <w:rPr>
          <w:rFonts w:eastAsia="仿宋_GB2312"/>
          <w:i/>
          <w:iCs/>
          <w:color w:val="000000" w:themeColor="text1"/>
          <w:kern w:val="0"/>
          <w:sz w:val="30"/>
          <w:szCs w:val="32"/>
          <w14:textFill>
            <w14:solidFill>
              <w14:schemeClr w14:val="tx1"/>
            </w14:solidFill>
          </w14:textFill>
        </w:rPr>
        <w:t>。</w:t>
      </w:r>
    </w:p>
    <w:p w14:paraId="09044008">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允许调整合同价格的工程量偏差范围：</w:t>
      </w:r>
      <w:r>
        <w:rPr>
          <w:rFonts w:eastAsia="仿宋_GB2312"/>
          <w:color w:val="000000" w:themeColor="text1"/>
          <w:sz w:val="30"/>
          <w:szCs w:val="32"/>
          <w:u w:val="single"/>
          <w14:textFill>
            <w14:solidFill>
              <w14:schemeClr w14:val="tx1"/>
            </w14:solidFill>
          </w14:textFill>
        </w:rPr>
        <w:t>/</w:t>
      </w:r>
      <w:r>
        <w:rPr>
          <w:rFonts w:eastAsia="仿宋_GB2312"/>
          <w:color w:val="000000" w:themeColor="text1"/>
          <w:kern w:val="0"/>
          <w:sz w:val="30"/>
          <w:szCs w:val="32"/>
          <w14:textFill>
            <w14:solidFill>
              <w14:schemeClr w14:val="tx1"/>
            </w14:solidFill>
          </w14:textFill>
        </w:rPr>
        <w:t>。</w:t>
      </w:r>
    </w:p>
    <w:p w14:paraId="03193632">
      <w:pPr>
        <w:pStyle w:val="8"/>
        <w:rPr>
          <w:rFonts w:ascii="Times New Roman" w:hAnsi="Times New Roman" w:cs="Times New Roman"/>
          <w:b w:val="0"/>
        </w:rPr>
      </w:pPr>
      <w:bookmarkStart w:id="171" w:name="_Toc351203634"/>
      <w:r>
        <w:rPr>
          <w:rFonts w:ascii="Times New Roman" w:hAnsi="Times New Roman" w:cs="Times New Roman"/>
        </w:rPr>
        <w:t>2</w:t>
      </w:r>
      <w:bookmarkStart w:id="172" w:name="_Toc296503157"/>
      <w:bookmarkStart w:id="173" w:name="_Toc296944496"/>
      <w:bookmarkStart w:id="174" w:name="_Toc292559362"/>
      <w:bookmarkStart w:id="175" w:name="_Toc297120457"/>
      <w:bookmarkStart w:id="176" w:name="_Toc292559867"/>
      <w:bookmarkStart w:id="177" w:name="_Toc296347156"/>
      <w:bookmarkStart w:id="178" w:name="_Toc296346658"/>
      <w:bookmarkStart w:id="179" w:name="_Toc296890985"/>
      <w:bookmarkStart w:id="180" w:name="_Toc296891197"/>
      <w:bookmarkStart w:id="181" w:name="_Toc297048343"/>
      <w:r>
        <w:rPr>
          <w:rFonts w:ascii="Times New Roman" w:hAnsi="Times New Roman" w:cs="Times New Roman"/>
        </w:rPr>
        <w:t>. 发包人</w:t>
      </w:r>
      <w:bookmarkEnd w:id="171"/>
    </w:p>
    <w:bookmarkEnd w:id="172"/>
    <w:bookmarkEnd w:id="173"/>
    <w:bookmarkEnd w:id="174"/>
    <w:bookmarkEnd w:id="175"/>
    <w:bookmarkEnd w:id="176"/>
    <w:bookmarkEnd w:id="177"/>
    <w:bookmarkEnd w:id="178"/>
    <w:bookmarkEnd w:id="179"/>
    <w:bookmarkEnd w:id="180"/>
    <w:bookmarkEnd w:id="181"/>
    <w:p w14:paraId="7940D3FC">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2.2 发包人代表</w:t>
      </w:r>
    </w:p>
    <w:p w14:paraId="471150C0">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发包人代表：</w:t>
      </w:r>
      <w:r>
        <w:rPr>
          <w:i/>
          <w:color w:val="000000" w:themeColor="text1"/>
          <w:sz w:val="30"/>
          <w14:textFill>
            <w14:solidFill>
              <w14:schemeClr w14:val="tx1"/>
            </w14:solidFill>
          </w14:textFill>
        </w:rPr>
        <w:t>（据实填写）</w:t>
      </w:r>
    </w:p>
    <w:p w14:paraId="7E53BD5F">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姓    名：</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6D94EDBB">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身份证号：</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05710178">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职    务：</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5B5206AC">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联系电话：</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74D6E985">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电子信箱：</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73C988E0">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通信地址：</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1594F96E">
      <w:pPr>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发包人对发包人代表的授权范围如下：</w:t>
      </w:r>
      <w:r>
        <w:rPr>
          <w:rFonts w:eastAsia="仿宋_GB2312"/>
          <w:color w:val="000000" w:themeColor="text1"/>
          <w:sz w:val="30"/>
          <w:szCs w:val="32"/>
          <w:u w:val="single"/>
          <w14:textFill>
            <w14:solidFill>
              <w14:schemeClr w14:val="tx1"/>
            </w14:solidFill>
          </w14:textFill>
        </w:rPr>
        <w:t>负责处理合同履行过程中与发包人有关的事宜：对本工程质量、进度、安全文明施工及材料和设备进场进行监督管理；对涉及工期调整、设计变更和现场工程量签证、工程形象进度报告及工程款审核、竣工结算报告等影响工程造价的相关事项作出处理；办理工程移交、资料移交及工程验收手续；组织竣工结算报审；协调施工现场及外部有关事宜；质量保修期内的组织协调安排。</w:t>
      </w:r>
    </w:p>
    <w:p w14:paraId="0F31B4C6">
      <w:pPr>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凡涉及工期调整、工程暂停、工程复工、变更洽商、工作联系单、现场签证、工程计量、价格调整、价格确认、工程验收等其他可能影响发包人利益的内容必须发包人授权代表签字并加盖发包人项目章后方可有效。</w:t>
      </w:r>
      <w:r>
        <w:rPr>
          <w:rFonts w:hint="eastAsia" w:eastAsia="仿宋_GB2312"/>
          <w:color w:val="000000" w:themeColor="text1"/>
          <w:sz w:val="30"/>
          <w:szCs w:val="32"/>
          <w:u w:val="single"/>
          <w14:textFill>
            <w14:solidFill>
              <w14:schemeClr w14:val="tx1"/>
            </w14:solidFill>
          </w14:textFill>
        </w:rPr>
        <w:t>若发包人授权代表签字并加盖发包人项目章后的资料与合同相关内容约定不一致时，以合同约定为准</w:t>
      </w:r>
      <w:r>
        <w:rPr>
          <w:rFonts w:hint="eastAsia" w:eastAsia="仿宋_GB2312"/>
          <w:color w:val="000000" w:themeColor="text1"/>
          <w:sz w:val="30"/>
          <w:szCs w:val="32"/>
          <w:u w:val="single"/>
          <w:lang w:eastAsia="zh-CN"/>
          <w14:textFill>
            <w14:solidFill>
              <w14:schemeClr w14:val="tx1"/>
            </w14:solidFill>
          </w14:textFill>
        </w:rPr>
        <w:t>。</w:t>
      </w:r>
    </w:p>
    <w:p w14:paraId="00F0D22C">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2.4 施工现场、施工条件和基础资料的提供</w:t>
      </w:r>
    </w:p>
    <w:p w14:paraId="31BB84FA">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2.4.1 提供施工现场</w:t>
      </w:r>
    </w:p>
    <w:p w14:paraId="01E93DFF">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关于发包人移交施工现场的期限要求：</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6BFC101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u w:val="single"/>
          <w14:textFill>
            <w14:solidFill>
              <w14:schemeClr w14:val="tx1"/>
            </w14:solidFill>
          </w14:textFill>
        </w:rPr>
        <w:t>发包人可以按单位工程或工程标段分阶段提供施工现场。</w:t>
      </w:r>
    </w:p>
    <w:p w14:paraId="4001A673">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2.4.2 提供施工条件</w:t>
      </w:r>
    </w:p>
    <w:p w14:paraId="1A5B4E31">
      <w:pPr>
        <w:spacing w:line="520" w:lineRule="exact"/>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关于发包人应负责提供施工所需要的条件，包括：</w:t>
      </w:r>
      <w:r>
        <w:rPr>
          <w:rFonts w:eastAsia="仿宋_GB2312"/>
          <w:color w:val="000000" w:themeColor="text1"/>
          <w:sz w:val="30"/>
          <w:szCs w:val="32"/>
          <w:u w:val="single"/>
          <w14:textFill>
            <w14:solidFill>
              <w14:schemeClr w14:val="tx1"/>
            </w14:solidFill>
          </w14:textFill>
        </w:rPr>
        <w:t>执行《通用合同条款》，且发包人向承包人移交水准点与坐标控制点</w:t>
      </w:r>
      <w:r>
        <w:rPr>
          <w:rFonts w:eastAsia="仿宋_GB2312"/>
          <w:color w:val="000000" w:themeColor="text1"/>
          <w:sz w:val="32"/>
          <w:szCs w:val="32"/>
          <w:u w:val="single"/>
          <w14:textFill>
            <w14:solidFill>
              <w14:schemeClr w14:val="tx1"/>
            </w14:solidFill>
          </w14:textFill>
        </w:rPr>
        <w:t>，</w:t>
      </w:r>
      <w:r>
        <w:rPr>
          <w:rFonts w:eastAsia="仿宋_GB2312"/>
          <w:color w:val="000000" w:themeColor="text1"/>
          <w:sz w:val="30"/>
          <w:szCs w:val="32"/>
          <w:u w:val="single"/>
          <w14:textFill>
            <w14:solidFill>
              <w14:schemeClr w14:val="tx1"/>
            </w14:solidFill>
          </w14:textFill>
        </w:rPr>
        <w:t>以书面形式交给承包人，进行现场交验。</w:t>
      </w:r>
    </w:p>
    <w:p w14:paraId="3BD35B0F">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2.5 资金来源证明及支付担保</w:t>
      </w:r>
    </w:p>
    <w:p w14:paraId="36591D33">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发包人提供资金来源证明的期限要求：</w:t>
      </w:r>
      <w:r>
        <w:rPr>
          <w:rFonts w:eastAsia="仿宋_GB2312"/>
          <w:color w:val="000000" w:themeColor="text1"/>
          <w:sz w:val="30"/>
          <w:szCs w:val="32"/>
          <w:u w:val="single"/>
          <w14:textFill>
            <w14:solidFill>
              <w14:schemeClr w14:val="tx1"/>
            </w14:solidFill>
          </w14:textFill>
        </w:rPr>
        <w:t>无</w:t>
      </w:r>
      <w:r>
        <w:rPr>
          <w:rFonts w:eastAsia="仿宋_GB2312"/>
          <w:color w:val="000000" w:themeColor="text1"/>
          <w:sz w:val="30"/>
          <w:szCs w:val="32"/>
          <w14:textFill>
            <w14:solidFill>
              <w14:schemeClr w14:val="tx1"/>
            </w14:solidFill>
          </w14:textFill>
        </w:rPr>
        <w:t>。</w:t>
      </w:r>
    </w:p>
    <w:p w14:paraId="13C203B3">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发包人是否提供支付担保：</w:t>
      </w:r>
      <w:r>
        <w:rPr>
          <w:rFonts w:eastAsia="仿宋_GB2312"/>
          <w:color w:val="000000" w:themeColor="text1"/>
          <w:sz w:val="30"/>
          <w:szCs w:val="32"/>
          <w:u w:val="single"/>
          <w14:textFill>
            <w14:solidFill>
              <w14:schemeClr w14:val="tx1"/>
            </w14:solidFill>
          </w14:textFill>
        </w:rPr>
        <w:t>否</w:t>
      </w:r>
      <w:r>
        <w:rPr>
          <w:rFonts w:eastAsia="仿宋_GB2312"/>
          <w:color w:val="000000" w:themeColor="text1"/>
          <w:sz w:val="30"/>
          <w:szCs w:val="32"/>
          <w14:textFill>
            <w14:solidFill>
              <w14:schemeClr w14:val="tx1"/>
            </w14:solidFill>
          </w14:textFill>
        </w:rPr>
        <w:t>。</w:t>
      </w:r>
    </w:p>
    <w:p w14:paraId="15149929">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发包人提供支付担保的形式：</w:t>
      </w:r>
      <w:r>
        <w:rPr>
          <w:rFonts w:eastAsia="仿宋_GB2312"/>
          <w:color w:val="000000" w:themeColor="text1"/>
          <w:sz w:val="30"/>
          <w:szCs w:val="32"/>
          <w:u w:val="single"/>
          <w14:textFill>
            <w14:solidFill>
              <w14:schemeClr w14:val="tx1"/>
            </w14:solidFill>
          </w14:textFill>
        </w:rPr>
        <w:t>无</w:t>
      </w:r>
      <w:r>
        <w:rPr>
          <w:rFonts w:eastAsia="仿宋_GB2312"/>
          <w:color w:val="000000" w:themeColor="text1"/>
          <w:sz w:val="30"/>
          <w:szCs w:val="32"/>
          <w14:textFill>
            <w14:solidFill>
              <w14:schemeClr w14:val="tx1"/>
            </w14:solidFill>
          </w14:textFill>
        </w:rPr>
        <w:t>。</w:t>
      </w:r>
    </w:p>
    <w:p w14:paraId="52447709">
      <w:pPr>
        <w:pStyle w:val="8"/>
        <w:rPr>
          <w:rFonts w:ascii="Times New Roman" w:hAnsi="Times New Roman" w:cs="Times New Roman"/>
          <w:b w:val="0"/>
        </w:rPr>
      </w:pPr>
      <w:bookmarkStart w:id="182" w:name="_Toc351203635"/>
      <w:r>
        <w:rPr>
          <w:rFonts w:ascii="Times New Roman" w:hAnsi="Times New Roman" w:cs="Times New Roman"/>
        </w:rPr>
        <w:t>3</w:t>
      </w:r>
      <w:bookmarkStart w:id="183" w:name="_Toc296944497"/>
      <w:bookmarkStart w:id="184" w:name="_Toc296346659"/>
      <w:bookmarkStart w:id="185" w:name="_Toc296503158"/>
      <w:bookmarkStart w:id="186" w:name="_Toc297048344"/>
      <w:bookmarkStart w:id="187" w:name="_Toc296890986"/>
      <w:bookmarkStart w:id="188" w:name="_Toc292559868"/>
      <w:bookmarkStart w:id="189" w:name="_Toc296891198"/>
      <w:bookmarkStart w:id="190" w:name="_Toc292559363"/>
      <w:bookmarkStart w:id="191" w:name="_Toc297120458"/>
      <w:bookmarkStart w:id="192" w:name="_Toc296347157"/>
      <w:r>
        <w:rPr>
          <w:rFonts w:ascii="Times New Roman" w:hAnsi="Times New Roman" w:cs="Times New Roman"/>
        </w:rPr>
        <w:t>. 承包人</w:t>
      </w:r>
      <w:bookmarkEnd w:id="182"/>
    </w:p>
    <w:bookmarkEnd w:id="183"/>
    <w:bookmarkEnd w:id="184"/>
    <w:bookmarkEnd w:id="185"/>
    <w:bookmarkEnd w:id="186"/>
    <w:bookmarkEnd w:id="187"/>
    <w:bookmarkEnd w:id="188"/>
    <w:bookmarkEnd w:id="189"/>
    <w:bookmarkEnd w:id="190"/>
    <w:bookmarkEnd w:id="191"/>
    <w:bookmarkEnd w:id="192"/>
    <w:p w14:paraId="27977681">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3.1 承包人的一般义务</w:t>
      </w:r>
    </w:p>
    <w:p w14:paraId="78A9EB5B">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（9）</w:t>
      </w:r>
      <w:r>
        <w:rPr>
          <w:rFonts w:eastAsia="仿宋_GB2312"/>
          <w:color w:val="000000" w:themeColor="text1"/>
          <w:sz w:val="30"/>
          <w:szCs w:val="32"/>
          <w14:textFill>
            <w14:solidFill>
              <w14:schemeClr w14:val="tx1"/>
            </w14:solidFill>
          </w14:textFill>
        </w:rPr>
        <w:t>承包人提交的竣工资料的内容：</w:t>
      </w:r>
    </w:p>
    <w:p w14:paraId="29B7009D">
      <w:pPr>
        <w:spacing w:line="360" w:lineRule="auto"/>
        <w:ind w:firstLine="600" w:firstLineChars="200"/>
        <w:jc w:val="left"/>
        <w:rPr>
          <w:color w:val="000000" w:themeColor="text1"/>
          <w:sz w:val="30"/>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0052"/>
      </w:r>
      <w:r>
        <w:rPr>
          <w:rFonts w:eastAsia="仿宋_GB2312"/>
          <w:color w:val="000000" w:themeColor="text1"/>
          <w:sz w:val="30"/>
          <w:szCs w:val="32"/>
          <w:u w:val="single"/>
          <w14:textFill>
            <w14:solidFill>
              <w14:schemeClr w14:val="tx1"/>
            </w14:solidFill>
          </w14:textFill>
        </w:rPr>
        <w:t>以发包人档案管理要求为准；</w:t>
      </w:r>
    </w:p>
    <w:p w14:paraId="6C9F58EE">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00A3"/>
      </w:r>
      <w:r>
        <w:rPr>
          <w:rFonts w:eastAsia="仿宋_GB2312"/>
          <w:color w:val="000000" w:themeColor="text1"/>
          <w:sz w:val="30"/>
          <w:szCs w:val="32"/>
          <w:u w:val="single"/>
          <w14:textFill>
            <w14:solidFill>
              <w14:schemeClr w14:val="tx1"/>
            </w14:solidFill>
          </w14:textFill>
        </w:rPr>
        <w:t>以项目所在地城市建设档案管理规定以及城建档案馆的相关要求为准。</w:t>
      </w:r>
    </w:p>
    <w:p w14:paraId="382390C2">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承包人需要提交的竣工资料套数：</w:t>
      </w:r>
      <w:r>
        <w:rPr>
          <w:rFonts w:eastAsia="仿宋_GB2312"/>
          <w:color w:val="000000" w:themeColor="text1"/>
          <w:sz w:val="30"/>
          <w:szCs w:val="32"/>
          <w:u w:val="single"/>
          <w14:textFill>
            <w14:solidFill>
              <w14:schemeClr w14:val="tx1"/>
            </w14:solidFill>
          </w14:textFill>
        </w:rPr>
        <w:t>竣工资料纸质</w:t>
      </w:r>
      <w:r>
        <w:rPr>
          <w:rFonts w:eastAsia="仿宋_GB2312"/>
          <w:i/>
          <w:iCs/>
          <w:color w:val="000000" w:themeColor="text1"/>
          <w:sz w:val="30"/>
          <w:szCs w:val="32"/>
          <w:u w:val="single"/>
          <w14:textFill>
            <w14:solidFill>
              <w14:schemeClr w14:val="tx1"/>
            </w14:solidFill>
          </w14:textFill>
        </w:rPr>
        <w:t>3</w:t>
      </w:r>
      <w:r>
        <w:rPr>
          <w:rFonts w:eastAsia="仿宋_GB2312"/>
          <w:color w:val="000000" w:themeColor="text1"/>
          <w:sz w:val="30"/>
          <w:szCs w:val="32"/>
          <w:u w:val="single"/>
          <w14:textFill>
            <w14:solidFill>
              <w14:schemeClr w14:val="tx1"/>
            </w14:solidFill>
          </w14:textFill>
        </w:rPr>
        <w:t>套，电子扫描文档（刻盘）1套，其中竣工图</w:t>
      </w:r>
      <w:r>
        <w:rPr>
          <w:rFonts w:eastAsia="仿宋_GB2312"/>
          <w:i/>
          <w:iCs/>
          <w:color w:val="000000" w:themeColor="text1"/>
          <w:sz w:val="30"/>
          <w:szCs w:val="32"/>
          <w:u w:val="single"/>
          <w14:textFill>
            <w14:solidFill>
              <w14:schemeClr w14:val="tx1"/>
            </w14:solidFill>
          </w14:textFill>
        </w:rPr>
        <w:t>四</w:t>
      </w:r>
      <w:r>
        <w:rPr>
          <w:rFonts w:eastAsia="仿宋_GB2312"/>
          <w:color w:val="000000" w:themeColor="text1"/>
          <w:sz w:val="30"/>
          <w:szCs w:val="32"/>
          <w:u w:val="single"/>
          <w14:textFill>
            <w14:solidFill>
              <w14:schemeClr w14:val="tx1"/>
            </w14:solidFill>
          </w14:textFill>
        </w:rPr>
        <w:t>套</w:t>
      </w:r>
      <w:r>
        <w:rPr>
          <w:rFonts w:eastAsia="仿宋_GB2312"/>
          <w:color w:val="000000" w:themeColor="text1"/>
          <w:sz w:val="30"/>
          <w:szCs w:val="32"/>
          <w14:textFill>
            <w14:solidFill>
              <w14:schemeClr w14:val="tx1"/>
            </w14:solidFill>
          </w14:textFill>
        </w:rPr>
        <w:t>。</w:t>
      </w:r>
      <w:r>
        <w:rPr>
          <w:rFonts w:eastAsia="仿宋_GB2312"/>
          <w:i/>
          <w:iCs/>
          <w:color w:val="000000" w:themeColor="text1"/>
          <w:sz w:val="30"/>
          <w:szCs w:val="32"/>
          <w14:textFill>
            <w14:solidFill>
              <w14:schemeClr w14:val="tx1"/>
            </w14:solidFill>
          </w14:textFill>
        </w:rPr>
        <w:t>（说明：竣工图根据发包人实际需要，一般是城建档案馆一套，发包人存档一套，工程使用单位存档一套，竣工图需要报结算另备一套，共四套。若项目不需要办理质监备案手续如改造项目，则不需要移交城建档案馆）。</w:t>
      </w:r>
    </w:p>
    <w:p w14:paraId="47752457">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承包人提交的竣工资料的费用承担：</w:t>
      </w:r>
      <w:r>
        <w:rPr>
          <w:rFonts w:eastAsia="仿宋_GB2312"/>
          <w:color w:val="000000" w:themeColor="text1"/>
          <w:sz w:val="30"/>
          <w:szCs w:val="32"/>
          <w:u w:val="single"/>
          <w14:textFill>
            <w14:solidFill>
              <w14:schemeClr w14:val="tx1"/>
            </w14:solidFill>
          </w14:textFill>
        </w:rPr>
        <w:t>由承包人承担</w:t>
      </w:r>
      <w:r>
        <w:rPr>
          <w:rFonts w:eastAsia="仿宋_GB2312"/>
          <w:color w:val="000000" w:themeColor="text1"/>
          <w:sz w:val="30"/>
          <w:szCs w:val="32"/>
          <w14:textFill>
            <w14:solidFill>
              <w14:schemeClr w14:val="tx1"/>
            </w14:solidFill>
          </w14:textFill>
        </w:rPr>
        <w:t>。</w:t>
      </w:r>
    </w:p>
    <w:p w14:paraId="73FFEA7B">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承包人提交的竣工资料移交时间：</w:t>
      </w:r>
      <w:r>
        <w:rPr>
          <w:rFonts w:eastAsia="仿宋_GB2312"/>
          <w:color w:val="000000" w:themeColor="text1"/>
          <w:sz w:val="30"/>
          <w:szCs w:val="32"/>
          <w:u w:val="single"/>
          <w14:textFill>
            <w14:solidFill>
              <w14:schemeClr w14:val="tx1"/>
            </w14:solidFill>
          </w14:textFill>
        </w:rPr>
        <w:t>工程竣工后竣工验收前提供，否则不予组织竣工验收</w:t>
      </w:r>
      <w:r>
        <w:rPr>
          <w:rFonts w:eastAsia="仿宋_GB2312"/>
          <w:color w:val="000000" w:themeColor="text1"/>
          <w:sz w:val="30"/>
          <w:szCs w:val="32"/>
          <w14:textFill>
            <w14:solidFill>
              <w14:schemeClr w14:val="tx1"/>
            </w14:solidFill>
          </w14:textFill>
        </w:rPr>
        <w:t>。</w:t>
      </w:r>
    </w:p>
    <w:p w14:paraId="3BD35876">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承包人提交的竣工资料形式要求：</w:t>
      </w:r>
    </w:p>
    <w:p w14:paraId="35F5705F">
      <w:pPr>
        <w:spacing w:line="360" w:lineRule="auto"/>
        <w:ind w:firstLine="600" w:firstLineChars="200"/>
        <w:jc w:val="left"/>
        <w:rPr>
          <w:color w:val="000000" w:themeColor="text1"/>
          <w:sz w:val="30"/>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00A3"/>
      </w:r>
      <w:r>
        <w:rPr>
          <w:rFonts w:eastAsia="仿宋_GB2312"/>
          <w:color w:val="000000" w:themeColor="text1"/>
          <w:sz w:val="30"/>
          <w:szCs w:val="32"/>
          <w:u w:val="single"/>
          <w14:textFill>
            <w14:solidFill>
              <w14:schemeClr w14:val="tx1"/>
            </w14:solidFill>
          </w14:textFill>
        </w:rPr>
        <w:t>符合发包人档案室及项目属地城建档案馆的要求，取得档案验收证明。</w:t>
      </w:r>
    </w:p>
    <w:p w14:paraId="23E4CD9F">
      <w:pPr>
        <w:spacing w:line="360" w:lineRule="auto"/>
        <w:ind w:firstLine="600" w:firstLineChars="200"/>
        <w:jc w:val="left"/>
        <w:rPr>
          <w:rFonts w:eastAsia="仿宋_GB2312"/>
          <w:color w:val="000000" w:themeColor="text1"/>
          <w:sz w:val="30"/>
          <w:szCs w:val="32"/>
          <w14:textFill>
            <w14:solidFill>
              <w14:schemeClr w14:val="tx1"/>
            </w14:solidFill>
          </w14:textFill>
        </w:rPr>
      </w:pPr>
      <w:r>
        <w:rPr>
          <w:color w:val="000000" w:themeColor="text1"/>
          <w:sz w:val="30"/>
          <w:u w:val="single"/>
          <w14:textFill>
            <w14:solidFill>
              <w14:schemeClr w14:val="tx1"/>
            </w14:solidFill>
          </w14:textFill>
        </w:rPr>
        <w:sym w:font="Wingdings 2" w:char="0052"/>
      </w:r>
      <w:r>
        <w:rPr>
          <w:rFonts w:eastAsia="仿宋_GB2312"/>
          <w:color w:val="000000" w:themeColor="text1"/>
          <w:sz w:val="30"/>
          <w:szCs w:val="32"/>
          <w:u w:val="single"/>
          <w14:textFill>
            <w14:solidFill>
              <w14:schemeClr w14:val="tx1"/>
            </w14:solidFill>
          </w14:textFill>
        </w:rPr>
        <w:t>符合发包人档案管理要求</w:t>
      </w:r>
      <w:r>
        <w:rPr>
          <w:rFonts w:eastAsia="仿宋_GB2312"/>
          <w:color w:val="000000" w:themeColor="text1"/>
          <w:sz w:val="30"/>
          <w:szCs w:val="32"/>
          <w14:textFill>
            <w14:solidFill>
              <w14:schemeClr w14:val="tx1"/>
            </w14:solidFill>
          </w14:textFill>
        </w:rPr>
        <w:t>。</w:t>
      </w:r>
    </w:p>
    <w:p w14:paraId="1BB10FD3">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（10）承包人应履行的其他义务：</w:t>
      </w:r>
    </w:p>
    <w:p w14:paraId="72B8DAEE">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3.1.10.1向发包人提供的办公和生活房屋及设施的要求：无</w:t>
      </w:r>
      <w:r>
        <w:rPr>
          <w:rFonts w:eastAsia="仿宋_GB2312"/>
          <w:i/>
          <w:iCs/>
          <w:color w:val="000000" w:themeColor="text1"/>
          <w:sz w:val="30"/>
          <w:szCs w:val="32"/>
          <w:u w:val="single"/>
          <w14:textFill>
            <w14:solidFill>
              <w14:schemeClr w14:val="tx1"/>
            </w14:solidFill>
          </w14:textFill>
        </w:rPr>
        <w:t>。</w:t>
      </w:r>
    </w:p>
    <w:p w14:paraId="38B3CF07">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3.1.10.2承包人必须对发包人提供的原始基准点、坐标、标高等测 量控制点进行复核，并将复核结果报监理人审核。此后控制点由承包人负责保护，并承担因此发生的费用。由于控制点破坏或失准带来的重新测量、放点费用及由此带来的其他损失，由承包人承担。</w:t>
      </w:r>
    </w:p>
    <w:p w14:paraId="651A0F0A">
      <w:pPr>
        <w:tabs>
          <w:tab w:val="left" w:pos="840"/>
        </w:tabs>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3.1.10.3已竣工工程未交付发包人之前，承包人负责已完工程的保护工作，保护期间发生损坏，承包人自费予以修复。</w:t>
      </w:r>
    </w:p>
    <w:p w14:paraId="33BFE81F">
      <w:pPr>
        <w:tabs>
          <w:tab w:val="left" w:pos="840"/>
        </w:tabs>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3.1.10.4工程竣工后，承包人应按照发包人要求清理所有的临时性工程场地和临时道路，并恢复原状。</w:t>
      </w:r>
    </w:p>
    <w:p w14:paraId="6438BFE8">
      <w:pPr>
        <w:tabs>
          <w:tab w:val="left" w:pos="840"/>
        </w:tabs>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3.1.10.5承包人负责做好施工现场周围建筑物、构筑物和地下管线、文物及花木的保护，由于承包人原因导致现场周围建筑物、构筑物和地下管线、文物及花木被破坏的，所造成的损失由承包人承担。</w:t>
      </w:r>
    </w:p>
    <w:p w14:paraId="3AF1BA71">
      <w:pPr>
        <w:spacing w:line="360" w:lineRule="auto"/>
        <w:ind w:left="17" w:leftChars="8" w:firstLine="618" w:firstLineChars="206"/>
        <w:jc w:val="left"/>
        <w:rPr>
          <w:rFonts w:eastAsia="仿宋_GB2312"/>
          <w:color w:val="000000" w:themeColor="text1"/>
          <w:sz w:val="30"/>
          <w:u w:val="single"/>
          <w14:textFill>
            <w14:solidFill>
              <w14:schemeClr w14:val="tx1"/>
            </w14:solidFill>
          </w14:textFill>
        </w:rPr>
      </w:pPr>
      <w:r>
        <w:rPr>
          <w:rFonts w:eastAsia="仿宋_GB2312"/>
          <w:color w:val="000000" w:themeColor="text1"/>
          <w:sz w:val="30"/>
          <w:u w:val="single"/>
          <w14:textFill>
            <w14:solidFill>
              <w14:schemeClr w14:val="tx1"/>
            </w14:solidFill>
          </w14:textFill>
        </w:rPr>
        <w:t>3.1.10.7压力管道、压力容器、特种设备及安全阀等的安装施工，承包人必须确保其通过国家质量监督部门及行业主管部门的检验验收，因此产生的费用由承包方承担</w:t>
      </w:r>
      <w:r>
        <w:rPr>
          <w:rFonts w:eastAsia="仿宋_GB2312"/>
          <w:color w:val="000000" w:themeColor="text1"/>
          <w:sz w:val="30"/>
          <w:szCs w:val="32"/>
          <w:u w:val="single"/>
          <w14:textFill>
            <w14:solidFill>
              <w14:schemeClr w14:val="tx1"/>
            </w14:solidFill>
          </w14:textFill>
        </w:rPr>
        <w:t>。</w:t>
      </w:r>
    </w:p>
    <w:p w14:paraId="668A550B">
      <w:pPr>
        <w:spacing w:line="360" w:lineRule="auto"/>
        <w:ind w:left="17" w:leftChars="8" w:firstLine="618" w:firstLineChars="206"/>
        <w:jc w:val="left"/>
        <w:rPr>
          <w:rFonts w:eastAsia="仿宋_GB2312"/>
          <w:color w:val="000000" w:themeColor="text1"/>
          <w:sz w:val="30"/>
          <w:u w:val="single"/>
          <w14:textFill>
            <w14:solidFill>
              <w14:schemeClr w14:val="tx1"/>
            </w14:solidFill>
          </w14:textFill>
        </w:rPr>
      </w:pPr>
      <w:r>
        <w:rPr>
          <w:rFonts w:eastAsia="仿宋_GB2312"/>
          <w:color w:val="000000" w:themeColor="text1"/>
          <w:sz w:val="30"/>
          <w:u w:val="single"/>
          <w14:textFill>
            <w14:solidFill>
              <w14:schemeClr w14:val="tx1"/>
            </w14:solidFill>
          </w14:textFill>
        </w:rPr>
        <w:t>3.1.10.8承包人应当在危大工程施工前组织编制专项方案，对于超过一定规模的危大工程，承包人应当组织召开专家论证会对专项施工方案进行论证。</w:t>
      </w:r>
    </w:p>
    <w:p w14:paraId="63ED7896">
      <w:pPr>
        <w:spacing w:line="360" w:lineRule="auto"/>
        <w:ind w:left="17" w:leftChars="8" w:firstLine="618" w:firstLineChars="206"/>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3.1.10.9由于后期工程（公建、管网、景观、绿化、道路等）施工造成的临时设施搬迁重建费及材料的二次倒运费已在措施费中包括，结算时不再调整。</w:t>
      </w:r>
    </w:p>
    <w:p w14:paraId="2837FA6B">
      <w:pPr>
        <w:spacing w:after="156"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3.1.10.10承包人应及时缴纳按政府规定由承包人承担的有关费用、税项等，提供相关资料文件及协助发包人办理工程政府建设手续，负责办理质监竣工验收、消防验收、建筑节能验收、</w:t>
      </w:r>
      <w:r>
        <w:rPr>
          <w:rFonts w:eastAsia="仿宋_GB2312"/>
          <w:sz w:val="30"/>
          <w:szCs w:val="32"/>
          <w:u w:val="single"/>
        </w:rPr>
        <w:t>海绵城市验收、市政供水供电供气验收、</w:t>
      </w:r>
      <w:r>
        <w:rPr>
          <w:rFonts w:eastAsia="仿宋_GB2312"/>
          <w:color w:val="000000" w:themeColor="text1"/>
          <w:sz w:val="30"/>
          <w:szCs w:val="32"/>
          <w:u w:val="single"/>
          <w14:textFill>
            <w14:solidFill>
              <w14:schemeClr w14:val="tx1"/>
            </w14:solidFill>
          </w14:textFill>
        </w:rPr>
        <w:t>城建档案验收</w:t>
      </w:r>
      <w:r>
        <w:rPr>
          <w:rFonts w:eastAsia="仿宋_GB2312"/>
          <w:color w:val="000000" w:themeColor="text1"/>
          <w:sz w:val="30"/>
          <w:szCs w:val="32"/>
          <w:u w:val="single"/>
          <w:lang w:bidi="ar"/>
          <w14:textFill>
            <w14:solidFill>
              <w14:schemeClr w14:val="tx1"/>
            </w14:solidFill>
          </w14:textFill>
        </w:rPr>
        <w:t>（发包人资料由发包人负责提供，承包人负责妥善保管、一并归档办理档案验收</w:t>
      </w:r>
      <w:r>
        <w:rPr>
          <w:rFonts w:eastAsia="仿宋_GB2312"/>
          <w:color w:val="000000" w:themeColor="text1"/>
          <w:sz w:val="30"/>
          <w:szCs w:val="32"/>
          <w:u w:val="single"/>
          <w14:textFill>
            <w14:solidFill>
              <w14:schemeClr w14:val="tx1"/>
            </w14:solidFill>
          </w14:textFill>
        </w:rPr>
        <w:t>），协助办理规划、环保及工程竣工结算备案、竣工验收备案等工作。</w:t>
      </w:r>
    </w:p>
    <w:p w14:paraId="068EB23E">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3.2 项目经理</w:t>
      </w:r>
    </w:p>
    <w:p w14:paraId="2B58A00F">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 xml:space="preserve">3.2.1 </w:t>
      </w:r>
      <w:r>
        <w:rPr>
          <w:rFonts w:eastAsia="仿宋_GB2312"/>
          <w:color w:val="000000" w:themeColor="text1"/>
          <w:sz w:val="30"/>
          <w:szCs w:val="32"/>
          <w14:textFill>
            <w14:solidFill>
              <w14:schemeClr w14:val="tx1"/>
            </w14:solidFill>
          </w14:textFill>
        </w:rPr>
        <w:t>项目经理：</w:t>
      </w:r>
      <w:r>
        <w:rPr>
          <w:i/>
          <w:color w:val="000000" w:themeColor="text1"/>
          <w:sz w:val="30"/>
          <w:u w:val="single"/>
          <w14:textFill>
            <w14:solidFill>
              <w14:schemeClr w14:val="tx1"/>
            </w14:solidFill>
          </w14:textFill>
        </w:rPr>
        <w:t>（按投标文件填写）</w:t>
      </w:r>
    </w:p>
    <w:p w14:paraId="02012762">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姓    名：</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01509C78">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身份证号：</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0C8F4E1D">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建造师执业资格等级：</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70B46094">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建造师注册证书号：</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52EA07BB">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建造师执业印章号：</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7737679F">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安全生产考核合格证书号：</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238F4509">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联系电话：</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4A5830ED">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电子信箱：</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3459D8F4">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通信地址：</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75E4CED8">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承包人对项目经理的授权范围如下：</w:t>
      </w:r>
      <w:r>
        <w:rPr>
          <w:rFonts w:eastAsia="仿宋_GB2312"/>
          <w:color w:val="000000" w:themeColor="text1"/>
          <w:sz w:val="30"/>
          <w:szCs w:val="32"/>
          <w:u w:val="single"/>
          <w14:textFill>
            <w14:solidFill>
              <w14:schemeClr w14:val="tx1"/>
            </w14:solidFill>
          </w14:textFill>
        </w:rPr>
        <w:t>代表承包人负责履行合同，直接负责本工程施工中的各项工作。</w:t>
      </w:r>
    </w:p>
    <w:p w14:paraId="65E03C3D">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关于项目经理每月在施工现场的时间要求：</w:t>
      </w:r>
      <w:r>
        <w:rPr>
          <w:rFonts w:eastAsia="仿宋_GB2312"/>
          <w:color w:val="000000" w:themeColor="text1"/>
          <w:sz w:val="30"/>
          <w:szCs w:val="32"/>
          <w:u w:val="single"/>
          <w14:textFill>
            <w14:solidFill>
              <w14:schemeClr w14:val="tx1"/>
            </w14:solidFill>
          </w14:textFill>
        </w:rPr>
        <w:t>每月不少于25日历天，每少一天，向发包人支付10000元/天的违约金，如遇特殊事项须向发包人代表请假，经批准后可无需支付违约金。</w:t>
      </w:r>
    </w:p>
    <w:p w14:paraId="6673CF18">
      <w:pPr>
        <w:spacing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承包人未提交劳动合同，以及没有为项目经理缴纳社会保险证明的违约责任：</w:t>
      </w:r>
      <w:r>
        <w:rPr>
          <w:rFonts w:eastAsia="仿宋_GB2312"/>
          <w:color w:val="000000" w:themeColor="text1"/>
          <w:sz w:val="30"/>
          <w:szCs w:val="32"/>
          <w:u w:val="single"/>
          <w14:textFill>
            <w14:solidFill>
              <w14:schemeClr w14:val="tx1"/>
            </w14:solidFill>
          </w14:textFill>
        </w:rPr>
        <w:t>向发包人支付合同最终结算价的千分之</w:t>
      </w:r>
      <w:r>
        <w:rPr>
          <w:i/>
          <w:color w:val="000000" w:themeColor="text1"/>
          <w:sz w:val="30"/>
          <w:u w:val="single"/>
          <w14:textFill>
            <w14:solidFill>
              <w14:schemeClr w14:val="tx1"/>
            </w14:solidFill>
          </w14:textFill>
        </w:rPr>
        <w:t>（一）</w:t>
      </w:r>
      <w:r>
        <w:rPr>
          <w:rFonts w:eastAsia="仿宋_GB2312"/>
          <w:color w:val="000000" w:themeColor="text1"/>
          <w:sz w:val="30"/>
          <w:szCs w:val="32"/>
          <w:u w:val="single"/>
          <w14:textFill>
            <w14:solidFill>
              <w14:schemeClr w14:val="tx1"/>
            </w14:solidFill>
          </w14:textFill>
        </w:rPr>
        <w:t>的违约金，没有最终结算价的，按签约暂定价的千分之</w:t>
      </w:r>
      <w:r>
        <w:rPr>
          <w:i/>
          <w:color w:val="000000" w:themeColor="text1"/>
          <w:sz w:val="30"/>
          <w:u w:val="single"/>
          <w14:textFill>
            <w14:solidFill>
              <w14:schemeClr w14:val="tx1"/>
            </w14:solidFill>
          </w14:textFill>
        </w:rPr>
        <w:t>（一）</w:t>
      </w:r>
      <w:r>
        <w:rPr>
          <w:rFonts w:eastAsia="仿宋_GB2312"/>
          <w:color w:val="000000" w:themeColor="text1"/>
          <w:sz w:val="30"/>
          <w:szCs w:val="32"/>
          <w:u w:val="single"/>
          <w14:textFill>
            <w14:solidFill>
              <w14:schemeClr w14:val="tx1"/>
            </w14:solidFill>
          </w14:textFill>
        </w:rPr>
        <w:t>计算</w:t>
      </w:r>
      <w:r>
        <w:rPr>
          <w:rFonts w:eastAsia="仿宋_GB2312"/>
          <w:color w:val="000000" w:themeColor="text1"/>
          <w:sz w:val="30"/>
          <w:szCs w:val="32"/>
          <w14:textFill>
            <w14:solidFill>
              <w14:schemeClr w14:val="tx1"/>
            </w14:solidFill>
          </w14:textFill>
        </w:rPr>
        <w:t>。</w:t>
      </w:r>
    </w:p>
    <w:p w14:paraId="03DCAAE2">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项目经理未经批准，擅自离开施工现场的违约责任：</w:t>
      </w:r>
      <w:r>
        <w:rPr>
          <w:rFonts w:eastAsia="仿宋_GB2312"/>
          <w:color w:val="000000" w:themeColor="text1"/>
          <w:sz w:val="30"/>
          <w:szCs w:val="32"/>
          <w:u w:val="single"/>
          <w14:textFill>
            <w14:solidFill>
              <w14:schemeClr w14:val="tx1"/>
            </w14:solidFill>
          </w14:textFill>
        </w:rPr>
        <w:t>每出现1次向发包人支付2000元违约金，以上违约金额累计金额超过合同签约暂定价百分之</w:t>
      </w:r>
      <w:r>
        <w:rPr>
          <w:rFonts w:eastAsia="仿宋_GB2312"/>
          <w:i/>
          <w:iCs/>
          <w:color w:val="000000" w:themeColor="text1"/>
          <w:sz w:val="30"/>
          <w:szCs w:val="32"/>
          <w:u w:val="single"/>
          <w14:textFill>
            <w14:solidFill>
              <w14:schemeClr w14:val="tx1"/>
            </w14:solidFill>
          </w14:textFill>
        </w:rPr>
        <w:t>（十）</w:t>
      </w:r>
      <w:r>
        <w:rPr>
          <w:rFonts w:eastAsia="仿宋_GB2312"/>
          <w:color w:val="000000" w:themeColor="text1"/>
          <w:sz w:val="30"/>
          <w:szCs w:val="32"/>
          <w:u w:val="single"/>
          <w14:textFill>
            <w14:solidFill>
              <w14:schemeClr w14:val="tx1"/>
            </w14:solidFill>
          </w14:textFill>
        </w:rPr>
        <w:t>的，视为承包人严重违约，发包人有权与承包人解除合同，承包人将承担由此给发包人带来的一切经济损失。</w:t>
      </w:r>
    </w:p>
    <w:p w14:paraId="43944770">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3.2.3 承包人擅自更换项目经理的违约责任：</w:t>
      </w:r>
      <w:r>
        <w:rPr>
          <w:rFonts w:eastAsia="仿宋_GB2312"/>
          <w:color w:val="000000" w:themeColor="text1"/>
          <w:sz w:val="30"/>
          <w:szCs w:val="32"/>
          <w:u w:val="single"/>
          <w14:textFill>
            <w14:solidFill>
              <w14:schemeClr w14:val="tx1"/>
            </w14:solidFill>
          </w14:textFill>
        </w:rPr>
        <w:t>向发包人支付最终结算价的（</w:t>
      </w:r>
      <w:r>
        <w:rPr>
          <w:rFonts w:eastAsia="仿宋_GB2312"/>
          <w:i/>
          <w:iCs/>
          <w:color w:val="000000" w:themeColor="text1"/>
          <w:sz w:val="30"/>
          <w:szCs w:val="32"/>
          <w:u w:val="single"/>
          <w14:textFill>
            <w14:solidFill>
              <w14:schemeClr w14:val="tx1"/>
            </w14:solidFill>
          </w14:textFill>
        </w:rPr>
        <w:t>千分之五</w:t>
      </w:r>
      <w:r>
        <w:rPr>
          <w:rFonts w:eastAsia="仿宋_GB2312"/>
          <w:color w:val="000000" w:themeColor="text1"/>
          <w:sz w:val="30"/>
          <w:szCs w:val="32"/>
          <w:u w:val="single"/>
          <w14:textFill>
            <w14:solidFill>
              <w14:schemeClr w14:val="tx1"/>
            </w14:solidFill>
          </w14:textFill>
        </w:rPr>
        <w:t>）的违约金，没有最终结算价的，按签约暂定价的</w:t>
      </w:r>
      <w:r>
        <w:rPr>
          <w:rFonts w:eastAsia="仿宋_GB2312"/>
          <w:i/>
          <w:iCs/>
          <w:color w:val="000000" w:themeColor="text1"/>
          <w:sz w:val="30"/>
          <w:szCs w:val="32"/>
          <w:u w:val="single"/>
          <w14:textFill>
            <w14:solidFill>
              <w14:schemeClr w14:val="tx1"/>
            </w14:solidFill>
          </w14:textFill>
        </w:rPr>
        <w:t>千分之五</w:t>
      </w:r>
      <w:r>
        <w:rPr>
          <w:rFonts w:eastAsia="仿宋_GB2312"/>
          <w:color w:val="000000" w:themeColor="text1"/>
          <w:sz w:val="30"/>
          <w:szCs w:val="32"/>
          <w:u w:val="single"/>
          <w14:textFill>
            <w14:solidFill>
              <w14:schemeClr w14:val="tx1"/>
            </w14:solidFill>
          </w14:textFill>
        </w:rPr>
        <w:t>计算并按发包人要求换回或者履行变更手续，并应承担由此给发包人带来的一切经济损失</w:t>
      </w:r>
      <w:r>
        <w:rPr>
          <w:rFonts w:eastAsia="仿宋_GB2312"/>
          <w:color w:val="000000" w:themeColor="text1"/>
          <w:sz w:val="30"/>
          <w:szCs w:val="32"/>
          <w14:textFill>
            <w14:solidFill>
              <w14:schemeClr w14:val="tx1"/>
            </w14:solidFill>
          </w14:textFill>
        </w:rPr>
        <w:t>。</w:t>
      </w:r>
    </w:p>
    <w:p w14:paraId="2A857B64">
      <w:pPr>
        <w:spacing w:line="360" w:lineRule="auto"/>
        <w:ind w:firstLine="6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3.2.4 承包人无正当理由拒绝更换项目经理的违约责任：</w:t>
      </w:r>
      <w:r>
        <w:rPr>
          <w:rFonts w:eastAsia="仿宋_GB2312"/>
          <w:color w:val="000000" w:themeColor="text1"/>
          <w:sz w:val="30"/>
          <w:szCs w:val="32"/>
          <w:u w:val="single"/>
          <w14:textFill>
            <w14:solidFill>
              <w14:schemeClr w14:val="tx1"/>
            </w14:solidFill>
          </w14:textFill>
        </w:rPr>
        <w:t xml:space="preserve">  承包人未按发包人要求更换项目经理，每逾期一天向发包人支付违约金（</w:t>
      </w:r>
      <w:r>
        <w:rPr>
          <w:rFonts w:eastAsia="仿宋_GB2312"/>
          <w:i/>
          <w:iCs/>
          <w:color w:val="000000" w:themeColor="text1"/>
          <w:sz w:val="30"/>
          <w:szCs w:val="32"/>
          <w:u w:val="single"/>
          <w14:textFill>
            <w14:solidFill>
              <w14:schemeClr w14:val="tx1"/>
            </w14:solidFill>
          </w14:textFill>
        </w:rPr>
        <w:t>10000</w:t>
      </w:r>
      <w:r>
        <w:rPr>
          <w:rFonts w:eastAsia="仿宋_GB2312"/>
          <w:color w:val="000000" w:themeColor="text1"/>
          <w:sz w:val="30"/>
          <w:szCs w:val="32"/>
          <w:u w:val="single"/>
          <w14:textFill>
            <w14:solidFill>
              <w14:schemeClr w14:val="tx1"/>
            </w14:solidFill>
          </w14:textFill>
        </w:rPr>
        <w:t>）元，此违约金额累计超过合同签约暂定价（</w:t>
      </w:r>
      <w:r>
        <w:rPr>
          <w:rFonts w:eastAsia="仿宋_GB2312"/>
          <w:i/>
          <w:iCs/>
          <w:color w:val="000000" w:themeColor="text1"/>
          <w:sz w:val="30"/>
          <w:szCs w:val="32"/>
          <w:u w:val="single"/>
          <w14:textFill>
            <w14:solidFill>
              <w14:schemeClr w14:val="tx1"/>
            </w14:solidFill>
          </w14:textFill>
        </w:rPr>
        <w:t>百分之十</w:t>
      </w:r>
      <w:r>
        <w:rPr>
          <w:rFonts w:eastAsia="仿宋_GB2312"/>
          <w:color w:val="000000" w:themeColor="text1"/>
          <w:sz w:val="30"/>
          <w:szCs w:val="32"/>
          <w:u w:val="single"/>
          <w14:textFill>
            <w14:solidFill>
              <w14:schemeClr w14:val="tx1"/>
            </w14:solidFill>
          </w14:textFill>
        </w:rPr>
        <w:t>）的，视为承包人严重违约，同时发包人有权解除合同，承包人还应承担由此给发包人带来的一切经济损失。</w:t>
      </w:r>
    </w:p>
    <w:p w14:paraId="5DDB6DCA">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3.3 承包人人员</w:t>
      </w:r>
    </w:p>
    <w:p w14:paraId="460FBCA4">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3.3.1承包人提交项目管理机构及施工现场管理人员安排报告的期限：</w:t>
      </w:r>
      <w:r>
        <w:rPr>
          <w:rFonts w:eastAsia="仿宋_GB2312"/>
          <w:color w:val="000000" w:themeColor="text1"/>
          <w:sz w:val="30"/>
          <w:szCs w:val="32"/>
          <w:u w:val="single"/>
          <w14:textFill>
            <w14:solidFill>
              <w14:schemeClr w14:val="tx1"/>
            </w14:solidFill>
          </w14:textFill>
        </w:rPr>
        <w:t>不迟于开工通知中载明的开工日期前7天内，按照投标文件项目管理人员配备提供。</w:t>
      </w:r>
    </w:p>
    <w:p w14:paraId="64C4CCBF">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3.3.3承包人无正当理由拒绝撤换主要施工管理人员的违约责任：</w:t>
      </w:r>
      <w:r>
        <w:rPr>
          <w:rFonts w:eastAsia="仿宋_GB2312"/>
          <w:color w:val="000000" w:themeColor="text1"/>
          <w:sz w:val="30"/>
          <w:szCs w:val="32"/>
          <w:u w:val="single"/>
          <w14:textFill>
            <w14:solidFill>
              <w14:schemeClr w14:val="tx1"/>
            </w14:solidFill>
          </w14:textFill>
        </w:rPr>
        <w:t>每逾期一天，按</w:t>
      </w:r>
      <w:r>
        <w:rPr>
          <w:rFonts w:eastAsia="仿宋_GB2312"/>
          <w:i/>
          <w:iCs/>
          <w:color w:val="000000" w:themeColor="text1"/>
          <w:sz w:val="30"/>
          <w:szCs w:val="32"/>
          <w:u w:val="single"/>
          <w14:textFill>
            <w14:solidFill>
              <w14:schemeClr w14:val="tx1"/>
            </w14:solidFill>
          </w14:textFill>
        </w:rPr>
        <w:t>5000</w:t>
      </w:r>
      <w:r>
        <w:rPr>
          <w:rFonts w:eastAsia="仿宋_GB2312"/>
          <w:color w:val="000000" w:themeColor="text1"/>
          <w:sz w:val="30"/>
          <w:szCs w:val="32"/>
          <w:u w:val="single"/>
          <w14:textFill>
            <w14:solidFill>
              <w14:schemeClr w14:val="tx1"/>
            </w14:solidFill>
          </w14:textFill>
        </w:rPr>
        <w:t>元/人次向发包人支付违约金</w:t>
      </w:r>
      <w:r>
        <w:rPr>
          <w:rFonts w:eastAsia="仿宋_GB2312"/>
          <w:color w:val="000000" w:themeColor="text1"/>
          <w:sz w:val="30"/>
          <w:szCs w:val="32"/>
          <w14:textFill>
            <w14:solidFill>
              <w14:schemeClr w14:val="tx1"/>
            </w14:solidFill>
          </w14:textFill>
        </w:rPr>
        <w:t>。</w:t>
      </w:r>
    </w:p>
    <w:p w14:paraId="6CEFAE2D">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3.3.4承包人主要施工管理人员离开施工现场的批准要求：</w:t>
      </w:r>
      <w:r>
        <w:rPr>
          <w:rFonts w:eastAsia="仿宋_GB2312"/>
          <w:color w:val="000000" w:themeColor="text1"/>
          <w:sz w:val="30"/>
          <w:szCs w:val="32"/>
          <w:u w:val="single"/>
          <w14:textFill>
            <w14:solidFill>
              <w14:schemeClr w14:val="tx1"/>
            </w14:solidFill>
          </w14:textFill>
        </w:rPr>
        <w:t>应征得发包人同意，并提供与原管理人员能力相当的接替人员代行其职责</w:t>
      </w:r>
      <w:r>
        <w:rPr>
          <w:rFonts w:eastAsia="仿宋_GB2312"/>
          <w:color w:val="000000" w:themeColor="text1"/>
          <w:sz w:val="30"/>
          <w:szCs w:val="32"/>
          <w14:textFill>
            <w14:solidFill>
              <w14:schemeClr w14:val="tx1"/>
            </w14:solidFill>
          </w14:textFill>
        </w:rPr>
        <w:t>。</w:t>
      </w:r>
    </w:p>
    <w:p w14:paraId="41F9D8AD">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3.3.5承包人擅自更换主要施工管理人员的违约责任：</w:t>
      </w:r>
      <w:r>
        <w:rPr>
          <w:rFonts w:eastAsia="仿宋_GB2312"/>
          <w:color w:val="000000" w:themeColor="text1"/>
          <w:sz w:val="30"/>
          <w:szCs w:val="32"/>
          <w:u w:val="single"/>
          <w14:textFill>
            <w14:solidFill>
              <w14:schemeClr w14:val="tx1"/>
            </w14:solidFill>
          </w14:textFill>
        </w:rPr>
        <w:t>按（</w:t>
      </w:r>
      <w:r>
        <w:rPr>
          <w:rFonts w:eastAsia="仿宋_GB2312"/>
          <w:i/>
          <w:iCs/>
          <w:color w:val="000000" w:themeColor="text1"/>
          <w:sz w:val="30"/>
          <w:szCs w:val="32"/>
          <w:u w:val="single"/>
          <w14:textFill>
            <w14:solidFill>
              <w14:schemeClr w14:val="tx1"/>
            </w14:solidFill>
          </w14:textFill>
        </w:rPr>
        <w:t>10000</w:t>
      </w:r>
      <w:r>
        <w:rPr>
          <w:rFonts w:eastAsia="仿宋_GB2312"/>
          <w:color w:val="000000" w:themeColor="text1"/>
          <w:sz w:val="30"/>
          <w:szCs w:val="32"/>
          <w:u w:val="single"/>
          <w14:textFill>
            <w14:solidFill>
              <w14:schemeClr w14:val="tx1"/>
            </w14:solidFill>
          </w14:textFill>
        </w:rPr>
        <w:t>元）/人次向发包人支付违约金并应按发包人要求予以换回或者履行变更手续，提供与原管理人员资质能力水平相当的人员接替</w:t>
      </w:r>
      <w:r>
        <w:rPr>
          <w:rFonts w:eastAsia="仿宋_GB2312"/>
          <w:color w:val="000000" w:themeColor="text1"/>
          <w:sz w:val="30"/>
          <w:szCs w:val="32"/>
          <w14:textFill>
            <w14:solidFill>
              <w14:schemeClr w14:val="tx1"/>
            </w14:solidFill>
          </w14:textFill>
        </w:rPr>
        <w:t>。</w:t>
      </w:r>
    </w:p>
    <w:p w14:paraId="28FA4715">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承包人主要施工管理人员擅自离开施工现场的违约责任：</w:t>
      </w:r>
      <w:r>
        <w:rPr>
          <w:rFonts w:eastAsia="仿宋_GB2312"/>
          <w:color w:val="000000" w:themeColor="text1"/>
          <w:sz w:val="30"/>
          <w:szCs w:val="32"/>
          <w:u w:val="single"/>
          <w14:textFill>
            <w14:solidFill>
              <w14:schemeClr w14:val="tx1"/>
            </w14:solidFill>
          </w14:textFill>
        </w:rPr>
        <w:t>每发生一人次，按（</w:t>
      </w:r>
      <w:r>
        <w:rPr>
          <w:rFonts w:eastAsia="仿宋_GB2312"/>
          <w:i/>
          <w:iCs/>
          <w:color w:val="000000" w:themeColor="text1"/>
          <w:sz w:val="30"/>
          <w:szCs w:val="32"/>
          <w:u w:val="single"/>
          <w14:textFill>
            <w14:solidFill>
              <w14:schemeClr w14:val="tx1"/>
            </w14:solidFill>
          </w14:textFill>
        </w:rPr>
        <w:t>2000</w:t>
      </w:r>
      <w:r>
        <w:rPr>
          <w:rFonts w:eastAsia="仿宋_GB2312"/>
          <w:color w:val="000000" w:themeColor="text1"/>
          <w:sz w:val="30"/>
          <w:szCs w:val="32"/>
          <w:u w:val="single"/>
          <w14:textFill>
            <w14:solidFill>
              <w14:schemeClr w14:val="tx1"/>
            </w14:solidFill>
          </w14:textFill>
        </w:rPr>
        <w:t>）元/人次向发包人支付违约金</w:t>
      </w:r>
      <w:r>
        <w:rPr>
          <w:rFonts w:eastAsia="仿宋_GB2312"/>
          <w:color w:val="000000" w:themeColor="text1"/>
          <w:sz w:val="30"/>
          <w:szCs w:val="32"/>
          <w14:textFill>
            <w14:solidFill>
              <w14:schemeClr w14:val="tx1"/>
            </w14:solidFill>
          </w14:textFill>
        </w:rPr>
        <w:t>。</w:t>
      </w:r>
    </w:p>
    <w:p w14:paraId="2485A920">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3</w:t>
      </w:r>
      <w:bookmarkStart w:id="193" w:name="_Toc296346660"/>
      <w:bookmarkStart w:id="194" w:name="_Toc296891199"/>
      <w:bookmarkStart w:id="195" w:name="_Toc296944498"/>
      <w:bookmarkStart w:id="196" w:name="_Toc296503159"/>
      <w:bookmarkStart w:id="197" w:name="_Toc304295523"/>
      <w:bookmarkStart w:id="198" w:name="_Toc296890987"/>
      <w:bookmarkStart w:id="199" w:name="_Toc297216151"/>
      <w:bookmarkStart w:id="200" w:name="_Toc297123492"/>
      <w:bookmarkStart w:id="201" w:name="_Toc292559364"/>
      <w:bookmarkStart w:id="202" w:name="_Toc297120459"/>
      <w:bookmarkStart w:id="203" w:name="_Toc292559869"/>
      <w:bookmarkStart w:id="204" w:name="_Toc303539102"/>
      <w:bookmarkStart w:id="205" w:name="_Toc300934945"/>
      <w:bookmarkStart w:id="206" w:name="_Toc297048345"/>
      <w:bookmarkStart w:id="207" w:name="_Toc312677988"/>
      <w:bookmarkStart w:id="208" w:name="_Toc296347158"/>
      <w:r>
        <w:rPr>
          <w:rFonts w:eastAsia="黑体"/>
          <w:color w:val="000000" w:themeColor="text1"/>
          <w:sz w:val="30"/>
          <w:szCs w:val="32"/>
          <w14:textFill>
            <w14:solidFill>
              <w14:schemeClr w14:val="tx1"/>
            </w14:solidFill>
          </w14:textFill>
        </w:rPr>
        <w:t>.5 分包</w:t>
      </w:r>
    </w:p>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14:paraId="36B608D1">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w:t>
      </w:r>
      <w:bookmarkStart w:id="209" w:name="_Toc296346661"/>
      <w:bookmarkStart w:id="210" w:name="_Toc297216152"/>
      <w:bookmarkStart w:id="211" w:name="_Toc300934946"/>
      <w:bookmarkStart w:id="212" w:name="_Toc296890988"/>
      <w:bookmarkStart w:id="213" w:name="_Toc292559365"/>
      <w:bookmarkStart w:id="214" w:name="_Toc297120460"/>
      <w:bookmarkStart w:id="215" w:name="_Toc297123493"/>
      <w:bookmarkStart w:id="216" w:name="_Toc296347159"/>
      <w:bookmarkStart w:id="217" w:name="_Toc296944499"/>
      <w:bookmarkStart w:id="218" w:name="_Toc297048346"/>
      <w:bookmarkStart w:id="219" w:name="_Toc292559870"/>
      <w:bookmarkStart w:id="220" w:name="_Toc303539103"/>
      <w:bookmarkStart w:id="221" w:name="_Toc296891200"/>
      <w:bookmarkStart w:id="222" w:name="_Toc304295524"/>
      <w:bookmarkStart w:id="223" w:name="_Toc296503160"/>
      <w:bookmarkStart w:id="224" w:name="_Toc312677989"/>
      <w:bookmarkStart w:id="225" w:name="_Toc318581158"/>
      <w:r>
        <w:rPr>
          <w:rFonts w:eastAsia="仿宋_GB2312"/>
          <w:color w:val="000000" w:themeColor="text1"/>
          <w:sz w:val="30"/>
          <w:szCs w:val="32"/>
          <w14:textFill>
            <w14:solidFill>
              <w14:schemeClr w14:val="tx1"/>
            </w14:solidFill>
          </w14:textFill>
        </w:rPr>
        <w:t>.5.1 分包的一般约定</w:t>
      </w:r>
    </w:p>
    <w:p w14:paraId="007D0BC0">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禁止分包的工程包括：</w:t>
      </w:r>
      <w:r>
        <w:rPr>
          <w:rFonts w:eastAsia="仿宋_GB2312"/>
          <w:color w:val="000000" w:themeColor="text1"/>
          <w:sz w:val="30"/>
          <w:szCs w:val="32"/>
          <w:u w:val="single"/>
          <w14:textFill>
            <w14:solidFill>
              <w14:schemeClr w14:val="tx1"/>
            </w14:solidFill>
          </w14:textFill>
        </w:rPr>
        <w:t>除本合同另有约定和经发包人书面认可外所有建安工程禁止分包</w:t>
      </w:r>
      <w:r>
        <w:rPr>
          <w:rFonts w:eastAsia="仿宋_GB2312"/>
          <w:color w:val="000000" w:themeColor="text1"/>
          <w:sz w:val="30"/>
          <w:szCs w:val="32"/>
          <w14:textFill>
            <w14:solidFill>
              <w14:schemeClr w14:val="tx1"/>
            </w14:solidFill>
          </w14:textFill>
        </w:rPr>
        <w:t>。</w:t>
      </w:r>
    </w:p>
    <w:p w14:paraId="583885B6">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主体结构、关键性工作的范围：</w:t>
      </w:r>
      <w:r>
        <w:rPr>
          <w:rFonts w:eastAsia="仿宋_GB2312"/>
          <w:i/>
          <w:iCs/>
          <w:color w:val="000000" w:themeColor="text1"/>
          <w:sz w:val="30"/>
          <w:szCs w:val="32"/>
          <w:u w:val="single"/>
          <w14:textFill>
            <w14:solidFill>
              <w14:schemeClr w14:val="tx1"/>
            </w14:solidFill>
          </w14:textFill>
        </w:rPr>
        <w:t>地基基础、主体结构、建筑电气、给排水、消防工程（根据项目具体情况填写）</w:t>
      </w:r>
      <w:r>
        <w:rPr>
          <w:rFonts w:eastAsia="仿宋_GB2312"/>
          <w:color w:val="000000" w:themeColor="text1"/>
          <w:sz w:val="30"/>
          <w:szCs w:val="32"/>
          <w14:textFill>
            <w14:solidFill>
              <w14:schemeClr w14:val="tx1"/>
            </w14:solidFill>
          </w14:textFill>
        </w:rPr>
        <w:t>。</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Start w:id="226" w:name="_Toc304295525"/>
      <w:bookmarkStart w:id="227" w:name="_Toc297123494"/>
      <w:bookmarkStart w:id="228" w:name="_Toc296891201"/>
      <w:bookmarkStart w:id="229" w:name="_Toc297216153"/>
      <w:bookmarkStart w:id="230" w:name="_Toc303539104"/>
      <w:bookmarkStart w:id="231" w:name="_Toc296944500"/>
      <w:bookmarkStart w:id="232" w:name="_Toc296890989"/>
      <w:bookmarkStart w:id="233" w:name="_Toc297120461"/>
      <w:bookmarkStart w:id="234" w:name="_Toc296347160"/>
      <w:bookmarkStart w:id="235" w:name="_Toc296503161"/>
      <w:bookmarkStart w:id="236" w:name="_Toc297048347"/>
      <w:bookmarkStart w:id="237" w:name="_Toc296346662"/>
      <w:bookmarkStart w:id="238" w:name="_Toc300934947"/>
    </w:p>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14:paraId="0B6E8378">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w:t>
      </w:r>
      <w:bookmarkStart w:id="239" w:name="_Toc318581159"/>
      <w:bookmarkStart w:id="240" w:name="_Toc312677990"/>
      <w:r>
        <w:rPr>
          <w:rFonts w:eastAsia="仿宋_GB2312"/>
          <w:color w:val="000000" w:themeColor="text1"/>
          <w:sz w:val="30"/>
          <w:szCs w:val="32"/>
          <w14:textFill>
            <w14:solidFill>
              <w14:schemeClr w14:val="tx1"/>
            </w14:solidFill>
          </w14:textFill>
        </w:rPr>
        <w:t>.5.2分包的确定</w:t>
      </w:r>
    </w:p>
    <w:p w14:paraId="29B64433">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允许分包的专业工程包括：</w:t>
      </w:r>
      <w:r>
        <w:rPr>
          <w:rFonts w:eastAsia="仿宋_GB2312"/>
          <w:i/>
          <w:iCs/>
          <w:color w:val="000000" w:themeColor="text1"/>
          <w:sz w:val="30"/>
          <w:szCs w:val="32"/>
          <w:u w:val="single"/>
          <w14:textFill>
            <w14:solidFill>
              <w14:schemeClr w14:val="tx1"/>
            </w14:solidFill>
          </w14:textFill>
        </w:rPr>
        <w:t>按项目具体情况填写</w:t>
      </w:r>
      <w:r>
        <w:rPr>
          <w:rFonts w:eastAsia="仿宋_GB2312"/>
          <w:color w:val="000000" w:themeColor="text1"/>
          <w:sz w:val="30"/>
          <w:szCs w:val="32"/>
          <w14:textFill>
            <w14:solidFill>
              <w14:schemeClr w14:val="tx1"/>
            </w14:solidFill>
          </w14:textFill>
        </w:rPr>
        <w:t>。</w:t>
      </w:r>
    </w:p>
    <w:p w14:paraId="50631572">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其他关于分包的约定：</w:t>
      </w:r>
      <w:r>
        <w:rPr>
          <w:rFonts w:eastAsia="仿宋_GB2312"/>
          <w:color w:val="000000" w:themeColor="text1"/>
          <w:sz w:val="30"/>
          <w:szCs w:val="32"/>
          <w:u w:val="single"/>
          <w14:textFill>
            <w14:solidFill>
              <w14:schemeClr w14:val="tx1"/>
            </w14:solidFill>
          </w14:textFill>
        </w:rPr>
        <w:t>发包人有权自行将承包人承包范围内的部分工作交由指定的分包人进行实施，承包人不得因此提出任何异议或者要求任何形式的补偿，并承担总包管理责任</w:t>
      </w:r>
      <w:r>
        <w:rPr>
          <w:rFonts w:eastAsia="仿宋_GB2312"/>
          <w:color w:val="000000" w:themeColor="text1"/>
          <w:sz w:val="30"/>
          <w:szCs w:val="32"/>
          <w14:textFill>
            <w14:solidFill>
              <w14:schemeClr w14:val="tx1"/>
            </w14:solidFill>
          </w14:textFill>
        </w:rPr>
        <w:t>。</w:t>
      </w:r>
    </w:p>
    <w:p w14:paraId="043A83BE">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3.5.4分包合同价款</w:t>
      </w:r>
    </w:p>
    <w:p w14:paraId="53DCD4E2">
      <w:pPr>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关于分包合同价款支付的约定：</w:t>
      </w:r>
      <w:r>
        <w:rPr>
          <w:rFonts w:eastAsia="仿宋_GB2312"/>
          <w:color w:val="000000" w:themeColor="text1"/>
          <w:sz w:val="30"/>
          <w:szCs w:val="32"/>
          <w:u w:val="single"/>
          <w14:textFill>
            <w14:solidFill>
              <w14:schemeClr w14:val="tx1"/>
            </w14:solidFill>
          </w14:textFill>
        </w:rPr>
        <w:t>若因承包人支付劳务分包人、材料设备供货商等工程款不及时造成上访、围堵等不良影响的，发包人有权直接向劳务分包人、供货商支付工程款，承包人应就该款项向发包人开具合法有效的正式发票，并应自行解决与劳务分包人、供货商的财务及发票处理问题，同时承包人应承担该款项双倍的违约金。</w:t>
      </w:r>
    </w:p>
    <w:bookmarkEnd w:id="239"/>
    <w:bookmarkEnd w:id="240"/>
    <w:p w14:paraId="59DFB92B">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3.6 工程照管与成品、半成品保护</w:t>
      </w:r>
    </w:p>
    <w:p w14:paraId="76CF8301">
      <w:pPr>
        <w:spacing w:before="156" w:after="156" w:line="360" w:lineRule="auto"/>
        <w:ind w:firstLine="600" w:firstLineChars="200"/>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承包人负责照管工程及工程相关的材料、工程设备的起始时间：</w:t>
      </w:r>
      <w:r>
        <w:rPr>
          <w:rFonts w:eastAsia="仿宋_GB2312"/>
          <w:color w:val="000000" w:themeColor="text1"/>
          <w:kern w:val="0"/>
          <w:sz w:val="30"/>
          <w:szCs w:val="32"/>
          <w:u w:val="single"/>
          <w14:textFill>
            <w14:solidFill>
              <w14:schemeClr w14:val="tx1"/>
            </w14:solidFill>
          </w14:textFill>
        </w:rPr>
        <w:t>执行《通用合同条款》</w:t>
      </w:r>
      <w:r>
        <w:rPr>
          <w:rFonts w:eastAsia="仿宋_GB2312"/>
          <w:color w:val="000000" w:themeColor="text1"/>
          <w:kern w:val="0"/>
          <w:sz w:val="30"/>
          <w:szCs w:val="32"/>
          <w14:textFill>
            <w14:solidFill>
              <w14:schemeClr w14:val="tx1"/>
            </w14:solidFill>
          </w14:textFill>
        </w:rPr>
        <w:t>。</w:t>
      </w:r>
    </w:p>
    <w:p w14:paraId="11E1BC25">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3.7 履约担保</w:t>
      </w:r>
    </w:p>
    <w:p w14:paraId="1BFB97CF">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承包人是否提供履约担保：</w:t>
      </w:r>
      <w:r>
        <w:rPr>
          <w:rFonts w:eastAsia="仿宋_GB2312"/>
          <w:color w:val="000000" w:themeColor="text1"/>
          <w:sz w:val="30"/>
          <w:szCs w:val="32"/>
          <w:u w:val="single"/>
          <w14:textFill>
            <w14:solidFill>
              <w14:schemeClr w14:val="tx1"/>
            </w14:solidFill>
          </w14:textFill>
        </w:rPr>
        <w:t>是</w:t>
      </w:r>
      <w:r>
        <w:rPr>
          <w:rFonts w:eastAsia="仿宋_GB2312"/>
          <w:color w:val="000000" w:themeColor="text1"/>
          <w:sz w:val="30"/>
          <w:szCs w:val="32"/>
          <w14:textFill>
            <w14:solidFill>
              <w14:schemeClr w14:val="tx1"/>
            </w14:solidFill>
          </w14:textFill>
        </w:rPr>
        <w:t>。</w:t>
      </w:r>
    </w:p>
    <w:p w14:paraId="1DFB94CD">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承包人提供履约担保的形式、金额及期限的：</w:t>
      </w:r>
    </w:p>
    <w:p w14:paraId="57884394">
      <w:pPr>
        <w:numPr>
          <w:ilvl w:val="0"/>
          <w:numId w:val="9"/>
        </w:numPr>
        <w:spacing w:line="360" w:lineRule="auto"/>
        <w:ind w:left="0"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形式：</w:t>
      </w:r>
      <w:r>
        <w:rPr>
          <w:rFonts w:eastAsia="仿宋_GB2312"/>
          <w:color w:val="000000" w:themeColor="text1"/>
          <w:sz w:val="30"/>
          <w:szCs w:val="32"/>
          <w:u w:val="single"/>
          <w14:textFill>
            <w14:solidFill>
              <w14:schemeClr w14:val="tx1"/>
            </w14:solidFill>
          </w14:textFill>
        </w:rPr>
        <w:sym w:font="Wingdings 2" w:char="00A3"/>
      </w:r>
      <w:r>
        <w:rPr>
          <w:rFonts w:eastAsia="仿宋_GB2312"/>
          <w:i/>
          <w:iCs/>
          <w:color w:val="000000" w:themeColor="text1"/>
          <w:sz w:val="30"/>
          <w:szCs w:val="32"/>
          <w:u w:val="single"/>
          <w14:textFill>
            <w14:solidFill>
              <w14:schemeClr w14:val="tx1"/>
            </w14:solidFill>
          </w14:textFill>
        </w:rPr>
        <w:t>履约保函</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u w:val="single"/>
          <w14:textFill>
            <w14:solidFill>
              <w14:schemeClr w14:val="tx1"/>
            </w14:solidFill>
          </w14:textFill>
        </w:rPr>
        <w:sym w:font="Wingdings 2" w:char="0052"/>
      </w:r>
      <w:r>
        <w:rPr>
          <w:rFonts w:eastAsia="仿宋_GB2312"/>
          <w:sz w:val="30"/>
          <w:szCs w:val="32"/>
          <w:u w:val="single"/>
        </w:rPr>
        <w:t>承包人的投标保证金自动转为履约保证金，待竣工验收后根据履约情况予以退还。</w:t>
      </w:r>
    </w:p>
    <w:p w14:paraId="21956D11">
      <w:pPr>
        <w:numPr>
          <w:ilvl w:val="0"/>
          <w:numId w:val="9"/>
        </w:numPr>
        <w:spacing w:line="360" w:lineRule="auto"/>
        <w:ind w:left="0"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u w:val="single"/>
          <w14:textFill>
            <w14:solidFill>
              <w14:schemeClr w14:val="tx1"/>
            </w14:solidFill>
          </w14:textFill>
        </w:rPr>
        <w:t>金额：</w:t>
      </w:r>
      <w:r>
        <w:rPr>
          <w:rFonts w:eastAsia="仿宋_GB2312"/>
          <w:color w:val="000000" w:themeColor="text1"/>
          <w:sz w:val="30"/>
          <w:szCs w:val="32"/>
          <w:u w:val="single"/>
          <w14:textFill>
            <w14:solidFill>
              <w14:schemeClr w14:val="tx1"/>
            </w14:solidFill>
          </w14:textFill>
        </w:rPr>
        <w:sym w:font="Wingdings 2" w:char="00A3"/>
      </w:r>
      <w:r>
        <w:rPr>
          <w:rFonts w:eastAsia="仿宋_GB2312"/>
          <w:i/>
          <w:iCs/>
          <w:color w:val="000000" w:themeColor="text1"/>
          <w:sz w:val="30"/>
          <w:szCs w:val="32"/>
          <w:u w:val="single"/>
          <w14:textFill>
            <w14:solidFill>
              <w14:schemeClr w14:val="tx1"/>
            </w14:solidFill>
          </w14:textFill>
        </w:rPr>
        <w:t>按招标文件要求，一般为合同签约价的10%。</w:t>
      </w:r>
      <w:r>
        <w:rPr>
          <w:rFonts w:eastAsia="仿宋_GB2312"/>
          <w:color w:val="000000" w:themeColor="text1"/>
          <w:sz w:val="30"/>
          <w:szCs w:val="32"/>
          <w:u w:val="single"/>
          <w14:textFill>
            <w14:solidFill>
              <w14:schemeClr w14:val="tx1"/>
            </w14:solidFill>
          </w14:textFill>
        </w:rPr>
        <w:t>/</w:t>
      </w:r>
      <w:r>
        <w:rPr>
          <w:rFonts w:eastAsia="仿宋_GB2312"/>
          <w:color w:val="000000" w:themeColor="text1"/>
          <w:sz w:val="30"/>
          <w:szCs w:val="32"/>
          <w:u w:val="single"/>
          <w14:textFill>
            <w14:solidFill>
              <w14:schemeClr w14:val="tx1"/>
            </w14:solidFill>
          </w14:textFill>
        </w:rPr>
        <w:sym w:font="Wingdings 2" w:char="00A3"/>
      </w:r>
      <w:r>
        <w:rPr>
          <w:rFonts w:eastAsia="仿宋_GB2312"/>
          <w:sz w:val="30"/>
          <w:szCs w:val="32"/>
          <w:u w:val="single"/>
        </w:rPr>
        <w:t>同投标保证</w:t>
      </w:r>
      <w:r>
        <w:rPr>
          <w:sz w:val="30"/>
          <w:u w:val="single"/>
        </w:rPr>
        <w:t>金</w:t>
      </w:r>
      <w:r>
        <w:rPr>
          <w:rFonts w:eastAsia="仿宋_GB2312"/>
          <w:i/>
          <w:iCs/>
          <w:color w:val="000000" w:themeColor="text1"/>
          <w:sz w:val="30"/>
          <w:szCs w:val="32"/>
          <w:u w:val="single"/>
          <w14:textFill>
            <w14:solidFill>
              <w14:schemeClr w14:val="tx1"/>
            </w14:solidFill>
          </w14:textFill>
        </w:rPr>
        <w:t>。</w:t>
      </w:r>
    </w:p>
    <w:p w14:paraId="7C85F904">
      <w:pPr>
        <w:numPr>
          <w:ilvl w:val="0"/>
          <w:numId w:val="9"/>
        </w:numPr>
        <w:spacing w:line="360" w:lineRule="auto"/>
        <w:ind w:left="0"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u w:val="single"/>
          <w14:textFill>
            <w14:solidFill>
              <w14:schemeClr w14:val="tx1"/>
            </w14:solidFill>
          </w14:textFill>
        </w:rPr>
        <w:t>期限：自开出之日至竣工验收完成。若（预计）履约保函有效期届满时本合同约定的履约担保期限尚未届满，承包人应提前30天将履约保函的期满日期延长至本合同约定的履约担保期限，否则视为承包人违约，须承担</w:t>
      </w:r>
      <w:r>
        <w:rPr>
          <w:rFonts w:eastAsia="仿宋_GB2312"/>
          <w:i/>
          <w:iCs/>
          <w:color w:val="000000" w:themeColor="text1"/>
          <w:sz w:val="30"/>
          <w:szCs w:val="32"/>
          <w:u w:val="single"/>
          <w14:textFill>
            <w14:solidFill>
              <w14:schemeClr w14:val="tx1"/>
            </w14:solidFill>
          </w14:textFill>
        </w:rPr>
        <w:t>100000元</w:t>
      </w:r>
      <w:r>
        <w:rPr>
          <w:rFonts w:eastAsia="仿宋_GB2312"/>
          <w:color w:val="000000" w:themeColor="text1"/>
          <w:sz w:val="30"/>
          <w:szCs w:val="32"/>
          <w:u w:val="single"/>
          <w14:textFill>
            <w14:solidFill>
              <w14:schemeClr w14:val="tx1"/>
            </w14:solidFill>
          </w14:textFill>
        </w:rPr>
        <w:t>违约金，且发包人有权不予支付剩余合同价款而不构成违约，直至保函延期完成。</w:t>
      </w:r>
    </w:p>
    <w:p w14:paraId="3AAF1879">
      <w:pPr>
        <w:pStyle w:val="8"/>
        <w:rPr>
          <w:rFonts w:ascii="Times New Roman" w:hAnsi="Times New Roman" w:cs="Times New Roman"/>
          <w:b w:val="0"/>
        </w:rPr>
      </w:pPr>
      <w:bookmarkStart w:id="241" w:name="_Toc351203636"/>
      <w:r>
        <w:rPr>
          <w:rFonts w:ascii="Times New Roman" w:hAnsi="Times New Roman" w:cs="Times New Roman"/>
        </w:rPr>
        <w:t>4</w:t>
      </w:r>
      <w:bookmarkStart w:id="242" w:name="_Toc292559366"/>
      <w:bookmarkStart w:id="243" w:name="_Toc296346663"/>
      <w:bookmarkStart w:id="244" w:name="_Toc297120462"/>
      <w:bookmarkStart w:id="245" w:name="_Toc267251413"/>
      <w:bookmarkStart w:id="246" w:name="_Toc296347161"/>
      <w:bookmarkStart w:id="247" w:name="_Toc297048348"/>
      <w:bookmarkStart w:id="248" w:name="_Toc296891202"/>
      <w:bookmarkStart w:id="249" w:name="_Toc296944501"/>
      <w:bookmarkStart w:id="250" w:name="_Toc296890990"/>
      <w:bookmarkStart w:id="251" w:name="_Toc292559871"/>
      <w:bookmarkStart w:id="252" w:name="_Toc296503162"/>
      <w:r>
        <w:rPr>
          <w:rFonts w:ascii="Times New Roman" w:hAnsi="Times New Roman" w:cs="Times New Roman"/>
        </w:rPr>
        <w:t>. 监</w:t>
      </w:r>
      <w:bookmarkEnd w:id="242"/>
      <w:bookmarkEnd w:id="243"/>
      <w:bookmarkEnd w:id="244"/>
      <w:bookmarkEnd w:id="245"/>
      <w:bookmarkEnd w:id="246"/>
      <w:bookmarkEnd w:id="247"/>
      <w:bookmarkEnd w:id="248"/>
      <w:bookmarkEnd w:id="249"/>
      <w:bookmarkEnd w:id="250"/>
      <w:bookmarkEnd w:id="251"/>
      <w:bookmarkEnd w:id="252"/>
      <w:r>
        <w:rPr>
          <w:rFonts w:ascii="Times New Roman" w:hAnsi="Times New Roman" w:cs="Times New Roman"/>
        </w:rPr>
        <w:t>理人</w:t>
      </w:r>
      <w:bookmarkEnd w:id="241"/>
    </w:p>
    <w:p w14:paraId="6A4AA3E9">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4.1监理人的一般规定</w:t>
      </w:r>
    </w:p>
    <w:p w14:paraId="4C7F063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关于监理人的监理内容：</w:t>
      </w:r>
      <w:r>
        <w:rPr>
          <w:rFonts w:eastAsia="仿宋_GB2312"/>
          <w:color w:val="000000" w:themeColor="text1"/>
          <w:sz w:val="30"/>
          <w:szCs w:val="32"/>
          <w:u w:val="single"/>
          <w14:textFill>
            <w14:solidFill>
              <w14:schemeClr w14:val="tx1"/>
            </w14:solidFill>
          </w14:textFill>
        </w:rPr>
        <w:t>合同约定范围内的所有建设工程内容</w:t>
      </w:r>
      <w:r>
        <w:rPr>
          <w:rFonts w:eastAsia="仿宋_GB2312"/>
          <w:color w:val="000000" w:themeColor="text1"/>
          <w:sz w:val="30"/>
          <w:szCs w:val="32"/>
          <w14:textFill>
            <w14:solidFill>
              <w14:schemeClr w14:val="tx1"/>
            </w14:solidFill>
          </w14:textFill>
        </w:rPr>
        <w:t>。</w:t>
      </w:r>
    </w:p>
    <w:p w14:paraId="401DA33A">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关于监理人的监理权限：</w:t>
      </w:r>
      <w:r>
        <w:rPr>
          <w:rFonts w:eastAsia="仿宋_GB2312"/>
          <w:color w:val="000000" w:themeColor="text1"/>
          <w:sz w:val="30"/>
          <w:szCs w:val="32"/>
          <w:u w:val="single"/>
          <w14:textFill>
            <w14:solidFill>
              <w14:schemeClr w14:val="tx1"/>
            </w14:solidFill>
          </w14:textFill>
        </w:rPr>
        <w:t>行使监理合同授予的权限</w:t>
      </w:r>
      <w:r>
        <w:rPr>
          <w:rFonts w:eastAsia="仿宋_GB2312"/>
          <w:color w:val="000000" w:themeColor="text1"/>
          <w:sz w:val="30"/>
          <w:szCs w:val="32"/>
          <w14:textFill>
            <w14:solidFill>
              <w14:schemeClr w14:val="tx1"/>
            </w14:solidFill>
          </w14:textFill>
        </w:rPr>
        <w:t>。</w:t>
      </w:r>
    </w:p>
    <w:p w14:paraId="4C0BB399">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须经发包人事先批准行使的权力：</w:t>
      </w:r>
      <w:r>
        <w:rPr>
          <w:rFonts w:eastAsia="仿宋_GB2312"/>
          <w:color w:val="000000" w:themeColor="text1"/>
          <w:sz w:val="30"/>
          <w:szCs w:val="32"/>
          <w:u w:val="single"/>
          <w14:textFill>
            <w14:solidFill>
              <w14:schemeClr w14:val="tx1"/>
            </w14:solidFill>
          </w14:textFill>
        </w:rPr>
        <w:t>开工、停工、复工令的下达，合同工期、工程变更、现场经济技术签证、工程付款。监理人针对以上事项通知、指示、批准、同意等文件必须经发包人盖章后方为有效。</w:t>
      </w:r>
    </w:p>
    <w:p w14:paraId="77F5D204">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关于监理人在施工现场的办公场所、生活场所的提供和费用承担的约定：</w:t>
      </w:r>
      <w:r>
        <w:rPr>
          <w:rFonts w:eastAsia="仿宋_GB2312"/>
          <w:i/>
          <w:iCs/>
          <w:color w:val="000000" w:themeColor="text1"/>
          <w:sz w:val="30"/>
          <w:szCs w:val="32"/>
          <w:u w:val="single"/>
          <w14:textFill>
            <w14:solidFill>
              <w14:schemeClr w14:val="tx1"/>
            </w14:solidFill>
          </w14:textFill>
        </w:rPr>
        <w:t>无或由承包人提供办公及生活场所</w:t>
      </w:r>
      <w:r>
        <w:rPr>
          <w:rFonts w:eastAsia="仿宋_GB2312"/>
          <w:color w:val="000000" w:themeColor="text1"/>
          <w:sz w:val="30"/>
          <w:szCs w:val="32"/>
          <w:u w:val="single"/>
          <w14:textFill>
            <w14:solidFill>
              <w14:schemeClr w14:val="tx1"/>
            </w14:solidFill>
          </w14:textFill>
        </w:rPr>
        <w:t>，</w:t>
      </w:r>
      <w:r>
        <w:rPr>
          <w:rFonts w:eastAsia="仿宋_GB2312"/>
          <w:i/>
          <w:iCs/>
          <w:color w:val="000000" w:themeColor="text1"/>
          <w:sz w:val="30"/>
          <w:szCs w:val="32"/>
          <w:u w:val="single"/>
          <w14:textFill>
            <w14:solidFill>
              <w14:schemeClr w14:val="tx1"/>
            </w14:solidFill>
          </w14:textFill>
        </w:rPr>
        <w:t>费用已包含在合同签约价中，不另计取</w:t>
      </w:r>
      <w:r>
        <w:rPr>
          <w:rFonts w:eastAsia="仿宋_GB2312"/>
          <w:color w:val="000000" w:themeColor="text1"/>
          <w:sz w:val="30"/>
          <w:szCs w:val="32"/>
          <w14:textFill>
            <w14:solidFill>
              <w14:schemeClr w14:val="tx1"/>
            </w14:solidFill>
          </w14:textFill>
        </w:rPr>
        <w:t>。</w:t>
      </w:r>
    </w:p>
    <w:p w14:paraId="2C86D0B3">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4.2 监理人员</w:t>
      </w:r>
      <w:r>
        <w:rPr>
          <w:i/>
          <w:color w:val="000000" w:themeColor="text1"/>
          <w:sz w:val="30"/>
          <w14:textFill>
            <w14:solidFill>
              <w14:schemeClr w14:val="tx1"/>
            </w14:solidFill>
          </w14:textFill>
        </w:rPr>
        <w:t>（</w:t>
      </w:r>
      <w:r>
        <w:rPr>
          <w:i/>
          <w:color w:val="000000" w:themeColor="text1"/>
          <w:sz w:val="30"/>
          <w:u w:val="single"/>
          <w14:textFill>
            <w14:solidFill>
              <w14:schemeClr w14:val="tx1"/>
            </w14:solidFill>
          </w14:textFill>
        </w:rPr>
        <w:t>按监理合同据实填写</w:t>
      </w:r>
      <w:r>
        <w:rPr>
          <w:i/>
          <w:color w:val="000000" w:themeColor="text1"/>
          <w:sz w:val="30"/>
          <w14:textFill>
            <w14:solidFill>
              <w14:schemeClr w14:val="tx1"/>
            </w14:solidFill>
          </w14:textFill>
        </w:rPr>
        <w:t>）</w:t>
      </w:r>
    </w:p>
    <w:p w14:paraId="4B013692">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总监理工程师：</w:t>
      </w:r>
    </w:p>
    <w:p w14:paraId="08976D30">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姓    名：</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34447E5D">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职    务：</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42B08AE7">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监理工程师执业资格证书号：</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09CDA6F3">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联系电话：</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318A6263">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电子信箱：</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24ED4CF4">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通信地址：</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3EADF014">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关于监理人的其他约定：</w:t>
      </w:r>
      <w:r>
        <w:rPr>
          <w:rFonts w:eastAsia="仿宋_GB2312"/>
          <w:color w:val="000000" w:themeColor="text1"/>
          <w:sz w:val="30"/>
          <w:szCs w:val="32"/>
          <w:u w:val="single"/>
          <w14:textFill>
            <w14:solidFill>
              <w14:schemeClr w14:val="tx1"/>
            </w14:solidFill>
          </w14:textFill>
        </w:rPr>
        <w:t>任何签证批价（包括但不限于对工程量的确认、对材料价格的确认及对工程价款的确认），需经发包人书面同意后监理人签字盖章后方可有效；未经发包人书面认可，监理人擅自签字确认，相关文件无效且由此给发包人造成的全部损失由监理人承担全部责任</w:t>
      </w:r>
      <w:r>
        <w:rPr>
          <w:rFonts w:eastAsia="仿宋_GB2312"/>
          <w:color w:val="000000" w:themeColor="text1"/>
          <w:sz w:val="30"/>
          <w:szCs w:val="32"/>
          <w14:textFill>
            <w14:solidFill>
              <w14:schemeClr w14:val="tx1"/>
            </w14:solidFill>
          </w14:textFill>
        </w:rPr>
        <w:t>。</w:t>
      </w:r>
    </w:p>
    <w:p w14:paraId="31DFF506">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4.4 商定或确定</w:t>
      </w:r>
    </w:p>
    <w:p w14:paraId="77C7C523">
      <w:pPr>
        <w:spacing w:line="360" w:lineRule="auto"/>
        <w:ind w:firstLine="600" w:firstLineChars="200"/>
        <w:rPr>
          <w:rFonts w:eastAsia="仿宋_GB2312"/>
          <w:color w:val="000000" w:themeColor="text1"/>
          <w:sz w:val="30"/>
          <w:szCs w:val="32"/>
          <w14:textFill>
            <w14:solidFill>
              <w14:schemeClr w14:val="tx1"/>
            </w14:solidFill>
          </w14:textFill>
        </w:rPr>
      </w:pPr>
      <w:bookmarkStart w:id="253" w:name="_Toc267251418"/>
      <w:r>
        <w:rPr>
          <w:rFonts w:eastAsia="仿宋_GB2312"/>
          <w:color w:val="000000" w:themeColor="text1"/>
          <w:sz w:val="30"/>
          <w:szCs w:val="32"/>
          <w14:textFill>
            <w14:solidFill>
              <w14:schemeClr w14:val="tx1"/>
            </w14:solidFill>
          </w14:textFill>
        </w:rPr>
        <w:t>在发包人和承包人不能通过协商达成一致意见时，发包人授权监理人对以下事项进行确定：</w:t>
      </w:r>
    </w:p>
    <w:p w14:paraId="45E2C760">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w:t>
      </w:r>
      <w:r>
        <w:rPr>
          <w:rFonts w:eastAsia="仿宋_GB2312"/>
          <w:color w:val="000000" w:themeColor="text1"/>
          <w:sz w:val="30"/>
          <w:szCs w:val="32"/>
          <w:u w:val="single"/>
          <w14:textFill>
            <w14:solidFill>
              <w14:schemeClr w14:val="tx1"/>
            </w14:solidFill>
          </w14:textFill>
        </w:rPr>
        <w:t xml:space="preserve">       无       </w:t>
      </w:r>
      <w:r>
        <w:rPr>
          <w:rFonts w:eastAsia="仿宋_GB2312"/>
          <w:color w:val="000000" w:themeColor="text1"/>
          <w:sz w:val="30"/>
          <w:szCs w:val="32"/>
          <w14:textFill>
            <w14:solidFill>
              <w14:schemeClr w14:val="tx1"/>
            </w14:solidFill>
          </w14:textFill>
        </w:rPr>
        <w:t>；</w:t>
      </w:r>
    </w:p>
    <w:p w14:paraId="28078ADD">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（2）</w:t>
      </w:r>
      <w:r>
        <w:rPr>
          <w:rFonts w:eastAsia="仿宋_GB2312"/>
          <w:color w:val="000000" w:themeColor="text1"/>
          <w:sz w:val="30"/>
          <w:szCs w:val="32"/>
          <w:u w:val="single"/>
          <w14:textFill>
            <w14:solidFill>
              <w14:schemeClr w14:val="tx1"/>
            </w14:solidFill>
          </w14:textFill>
        </w:rPr>
        <w:t xml:space="preserve">       无       </w:t>
      </w:r>
      <w:r>
        <w:rPr>
          <w:rFonts w:eastAsia="仿宋_GB2312"/>
          <w:color w:val="000000" w:themeColor="text1"/>
          <w:sz w:val="30"/>
          <w:szCs w:val="32"/>
          <w14:textFill>
            <w14:solidFill>
              <w14:schemeClr w14:val="tx1"/>
            </w14:solidFill>
          </w14:textFill>
        </w:rPr>
        <w:t>；</w:t>
      </w:r>
    </w:p>
    <w:p w14:paraId="446703B8">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（3）</w:t>
      </w:r>
      <w:r>
        <w:rPr>
          <w:rFonts w:eastAsia="仿宋_GB2312"/>
          <w:color w:val="000000" w:themeColor="text1"/>
          <w:sz w:val="30"/>
          <w:szCs w:val="32"/>
          <w:u w:val="single"/>
          <w14:textFill>
            <w14:solidFill>
              <w14:schemeClr w14:val="tx1"/>
            </w14:solidFill>
          </w14:textFill>
        </w:rPr>
        <w:t xml:space="preserve">       无       </w:t>
      </w:r>
      <w:r>
        <w:rPr>
          <w:rFonts w:eastAsia="仿宋_GB2312"/>
          <w:color w:val="000000" w:themeColor="text1"/>
          <w:sz w:val="30"/>
          <w:szCs w:val="32"/>
          <w14:textFill>
            <w14:solidFill>
              <w14:schemeClr w14:val="tx1"/>
            </w14:solidFill>
          </w14:textFill>
        </w:rPr>
        <w:t>。</w:t>
      </w:r>
    </w:p>
    <w:p w14:paraId="3F0695F7">
      <w:pPr>
        <w:pStyle w:val="8"/>
        <w:rPr>
          <w:rFonts w:ascii="Times New Roman" w:hAnsi="Times New Roman" w:cs="Times New Roman"/>
          <w:b w:val="0"/>
        </w:rPr>
      </w:pPr>
      <w:bookmarkStart w:id="254" w:name="_Toc351203637"/>
      <w:r>
        <w:rPr>
          <w:rFonts w:ascii="Times New Roman" w:hAnsi="Times New Roman" w:cs="Times New Roman"/>
        </w:rPr>
        <w:t>5</w:t>
      </w:r>
      <w:bookmarkEnd w:id="253"/>
      <w:bookmarkStart w:id="255" w:name="_Toc296503163"/>
      <w:bookmarkStart w:id="256" w:name="_Toc292559367"/>
      <w:bookmarkStart w:id="257" w:name="_Toc297048349"/>
      <w:bookmarkStart w:id="258" w:name="_Toc297120463"/>
      <w:bookmarkStart w:id="259" w:name="_Toc296890991"/>
      <w:bookmarkStart w:id="260" w:name="_Toc296346664"/>
      <w:bookmarkStart w:id="261" w:name="_Toc292559872"/>
      <w:bookmarkStart w:id="262" w:name="_Toc296347162"/>
      <w:bookmarkStart w:id="263" w:name="_Toc296944502"/>
      <w:bookmarkStart w:id="264" w:name="_Toc296891203"/>
      <w:r>
        <w:rPr>
          <w:rFonts w:ascii="Times New Roman" w:hAnsi="Times New Roman" w:cs="Times New Roman"/>
        </w:rPr>
        <w:t>. 工程质量</w:t>
      </w:r>
      <w:bookmarkEnd w:id="254"/>
    </w:p>
    <w:p w14:paraId="7AB402B0">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5.1 质量要求</w:t>
      </w:r>
    </w:p>
    <w:p w14:paraId="66D8119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5</w:t>
      </w:r>
      <w:bookmarkStart w:id="265" w:name="_Toc318581164"/>
      <w:bookmarkStart w:id="266" w:name="_Toc297123496"/>
      <w:bookmarkStart w:id="267" w:name="_Toc297216155"/>
      <w:bookmarkStart w:id="268" w:name="_Toc303539106"/>
      <w:bookmarkStart w:id="269" w:name="_Toc312677997"/>
      <w:bookmarkStart w:id="270" w:name="_Toc304295527"/>
      <w:bookmarkStart w:id="271" w:name="_Toc300934949"/>
      <w:r>
        <w:rPr>
          <w:rFonts w:eastAsia="仿宋_GB2312"/>
          <w:color w:val="000000" w:themeColor="text1"/>
          <w:sz w:val="30"/>
          <w:szCs w:val="32"/>
          <w14:textFill>
            <w14:solidFill>
              <w14:schemeClr w14:val="tx1"/>
            </w14:solidFill>
          </w14:textFill>
        </w:rPr>
        <w:t>.1.1 特殊质量标准和要求：</w:t>
      </w:r>
      <w:r>
        <w:rPr>
          <w:i/>
          <w:color w:val="000000" w:themeColor="text1"/>
          <w:sz w:val="30"/>
          <w:u w:val="single"/>
          <w14:textFill>
            <w14:solidFill>
              <w14:schemeClr w14:val="tx1"/>
            </w14:solidFill>
          </w14:textFill>
        </w:rPr>
        <w:t xml:space="preserve">□按招标文件要求，若无要求则填写无。/ </w:t>
      </w:r>
      <w:r>
        <w:rPr>
          <w:rFonts w:hint="eastAsia"/>
          <w:i/>
          <w:color w:val="000000" w:themeColor="text1"/>
          <w:sz w:val="30"/>
          <w:u w:val="single"/>
          <w:lang w:eastAsia="zh-CN"/>
          <w14:textFill>
            <w14:solidFill>
              <w14:schemeClr w14:val="tx1"/>
            </w14:solidFill>
          </w14:textFill>
        </w:rPr>
        <w:t>☑</w:t>
      </w:r>
      <w:r>
        <w:rPr>
          <w:i/>
          <w:color w:val="000000" w:themeColor="text1"/>
          <w:sz w:val="30"/>
          <w:u w:val="single"/>
          <w14:textFill>
            <w14:solidFill>
              <w14:schemeClr w14:val="tx1"/>
            </w14:solidFill>
          </w14:textFill>
        </w:rPr>
        <w:t>对于设计图纸技术标准高于国家、行业相关标准或验收规范等标准的，应严格按照设计标准施工，施工方案及费用已充分考虑</w:t>
      </w:r>
      <w:r>
        <w:rPr>
          <w:i/>
          <w:color w:val="000000" w:themeColor="text1"/>
          <w:sz w:val="30"/>
          <w14:textFill>
            <w14:solidFill>
              <w14:schemeClr w14:val="tx1"/>
            </w14:solidFill>
          </w14:textFill>
        </w:rPr>
        <w:t>。</w:t>
      </w:r>
    </w:p>
    <w:p w14:paraId="0A27F792">
      <w:pPr>
        <w:spacing w:line="360" w:lineRule="auto"/>
        <w:ind w:firstLine="600" w:firstLineChars="200"/>
        <w:jc w:val="left"/>
        <w:rPr>
          <w:rFonts w:eastAsia="黑体"/>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关于工程奖项的约定：</w:t>
      </w:r>
      <w:r>
        <w:rPr>
          <w:rFonts w:eastAsia="仿宋_GB2312"/>
          <w:i/>
          <w:iCs/>
          <w:color w:val="000000" w:themeColor="text1"/>
          <w:sz w:val="30"/>
          <w:szCs w:val="32"/>
          <w:u w:val="single"/>
          <w14:textFill>
            <w14:solidFill>
              <w14:schemeClr w14:val="tx1"/>
            </w14:solidFill>
          </w14:textFill>
        </w:rPr>
        <w:t>按招标文件要求，若无要求则填写无 。</w:t>
      </w:r>
    </w:p>
    <w:p w14:paraId="3A515F7A">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5.3 隐蔽工程检查</w:t>
      </w:r>
    </w:p>
    <w:p w14:paraId="5EC89114">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5.3.2承包人提前通知监理人隐蔽工程检查的期限的约定：</w:t>
      </w:r>
      <w:r>
        <w:rPr>
          <w:rFonts w:eastAsia="仿宋_GB2312"/>
          <w:color w:val="000000" w:themeColor="text1"/>
          <w:kern w:val="0"/>
          <w:sz w:val="30"/>
          <w:szCs w:val="32"/>
          <w:u w:val="single"/>
          <w14:textFill>
            <w14:solidFill>
              <w14:schemeClr w14:val="tx1"/>
            </w14:solidFill>
          </w14:textFill>
        </w:rPr>
        <w:t>在共同检查前48小时书面通知监理人</w:t>
      </w:r>
      <w:r>
        <w:rPr>
          <w:rFonts w:eastAsia="仿宋_GB2312"/>
          <w:color w:val="000000" w:themeColor="text1"/>
          <w:sz w:val="30"/>
          <w:szCs w:val="32"/>
          <w14:textFill>
            <w14:solidFill>
              <w14:schemeClr w14:val="tx1"/>
            </w14:solidFill>
          </w14:textFill>
        </w:rPr>
        <w:t>。</w:t>
      </w:r>
    </w:p>
    <w:p w14:paraId="4F728A3A">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监理人不能按时进行检查时，应提前</w:t>
      </w:r>
      <w:r>
        <w:rPr>
          <w:rFonts w:eastAsia="仿宋_GB2312"/>
          <w:color w:val="000000" w:themeColor="text1"/>
          <w:sz w:val="30"/>
          <w:szCs w:val="32"/>
          <w:u w:val="single"/>
          <w14:textFill>
            <w14:solidFill>
              <w14:schemeClr w14:val="tx1"/>
            </w14:solidFill>
          </w14:textFill>
        </w:rPr>
        <w:t xml:space="preserve">  24  </w:t>
      </w:r>
      <w:r>
        <w:rPr>
          <w:rFonts w:eastAsia="仿宋_GB2312"/>
          <w:color w:val="000000" w:themeColor="text1"/>
          <w:sz w:val="30"/>
          <w:szCs w:val="32"/>
          <w14:textFill>
            <w14:solidFill>
              <w14:schemeClr w14:val="tx1"/>
            </w14:solidFill>
          </w14:textFill>
        </w:rPr>
        <w:t>小时提交书面延期要求。</w:t>
      </w:r>
    </w:p>
    <w:p w14:paraId="782DA45D">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关于延期最长不得超过：</w:t>
      </w:r>
      <w:r>
        <w:rPr>
          <w:rFonts w:eastAsia="仿宋_GB2312"/>
          <w:color w:val="000000" w:themeColor="text1"/>
          <w:sz w:val="30"/>
          <w:szCs w:val="32"/>
          <w:u w:val="single"/>
          <w14:textFill>
            <w14:solidFill>
              <w14:schemeClr w14:val="tx1"/>
            </w14:solidFill>
          </w14:textFill>
        </w:rPr>
        <w:t xml:space="preserve">  48  </w:t>
      </w:r>
      <w:r>
        <w:rPr>
          <w:rFonts w:eastAsia="仿宋_GB2312"/>
          <w:color w:val="000000" w:themeColor="text1"/>
          <w:sz w:val="30"/>
          <w:szCs w:val="32"/>
          <w14:textFill>
            <w14:solidFill>
              <w14:schemeClr w14:val="tx1"/>
            </w14:solidFill>
          </w14:textFill>
        </w:rPr>
        <w:t>小时。</w:t>
      </w:r>
    </w:p>
    <w:p w14:paraId="0A078710">
      <w:pPr>
        <w:pStyle w:val="8"/>
        <w:rPr>
          <w:rFonts w:ascii="Times New Roman" w:hAnsi="Times New Roman" w:cs="Times New Roman"/>
          <w:b w:val="0"/>
        </w:rPr>
      </w:pPr>
      <w:bookmarkStart w:id="272" w:name="_Toc351203638"/>
      <w:r>
        <w:rPr>
          <w:rFonts w:ascii="Times New Roman" w:hAnsi="Times New Roman" w:cs="Times New Roman"/>
        </w:rPr>
        <w:t>6. 安全文明施工与环境保护</w:t>
      </w:r>
      <w:bookmarkEnd w:id="272"/>
    </w:p>
    <w:p w14:paraId="5DD52D47">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6.1安全文明施工</w:t>
      </w:r>
    </w:p>
    <w:p w14:paraId="5636ED09">
      <w:pPr>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6.1.1 项目安全生产的达标目标及相应事项的约定</w:t>
      </w:r>
      <w:r>
        <w:rPr>
          <w:rFonts w:eastAsia="仿宋_GB2312"/>
          <w:color w:val="000000" w:themeColor="text1"/>
          <w:sz w:val="30"/>
          <w:szCs w:val="32"/>
          <w:u w:val="single"/>
          <w14:textFill>
            <w14:solidFill>
              <w14:schemeClr w14:val="tx1"/>
            </w14:solidFill>
          </w14:textFill>
        </w:rPr>
        <w:t>：应当遵守国家和工程所在地有关安全生产规定的要求，同时遵守发包人厂区园区的一切安全生产管理规定，执行附件10《相关方安全协议》、附件11《施工现场管理协议》。承包人负责本工程施工作业区、料场、办公区、生活区的安全生产、环境保护、治安、消防管理等工作，对本工程安全生产、文明施工工作承担全部责任。承包人须确保因工重伤、死亡事故为零，若发生重伤、死亡事故，除承担一切责任外须承担违约金100000元/人次。</w:t>
      </w:r>
    </w:p>
    <w:p w14:paraId="14304FDC">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6.1.4 关于治安保卫的特别约定：</w:t>
      </w:r>
      <w:r>
        <w:rPr>
          <w:rFonts w:eastAsia="仿宋_GB2312"/>
          <w:color w:val="000000" w:themeColor="text1"/>
          <w:sz w:val="30"/>
          <w:szCs w:val="32"/>
          <w:u w:val="single"/>
          <w14:textFill>
            <w14:solidFill>
              <w14:schemeClr w14:val="tx1"/>
            </w14:solidFill>
          </w14:textFill>
        </w:rPr>
        <w:t>承包人应为现场保卫提供足够的保安人员及相应设施。</w:t>
      </w:r>
    </w:p>
    <w:p w14:paraId="1C745961">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关于编制施工场地治安管理计划的约定：</w:t>
      </w:r>
      <w:r>
        <w:rPr>
          <w:rFonts w:eastAsia="仿宋_GB2312"/>
          <w:color w:val="000000" w:themeColor="text1"/>
          <w:sz w:val="30"/>
          <w:szCs w:val="32"/>
          <w:u w:val="single"/>
          <w14:textFill>
            <w14:solidFill>
              <w14:schemeClr w14:val="tx1"/>
            </w14:solidFill>
          </w14:textFill>
        </w:rPr>
        <w:t>无</w:t>
      </w:r>
      <w:r>
        <w:rPr>
          <w:rFonts w:eastAsia="仿宋_GB2312"/>
          <w:color w:val="000000" w:themeColor="text1"/>
          <w:sz w:val="30"/>
          <w:szCs w:val="32"/>
          <w14:textFill>
            <w14:solidFill>
              <w14:schemeClr w14:val="tx1"/>
            </w14:solidFill>
          </w14:textFill>
        </w:rPr>
        <w:t>。</w:t>
      </w:r>
    </w:p>
    <w:p w14:paraId="3695A964">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6.1.5 文明施工</w:t>
      </w:r>
    </w:p>
    <w:p w14:paraId="2690424A">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合同当事人对文明施工的要求：</w:t>
      </w:r>
      <w:r>
        <w:rPr>
          <w:rFonts w:eastAsia="仿宋_GB2312"/>
          <w:color w:val="000000" w:themeColor="text1"/>
          <w:sz w:val="30"/>
          <w:szCs w:val="32"/>
          <w:u w:val="single"/>
          <w14:textFill>
            <w14:solidFill>
              <w14:schemeClr w14:val="tx1"/>
            </w14:solidFill>
          </w14:textFill>
        </w:rPr>
        <w:t>详见附件10《相关方安全协议》、附件11《施工现场管理协议》。在工程移交之前，承包人从施工现场清除承包人的全部工程设备、多余材料、垃圾和各种临时工程的费用已包含在合同签约价中，不另行计取</w:t>
      </w:r>
      <w:r>
        <w:rPr>
          <w:rFonts w:eastAsia="仿宋_GB2312"/>
          <w:color w:val="000000" w:themeColor="text1"/>
          <w:sz w:val="30"/>
          <w:szCs w:val="32"/>
          <w14:textFill>
            <w14:solidFill>
              <w14:schemeClr w14:val="tx1"/>
            </w14:solidFill>
          </w14:textFill>
        </w:rPr>
        <w:t>。</w:t>
      </w:r>
    </w:p>
    <w:p w14:paraId="074BC603">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6.1.6 关于安全文明施工费支付比例和支付期限的约定：</w:t>
      </w:r>
    </w:p>
    <w:p w14:paraId="00F80C41">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color w:val="000000" w:themeColor="text1"/>
          <w:sz w:val="30"/>
          <w14:textFill>
            <w14:solidFill>
              <w14:schemeClr w14:val="tx1"/>
            </w14:solidFill>
          </w14:textFill>
        </w:rPr>
        <w:t>支付比例：</w:t>
      </w:r>
      <w:r>
        <w:rPr>
          <w:rFonts w:eastAsia="仿宋_GB2312"/>
          <w:color w:val="000000" w:themeColor="text1"/>
          <w:sz w:val="30"/>
          <w:szCs w:val="32"/>
          <w:u w:val="single"/>
          <w14:textFill>
            <w14:solidFill>
              <w14:schemeClr w14:val="tx1"/>
            </w14:solidFill>
          </w14:textFill>
        </w:rPr>
        <w:sym w:font="Wingdings 2" w:char="00A3"/>
      </w:r>
      <w:r>
        <w:rPr>
          <w:rFonts w:eastAsia="仿宋_GB2312"/>
          <w:color w:val="000000" w:themeColor="text1"/>
          <w:sz w:val="30"/>
          <w:szCs w:val="32"/>
          <w:u w:val="single"/>
          <w14:textFill>
            <w14:solidFill>
              <w14:schemeClr w14:val="tx1"/>
            </w14:solidFill>
          </w14:textFill>
        </w:rPr>
        <w:t>应依据项目属地政府有关规定，已包含在合同预付款中，不另行支付。</w:t>
      </w:r>
    </w:p>
    <w:p w14:paraId="1C72D5DD">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0052"/>
      </w:r>
      <w:r>
        <w:rPr>
          <w:rFonts w:eastAsia="仿宋_GB2312"/>
          <w:color w:val="000000" w:themeColor="text1"/>
          <w:sz w:val="30"/>
          <w:szCs w:val="32"/>
          <w:u w:val="single"/>
          <w14:textFill>
            <w14:solidFill>
              <w14:schemeClr w14:val="tx1"/>
            </w14:solidFill>
          </w14:textFill>
        </w:rPr>
        <w:t>应依据项目属地政府有关规定，在合同第一次付款时一次性全额支付安全文明施工费。</w:t>
      </w:r>
    </w:p>
    <w:p w14:paraId="7C832F63">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color w:val="000000" w:themeColor="text1"/>
          <w:sz w:val="30"/>
          <w14:textFill>
            <w14:solidFill>
              <w14:schemeClr w14:val="tx1"/>
            </w14:solidFill>
          </w14:textFill>
        </w:rPr>
        <w:t>付款形式：</w:t>
      </w:r>
      <w:r>
        <w:rPr>
          <w:rFonts w:eastAsia="仿宋_GB2312"/>
          <w:sz w:val="30"/>
          <w:szCs w:val="32"/>
          <w:u w:val="single"/>
        </w:rPr>
        <w:t>同工程进度款</w:t>
      </w:r>
      <w:r>
        <w:rPr>
          <w:rFonts w:eastAsia="仿宋_GB2312"/>
          <w:color w:val="000000" w:themeColor="text1"/>
          <w:sz w:val="30"/>
          <w:szCs w:val="32"/>
          <w:u w:val="single"/>
          <w14:textFill>
            <w14:solidFill>
              <w14:schemeClr w14:val="tx1"/>
            </w14:solidFill>
          </w14:textFill>
        </w:rPr>
        <w:t>。</w:t>
      </w:r>
    </w:p>
    <w:p w14:paraId="4FBDDA55">
      <w:pPr>
        <w:spacing w:line="360" w:lineRule="auto"/>
        <w:ind w:firstLine="600" w:firstLineChars="200"/>
        <w:jc w:val="left"/>
        <w:rPr>
          <w:rFonts w:eastAsia="仿宋"/>
          <w:color w:val="000000" w:themeColor="text1"/>
          <w:sz w:val="30"/>
          <w:szCs w:val="32"/>
          <w14:textFill>
            <w14:solidFill>
              <w14:schemeClr w14:val="tx1"/>
            </w14:solidFill>
          </w14:textFill>
        </w:rPr>
      </w:pPr>
      <w:r>
        <w:rPr>
          <w:rFonts w:eastAsia="仿宋"/>
          <w:color w:val="000000" w:themeColor="text1"/>
          <w:sz w:val="30"/>
          <w:szCs w:val="30"/>
          <w14:textFill>
            <w14:solidFill>
              <w14:schemeClr w14:val="tx1"/>
            </w14:solidFill>
          </w14:textFill>
        </w:rPr>
        <w:t>支付期限：</w:t>
      </w:r>
      <w:r>
        <w:rPr>
          <w:rFonts w:eastAsia="仿宋"/>
          <w:color w:val="000000" w:themeColor="text1"/>
          <w:sz w:val="30"/>
          <w:szCs w:val="30"/>
          <w14:textFill>
            <w14:solidFill>
              <w14:schemeClr w14:val="tx1"/>
            </w14:solidFill>
          </w14:textFill>
        </w:rPr>
        <w:sym w:font="Wingdings 2" w:char="00A3"/>
      </w:r>
      <w:r>
        <w:rPr>
          <w:rFonts w:eastAsia="仿宋_GB2312"/>
          <w:color w:val="000000" w:themeColor="text1"/>
          <w:sz w:val="30"/>
          <w:szCs w:val="32"/>
          <w:u w:val="single"/>
          <w14:textFill>
            <w14:solidFill>
              <w14:schemeClr w14:val="tx1"/>
            </w14:solidFill>
          </w14:textFill>
        </w:rPr>
        <w:t>发包人在支付合同预付款（已包含安全文明施工费）时；</w:t>
      </w:r>
      <w:r>
        <w:rPr>
          <w:rFonts w:eastAsia="仿宋_GB2312"/>
          <w:color w:val="000000" w:themeColor="text1"/>
          <w:sz w:val="30"/>
          <w:szCs w:val="32"/>
          <w:u w:val="single"/>
          <w14:textFill>
            <w14:solidFill>
              <w14:schemeClr w14:val="tx1"/>
            </w14:solidFill>
          </w14:textFill>
        </w:rPr>
        <w:sym w:font="Wingdings 2" w:char="0052"/>
      </w:r>
      <w:r>
        <w:rPr>
          <w:rFonts w:eastAsia="仿宋_GB2312"/>
          <w:i/>
          <w:iCs/>
          <w:color w:val="000000" w:themeColor="text1"/>
          <w:sz w:val="30"/>
          <w:szCs w:val="32"/>
          <w:u w:val="single"/>
          <w14:textFill>
            <w14:solidFill>
              <w14:schemeClr w14:val="tx1"/>
            </w14:solidFill>
          </w14:textFill>
        </w:rPr>
        <w:t>合同第一次付款时</w:t>
      </w:r>
      <w:r>
        <w:rPr>
          <w:rFonts w:eastAsia="仿宋_GB2312"/>
          <w:color w:val="000000" w:themeColor="text1"/>
          <w:sz w:val="30"/>
          <w:szCs w:val="32"/>
          <w:u w:val="single"/>
          <w14:textFill>
            <w14:solidFill>
              <w14:schemeClr w14:val="tx1"/>
            </w14:solidFill>
          </w14:textFill>
        </w:rPr>
        <w:t>（</w:t>
      </w:r>
      <w:r>
        <w:rPr>
          <w:rFonts w:eastAsia="仿宋_GB2312"/>
          <w:i/>
          <w:iCs/>
          <w:color w:val="000000" w:themeColor="text1"/>
          <w:sz w:val="30"/>
          <w:szCs w:val="32"/>
          <w:u w:val="single"/>
          <w14:textFill>
            <w14:solidFill>
              <w14:schemeClr w14:val="tx1"/>
            </w14:solidFill>
          </w14:textFill>
        </w:rPr>
        <w:t>无预付款时</w:t>
      </w:r>
      <w:r>
        <w:rPr>
          <w:rFonts w:eastAsia="仿宋_GB2312"/>
          <w:color w:val="000000" w:themeColor="text1"/>
          <w:sz w:val="30"/>
          <w:szCs w:val="32"/>
          <w:u w:val="single"/>
          <w14:textFill>
            <w14:solidFill>
              <w14:schemeClr w14:val="tx1"/>
            </w14:solidFill>
          </w14:textFill>
        </w:rPr>
        <w:t>）</w:t>
      </w:r>
      <w:r>
        <w:rPr>
          <w:rFonts w:eastAsia="仿宋"/>
          <w:color w:val="000000" w:themeColor="text1"/>
          <w:sz w:val="30"/>
          <w:szCs w:val="30"/>
          <w14:textFill>
            <w14:solidFill>
              <w14:schemeClr w14:val="tx1"/>
            </w14:solidFill>
          </w14:textFill>
        </w:rPr>
        <w:t>。</w:t>
      </w:r>
    </w:p>
    <w:bookmarkEnd w:id="265"/>
    <w:bookmarkEnd w:id="266"/>
    <w:bookmarkEnd w:id="267"/>
    <w:bookmarkEnd w:id="268"/>
    <w:bookmarkEnd w:id="269"/>
    <w:bookmarkEnd w:id="270"/>
    <w:bookmarkEnd w:id="271"/>
    <w:p w14:paraId="416DC1FA">
      <w:pPr>
        <w:pStyle w:val="8"/>
        <w:rPr>
          <w:rFonts w:ascii="Times New Roman" w:hAnsi="Times New Roman" w:cs="Times New Roman"/>
          <w:b w:val="0"/>
        </w:rPr>
      </w:pPr>
      <w:bookmarkStart w:id="273" w:name="_Toc351203639"/>
      <w:r>
        <w:rPr>
          <w:rFonts w:ascii="Times New Roman" w:hAnsi="Times New Roman" w:cs="Times New Roman"/>
        </w:rPr>
        <w:t>7. 工期和进度</w:t>
      </w:r>
      <w:bookmarkEnd w:id="273"/>
    </w:p>
    <w:p w14:paraId="2AB75828">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7.1 施工组织设计</w:t>
      </w:r>
    </w:p>
    <w:p w14:paraId="56BDC32F">
      <w:pPr>
        <w:ind w:firstLine="600" w:firstLineChars="200"/>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7.1.1 合</w:t>
      </w:r>
      <w:r>
        <w:rPr>
          <w:rFonts w:eastAsia="仿宋_GB2312"/>
          <w:color w:val="000000" w:themeColor="text1"/>
          <w:kern w:val="0"/>
          <w:sz w:val="30"/>
          <w:szCs w:val="32"/>
          <w14:textFill>
            <w14:solidFill>
              <w14:schemeClr w14:val="tx1"/>
            </w14:solidFill>
          </w14:textFill>
        </w:rPr>
        <w:t>同当事人约定的施工组织设计应包括的其他内容：</w:t>
      </w:r>
      <w:r>
        <w:rPr>
          <w:rFonts w:eastAsia="仿宋_GB2312"/>
          <w:color w:val="000000" w:themeColor="text1"/>
          <w:kern w:val="0"/>
          <w:sz w:val="30"/>
          <w:szCs w:val="32"/>
          <w:u w:val="single"/>
          <w14:textFill>
            <w14:solidFill>
              <w14:schemeClr w14:val="tx1"/>
            </w14:solidFill>
          </w14:textFill>
        </w:rPr>
        <w:t>承包人应提交施工现场临时用水用电方案及治安保卫方案。承包人所提交的施工组织设计，不得低于承包人在投标施工组织设计中说明的所有工程内容、标准和承诺。</w:t>
      </w:r>
    </w:p>
    <w:p w14:paraId="48F5B4F2">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 xml:space="preserve">7.1.2 </w:t>
      </w:r>
      <w:r>
        <w:rPr>
          <w:rFonts w:eastAsia="仿宋_GB2312"/>
          <w:color w:val="000000" w:themeColor="text1"/>
          <w:kern w:val="0"/>
          <w:sz w:val="30"/>
          <w:szCs w:val="32"/>
          <w14:textFill>
            <w14:solidFill>
              <w14:schemeClr w14:val="tx1"/>
            </w14:solidFill>
          </w14:textFill>
        </w:rPr>
        <w:t>施工组织设计的提交和修改</w:t>
      </w:r>
    </w:p>
    <w:p w14:paraId="152B7DB6">
      <w:pPr>
        <w:autoSpaceDE w:val="0"/>
        <w:autoSpaceDN w:val="0"/>
        <w:adjustRightInd w:val="0"/>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承包人提交详细施工组织设计的期限的约定：</w:t>
      </w:r>
      <w:r>
        <w:rPr>
          <w:rFonts w:eastAsia="仿宋_GB2312"/>
          <w:color w:val="000000" w:themeColor="text1"/>
          <w:sz w:val="30"/>
          <w:szCs w:val="32"/>
          <w:u w:val="single"/>
          <w14:textFill>
            <w14:solidFill>
              <w14:schemeClr w14:val="tx1"/>
            </w14:solidFill>
          </w14:textFill>
        </w:rPr>
        <w:t>不迟于项目第一次工地例会前七天</w:t>
      </w:r>
      <w:r>
        <w:rPr>
          <w:rFonts w:eastAsia="仿宋_GB2312"/>
          <w:color w:val="000000" w:themeColor="text1"/>
          <w:kern w:val="0"/>
          <w:sz w:val="30"/>
          <w:szCs w:val="32"/>
          <w:u w:val="single"/>
          <w14:textFill>
            <w14:solidFill>
              <w14:schemeClr w14:val="tx1"/>
            </w14:solidFill>
          </w14:textFill>
        </w:rPr>
        <w:t>，向发包人、监理人提交详细的施工组织设计</w:t>
      </w:r>
      <w:r>
        <w:rPr>
          <w:rFonts w:eastAsia="仿宋_GB2312"/>
          <w:color w:val="000000" w:themeColor="text1"/>
          <w:sz w:val="30"/>
          <w:szCs w:val="32"/>
          <w14:textFill>
            <w14:solidFill>
              <w14:schemeClr w14:val="tx1"/>
            </w14:solidFill>
          </w14:textFill>
        </w:rPr>
        <w:t>。</w:t>
      </w:r>
    </w:p>
    <w:p w14:paraId="408261C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发包人和监理人在收到详细的施工组织设计后确认或提出修改意见的期限：</w:t>
      </w:r>
      <w:r>
        <w:rPr>
          <w:rFonts w:eastAsia="仿宋_GB2312"/>
          <w:color w:val="000000" w:themeColor="text1"/>
          <w:kern w:val="0"/>
          <w:sz w:val="30"/>
          <w:szCs w:val="32"/>
          <w:u w:val="single"/>
          <w14:textFill>
            <w14:solidFill>
              <w14:schemeClr w14:val="tx1"/>
            </w14:solidFill>
          </w14:textFill>
        </w:rPr>
        <w:t>收到施工组织设计后7天内确认或提出修改意见</w:t>
      </w:r>
      <w:r>
        <w:rPr>
          <w:rFonts w:eastAsia="仿宋_GB2312"/>
          <w:color w:val="000000" w:themeColor="text1"/>
          <w:sz w:val="30"/>
          <w:szCs w:val="32"/>
          <w14:textFill>
            <w14:solidFill>
              <w14:schemeClr w14:val="tx1"/>
            </w14:solidFill>
          </w14:textFill>
        </w:rPr>
        <w:t>。</w:t>
      </w:r>
    </w:p>
    <w:p w14:paraId="64ED9450">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7</w:t>
      </w:r>
      <w:bookmarkStart w:id="274" w:name="_Toc303539123"/>
      <w:bookmarkStart w:id="275" w:name="_Toc300934966"/>
      <w:bookmarkStart w:id="276" w:name="_Toc297216173"/>
      <w:bookmarkStart w:id="277" w:name="_Toc312678005"/>
      <w:bookmarkStart w:id="278" w:name="_Toc304295541"/>
      <w:bookmarkStart w:id="279" w:name="_Toc297123514"/>
      <w:bookmarkStart w:id="280" w:name="_Toc312677479"/>
      <w:r>
        <w:rPr>
          <w:rFonts w:eastAsia="黑体"/>
          <w:color w:val="000000" w:themeColor="text1"/>
          <w:sz w:val="30"/>
          <w:szCs w:val="32"/>
          <w14:textFill>
            <w14:solidFill>
              <w14:schemeClr w14:val="tx1"/>
            </w14:solidFill>
          </w14:textFill>
        </w:rPr>
        <w:t>.2 施工进度计划</w:t>
      </w:r>
    </w:p>
    <w:p w14:paraId="095FA16D">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7.2.2 施工进度计划的修订</w:t>
      </w:r>
    </w:p>
    <w:p w14:paraId="34C0765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发包人和监理人在收到修订的施工进度计划后确认或提出修改意见的期限：</w:t>
      </w:r>
      <w:r>
        <w:rPr>
          <w:rFonts w:eastAsia="仿宋_GB2312"/>
          <w:color w:val="000000" w:themeColor="text1"/>
          <w:kern w:val="0"/>
          <w:sz w:val="30"/>
          <w:szCs w:val="32"/>
          <w:u w:val="single"/>
          <w14:textFill>
            <w14:solidFill>
              <w14:schemeClr w14:val="tx1"/>
            </w14:solidFill>
          </w14:textFill>
        </w:rPr>
        <w:t>收到修订的施工进度计划后7天内完成确认或提出修改意见</w:t>
      </w:r>
      <w:r>
        <w:rPr>
          <w:rFonts w:eastAsia="仿宋_GB2312"/>
          <w:color w:val="000000" w:themeColor="text1"/>
          <w:sz w:val="30"/>
          <w:szCs w:val="32"/>
          <w14:textFill>
            <w14:solidFill>
              <w14:schemeClr w14:val="tx1"/>
            </w14:solidFill>
          </w14:textFill>
        </w:rPr>
        <w:t>。</w:t>
      </w:r>
    </w:p>
    <w:p w14:paraId="5688B3BB">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7.3 开工</w:t>
      </w:r>
    </w:p>
    <w:p w14:paraId="5563FBC0">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7.3.1 开工准备</w:t>
      </w:r>
    </w:p>
    <w:p w14:paraId="77BDE763">
      <w:pPr>
        <w:spacing w:line="360" w:lineRule="auto"/>
        <w:ind w:firstLine="645"/>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关于承包人提交</w:t>
      </w:r>
      <w:r>
        <w:rPr>
          <w:rFonts w:eastAsia="仿宋_GB2312"/>
          <w:color w:val="000000" w:themeColor="text1"/>
          <w:kern w:val="0"/>
          <w:sz w:val="30"/>
          <w:szCs w:val="32"/>
          <w14:textFill>
            <w14:solidFill>
              <w14:schemeClr w14:val="tx1"/>
            </w14:solidFill>
          </w14:textFill>
        </w:rPr>
        <w:t>工程开工报审表的期限：</w:t>
      </w:r>
      <w:r>
        <w:rPr>
          <w:rFonts w:eastAsia="仿宋_GB2312"/>
          <w:color w:val="000000" w:themeColor="text1"/>
          <w:sz w:val="30"/>
          <w:szCs w:val="32"/>
          <w:u w:val="single"/>
          <w14:textFill>
            <w14:solidFill>
              <w14:schemeClr w14:val="tx1"/>
            </w14:solidFill>
          </w14:textFill>
        </w:rPr>
        <w:t>不迟于项目第一次工地例会前七天</w:t>
      </w:r>
      <w:r>
        <w:rPr>
          <w:rFonts w:eastAsia="仿宋_GB2312"/>
          <w:color w:val="000000" w:themeColor="text1"/>
          <w:sz w:val="30"/>
          <w:szCs w:val="32"/>
          <w14:textFill>
            <w14:solidFill>
              <w14:schemeClr w14:val="tx1"/>
            </w14:solidFill>
          </w14:textFill>
        </w:rPr>
        <w:t>。</w:t>
      </w:r>
    </w:p>
    <w:p w14:paraId="4B62BDB8">
      <w:pPr>
        <w:spacing w:line="360" w:lineRule="auto"/>
        <w:ind w:firstLine="645"/>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关于发包人应完成的其他开工准备工作及期限：</w:t>
      </w:r>
      <w:r>
        <w:rPr>
          <w:rFonts w:eastAsia="仿宋_GB2312"/>
          <w:i/>
          <w:iCs/>
          <w:color w:val="000000" w:themeColor="text1"/>
          <w:sz w:val="30"/>
          <w:szCs w:val="32"/>
          <w:u w:val="single"/>
          <w14:textFill>
            <w14:solidFill>
              <w14:schemeClr w14:val="tx1"/>
            </w14:solidFill>
          </w14:textFill>
        </w:rPr>
        <w:t>根据项目具体情况填写</w:t>
      </w:r>
      <w:r>
        <w:rPr>
          <w:rFonts w:eastAsia="仿宋_GB2312"/>
          <w:color w:val="000000" w:themeColor="text1"/>
          <w:sz w:val="30"/>
          <w:szCs w:val="32"/>
          <w:u w:val="single"/>
          <w14:textFill>
            <w14:solidFill>
              <w14:schemeClr w14:val="tx1"/>
            </w14:solidFill>
          </w14:textFill>
        </w:rPr>
        <w:t>。</w:t>
      </w:r>
    </w:p>
    <w:p w14:paraId="26152652">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关于承包人应完成的其他开工准备工作及期限：</w:t>
      </w:r>
      <w:r>
        <w:rPr>
          <w:rFonts w:eastAsia="仿宋_GB2312"/>
          <w:i/>
          <w:iCs/>
          <w:color w:val="000000" w:themeColor="text1"/>
          <w:sz w:val="30"/>
          <w:szCs w:val="32"/>
          <w:u w:val="single"/>
          <w14:textFill>
            <w14:solidFill>
              <w14:schemeClr w14:val="tx1"/>
            </w14:solidFill>
          </w14:textFill>
        </w:rPr>
        <w:t>根据项目具体情况填写</w:t>
      </w:r>
      <w:r>
        <w:rPr>
          <w:rFonts w:eastAsia="仿宋_GB2312"/>
          <w:color w:val="000000" w:themeColor="text1"/>
          <w:sz w:val="30"/>
          <w:szCs w:val="32"/>
          <w14:textFill>
            <w14:solidFill>
              <w14:schemeClr w14:val="tx1"/>
            </w14:solidFill>
          </w14:textFill>
        </w:rPr>
        <w:t>。</w:t>
      </w:r>
    </w:p>
    <w:p w14:paraId="146BCF8A">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7.3.2开工通知</w:t>
      </w:r>
    </w:p>
    <w:p w14:paraId="07059A02">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因发包人原因造成监理人未能在计划开工日期之日起</w:t>
      </w:r>
      <w:r>
        <w:rPr>
          <w:rFonts w:eastAsia="仿宋_GB2312"/>
          <w:color w:val="000000" w:themeColor="text1"/>
          <w:sz w:val="30"/>
          <w:szCs w:val="32"/>
          <w:u w:val="single"/>
          <w14:textFill>
            <w14:solidFill>
              <w14:schemeClr w14:val="tx1"/>
            </w14:solidFill>
          </w14:textFill>
        </w:rPr>
        <w:t>90</w:t>
      </w:r>
      <w:r>
        <w:rPr>
          <w:rFonts w:eastAsia="仿宋_GB2312"/>
          <w:color w:val="000000" w:themeColor="text1"/>
          <w:sz w:val="30"/>
          <w:szCs w:val="32"/>
          <w14:textFill>
            <w14:solidFill>
              <w14:schemeClr w14:val="tx1"/>
            </w14:solidFill>
          </w14:textFill>
        </w:rPr>
        <w:t>天内发出开工通知的，承包人有权提出价格调整要求，或者解除合同</w:t>
      </w:r>
      <w:bookmarkEnd w:id="274"/>
      <w:bookmarkEnd w:id="275"/>
      <w:bookmarkEnd w:id="276"/>
      <w:bookmarkEnd w:id="277"/>
      <w:bookmarkEnd w:id="278"/>
      <w:bookmarkEnd w:id="279"/>
      <w:bookmarkEnd w:id="280"/>
      <w:r>
        <w:rPr>
          <w:rFonts w:eastAsia="仿宋_GB2312"/>
          <w:color w:val="000000" w:themeColor="text1"/>
          <w:sz w:val="30"/>
          <w:szCs w:val="32"/>
          <w14:textFill>
            <w14:solidFill>
              <w14:schemeClr w14:val="tx1"/>
            </w14:solidFill>
          </w14:textFill>
        </w:rPr>
        <w:t>。</w:t>
      </w:r>
    </w:p>
    <w:p w14:paraId="7CF1ED07">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7</w:t>
      </w:r>
      <w:bookmarkStart w:id="281" w:name="_Toc312677484"/>
      <w:bookmarkStart w:id="282" w:name="_Toc297123516"/>
      <w:bookmarkStart w:id="283" w:name="_Toc297216175"/>
      <w:bookmarkStart w:id="284" w:name="_Toc304295546"/>
      <w:bookmarkStart w:id="285" w:name="_Toc300934968"/>
      <w:bookmarkStart w:id="286" w:name="_Toc303539125"/>
      <w:bookmarkStart w:id="287" w:name="_Toc312678010"/>
      <w:r>
        <w:rPr>
          <w:rFonts w:eastAsia="黑体"/>
          <w:color w:val="000000" w:themeColor="text1"/>
          <w:sz w:val="30"/>
          <w:szCs w:val="32"/>
          <w14:textFill>
            <w14:solidFill>
              <w14:schemeClr w14:val="tx1"/>
            </w14:solidFill>
          </w14:textFill>
        </w:rPr>
        <w:t>.5 工期延误</w:t>
      </w:r>
    </w:p>
    <w:bookmarkEnd w:id="281"/>
    <w:bookmarkEnd w:id="282"/>
    <w:bookmarkEnd w:id="283"/>
    <w:bookmarkEnd w:id="284"/>
    <w:bookmarkEnd w:id="285"/>
    <w:bookmarkEnd w:id="286"/>
    <w:bookmarkEnd w:id="287"/>
    <w:p w14:paraId="681F2F7C">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7.5.1 因发包人原因导致工期延误</w:t>
      </w:r>
    </w:p>
    <w:p w14:paraId="0F6D9153">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（7）因发包人原因导致工期延误的其他情形：</w:t>
      </w:r>
      <w:r>
        <w:rPr>
          <w:rFonts w:eastAsia="仿宋_GB2312"/>
          <w:color w:val="000000" w:themeColor="text1"/>
          <w:sz w:val="30"/>
          <w:szCs w:val="32"/>
          <w:u w:val="single"/>
          <w14:textFill>
            <w14:solidFill>
              <w14:schemeClr w14:val="tx1"/>
            </w14:solidFill>
          </w14:textFill>
        </w:rPr>
        <w:t>因发包人原因导致工期延误的情形须是造成关键线路上的工期延误承包人才能有权要求发包人延长工期，发包人据实顺延工期但不予承担延期造成的费用增加。</w:t>
      </w:r>
    </w:p>
    <w:p w14:paraId="796CD87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7</w:t>
      </w:r>
      <w:bookmarkStart w:id="288" w:name="_Toc318581169"/>
      <w:bookmarkStart w:id="289" w:name="_Toc312678012"/>
      <w:bookmarkStart w:id="290" w:name="_Toc312677486"/>
      <w:bookmarkStart w:id="291" w:name="_Toc297216177"/>
      <w:bookmarkStart w:id="292" w:name="_Toc304295548"/>
      <w:bookmarkStart w:id="293" w:name="_Toc303539127"/>
      <w:bookmarkStart w:id="294" w:name="_Toc297123518"/>
      <w:bookmarkStart w:id="295" w:name="_Toc300934970"/>
      <w:r>
        <w:rPr>
          <w:rFonts w:eastAsia="仿宋_GB2312"/>
          <w:color w:val="000000" w:themeColor="text1"/>
          <w:sz w:val="30"/>
          <w:szCs w:val="32"/>
          <w14:textFill>
            <w14:solidFill>
              <w14:schemeClr w14:val="tx1"/>
            </w14:solidFill>
          </w14:textFill>
        </w:rPr>
        <w:t>.5.2 因承包人原因导致工期延误</w:t>
      </w:r>
    </w:p>
    <w:bookmarkEnd w:id="288"/>
    <w:bookmarkEnd w:id="289"/>
    <w:bookmarkEnd w:id="290"/>
    <w:p w14:paraId="5FBA5494">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因</w:t>
      </w:r>
      <w:bookmarkStart w:id="296" w:name="_Toc318581170"/>
      <w:bookmarkStart w:id="297" w:name="_Toc312678013"/>
      <w:bookmarkStart w:id="298" w:name="_Toc312677487"/>
      <w:r>
        <w:rPr>
          <w:rFonts w:eastAsia="仿宋_GB2312"/>
          <w:color w:val="000000" w:themeColor="text1"/>
          <w:sz w:val="30"/>
          <w:szCs w:val="32"/>
          <w14:textFill>
            <w14:solidFill>
              <w14:schemeClr w14:val="tx1"/>
            </w14:solidFill>
          </w14:textFill>
        </w:rPr>
        <w:t>承包人原因造成工期延误，逾期竣工违约金的计算方法为：</w:t>
      </w:r>
    </w:p>
    <w:p w14:paraId="0A4BA6E2">
      <w:pPr>
        <w:spacing w:line="360" w:lineRule="auto"/>
        <w:ind w:firstLine="600" w:firstLineChars="200"/>
        <w:rPr>
          <w:rFonts w:eastAsia="仿宋_GB2312"/>
          <w:color w:val="000000" w:themeColor="text1"/>
          <w:sz w:val="30"/>
          <w:szCs w:val="32"/>
          <w:u w:val="single"/>
          <w:lang w:bidi="ar"/>
          <w14:textFill>
            <w14:solidFill>
              <w14:schemeClr w14:val="tx1"/>
            </w14:solidFill>
          </w14:textFill>
        </w:rPr>
      </w:pPr>
      <w:r>
        <w:rPr>
          <w:rFonts w:eastAsia="仿宋_GB2312"/>
          <w:color w:val="000000" w:themeColor="text1"/>
          <w:sz w:val="30"/>
          <w:szCs w:val="32"/>
          <w:u w:val="single"/>
          <w:lang w:bidi="ar"/>
          <w14:textFill>
            <w14:solidFill>
              <w14:schemeClr w14:val="tx1"/>
            </w14:solidFill>
          </w14:textFill>
        </w:rPr>
        <w:t>除不可抗力原因外，因任何因素造成的工期延误，总工期均不予顺延，停工费用损失不予计取；承包人不能按合同约定的工期完成任一关键里程碑节点的，各里程碑节点每逾期一天按合同最终结算价0.5‰的金额向发包人支付违约金，没有最终结算价的，按合同签约暂定价的0.5‰计算；各里程碑节点逾期超过90天，每逾期一天按合同最终结算价1‰的金额向发包人支付违约金，没有最终结算价的，按合同签约暂定价的1‰计算，发包人并有权书面通知单方面解除未完成部分工程的合同。若某个节点未完成，但后续节点按期完成且不影响整体工程如期竣工验收合格，发包人可以向承包人无息返还之前未完成节点违约金，但造成发包人的损失部分不予免除。</w:t>
      </w:r>
    </w:p>
    <w:p w14:paraId="134DDBE9">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仿宋_GB2312"/>
          <w:color w:val="000000" w:themeColor="text1"/>
          <w:sz w:val="30"/>
          <w:szCs w:val="32"/>
          <w:lang w:bidi="ar"/>
          <w14:textFill>
            <w14:solidFill>
              <w14:schemeClr w14:val="tx1"/>
            </w14:solidFill>
          </w14:textFill>
        </w:rPr>
        <w:t>若承包人施工进度严重滞后且无有效抢工措施，施工进度无明显改善的或中途除不可抗力因素外的任何停工，经发包人函告后仍未在通知的时间内积极采取有效措施达到现场进度要求的或承包人拒绝继续施工或以行为表示不再施工的，发包人有权自行委托其他施工单位（第三方）替代施工，而不构成违约，且无需得到承包人同意。第三方施工单位施工所发生的费用，由发包人书面认可即视为有效，最终由承包人承担，承担方式：承包人直接向第三方支付或由发包人代为支付，由发包人代为支付的，从承包人剩余的工程款中予以扣除。此外，因承包人的违约行为，发包人还有权视情况解除合同，或/并要求承包人赔偿工程结算总价款或合同约定总价款1%-5%的违约金。</w:t>
      </w:r>
      <w:bookmarkEnd w:id="291"/>
      <w:bookmarkEnd w:id="292"/>
      <w:bookmarkEnd w:id="293"/>
      <w:bookmarkEnd w:id="294"/>
      <w:bookmarkEnd w:id="295"/>
      <w:bookmarkEnd w:id="296"/>
      <w:bookmarkEnd w:id="297"/>
      <w:bookmarkEnd w:id="298"/>
    </w:p>
    <w:p w14:paraId="2CFA28C7">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7</w:t>
      </w:r>
      <w:bookmarkStart w:id="299" w:name="_Toc303539128"/>
      <w:bookmarkStart w:id="300" w:name="_Toc312678015"/>
      <w:bookmarkStart w:id="301" w:name="_Toc297216178"/>
      <w:bookmarkStart w:id="302" w:name="_Toc300934971"/>
      <w:bookmarkStart w:id="303" w:name="_Toc297123519"/>
      <w:bookmarkStart w:id="304" w:name="_Toc304295549"/>
      <w:r>
        <w:rPr>
          <w:rFonts w:eastAsia="黑体"/>
          <w:color w:val="000000" w:themeColor="text1"/>
          <w:sz w:val="30"/>
          <w:szCs w:val="32"/>
          <w14:textFill>
            <w14:solidFill>
              <w14:schemeClr w14:val="tx1"/>
            </w14:solidFill>
          </w14:textFill>
        </w:rPr>
        <w:t>.6 不</w:t>
      </w:r>
      <w:bookmarkEnd w:id="299"/>
      <w:bookmarkEnd w:id="300"/>
      <w:bookmarkEnd w:id="301"/>
      <w:bookmarkEnd w:id="302"/>
      <w:bookmarkEnd w:id="303"/>
      <w:bookmarkEnd w:id="304"/>
      <w:r>
        <w:rPr>
          <w:rFonts w:eastAsia="黑体"/>
          <w:color w:val="000000" w:themeColor="text1"/>
          <w:sz w:val="30"/>
          <w:szCs w:val="32"/>
          <w14:textFill>
            <w14:solidFill>
              <w14:schemeClr w14:val="tx1"/>
            </w14:solidFill>
          </w14:textFill>
        </w:rPr>
        <w:t>利物质条件</w:t>
      </w:r>
    </w:p>
    <w:p w14:paraId="13FB1770">
      <w:pPr>
        <w:spacing w:line="360" w:lineRule="auto"/>
        <w:ind w:firstLine="600" w:firstLineChars="200"/>
        <w:jc w:val="left"/>
        <w:rPr>
          <w:rFonts w:eastAsia="仿宋_GB2312"/>
          <w:color w:val="000000" w:themeColor="text1"/>
          <w:sz w:val="30"/>
          <w:szCs w:val="32"/>
          <w14:textFill>
            <w14:solidFill>
              <w14:schemeClr w14:val="tx1"/>
            </w14:solidFill>
          </w14:textFill>
        </w:rPr>
      </w:pPr>
      <w:bookmarkStart w:id="305" w:name="_Toc297216179"/>
      <w:bookmarkStart w:id="306" w:name="_Toc312678016"/>
      <w:bookmarkStart w:id="307" w:name="_Toc297123520"/>
      <w:bookmarkStart w:id="308" w:name="_Toc304295550"/>
      <w:bookmarkStart w:id="309" w:name="_Toc318581172"/>
      <w:bookmarkStart w:id="310" w:name="_Toc300934972"/>
      <w:bookmarkStart w:id="311" w:name="_Toc303539129"/>
      <w:r>
        <w:rPr>
          <w:rFonts w:eastAsia="仿宋_GB2312"/>
          <w:color w:val="000000" w:themeColor="text1"/>
          <w:sz w:val="30"/>
          <w:szCs w:val="32"/>
          <w14:textFill>
            <w14:solidFill>
              <w14:schemeClr w14:val="tx1"/>
            </w14:solidFill>
          </w14:textFill>
        </w:rPr>
        <w:t>不利物质条件的其他情形和有关约定：</w:t>
      </w:r>
      <w:r>
        <w:rPr>
          <w:rFonts w:eastAsia="仿宋_GB2312"/>
          <w:color w:val="000000" w:themeColor="text1"/>
          <w:sz w:val="30"/>
          <w:szCs w:val="32"/>
          <w:u w:val="single"/>
          <w14:textFill>
            <w14:solidFill>
              <w14:schemeClr w14:val="tx1"/>
            </w14:solidFill>
          </w14:textFill>
        </w:rPr>
        <w:t>不利物质条件发生时，承包人应在24小时内通知监理人和发包人；收到通知24小时内发包人完成核实并通过监理人发出指示</w:t>
      </w:r>
      <w:r>
        <w:rPr>
          <w:rFonts w:eastAsia="仿宋_GB2312"/>
          <w:color w:val="000000" w:themeColor="text1"/>
          <w:sz w:val="30"/>
          <w:szCs w:val="32"/>
          <w14:textFill>
            <w14:solidFill>
              <w14:schemeClr w14:val="tx1"/>
            </w14:solidFill>
          </w14:textFill>
        </w:rPr>
        <w:t>。</w:t>
      </w:r>
    </w:p>
    <w:bookmarkEnd w:id="305"/>
    <w:bookmarkEnd w:id="306"/>
    <w:bookmarkEnd w:id="307"/>
    <w:bookmarkEnd w:id="308"/>
    <w:bookmarkEnd w:id="309"/>
    <w:bookmarkEnd w:id="310"/>
    <w:bookmarkEnd w:id="311"/>
    <w:p w14:paraId="22BEDF8F">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7</w:t>
      </w:r>
      <w:bookmarkStart w:id="312" w:name="_Toc312678017"/>
      <w:bookmarkStart w:id="313" w:name="_Toc297123521"/>
      <w:bookmarkStart w:id="314" w:name="_Toc297216180"/>
      <w:bookmarkStart w:id="315" w:name="_Toc300934973"/>
      <w:bookmarkStart w:id="316" w:name="_Toc303539130"/>
      <w:bookmarkStart w:id="317" w:name="_Toc304295551"/>
      <w:r>
        <w:rPr>
          <w:rFonts w:eastAsia="黑体"/>
          <w:color w:val="000000" w:themeColor="text1"/>
          <w:sz w:val="30"/>
          <w:szCs w:val="32"/>
          <w14:textFill>
            <w14:solidFill>
              <w14:schemeClr w14:val="tx1"/>
            </w14:solidFill>
          </w14:textFill>
        </w:rPr>
        <w:t>.7异常恶劣的气候条件</w:t>
      </w:r>
    </w:p>
    <w:bookmarkEnd w:id="312"/>
    <w:bookmarkEnd w:id="313"/>
    <w:bookmarkEnd w:id="314"/>
    <w:bookmarkEnd w:id="315"/>
    <w:bookmarkEnd w:id="316"/>
    <w:bookmarkEnd w:id="317"/>
    <w:p w14:paraId="0F93297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发包人和承包人同意以下情形视为异常恶劣的气候条件：</w:t>
      </w:r>
    </w:p>
    <w:p w14:paraId="1BA9D29B">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（1）风力：八级以上持续24小时的大风；</w:t>
      </w:r>
    </w:p>
    <w:p w14:paraId="5D015621">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（2）降雨：连续3日日降雨量超过100毫米；</w:t>
      </w:r>
    </w:p>
    <w:p w14:paraId="17521751">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（3）降雪：暴雪红色预警且实际发生；</w:t>
      </w:r>
    </w:p>
    <w:p w14:paraId="4355446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（4）省级气象部门发布的气象预报连续3天40摄氏度以上。</w:t>
      </w:r>
    </w:p>
    <w:p w14:paraId="392E3CA6">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需要主动采取合理措施处理异常恶劣的气候条件以继续施工，如果承包人没有采取合理措施，导致损失扩大，那么无权就损失扩大部分向发包人主张赔偿。同时，承包人要履行通知义务，通知监理人和发包人，并在通知中对异常恶劣的气候条件进行描述，并陈述其在签订合同时对该气候条件难以预见的理由。如果异常恶劣的气候条件发生在因承包人单方原因导致工期延误后的时间内，承包人在此种情况下无权要求发包人延长其工期及/或赔偿任何损失。</w:t>
      </w:r>
    </w:p>
    <w:p w14:paraId="3DD9713D">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7.9 提前竣工的奖励</w:t>
      </w:r>
    </w:p>
    <w:p w14:paraId="59DA0F32">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7.9.2提前竣工的奖励：</w:t>
      </w:r>
      <w:r>
        <w:rPr>
          <w:rFonts w:eastAsia="仿宋_GB2312"/>
          <w:i/>
          <w:iCs/>
          <w:color w:val="000000" w:themeColor="text1"/>
          <w:sz w:val="30"/>
          <w:szCs w:val="32"/>
          <w:u w:val="single"/>
          <w14:textFill>
            <w14:solidFill>
              <w14:schemeClr w14:val="tx1"/>
            </w14:solidFill>
          </w14:textFill>
        </w:rPr>
        <w:t>无或依照招标文件确定</w:t>
      </w:r>
      <w:r>
        <w:rPr>
          <w:rFonts w:eastAsia="仿宋_GB2312"/>
          <w:color w:val="000000" w:themeColor="text1"/>
          <w:sz w:val="30"/>
          <w:szCs w:val="32"/>
          <w14:textFill>
            <w14:solidFill>
              <w14:schemeClr w14:val="tx1"/>
            </w14:solidFill>
          </w14:textFill>
        </w:rPr>
        <w:t>。</w:t>
      </w:r>
    </w:p>
    <w:p w14:paraId="1D85C96F">
      <w:pPr>
        <w:pStyle w:val="8"/>
        <w:rPr>
          <w:rFonts w:ascii="Times New Roman" w:hAnsi="Times New Roman" w:cs="Times New Roman"/>
          <w:b w:val="0"/>
        </w:rPr>
      </w:pPr>
      <w:bookmarkStart w:id="318" w:name="_Toc351203640"/>
      <w:r>
        <w:rPr>
          <w:rFonts w:ascii="Times New Roman" w:hAnsi="Times New Roman" w:cs="Times New Roman"/>
        </w:rPr>
        <w:t>8. 材料与设备</w:t>
      </w:r>
      <w:bookmarkEnd w:id="318"/>
    </w:p>
    <w:bookmarkEnd w:id="255"/>
    <w:bookmarkEnd w:id="256"/>
    <w:bookmarkEnd w:id="257"/>
    <w:bookmarkEnd w:id="258"/>
    <w:bookmarkEnd w:id="259"/>
    <w:bookmarkEnd w:id="260"/>
    <w:bookmarkEnd w:id="261"/>
    <w:bookmarkEnd w:id="262"/>
    <w:bookmarkEnd w:id="263"/>
    <w:bookmarkEnd w:id="264"/>
    <w:p w14:paraId="308D59C1">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8</w:t>
      </w:r>
      <w:bookmarkStart w:id="319" w:name="_Toc304295556"/>
      <w:bookmarkStart w:id="320" w:name="_Toc296890995"/>
      <w:bookmarkStart w:id="321" w:name="_Toc312678019"/>
      <w:bookmarkStart w:id="322" w:name="_Toc300934979"/>
      <w:bookmarkStart w:id="323" w:name="_Toc297123527"/>
      <w:bookmarkStart w:id="324" w:name="_Toc297216186"/>
      <w:bookmarkStart w:id="325" w:name="_Toc292559372"/>
      <w:bookmarkStart w:id="326" w:name="_Toc292559877"/>
      <w:bookmarkStart w:id="327" w:name="_Toc297048353"/>
      <w:bookmarkStart w:id="328" w:name="_Toc296503167"/>
      <w:bookmarkStart w:id="329" w:name="_Toc303539136"/>
      <w:bookmarkStart w:id="330" w:name="_Toc296891207"/>
      <w:bookmarkStart w:id="331" w:name="_Toc312677493"/>
      <w:bookmarkStart w:id="332" w:name="_Toc296347166"/>
      <w:bookmarkStart w:id="333" w:name="_Toc296346668"/>
      <w:bookmarkStart w:id="334" w:name="_Toc296944506"/>
      <w:bookmarkStart w:id="335" w:name="_Toc280868654"/>
      <w:bookmarkStart w:id="336" w:name="_Toc297120467"/>
      <w:bookmarkStart w:id="337" w:name="_Toc280868656"/>
      <w:bookmarkStart w:id="338" w:name="_Toc280868655"/>
      <w:bookmarkStart w:id="339" w:name="_Toc267251424"/>
      <w:r>
        <w:rPr>
          <w:rFonts w:eastAsia="黑体"/>
          <w:color w:val="000000" w:themeColor="text1"/>
          <w:sz w:val="30"/>
          <w:szCs w:val="32"/>
          <w14:textFill>
            <w14:solidFill>
              <w14:schemeClr w14:val="tx1"/>
            </w14:solidFill>
          </w14:textFill>
        </w:rPr>
        <w:t>.4材料与工程设备的保管与使用</w:t>
      </w:r>
    </w:p>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14:paraId="39B8FDF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8</w:t>
      </w:r>
      <w:bookmarkStart w:id="340" w:name="_Toc292559878"/>
      <w:bookmarkStart w:id="341" w:name="_Toc292559373"/>
      <w:bookmarkStart w:id="342" w:name="_Toc296891208"/>
      <w:bookmarkStart w:id="343" w:name="_Toc297048354"/>
      <w:bookmarkStart w:id="344" w:name="_Toc296346669"/>
      <w:bookmarkStart w:id="345" w:name="_Toc304295557"/>
      <w:bookmarkStart w:id="346" w:name="_Toc296503168"/>
      <w:bookmarkStart w:id="347" w:name="_Toc312677494"/>
      <w:bookmarkStart w:id="348" w:name="_Toc318581173"/>
      <w:bookmarkStart w:id="349" w:name="_Toc300934980"/>
      <w:bookmarkStart w:id="350" w:name="_Toc296944507"/>
      <w:bookmarkStart w:id="351" w:name="_Toc296890996"/>
      <w:bookmarkStart w:id="352" w:name="_Toc303539137"/>
      <w:bookmarkStart w:id="353" w:name="_Toc297216187"/>
      <w:bookmarkStart w:id="354" w:name="_Toc297120468"/>
      <w:bookmarkStart w:id="355" w:name="_Toc312678020"/>
      <w:bookmarkStart w:id="356" w:name="_Toc296347167"/>
      <w:bookmarkStart w:id="357" w:name="_Toc297123528"/>
      <w:r>
        <w:rPr>
          <w:rFonts w:eastAsia="仿宋_GB2312"/>
          <w:color w:val="000000" w:themeColor="text1"/>
          <w:sz w:val="30"/>
          <w:szCs w:val="32"/>
          <w14:textFill>
            <w14:solidFill>
              <w14:schemeClr w14:val="tx1"/>
            </w14:solidFill>
          </w14:textFill>
        </w:rPr>
        <w:t>.4.1发包人供应的材料设备的保管费用的承担：</w:t>
      </w:r>
      <w:r>
        <w:rPr>
          <w:rFonts w:eastAsia="仿宋_GB2312"/>
          <w:color w:val="000000" w:themeColor="text1"/>
          <w:sz w:val="30"/>
          <w:szCs w:val="32"/>
          <w:u w:val="single"/>
          <w14:textFill>
            <w14:solidFill>
              <w14:schemeClr w14:val="tx1"/>
            </w14:solidFill>
          </w14:textFill>
        </w:rPr>
        <w:t>已包含在签约合同价中，由承包人承担</w:t>
      </w:r>
      <w:r>
        <w:rPr>
          <w:rFonts w:eastAsia="仿宋_GB2312"/>
          <w:color w:val="000000" w:themeColor="text1"/>
          <w:sz w:val="30"/>
          <w:szCs w:val="32"/>
          <w14:textFill>
            <w14:solidFill>
              <w14:schemeClr w14:val="tx1"/>
            </w14:solidFill>
          </w14:textFill>
        </w:rPr>
        <w:t>。</w:t>
      </w:r>
      <w:bookmarkEnd w:id="340"/>
      <w:bookmarkEnd w:id="341"/>
    </w:p>
    <w:p w14:paraId="08F3665E">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8.6 样品</w:t>
      </w:r>
    </w:p>
    <w:p w14:paraId="7CAAC6C3">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8.6.1</w:t>
      </w:r>
      <w:r>
        <w:rPr>
          <w:rFonts w:eastAsia="仿宋_GB2312"/>
          <w:color w:val="000000" w:themeColor="text1"/>
          <w:kern w:val="0"/>
          <w:sz w:val="30"/>
          <w:szCs w:val="32"/>
          <w14:textFill>
            <w14:solidFill>
              <w14:schemeClr w14:val="tx1"/>
            </w14:solidFill>
          </w14:textFill>
        </w:rPr>
        <w:tab/>
      </w:r>
      <w:r>
        <w:rPr>
          <w:rFonts w:eastAsia="仿宋_GB2312"/>
          <w:color w:val="000000" w:themeColor="text1"/>
          <w:kern w:val="0"/>
          <w:sz w:val="30"/>
          <w:szCs w:val="32"/>
          <w14:textFill>
            <w14:solidFill>
              <w14:schemeClr w14:val="tx1"/>
            </w14:solidFill>
          </w14:textFill>
        </w:rPr>
        <w:t>样品的报送与封存</w:t>
      </w:r>
    </w:p>
    <w:p w14:paraId="3E9823E5">
      <w:pPr>
        <w:autoSpaceDE w:val="0"/>
        <w:autoSpaceDN w:val="0"/>
        <w:adjustRightInd w:val="0"/>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需要承包人报送样品的材料或工程设备，样品的种类、名称、规格、数量要求：</w:t>
      </w:r>
      <w:r>
        <w:rPr>
          <w:rFonts w:eastAsia="仿宋_GB2312"/>
          <w:color w:val="000000" w:themeColor="text1"/>
          <w:sz w:val="30"/>
          <w:szCs w:val="32"/>
          <w:u w:val="single"/>
          <w14:textFill>
            <w14:solidFill>
              <w14:schemeClr w14:val="tx1"/>
            </w14:solidFill>
          </w14:textFill>
        </w:rPr>
        <w:t>报送样品种类满足发包人管理要求，所有样品均须经过发包人和监理人对样品进行书面审批确认后方可采购进场。承包人报送样品的材料或工程设备必须是原厂正品，若使用冒牌、贴牌产品，一经查处，须承担</w:t>
      </w:r>
      <w:r>
        <w:rPr>
          <w:i/>
          <w:color w:val="000000" w:themeColor="text1"/>
          <w:sz w:val="30"/>
          <w:u w:val="single"/>
          <w14:textFill>
            <w14:solidFill>
              <w14:schemeClr w14:val="tx1"/>
            </w14:solidFill>
          </w14:textFill>
        </w:rPr>
        <w:t>100000元</w:t>
      </w:r>
      <w:r>
        <w:rPr>
          <w:rFonts w:eastAsia="仿宋_GB2312"/>
          <w:color w:val="000000" w:themeColor="text1"/>
          <w:sz w:val="30"/>
          <w:szCs w:val="32"/>
          <w:u w:val="single"/>
          <w14:textFill>
            <w14:solidFill>
              <w14:schemeClr w14:val="tx1"/>
            </w14:solidFill>
          </w14:textFill>
        </w:rPr>
        <w:t>/次的违约金并承担因此给发包人造成的损失。</w:t>
      </w:r>
    </w:p>
    <w:p w14:paraId="6DA5E82C">
      <w:pPr>
        <w:pStyle w:val="9"/>
      </w:pPr>
      <w:bookmarkStart w:id="358" w:name="_Toc351203559"/>
      <w:r>
        <w:t>8.7材料与工程设备的替代</w:t>
      </w:r>
      <w:bookmarkEnd w:id="358"/>
    </w:p>
    <w:p w14:paraId="10C8D3FA">
      <w:pPr>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主要设备及主要材料品牌按照附件表中选择。投标文件中已按附件选择品牌的，按投标文件所报品牌执行；未按附件选择的，施工过程中必须按此表选择品牌；附表外其他材料，承包人在投标时明确品牌的必须使用投标品牌。</w:t>
      </w:r>
    </w:p>
    <w:p w14:paraId="0378D832">
      <w:pPr>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未经发包人批准，承包人不得擅自使用替代材料或工程设备，否则视为使用不合格材料，一经发现，无论本工程是否已经竣工或是否验收合格，发包人均有权要求承包人对其进行更换，并按照应该使用的材料及设备总价的2倍向发包人承担违约金，因更换造成的工期延误和费用由承包人承担。在承包人完成更换之前，该部分工程款不予计入进度款或者进行结算。</w:t>
      </w:r>
    </w:p>
    <w:p w14:paraId="4E0A9662">
      <w:pPr>
        <w:ind w:firstLine="675" w:firstLineChars="225"/>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若因市场货源不足或供货时间原因确需采用其他品牌、厂家同类产品替代的，承包人必须报发包人审核批准，并同时核定替代产品的单价。若替代产品的市场单价高于合同约定（投标）品牌市场单价，不予调整；若低于合同约定（投标）品牌市场单价，</w:t>
      </w:r>
      <w:r>
        <w:rPr>
          <w:rFonts w:eastAsia="仿宋"/>
          <w:sz w:val="30"/>
          <w:szCs w:val="32"/>
        </w:rPr>
        <w:t>按市场差价据实调整。</w:t>
      </w:r>
    </w:p>
    <w:p w14:paraId="07380B7E">
      <w:pPr>
        <w:ind w:firstLine="675" w:firstLineChars="225"/>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根据项目需要，发包人有权自行将部分乙购材料、设备改为甲供，或将部分甲供材料、设备改为甲指乙购，价格调整按合同约定条款执行。发包人无需为上述采购方式的变化向承包人支付其他额外费用或者补偿，且工期不予顺延。</w:t>
      </w:r>
    </w:p>
    <w:p w14:paraId="0C1D84BE">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8.8 施工设备和临时设施</w:t>
      </w:r>
    </w:p>
    <w:p w14:paraId="637A27B1">
      <w:pPr>
        <w:autoSpaceDE w:val="0"/>
        <w:autoSpaceDN w:val="0"/>
        <w:adjustRightInd w:val="0"/>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8.8.1 承包人提供的施工设备和临时设施</w:t>
      </w:r>
    </w:p>
    <w:p w14:paraId="605193C1">
      <w:pPr>
        <w:autoSpaceDE w:val="0"/>
        <w:autoSpaceDN w:val="0"/>
        <w:adjustRightInd w:val="0"/>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关于修建临时设施费用承担的约定：</w:t>
      </w:r>
      <w:r>
        <w:rPr>
          <w:rFonts w:eastAsia="仿宋_GB2312"/>
          <w:color w:val="000000" w:themeColor="text1"/>
          <w:sz w:val="30"/>
          <w:szCs w:val="32"/>
          <w:u w:val="single"/>
          <w14:textFill>
            <w14:solidFill>
              <w14:schemeClr w14:val="tx1"/>
            </w14:solidFill>
          </w14:textFill>
        </w:rPr>
        <w:t>承包人承担</w:t>
      </w:r>
      <w:r>
        <w:rPr>
          <w:rFonts w:eastAsia="仿宋_GB2312"/>
          <w:color w:val="000000" w:themeColor="text1"/>
          <w:sz w:val="30"/>
          <w:szCs w:val="32"/>
          <w14:textFill>
            <w14:solidFill>
              <w14:schemeClr w14:val="tx1"/>
            </w14:solidFill>
          </w14:textFill>
        </w:rPr>
        <w:t>。</w:t>
      </w:r>
    </w:p>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14:paraId="349E46E1">
      <w:pPr>
        <w:pStyle w:val="8"/>
        <w:rPr>
          <w:rFonts w:ascii="Times New Roman" w:hAnsi="Times New Roman" w:cs="Times New Roman"/>
          <w:b w:val="0"/>
        </w:rPr>
      </w:pPr>
      <w:bookmarkStart w:id="359" w:name="_Toc351203641"/>
      <w:r>
        <w:rPr>
          <w:rFonts w:ascii="Times New Roman" w:hAnsi="Times New Roman" w:cs="Times New Roman"/>
        </w:rPr>
        <w:t>9</w:t>
      </w:r>
      <w:bookmarkEnd w:id="337"/>
      <w:bookmarkEnd w:id="338"/>
      <w:bookmarkEnd w:id="339"/>
      <w:bookmarkStart w:id="360" w:name="_Toc303539139"/>
      <w:bookmarkStart w:id="361" w:name="_Toc297216192"/>
      <w:bookmarkStart w:id="362" w:name="_Toc312678021"/>
      <w:bookmarkStart w:id="363" w:name="_Toc304295559"/>
      <w:bookmarkStart w:id="364" w:name="_Toc312677495"/>
      <w:bookmarkStart w:id="365" w:name="_Toc297123533"/>
      <w:bookmarkStart w:id="366" w:name="_Toc300934982"/>
      <w:bookmarkStart w:id="367" w:name="_Toc267251428"/>
      <w:bookmarkStart w:id="368" w:name="_Toc292559883"/>
      <w:bookmarkStart w:id="369" w:name="_Toc296891001"/>
      <w:bookmarkStart w:id="370" w:name="_Toc296346674"/>
      <w:bookmarkStart w:id="371" w:name="_Toc297048359"/>
      <w:bookmarkStart w:id="372" w:name="_Toc296891213"/>
      <w:bookmarkStart w:id="373" w:name="_Toc297120473"/>
      <w:bookmarkStart w:id="374" w:name="_Toc296944512"/>
      <w:bookmarkStart w:id="375" w:name="_Toc296347172"/>
      <w:bookmarkStart w:id="376" w:name="_Toc267251427"/>
      <w:bookmarkStart w:id="377" w:name="_Toc292559378"/>
      <w:bookmarkStart w:id="378" w:name="_Toc296503173"/>
      <w:r>
        <w:rPr>
          <w:rFonts w:ascii="Times New Roman" w:hAnsi="Times New Roman" w:cs="Times New Roman"/>
        </w:rPr>
        <w:t>. 试验与检验</w:t>
      </w:r>
      <w:bookmarkEnd w:id="359"/>
    </w:p>
    <w:bookmarkEnd w:id="360"/>
    <w:bookmarkEnd w:id="361"/>
    <w:bookmarkEnd w:id="362"/>
    <w:bookmarkEnd w:id="363"/>
    <w:bookmarkEnd w:id="364"/>
    <w:bookmarkEnd w:id="365"/>
    <w:bookmarkEnd w:id="366"/>
    <w:p w14:paraId="3711F191">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9</w:t>
      </w:r>
      <w:bookmarkStart w:id="379" w:name="_Toc312678022"/>
      <w:bookmarkStart w:id="380" w:name="_Toc304295560"/>
      <w:bookmarkStart w:id="381" w:name="_Toc297216193"/>
      <w:bookmarkStart w:id="382" w:name="_Toc297123534"/>
      <w:bookmarkStart w:id="383" w:name="_Toc303539140"/>
      <w:bookmarkStart w:id="384" w:name="_Toc300934983"/>
      <w:bookmarkStart w:id="385" w:name="_Toc312677496"/>
      <w:r>
        <w:rPr>
          <w:rFonts w:eastAsia="黑体"/>
          <w:color w:val="000000" w:themeColor="text1"/>
          <w:sz w:val="30"/>
          <w:szCs w:val="32"/>
          <w14:textFill>
            <w14:solidFill>
              <w14:schemeClr w14:val="tx1"/>
            </w14:solidFill>
          </w14:textFill>
        </w:rPr>
        <w:t>.1试验设备与试验人员</w:t>
      </w:r>
    </w:p>
    <w:bookmarkEnd w:id="379"/>
    <w:bookmarkEnd w:id="380"/>
    <w:bookmarkEnd w:id="381"/>
    <w:bookmarkEnd w:id="382"/>
    <w:bookmarkEnd w:id="383"/>
    <w:bookmarkEnd w:id="384"/>
    <w:bookmarkEnd w:id="385"/>
    <w:p w14:paraId="466D1A9F">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9</w:t>
      </w:r>
      <w:bookmarkStart w:id="386" w:name="_Toc297216194"/>
      <w:bookmarkStart w:id="387" w:name="_Toc312678023"/>
      <w:bookmarkStart w:id="388" w:name="_Toc312677497"/>
      <w:bookmarkStart w:id="389" w:name="_Toc300934984"/>
      <w:bookmarkStart w:id="390" w:name="_Toc303539141"/>
      <w:bookmarkStart w:id="391" w:name="_Toc304295561"/>
      <w:bookmarkStart w:id="392" w:name="_Toc297123535"/>
      <w:bookmarkStart w:id="393" w:name="_Toc318581174"/>
      <w:r>
        <w:rPr>
          <w:rFonts w:eastAsia="仿宋_GB2312"/>
          <w:color w:val="000000" w:themeColor="text1"/>
          <w:sz w:val="30"/>
          <w:szCs w:val="32"/>
          <w14:textFill>
            <w14:solidFill>
              <w14:schemeClr w14:val="tx1"/>
            </w14:solidFill>
          </w14:textFill>
        </w:rPr>
        <w:t>.1.2 试验设备</w:t>
      </w:r>
    </w:p>
    <w:p w14:paraId="62A3228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施工现场需要配置的试验场所：</w:t>
      </w:r>
      <w:bookmarkEnd w:id="386"/>
      <w:bookmarkEnd w:id="387"/>
      <w:bookmarkEnd w:id="388"/>
      <w:bookmarkEnd w:id="389"/>
      <w:bookmarkEnd w:id="390"/>
      <w:bookmarkEnd w:id="391"/>
      <w:bookmarkEnd w:id="392"/>
      <w:bookmarkStart w:id="394" w:name="_Toc303539142"/>
      <w:bookmarkStart w:id="395" w:name="_Toc297216195"/>
      <w:bookmarkStart w:id="396" w:name="_Toc304295562"/>
      <w:bookmarkStart w:id="397" w:name="_Toc312677498"/>
      <w:bookmarkStart w:id="398" w:name="_Toc312678024"/>
      <w:bookmarkStart w:id="399" w:name="_Toc300934985"/>
      <w:bookmarkStart w:id="400" w:name="_Toc297123536"/>
      <w:r>
        <w:rPr>
          <w:rFonts w:eastAsia="仿宋_GB2312"/>
          <w:color w:val="000000" w:themeColor="text1"/>
          <w:sz w:val="30"/>
          <w:szCs w:val="32"/>
          <w:u w:val="single"/>
          <w14:textFill>
            <w14:solidFill>
              <w14:schemeClr w14:val="tx1"/>
            </w14:solidFill>
          </w14:textFill>
        </w:rPr>
        <w:t>施工单位自行考虑，满足工程需要</w:t>
      </w:r>
      <w:r>
        <w:rPr>
          <w:rFonts w:eastAsia="仿宋_GB2312"/>
          <w:color w:val="000000" w:themeColor="text1"/>
          <w:sz w:val="30"/>
          <w:szCs w:val="32"/>
          <w14:textFill>
            <w14:solidFill>
              <w14:schemeClr w14:val="tx1"/>
            </w14:solidFill>
          </w14:textFill>
        </w:rPr>
        <w:t>。</w:t>
      </w:r>
    </w:p>
    <w:p w14:paraId="2770439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施工现场需要配备的试验设备：</w:t>
      </w:r>
      <w:r>
        <w:rPr>
          <w:rFonts w:eastAsia="仿宋_GB2312"/>
          <w:color w:val="000000" w:themeColor="text1"/>
          <w:sz w:val="30"/>
          <w:szCs w:val="32"/>
          <w:u w:val="single"/>
          <w14:textFill>
            <w14:solidFill>
              <w14:schemeClr w14:val="tx1"/>
            </w14:solidFill>
          </w14:textFill>
        </w:rPr>
        <w:t>施工单位自行考虑，满足工程需要</w:t>
      </w:r>
      <w:r>
        <w:rPr>
          <w:rFonts w:eastAsia="仿宋_GB2312"/>
          <w:color w:val="000000" w:themeColor="text1"/>
          <w:sz w:val="30"/>
          <w:szCs w:val="32"/>
          <w14:textFill>
            <w14:solidFill>
              <w14:schemeClr w14:val="tx1"/>
            </w14:solidFill>
          </w14:textFill>
        </w:rPr>
        <w:t>。</w:t>
      </w:r>
    </w:p>
    <w:p w14:paraId="18DD308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施工现场需要具备的其他试验条件：</w:t>
      </w:r>
      <w:r>
        <w:rPr>
          <w:rFonts w:eastAsia="仿宋_GB2312"/>
          <w:color w:val="000000" w:themeColor="text1"/>
          <w:sz w:val="30"/>
          <w:szCs w:val="32"/>
          <w:u w:val="single"/>
          <w14:textFill>
            <w14:solidFill>
              <w14:schemeClr w14:val="tx1"/>
            </w14:solidFill>
          </w14:textFill>
        </w:rPr>
        <w:t>施工单位自行考虑，满足工程需要</w:t>
      </w:r>
      <w:r>
        <w:rPr>
          <w:rFonts w:eastAsia="仿宋_GB2312"/>
          <w:color w:val="000000" w:themeColor="text1"/>
          <w:sz w:val="30"/>
          <w:szCs w:val="32"/>
          <w14:textFill>
            <w14:solidFill>
              <w14:schemeClr w14:val="tx1"/>
            </w14:solidFill>
          </w14:textFill>
        </w:rPr>
        <w:t>。</w:t>
      </w:r>
    </w:p>
    <w:p w14:paraId="789B6183">
      <w:pPr>
        <w:spacing w:after="156" w:line="360" w:lineRule="auto"/>
        <w:ind w:firstLine="600" w:firstLineChars="200"/>
        <w:rPr>
          <w:b/>
          <w:color w:val="000000" w:themeColor="text1"/>
          <w:sz w:val="30"/>
          <w14:textFill>
            <w14:solidFill>
              <w14:schemeClr w14:val="tx1"/>
            </w14:solidFill>
          </w14:textFill>
        </w:rPr>
      </w:pPr>
      <w:r>
        <w:rPr>
          <w:color w:val="000000" w:themeColor="text1"/>
          <w:sz w:val="30"/>
          <w14:textFill>
            <w14:solidFill>
              <w14:schemeClr w14:val="tx1"/>
            </w14:solidFill>
          </w14:textFill>
        </w:rPr>
        <w:t>9.3材料、工程设备和工程的试验和检验</w:t>
      </w:r>
    </w:p>
    <w:p w14:paraId="7BF8E0D0">
      <w:pPr>
        <w:spacing w:line="360" w:lineRule="auto"/>
        <w:ind w:left="17" w:leftChars="8" w:firstLine="618" w:firstLineChars="206"/>
        <w:rPr>
          <w:rFonts w:eastAsia="仿宋"/>
          <w:sz w:val="30"/>
          <w:szCs w:val="32"/>
          <w:u w:val="single"/>
        </w:rPr>
      </w:pPr>
      <w:r>
        <w:rPr>
          <w:rFonts w:eastAsia="仿宋"/>
          <w:sz w:val="30"/>
          <w:szCs w:val="32"/>
          <w:u w:val="single"/>
        </w:rPr>
        <w:t>项目施工所有试验检测费用（包括但不限于见证取样复试、地基基础检测、主体结构检测、钢结构检测、空气质量检测、弱电检测、外墙保温系统型式检测、防雷检测、消防检测、沉降观测、焊缝检测、配电平台高低压设备的相关试验、高压电缆试验、变压器及箱变试验（按批次随机抽取一台送有资质的第三方进行能效试验）、封闭式母线槽试验（按批次进行铜排含铜率检测）、各类流量计、能量计、温度压力传感器的校验（项目内部验收完移交时，计量装置必须在有效期内）等）均已综合考虑并包含在承包人投标总价中。根据《建设工程质量检测管理办法》第二十一条及《山东省住房和城乡建设厅关于压实建设单位工程质量首要责任的实施办法》，非建设单位委托的检测机构出具的检测报告不得作为工程质量验收资料。乙购材料设备的见证取样送检及施工专项检测（如焊缝探伤等），由发包人委托具有相应资质的第三方检测单位进行检测。若所发生的检测费用由发包人按检测委托合同支付的，在竣工结算时按实际发生检测总费用予以扣除。若所发生的检测费由发包人委托人直接垫付的，由承包人支付给发包人委托人。</w:t>
      </w:r>
    </w:p>
    <w:p w14:paraId="15D58014">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黑体"/>
          <w:color w:val="000000" w:themeColor="text1"/>
          <w:sz w:val="30"/>
          <w:szCs w:val="32"/>
          <w14:textFill>
            <w14:solidFill>
              <w14:schemeClr w14:val="tx1"/>
            </w14:solidFill>
          </w14:textFill>
        </w:rPr>
        <w:t xml:space="preserve">9.4 现场工艺试验 </w:t>
      </w:r>
    </w:p>
    <w:p w14:paraId="3A9F4420">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现场工艺试验的有关约定：</w:t>
      </w:r>
      <w:r>
        <w:rPr>
          <w:rFonts w:eastAsia="仿宋_GB2312"/>
          <w:color w:val="000000" w:themeColor="text1"/>
          <w:sz w:val="30"/>
          <w:szCs w:val="32"/>
          <w:u w:val="single"/>
          <w14:textFill>
            <w14:solidFill>
              <w14:schemeClr w14:val="tx1"/>
            </w14:solidFill>
          </w14:textFill>
        </w:rPr>
        <w:t>执行《通用合同条款》，满足国家相关验收规范规定、项目属地质量安全监督管理机构的要求，由承包人承担相应的费用，已包含在合同签约价中不单独计取</w:t>
      </w:r>
      <w:r>
        <w:rPr>
          <w:rFonts w:eastAsia="仿宋_GB2312"/>
          <w:color w:val="000000" w:themeColor="text1"/>
          <w:sz w:val="30"/>
          <w:szCs w:val="32"/>
          <w14:textFill>
            <w14:solidFill>
              <w14:schemeClr w14:val="tx1"/>
            </w14:solidFill>
          </w14:textFill>
        </w:rPr>
        <w:t>。</w:t>
      </w:r>
    </w:p>
    <w:bookmarkEnd w:id="393"/>
    <w:bookmarkEnd w:id="394"/>
    <w:bookmarkEnd w:id="395"/>
    <w:bookmarkEnd w:id="396"/>
    <w:bookmarkEnd w:id="397"/>
    <w:bookmarkEnd w:id="398"/>
    <w:bookmarkEnd w:id="399"/>
    <w:bookmarkEnd w:id="400"/>
    <w:p w14:paraId="0B0556B2">
      <w:pPr>
        <w:pStyle w:val="8"/>
        <w:rPr>
          <w:rFonts w:ascii="Times New Roman" w:hAnsi="Times New Roman" w:cs="Times New Roman"/>
          <w:b w:val="0"/>
        </w:rPr>
      </w:pPr>
      <w:bookmarkStart w:id="401" w:name="_Toc351203642"/>
      <w:r>
        <w:rPr>
          <w:rFonts w:ascii="Times New Roman" w:hAnsi="Times New Roman" w:cs="Times New Roman"/>
        </w:rPr>
        <w:t>1</w:t>
      </w:r>
      <w:bookmarkEnd w:id="367"/>
      <w:bookmarkEnd w:id="368"/>
      <w:bookmarkEnd w:id="369"/>
      <w:bookmarkEnd w:id="370"/>
      <w:bookmarkEnd w:id="371"/>
      <w:bookmarkEnd w:id="372"/>
      <w:bookmarkEnd w:id="373"/>
      <w:bookmarkEnd w:id="374"/>
      <w:bookmarkEnd w:id="375"/>
      <w:bookmarkEnd w:id="376"/>
      <w:bookmarkEnd w:id="377"/>
      <w:bookmarkEnd w:id="378"/>
      <w:bookmarkStart w:id="402" w:name="_Toc296503193"/>
      <w:bookmarkStart w:id="403" w:name="_Toc296346694"/>
      <w:bookmarkStart w:id="404" w:name="_Toc292559903"/>
      <w:bookmarkStart w:id="405" w:name="_Toc303539146"/>
      <w:bookmarkStart w:id="406" w:name="_Toc296347192"/>
      <w:bookmarkStart w:id="407" w:name="_Toc297123540"/>
      <w:bookmarkStart w:id="408" w:name="_Toc300934989"/>
      <w:bookmarkStart w:id="409" w:name="_Toc304295566"/>
      <w:bookmarkStart w:id="410" w:name="_Toc292559398"/>
      <w:bookmarkStart w:id="411" w:name="_Toc297216199"/>
      <w:bookmarkStart w:id="412" w:name="_Toc297120493"/>
      <w:bookmarkStart w:id="413" w:name="_Toc296944532"/>
      <w:bookmarkStart w:id="414" w:name="_Toc297048379"/>
      <w:bookmarkStart w:id="415" w:name="_Toc296891233"/>
      <w:bookmarkStart w:id="416" w:name="_Toc296891021"/>
      <w:bookmarkStart w:id="417" w:name="_Toc312677499"/>
      <w:bookmarkStart w:id="418" w:name="_Toc312678025"/>
      <w:bookmarkStart w:id="419" w:name="_Toc267251440"/>
      <w:bookmarkStart w:id="420" w:name="_Toc267251439"/>
      <w:bookmarkStart w:id="421" w:name="_Toc267251433"/>
      <w:bookmarkStart w:id="422" w:name="_Toc267251441"/>
      <w:bookmarkStart w:id="423" w:name="_Toc267251435"/>
      <w:bookmarkStart w:id="424" w:name="_Toc267251437"/>
      <w:bookmarkStart w:id="425" w:name="_Toc267251442"/>
      <w:r>
        <w:rPr>
          <w:rFonts w:ascii="Times New Roman" w:hAnsi="Times New Roman" w:cs="Times New Roman"/>
        </w:rPr>
        <w:t>0. 变更</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bookmarkEnd w:id="417"/>
    <w:bookmarkEnd w:id="418"/>
    <w:p w14:paraId="66DBA0AF">
      <w:pPr>
        <w:spacing w:after="156" w:line="360" w:lineRule="auto"/>
        <w:ind w:firstLine="600" w:firstLineChars="200"/>
        <w:rPr>
          <w:rFonts w:eastAsia="黑体"/>
          <w:color w:val="000000" w:themeColor="text1"/>
          <w:sz w:val="30"/>
          <w:szCs w:val="32"/>
          <w:u w:val="single"/>
          <w14:textFill>
            <w14:solidFill>
              <w14:schemeClr w14:val="tx1"/>
            </w14:solidFill>
          </w14:textFill>
        </w:rPr>
      </w:pPr>
      <w:r>
        <w:rPr>
          <w:rFonts w:eastAsia="黑体"/>
          <w:color w:val="000000" w:themeColor="text1"/>
          <w:sz w:val="30"/>
          <w:szCs w:val="32"/>
          <w14:textFill>
            <w14:solidFill>
              <w14:schemeClr w14:val="tx1"/>
            </w14:solidFill>
          </w14:textFill>
        </w:rPr>
        <w:t>1</w:t>
      </w:r>
      <w:bookmarkStart w:id="426" w:name="_Toc297123541"/>
      <w:bookmarkStart w:id="427" w:name="_Toc296503194"/>
      <w:bookmarkStart w:id="428" w:name="_Toc297216200"/>
      <w:bookmarkStart w:id="429" w:name="_Toc304295567"/>
      <w:bookmarkStart w:id="430" w:name="_Toc296891234"/>
      <w:bookmarkStart w:id="431" w:name="_Toc300934990"/>
      <w:bookmarkStart w:id="432" w:name="_Toc303539147"/>
      <w:bookmarkStart w:id="433" w:name="_Toc297048380"/>
      <w:bookmarkStart w:id="434" w:name="_Toc296347193"/>
      <w:bookmarkStart w:id="435" w:name="_Toc297120494"/>
      <w:bookmarkStart w:id="436" w:name="_Toc312677500"/>
      <w:bookmarkStart w:id="437" w:name="_Toc292559904"/>
      <w:bookmarkStart w:id="438" w:name="_Toc296346695"/>
      <w:bookmarkStart w:id="439" w:name="_Toc296891022"/>
      <w:bookmarkStart w:id="440" w:name="_Toc292559399"/>
      <w:bookmarkStart w:id="441" w:name="_Toc296944533"/>
      <w:bookmarkStart w:id="442" w:name="_Toc312678026"/>
      <w:r>
        <w:rPr>
          <w:rFonts w:eastAsia="黑体"/>
          <w:color w:val="000000" w:themeColor="text1"/>
          <w:sz w:val="30"/>
          <w:szCs w:val="32"/>
          <w14:textFill>
            <w14:solidFill>
              <w14:schemeClr w14:val="tx1"/>
            </w14:solidFill>
          </w14:textFill>
        </w:rPr>
        <w:t>0.1变更的范围</w:t>
      </w:r>
    </w:p>
    <w:p w14:paraId="12B0585B">
      <w:pPr>
        <w:spacing w:line="360" w:lineRule="auto"/>
        <w:ind w:firstLine="6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关于变更的范围的约定：</w:t>
      </w:r>
      <w:r>
        <w:rPr>
          <w:rFonts w:eastAsia="仿宋_GB2312"/>
          <w:color w:val="000000" w:themeColor="text1"/>
          <w:sz w:val="30"/>
          <w:szCs w:val="32"/>
          <w:u w:val="single"/>
          <w14:textFill>
            <w14:solidFill>
              <w14:schemeClr w14:val="tx1"/>
            </w14:solidFill>
          </w14:textFill>
        </w:rPr>
        <w:t>执行《通用合同条款》。</w:t>
      </w:r>
    </w:p>
    <w:p w14:paraId="123A5B6D">
      <w:pPr>
        <w:pStyle w:val="9"/>
      </w:pPr>
      <w:bookmarkStart w:id="443" w:name="_Toc351203570"/>
      <w:r>
        <w:t>1</w:t>
      </w:r>
      <w:bookmarkStart w:id="444" w:name="_Toc296346587"/>
      <w:bookmarkStart w:id="445" w:name="_Toc296503086"/>
      <w:bookmarkStart w:id="446" w:name="_Toc337558790"/>
      <w:r>
        <w:t>0.3变更程序</w:t>
      </w:r>
      <w:bookmarkEnd w:id="443"/>
    </w:p>
    <w:bookmarkEnd w:id="444"/>
    <w:bookmarkEnd w:id="445"/>
    <w:bookmarkEnd w:id="446"/>
    <w:p w14:paraId="63D21932">
      <w:pPr>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承包人应遵守发包人制定的变更流程。变更指示应当由发包人以书面形式发出，发包人也可委托监理人向承包人发出变更指示。任何变更指示须经过发包人签字盖章确认后方才有效。根据发包人需要，承包人须在发包人发出通知后2日内递交拟实施变更部分有关的费用预算。</w:t>
      </w:r>
    </w:p>
    <w:p w14:paraId="0E1D80A3">
      <w:pPr>
        <w:spacing w:line="360" w:lineRule="auto"/>
        <w:ind w:firstLine="600" w:firstLineChars="200"/>
        <w:jc w:val="left"/>
        <w:rPr>
          <w:color w:val="000000" w:themeColor="text1"/>
          <w:sz w:val="30"/>
          <w14:textFill>
            <w14:solidFill>
              <w14:schemeClr w14:val="tx1"/>
            </w14:solidFill>
          </w14:textFill>
        </w:rPr>
      </w:pPr>
      <w:r>
        <w:rPr>
          <w:color w:val="000000" w:themeColor="text1"/>
          <w:sz w:val="30"/>
          <w14:textFill>
            <w14:solidFill>
              <w14:schemeClr w14:val="tx1"/>
            </w14:solidFill>
          </w14:textFill>
        </w:rPr>
        <w:t>10.3.3 变更执行</w:t>
      </w:r>
    </w:p>
    <w:p w14:paraId="1CDCAF27">
      <w:pPr>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承包人收到书面变更执行实施的指示后，应立即按变更指示进行变更工作，承包人不得以发包人和承包人之间未能就变更计价达成一致意见而拒绝实施变更工作，由此造成的工期延误和一切损失由承包人承担。</w:t>
      </w:r>
    </w:p>
    <w:p w14:paraId="59383F03">
      <w:pPr>
        <w:pStyle w:val="9"/>
      </w:pPr>
      <w:r>
        <w:t>10.4 变更估价</w:t>
      </w:r>
    </w:p>
    <w:p w14:paraId="5DD639B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10.4.1 变更估价原则</w:t>
      </w:r>
    </w:p>
    <w:p w14:paraId="7E721E30">
      <w:pPr>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 xml:space="preserve">关于变更估价的约定: </w:t>
      </w:r>
      <w:r>
        <w:rPr>
          <w:rFonts w:eastAsia="仿宋_GB2312"/>
          <w:color w:val="000000" w:themeColor="text1"/>
          <w:sz w:val="30"/>
          <w:szCs w:val="32"/>
          <w:u w:val="single"/>
          <w14:textFill>
            <w14:solidFill>
              <w14:schemeClr w14:val="tx1"/>
            </w14:solidFill>
          </w14:textFill>
        </w:rPr>
        <w:t>（1）如发生与原子项相同的清单项，以承包人开标修正后的已标价工程量清单中已有综合单价（按合同协议书约定同比例下浮后）乘以工程量进行结算。</w:t>
      </w:r>
    </w:p>
    <w:p w14:paraId="7AFD146A">
      <w:pPr>
        <w:pStyle w:val="12"/>
        <w:ind w:firstLine="600" w:firstLineChars="200"/>
        <w:rPr>
          <w:rFonts w:ascii="Times New Roman" w:hAnsi="Times New Roman" w:eastAsia="仿宋_GB2312" w:cs="Times New Roman"/>
          <w:color w:val="000000" w:themeColor="text1"/>
          <w:sz w:val="30"/>
          <w:szCs w:val="32"/>
          <w:u w:val="single"/>
          <w14:textFill>
            <w14:solidFill>
              <w14:schemeClr w14:val="tx1"/>
            </w14:solidFill>
          </w14:textFill>
        </w:rPr>
      </w:pPr>
      <w:r>
        <w:rPr>
          <w:rFonts w:ascii="Times New Roman" w:hAnsi="Times New Roman" w:eastAsia="仿宋_GB2312" w:cs="Times New Roman"/>
          <w:color w:val="000000" w:themeColor="text1"/>
          <w:sz w:val="30"/>
          <w:szCs w:val="32"/>
          <w:u w:val="single"/>
          <w14:textFill>
            <w14:solidFill>
              <w14:schemeClr w14:val="tx1"/>
            </w14:solidFill>
          </w14:textFill>
        </w:rPr>
        <w:t>（2）如发生与原子项相类似的清单项，新增清单项的消耗量按原子项执行（高于定额含量的按定额含量执行、低于定额含量的按原投标含量执行）；新增清单项的人工、机械单价执行原子项单价（下浮后），开标修正后的已标价工程量清单中已有价格的材料执行已有清单价格（下浮后），开标修正后的已标价工程量清单中没有价格的主要材料按照发包人、监理人确认的价格执行；管理费、利润等组成综合单价的其他因素均不作调整。按以上原则生成新综合单价，以实际工程量据实结算。</w:t>
      </w:r>
      <w:r>
        <w:rPr>
          <w:rFonts w:ascii="Times New Roman" w:hAnsi="Times New Roman" w:eastAsia="仿宋_GB2312" w:cs="Times New Roman"/>
          <w:i/>
          <w:iCs/>
          <w:color w:val="000000" w:themeColor="text1"/>
          <w:sz w:val="30"/>
          <w:szCs w:val="30"/>
          <w:u w:val="single"/>
          <w14:textFill>
            <w14:solidFill>
              <w14:schemeClr w14:val="tx1"/>
            </w14:solidFill>
          </w14:textFill>
        </w:rPr>
        <w:t>清单已有价格的材料（如电线电缆、管材等）设备，仅规格型号发生变更的，变更后仅调整不同规格型号的材料设备市场价差</w:t>
      </w:r>
      <w:r>
        <w:rPr>
          <w:rFonts w:ascii="Times New Roman" w:hAnsi="Times New Roman" w:cs="Times New Roman"/>
          <w:i/>
          <w:color w:val="000000" w:themeColor="text1"/>
          <w:sz w:val="30"/>
          <w:u w:val="single"/>
          <w14:textFill>
            <w14:solidFill>
              <w14:schemeClr w14:val="tx1"/>
            </w14:solidFill>
          </w14:textFill>
        </w:rPr>
        <w:t>。</w:t>
      </w:r>
    </w:p>
    <w:p w14:paraId="5A0525CF">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（3）非以上（1）、（2）两种情况，按照以下原则据实结算：</w:t>
      </w:r>
    </w:p>
    <w:p w14:paraId="1288676B">
      <w:pPr>
        <w:pStyle w:val="12"/>
        <w:ind w:firstLine="600" w:firstLineChars="200"/>
        <w:rPr>
          <w:rFonts w:ascii="Times New Roman" w:hAnsi="Times New Roman" w:eastAsia="仿宋_GB2312" w:cs="Times New Roman"/>
          <w:color w:val="000000" w:themeColor="text1"/>
          <w:sz w:val="30"/>
          <w:szCs w:val="32"/>
          <w:u w:val="single"/>
          <w14:textFill>
            <w14:solidFill>
              <w14:schemeClr w14:val="tx1"/>
            </w14:solidFill>
          </w14:textFill>
        </w:rPr>
      </w:pPr>
      <w:r>
        <w:rPr>
          <w:rFonts w:ascii="Times New Roman" w:hAnsi="Times New Roman" w:eastAsia="仿宋_GB2312" w:cs="Times New Roman"/>
          <w:color w:val="000000" w:themeColor="text1"/>
          <w:sz w:val="30"/>
          <w:szCs w:val="32"/>
          <w:u w:val="single"/>
          <w14:textFill>
            <w14:solidFill>
              <w14:schemeClr w14:val="tx1"/>
            </w14:solidFill>
          </w14:textFill>
        </w:rPr>
        <w:fldChar w:fldCharType="begin"/>
      </w:r>
      <w:r>
        <w:rPr>
          <w:rFonts w:ascii="Times New Roman" w:hAnsi="Times New Roman" w:eastAsia="仿宋_GB2312" w:cs="Times New Roman"/>
          <w:color w:val="000000" w:themeColor="text1"/>
          <w:sz w:val="30"/>
          <w:szCs w:val="32"/>
          <w:u w:val="single"/>
          <w14:textFill>
            <w14:solidFill>
              <w14:schemeClr w14:val="tx1"/>
            </w14:solidFill>
          </w14:textFill>
        </w:rPr>
        <w:instrText xml:space="preserve"> = 1 \* GB3 \* MERGEFORMAT </w:instrText>
      </w:r>
      <w:r>
        <w:rPr>
          <w:rFonts w:ascii="Times New Roman" w:hAnsi="Times New Roman" w:eastAsia="仿宋_GB2312" w:cs="Times New Roman"/>
          <w:color w:val="000000" w:themeColor="text1"/>
          <w:sz w:val="30"/>
          <w:szCs w:val="32"/>
          <w:u w:val="single"/>
          <w14:textFill>
            <w14:solidFill>
              <w14:schemeClr w14:val="tx1"/>
            </w14:solidFill>
          </w14:textFill>
        </w:rPr>
        <w:fldChar w:fldCharType="separate"/>
      </w:r>
      <w:r>
        <w:rPr>
          <w:rFonts w:hint="eastAsia" w:ascii="宋体" w:hAnsi="宋体" w:cs="宋体"/>
          <w:color w:val="000000" w:themeColor="text1"/>
          <w:sz w:val="30"/>
          <w:szCs w:val="32"/>
          <w:u w:val="single"/>
          <w14:textFill>
            <w14:solidFill>
              <w14:schemeClr w14:val="tx1"/>
            </w14:solidFill>
          </w14:textFill>
        </w:rPr>
        <w:t>①</w:t>
      </w:r>
      <w:r>
        <w:rPr>
          <w:rFonts w:ascii="Times New Roman" w:hAnsi="Times New Roman" w:eastAsia="仿宋_GB2312" w:cs="Times New Roman"/>
          <w:color w:val="000000" w:themeColor="text1"/>
          <w:sz w:val="30"/>
          <w:szCs w:val="32"/>
          <w:u w:val="single"/>
          <w14:textFill>
            <w14:solidFill>
              <w14:schemeClr w14:val="tx1"/>
            </w14:solidFill>
          </w14:textFill>
        </w:rPr>
        <w:fldChar w:fldCharType="end"/>
      </w:r>
      <w:r>
        <w:rPr>
          <w:rFonts w:ascii="Times New Roman" w:hAnsi="Times New Roman" w:eastAsia="仿宋_GB2312" w:cs="Times New Roman"/>
          <w:color w:val="000000" w:themeColor="text1"/>
          <w:sz w:val="30"/>
          <w:szCs w:val="32"/>
          <w:u w:val="single"/>
          <w14:textFill>
            <w14:solidFill>
              <w14:schemeClr w14:val="tx1"/>
            </w14:solidFill>
          </w14:textFill>
        </w:rPr>
        <w:t xml:space="preserve">计价依据： </w:t>
      </w:r>
    </w:p>
    <w:p w14:paraId="15F438F5">
      <w:pPr>
        <w:pStyle w:val="12"/>
        <w:ind w:firstLine="600" w:firstLineChars="200"/>
        <w:rPr>
          <w:rFonts w:ascii="Times New Roman" w:hAnsi="Times New Roman" w:eastAsia="仿宋" w:cs="Times New Roman"/>
          <w:i/>
          <w:iCs/>
          <w:color w:val="000000" w:themeColor="text1"/>
          <w:sz w:val="30"/>
          <w:szCs w:val="30"/>
          <w:u w:val="single"/>
          <w14:textFill>
            <w14:solidFill>
              <w14:schemeClr w14:val="tx1"/>
            </w14:solidFill>
          </w14:textFill>
        </w:rPr>
      </w:pPr>
      <w:r>
        <w:rPr>
          <w:rFonts w:ascii="Times New Roman" w:hAnsi="Times New Roman" w:eastAsia="仿宋" w:cs="Times New Roman"/>
          <w:i/>
          <w:iCs/>
          <w:color w:val="000000" w:themeColor="text1"/>
          <w:sz w:val="30"/>
          <w:szCs w:val="30"/>
          <w:u w:val="single"/>
          <w14:textFill>
            <w14:solidFill>
              <w14:schemeClr w14:val="tx1"/>
            </w14:solidFill>
          </w14:textFill>
        </w:rPr>
        <w:t>《建设工程工程量清单计价标准》（GB/T50500-2024）及配套相关工程量计算标准、《〈建设工程工程量清单计价标准〉实施指引》（鲁建标字〔2025〕6号）《山东省建设工程费用项目组成及计算规则》、《山东省建筑工程消耗量定额》25版、《山东省安装工程消耗量定额》25版、《山东省市政工程消耗量定额》25版、《山东省园林绿化工程消耗量定额》（鲁建标字〔2025〕7号）、2020版《山东省房屋修缮工程消耗量定额》及《济南市价目表》(2026年)；</w:t>
      </w:r>
    </w:p>
    <w:p w14:paraId="5539D49C">
      <w:pPr>
        <w:spacing w:line="360" w:lineRule="auto"/>
        <w:ind w:firstLine="600" w:firstLineChars="200"/>
        <w:rPr>
          <w:rFonts w:eastAsia="仿宋_GB2312"/>
          <w:i/>
          <w:iCs/>
          <w:color w:val="000000" w:themeColor="text1"/>
          <w:sz w:val="30"/>
          <w:szCs w:val="30"/>
          <w:u w:val="single"/>
          <w14:textFill>
            <w14:solidFill>
              <w14:schemeClr w14:val="tx1"/>
            </w14:solidFill>
          </w14:textFill>
        </w:rPr>
      </w:pPr>
      <w:r>
        <w:rPr>
          <w:rFonts w:eastAsia="仿宋_GB2312"/>
          <w:i/>
          <w:iCs/>
          <w:color w:val="000000" w:themeColor="text1"/>
          <w:sz w:val="30"/>
          <w:szCs w:val="30"/>
          <w:u w:val="single"/>
          <w14:textFill>
            <w14:solidFill>
              <w14:schemeClr w14:val="tx1"/>
            </w14:solidFill>
          </w14:textFill>
        </w:rPr>
        <w:fldChar w:fldCharType="begin"/>
      </w:r>
      <w:r>
        <w:rPr>
          <w:rFonts w:eastAsia="仿宋_GB2312"/>
          <w:i/>
          <w:iCs/>
          <w:color w:val="000000" w:themeColor="text1"/>
          <w:sz w:val="30"/>
          <w:szCs w:val="30"/>
          <w:u w:val="single"/>
          <w14:textFill>
            <w14:solidFill>
              <w14:schemeClr w14:val="tx1"/>
            </w14:solidFill>
          </w14:textFill>
        </w:rPr>
        <w:instrText xml:space="preserve"> = 2 \* GB3 \* MERGEFORMAT </w:instrText>
      </w:r>
      <w:r>
        <w:rPr>
          <w:rFonts w:eastAsia="仿宋_GB2312"/>
          <w:i/>
          <w:iCs/>
          <w:color w:val="000000" w:themeColor="text1"/>
          <w:sz w:val="30"/>
          <w:szCs w:val="30"/>
          <w:u w:val="single"/>
          <w14:textFill>
            <w14:solidFill>
              <w14:schemeClr w14:val="tx1"/>
            </w14:solidFill>
          </w14:textFill>
        </w:rPr>
        <w:fldChar w:fldCharType="separate"/>
      </w:r>
      <w:r>
        <w:rPr>
          <w:rFonts w:hint="eastAsia" w:ascii="宋体" w:hAnsi="宋体" w:cs="宋体"/>
          <w:i/>
          <w:iCs/>
          <w:color w:val="000000" w:themeColor="text1"/>
          <w:sz w:val="30"/>
          <w:szCs w:val="30"/>
          <w:u w:val="single"/>
          <w14:textFill>
            <w14:solidFill>
              <w14:schemeClr w14:val="tx1"/>
            </w14:solidFill>
          </w14:textFill>
        </w:rPr>
        <w:t>②</w:t>
      </w:r>
      <w:r>
        <w:rPr>
          <w:rFonts w:eastAsia="仿宋_GB2312"/>
          <w:i/>
          <w:iCs/>
          <w:color w:val="000000" w:themeColor="text1"/>
          <w:sz w:val="30"/>
          <w:szCs w:val="30"/>
          <w:u w:val="single"/>
          <w14:textFill>
            <w14:solidFill>
              <w14:schemeClr w14:val="tx1"/>
            </w14:solidFill>
          </w14:textFill>
        </w:rPr>
        <w:fldChar w:fldCharType="end"/>
      </w:r>
      <w:r>
        <w:rPr>
          <w:rFonts w:eastAsia="仿宋_GB2312"/>
          <w:i/>
          <w:iCs/>
          <w:color w:val="000000" w:themeColor="text1"/>
          <w:sz w:val="30"/>
          <w:szCs w:val="30"/>
          <w:u w:val="single"/>
          <w14:textFill>
            <w14:solidFill>
              <w14:schemeClr w14:val="tx1"/>
            </w14:solidFill>
          </w14:textFill>
        </w:rPr>
        <w:t>工程类别：建筑执行Ⅲ类取费，装饰执行Ⅲ类取费；</w:t>
      </w:r>
    </w:p>
    <w:p w14:paraId="269E5B0F">
      <w:pPr>
        <w:pStyle w:val="12"/>
        <w:ind w:firstLine="600" w:firstLineChars="200"/>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i/>
          <w:iCs/>
          <w:color w:val="000000" w:themeColor="text1"/>
          <w:sz w:val="30"/>
          <w:szCs w:val="30"/>
          <w:u w:val="single"/>
          <w14:textFill>
            <w14:solidFill>
              <w14:schemeClr w14:val="tx1"/>
            </w14:solidFill>
          </w14:textFill>
        </w:rPr>
        <w:fldChar w:fldCharType="begin"/>
      </w:r>
      <w:r>
        <w:rPr>
          <w:rFonts w:ascii="Times New Roman" w:hAnsi="Times New Roman" w:eastAsia="仿宋_GB2312" w:cs="Times New Roman"/>
          <w:i/>
          <w:iCs/>
          <w:color w:val="000000" w:themeColor="text1"/>
          <w:sz w:val="30"/>
          <w:szCs w:val="30"/>
          <w:u w:val="single"/>
          <w14:textFill>
            <w14:solidFill>
              <w14:schemeClr w14:val="tx1"/>
            </w14:solidFill>
          </w14:textFill>
        </w:rPr>
        <w:instrText xml:space="preserve"> = 3 \* GB3 \* MERGEFORMAT </w:instrText>
      </w:r>
      <w:r>
        <w:rPr>
          <w:rFonts w:ascii="Times New Roman" w:hAnsi="Times New Roman" w:eastAsia="仿宋_GB2312" w:cs="Times New Roman"/>
          <w:i/>
          <w:iCs/>
          <w:color w:val="000000" w:themeColor="text1"/>
          <w:sz w:val="30"/>
          <w:szCs w:val="30"/>
          <w:u w:val="single"/>
          <w14:textFill>
            <w14:solidFill>
              <w14:schemeClr w14:val="tx1"/>
            </w14:solidFill>
          </w14:textFill>
        </w:rPr>
        <w:fldChar w:fldCharType="separate"/>
      </w:r>
      <w:r>
        <w:rPr>
          <w:rFonts w:hint="eastAsia" w:ascii="宋体" w:hAnsi="宋体" w:cs="宋体"/>
          <w:i/>
          <w:iCs/>
          <w:color w:val="000000" w:themeColor="text1"/>
          <w:sz w:val="30"/>
          <w:szCs w:val="30"/>
          <w:u w:val="single"/>
          <w14:textFill>
            <w14:solidFill>
              <w14:schemeClr w14:val="tx1"/>
            </w14:solidFill>
          </w14:textFill>
        </w:rPr>
        <w:t>③</w:t>
      </w:r>
      <w:r>
        <w:rPr>
          <w:rFonts w:ascii="Times New Roman" w:hAnsi="Times New Roman" w:eastAsia="仿宋_GB2312" w:cs="Times New Roman"/>
          <w:i/>
          <w:iCs/>
          <w:color w:val="000000" w:themeColor="text1"/>
          <w:sz w:val="30"/>
          <w:szCs w:val="30"/>
          <w:u w:val="single"/>
          <w14:textFill>
            <w14:solidFill>
              <w14:schemeClr w14:val="tx1"/>
            </w14:solidFill>
          </w14:textFill>
        </w:rPr>
        <w:fldChar w:fldCharType="end"/>
      </w:r>
      <w:r>
        <w:rPr>
          <w:rFonts w:ascii="Times New Roman" w:hAnsi="Times New Roman" w:eastAsia="仿宋_GB2312" w:cs="Times New Roman"/>
          <w:i/>
          <w:iCs/>
          <w:color w:val="000000" w:themeColor="text1"/>
          <w:sz w:val="30"/>
          <w:szCs w:val="30"/>
          <w:u w:val="single"/>
          <w14:textFill>
            <w14:solidFill>
              <w14:schemeClr w14:val="tx1"/>
            </w14:solidFill>
          </w14:textFill>
        </w:rPr>
        <w:t>人工费建筑工程142元/工日，装饰工程151元/工日，安装工程151元/工日，市政工程130元/工日，园林绿化工程130元/工日；材料、设备费投标文件中已有价格的材料、设备执行中标价格，投标文件中没有价格的主要材料、设备按照监理方、发包人书面确定的价格执行，其中清单已有价格的材料、设备，仅规格型号发生变更的，变更后仅调整不同规格型号的材料、设备市场价差；</w:t>
      </w:r>
    </w:p>
    <w:p w14:paraId="241827FE">
      <w:pPr>
        <w:spacing w:line="360" w:lineRule="auto"/>
        <w:ind w:firstLine="600" w:firstLineChars="200"/>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fldChar w:fldCharType="begin"/>
      </w:r>
      <w:r>
        <w:rPr>
          <w:rFonts w:eastAsia="仿宋_GB2312"/>
          <w:color w:val="000000" w:themeColor="text1"/>
          <w:sz w:val="30"/>
          <w:szCs w:val="30"/>
          <w:u w:val="single"/>
          <w14:textFill>
            <w14:solidFill>
              <w14:schemeClr w14:val="tx1"/>
            </w14:solidFill>
          </w14:textFill>
        </w:rPr>
        <w:instrText xml:space="preserve"> = 4 \* GB3 \* MERGEFORMAT </w:instrText>
      </w:r>
      <w:r>
        <w:rPr>
          <w:rFonts w:eastAsia="仿宋_GB2312"/>
          <w:color w:val="000000" w:themeColor="text1"/>
          <w:sz w:val="30"/>
          <w:szCs w:val="30"/>
          <w:u w:val="single"/>
          <w14:textFill>
            <w14:solidFill>
              <w14:schemeClr w14:val="tx1"/>
            </w14:solidFill>
          </w14:textFill>
        </w:rPr>
        <w:fldChar w:fldCharType="separate"/>
      </w:r>
      <w:r>
        <w:rPr>
          <w:rFonts w:hint="eastAsia" w:ascii="宋体" w:hAnsi="宋体" w:cs="宋体"/>
          <w:color w:val="000000" w:themeColor="text1"/>
          <w:sz w:val="30"/>
          <w:szCs w:val="30"/>
          <w:u w:val="single"/>
          <w14:textFill>
            <w14:solidFill>
              <w14:schemeClr w14:val="tx1"/>
            </w14:solidFill>
          </w14:textFill>
        </w:rPr>
        <w:t>④</w:t>
      </w:r>
      <w:r>
        <w:rPr>
          <w:rFonts w:eastAsia="仿宋_GB2312"/>
          <w:color w:val="000000" w:themeColor="text1"/>
          <w:sz w:val="30"/>
          <w:szCs w:val="30"/>
          <w:u w:val="single"/>
          <w14:textFill>
            <w14:solidFill>
              <w14:schemeClr w14:val="tx1"/>
            </w14:solidFill>
          </w14:textFill>
        </w:rPr>
        <w:fldChar w:fldCharType="end"/>
      </w:r>
      <w:r>
        <w:rPr>
          <w:rFonts w:eastAsia="仿宋_GB2312"/>
          <w:color w:val="000000" w:themeColor="text1"/>
          <w:sz w:val="30"/>
          <w:szCs w:val="30"/>
          <w:u w:val="single"/>
          <w14:textFill>
            <w14:solidFill>
              <w14:schemeClr w14:val="tx1"/>
            </w14:solidFill>
          </w14:textFill>
        </w:rPr>
        <w:t>承包人按上述原则就清单外工作内容</w:t>
      </w:r>
      <w:r>
        <w:rPr>
          <w:rFonts w:eastAsia="仿宋_GB2312"/>
          <w:sz w:val="30"/>
          <w:szCs w:val="30"/>
          <w:u w:val="single"/>
        </w:rPr>
        <w:t>按总造价最终优惠率</w:t>
      </w:r>
      <w:r>
        <w:rPr>
          <w:rFonts w:eastAsia="仿宋_GB2312"/>
          <w:color w:val="000000" w:themeColor="text1"/>
          <w:sz w:val="30"/>
          <w:szCs w:val="30"/>
          <w:u w:val="single"/>
          <w14:textFill>
            <w14:solidFill>
              <w14:schemeClr w14:val="tx1"/>
            </w14:solidFill>
          </w14:textFill>
        </w:rPr>
        <w:t>（即让利）【】%</w:t>
      </w:r>
      <w:r>
        <w:rPr>
          <w:rFonts w:eastAsia="仿宋_GB2312"/>
          <w:sz w:val="30"/>
          <w:szCs w:val="30"/>
          <w:u w:val="single"/>
        </w:rPr>
        <w:t>（取5%与总价下浮率的较大值，总价下浮率=1-最后一轮澄清总报价/清标修正后的总报价）</w:t>
      </w:r>
      <w:r>
        <w:rPr>
          <w:rFonts w:eastAsia="仿宋_GB2312"/>
          <w:i/>
          <w:iCs/>
          <w:color w:val="000000" w:themeColor="text1"/>
          <w:sz w:val="30"/>
          <w:szCs w:val="30"/>
          <w:u w:val="single"/>
          <w14:textFill>
            <w14:solidFill>
              <w14:schemeClr w14:val="tx1"/>
            </w14:solidFill>
          </w14:textFill>
        </w:rPr>
        <w:t>；但经招标人审核签认的计入设备费的设备价格不参与让利</w:t>
      </w:r>
      <w:r>
        <w:rPr>
          <w:rFonts w:eastAsia="仿宋_GB2312"/>
          <w:color w:val="000000" w:themeColor="text1"/>
          <w:sz w:val="30"/>
          <w:szCs w:val="30"/>
          <w:u w:val="single"/>
          <w14:textFill>
            <w14:solidFill>
              <w14:schemeClr w14:val="tx1"/>
            </w14:solidFill>
          </w14:textFill>
        </w:rPr>
        <w:t>（材料和设备划分标准执行《建筑工程计价设备材料划分标准》GB/T50531-2009）。</w:t>
      </w:r>
    </w:p>
    <w:p w14:paraId="4DC2F112">
      <w:pPr>
        <w:spacing w:line="360" w:lineRule="auto"/>
        <w:ind w:firstLine="600" w:firstLineChars="200"/>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t>（4）非以上（1）、（2）、（3）三种情况，由承包人事前提出书面报价，由发包人按照规定程序审批后确定单价，以实际工程量结算。</w:t>
      </w:r>
    </w:p>
    <w:p w14:paraId="4AA7296A">
      <w:pPr>
        <w:spacing w:line="360" w:lineRule="auto"/>
        <w:ind w:firstLine="600" w:firstLineChars="200"/>
        <w:rPr>
          <w:rFonts w:eastAsia="仿宋_GB2312"/>
          <w:color w:val="000000" w:themeColor="text1"/>
          <w:sz w:val="30"/>
          <w:szCs w:val="30"/>
          <w:u w:val="single"/>
          <w14:textFill>
            <w14:solidFill>
              <w14:schemeClr w14:val="tx1"/>
            </w14:solidFill>
          </w14:textFill>
        </w:rPr>
      </w:pPr>
      <w:r>
        <w:rPr>
          <w:rFonts w:eastAsia="仿宋"/>
          <w:color w:val="000000" w:themeColor="text1"/>
          <w:sz w:val="30"/>
          <w:szCs w:val="30"/>
          <w:u w:val="single"/>
          <w14:textFill>
            <w14:solidFill>
              <w14:schemeClr w14:val="tx1"/>
            </w14:solidFill>
          </w14:textFill>
        </w:rPr>
        <w:t>（</w:t>
      </w:r>
      <w:r>
        <w:rPr>
          <w:rFonts w:eastAsia="仿宋_GB2312"/>
          <w:color w:val="000000" w:themeColor="text1"/>
          <w:sz w:val="30"/>
          <w:szCs w:val="30"/>
          <w:u w:val="single"/>
          <w14:textFill>
            <w14:solidFill>
              <w14:schemeClr w14:val="tx1"/>
            </w14:solidFill>
          </w14:textFill>
        </w:rPr>
        <w:t>5）按上述原则组成的新综合单价，明显偏离市场价时，发包人有权利对其价格进行调整。</w:t>
      </w:r>
    </w:p>
    <w:p w14:paraId="09EC943D">
      <w:pPr>
        <w:spacing w:line="360" w:lineRule="auto"/>
        <w:ind w:firstLine="600" w:firstLineChars="200"/>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t>（6）招标文件或其他有关文件中所列材料暂定价按照发包人书面确定的价格进行调整。</w:t>
      </w:r>
    </w:p>
    <w:p w14:paraId="53FF9BA3">
      <w:pPr>
        <w:spacing w:line="360" w:lineRule="auto"/>
        <w:ind w:firstLine="600" w:firstLineChars="200"/>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t>（7）因变更或其它情况（除本条后面另行约定外）导致实际完成的工程量与预算书或工程量清单中有变化时，综合单价不予调整。但当实际完成的工程量比已标价工程量清单载明的工程量增加超过15%，且发包人发现承包人的已标价工程量清单相关清单子目中存在异常偏高的，超出已标价工程量清单载明的工程量15%的部分，发包人有权对异常偏高的综合单价进行修正，并按修正后的综合单价进行竣工结算。异常偏高是指清单综合单价（下浮后）与发包人按照10.4.1（变更估价原则）第（3）条约定而确定的综合单价高出50%及以上，发包人有权对异常偏高的综合单价按照10.4.1第（3）条进行修正。</w:t>
      </w:r>
    </w:p>
    <w:p w14:paraId="10028DE4">
      <w:pPr>
        <w:spacing w:line="360" w:lineRule="auto"/>
        <w:ind w:firstLine="600" w:firstLineChars="200"/>
        <w:rPr>
          <w:i/>
          <w:color w:val="000000" w:themeColor="text1"/>
          <w:sz w:val="30"/>
          <w:u w:val="single"/>
          <w14:textFill>
            <w14:solidFill>
              <w14:schemeClr w14:val="tx1"/>
            </w14:solidFill>
          </w14:textFill>
        </w:rPr>
      </w:pPr>
      <w:r>
        <w:rPr>
          <w:i/>
          <w:color w:val="000000" w:themeColor="text1"/>
          <w:sz w:val="30"/>
          <w:u w:val="single"/>
          <w14:textFill>
            <w14:solidFill>
              <w14:schemeClr w14:val="tx1"/>
            </w14:solidFill>
          </w14:textFill>
        </w:rPr>
        <w:t>（8）</w:t>
      </w:r>
      <w:r>
        <w:rPr>
          <w:i/>
          <w:color w:val="000000" w:themeColor="text1"/>
          <w:sz w:val="30"/>
          <w:u w:val="single"/>
          <w14:textFill>
            <w14:solidFill>
              <w14:schemeClr w14:val="tx1"/>
            </w14:solidFill>
          </w14:textFill>
        </w:rPr>
        <w:sym w:font="Wingdings 2" w:char="0052"/>
      </w:r>
      <w:r>
        <w:rPr>
          <w:i/>
          <w:color w:val="000000" w:themeColor="text1"/>
          <w:sz w:val="30"/>
          <w:u w:val="single"/>
          <w14:textFill>
            <w14:solidFill>
              <w14:schemeClr w14:val="tx1"/>
            </w14:solidFill>
          </w14:textFill>
        </w:rPr>
        <w:t>本工程清单内及清单外所有的措施费总价包干使用。无论发生任何变化，措施费均不做调整；。</w:t>
      </w:r>
    </w:p>
    <w:p w14:paraId="4D0A16DB">
      <w:pPr>
        <w:spacing w:line="360" w:lineRule="auto"/>
        <w:ind w:firstLine="600" w:firstLineChars="200"/>
        <w:rPr>
          <w:rFonts w:eastAsia="仿宋_GB2312"/>
          <w:i/>
          <w:color w:val="000000" w:themeColor="text1"/>
          <w:sz w:val="30"/>
          <w:u w:val="single"/>
          <w14:textFill>
            <w14:solidFill>
              <w14:schemeClr w14:val="tx1"/>
            </w14:solidFill>
          </w14:textFill>
        </w:rPr>
      </w:pPr>
      <w:r>
        <w:rPr>
          <w:rFonts w:eastAsia="仿宋_GB2312"/>
          <w:i/>
          <w:color w:val="000000" w:themeColor="text1"/>
          <w:sz w:val="30"/>
          <w:u w:val="single"/>
          <w14:textFill>
            <w14:solidFill>
              <w14:schemeClr w14:val="tx1"/>
            </w14:solidFill>
          </w14:textFill>
        </w:rPr>
        <w:sym w:font="Wingdings 2" w:char="0052"/>
      </w:r>
      <w:r>
        <w:rPr>
          <w:rFonts w:eastAsia="仿宋_GB2312"/>
          <w:sz w:val="30"/>
          <w:u w:val="single"/>
        </w:rPr>
        <w:t>承包人已对拟建工程</w:t>
      </w:r>
      <w:bookmarkStart w:id="447" w:name="_Hlk185602195"/>
      <w:r>
        <w:rPr>
          <w:rFonts w:eastAsia="仿宋_GB2312"/>
          <w:sz w:val="30"/>
          <w:u w:val="single"/>
        </w:rPr>
        <w:t>（含设计变更及工程量变化）</w:t>
      </w:r>
      <w:bookmarkEnd w:id="447"/>
      <w:r>
        <w:rPr>
          <w:rFonts w:eastAsia="仿宋_GB2312"/>
          <w:sz w:val="30"/>
          <w:u w:val="single"/>
        </w:rPr>
        <w:t>可能发生的措施项目和措施费用作通盘考虑，清单计价一经报出即被认为是包括了所有应该发生的措施项目的全部费用。如果报出的清单中没有列项，而施工中又必须发生的项目，发包人有权认为，其已经综合在分部分项工程量清单的综合单价中。将来措施项目发生时承包人不得以任何借口提出索赔与调整，中标清单措施费包干使用</w:t>
      </w:r>
      <w:bookmarkStart w:id="448" w:name="_Hlk185602233"/>
      <w:r>
        <w:rPr>
          <w:rFonts w:eastAsia="仿宋_GB2312"/>
          <w:sz w:val="30"/>
          <w:u w:val="single"/>
        </w:rPr>
        <w:t>，</w:t>
      </w:r>
      <w:bookmarkStart w:id="449" w:name="_Hlk183179759"/>
      <w:r>
        <w:rPr>
          <w:rFonts w:eastAsia="仿宋_GB2312"/>
          <w:sz w:val="30"/>
          <w:u w:val="single"/>
        </w:rPr>
        <w:t>均不作任何调整</w:t>
      </w:r>
      <w:bookmarkEnd w:id="448"/>
      <w:bookmarkEnd w:id="449"/>
      <w:r>
        <w:rPr>
          <w:rFonts w:eastAsia="仿宋_GB2312"/>
          <w:sz w:val="30"/>
          <w:u w:val="single"/>
        </w:rPr>
        <w:t>。</w:t>
      </w:r>
    </w:p>
    <w:p w14:paraId="171B9DC9">
      <w:pPr>
        <w:spacing w:line="360" w:lineRule="auto"/>
        <w:ind w:firstLine="600" w:firstLineChars="200"/>
        <w:rPr>
          <w:rFonts w:eastAsia="仿宋_GB2312"/>
          <w:color w:val="000000" w:themeColor="text1"/>
          <w:sz w:val="30"/>
          <w:u w:val="single"/>
          <w14:textFill>
            <w14:solidFill>
              <w14:schemeClr w14:val="tx1"/>
            </w14:solidFill>
          </w14:textFill>
        </w:rPr>
      </w:pPr>
      <w:r>
        <w:rPr>
          <w:rFonts w:eastAsia="仿宋_GB2312"/>
          <w:i/>
          <w:color w:val="000000" w:themeColor="text1"/>
          <w:sz w:val="30"/>
          <w:u w:val="single"/>
          <w14:textFill>
            <w14:solidFill>
              <w14:schemeClr w14:val="tx1"/>
            </w14:solidFill>
          </w14:textFill>
        </w:rPr>
        <w:t>（9）</w:t>
      </w:r>
      <w:r>
        <w:rPr>
          <w:rFonts w:eastAsia="仿宋_GB2312"/>
          <w:color w:val="000000" w:themeColor="text1"/>
          <w:sz w:val="30"/>
          <w:u w:val="single"/>
          <w14:textFill>
            <w14:solidFill>
              <w14:schemeClr w14:val="tx1"/>
            </w14:solidFill>
          </w14:textFill>
        </w:rPr>
        <w:t>本项目总承包服务费及甲供材料（设备）采保费：</w:t>
      </w:r>
    </w:p>
    <w:p w14:paraId="1980F3C6">
      <w:pPr>
        <w:spacing w:line="360" w:lineRule="auto"/>
        <w:ind w:firstLine="600" w:firstLineChars="200"/>
        <w:rPr>
          <w:rFonts w:eastAsia="仿宋_GB2312"/>
          <w:i/>
          <w:color w:val="000000" w:themeColor="text1"/>
          <w:sz w:val="30"/>
          <w:u w:val="single"/>
          <w14:textFill>
            <w14:solidFill>
              <w14:schemeClr w14:val="tx1"/>
            </w14:solidFill>
          </w14:textFill>
        </w:rPr>
      </w:pPr>
      <w:bookmarkStart w:id="450" w:name="_Hlk185602252"/>
      <w:r>
        <w:rPr>
          <w:rFonts w:eastAsia="仿宋_GB2312"/>
          <w:color w:val="000000" w:themeColor="text1"/>
          <w:sz w:val="30"/>
          <w:u w:val="single"/>
          <w14:textFill>
            <w14:solidFill>
              <w14:schemeClr w14:val="tx1"/>
            </w14:solidFill>
          </w14:textFill>
        </w:rPr>
        <w:sym w:font="Wingdings 2" w:char="00A3"/>
      </w:r>
      <w:bookmarkEnd w:id="450"/>
      <w:r>
        <w:rPr>
          <w:rFonts w:eastAsia="仿宋_GB2312"/>
          <w:color w:val="000000" w:themeColor="text1"/>
          <w:sz w:val="30"/>
          <w:u w:val="single"/>
          <w14:textFill>
            <w14:solidFill>
              <w14:schemeClr w14:val="tx1"/>
            </w14:solidFill>
          </w14:textFill>
        </w:rPr>
        <w:t>无。</w:t>
      </w:r>
      <w:r>
        <w:rPr>
          <w:rFonts w:eastAsia="仿宋_GB2312"/>
          <w:color w:val="000000" w:themeColor="text1"/>
          <w:sz w:val="30"/>
          <w:u w:val="single"/>
          <w14:textFill>
            <w14:solidFill>
              <w14:schemeClr w14:val="tx1"/>
            </w14:solidFill>
          </w14:textFill>
        </w:rPr>
        <w:sym w:font="Wingdings 2" w:char="00A3"/>
      </w:r>
      <w:r>
        <w:rPr>
          <w:rFonts w:eastAsia="仿宋_GB2312"/>
          <w:color w:val="000000" w:themeColor="text1"/>
          <w:sz w:val="30"/>
          <w:u w:val="single"/>
          <w14:textFill>
            <w14:solidFill>
              <w14:schemeClr w14:val="tx1"/>
            </w14:solidFill>
          </w14:textFill>
        </w:rPr>
        <w:t>【   】万元，</w:t>
      </w:r>
      <w:r>
        <w:rPr>
          <w:rFonts w:eastAsia="仿宋_GB2312"/>
          <w:i/>
          <w:color w:val="000000" w:themeColor="text1"/>
          <w:sz w:val="30"/>
          <w:u w:val="single"/>
          <w14:textFill>
            <w14:solidFill>
              <w14:schemeClr w14:val="tx1"/>
            </w14:solidFill>
          </w14:textFill>
        </w:rPr>
        <w:t>包干使用。（</w:t>
      </w:r>
      <w:r>
        <w:rPr>
          <w:rFonts w:eastAsia="仿宋_GB2312"/>
          <w:color w:val="000000" w:themeColor="text1"/>
          <w:sz w:val="30"/>
          <w:u w:val="single"/>
          <w14:textFill>
            <w14:solidFill>
              <w14:schemeClr w14:val="tx1"/>
            </w14:solidFill>
          </w14:textFill>
        </w:rPr>
        <w:t>说明：</w:t>
      </w:r>
      <w:r>
        <w:rPr>
          <w:rFonts w:eastAsia="仿宋_GB2312"/>
          <w:i/>
          <w:color w:val="000000" w:themeColor="text1"/>
          <w:sz w:val="30"/>
          <w:u w:val="single"/>
          <w14:textFill>
            <w14:solidFill>
              <w14:schemeClr w14:val="tx1"/>
            </w14:solidFill>
          </w14:textFill>
        </w:rPr>
        <w:t>根据项目实际情况填写。）</w:t>
      </w:r>
    </w:p>
    <w:p w14:paraId="0314BEE9">
      <w:pPr>
        <w:spacing w:line="360" w:lineRule="auto"/>
        <w:ind w:firstLine="600" w:firstLineChars="200"/>
        <w:rPr>
          <w:rFonts w:eastAsia="仿宋_GB2312"/>
          <w:i/>
          <w:color w:val="000000" w:themeColor="text1"/>
          <w:sz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t>（10）税金：本工程增值税税率为9%。</w:t>
      </w:r>
      <w:r>
        <w:rPr>
          <w:rFonts w:eastAsia="仿宋_GB2312"/>
          <w:i/>
          <w:color w:val="000000" w:themeColor="text1"/>
          <w:sz w:val="30"/>
          <w:u w:val="single"/>
          <w14:textFill>
            <w14:solidFill>
              <w14:schemeClr w14:val="tx1"/>
            </w14:solidFill>
          </w14:textFill>
        </w:rPr>
        <w:t>（说明：根据最新政策调整）</w:t>
      </w:r>
    </w:p>
    <w:p w14:paraId="4DECAB2A">
      <w:pPr>
        <w:spacing w:line="360" w:lineRule="auto"/>
        <w:ind w:firstLine="600" w:firstLineChars="200"/>
        <w:rPr>
          <w:rFonts w:eastAsia="仿宋_GB2312"/>
          <w:i/>
          <w:iCs/>
          <w:color w:val="000000" w:themeColor="text1"/>
          <w:sz w:val="30"/>
          <w:szCs w:val="30"/>
          <w:u w:val="single"/>
          <w14:textFill>
            <w14:solidFill>
              <w14:schemeClr w14:val="tx1"/>
            </w14:solidFill>
          </w14:textFill>
        </w:rPr>
      </w:pPr>
      <w:bookmarkStart w:id="451" w:name="_Hlk185602285"/>
      <w:r>
        <w:rPr>
          <w:rFonts w:eastAsia="仿宋_GB2312"/>
          <w:i/>
          <w:iCs/>
          <w:color w:val="000000" w:themeColor="text1"/>
          <w:sz w:val="30"/>
          <w:szCs w:val="30"/>
          <w:u w:val="single"/>
          <w14:textFill>
            <w14:solidFill>
              <w14:schemeClr w14:val="tx1"/>
            </w14:solidFill>
          </w14:textFill>
        </w:rPr>
        <w:t>（11）计日工</w:t>
      </w:r>
      <w:r>
        <w:rPr>
          <w:rFonts w:hint="eastAsia" w:eastAsia="仿宋_GB2312"/>
          <w:i/>
          <w:iCs/>
          <w:color w:val="000000" w:themeColor="text1"/>
          <w:sz w:val="30"/>
          <w:szCs w:val="30"/>
          <w:u w:val="single"/>
          <w:lang w:val="en-US" w:eastAsia="zh-CN"/>
          <w14:textFill>
            <w14:solidFill>
              <w14:schemeClr w14:val="tx1"/>
            </w14:solidFill>
          </w14:textFill>
        </w:rPr>
        <w:t>220</w:t>
      </w:r>
      <w:r>
        <w:rPr>
          <w:rFonts w:eastAsia="仿宋_GB2312"/>
          <w:i/>
          <w:iCs/>
          <w:color w:val="000000" w:themeColor="text1"/>
          <w:sz w:val="30"/>
          <w:szCs w:val="30"/>
          <w:u w:val="single"/>
          <w14:textFill>
            <w14:solidFill>
              <w14:schemeClr w14:val="tx1"/>
            </w14:solidFill>
          </w14:textFill>
        </w:rPr>
        <w:t>元/工日（</w:t>
      </w:r>
      <w:r>
        <w:rPr>
          <w:rFonts w:hint="eastAsia" w:eastAsia="仿宋_GB2312"/>
          <w:i/>
          <w:iCs/>
          <w:color w:val="000000" w:themeColor="text1"/>
          <w:sz w:val="30"/>
          <w:szCs w:val="30"/>
          <w:u w:val="single"/>
          <w:lang w:val="en-US" w:eastAsia="zh-CN"/>
          <w14:textFill>
            <w14:solidFill>
              <w14:schemeClr w14:val="tx1"/>
            </w14:solidFill>
          </w14:textFill>
        </w:rPr>
        <w:t>不含税</w:t>
      </w:r>
      <w:r>
        <w:rPr>
          <w:rFonts w:eastAsia="仿宋_GB2312"/>
          <w:i/>
          <w:iCs/>
          <w:color w:val="000000" w:themeColor="text1"/>
          <w:sz w:val="30"/>
          <w:szCs w:val="30"/>
          <w:u w:val="single"/>
          <w14:textFill>
            <w14:solidFill>
              <w14:schemeClr w14:val="tx1"/>
            </w14:solidFill>
          </w14:textFill>
        </w:rPr>
        <w:t>）。</w:t>
      </w:r>
    </w:p>
    <w:bookmarkEnd w:id="451"/>
    <w:p w14:paraId="0B6F3EC8">
      <w:pPr>
        <w:pStyle w:val="9"/>
      </w:pPr>
      <w:r>
        <w:t>1</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Start w:id="452" w:name="_Toc292559907"/>
      <w:bookmarkStart w:id="453" w:name="_Toc296891025"/>
      <w:bookmarkStart w:id="454" w:name="_Toc303539150"/>
      <w:bookmarkStart w:id="455" w:name="_Toc296347196"/>
      <w:bookmarkStart w:id="456" w:name="_Toc300934993"/>
      <w:bookmarkStart w:id="457" w:name="_Toc297216203"/>
      <w:bookmarkStart w:id="458" w:name="_Toc296503197"/>
      <w:bookmarkStart w:id="459" w:name="_Toc297048383"/>
      <w:bookmarkStart w:id="460" w:name="_Toc296944536"/>
      <w:bookmarkStart w:id="461" w:name="_Toc297120497"/>
      <w:bookmarkStart w:id="462" w:name="_Toc292559402"/>
      <w:bookmarkStart w:id="463" w:name="_Toc297123544"/>
      <w:bookmarkStart w:id="464" w:name="_Toc296891237"/>
      <w:bookmarkStart w:id="465" w:name="_Toc296346698"/>
      <w:bookmarkStart w:id="466" w:name="_Toc312678029"/>
      <w:bookmarkStart w:id="467" w:name="_Toc304295570"/>
      <w:bookmarkStart w:id="468" w:name="_Toc312677503"/>
      <w:r>
        <w:t>0.5 承</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Start w:id="469" w:name="_Toc297048389"/>
      <w:bookmarkStart w:id="470" w:name="_Toc303539151"/>
      <w:bookmarkStart w:id="471" w:name="_Toc292559913"/>
      <w:bookmarkStart w:id="472" w:name="_Toc296347202"/>
      <w:bookmarkStart w:id="473" w:name="_Toc297216204"/>
      <w:bookmarkStart w:id="474" w:name="_Toc297120503"/>
      <w:bookmarkStart w:id="475" w:name="_Toc296346704"/>
      <w:bookmarkStart w:id="476" w:name="_Toc297123545"/>
      <w:bookmarkStart w:id="477" w:name="_Toc296944542"/>
      <w:bookmarkStart w:id="478" w:name="_Toc296503203"/>
      <w:bookmarkStart w:id="479" w:name="_Toc300934994"/>
      <w:bookmarkStart w:id="480" w:name="_Toc292559408"/>
      <w:bookmarkStart w:id="481" w:name="_Toc296891031"/>
      <w:bookmarkStart w:id="482" w:name="_Toc296891243"/>
      <w:r>
        <w:t>包人的合理化建议</w:t>
      </w:r>
    </w:p>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14:paraId="45C844F0">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监理人审查承包人合理化建议的期限：</w:t>
      </w:r>
      <w:r>
        <w:rPr>
          <w:rFonts w:eastAsia="仿宋_GB2312"/>
          <w:color w:val="000000" w:themeColor="text1"/>
          <w:sz w:val="30"/>
          <w:szCs w:val="32"/>
          <w:u w:val="single"/>
          <w14:textFill>
            <w14:solidFill>
              <w14:schemeClr w14:val="tx1"/>
            </w14:solidFill>
          </w14:textFill>
        </w:rPr>
        <w:t xml:space="preserve"> 7天 </w:t>
      </w:r>
      <w:r>
        <w:rPr>
          <w:rFonts w:eastAsia="仿宋_GB2312"/>
          <w:color w:val="000000" w:themeColor="text1"/>
          <w:sz w:val="30"/>
          <w:szCs w:val="32"/>
          <w14:textFill>
            <w14:solidFill>
              <w14:schemeClr w14:val="tx1"/>
            </w14:solidFill>
          </w14:textFill>
        </w:rPr>
        <w:t>。</w:t>
      </w:r>
    </w:p>
    <w:p w14:paraId="2F099390">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发包人审批承包人合理化建议的期限：</w:t>
      </w:r>
      <w:r>
        <w:rPr>
          <w:rFonts w:eastAsia="仿宋_GB2312"/>
          <w:color w:val="000000" w:themeColor="text1"/>
          <w:sz w:val="30"/>
          <w:szCs w:val="32"/>
          <w:u w:val="single"/>
          <w14:textFill>
            <w14:solidFill>
              <w14:schemeClr w14:val="tx1"/>
            </w14:solidFill>
          </w14:textFill>
        </w:rPr>
        <w:t xml:space="preserve"> 7天 </w:t>
      </w:r>
      <w:r>
        <w:rPr>
          <w:rFonts w:eastAsia="仿宋_GB2312"/>
          <w:color w:val="000000" w:themeColor="text1"/>
          <w:sz w:val="30"/>
          <w:szCs w:val="32"/>
          <w14:textFill>
            <w14:solidFill>
              <w14:schemeClr w14:val="tx1"/>
            </w14:solidFill>
          </w14:textFill>
        </w:rPr>
        <w:t>。</w:t>
      </w:r>
    </w:p>
    <w:p w14:paraId="1D6ED621">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承</w:t>
      </w:r>
      <w:bookmarkStart w:id="483" w:name="_Toc296346705"/>
      <w:bookmarkStart w:id="484" w:name="_Toc296944543"/>
      <w:bookmarkStart w:id="485" w:name="_Toc292559914"/>
      <w:bookmarkStart w:id="486" w:name="_Toc296347203"/>
      <w:bookmarkStart w:id="487" w:name="_Toc296891032"/>
      <w:bookmarkStart w:id="488" w:name="_Toc318581175"/>
      <w:bookmarkStart w:id="489" w:name="_Toc297120504"/>
      <w:bookmarkStart w:id="490" w:name="_Toc297123546"/>
      <w:bookmarkStart w:id="491" w:name="_Toc312678030"/>
      <w:bookmarkStart w:id="492" w:name="_Toc312677504"/>
      <w:bookmarkStart w:id="493" w:name="_Toc303539152"/>
      <w:bookmarkStart w:id="494" w:name="_Toc297048390"/>
      <w:bookmarkStart w:id="495" w:name="_Toc300934995"/>
      <w:bookmarkStart w:id="496" w:name="_Toc296891244"/>
      <w:bookmarkStart w:id="497" w:name="_Toc304295571"/>
      <w:bookmarkStart w:id="498" w:name="_Toc296503204"/>
      <w:bookmarkStart w:id="499" w:name="_Toc292559409"/>
      <w:bookmarkStart w:id="500" w:name="_Toc297216205"/>
      <w:r>
        <w:rPr>
          <w:rFonts w:eastAsia="仿宋_GB2312"/>
          <w:color w:val="000000" w:themeColor="text1"/>
          <w:sz w:val="30"/>
          <w:szCs w:val="32"/>
          <w14:textFill>
            <w14:solidFill>
              <w14:schemeClr w14:val="tx1"/>
            </w14:solidFill>
          </w14:textFill>
        </w:rPr>
        <w:t>包人提出的合理化建议降低了合同价格或者提高了工程经济效益的奖励的方法和金额为：</w:t>
      </w:r>
      <w:r>
        <w:rPr>
          <w:rFonts w:eastAsia="仿宋_GB2312"/>
          <w:color w:val="000000" w:themeColor="text1"/>
          <w:sz w:val="30"/>
          <w:szCs w:val="32"/>
          <w:u w:val="single"/>
          <w14:textFill>
            <w14:solidFill>
              <w14:schemeClr w14:val="tx1"/>
            </w14:solidFill>
          </w14:textFill>
        </w:rPr>
        <w:t xml:space="preserve">     /        </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14:paraId="40196929">
      <w:pPr>
        <w:pStyle w:val="9"/>
      </w:pPr>
      <w:r>
        <w:t>1</w:t>
      </w:r>
      <w:bookmarkStart w:id="501" w:name="_Toc303539154"/>
      <w:bookmarkStart w:id="502" w:name="_Toc297216207"/>
      <w:bookmarkStart w:id="503" w:name="_Toc297123548"/>
      <w:bookmarkStart w:id="504" w:name="_Toc296346700"/>
      <w:bookmarkStart w:id="505" w:name="_Toc296347198"/>
      <w:bookmarkStart w:id="506" w:name="_Toc292559909"/>
      <w:bookmarkStart w:id="507" w:name="_Toc304295574"/>
      <w:bookmarkStart w:id="508" w:name="_Toc292559404"/>
      <w:bookmarkStart w:id="509" w:name="_Toc297048385"/>
      <w:bookmarkStart w:id="510" w:name="_Toc296944538"/>
      <w:bookmarkStart w:id="511" w:name="_Toc296503199"/>
      <w:bookmarkStart w:id="512" w:name="_Toc297120499"/>
      <w:bookmarkStart w:id="513" w:name="_Toc312678033"/>
      <w:bookmarkStart w:id="514" w:name="_Toc300934997"/>
      <w:bookmarkStart w:id="515" w:name="_Toc296891239"/>
      <w:bookmarkStart w:id="516" w:name="_Toc296891027"/>
      <w:bookmarkStart w:id="517" w:name="_Toc312677507"/>
      <w:r>
        <w:t>0.7 暂估价</w:t>
      </w:r>
    </w:p>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14:paraId="29E4141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暂</w:t>
      </w:r>
      <w:bookmarkStart w:id="518" w:name="_Toc312678034"/>
      <w:bookmarkStart w:id="519" w:name="_Toc312677508"/>
      <w:bookmarkStart w:id="520" w:name="_Toc318581176"/>
      <w:r>
        <w:rPr>
          <w:rFonts w:eastAsia="仿宋_GB2312"/>
          <w:color w:val="000000" w:themeColor="text1"/>
          <w:kern w:val="0"/>
          <w:sz w:val="30"/>
          <w:szCs w:val="32"/>
          <w14:textFill>
            <w14:solidFill>
              <w14:schemeClr w14:val="tx1"/>
            </w14:solidFill>
          </w14:textFill>
        </w:rPr>
        <w:t>估价材料和工程设备的明细详见附件11：《</w:t>
      </w:r>
      <w:r>
        <w:rPr>
          <w:rFonts w:eastAsia="仿宋_GB2312"/>
          <w:color w:val="000000" w:themeColor="text1"/>
          <w:sz w:val="30"/>
          <w:szCs w:val="32"/>
          <w14:textFill>
            <w14:solidFill>
              <w14:schemeClr w14:val="tx1"/>
            </w14:solidFill>
          </w14:textFill>
        </w:rPr>
        <w:t>暂估价一览表》</w:t>
      </w:r>
      <w:r>
        <w:rPr>
          <w:rFonts w:eastAsia="仿宋_GB2312"/>
          <w:color w:val="000000" w:themeColor="text1"/>
          <w:kern w:val="0"/>
          <w:sz w:val="30"/>
          <w:szCs w:val="32"/>
          <w14:textFill>
            <w14:solidFill>
              <w14:schemeClr w14:val="tx1"/>
            </w14:solidFill>
          </w14:textFill>
        </w:rPr>
        <w:t>。</w:t>
      </w:r>
    </w:p>
    <w:bookmarkEnd w:id="518"/>
    <w:bookmarkEnd w:id="519"/>
    <w:bookmarkEnd w:id="520"/>
    <w:p w14:paraId="2DE2F000">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1</w:t>
      </w:r>
      <w:bookmarkStart w:id="521" w:name="_Toc318581177"/>
      <w:bookmarkStart w:id="522" w:name="_Toc312677509"/>
      <w:bookmarkStart w:id="523" w:name="_Toc312678035"/>
      <w:r>
        <w:rPr>
          <w:rFonts w:eastAsia="仿宋_GB2312"/>
          <w:color w:val="000000" w:themeColor="text1"/>
          <w:sz w:val="30"/>
          <w:szCs w:val="32"/>
          <w14:textFill>
            <w14:solidFill>
              <w14:schemeClr w14:val="tx1"/>
            </w14:solidFill>
          </w14:textFill>
        </w:rPr>
        <w:t>0.7.1 依法必须招标的暂估价项目</w:t>
      </w:r>
      <w:bookmarkEnd w:id="521"/>
      <w:bookmarkEnd w:id="522"/>
      <w:bookmarkEnd w:id="523"/>
    </w:p>
    <w:p w14:paraId="761DF45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对于依法必须招标的暂估价项目的确认和批准采取第</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种方式确定。</w:t>
      </w:r>
    </w:p>
    <w:p w14:paraId="763353E4">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由发包人招标确定暂估价供应商或分包人。</w:t>
      </w:r>
    </w:p>
    <w:p w14:paraId="2A264B24">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10.7.2 不属于依法必须招标的暂估价项目</w:t>
      </w:r>
    </w:p>
    <w:p w14:paraId="1A1D5A8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对于不属于依法必须招标的暂估价项目的确认和批准采取第</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 xml:space="preserve"> 种方式确定。</w:t>
      </w:r>
    </w:p>
    <w:p w14:paraId="7327AF1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由发包人确定暂估价供应商或分包人</w:t>
      </w:r>
      <w:r>
        <w:rPr>
          <w:rFonts w:eastAsia="仿宋_GB2312"/>
          <w:color w:val="000000" w:themeColor="text1"/>
          <w:sz w:val="30"/>
          <w:szCs w:val="32"/>
          <w14:textFill>
            <w14:solidFill>
              <w14:schemeClr w14:val="tx1"/>
            </w14:solidFill>
          </w14:textFill>
        </w:rPr>
        <w:t>。</w:t>
      </w:r>
    </w:p>
    <w:p w14:paraId="5474ACFE">
      <w:pPr>
        <w:pStyle w:val="9"/>
      </w:pPr>
      <w:r>
        <w:t>10.8 暂列金额</w:t>
      </w:r>
    </w:p>
    <w:p w14:paraId="1B1D6990">
      <w:pPr>
        <w:autoSpaceDE w:val="0"/>
        <w:autoSpaceDN w:val="0"/>
        <w:adjustRightInd w:val="0"/>
        <w:spacing w:line="360" w:lineRule="auto"/>
        <w:ind w:firstLine="600" w:firstLineChars="200"/>
        <w:jc w:val="left"/>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合同当事人关于暂列金额使用的约定：</w:t>
      </w:r>
      <w:r>
        <w:rPr>
          <w:rFonts w:eastAsia="仿宋_GB2312"/>
          <w:color w:val="000000" w:themeColor="text1"/>
          <w:kern w:val="0"/>
          <w:sz w:val="30"/>
          <w:szCs w:val="32"/>
          <w:u w:val="single"/>
          <w14:textFill>
            <w14:solidFill>
              <w14:schemeClr w14:val="tx1"/>
            </w14:solidFill>
          </w14:textFill>
        </w:rPr>
        <w:t>暂列金额由发包人掌握使用，已在合同价格中，使用余额归发包人所有</w:t>
      </w:r>
      <w:r>
        <w:rPr>
          <w:rFonts w:eastAsia="仿宋_GB2312"/>
          <w:color w:val="000000" w:themeColor="text1"/>
          <w:sz w:val="30"/>
          <w:szCs w:val="32"/>
          <w:u w:val="single"/>
          <w14:textFill>
            <w14:solidFill>
              <w14:schemeClr w14:val="tx1"/>
            </w14:solidFill>
          </w14:textFill>
        </w:rPr>
        <w:t>，用于支付合同签订时不确定或不可预见的材料、工程设备、服务的采购，</w:t>
      </w:r>
      <w:r>
        <w:rPr>
          <w:rFonts w:eastAsia="仿宋_GB2312"/>
          <w:color w:val="000000" w:themeColor="text1"/>
          <w:kern w:val="0"/>
          <w:sz w:val="30"/>
          <w:szCs w:val="32"/>
          <w:u w:val="single"/>
          <w14:textFill>
            <w14:solidFill>
              <w14:schemeClr w14:val="tx1"/>
            </w14:solidFill>
          </w14:textFill>
        </w:rPr>
        <w:t>施工中可能</w:t>
      </w:r>
      <w:r>
        <w:rPr>
          <w:rFonts w:eastAsia="仿宋_GB2312"/>
          <w:color w:val="000000" w:themeColor="text1"/>
          <w:sz w:val="30"/>
          <w:szCs w:val="32"/>
          <w:u w:val="single"/>
          <w14:textFill>
            <w14:solidFill>
              <w14:schemeClr w14:val="tx1"/>
            </w14:solidFill>
          </w14:textFill>
        </w:rPr>
        <w:t>发生的变更、</w:t>
      </w:r>
      <w:r>
        <w:rPr>
          <w:rFonts w:eastAsia="仿宋_GB2312"/>
          <w:color w:val="000000" w:themeColor="text1"/>
          <w:kern w:val="0"/>
          <w:sz w:val="30"/>
          <w:szCs w:val="32"/>
          <w:u w:val="single"/>
          <w14:textFill>
            <w14:solidFill>
              <w14:schemeClr w14:val="tx1"/>
            </w14:solidFill>
          </w14:textFill>
        </w:rPr>
        <w:t>合同</w:t>
      </w:r>
      <w:r>
        <w:rPr>
          <w:rFonts w:eastAsia="仿宋_GB2312"/>
          <w:color w:val="000000" w:themeColor="text1"/>
          <w:sz w:val="30"/>
          <w:szCs w:val="32"/>
          <w:u w:val="single"/>
          <w14:textFill>
            <w14:solidFill>
              <w14:schemeClr w14:val="tx1"/>
            </w14:solidFill>
          </w14:textFill>
        </w:rPr>
        <w:t>约定调整因素出现时的合同价格调整、索赔、现场签证等的费用。</w:t>
      </w:r>
    </w:p>
    <w:p w14:paraId="52677242">
      <w:pPr>
        <w:pStyle w:val="8"/>
        <w:rPr>
          <w:rFonts w:ascii="Times New Roman" w:hAnsi="Times New Roman" w:cs="Times New Roman"/>
          <w:b w:val="0"/>
        </w:rPr>
      </w:pPr>
      <w:bookmarkStart w:id="524" w:name="_Toc351203643"/>
      <w:r>
        <w:rPr>
          <w:rFonts w:ascii="Times New Roman" w:hAnsi="Times New Roman" w:cs="Times New Roman"/>
        </w:rPr>
        <w:t>11. 价格调整</w:t>
      </w:r>
      <w:bookmarkEnd w:id="524"/>
    </w:p>
    <w:p w14:paraId="6597299D">
      <w:pPr>
        <w:pStyle w:val="9"/>
      </w:pPr>
      <w:bookmarkStart w:id="525" w:name="_Toc296503201"/>
      <w:bookmarkStart w:id="526" w:name="_Toc304295577"/>
      <w:bookmarkStart w:id="527" w:name="_Toc296891029"/>
      <w:bookmarkStart w:id="528" w:name="_Toc296347200"/>
      <w:bookmarkStart w:id="529" w:name="_Toc297048387"/>
      <w:bookmarkStart w:id="530" w:name="_Toc300935000"/>
      <w:bookmarkStart w:id="531" w:name="_Toc297120501"/>
      <w:bookmarkStart w:id="532" w:name="_Toc296944540"/>
      <w:bookmarkStart w:id="533" w:name="_Toc297123550"/>
      <w:bookmarkStart w:id="534" w:name="_Toc303539157"/>
      <w:bookmarkStart w:id="535" w:name="_Toc297216209"/>
      <w:bookmarkStart w:id="536" w:name="_Toc292559406"/>
      <w:bookmarkStart w:id="537" w:name="_Toc312678039"/>
      <w:bookmarkStart w:id="538" w:name="_Toc296346702"/>
      <w:bookmarkStart w:id="539" w:name="_Toc296891241"/>
      <w:bookmarkStart w:id="540" w:name="_Toc292559911"/>
      <w:r>
        <w:t>11.1 市场价格波动引起的调整</w:t>
      </w:r>
    </w:p>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14:paraId="73244B7E">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市场价格波动是否调整合同价格的约定：</w:t>
      </w:r>
    </w:p>
    <w:p w14:paraId="52710A59">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0052"/>
      </w:r>
      <w:r>
        <w:rPr>
          <w:rFonts w:eastAsia="仿宋_GB2312"/>
          <w:color w:val="000000" w:themeColor="text1"/>
          <w:sz w:val="30"/>
          <w:szCs w:val="32"/>
          <w:u w:val="single"/>
          <w14:textFill>
            <w14:solidFill>
              <w14:schemeClr w14:val="tx1"/>
            </w14:solidFill>
          </w14:textFill>
        </w:rPr>
        <w:t>不作调整。</w:t>
      </w:r>
    </w:p>
    <w:p w14:paraId="5880F107">
      <w:pPr>
        <w:pStyle w:val="9"/>
      </w:pPr>
      <w:r>
        <w:t>11.2法律变化引起的调整</w:t>
      </w:r>
    </w:p>
    <w:p w14:paraId="65AB72C8">
      <w:pPr>
        <w:spacing w:line="360" w:lineRule="auto"/>
        <w:ind w:firstLine="645"/>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u w:val="single"/>
          <w14:textFill>
            <w14:solidFill>
              <w14:schemeClr w14:val="tx1"/>
            </w14:solidFill>
          </w14:textFill>
        </w:rPr>
        <w:t>本合同价格不随法律及其他规范性文件、政策的调整而调整。但增值税税率调整的情况除外。</w:t>
      </w:r>
    </w:p>
    <w:bookmarkEnd w:id="419"/>
    <w:bookmarkEnd w:id="420"/>
    <w:bookmarkEnd w:id="421"/>
    <w:bookmarkEnd w:id="422"/>
    <w:bookmarkEnd w:id="423"/>
    <w:bookmarkEnd w:id="424"/>
    <w:p w14:paraId="7D5F494E">
      <w:pPr>
        <w:pStyle w:val="8"/>
        <w:rPr>
          <w:rFonts w:ascii="Times New Roman" w:hAnsi="Times New Roman" w:cs="Times New Roman"/>
          <w:b w:val="0"/>
          <w:u w:val="single"/>
        </w:rPr>
      </w:pPr>
      <w:bookmarkStart w:id="541" w:name="_Toc292559915"/>
      <w:bookmarkStart w:id="542" w:name="_Toc296347204"/>
      <w:bookmarkStart w:id="543" w:name="_Toc297120505"/>
      <w:bookmarkStart w:id="544" w:name="_Toc297048391"/>
      <w:bookmarkStart w:id="545" w:name="_Toc296944544"/>
      <w:bookmarkStart w:id="546" w:name="_Toc296503205"/>
      <w:bookmarkStart w:id="547" w:name="_Toc296891033"/>
      <w:bookmarkStart w:id="548" w:name="_Toc292559410"/>
      <w:bookmarkStart w:id="549" w:name="_Toc296346706"/>
      <w:bookmarkStart w:id="550" w:name="_Toc296891245"/>
      <w:bookmarkStart w:id="551" w:name="_Toc351203644"/>
      <w:bookmarkStart w:id="552" w:name="_Toc303539159"/>
      <w:bookmarkStart w:id="553" w:name="_Toc297216211"/>
      <w:bookmarkStart w:id="554" w:name="_Toc312678040"/>
      <w:bookmarkStart w:id="555" w:name="_Toc297123552"/>
      <w:bookmarkStart w:id="556" w:name="_Toc300935002"/>
      <w:bookmarkStart w:id="557" w:name="_Toc304295579"/>
      <w:r>
        <w:rPr>
          <w:rFonts w:ascii="Times New Roman" w:hAnsi="Times New Roman" w:cs="Times New Roman"/>
        </w:rPr>
        <w:t xml:space="preserve">12. </w:t>
      </w:r>
      <w:bookmarkEnd w:id="541"/>
      <w:bookmarkEnd w:id="542"/>
      <w:bookmarkEnd w:id="543"/>
      <w:bookmarkEnd w:id="544"/>
      <w:bookmarkEnd w:id="545"/>
      <w:bookmarkEnd w:id="546"/>
      <w:bookmarkEnd w:id="547"/>
      <w:bookmarkEnd w:id="548"/>
      <w:bookmarkEnd w:id="549"/>
      <w:bookmarkEnd w:id="550"/>
      <w:r>
        <w:rPr>
          <w:rFonts w:ascii="Times New Roman" w:hAnsi="Times New Roman" w:cs="Times New Roman"/>
        </w:rPr>
        <w:t>合同价格、计量与支付</w:t>
      </w:r>
      <w:bookmarkEnd w:id="551"/>
    </w:p>
    <w:bookmarkEnd w:id="552"/>
    <w:bookmarkEnd w:id="553"/>
    <w:bookmarkEnd w:id="554"/>
    <w:bookmarkEnd w:id="555"/>
    <w:bookmarkEnd w:id="556"/>
    <w:bookmarkEnd w:id="557"/>
    <w:p w14:paraId="4B8C2FB2">
      <w:pPr>
        <w:pStyle w:val="9"/>
      </w:pPr>
      <w:bookmarkStart w:id="558" w:name="_Toc267251461"/>
      <w:bookmarkStart w:id="559" w:name="_Toc292559411"/>
      <w:bookmarkStart w:id="560" w:name="_Toc292559916"/>
      <w:bookmarkStart w:id="561" w:name="_Toc296347205"/>
      <w:bookmarkStart w:id="562" w:name="_Toc297048392"/>
      <w:bookmarkStart w:id="563" w:name="_Toc297120506"/>
      <w:bookmarkStart w:id="564" w:name="_Toc296891246"/>
      <w:bookmarkStart w:id="565" w:name="_Toc296891034"/>
      <w:bookmarkStart w:id="566" w:name="_Toc296346707"/>
      <w:bookmarkStart w:id="567" w:name="_Toc296944545"/>
      <w:bookmarkStart w:id="568" w:name="_Toc296503206"/>
      <w:bookmarkStart w:id="569" w:name="_Toc312678041"/>
      <w:bookmarkStart w:id="570" w:name="_Toc297216212"/>
      <w:bookmarkStart w:id="571" w:name="_Toc300935003"/>
      <w:bookmarkStart w:id="572" w:name="_Toc303539160"/>
      <w:bookmarkStart w:id="573" w:name="_Toc297123553"/>
      <w:bookmarkStart w:id="574" w:name="_Toc304295580"/>
      <w:r>
        <w:t>12.1 合</w:t>
      </w:r>
      <w:bookmarkEnd w:id="558"/>
      <w:bookmarkEnd w:id="559"/>
      <w:bookmarkEnd w:id="560"/>
      <w:r>
        <w:t>同价</w:t>
      </w:r>
      <w:bookmarkEnd w:id="561"/>
      <w:bookmarkEnd w:id="562"/>
      <w:bookmarkEnd w:id="563"/>
      <w:bookmarkEnd w:id="564"/>
      <w:bookmarkEnd w:id="565"/>
      <w:bookmarkEnd w:id="566"/>
      <w:bookmarkEnd w:id="567"/>
      <w:bookmarkEnd w:id="568"/>
      <w:r>
        <w:t>格形式</w:t>
      </w:r>
    </w:p>
    <w:bookmarkEnd w:id="569"/>
    <w:bookmarkEnd w:id="570"/>
    <w:bookmarkEnd w:id="571"/>
    <w:bookmarkEnd w:id="572"/>
    <w:bookmarkEnd w:id="573"/>
    <w:bookmarkEnd w:id="574"/>
    <w:p w14:paraId="5C0E8AF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1、单价合同。</w:t>
      </w:r>
    </w:p>
    <w:p w14:paraId="34F614A0">
      <w:pPr>
        <w:spacing w:line="360" w:lineRule="auto"/>
        <w:ind w:firstLine="600" w:firstLineChars="200"/>
        <w:jc w:val="left"/>
        <w:rPr>
          <w:rFonts w:eastAsia="仿宋_GB2312"/>
          <w:i/>
          <w:iCs/>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综合单价包含的风险范围：</w:t>
      </w:r>
      <w:r>
        <w:rPr>
          <w:rFonts w:eastAsia="仿宋_GB2312"/>
          <w:color w:val="000000" w:themeColor="text1"/>
          <w:sz w:val="30"/>
          <w:szCs w:val="32"/>
          <w:u w:val="single"/>
          <w14:textFill>
            <w14:solidFill>
              <w14:schemeClr w14:val="tx1"/>
            </w14:solidFill>
          </w14:textFill>
        </w:rPr>
        <w:t xml:space="preserve">除了不可抗力之外的其他风险 </w:t>
      </w:r>
      <w:r>
        <w:rPr>
          <w:rFonts w:eastAsia="仿宋_GB2312"/>
          <w:i/>
          <w:iCs/>
          <w:color w:val="000000" w:themeColor="text1"/>
          <w:sz w:val="30"/>
          <w:szCs w:val="32"/>
          <w14:textFill>
            <w14:solidFill>
              <w14:schemeClr w14:val="tx1"/>
            </w14:solidFill>
          </w14:textFill>
        </w:rPr>
        <w:t>。</w:t>
      </w:r>
    </w:p>
    <w:p w14:paraId="5F82115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风险费用的计算方法：</w:t>
      </w:r>
      <w:r>
        <w:rPr>
          <w:rFonts w:eastAsia="仿宋_GB2312"/>
          <w:color w:val="000000" w:themeColor="text1"/>
          <w:sz w:val="30"/>
          <w:szCs w:val="32"/>
          <w:u w:val="single"/>
          <w14:textFill>
            <w14:solidFill>
              <w14:schemeClr w14:val="tx1"/>
            </w14:solidFill>
          </w14:textFill>
        </w:rPr>
        <w:t>承包人投标时已考虑，已包含在综合单价中不单独列出。</w:t>
      </w:r>
    </w:p>
    <w:p w14:paraId="1BE13BC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风险范围以外合同价格的调整方法：</w:t>
      </w:r>
      <w:r>
        <w:rPr>
          <w:rFonts w:eastAsia="仿宋_GB2312"/>
          <w:color w:val="000000" w:themeColor="text1"/>
          <w:sz w:val="30"/>
          <w:szCs w:val="32"/>
          <w:u w:val="single"/>
          <w14:textFill>
            <w14:solidFill>
              <w14:schemeClr w14:val="tx1"/>
            </w14:solidFill>
          </w14:textFill>
        </w:rPr>
        <w:t>不可抗力按17.3条。</w:t>
      </w:r>
    </w:p>
    <w:p w14:paraId="121DEC83">
      <w:pPr>
        <w:pStyle w:val="9"/>
      </w:pPr>
      <w:bookmarkStart w:id="575" w:name="_Toc304295581"/>
      <w:bookmarkStart w:id="576" w:name="_Toc312678042"/>
      <w:bookmarkStart w:id="577" w:name="_Toc297216213"/>
      <w:bookmarkStart w:id="578" w:name="_Toc300935004"/>
      <w:bookmarkStart w:id="579" w:name="_Toc303539161"/>
      <w:bookmarkStart w:id="580" w:name="_Toc297123554"/>
      <w:bookmarkStart w:id="581" w:name="_Toc296347206"/>
      <w:bookmarkStart w:id="582" w:name="_Toc292559412"/>
      <w:bookmarkStart w:id="583" w:name="_Toc296503207"/>
      <w:bookmarkStart w:id="584" w:name="_Toc296891247"/>
      <w:bookmarkStart w:id="585" w:name="_Toc296944546"/>
      <w:bookmarkStart w:id="586" w:name="_Toc296891035"/>
      <w:bookmarkStart w:id="587" w:name="_Toc296346708"/>
      <w:bookmarkStart w:id="588" w:name="_Toc297048393"/>
      <w:bookmarkStart w:id="589" w:name="_Toc292559917"/>
      <w:bookmarkStart w:id="590" w:name="_Toc297120507"/>
      <w:r>
        <w:t>12.2 预付款</w:t>
      </w:r>
    </w:p>
    <w:bookmarkEnd w:id="575"/>
    <w:bookmarkEnd w:id="576"/>
    <w:bookmarkEnd w:id="577"/>
    <w:bookmarkEnd w:id="578"/>
    <w:bookmarkEnd w:id="579"/>
    <w:bookmarkEnd w:id="580"/>
    <w:p w14:paraId="2107206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12.2.1 预付款的支付</w:t>
      </w:r>
    </w:p>
    <w:p w14:paraId="2973D056">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预付款支付比例或金额：</w:t>
      </w:r>
    </w:p>
    <w:p w14:paraId="5B0C4BCE">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0052"/>
      </w:r>
      <w:r>
        <w:rPr>
          <w:rFonts w:eastAsia="仿宋_GB2312"/>
          <w:color w:val="000000" w:themeColor="text1"/>
          <w:sz w:val="30"/>
          <w:szCs w:val="32"/>
          <w:u w:val="single"/>
          <w14:textFill>
            <w14:solidFill>
              <w14:schemeClr w14:val="tx1"/>
            </w14:solidFill>
          </w14:textFill>
        </w:rPr>
        <w:t>本工程无预付款；</w:t>
      </w:r>
    </w:p>
    <w:p w14:paraId="1E488DB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12.2.2 预付款担保</w:t>
      </w:r>
    </w:p>
    <w:p w14:paraId="6071B35B">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承包人提交预付款担保的期限：</w:t>
      </w:r>
      <w:r>
        <w:rPr>
          <w:rFonts w:eastAsia="仿宋_GB2312"/>
          <w:i/>
          <w:iCs/>
          <w:color w:val="000000" w:themeColor="text1"/>
          <w:sz w:val="30"/>
          <w:szCs w:val="32"/>
          <w:u w:val="single"/>
          <w14:textFill>
            <w14:solidFill>
              <w14:schemeClr w14:val="tx1"/>
            </w14:solidFill>
          </w14:textFill>
        </w:rPr>
        <w:t>无</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p w14:paraId="04FA94A6">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预付款担保的形式为：</w:t>
      </w:r>
      <w:r>
        <w:rPr>
          <w:rFonts w:eastAsia="仿宋_GB2312"/>
          <w:i/>
          <w:iCs/>
          <w:color w:val="000000" w:themeColor="text1"/>
          <w:sz w:val="30"/>
          <w:szCs w:val="32"/>
          <w:u w:val="single"/>
          <w14:textFill>
            <w14:solidFill>
              <w14:schemeClr w14:val="tx1"/>
            </w14:solidFill>
          </w14:textFill>
        </w:rPr>
        <w:t>无</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w:t>
      </w:r>
    </w:p>
    <w:bookmarkEnd w:id="581"/>
    <w:bookmarkEnd w:id="582"/>
    <w:bookmarkEnd w:id="583"/>
    <w:bookmarkEnd w:id="584"/>
    <w:bookmarkEnd w:id="585"/>
    <w:bookmarkEnd w:id="586"/>
    <w:bookmarkEnd w:id="587"/>
    <w:bookmarkEnd w:id="588"/>
    <w:bookmarkEnd w:id="589"/>
    <w:bookmarkEnd w:id="590"/>
    <w:p w14:paraId="1C25535D">
      <w:pPr>
        <w:pStyle w:val="9"/>
      </w:pPr>
      <w:r>
        <w:t>12.3 计量</w:t>
      </w:r>
    </w:p>
    <w:p w14:paraId="5EFBCCF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12.3.1 计量原则</w:t>
      </w:r>
    </w:p>
    <w:p w14:paraId="7CF2B95A">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工程量计算规则：</w:t>
      </w:r>
      <w:r>
        <w:rPr>
          <w:rFonts w:hint="eastAsia" w:eastAsia="仿宋_GB2312"/>
          <w:i/>
          <w:iCs/>
          <w:color w:val="000000" w:themeColor="text1"/>
          <w:sz w:val="30"/>
          <w:szCs w:val="32"/>
          <w:u w:val="single"/>
          <w:lang w:eastAsia="zh-CN"/>
          <w14:textFill>
            <w14:solidFill>
              <w14:schemeClr w14:val="tx1"/>
            </w14:solidFill>
          </w14:textFill>
        </w:rPr>
        <w:t>☑</w:t>
      </w:r>
      <w:r>
        <w:rPr>
          <w:rFonts w:eastAsia="仿宋_GB2312"/>
          <w:i/>
          <w:iCs/>
          <w:color w:val="000000" w:themeColor="text1"/>
          <w:sz w:val="30"/>
          <w:szCs w:val="32"/>
          <w:u w:val="single"/>
          <w14:textFill>
            <w14:solidFill>
              <w14:schemeClr w14:val="tx1"/>
            </w14:solidFill>
          </w14:textFill>
        </w:rPr>
        <w:t>《建设工程工程量清单计价标准（GBT50500-2024）》</w:t>
      </w:r>
      <w:r>
        <w:rPr>
          <w:rFonts w:eastAsia="仿宋_GB2312"/>
          <w:color w:val="000000" w:themeColor="text1"/>
          <w:sz w:val="30"/>
          <w:szCs w:val="32"/>
          <w:u w:val="single"/>
          <w14:textFill>
            <w14:solidFill>
              <w14:schemeClr w14:val="tx1"/>
            </w14:solidFill>
          </w14:textFill>
        </w:rPr>
        <w:t>及招标文件说明</w:t>
      </w:r>
      <w:r>
        <w:rPr>
          <w:rFonts w:eastAsia="仿宋_GB2312"/>
          <w:color w:val="000000" w:themeColor="text1"/>
          <w:sz w:val="30"/>
          <w:szCs w:val="32"/>
          <w14:textFill>
            <w14:solidFill>
              <w14:schemeClr w14:val="tx1"/>
            </w14:solidFill>
          </w14:textFill>
        </w:rPr>
        <w:t>。</w:t>
      </w:r>
    </w:p>
    <w:p w14:paraId="06BDB68C">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12.3.2 计量周期</w:t>
      </w:r>
    </w:p>
    <w:p w14:paraId="3710CE4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关于计量周期的约定：</w:t>
      </w:r>
    </w:p>
    <w:p w14:paraId="1AC68D8E">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sym w:font="Wingdings 2" w:char="0052"/>
      </w:r>
      <w:r>
        <w:rPr>
          <w:rFonts w:eastAsia="仿宋_GB2312"/>
          <w:color w:val="000000" w:themeColor="text1"/>
          <w:sz w:val="30"/>
          <w:szCs w:val="32"/>
          <w:u w:val="single"/>
          <w14:textFill>
            <w14:solidFill>
              <w14:schemeClr w14:val="tx1"/>
            </w14:solidFill>
          </w14:textFill>
        </w:rPr>
        <w:t>按月计量</w:t>
      </w:r>
    </w:p>
    <w:p w14:paraId="49579A81">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12.3.3 单价合同的计量</w:t>
      </w:r>
    </w:p>
    <w:p w14:paraId="40CF1431">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关于单价合同计量的约定：</w:t>
      </w:r>
      <w:r>
        <w:rPr>
          <w:rFonts w:eastAsia="仿宋_GB2312"/>
          <w:color w:val="000000" w:themeColor="text1"/>
          <w:sz w:val="30"/>
          <w:szCs w:val="32"/>
          <w:u w:val="single"/>
          <w14:textFill>
            <w14:solidFill>
              <w14:schemeClr w14:val="tx1"/>
            </w14:solidFill>
          </w14:textFill>
        </w:rPr>
        <w:t xml:space="preserve"> 执行《通用合同条款》 </w:t>
      </w:r>
      <w:r>
        <w:rPr>
          <w:rFonts w:eastAsia="仿宋_GB2312"/>
          <w:color w:val="000000" w:themeColor="text1"/>
          <w:sz w:val="30"/>
          <w:szCs w:val="32"/>
          <w14:textFill>
            <w14:solidFill>
              <w14:schemeClr w14:val="tx1"/>
            </w14:solidFill>
          </w14:textFill>
        </w:rPr>
        <w:t>。</w:t>
      </w:r>
    </w:p>
    <w:p w14:paraId="634660A8">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12.3.4 总价合同的计量</w:t>
      </w:r>
    </w:p>
    <w:p w14:paraId="1DF70A7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关于总价合同计量的约定：</w:t>
      </w:r>
      <w:r>
        <w:rPr>
          <w:rFonts w:eastAsia="仿宋_GB2312"/>
          <w:color w:val="000000" w:themeColor="text1"/>
          <w:sz w:val="30"/>
          <w:szCs w:val="32"/>
          <w:u w:val="single"/>
          <w14:textFill>
            <w14:solidFill>
              <w14:schemeClr w14:val="tx1"/>
            </w14:solidFill>
          </w14:textFill>
        </w:rPr>
        <w:t xml:space="preserve">  执行《通用合同条款》 </w:t>
      </w:r>
      <w:r>
        <w:rPr>
          <w:rFonts w:eastAsia="仿宋_GB2312"/>
          <w:color w:val="000000" w:themeColor="text1"/>
          <w:sz w:val="30"/>
          <w:szCs w:val="32"/>
          <w14:textFill>
            <w14:solidFill>
              <w14:schemeClr w14:val="tx1"/>
            </w14:solidFill>
          </w14:textFill>
        </w:rPr>
        <w:t>。</w:t>
      </w:r>
    </w:p>
    <w:p w14:paraId="29592D41">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12.3.5总价合同采用支付分解表计量支付的，是否适用第</w:t>
      </w:r>
      <w:r>
        <w:rPr>
          <w:rFonts w:eastAsia="仿宋_GB2312"/>
          <w:color w:val="000000" w:themeColor="text1"/>
          <w:kern w:val="0"/>
          <w:sz w:val="30"/>
          <w:szCs w:val="32"/>
          <w14:textFill>
            <w14:solidFill>
              <w14:schemeClr w14:val="tx1"/>
            </w14:solidFill>
          </w14:textFill>
        </w:rPr>
        <w:t xml:space="preserve">12.3.4 </w:t>
      </w:r>
      <w:r>
        <w:rPr>
          <w:rFonts w:eastAsia="仿宋_GB2312"/>
          <w:color w:val="000000" w:themeColor="text1"/>
          <w:sz w:val="30"/>
          <w:szCs w:val="32"/>
          <w14:textFill>
            <w14:solidFill>
              <w14:schemeClr w14:val="tx1"/>
            </w14:solidFill>
          </w14:textFill>
        </w:rPr>
        <w:t>项</w:t>
      </w:r>
      <w:r>
        <w:rPr>
          <w:rFonts w:eastAsia="仿宋_GB2312"/>
          <w:color w:val="000000" w:themeColor="text1"/>
          <w:kern w:val="0"/>
          <w:sz w:val="30"/>
          <w:szCs w:val="32"/>
          <w14:textFill>
            <w14:solidFill>
              <w14:schemeClr w14:val="tx1"/>
            </w14:solidFill>
          </w14:textFill>
        </w:rPr>
        <w:t>〔总价合同的计量〕</w:t>
      </w:r>
      <w:r>
        <w:rPr>
          <w:rFonts w:eastAsia="仿宋_GB2312"/>
          <w:color w:val="000000" w:themeColor="text1"/>
          <w:sz w:val="30"/>
          <w:szCs w:val="32"/>
          <w14:textFill>
            <w14:solidFill>
              <w14:schemeClr w14:val="tx1"/>
            </w14:solidFill>
          </w14:textFill>
        </w:rPr>
        <w:t>约定进行计量：</w:t>
      </w:r>
      <w:r>
        <w:rPr>
          <w:rFonts w:eastAsia="仿宋_GB2312"/>
          <w:color w:val="000000" w:themeColor="text1"/>
          <w:sz w:val="30"/>
          <w:szCs w:val="32"/>
          <w:u w:val="single"/>
          <w14:textFill>
            <w14:solidFill>
              <w14:schemeClr w14:val="tx1"/>
            </w14:solidFill>
          </w14:textFill>
        </w:rPr>
        <w:t xml:space="preserve">  适用  </w:t>
      </w:r>
      <w:r>
        <w:rPr>
          <w:rFonts w:eastAsia="仿宋_GB2312"/>
          <w:color w:val="000000" w:themeColor="text1"/>
          <w:sz w:val="30"/>
          <w:szCs w:val="32"/>
          <w14:textFill>
            <w14:solidFill>
              <w14:schemeClr w14:val="tx1"/>
            </w14:solidFill>
          </w14:textFill>
        </w:rPr>
        <w:t>。</w:t>
      </w:r>
    </w:p>
    <w:p w14:paraId="5D29EF0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12.3.6 其他价格形式合同的计量</w:t>
      </w:r>
    </w:p>
    <w:p w14:paraId="2CC3C645">
      <w:pPr>
        <w:spacing w:line="360" w:lineRule="auto"/>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其他价格形式的计量方式和程序：</w:t>
      </w:r>
      <w:r>
        <w:rPr>
          <w:rFonts w:eastAsia="仿宋_GB2312"/>
          <w:color w:val="000000" w:themeColor="text1"/>
          <w:sz w:val="30"/>
          <w:szCs w:val="32"/>
          <w:u w:val="single"/>
          <w14:textFill>
            <w14:solidFill>
              <w14:schemeClr w14:val="tx1"/>
            </w14:solidFill>
          </w14:textFill>
        </w:rPr>
        <w:t xml:space="preserve">  无 </w:t>
      </w:r>
      <w:r>
        <w:rPr>
          <w:rFonts w:eastAsia="仿宋_GB2312"/>
          <w:color w:val="000000" w:themeColor="text1"/>
          <w:sz w:val="30"/>
          <w:szCs w:val="32"/>
          <w14:textFill>
            <w14:solidFill>
              <w14:schemeClr w14:val="tx1"/>
            </w14:solidFill>
          </w14:textFill>
        </w:rPr>
        <w:t>。</w:t>
      </w:r>
    </w:p>
    <w:p w14:paraId="6D9A2007">
      <w:pPr>
        <w:pStyle w:val="9"/>
      </w:pPr>
      <w:r>
        <w:t>12.4 工程进度款支付</w:t>
      </w:r>
    </w:p>
    <w:p w14:paraId="4CCB9A03">
      <w:pPr>
        <w:spacing w:line="360" w:lineRule="auto"/>
        <w:ind w:firstLine="600" w:firstLineChars="200"/>
        <w:jc w:val="left"/>
        <w:rPr>
          <w:rFonts w:eastAsia="仿宋_GB2312"/>
          <w:color w:val="000000" w:themeColor="text1"/>
          <w:sz w:val="30"/>
          <w:szCs w:val="32"/>
          <w14:textFill>
            <w14:solidFill>
              <w14:schemeClr w14:val="tx1"/>
            </w14:solidFill>
          </w14:textFill>
        </w:rPr>
      </w:pPr>
      <w:bookmarkStart w:id="591" w:name="_Toc297123556"/>
      <w:bookmarkStart w:id="592" w:name="_Toc297048397"/>
      <w:bookmarkStart w:id="593" w:name="_Toc303539163"/>
      <w:bookmarkStart w:id="594" w:name="_Toc297120511"/>
      <w:bookmarkStart w:id="595" w:name="_Toc296944550"/>
      <w:bookmarkStart w:id="596" w:name="_Toc296346712"/>
      <w:bookmarkStart w:id="597" w:name="_Toc296347210"/>
      <w:bookmarkStart w:id="598" w:name="_Toc296891039"/>
      <w:bookmarkStart w:id="599" w:name="_Toc292559416"/>
      <w:bookmarkStart w:id="600" w:name="_Toc292559921"/>
      <w:bookmarkStart w:id="601" w:name="_Toc297216215"/>
      <w:bookmarkStart w:id="602" w:name="_Toc296503211"/>
      <w:bookmarkStart w:id="603" w:name="_Toc296891251"/>
      <w:bookmarkStart w:id="604" w:name="_Toc300935006"/>
      <w:r>
        <w:rPr>
          <w:rFonts w:eastAsia="仿宋_GB2312"/>
          <w:color w:val="000000" w:themeColor="text1"/>
          <w:sz w:val="30"/>
          <w:szCs w:val="32"/>
          <w14:textFill>
            <w14:solidFill>
              <w14:schemeClr w14:val="tx1"/>
            </w14:solidFill>
          </w14:textFill>
        </w:rPr>
        <w:t>12.4.1 付款周期</w:t>
      </w:r>
    </w:p>
    <w:p w14:paraId="39E04D77">
      <w:pPr>
        <w:adjustRightInd w:val="0"/>
        <w:spacing w:after="60" w:line="360" w:lineRule="atLeast"/>
        <w:ind w:left="63" w:leftChars="30" w:right="63" w:rightChars="30" w:firstLine="600" w:firstLineChars="200"/>
        <w:textAlignment w:val="baseline"/>
        <w:rPr>
          <w:rFonts w:eastAsia="仿宋_GB2312"/>
          <w:color w:val="000000" w:themeColor="text1"/>
          <w:kern w:val="0"/>
          <w:sz w:val="30"/>
          <w:u w:val="single"/>
          <w14:textFill>
            <w14:solidFill>
              <w14:schemeClr w14:val="tx1"/>
            </w14:solidFill>
          </w14:textFill>
        </w:rPr>
      </w:pPr>
      <w:r>
        <w:rPr>
          <w:rFonts w:eastAsia="仿宋_GB2312"/>
          <w:color w:val="000000" w:themeColor="text1"/>
          <w:kern w:val="0"/>
          <w:sz w:val="30"/>
          <w14:textFill>
            <w14:solidFill>
              <w14:schemeClr w14:val="tx1"/>
            </w14:solidFill>
          </w14:textFill>
        </w:rPr>
        <w:t>关于付款周期的约定：</w:t>
      </w:r>
    </w:p>
    <w:p w14:paraId="6D08A90B">
      <w:pPr>
        <w:adjustRightInd w:val="0"/>
        <w:spacing w:after="60" w:line="360" w:lineRule="atLeast"/>
        <w:ind w:left="63" w:leftChars="30" w:right="63" w:rightChars="30" w:firstLine="600" w:firstLineChars="200"/>
        <w:jc w:val="left"/>
        <w:textAlignment w:val="baseline"/>
        <w:rPr>
          <w:rFonts w:eastAsia="仿宋_GB2312"/>
          <w:color w:val="000000" w:themeColor="text1"/>
          <w:kern w:val="0"/>
          <w:sz w:val="30"/>
          <w:u w:val="single"/>
          <w14:textFill>
            <w14:solidFill>
              <w14:schemeClr w14:val="tx1"/>
            </w14:solidFill>
          </w14:textFill>
        </w:rPr>
      </w:pPr>
      <w:r>
        <w:rPr>
          <w:rFonts w:eastAsia="仿宋_GB2312"/>
          <w:color w:val="000000" w:themeColor="text1"/>
          <w:kern w:val="0"/>
          <w:sz w:val="30"/>
          <w14:textFill>
            <w14:solidFill>
              <w14:schemeClr w14:val="tx1"/>
            </w14:solidFill>
          </w14:textFill>
        </w:rPr>
        <w:t>付款方式：</w:t>
      </w:r>
      <w:r>
        <w:rPr>
          <w:rFonts w:eastAsia="仿宋_GB2312"/>
          <w:color w:val="000000" w:themeColor="text1"/>
          <w:kern w:val="0"/>
          <w:sz w:val="30"/>
          <w:u w:val="single"/>
          <w14:textFill>
            <w14:solidFill>
              <w14:schemeClr w14:val="tx1"/>
            </w14:solidFill>
          </w14:textFill>
        </w:rPr>
        <w:t>半年期商业汇票（包括银行承兑汇票和商业承兑汇票）。</w:t>
      </w:r>
    </w:p>
    <w:p w14:paraId="0049EA89">
      <w:pPr>
        <w:spacing w:line="360" w:lineRule="auto"/>
        <w:ind w:firstLine="600" w:firstLineChars="200"/>
        <w:jc w:val="left"/>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sym w:font="Wingdings 2" w:char="0052"/>
      </w:r>
      <w:r>
        <w:rPr>
          <w:rFonts w:eastAsia="仿宋_GB2312"/>
          <w:color w:val="000000" w:themeColor="text1"/>
          <w:sz w:val="30"/>
          <w:szCs w:val="30"/>
          <w:u w:val="single"/>
          <w14:textFill>
            <w14:solidFill>
              <w14:schemeClr w14:val="tx1"/>
            </w14:solidFill>
          </w14:textFill>
        </w:rPr>
        <w:t>工程量的计量按月进行</w:t>
      </w:r>
    </w:p>
    <w:p w14:paraId="5B88EF44">
      <w:pPr>
        <w:adjustRightInd w:val="0"/>
        <w:spacing w:after="60" w:line="360" w:lineRule="atLeast"/>
        <w:ind w:left="63" w:leftChars="30" w:right="63" w:rightChars="30" w:firstLine="600" w:firstLineChars="200"/>
        <w:textAlignment w:val="baseline"/>
        <w:rPr>
          <w:rFonts w:eastAsia="仿宋_GB2312"/>
          <w:color w:val="000000" w:themeColor="text1"/>
          <w:sz w:val="30"/>
          <w:szCs w:val="30"/>
          <w:u w:val="single"/>
          <w14:textFill>
            <w14:solidFill>
              <w14:schemeClr w14:val="tx1"/>
            </w14:solidFill>
          </w14:textFill>
        </w:rPr>
      </w:pPr>
      <w:r>
        <w:rPr>
          <w:rFonts w:hint="eastAsia" w:eastAsia="仿宋_GB2312"/>
          <w:color w:val="000000" w:themeColor="text1"/>
          <w:sz w:val="30"/>
          <w:szCs w:val="30"/>
          <w:u w:val="single"/>
          <w14:textFill>
            <w14:solidFill>
              <w14:schemeClr w14:val="tx1"/>
            </w14:solidFill>
          </w14:textFill>
        </w:rPr>
        <w:t>工程款支付按月形象进度报表，经监理工程师、发包人审核签认工程款支付会签表后于次月月底前付至工程月形象进度造价的75%，累计进度款最高付至合同签约价的75%；完成工程竣工资料移交、竣工结算申报及内部竣工验收后付至已完成形象进度产值的80%，且最高付至合同签约价80%；竣工结算审计完毕后付款至工程结算款的97%，结算款的3%作为质量保修金，无质量问题两年后支付。</w:t>
      </w:r>
    </w:p>
    <w:p w14:paraId="2AAE62D4">
      <w:pPr>
        <w:adjustRightInd w:val="0"/>
        <w:spacing w:after="60" w:line="360" w:lineRule="atLeast"/>
        <w:ind w:left="63" w:leftChars="30" w:right="63" w:rightChars="30" w:firstLine="600" w:firstLineChars="200"/>
        <w:textAlignment w:val="baseline"/>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t>因发票违规给发包人造成的增值税、所得税等损失，由承包人承担相关责任，包括但不限于税款、滞纳金、罚款及其它相关损失。</w:t>
      </w:r>
    </w:p>
    <w:p w14:paraId="7F121662">
      <w:pPr>
        <w:spacing w:line="520" w:lineRule="exact"/>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12.4.2 进度付款申请单的编制</w:t>
      </w:r>
    </w:p>
    <w:p w14:paraId="73F1B6B8">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关于进度付款申请单编制的约定：</w:t>
      </w:r>
      <w:r>
        <w:rPr>
          <w:rFonts w:eastAsia="仿宋_GB2312"/>
          <w:color w:val="000000" w:themeColor="text1"/>
          <w:sz w:val="30"/>
          <w:szCs w:val="32"/>
          <w:u w:val="single"/>
          <w14:textFill>
            <w14:solidFill>
              <w14:schemeClr w14:val="tx1"/>
            </w14:solidFill>
          </w14:textFill>
        </w:rPr>
        <w:t>按发包人的要求，进度款申请资料中的形象进度资料必须提供竣工图随签进度并经监理人员、发包人工程师签字确认，对于不能按实体进度同步形成竣工图的，发包人有权退回付款申请，承包人不得以此影响现场施工，由此造成的损失及工期延误均由承包人承担。</w:t>
      </w:r>
    </w:p>
    <w:p w14:paraId="1AFB9A4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Fonts w:eastAsia="仿宋_GB2312"/>
          <w:color w:val="000000" w:themeColor="text1"/>
          <w:sz w:val="30"/>
          <w:szCs w:val="32"/>
          <w14:textFill>
            <w14:solidFill>
              <w14:schemeClr w14:val="tx1"/>
            </w14:solidFill>
          </w14:textFill>
        </w:rPr>
        <w:t>2.4.3 进度付款申请单的提交</w:t>
      </w:r>
    </w:p>
    <w:p w14:paraId="415A126C">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（1）单价合同进度付款申请单提交的约定：</w:t>
      </w:r>
      <w:r>
        <w:rPr>
          <w:rFonts w:eastAsia="仿宋_GB2312"/>
          <w:i/>
          <w:iCs/>
          <w:color w:val="000000" w:themeColor="text1"/>
          <w:sz w:val="30"/>
          <w:szCs w:val="32"/>
          <w:u w:val="single"/>
          <w14:textFill>
            <w14:solidFill>
              <w14:schemeClr w14:val="tx1"/>
            </w14:solidFill>
          </w14:textFill>
        </w:rPr>
        <w:t>按《通用合同条款》或者按发包人管理要求</w:t>
      </w:r>
      <w:r>
        <w:rPr>
          <w:rFonts w:eastAsia="仿宋_GB2312"/>
          <w:color w:val="000000" w:themeColor="text1"/>
          <w:sz w:val="30"/>
          <w:szCs w:val="32"/>
          <w14:textFill>
            <w14:solidFill>
              <w14:schemeClr w14:val="tx1"/>
            </w14:solidFill>
          </w14:textFill>
        </w:rPr>
        <w:t>。</w:t>
      </w:r>
    </w:p>
    <w:p w14:paraId="37818C68">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（2）总价合同进度付款申请单提交的约定：</w:t>
      </w:r>
      <w:r>
        <w:rPr>
          <w:rFonts w:eastAsia="仿宋_GB2312"/>
          <w:i/>
          <w:iCs/>
          <w:color w:val="000000" w:themeColor="text1"/>
          <w:sz w:val="30"/>
          <w:szCs w:val="32"/>
          <w:u w:val="single"/>
          <w14:textFill>
            <w14:solidFill>
              <w14:schemeClr w14:val="tx1"/>
            </w14:solidFill>
          </w14:textFill>
        </w:rPr>
        <w:t>按《通用合同条款》或者按发包人管理要求</w:t>
      </w:r>
      <w:r>
        <w:rPr>
          <w:rFonts w:eastAsia="仿宋_GB2312"/>
          <w:color w:val="000000" w:themeColor="text1"/>
          <w:sz w:val="30"/>
          <w:szCs w:val="32"/>
          <w14:textFill>
            <w14:solidFill>
              <w14:schemeClr w14:val="tx1"/>
            </w14:solidFill>
          </w14:textFill>
        </w:rPr>
        <w:t>。</w:t>
      </w:r>
    </w:p>
    <w:p w14:paraId="7FF43D1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（3）其他价格形式合同进度付款申请单提交的约定：</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57D83D86">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12.4.4 进度款审核和支付</w:t>
      </w:r>
    </w:p>
    <w:p w14:paraId="1DBD10ED">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（1）监理人审查并报送发包人的期限：</w:t>
      </w:r>
      <w:r>
        <w:rPr>
          <w:rFonts w:eastAsia="仿宋_GB2312"/>
          <w:color w:val="000000" w:themeColor="text1"/>
          <w:sz w:val="30"/>
          <w:szCs w:val="32"/>
          <w:u w:val="single"/>
          <w14:textFill>
            <w14:solidFill>
              <w14:schemeClr w14:val="tx1"/>
            </w14:solidFill>
          </w14:textFill>
        </w:rPr>
        <w:t xml:space="preserve">  </w:t>
      </w:r>
      <w:r>
        <w:rPr>
          <w:rFonts w:eastAsia="仿宋_GB2312"/>
          <w:i/>
          <w:iCs/>
          <w:color w:val="000000" w:themeColor="text1"/>
          <w:sz w:val="30"/>
          <w:szCs w:val="32"/>
          <w:u w:val="single"/>
          <w14:textFill>
            <w14:solidFill>
              <w14:schemeClr w14:val="tx1"/>
            </w14:solidFill>
          </w14:textFill>
        </w:rPr>
        <w:t xml:space="preserve"> 3</w:t>
      </w:r>
      <w:r>
        <w:rPr>
          <w:rFonts w:eastAsia="仿宋_GB2312"/>
          <w:color w:val="000000" w:themeColor="text1"/>
          <w:sz w:val="30"/>
          <w:szCs w:val="32"/>
          <w:u w:val="single"/>
          <w14:textFill>
            <w14:solidFill>
              <w14:schemeClr w14:val="tx1"/>
            </w14:solidFill>
          </w14:textFill>
        </w:rPr>
        <w:t xml:space="preserve">天  </w:t>
      </w:r>
      <w:r>
        <w:rPr>
          <w:rFonts w:eastAsia="仿宋_GB2312"/>
          <w:color w:val="000000" w:themeColor="text1"/>
          <w:sz w:val="30"/>
          <w:szCs w:val="32"/>
          <w14:textFill>
            <w14:solidFill>
              <w14:schemeClr w14:val="tx1"/>
            </w14:solidFill>
          </w14:textFill>
        </w:rPr>
        <w:t>。</w:t>
      </w:r>
    </w:p>
    <w:p w14:paraId="793F265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sym w:font="Wingdings 2" w:char="0052"/>
      </w:r>
      <w:r>
        <w:rPr>
          <w:rFonts w:eastAsia="仿宋_GB2312"/>
          <w:color w:val="000000" w:themeColor="text1"/>
          <w:kern w:val="0"/>
          <w:sz w:val="30"/>
          <w:szCs w:val="32"/>
          <w:u w:val="single"/>
          <w14:textFill>
            <w14:solidFill>
              <w14:schemeClr w14:val="tx1"/>
            </w14:solidFill>
          </w14:textFill>
        </w:rPr>
        <w:t>造价咨询人在收到监理人确认工程形象计量后3天内完成进度款的审核；</w:t>
      </w:r>
    </w:p>
    <w:p w14:paraId="06AFCEED">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发包人完成审批并签发进度款支付证书的期限：</w:t>
      </w:r>
      <w:r>
        <w:rPr>
          <w:rFonts w:eastAsia="仿宋_GB2312"/>
          <w:color w:val="000000" w:themeColor="text1"/>
          <w:kern w:val="0"/>
          <w:sz w:val="30"/>
          <w:szCs w:val="32"/>
          <w:u w:val="single"/>
          <w14:textFill>
            <w14:solidFill>
              <w14:schemeClr w14:val="tx1"/>
            </w14:solidFill>
          </w14:textFill>
        </w:rPr>
        <w:t>收到监理人或造价咨询人的审核意见后3天内签署意见。</w:t>
      </w:r>
    </w:p>
    <w:p w14:paraId="21A2076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（2）发包人支付进度款的期限：</w:t>
      </w:r>
      <w:r>
        <w:rPr>
          <w:rFonts w:eastAsia="仿宋_GB2312"/>
          <w:color w:val="000000" w:themeColor="text1"/>
          <w:sz w:val="30"/>
          <w:szCs w:val="32"/>
          <w:u w:val="single"/>
          <w14:textFill>
            <w14:solidFill>
              <w14:schemeClr w14:val="tx1"/>
            </w14:solidFill>
          </w14:textFill>
        </w:rPr>
        <w:t>进度款审批后45天内</w:t>
      </w:r>
      <w:r>
        <w:rPr>
          <w:rFonts w:eastAsia="仿宋_GB2312"/>
          <w:color w:val="000000" w:themeColor="text1"/>
          <w:sz w:val="30"/>
          <w:szCs w:val="32"/>
          <w14:textFill>
            <w14:solidFill>
              <w14:schemeClr w14:val="tx1"/>
            </w14:solidFill>
          </w14:textFill>
        </w:rPr>
        <w:t>。</w:t>
      </w:r>
    </w:p>
    <w:p w14:paraId="6003DCAD">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发包人逾期支付进度款的违约金的计算方式：</w:t>
      </w:r>
      <w:r>
        <w:rPr>
          <w:rFonts w:eastAsia="仿宋_GB2312"/>
          <w:color w:val="000000" w:themeColor="text1"/>
          <w:sz w:val="30"/>
          <w:szCs w:val="32"/>
          <w:u w:val="single"/>
          <w14:textFill>
            <w14:solidFill>
              <w14:schemeClr w14:val="tx1"/>
            </w14:solidFill>
          </w14:textFill>
        </w:rPr>
        <w:t xml:space="preserve"> 发包人逾期 45天支付是可以接受的，不视为发包人违约，</w:t>
      </w:r>
      <w:r>
        <w:rPr>
          <w:rFonts w:eastAsia="仿宋_GB2312"/>
          <w:sz w:val="30"/>
          <w:szCs w:val="32"/>
          <w:u w:val="single"/>
        </w:rPr>
        <w:t>承包人应保证正常施工，不得以进度款支付逾期为由耽误正常施工。</w:t>
      </w:r>
    </w:p>
    <w:p w14:paraId="0F35D14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12.4.6 支付分解表的编制</w:t>
      </w:r>
    </w:p>
    <w:p w14:paraId="1EA9A6D9">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2、总价合同支付分解表的编制与审批：</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6D728C7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3、单价合同的总价项目支付分解表的编制与审批：</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bookmarkEnd w:id="425"/>
    <w:p w14:paraId="5E830BC4">
      <w:pPr>
        <w:pStyle w:val="8"/>
        <w:rPr>
          <w:rFonts w:ascii="Times New Roman" w:hAnsi="Times New Roman" w:cs="Times New Roman"/>
          <w:b w:val="0"/>
        </w:rPr>
      </w:pPr>
      <w:bookmarkStart w:id="605" w:name="_Toc351203645"/>
      <w:bookmarkStart w:id="606" w:name="_Toc297048405"/>
      <w:bookmarkStart w:id="607" w:name="_Toc297216223"/>
      <w:bookmarkStart w:id="608" w:name="_Toc297123564"/>
      <w:bookmarkStart w:id="609" w:name="_Toc296944558"/>
      <w:bookmarkStart w:id="610" w:name="_Toc292559929"/>
      <w:bookmarkStart w:id="611" w:name="_Toc296503219"/>
      <w:bookmarkStart w:id="612" w:name="_Toc304295593"/>
      <w:bookmarkStart w:id="613" w:name="_Toc296346720"/>
      <w:bookmarkStart w:id="614" w:name="_Toc296347218"/>
      <w:bookmarkStart w:id="615" w:name="_Toc296891259"/>
      <w:bookmarkStart w:id="616" w:name="_Toc312678053"/>
      <w:bookmarkStart w:id="617" w:name="_Toc303539172"/>
      <w:bookmarkStart w:id="618" w:name="_Toc297120519"/>
      <w:bookmarkStart w:id="619" w:name="_Toc296891047"/>
      <w:bookmarkStart w:id="620" w:name="_Toc292559424"/>
      <w:bookmarkStart w:id="621" w:name="_Toc300935015"/>
      <w:r>
        <w:rPr>
          <w:rFonts w:ascii="Times New Roman" w:hAnsi="Times New Roman" w:cs="Times New Roman"/>
        </w:rPr>
        <w:t>13. 验收和工程试车</w:t>
      </w:r>
      <w:bookmarkEnd w:id="605"/>
    </w:p>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14:paraId="64673EEF">
      <w:pPr>
        <w:pStyle w:val="9"/>
      </w:pPr>
      <w:r>
        <w:t>13.1 分部分项工程验收</w:t>
      </w:r>
    </w:p>
    <w:p w14:paraId="67E643C5">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13.1.2监理人不能按时进行验收时，应提前</w:t>
      </w:r>
      <w:r>
        <w:rPr>
          <w:rFonts w:eastAsia="仿宋_GB2312"/>
          <w:color w:val="000000" w:themeColor="text1"/>
          <w:sz w:val="30"/>
          <w:szCs w:val="32"/>
          <w:u w:val="single"/>
          <w14:textFill>
            <w14:solidFill>
              <w14:schemeClr w14:val="tx1"/>
            </w14:solidFill>
          </w14:textFill>
        </w:rPr>
        <w:t xml:space="preserve">  24  </w:t>
      </w:r>
      <w:r>
        <w:rPr>
          <w:rFonts w:eastAsia="仿宋_GB2312"/>
          <w:color w:val="000000" w:themeColor="text1"/>
          <w:sz w:val="30"/>
          <w:szCs w:val="32"/>
          <w14:textFill>
            <w14:solidFill>
              <w14:schemeClr w14:val="tx1"/>
            </w14:solidFill>
          </w14:textFill>
        </w:rPr>
        <w:t>小时提交书面延期要求。</w:t>
      </w:r>
    </w:p>
    <w:p w14:paraId="07C2BA75">
      <w:pPr>
        <w:spacing w:line="360" w:lineRule="auto"/>
        <w:ind w:firstLine="600" w:firstLineChars="200"/>
        <w:jc w:val="left"/>
        <w:rPr>
          <w:rFonts w:eastAsia="仿宋_GB2312"/>
          <w:b/>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关于延期最长不得超过：</w:t>
      </w:r>
      <w:r>
        <w:rPr>
          <w:rFonts w:eastAsia="仿宋_GB2312"/>
          <w:color w:val="000000" w:themeColor="text1"/>
          <w:sz w:val="30"/>
          <w:szCs w:val="32"/>
          <w:u w:val="single"/>
          <w14:textFill>
            <w14:solidFill>
              <w14:schemeClr w14:val="tx1"/>
            </w14:solidFill>
          </w14:textFill>
        </w:rPr>
        <w:t xml:space="preserve">  48  </w:t>
      </w:r>
      <w:r>
        <w:rPr>
          <w:rFonts w:eastAsia="仿宋_GB2312"/>
          <w:color w:val="000000" w:themeColor="text1"/>
          <w:sz w:val="30"/>
          <w:szCs w:val="32"/>
          <w14:textFill>
            <w14:solidFill>
              <w14:schemeClr w14:val="tx1"/>
            </w14:solidFill>
          </w14:textFill>
        </w:rPr>
        <w:t>小时。</w:t>
      </w:r>
    </w:p>
    <w:p w14:paraId="5477BE78">
      <w:pPr>
        <w:pStyle w:val="9"/>
      </w:pPr>
      <w:bookmarkStart w:id="622" w:name="_Toc296891051"/>
      <w:bookmarkStart w:id="623" w:name="_Toc297048409"/>
      <w:bookmarkStart w:id="624" w:name="_Toc297216224"/>
      <w:bookmarkStart w:id="625" w:name="_Toc300935016"/>
      <w:bookmarkStart w:id="626" w:name="_Toc297123565"/>
      <w:bookmarkStart w:id="627" w:name="_Toc304295596"/>
      <w:bookmarkStart w:id="628" w:name="_Toc292559933"/>
      <w:bookmarkStart w:id="629" w:name="_Toc296346724"/>
      <w:bookmarkStart w:id="630" w:name="_Toc296891263"/>
      <w:bookmarkStart w:id="631" w:name="_Toc296347222"/>
      <w:bookmarkStart w:id="632" w:name="_Toc296503223"/>
      <w:bookmarkStart w:id="633" w:name="_Toc312678056"/>
      <w:bookmarkStart w:id="634" w:name="_Toc303539173"/>
      <w:bookmarkStart w:id="635" w:name="_Toc296944562"/>
      <w:bookmarkStart w:id="636" w:name="_Toc292559428"/>
      <w:bookmarkStart w:id="637" w:name="_Toc297120523"/>
      <w:bookmarkStart w:id="638" w:name="_Toc267251474"/>
      <w:bookmarkStart w:id="639" w:name="_Toc267251475"/>
      <w:bookmarkStart w:id="640" w:name="_Toc267251471"/>
      <w:bookmarkStart w:id="641" w:name="_Toc267251470"/>
      <w:bookmarkStart w:id="642" w:name="_Toc267251473"/>
      <w:bookmarkStart w:id="643" w:name="_Toc267251472"/>
      <w:bookmarkStart w:id="644" w:name="_Toc267251476"/>
      <w:r>
        <w:t>13.2 竣工验收</w:t>
      </w:r>
    </w:p>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10D2E2A1">
      <w:pPr>
        <w:spacing w:line="360" w:lineRule="auto"/>
        <w:ind w:firstLine="600" w:firstLineChars="200"/>
        <w:jc w:val="left"/>
        <w:rPr>
          <w:rFonts w:eastAsia="仿宋_GB2312"/>
          <w:color w:val="000000" w:themeColor="text1"/>
          <w:sz w:val="30"/>
          <w:szCs w:val="32"/>
          <w14:textFill>
            <w14:solidFill>
              <w14:schemeClr w14:val="tx1"/>
            </w14:solidFill>
          </w14:textFill>
        </w:rPr>
      </w:pPr>
      <w:bookmarkStart w:id="645" w:name="_Toc280868704"/>
      <w:bookmarkStart w:id="646" w:name="_Toc280868705"/>
      <w:bookmarkStart w:id="647" w:name="_Toc280868706"/>
      <w:bookmarkStart w:id="648" w:name="_Toc280868707"/>
      <w:bookmarkStart w:id="649" w:name="_Toc280868708"/>
      <w:bookmarkStart w:id="650" w:name="_Toc280868709"/>
      <w:r>
        <w:rPr>
          <w:rFonts w:eastAsia="仿宋_GB2312"/>
          <w:color w:val="000000" w:themeColor="text1"/>
          <w:sz w:val="30"/>
          <w:szCs w:val="32"/>
          <w14:textFill>
            <w14:solidFill>
              <w14:schemeClr w14:val="tx1"/>
            </w14:solidFill>
          </w14:textFill>
        </w:rPr>
        <w:t>13.2.2竣工验收程序</w:t>
      </w:r>
    </w:p>
    <w:bookmarkEnd w:id="645"/>
    <w:p w14:paraId="054CF696">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关于竣工验收程序的约定：</w:t>
      </w:r>
      <w:r>
        <w:rPr>
          <w:rFonts w:eastAsia="仿宋_GB2312"/>
          <w:color w:val="000000" w:themeColor="text1"/>
          <w:sz w:val="30"/>
          <w:szCs w:val="32"/>
          <w:u w:val="single"/>
          <w14:textFill>
            <w14:solidFill>
              <w14:schemeClr w14:val="tx1"/>
            </w14:solidFill>
          </w14:textFill>
        </w:rPr>
        <w:t>竣工验收须经工程使用单位通过验收为准</w:t>
      </w:r>
      <w:r>
        <w:rPr>
          <w:rFonts w:eastAsia="仿宋_GB2312"/>
          <w:color w:val="000000" w:themeColor="text1"/>
          <w:sz w:val="30"/>
          <w:szCs w:val="32"/>
          <w14:textFill>
            <w14:solidFill>
              <w14:schemeClr w14:val="tx1"/>
            </w14:solidFill>
          </w14:textFill>
        </w:rPr>
        <w:t>。</w:t>
      </w:r>
    </w:p>
    <w:p w14:paraId="749C7F8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发包人不按照本项约定组织竣工验收、颁发工程接收证书的违约金的计算方法：</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32D5503C">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13.2.3竣工日期</w:t>
      </w:r>
    </w:p>
    <w:p w14:paraId="3C73E0B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u w:val="single"/>
          <w14:textFill>
            <w14:solidFill>
              <w14:schemeClr w14:val="tx1"/>
            </w14:solidFill>
          </w14:textFill>
        </w:rPr>
        <w:t>以发包人、承包人、监理人、设计人、勘察人（若有）、使用单位共同签署的《竣工验收报告》的签署日期为准。</w:t>
      </w:r>
    </w:p>
    <w:bookmarkEnd w:id="646"/>
    <w:p w14:paraId="4481B5C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13.2.5移交、接收全部与部分工程</w:t>
      </w:r>
    </w:p>
    <w:bookmarkEnd w:id="647"/>
    <w:p w14:paraId="3F27B4EA">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承包人向发包人移交工程的期限：</w:t>
      </w:r>
      <w:r>
        <w:rPr>
          <w:rFonts w:eastAsia="仿宋_GB2312"/>
          <w:color w:val="000000" w:themeColor="text1"/>
          <w:sz w:val="30"/>
          <w:szCs w:val="32"/>
          <w:u w:val="single"/>
          <w14:textFill>
            <w14:solidFill>
              <w14:schemeClr w14:val="tx1"/>
            </w14:solidFill>
          </w14:textFill>
        </w:rPr>
        <w:t>验收问题整改完成，经发包人再次验收合格后7天内。</w:t>
      </w:r>
    </w:p>
    <w:p w14:paraId="71544720">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发包人未按本合同约定接收全部或部分工程的，违约金的计算方法为：</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bookmarkEnd w:id="648"/>
    <w:p w14:paraId="493999D3">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承包人未按时移交工程的，违约金的计算方法为：</w:t>
      </w:r>
      <w:r>
        <w:rPr>
          <w:rFonts w:eastAsia="仿宋_GB2312"/>
          <w:color w:val="000000" w:themeColor="text1"/>
          <w:sz w:val="30"/>
          <w:szCs w:val="32"/>
          <w:lang w:bidi="ar"/>
          <w14:textFill>
            <w14:solidFill>
              <w14:schemeClr w14:val="tx1"/>
            </w14:solidFill>
          </w14:textFill>
        </w:rPr>
        <w:t>每逾期一天按合同最终结算价0.5‰的金额向发包人支付违约金，没有最终结算价的，按合同签约暂定价的0.5‰；逾期超过90天，每逾期一天按合同最终结算价1‰的金额向发包人支付违约金，没有最终结算价的，按合同签约暂定价的1‰，发包人并有权书面通知单方面解除未完成部分工程的合同。</w:t>
      </w:r>
    </w:p>
    <w:p w14:paraId="41CF0F9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13.2.6竣工资料移交</w:t>
      </w:r>
    </w:p>
    <w:p w14:paraId="3F95E8D3">
      <w:pPr>
        <w:spacing w:after="156"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工程完成后，在组织竣工验收前，承包人应向发包人移交三套完整、合格的竣工资料及全套资料扫描电子版（硬盘存储），承包人提交的竣工资料不符合归档及备案要求的，发包人有权退回，承包人应当按要求重新提交合格的竣工资料，在未完成竣工资料移交前发包人不予组织竣工验收，由此造成工期逾期及其他损失，由承包人承担。</w:t>
      </w:r>
    </w:p>
    <w:p w14:paraId="7511BFBD">
      <w:pPr>
        <w:spacing w:after="156"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为免异议，若双方因任何阶段的工程款金额、支付等事宜产生纠纷的，承包人仍应向发包人移交竣工资料及其他资料，不得以任何理由延迟或拒绝移交，前述纠纷由双方友好协商或通过本合同约定的争议解决方式解决。</w:t>
      </w:r>
    </w:p>
    <w:p w14:paraId="44F5B4BD">
      <w:pPr>
        <w:pStyle w:val="9"/>
      </w:pPr>
      <w:r>
        <w:t>13.3 工程试车</w:t>
      </w:r>
    </w:p>
    <w:bookmarkEnd w:id="649"/>
    <w:p w14:paraId="212392E6">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13.3.1 试车程序</w:t>
      </w:r>
    </w:p>
    <w:p w14:paraId="6CC74C08">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工程试车内容：</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34BCBDE0">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（1）单机无负荷试车费用由</w:t>
      </w:r>
      <w:r>
        <w:rPr>
          <w:rFonts w:eastAsia="仿宋_GB2312"/>
          <w:color w:val="000000" w:themeColor="text1"/>
          <w:sz w:val="30"/>
          <w:szCs w:val="32"/>
          <w:u w:val="single"/>
          <w14:textFill>
            <w14:solidFill>
              <w14:schemeClr w14:val="tx1"/>
            </w14:solidFill>
          </w14:textFill>
        </w:rPr>
        <w:t>承包人</w:t>
      </w:r>
      <w:r>
        <w:rPr>
          <w:rFonts w:eastAsia="仿宋_GB2312"/>
          <w:color w:val="000000" w:themeColor="text1"/>
          <w:kern w:val="0"/>
          <w:sz w:val="30"/>
          <w:szCs w:val="32"/>
          <w14:textFill>
            <w14:solidFill>
              <w14:schemeClr w14:val="tx1"/>
            </w14:solidFill>
          </w14:textFill>
        </w:rPr>
        <w:t>承担；</w:t>
      </w:r>
    </w:p>
    <w:p w14:paraId="47CD14AA">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（2）无负荷联动试车费用由</w:t>
      </w:r>
      <w:r>
        <w:rPr>
          <w:rFonts w:eastAsia="仿宋_GB2312"/>
          <w:color w:val="000000" w:themeColor="text1"/>
          <w:sz w:val="30"/>
          <w:szCs w:val="32"/>
          <w:u w:val="single"/>
          <w14:textFill>
            <w14:solidFill>
              <w14:schemeClr w14:val="tx1"/>
            </w14:solidFill>
          </w14:textFill>
        </w:rPr>
        <w:t>承包人</w:t>
      </w:r>
      <w:r>
        <w:rPr>
          <w:rFonts w:eastAsia="仿宋_GB2312"/>
          <w:color w:val="000000" w:themeColor="text1"/>
          <w:kern w:val="0"/>
          <w:sz w:val="30"/>
          <w:szCs w:val="32"/>
          <w14:textFill>
            <w14:solidFill>
              <w14:schemeClr w14:val="tx1"/>
            </w14:solidFill>
          </w14:textFill>
        </w:rPr>
        <w:t>承担。</w:t>
      </w:r>
    </w:p>
    <w:p w14:paraId="219E92E1">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13.3.3 投料试车</w:t>
      </w:r>
    </w:p>
    <w:p w14:paraId="5B758266">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关于投料试车相关事项的约定：</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461879E4">
      <w:pPr>
        <w:pStyle w:val="9"/>
      </w:pPr>
      <w:r>
        <w:t>13.6 竣工退场</w:t>
      </w:r>
    </w:p>
    <w:p w14:paraId="3408FCD1">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13.6.1 竣工退场</w:t>
      </w:r>
    </w:p>
    <w:p w14:paraId="57D7A15C">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承包人完成竣工退场的期限：</w:t>
      </w:r>
      <w:r>
        <w:rPr>
          <w:rFonts w:eastAsia="仿宋_GB2312"/>
          <w:color w:val="000000" w:themeColor="text1"/>
          <w:sz w:val="30"/>
          <w:szCs w:val="32"/>
          <w:u w:val="single"/>
          <w14:textFill>
            <w14:solidFill>
              <w14:schemeClr w14:val="tx1"/>
            </w14:solidFill>
          </w14:textFill>
        </w:rPr>
        <w:t>工程移交完成后7天内</w:t>
      </w:r>
      <w:r>
        <w:rPr>
          <w:i/>
          <w:color w:val="000000" w:themeColor="text1"/>
          <w:sz w:val="30"/>
          <w:u w:val="single"/>
          <w14:textFill>
            <w14:solidFill>
              <w14:schemeClr w14:val="tx1"/>
            </w14:solidFill>
          </w14:textFill>
        </w:rPr>
        <w:t>（说明：</w:t>
      </w:r>
      <w:r>
        <w:rPr>
          <w:rFonts w:eastAsia="仿宋_GB2312"/>
          <w:i/>
          <w:iCs/>
          <w:color w:val="000000" w:themeColor="text1"/>
          <w:sz w:val="30"/>
          <w:szCs w:val="32"/>
          <w:u w:val="single"/>
          <w14:textFill>
            <w14:solidFill>
              <w14:schemeClr w14:val="tx1"/>
            </w14:solidFill>
          </w14:textFill>
        </w:rPr>
        <w:t>可视项目具体情况，原则上不晚于两周</w:t>
      </w:r>
      <w:r>
        <w:rPr>
          <w:rFonts w:eastAsia="仿宋_GB2312"/>
          <w:color w:val="000000" w:themeColor="text1"/>
          <w:sz w:val="30"/>
          <w:szCs w:val="32"/>
          <w:u w:val="single"/>
          <w14:textFill>
            <w14:solidFill>
              <w14:schemeClr w14:val="tx1"/>
            </w14:solidFill>
          </w14:textFill>
        </w:rPr>
        <w:t>）</w:t>
      </w:r>
      <w:r>
        <w:rPr>
          <w:rFonts w:eastAsia="仿宋_GB2312"/>
          <w:color w:val="000000" w:themeColor="text1"/>
          <w:kern w:val="0"/>
          <w:sz w:val="30"/>
          <w:szCs w:val="32"/>
          <w14:textFill>
            <w14:solidFill>
              <w14:schemeClr w14:val="tx1"/>
            </w14:solidFill>
          </w14:textFill>
        </w:rPr>
        <w:t>。</w:t>
      </w:r>
    </w:p>
    <w:p w14:paraId="0656328C">
      <w:pPr>
        <w:pStyle w:val="8"/>
        <w:rPr>
          <w:rFonts w:ascii="Times New Roman" w:hAnsi="Times New Roman" w:cs="Times New Roman"/>
          <w:b w:val="0"/>
        </w:rPr>
      </w:pPr>
      <w:bookmarkStart w:id="651" w:name="_Toc351203646"/>
      <w:r>
        <w:rPr>
          <w:rFonts w:ascii="Times New Roman" w:hAnsi="Times New Roman" w:cs="Times New Roman"/>
        </w:rPr>
        <w:t>14. 竣工结算</w:t>
      </w:r>
      <w:bookmarkEnd w:id="651"/>
    </w:p>
    <w:p w14:paraId="33DDDC75">
      <w:pPr>
        <w:pStyle w:val="9"/>
      </w:pPr>
      <w:r>
        <w:t>14.1 竣工结算申请</w:t>
      </w:r>
    </w:p>
    <w:p w14:paraId="615F45CD">
      <w:pPr>
        <w:spacing w:line="360" w:lineRule="auto"/>
        <w:ind w:firstLine="600" w:firstLineChars="200"/>
        <w:rPr>
          <w:rFonts w:eastAsia="仿宋_GB2312"/>
        </w:rPr>
      </w:pPr>
      <w:r>
        <w:rPr>
          <w:rFonts w:eastAsia="仿宋_GB2312"/>
          <w:color w:val="000000" w:themeColor="text1"/>
          <w:sz w:val="30"/>
          <w:szCs w:val="32"/>
          <w14:textFill>
            <w14:solidFill>
              <w14:schemeClr w14:val="tx1"/>
            </w14:solidFill>
          </w14:textFill>
        </w:rPr>
        <w:t>承包人提交竣工结算申请单的期限：</w:t>
      </w:r>
      <w:r>
        <w:rPr>
          <w:rFonts w:eastAsia="仿宋_GB2312"/>
          <w:color w:val="000000" w:themeColor="text1"/>
          <w:sz w:val="30"/>
          <w:szCs w:val="32"/>
          <w:u w:val="single"/>
          <w14:textFill>
            <w14:solidFill>
              <w14:schemeClr w14:val="tx1"/>
            </w14:solidFill>
          </w14:textFill>
        </w:rPr>
        <w:t>工程竣工验收合格后30日内承包人应按照发包人《工程项目结算审计报审资料编制规范》，如实编制、申报并完成竣工结算资料的提交，承包人提交的竣工结算资料不符合发包人要求的，发包人有权退回，承包人应当按要求重新提交合格的竣工结算资料。</w:t>
      </w:r>
      <w:r>
        <w:rPr>
          <w:i/>
          <w:color w:val="000000" w:themeColor="text1"/>
          <w:sz w:val="30"/>
          <w:u w:val="single"/>
          <w14:textFill>
            <w14:solidFill>
              <w14:schemeClr w14:val="tx1"/>
            </w14:solidFill>
          </w14:textFill>
        </w:rPr>
        <w:t>逾期完成提交的，每逾期一天视情节严重情况承包人承担1000-5000元的违约金</w:t>
      </w:r>
      <w:r>
        <w:rPr>
          <w:rFonts w:eastAsia="仿宋_GB2312"/>
          <w:color w:val="000000" w:themeColor="text1"/>
          <w:sz w:val="30"/>
          <w:szCs w:val="32"/>
          <w:u w:val="single"/>
          <w14:textFill>
            <w14:solidFill>
              <w14:schemeClr w14:val="tx1"/>
            </w14:solidFill>
          </w14:textFill>
        </w:rPr>
        <w:t>（前后违约条款金额不一致的，以标准高者为准），由此造成的工期延误及其他损失由承包人承担。</w:t>
      </w:r>
    </w:p>
    <w:p w14:paraId="1F05A66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竣工结算申请单应包括的内容：</w:t>
      </w:r>
      <w:r>
        <w:rPr>
          <w:rFonts w:eastAsia="仿宋_GB2312"/>
          <w:color w:val="000000" w:themeColor="text1"/>
          <w:sz w:val="30"/>
          <w:szCs w:val="32"/>
          <w:u w:val="single"/>
          <w14:textFill>
            <w14:solidFill>
              <w14:schemeClr w14:val="tx1"/>
            </w14:solidFill>
          </w14:textFill>
        </w:rPr>
        <w:t>竣工结算书、竣工结算报审会签表、竣工图、施工合同、结算依据资料（包括但不限于图纸会审记录、设计变更、工作联系单、工程量签证、批价单、工期说明、监理总结、甲供材对账单、施工分界界面划分说明等）；资料份数：竣工图一套，其他原件一套，复印件一套。</w:t>
      </w:r>
    </w:p>
    <w:p w14:paraId="36CCE06F">
      <w:pPr>
        <w:pStyle w:val="9"/>
      </w:pPr>
      <w:r>
        <w:t>14.2 竣工结算审核</w:t>
      </w:r>
    </w:p>
    <w:p w14:paraId="6CCACC33">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发包人应在收到提交的经审核的竣工结算申请单及结算资料并移交发包人审计机构进入结算审计程序后，120天内给予确认或提出意见。在结算审计过程中，承包人负责积极配合工程审计单位开展工作，由于结算资料不齐全中需要提供证明文明或者补充相关资料，承包人在收到发包人的通知后需在5个工作日内完成提交补充资料，逾期可申请延期，最长不超过5天。如果再次逾期，则视为承包人放弃诉求，将以利于发包人的原则处理，承包人须无条件认可最终审计结果。由于承包人补充资料不及时造成的竣工结算审批期限延期的，由承包人承担一切损失和后果。</w:t>
      </w:r>
    </w:p>
    <w:p w14:paraId="3B08C47A">
      <w:pPr>
        <w:spacing w:line="360" w:lineRule="auto"/>
        <w:ind w:firstLine="600" w:firstLineChars="200"/>
        <w:jc w:val="left"/>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发包人审批竣工付款申请单的期限：</w:t>
      </w:r>
      <w:r>
        <w:rPr>
          <w:rFonts w:eastAsia="仿宋_GB2312"/>
          <w:color w:val="000000" w:themeColor="text1"/>
          <w:kern w:val="0"/>
          <w:sz w:val="30"/>
          <w:szCs w:val="32"/>
          <w:u w:val="single"/>
          <w14:textFill>
            <w14:solidFill>
              <w14:schemeClr w14:val="tx1"/>
            </w14:solidFill>
          </w14:textFill>
        </w:rPr>
        <w:t>竣工结算经发包人审核完成，并承包人将竣工付款申请单提交发包人后，发包人28天内完成审批。</w:t>
      </w:r>
    </w:p>
    <w:p w14:paraId="5A665136">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发包人完成竣工付款的期限：</w:t>
      </w:r>
      <w:r>
        <w:rPr>
          <w:rFonts w:eastAsia="仿宋_GB2312"/>
          <w:color w:val="000000" w:themeColor="text1"/>
          <w:sz w:val="30"/>
          <w:szCs w:val="32"/>
          <w:u w:val="single"/>
          <w14:textFill>
            <w14:solidFill>
              <w14:schemeClr w14:val="tx1"/>
            </w14:solidFill>
          </w14:textFill>
        </w:rPr>
        <w:t>竣工付款申请审批后28天内</w:t>
      </w:r>
      <w:r>
        <w:rPr>
          <w:rFonts w:eastAsia="仿宋_GB2312"/>
          <w:color w:val="000000" w:themeColor="text1"/>
          <w:kern w:val="0"/>
          <w:sz w:val="30"/>
          <w:szCs w:val="32"/>
          <w:u w:val="single"/>
          <w14:textFill>
            <w14:solidFill>
              <w14:schemeClr w14:val="tx1"/>
            </w14:solidFill>
          </w14:textFill>
        </w:rPr>
        <w:t>支付</w:t>
      </w:r>
      <w:r>
        <w:rPr>
          <w:rFonts w:eastAsia="仿宋_GB2312"/>
          <w:color w:val="000000" w:themeColor="text1"/>
          <w:sz w:val="30"/>
          <w:szCs w:val="32"/>
          <w14:textFill>
            <w14:solidFill>
              <w14:schemeClr w14:val="tx1"/>
            </w14:solidFill>
          </w14:textFill>
        </w:rPr>
        <w:t>。</w:t>
      </w:r>
    </w:p>
    <w:p w14:paraId="22467D1B">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关于竣工付款证书异议部分复核的方式和程序：</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053A2B49">
      <w:pPr>
        <w:pStyle w:val="9"/>
      </w:pPr>
      <w:r>
        <w:t>14.4 最终结清</w:t>
      </w:r>
    </w:p>
    <w:p w14:paraId="239B4505">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14.4.1 最终结清申请单</w:t>
      </w:r>
    </w:p>
    <w:p w14:paraId="16B39ED2">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承包人提交最终结清申请单的份数：</w:t>
      </w:r>
      <w:r>
        <w:rPr>
          <w:rFonts w:eastAsia="仿宋_GB2312"/>
          <w:color w:val="000000" w:themeColor="text1"/>
          <w:sz w:val="30"/>
          <w:szCs w:val="32"/>
          <w:u w:val="single"/>
          <w14:textFill>
            <w14:solidFill>
              <w14:schemeClr w14:val="tx1"/>
            </w14:solidFill>
          </w14:textFill>
        </w:rPr>
        <w:t xml:space="preserve"> </w:t>
      </w:r>
      <w:r>
        <w:rPr>
          <w:rFonts w:eastAsia="仿宋_GB2312"/>
          <w:i/>
          <w:iCs/>
          <w:color w:val="000000" w:themeColor="text1"/>
          <w:sz w:val="30"/>
          <w:szCs w:val="32"/>
          <w:u w:val="single"/>
          <w14:textFill>
            <w14:solidFill>
              <w14:schemeClr w14:val="tx1"/>
            </w14:solidFill>
          </w14:textFill>
        </w:rPr>
        <w:t xml:space="preserve">三份 或按发包人要求  </w:t>
      </w:r>
      <w:r>
        <w:rPr>
          <w:rFonts w:eastAsia="仿宋_GB2312"/>
          <w:color w:val="000000" w:themeColor="text1"/>
          <w:sz w:val="30"/>
          <w:szCs w:val="32"/>
          <w14:textFill>
            <w14:solidFill>
              <w14:schemeClr w14:val="tx1"/>
            </w14:solidFill>
          </w14:textFill>
        </w:rPr>
        <w:t>。</w:t>
      </w:r>
    </w:p>
    <w:p w14:paraId="03E09524">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承包人提交最终结算申请单的期限：</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59C6380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14.4.2 最终结清证书和支付</w:t>
      </w:r>
    </w:p>
    <w:p w14:paraId="246150D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（1）发包人完成最终结清申请单的审批并颁发最终结清证书的期限：</w:t>
      </w:r>
      <w:r>
        <w:rPr>
          <w:rFonts w:eastAsia="仿宋_GB2312"/>
          <w:color w:val="000000" w:themeColor="text1"/>
          <w:sz w:val="30"/>
          <w:szCs w:val="32"/>
          <w:u w:val="single"/>
          <w14:textFill>
            <w14:solidFill>
              <w14:schemeClr w14:val="tx1"/>
            </w14:solidFill>
          </w14:textFill>
        </w:rPr>
        <w:t xml:space="preserve">  28天  </w:t>
      </w:r>
      <w:r>
        <w:rPr>
          <w:rFonts w:eastAsia="仿宋_GB2312"/>
          <w:color w:val="000000" w:themeColor="text1"/>
          <w:sz w:val="30"/>
          <w:szCs w:val="32"/>
          <w14:textFill>
            <w14:solidFill>
              <w14:schemeClr w14:val="tx1"/>
            </w14:solidFill>
          </w14:textFill>
        </w:rPr>
        <w:t>。</w:t>
      </w:r>
    </w:p>
    <w:p w14:paraId="44674D8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（2）发包人完成支付的期限：</w:t>
      </w:r>
      <w:r>
        <w:rPr>
          <w:rFonts w:eastAsia="仿宋_GB2312"/>
          <w:color w:val="000000" w:themeColor="text1"/>
          <w:sz w:val="30"/>
          <w:szCs w:val="32"/>
          <w:u w:val="single"/>
          <w14:textFill>
            <w14:solidFill>
              <w14:schemeClr w14:val="tx1"/>
            </w14:solidFill>
          </w14:textFill>
        </w:rPr>
        <w:t xml:space="preserve">  28天 </w:t>
      </w:r>
      <w:r>
        <w:rPr>
          <w:rFonts w:eastAsia="仿宋_GB2312"/>
          <w:color w:val="000000" w:themeColor="text1"/>
          <w:sz w:val="30"/>
          <w:szCs w:val="32"/>
          <w14:textFill>
            <w14:solidFill>
              <w14:schemeClr w14:val="tx1"/>
            </w14:solidFill>
          </w14:textFill>
        </w:rPr>
        <w:t>。</w:t>
      </w:r>
    </w:p>
    <w:bookmarkEnd w:id="638"/>
    <w:bookmarkEnd w:id="639"/>
    <w:bookmarkEnd w:id="640"/>
    <w:bookmarkEnd w:id="641"/>
    <w:bookmarkEnd w:id="642"/>
    <w:bookmarkEnd w:id="643"/>
    <w:bookmarkEnd w:id="644"/>
    <w:bookmarkEnd w:id="650"/>
    <w:p w14:paraId="4A170751">
      <w:pPr>
        <w:pStyle w:val="8"/>
        <w:rPr>
          <w:rFonts w:ascii="Times New Roman" w:hAnsi="Times New Roman" w:cs="Times New Roman"/>
          <w:b w:val="0"/>
        </w:rPr>
      </w:pPr>
      <w:bookmarkStart w:id="652" w:name="_Toc351203647"/>
      <w:bookmarkStart w:id="653" w:name="_Toc267251483"/>
      <w:bookmarkStart w:id="654" w:name="_Toc267251482"/>
      <w:bookmarkStart w:id="655" w:name="_Toc267251484"/>
      <w:bookmarkStart w:id="656" w:name="_Toc267251485"/>
      <w:bookmarkStart w:id="657" w:name="_Toc267251488"/>
      <w:bookmarkStart w:id="658" w:name="_Toc267251486"/>
      <w:bookmarkStart w:id="659" w:name="_Toc267251489"/>
      <w:bookmarkStart w:id="660" w:name="_Toc267251490"/>
      <w:bookmarkStart w:id="661" w:name="_Toc267251502"/>
      <w:bookmarkStart w:id="662" w:name="_Toc267251501"/>
      <w:bookmarkStart w:id="663" w:name="_Toc267251492"/>
      <w:bookmarkStart w:id="664" w:name="_Toc267251503"/>
      <w:bookmarkStart w:id="665" w:name="_Toc267251494"/>
      <w:bookmarkStart w:id="666" w:name="_Toc267251499"/>
      <w:bookmarkStart w:id="667" w:name="_Toc267251498"/>
      <w:bookmarkStart w:id="668" w:name="_Toc267251496"/>
      <w:bookmarkStart w:id="669" w:name="_Toc267251495"/>
      <w:bookmarkStart w:id="670" w:name="_Toc267251497"/>
      <w:bookmarkStart w:id="671" w:name="_Toc267251493"/>
      <w:bookmarkStart w:id="672" w:name="_Toc267251491"/>
      <w:bookmarkStart w:id="673" w:name="_Toc267251504"/>
      <w:bookmarkStart w:id="674" w:name="_Toc267251506"/>
      <w:bookmarkStart w:id="675" w:name="_Toc267251507"/>
      <w:bookmarkStart w:id="676" w:name="_Toc267251508"/>
      <w:bookmarkStart w:id="677" w:name="_Toc267251511"/>
      <w:bookmarkStart w:id="678" w:name="_Toc267251513"/>
      <w:bookmarkStart w:id="679" w:name="_Toc267251510"/>
      <w:bookmarkStart w:id="680" w:name="_Toc267251514"/>
      <w:bookmarkStart w:id="681" w:name="_Toc267251509"/>
      <w:bookmarkStart w:id="682" w:name="_Toc267251515"/>
      <w:r>
        <w:rPr>
          <w:rFonts w:ascii="Times New Roman" w:hAnsi="Times New Roman" w:cs="Times New Roman"/>
        </w:rPr>
        <w:t>15. 缺陷责任期与保修</w:t>
      </w:r>
      <w:bookmarkEnd w:id="652"/>
    </w:p>
    <w:p w14:paraId="70809A3F">
      <w:pPr>
        <w:pStyle w:val="9"/>
      </w:pPr>
      <w:r>
        <w:t>15.2缺陷责任期</w:t>
      </w:r>
      <w:bookmarkEnd w:id="653"/>
    </w:p>
    <w:p w14:paraId="10AA4B5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缺陷责任期的具体期限：</w:t>
      </w:r>
      <w:r>
        <w:rPr>
          <w:rFonts w:eastAsia="仿宋_GB2312"/>
          <w:color w:val="000000" w:themeColor="text1"/>
          <w:sz w:val="30"/>
          <w:szCs w:val="32"/>
          <w:u w:val="single"/>
          <w14:textFill>
            <w14:solidFill>
              <w14:schemeClr w14:val="tx1"/>
            </w14:solidFill>
          </w14:textFill>
        </w:rPr>
        <w:t xml:space="preserve">  执行附件5《工程质量保修书》。</w:t>
      </w:r>
    </w:p>
    <w:p w14:paraId="7019042C">
      <w:pPr>
        <w:pStyle w:val="9"/>
      </w:pPr>
      <w:r>
        <w:t>15.3质量保证金</w:t>
      </w:r>
    </w:p>
    <w:p w14:paraId="0AC1F556">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关于是否扣留质量保证金的约定：</w:t>
      </w:r>
      <w:r>
        <w:rPr>
          <w:rFonts w:eastAsia="仿宋_GB2312"/>
          <w:color w:val="000000" w:themeColor="text1"/>
          <w:sz w:val="30"/>
          <w:szCs w:val="32"/>
          <w:u w:val="single"/>
          <w14:textFill>
            <w14:solidFill>
              <w14:schemeClr w14:val="tx1"/>
            </w14:solidFill>
          </w14:textFill>
        </w:rPr>
        <w:t xml:space="preserve">   是  </w:t>
      </w:r>
      <w:r>
        <w:rPr>
          <w:rFonts w:eastAsia="仿宋_GB2312"/>
          <w:color w:val="000000" w:themeColor="text1"/>
          <w:sz w:val="30"/>
          <w:szCs w:val="32"/>
          <w14:textFill>
            <w14:solidFill>
              <w14:schemeClr w14:val="tx1"/>
            </w14:solidFill>
          </w14:textFill>
        </w:rPr>
        <w:t>。</w:t>
      </w:r>
    </w:p>
    <w:p w14:paraId="4DEDA6B4">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15.3.1 承包人提供质量保证金的方式</w:t>
      </w:r>
    </w:p>
    <w:p w14:paraId="312125A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质量保证金采用以下第</w:t>
      </w:r>
      <w:r>
        <w:rPr>
          <w:rFonts w:eastAsia="仿宋_GB2312"/>
          <w:color w:val="000000" w:themeColor="text1"/>
          <w:sz w:val="30"/>
          <w:szCs w:val="32"/>
          <w:u w:val="single"/>
          <w14:textFill>
            <w14:solidFill>
              <w14:schemeClr w14:val="tx1"/>
            </w14:solidFill>
          </w14:textFill>
        </w:rPr>
        <w:t xml:space="preserve">  （2）   </w:t>
      </w:r>
      <w:r>
        <w:rPr>
          <w:rFonts w:eastAsia="仿宋_GB2312"/>
          <w:color w:val="000000" w:themeColor="text1"/>
          <w:sz w:val="30"/>
          <w:szCs w:val="32"/>
          <w14:textFill>
            <w14:solidFill>
              <w14:schemeClr w14:val="tx1"/>
            </w14:solidFill>
          </w14:textFill>
        </w:rPr>
        <w:t>种方式：</w:t>
      </w:r>
    </w:p>
    <w:p w14:paraId="5FAE3E79">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（1）质量保证金保函，保证金额为：</w:t>
      </w:r>
      <w:r>
        <w:rPr>
          <w:rFonts w:eastAsia="仿宋_GB2312"/>
          <w:color w:val="000000" w:themeColor="text1"/>
          <w:kern w:val="0"/>
          <w:sz w:val="30"/>
          <w:szCs w:val="32"/>
          <w:u w:val="single"/>
          <w14:textFill>
            <w14:solidFill>
              <w14:schemeClr w14:val="tx1"/>
            </w14:solidFill>
          </w14:textFill>
        </w:rPr>
        <w:t xml:space="preserve">            </w:t>
      </w:r>
      <w:r>
        <w:rPr>
          <w:rFonts w:eastAsia="仿宋_GB2312"/>
          <w:color w:val="000000" w:themeColor="text1"/>
          <w:kern w:val="0"/>
          <w:sz w:val="30"/>
          <w:szCs w:val="32"/>
          <w14:textFill>
            <w14:solidFill>
              <w14:schemeClr w14:val="tx1"/>
            </w14:solidFill>
          </w14:textFill>
        </w:rPr>
        <w:t xml:space="preserve">； </w:t>
      </w:r>
    </w:p>
    <w:p w14:paraId="3A9F9ABF">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（2）</w:t>
      </w:r>
      <w:r>
        <w:rPr>
          <w:rFonts w:eastAsia="仿宋_GB2312"/>
          <w:color w:val="000000" w:themeColor="text1"/>
          <w:kern w:val="0"/>
          <w:sz w:val="30"/>
          <w:szCs w:val="32"/>
          <w:u w:val="single"/>
          <w14:textFill>
            <w14:solidFill>
              <w14:schemeClr w14:val="tx1"/>
            </w14:solidFill>
          </w14:textFill>
        </w:rPr>
        <w:t xml:space="preserve">  </w:t>
      </w:r>
      <w:r>
        <w:rPr>
          <w:rFonts w:eastAsia="仿宋_GB2312"/>
          <w:kern w:val="0"/>
          <w:sz w:val="30"/>
          <w:szCs w:val="32"/>
          <w:u w:val="single"/>
        </w:rPr>
        <w:t>结算款的</w:t>
      </w:r>
      <w:r>
        <w:rPr>
          <w:rFonts w:eastAsia="仿宋_GB2312"/>
          <w:color w:val="000000" w:themeColor="text1"/>
          <w:kern w:val="0"/>
          <w:sz w:val="30"/>
          <w:szCs w:val="32"/>
          <w:u w:val="single"/>
          <w14:textFill>
            <w14:solidFill>
              <w14:schemeClr w14:val="tx1"/>
            </w14:solidFill>
          </w14:textFill>
        </w:rPr>
        <w:t xml:space="preserve">3 </w:t>
      </w:r>
      <w:r>
        <w:rPr>
          <w:rFonts w:eastAsia="仿宋_GB2312"/>
          <w:color w:val="000000" w:themeColor="text1"/>
          <w:kern w:val="0"/>
          <w:sz w:val="30"/>
          <w:szCs w:val="32"/>
          <w14:textFill>
            <w14:solidFill>
              <w14:schemeClr w14:val="tx1"/>
            </w14:solidFill>
          </w14:textFill>
        </w:rPr>
        <w:t>%；</w:t>
      </w:r>
    </w:p>
    <w:p w14:paraId="180075B8">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（3）其他方式:</w:t>
      </w:r>
      <w:r>
        <w:rPr>
          <w:rFonts w:eastAsia="仿宋_GB2312"/>
          <w:color w:val="000000" w:themeColor="text1"/>
          <w:kern w:val="0"/>
          <w:sz w:val="30"/>
          <w:szCs w:val="32"/>
          <w:u w:val="single"/>
          <w14:textFill>
            <w14:solidFill>
              <w14:schemeClr w14:val="tx1"/>
            </w14:solidFill>
          </w14:textFill>
        </w:rPr>
        <w:t xml:space="preserve">             </w:t>
      </w:r>
      <w:r>
        <w:rPr>
          <w:rFonts w:eastAsia="仿宋_GB2312"/>
          <w:color w:val="000000" w:themeColor="text1"/>
          <w:kern w:val="0"/>
          <w:sz w:val="30"/>
          <w:szCs w:val="32"/>
          <w14:textFill>
            <w14:solidFill>
              <w14:schemeClr w14:val="tx1"/>
            </w14:solidFill>
          </w14:textFill>
        </w:rPr>
        <w:t>。</w:t>
      </w:r>
    </w:p>
    <w:p w14:paraId="64B0CFA2">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 xml:space="preserve">15.3.2 质量保证金的扣留 </w:t>
      </w:r>
    </w:p>
    <w:p w14:paraId="6E1A781A">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质量保证金的扣留采取以下第</w:t>
      </w:r>
      <w:r>
        <w:rPr>
          <w:rFonts w:eastAsia="仿宋_GB2312"/>
          <w:color w:val="000000" w:themeColor="text1"/>
          <w:sz w:val="30"/>
          <w:szCs w:val="32"/>
          <w:u w:val="single"/>
          <w14:textFill>
            <w14:solidFill>
              <w14:schemeClr w14:val="tx1"/>
            </w14:solidFill>
          </w14:textFill>
        </w:rPr>
        <w:t xml:space="preserve"> （2） </w:t>
      </w:r>
      <w:r>
        <w:rPr>
          <w:rFonts w:eastAsia="仿宋_GB2312"/>
          <w:color w:val="000000" w:themeColor="text1"/>
          <w:sz w:val="30"/>
          <w:szCs w:val="32"/>
          <w14:textFill>
            <w14:solidFill>
              <w14:schemeClr w14:val="tx1"/>
            </w14:solidFill>
          </w14:textFill>
        </w:rPr>
        <w:t>种方式：</w:t>
      </w:r>
    </w:p>
    <w:p w14:paraId="087E8020">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（1）在支付工程进度款时逐次扣留，在此情形下，质量保证金的计算基数不包括预付款的支付、扣回以及价格调整的金额；</w:t>
      </w:r>
    </w:p>
    <w:p w14:paraId="7805F6B5">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（2）工程竣工结算时一次性扣留质量保证金；</w:t>
      </w:r>
    </w:p>
    <w:p w14:paraId="17D6689B">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（3）其他扣留方式:</w:t>
      </w:r>
      <w:r>
        <w:rPr>
          <w:rFonts w:eastAsia="仿宋_GB2312"/>
          <w:color w:val="000000" w:themeColor="text1"/>
          <w:kern w:val="0"/>
          <w:sz w:val="30"/>
          <w:szCs w:val="32"/>
          <w:u w:val="single"/>
          <w14:textFill>
            <w14:solidFill>
              <w14:schemeClr w14:val="tx1"/>
            </w14:solidFill>
          </w14:textFill>
        </w:rPr>
        <w:t xml:space="preserve">              </w:t>
      </w:r>
      <w:r>
        <w:rPr>
          <w:rFonts w:eastAsia="仿宋_GB2312"/>
          <w:color w:val="000000" w:themeColor="text1"/>
          <w:kern w:val="0"/>
          <w:sz w:val="30"/>
          <w:szCs w:val="32"/>
          <w14:textFill>
            <w14:solidFill>
              <w14:schemeClr w14:val="tx1"/>
            </w14:solidFill>
          </w14:textFill>
        </w:rPr>
        <w:t>。</w:t>
      </w:r>
    </w:p>
    <w:p w14:paraId="1777B6B0">
      <w:pPr>
        <w:spacing w:line="360" w:lineRule="auto"/>
        <w:ind w:firstLine="600" w:firstLineChars="200"/>
        <w:jc w:val="left"/>
        <w:rPr>
          <w:rFonts w:eastAsia="仿宋_GB2312"/>
          <w:i/>
          <w:iCs/>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关于质量保证金的补充约定：</w:t>
      </w:r>
      <w:r>
        <w:rPr>
          <w:rFonts w:eastAsia="仿宋_GB2312"/>
          <w:color w:val="000000" w:themeColor="text1"/>
          <w:kern w:val="0"/>
          <w:sz w:val="30"/>
          <w:szCs w:val="32"/>
          <w:u w:val="single"/>
          <w14:textFill>
            <w14:solidFill>
              <w14:schemeClr w14:val="tx1"/>
            </w14:solidFill>
          </w14:textFill>
        </w:rPr>
        <w:t xml:space="preserve"> 无</w:t>
      </w:r>
      <w:r>
        <w:rPr>
          <w:rFonts w:eastAsia="仿宋_GB2312"/>
          <w:i/>
          <w:iCs/>
          <w:color w:val="000000" w:themeColor="text1"/>
          <w:kern w:val="0"/>
          <w:sz w:val="30"/>
          <w:szCs w:val="32"/>
          <w:u w:val="single"/>
          <w14:textFill>
            <w14:solidFill>
              <w14:schemeClr w14:val="tx1"/>
            </w14:solidFill>
          </w14:textFill>
        </w:rPr>
        <w:t xml:space="preserve"> </w:t>
      </w:r>
      <w:r>
        <w:rPr>
          <w:rFonts w:eastAsia="仿宋_GB2312"/>
          <w:i/>
          <w:iCs/>
          <w:color w:val="000000" w:themeColor="text1"/>
          <w:kern w:val="0"/>
          <w:sz w:val="30"/>
          <w:szCs w:val="32"/>
          <w14:textFill>
            <w14:solidFill>
              <w14:schemeClr w14:val="tx1"/>
            </w14:solidFill>
          </w14:textFill>
        </w:rPr>
        <w:t>。</w:t>
      </w:r>
    </w:p>
    <w:bookmarkEnd w:id="654"/>
    <w:bookmarkEnd w:id="655"/>
    <w:p w14:paraId="66A83023">
      <w:pPr>
        <w:pStyle w:val="9"/>
      </w:pPr>
      <w:r>
        <w:t>15.4保修</w:t>
      </w:r>
    </w:p>
    <w:bookmarkEnd w:id="656"/>
    <w:p w14:paraId="5D4BA360">
      <w:pPr>
        <w:spacing w:line="360" w:lineRule="auto"/>
        <w:ind w:firstLine="585" w:firstLineChars="195"/>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15.4.1 保修责任</w:t>
      </w:r>
    </w:p>
    <w:p w14:paraId="39C792F6">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工程保修期为：</w:t>
      </w:r>
      <w:r>
        <w:rPr>
          <w:rFonts w:eastAsia="仿宋_GB2312"/>
          <w:color w:val="000000" w:themeColor="text1"/>
          <w:kern w:val="0"/>
          <w:sz w:val="30"/>
          <w:szCs w:val="32"/>
          <w:u w:val="single"/>
          <w14:textFill>
            <w14:solidFill>
              <w14:schemeClr w14:val="tx1"/>
            </w14:solidFill>
          </w14:textFill>
        </w:rPr>
        <w:t xml:space="preserve"> </w:t>
      </w:r>
      <w:r>
        <w:rPr>
          <w:rFonts w:eastAsia="仿宋_GB2312"/>
          <w:color w:val="000000" w:themeColor="text1"/>
          <w:sz w:val="30"/>
          <w:szCs w:val="32"/>
          <w:u w:val="single"/>
          <w14:textFill>
            <w14:solidFill>
              <w14:schemeClr w14:val="tx1"/>
            </w14:solidFill>
          </w14:textFill>
        </w:rPr>
        <w:t>详见本合同附件《工程质量保修书》</w:t>
      </w:r>
      <w:r>
        <w:rPr>
          <w:rFonts w:eastAsia="仿宋_GB2312"/>
          <w:color w:val="000000" w:themeColor="text1"/>
          <w:kern w:val="0"/>
          <w:sz w:val="30"/>
          <w:szCs w:val="32"/>
          <w:u w:val="single"/>
          <w14:textFill>
            <w14:solidFill>
              <w14:schemeClr w14:val="tx1"/>
            </w14:solidFill>
          </w14:textFill>
        </w:rPr>
        <w:t xml:space="preserve"> </w:t>
      </w:r>
      <w:r>
        <w:rPr>
          <w:rFonts w:eastAsia="仿宋_GB2312"/>
          <w:color w:val="000000" w:themeColor="text1"/>
          <w:kern w:val="0"/>
          <w:sz w:val="30"/>
          <w:szCs w:val="32"/>
          <w14:textFill>
            <w14:solidFill>
              <w14:schemeClr w14:val="tx1"/>
            </w14:solidFill>
          </w14:textFill>
        </w:rPr>
        <w:t>。</w:t>
      </w:r>
    </w:p>
    <w:p w14:paraId="385DAF39">
      <w:pPr>
        <w:spacing w:line="360" w:lineRule="auto"/>
        <w:ind w:firstLine="585" w:firstLineChars="195"/>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15.4.3 修复通知</w:t>
      </w:r>
    </w:p>
    <w:p w14:paraId="7D17FEF6">
      <w:pPr>
        <w:spacing w:line="360" w:lineRule="auto"/>
        <w:ind w:firstLine="585" w:firstLineChars="195"/>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承包人收到保修通知并到达工程现场的合理时间：</w:t>
      </w:r>
      <w:r>
        <w:rPr>
          <w:rFonts w:eastAsia="仿宋_GB2312"/>
          <w:color w:val="000000" w:themeColor="text1"/>
          <w:kern w:val="0"/>
          <w:sz w:val="30"/>
          <w:szCs w:val="32"/>
          <w:u w:val="single"/>
          <w14:textFill>
            <w14:solidFill>
              <w14:schemeClr w14:val="tx1"/>
            </w14:solidFill>
          </w14:textFill>
        </w:rPr>
        <w:t>24小时之内</w:t>
      </w:r>
      <w:r>
        <w:rPr>
          <w:rFonts w:eastAsia="仿宋_GB2312"/>
          <w:color w:val="000000" w:themeColor="text1"/>
          <w:kern w:val="0"/>
          <w:sz w:val="30"/>
          <w:szCs w:val="32"/>
          <w14:textFill>
            <w14:solidFill>
              <w14:schemeClr w14:val="tx1"/>
            </w14:solidFill>
          </w14:textFill>
        </w:rPr>
        <w:t>。</w:t>
      </w:r>
    </w:p>
    <w:bookmarkEnd w:id="657"/>
    <w:bookmarkEnd w:id="658"/>
    <w:bookmarkEnd w:id="659"/>
    <w:bookmarkEnd w:id="660"/>
    <w:p w14:paraId="1C9D1ABB">
      <w:pPr>
        <w:pStyle w:val="8"/>
        <w:rPr>
          <w:rFonts w:ascii="Times New Roman" w:hAnsi="Times New Roman" w:cs="Times New Roman"/>
          <w:b w:val="0"/>
        </w:rPr>
      </w:pPr>
      <w:bookmarkStart w:id="683" w:name="_Toc351203648"/>
      <w:bookmarkStart w:id="684" w:name="_Toc280868717"/>
      <w:bookmarkStart w:id="685" w:name="_Toc280868718"/>
      <w:r>
        <w:rPr>
          <w:rFonts w:ascii="Times New Roman" w:hAnsi="Times New Roman" w:cs="Times New Roman"/>
        </w:rPr>
        <w:t>16. 违约</w:t>
      </w:r>
      <w:bookmarkEnd w:id="683"/>
    </w:p>
    <w:p w14:paraId="5217390C">
      <w:pPr>
        <w:pStyle w:val="9"/>
      </w:pPr>
      <w:r>
        <w:t>16.1 发包人违约</w:t>
      </w:r>
    </w:p>
    <w:p w14:paraId="5FF4554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16.1.1发包人违约的情形</w:t>
      </w:r>
    </w:p>
    <w:p w14:paraId="3B786F6B">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发包人违约的其他情形：</w:t>
      </w:r>
      <w:r>
        <w:rPr>
          <w:rFonts w:eastAsia="仿宋_GB2312"/>
          <w:color w:val="000000" w:themeColor="text1"/>
          <w:kern w:val="0"/>
          <w:sz w:val="30"/>
          <w:szCs w:val="32"/>
          <w:u w:val="single"/>
          <w14:textFill>
            <w14:solidFill>
              <w14:schemeClr w14:val="tx1"/>
            </w14:solidFill>
          </w14:textFill>
        </w:rPr>
        <w:t xml:space="preserve">  / </w:t>
      </w:r>
      <w:r>
        <w:rPr>
          <w:rFonts w:eastAsia="仿宋_GB2312"/>
          <w:color w:val="000000" w:themeColor="text1"/>
          <w:kern w:val="0"/>
          <w:sz w:val="30"/>
          <w:szCs w:val="32"/>
          <w14:textFill>
            <w14:solidFill>
              <w14:schemeClr w14:val="tx1"/>
            </w14:solidFill>
          </w14:textFill>
        </w:rPr>
        <w:t>。</w:t>
      </w:r>
    </w:p>
    <w:p w14:paraId="1657218F">
      <w:pPr>
        <w:spacing w:line="360" w:lineRule="auto"/>
        <w:ind w:firstLine="600" w:firstLineChars="200"/>
        <w:jc w:val="left"/>
        <w:rPr>
          <w:color w:val="000000" w:themeColor="text1"/>
          <w:sz w:val="30"/>
          <w14:textFill>
            <w14:solidFill>
              <w14:schemeClr w14:val="tx1"/>
            </w14:solidFill>
          </w14:textFill>
        </w:rPr>
      </w:pPr>
      <w:r>
        <w:rPr>
          <w:color w:val="000000" w:themeColor="text1"/>
          <w:sz w:val="30"/>
          <w14:textFill>
            <w14:solidFill>
              <w14:schemeClr w14:val="tx1"/>
            </w14:solidFill>
          </w14:textFill>
        </w:rPr>
        <w:t>16.1.2发包人违约的责任</w:t>
      </w:r>
    </w:p>
    <w:p w14:paraId="27AF1B94">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发包人违约责任的承担方式和计算方法：</w:t>
      </w:r>
    </w:p>
    <w:p w14:paraId="03C1D230">
      <w:pPr>
        <w:spacing w:line="360" w:lineRule="auto"/>
        <w:ind w:firstLine="600" w:firstLineChars="200"/>
        <w:jc w:val="left"/>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（1）因发包人原因未能在计划开工日期前7天内下达开工通知的违约责任：</w:t>
      </w:r>
      <w:r>
        <w:rPr>
          <w:rFonts w:eastAsia="仿宋_GB2312"/>
          <w:color w:val="000000" w:themeColor="text1"/>
          <w:kern w:val="0"/>
          <w:sz w:val="30"/>
          <w:szCs w:val="32"/>
          <w:u w:val="single"/>
          <w14:textFill>
            <w14:solidFill>
              <w14:schemeClr w14:val="tx1"/>
            </w14:solidFill>
          </w14:textFill>
        </w:rPr>
        <w:t>发包人发出延期通知，调整开工日期，工期予以顺延。</w:t>
      </w:r>
    </w:p>
    <w:p w14:paraId="3DA9319C">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（2）因发包人原因未能按合同约定支付合同价款的违约责任：承包人应给给予发包人30天的宽限期，宽限期满仍未支付的，</w:t>
      </w:r>
      <w:r>
        <w:rPr>
          <w:rFonts w:eastAsia="仿宋_GB2312"/>
          <w:color w:val="000000" w:themeColor="text1"/>
          <w:kern w:val="0"/>
          <w:sz w:val="30"/>
          <w:szCs w:val="32"/>
          <w:u w:val="single"/>
          <w14:textFill>
            <w14:solidFill>
              <w14:schemeClr w14:val="tx1"/>
            </w14:solidFill>
          </w14:textFill>
        </w:rPr>
        <w:t>按照中国人民银行同期发布的</w:t>
      </w:r>
      <w:r>
        <w:rPr>
          <w:rFonts w:eastAsia="仿宋_GB2312"/>
          <w:color w:val="000000" w:themeColor="text1"/>
          <w:sz w:val="30"/>
          <w:szCs w:val="32"/>
          <w:u w:val="single"/>
          <w14:textFill>
            <w14:solidFill>
              <w14:schemeClr w14:val="tx1"/>
            </w14:solidFill>
          </w14:textFill>
        </w:rPr>
        <w:t>1年期贷款市场报价利率（LPR），以及逾期付款天数计算</w:t>
      </w:r>
      <w:r>
        <w:rPr>
          <w:rFonts w:eastAsia="仿宋_GB2312"/>
          <w:color w:val="000000" w:themeColor="text1"/>
          <w:kern w:val="0"/>
          <w:sz w:val="30"/>
          <w:szCs w:val="32"/>
          <w:u w:val="single"/>
          <w14:textFill>
            <w14:solidFill>
              <w14:schemeClr w14:val="tx1"/>
            </w14:solidFill>
          </w14:textFill>
        </w:rPr>
        <w:t>支付违约金，但最高不超过签约合同暂定价的1%</w:t>
      </w:r>
      <w:r>
        <w:rPr>
          <w:rFonts w:eastAsia="仿宋_GB2312"/>
          <w:color w:val="000000" w:themeColor="text1"/>
          <w:kern w:val="0"/>
          <w:sz w:val="30"/>
          <w:szCs w:val="32"/>
          <w14:textFill>
            <w14:solidFill>
              <w14:schemeClr w14:val="tx1"/>
            </w14:solidFill>
          </w14:textFill>
        </w:rPr>
        <w:t>。</w:t>
      </w:r>
    </w:p>
    <w:p w14:paraId="1EE11407">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（3）发包人违反第10.1款〔变更的范围〕第（2）项约定，自行实施被取消的工作或转由他人实施的违约责任：</w:t>
      </w:r>
      <w:r>
        <w:rPr>
          <w:rFonts w:eastAsia="仿宋_GB2312"/>
          <w:color w:val="000000" w:themeColor="text1"/>
          <w:kern w:val="0"/>
          <w:sz w:val="30"/>
          <w:szCs w:val="32"/>
          <w:u w:val="single"/>
          <w14:textFill>
            <w14:solidFill>
              <w14:schemeClr w14:val="tx1"/>
            </w14:solidFill>
          </w14:textFill>
        </w:rPr>
        <w:t>双方另行协商。</w:t>
      </w:r>
    </w:p>
    <w:p w14:paraId="3BCA08AA">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（4）发包人提供的材料、工程设备的规格、数量或质量不符合合同约定，或因发包人原因导致交货日期延误或交货地点变更等情况的违约责任：</w:t>
      </w:r>
      <w:r>
        <w:rPr>
          <w:rFonts w:eastAsia="仿宋_GB2312"/>
          <w:color w:val="000000" w:themeColor="text1"/>
          <w:kern w:val="0"/>
          <w:sz w:val="30"/>
          <w:szCs w:val="32"/>
          <w:u w:val="single"/>
          <w14:textFill>
            <w14:solidFill>
              <w14:schemeClr w14:val="tx1"/>
            </w14:solidFill>
          </w14:textFill>
        </w:rPr>
        <w:t xml:space="preserve"> 工期予以顺延 </w:t>
      </w:r>
      <w:r>
        <w:rPr>
          <w:rFonts w:eastAsia="仿宋_GB2312"/>
          <w:color w:val="000000" w:themeColor="text1"/>
          <w:kern w:val="0"/>
          <w:sz w:val="30"/>
          <w:szCs w:val="32"/>
          <w14:textFill>
            <w14:solidFill>
              <w14:schemeClr w14:val="tx1"/>
            </w14:solidFill>
          </w14:textFill>
        </w:rPr>
        <w:t>。</w:t>
      </w:r>
    </w:p>
    <w:p w14:paraId="50BB3D78">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（5）因发包人违反合同约定造成暂停施工的违约责任：</w:t>
      </w:r>
      <w:r>
        <w:rPr>
          <w:rFonts w:eastAsia="仿宋_GB2312"/>
          <w:color w:val="000000" w:themeColor="text1"/>
          <w:kern w:val="0"/>
          <w:sz w:val="30"/>
          <w:szCs w:val="32"/>
          <w:u w:val="single"/>
          <w14:textFill>
            <w14:solidFill>
              <w14:schemeClr w14:val="tx1"/>
            </w14:solidFill>
          </w14:textFill>
        </w:rPr>
        <w:t xml:space="preserve"> 工期予以顺延 </w:t>
      </w:r>
      <w:r>
        <w:rPr>
          <w:rFonts w:eastAsia="仿宋_GB2312"/>
          <w:color w:val="000000" w:themeColor="text1"/>
          <w:kern w:val="0"/>
          <w:sz w:val="30"/>
          <w:szCs w:val="32"/>
          <w14:textFill>
            <w14:solidFill>
              <w14:schemeClr w14:val="tx1"/>
            </w14:solidFill>
          </w14:textFill>
        </w:rPr>
        <w:t>。</w:t>
      </w:r>
    </w:p>
    <w:p w14:paraId="3A320B05">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（6）发包人无正当理由没有在约定期限内发出复工指示，导致承包人无法复工的违约责任：</w:t>
      </w:r>
      <w:r>
        <w:rPr>
          <w:rFonts w:eastAsia="仿宋_GB2312"/>
          <w:color w:val="000000" w:themeColor="text1"/>
          <w:kern w:val="0"/>
          <w:sz w:val="30"/>
          <w:szCs w:val="32"/>
          <w:u w:val="single"/>
          <w14:textFill>
            <w14:solidFill>
              <w14:schemeClr w14:val="tx1"/>
            </w14:solidFill>
          </w14:textFill>
        </w:rPr>
        <w:t xml:space="preserve"> 工期予以顺延 </w:t>
      </w:r>
      <w:r>
        <w:rPr>
          <w:rFonts w:eastAsia="仿宋_GB2312"/>
          <w:color w:val="000000" w:themeColor="text1"/>
          <w:kern w:val="0"/>
          <w:sz w:val="30"/>
          <w:szCs w:val="32"/>
          <w14:textFill>
            <w14:solidFill>
              <w14:schemeClr w14:val="tx1"/>
            </w14:solidFill>
          </w14:textFill>
        </w:rPr>
        <w:t>。</w:t>
      </w:r>
    </w:p>
    <w:p w14:paraId="2CDDA445">
      <w:pPr>
        <w:spacing w:line="360" w:lineRule="auto"/>
        <w:ind w:firstLine="600" w:firstLineChars="200"/>
        <w:jc w:val="left"/>
        <w:rPr>
          <w:rFonts w:eastAsia="仿宋_GB2312"/>
          <w:kern w:val="0"/>
          <w:sz w:val="30"/>
          <w:szCs w:val="32"/>
          <w:u w:val="single"/>
        </w:rPr>
      </w:pPr>
      <w:r>
        <w:rPr>
          <w:kern w:val="0"/>
          <w:sz w:val="30"/>
        </w:rPr>
        <w:t>（7）</w:t>
      </w:r>
      <w:r>
        <w:rPr>
          <w:rFonts w:eastAsia="仿宋_GB2312"/>
          <w:kern w:val="0"/>
          <w:sz w:val="30"/>
          <w:szCs w:val="32"/>
        </w:rPr>
        <w:t>发包人未执行政府行政管理部门关于农民工工资支付的各项制度或未能按合同约定支付人工费的违约责任：</w:t>
      </w:r>
      <w:r>
        <w:rPr>
          <w:rFonts w:eastAsia="仿宋_GB2312"/>
          <w:kern w:val="0"/>
          <w:sz w:val="30"/>
          <w:szCs w:val="32"/>
          <w:u w:val="single"/>
        </w:rPr>
        <w:t xml:space="preserve">  双方另行协商   </w:t>
      </w:r>
      <w:r>
        <w:rPr>
          <w:rFonts w:eastAsia="仿宋_GB2312"/>
          <w:kern w:val="0"/>
          <w:sz w:val="30"/>
          <w:szCs w:val="32"/>
        </w:rPr>
        <w:t>。</w:t>
      </w:r>
    </w:p>
    <w:p w14:paraId="4DF3C2A8">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（8）其他：</w:t>
      </w:r>
      <w:r>
        <w:rPr>
          <w:rFonts w:eastAsia="仿宋_GB2312"/>
          <w:color w:val="000000" w:themeColor="text1"/>
          <w:kern w:val="0"/>
          <w:sz w:val="30"/>
          <w:szCs w:val="32"/>
          <w:u w:val="single"/>
          <w14:textFill>
            <w14:solidFill>
              <w14:schemeClr w14:val="tx1"/>
            </w14:solidFill>
          </w14:textFill>
        </w:rPr>
        <w:t xml:space="preserve"> 双方协商解决，协商不成执行第20条（争议解决）</w:t>
      </w:r>
      <w:r>
        <w:rPr>
          <w:rFonts w:eastAsia="仿宋_GB2312"/>
          <w:color w:val="000000" w:themeColor="text1"/>
          <w:kern w:val="0"/>
          <w:sz w:val="30"/>
          <w:szCs w:val="32"/>
          <w14:textFill>
            <w14:solidFill>
              <w14:schemeClr w14:val="tx1"/>
            </w14:solidFill>
          </w14:textFill>
        </w:rPr>
        <w:t>。</w:t>
      </w:r>
    </w:p>
    <w:p w14:paraId="1B7F8DD6">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16.1.3 因发包人违约解除合同</w:t>
      </w:r>
    </w:p>
    <w:p w14:paraId="07710650">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承包人按16.1.1项〔发包人违约的情形〕约定暂停施工满</w:t>
      </w:r>
      <w:r>
        <w:rPr>
          <w:rFonts w:eastAsia="仿宋_GB2312"/>
          <w:color w:val="000000" w:themeColor="text1"/>
          <w:kern w:val="0"/>
          <w:sz w:val="30"/>
          <w:szCs w:val="32"/>
          <w:u w:val="single"/>
          <w14:textFill>
            <w14:solidFill>
              <w14:schemeClr w14:val="tx1"/>
            </w14:solidFill>
          </w14:textFill>
        </w:rPr>
        <w:t xml:space="preserve"> 56 </w:t>
      </w:r>
      <w:r>
        <w:rPr>
          <w:rFonts w:eastAsia="仿宋_GB2312"/>
          <w:color w:val="000000" w:themeColor="text1"/>
          <w:kern w:val="0"/>
          <w:sz w:val="30"/>
          <w:szCs w:val="32"/>
          <w14:textFill>
            <w14:solidFill>
              <w14:schemeClr w14:val="tx1"/>
            </w14:solidFill>
          </w14:textFill>
        </w:rPr>
        <w:t>天后发包人仍不纠正其违约行为并致使合同目的不能实现的，承包人有权解除合同。</w:t>
      </w:r>
    </w:p>
    <w:p w14:paraId="160BEE0D">
      <w:pPr>
        <w:pStyle w:val="9"/>
      </w:pPr>
      <w:r>
        <w:t>16.2 承包人违约</w:t>
      </w:r>
    </w:p>
    <w:p w14:paraId="62B82B08">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16.2.1 承包人违约的情形</w:t>
      </w:r>
    </w:p>
    <w:p w14:paraId="4E57C898">
      <w:pPr>
        <w:spacing w:line="360" w:lineRule="auto"/>
        <w:ind w:firstLine="600" w:firstLineChars="200"/>
        <w:jc w:val="left"/>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14:textFill>
            <w14:solidFill>
              <w14:schemeClr w14:val="tx1"/>
            </w14:solidFill>
          </w14:textFill>
        </w:rPr>
        <w:t>承包人违约的其他情形：</w:t>
      </w:r>
    </w:p>
    <w:p w14:paraId="18B73E45">
      <w:pPr>
        <w:numPr>
          <w:ilvl w:val="0"/>
          <w:numId w:val="10"/>
        </w:numPr>
        <w:spacing w:line="360" w:lineRule="auto"/>
        <w:ind w:firstLine="600" w:firstLineChars="200"/>
        <w:jc w:val="left"/>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未达到合同约定的安全文明施工标准；</w:t>
      </w:r>
    </w:p>
    <w:p w14:paraId="48DCA8BE">
      <w:pPr>
        <w:numPr>
          <w:ilvl w:val="0"/>
          <w:numId w:val="10"/>
        </w:num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未按合同约定及时进行竣工验收、工程资料移交及工程移交，竣工结算，竣工验收备案；</w:t>
      </w:r>
    </w:p>
    <w:p w14:paraId="54426C65">
      <w:pPr>
        <w:numPr>
          <w:ilvl w:val="0"/>
          <w:numId w:val="10"/>
        </w:num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现场项目管理班子人员未按中标文件配备及擅自更换；</w:t>
      </w:r>
    </w:p>
    <w:p w14:paraId="134543B3">
      <w:pPr>
        <w:numPr>
          <w:ilvl w:val="0"/>
          <w:numId w:val="10"/>
        </w:num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未履行总包管理责任；</w:t>
      </w:r>
    </w:p>
    <w:p w14:paraId="6342D7CF">
      <w:pPr>
        <w:numPr>
          <w:ilvl w:val="0"/>
          <w:numId w:val="10"/>
        </w:num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由于</w:t>
      </w:r>
      <w:r>
        <w:rPr>
          <w:rFonts w:eastAsia="仿宋_GB2312"/>
          <w:color w:val="000000" w:themeColor="text1"/>
          <w:sz w:val="30"/>
          <w:szCs w:val="32"/>
          <w:u w:val="single"/>
          <w14:textFill>
            <w14:solidFill>
              <w14:schemeClr w14:val="tx1"/>
            </w14:solidFill>
          </w14:textFill>
        </w:rPr>
        <w:t>承包人拖欠农民工工资、分包及供货商工程款，造成聚众围堵、上访等对发包人造成声誉、形象等不力影响</w:t>
      </w:r>
      <w:r>
        <w:rPr>
          <w:rFonts w:eastAsia="仿宋_GB2312"/>
          <w:color w:val="000000" w:themeColor="text1"/>
          <w:kern w:val="0"/>
          <w:sz w:val="30"/>
          <w:szCs w:val="32"/>
          <w14:textFill>
            <w14:solidFill>
              <w14:schemeClr w14:val="tx1"/>
            </w14:solidFill>
          </w14:textFill>
        </w:rPr>
        <w:t>；</w:t>
      </w:r>
    </w:p>
    <w:p w14:paraId="165DF95E">
      <w:pPr>
        <w:numPr>
          <w:ilvl w:val="0"/>
          <w:numId w:val="10"/>
        </w:num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如发包人发现实际施工人存在借用或冒用承包人的资质、印章等弄虚作假行为；或者实际施工人为承包人及其项目经理以外的第三人的情况，发包人有权以此为理由拒绝向承包人或实际施工人支付工程款，而不构成违约，也无需向承包人或实际施工人承担包含利息在内的任何违约及赔偿责任；</w:t>
      </w:r>
    </w:p>
    <w:p w14:paraId="2E344478">
      <w:pPr>
        <w:numPr>
          <w:ilvl w:val="0"/>
          <w:numId w:val="10"/>
        </w:num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除不可抗力因素外的任何停工、缓工、工期滞后等；</w:t>
      </w:r>
    </w:p>
    <w:p w14:paraId="263387B6">
      <w:pPr>
        <w:numPr>
          <w:ilvl w:val="0"/>
          <w:numId w:val="10"/>
        </w:num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承包人提交的文件、资料存在造假伪造、篡改、代签、私刻擅用印章等弄虚作假行为；</w:t>
      </w:r>
    </w:p>
    <w:p w14:paraId="21EA1BF9">
      <w:pPr>
        <w:numPr>
          <w:ilvl w:val="0"/>
          <w:numId w:val="10"/>
        </w:num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竣工图编制与实体进度不一致，竣工图内容与现场实际不符等；</w:t>
      </w:r>
    </w:p>
    <w:p w14:paraId="2D3FE48B">
      <w:pPr>
        <w:numPr>
          <w:ilvl w:val="0"/>
          <w:numId w:val="10"/>
        </w:num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u w:val="single"/>
          <w14:textFill>
            <w14:solidFill>
              <w14:schemeClr w14:val="tx1"/>
            </w14:solidFill>
          </w14:textFill>
        </w:rPr>
        <w:t>项目竣工后，施工单位未按照合同约定的内容、时限，编制报送竣工结算送审资料。结算送审资料存在以虚增材料和项目、虚列工程量和价款等方式高估冒算等。</w:t>
      </w:r>
    </w:p>
    <w:p w14:paraId="072F6E1C">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16.2.2承包人违约的责任</w:t>
      </w:r>
    </w:p>
    <w:p w14:paraId="419FD1D5">
      <w:pPr>
        <w:spacing w:line="360" w:lineRule="auto"/>
        <w:ind w:firstLine="600" w:firstLineChars="200"/>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承包人违约责任的承担方式和计算方法：</w:t>
      </w:r>
      <w:r>
        <w:rPr>
          <w:rFonts w:eastAsia="仿宋_GB2312"/>
          <w:color w:val="000000" w:themeColor="text1"/>
          <w:sz w:val="30"/>
          <w:szCs w:val="32"/>
          <w:u w:val="single"/>
          <w14:textFill>
            <w14:solidFill>
              <w14:schemeClr w14:val="tx1"/>
            </w14:solidFill>
          </w14:textFill>
        </w:rPr>
        <w:t>前述专用条款有约定的按专用条款约定执行，其他由承包人承担全部费用及相应法律责任并承担给发包人造成的损失，包括但不限于发包人直接经济损失、向第三人承担的违约责任以及发生的诉讼费、仲裁费、律师费等。相应的违约金从当期进度款中扣除或依据银行履约保函，由担保方见索即付。承包人拖欠农民工工资、劳务分包及供货商工程款的，发包人有权从应付工程款中扣缴。</w:t>
      </w:r>
    </w:p>
    <w:p w14:paraId="2B41B1EB">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承包人有下列行为之一的，负责限期改正，发现一次视情况处以5000-20000元的罚款；造成建设工程质量不符合规定的质量标准的，负责返工、修理、重做；情况严重或导致工程验收不合格或达不到竣工验收条件的或发包人被政府相关部门责令通报、处罚的或造成重大工程质量事故的，发包人有权视情况解除合同，或/并要求承包人除停工整改、补交罚款外，还应按工程结算价款或合同约定价款的5%向发包人支付违约金；造成损失的，依法承担赔偿责任，对于未经验收的隐蔽工程，不予计量工程量，罚款和违约金从当期工程款中扣除或依据履约保函进行索赔。</w:t>
      </w:r>
    </w:p>
    <w:p w14:paraId="12536089">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1.在施工中偷工减料的；</w:t>
      </w:r>
    </w:p>
    <w:p w14:paraId="23AB2B48">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2.使用不合格的建筑材料、建筑构配件和设备的；</w:t>
      </w:r>
    </w:p>
    <w:p w14:paraId="78A835E1">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3.不按照工程设计图纸或者施工技术标准施工的，在施工中不执行配比、不计量的；</w:t>
      </w:r>
    </w:p>
    <w:p w14:paraId="6827F8F0">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4.未对建筑材料、建筑构配件、设备进行检验的；</w:t>
      </w:r>
    </w:p>
    <w:p w14:paraId="6086074C">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5.未对涉及结构安全的试块、试件以及有关材料取样检测的；</w:t>
      </w:r>
    </w:p>
    <w:p w14:paraId="10D2CEF8">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6.不按照验收程序进行过程验收，擅自进行下道工序施工的；</w:t>
      </w:r>
    </w:p>
    <w:p w14:paraId="025ACA34">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7.不执行样品、样板开路的；擅自更换材料品牌；</w:t>
      </w:r>
    </w:p>
    <w:p w14:paraId="700BD2A7">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8.对于监理工程师或其他质量监督部门提出的问题未按时整改的；</w:t>
      </w:r>
    </w:p>
    <w:p w14:paraId="109D3F7E">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9.对于施工中出现的质量隐患隐瞒不报的；</w:t>
      </w:r>
    </w:p>
    <w:p w14:paraId="7B9981B0">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10.现场管理人员不到位或未按照国家有关规定取得上岗资格，造成现场质量保证体系不健全；</w:t>
      </w:r>
    </w:p>
    <w:p w14:paraId="4B1130A0">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11.现场管理人员不服从建设单位或监理单位的管理的；</w:t>
      </w:r>
    </w:p>
    <w:p w14:paraId="6D835558">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12.发包人认为其他影响工程质量行为的。</w:t>
      </w:r>
    </w:p>
    <w:p w14:paraId="626E0E66">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2）承包人有下列行为之一的，要求限期改正；逾期未改正的发现一次，视情况处以2000-10000元的罚款，该罚款直接从当期进度款中扣除或者依据履约保函进行索赔；情况严重的，进行停工整顿，工期不相应延长，造成损失的，承包人依法承担赔偿责任：</w:t>
      </w:r>
    </w:p>
    <w:p w14:paraId="332B3B98">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1.施工前未对有关安全施工的技术要求作出详细交底的；</w:t>
      </w:r>
    </w:p>
    <w:p w14:paraId="1C99F636">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2.未根据不同施工阶段和周围环境及季节、气候的变化，在施工现场采取相应安全施工措施或者施工现场未实行封闭围档的；</w:t>
      </w:r>
    </w:p>
    <w:p w14:paraId="59872DBD">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3.在尚未竣工的建筑物内设置员工集体宿舍的；</w:t>
      </w:r>
    </w:p>
    <w:p w14:paraId="31F28760">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4.施工现场临时搭建的建筑物不符合安全使用要求的；</w:t>
      </w:r>
    </w:p>
    <w:p w14:paraId="40402DF0">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5.未对因建设工程施工可能造成损害的毗邻建筑物、构筑物和地下管线等采取专项防护措施的；</w:t>
      </w:r>
    </w:p>
    <w:p w14:paraId="792F35A3">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6.安全防护用具、机械设备、施工机具及配件在进入施工现场前未经查验或者查验不合格即投入使用的；</w:t>
      </w:r>
    </w:p>
    <w:p w14:paraId="2329AC2C">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7.使用未经验收或者验收不合格的施工起重机械和其他垂直运输设备的；</w:t>
      </w:r>
    </w:p>
    <w:p w14:paraId="10BED480">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8.委托不具有相应资质的单位承担施工现场安装、拆卸施工起重机械和其他垂直运输设备的</w:t>
      </w:r>
    </w:p>
    <w:p w14:paraId="03EAF50A">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9.未编制安全管理施工组织设计、施工现场临时用电方案或者其他专项施工方案的。</w:t>
      </w:r>
    </w:p>
    <w:p w14:paraId="67C73F7F">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10.未进行全封闭式施工或者封闭不符合有关规定的；</w:t>
      </w:r>
    </w:p>
    <w:p w14:paraId="61DBD42F">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11.生活或建筑垃圾不按规定进行清理和外运的，道路未采取经常性保洁措施的；</w:t>
      </w:r>
    </w:p>
    <w:p w14:paraId="4968023D">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12.物料及施工机具未按现场平面图进行布置或堆放不整齐的；</w:t>
      </w:r>
    </w:p>
    <w:p w14:paraId="362ABEF8">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13.未按规定设置下水道、沉淀池，排水系统不通畅的；</w:t>
      </w:r>
    </w:p>
    <w:p w14:paraId="20ECFDA6">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14.施工机械不及时清洗，运输车辆带泥浆进出现场的；</w:t>
      </w:r>
    </w:p>
    <w:p w14:paraId="3ECB7CB5">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15.在施工现场大小便的；</w:t>
      </w:r>
    </w:p>
    <w:p w14:paraId="1F7BF676">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16.外脚手架、基坑临边防护、楼层临边防护等安全防护用具不符合本规定的；</w:t>
      </w:r>
    </w:p>
    <w:p w14:paraId="71AAC403">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17.未采取防尘措施，造成较严重的扬尘污染的。</w:t>
      </w:r>
    </w:p>
    <w:p w14:paraId="3F2E9B4E">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（3）承包人管理人员未履行安全生产管理职责的，要求限期改正，逾期未改正或不服从发包人或监理单位的合理要求的，出现一次，视情况对承包人处以</w:t>
      </w:r>
      <w:r>
        <w:rPr>
          <w:rFonts w:ascii="Times New Roman" w:hAnsi="Times New Roman" w:eastAsia="仿宋" w:cs="Times New Roman"/>
          <w:i/>
          <w:iCs/>
          <w:color w:val="000000" w:themeColor="text1"/>
          <w:sz w:val="30"/>
          <w:szCs w:val="30"/>
          <w:u w:val="single"/>
          <w14:textFill>
            <w14:solidFill>
              <w14:schemeClr w14:val="tx1"/>
            </w14:solidFill>
          </w14:textFill>
        </w:rPr>
        <w:t>5000-20000</w:t>
      </w:r>
      <w:r>
        <w:rPr>
          <w:rFonts w:ascii="Times New Roman" w:hAnsi="Times New Roman" w:eastAsia="仿宋_GB2312" w:cs="Times New Roman"/>
          <w:color w:val="000000" w:themeColor="text1"/>
          <w:sz w:val="30"/>
          <w:szCs w:val="32"/>
          <w14:textFill>
            <w14:solidFill>
              <w14:schemeClr w14:val="tx1"/>
            </w14:solidFill>
          </w14:textFill>
        </w:rPr>
        <w:t>元的罚款，必要时要求承包人停工整顿，工期不相应延长；对于确实不能履行安全管理职责的，发包人有权要求承包人更换项目负责人。</w:t>
      </w:r>
    </w:p>
    <w:p w14:paraId="7A08CEAF">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（4）现场发生伤亡事故、环保、消防安全等事故以及发生寻衅滋事、打架纠纷、偷窃等不良行为，因处理不当造成恶劣影响的，发包人视具体情况对承包人处以</w:t>
      </w:r>
      <w:r>
        <w:rPr>
          <w:rFonts w:ascii="Times New Roman" w:hAnsi="Times New Roman" w:eastAsia="仿宋" w:cs="Times New Roman"/>
          <w:i/>
          <w:iCs/>
          <w:color w:val="000000" w:themeColor="text1"/>
          <w:sz w:val="30"/>
          <w:szCs w:val="30"/>
          <w:u w:val="single"/>
          <w14:textFill>
            <w14:solidFill>
              <w14:schemeClr w14:val="tx1"/>
            </w14:solidFill>
          </w14:textFill>
        </w:rPr>
        <w:t>5000-100000</w:t>
      </w:r>
      <w:r>
        <w:rPr>
          <w:rFonts w:ascii="Times New Roman" w:hAnsi="Times New Roman" w:eastAsia="仿宋_GB2312" w:cs="Times New Roman"/>
          <w:color w:val="000000" w:themeColor="text1"/>
          <w:sz w:val="30"/>
          <w:szCs w:val="32"/>
          <w14:textFill>
            <w14:solidFill>
              <w14:schemeClr w14:val="tx1"/>
            </w14:solidFill>
          </w14:textFill>
        </w:rPr>
        <w:t>元的罚款。</w:t>
      </w:r>
    </w:p>
    <w:p w14:paraId="3EEDF720">
      <w:pPr>
        <w:pStyle w:val="21"/>
        <w:spacing w:before="156" w:beforeAutospacing="0" w:after="156" w:afterAutospacing="0" w:line="360" w:lineRule="auto"/>
        <w:ind w:firstLine="300" w:firstLineChars="100"/>
        <w:rPr>
          <w:rFonts w:ascii="Times New Roman" w:hAnsi="Times New Roman" w:eastAsia="仿宋" w:cs="Times New Roman"/>
          <w:color w:val="000000" w:themeColor="text1"/>
          <w:sz w:val="30"/>
          <w:szCs w:val="30"/>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（5）承包人必须按时参加监理单位、发包人组织的相关会议，有特殊原因不能参加会议者，应提前向会议主持人请假并得到同意，否则按旷会进行处罚。开会迟到30分钟以内者，罚款</w:t>
      </w:r>
      <w:r>
        <w:rPr>
          <w:rFonts w:ascii="Times New Roman" w:hAnsi="Times New Roman" w:eastAsia="仿宋" w:cs="Times New Roman"/>
          <w:i/>
          <w:iCs/>
          <w:color w:val="000000" w:themeColor="text1"/>
          <w:sz w:val="30"/>
          <w:szCs w:val="30"/>
          <w:u w:val="single"/>
          <w14:textFill>
            <w14:solidFill>
              <w14:schemeClr w14:val="tx1"/>
            </w14:solidFill>
          </w14:textFill>
        </w:rPr>
        <w:t>200元/人次</w:t>
      </w:r>
      <w:r>
        <w:rPr>
          <w:rFonts w:ascii="Times New Roman" w:hAnsi="Times New Roman" w:eastAsia="仿宋" w:cs="Times New Roman"/>
          <w:color w:val="000000" w:themeColor="text1"/>
          <w:sz w:val="30"/>
          <w:szCs w:val="30"/>
          <w14:textFill>
            <w14:solidFill>
              <w14:schemeClr w14:val="tx1"/>
            </w14:solidFill>
          </w14:textFill>
        </w:rPr>
        <w:t>；</w:t>
      </w:r>
      <w:r>
        <w:rPr>
          <w:rFonts w:ascii="Times New Roman" w:hAnsi="Times New Roman" w:eastAsia="仿宋_GB2312" w:cs="Times New Roman"/>
          <w:color w:val="000000" w:themeColor="text1"/>
          <w:sz w:val="30"/>
          <w:szCs w:val="32"/>
          <w14:textFill>
            <w14:solidFill>
              <w14:schemeClr w14:val="tx1"/>
            </w14:solidFill>
          </w14:textFill>
        </w:rPr>
        <w:t>迟到30分钟以上的，罚款</w:t>
      </w:r>
      <w:r>
        <w:rPr>
          <w:rFonts w:ascii="Times New Roman" w:hAnsi="Times New Roman" w:eastAsia="仿宋" w:cs="Times New Roman"/>
          <w:i/>
          <w:iCs/>
          <w:color w:val="000000" w:themeColor="text1"/>
          <w:sz w:val="30"/>
          <w:szCs w:val="30"/>
          <w:u w:val="single"/>
          <w14:textFill>
            <w14:solidFill>
              <w14:schemeClr w14:val="tx1"/>
            </w14:solidFill>
          </w14:textFill>
        </w:rPr>
        <w:t>500元/人次</w:t>
      </w:r>
      <w:r>
        <w:rPr>
          <w:rFonts w:ascii="Times New Roman" w:hAnsi="Times New Roman" w:eastAsia="仿宋" w:cs="Times New Roman"/>
          <w:color w:val="000000" w:themeColor="text1"/>
          <w:sz w:val="30"/>
          <w:szCs w:val="30"/>
          <w14:textFill>
            <w14:solidFill>
              <w14:schemeClr w14:val="tx1"/>
            </w14:solidFill>
          </w14:textFill>
        </w:rPr>
        <w:t>；</w:t>
      </w:r>
      <w:r>
        <w:rPr>
          <w:rFonts w:ascii="Times New Roman" w:hAnsi="Times New Roman" w:eastAsia="仿宋_GB2312" w:cs="Times New Roman"/>
          <w:color w:val="000000" w:themeColor="text1"/>
          <w:sz w:val="30"/>
          <w:szCs w:val="32"/>
          <w14:textFill>
            <w14:solidFill>
              <w14:schemeClr w14:val="tx1"/>
            </w14:solidFill>
          </w14:textFill>
        </w:rPr>
        <w:t>旷会者罚款</w:t>
      </w:r>
      <w:r>
        <w:rPr>
          <w:rFonts w:ascii="Times New Roman" w:hAnsi="Times New Roman" w:eastAsia="仿宋" w:cs="Times New Roman"/>
          <w:i/>
          <w:iCs/>
          <w:color w:val="000000" w:themeColor="text1"/>
          <w:sz w:val="30"/>
          <w:szCs w:val="30"/>
          <w:u w:val="single"/>
          <w14:textFill>
            <w14:solidFill>
              <w14:schemeClr w14:val="tx1"/>
            </w14:solidFill>
          </w14:textFill>
        </w:rPr>
        <w:t>1000元/人次</w:t>
      </w:r>
      <w:r>
        <w:rPr>
          <w:rFonts w:ascii="Times New Roman" w:hAnsi="Times New Roman" w:eastAsia="仿宋" w:cs="Times New Roman"/>
          <w:color w:val="000000" w:themeColor="text1"/>
          <w:sz w:val="30"/>
          <w:szCs w:val="30"/>
          <w14:textFill>
            <w14:solidFill>
              <w14:schemeClr w14:val="tx1"/>
            </w14:solidFill>
          </w14:textFill>
        </w:rPr>
        <w:t>。</w:t>
      </w:r>
    </w:p>
    <w:p w14:paraId="4A2E61AA">
      <w:pPr>
        <w:pStyle w:val="21"/>
        <w:spacing w:before="156" w:beforeAutospacing="0" w:after="156" w:afterAutospacing="0" w:line="360" w:lineRule="auto"/>
        <w:ind w:firstLine="300" w:firstLineChars="100"/>
        <w:rPr>
          <w:rFonts w:ascii="Times New Roman" w:hAnsi="Times New Roman" w:eastAsia="仿宋" w:cs="Times New Roman"/>
          <w:i/>
          <w:iCs/>
          <w:color w:val="000000" w:themeColor="text1"/>
          <w:sz w:val="30"/>
          <w:szCs w:val="30"/>
          <w:u w:val="single"/>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（6）承包人应按监理单位、发包人要求的时间和质量要求提交工作成果。因自身原因提交工作成果时限超出要求者、提交工作成果质量不符合要求者罚款</w:t>
      </w:r>
      <w:r>
        <w:rPr>
          <w:rFonts w:ascii="Times New Roman" w:hAnsi="Times New Roman" w:eastAsia="仿宋" w:cs="Times New Roman"/>
          <w:i/>
          <w:iCs/>
          <w:color w:val="000000" w:themeColor="text1"/>
          <w:sz w:val="30"/>
          <w:szCs w:val="30"/>
          <w:u w:val="single"/>
          <w14:textFill>
            <w14:solidFill>
              <w14:schemeClr w14:val="tx1"/>
            </w14:solidFill>
          </w14:textFill>
        </w:rPr>
        <w:t>500元/次</w:t>
      </w:r>
      <w:r>
        <w:rPr>
          <w:rFonts w:ascii="Times New Roman" w:hAnsi="Times New Roman" w:eastAsia="仿宋" w:cs="Times New Roman"/>
          <w:color w:val="000000" w:themeColor="text1"/>
          <w:sz w:val="30"/>
          <w:szCs w:val="30"/>
          <w14:textFill>
            <w14:solidFill>
              <w14:schemeClr w14:val="tx1"/>
            </w14:solidFill>
          </w14:textFill>
        </w:rPr>
        <w:t>；</w:t>
      </w:r>
      <w:r>
        <w:rPr>
          <w:rFonts w:ascii="Times New Roman" w:hAnsi="Times New Roman" w:eastAsia="仿宋_GB2312" w:cs="Times New Roman"/>
          <w:color w:val="000000" w:themeColor="text1"/>
          <w:sz w:val="30"/>
          <w:szCs w:val="32"/>
          <w14:textFill>
            <w14:solidFill>
              <w14:schemeClr w14:val="tx1"/>
            </w14:solidFill>
          </w14:textFill>
        </w:rPr>
        <w:t>再次提交仍不符合要求者，罚款</w:t>
      </w:r>
      <w:r>
        <w:rPr>
          <w:rFonts w:ascii="Times New Roman" w:hAnsi="Times New Roman" w:eastAsia="仿宋" w:cs="Times New Roman"/>
          <w:i/>
          <w:iCs/>
          <w:color w:val="000000" w:themeColor="text1"/>
          <w:sz w:val="30"/>
          <w:szCs w:val="30"/>
          <w:u w:val="single"/>
          <w14:textFill>
            <w14:solidFill>
              <w14:schemeClr w14:val="tx1"/>
            </w14:solidFill>
          </w14:textFill>
        </w:rPr>
        <w:t>1000元/次。</w:t>
      </w:r>
    </w:p>
    <w:p w14:paraId="706584D5">
      <w:pPr>
        <w:pStyle w:val="21"/>
        <w:spacing w:before="156" w:beforeAutospacing="0" w:after="156" w:afterAutospacing="0" w:line="36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7）承包人提交的文件、资料存在造假伪造、篡改、代签、私刻擅用印章等弄虚作假行为，视情况对承包人处以不低于合同额的1%且不少于5万元的考核，并根据情节严重情况有权采取解除合同不再支付工程款、列入失信、黑名单、报告行政主管部门等措施。</w:t>
      </w:r>
    </w:p>
    <w:p w14:paraId="01A5C390">
      <w:pPr>
        <w:pStyle w:val="21"/>
        <w:spacing w:before="156" w:beforeAutospacing="0" w:after="156" w:afterAutospacing="0" w:line="360" w:lineRule="auto"/>
        <w:ind w:firstLine="300" w:firstLineChars="100"/>
        <w:rPr>
          <w:rFonts w:ascii="Times New Roman" w:hAnsi="Times New Roman" w:eastAsia="仿宋" w:cs="Times New Roman"/>
          <w:i/>
          <w:iCs/>
          <w:color w:val="000000" w:themeColor="text1"/>
          <w:sz w:val="30"/>
          <w:szCs w:val="30"/>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（8）竣工图编制与实体进度不同步，逾期未能整改的，发包人视情况对承包人处以</w:t>
      </w:r>
      <w:r>
        <w:rPr>
          <w:rFonts w:ascii="Times New Roman" w:hAnsi="Times New Roman" w:eastAsia="仿宋" w:cs="Times New Roman"/>
          <w:i/>
          <w:iCs/>
          <w:color w:val="000000" w:themeColor="text1"/>
          <w:sz w:val="30"/>
          <w:szCs w:val="30"/>
          <w:u w:val="single"/>
          <w14:textFill>
            <w14:solidFill>
              <w14:schemeClr w14:val="tx1"/>
            </w14:solidFill>
          </w14:textFill>
        </w:rPr>
        <w:t>1000-20000</w:t>
      </w:r>
      <w:r>
        <w:rPr>
          <w:rFonts w:ascii="Times New Roman" w:hAnsi="Times New Roman" w:eastAsia="仿宋_GB2312" w:cs="Times New Roman"/>
          <w:color w:val="000000" w:themeColor="text1"/>
          <w:sz w:val="30"/>
          <w:szCs w:val="32"/>
          <w14:textFill>
            <w14:solidFill>
              <w14:schemeClr w14:val="tx1"/>
            </w14:solidFill>
          </w14:textFill>
        </w:rPr>
        <w:t>元/天/次的罚款；竣工图内容与现场实际不符的，发包人视情况对承包人处以</w:t>
      </w:r>
      <w:r>
        <w:rPr>
          <w:rFonts w:ascii="Times New Roman" w:hAnsi="Times New Roman" w:eastAsia="仿宋" w:cs="Times New Roman"/>
          <w:i/>
          <w:iCs/>
          <w:color w:val="000000" w:themeColor="text1"/>
          <w:sz w:val="30"/>
          <w:szCs w:val="30"/>
          <w:u w:val="single"/>
          <w14:textFill>
            <w14:solidFill>
              <w14:schemeClr w14:val="tx1"/>
            </w14:solidFill>
          </w14:textFill>
        </w:rPr>
        <w:t>1000-20000</w:t>
      </w:r>
      <w:r>
        <w:rPr>
          <w:rFonts w:ascii="Times New Roman" w:hAnsi="Times New Roman" w:eastAsia="仿宋_GB2312" w:cs="Times New Roman"/>
          <w:color w:val="000000" w:themeColor="text1"/>
          <w:sz w:val="30"/>
          <w:szCs w:val="32"/>
          <w14:textFill>
            <w14:solidFill>
              <w14:schemeClr w14:val="tx1"/>
            </w14:solidFill>
          </w14:textFill>
        </w:rPr>
        <w:t>元/处的罚款。</w:t>
      </w:r>
    </w:p>
    <w:p w14:paraId="4F4C193E">
      <w:pPr>
        <w:pStyle w:val="21"/>
        <w:spacing w:before="156" w:beforeAutospacing="0" w:after="156" w:afterAutospacing="0" w:line="24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9）工程交付使用后，承包人项目经理负责承包人质量维修体系的建立，并主持处理质量维修工作;承包人所负责的施工范围均应成立维修施工小组，项目经理总负责，各维修小组应至少配备管理人1人，土建施工人员1人、安装施工人员2人。如出现质量维修不及时影响使用单位生产，或经发包人检查未按期完成维修的，根据产生原因对承包人给予每次</w:t>
      </w:r>
      <w:r>
        <w:rPr>
          <w:rFonts w:ascii="Times New Roman" w:hAnsi="Times New Roman" w:eastAsia="仿宋" w:cs="Times New Roman"/>
          <w:i/>
          <w:iCs/>
          <w:color w:val="000000" w:themeColor="text1"/>
          <w:sz w:val="30"/>
          <w:szCs w:val="30"/>
          <w:u w:val="single"/>
          <w14:textFill>
            <w14:solidFill>
              <w14:schemeClr w14:val="tx1"/>
            </w14:solidFill>
          </w14:textFill>
        </w:rPr>
        <w:t>2000-5000</w:t>
      </w:r>
      <w:r>
        <w:rPr>
          <w:rFonts w:ascii="Times New Roman" w:hAnsi="Times New Roman" w:eastAsia="仿宋" w:cs="Times New Roman"/>
          <w:color w:val="000000" w:themeColor="text1"/>
          <w:sz w:val="30"/>
          <w:szCs w:val="30"/>
          <w14:textFill>
            <w14:solidFill>
              <w14:schemeClr w14:val="tx1"/>
            </w14:solidFill>
          </w14:textFill>
        </w:rPr>
        <w:t>元</w:t>
      </w:r>
      <w:r>
        <w:rPr>
          <w:rFonts w:ascii="Times New Roman" w:hAnsi="Times New Roman" w:eastAsia="仿宋_GB2312" w:cs="Times New Roman"/>
          <w:color w:val="000000" w:themeColor="text1"/>
          <w:sz w:val="30"/>
          <w:szCs w:val="32"/>
          <w14:textFill>
            <w14:solidFill>
              <w14:schemeClr w14:val="tx1"/>
            </w14:solidFill>
          </w14:textFill>
        </w:rPr>
        <w:t>的罚款。各专业分包单位的质量维修管理均由承包人负责，并承担连带责任。</w:t>
      </w:r>
    </w:p>
    <w:p w14:paraId="357146A0">
      <w:pPr>
        <w:pStyle w:val="21"/>
        <w:spacing w:before="156" w:beforeAutospacing="0" w:after="156" w:afterAutospacing="0" w:line="24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16.2.3 因承包人违约解除合同</w:t>
      </w:r>
    </w:p>
    <w:p w14:paraId="55AF4B08">
      <w:pPr>
        <w:pStyle w:val="21"/>
        <w:spacing w:before="156" w:beforeAutospacing="0" w:after="156" w:afterAutospacing="0" w:line="240" w:lineRule="auto"/>
        <w:ind w:firstLine="300" w:firstLineChars="100"/>
        <w:rPr>
          <w:rFonts w:ascii="Times New Roman" w:hAnsi="Times New Roman" w:eastAsia="仿宋_GB2312" w:cs="Times New Roman"/>
          <w:color w:val="000000" w:themeColor="text1"/>
          <w:sz w:val="30"/>
          <w:szCs w:val="32"/>
          <w14:textFill>
            <w14:solidFill>
              <w14:schemeClr w14:val="tx1"/>
            </w14:solidFill>
          </w14:textFill>
        </w:rPr>
      </w:pPr>
      <w:r>
        <w:rPr>
          <w:rFonts w:ascii="Times New Roman" w:hAnsi="Times New Roman" w:eastAsia="仿宋_GB2312" w:cs="Times New Roman"/>
          <w:color w:val="000000" w:themeColor="text1"/>
          <w:sz w:val="30"/>
          <w:szCs w:val="32"/>
          <w14:textFill>
            <w14:solidFill>
              <w14:schemeClr w14:val="tx1"/>
            </w14:solidFill>
          </w14:textFill>
        </w:rPr>
        <w:t>关于承包人违约解除合同的特别约定：前述专用条款有约定的按专用条款约定执行。另外，因承包人违约或违约解除合同的，承包人除向发包人支付上述违约金外，还应当承担发包人因追究承包人违约责任而产生的费用，包括但不限于发包人因此支出的或预计支付的诉讼费、保全申请费、保全保险费、鉴定费、评估费、司法审计费、拍卖费、律师费等一切费用。</w:t>
      </w:r>
    </w:p>
    <w:p w14:paraId="40DE42C1">
      <w:pPr>
        <w:spacing w:before="156" w:after="156" w:line="360" w:lineRule="auto"/>
        <w:ind w:firstLine="600" w:firstLineChars="200"/>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发包人继续使用承包人在施工现场的材料、设备、临时工程、承包人文件和由承包人或以其名义编制的其他文件的费用承担方式：</w:t>
      </w:r>
      <w:r>
        <w:rPr>
          <w:rFonts w:eastAsia="仿宋_GB2312"/>
          <w:color w:val="000000" w:themeColor="text1"/>
          <w:kern w:val="0"/>
          <w:sz w:val="30"/>
          <w:szCs w:val="32"/>
          <w:u w:val="single"/>
          <w14:textFill>
            <w14:solidFill>
              <w14:schemeClr w14:val="tx1"/>
            </w14:solidFill>
          </w14:textFill>
        </w:rPr>
        <w:t>材料、设备、临时工程协商处理，其他费用发包人不予承担。</w:t>
      </w:r>
    </w:p>
    <w:p w14:paraId="29B3BF94">
      <w:pPr>
        <w:pStyle w:val="8"/>
        <w:rPr>
          <w:rFonts w:ascii="Times New Roman" w:hAnsi="Times New Roman" w:cs="Times New Roman"/>
          <w:b w:val="0"/>
        </w:rPr>
      </w:pPr>
      <w:bookmarkStart w:id="686" w:name="_Toc351203649"/>
      <w:r>
        <w:rPr>
          <w:rFonts w:ascii="Times New Roman" w:hAnsi="Times New Roman" w:cs="Times New Roman"/>
        </w:rPr>
        <w:t>17. 不可抗力</w:t>
      </w:r>
      <w:bookmarkEnd w:id="684"/>
      <w:bookmarkEnd w:id="686"/>
    </w:p>
    <w:p w14:paraId="6FC965F5">
      <w:pPr>
        <w:pStyle w:val="9"/>
      </w:pPr>
      <w:r>
        <w:t>17.1 不可抗力的确认</w:t>
      </w:r>
    </w:p>
    <w:p w14:paraId="1C595600">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 xml:space="preserve">除通用合同条款约定的不可抗力事件之外，视为不可抗力的其他情形： </w:t>
      </w:r>
    </w:p>
    <w:p w14:paraId="2A450A5B">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lang w:bidi="ar"/>
          <w14:textFill>
            <w14:solidFill>
              <w14:schemeClr w14:val="tx1"/>
            </w14:solidFill>
          </w14:textFill>
        </w:rPr>
        <w:t>17.1.1  7级以上的地震；</w:t>
      </w:r>
    </w:p>
    <w:p w14:paraId="35AAFC0F">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lang w:bidi="ar"/>
          <w14:textFill>
            <w14:solidFill>
              <w14:schemeClr w14:val="tx1"/>
            </w14:solidFill>
          </w14:textFill>
        </w:rPr>
        <w:t>17.1.2  8级以上持续24小时的大风；</w:t>
      </w:r>
    </w:p>
    <w:p w14:paraId="7B948B5C">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lang w:bidi="ar"/>
          <w14:textFill>
            <w14:solidFill>
              <w14:schemeClr w14:val="tx1"/>
            </w14:solidFill>
          </w14:textFill>
        </w:rPr>
        <w:t>17.1.3  持续降雨24小时且降雨量为200mm以上；</w:t>
      </w:r>
    </w:p>
    <w:p w14:paraId="0CB3464E">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lang w:bidi="ar"/>
          <w14:textFill>
            <w14:solidFill>
              <w14:schemeClr w14:val="tx1"/>
            </w14:solidFill>
          </w14:textFill>
        </w:rPr>
        <w:t>17.1.4  省级气象部门发布的气象预报的持续3日最高温度40℃及以上；</w:t>
      </w:r>
    </w:p>
    <w:p w14:paraId="549CD7CE">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lang w:bidi="ar"/>
          <w14:textFill>
            <w14:solidFill>
              <w14:schemeClr w14:val="tx1"/>
            </w14:solidFill>
          </w14:textFill>
        </w:rPr>
        <w:t>17.1.5  日最低温度-20℃及以下【有约定冬歇期地区冬季停工的除外】。</w:t>
      </w:r>
    </w:p>
    <w:p w14:paraId="200FDFE4">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lang w:bidi="ar"/>
          <w14:textFill>
            <w14:solidFill>
              <w14:schemeClr w14:val="tx1"/>
            </w14:solidFill>
          </w14:textFill>
        </w:rPr>
        <w:t>17.1.6  6小时内降雪量达15mm以上且降雪持续。（暴雪红色预警信号）</w:t>
      </w:r>
    </w:p>
    <w:p w14:paraId="1C0CF071">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lang w:bidi="ar"/>
          <w14:textFill>
            <w14:solidFill>
              <w14:schemeClr w14:val="tx1"/>
            </w14:solidFill>
          </w14:textFill>
        </w:rPr>
        <w:t>17.1.7  由于政府限制类措施导致项目连续停工超7天（含环保治理一级响应、政府突发普遍性停工措施等）。</w:t>
      </w:r>
    </w:p>
    <w:p w14:paraId="3770E4E3">
      <w:pPr>
        <w:pStyle w:val="9"/>
      </w:pPr>
      <w:r>
        <w:t>17.4 因不可抗力解除合同</w:t>
      </w:r>
    </w:p>
    <w:p w14:paraId="01099709">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合同解除后，发包人应在商定或确定发包人应支付款项后</w:t>
      </w:r>
      <w:r>
        <w:rPr>
          <w:rFonts w:eastAsia="仿宋_GB2312"/>
          <w:color w:val="000000" w:themeColor="text1"/>
          <w:sz w:val="30"/>
          <w:szCs w:val="32"/>
          <w:u w:val="single"/>
          <w14:textFill>
            <w14:solidFill>
              <w14:schemeClr w14:val="tx1"/>
            </w14:solidFill>
          </w14:textFill>
        </w:rPr>
        <w:t xml:space="preserve">  60 或者双方另签补充协议约定 </w:t>
      </w:r>
      <w:r>
        <w:rPr>
          <w:rFonts w:eastAsia="仿宋_GB2312"/>
          <w:color w:val="000000" w:themeColor="text1"/>
          <w:sz w:val="30"/>
          <w:szCs w:val="32"/>
          <w14:textFill>
            <w14:solidFill>
              <w14:schemeClr w14:val="tx1"/>
            </w14:solidFill>
          </w14:textFill>
        </w:rPr>
        <w:t>天内完成款项的支付。</w:t>
      </w:r>
    </w:p>
    <w:p w14:paraId="67F3DB15">
      <w:pPr>
        <w:pStyle w:val="8"/>
        <w:rPr>
          <w:rFonts w:ascii="Times New Roman" w:hAnsi="Times New Roman" w:cs="Times New Roman"/>
          <w:b w:val="0"/>
        </w:rPr>
      </w:pPr>
      <w:bookmarkStart w:id="687" w:name="_Toc351203650"/>
      <w:r>
        <w:rPr>
          <w:rFonts w:ascii="Times New Roman" w:hAnsi="Times New Roman" w:cs="Times New Roman"/>
        </w:rPr>
        <w:t>18. 保险</w:t>
      </w:r>
      <w:bookmarkEnd w:id="687"/>
    </w:p>
    <w:bookmarkEnd w:id="685"/>
    <w:p w14:paraId="112891EB">
      <w:pPr>
        <w:pStyle w:val="9"/>
      </w:pPr>
      <w:r>
        <w:t>18.1 工程保险</w:t>
      </w:r>
    </w:p>
    <w:p w14:paraId="5C72A8C7">
      <w:pPr>
        <w:spacing w:line="360" w:lineRule="auto"/>
        <w:ind w:firstLine="600" w:firstLineChars="200"/>
        <w:jc w:val="left"/>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关于工程保险的特别约定：</w:t>
      </w:r>
      <w:r>
        <w:rPr>
          <w:rFonts w:eastAsia="仿宋_GB2312"/>
          <w:color w:val="000000" w:themeColor="text1"/>
          <w:kern w:val="0"/>
          <w:sz w:val="30"/>
          <w:szCs w:val="32"/>
          <w:u w:val="single"/>
          <w14:textFill>
            <w14:solidFill>
              <w14:schemeClr w14:val="tx1"/>
            </w14:solidFill>
          </w14:textFill>
        </w:rPr>
        <w:t xml:space="preserve"> 发包人将建筑工程一切险或安装工程一切险、第三者责任险、意外伤害险、在建工程财产险等的保险事项委托承包人办理，费用已包含在合同签约价中。承包人在投标时已自行测算所有保险费用，并已考虑风险因素。承包人的投保范围必须符合工程所在地相关政府主管部门的要求，并与合同承包范围一致。上述保险责任期限自承包人实际进场之日起至实际竣工退场。</w:t>
      </w:r>
    </w:p>
    <w:p w14:paraId="35C1D447">
      <w:pPr>
        <w:spacing w:line="360" w:lineRule="auto"/>
        <w:ind w:firstLine="600" w:firstLineChars="200"/>
        <w:jc w:val="left"/>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承包人若未按合同约定投保，施工期间所发生的一切与本工程有关的人员、工程、财产等意外伤害、损失，由承包人承担全部责任和费用。</w:t>
      </w:r>
    </w:p>
    <w:p w14:paraId="67F9768A">
      <w:pPr>
        <w:pStyle w:val="9"/>
      </w:pPr>
      <w:r>
        <w:t>18.3 其他保险</w:t>
      </w:r>
    </w:p>
    <w:p w14:paraId="684588A9">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关于其他保险的约定：</w:t>
      </w:r>
      <w:r>
        <w:rPr>
          <w:rFonts w:eastAsia="仿宋_GB2312"/>
          <w:color w:val="000000" w:themeColor="text1"/>
          <w:kern w:val="0"/>
          <w:sz w:val="30"/>
          <w:szCs w:val="32"/>
          <w:u w:val="single"/>
          <w14:textFill>
            <w14:solidFill>
              <w14:schemeClr w14:val="tx1"/>
            </w14:solidFill>
          </w14:textFill>
        </w:rPr>
        <w:t>承包人支付的保险均已包含在合同签约价中，发包人不再单独支付</w:t>
      </w:r>
      <w:r>
        <w:rPr>
          <w:rFonts w:eastAsia="仿宋_GB2312"/>
          <w:color w:val="000000" w:themeColor="text1"/>
          <w:kern w:val="0"/>
          <w:sz w:val="30"/>
          <w:szCs w:val="32"/>
          <w14:textFill>
            <w14:solidFill>
              <w14:schemeClr w14:val="tx1"/>
            </w14:solidFill>
          </w14:textFill>
        </w:rPr>
        <w:t>。</w:t>
      </w:r>
    </w:p>
    <w:p w14:paraId="4E98B740">
      <w:pPr>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承包人是否应为其施工设备等办理财产保险</w:t>
      </w:r>
      <w:r>
        <w:rPr>
          <w:color w:val="000000" w:themeColor="text1"/>
          <w:sz w:val="30"/>
          <w14:textFill>
            <w14:solidFill>
              <w14:schemeClr w14:val="tx1"/>
            </w14:solidFill>
          </w14:textFill>
        </w:rPr>
        <w:t>：</w:t>
      </w:r>
      <w:r>
        <w:rPr>
          <w:rFonts w:eastAsia="仿宋_GB2312"/>
          <w:color w:val="000000" w:themeColor="text1"/>
          <w:sz w:val="30"/>
          <w:szCs w:val="32"/>
          <w:u w:val="single"/>
          <w14:textFill>
            <w14:solidFill>
              <w14:schemeClr w14:val="tx1"/>
            </w14:solidFill>
          </w14:textFill>
        </w:rPr>
        <w:t>是</w:t>
      </w:r>
      <w:r>
        <w:rPr>
          <w:rFonts w:eastAsia="仿宋_GB2312"/>
          <w:color w:val="000000" w:themeColor="text1"/>
          <w:sz w:val="30"/>
          <w:szCs w:val="32"/>
          <w14:textFill>
            <w14:solidFill>
              <w14:schemeClr w14:val="tx1"/>
            </w14:solidFill>
          </w14:textFill>
        </w:rPr>
        <w:t>。</w:t>
      </w:r>
    </w:p>
    <w:p w14:paraId="53BAF5C1">
      <w:pPr>
        <w:pStyle w:val="9"/>
      </w:pPr>
      <w:r>
        <w:t>18.7 通知义务</w:t>
      </w:r>
    </w:p>
    <w:p w14:paraId="4672CF58">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关于</w:t>
      </w:r>
      <w:r>
        <w:rPr>
          <w:rFonts w:eastAsia="仿宋_GB2312"/>
          <w:color w:val="000000" w:themeColor="text1"/>
          <w:kern w:val="0"/>
          <w:sz w:val="30"/>
          <w14:textFill>
            <w14:solidFill>
              <w14:schemeClr w14:val="tx1"/>
            </w14:solidFill>
          </w14:textFill>
        </w:rPr>
        <w:t>变更</w:t>
      </w:r>
      <w:r>
        <w:rPr>
          <w:rFonts w:eastAsia="仿宋_GB2312"/>
          <w:color w:val="000000" w:themeColor="text1"/>
          <w:sz w:val="30"/>
          <w14:textFill>
            <w14:solidFill>
              <w14:schemeClr w14:val="tx1"/>
            </w14:solidFill>
          </w14:textFill>
        </w:rPr>
        <w:t>保险</w:t>
      </w:r>
      <w:r>
        <w:rPr>
          <w:rFonts w:eastAsia="仿宋_GB2312"/>
          <w:color w:val="000000" w:themeColor="text1"/>
          <w:kern w:val="0"/>
          <w:sz w:val="30"/>
          <w14:textFill>
            <w14:solidFill>
              <w14:schemeClr w14:val="tx1"/>
            </w14:solidFill>
          </w14:textFill>
        </w:rPr>
        <w:t>合同</w:t>
      </w:r>
      <w:r>
        <w:rPr>
          <w:rFonts w:eastAsia="仿宋_GB2312"/>
          <w:color w:val="000000" w:themeColor="text1"/>
          <w:kern w:val="0"/>
          <w:sz w:val="30"/>
          <w:szCs w:val="32"/>
          <w14:textFill>
            <w14:solidFill>
              <w14:schemeClr w14:val="tx1"/>
            </w14:solidFill>
          </w14:textFill>
        </w:rPr>
        <w:t>时的通知义务的约定：</w:t>
      </w:r>
      <w:r>
        <w:rPr>
          <w:rFonts w:eastAsia="仿宋_GB2312"/>
          <w:color w:val="000000" w:themeColor="text1"/>
          <w:sz w:val="30"/>
          <w:szCs w:val="32"/>
          <w:u w:val="single"/>
          <w14:textFill>
            <w14:solidFill>
              <w14:schemeClr w14:val="tx1"/>
            </w14:solidFill>
          </w14:textFill>
        </w:rPr>
        <w:t>执行《通用合同条款》</w:t>
      </w:r>
      <w:r>
        <w:rPr>
          <w:rFonts w:eastAsia="仿宋_GB2312"/>
          <w:color w:val="000000" w:themeColor="text1"/>
          <w:sz w:val="30"/>
          <w:szCs w:val="32"/>
          <w14:textFill>
            <w14:solidFill>
              <w14:schemeClr w14:val="tx1"/>
            </w14:solidFill>
          </w14:textFill>
        </w:rPr>
        <w:t>。</w:t>
      </w:r>
    </w:p>
    <w:p w14:paraId="3D8941D4">
      <w:pPr>
        <w:pStyle w:val="8"/>
        <w:rPr>
          <w:rFonts w:ascii="Times New Roman" w:hAnsi="Times New Roman" w:cs="Times New Roman"/>
          <w:b w:val="0"/>
        </w:rPr>
      </w:pPr>
      <w:r>
        <w:rPr>
          <w:rFonts w:ascii="Times New Roman" w:hAnsi="Times New Roman" w:cs="Times New Roman"/>
        </w:rPr>
        <w:t>19. 索赔</w:t>
      </w:r>
    </w:p>
    <w:p w14:paraId="55AF3A35">
      <w:pPr>
        <w:spacing w:line="360" w:lineRule="auto"/>
        <w:ind w:firstLine="600" w:firstLineChars="200"/>
        <w:jc w:val="left"/>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承包人收到按发包人签发的工作联系单、设计变更后，承包人应在2日内测算其成本和造价费用变化报发包人成本管理审核。每月20日承包人应当无遗漏的按发包人要求汇总报送其当月的设计变更、现场签证、价格审批，并进入当月形象进度款。</w:t>
      </w:r>
    </w:p>
    <w:p w14:paraId="3E58D513">
      <w:pPr>
        <w:adjustRightInd w:val="0"/>
        <w:spacing w:after="60" w:line="360" w:lineRule="atLeast"/>
        <w:ind w:left="63" w:leftChars="30" w:right="63" w:rightChars="30" w:firstLine="600" w:firstLineChars="200"/>
        <w:textAlignment w:val="baseline"/>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工程量签证现场草签结束后3日内，施工单位汇总统计草签单中的工程量或发生的人工、机械设备台班数量，填写《现场签证单》。签证签批办理最长不超过28日。若超出28日，每超期一天施工单位承担签证单工程量5‰/天/项的折损，直至全部折损完毕。在竣工结算审计时，按正式签证日期与草签单日期的间隔日历天数予以扣除。</w:t>
      </w:r>
    </w:p>
    <w:p w14:paraId="70F3213A">
      <w:pPr>
        <w:adjustRightInd w:val="0"/>
        <w:spacing w:after="60" w:line="360" w:lineRule="atLeast"/>
        <w:ind w:left="63" w:leftChars="30" w:right="63" w:rightChars="30" w:firstLine="600" w:firstLineChars="200"/>
        <w:textAlignment w:val="baseline"/>
        <w:rPr>
          <w:rFonts w:eastAsia="仿宋_GB2312"/>
          <w:color w:val="000000" w:themeColor="text1"/>
          <w:kern w:val="0"/>
          <w:sz w:val="30"/>
          <w:szCs w:val="32"/>
          <w:u w:val="single"/>
          <w14:textFill>
            <w14:solidFill>
              <w14:schemeClr w14:val="tx1"/>
            </w14:solidFill>
          </w14:textFill>
        </w:rPr>
      </w:pPr>
      <w:r>
        <w:rPr>
          <w:rFonts w:eastAsia="仿宋_GB2312"/>
          <w:color w:val="000000" w:themeColor="text1"/>
          <w:kern w:val="0"/>
          <w:sz w:val="30"/>
          <w:szCs w:val="32"/>
          <w:u w:val="single"/>
          <w14:textFill>
            <w14:solidFill>
              <w14:schemeClr w14:val="tx1"/>
            </w14:solidFill>
          </w14:textFill>
        </w:rPr>
        <w:t>当发生新增工作内容，合同中没有价格的，承包人应最迟在28天内提报批价申请以及依据资料，承包人逾期未提报批价申请，承包人丧失主张权利，发包人同意事后补办的，视为承包人无条件认可发包人最终审批价格，发包人亦不再受理异议。结算时批价资料无需施工方签字认可即为有效。</w:t>
      </w:r>
    </w:p>
    <w:bookmarkEnd w:id="661"/>
    <w:bookmarkEnd w:id="662"/>
    <w:bookmarkEnd w:id="663"/>
    <w:bookmarkEnd w:id="664"/>
    <w:bookmarkEnd w:id="665"/>
    <w:bookmarkEnd w:id="666"/>
    <w:bookmarkEnd w:id="667"/>
    <w:bookmarkEnd w:id="668"/>
    <w:bookmarkEnd w:id="669"/>
    <w:bookmarkEnd w:id="670"/>
    <w:bookmarkEnd w:id="671"/>
    <w:bookmarkEnd w:id="672"/>
    <w:p w14:paraId="3A4E9A6B">
      <w:pPr>
        <w:pStyle w:val="8"/>
        <w:rPr>
          <w:rFonts w:ascii="Times New Roman" w:hAnsi="Times New Roman" w:cs="Times New Roman"/>
          <w:b w:val="0"/>
        </w:rPr>
      </w:pPr>
      <w:bookmarkStart w:id="688" w:name="_Toc351203651"/>
      <w:r>
        <w:rPr>
          <w:rFonts w:ascii="Times New Roman" w:hAnsi="Times New Roman" w:cs="Times New Roman"/>
        </w:rPr>
        <w:t>20. 争议解决</w:t>
      </w:r>
      <w:bookmarkEnd w:id="688"/>
    </w:p>
    <w:bookmarkEnd w:id="673"/>
    <w:bookmarkEnd w:id="674"/>
    <w:p w14:paraId="7486C785">
      <w:pPr>
        <w:pStyle w:val="9"/>
      </w:pPr>
      <w:r>
        <w:t>20.3 争</w:t>
      </w:r>
      <w:bookmarkEnd w:id="675"/>
      <w:r>
        <w:t>议评审</w:t>
      </w:r>
    </w:p>
    <w:p w14:paraId="71A1328C">
      <w:pPr>
        <w:spacing w:line="360" w:lineRule="auto"/>
        <w:ind w:firstLine="600" w:firstLineChars="200"/>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合同当事人是否同意将工程争议提交争议评审小组决定：</w:t>
      </w:r>
      <w:r>
        <w:rPr>
          <w:rFonts w:eastAsia="仿宋_GB2312"/>
          <w:color w:val="000000" w:themeColor="text1"/>
          <w:sz w:val="30"/>
          <w:szCs w:val="32"/>
          <w:u w:val="single"/>
          <w14:textFill>
            <w14:solidFill>
              <w14:schemeClr w14:val="tx1"/>
            </w14:solidFill>
          </w14:textFill>
        </w:rPr>
        <w:t>不适用</w:t>
      </w:r>
      <w:r>
        <w:rPr>
          <w:rFonts w:eastAsia="仿宋_GB2312"/>
          <w:color w:val="000000" w:themeColor="text1"/>
          <w:sz w:val="30"/>
          <w:szCs w:val="32"/>
          <w14:textFill>
            <w14:solidFill>
              <w14:schemeClr w14:val="tx1"/>
            </w14:solidFill>
          </w14:textFill>
        </w:rPr>
        <w:t xml:space="preserve">。  </w:t>
      </w:r>
    </w:p>
    <w:p w14:paraId="501D212A">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20.3.1 争议评审小组的确定</w:t>
      </w:r>
    </w:p>
    <w:p w14:paraId="088E2F4A">
      <w:pPr>
        <w:spacing w:line="360" w:lineRule="auto"/>
        <w:ind w:firstLine="600" w:firstLineChars="200"/>
        <w:jc w:val="left"/>
        <w:rPr>
          <w:rFonts w:eastAsia="仿宋_GB2312"/>
          <w:color w:val="000000" w:themeColor="text1"/>
          <w:sz w:val="30"/>
          <w:szCs w:val="32"/>
          <w:u w:val="single"/>
          <w14:textFill>
            <w14:solidFill>
              <w14:schemeClr w14:val="tx1"/>
            </w14:solidFill>
          </w14:textFill>
        </w:rPr>
      </w:pPr>
      <w:r>
        <w:rPr>
          <w:rFonts w:eastAsia="仿宋_GB2312"/>
          <w:color w:val="000000" w:themeColor="text1"/>
          <w:sz w:val="30"/>
          <w:szCs w:val="32"/>
          <w14:textFill>
            <w14:solidFill>
              <w14:schemeClr w14:val="tx1"/>
            </w14:solidFill>
          </w14:textFill>
        </w:rPr>
        <w:t>争议评审小组成员的确定：</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51B8D3F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选定争议评审员的期限：</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3AA99443">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争议评审小组成员的报酬承担方式：</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16A991C7">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其他事项的约定：</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024A450E">
      <w:pPr>
        <w:autoSpaceDE w:val="0"/>
        <w:autoSpaceDN w:val="0"/>
        <w:adjustRightInd w:val="0"/>
        <w:spacing w:line="360" w:lineRule="auto"/>
        <w:ind w:firstLine="600" w:firstLineChars="200"/>
        <w:jc w:val="left"/>
        <w:rPr>
          <w:rFonts w:eastAsia="仿宋_GB2312"/>
          <w:color w:val="000000" w:themeColor="text1"/>
          <w:kern w:val="0"/>
          <w:sz w:val="30"/>
          <w:szCs w:val="32"/>
          <w14:textFill>
            <w14:solidFill>
              <w14:schemeClr w14:val="tx1"/>
            </w14:solidFill>
          </w14:textFill>
        </w:rPr>
      </w:pPr>
      <w:r>
        <w:rPr>
          <w:rFonts w:eastAsia="仿宋_GB2312"/>
          <w:color w:val="000000" w:themeColor="text1"/>
          <w:kern w:val="0"/>
          <w:sz w:val="30"/>
          <w:szCs w:val="32"/>
          <w14:textFill>
            <w14:solidFill>
              <w14:schemeClr w14:val="tx1"/>
            </w14:solidFill>
          </w14:textFill>
        </w:rPr>
        <w:t>20.3.2 争议评审小组的决定</w:t>
      </w:r>
    </w:p>
    <w:p w14:paraId="7647E1AE">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合同当事人关于本项的约定：</w:t>
      </w:r>
      <w:r>
        <w:rPr>
          <w:rFonts w:eastAsia="仿宋_GB2312"/>
          <w:color w:val="000000" w:themeColor="text1"/>
          <w:sz w:val="30"/>
          <w:szCs w:val="32"/>
          <w:u w:val="single"/>
          <w14:textFill>
            <w14:solidFill>
              <w14:schemeClr w14:val="tx1"/>
            </w14:solidFill>
          </w14:textFill>
        </w:rPr>
        <w:t xml:space="preserve">        /        </w:t>
      </w:r>
      <w:r>
        <w:rPr>
          <w:rFonts w:eastAsia="仿宋_GB2312"/>
          <w:color w:val="000000" w:themeColor="text1"/>
          <w:sz w:val="30"/>
          <w:szCs w:val="32"/>
          <w14:textFill>
            <w14:solidFill>
              <w14:schemeClr w14:val="tx1"/>
            </w14:solidFill>
          </w14:textFill>
        </w:rPr>
        <w:t>。</w:t>
      </w:r>
    </w:p>
    <w:p w14:paraId="3EA9C7E0">
      <w:pPr>
        <w:pStyle w:val="9"/>
      </w:pPr>
      <w:r>
        <w:t>20.4仲裁或诉讼</w:t>
      </w:r>
      <w:bookmarkEnd w:id="676"/>
    </w:p>
    <w:p w14:paraId="1265A9EE">
      <w:pPr>
        <w:spacing w:after="156" w:line="360" w:lineRule="auto"/>
        <w:ind w:firstLine="600" w:firstLineChars="200"/>
        <w:rPr>
          <w:rFonts w:eastAsia="黑体"/>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因合同及合同有关事项发生的争议，按下列第</w:t>
      </w:r>
      <w:r>
        <w:rPr>
          <w:rFonts w:eastAsia="仿宋_GB2312"/>
          <w:color w:val="000000" w:themeColor="text1"/>
          <w:sz w:val="30"/>
          <w:szCs w:val="32"/>
          <w:u w:val="single"/>
          <w14:textFill>
            <w14:solidFill>
              <w14:schemeClr w14:val="tx1"/>
            </w14:solidFill>
          </w14:textFill>
        </w:rPr>
        <w:t xml:space="preserve">  （2）  </w:t>
      </w:r>
      <w:r>
        <w:rPr>
          <w:rFonts w:eastAsia="仿宋_GB2312"/>
          <w:color w:val="000000" w:themeColor="text1"/>
          <w:sz w:val="30"/>
          <w:szCs w:val="32"/>
          <w14:textFill>
            <w14:solidFill>
              <w14:schemeClr w14:val="tx1"/>
            </w14:solidFill>
          </w14:textFill>
        </w:rPr>
        <w:t>种方式解决：</w:t>
      </w:r>
    </w:p>
    <w:p w14:paraId="6134C2DC">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（1）向</w:t>
      </w:r>
      <w:r>
        <w:rPr>
          <w:rFonts w:eastAsia="仿宋_GB2312"/>
          <w:color w:val="000000" w:themeColor="text1"/>
          <w:sz w:val="30"/>
          <w:szCs w:val="32"/>
          <w:u w:val="single"/>
          <w14:textFill>
            <w14:solidFill>
              <w14:schemeClr w14:val="tx1"/>
            </w14:solidFill>
          </w14:textFill>
        </w:rPr>
        <w:t xml:space="preserve">            </w:t>
      </w:r>
      <w:r>
        <w:rPr>
          <w:rFonts w:eastAsia="仿宋_GB2312"/>
          <w:color w:val="000000" w:themeColor="text1"/>
          <w:sz w:val="30"/>
          <w:szCs w:val="32"/>
          <w14:textFill>
            <w14:solidFill>
              <w14:schemeClr w14:val="tx1"/>
            </w14:solidFill>
          </w14:textFill>
        </w:rPr>
        <w:t>仲裁委员会申请仲裁；</w:t>
      </w:r>
    </w:p>
    <w:p w14:paraId="402462FD">
      <w:pPr>
        <w:spacing w:line="360" w:lineRule="auto"/>
        <w:ind w:firstLine="600" w:firstLineChars="200"/>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（2）向</w:t>
      </w:r>
      <w:r>
        <w:rPr>
          <w:rFonts w:eastAsia="仿宋_GB2312"/>
          <w:color w:val="000000" w:themeColor="text1"/>
          <w:sz w:val="30"/>
          <w:szCs w:val="32"/>
          <w:u w:val="single"/>
          <w14:textFill>
            <w14:solidFill>
              <w14:schemeClr w14:val="tx1"/>
            </w14:solidFill>
          </w14:textFill>
        </w:rPr>
        <w:t xml:space="preserve"> 建设工程所在地有管辖权的 </w:t>
      </w:r>
      <w:r>
        <w:rPr>
          <w:rFonts w:eastAsia="仿宋_GB2312"/>
          <w:color w:val="000000" w:themeColor="text1"/>
          <w:sz w:val="30"/>
          <w:szCs w:val="32"/>
          <w14:textFill>
            <w14:solidFill>
              <w14:schemeClr w14:val="tx1"/>
            </w14:solidFill>
          </w14:textFill>
        </w:rPr>
        <w:t>人民法院起诉。</w:t>
      </w:r>
      <w:bookmarkEnd w:id="677"/>
      <w:bookmarkEnd w:id="678"/>
      <w:bookmarkEnd w:id="679"/>
      <w:bookmarkEnd w:id="680"/>
      <w:bookmarkEnd w:id="681"/>
      <w:bookmarkEnd w:id="682"/>
    </w:p>
    <w:p w14:paraId="4EF6616C">
      <w:pPr>
        <w:pStyle w:val="9"/>
      </w:pPr>
      <w:r>
        <w:t>20.6补充条款</w:t>
      </w:r>
      <w:bookmarkStart w:id="689" w:name="_Hlk185603200"/>
      <w:r>
        <w:t>（说明：根据招标文件要求补充）</w:t>
      </w:r>
      <w:bookmarkEnd w:id="689"/>
    </w:p>
    <w:p w14:paraId="5D043A15">
      <w:pPr>
        <w:pStyle w:val="48"/>
        <w:numPr>
          <w:ilvl w:val="0"/>
          <w:numId w:val="11"/>
        </w:numPr>
        <w:snapToGrid w:val="0"/>
        <w:spacing w:line="360" w:lineRule="auto"/>
        <w:ind w:left="0" w:firstLine="600"/>
        <w:jc w:val="left"/>
        <w:rPr>
          <w:rFonts w:eastAsia="仿宋_GB2312"/>
          <w:i/>
          <w:color w:val="000000" w:themeColor="text1"/>
          <w:sz w:val="30"/>
          <w14:textFill>
            <w14:solidFill>
              <w14:schemeClr w14:val="tx1"/>
            </w14:solidFill>
          </w14:textFill>
        </w:rPr>
      </w:pPr>
      <w:bookmarkStart w:id="690" w:name="_Toc351203652"/>
      <w:r>
        <w:rPr>
          <w:rFonts w:eastAsia="仿宋_GB2312"/>
          <w:i/>
          <w:color w:val="000000" w:themeColor="text1"/>
          <w:sz w:val="30"/>
          <w14:textFill>
            <w14:solidFill>
              <w14:schemeClr w14:val="tx1"/>
            </w14:solidFill>
          </w14:textFill>
        </w:rPr>
        <w:t>施工区、生活区水电费按表计量缴费，发生费用由承包人承担，承包人从发包人产权的箱变、给水点接水电的，发生的水电费，每月计量核算且经双方认可，结算时按累计实际发生总费用从竣工结算中一次性扣除。</w:t>
      </w:r>
    </w:p>
    <w:p w14:paraId="06352D45">
      <w:pPr>
        <w:pStyle w:val="48"/>
        <w:numPr>
          <w:ilvl w:val="0"/>
          <w:numId w:val="11"/>
        </w:numPr>
        <w:snapToGrid w:val="0"/>
        <w:spacing w:line="360" w:lineRule="auto"/>
        <w:ind w:left="0" w:firstLine="600"/>
        <w:jc w:val="left"/>
        <w:rPr>
          <w:rFonts w:eastAsia="仿宋_GB2312"/>
          <w:i/>
          <w:color w:val="000000" w:themeColor="text1"/>
          <w:sz w:val="30"/>
          <w14:textFill>
            <w14:solidFill>
              <w14:schemeClr w14:val="tx1"/>
            </w14:solidFill>
          </w14:textFill>
        </w:rPr>
      </w:pPr>
      <w:r>
        <w:rPr>
          <w:rFonts w:eastAsia="仿宋_GB2312"/>
          <w:i/>
          <w:color w:val="000000" w:themeColor="text1"/>
          <w:sz w:val="30"/>
          <w14:textFill>
            <w14:solidFill>
              <w14:schemeClr w14:val="tx1"/>
            </w14:solidFill>
          </w14:textFill>
        </w:rPr>
        <w:t>施工生活区位置按照发包人统一安排，指定位置搭设。项目部现场办公室由承包人自行考虑可设置在各自施工单体附近，后续由于外网道路、停车场等施工造成的临时设施搬迁、重建费及材料的二次倒运费已在措施费中包括。</w:t>
      </w:r>
    </w:p>
    <w:p w14:paraId="41166A49">
      <w:pPr>
        <w:pStyle w:val="48"/>
        <w:numPr>
          <w:ilvl w:val="0"/>
          <w:numId w:val="11"/>
        </w:numPr>
        <w:snapToGrid w:val="0"/>
        <w:spacing w:line="360" w:lineRule="auto"/>
        <w:ind w:left="0" w:firstLine="600"/>
        <w:jc w:val="left"/>
        <w:rPr>
          <w:rFonts w:eastAsia="仿宋_GB2312"/>
          <w:i/>
          <w:color w:val="000000" w:themeColor="text1"/>
          <w:sz w:val="30"/>
          <w14:textFill>
            <w14:solidFill>
              <w14:schemeClr w14:val="tx1"/>
            </w14:solidFill>
          </w14:textFill>
        </w:rPr>
      </w:pPr>
      <w:r>
        <w:rPr>
          <w:rFonts w:eastAsia="仿宋_GB2312"/>
          <w:i/>
          <w:color w:val="000000" w:themeColor="text1"/>
          <w:sz w:val="30"/>
          <w14:textFill>
            <w14:solidFill>
              <w14:schemeClr w14:val="tx1"/>
            </w14:solidFill>
          </w14:textFill>
        </w:rPr>
        <w:t>承包人在施工阶段中须采用BIM技术，需分别创建深化设计、施工过程、施工竣工等信息模型，满足施工要求。竣工验收后，建筑信息模型整理无偿交付给发包人运维阶段使用。</w:t>
      </w:r>
    </w:p>
    <w:p w14:paraId="13F85188">
      <w:pPr>
        <w:pStyle w:val="48"/>
        <w:numPr>
          <w:ilvl w:val="0"/>
          <w:numId w:val="11"/>
        </w:numPr>
        <w:snapToGrid w:val="0"/>
        <w:spacing w:line="360" w:lineRule="auto"/>
        <w:ind w:left="0" w:firstLine="600"/>
        <w:jc w:val="left"/>
        <w:rPr>
          <w:rFonts w:eastAsia="仿宋_GB2312"/>
          <w:i/>
          <w:color w:val="000000" w:themeColor="text1"/>
          <w:sz w:val="30"/>
          <w14:textFill>
            <w14:solidFill>
              <w14:schemeClr w14:val="tx1"/>
            </w14:solidFill>
          </w14:textFill>
        </w:rPr>
      </w:pPr>
      <w:r>
        <w:rPr>
          <w:rFonts w:eastAsia="仿宋_GB2312"/>
          <w:i/>
          <w:color w:val="000000" w:themeColor="text1"/>
          <w:sz w:val="30"/>
          <w14:textFill>
            <w14:solidFill>
              <w14:schemeClr w14:val="tx1"/>
            </w14:solidFill>
          </w14:textFill>
        </w:rPr>
        <w:t>实体工程以最终双方共同确认的实测实量、试验检测鉴定结果作为验收及结算的依据，如混凝土地面厚度、沥青面层厚度、涂层厚度、壁厚、管径、规格尺寸等，高于设计标准的不予调增合同价格，低于设计标准的予以按实际调减但不免除质量违约责任。</w:t>
      </w:r>
    </w:p>
    <w:p w14:paraId="385C8E2C">
      <w:pPr>
        <w:pStyle w:val="48"/>
        <w:numPr>
          <w:ilvl w:val="0"/>
          <w:numId w:val="11"/>
        </w:numPr>
        <w:snapToGrid w:val="0"/>
        <w:spacing w:line="360" w:lineRule="auto"/>
        <w:ind w:left="0" w:firstLine="600"/>
        <w:jc w:val="left"/>
        <w:rPr>
          <w:rFonts w:eastAsia="仿宋_GB2312"/>
          <w:i/>
          <w:color w:val="000000" w:themeColor="text1"/>
          <w:sz w:val="30"/>
          <w14:textFill>
            <w14:solidFill>
              <w14:schemeClr w14:val="tx1"/>
            </w14:solidFill>
          </w14:textFill>
        </w:rPr>
      </w:pPr>
      <w:r>
        <w:rPr>
          <w:rFonts w:eastAsia="仿宋_GB2312"/>
          <w:i/>
          <w:color w:val="000000" w:themeColor="text1"/>
          <w:sz w:val="30"/>
          <w14:textFill>
            <w14:solidFill>
              <w14:schemeClr w14:val="tx1"/>
            </w14:solidFill>
          </w14:textFill>
        </w:rPr>
        <w:t>工程竣工验收交付使用后，在质保期内，承包人必须建立质量维修小组，向发包人驻厂提供保产服务一年，以便及时响应、处理发生的质量问题。</w:t>
      </w:r>
    </w:p>
    <w:p w14:paraId="51C6F790">
      <w:pPr>
        <w:pStyle w:val="48"/>
        <w:numPr>
          <w:ilvl w:val="0"/>
          <w:numId w:val="11"/>
        </w:numPr>
        <w:snapToGrid w:val="0"/>
        <w:spacing w:line="360" w:lineRule="auto"/>
        <w:ind w:left="0" w:firstLine="600"/>
        <w:jc w:val="left"/>
        <w:rPr>
          <w:rFonts w:eastAsia="仿宋_GB2312"/>
          <w:i/>
          <w:color w:val="000000" w:themeColor="text1"/>
          <w:sz w:val="30"/>
          <w14:textFill>
            <w14:solidFill>
              <w14:schemeClr w14:val="tx1"/>
            </w14:solidFill>
          </w14:textFill>
        </w:rPr>
      </w:pPr>
      <w:r>
        <w:rPr>
          <w:rFonts w:eastAsia="仿宋_GB2312"/>
          <w:i/>
          <w:iCs/>
          <w:color w:val="000000" w:themeColor="text1"/>
          <w:sz w:val="30"/>
          <w:szCs w:val="32"/>
          <w14:textFill>
            <w14:solidFill>
              <w14:schemeClr w14:val="tx1"/>
            </w14:solidFill>
          </w14:textFill>
        </w:rPr>
        <w:t>工程结算审计，由发包人委托造价咨询单位审计或自行审计。（6.1）</w:t>
      </w:r>
      <w:bookmarkStart w:id="691" w:name="_Hlk161844648"/>
      <w:bookmarkStart w:id="692" w:name="_Hlk164087599"/>
      <w:r>
        <w:rPr>
          <w:rFonts w:eastAsia="仿宋_GB2312"/>
          <w:i/>
          <w:iCs/>
          <w:color w:val="000000" w:themeColor="text1"/>
          <w:sz w:val="30"/>
          <w:szCs w:val="32"/>
          <w14:textFill>
            <w14:solidFill>
              <w14:schemeClr w14:val="tx1"/>
            </w14:solidFill>
          </w14:textFill>
        </w:rPr>
        <w:t>初审审计：结算审计费=基本审计费+效益审计费，其中：基本审计费1000元，效益审计费根据工程项目审减额参考鲁价费发【2007】205号文收费标准执行，对结算审减额超过5%部分，按5%计取审计费，以上费用均由承包人支付。审计费由承包人直接缴纳或者由发包人在工程款中代扣代缴。（6.2）复审审计：结算审计费根据工程项目审减额参考鲁价费发【2007】205号文收费标准执行，结算审减额按5%计取审计费，由承包人支付。审计费由承包人直接缴纳或者由发包人在工程款中代扣代缴。</w:t>
      </w:r>
    </w:p>
    <w:bookmarkEnd w:id="691"/>
    <w:bookmarkEnd w:id="692"/>
    <w:p w14:paraId="59143763">
      <w:pPr>
        <w:pStyle w:val="12"/>
        <w:numPr>
          <w:ilvl w:val="0"/>
          <w:numId w:val="11"/>
        </w:numPr>
        <w:ind w:left="0" w:firstLine="600" w:firstLineChars="200"/>
        <w:rPr>
          <w:rFonts w:ascii="Times New Roman" w:hAnsi="Times New Roman" w:eastAsia="仿宋_GB2312" w:cs="Times New Roman"/>
          <w:i/>
          <w:color w:val="000000" w:themeColor="text1"/>
          <w:sz w:val="30"/>
          <w14:textFill>
            <w14:solidFill>
              <w14:schemeClr w14:val="tx1"/>
            </w14:solidFill>
          </w14:textFill>
        </w:rPr>
      </w:pPr>
      <w:r>
        <w:rPr>
          <w:rFonts w:ascii="Times New Roman" w:hAnsi="Times New Roman" w:eastAsia="仿宋_GB2312" w:cs="Times New Roman"/>
          <w:i/>
          <w:color w:val="000000" w:themeColor="text1"/>
          <w:sz w:val="30"/>
          <w14:textFill>
            <w14:solidFill>
              <w14:schemeClr w14:val="tx1"/>
            </w14:solidFill>
          </w14:textFill>
        </w:rPr>
        <w:t>承包人必须落实建筑工程项目农民工实名制和工资专用账户管理制度以及最新的济南市建筑农民工工资保证金管理办法，农民工工资保证金由承包人按相关规定自行办理并配合发包人办理相关手续。</w:t>
      </w:r>
    </w:p>
    <w:p w14:paraId="779DB644">
      <w:pPr>
        <w:pStyle w:val="12"/>
        <w:numPr>
          <w:ilvl w:val="0"/>
          <w:numId w:val="11"/>
        </w:numPr>
        <w:ind w:left="0" w:firstLine="600" w:firstLineChars="200"/>
        <w:rPr>
          <w:rFonts w:ascii="Times New Roman" w:hAnsi="Times New Roman" w:eastAsia="仿宋_GB2312" w:cs="Times New Roman"/>
          <w:i/>
          <w:color w:val="000000" w:themeColor="text1"/>
          <w:sz w:val="30"/>
          <w14:textFill>
            <w14:solidFill>
              <w14:schemeClr w14:val="tx1"/>
            </w14:solidFill>
          </w14:textFill>
        </w:rPr>
      </w:pPr>
      <w:r>
        <w:rPr>
          <w:rFonts w:ascii="Times New Roman" w:hAnsi="Times New Roman" w:eastAsia="仿宋_GB2312" w:cs="Times New Roman"/>
          <w:i/>
          <w:color w:val="000000" w:themeColor="text1"/>
          <w:sz w:val="30"/>
          <w14:textFill>
            <w14:solidFill>
              <w14:schemeClr w14:val="tx1"/>
            </w14:solidFill>
          </w14:textFill>
        </w:rPr>
        <w:t>本工程所用施工机械优先使用山东重工旗下产品，进入重汽所有厂区的物流车辆必须为重汽品牌，无条件严格遵守厂区人员车辆进出管理规定，否则造成的倒运费及工期等一切损失均有承包人承担。</w:t>
      </w:r>
    </w:p>
    <w:p w14:paraId="78663EB8">
      <w:pPr>
        <w:pStyle w:val="12"/>
        <w:numPr>
          <w:ilvl w:val="0"/>
          <w:numId w:val="11"/>
        </w:numPr>
        <w:ind w:left="0" w:firstLine="600" w:firstLineChars="200"/>
        <w:rPr>
          <w:rFonts w:ascii="Times New Roman" w:hAnsi="Times New Roman" w:eastAsia="仿宋_GB2312" w:cs="Times New Roman"/>
          <w:i/>
          <w:color w:val="000000" w:themeColor="text1"/>
          <w:sz w:val="30"/>
          <w14:textFill>
            <w14:solidFill>
              <w14:schemeClr w14:val="tx1"/>
            </w14:solidFill>
          </w14:textFill>
        </w:rPr>
      </w:pPr>
      <w:r>
        <w:rPr>
          <w:rFonts w:ascii="Times New Roman" w:hAnsi="Times New Roman" w:eastAsia="仿宋_GB2312" w:cs="Times New Roman"/>
          <w:i/>
          <w:color w:val="000000" w:themeColor="text1"/>
          <w:sz w:val="30"/>
          <w14:textFill>
            <w14:solidFill>
              <w14:schemeClr w14:val="tx1"/>
            </w14:solidFill>
          </w14:textFill>
        </w:rPr>
        <w:t>承包人应做好疫情防控工作，服从项目属地政府有关部门的管理要求，积极配合做好开工复工手续，施工现场疫情防控工作由施工总承包人统筹管理。防疫各项费用包含自合同签约价中，不另行计取。</w:t>
      </w:r>
    </w:p>
    <w:p w14:paraId="058107F7">
      <w:pPr>
        <w:pStyle w:val="12"/>
        <w:numPr>
          <w:ilvl w:val="0"/>
          <w:numId w:val="11"/>
        </w:numPr>
        <w:ind w:left="0" w:firstLine="600" w:firstLineChars="200"/>
        <w:rPr>
          <w:rFonts w:ascii="Times New Roman" w:hAnsi="Times New Roman" w:eastAsia="仿宋_GB2312" w:cs="Times New Roman"/>
          <w:i/>
          <w:color w:val="000000" w:themeColor="text1"/>
          <w:sz w:val="30"/>
          <w14:textFill>
            <w14:solidFill>
              <w14:schemeClr w14:val="tx1"/>
            </w14:solidFill>
          </w14:textFill>
        </w:rPr>
      </w:pPr>
      <w:r>
        <w:rPr>
          <w:rFonts w:ascii="Times New Roman" w:hAnsi="Times New Roman" w:eastAsia="仿宋_GB2312" w:cs="Times New Roman"/>
          <w:i/>
          <w:color w:val="000000" w:themeColor="text1"/>
          <w:sz w:val="30"/>
          <w14:textFill>
            <w14:solidFill>
              <w14:schemeClr w14:val="tx1"/>
            </w14:solidFill>
          </w14:textFill>
        </w:rPr>
        <w:t>发包人有权就发包人直接发包的专业工程要求承包人与专业工程承包人签订分包合同，承包人不得有任何异议并应积极配合，否则发包人有权拒绝支付工程款。</w:t>
      </w:r>
    </w:p>
    <w:p w14:paraId="421B5098">
      <w:pPr>
        <w:pStyle w:val="12"/>
        <w:numPr>
          <w:ilvl w:val="0"/>
          <w:numId w:val="11"/>
        </w:numPr>
        <w:ind w:left="0" w:firstLine="600" w:firstLineChars="200"/>
        <w:rPr>
          <w:rFonts w:ascii="Times New Roman" w:hAnsi="Times New Roman" w:eastAsia="仿宋_GB2312" w:cs="Times New Roman"/>
          <w:i/>
          <w:color w:val="000000" w:themeColor="text1"/>
          <w:sz w:val="30"/>
          <w14:textFill>
            <w14:solidFill>
              <w14:schemeClr w14:val="tx1"/>
            </w14:solidFill>
          </w14:textFill>
        </w:rPr>
      </w:pPr>
      <w:r>
        <w:rPr>
          <w:rFonts w:ascii="Times New Roman" w:hAnsi="Times New Roman" w:eastAsia="仿宋_GB2312" w:cs="Times New Roman"/>
          <w:i/>
          <w:color w:val="000000" w:themeColor="text1"/>
          <w:sz w:val="30"/>
          <w14:textFill>
            <w14:solidFill>
              <w14:schemeClr w14:val="tx1"/>
            </w14:solidFill>
          </w14:textFill>
        </w:rPr>
        <w:t>发包人有权在工程款内扣留30万元群体事件保证金，若发生因承包人原因造成的群体上访事件或拖欠工人工资的情形，经发包人核实后，发包人有权在该笔保证金内扣除相应金额的款项代为支付；若未发生因承包人原因造成的群体上访事件或拖欠工人工资的情形，该保证金无息返还。</w:t>
      </w:r>
    </w:p>
    <w:p w14:paraId="2CEFA419">
      <w:pPr>
        <w:pStyle w:val="12"/>
        <w:numPr>
          <w:ilvl w:val="0"/>
          <w:numId w:val="11"/>
        </w:numPr>
        <w:ind w:left="0" w:firstLine="600" w:firstLineChars="200"/>
        <w:rPr>
          <w:rFonts w:ascii="Times New Roman" w:hAnsi="Times New Roman" w:eastAsia="仿宋_GB2312" w:cs="Times New Roman"/>
          <w:i/>
          <w:color w:val="000000" w:themeColor="text1"/>
          <w:sz w:val="30"/>
          <w14:textFill>
            <w14:solidFill>
              <w14:schemeClr w14:val="tx1"/>
            </w14:solidFill>
          </w14:textFill>
        </w:rPr>
      </w:pPr>
      <w:r>
        <w:rPr>
          <w:rFonts w:ascii="Times New Roman" w:hAnsi="Times New Roman" w:eastAsia="仿宋_GB2312" w:cs="Times New Roman"/>
          <w:i/>
          <w:color w:val="000000" w:themeColor="text1"/>
          <w:sz w:val="30"/>
          <w14:textFill>
            <w14:solidFill>
              <w14:schemeClr w14:val="tx1"/>
            </w14:solidFill>
          </w14:textFill>
        </w:rPr>
        <w:t>本次合同价款分工程量清单价款和清单外费率两部分。已充分考虑目前图纸虽未设计，但施工过程中补充、完善和变更施工内容以及工艺设备的水、电、气等公用管线的连接。</w:t>
      </w:r>
    </w:p>
    <w:p w14:paraId="00771480">
      <w:pPr>
        <w:pStyle w:val="12"/>
        <w:numPr>
          <w:ilvl w:val="0"/>
          <w:numId w:val="11"/>
        </w:numPr>
        <w:ind w:left="0" w:firstLine="600" w:firstLineChars="200"/>
        <w:rPr>
          <w:rFonts w:ascii="Times New Roman" w:hAnsi="Times New Roman" w:eastAsia="仿宋_GB2312" w:cs="Times New Roman"/>
          <w:i/>
          <w:color w:val="000000" w:themeColor="text1"/>
          <w:sz w:val="30"/>
          <w14:textFill>
            <w14:solidFill>
              <w14:schemeClr w14:val="tx1"/>
            </w14:solidFill>
          </w14:textFill>
        </w:rPr>
      </w:pPr>
      <w:r>
        <w:rPr>
          <w:rFonts w:ascii="Times New Roman" w:hAnsi="Times New Roman" w:eastAsia="仿宋_GB2312" w:cs="Times New Roman"/>
          <w:i/>
          <w:color w:val="000000" w:themeColor="text1"/>
          <w:sz w:val="30"/>
          <w14:textFill>
            <w14:solidFill>
              <w14:schemeClr w14:val="tx1"/>
            </w14:solidFill>
          </w14:textFill>
        </w:rPr>
        <w:t>本工程的工伤保险由承包人按项目属地政府相关规定缴纳。</w:t>
      </w:r>
    </w:p>
    <w:p w14:paraId="735A1590">
      <w:pPr>
        <w:pStyle w:val="12"/>
        <w:numPr>
          <w:ilvl w:val="0"/>
          <w:numId w:val="11"/>
        </w:numPr>
        <w:ind w:left="0" w:firstLine="600" w:firstLineChars="200"/>
        <w:rPr>
          <w:rFonts w:ascii="Times New Roman" w:hAnsi="Times New Roman" w:eastAsia="仿宋_GB2312" w:cs="Times New Roman"/>
          <w:i/>
          <w:color w:val="000000" w:themeColor="text1"/>
          <w:sz w:val="30"/>
          <w14:textFill>
            <w14:solidFill>
              <w14:schemeClr w14:val="tx1"/>
            </w14:solidFill>
          </w14:textFill>
        </w:rPr>
      </w:pPr>
      <w:r>
        <w:rPr>
          <w:rFonts w:ascii="Times New Roman" w:hAnsi="Times New Roman" w:eastAsia="仿宋_GB2312" w:cs="Times New Roman"/>
          <w:i/>
          <w:color w:val="000000" w:themeColor="text1"/>
          <w:sz w:val="30"/>
          <w14:textFill>
            <w14:solidFill>
              <w14:schemeClr w14:val="tx1"/>
            </w14:solidFill>
          </w14:textFill>
        </w:rPr>
        <w:t>项目描述及工作内容相同的清单子项综合单价必须相同，若有不同报价，结算时招标人有权按照较低报价确定该子项的综合单价。</w:t>
      </w:r>
    </w:p>
    <w:p w14:paraId="61FA35D0">
      <w:pPr>
        <w:pStyle w:val="12"/>
        <w:numPr>
          <w:ilvl w:val="0"/>
          <w:numId w:val="11"/>
        </w:numPr>
        <w:ind w:left="0" w:firstLine="600" w:firstLineChars="200"/>
        <w:rPr>
          <w:rFonts w:ascii="Times New Roman" w:hAnsi="Times New Roman" w:eastAsia="仿宋_GB2312" w:cs="Times New Roman"/>
          <w:i/>
          <w:color w:val="000000" w:themeColor="text1"/>
          <w:sz w:val="30"/>
          <w14:textFill>
            <w14:solidFill>
              <w14:schemeClr w14:val="tx1"/>
            </w14:solidFill>
          </w14:textFill>
        </w:rPr>
      </w:pPr>
      <w:bookmarkStart w:id="693" w:name="_Hlk211515535"/>
      <w:r>
        <w:rPr>
          <w:rFonts w:ascii="Times New Roman" w:hAnsi="Times New Roman" w:eastAsia="仿宋_GB2312" w:cs="Times New Roman"/>
          <w:i/>
          <w:color w:val="000000" w:themeColor="text1"/>
          <w:sz w:val="30"/>
          <w14:textFill>
            <w14:solidFill>
              <w14:schemeClr w14:val="tx1"/>
            </w14:solidFill>
          </w14:textFill>
        </w:rPr>
        <w:t>除合同另有约定外，未经对方当事人书面同意，一方当事人不得将合同权利全部或部分转让给第三人，也不得将合同义务全部或部分转移给第三人。</w:t>
      </w:r>
    </w:p>
    <w:p w14:paraId="56EF65B8">
      <w:pPr>
        <w:pStyle w:val="12"/>
        <w:numPr>
          <w:ilvl w:val="0"/>
          <w:numId w:val="11"/>
        </w:numPr>
        <w:ind w:left="0" w:firstLine="600" w:firstLineChars="200"/>
        <w:rPr>
          <w:rFonts w:ascii="Times New Roman" w:hAnsi="Times New Roman" w:eastAsia="仿宋_GB2312" w:cs="Times New Roman"/>
          <w:color w:val="000000" w:themeColor="text1"/>
          <w:sz w:val="30"/>
          <w14:textFill>
            <w14:solidFill>
              <w14:schemeClr w14:val="tx1"/>
            </w14:solidFill>
          </w14:textFill>
        </w:rPr>
      </w:pPr>
      <w:r>
        <w:rPr>
          <w:rFonts w:ascii="Times New Roman" w:hAnsi="Times New Roman" w:eastAsia="仿宋_GB2312" w:cs="Times New Roman"/>
          <w:i/>
          <w:color w:val="000000" w:themeColor="text1"/>
          <w:sz w:val="30"/>
          <w14:textFill>
            <w14:solidFill>
              <w14:schemeClr w14:val="tx1"/>
            </w14:solidFill>
          </w14:textFill>
        </w:rPr>
        <w:t>本合同《专用合同条款》与《通用合同条款》有冲突的，执行《专用合同条款》；《专用合同条款》没有规定的，执行《通用合同条款》的规定。</w:t>
      </w:r>
    </w:p>
    <w:bookmarkEnd w:id="693"/>
    <w:p w14:paraId="391E3908">
      <w:pPr>
        <w:pStyle w:val="13"/>
      </w:pPr>
      <w:r>
        <w:br w:type="page"/>
      </w:r>
    </w:p>
    <w:p w14:paraId="577EC50A">
      <w:pPr>
        <w:pStyle w:val="7"/>
        <w:spacing w:before="156" w:after="156" w:line="360" w:lineRule="auto"/>
        <w:jc w:val="center"/>
        <w:rPr>
          <w:rFonts w:ascii="Times New Roman" w:hAnsi="Times New Roman"/>
          <w:color w:val="000000" w:themeColor="text1"/>
          <w14:textFill>
            <w14:solidFill>
              <w14:schemeClr w14:val="tx1"/>
            </w14:solidFill>
          </w14:textFill>
        </w:rPr>
      </w:pPr>
      <w:bookmarkStart w:id="694" w:name="_Toc237618312"/>
      <w:bookmarkStart w:id="695" w:name="_Toc28501"/>
      <w:r>
        <w:rPr>
          <w:rFonts w:ascii="Times New Roman" w:hAnsi="Times New Roman"/>
          <w:color w:val="000000" w:themeColor="text1"/>
          <w14:textFill>
            <w14:solidFill>
              <w14:schemeClr w14:val="tx1"/>
            </w14:solidFill>
          </w14:textFill>
        </w:rPr>
        <w:t>附件</w:t>
      </w:r>
      <w:bookmarkEnd w:id="690"/>
      <w:bookmarkEnd w:id="694"/>
      <w:bookmarkEnd w:id="695"/>
    </w:p>
    <w:p w14:paraId="355A085F">
      <w:pPr>
        <w:spacing w:line="360" w:lineRule="auto"/>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协议书附件：</w:t>
      </w:r>
    </w:p>
    <w:p w14:paraId="59FFE207">
      <w:pPr>
        <w:spacing w:line="360" w:lineRule="auto"/>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附件1：承包人承揽工程项目一览表</w:t>
      </w:r>
    </w:p>
    <w:p w14:paraId="488F0541">
      <w:pPr>
        <w:spacing w:line="360" w:lineRule="auto"/>
        <w:jc w:val="left"/>
        <w:rPr>
          <w:rFonts w:eastAsia="仿宋_GB2312"/>
          <w:color w:val="000000" w:themeColor="text1"/>
          <w:sz w:val="30"/>
          <w:szCs w:val="32"/>
          <w14:textFill>
            <w14:solidFill>
              <w14:schemeClr w14:val="tx1"/>
            </w14:solidFill>
          </w14:textFill>
        </w:rPr>
      </w:pPr>
      <w:r>
        <w:rPr>
          <w:rFonts w:eastAsia="仿宋_GB2312"/>
          <w:color w:val="000000" w:themeColor="text1"/>
          <w:sz w:val="30"/>
          <w:szCs w:val="32"/>
          <w14:textFill>
            <w14:solidFill>
              <w14:schemeClr w14:val="tx1"/>
            </w14:solidFill>
          </w14:textFill>
        </w:rPr>
        <w:t>专用合同条款附件：</w:t>
      </w:r>
    </w:p>
    <w:p w14:paraId="31C958DE">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szCs w:val="32"/>
          <w14:textFill>
            <w14:solidFill>
              <w14:schemeClr w14:val="tx1"/>
            </w14:solidFill>
          </w14:textFill>
        </w:rPr>
        <w:t>附</w:t>
      </w:r>
      <w:r>
        <w:rPr>
          <w:rFonts w:eastAsia="仿宋_GB2312"/>
          <w:color w:val="000000" w:themeColor="text1"/>
          <w:sz w:val="30"/>
          <w14:textFill>
            <w14:solidFill>
              <w14:schemeClr w14:val="tx1"/>
            </w14:solidFill>
          </w14:textFill>
        </w:rPr>
        <w:t>件2：工程施工界面划分表</w:t>
      </w:r>
    </w:p>
    <w:p w14:paraId="146316B7">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附件3：关键节点工期计划</w:t>
      </w:r>
    </w:p>
    <w:p w14:paraId="386B2AB2">
      <w:pPr>
        <w:spacing w:line="360" w:lineRule="auto"/>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附件4：主要材料及设备品牌表</w:t>
      </w:r>
    </w:p>
    <w:p w14:paraId="0251BBB2">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附件5：工程质量保修书</w:t>
      </w:r>
    </w:p>
    <w:p w14:paraId="149A44A7">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附件6：承包人主要施工管理人员表</w:t>
      </w:r>
    </w:p>
    <w:p w14:paraId="7D487BDB">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附件7：履约担保格式</w:t>
      </w:r>
    </w:p>
    <w:p w14:paraId="60C47273">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附件8：预付款担保格式</w:t>
      </w:r>
    </w:p>
    <w:p w14:paraId="6B678336">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附件9：暂估价一览表</w:t>
      </w:r>
    </w:p>
    <w:p w14:paraId="5FF59BF1">
      <w:pPr>
        <w:spacing w:line="360" w:lineRule="auto"/>
        <w:jc w:val="left"/>
        <w:rPr>
          <w:rFonts w:hint="eastAsia" w:eastAsia="仿宋_GB2312"/>
          <w:sz w:val="30"/>
          <w:szCs w:val="32"/>
        </w:rPr>
      </w:pPr>
      <w:r>
        <w:rPr>
          <w:rFonts w:eastAsia="仿宋_GB2312"/>
          <w:color w:val="000000" w:themeColor="text1"/>
          <w:sz w:val="30"/>
          <w14:textFill>
            <w14:solidFill>
              <w14:schemeClr w14:val="tx1"/>
            </w14:solidFill>
          </w14:textFill>
        </w:rPr>
        <w:t>附件10：</w:t>
      </w:r>
      <w:r>
        <w:rPr>
          <w:rFonts w:hint="eastAsia" w:eastAsia="仿宋_GB2312"/>
          <w:sz w:val="30"/>
          <w:szCs w:val="32"/>
        </w:rPr>
        <w:t>甲限乙购材料品牌表</w:t>
      </w:r>
    </w:p>
    <w:p w14:paraId="7D219BDC">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附件11：相关方安全协议</w:t>
      </w:r>
    </w:p>
    <w:p w14:paraId="0D6540D5">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附件12：施工现场管理协议</w:t>
      </w:r>
    </w:p>
    <w:p w14:paraId="0074F33D">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附件13：项目考核管理（细则）协议</w:t>
      </w:r>
    </w:p>
    <w:p w14:paraId="21A4260E">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附件14：廉洁诚信协议</w:t>
      </w:r>
    </w:p>
    <w:p w14:paraId="3154B816">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附件15：保密协议</w:t>
      </w:r>
    </w:p>
    <w:p w14:paraId="76EC34DB">
      <w:pPr>
        <w:spacing w:line="360" w:lineRule="auto"/>
        <w:jc w:val="left"/>
        <w:rPr>
          <w:rFonts w:eastAsia="仿宋_GB2312"/>
          <w:sz w:val="30"/>
          <w:szCs w:val="32"/>
        </w:rPr>
      </w:pPr>
      <w:r>
        <w:rPr>
          <w:rFonts w:eastAsia="仿宋_GB2312"/>
          <w:color w:val="000000" w:themeColor="text1"/>
          <w:sz w:val="30"/>
          <w14:textFill>
            <w14:solidFill>
              <w14:schemeClr w14:val="tx1"/>
            </w14:solidFill>
          </w14:textFill>
        </w:rPr>
        <w:t>附件16：</w:t>
      </w:r>
      <w:r>
        <w:rPr>
          <w:rFonts w:hint="eastAsia" w:eastAsia="仿宋_GB2312"/>
          <w:sz w:val="30"/>
          <w:szCs w:val="32"/>
        </w:rPr>
        <w:t>工程建设领域农民工工资专用账户资金管理协议</w:t>
      </w:r>
    </w:p>
    <w:p w14:paraId="17A380E5">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附件17：</w:t>
      </w:r>
      <w:r>
        <w:rPr>
          <w:rFonts w:hint="eastAsia" w:eastAsia="仿宋_GB2312"/>
          <w:color w:val="000000" w:themeColor="text1"/>
          <w:sz w:val="30"/>
          <w:szCs w:val="32"/>
          <w14:textFill>
            <w14:solidFill>
              <w14:schemeClr w14:val="tx1"/>
            </w14:solidFill>
          </w14:textFill>
        </w:rPr>
        <w:t>账户监管协议</w:t>
      </w:r>
    </w:p>
    <w:p w14:paraId="1A26F089">
      <w:pPr>
        <w:spacing w:line="360" w:lineRule="auto"/>
        <w:jc w:val="left"/>
        <w:rPr>
          <w:rFonts w:eastAsia="仿宋_GB2312"/>
          <w:color w:val="000000" w:themeColor="text1"/>
          <w:sz w:val="30"/>
          <w14:textFill>
            <w14:solidFill>
              <w14:schemeClr w14:val="tx1"/>
            </w14:solidFill>
          </w14:textFill>
        </w:rPr>
      </w:pPr>
      <w:r>
        <w:rPr>
          <w:rFonts w:eastAsia="仿宋_GB2312"/>
          <w:color w:val="000000" w:themeColor="text1"/>
          <w:sz w:val="30"/>
          <w14:textFill>
            <w14:solidFill>
              <w14:schemeClr w14:val="tx1"/>
            </w14:solidFill>
          </w14:textFill>
        </w:rPr>
        <w:t>附件18：</w:t>
      </w:r>
      <w:r>
        <w:rPr>
          <w:rFonts w:eastAsia="仿宋_GB2312"/>
          <w:color w:val="000000" w:themeColor="text1"/>
          <w:sz w:val="30"/>
          <w:szCs w:val="32"/>
          <w14:textFill>
            <w14:solidFill>
              <w14:schemeClr w14:val="tx1"/>
            </w14:solidFill>
          </w14:textFill>
        </w:rPr>
        <w:t>已标价</w:t>
      </w:r>
      <w:r>
        <w:rPr>
          <w:rFonts w:eastAsia="仿宋_GB2312"/>
          <w:color w:val="000000" w:themeColor="text1"/>
          <w:sz w:val="30"/>
          <w14:textFill>
            <w14:solidFill>
              <w14:schemeClr w14:val="tx1"/>
            </w14:solidFill>
          </w14:textFill>
        </w:rPr>
        <w:t>工程量清单</w:t>
      </w:r>
    </w:p>
    <w:p w14:paraId="62E66D01">
      <w:pPr>
        <w:pStyle w:val="2"/>
        <w:ind w:left="420" w:firstLine="420"/>
      </w:pPr>
    </w:p>
    <w:p w14:paraId="3CF0AE85">
      <w:pPr>
        <w:pStyle w:val="4"/>
        <w:ind w:left="420"/>
        <w:rPr>
          <w:rFonts w:eastAsia="仿宋_GB2312"/>
          <w:color w:val="000000" w:themeColor="text1"/>
          <w:sz w:val="30"/>
          <w:szCs w:val="32"/>
          <w14:textFill>
            <w14:solidFill>
              <w14:schemeClr w14:val="tx1"/>
            </w14:solidFill>
          </w14:textFill>
        </w:rPr>
        <w:sectPr>
          <w:pgSz w:w="11906" w:h="16838"/>
          <w:pgMar w:top="1418" w:right="1417" w:bottom="1418" w:left="1417" w:header="851" w:footer="992" w:gutter="0"/>
          <w:cols w:space="720" w:num="1"/>
          <w:titlePg/>
          <w:docGrid w:type="lines" w:linePitch="312" w:charSpace="0"/>
        </w:sectPr>
      </w:pPr>
    </w:p>
    <w:p w14:paraId="7863FCBB">
      <w:pPr>
        <w:spacing w:before="156" w:beforeLines="50" w:after="156" w:afterLines="50" w:line="440" w:lineRule="exact"/>
        <w:jc w:val="left"/>
        <w:outlineLvl w:val="3"/>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附件1：</w:t>
      </w:r>
    </w:p>
    <w:p w14:paraId="2EE378A9">
      <w:pPr>
        <w:spacing w:before="156" w:beforeLines="50" w:after="156" w:afterLines="50" w:line="440" w:lineRule="exact"/>
        <w:jc w:val="center"/>
        <w:rPr>
          <w:rFonts w:eastAsia="黑体"/>
          <w:color w:val="000000" w:themeColor="text1"/>
          <w:sz w:val="30"/>
          <w14:textFill>
            <w14:solidFill>
              <w14:schemeClr w14:val="tx1"/>
            </w14:solidFill>
          </w14:textFill>
        </w:rPr>
      </w:pPr>
      <w:r>
        <w:rPr>
          <w:rFonts w:eastAsia="黑体"/>
          <w:color w:val="000000" w:themeColor="text1"/>
          <w:sz w:val="30"/>
          <w14:textFill>
            <w14:solidFill>
              <w14:schemeClr w14:val="tx1"/>
            </w14:solidFill>
          </w14:textFill>
        </w:rPr>
        <w:t>承包人承揽工程项目一览表</w:t>
      </w:r>
    </w:p>
    <w:tbl>
      <w:tblPr>
        <w:tblStyle w:val="25"/>
        <w:tblW w:w="14601" w:type="dxa"/>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410"/>
        <w:gridCol w:w="850"/>
        <w:gridCol w:w="1560"/>
        <w:gridCol w:w="2126"/>
        <w:gridCol w:w="1417"/>
        <w:gridCol w:w="851"/>
        <w:gridCol w:w="850"/>
      </w:tblGrid>
      <w:tr w14:paraId="220D18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1277" w:type="dxa"/>
            <w:tcBorders>
              <w:top w:val="single" w:color="auto" w:sz="12" w:space="0"/>
              <w:bottom w:val="double" w:color="auto" w:sz="6" w:space="0"/>
            </w:tcBorders>
            <w:vAlign w:val="center"/>
          </w:tcPr>
          <w:p w14:paraId="6798C66E">
            <w:pPr>
              <w:pStyle w:val="13"/>
            </w:pPr>
            <w:r>
              <w:t>单位工程名称</w:t>
            </w:r>
          </w:p>
        </w:tc>
        <w:tc>
          <w:tcPr>
            <w:tcW w:w="1843" w:type="dxa"/>
            <w:tcBorders>
              <w:top w:val="single" w:color="auto" w:sz="12" w:space="0"/>
              <w:bottom w:val="double" w:color="auto" w:sz="6" w:space="0"/>
            </w:tcBorders>
            <w:vAlign w:val="center"/>
          </w:tcPr>
          <w:p w14:paraId="6B015E66">
            <w:pPr>
              <w:pStyle w:val="13"/>
            </w:pPr>
            <w:r>
              <w:t>建设规模</w:t>
            </w:r>
          </w:p>
        </w:tc>
        <w:tc>
          <w:tcPr>
            <w:tcW w:w="1417" w:type="dxa"/>
            <w:tcBorders>
              <w:top w:val="single" w:color="auto" w:sz="12" w:space="0"/>
              <w:bottom w:val="double" w:color="auto" w:sz="6" w:space="0"/>
            </w:tcBorders>
            <w:vAlign w:val="center"/>
          </w:tcPr>
          <w:p w14:paraId="2E8F533C">
            <w:pPr>
              <w:pStyle w:val="13"/>
            </w:pPr>
            <w:r>
              <w:t>建筑面积(平方米)</w:t>
            </w:r>
          </w:p>
        </w:tc>
        <w:tc>
          <w:tcPr>
            <w:tcW w:w="2410" w:type="dxa"/>
            <w:tcBorders>
              <w:top w:val="single" w:color="auto" w:sz="12" w:space="0"/>
              <w:bottom w:val="double" w:color="auto" w:sz="6" w:space="0"/>
            </w:tcBorders>
            <w:vAlign w:val="center"/>
          </w:tcPr>
          <w:p w14:paraId="4B78F917">
            <w:pPr>
              <w:pStyle w:val="13"/>
            </w:pPr>
            <w:r>
              <w:t>结构形式</w:t>
            </w:r>
          </w:p>
        </w:tc>
        <w:tc>
          <w:tcPr>
            <w:tcW w:w="850" w:type="dxa"/>
            <w:tcBorders>
              <w:top w:val="single" w:color="auto" w:sz="12" w:space="0"/>
              <w:bottom w:val="double" w:color="auto" w:sz="6" w:space="0"/>
            </w:tcBorders>
            <w:vAlign w:val="center"/>
          </w:tcPr>
          <w:p w14:paraId="7AF8CE74">
            <w:pPr>
              <w:pStyle w:val="13"/>
            </w:pPr>
            <w:r>
              <w:t>层数</w:t>
            </w:r>
          </w:p>
        </w:tc>
        <w:tc>
          <w:tcPr>
            <w:tcW w:w="1560" w:type="dxa"/>
            <w:tcBorders>
              <w:top w:val="single" w:color="auto" w:sz="12" w:space="0"/>
              <w:bottom w:val="double" w:color="auto" w:sz="6" w:space="0"/>
            </w:tcBorders>
            <w:vAlign w:val="center"/>
          </w:tcPr>
          <w:p w14:paraId="361535F2">
            <w:pPr>
              <w:pStyle w:val="13"/>
            </w:pPr>
            <w:r>
              <w:t>生产能力</w:t>
            </w:r>
          </w:p>
        </w:tc>
        <w:tc>
          <w:tcPr>
            <w:tcW w:w="2126" w:type="dxa"/>
            <w:tcBorders>
              <w:top w:val="single" w:color="auto" w:sz="12" w:space="0"/>
              <w:bottom w:val="double" w:color="auto" w:sz="6" w:space="0"/>
            </w:tcBorders>
            <w:vAlign w:val="center"/>
          </w:tcPr>
          <w:p w14:paraId="66C35DDA">
            <w:pPr>
              <w:pStyle w:val="13"/>
            </w:pPr>
            <w:r>
              <w:t>设备安装内容</w:t>
            </w:r>
          </w:p>
        </w:tc>
        <w:tc>
          <w:tcPr>
            <w:tcW w:w="1417" w:type="dxa"/>
            <w:tcBorders>
              <w:top w:val="single" w:color="auto" w:sz="12" w:space="0"/>
              <w:bottom w:val="double" w:color="auto" w:sz="6" w:space="0"/>
            </w:tcBorders>
            <w:vAlign w:val="center"/>
          </w:tcPr>
          <w:p w14:paraId="6FF46556">
            <w:pPr>
              <w:pStyle w:val="13"/>
            </w:pPr>
            <w:r>
              <w:t>合同价格（元）</w:t>
            </w:r>
          </w:p>
        </w:tc>
        <w:tc>
          <w:tcPr>
            <w:tcW w:w="851" w:type="dxa"/>
            <w:tcBorders>
              <w:top w:val="single" w:color="auto" w:sz="12" w:space="0"/>
              <w:bottom w:val="double" w:color="auto" w:sz="6" w:space="0"/>
            </w:tcBorders>
            <w:vAlign w:val="center"/>
          </w:tcPr>
          <w:p w14:paraId="0DE078B9">
            <w:pPr>
              <w:pStyle w:val="13"/>
            </w:pPr>
            <w:r>
              <w:t>开工日期</w:t>
            </w:r>
          </w:p>
        </w:tc>
        <w:tc>
          <w:tcPr>
            <w:tcW w:w="850" w:type="dxa"/>
            <w:tcBorders>
              <w:top w:val="single" w:color="auto" w:sz="12" w:space="0"/>
              <w:bottom w:val="double" w:color="auto" w:sz="6" w:space="0"/>
            </w:tcBorders>
            <w:vAlign w:val="center"/>
          </w:tcPr>
          <w:p w14:paraId="77841B02">
            <w:pPr>
              <w:pStyle w:val="13"/>
            </w:pPr>
            <w:r>
              <w:t>竣工日期</w:t>
            </w:r>
          </w:p>
        </w:tc>
      </w:tr>
      <w:tr w14:paraId="69B209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bottom w:val="single" w:color="auto" w:sz="6" w:space="0"/>
            </w:tcBorders>
            <w:vAlign w:val="center"/>
          </w:tcPr>
          <w:p w14:paraId="6B79B0B1">
            <w:pPr>
              <w:pStyle w:val="13"/>
            </w:pPr>
          </w:p>
        </w:tc>
        <w:tc>
          <w:tcPr>
            <w:tcW w:w="1843" w:type="dxa"/>
            <w:tcBorders>
              <w:top w:val="double" w:color="auto" w:sz="6" w:space="0"/>
              <w:bottom w:val="single" w:color="auto" w:sz="6" w:space="0"/>
            </w:tcBorders>
            <w:vAlign w:val="center"/>
          </w:tcPr>
          <w:p w14:paraId="367C6772">
            <w:pPr>
              <w:pStyle w:val="13"/>
            </w:pPr>
          </w:p>
        </w:tc>
        <w:tc>
          <w:tcPr>
            <w:tcW w:w="1417" w:type="dxa"/>
            <w:tcBorders>
              <w:top w:val="double" w:color="auto" w:sz="6" w:space="0"/>
              <w:bottom w:val="single" w:color="auto" w:sz="6" w:space="0"/>
            </w:tcBorders>
            <w:vAlign w:val="center"/>
          </w:tcPr>
          <w:p w14:paraId="5D993EAE">
            <w:pPr>
              <w:pStyle w:val="13"/>
            </w:pPr>
          </w:p>
        </w:tc>
        <w:tc>
          <w:tcPr>
            <w:tcW w:w="2410" w:type="dxa"/>
            <w:tcBorders>
              <w:top w:val="double" w:color="auto" w:sz="6" w:space="0"/>
              <w:bottom w:val="single" w:color="auto" w:sz="6" w:space="0"/>
            </w:tcBorders>
            <w:vAlign w:val="center"/>
          </w:tcPr>
          <w:p w14:paraId="5B0670E0">
            <w:pPr>
              <w:pStyle w:val="13"/>
            </w:pPr>
          </w:p>
        </w:tc>
        <w:tc>
          <w:tcPr>
            <w:tcW w:w="850" w:type="dxa"/>
            <w:tcBorders>
              <w:top w:val="double" w:color="auto" w:sz="6" w:space="0"/>
              <w:bottom w:val="single" w:color="auto" w:sz="6" w:space="0"/>
            </w:tcBorders>
            <w:vAlign w:val="center"/>
          </w:tcPr>
          <w:p w14:paraId="21252F26">
            <w:pPr>
              <w:pStyle w:val="13"/>
            </w:pPr>
          </w:p>
        </w:tc>
        <w:tc>
          <w:tcPr>
            <w:tcW w:w="1560" w:type="dxa"/>
            <w:tcBorders>
              <w:top w:val="double" w:color="auto" w:sz="6" w:space="0"/>
              <w:bottom w:val="single" w:color="auto" w:sz="6" w:space="0"/>
            </w:tcBorders>
            <w:vAlign w:val="center"/>
          </w:tcPr>
          <w:p w14:paraId="2A8E7C41">
            <w:pPr>
              <w:pStyle w:val="13"/>
            </w:pPr>
          </w:p>
        </w:tc>
        <w:tc>
          <w:tcPr>
            <w:tcW w:w="2126" w:type="dxa"/>
            <w:tcBorders>
              <w:top w:val="double" w:color="auto" w:sz="6" w:space="0"/>
              <w:bottom w:val="single" w:color="auto" w:sz="6" w:space="0"/>
            </w:tcBorders>
            <w:vAlign w:val="center"/>
          </w:tcPr>
          <w:p w14:paraId="37418CFA">
            <w:pPr>
              <w:pStyle w:val="13"/>
            </w:pPr>
          </w:p>
        </w:tc>
        <w:tc>
          <w:tcPr>
            <w:tcW w:w="1417" w:type="dxa"/>
            <w:tcBorders>
              <w:top w:val="double" w:color="auto" w:sz="6" w:space="0"/>
              <w:bottom w:val="single" w:color="auto" w:sz="6" w:space="0"/>
            </w:tcBorders>
            <w:vAlign w:val="center"/>
          </w:tcPr>
          <w:p w14:paraId="68CA119C">
            <w:pPr>
              <w:pStyle w:val="13"/>
            </w:pPr>
          </w:p>
        </w:tc>
        <w:tc>
          <w:tcPr>
            <w:tcW w:w="851" w:type="dxa"/>
            <w:tcBorders>
              <w:top w:val="double" w:color="auto" w:sz="6" w:space="0"/>
              <w:bottom w:val="single" w:color="auto" w:sz="6" w:space="0"/>
            </w:tcBorders>
            <w:vAlign w:val="center"/>
          </w:tcPr>
          <w:p w14:paraId="2B126FC1">
            <w:pPr>
              <w:pStyle w:val="13"/>
            </w:pPr>
          </w:p>
        </w:tc>
        <w:tc>
          <w:tcPr>
            <w:tcW w:w="850" w:type="dxa"/>
            <w:tcBorders>
              <w:top w:val="double" w:color="auto" w:sz="6" w:space="0"/>
              <w:bottom w:val="single" w:color="auto" w:sz="6" w:space="0"/>
            </w:tcBorders>
            <w:vAlign w:val="center"/>
          </w:tcPr>
          <w:p w14:paraId="7D561008">
            <w:pPr>
              <w:pStyle w:val="13"/>
            </w:pPr>
          </w:p>
        </w:tc>
      </w:tr>
      <w:tr w14:paraId="71CDB2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6E2B0F89">
            <w:pPr>
              <w:pStyle w:val="13"/>
            </w:pPr>
          </w:p>
        </w:tc>
        <w:tc>
          <w:tcPr>
            <w:tcW w:w="1843" w:type="dxa"/>
            <w:tcBorders>
              <w:top w:val="nil"/>
            </w:tcBorders>
            <w:vAlign w:val="center"/>
          </w:tcPr>
          <w:p w14:paraId="04FFF01C">
            <w:pPr>
              <w:pStyle w:val="13"/>
            </w:pPr>
          </w:p>
        </w:tc>
        <w:tc>
          <w:tcPr>
            <w:tcW w:w="1417" w:type="dxa"/>
            <w:tcBorders>
              <w:top w:val="nil"/>
            </w:tcBorders>
            <w:vAlign w:val="center"/>
          </w:tcPr>
          <w:p w14:paraId="69AB2707">
            <w:pPr>
              <w:pStyle w:val="13"/>
            </w:pPr>
          </w:p>
        </w:tc>
        <w:tc>
          <w:tcPr>
            <w:tcW w:w="2410" w:type="dxa"/>
            <w:tcBorders>
              <w:top w:val="nil"/>
            </w:tcBorders>
            <w:vAlign w:val="center"/>
          </w:tcPr>
          <w:p w14:paraId="660534F9">
            <w:pPr>
              <w:pStyle w:val="13"/>
            </w:pPr>
          </w:p>
        </w:tc>
        <w:tc>
          <w:tcPr>
            <w:tcW w:w="850" w:type="dxa"/>
            <w:tcBorders>
              <w:top w:val="nil"/>
            </w:tcBorders>
            <w:vAlign w:val="center"/>
          </w:tcPr>
          <w:p w14:paraId="70CE10D7">
            <w:pPr>
              <w:pStyle w:val="13"/>
            </w:pPr>
          </w:p>
        </w:tc>
        <w:tc>
          <w:tcPr>
            <w:tcW w:w="1560" w:type="dxa"/>
            <w:tcBorders>
              <w:top w:val="nil"/>
            </w:tcBorders>
            <w:vAlign w:val="center"/>
          </w:tcPr>
          <w:p w14:paraId="2C6906E3">
            <w:pPr>
              <w:pStyle w:val="13"/>
            </w:pPr>
          </w:p>
        </w:tc>
        <w:tc>
          <w:tcPr>
            <w:tcW w:w="2126" w:type="dxa"/>
            <w:tcBorders>
              <w:top w:val="nil"/>
            </w:tcBorders>
            <w:vAlign w:val="center"/>
          </w:tcPr>
          <w:p w14:paraId="5439F2D4">
            <w:pPr>
              <w:pStyle w:val="13"/>
            </w:pPr>
          </w:p>
        </w:tc>
        <w:tc>
          <w:tcPr>
            <w:tcW w:w="1417" w:type="dxa"/>
            <w:tcBorders>
              <w:top w:val="nil"/>
            </w:tcBorders>
            <w:vAlign w:val="center"/>
          </w:tcPr>
          <w:p w14:paraId="4E2589FA">
            <w:pPr>
              <w:pStyle w:val="13"/>
            </w:pPr>
          </w:p>
        </w:tc>
        <w:tc>
          <w:tcPr>
            <w:tcW w:w="851" w:type="dxa"/>
            <w:tcBorders>
              <w:top w:val="nil"/>
            </w:tcBorders>
            <w:vAlign w:val="center"/>
          </w:tcPr>
          <w:p w14:paraId="112B294B">
            <w:pPr>
              <w:pStyle w:val="13"/>
            </w:pPr>
          </w:p>
        </w:tc>
        <w:tc>
          <w:tcPr>
            <w:tcW w:w="850" w:type="dxa"/>
            <w:tcBorders>
              <w:top w:val="nil"/>
            </w:tcBorders>
            <w:vAlign w:val="center"/>
          </w:tcPr>
          <w:p w14:paraId="3FDBE42F">
            <w:pPr>
              <w:pStyle w:val="13"/>
            </w:pPr>
          </w:p>
        </w:tc>
      </w:tr>
      <w:tr w14:paraId="04EC60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7B55C506">
            <w:pPr>
              <w:pStyle w:val="13"/>
            </w:pPr>
          </w:p>
        </w:tc>
        <w:tc>
          <w:tcPr>
            <w:tcW w:w="1843" w:type="dxa"/>
            <w:tcBorders>
              <w:top w:val="nil"/>
            </w:tcBorders>
            <w:vAlign w:val="center"/>
          </w:tcPr>
          <w:p w14:paraId="24746780">
            <w:pPr>
              <w:pStyle w:val="13"/>
            </w:pPr>
          </w:p>
        </w:tc>
        <w:tc>
          <w:tcPr>
            <w:tcW w:w="1417" w:type="dxa"/>
            <w:tcBorders>
              <w:top w:val="nil"/>
            </w:tcBorders>
            <w:vAlign w:val="center"/>
          </w:tcPr>
          <w:p w14:paraId="20B357C5">
            <w:pPr>
              <w:pStyle w:val="13"/>
            </w:pPr>
          </w:p>
        </w:tc>
        <w:tc>
          <w:tcPr>
            <w:tcW w:w="2410" w:type="dxa"/>
            <w:tcBorders>
              <w:top w:val="nil"/>
            </w:tcBorders>
            <w:vAlign w:val="center"/>
          </w:tcPr>
          <w:p w14:paraId="1B3AD1DF">
            <w:pPr>
              <w:pStyle w:val="13"/>
            </w:pPr>
          </w:p>
        </w:tc>
        <w:tc>
          <w:tcPr>
            <w:tcW w:w="850" w:type="dxa"/>
            <w:tcBorders>
              <w:top w:val="nil"/>
            </w:tcBorders>
            <w:vAlign w:val="center"/>
          </w:tcPr>
          <w:p w14:paraId="3A921F6B">
            <w:pPr>
              <w:pStyle w:val="13"/>
            </w:pPr>
          </w:p>
        </w:tc>
        <w:tc>
          <w:tcPr>
            <w:tcW w:w="1560" w:type="dxa"/>
            <w:tcBorders>
              <w:top w:val="nil"/>
            </w:tcBorders>
            <w:vAlign w:val="center"/>
          </w:tcPr>
          <w:p w14:paraId="12CC29AF">
            <w:pPr>
              <w:pStyle w:val="13"/>
            </w:pPr>
          </w:p>
        </w:tc>
        <w:tc>
          <w:tcPr>
            <w:tcW w:w="2126" w:type="dxa"/>
            <w:tcBorders>
              <w:top w:val="nil"/>
            </w:tcBorders>
            <w:vAlign w:val="center"/>
          </w:tcPr>
          <w:p w14:paraId="3D67E1EF">
            <w:pPr>
              <w:pStyle w:val="13"/>
            </w:pPr>
          </w:p>
        </w:tc>
        <w:tc>
          <w:tcPr>
            <w:tcW w:w="1417" w:type="dxa"/>
            <w:tcBorders>
              <w:top w:val="nil"/>
            </w:tcBorders>
            <w:vAlign w:val="center"/>
          </w:tcPr>
          <w:p w14:paraId="555372FA">
            <w:pPr>
              <w:pStyle w:val="13"/>
            </w:pPr>
          </w:p>
        </w:tc>
        <w:tc>
          <w:tcPr>
            <w:tcW w:w="851" w:type="dxa"/>
            <w:tcBorders>
              <w:top w:val="nil"/>
            </w:tcBorders>
            <w:vAlign w:val="center"/>
          </w:tcPr>
          <w:p w14:paraId="7D6EC2E6">
            <w:pPr>
              <w:pStyle w:val="13"/>
            </w:pPr>
          </w:p>
        </w:tc>
        <w:tc>
          <w:tcPr>
            <w:tcW w:w="850" w:type="dxa"/>
            <w:tcBorders>
              <w:top w:val="nil"/>
            </w:tcBorders>
            <w:vAlign w:val="center"/>
          </w:tcPr>
          <w:p w14:paraId="1D37E8D8">
            <w:pPr>
              <w:pStyle w:val="13"/>
            </w:pPr>
          </w:p>
        </w:tc>
      </w:tr>
      <w:tr w14:paraId="408C2F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7B405F34">
            <w:pPr>
              <w:pStyle w:val="13"/>
            </w:pPr>
          </w:p>
        </w:tc>
        <w:tc>
          <w:tcPr>
            <w:tcW w:w="1843" w:type="dxa"/>
            <w:vAlign w:val="center"/>
          </w:tcPr>
          <w:p w14:paraId="6F913C42">
            <w:pPr>
              <w:pStyle w:val="13"/>
            </w:pPr>
          </w:p>
        </w:tc>
        <w:tc>
          <w:tcPr>
            <w:tcW w:w="1417" w:type="dxa"/>
            <w:vAlign w:val="center"/>
          </w:tcPr>
          <w:p w14:paraId="31C19F3F">
            <w:pPr>
              <w:pStyle w:val="13"/>
            </w:pPr>
          </w:p>
        </w:tc>
        <w:tc>
          <w:tcPr>
            <w:tcW w:w="2410" w:type="dxa"/>
            <w:vAlign w:val="center"/>
          </w:tcPr>
          <w:p w14:paraId="6C0703AF">
            <w:pPr>
              <w:pStyle w:val="13"/>
            </w:pPr>
          </w:p>
        </w:tc>
        <w:tc>
          <w:tcPr>
            <w:tcW w:w="850" w:type="dxa"/>
            <w:vAlign w:val="center"/>
          </w:tcPr>
          <w:p w14:paraId="64253B92">
            <w:pPr>
              <w:pStyle w:val="13"/>
            </w:pPr>
          </w:p>
        </w:tc>
        <w:tc>
          <w:tcPr>
            <w:tcW w:w="1560" w:type="dxa"/>
            <w:vAlign w:val="center"/>
          </w:tcPr>
          <w:p w14:paraId="036B3891">
            <w:pPr>
              <w:pStyle w:val="13"/>
            </w:pPr>
          </w:p>
        </w:tc>
        <w:tc>
          <w:tcPr>
            <w:tcW w:w="2126" w:type="dxa"/>
            <w:vAlign w:val="center"/>
          </w:tcPr>
          <w:p w14:paraId="4365D510">
            <w:pPr>
              <w:pStyle w:val="13"/>
            </w:pPr>
          </w:p>
        </w:tc>
        <w:tc>
          <w:tcPr>
            <w:tcW w:w="1417" w:type="dxa"/>
            <w:vAlign w:val="center"/>
          </w:tcPr>
          <w:p w14:paraId="34AB9E1B">
            <w:pPr>
              <w:pStyle w:val="13"/>
            </w:pPr>
          </w:p>
        </w:tc>
        <w:tc>
          <w:tcPr>
            <w:tcW w:w="851" w:type="dxa"/>
            <w:vAlign w:val="center"/>
          </w:tcPr>
          <w:p w14:paraId="36DD3CBD">
            <w:pPr>
              <w:pStyle w:val="13"/>
            </w:pPr>
          </w:p>
        </w:tc>
        <w:tc>
          <w:tcPr>
            <w:tcW w:w="850" w:type="dxa"/>
            <w:vAlign w:val="center"/>
          </w:tcPr>
          <w:p w14:paraId="606FEAB6">
            <w:pPr>
              <w:pStyle w:val="13"/>
            </w:pPr>
          </w:p>
        </w:tc>
      </w:tr>
      <w:tr w14:paraId="7E7E4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5D190D7E">
            <w:pPr>
              <w:pStyle w:val="13"/>
            </w:pPr>
          </w:p>
        </w:tc>
        <w:tc>
          <w:tcPr>
            <w:tcW w:w="1843" w:type="dxa"/>
            <w:tcBorders>
              <w:top w:val="nil"/>
            </w:tcBorders>
            <w:vAlign w:val="center"/>
          </w:tcPr>
          <w:p w14:paraId="252770CB">
            <w:pPr>
              <w:pStyle w:val="13"/>
            </w:pPr>
          </w:p>
        </w:tc>
        <w:tc>
          <w:tcPr>
            <w:tcW w:w="1417" w:type="dxa"/>
            <w:tcBorders>
              <w:top w:val="nil"/>
            </w:tcBorders>
            <w:vAlign w:val="center"/>
          </w:tcPr>
          <w:p w14:paraId="751EE34D">
            <w:pPr>
              <w:pStyle w:val="13"/>
            </w:pPr>
          </w:p>
        </w:tc>
        <w:tc>
          <w:tcPr>
            <w:tcW w:w="2410" w:type="dxa"/>
            <w:tcBorders>
              <w:top w:val="nil"/>
            </w:tcBorders>
            <w:vAlign w:val="center"/>
          </w:tcPr>
          <w:p w14:paraId="3D02ECB8">
            <w:pPr>
              <w:pStyle w:val="13"/>
            </w:pPr>
          </w:p>
        </w:tc>
        <w:tc>
          <w:tcPr>
            <w:tcW w:w="850" w:type="dxa"/>
            <w:tcBorders>
              <w:top w:val="nil"/>
            </w:tcBorders>
            <w:vAlign w:val="center"/>
          </w:tcPr>
          <w:p w14:paraId="3440307A">
            <w:pPr>
              <w:pStyle w:val="13"/>
            </w:pPr>
          </w:p>
        </w:tc>
        <w:tc>
          <w:tcPr>
            <w:tcW w:w="1560" w:type="dxa"/>
            <w:tcBorders>
              <w:top w:val="nil"/>
            </w:tcBorders>
            <w:vAlign w:val="center"/>
          </w:tcPr>
          <w:p w14:paraId="1D9085CC">
            <w:pPr>
              <w:pStyle w:val="13"/>
            </w:pPr>
          </w:p>
        </w:tc>
        <w:tc>
          <w:tcPr>
            <w:tcW w:w="2126" w:type="dxa"/>
            <w:tcBorders>
              <w:top w:val="nil"/>
            </w:tcBorders>
            <w:vAlign w:val="center"/>
          </w:tcPr>
          <w:p w14:paraId="4C69B5E8">
            <w:pPr>
              <w:pStyle w:val="13"/>
            </w:pPr>
          </w:p>
        </w:tc>
        <w:tc>
          <w:tcPr>
            <w:tcW w:w="1417" w:type="dxa"/>
            <w:tcBorders>
              <w:top w:val="nil"/>
            </w:tcBorders>
            <w:vAlign w:val="center"/>
          </w:tcPr>
          <w:p w14:paraId="0E74541C">
            <w:pPr>
              <w:pStyle w:val="13"/>
            </w:pPr>
          </w:p>
        </w:tc>
        <w:tc>
          <w:tcPr>
            <w:tcW w:w="851" w:type="dxa"/>
            <w:tcBorders>
              <w:top w:val="nil"/>
            </w:tcBorders>
            <w:vAlign w:val="center"/>
          </w:tcPr>
          <w:p w14:paraId="1FCB6CF2">
            <w:pPr>
              <w:pStyle w:val="13"/>
            </w:pPr>
          </w:p>
        </w:tc>
        <w:tc>
          <w:tcPr>
            <w:tcW w:w="850" w:type="dxa"/>
            <w:tcBorders>
              <w:top w:val="nil"/>
            </w:tcBorders>
            <w:vAlign w:val="center"/>
          </w:tcPr>
          <w:p w14:paraId="5A1F5149">
            <w:pPr>
              <w:pStyle w:val="13"/>
            </w:pPr>
          </w:p>
        </w:tc>
      </w:tr>
      <w:tr w14:paraId="0450F8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4C9FC4C3">
            <w:pPr>
              <w:pStyle w:val="13"/>
            </w:pPr>
          </w:p>
        </w:tc>
        <w:tc>
          <w:tcPr>
            <w:tcW w:w="1843" w:type="dxa"/>
            <w:tcBorders>
              <w:top w:val="nil"/>
            </w:tcBorders>
            <w:vAlign w:val="center"/>
          </w:tcPr>
          <w:p w14:paraId="284C5D75">
            <w:pPr>
              <w:pStyle w:val="13"/>
            </w:pPr>
          </w:p>
        </w:tc>
        <w:tc>
          <w:tcPr>
            <w:tcW w:w="1417" w:type="dxa"/>
            <w:tcBorders>
              <w:top w:val="nil"/>
            </w:tcBorders>
            <w:vAlign w:val="center"/>
          </w:tcPr>
          <w:p w14:paraId="14AA2B92">
            <w:pPr>
              <w:pStyle w:val="13"/>
            </w:pPr>
          </w:p>
        </w:tc>
        <w:tc>
          <w:tcPr>
            <w:tcW w:w="2410" w:type="dxa"/>
            <w:tcBorders>
              <w:top w:val="nil"/>
            </w:tcBorders>
            <w:vAlign w:val="center"/>
          </w:tcPr>
          <w:p w14:paraId="5F564040">
            <w:pPr>
              <w:pStyle w:val="13"/>
            </w:pPr>
          </w:p>
        </w:tc>
        <w:tc>
          <w:tcPr>
            <w:tcW w:w="850" w:type="dxa"/>
            <w:tcBorders>
              <w:top w:val="nil"/>
            </w:tcBorders>
            <w:vAlign w:val="center"/>
          </w:tcPr>
          <w:p w14:paraId="0AEBCAA5">
            <w:pPr>
              <w:pStyle w:val="13"/>
            </w:pPr>
          </w:p>
        </w:tc>
        <w:tc>
          <w:tcPr>
            <w:tcW w:w="1560" w:type="dxa"/>
            <w:tcBorders>
              <w:top w:val="nil"/>
            </w:tcBorders>
            <w:vAlign w:val="center"/>
          </w:tcPr>
          <w:p w14:paraId="12C9C4EE">
            <w:pPr>
              <w:pStyle w:val="13"/>
            </w:pPr>
          </w:p>
        </w:tc>
        <w:tc>
          <w:tcPr>
            <w:tcW w:w="2126" w:type="dxa"/>
            <w:tcBorders>
              <w:top w:val="nil"/>
            </w:tcBorders>
            <w:vAlign w:val="center"/>
          </w:tcPr>
          <w:p w14:paraId="61949FA6">
            <w:pPr>
              <w:pStyle w:val="13"/>
            </w:pPr>
          </w:p>
        </w:tc>
        <w:tc>
          <w:tcPr>
            <w:tcW w:w="1417" w:type="dxa"/>
            <w:tcBorders>
              <w:top w:val="nil"/>
            </w:tcBorders>
            <w:vAlign w:val="center"/>
          </w:tcPr>
          <w:p w14:paraId="1DBD7E32">
            <w:pPr>
              <w:pStyle w:val="13"/>
            </w:pPr>
          </w:p>
        </w:tc>
        <w:tc>
          <w:tcPr>
            <w:tcW w:w="851" w:type="dxa"/>
            <w:tcBorders>
              <w:top w:val="nil"/>
            </w:tcBorders>
            <w:vAlign w:val="center"/>
          </w:tcPr>
          <w:p w14:paraId="099F044E">
            <w:pPr>
              <w:pStyle w:val="13"/>
            </w:pPr>
          </w:p>
        </w:tc>
        <w:tc>
          <w:tcPr>
            <w:tcW w:w="850" w:type="dxa"/>
            <w:tcBorders>
              <w:top w:val="nil"/>
            </w:tcBorders>
            <w:vAlign w:val="center"/>
          </w:tcPr>
          <w:p w14:paraId="3474EA65">
            <w:pPr>
              <w:pStyle w:val="13"/>
            </w:pPr>
          </w:p>
        </w:tc>
      </w:tr>
      <w:tr w14:paraId="3239A1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314D2412">
            <w:pPr>
              <w:pStyle w:val="13"/>
            </w:pPr>
          </w:p>
        </w:tc>
        <w:tc>
          <w:tcPr>
            <w:tcW w:w="1843" w:type="dxa"/>
            <w:tcBorders>
              <w:top w:val="nil"/>
            </w:tcBorders>
            <w:vAlign w:val="center"/>
          </w:tcPr>
          <w:p w14:paraId="776DA4F2">
            <w:pPr>
              <w:pStyle w:val="13"/>
            </w:pPr>
          </w:p>
        </w:tc>
        <w:tc>
          <w:tcPr>
            <w:tcW w:w="1417" w:type="dxa"/>
            <w:tcBorders>
              <w:top w:val="nil"/>
            </w:tcBorders>
            <w:vAlign w:val="center"/>
          </w:tcPr>
          <w:p w14:paraId="445DD305">
            <w:pPr>
              <w:pStyle w:val="13"/>
            </w:pPr>
          </w:p>
        </w:tc>
        <w:tc>
          <w:tcPr>
            <w:tcW w:w="2410" w:type="dxa"/>
            <w:tcBorders>
              <w:top w:val="nil"/>
            </w:tcBorders>
            <w:vAlign w:val="center"/>
          </w:tcPr>
          <w:p w14:paraId="5E755170">
            <w:pPr>
              <w:pStyle w:val="13"/>
            </w:pPr>
          </w:p>
        </w:tc>
        <w:tc>
          <w:tcPr>
            <w:tcW w:w="850" w:type="dxa"/>
            <w:tcBorders>
              <w:top w:val="nil"/>
            </w:tcBorders>
            <w:vAlign w:val="center"/>
          </w:tcPr>
          <w:p w14:paraId="55C221BC">
            <w:pPr>
              <w:pStyle w:val="13"/>
            </w:pPr>
          </w:p>
        </w:tc>
        <w:tc>
          <w:tcPr>
            <w:tcW w:w="1560" w:type="dxa"/>
            <w:tcBorders>
              <w:top w:val="nil"/>
            </w:tcBorders>
            <w:vAlign w:val="center"/>
          </w:tcPr>
          <w:p w14:paraId="1395004B">
            <w:pPr>
              <w:pStyle w:val="13"/>
            </w:pPr>
          </w:p>
        </w:tc>
        <w:tc>
          <w:tcPr>
            <w:tcW w:w="2126" w:type="dxa"/>
            <w:tcBorders>
              <w:top w:val="nil"/>
            </w:tcBorders>
            <w:vAlign w:val="center"/>
          </w:tcPr>
          <w:p w14:paraId="5638EC4D">
            <w:pPr>
              <w:pStyle w:val="13"/>
            </w:pPr>
          </w:p>
        </w:tc>
        <w:tc>
          <w:tcPr>
            <w:tcW w:w="1417" w:type="dxa"/>
            <w:tcBorders>
              <w:top w:val="nil"/>
            </w:tcBorders>
            <w:vAlign w:val="center"/>
          </w:tcPr>
          <w:p w14:paraId="60CE2282">
            <w:pPr>
              <w:pStyle w:val="13"/>
            </w:pPr>
          </w:p>
        </w:tc>
        <w:tc>
          <w:tcPr>
            <w:tcW w:w="851" w:type="dxa"/>
            <w:tcBorders>
              <w:top w:val="nil"/>
            </w:tcBorders>
            <w:vAlign w:val="center"/>
          </w:tcPr>
          <w:p w14:paraId="5F0EBB94">
            <w:pPr>
              <w:pStyle w:val="13"/>
            </w:pPr>
          </w:p>
        </w:tc>
        <w:tc>
          <w:tcPr>
            <w:tcW w:w="850" w:type="dxa"/>
            <w:tcBorders>
              <w:top w:val="nil"/>
            </w:tcBorders>
            <w:vAlign w:val="center"/>
          </w:tcPr>
          <w:p w14:paraId="533EFB40">
            <w:pPr>
              <w:pStyle w:val="13"/>
            </w:pPr>
          </w:p>
        </w:tc>
      </w:tr>
    </w:tbl>
    <w:p w14:paraId="680740CB">
      <w:pPr>
        <w:spacing w:line="440" w:lineRule="exact"/>
        <w:rPr>
          <w:rFonts w:eastAsia="仿宋_GB2312"/>
          <w:b/>
          <w:color w:val="000000" w:themeColor="text1"/>
          <w:sz w:val="30"/>
          <w:szCs w:val="30"/>
          <w14:textFill>
            <w14:solidFill>
              <w14:schemeClr w14:val="tx1"/>
            </w14:solidFill>
          </w14:textFill>
        </w:rPr>
        <w:sectPr>
          <w:pgSz w:w="16838" w:h="11906" w:orient="landscape"/>
          <w:pgMar w:top="1554" w:right="1418" w:bottom="1531" w:left="1418" w:header="851" w:footer="992" w:gutter="0"/>
          <w:cols w:space="720" w:num="1"/>
          <w:titlePg/>
          <w:docGrid w:type="linesAndChars" w:linePitch="312" w:charSpace="0"/>
        </w:sectPr>
      </w:pPr>
    </w:p>
    <w:p w14:paraId="794D9132">
      <w:pPr>
        <w:spacing w:before="120" w:beforeLines="50" w:after="120" w:afterLines="50" w:line="440" w:lineRule="exact"/>
        <w:jc w:val="left"/>
        <w:outlineLvl w:val="3"/>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附件2：</w:t>
      </w:r>
    </w:p>
    <w:p w14:paraId="2FC8291F">
      <w:pPr>
        <w:spacing w:before="120" w:after="120"/>
        <w:jc w:val="center"/>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t>工程施工界面划分表</w:t>
      </w:r>
    </w:p>
    <w:p w14:paraId="2F66CE7D">
      <w:pPr>
        <w:spacing w:before="156" w:beforeLines="50" w:after="156" w:afterLines="50" w:line="440" w:lineRule="exact"/>
        <w:jc w:val="left"/>
        <w:outlineLvl w:val="3"/>
        <w:rPr>
          <w:color w:val="000000" w:themeColor="text1"/>
          <w:sz w:val="30"/>
          <w14:textFill>
            <w14:solidFill>
              <w14:schemeClr w14:val="tx1"/>
            </w14:solidFill>
          </w14:textFill>
        </w:rPr>
      </w:pPr>
      <w:r>
        <w:rPr>
          <w:color w:val="000000" w:themeColor="text1"/>
          <w:sz w:val="30"/>
          <w14:textFill>
            <w14:solidFill>
              <w14:schemeClr w14:val="tx1"/>
            </w14:solidFill>
          </w14:textFill>
        </w:rPr>
        <w:t>附件3</w:t>
      </w:r>
      <w:r>
        <w:rPr>
          <w:rFonts w:eastAsia="仿宋_GB2312"/>
          <w:color w:val="000000" w:themeColor="text1"/>
          <w:sz w:val="30"/>
          <w:szCs w:val="30"/>
          <w14:textFill>
            <w14:solidFill>
              <w14:schemeClr w14:val="tx1"/>
            </w14:solidFill>
          </w14:textFill>
        </w:rPr>
        <w:t>：</w:t>
      </w:r>
    </w:p>
    <w:p w14:paraId="160C6F86">
      <w:pPr>
        <w:spacing w:before="156" w:beforeLines="50" w:after="156" w:afterLines="50" w:line="440" w:lineRule="exact"/>
        <w:jc w:val="center"/>
        <w:rPr>
          <w:rFonts w:eastAsia="黑体"/>
          <w:color w:val="000000" w:themeColor="text1"/>
          <w:sz w:val="30"/>
          <w14:textFill>
            <w14:solidFill>
              <w14:schemeClr w14:val="tx1"/>
            </w14:solidFill>
          </w14:textFill>
        </w:rPr>
      </w:pPr>
      <w:r>
        <w:rPr>
          <w:rFonts w:eastAsia="黑体"/>
          <w:color w:val="000000" w:themeColor="text1"/>
          <w:sz w:val="30"/>
          <w14:textFill>
            <w14:solidFill>
              <w14:schemeClr w14:val="tx1"/>
            </w14:solidFill>
          </w14:textFill>
        </w:rPr>
        <w:t>关键节点工期计划（示例）</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2917"/>
        <w:gridCol w:w="1433"/>
        <w:gridCol w:w="1180"/>
        <w:gridCol w:w="1190"/>
        <w:gridCol w:w="1180"/>
        <w:gridCol w:w="800"/>
      </w:tblGrid>
      <w:tr w14:paraId="066FF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025" w:type="dxa"/>
            <w:vMerge w:val="restart"/>
          </w:tcPr>
          <w:p w14:paraId="761F208C">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2917" w:type="dxa"/>
            <w:vMerge w:val="restart"/>
          </w:tcPr>
          <w:p w14:paraId="233095E5">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关键节点</w:t>
            </w:r>
          </w:p>
        </w:tc>
        <w:tc>
          <w:tcPr>
            <w:tcW w:w="4983" w:type="dxa"/>
            <w:gridSpan w:val="4"/>
          </w:tcPr>
          <w:p w14:paraId="19F32F8F">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计划完成时间</w:t>
            </w:r>
          </w:p>
        </w:tc>
        <w:tc>
          <w:tcPr>
            <w:tcW w:w="800" w:type="dxa"/>
            <w:vMerge w:val="restart"/>
          </w:tcPr>
          <w:p w14:paraId="217451B9">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备注</w:t>
            </w:r>
          </w:p>
        </w:tc>
      </w:tr>
      <w:tr w14:paraId="1F23D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025" w:type="dxa"/>
            <w:vMerge w:val="continue"/>
          </w:tcPr>
          <w:p w14:paraId="10A4EAB5">
            <w:pPr>
              <w:spacing w:before="156" w:beforeLines="50" w:after="156" w:afterLines="50" w:line="440" w:lineRule="exact"/>
              <w:jc w:val="center"/>
              <w:rPr>
                <w:color w:val="000000" w:themeColor="text1"/>
                <w14:textFill>
                  <w14:solidFill>
                    <w14:schemeClr w14:val="tx1"/>
                  </w14:solidFill>
                </w14:textFill>
              </w:rPr>
            </w:pPr>
          </w:p>
        </w:tc>
        <w:tc>
          <w:tcPr>
            <w:tcW w:w="2917" w:type="dxa"/>
            <w:vMerge w:val="continue"/>
          </w:tcPr>
          <w:p w14:paraId="21CCE903">
            <w:pPr>
              <w:spacing w:before="156" w:beforeLines="50" w:after="156" w:afterLines="50" w:line="440" w:lineRule="exact"/>
              <w:jc w:val="center"/>
              <w:rPr>
                <w:color w:val="000000" w:themeColor="text1"/>
                <w14:textFill>
                  <w14:solidFill>
                    <w14:schemeClr w14:val="tx1"/>
                  </w14:solidFill>
                </w14:textFill>
              </w:rPr>
            </w:pPr>
          </w:p>
        </w:tc>
        <w:tc>
          <w:tcPr>
            <w:tcW w:w="1433" w:type="dxa"/>
          </w:tcPr>
          <w:p w14:paraId="4D13E7F7">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单体1</w:t>
            </w:r>
          </w:p>
        </w:tc>
        <w:tc>
          <w:tcPr>
            <w:tcW w:w="1180" w:type="dxa"/>
          </w:tcPr>
          <w:p w14:paraId="0FB6BA56">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单体2</w:t>
            </w:r>
          </w:p>
        </w:tc>
        <w:tc>
          <w:tcPr>
            <w:tcW w:w="1190" w:type="dxa"/>
          </w:tcPr>
          <w:p w14:paraId="70173348">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单体3</w:t>
            </w:r>
          </w:p>
        </w:tc>
        <w:tc>
          <w:tcPr>
            <w:tcW w:w="1180" w:type="dxa"/>
          </w:tcPr>
          <w:p w14:paraId="45173A48">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单体4</w:t>
            </w:r>
          </w:p>
        </w:tc>
        <w:tc>
          <w:tcPr>
            <w:tcW w:w="800" w:type="dxa"/>
            <w:vMerge w:val="continue"/>
          </w:tcPr>
          <w:p w14:paraId="2723B001">
            <w:pPr>
              <w:spacing w:before="156" w:beforeLines="50" w:after="156" w:afterLines="50" w:line="440" w:lineRule="exact"/>
              <w:jc w:val="center"/>
              <w:rPr>
                <w:color w:val="000000" w:themeColor="text1"/>
                <w:sz w:val="24"/>
                <w14:textFill>
                  <w14:solidFill>
                    <w14:schemeClr w14:val="tx1"/>
                  </w14:solidFill>
                </w14:textFill>
              </w:rPr>
            </w:pPr>
          </w:p>
        </w:tc>
      </w:tr>
      <w:tr w14:paraId="68C38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tcPr>
          <w:p w14:paraId="3C7B9DD6">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2917" w:type="dxa"/>
          </w:tcPr>
          <w:p w14:paraId="6D62F15B">
            <w:pPr>
              <w:spacing w:before="156" w:beforeLines="50" w:after="156" w:afterLines="50" w:line="440" w:lineRule="exact"/>
              <w:jc w:val="center"/>
              <w:rPr>
                <w:i/>
                <w:iCs/>
                <w:color w:val="000000" w:themeColor="text1"/>
                <w:sz w:val="24"/>
                <w14:textFill>
                  <w14:solidFill>
                    <w14:schemeClr w14:val="tx1"/>
                  </w14:solidFill>
                </w14:textFill>
              </w:rPr>
            </w:pPr>
            <w:r>
              <w:rPr>
                <w:i/>
                <w:iCs/>
                <w:color w:val="000000" w:themeColor="text1"/>
                <w:sz w:val="24"/>
                <w14:textFill>
                  <w14:solidFill>
                    <w14:schemeClr w14:val="tx1"/>
                  </w14:solidFill>
                </w14:textFill>
              </w:rPr>
              <w:t>开工日期</w:t>
            </w:r>
          </w:p>
        </w:tc>
        <w:tc>
          <w:tcPr>
            <w:tcW w:w="1433" w:type="dxa"/>
          </w:tcPr>
          <w:p w14:paraId="07D22F5E">
            <w:pPr>
              <w:spacing w:before="156" w:beforeLines="50" w:after="156" w:afterLines="50" w:line="440" w:lineRule="exact"/>
              <w:jc w:val="center"/>
              <w:rPr>
                <w:color w:val="000000" w:themeColor="text1"/>
                <w:sz w:val="24"/>
                <w14:textFill>
                  <w14:solidFill>
                    <w14:schemeClr w14:val="tx1"/>
                  </w14:solidFill>
                </w14:textFill>
              </w:rPr>
            </w:pPr>
          </w:p>
        </w:tc>
        <w:tc>
          <w:tcPr>
            <w:tcW w:w="1180" w:type="dxa"/>
          </w:tcPr>
          <w:p w14:paraId="256FCDA4">
            <w:pPr>
              <w:spacing w:before="156" w:beforeLines="50" w:after="156" w:afterLines="50" w:line="440" w:lineRule="exact"/>
              <w:jc w:val="center"/>
              <w:rPr>
                <w:color w:val="000000" w:themeColor="text1"/>
                <w:sz w:val="24"/>
                <w14:textFill>
                  <w14:solidFill>
                    <w14:schemeClr w14:val="tx1"/>
                  </w14:solidFill>
                </w14:textFill>
              </w:rPr>
            </w:pPr>
          </w:p>
        </w:tc>
        <w:tc>
          <w:tcPr>
            <w:tcW w:w="1190" w:type="dxa"/>
          </w:tcPr>
          <w:p w14:paraId="4D30D1A9">
            <w:pPr>
              <w:spacing w:before="156" w:beforeLines="50" w:after="156" w:afterLines="50" w:line="440" w:lineRule="exact"/>
              <w:jc w:val="center"/>
              <w:rPr>
                <w:color w:val="000000" w:themeColor="text1"/>
                <w:sz w:val="24"/>
                <w14:textFill>
                  <w14:solidFill>
                    <w14:schemeClr w14:val="tx1"/>
                  </w14:solidFill>
                </w14:textFill>
              </w:rPr>
            </w:pPr>
          </w:p>
        </w:tc>
        <w:tc>
          <w:tcPr>
            <w:tcW w:w="1180" w:type="dxa"/>
          </w:tcPr>
          <w:p w14:paraId="64E82C5D">
            <w:pPr>
              <w:spacing w:before="156" w:beforeLines="50" w:after="156" w:afterLines="50" w:line="440" w:lineRule="exact"/>
              <w:jc w:val="center"/>
              <w:rPr>
                <w:color w:val="000000" w:themeColor="text1"/>
                <w:sz w:val="24"/>
                <w14:textFill>
                  <w14:solidFill>
                    <w14:schemeClr w14:val="tx1"/>
                  </w14:solidFill>
                </w14:textFill>
              </w:rPr>
            </w:pPr>
          </w:p>
        </w:tc>
        <w:tc>
          <w:tcPr>
            <w:tcW w:w="800" w:type="dxa"/>
          </w:tcPr>
          <w:p w14:paraId="39FAE22C">
            <w:pPr>
              <w:spacing w:before="156" w:beforeLines="50" w:after="156" w:afterLines="50" w:line="440" w:lineRule="exact"/>
              <w:jc w:val="center"/>
              <w:rPr>
                <w:color w:val="000000" w:themeColor="text1"/>
                <w:sz w:val="24"/>
                <w14:textFill>
                  <w14:solidFill>
                    <w14:schemeClr w14:val="tx1"/>
                  </w14:solidFill>
                </w14:textFill>
              </w:rPr>
            </w:pPr>
          </w:p>
        </w:tc>
      </w:tr>
      <w:tr w14:paraId="16EA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tcPr>
          <w:p w14:paraId="30CC6FD8">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2917" w:type="dxa"/>
          </w:tcPr>
          <w:p w14:paraId="2DEB74FB">
            <w:pPr>
              <w:spacing w:before="156" w:beforeLines="50" w:after="156" w:afterLines="50" w:line="440" w:lineRule="exact"/>
              <w:jc w:val="center"/>
              <w:rPr>
                <w:i/>
                <w:iCs/>
                <w:color w:val="000000" w:themeColor="text1"/>
                <w:sz w:val="24"/>
                <w14:textFill>
                  <w14:solidFill>
                    <w14:schemeClr w14:val="tx1"/>
                  </w14:solidFill>
                </w14:textFill>
              </w:rPr>
            </w:pPr>
            <w:r>
              <w:rPr>
                <w:i/>
                <w:iCs/>
                <w:color w:val="000000" w:themeColor="text1"/>
                <w:sz w:val="24"/>
                <w14:textFill>
                  <w14:solidFill>
                    <w14:schemeClr w14:val="tx1"/>
                  </w14:solidFill>
                </w14:textFill>
              </w:rPr>
              <w:t>正负零以下</w:t>
            </w:r>
          </w:p>
        </w:tc>
        <w:tc>
          <w:tcPr>
            <w:tcW w:w="1433" w:type="dxa"/>
          </w:tcPr>
          <w:p w14:paraId="3CF38DE9">
            <w:pPr>
              <w:spacing w:before="156" w:beforeLines="50" w:after="156" w:afterLines="50" w:line="440" w:lineRule="exact"/>
              <w:jc w:val="center"/>
              <w:rPr>
                <w:color w:val="000000" w:themeColor="text1"/>
                <w:sz w:val="24"/>
                <w14:textFill>
                  <w14:solidFill>
                    <w14:schemeClr w14:val="tx1"/>
                  </w14:solidFill>
                </w14:textFill>
              </w:rPr>
            </w:pPr>
          </w:p>
        </w:tc>
        <w:tc>
          <w:tcPr>
            <w:tcW w:w="1180" w:type="dxa"/>
          </w:tcPr>
          <w:p w14:paraId="6697FD7B">
            <w:pPr>
              <w:spacing w:before="156" w:beforeLines="50" w:after="156" w:afterLines="50" w:line="440" w:lineRule="exact"/>
              <w:jc w:val="center"/>
              <w:rPr>
                <w:color w:val="000000" w:themeColor="text1"/>
                <w:sz w:val="24"/>
                <w14:textFill>
                  <w14:solidFill>
                    <w14:schemeClr w14:val="tx1"/>
                  </w14:solidFill>
                </w14:textFill>
              </w:rPr>
            </w:pPr>
          </w:p>
        </w:tc>
        <w:tc>
          <w:tcPr>
            <w:tcW w:w="1190" w:type="dxa"/>
          </w:tcPr>
          <w:p w14:paraId="6FE44FB7">
            <w:pPr>
              <w:spacing w:before="156" w:beforeLines="50" w:after="156" w:afterLines="50" w:line="440" w:lineRule="exact"/>
              <w:jc w:val="center"/>
              <w:rPr>
                <w:color w:val="000000" w:themeColor="text1"/>
                <w:sz w:val="24"/>
                <w14:textFill>
                  <w14:solidFill>
                    <w14:schemeClr w14:val="tx1"/>
                  </w14:solidFill>
                </w14:textFill>
              </w:rPr>
            </w:pPr>
          </w:p>
        </w:tc>
        <w:tc>
          <w:tcPr>
            <w:tcW w:w="1180" w:type="dxa"/>
          </w:tcPr>
          <w:p w14:paraId="24D31F3C">
            <w:pPr>
              <w:spacing w:before="156" w:beforeLines="50" w:after="156" w:afterLines="50" w:line="440" w:lineRule="exact"/>
              <w:jc w:val="center"/>
              <w:rPr>
                <w:color w:val="000000" w:themeColor="text1"/>
                <w:sz w:val="24"/>
                <w14:textFill>
                  <w14:solidFill>
                    <w14:schemeClr w14:val="tx1"/>
                  </w14:solidFill>
                </w14:textFill>
              </w:rPr>
            </w:pPr>
          </w:p>
        </w:tc>
        <w:tc>
          <w:tcPr>
            <w:tcW w:w="800" w:type="dxa"/>
          </w:tcPr>
          <w:p w14:paraId="52620F19">
            <w:pPr>
              <w:spacing w:before="156" w:beforeLines="50" w:after="156" w:afterLines="50" w:line="440" w:lineRule="exact"/>
              <w:jc w:val="center"/>
              <w:rPr>
                <w:color w:val="000000" w:themeColor="text1"/>
                <w:sz w:val="24"/>
                <w14:textFill>
                  <w14:solidFill>
                    <w14:schemeClr w14:val="tx1"/>
                  </w14:solidFill>
                </w14:textFill>
              </w:rPr>
            </w:pPr>
          </w:p>
        </w:tc>
      </w:tr>
      <w:tr w14:paraId="7FDE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tcPr>
          <w:p w14:paraId="2AC71AB2">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2917" w:type="dxa"/>
          </w:tcPr>
          <w:p w14:paraId="3357D98F">
            <w:pPr>
              <w:spacing w:before="156" w:beforeLines="50" w:after="156" w:afterLines="50" w:line="440" w:lineRule="exact"/>
              <w:jc w:val="center"/>
              <w:rPr>
                <w:i/>
                <w:iCs/>
                <w:color w:val="000000" w:themeColor="text1"/>
                <w:sz w:val="24"/>
                <w14:textFill>
                  <w14:solidFill>
                    <w14:schemeClr w14:val="tx1"/>
                  </w14:solidFill>
                </w14:textFill>
              </w:rPr>
            </w:pPr>
            <w:r>
              <w:rPr>
                <w:i/>
                <w:iCs/>
                <w:color w:val="000000" w:themeColor="text1"/>
                <w:sz w:val="24"/>
                <w14:textFill>
                  <w14:solidFill>
                    <w14:schemeClr w14:val="tx1"/>
                  </w14:solidFill>
                </w14:textFill>
              </w:rPr>
              <w:t>主体结构</w:t>
            </w:r>
          </w:p>
        </w:tc>
        <w:tc>
          <w:tcPr>
            <w:tcW w:w="1433" w:type="dxa"/>
          </w:tcPr>
          <w:p w14:paraId="4C4213F2">
            <w:pPr>
              <w:spacing w:before="156" w:beforeLines="50" w:after="156" w:afterLines="50" w:line="440" w:lineRule="exact"/>
              <w:jc w:val="center"/>
              <w:rPr>
                <w:color w:val="000000" w:themeColor="text1"/>
                <w:sz w:val="24"/>
                <w14:textFill>
                  <w14:solidFill>
                    <w14:schemeClr w14:val="tx1"/>
                  </w14:solidFill>
                </w14:textFill>
              </w:rPr>
            </w:pPr>
          </w:p>
        </w:tc>
        <w:tc>
          <w:tcPr>
            <w:tcW w:w="1180" w:type="dxa"/>
          </w:tcPr>
          <w:p w14:paraId="1E041251">
            <w:pPr>
              <w:spacing w:before="156" w:beforeLines="50" w:after="156" w:afterLines="50" w:line="440" w:lineRule="exact"/>
              <w:jc w:val="center"/>
              <w:rPr>
                <w:color w:val="000000" w:themeColor="text1"/>
                <w:sz w:val="24"/>
                <w14:textFill>
                  <w14:solidFill>
                    <w14:schemeClr w14:val="tx1"/>
                  </w14:solidFill>
                </w14:textFill>
              </w:rPr>
            </w:pPr>
          </w:p>
        </w:tc>
        <w:tc>
          <w:tcPr>
            <w:tcW w:w="1190" w:type="dxa"/>
          </w:tcPr>
          <w:p w14:paraId="1D3F7A61">
            <w:pPr>
              <w:spacing w:before="156" w:beforeLines="50" w:after="156" w:afterLines="50" w:line="440" w:lineRule="exact"/>
              <w:jc w:val="center"/>
              <w:rPr>
                <w:color w:val="000000" w:themeColor="text1"/>
                <w:sz w:val="24"/>
                <w14:textFill>
                  <w14:solidFill>
                    <w14:schemeClr w14:val="tx1"/>
                  </w14:solidFill>
                </w14:textFill>
              </w:rPr>
            </w:pPr>
          </w:p>
        </w:tc>
        <w:tc>
          <w:tcPr>
            <w:tcW w:w="1180" w:type="dxa"/>
          </w:tcPr>
          <w:p w14:paraId="2746A39F">
            <w:pPr>
              <w:spacing w:before="156" w:beforeLines="50" w:after="156" w:afterLines="50" w:line="440" w:lineRule="exact"/>
              <w:jc w:val="center"/>
              <w:rPr>
                <w:color w:val="000000" w:themeColor="text1"/>
                <w:sz w:val="24"/>
                <w14:textFill>
                  <w14:solidFill>
                    <w14:schemeClr w14:val="tx1"/>
                  </w14:solidFill>
                </w14:textFill>
              </w:rPr>
            </w:pPr>
          </w:p>
        </w:tc>
        <w:tc>
          <w:tcPr>
            <w:tcW w:w="800" w:type="dxa"/>
          </w:tcPr>
          <w:p w14:paraId="5BFFD012">
            <w:pPr>
              <w:spacing w:before="156" w:beforeLines="50" w:after="156" w:afterLines="50" w:line="440" w:lineRule="exact"/>
              <w:jc w:val="center"/>
              <w:rPr>
                <w:color w:val="000000" w:themeColor="text1"/>
                <w:sz w:val="24"/>
                <w14:textFill>
                  <w14:solidFill>
                    <w14:schemeClr w14:val="tx1"/>
                  </w14:solidFill>
                </w14:textFill>
              </w:rPr>
            </w:pPr>
          </w:p>
        </w:tc>
      </w:tr>
      <w:tr w14:paraId="33BE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tcPr>
          <w:p w14:paraId="070D65C0">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4</w:t>
            </w:r>
          </w:p>
        </w:tc>
        <w:tc>
          <w:tcPr>
            <w:tcW w:w="2917" w:type="dxa"/>
          </w:tcPr>
          <w:p w14:paraId="28052B20">
            <w:pPr>
              <w:spacing w:before="156" w:beforeLines="50" w:after="156" w:afterLines="50" w:line="440" w:lineRule="exact"/>
              <w:jc w:val="center"/>
              <w:rPr>
                <w:i/>
                <w:iCs/>
                <w:color w:val="000000" w:themeColor="text1"/>
                <w:sz w:val="24"/>
                <w14:textFill>
                  <w14:solidFill>
                    <w14:schemeClr w14:val="tx1"/>
                  </w14:solidFill>
                </w14:textFill>
              </w:rPr>
            </w:pPr>
            <w:r>
              <w:rPr>
                <w:i/>
                <w:iCs/>
                <w:color w:val="000000" w:themeColor="text1"/>
                <w:sz w:val="24"/>
                <w14:textFill>
                  <w14:solidFill>
                    <w14:schemeClr w14:val="tx1"/>
                  </w14:solidFill>
                </w14:textFill>
              </w:rPr>
              <w:t>外围护</w:t>
            </w:r>
          </w:p>
        </w:tc>
        <w:tc>
          <w:tcPr>
            <w:tcW w:w="1433" w:type="dxa"/>
          </w:tcPr>
          <w:p w14:paraId="69544330">
            <w:pPr>
              <w:spacing w:before="156" w:beforeLines="50" w:after="156" w:afterLines="50" w:line="440" w:lineRule="exact"/>
              <w:jc w:val="center"/>
              <w:rPr>
                <w:color w:val="000000" w:themeColor="text1"/>
                <w:sz w:val="24"/>
                <w14:textFill>
                  <w14:solidFill>
                    <w14:schemeClr w14:val="tx1"/>
                  </w14:solidFill>
                </w14:textFill>
              </w:rPr>
            </w:pPr>
          </w:p>
        </w:tc>
        <w:tc>
          <w:tcPr>
            <w:tcW w:w="1180" w:type="dxa"/>
          </w:tcPr>
          <w:p w14:paraId="60A27D19">
            <w:pPr>
              <w:spacing w:before="156" w:beforeLines="50" w:after="156" w:afterLines="50" w:line="440" w:lineRule="exact"/>
              <w:jc w:val="center"/>
              <w:rPr>
                <w:color w:val="000000" w:themeColor="text1"/>
                <w:sz w:val="24"/>
                <w14:textFill>
                  <w14:solidFill>
                    <w14:schemeClr w14:val="tx1"/>
                  </w14:solidFill>
                </w14:textFill>
              </w:rPr>
            </w:pPr>
          </w:p>
        </w:tc>
        <w:tc>
          <w:tcPr>
            <w:tcW w:w="1190" w:type="dxa"/>
          </w:tcPr>
          <w:p w14:paraId="54A6212A">
            <w:pPr>
              <w:spacing w:before="156" w:beforeLines="50" w:after="156" w:afterLines="50" w:line="440" w:lineRule="exact"/>
              <w:jc w:val="center"/>
              <w:rPr>
                <w:color w:val="000000" w:themeColor="text1"/>
                <w:sz w:val="24"/>
                <w14:textFill>
                  <w14:solidFill>
                    <w14:schemeClr w14:val="tx1"/>
                  </w14:solidFill>
                </w14:textFill>
              </w:rPr>
            </w:pPr>
          </w:p>
        </w:tc>
        <w:tc>
          <w:tcPr>
            <w:tcW w:w="1180" w:type="dxa"/>
          </w:tcPr>
          <w:p w14:paraId="0453367B">
            <w:pPr>
              <w:spacing w:before="156" w:beforeLines="50" w:after="156" w:afterLines="50" w:line="440" w:lineRule="exact"/>
              <w:jc w:val="center"/>
              <w:rPr>
                <w:color w:val="000000" w:themeColor="text1"/>
                <w:sz w:val="24"/>
                <w14:textFill>
                  <w14:solidFill>
                    <w14:schemeClr w14:val="tx1"/>
                  </w14:solidFill>
                </w14:textFill>
              </w:rPr>
            </w:pPr>
          </w:p>
        </w:tc>
        <w:tc>
          <w:tcPr>
            <w:tcW w:w="800" w:type="dxa"/>
          </w:tcPr>
          <w:p w14:paraId="075DC795">
            <w:pPr>
              <w:spacing w:before="156" w:beforeLines="50" w:after="156" w:afterLines="50" w:line="440" w:lineRule="exact"/>
              <w:jc w:val="center"/>
              <w:rPr>
                <w:color w:val="000000" w:themeColor="text1"/>
                <w:sz w:val="24"/>
                <w14:textFill>
                  <w14:solidFill>
                    <w14:schemeClr w14:val="tx1"/>
                  </w14:solidFill>
                </w14:textFill>
              </w:rPr>
            </w:pPr>
          </w:p>
        </w:tc>
      </w:tr>
      <w:tr w14:paraId="5080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tcPr>
          <w:p w14:paraId="2620A53E">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2917" w:type="dxa"/>
          </w:tcPr>
          <w:p w14:paraId="4D700879">
            <w:pPr>
              <w:spacing w:before="156" w:beforeLines="50" w:after="156" w:afterLines="50" w:line="44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1433" w:type="dxa"/>
          </w:tcPr>
          <w:p w14:paraId="5E01F8B3">
            <w:pPr>
              <w:spacing w:before="156" w:beforeLines="50" w:after="156" w:afterLines="50" w:line="440" w:lineRule="exact"/>
              <w:jc w:val="center"/>
              <w:rPr>
                <w:color w:val="000000" w:themeColor="text1"/>
                <w:sz w:val="24"/>
                <w14:textFill>
                  <w14:solidFill>
                    <w14:schemeClr w14:val="tx1"/>
                  </w14:solidFill>
                </w14:textFill>
              </w:rPr>
            </w:pPr>
          </w:p>
        </w:tc>
        <w:tc>
          <w:tcPr>
            <w:tcW w:w="1180" w:type="dxa"/>
          </w:tcPr>
          <w:p w14:paraId="0CAED6B4">
            <w:pPr>
              <w:spacing w:before="156" w:beforeLines="50" w:after="156" w:afterLines="50" w:line="440" w:lineRule="exact"/>
              <w:jc w:val="center"/>
              <w:rPr>
                <w:color w:val="000000" w:themeColor="text1"/>
                <w:sz w:val="24"/>
                <w14:textFill>
                  <w14:solidFill>
                    <w14:schemeClr w14:val="tx1"/>
                  </w14:solidFill>
                </w14:textFill>
              </w:rPr>
            </w:pPr>
          </w:p>
        </w:tc>
        <w:tc>
          <w:tcPr>
            <w:tcW w:w="1190" w:type="dxa"/>
          </w:tcPr>
          <w:p w14:paraId="2A6F6B8B">
            <w:pPr>
              <w:spacing w:before="156" w:beforeLines="50" w:after="156" w:afterLines="50" w:line="440" w:lineRule="exact"/>
              <w:jc w:val="center"/>
              <w:rPr>
                <w:color w:val="000000" w:themeColor="text1"/>
                <w:sz w:val="24"/>
                <w14:textFill>
                  <w14:solidFill>
                    <w14:schemeClr w14:val="tx1"/>
                  </w14:solidFill>
                </w14:textFill>
              </w:rPr>
            </w:pPr>
          </w:p>
        </w:tc>
        <w:tc>
          <w:tcPr>
            <w:tcW w:w="1180" w:type="dxa"/>
          </w:tcPr>
          <w:p w14:paraId="0F7D7729">
            <w:pPr>
              <w:spacing w:before="156" w:beforeLines="50" w:after="156" w:afterLines="50" w:line="440" w:lineRule="exact"/>
              <w:jc w:val="center"/>
              <w:rPr>
                <w:color w:val="000000" w:themeColor="text1"/>
                <w:sz w:val="24"/>
                <w14:textFill>
                  <w14:solidFill>
                    <w14:schemeClr w14:val="tx1"/>
                  </w14:solidFill>
                </w14:textFill>
              </w:rPr>
            </w:pPr>
          </w:p>
        </w:tc>
        <w:tc>
          <w:tcPr>
            <w:tcW w:w="800" w:type="dxa"/>
          </w:tcPr>
          <w:p w14:paraId="5B511431">
            <w:pPr>
              <w:spacing w:before="156" w:beforeLines="50" w:after="156" w:afterLines="50" w:line="440" w:lineRule="exact"/>
              <w:jc w:val="center"/>
              <w:rPr>
                <w:color w:val="000000" w:themeColor="text1"/>
                <w:sz w:val="24"/>
                <w14:textFill>
                  <w14:solidFill>
                    <w14:schemeClr w14:val="tx1"/>
                  </w14:solidFill>
                </w14:textFill>
              </w:rPr>
            </w:pPr>
          </w:p>
        </w:tc>
      </w:tr>
      <w:tr w14:paraId="3E62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 w:type="dxa"/>
          </w:tcPr>
          <w:p w14:paraId="6FB17242">
            <w:pPr>
              <w:spacing w:before="156" w:beforeLines="50" w:after="156" w:afterLines="50" w:line="440" w:lineRule="exact"/>
              <w:jc w:val="center"/>
              <w:rPr>
                <w:color w:val="000000" w:themeColor="text1"/>
                <w:sz w:val="24"/>
                <w14:textFill>
                  <w14:solidFill>
                    <w14:schemeClr w14:val="tx1"/>
                  </w14:solidFill>
                </w14:textFill>
              </w:rPr>
            </w:pPr>
          </w:p>
        </w:tc>
        <w:tc>
          <w:tcPr>
            <w:tcW w:w="2917" w:type="dxa"/>
          </w:tcPr>
          <w:p w14:paraId="057946B1">
            <w:pPr>
              <w:spacing w:before="156" w:beforeLines="50" w:after="156" w:afterLines="50" w:line="440" w:lineRule="exact"/>
              <w:jc w:val="center"/>
              <w:rPr>
                <w:color w:val="000000" w:themeColor="text1"/>
                <w:sz w:val="24"/>
                <w14:textFill>
                  <w14:solidFill>
                    <w14:schemeClr w14:val="tx1"/>
                  </w14:solidFill>
                </w14:textFill>
              </w:rPr>
            </w:pPr>
          </w:p>
        </w:tc>
        <w:tc>
          <w:tcPr>
            <w:tcW w:w="1433" w:type="dxa"/>
          </w:tcPr>
          <w:p w14:paraId="18999965">
            <w:pPr>
              <w:spacing w:before="156" w:beforeLines="50" w:after="156" w:afterLines="50" w:line="440" w:lineRule="exact"/>
              <w:jc w:val="center"/>
              <w:rPr>
                <w:color w:val="000000" w:themeColor="text1"/>
                <w:sz w:val="24"/>
                <w14:textFill>
                  <w14:solidFill>
                    <w14:schemeClr w14:val="tx1"/>
                  </w14:solidFill>
                </w14:textFill>
              </w:rPr>
            </w:pPr>
          </w:p>
        </w:tc>
        <w:tc>
          <w:tcPr>
            <w:tcW w:w="1180" w:type="dxa"/>
          </w:tcPr>
          <w:p w14:paraId="579E67CB">
            <w:pPr>
              <w:spacing w:before="156" w:beforeLines="50" w:after="156" w:afterLines="50" w:line="440" w:lineRule="exact"/>
              <w:jc w:val="center"/>
              <w:rPr>
                <w:color w:val="000000" w:themeColor="text1"/>
                <w:sz w:val="24"/>
                <w14:textFill>
                  <w14:solidFill>
                    <w14:schemeClr w14:val="tx1"/>
                  </w14:solidFill>
                </w14:textFill>
              </w:rPr>
            </w:pPr>
          </w:p>
        </w:tc>
        <w:tc>
          <w:tcPr>
            <w:tcW w:w="1190" w:type="dxa"/>
          </w:tcPr>
          <w:p w14:paraId="7300C81C">
            <w:pPr>
              <w:spacing w:before="156" w:beforeLines="50" w:after="156" w:afterLines="50" w:line="440" w:lineRule="exact"/>
              <w:jc w:val="center"/>
              <w:rPr>
                <w:color w:val="000000" w:themeColor="text1"/>
                <w:sz w:val="24"/>
                <w14:textFill>
                  <w14:solidFill>
                    <w14:schemeClr w14:val="tx1"/>
                  </w14:solidFill>
                </w14:textFill>
              </w:rPr>
            </w:pPr>
          </w:p>
        </w:tc>
        <w:tc>
          <w:tcPr>
            <w:tcW w:w="1180" w:type="dxa"/>
          </w:tcPr>
          <w:p w14:paraId="0009D38F">
            <w:pPr>
              <w:spacing w:before="156" w:beforeLines="50" w:after="156" w:afterLines="50" w:line="440" w:lineRule="exact"/>
              <w:jc w:val="center"/>
              <w:rPr>
                <w:color w:val="000000" w:themeColor="text1"/>
                <w:sz w:val="24"/>
                <w14:textFill>
                  <w14:solidFill>
                    <w14:schemeClr w14:val="tx1"/>
                  </w14:solidFill>
                </w14:textFill>
              </w:rPr>
            </w:pPr>
          </w:p>
        </w:tc>
        <w:tc>
          <w:tcPr>
            <w:tcW w:w="800" w:type="dxa"/>
          </w:tcPr>
          <w:p w14:paraId="1405D252">
            <w:pPr>
              <w:spacing w:before="156" w:beforeLines="50" w:after="156" w:afterLines="50" w:line="440" w:lineRule="exact"/>
              <w:jc w:val="center"/>
              <w:rPr>
                <w:color w:val="000000" w:themeColor="text1"/>
                <w:sz w:val="24"/>
                <w14:textFill>
                  <w14:solidFill>
                    <w14:schemeClr w14:val="tx1"/>
                  </w14:solidFill>
                </w14:textFill>
              </w:rPr>
            </w:pPr>
          </w:p>
        </w:tc>
      </w:tr>
    </w:tbl>
    <w:p w14:paraId="59F90AAE">
      <w:pPr>
        <w:spacing w:before="156" w:beforeLines="50" w:after="156" w:afterLines="50" w:line="440" w:lineRule="exact"/>
        <w:jc w:val="center"/>
        <w:rPr>
          <w:rFonts w:eastAsia="黑体"/>
          <w:color w:val="000000" w:themeColor="text1"/>
          <w:sz w:val="30"/>
          <w:szCs w:val="30"/>
          <w14:textFill>
            <w14:solidFill>
              <w14:schemeClr w14:val="tx1"/>
            </w14:solidFill>
          </w14:textFill>
        </w:rPr>
      </w:pPr>
    </w:p>
    <w:p w14:paraId="421B88E8">
      <w:pPr>
        <w:spacing w:before="156" w:beforeLines="50" w:after="156" w:afterLines="50" w:line="440" w:lineRule="exact"/>
        <w:jc w:val="center"/>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br w:type="page"/>
      </w:r>
    </w:p>
    <w:p w14:paraId="35600200">
      <w:pPr>
        <w:spacing w:before="156" w:beforeLines="50" w:after="156" w:afterLines="50" w:line="440" w:lineRule="exact"/>
        <w:jc w:val="left"/>
        <w:outlineLvl w:val="3"/>
        <w:rPr>
          <w:color w:val="000000" w:themeColor="text1"/>
          <w:sz w:val="30"/>
          <w14:textFill>
            <w14:solidFill>
              <w14:schemeClr w14:val="tx1"/>
            </w14:solidFill>
          </w14:textFill>
        </w:rPr>
      </w:pPr>
      <w:r>
        <w:rPr>
          <w:color w:val="000000" w:themeColor="text1"/>
          <w:sz w:val="30"/>
          <w14:textFill>
            <w14:solidFill>
              <w14:schemeClr w14:val="tx1"/>
            </w14:solidFill>
          </w14:textFill>
        </w:rPr>
        <w:t>附件4</w:t>
      </w:r>
      <w:r>
        <w:rPr>
          <w:rFonts w:eastAsia="仿宋_GB2312"/>
          <w:color w:val="000000" w:themeColor="text1"/>
          <w:sz w:val="30"/>
          <w:szCs w:val="30"/>
          <w14:textFill>
            <w14:solidFill>
              <w14:schemeClr w14:val="tx1"/>
            </w14:solidFill>
          </w14:textFill>
        </w:rPr>
        <w:t>：</w:t>
      </w:r>
    </w:p>
    <w:p w14:paraId="3F398C0C">
      <w:pPr>
        <w:spacing w:before="156" w:beforeLines="50" w:after="156" w:afterLines="50" w:line="440" w:lineRule="exact"/>
        <w:jc w:val="center"/>
        <w:rPr>
          <w:rFonts w:eastAsia="黑体"/>
          <w:color w:val="000000" w:themeColor="text1"/>
          <w:sz w:val="30"/>
          <w14:textFill>
            <w14:solidFill>
              <w14:schemeClr w14:val="tx1"/>
            </w14:solidFill>
          </w14:textFill>
        </w:rPr>
      </w:pPr>
      <w:bookmarkStart w:id="696" w:name="_Hlk157175826"/>
      <w:r>
        <w:rPr>
          <w:rFonts w:eastAsia="黑体"/>
          <w:color w:val="000000" w:themeColor="text1"/>
          <w:sz w:val="30"/>
          <w14:textFill>
            <w14:solidFill>
              <w14:schemeClr w14:val="tx1"/>
            </w14:solidFill>
          </w14:textFill>
        </w:rPr>
        <w:t>主要材料及设备品牌表</w:t>
      </w:r>
    </w:p>
    <w:bookmarkEnd w:id="696"/>
    <w:p w14:paraId="1DBE7E3B">
      <w:pPr>
        <w:spacing w:before="156" w:beforeLines="50" w:after="156" w:afterLines="50" w:line="440" w:lineRule="exact"/>
        <w:jc w:val="center"/>
        <w:rPr>
          <w:rFonts w:hint="eastAsia" w:eastAsia="黑体"/>
          <w:color w:val="000000" w:themeColor="text1"/>
          <w:sz w:val="30"/>
          <w:lang w:eastAsia="zh-CN"/>
          <w14:textFill>
            <w14:solidFill>
              <w14:schemeClr w14:val="tx1"/>
            </w14:solidFill>
          </w14:textFill>
        </w:rPr>
      </w:pPr>
      <w:bookmarkStart w:id="697" w:name="_Hlk212730385"/>
      <w:bookmarkStart w:id="698" w:name="_Hlk157175835"/>
      <w:bookmarkStart w:id="699" w:name="_Hlk212730366"/>
      <w:r>
        <w:rPr>
          <w:rFonts w:eastAsia="黑体"/>
          <w:color w:val="000000" w:themeColor="text1"/>
          <w:sz w:val="30"/>
          <w14:textFill>
            <w14:solidFill>
              <w14:schemeClr w14:val="tx1"/>
            </w14:solidFill>
          </w14:textFill>
        </w:rPr>
        <w:t>甲限乙购材料品牌表</w:t>
      </w:r>
    </w:p>
    <w:bookmarkEnd w:id="697"/>
    <w:tbl>
      <w:tblPr>
        <w:tblStyle w:val="25"/>
        <w:tblW w:w="5000" w:type="pct"/>
        <w:tblInd w:w="0" w:type="dxa"/>
        <w:tblLayout w:type="autofit"/>
        <w:tblCellMar>
          <w:top w:w="0" w:type="dxa"/>
          <w:left w:w="0" w:type="dxa"/>
          <w:bottom w:w="0" w:type="dxa"/>
          <w:right w:w="0" w:type="dxa"/>
        </w:tblCellMar>
      </w:tblPr>
      <w:tblGrid>
        <w:gridCol w:w="789"/>
        <w:gridCol w:w="2768"/>
        <w:gridCol w:w="4977"/>
      </w:tblGrid>
      <w:tr w14:paraId="57D288C7">
        <w:tblPrEx>
          <w:tblCellMar>
            <w:top w:w="0" w:type="dxa"/>
            <w:left w:w="0" w:type="dxa"/>
            <w:bottom w:w="0" w:type="dxa"/>
            <w:right w:w="0" w:type="dxa"/>
          </w:tblCellMar>
        </w:tblPrEx>
        <w:trPr>
          <w:trHeight w:val="600" w:hRule="atLeast"/>
        </w:trPr>
        <w:tc>
          <w:tcPr>
            <w:tcW w:w="46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FD570E">
            <w:pPr>
              <w:jc w:val="center"/>
              <w:textAlignment w:val="center"/>
              <w:rPr>
                <w:rFonts w:eastAsia="仿宋"/>
                <w:b/>
                <w:color w:val="000000" w:themeColor="text1"/>
                <w:sz w:val="28"/>
                <w:szCs w:val="28"/>
                <w14:textFill>
                  <w14:solidFill>
                    <w14:schemeClr w14:val="tx1"/>
                  </w14:solidFill>
                </w14:textFill>
              </w:rPr>
            </w:pPr>
            <w:r>
              <w:rPr>
                <w:rFonts w:eastAsia="仿宋"/>
                <w:b/>
                <w:color w:val="000000" w:themeColor="text1"/>
                <w:sz w:val="28"/>
                <w:szCs w:val="28"/>
                <w:lang w:bidi="ar"/>
                <w14:textFill>
                  <w14:solidFill>
                    <w14:schemeClr w14:val="tx1"/>
                  </w14:solidFill>
                </w14:textFill>
              </w:rPr>
              <w:t>序号</w:t>
            </w:r>
          </w:p>
        </w:tc>
        <w:tc>
          <w:tcPr>
            <w:tcW w:w="162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0181B7">
            <w:pPr>
              <w:jc w:val="center"/>
              <w:textAlignment w:val="center"/>
              <w:rPr>
                <w:rFonts w:eastAsia="仿宋"/>
                <w:b/>
                <w:color w:val="000000" w:themeColor="text1"/>
                <w:sz w:val="28"/>
                <w:szCs w:val="28"/>
                <w14:textFill>
                  <w14:solidFill>
                    <w14:schemeClr w14:val="tx1"/>
                  </w14:solidFill>
                </w14:textFill>
              </w:rPr>
            </w:pPr>
            <w:r>
              <w:rPr>
                <w:rFonts w:eastAsia="仿宋"/>
                <w:b/>
                <w:color w:val="000000" w:themeColor="text1"/>
                <w:sz w:val="28"/>
                <w:szCs w:val="28"/>
                <w:lang w:bidi="ar"/>
                <w14:textFill>
                  <w14:solidFill>
                    <w14:schemeClr w14:val="tx1"/>
                  </w14:solidFill>
                </w14:textFill>
              </w:rPr>
              <w:t>主材及设备名称</w:t>
            </w:r>
          </w:p>
        </w:tc>
        <w:tc>
          <w:tcPr>
            <w:tcW w:w="291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DA03D9">
            <w:pPr>
              <w:jc w:val="center"/>
              <w:textAlignment w:val="center"/>
              <w:rPr>
                <w:rFonts w:eastAsia="仿宋"/>
                <w:b/>
                <w:color w:val="000000" w:themeColor="text1"/>
                <w:sz w:val="28"/>
                <w:szCs w:val="28"/>
                <w14:textFill>
                  <w14:solidFill>
                    <w14:schemeClr w14:val="tx1"/>
                  </w14:solidFill>
                </w14:textFill>
              </w:rPr>
            </w:pPr>
            <w:r>
              <w:rPr>
                <w:rFonts w:eastAsia="仿宋"/>
                <w:b/>
                <w:color w:val="000000" w:themeColor="text1"/>
                <w:sz w:val="28"/>
                <w:szCs w:val="28"/>
                <w:lang w:bidi="ar"/>
                <w14:textFill>
                  <w14:solidFill>
                    <w14:schemeClr w14:val="tx1"/>
                  </w14:solidFill>
                </w14:textFill>
              </w:rPr>
              <w:t>甲限品牌范围</w:t>
            </w:r>
          </w:p>
        </w:tc>
      </w:tr>
      <w:tr w14:paraId="46351B37">
        <w:tblPrEx>
          <w:tblCellMar>
            <w:top w:w="0" w:type="dxa"/>
            <w:left w:w="0" w:type="dxa"/>
            <w:bottom w:w="0" w:type="dxa"/>
            <w:right w:w="0" w:type="dxa"/>
          </w:tblCellMar>
        </w:tblPrEx>
        <w:trPr>
          <w:trHeight w:val="600" w:hRule="atLeast"/>
        </w:trPr>
        <w:tc>
          <w:tcPr>
            <w:tcW w:w="46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D6182E">
            <w:pPr>
              <w:jc w:val="center"/>
              <w:textAlignment w:val="center"/>
              <w:rPr>
                <w:rFonts w:hint="eastAsia" w:eastAsia="仿宋"/>
                <w:b/>
                <w:color w:val="000000" w:themeColor="text1"/>
                <w:sz w:val="28"/>
                <w:szCs w:val="28"/>
                <w:lang w:val="en-US" w:eastAsia="zh-CN" w:bidi="ar"/>
                <w14:textFill>
                  <w14:solidFill>
                    <w14:schemeClr w14:val="tx1"/>
                  </w14:solidFill>
                </w14:textFill>
              </w:rPr>
            </w:pPr>
          </w:p>
        </w:tc>
        <w:tc>
          <w:tcPr>
            <w:tcW w:w="1622"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6A670B">
            <w:pPr>
              <w:jc w:val="center"/>
              <w:textAlignment w:val="center"/>
              <w:rPr>
                <w:rFonts w:hint="default" w:eastAsia="仿宋"/>
                <w:color w:val="000000" w:themeColor="text1"/>
                <w:sz w:val="28"/>
                <w:szCs w:val="28"/>
                <w:lang w:val="en-US" w:eastAsia="zh-CN"/>
                <w14:textFill>
                  <w14:solidFill>
                    <w14:schemeClr w14:val="tx1"/>
                  </w14:solidFill>
                </w14:textFill>
              </w:rPr>
            </w:pPr>
          </w:p>
        </w:tc>
        <w:tc>
          <w:tcPr>
            <w:tcW w:w="2916"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4EFFCBAA">
            <w:pPr>
              <w:jc w:val="center"/>
              <w:textAlignment w:val="center"/>
              <w:rPr>
                <w:rFonts w:eastAsia="仿宋"/>
                <w:color w:val="000000" w:themeColor="text1"/>
                <w:sz w:val="28"/>
                <w:szCs w:val="28"/>
                <w14:textFill>
                  <w14:solidFill>
                    <w14:schemeClr w14:val="tx1"/>
                  </w14:solidFill>
                </w14:textFill>
              </w:rPr>
            </w:pPr>
          </w:p>
        </w:tc>
      </w:tr>
      <w:tr w14:paraId="3E04CC0B">
        <w:tblPrEx>
          <w:tblCellMar>
            <w:top w:w="0" w:type="dxa"/>
            <w:left w:w="0" w:type="dxa"/>
            <w:bottom w:w="0" w:type="dxa"/>
            <w:right w:w="0" w:type="dxa"/>
          </w:tblCellMar>
        </w:tblPrEx>
        <w:trPr>
          <w:trHeight w:val="600" w:hRule="atLeast"/>
        </w:trPr>
        <w:tc>
          <w:tcPr>
            <w:tcW w:w="46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61DA61">
            <w:pPr>
              <w:jc w:val="center"/>
              <w:textAlignment w:val="center"/>
              <w:rPr>
                <w:b/>
                <w:color w:val="000000" w:themeColor="text1"/>
                <w:sz w:val="28"/>
                <w14:textFill>
                  <w14:solidFill>
                    <w14:schemeClr w14:val="tx1"/>
                  </w14:solidFill>
                </w14:textFill>
              </w:rPr>
            </w:pPr>
          </w:p>
        </w:tc>
        <w:tc>
          <w:tcPr>
            <w:tcW w:w="1622"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B03AD6F">
            <w:pPr>
              <w:jc w:val="center"/>
              <w:textAlignment w:val="center"/>
              <w:rPr>
                <w:color w:val="000000" w:themeColor="text1"/>
                <w:sz w:val="28"/>
                <w14:textFill>
                  <w14:solidFill>
                    <w14:schemeClr w14:val="tx1"/>
                  </w14:solidFill>
                </w14:textFill>
              </w:rPr>
            </w:pPr>
          </w:p>
        </w:tc>
        <w:tc>
          <w:tcPr>
            <w:tcW w:w="2916"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272127E9">
            <w:pPr>
              <w:jc w:val="center"/>
              <w:textAlignment w:val="center"/>
              <w:rPr>
                <w:color w:val="000000" w:themeColor="text1"/>
                <w:sz w:val="28"/>
                <w14:textFill>
                  <w14:solidFill>
                    <w14:schemeClr w14:val="tx1"/>
                  </w14:solidFill>
                </w14:textFill>
              </w:rPr>
            </w:pPr>
          </w:p>
        </w:tc>
      </w:tr>
      <w:tr w14:paraId="4D08C966">
        <w:tblPrEx>
          <w:tblCellMar>
            <w:top w:w="0" w:type="dxa"/>
            <w:left w:w="0" w:type="dxa"/>
            <w:bottom w:w="0" w:type="dxa"/>
            <w:right w:w="0" w:type="dxa"/>
          </w:tblCellMar>
        </w:tblPrEx>
        <w:trPr>
          <w:trHeight w:val="600" w:hRule="atLeast"/>
        </w:trPr>
        <w:tc>
          <w:tcPr>
            <w:tcW w:w="46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1496E3">
            <w:pPr>
              <w:jc w:val="center"/>
              <w:textAlignment w:val="center"/>
              <w:rPr>
                <w:b/>
                <w:color w:val="000000" w:themeColor="text1"/>
                <w:sz w:val="28"/>
                <w14:textFill>
                  <w14:solidFill>
                    <w14:schemeClr w14:val="tx1"/>
                  </w14:solidFill>
                </w14:textFill>
              </w:rPr>
            </w:pPr>
          </w:p>
        </w:tc>
        <w:tc>
          <w:tcPr>
            <w:tcW w:w="162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ED7AF4">
            <w:pPr>
              <w:jc w:val="center"/>
              <w:textAlignment w:val="center"/>
              <w:rPr>
                <w:color w:val="000000" w:themeColor="text1"/>
                <w:sz w:val="28"/>
                <w14:textFill>
                  <w14:solidFill>
                    <w14:schemeClr w14:val="tx1"/>
                  </w14:solidFill>
                </w14:textFill>
              </w:rPr>
            </w:pPr>
          </w:p>
        </w:tc>
        <w:tc>
          <w:tcPr>
            <w:tcW w:w="2916" w:type="pct"/>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292991E">
            <w:pPr>
              <w:jc w:val="center"/>
              <w:textAlignment w:val="center"/>
              <w:rPr>
                <w:color w:val="000000" w:themeColor="text1"/>
                <w:sz w:val="28"/>
                <w14:textFill>
                  <w14:solidFill>
                    <w14:schemeClr w14:val="tx1"/>
                  </w14:solidFill>
                </w14:textFill>
              </w:rPr>
            </w:pPr>
          </w:p>
        </w:tc>
      </w:tr>
      <w:tr w14:paraId="1A1E6779">
        <w:tblPrEx>
          <w:tblCellMar>
            <w:top w:w="0" w:type="dxa"/>
            <w:left w:w="0" w:type="dxa"/>
            <w:bottom w:w="0" w:type="dxa"/>
            <w:right w:w="0" w:type="dxa"/>
          </w:tblCellMar>
        </w:tblPrEx>
        <w:trPr>
          <w:trHeight w:val="600" w:hRule="atLeast"/>
        </w:trPr>
        <w:tc>
          <w:tcPr>
            <w:tcW w:w="46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231C0E">
            <w:pPr>
              <w:jc w:val="center"/>
              <w:textAlignment w:val="center"/>
              <w:rPr>
                <w:b/>
                <w:color w:val="000000" w:themeColor="text1"/>
                <w:sz w:val="28"/>
                <w14:textFill>
                  <w14:solidFill>
                    <w14:schemeClr w14:val="tx1"/>
                  </w14:solidFill>
                </w14:textFill>
              </w:rPr>
            </w:pPr>
          </w:p>
        </w:tc>
        <w:tc>
          <w:tcPr>
            <w:tcW w:w="162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F8394E">
            <w:pPr>
              <w:jc w:val="center"/>
              <w:textAlignment w:val="center"/>
              <w:rPr>
                <w:color w:val="000000" w:themeColor="text1"/>
                <w:sz w:val="28"/>
                <w14:textFill>
                  <w14:solidFill>
                    <w14:schemeClr w14:val="tx1"/>
                  </w14:solidFill>
                </w14:textFill>
              </w:rPr>
            </w:pPr>
          </w:p>
        </w:tc>
        <w:tc>
          <w:tcPr>
            <w:tcW w:w="2916" w:type="pct"/>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3BB0E3F">
            <w:pPr>
              <w:jc w:val="center"/>
              <w:textAlignment w:val="center"/>
              <w:rPr>
                <w:color w:val="000000" w:themeColor="text1"/>
                <w:sz w:val="28"/>
                <w14:textFill>
                  <w14:solidFill>
                    <w14:schemeClr w14:val="tx1"/>
                  </w14:solidFill>
                </w14:textFill>
              </w:rPr>
            </w:pPr>
          </w:p>
        </w:tc>
      </w:tr>
      <w:tr w14:paraId="64D7D3C2">
        <w:tblPrEx>
          <w:tblCellMar>
            <w:top w:w="0" w:type="dxa"/>
            <w:left w:w="0" w:type="dxa"/>
            <w:bottom w:w="0" w:type="dxa"/>
            <w:right w:w="0" w:type="dxa"/>
          </w:tblCellMar>
        </w:tblPrEx>
        <w:trPr>
          <w:trHeight w:val="600" w:hRule="atLeast"/>
        </w:trPr>
        <w:tc>
          <w:tcPr>
            <w:tcW w:w="46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74459B">
            <w:pPr>
              <w:jc w:val="center"/>
              <w:textAlignment w:val="center"/>
              <w:rPr>
                <w:b/>
                <w:color w:val="000000" w:themeColor="text1"/>
                <w:sz w:val="28"/>
                <w14:textFill>
                  <w14:solidFill>
                    <w14:schemeClr w14:val="tx1"/>
                  </w14:solidFill>
                </w14:textFill>
              </w:rPr>
            </w:pPr>
          </w:p>
        </w:tc>
        <w:tc>
          <w:tcPr>
            <w:tcW w:w="1622"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9F0B12">
            <w:pPr>
              <w:jc w:val="center"/>
              <w:textAlignment w:val="center"/>
              <w:rPr>
                <w:color w:val="000000" w:themeColor="text1"/>
                <w:sz w:val="28"/>
                <w14:textFill>
                  <w14:solidFill>
                    <w14:schemeClr w14:val="tx1"/>
                  </w14:solidFill>
                </w14:textFill>
              </w:rPr>
            </w:pPr>
          </w:p>
        </w:tc>
        <w:tc>
          <w:tcPr>
            <w:tcW w:w="2916" w:type="pct"/>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2E78A17C">
            <w:pPr>
              <w:jc w:val="center"/>
              <w:textAlignment w:val="center"/>
              <w:rPr>
                <w:color w:val="000000" w:themeColor="text1"/>
                <w:sz w:val="28"/>
                <w14:textFill>
                  <w14:solidFill>
                    <w14:schemeClr w14:val="tx1"/>
                  </w14:solidFill>
                </w14:textFill>
              </w:rPr>
            </w:pPr>
          </w:p>
        </w:tc>
      </w:tr>
      <w:tr w14:paraId="34155335">
        <w:tblPrEx>
          <w:tblCellMar>
            <w:top w:w="0" w:type="dxa"/>
            <w:left w:w="0" w:type="dxa"/>
            <w:bottom w:w="0" w:type="dxa"/>
            <w:right w:w="0" w:type="dxa"/>
          </w:tblCellMar>
        </w:tblPrEx>
        <w:trPr>
          <w:trHeight w:val="600" w:hRule="atLeast"/>
        </w:trPr>
        <w:tc>
          <w:tcPr>
            <w:tcW w:w="46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E39EC8">
            <w:pPr>
              <w:jc w:val="center"/>
              <w:textAlignment w:val="center"/>
              <w:rPr>
                <w:b/>
                <w:color w:val="000000" w:themeColor="text1"/>
                <w:sz w:val="28"/>
                <w14:textFill>
                  <w14:solidFill>
                    <w14:schemeClr w14:val="tx1"/>
                  </w14:solidFill>
                </w14:textFill>
              </w:rPr>
            </w:pPr>
          </w:p>
        </w:tc>
        <w:tc>
          <w:tcPr>
            <w:tcW w:w="162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4F2850">
            <w:pPr>
              <w:jc w:val="center"/>
              <w:textAlignment w:val="center"/>
              <w:rPr>
                <w:color w:val="000000" w:themeColor="text1"/>
                <w:sz w:val="28"/>
                <w14:textFill>
                  <w14:solidFill>
                    <w14:schemeClr w14:val="tx1"/>
                  </w14:solidFill>
                </w14:textFill>
              </w:rPr>
            </w:pPr>
          </w:p>
        </w:tc>
        <w:tc>
          <w:tcPr>
            <w:tcW w:w="291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CA4DBE">
            <w:pPr>
              <w:jc w:val="center"/>
              <w:textAlignment w:val="center"/>
              <w:rPr>
                <w:color w:val="000000" w:themeColor="text1"/>
                <w:sz w:val="28"/>
                <w14:textFill>
                  <w14:solidFill>
                    <w14:schemeClr w14:val="tx1"/>
                  </w14:solidFill>
                </w14:textFill>
              </w:rPr>
            </w:pPr>
          </w:p>
        </w:tc>
      </w:tr>
    </w:tbl>
    <w:p w14:paraId="3125E249">
      <w:pPr>
        <w:jc w:val="center"/>
        <w:rPr>
          <w:rFonts w:eastAsia="仿宋"/>
          <w:color w:val="000000" w:themeColor="text1"/>
          <w:sz w:val="32"/>
          <w:szCs w:val="32"/>
          <w14:textFill>
            <w14:solidFill>
              <w14:schemeClr w14:val="tx1"/>
            </w14:solidFill>
          </w14:textFill>
        </w:rPr>
      </w:pPr>
    </w:p>
    <w:p w14:paraId="1566CFAE">
      <w:pPr>
        <w:spacing w:before="156" w:beforeLines="50" w:after="156" w:afterLines="50" w:line="440" w:lineRule="exact"/>
        <w:jc w:val="center"/>
        <w:rPr>
          <w:rFonts w:eastAsia="黑体"/>
          <w:color w:val="000000" w:themeColor="text1"/>
          <w:sz w:val="30"/>
          <w:szCs w:val="30"/>
          <w14:textFill>
            <w14:solidFill>
              <w14:schemeClr w14:val="tx1"/>
            </w14:solidFill>
          </w14:textFill>
        </w:rPr>
      </w:pPr>
      <w:bookmarkStart w:id="700" w:name="_Hlk212730392"/>
      <w:r>
        <w:rPr>
          <w:rFonts w:eastAsia="黑体"/>
          <w:color w:val="000000" w:themeColor="text1"/>
          <w:sz w:val="30"/>
          <w:szCs w:val="30"/>
          <w14:textFill>
            <w14:solidFill>
              <w14:schemeClr w14:val="tx1"/>
            </w14:solidFill>
          </w14:textFill>
        </w:rPr>
        <w:t>非甲限、乙购主要材料（设备）品牌表</w:t>
      </w:r>
    </w:p>
    <w:tbl>
      <w:tblPr>
        <w:tblStyle w:val="26"/>
        <w:tblW w:w="8655" w:type="dxa"/>
        <w:tblInd w:w="4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3210"/>
        <w:gridCol w:w="1166"/>
        <w:gridCol w:w="2176"/>
        <w:gridCol w:w="1289"/>
      </w:tblGrid>
      <w:tr w14:paraId="1DD6E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4" w:type="dxa"/>
            <w:vAlign w:val="center"/>
          </w:tcPr>
          <w:p w14:paraId="243A12CA">
            <w:pPr>
              <w:jc w:val="center"/>
              <w:textAlignment w:val="center"/>
              <w:rPr>
                <w:rFonts w:eastAsia="仿宋"/>
                <w:b/>
                <w:sz w:val="28"/>
                <w:szCs w:val="28"/>
              </w:rPr>
            </w:pPr>
            <w:r>
              <w:rPr>
                <w:rFonts w:eastAsia="仿宋"/>
                <w:b/>
                <w:sz w:val="28"/>
                <w:szCs w:val="28"/>
              </w:rPr>
              <w:t>序号</w:t>
            </w:r>
          </w:p>
        </w:tc>
        <w:tc>
          <w:tcPr>
            <w:tcW w:w="3210" w:type="dxa"/>
            <w:vAlign w:val="center"/>
          </w:tcPr>
          <w:p w14:paraId="62EF9B49">
            <w:pPr>
              <w:jc w:val="center"/>
              <w:textAlignment w:val="center"/>
              <w:rPr>
                <w:rFonts w:eastAsia="仿宋"/>
                <w:b/>
                <w:sz w:val="28"/>
                <w:szCs w:val="28"/>
              </w:rPr>
            </w:pPr>
            <w:r>
              <w:rPr>
                <w:rFonts w:eastAsia="仿宋"/>
                <w:b/>
                <w:sz w:val="28"/>
                <w:szCs w:val="28"/>
              </w:rPr>
              <w:t>材料（设备）名称</w:t>
            </w:r>
          </w:p>
        </w:tc>
        <w:tc>
          <w:tcPr>
            <w:tcW w:w="1166" w:type="dxa"/>
            <w:vAlign w:val="center"/>
          </w:tcPr>
          <w:p w14:paraId="1D251970">
            <w:pPr>
              <w:jc w:val="center"/>
              <w:textAlignment w:val="center"/>
              <w:rPr>
                <w:rFonts w:eastAsia="仿宋"/>
                <w:b/>
                <w:sz w:val="28"/>
                <w:szCs w:val="28"/>
              </w:rPr>
            </w:pPr>
            <w:r>
              <w:rPr>
                <w:rFonts w:eastAsia="仿宋"/>
                <w:b/>
                <w:sz w:val="28"/>
                <w:szCs w:val="28"/>
              </w:rPr>
              <w:t>品牌</w:t>
            </w:r>
          </w:p>
        </w:tc>
        <w:tc>
          <w:tcPr>
            <w:tcW w:w="2176" w:type="dxa"/>
            <w:vAlign w:val="center"/>
          </w:tcPr>
          <w:p w14:paraId="334D8FF7">
            <w:pPr>
              <w:jc w:val="center"/>
              <w:textAlignment w:val="center"/>
              <w:rPr>
                <w:rFonts w:eastAsia="仿宋"/>
                <w:b/>
                <w:sz w:val="28"/>
                <w:szCs w:val="28"/>
              </w:rPr>
            </w:pPr>
            <w:r>
              <w:rPr>
                <w:rFonts w:eastAsia="仿宋"/>
                <w:b/>
                <w:sz w:val="28"/>
                <w:szCs w:val="28"/>
              </w:rPr>
              <w:t>产地</w:t>
            </w:r>
          </w:p>
        </w:tc>
        <w:tc>
          <w:tcPr>
            <w:tcW w:w="1289" w:type="dxa"/>
            <w:vAlign w:val="center"/>
          </w:tcPr>
          <w:p w14:paraId="4198CC00">
            <w:pPr>
              <w:jc w:val="center"/>
              <w:textAlignment w:val="center"/>
              <w:rPr>
                <w:rFonts w:eastAsia="仿宋"/>
                <w:b/>
                <w:sz w:val="28"/>
                <w:szCs w:val="28"/>
              </w:rPr>
            </w:pPr>
            <w:r>
              <w:rPr>
                <w:rFonts w:eastAsia="仿宋"/>
                <w:b/>
                <w:sz w:val="28"/>
                <w:szCs w:val="28"/>
              </w:rPr>
              <w:t>等级</w:t>
            </w:r>
          </w:p>
        </w:tc>
      </w:tr>
      <w:tr w14:paraId="08A6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4" w:type="dxa"/>
            <w:vAlign w:val="center"/>
          </w:tcPr>
          <w:p w14:paraId="58F2DE2D">
            <w:pPr>
              <w:jc w:val="center"/>
              <w:rPr>
                <w:szCs w:val="26"/>
              </w:rPr>
            </w:pPr>
            <w:r>
              <w:rPr>
                <w:szCs w:val="26"/>
              </w:rPr>
              <w:t>1</w:t>
            </w:r>
          </w:p>
        </w:tc>
        <w:tc>
          <w:tcPr>
            <w:tcW w:w="3210" w:type="dxa"/>
            <w:vAlign w:val="center"/>
          </w:tcPr>
          <w:p w14:paraId="78424214">
            <w:pPr>
              <w:jc w:val="center"/>
              <w:rPr>
                <w:rFonts w:hint="eastAsia" w:eastAsia="宋体"/>
                <w:szCs w:val="26"/>
                <w:lang w:val="en-US" w:eastAsia="zh-CN"/>
              </w:rPr>
            </w:pPr>
            <w:r>
              <w:rPr>
                <w:szCs w:val="26"/>
              </w:rPr>
              <w:t>...</w:t>
            </w:r>
          </w:p>
        </w:tc>
        <w:tc>
          <w:tcPr>
            <w:tcW w:w="1166" w:type="dxa"/>
            <w:vAlign w:val="center"/>
          </w:tcPr>
          <w:p w14:paraId="20EE0263">
            <w:pPr>
              <w:jc w:val="center"/>
              <w:rPr>
                <w:szCs w:val="26"/>
              </w:rPr>
            </w:pPr>
          </w:p>
        </w:tc>
        <w:tc>
          <w:tcPr>
            <w:tcW w:w="2176" w:type="dxa"/>
            <w:vAlign w:val="center"/>
          </w:tcPr>
          <w:p w14:paraId="65DE5306">
            <w:pPr>
              <w:jc w:val="center"/>
              <w:rPr>
                <w:szCs w:val="26"/>
              </w:rPr>
            </w:pPr>
          </w:p>
        </w:tc>
        <w:tc>
          <w:tcPr>
            <w:tcW w:w="1289" w:type="dxa"/>
            <w:vAlign w:val="center"/>
          </w:tcPr>
          <w:p w14:paraId="1D23FCD3">
            <w:pPr>
              <w:jc w:val="center"/>
              <w:rPr>
                <w:szCs w:val="26"/>
              </w:rPr>
            </w:pPr>
          </w:p>
        </w:tc>
      </w:tr>
      <w:tr w14:paraId="747E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4" w:type="dxa"/>
            <w:vAlign w:val="center"/>
          </w:tcPr>
          <w:p w14:paraId="0858FEFC">
            <w:pPr>
              <w:jc w:val="center"/>
              <w:rPr>
                <w:szCs w:val="26"/>
              </w:rPr>
            </w:pPr>
            <w:r>
              <w:rPr>
                <w:szCs w:val="26"/>
              </w:rPr>
              <w:t>2</w:t>
            </w:r>
          </w:p>
        </w:tc>
        <w:tc>
          <w:tcPr>
            <w:tcW w:w="3210" w:type="dxa"/>
            <w:vAlign w:val="center"/>
          </w:tcPr>
          <w:p w14:paraId="593AD1B4">
            <w:pPr>
              <w:jc w:val="center"/>
              <w:rPr>
                <w:szCs w:val="26"/>
              </w:rPr>
            </w:pPr>
            <w:r>
              <w:rPr>
                <w:szCs w:val="26"/>
              </w:rPr>
              <w:t>...</w:t>
            </w:r>
          </w:p>
        </w:tc>
        <w:tc>
          <w:tcPr>
            <w:tcW w:w="1166" w:type="dxa"/>
            <w:vAlign w:val="center"/>
          </w:tcPr>
          <w:p w14:paraId="408BBD28">
            <w:pPr>
              <w:jc w:val="center"/>
              <w:rPr>
                <w:szCs w:val="26"/>
              </w:rPr>
            </w:pPr>
          </w:p>
        </w:tc>
        <w:tc>
          <w:tcPr>
            <w:tcW w:w="2176" w:type="dxa"/>
            <w:vAlign w:val="center"/>
          </w:tcPr>
          <w:p w14:paraId="4BE48E68">
            <w:pPr>
              <w:jc w:val="center"/>
              <w:rPr>
                <w:szCs w:val="26"/>
              </w:rPr>
            </w:pPr>
          </w:p>
        </w:tc>
        <w:tc>
          <w:tcPr>
            <w:tcW w:w="1289" w:type="dxa"/>
            <w:vAlign w:val="center"/>
          </w:tcPr>
          <w:p w14:paraId="1A3814AF">
            <w:pPr>
              <w:jc w:val="center"/>
              <w:rPr>
                <w:szCs w:val="26"/>
              </w:rPr>
            </w:pPr>
          </w:p>
        </w:tc>
      </w:tr>
      <w:tr w14:paraId="0D552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4" w:type="dxa"/>
            <w:vAlign w:val="center"/>
          </w:tcPr>
          <w:p w14:paraId="29E17DBD">
            <w:pPr>
              <w:jc w:val="center"/>
              <w:rPr>
                <w:szCs w:val="26"/>
              </w:rPr>
            </w:pPr>
            <w:r>
              <w:rPr>
                <w:szCs w:val="26"/>
              </w:rPr>
              <w:t>3</w:t>
            </w:r>
          </w:p>
        </w:tc>
        <w:tc>
          <w:tcPr>
            <w:tcW w:w="3210" w:type="dxa"/>
            <w:vAlign w:val="center"/>
          </w:tcPr>
          <w:p w14:paraId="4AA1889C">
            <w:pPr>
              <w:jc w:val="center"/>
              <w:rPr>
                <w:szCs w:val="26"/>
              </w:rPr>
            </w:pPr>
            <w:r>
              <w:rPr>
                <w:szCs w:val="26"/>
              </w:rPr>
              <w:t>...</w:t>
            </w:r>
          </w:p>
        </w:tc>
        <w:tc>
          <w:tcPr>
            <w:tcW w:w="1166" w:type="dxa"/>
            <w:vAlign w:val="center"/>
          </w:tcPr>
          <w:p w14:paraId="3202B76B">
            <w:pPr>
              <w:jc w:val="center"/>
              <w:rPr>
                <w:szCs w:val="26"/>
              </w:rPr>
            </w:pPr>
          </w:p>
        </w:tc>
        <w:tc>
          <w:tcPr>
            <w:tcW w:w="2176" w:type="dxa"/>
            <w:vAlign w:val="center"/>
          </w:tcPr>
          <w:p w14:paraId="2D43492E">
            <w:pPr>
              <w:jc w:val="center"/>
              <w:rPr>
                <w:szCs w:val="26"/>
              </w:rPr>
            </w:pPr>
          </w:p>
        </w:tc>
        <w:tc>
          <w:tcPr>
            <w:tcW w:w="1289" w:type="dxa"/>
            <w:vAlign w:val="center"/>
          </w:tcPr>
          <w:p w14:paraId="095B443A">
            <w:pPr>
              <w:jc w:val="center"/>
              <w:rPr>
                <w:szCs w:val="26"/>
              </w:rPr>
            </w:pPr>
          </w:p>
        </w:tc>
      </w:tr>
      <w:tr w14:paraId="47524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4" w:type="dxa"/>
            <w:vAlign w:val="center"/>
          </w:tcPr>
          <w:p w14:paraId="1708689A">
            <w:pPr>
              <w:jc w:val="center"/>
              <w:rPr>
                <w:szCs w:val="26"/>
              </w:rPr>
            </w:pPr>
            <w:r>
              <w:rPr>
                <w:szCs w:val="26"/>
              </w:rPr>
              <w:t>...</w:t>
            </w:r>
          </w:p>
        </w:tc>
        <w:tc>
          <w:tcPr>
            <w:tcW w:w="3210" w:type="dxa"/>
            <w:vAlign w:val="center"/>
          </w:tcPr>
          <w:p w14:paraId="38A1872E">
            <w:pPr>
              <w:jc w:val="center"/>
              <w:rPr>
                <w:szCs w:val="26"/>
              </w:rPr>
            </w:pPr>
            <w:r>
              <w:rPr>
                <w:szCs w:val="26"/>
              </w:rPr>
              <w:t>...</w:t>
            </w:r>
          </w:p>
        </w:tc>
        <w:tc>
          <w:tcPr>
            <w:tcW w:w="1166" w:type="dxa"/>
            <w:vAlign w:val="center"/>
          </w:tcPr>
          <w:p w14:paraId="27CBC222">
            <w:pPr>
              <w:jc w:val="center"/>
              <w:rPr>
                <w:szCs w:val="26"/>
              </w:rPr>
            </w:pPr>
          </w:p>
        </w:tc>
        <w:tc>
          <w:tcPr>
            <w:tcW w:w="2176" w:type="dxa"/>
            <w:vAlign w:val="center"/>
          </w:tcPr>
          <w:p w14:paraId="4EE364B2">
            <w:pPr>
              <w:jc w:val="center"/>
              <w:rPr>
                <w:szCs w:val="26"/>
              </w:rPr>
            </w:pPr>
          </w:p>
        </w:tc>
        <w:tc>
          <w:tcPr>
            <w:tcW w:w="1289" w:type="dxa"/>
            <w:vAlign w:val="center"/>
          </w:tcPr>
          <w:p w14:paraId="049AF269">
            <w:pPr>
              <w:jc w:val="center"/>
              <w:rPr>
                <w:szCs w:val="26"/>
              </w:rPr>
            </w:pPr>
          </w:p>
        </w:tc>
      </w:tr>
      <w:bookmarkEnd w:id="698"/>
    </w:tbl>
    <w:p w14:paraId="3BB84C48">
      <w:pPr>
        <w:pStyle w:val="13"/>
      </w:pPr>
    </w:p>
    <w:bookmarkEnd w:id="699"/>
    <w:bookmarkEnd w:id="700"/>
    <w:p w14:paraId="285338CE">
      <w:pPr>
        <w:jc w:val="center"/>
        <w:rPr>
          <w:rFonts w:eastAsia="仿宋"/>
          <w:color w:val="000000" w:themeColor="text1"/>
          <w:sz w:val="32"/>
          <w:szCs w:val="32"/>
          <w14:textFill>
            <w14:solidFill>
              <w14:schemeClr w14:val="tx1"/>
            </w14:solidFill>
          </w14:textFill>
        </w:rPr>
      </w:pPr>
      <w:r>
        <w:rPr>
          <w:rFonts w:eastAsia="仿宋"/>
          <w:color w:val="000000" w:themeColor="text1"/>
          <w:sz w:val="32"/>
          <w:szCs w:val="32"/>
          <w14:textFill>
            <w14:solidFill>
              <w14:schemeClr w14:val="tx1"/>
            </w14:solidFill>
          </w14:textFill>
        </w:rPr>
        <w:br w:type="page"/>
      </w:r>
    </w:p>
    <w:p w14:paraId="1BB6F7BA">
      <w:pPr>
        <w:spacing w:before="156" w:beforeLines="50" w:after="156" w:afterLines="50" w:line="440" w:lineRule="exact"/>
        <w:jc w:val="left"/>
        <w:outlineLvl w:val="3"/>
        <w:rPr>
          <w:color w:val="000000" w:themeColor="text1"/>
          <w:sz w:val="30"/>
          <w14:textFill>
            <w14:solidFill>
              <w14:schemeClr w14:val="tx1"/>
            </w14:solidFill>
          </w14:textFill>
        </w:rPr>
      </w:pPr>
      <w:r>
        <w:rPr>
          <w:color w:val="000000" w:themeColor="text1"/>
          <w:sz w:val="30"/>
          <w14:textFill>
            <w14:solidFill>
              <w14:schemeClr w14:val="tx1"/>
            </w14:solidFill>
          </w14:textFill>
        </w:rPr>
        <w:t>附</w:t>
      </w:r>
      <w:bookmarkStart w:id="701" w:name="_Toc296347225"/>
      <w:bookmarkStart w:id="702" w:name="_Toc296346727"/>
      <w:bookmarkStart w:id="703" w:name="_Toc296891054"/>
      <w:bookmarkStart w:id="704" w:name="_Toc296503226"/>
      <w:bookmarkStart w:id="705" w:name="_Toc296944565"/>
      <w:bookmarkStart w:id="706" w:name="_Toc296891266"/>
      <w:bookmarkStart w:id="707" w:name="_Toc267261693"/>
      <w:r>
        <w:rPr>
          <w:color w:val="000000" w:themeColor="text1"/>
          <w:sz w:val="30"/>
          <w14:textFill>
            <w14:solidFill>
              <w14:schemeClr w14:val="tx1"/>
            </w14:solidFill>
          </w14:textFill>
        </w:rPr>
        <w:t>件5：</w:t>
      </w:r>
      <w:bookmarkEnd w:id="701"/>
      <w:bookmarkEnd w:id="702"/>
      <w:bookmarkEnd w:id="703"/>
      <w:bookmarkEnd w:id="704"/>
      <w:bookmarkEnd w:id="705"/>
      <w:bookmarkEnd w:id="706"/>
      <w:bookmarkEnd w:id="707"/>
      <w:r>
        <w:rPr>
          <w:color w:val="000000" w:themeColor="text1"/>
          <w:sz w:val="30"/>
          <w14:textFill>
            <w14:solidFill>
              <w14:schemeClr w14:val="tx1"/>
            </w14:solidFill>
          </w14:textFill>
        </w:rPr>
        <w:t xml:space="preserve">    </w:t>
      </w:r>
    </w:p>
    <w:p w14:paraId="554A5996">
      <w:pPr>
        <w:spacing w:before="156" w:beforeLines="50" w:after="156" w:afterLines="50" w:line="440" w:lineRule="exact"/>
        <w:jc w:val="center"/>
        <w:rPr>
          <w:rFonts w:eastAsia="黑体"/>
          <w:color w:val="000000" w:themeColor="text1"/>
          <w:sz w:val="30"/>
          <w14:textFill>
            <w14:solidFill>
              <w14:schemeClr w14:val="tx1"/>
            </w14:solidFill>
          </w14:textFill>
        </w:rPr>
      </w:pPr>
      <w:r>
        <w:rPr>
          <w:rFonts w:eastAsia="黑体"/>
          <w:color w:val="000000" w:themeColor="text1"/>
          <w:sz w:val="30"/>
          <w14:textFill>
            <w14:solidFill>
              <w14:schemeClr w14:val="tx1"/>
            </w14:solidFill>
          </w14:textFill>
        </w:rPr>
        <w:t>工程质量保修书</w:t>
      </w:r>
    </w:p>
    <w:p w14:paraId="205BA01E">
      <w:pPr>
        <w:spacing w:line="44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发包人（全称）：</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w:t>
      </w:r>
    </w:p>
    <w:p w14:paraId="761A6374">
      <w:pPr>
        <w:spacing w:line="44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承包人（全称）：</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w:t>
      </w:r>
    </w:p>
    <w:p w14:paraId="6D66610F">
      <w:pPr>
        <w:spacing w:line="440" w:lineRule="exact"/>
        <w:rPr>
          <w:rFonts w:eastAsia="仿宋_GB2312"/>
          <w:color w:val="000000" w:themeColor="text1"/>
          <w:sz w:val="30"/>
          <w:szCs w:val="30"/>
          <w14:textFill>
            <w14:solidFill>
              <w14:schemeClr w14:val="tx1"/>
            </w14:solidFill>
          </w14:textFill>
        </w:rPr>
      </w:pPr>
    </w:p>
    <w:p w14:paraId="0BA66979">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发包人和承包人根据《中华人民共和国建筑法》和《建设工程质量管理条例》，经协商一致就</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（工程全称）签订工程质量保修书。</w:t>
      </w:r>
    </w:p>
    <w:p w14:paraId="0A290587">
      <w:pPr>
        <w:spacing w:line="360" w:lineRule="auto"/>
        <w:ind w:firstLine="600" w:firstLineChars="200"/>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t>一、工程质量保修范围和内容</w:t>
      </w:r>
    </w:p>
    <w:p w14:paraId="62C5B2DB">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承包人在质量保修期内，按照有关法律规定和合同约定，承担工程质量保修责任。</w:t>
      </w:r>
    </w:p>
    <w:p w14:paraId="556B58D8">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eastAsia="仿宋_GB2312"/>
          <w:color w:val="000000" w:themeColor="text1"/>
          <w:sz w:val="30"/>
          <w:szCs w:val="30"/>
          <w:u w:val="single"/>
          <w14:textFill>
            <w14:solidFill>
              <w14:schemeClr w14:val="tx1"/>
            </w14:solidFill>
          </w14:textFill>
        </w:rPr>
        <w:t xml:space="preserve"> 承包人承包范围以内的全部工程内容。若施工合同中有其它保修约定的按约定执行 </w:t>
      </w:r>
      <w:r>
        <w:rPr>
          <w:rFonts w:eastAsia="仿宋_GB2312"/>
          <w:color w:val="000000" w:themeColor="text1"/>
          <w:sz w:val="30"/>
          <w:szCs w:val="30"/>
          <w14:textFill>
            <w14:solidFill>
              <w14:schemeClr w14:val="tx1"/>
            </w14:solidFill>
          </w14:textFill>
        </w:rPr>
        <w:t>。</w:t>
      </w:r>
    </w:p>
    <w:p w14:paraId="123C35C8">
      <w:pPr>
        <w:spacing w:line="360" w:lineRule="auto"/>
        <w:ind w:firstLine="600" w:firstLineChars="200"/>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t>二、质量保修期</w:t>
      </w:r>
    </w:p>
    <w:p w14:paraId="2AE7EEEF">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根据《建设工程质量管理条例》及有关规定，工程的质量保修期如下：</w:t>
      </w:r>
    </w:p>
    <w:p w14:paraId="1EC5FFEC">
      <w:pPr>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1．地基基础工程和主体结构工程为设计文件规定的工程合理使用年限；</w:t>
      </w:r>
    </w:p>
    <w:p w14:paraId="2CF7C3F2">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2．屋面防水工程、有防水要求的卫生间、房间和外墙面的防渗为</w:t>
      </w:r>
      <w:r>
        <w:rPr>
          <w:rFonts w:eastAsia="仿宋_GB2312"/>
          <w:color w:val="000000" w:themeColor="text1"/>
          <w:sz w:val="30"/>
          <w:szCs w:val="30"/>
          <w:u w:val="single"/>
          <w14:textFill>
            <w14:solidFill>
              <w14:schemeClr w14:val="tx1"/>
            </w14:solidFill>
          </w14:textFill>
        </w:rPr>
        <w:t xml:space="preserve"> 5 </w:t>
      </w:r>
      <w:r>
        <w:rPr>
          <w:rFonts w:eastAsia="仿宋_GB2312"/>
          <w:color w:val="000000" w:themeColor="text1"/>
          <w:sz w:val="30"/>
          <w:szCs w:val="30"/>
          <w14:textFill>
            <w14:solidFill>
              <w14:schemeClr w14:val="tx1"/>
            </w14:solidFill>
          </w14:textFill>
        </w:rPr>
        <w:t>年；</w:t>
      </w:r>
    </w:p>
    <w:p w14:paraId="3824F222">
      <w:pPr>
        <w:spacing w:line="360" w:lineRule="auto"/>
        <w:ind w:left="420" w:leftChars="200" w:firstLine="150" w:firstLineChars="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3．装修工程为</w:t>
      </w:r>
      <w:r>
        <w:rPr>
          <w:rFonts w:eastAsia="仿宋_GB2312"/>
          <w:color w:val="000000" w:themeColor="text1"/>
          <w:sz w:val="30"/>
          <w:szCs w:val="30"/>
          <w:u w:val="single"/>
          <w14:textFill>
            <w14:solidFill>
              <w14:schemeClr w14:val="tx1"/>
            </w14:solidFill>
          </w14:textFill>
        </w:rPr>
        <w:t xml:space="preserve">  2  </w:t>
      </w:r>
      <w:r>
        <w:rPr>
          <w:rFonts w:eastAsia="仿宋_GB2312"/>
          <w:color w:val="000000" w:themeColor="text1"/>
          <w:sz w:val="30"/>
          <w:szCs w:val="30"/>
          <w14:textFill>
            <w14:solidFill>
              <w14:schemeClr w14:val="tx1"/>
            </w14:solidFill>
          </w14:textFill>
        </w:rPr>
        <w:t>年；</w:t>
      </w:r>
    </w:p>
    <w:p w14:paraId="7C69C64F">
      <w:pPr>
        <w:spacing w:line="360" w:lineRule="auto"/>
        <w:ind w:left="420" w:leftChars="200" w:firstLine="150" w:firstLineChars="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4．电气管线、给排水管道、设备安装工程为</w:t>
      </w:r>
      <w:r>
        <w:rPr>
          <w:rFonts w:eastAsia="仿宋_GB2312"/>
          <w:color w:val="000000" w:themeColor="text1"/>
          <w:sz w:val="30"/>
          <w:szCs w:val="30"/>
          <w:u w:val="single"/>
          <w14:textFill>
            <w14:solidFill>
              <w14:schemeClr w14:val="tx1"/>
            </w14:solidFill>
          </w14:textFill>
        </w:rPr>
        <w:t xml:space="preserve">  2  </w:t>
      </w:r>
      <w:r>
        <w:rPr>
          <w:rFonts w:eastAsia="仿宋_GB2312"/>
          <w:color w:val="000000" w:themeColor="text1"/>
          <w:sz w:val="30"/>
          <w:szCs w:val="30"/>
          <w14:textFill>
            <w14:solidFill>
              <w14:schemeClr w14:val="tx1"/>
            </w14:solidFill>
          </w14:textFill>
        </w:rPr>
        <w:t>年；</w:t>
      </w:r>
    </w:p>
    <w:p w14:paraId="00E9BB3D">
      <w:pPr>
        <w:spacing w:line="360" w:lineRule="auto"/>
        <w:ind w:left="420" w:leftChars="200" w:firstLine="150" w:firstLineChars="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5．供热与供冷系统为</w:t>
      </w:r>
      <w:r>
        <w:rPr>
          <w:rFonts w:eastAsia="仿宋_GB2312"/>
          <w:color w:val="000000" w:themeColor="text1"/>
          <w:sz w:val="30"/>
          <w:szCs w:val="30"/>
          <w:u w:val="single"/>
          <w14:textFill>
            <w14:solidFill>
              <w14:schemeClr w14:val="tx1"/>
            </w14:solidFill>
          </w14:textFill>
        </w:rPr>
        <w:t xml:space="preserve">  2  </w:t>
      </w:r>
      <w:r>
        <w:rPr>
          <w:rFonts w:eastAsia="仿宋_GB2312"/>
          <w:color w:val="000000" w:themeColor="text1"/>
          <w:sz w:val="30"/>
          <w:szCs w:val="30"/>
          <w14:textFill>
            <w14:solidFill>
              <w14:schemeClr w14:val="tx1"/>
            </w14:solidFill>
          </w14:textFill>
        </w:rPr>
        <w:t>个采暖期、供冷期；</w:t>
      </w:r>
    </w:p>
    <w:p w14:paraId="21C0D46D">
      <w:pPr>
        <w:spacing w:line="360" w:lineRule="auto"/>
        <w:ind w:left="420" w:leftChars="200" w:firstLine="150" w:firstLineChars="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6．给排水设施、道路等配套工程为</w:t>
      </w:r>
      <w:r>
        <w:rPr>
          <w:rFonts w:eastAsia="仿宋_GB2312"/>
          <w:color w:val="000000" w:themeColor="text1"/>
          <w:sz w:val="30"/>
          <w:szCs w:val="30"/>
          <w:u w:val="single"/>
          <w14:textFill>
            <w14:solidFill>
              <w14:schemeClr w14:val="tx1"/>
            </w14:solidFill>
          </w14:textFill>
        </w:rPr>
        <w:t xml:space="preserve">  2  </w:t>
      </w:r>
      <w:r>
        <w:rPr>
          <w:rFonts w:eastAsia="仿宋_GB2312"/>
          <w:color w:val="000000" w:themeColor="text1"/>
          <w:sz w:val="30"/>
          <w:szCs w:val="30"/>
          <w14:textFill>
            <w14:solidFill>
              <w14:schemeClr w14:val="tx1"/>
            </w14:solidFill>
          </w14:textFill>
        </w:rPr>
        <w:t>年；</w:t>
      </w:r>
    </w:p>
    <w:p w14:paraId="7DA21517">
      <w:pPr>
        <w:spacing w:line="360" w:lineRule="auto"/>
        <w:ind w:left="420" w:leftChars="200" w:firstLine="150" w:firstLineChars="5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7．其他项目保修期限约定如下：</w:t>
      </w:r>
      <w:r>
        <w:rPr>
          <w:rFonts w:eastAsia="仿宋_GB2312"/>
          <w:color w:val="000000" w:themeColor="text1"/>
          <w:sz w:val="30"/>
          <w:szCs w:val="30"/>
          <w:u w:val="single"/>
          <w14:textFill>
            <w14:solidFill>
              <w14:schemeClr w14:val="tx1"/>
            </w14:solidFill>
          </w14:textFill>
        </w:rPr>
        <w:t xml:space="preserve"> </w:t>
      </w:r>
      <w:r>
        <w:rPr>
          <w:rFonts w:eastAsia="仿宋_GB2312"/>
          <w:i/>
          <w:iCs/>
          <w:color w:val="000000" w:themeColor="text1"/>
          <w:sz w:val="30"/>
          <w:szCs w:val="30"/>
          <w:u w:val="single"/>
          <w14:textFill>
            <w14:solidFill>
              <w14:schemeClr w14:val="tx1"/>
            </w14:solidFill>
          </w14:textFill>
        </w:rPr>
        <w:t xml:space="preserve">依据工程具体情况而定 </w:t>
      </w:r>
      <w:r>
        <w:rPr>
          <w:rFonts w:eastAsia="仿宋_GB2312"/>
          <w:color w:val="000000" w:themeColor="text1"/>
          <w:sz w:val="30"/>
          <w:szCs w:val="30"/>
          <w14:textFill>
            <w14:solidFill>
              <w14:schemeClr w14:val="tx1"/>
            </w14:solidFill>
          </w14:textFill>
        </w:rPr>
        <w:t>。</w:t>
      </w:r>
    </w:p>
    <w:p w14:paraId="4E10013D">
      <w:pPr>
        <w:spacing w:line="360" w:lineRule="auto"/>
        <w:ind w:firstLine="600" w:firstLineChars="200"/>
        <w:rPr>
          <w:rFonts w:eastAsia="黑体"/>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质量保修期自工程竣工验收合格之日起计算。在保修期内出现</w:t>
      </w:r>
      <w:r>
        <w:rPr>
          <w:i/>
          <w:color w:val="000000" w:themeColor="text1"/>
          <w:sz w:val="30"/>
          <w:u w:val="single"/>
          <w14:textFill>
            <w14:solidFill>
              <w14:schemeClr w14:val="tx1"/>
            </w14:solidFill>
          </w14:textFill>
        </w:rPr>
        <w:t xml:space="preserve"> 防水 </w:t>
      </w:r>
      <w:r>
        <w:rPr>
          <w:rFonts w:eastAsia="仿宋_GB2312"/>
          <w:color w:val="000000" w:themeColor="text1"/>
          <w:sz w:val="30"/>
          <w:szCs w:val="30"/>
          <w14:textFill>
            <w14:solidFill>
              <w14:schemeClr w14:val="tx1"/>
            </w14:solidFill>
          </w14:textFill>
        </w:rPr>
        <w:t>质量问题经修复完成后，相应保修期重新计算。</w:t>
      </w:r>
    </w:p>
    <w:p w14:paraId="570C565A">
      <w:pPr>
        <w:spacing w:line="360" w:lineRule="auto"/>
        <w:ind w:firstLine="600" w:firstLineChars="200"/>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t>三、质量保修责任</w:t>
      </w:r>
    </w:p>
    <w:p w14:paraId="0F59A8B1">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1．属于保修范围、内容的项目，承包人应当在接到保修通知之日起24小时内派人保修。承包人不在约定期限内派人保修的，发包人可以委托他人修理；保修费用从质量保修金内双倍扣除。</w:t>
      </w:r>
    </w:p>
    <w:p w14:paraId="7DA95AA6">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2．发生紧急事故需抢修的，承包人在接到事故通知后，应当立即到达事故现场抢修。非承包人施工质量引起的事故，抢修费用由发包人承担。</w:t>
      </w:r>
    </w:p>
    <w:p w14:paraId="65079607">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并应承担损害赔偿责任</w:t>
      </w:r>
      <w:r>
        <w:rPr>
          <w:rFonts w:eastAsia="仿宋_GB2312"/>
          <w:color w:val="000000" w:themeColor="text1"/>
          <w:sz w:val="24"/>
          <w14:textFill>
            <w14:solidFill>
              <w14:schemeClr w14:val="tx1"/>
            </w14:solidFill>
          </w14:textFill>
        </w:rPr>
        <w:t>。</w:t>
      </w:r>
    </w:p>
    <w:p w14:paraId="6F1370F8">
      <w:pPr>
        <w:spacing w:line="520" w:lineRule="exact"/>
        <w:ind w:firstLine="588" w:firstLineChars="196"/>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4．质量保修完成后，由发包人组织验收。</w:t>
      </w:r>
    </w:p>
    <w:p w14:paraId="57E1BF8C">
      <w:pPr>
        <w:spacing w:line="360" w:lineRule="auto"/>
        <w:ind w:firstLine="600" w:firstLineChars="200"/>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t>四、质量保修金的支付</w:t>
      </w:r>
    </w:p>
    <w:p w14:paraId="0A7E359B">
      <w:pPr>
        <w:spacing w:line="360" w:lineRule="auto"/>
        <w:ind w:left="105" w:leftChars="50" w:firstLine="615" w:firstLineChars="205"/>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本工程双方约定承包人向发包人支付工程质量保修金金额为工程结算款的</w:t>
      </w:r>
      <w:r>
        <w:rPr>
          <w:rFonts w:eastAsia="仿宋_GB2312"/>
          <w:color w:val="000000" w:themeColor="text1"/>
          <w:sz w:val="30"/>
          <w:szCs w:val="30"/>
          <w:u w:val="single"/>
          <w14:textFill>
            <w14:solidFill>
              <w14:schemeClr w14:val="tx1"/>
            </w14:solidFill>
          </w14:textFill>
        </w:rPr>
        <w:t>百分之叁（大写）</w:t>
      </w:r>
      <w:r>
        <w:rPr>
          <w:rFonts w:eastAsia="仿宋_GB2312"/>
          <w:color w:val="000000" w:themeColor="text1"/>
          <w:sz w:val="30"/>
          <w:szCs w:val="30"/>
          <w14:textFill>
            <w14:solidFill>
              <w14:schemeClr w14:val="tx1"/>
            </w14:solidFill>
          </w14:textFill>
        </w:rPr>
        <w:t xml:space="preserve">。质量保修金银行利率为 </w:t>
      </w:r>
      <w:r>
        <w:rPr>
          <w:rFonts w:eastAsia="仿宋_GB2312"/>
          <w:color w:val="000000" w:themeColor="text1"/>
          <w:sz w:val="30"/>
          <w:szCs w:val="30"/>
          <w:u w:val="single"/>
          <w14:textFill>
            <w14:solidFill>
              <w14:schemeClr w14:val="tx1"/>
            </w14:solidFill>
          </w14:textFill>
        </w:rPr>
        <w:t xml:space="preserve"> 无</w:t>
      </w:r>
      <w:r>
        <w:rPr>
          <w:rFonts w:eastAsia="仿宋_GB2312"/>
          <w:color w:val="000000" w:themeColor="text1"/>
          <w:sz w:val="30"/>
          <w:szCs w:val="30"/>
          <w14:textFill>
            <w14:solidFill>
              <w14:schemeClr w14:val="tx1"/>
            </w14:solidFill>
          </w14:textFill>
        </w:rPr>
        <w:t>。</w:t>
      </w:r>
    </w:p>
    <w:p w14:paraId="26DB2352">
      <w:pPr>
        <w:spacing w:line="360" w:lineRule="auto"/>
        <w:ind w:firstLine="600" w:firstLineChars="200"/>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t>五、质量保修金的返还</w:t>
      </w:r>
    </w:p>
    <w:p w14:paraId="3FE6DA7B">
      <w:pPr>
        <w:spacing w:line="360" w:lineRule="auto"/>
        <w:ind w:left="105" w:leftChars="50" w:firstLine="615" w:firstLineChars="205"/>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sym w:font="Wingdings 2" w:char="0052"/>
      </w:r>
      <w:r>
        <w:rPr>
          <w:rFonts w:eastAsia="仿宋_GB2312"/>
          <w:color w:val="000000" w:themeColor="text1"/>
          <w:sz w:val="30"/>
          <w:szCs w:val="30"/>
          <w:u w:val="single"/>
          <w14:textFill>
            <w14:solidFill>
              <w14:schemeClr w14:val="tx1"/>
            </w14:solidFill>
          </w14:textFill>
        </w:rPr>
        <w:t>工程竣工验收合格之日起两年且无质量问题，且经工程使用单位或发包人签署质量保修金支付证明后，无息返还质量保修金的100%</w:t>
      </w:r>
    </w:p>
    <w:p w14:paraId="1658646C">
      <w:pPr>
        <w:spacing w:line="360" w:lineRule="auto"/>
        <w:ind w:left="105" w:leftChars="50" w:firstLine="615" w:firstLineChars="205"/>
        <w:rPr>
          <w:rFonts w:eastAsia="仿宋_GB2312"/>
          <w:color w:val="000000" w:themeColor="text1"/>
          <w:sz w:val="30"/>
          <w:szCs w:val="30"/>
          <w:u w:val="single"/>
          <w14:textFill>
            <w14:solidFill>
              <w14:schemeClr w14:val="tx1"/>
            </w14:solidFill>
          </w14:textFill>
        </w:rPr>
      </w:pPr>
      <w:r>
        <w:rPr>
          <w:color w:val="000000" w:themeColor="text1"/>
          <w:sz w:val="30"/>
          <w:u w:val="single"/>
          <w14:textFill>
            <w14:solidFill>
              <w14:schemeClr w14:val="tx1"/>
            </w14:solidFill>
          </w14:textFill>
        </w:rPr>
        <w:sym w:font="Wingdings 2" w:char="00A3"/>
      </w:r>
      <w:r>
        <w:rPr>
          <w:rFonts w:eastAsia="仿宋_GB2312"/>
          <w:color w:val="000000" w:themeColor="text1"/>
          <w:sz w:val="30"/>
          <w:szCs w:val="30"/>
          <w:u w:val="single"/>
          <w14:textFill>
            <w14:solidFill>
              <w14:schemeClr w14:val="tx1"/>
            </w14:solidFill>
          </w14:textFill>
        </w:rPr>
        <w:t>工程竣工验收合格之日起两年且无质量问题，经工程使用单位或发包人签署质量保修金支付证明后，无息返还质量保修金的80%。自工程竣工验收合格之日起三年且无质量问题，经工程使用单位或发包人签署质量保修金支付证明后，无息返还质量保修金的20%。</w:t>
      </w:r>
    </w:p>
    <w:p w14:paraId="58113E80">
      <w:pPr>
        <w:spacing w:line="360" w:lineRule="auto"/>
        <w:ind w:left="105" w:leftChars="50" w:firstLine="615" w:firstLineChars="205"/>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u w:val="single"/>
          <w14:textFill>
            <w14:solidFill>
              <w14:schemeClr w14:val="tx1"/>
            </w14:solidFill>
          </w14:textFill>
        </w:rPr>
        <w:sym w:font="Wingdings 2" w:char="00A3"/>
      </w:r>
      <w:r>
        <w:rPr>
          <w:rFonts w:eastAsia="仿宋_GB2312"/>
          <w:color w:val="000000" w:themeColor="text1"/>
          <w:sz w:val="30"/>
          <w:szCs w:val="30"/>
          <w:u w:val="single"/>
          <w14:textFill>
            <w14:solidFill>
              <w14:schemeClr w14:val="tx1"/>
            </w14:solidFill>
          </w14:textFill>
        </w:rPr>
        <w:t>自工程竣工验收合格之日起两年且无质量问题，经工程使用单位或发包人签署质量保修金支付证明后，无息返还质量保修金的50%。自工程竣工验收合格之日起三年且无质量问题，经工程使用单位或发包人签署质量保修金支付证明后，无息返还质量保修金的30%，自工程竣工验收合格之日起五年且无质量问题，经工程使用单位或发包人签署质量保修金支付证明后，无息返还质量保修金的20%。</w:t>
      </w:r>
    </w:p>
    <w:p w14:paraId="2897A857">
      <w:pPr>
        <w:spacing w:line="360" w:lineRule="auto"/>
        <w:ind w:left="105" w:leftChars="50" w:firstLine="615" w:firstLineChars="205"/>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质量保修期延长的，</w:t>
      </w:r>
      <w:bookmarkStart w:id="708" w:name="_Hlk185603868"/>
      <w:r>
        <w:rPr>
          <w:rFonts w:eastAsia="仿宋_GB2312"/>
          <w:color w:val="000000" w:themeColor="text1"/>
          <w:sz w:val="30"/>
          <w:szCs w:val="30"/>
          <w14:textFill>
            <w14:solidFill>
              <w14:schemeClr w14:val="tx1"/>
            </w14:solidFill>
          </w14:textFill>
        </w:rPr>
        <w:t>最后一笔返还质量保修金</w:t>
      </w:r>
      <w:bookmarkEnd w:id="708"/>
      <w:r>
        <w:rPr>
          <w:rFonts w:eastAsia="仿宋_GB2312"/>
          <w:color w:val="000000" w:themeColor="text1"/>
          <w:sz w:val="30"/>
          <w:szCs w:val="30"/>
          <w14:textFill>
            <w14:solidFill>
              <w14:schemeClr w14:val="tx1"/>
            </w14:solidFill>
          </w14:textFill>
        </w:rPr>
        <w:t>的期限同时顺延。</w:t>
      </w:r>
    </w:p>
    <w:p w14:paraId="5D21E466">
      <w:pPr>
        <w:spacing w:line="360" w:lineRule="auto"/>
        <w:ind w:firstLine="600" w:firstLineChars="200"/>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t>六、其它</w:t>
      </w:r>
    </w:p>
    <w:p w14:paraId="7844123D">
      <w:pPr>
        <w:spacing w:line="360" w:lineRule="auto"/>
        <w:ind w:left="105" w:leftChars="50" w:firstLine="615" w:firstLineChars="205"/>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1、本保修书作为施工工程合同的附件，与施工工程合同具有同等法律效力。</w:t>
      </w:r>
    </w:p>
    <w:p w14:paraId="667CB1A8">
      <w:pPr>
        <w:spacing w:line="360" w:lineRule="auto"/>
        <w:ind w:left="105" w:leftChars="50" w:firstLine="615" w:firstLineChars="205"/>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2、双方约定的其它工程质量保修事项：无。</w:t>
      </w:r>
    </w:p>
    <w:p w14:paraId="58B871D7">
      <w:pPr>
        <w:spacing w:line="360" w:lineRule="auto"/>
        <w:ind w:firstLine="600" w:firstLineChars="200"/>
        <w:rPr>
          <w:rFonts w:eastAsia="仿宋_GB2312"/>
          <w:color w:val="000000"/>
          <w:sz w:val="30"/>
          <w:szCs w:val="30"/>
        </w:rPr>
      </w:pPr>
      <w:bookmarkStart w:id="709" w:name="_Hlk211515608"/>
      <w:r>
        <w:rPr>
          <w:rFonts w:eastAsia="仿宋_GB2312"/>
          <w:color w:val="000000"/>
          <w:sz w:val="30"/>
          <w:szCs w:val="30"/>
        </w:rPr>
        <w:t>（1）对于属于质量问题及保修范围、内容的项目，承包人应当在接到发包人的《质量维修通知单》（书面形式通过顺丰或EMS向施工单位发送，均为有效）之日起按照通知单载明的限期内派人维修。承包人不在约定期限内派人维修的，发包人可以另委托第三方维修；发生的维修费用，按第三方维修单位向发包人主张的结算报审金额计取，从本合同尾款内双倍扣除。本合同尾款不足部分，仍由承包人承担。从合同尾款中扣除的，承包人承诺配合发包人签订合同补充协议，调整合同额。逾期维修造成的的损失亦由承包人承担。</w:t>
      </w:r>
    </w:p>
    <w:bookmarkEnd w:id="709"/>
    <w:p w14:paraId="36F42FF4">
      <w:pPr>
        <w:spacing w:line="360" w:lineRule="auto"/>
        <w:ind w:firstLine="570" w:firstLineChars="19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工程质量保修书由发包人、承包人在工程竣工验收前共同签署，作为施工合同附件，其有效期限至保修期满。</w:t>
      </w:r>
    </w:p>
    <w:p w14:paraId="50E07E3A">
      <w:pPr>
        <w:spacing w:line="360" w:lineRule="auto"/>
        <w:ind w:firstLine="570" w:firstLineChars="190"/>
        <w:rPr>
          <w:rFonts w:eastAsia="仿宋_GB2312"/>
          <w:color w:val="000000" w:themeColor="text1"/>
          <w:sz w:val="30"/>
          <w:szCs w:val="30"/>
          <w14:textFill>
            <w14:solidFill>
              <w14:schemeClr w14:val="tx1"/>
            </w14:solidFill>
          </w14:textFill>
        </w:rPr>
      </w:pPr>
    </w:p>
    <w:p w14:paraId="4F576810">
      <w:pPr>
        <w:spacing w:line="360" w:lineRule="auto"/>
        <w:ind w:firstLine="42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br w:type="page"/>
      </w:r>
    </w:p>
    <w:p w14:paraId="6740045A">
      <w:pPr>
        <w:spacing w:before="156" w:beforeLines="50" w:after="156" w:afterLines="50" w:line="440" w:lineRule="exact"/>
        <w:jc w:val="left"/>
        <w:outlineLvl w:val="3"/>
        <w:rPr>
          <w:color w:val="000000" w:themeColor="text1"/>
          <w:sz w:val="30"/>
          <w14:textFill>
            <w14:solidFill>
              <w14:schemeClr w14:val="tx1"/>
            </w14:solidFill>
          </w14:textFill>
        </w:rPr>
      </w:pPr>
      <w:r>
        <w:rPr>
          <w:color w:val="000000" w:themeColor="text1"/>
          <w:sz w:val="30"/>
          <w14:textFill>
            <w14:solidFill>
              <w14:schemeClr w14:val="tx1"/>
            </w14:solidFill>
          </w14:textFill>
        </w:rPr>
        <w:t>附</w:t>
      </w:r>
      <w:bookmarkStart w:id="710" w:name="_Toc296891056"/>
      <w:bookmarkStart w:id="711" w:name="_Toc267261699"/>
      <w:bookmarkStart w:id="712" w:name="_Toc296503228"/>
      <w:bookmarkStart w:id="713" w:name="_Toc296346729"/>
      <w:bookmarkStart w:id="714" w:name="_Toc296347227"/>
      <w:bookmarkStart w:id="715" w:name="_Toc296891268"/>
      <w:bookmarkStart w:id="716" w:name="_Toc296944567"/>
      <w:r>
        <w:rPr>
          <w:color w:val="000000" w:themeColor="text1"/>
          <w:sz w:val="30"/>
          <w14:textFill>
            <w14:solidFill>
              <w14:schemeClr w14:val="tx1"/>
            </w14:solidFill>
          </w14:textFill>
        </w:rPr>
        <w:t>件6：</w:t>
      </w:r>
    </w:p>
    <w:bookmarkEnd w:id="710"/>
    <w:bookmarkEnd w:id="711"/>
    <w:bookmarkEnd w:id="712"/>
    <w:bookmarkEnd w:id="713"/>
    <w:bookmarkEnd w:id="714"/>
    <w:bookmarkEnd w:id="715"/>
    <w:bookmarkEnd w:id="716"/>
    <w:p w14:paraId="1DF3E908">
      <w:pPr>
        <w:spacing w:before="156" w:beforeLines="50" w:after="156" w:afterLines="50" w:line="440" w:lineRule="exact"/>
        <w:jc w:val="center"/>
        <w:rPr>
          <w:rFonts w:eastAsia="黑体"/>
          <w:color w:val="000000" w:themeColor="text1"/>
          <w:sz w:val="30"/>
          <w14:textFill>
            <w14:solidFill>
              <w14:schemeClr w14:val="tx1"/>
            </w14:solidFill>
          </w14:textFill>
        </w:rPr>
      </w:pPr>
      <w:r>
        <w:rPr>
          <w:rFonts w:eastAsia="黑体"/>
          <w:color w:val="000000" w:themeColor="text1"/>
          <w:sz w:val="30"/>
          <w14:textFill>
            <w14:solidFill>
              <w14:schemeClr w14:val="tx1"/>
            </w14:solidFill>
          </w14:textFill>
        </w:rPr>
        <w:t>承包人主要施工管理人员表</w:t>
      </w:r>
    </w:p>
    <w:tbl>
      <w:tblPr>
        <w:tblStyle w:val="25"/>
        <w:tblW w:w="980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2EA4E8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313FA6CF">
            <w:pPr>
              <w:pStyle w:val="13"/>
            </w:pPr>
            <w:r>
              <w:t>名    称</w:t>
            </w:r>
          </w:p>
        </w:tc>
        <w:tc>
          <w:tcPr>
            <w:tcW w:w="1418" w:type="dxa"/>
            <w:tcBorders>
              <w:top w:val="single" w:color="auto" w:sz="12" w:space="0"/>
              <w:bottom w:val="double" w:color="auto" w:sz="6" w:space="0"/>
            </w:tcBorders>
            <w:vAlign w:val="center"/>
          </w:tcPr>
          <w:p w14:paraId="71EF10F0">
            <w:pPr>
              <w:pStyle w:val="13"/>
            </w:pPr>
            <w:r>
              <w:t>姓名</w:t>
            </w:r>
          </w:p>
        </w:tc>
        <w:tc>
          <w:tcPr>
            <w:tcW w:w="1134" w:type="dxa"/>
            <w:tcBorders>
              <w:top w:val="single" w:color="auto" w:sz="12" w:space="0"/>
              <w:bottom w:val="double" w:color="auto" w:sz="6" w:space="0"/>
            </w:tcBorders>
            <w:vAlign w:val="center"/>
          </w:tcPr>
          <w:p w14:paraId="7B69BACC">
            <w:pPr>
              <w:pStyle w:val="13"/>
            </w:pPr>
            <w:r>
              <w:t>职务</w:t>
            </w:r>
          </w:p>
        </w:tc>
        <w:tc>
          <w:tcPr>
            <w:tcW w:w="1134" w:type="dxa"/>
            <w:tcBorders>
              <w:top w:val="single" w:color="auto" w:sz="12" w:space="0"/>
              <w:bottom w:val="double" w:color="auto" w:sz="6" w:space="0"/>
            </w:tcBorders>
            <w:vAlign w:val="center"/>
          </w:tcPr>
          <w:p w14:paraId="22302ECE">
            <w:pPr>
              <w:pStyle w:val="13"/>
            </w:pPr>
            <w:r>
              <w:t>职称</w:t>
            </w:r>
          </w:p>
        </w:tc>
        <w:tc>
          <w:tcPr>
            <w:tcW w:w="4252" w:type="dxa"/>
            <w:tcBorders>
              <w:top w:val="single" w:color="auto" w:sz="12" w:space="0"/>
              <w:bottom w:val="double" w:color="auto" w:sz="6" w:space="0"/>
            </w:tcBorders>
            <w:vAlign w:val="center"/>
          </w:tcPr>
          <w:p w14:paraId="2D8050B5">
            <w:pPr>
              <w:pStyle w:val="13"/>
            </w:pPr>
            <w:r>
              <w:t>主要资历、经验及承担过的项目</w:t>
            </w:r>
          </w:p>
        </w:tc>
      </w:tr>
      <w:tr w14:paraId="3D803B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076EB772">
            <w:pPr>
              <w:pStyle w:val="13"/>
            </w:pPr>
            <w:r>
              <w:t>一、总部人员</w:t>
            </w:r>
          </w:p>
        </w:tc>
      </w:tr>
      <w:tr w14:paraId="6EE350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7B85C156">
            <w:pPr>
              <w:pStyle w:val="13"/>
            </w:pPr>
            <w:r>
              <w:t>项目主管</w:t>
            </w:r>
          </w:p>
        </w:tc>
        <w:tc>
          <w:tcPr>
            <w:tcW w:w="1418" w:type="dxa"/>
            <w:tcBorders>
              <w:top w:val="nil"/>
            </w:tcBorders>
            <w:vAlign w:val="center"/>
          </w:tcPr>
          <w:p w14:paraId="5556EC96">
            <w:pPr>
              <w:pStyle w:val="13"/>
            </w:pPr>
          </w:p>
        </w:tc>
        <w:tc>
          <w:tcPr>
            <w:tcW w:w="1134" w:type="dxa"/>
            <w:tcBorders>
              <w:top w:val="nil"/>
            </w:tcBorders>
            <w:vAlign w:val="center"/>
          </w:tcPr>
          <w:p w14:paraId="02BF2983">
            <w:pPr>
              <w:pStyle w:val="13"/>
            </w:pPr>
          </w:p>
        </w:tc>
        <w:tc>
          <w:tcPr>
            <w:tcW w:w="1134" w:type="dxa"/>
            <w:tcBorders>
              <w:top w:val="nil"/>
            </w:tcBorders>
            <w:vAlign w:val="center"/>
          </w:tcPr>
          <w:p w14:paraId="7AA83318">
            <w:pPr>
              <w:pStyle w:val="13"/>
            </w:pPr>
          </w:p>
        </w:tc>
        <w:tc>
          <w:tcPr>
            <w:tcW w:w="4252" w:type="dxa"/>
            <w:tcBorders>
              <w:top w:val="nil"/>
            </w:tcBorders>
            <w:vAlign w:val="center"/>
          </w:tcPr>
          <w:p w14:paraId="21BD1BE1">
            <w:pPr>
              <w:pStyle w:val="13"/>
            </w:pPr>
          </w:p>
        </w:tc>
      </w:tr>
      <w:tr w14:paraId="0F2344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218FFB60">
            <w:pPr>
              <w:pStyle w:val="13"/>
            </w:pPr>
          </w:p>
        </w:tc>
        <w:tc>
          <w:tcPr>
            <w:tcW w:w="1418" w:type="dxa"/>
            <w:vAlign w:val="center"/>
          </w:tcPr>
          <w:p w14:paraId="2BAB4CD8">
            <w:pPr>
              <w:pStyle w:val="13"/>
            </w:pPr>
          </w:p>
        </w:tc>
        <w:tc>
          <w:tcPr>
            <w:tcW w:w="1134" w:type="dxa"/>
            <w:vAlign w:val="center"/>
          </w:tcPr>
          <w:p w14:paraId="65AFD26F">
            <w:pPr>
              <w:pStyle w:val="13"/>
            </w:pPr>
          </w:p>
        </w:tc>
        <w:tc>
          <w:tcPr>
            <w:tcW w:w="1134" w:type="dxa"/>
            <w:vAlign w:val="center"/>
          </w:tcPr>
          <w:p w14:paraId="2528CF9B">
            <w:pPr>
              <w:pStyle w:val="13"/>
            </w:pPr>
          </w:p>
        </w:tc>
        <w:tc>
          <w:tcPr>
            <w:tcW w:w="4252" w:type="dxa"/>
            <w:vAlign w:val="center"/>
          </w:tcPr>
          <w:p w14:paraId="29B13AA3">
            <w:pPr>
              <w:pStyle w:val="13"/>
            </w:pPr>
          </w:p>
        </w:tc>
      </w:tr>
      <w:tr w14:paraId="2C35EF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6F763F8">
            <w:pPr>
              <w:pStyle w:val="13"/>
            </w:pPr>
            <w:r>
              <w:t>其他人员</w:t>
            </w:r>
          </w:p>
        </w:tc>
        <w:tc>
          <w:tcPr>
            <w:tcW w:w="1418" w:type="dxa"/>
            <w:vAlign w:val="center"/>
          </w:tcPr>
          <w:p w14:paraId="6BC2FD7A">
            <w:pPr>
              <w:pStyle w:val="13"/>
            </w:pPr>
          </w:p>
        </w:tc>
        <w:tc>
          <w:tcPr>
            <w:tcW w:w="1134" w:type="dxa"/>
            <w:vAlign w:val="center"/>
          </w:tcPr>
          <w:p w14:paraId="3283301A">
            <w:pPr>
              <w:pStyle w:val="13"/>
            </w:pPr>
          </w:p>
        </w:tc>
        <w:tc>
          <w:tcPr>
            <w:tcW w:w="1134" w:type="dxa"/>
            <w:vAlign w:val="center"/>
          </w:tcPr>
          <w:p w14:paraId="6DD915CE">
            <w:pPr>
              <w:pStyle w:val="13"/>
            </w:pPr>
          </w:p>
        </w:tc>
        <w:tc>
          <w:tcPr>
            <w:tcW w:w="4252" w:type="dxa"/>
            <w:vAlign w:val="center"/>
          </w:tcPr>
          <w:p w14:paraId="3C26812A">
            <w:pPr>
              <w:pStyle w:val="13"/>
            </w:pPr>
          </w:p>
        </w:tc>
      </w:tr>
      <w:tr w14:paraId="25B066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2C326AD4">
            <w:pPr>
              <w:pStyle w:val="13"/>
            </w:pPr>
          </w:p>
        </w:tc>
        <w:tc>
          <w:tcPr>
            <w:tcW w:w="1418" w:type="dxa"/>
            <w:vAlign w:val="center"/>
          </w:tcPr>
          <w:p w14:paraId="2539129F">
            <w:pPr>
              <w:pStyle w:val="13"/>
            </w:pPr>
          </w:p>
        </w:tc>
        <w:tc>
          <w:tcPr>
            <w:tcW w:w="1134" w:type="dxa"/>
            <w:vAlign w:val="center"/>
          </w:tcPr>
          <w:p w14:paraId="198C1BCE">
            <w:pPr>
              <w:pStyle w:val="13"/>
            </w:pPr>
          </w:p>
        </w:tc>
        <w:tc>
          <w:tcPr>
            <w:tcW w:w="1134" w:type="dxa"/>
            <w:vAlign w:val="center"/>
          </w:tcPr>
          <w:p w14:paraId="2F137099">
            <w:pPr>
              <w:pStyle w:val="13"/>
            </w:pPr>
          </w:p>
        </w:tc>
        <w:tc>
          <w:tcPr>
            <w:tcW w:w="4252" w:type="dxa"/>
            <w:vAlign w:val="center"/>
          </w:tcPr>
          <w:p w14:paraId="17D3715B">
            <w:pPr>
              <w:pStyle w:val="13"/>
            </w:pPr>
          </w:p>
        </w:tc>
      </w:tr>
      <w:tr w14:paraId="757990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7B548B86">
            <w:pPr>
              <w:pStyle w:val="13"/>
            </w:pPr>
            <w:r>
              <w:t>二、现场人员</w:t>
            </w:r>
          </w:p>
        </w:tc>
      </w:tr>
      <w:tr w14:paraId="14672C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3A11D0E">
            <w:pPr>
              <w:pStyle w:val="13"/>
            </w:pPr>
            <w:r>
              <w:t>项目经理</w:t>
            </w:r>
          </w:p>
        </w:tc>
        <w:tc>
          <w:tcPr>
            <w:tcW w:w="1418" w:type="dxa"/>
            <w:vAlign w:val="center"/>
          </w:tcPr>
          <w:p w14:paraId="66E48883">
            <w:pPr>
              <w:pStyle w:val="13"/>
            </w:pPr>
          </w:p>
        </w:tc>
        <w:tc>
          <w:tcPr>
            <w:tcW w:w="1134" w:type="dxa"/>
            <w:vAlign w:val="center"/>
          </w:tcPr>
          <w:p w14:paraId="6855EF0A">
            <w:pPr>
              <w:pStyle w:val="13"/>
            </w:pPr>
          </w:p>
        </w:tc>
        <w:tc>
          <w:tcPr>
            <w:tcW w:w="1134" w:type="dxa"/>
            <w:vAlign w:val="center"/>
          </w:tcPr>
          <w:p w14:paraId="43C05096">
            <w:pPr>
              <w:pStyle w:val="13"/>
            </w:pPr>
          </w:p>
        </w:tc>
        <w:tc>
          <w:tcPr>
            <w:tcW w:w="4252" w:type="dxa"/>
            <w:vAlign w:val="center"/>
          </w:tcPr>
          <w:p w14:paraId="43E0714B">
            <w:pPr>
              <w:pStyle w:val="13"/>
            </w:pPr>
          </w:p>
        </w:tc>
      </w:tr>
      <w:tr w14:paraId="2B695E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516A3B2">
            <w:pPr>
              <w:pStyle w:val="13"/>
            </w:pPr>
            <w:r>
              <w:t>项目副经理</w:t>
            </w:r>
          </w:p>
        </w:tc>
        <w:tc>
          <w:tcPr>
            <w:tcW w:w="1418" w:type="dxa"/>
            <w:vAlign w:val="center"/>
          </w:tcPr>
          <w:p w14:paraId="6092CC56">
            <w:pPr>
              <w:pStyle w:val="13"/>
            </w:pPr>
          </w:p>
        </w:tc>
        <w:tc>
          <w:tcPr>
            <w:tcW w:w="1134" w:type="dxa"/>
            <w:vAlign w:val="center"/>
          </w:tcPr>
          <w:p w14:paraId="7AB5F5ED">
            <w:pPr>
              <w:pStyle w:val="13"/>
            </w:pPr>
          </w:p>
        </w:tc>
        <w:tc>
          <w:tcPr>
            <w:tcW w:w="1134" w:type="dxa"/>
            <w:vAlign w:val="center"/>
          </w:tcPr>
          <w:p w14:paraId="31A87A83">
            <w:pPr>
              <w:pStyle w:val="13"/>
            </w:pPr>
          </w:p>
        </w:tc>
        <w:tc>
          <w:tcPr>
            <w:tcW w:w="4252" w:type="dxa"/>
            <w:vAlign w:val="center"/>
          </w:tcPr>
          <w:p w14:paraId="2770BF58">
            <w:pPr>
              <w:pStyle w:val="13"/>
            </w:pPr>
          </w:p>
        </w:tc>
      </w:tr>
      <w:tr w14:paraId="1B12FB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46C4ACD">
            <w:pPr>
              <w:pStyle w:val="13"/>
            </w:pPr>
            <w:r>
              <w:t>技术负责人</w:t>
            </w:r>
          </w:p>
        </w:tc>
        <w:tc>
          <w:tcPr>
            <w:tcW w:w="1418" w:type="dxa"/>
            <w:vAlign w:val="center"/>
          </w:tcPr>
          <w:p w14:paraId="497E48A1">
            <w:pPr>
              <w:pStyle w:val="13"/>
            </w:pPr>
          </w:p>
        </w:tc>
        <w:tc>
          <w:tcPr>
            <w:tcW w:w="1134" w:type="dxa"/>
            <w:vAlign w:val="center"/>
          </w:tcPr>
          <w:p w14:paraId="0CB51E23">
            <w:pPr>
              <w:pStyle w:val="13"/>
            </w:pPr>
          </w:p>
        </w:tc>
        <w:tc>
          <w:tcPr>
            <w:tcW w:w="1134" w:type="dxa"/>
            <w:vAlign w:val="center"/>
          </w:tcPr>
          <w:p w14:paraId="1B51C96F">
            <w:pPr>
              <w:pStyle w:val="13"/>
            </w:pPr>
          </w:p>
        </w:tc>
        <w:tc>
          <w:tcPr>
            <w:tcW w:w="4252" w:type="dxa"/>
            <w:vAlign w:val="center"/>
          </w:tcPr>
          <w:p w14:paraId="2BA95AF4">
            <w:pPr>
              <w:pStyle w:val="13"/>
            </w:pPr>
          </w:p>
        </w:tc>
      </w:tr>
      <w:tr w14:paraId="71C286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256049D">
            <w:pPr>
              <w:pStyle w:val="13"/>
            </w:pPr>
            <w:r>
              <w:t>造价管理</w:t>
            </w:r>
          </w:p>
        </w:tc>
        <w:tc>
          <w:tcPr>
            <w:tcW w:w="1418" w:type="dxa"/>
            <w:vAlign w:val="center"/>
          </w:tcPr>
          <w:p w14:paraId="78FBCA02">
            <w:pPr>
              <w:pStyle w:val="13"/>
            </w:pPr>
          </w:p>
        </w:tc>
        <w:tc>
          <w:tcPr>
            <w:tcW w:w="1134" w:type="dxa"/>
            <w:vAlign w:val="center"/>
          </w:tcPr>
          <w:p w14:paraId="6E8199CC">
            <w:pPr>
              <w:pStyle w:val="13"/>
            </w:pPr>
          </w:p>
        </w:tc>
        <w:tc>
          <w:tcPr>
            <w:tcW w:w="1134" w:type="dxa"/>
            <w:vAlign w:val="center"/>
          </w:tcPr>
          <w:p w14:paraId="7CF616AD">
            <w:pPr>
              <w:pStyle w:val="13"/>
            </w:pPr>
          </w:p>
        </w:tc>
        <w:tc>
          <w:tcPr>
            <w:tcW w:w="4252" w:type="dxa"/>
            <w:vAlign w:val="center"/>
          </w:tcPr>
          <w:p w14:paraId="07D0D686">
            <w:pPr>
              <w:pStyle w:val="13"/>
            </w:pPr>
          </w:p>
        </w:tc>
      </w:tr>
      <w:tr w14:paraId="12F6F7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EBE3CE9">
            <w:pPr>
              <w:pStyle w:val="13"/>
            </w:pPr>
            <w:r>
              <w:t>质量管理</w:t>
            </w:r>
          </w:p>
        </w:tc>
        <w:tc>
          <w:tcPr>
            <w:tcW w:w="1418" w:type="dxa"/>
            <w:vAlign w:val="center"/>
          </w:tcPr>
          <w:p w14:paraId="73338D2F">
            <w:pPr>
              <w:pStyle w:val="13"/>
            </w:pPr>
          </w:p>
        </w:tc>
        <w:tc>
          <w:tcPr>
            <w:tcW w:w="1134" w:type="dxa"/>
            <w:vAlign w:val="center"/>
          </w:tcPr>
          <w:p w14:paraId="1BBC3C69">
            <w:pPr>
              <w:pStyle w:val="13"/>
            </w:pPr>
          </w:p>
        </w:tc>
        <w:tc>
          <w:tcPr>
            <w:tcW w:w="1134" w:type="dxa"/>
            <w:vAlign w:val="center"/>
          </w:tcPr>
          <w:p w14:paraId="1F665732">
            <w:pPr>
              <w:pStyle w:val="13"/>
            </w:pPr>
          </w:p>
        </w:tc>
        <w:tc>
          <w:tcPr>
            <w:tcW w:w="4252" w:type="dxa"/>
            <w:vAlign w:val="center"/>
          </w:tcPr>
          <w:p w14:paraId="342BE4D8">
            <w:pPr>
              <w:pStyle w:val="13"/>
            </w:pPr>
          </w:p>
        </w:tc>
      </w:tr>
      <w:tr w14:paraId="7078A0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2780E853">
            <w:pPr>
              <w:pStyle w:val="13"/>
            </w:pPr>
            <w:r>
              <w:t>材料管理</w:t>
            </w:r>
          </w:p>
        </w:tc>
        <w:tc>
          <w:tcPr>
            <w:tcW w:w="1418" w:type="dxa"/>
            <w:vAlign w:val="center"/>
          </w:tcPr>
          <w:p w14:paraId="175D8C4D">
            <w:pPr>
              <w:pStyle w:val="13"/>
            </w:pPr>
          </w:p>
        </w:tc>
        <w:tc>
          <w:tcPr>
            <w:tcW w:w="1134" w:type="dxa"/>
            <w:vAlign w:val="center"/>
          </w:tcPr>
          <w:p w14:paraId="7ADC18C5">
            <w:pPr>
              <w:pStyle w:val="13"/>
            </w:pPr>
          </w:p>
        </w:tc>
        <w:tc>
          <w:tcPr>
            <w:tcW w:w="1134" w:type="dxa"/>
            <w:vAlign w:val="center"/>
          </w:tcPr>
          <w:p w14:paraId="68AF439C">
            <w:pPr>
              <w:pStyle w:val="13"/>
            </w:pPr>
          </w:p>
        </w:tc>
        <w:tc>
          <w:tcPr>
            <w:tcW w:w="4252" w:type="dxa"/>
            <w:vAlign w:val="center"/>
          </w:tcPr>
          <w:p w14:paraId="26C1B63A">
            <w:pPr>
              <w:pStyle w:val="13"/>
            </w:pPr>
          </w:p>
        </w:tc>
      </w:tr>
      <w:tr w14:paraId="32DA5D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EC13227">
            <w:pPr>
              <w:pStyle w:val="13"/>
            </w:pPr>
            <w:r>
              <w:t>计划管理</w:t>
            </w:r>
          </w:p>
        </w:tc>
        <w:tc>
          <w:tcPr>
            <w:tcW w:w="1418" w:type="dxa"/>
            <w:vAlign w:val="center"/>
          </w:tcPr>
          <w:p w14:paraId="34ADEE97">
            <w:pPr>
              <w:pStyle w:val="13"/>
            </w:pPr>
          </w:p>
        </w:tc>
        <w:tc>
          <w:tcPr>
            <w:tcW w:w="1134" w:type="dxa"/>
            <w:vAlign w:val="center"/>
          </w:tcPr>
          <w:p w14:paraId="0FA6EA54">
            <w:pPr>
              <w:pStyle w:val="13"/>
            </w:pPr>
          </w:p>
        </w:tc>
        <w:tc>
          <w:tcPr>
            <w:tcW w:w="1134" w:type="dxa"/>
            <w:vAlign w:val="center"/>
          </w:tcPr>
          <w:p w14:paraId="11785955">
            <w:pPr>
              <w:pStyle w:val="13"/>
            </w:pPr>
          </w:p>
        </w:tc>
        <w:tc>
          <w:tcPr>
            <w:tcW w:w="4252" w:type="dxa"/>
            <w:vAlign w:val="center"/>
          </w:tcPr>
          <w:p w14:paraId="5107C9ED">
            <w:pPr>
              <w:pStyle w:val="13"/>
            </w:pPr>
          </w:p>
        </w:tc>
      </w:tr>
      <w:tr w14:paraId="0C02F7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E4EEBA6">
            <w:pPr>
              <w:pStyle w:val="13"/>
            </w:pPr>
            <w:r>
              <w:t>安全管理</w:t>
            </w:r>
          </w:p>
        </w:tc>
        <w:tc>
          <w:tcPr>
            <w:tcW w:w="1418" w:type="dxa"/>
            <w:vAlign w:val="center"/>
          </w:tcPr>
          <w:p w14:paraId="34B34ABF">
            <w:pPr>
              <w:pStyle w:val="13"/>
            </w:pPr>
          </w:p>
        </w:tc>
        <w:tc>
          <w:tcPr>
            <w:tcW w:w="1134" w:type="dxa"/>
            <w:vAlign w:val="center"/>
          </w:tcPr>
          <w:p w14:paraId="5D475C93">
            <w:pPr>
              <w:pStyle w:val="13"/>
            </w:pPr>
          </w:p>
        </w:tc>
        <w:tc>
          <w:tcPr>
            <w:tcW w:w="1134" w:type="dxa"/>
            <w:vAlign w:val="center"/>
          </w:tcPr>
          <w:p w14:paraId="15B74F6B">
            <w:pPr>
              <w:pStyle w:val="13"/>
            </w:pPr>
          </w:p>
        </w:tc>
        <w:tc>
          <w:tcPr>
            <w:tcW w:w="4252" w:type="dxa"/>
            <w:vAlign w:val="center"/>
          </w:tcPr>
          <w:p w14:paraId="346E7172">
            <w:pPr>
              <w:pStyle w:val="13"/>
            </w:pPr>
          </w:p>
        </w:tc>
      </w:tr>
      <w:tr w14:paraId="4CD91A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68D943B0">
            <w:pPr>
              <w:pStyle w:val="13"/>
            </w:pPr>
            <w:r>
              <w:t>其他人员</w:t>
            </w:r>
          </w:p>
        </w:tc>
        <w:tc>
          <w:tcPr>
            <w:tcW w:w="1418" w:type="dxa"/>
            <w:vAlign w:val="center"/>
          </w:tcPr>
          <w:p w14:paraId="7206B603">
            <w:pPr>
              <w:pStyle w:val="13"/>
            </w:pPr>
          </w:p>
        </w:tc>
        <w:tc>
          <w:tcPr>
            <w:tcW w:w="1134" w:type="dxa"/>
            <w:vAlign w:val="center"/>
          </w:tcPr>
          <w:p w14:paraId="068193B2">
            <w:pPr>
              <w:pStyle w:val="13"/>
            </w:pPr>
          </w:p>
        </w:tc>
        <w:tc>
          <w:tcPr>
            <w:tcW w:w="1134" w:type="dxa"/>
            <w:vAlign w:val="center"/>
          </w:tcPr>
          <w:p w14:paraId="340BB7DB">
            <w:pPr>
              <w:pStyle w:val="13"/>
            </w:pPr>
          </w:p>
        </w:tc>
        <w:tc>
          <w:tcPr>
            <w:tcW w:w="4252" w:type="dxa"/>
            <w:vAlign w:val="center"/>
          </w:tcPr>
          <w:p w14:paraId="40991C22">
            <w:pPr>
              <w:pStyle w:val="13"/>
            </w:pPr>
          </w:p>
        </w:tc>
      </w:tr>
      <w:tr w14:paraId="46F923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3FD855F0">
            <w:pPr>
              <w:pStyle w:val="13"/>
            </w:pPr>
          </w:p>
        </w:tc>
        <w:tc>
          <w:tcPr>
            <w:tcW w:w="1418" w:type="dxa"/>
            <w:vAlign w:val="center"/>
          </w:tcPr>
          <w:p w14:paraId="6965BFD0">
            <w:pPr>
              <w:pStyle w:val="13"/>
            </w:pPr>
          </w:p>
        </w:tc>
        <w:tc>
          <w:tcPr>
            <w:tcW w:w="1134" w:type="dxa"/>
            <w:vAlign w:val="center"/>
          </w:tcPr>
          <w:p w14:paraId="7F7C706A">
            <w:pPr>
              <w:pStyle w:val="13"/>
            </w:pPr>
          </w:p>
        </w:tc>
        <w:tc>
          <w:tcPr>
            <w:tcW w:w="1134" w:type="dxa"/>
            <w:vAlign w:val="center"/>
          </w:tcPr>
          <w:p w14:paraId="63F19B40">
            <w:pPr>
              <w:pStyle w:val="13"/>
            </w:pPr>
          </w:p>
        </w:tc>
        <w:tc>
          <w:tcPr>
            <w:tcW w:w="4252" w:type="dxa"/>
            <w:vAlign w:val="center"/>
          </w:tcPr>
          <w:p w14:paraId="46DDD31F">
            <w:pPr>
              <w:pStyle w:val="13"/>
            </w:pPr>
          </w:p>
        </w:tc>
      </w:tr>
    </w:tbl>
    <w:p w14:paraId="5EC76A29">
      <w:pPr>
        <w:spacing w:before="156" w:beforeLines="50" w:after="156" w:afterLines="50" w:line="440" w:lineRule="exact"/>
        <w:jc w:val="left"/>
        <w:outlineLvl w:val="3"/>
        <w:rPr>
          <w:color w:val="000000" w:themeColor="text1"/>
          <w:sz w:val="30"/>
          <w14:textFill>
            <w14:solidFill>
              <w14:schemeClr w14:val="tx1"/>
            </w14:solidFill>
          </w14:textFill>
        </w:rPr>
      </w:pPr>
      <w:r>
        <w:rPr>
          <w:rFonts w:eastAsia="仿宋_GB2312"/>
          <w:color w:val="000000" w:themeColor="text1"/>
          <w:sz w:val="30"/>
          <w:szCs w:val="30"/>
          <w14:textFill>
            <w14:solidFill>
              <w14:schemeClr w14:val="tx1"/>
            </w14:solidFill>
          </w14:textFill>
        </w:rPr>
        <w:br w:type="page"/>
      </w:r>
      <w:bookmarkStart w:id="717" w:name="_Toc267261701"/>
      <w:r>
        <w:rPr>
          <w:color w:val="000000" w:themeColor="text1"/>
          <w:sz w:val="30"/>
          <w14:textFill>
            <w14:solidFill>
              <w14:schemeClr w14:val="tx1"/>
            </w14:solidFill>
          </w14:textFill>
        </w:rPr>
        <w:t>附</w:t>
      </w:r>
      <w:bookmarkStart w:id="718" w:name="_Toc296347230"/>
      <w:bookmarkStart w:id="719" w:name="_Toc296944570"/>
      <w:bookmarkStart w:id="720" w:name="_Toc296891271"/>
      <w:bookmarkStart w:id="721" w:name="_Toc296346732"/>
      <w:bookmarkStart w:id="722" w:name="_Toc296891059"/>
      <w:bookmarkStart w:id="723" w:name="_Toc296503231"/>
      <w:r>
        <w:rPr>
          <w:color w:val="000000" w:themeColor="text1"/>
          <w:sz w:val="30"/>
          <w14:textFill>
            <w14:solidFill>
              <w14:schemeClr w14:val="tx1"/>
            </w14:solidFill>
          </w14:textFill>
        </w:rPr>
        <w:t>件7：</w:t>
      </w:r>
    </w:p>
    <w:bookmarkEnd w:id="717"/>
    <w:bookmarkEnd w:id="718"/>
    <w:bookmarkEnd w:id="719"/>
    <w:bookmarkEnd w:id="720"/>
    <w:bookmarkEnd w:id="721"/>
    <w:bookmarkEnd w:id="722"/>
    <w:bookmarkEnd w:id="723"/>
    <w:p w14:paraId="2340878E">
      <w:pPr>
        <w:spacing w:before="156" w:beforeLines="50" w:after="156" w:afterLines="50" w:line="440" w:lineRule="exact"/>
        <w:jc w:val="center"/>
        <w:rPr>
          <w:rFonts w:eastAsia="黑体"/>
          <w:color w:val="000000" w:themeColor="text1"/>
          <w:sz w:val="32"/>
          <w14:textFill>
            <w14:solidFill>
              <w14:schemeClr w14:val="tx1"/>
            </w14:solidFill>
          </w14:textFill>
        </w:rPr>
      </w:pPr>
      <w:r>
        <w:rPr>
          <w:rFonts w:eastAsia="黑体"/>
          <w:color w:val="000000" w:themeColor="text1"/>
          <w:sz w:val="32"/>
          <w14:textFill>
            <w14:solidFill>
              <w14:schemeClr w14:val="tx1"/>
            </w14:solidFill>
          </w14:textFill>
        </w:rPr>
        <w:t>履约担保</w:t>
      </w:r>
    </w:p>
    <w:p w14:paraId="7D9D1232">
      <w:pPr>
        <w:spacing w:line="360" w:lineRule="auto"/>
        <w:jc w:val="center"/>
      </w:pPr>
      <w:r>
        <w:rPr>
          <w:rFonts w:eastAsia="仿宋_GB2312"/>
          <w:sz w:val="28"/>
          <w:szCs w:val="28"/>
        </w:rPr>
        <w:t>(示例格式，以最终银行开具履约担保格式为准）</w:t>
      </w:r>
    </w:p>
    <w:p w14:paraId="0DD01089">
      <w:pPr>
        <w:spacing w:line="440" w:lineRule="exact"/>
        <w:rPr>
          <w:rFonts w:eastAsia="仿宋_GB2312"/>
          <w:color w:val="000000" w:themeColor="text1"/>
          <w:sz w:val="30"/>
          <w:szCs w:val="30"/>
          <w14:textFill>
            <w14:solidFill>
              <w14:schemeClr w14:val="tx1"/>
            </w14:solidFill>
          </w14:textFill>
        </w:rPr>
      </w:pP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14:textFill>
            <w14:solidFill>
              <w14:schemeClr w14:val="tx1"/>
            </w14:solidFill>
          </w14:textFill>
        </w:rPr>
        <w:t>（发包人名称）：</w:t>
      </w:r>
    </w:p>
    <w:p w14:paraId="021721BA">
      <w:pPr>
        <w:spacing w:line="440" w:lineRule="exact"/>
        <w:rPr>
          <w:rFonts w:eastAsia="仿宋_GB2312"/>
          <w:color w:val="000000" w:themeColor="text1"/>
          <w:sz w:val="30"/>
          <w:szCs w:val="30"/>
          <w14:textFill>
            <w14:solidFill>
              <w14:schemeClr w14:val="tx1"/>
            </w14:solidFill>
          </w14:textFill>
        </w:rPr>
      </w:pPr>
    </w:p>
    <w:p w14:paraId="4C759AC3">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鉴于</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（发包人名称，以下简称“发包人”）与</w:t>
      </w:r>
    </w:p>
    <w:p w14:paraId="56BEFB8A">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（承包人名称）（以下称“承包人”）于</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年</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月</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日就</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（工程名称）施工及有关事项协商一致共同签订《建设工程施工合同》。我方愿意无条件地、不可撤销地就承包人履行与你方签订的合同，向你方提供连带责任担保。 </w:t>
      </w:r>
    </w:p>
    <w:p w14:paraId="77C4BFA9">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 担保金额人民币（大写）</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元（¥</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w:t>
      </w:r>
    </w:p>
    <w:p w14:paraId="51F9B120">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 担保有效期自你方与承包人签订的合同生效之日起至你方签发或应签发工程接收证书之日止。</w:t>
      </w:r>
    </w:p>
    <w:p w14:paraId="730D06D7">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 在本担保有效期内，因承包人违反合同约定的义务给你方造成经济损失时，我方在收到你方以书面形式提出的在担保金额内的赔偿要求后，在7天内无条件支付。</w:t>
      </w:r>
    </w:p>
    <w:p w14:paraId="55CC6DBA">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 你方和承包人按合同约定变更合同时，我方承担本担保规定的义务不变。</w:t>
      </w:r>
    </w:p>
    <w:p w14:paraId="1E9A49B8">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 因本保函发生的纠纷，可由双方协商解决，协商不成的，任何一方均可向</w:t>
      </w:r>
      <w:r>
        <w:rPr>
          <w:rFonts w:eastAsia="仿宋_GB2312"/>
          <w:color w:val="000000" w:themeColor="text1"/>
          <w:sz w:val="30"/>
          <w:szCs w:val="30"/>
          <w:u w:val="single"/>
          <w14:textFill>
            <w14:solidFill>
              <w14:schemeClr w14:val="tx1"/>
            </w14:solidFill>
          </w14:textFill>
        </w:rPr>
        <w:t>建设工程所在地</w:t>
      </w:r>
      <w:r>
        <w:rPr>
          <w:rFonts w:eastAsia="仿宋_GB2312"/>
          <w:color w:val="000000" w:themeColor="text1"/>
          <w:sz w:val="30"/>
          <w:szCs w:val="30"/>
          <w14:textFill>
            <w14:solidFill>
              <w14:schemeClr w14:val="tx1"/>
            </w14:solidFill>
          </w14:textFill>
        </w:rPr>
        <w:t>有管辖权的人</w:t>
      </w:r>
      <w:r>
        <w:rPr>
          <w:rFonts w:eastAsia="仿宋_GB2312"/>
          <w:color w:val="000000" w:themeColor="text1"/>
          <w:sz w:val="30"/>
          <w:szCs w:val="32"/>
          <w14:textFill>
            <w14:solidFill>
              <w14:schemeClr w14:val="tx1"/>
            </w14:solidFill>
          </w14:textFill>
        </w:rPr>
        <w:t>民法院起诉解决</w:t>
      </w:r>
      <w:r>
        <w:rPr>
          <w:rFonts w:eastAsia="仿宋_GB2312"/>
          <w:color w:val="000000" w:themeColor="text1"/>
          <w:sz w:val="30"/>
          <w:szCs w:val="30"/>
          <w14:textFill>
            <w14:solidFill>
              <w14:schemeClr w14:val="tx1"/>
            </w14:solidFill>
          </w14:textFill>
        </w:rPr>
        <w:t>。</w:t>
      </w:r>
    </w:p>
    <w:p w14:paraId="200AE6D2">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6. 本保函自我方法定代表人（或其授权代理人）签字并盖章之日起生效。</w:t>
      </w:r>
    </w:p>
    <w:p w14:paraId="5D45CAFF">
      <w:pPr>
        <w:spacing w:line="360" w:lineRule="auto"/>
        <w:rPr>
          <w:rFonts w:eastAsia="仿宋_GB2312"/>
          <w:color w:val="000000" w:themeColor="text1"/>
          <w:sz w:val="30"/>
          <w:szCs w:val="30"/>
          <w14:textFill>
            <w14:solidFill>
              <w14:schemeClr w14:val="tx1"/>
            </w14:solidFill>
          </w14:textFill>
        </w:rPr>
      </w:pPr>
    </w:p>
    <w:p w14:paraId="59898821">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担 保 人：</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（盖单位章）</w:t>
      </w:r>
    </w:p>
    <w:p w14:paraId="0C383E9F">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法定代表人或其委托代理人：</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（签字）</w:t>
      </w:r>
    </w:p>
    <w:p w14:paraId="64C70B10">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地    址：</w:t>
      </w:r>
      <w:r>
        <w:rPr>
          <w:rFonts w:eastAsia="仿宋_GB2312"/>
          <w:color w:val="000000" w:themeColor="text1"/>
          <w:sz w:val="30"/>
          <w:szCs w:val="30"/>
          <w:u w:val="single"/>
          <w14:textFill>
            <w14:solidFill>
              <w14:schemeClr w14:val="tx1"/>
            </w14:solidFill>
          </w14:textFill>
        </w:rPr>
        <w:t xml:space="preserve">                                      </w:t>
      </w:r>
    </w:p>
    <w:p w14:paraId="43005295">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邮政编码：</w:t>
      </w:r>
      <w:r>
        <w:rPr>
          <w:rFonts w:eastAsia="仿宋_GB2312"/>
          <w:color w:val="000000" w:themeColor="text1"/>
          <w:sz w:val="30"/>
          <w:szCs w:val="30"/>
          <w:u w:val="single"/>
          <w14:textFill>
            <w14:solidFill>
              <w14:schemeClr w14:val="tx1"/>
            </w14:solidFill>
          </w14:textFill>
        </w:rPr>
        <w:t xml:space="preserve">                                      </w:t>
      </w:r>
    </w:p>
    <w:p w14:paraId="7E6CFBF0">
      <w:pPr>
        <w:spacing w:line="360" w:lineRule="auto"/>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电    话：</w:t>
      </w:r>
      <w:r>
        <w:rPr>
          <w:rFonts w:eastAsia="仿宋_GB2312"/>
          <w:color w:val="000000" w:themeColor="text1"/>
          <w:sz w:val="30"/>
          <w:szCs w:val="30"/>
          <w:u w:val="single"/>
          <w14:textFill>
            <w14:solidFill>
              <w14:schemeClr w14:val="tx1"/>
            </w14:solidFill>
          </w14:textFill>
        </w:rPr>
        <w:t xml:space="preserve">                                      </w:t>
      </w:r>
    </w:p>
    <w:p w14:paraId="360A0FEA">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传    真：</w:t>
      </w:r>
      <w:r>
        <w:rPr>
          <w:rFonts w:eastAsia="仿宋_GB2312"/>
          <w:color w:val="000000" w:themeColor="text1"/>
          <w:sz w:val="30"/>
          <w:szCs w:val="30"/>
          <w:u w:val="single"/>
          <w14:textFill>
            <w14:solidFill>
              <w14:schemeClr w14:val="tx1"/>
            </w14:solidFill>
          </w14:textFill>
        </w:rPr>
        <w:t xml:space="preserve">                                      </w:t>
      </w:r>
    </w:p>
    <w:p w14:paraId="3B1142E0">
      <w:pPr>
        <w:spacing w:line="360" w:lineRule="auto"/>
        <w:jc w:val="left"/>
        <w:rPr>
          <w:rFonts w:eastAsia="仿宋_GB2312"/>
          <w:color w:val="000000" w:themeColor="text1"/>
          <w:sz w:val="30"/>
          <w:szCs w:val="30"/>
          <w:u w:val="single"/>
          <w14:textFill>
            <w14:solidFill>
              <w14:schemeClr w14:val="tx1"/>
            </w14:solidFill>
          </w14:textFill>
        </w:rPr>
      </w:pPr>
    </w:p>
    <w:p w14:paraId="203F4E10">
      <w:pPr>
        <w:spacing w:line="360" w:lineRule="auto"/>
        <w:ind w:left="1899" w:hanging="1899" w:hangingChars="633"/>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年</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月</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日</w:t>
      </w:r>
    </w:p>
    <w:p w14:paraId="37A2889D">
      <w:pPr>
        <w:spacing w:line="360" w:lineRule="auto"/>
        <w:ind w:left="1899" w:hanging="1899" w:hangingChars="633"/>
        <w:rPr>
          <w:rFonts w:eastAsia="仿宋_GB2312"/>
          <w:color w:val="000000" w:themeColor="text1"/>
          <w:sz w:val="30"/>
          <w:szCs w:val="30"/>
          <w14:textFill>
            <w14:solidFill>
              <w14:schemeClr w14:val="tx1"/>
            </w14:solidFill>
          </w14:textFill>
        </w:rPr>
      </w:pPr>
    </w:p>
    <w:p w14:paraId="715FCFD7">
      <w:pPr>
        <w:spacing w:line="360" w:lineRule="auto"/>
        <w:ind w:left="1899" w:hanging="1899" w:hangingChars="633"/>
        <w:rPr>
          <w:rFonts w:eastAsia="仿宋_GB2312"/>
          <w:color w:val="000000" w:themeColor="text1"/>
          <w:sz w:val="30"/>
          <w:szCs w:val="30"/>
          <w14:textFill>
            <w14:solidFill>
              <w14:schemeClr w14:val="tx1"/>
            </w14:solidFill>
          </w14:textFill>
        </w:rPr>
      </w:pPr>
    </w:p>
    <w:p w14:paraId="03B55F06">
      <w:pPr>
        <w:spacing w:line="360" w:lineRule="auto"/>
        <w:ind w:left="1899" w:hanging="1899" w:hangingChars="633"/>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br w:type="page"/>
      </w:r>
    </w:p>
    <w:p w14:paraId="600B1CA7">
      <w:pPr>
        <w:spacing w:before="156" w:beforeLines="50" w:after="156" w:afterLines="50" w:line="440" w:lineRule="exact"/>
        <w:jc w:val="left"/>
        <w:outlineLvl w:val="3"/>
        <w:rPr>
          <w:color w:val="000000" w:themeColor="text1"/>
          <w:sz w:val="30"/>
          <w14:textFill>
            <w14:solidFill>
              <w14:schemeClr w14:val="tx1"/>
            </w14:solidFill>
          </w14:textFill>
        </w:rPr>
      </w:pPr>
      <w:r>
        <w:rPr>
          <w:color w:val="000000" w:themeColor="text1"/>
          <w:sz w:val="30"/>
          <w14:textFill>
            <w14:solidFill>
              <w14:schemeClr w14:val="tx1"/>
            </w14:solidFill>
          </w14:textFill>
        </w:rPr>
        <w:t>附</w:t>
      </w:r>
      <w:bookmarkStart w:id="724" w:name="_Toc296503232"/>
      <w:bookmarkStart w:id="725" w:name="_Toc267261702"/>
      <w:bookmarkStart w:id="726" w:name="_Toc296944571"/>
      <w:bookmarkStart w:id="727" w:name="_Toc296891272"/>
      <w:bookmarkStart w:id="728" w:name="_Toc296891060"/>
      <w:bookmarkStart w:id="729" w:name="_Toc296347231"/>
      <w:bookmarkStart w:id="730" w:name="_Toc296346733"/>
      <w:r>
        <w:rPr>
          <w:color w:val="000000" w:themeColor="text1"/>
          <w:sz w:val="30"/>
          <w14:textFill>
            <w14:solidFill>
              <w14:schemeClr w14:val="tx1"/>
            </w14:solidFill>
          </w14:textFill>
        </w:rPr>
        <w:t>件8 ：</w:t>
      </w:r>
    </w:p>
    <w:bookmarkEnd w:id="724"/>
    <w:bookmarkEnd w:id="725"/>
    <w:bookmarkEnd w:id="726"/>
    <w:bookmarkEnd w:id="727"/>
    <w:bookmarkEnd w:id="728"/>
    <w:bookmarkEnd w:id="729"/>
    <w:bookmarkEnd w:id="730"/>
    <w:p w14:paraId="25572AB4">
      <w:pPr>
        <w:spacing w:before="156" w:beforeLines="50" w:after="156" w:afterLines="50" w:line="440" w:lineRule="exact"/>
        <w:jc w:val="center"/>
        <w:rPr>
          <w:rFonts w:eastAsia="黑体"/>
          <w:color w:val="000000" w:themeColor="text1"/>
          <w:sz w:val="32"/>
          <w14:textFill>
            <w14:solidFill>
              <w14:schemeClr w14:val="tx1"/>
            </w14:solidFill>
          </w14:textFill>
        </w:rPr>
      </w:pPr>
      <w:r>
        <w:rPr>
          <w:rFonts w:eastAsia="黑体"/>
          <w:color w:val="000000" w:themeColor="text1"/>
          <w:sz w:val="32"/>
          <w14:textFill>
            <w14:solidFill>
              <w14:schemeClr w14:val="tx1"/>
            </w14:solidFill>
          </w14:textFill>
        </w:rPr>
        <w:t>预付款担保</w:t>
      </w:r>
    </w:p>
    <w:p w14:paraId="1C0E14C8">
      <w:pPr>
        <w:spacing w:line="360" w:lineRule="auto"/>
        <w:jc w:val="center"/>
      </w:pPr>
      <w:r>
        <w:rPr>
          <w:rFonts w:eastAsia="仿宋_GB2312"/>
          <w:sz w:val="28"/>
          <w:szCs w:val="28"/>
        </w:rPr>
        <w:t>(示例格式，以最终银行开具履约担保格式为准）</w:t>
      </w:r>
    </w:p>
    <w:p w14:paraId="63400AE1">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 xml:space="preserve"> （发包人名称）：</w:t>
      </w:r>
    </w:p>
    <w:p w14:paraId="2AEE4BDB">
      <w:pPr>
        <w:spacing w:line="360" w:lineRule="auto"/>
        <w:rPr>
          <w:rFonts w:eastAsia="仿宋_GB2312"/>
          <w:color w:val="000000" w:themeColor="text1"/>
          <w:sz w:val="30"/>
          <w:szCs w:val="30"/>
          <w14:textFill>
            <w14:solidFill>
              <w14:schemeClr w14:val="tx1"/>
            </w14:solidFill>
          </w14:textFill>
        </w:rPr>
      </w:pPr>
    </w:p>
    <w:p w14:paraId="12E0DC8A">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根据</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（承包人名称）（以下称“承包人”）与</w:t>
      </w:r>
    </w:p>
    <w:p w14:paraId="577954A7">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（发包人名称）（以下简称“发包人”）</w:t>
      </w:r>
    </w:p>
    <w:p w14:paraId="64B15F2F">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于</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年</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月</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日签订的</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（工程名称）《建设工程施工合同》，承包人按约定的金额向你方提交一份预付款担保，即有权得到你方支付相等金额的预付款。我方愿意就你方提供给承包人的预付款为承包人提供连带责任担保。</w:t>
      </w:r>
    </w:p>
    <w:p w14:paraId="039D8A16">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 担保金额人民币（大写）</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元（¥</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w:t>
      </w:r>
    </w:p>
    <w:p w14:paraId="4DC712B5">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 担保有效期自预付款支付给承包人起生效，至你方签发的进度款支付证书说明已完全扣清止。</w:t>
      </w:r>
    </w:p>
    <w:p w14:paraId="692583BE">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 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14:paraId="5F3BEFA1">
      <w:pPr>
        <w:spacing w:line="36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 你方和承包人按合同约定变更合同时，我方承担本保函规定的义务不变。</w:t>
      </w:r>
    </w:p>
    <w:p w14:paraId="1964EB00">
      <w:pPr>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 因本保函发生的纠纷，可由双方协商解决，协商不成的，任何一方均可向建设</w:t>
      </w:r>
      <w:r>
        <w:rPr>
          <w:rFonts w:eastAsia="仿宋"/>
          <w:color w:val="000000" w:themeColor="text1"/>
          <w:sz w:val="30"/>
          <w:szCs w:val="32"/>
          <w:u w:val="single"/>
          <w14:textFill>
            <w14:solidFill>
              <w14:schemeClr w14:val="tx1"/>
            </w14:solidFill>
          </w14:textFill>
        </w:rPr>
        <w:t>工程所在地有管辖权的</w:t>
      </w:r>
      <w:r>
        <w:rPr>
          <w:rFonts w:eastAsia="仿宋_GB2312"/>
          <w:color w:val="000000" w:themeColor="text1"/>
          <w:sz w:val="30"/>
          <w:szCs w:val="32"/>
          <w14:textFill>
            <w14:solidFill>
              <w14:schemeClr w14:val="tx1"/>
            </w14:solidFill>
          </w14:textFill>
        </w:rPr>
        <w:t>人民法院起诉解决</w:t>
      </w:r>
      <w:r>
        <w:rPr>
          <w:rFonts w:eastAsia="仿宋_GB2312"/>
          <w:color w:val="000000" w:themeColor="text1"/>
          <w:sz w:val="30"/>
          <w:szCs w:val="30"/>
          <w14:textFill>
            <w14:solidFill>
              <w14:schemeClr w14:val="tx1"/>
            </w14:solidFill>
          </w14:textFill>
        </w:rPr>
        <w:t>。</w:t>
      </w:r>
    </w:p>
    <w:p w14:paraId="4F982DF9">
      <w:pPr>
        <w:spacing w:line="360" w:lineRule="auto"/>
        <w:ind w:firstLine="600" w:firstLineChars="200"/>
        <w:jc w:val="left"/>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6. 本保函自我方法定代表人（或其授权代理人）签字并盖章之日起生效。</w:t>
      </w:r>
    </w:p>
    <w:p w14:paraId="1C289488">
      <w:pPr>
        <w:spacing w:line="360" w:lineRule="auto"/>
        <w:rPr>
          <w:rFonts w:eastAsia="仿宋_GB2312"/>
          <w:color w:val="000000" w:themeColor="text1"/>
          <w:sz w:val="30"/>
          <w:szCs w:val="30"/>
          <w14:textFill>
            <w14:solidFill>
              <w14:schemeClr w14:val="tx1"/>
            </w14:solidFill>
          </w14:textFill>
        </w:rPr>
      </w:pPr>
    </w:p>
    <w:p w14:paraId="5BD6EE89">
      <w:pPr>
        <w:spacing w:line="360" w:lineRule="auto"/>
        <w:rPr>
          <w:rFonts w:eastAsia="仿宋_GB2312"/>
          <w:color w:val="000000" w:themeColor="text1"/>
          <w:sz w:val="30"/>
          <w:szCs w:val="30"/>
          <w14:textFill>
            <w14:solidFill>
              <w14:schemeClr w14:val="tx1"/>
            </w14:solidFill>
          </w14:textFill>
        </w:rPr>
      </w:pPr>
    </w:p>
    <w:p w14:paraId="5F89E266">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担保人：</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（盖单位章）</w:t>
      </w:r>
    </w:p>
    <w:p w14:paraId="47BF3AB8">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法定代表人或其委托代理人：</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（签字）</w:t>
      </w:r>
    </w:p>
    <w:p w14:paraId="0E3C929E">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地    址：</w:t>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p>
    <w:p w14:paraId="44D16ED8">
      <w:pPr>
        <w:spacing w:line="360" w:lineRule="auto"/>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邮政编码：</w:t>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p>
    <w:p w14:paraId="31963E32">
      <w:pPr>
        <w:spacing w:line="360" w:lineRule="auto"/>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电    话：</w:t>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p>
    <w:p w14:paraId="6BDCC2F4">
      <w:pPr>
        <w:spacing w:line="360" w:lineRule="auto"/>
        <w:rPr>
          <w:rFonts w:eastAsia="仿宋_GB2312"/>
          <w:color w:val="000000" w:themeColor="text1"/>
          <w:sz w:val="30"/>
          <w:szCs w:val="30"/>
          <w:u w:val="single"/>
          <w14:textFill>
            <w14:solidFill>
              <w14:schemeClr w14:val="tx1"/>
            </w14:solidFill>
          </w14:textFill>
        </w:rPr>
      </w:pPr>
      <w:r>
        <w:rPr>
          <w:rFonts w:eastAsia="仿宋_GB2312"/>
          <w:color w:val="000000" w:themeColor="text1"/>
          <w:sz w:val="30"/>
          <w:szCs w:val="30"/>
          <w14:textFill>
            <w14:solidFill>
              <w14:schemeClr w14:val="tx1"/>
            </w14:solidFill>
          </w14:textFill>
        </w:rPr>
        <w:t>传    真：</w:t>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r>
        <w:rPr>
          <w:rFonts w:eastAsia="仿宋_GB2312"/>
          <w:color w:val="000000" w:themeColor="text1"/>
          <w:sz w:val="30"/>
          <w:szCs w:val="30"/>
          <w:u w:val="single"/>
          <w14:textFill>
            <w14:solidFill>
              <w14:schemeClr w14:val="tx1"/>
            </w14:solidFill>
          </w14:textFill>
        </w:rPr>
        <w:tab/>
      </w:r>
    </w:p>
    <w:p w14:paraId="0F2FECBA">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 xml:space="preserve">  </w:t>
      </w:r>
    </w:p>
    <w:p w14:paraId="3C994634">
      <w:pPr>
        <w:spacing w:line="360" w:lineRule="auto"/>
        <w:rPr>
          <w:rFonts w:eastAsia="仿宋_GB2312"/>
          <w:color w:val="000000" w:themeColor="text1"/>
          <w:sz w:val="30"/>
          <w:szCs w:val="30"/>
          <w:u w:val="single"/>
          <w14:textFill>
            <w14:solidFill>
              <w14:schemeClr w14:val="tx1"/>
            </w14:solidFill>
          </w14:textFill>
        </w:rPr>
      </w:pPr>
    </w:p>
    <w:p w14:paraId="5F27204A">
      <w:pPr>
        <w:spacing w:line="36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 xml:space="preserve">            </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年</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月</w:t>
      </w:r>
      <w:r>
        <w:rPr>
          <w:rFonts w:eastAsia="仿宋_GB2312"/>
          <w:color w:val="000000" w:themeColor="text1"/>
          <w:sz w:val="30"/>
          <w:szCs w:val="30"/>
          <w:u w:val="single"/>
          <w14:textFill>
            <w14:solidFill>
              <w14:schemeClr w14:val="tx1"/>
            </w14:solidFill>
          </w14:textFill>
        </w:rPr>
        <w:t xml:space="preserve">      </w:t>
      </w:r>
      <w:r>
        <w:rPr>
          <w:rFonts w:eastAsia="仿宋_GB2312"/>
          <w:color w:val="000000" w:themeColor="text1"/>
          <w:sz w:val="30"/>
          <w:szCs w:val="30"/>
          <w14:textFill>
            <w14:solidFill>
              <w14:schemeClr w14:val="tx1"/>
            </w14:solidFill>
          </w14:textFill>
        </w:rPr>
        <w:t>日</w:t>
      </w:r>
    </w:p>
    <w:p w14:paraId="7B0EAA32">
      <w:pPr>
        <w:spacing w:before="156" w:beforeLines="50" w:after="156" w:afterLines="50" w:line="440" w:lineRule="exact"/>
        <w:jc w:val="left"/>
        <w:outlineLvl w:val="3"/>
        <w:rPr>
          <w:color w:val="000000" w:themeColor="text1"/>
          <w:sz w:val="30"/>
          <w14:textFill>
            <w14:solidFill>
              <w14:schemeClr w14:val="tx1"/>
            </w14:solidFill>
          </w14:textFill>
        </w:rPr>
      </w:pPr>
      <w:r>
        <w:rPr>
          <w:rFonts w:eastAsia="仿宋_GB2312"/>
          <w:b/>
          <w:color w:val="000000" w:themeColor="text1"/>
          <w:sz w:val="30"/>
          <w:szCs w:val="30"/>
          <w14:textFill>
            <w14:solidFill>
              <w14:schemeClr w14:val="tx1"/>
            </w14:solidFill>
          </w14:textFill>
        </w:rPr>
        <w:br w:type="page"/>
      </w:r>
      <w:r>
        <w:rPr>
          <w:color w:val="000000" w:themeColor="text1"/>
          <w:sz w:val="30"/>
          <w14:textFill>
            <w14:solidFill>
              <w14:schemeClr w14:val="tx1"/>
            </w14:solidFill>
          </w14:textFill>
        </w:rPr>
        <w:t>附件9：</w:t>
      </w:r>
    </w:p>
    <w:p w14:paraId="7CA42EE8">
      <w:pPr>
        <w:spacing w:before="156" w:beforeLines="50" w:after="156" w:afterLines="50" w:line="440" w:lineRule="exact"/>
        <w:jc w:val="center"/>
        <w:rPr>
          <w:color w:val="000000" w:themeColor="text1"/>
          <w:sz w:val="32"/>
          <w14:textFill>
            <w14:solidFill>
              <w14:schemeClr w14:val="tx1"/>
            </w14:solidFill>
          </w14:textFill>
        </w:rPr>
      </w:pPr>
      <w:r>
        <w:rPr>
          <w:color w:val="000000" w:themeColor="text1"/>
          <w:sz w:val="32"/>
          <w14:textFill>
            <w14:solidFill>
              <w14:schemeClr w14:val="tx1"/>
            </w14:solidFill>
          </w14:textFill>
        </w:rPr>
        <w:t>9-1：材料暂估价表</w:t>
      </w:r>
    </w:p>
    <w:tbl>
      <w:tblPr>
        <w:tblStyle w:val="25"/>
        <w:tblW w:w="9769"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2397"/>
      </w:tblGrid>
      <w:tr w14:paraId="78CA05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tcPr>
          <w:p w14:paraId="41A8661A">
            <w:pPr>
              <w:pStyle w:val="13"/>
            </w:pPr>
            <w:r>
              <w:t>序号</w:t>
            </w:r>
          </w:p>
        </w:tc>
        <w:tc>
          <w:tcPr>
            <w:tcW w:w="1984" w:type="dxa"/>
            <w:tcBorders>
              <w:top w:val="single" w:color="auto" w:sz="12" w:space="0"/>
              <w:bottom w:val="double" w:color="auto" w:sz="6" w:space="0"/>
            </w:tcBorders>
          </w:tcPr>
          <w:p w14:paraId="7461DBF8">
            <w:pPr>
              <w:pStyle w:val="13"/>
            </w:pPr>
            <w:r>
              <w:t>名称</w:t>
            </w:r>
          </w:p>
        </w:tc>
        <w:tc>
          <w:tcPr>
            <w:tcW w:w="851" w:type="dxa"/>
            <w:tcBorders>
              <w:top w:val="single" w:color="auto" w:sz="12" w:space="0"/>
              <w:bottom w:val="double" w:color="auto" w:sz="6" w:space="0"/>
            </w:tcBorders>
          </w:tcPr>
          <w:p w14:paraId="6940A1D7">
            <w:pPr>
              <w:pStyle w:val="13"/>
            </w:pPr>
            <w:r>
              <w:t>单位</w:t>
            </w:r>
          </w:p>
        </w:tc>
        <w:tc>
          <w:tcPr>
            <w:tcW w:w="774" w:type="dxa"/>
            <w:tcBorders>
              <w:top w:val="single" w:color="auto" w:sz="12" w:space="0"/>
              <w:bottom w:val="double" w:color="auto" w:sz="6" w:space="0"/>
            </w:tcBorders>
          </w:tcPr>
          <w:p w14:paraId="6F8DB2E8">
            <w:pPr>
              <w:pStyle w:val="13"/>
            </w:pPr>
            <w:r>
              <w:t>数量</w:t>
            </w:r>
          </w:p>
        </w:tc>
        <w:tc>
          <w:tcPr>
            <w:tcW w:w="1352" w:type="dxa"/>
            <w:tcBorders>
              <w:top w:val="single" w:color="auto" w:sz="12" w:space="0"/>
              <w:bottom w:val="double" w:color="auto" w:sz="6" w:space="0"/>
            </w:tcBorders>
          </w:tcPr>
          <w:p w14:paraId="2A156D83">
            <w:pPr>
              <w:pStyle w:val="13"/>
            </w:pPr>
            <w:r>
              <w:t>单价（元）</w:t>
            </w:r>
          </w:p>
        </w:tc>
        <w:tc>
          <w:tcPr>
            <w:tcW w:w="1418" w:type="dxa"/>
            <w:tcBorders>
              <w:top w:val="single" w:color="auto" w:sz="12" w:space="0"/>
              <w:bottom w:val="double" w:color="auto" w:sz="6" w:space="0"/>
            </w:tcBorders>
          </w:tcPr>
          <w:p w14:paraId="1316FE8E">
            <w:pPr>
              <w:pStyle w:val="13"/>
            </w:pPr>
            <w:r>
              <w:t>合价（元）</w:t>
            </w:r>
          </w:p>
        </w:tc>
        <w:tc>
          <w:tcPr>
            <w:tcW w:w="2397" w:type="dxa"/>
            <w:tcBorders>
              <w:top w:val="single" w:color="auto" w:sz="12" w:space="0"/>
              <w:bottom w:val="double" w:color="auto" w:sz="6" w:space="0"/>
            </w:tcBorders>
          </w:tcPr>
          <w:p w14:paraId="74303765">
            <w:pPr>
              <w:pStyle w:val="13"/>
            </w:pPr>
            <w:r>
              <w:t>备注</w:t>
            </w:r>
          </w:p>
        </w:tc>
      </w:tr>
      <w:tr w14:paraId="34C840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7935169D">
            <w:pPr>
              <w:pStyle w:val="13"/>
            </w:pPr>
          </w:p>
        </w:tc>
        <w:tc>
          <w:tcPr>
            <w:tcW w:w="1984" w:type="dxa"/>
            <w:tcBorders>
              <w:top w:val="double" w:color="auto" w:sz="6" w:space="0"/>
              <w:bottom w:val="single" w:color="auto" w:sz="6" w:space="0"/>
            </w:tcBorders>
          </w:tcPr>
          <w:p w14:paraId="04B176B5">
            <w:pPr>
              <w:pStyle w:val="13"/>
            </w:pPr>
          </w:p>
        </w:tc>
        <w:tc>
          <w:tcPr>
            <w:tcW w:w="851" w:type="dxa"/>
            <w:tcBorders>
              <w:top w:val="double" w:color="auto" w:sz="6" w:space="0"/>
              <w:bottom w:val="single" w:color="auto" w:sz="6" w:space="0"/>
            </w:tcBorders>
          </w:tcPr>
          <w:p w14:paraId="27239FFF">
            <w:pPr>
              <w:pStyle w:val="13"/>
            </w:pPr>
          </w:p>
        </w:tc>
        <w:tc>
          <w:tcPr>
            <w:tcW w:w="774" w:type="dxa"/>
            <w:tcBorders>
              <w:top w:val="double" w:color="auto" w:sz="6" w:space="0"/>
              <w:bottom w:val="single" w:color="auto" w:sz="6" w:space="0"/>
            </w:tcBorders>
          </w:tcPr>
          <w:p w14:paraId="1CBDD3DA">
            <w:pPr>
              <w:pStyle w:val="13"/>
            </w:pPr>
          </w:p>
        </w:tc>
        <w:tc>
          <w:tcPr>
            <w:tcW w:w="1352" w:type="dxa"/>
            <w:tcBorders>
              <w:top w:val="double" w:color="auto" w:sz="6" w:space="0"/>
              <w:bottom w:val="single" w:color="auto" w:sz="6" w:space="0"/>
            </w:tcBorders>
          </w:tcPr>
          <w:p w14:paraId="39752059">
            <w:pPr>
              <w:pStyle w:val="13"/>
            </w:pPr>
          </w:p>
        </w:tc>
        <w:tc>
          <w:tcPr>
            <w:tcW w:w="1418" w:type="dxa"/>
            <w:tcBorders>
              <w:top w:val="double" w:color="auto" w:sz="6" w:space="0"/>
              <w:bottom w:val="single" w:color="auto" w:sz="6" w:space="0"/>
            </w:tcBorders>
          </w:tcPr>
          <w:p w14:paraId="5D66BB1D">
            <w:pPr>
              <w:pStyle w:val="13"/>
            </w:pPr>
          </w:p>
        </w:tc>
        <w:tc>
          <w:tcPr>
            <w:tcW w:w="2397" w:type="dxa"/>
            <w:tcBorders>
              <w:top w:val="double" w:color="auto" w:sz="6" w:space="0"/>
              <w:bottom w:val="single" w:color="auto" w:sz="6" w:space="0"/>
            </w:tcBorders>
          </w:tcPr>
          <w:p w14:paraId="49253DFF">
            <w:pPr>
              <w:pStyle w:val="13"/>
            </w:pPr>
          </w:p>
        </w:tc>
      </w:tr>
      <w:tr w14:paraId="690960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0151A37C">
            <w:pPr>
              <w:pStyle w:val="13"/>
            </w:pPr>
          </w:p>
        </w:tc>
        <w:tc>
          <w:tcPr>
            <w:tcW w:w="1984" w:type="dxa"/>
            <w:tcBorders>
              <w:top w:val="nil"/>
            </w:tcBorders>
          </w:tcPr>
          <w:p w14:paraId="33F98FEF">
            <w:pPr>
              <w:pStyle w:val="13"/>
            </w:pPr>
          </w:p>
        </w:tc>
        <w:tc>
          <w:tcPr>
            <w:tcW w:w="851" w:type="dxa"/>
            <w:tcBorders>
              <w:top w:val="nil"/>
            </w:tcBorders>
          </w:tcPr>
          <w:p w14:paraId="08138D09">
            <w:pPr>
              <w:pStyle w:val="13"/>
            </w:pPr>
          </w:p>
        </w:tc>
        <w:tc>
          <w:tcPr>
            <w:tcW w:w="774" w:type="dxa"/>
            <w:tcBorders>
              <w:top w:val="nil"/>
            </w:tcBorders>
          </w:tcPr>
          <w:p w14:paraId="71163CA4">
            <w:pPr>
              <w:pStyle w:val="13"/>
            </w:pPr>
          </w:p>
        </w:tc>
        <w:tc>
          <w:tcPr>
            <w:tcW w:w="1352" w:type="dxa"/>
            <w:tcBorders>
              <w:top w:val="nil"/>
            </w:tcBorders>
          </w:tcPr>
          <w:p w14:paraId="7D2141C5">
            <w:pPr>
              <w:pStyle w:val="13"/>
            </w:pPr>
          </w:p>
        </w:tc>
        <w:tc>
          <w:tcPr>
            <w:tcW w:w="1418" w:type="dxa"/>
            <w:tcBorders>
              <w:top w:val="nil"/>
            </w:tcBorders>
          </w:tcPr>
          <w:p w14:paraId="7FE5113B">
            <w:pPr>
              <w:pStyle w:val="13"/>
            </w:pPr>
          </w:p>
        </w:tc>
        <w:tc>
          <w:tcPr>
            <w:tcW w:w="2397" w:type="dxa"/>
            <w:tcBorders>
              <w:top w:val="nil"/>
            </w:tcBorders>
          </w:tcPr>
          <w:p w14:paraId="11D30F94">
            <w:pPr>
              <w:pStyle w:val="13"/>
            </w:pPr>
          </w:p>
        </w:tc>
      </w:tr>
      <w:tr w14:paraId="30E0E3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7B7CBC3">
            <w:pPr>
              <w:pStyle w:val="13"/>
            </w:pPr>
          </w:p>
        </w:tc>
        <w:tc>
          <w:tcPr>
            <w:tcW w:w="1984" w:type="dxa"/>
          </w:tcPr>
          <w:p w14:paraId="5110D247">
            <w:pPr>
              <w:pStyle w:val="13"/>
            </w:pPr>
          </w:p>
        </w:tc>
        <w:tc>
          <w:tcPr>
            <w:tcW w:w="851" w:type="dxa"/>
          </w:tcPr>
          <w:p w14:paraId="0D5FD0DA">
            <w:pPr>
              <w:pStyle w:val="13"/>
            </w:pPr>
          </w:p>
        </w:tc>
        <w:tc>
          <w:tcPr>
            <w:tcW w:w="774" w:type="dxa"/>
          </w:tcPr>
          <w:p w14:paraId="2FDBF39E">
            <w:pPr>
              <w:pStyle w:val="13"/>
            </w:pPr>
          </w:p>
        </w:tc>
        <w:tc>
          <w:tcPr>
            <w:tcW w:w="1352" w:type="dxa"/>
          </w:tcPr>
          <w:p w14:paraId="241DC59F">
            <w:pPr>
              <w:pStyle w:val="13"/>
            </w:pPr>
          </w:p>
        </w:tc>
        <w:tc>
          <w:tcPr>
            <w:tcW w:w="1418" w:type="dxa"/>
          </w:tcPr>
          <w:p w14:paraId="25333AB5">
            <w:pPr>
              <w:pStyle w:val="13"/>
            </w:pPr>
          </w:p>
        </w:tc>
        <w:tc>
          <w:tcPr>
            <w:tcW w:w="2397" w:type="dxa"/>
          </w:tcPr>
          <w:p w14:paraId="395FF258">
            <w:pPr>
              <w:pStyle w:val="13"/>
            </w:pPr>
          </w:p>
        </w:tc>
      </w:tr>
      <w:tr w14:paraId="0E18F1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E837A11">
            <w:pPr>
              <w:pStyle w:val="13"/>
            </w:pPr>
          </w:p>
        </w:tc>
        <w:tc>
          <w:tcPr>
            <w:tcW w:w="1984" w:type="dxa"/>
          </w:tcPr>
          <w:p w14:paraId="54EEA13C">
            <w:pPr>
              <w:pStyle w:val="13"/>
            </w:pPr>
          </w:p>
        </w:tc>
        <w:tc>
          <w:tcPr>
            <w:tcW w:w="851" w:type="dxa"/>
          </w:tcPr>
          <w:p w14:paraId="61AC6A70">
            <w:pPr>
              <w:pStyle w:val="13"/>
            </w:pPr>
          </w:p>
        </w:tc>
        <w:tc>
          <w:tcPr>
            <w:tcW w:w="774" w:type="dxa"/>
          </w:tcPr>
          <w:p w14:paraId="2E7C3D41">
            <w:pPr>
              <w:pStyle w:val="13"/>
            </w:pPr>
          </w:p>
        </w:tc>
        <w:tc>
          <w:tcPr>
            <w:tcW w:w="1352" w:type="dxa"/>
          </w:tcPr>
          <w:p w14:paraId="6F46B609">
            <w:pPr>
              <w:pStyle w:val="13"/>
            </w:pPr>
          </w:p>
        </w:tc>
        <w:tc>
          <w:tcPr>
            <w:tcW w:w="1418" w:type="dxa"/>
          </w:tcPr>
          <w:p w14:paraId="06C265CB">
            <w:pPr>
              <w:pStyle w:val="13"/>
            </w:pPr>
          </w:p>
        </w:tc>
        <w:tc>
          <w:tcPr>
            <w:tcW w:w="2397" w:type="dxa"/>
          </w:tcPr>
          <w:p w14:paraId="6AC7CD39">
            <w:pPr>
              <w:pStyle w:val="13"/>
            </w:pPr>
          </w:p>
        </w:tc>
      </w:tr>
      <w:tr w14:paraId="6F4ED3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DF79326">
            <w:pPr>
              <w:pStyle w:val="13"/>
            </w:pPr>
          </w:p>
        </w:tc>
        <w:tc>
          <w:tcPr>
            <w:tcW w:w="1984" w:type="dxa"/>
          </w:tcPr>
          <w:p w14:paraId="4DD50C58">
            <w:pPr>
              <w:pStyle w:val="13"/>
            </w:pPr>
          </w:p>
        </w:tc>
        <w:tc>
          <w:tcPr>
            <w:tcW w:w="851" w:type="dxa"/>
          </w:tcPr>
          <w:p w14:paraId="01476969">
            <w:pPr>
              <w:pStyle w:val="13"/>
            </w:pPr>
          </w:p>
        </w:tc>
        <w:tc>
          <w:tcPr>
            <w:tcW w:w="774" w:type="dxa"/>
          </w:tcPr>
          <w:p w14:paraId="2BA381AA">
            <w:pPr>
              <w:pStyle w:val="13"/>
            </w:pPr>
          </w:p>
        </w:tc>
        <w:tc>
          <w:tcPr>
            <w:tcW w:w="1352" w:type="dxa"/>
          </w:tcPr>
          <w:p w14:paraId="3AB22A28">
            <w:pPr>
              <w:pStyle w:val="13"/>
            </w:pPr>
          </w:p>
        </w:tc>
        <w:tc>
          <w:tcPr>
            <w:tcW w:w="1418" w:type="dxa"/>
          </w:tcPr>
          <w:p w14:paraId="600805E0">
            <w:pPr>
              <w:pStyle w:val="13"/>
            </w:pPr>
          </w:p>
        </w:tc>
        <w:tc>
          <w:tcPr>
            <w:tcW w:w="2397" w:type="dxa"/>
          </w:tcPr>
          <w:p w14:paraId="2ED65385">
            <w:pPr>
              <w:pStyle w:val="13"/>
            </w:pPr>
          </w:p>
        </w:tc>
      </w:tr>
      <w:tr w14:paraId="4F1FAB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E12130E">
            <w:pPr>
              <w:pStyle w:val="13"/>
            </w:pPr>
          </w:p>
        </w:tc>
        <w:tc>
          <w:tcPr>
            <w:tcW w:w="1984" w:type="dxa"/>
          </w:tcPr>
          <w:p w14:paraId="5671CFBC">
            <w:pPr>
              <w:pStyle w:val="13"/>
            </w:pPr>
          </w:p>
        </w:tc>
        <w:tc>
          <w:tcPr>
            <w:tcW w:w="851" w:type="dxa"/>
          </w:tcPr>
          <w:p w14:paraId="673B3C5B">
            <w:pPr>
              <w:pStyle w:val="13"/>
            </w:pPr>
          </w:p>
        </w:tc>
        <w:tc>
          <w:tcPr>
            <w:tcW w:w="774" w:type="dxa"/>
          </w:tcPr>
          <w:p w14:paraId="66875FD3">
            <w:pPr>
              <w:pStyle w:val="13"/>
            </w:pPr>
          </w:p>
        </w:tc>
        <w:tc>
          <w:tcPr>
            <w:tcW w:w="1352" w:type="dxa"/>
          </w:tcPr>
          <w:p w14:paraId="727409A6">
            <w:pPr>
              <w:pStyle w:val="13"/>
            </w:pPr>
          </w:p>
        </w:tc>
        <w:tc>
          <w:tcPr>
            <w:tcW w:w="1418" w:type="dxa"/>
          </w:tcPr>
          <w:p w14:paraId="68A32A00">
            <w:pPr>
              <w:pStyle w:val="13"/>
            </w:pPr>
          </w:p>
        </w:tc>
        <w:tc>
          <w:tcPr>
            <w:tcW w:w="2397" w:type="dxa"/>
          </w:tcPr>
          <w:p w14:paraId="568F3636">
            <w:pPr>
              <w:pStyle w:val="13"/>
            </w:pPr>
          </w:p>
        </w:tc>
      </w:tr>
      <w:tr w14:paraId="2B3CBC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CF9BD33">
            <w:pPr>
              <w:pStyle w:val="13"/>
            </w:pPr>
          </w:p>
        </w:tc>
        <w:tc>
          <w:tcPr>
            <w:tcW w:w="1984" w:type="dxa"/>
          </w:tcPr>
          <w:p w14:paraId="63DC062C">
            <w:pPr>
              <w:pStyle w:val="13"/>
            </w:pPr>
          </w:p>
        </w:tc>
        <w:tc>
          <w:tcPr>
            <w:tcW w:w="851" w:type="dxa"/>
          </w:tcPr>
          <w:p w14:paraId="0AE5AC1D">
            <w:pPr>
              <w:pStyle w:val="13"/>
            </w:pPr>
          </w:p>
        </w:tc>
        <w:tc>
          <w:tcPr>
            <w:tcW w:w="774" w:type="dxa"/>
          </w:tcPr>
          <w:p w14:paraId="28089E1E">
            <w:pPr>
              <w:pStyle w:val="13"/>
            </w:pPr>
          </w:p>
        </w:tc>
        <w:tc>
          <w:tcPr>
            <w:tcW w:w="1352" w:type="dxa"/>
          </w:tcPr>
          <w:p w14:paraId="6DA6A69C">
            <w:pPr>
              <w:pStyle w:val="13"/>
            </w:pPr>
          </w:p>
        </w:tc>
        <w:tc>
          <w:tcPr>
            <w:tcW w:w="1418" w:type="dxa"/>
          </w:tcPr>
          <w:p w14:paraId="2D5293FA">
            <w:pPr>
              <w:pStyle w:val="13"/>
            </w:pPr>
          </w:p>
        </w:tc>
        <w:tc>
          <w:tcPr>
            <w:tcW w:w="2397" w:type="dxa"/>
          </w:tcPr>
          <w:p w14:paraId="5403A779">
            <w:pPr>
              <w:pStyle w:val="13"/>
            </w:pPr>
          </w:p>
        </w:tc>
      </w:tr>
      <w:tr w14:paraId="6B89D3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4052D2E">
            <w:pPr>
              <w:pStyle w:val="13"/>
            </w:pPr>
          </w:p>
        </w:tc>
        <w:tc>
          <w:tcPr>
            <w:tcW w:w="1984" w:type="dxa"/>
          </w:tcPr>
          <w:p w14:paraId="65A32E1A">
            <w:pPr>
              <w:pStyle w:val="13"/>
            </w:pPr>
          </w:p>
        </w:tc>
        <w:tc>
          <w:tcPr>
            <w:tcW w:w="851" w:type="dxa"/>
          </w:tcPr>
          <w:p w14:paraId="402C86F8">
            <w:pPr>
              <w:pStyle w:val="13"/>
            </w:pPr>
          </w:p>
        </w:tc>
        <w:tc>
          <w:tcPr>
            <w:tcW w:w="774" w:type="dxa"/>
          </w:tcPr>
          <w:p w14:paraId="0742A4AD">
            <w:pPr>
              <w:pStyle w:val="13"/>
            </w:pPr>
          </w:p>
        </w:tc>
        <w:tc>
          <w:tcPr>
            <w:tcW w:w="1352" w:type="dxa"/>
          </w:tcPr>
          <w:p w14:paraId="22B42664">
            <w:pPr>
              <w:pStyle w:val="13"/>
            </w:pPr>
          </w:p>
        </w:tc>
        <w:tc>
          <w:tcPr>
            <w:tcW w:w="1418" w:type="dxa"/>
          </w:tcPr>
          <w:p w14:paraId="74317DE0">
            <w:pPr>
              <w:pStyle w:val="13"/>
            </w:pPr>
          </w:p>
        </w:tc>
        <w:tc>
          <w:tcPr>
            <w:tcW w:w="2397" w:type="dxa"/>
          </w:tcPr>
          <w:p w14:paraId="29B6F961">
            <w:pPr>
              <w:pStyle w:val="13"/>
            </w:pPr>
          </w:p>
        </w:tc>
      </w:tr>
      <w:tr w14:paraId="29642D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186D0B3">
            <w:pPr>
              <w:pStyle w:val="13"/>
            </w:pPr>
          </w:p>
        </w:tc>
        <w:tc>
          <w:tcPr>
            <w:tcW w:w="1984" w:type="dxa"/>
          </w:tcPr>
          <w:p w14:paraId="4C012749">
            <w:pPr>
              <w:pStyle w:val="13"/>
            </w:pPr>
          </w:p>
        </w:tc>
        <w:tc>
          <w:tcPr>
            <w:tcW w:w="851" w:type="dxa"/>
          </w:tcPr>
          <w:p w14:paraId="634D0790">
            <w:pPr>
              <w:pStyle w:val="13"/>
            </w:pPr>
          </w:p>
        </w:tc>
        <w:tc>
          <w:tcPr>
            <w:tcW w:w="774" w:type="dxa"/>
          </w:tcPr>
          <w:p w14:paraId="1D281CAC">
            <w:pPr>
              <w:pStyle w:val="13"/>
            </w:pPr>
          </w:p>
        </w:tc>
        <w:tc>
          <w:tcPr>
            <w:tcW w:w="1352" w:type="dxa"/>
          </w:tcPr>
          <w:p w14:paraId="26E0A18B">
            <w:pPr>
              <w:pStyle w:val="13"/>
            </w:pPr>
          </w:p>
        </w:tc>
        <w:tc>
          <w:tcPr>
            <w:tcW w:w="1418" w:type="dxa"/>
          </w:tcPr>
          <w:p w14:paraId="12A207AC">
            <w:pPr>
              <w:pStyle w:val="13"/>
            </w:pPr>
          </w:p>
        </w:tc>
        <w:tc>
          <w:tcPr>
            <w:tcW w:w="2397" w:type="dxa"/>
          </w:tcPr>
          <w:p w14:paraId="6D0D1179">
            <w:pPr>
              <w:pStyle w:val="13"/>
            </w:pPr>
          </w:p>
        </w:tc>
      </w:tr>
      <w:tr w14:paraId="7FD227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33023D8">
            <w:pPr>
              <w:pStyle w:val="13"/>
            </w:pPr>
          </w:p>
        </w:tc>
        <w:tc>
          <w:tcPr>
            <w:tcW w:w="1984" w:type="dxa"/>
          </w:tcPr>
          <w:p w14:paraId="68DBB623">
            <w:pPr>
              <w:pStyle w:val="13"/>
            </w:pPr>
          </w:p>
        </w:tc>
        <w:tc>
          <w:tcPr>
            <w:tcW w:w="851" w:type="dxa"/>
          </w:tcPr>
          <w:p w14:paraId="4FE73E0C">
            <w:pPr>
              <w:pStyle w:val="13"/>
            </w:pPr>
          </w:p>
        </w:tc>
        <w:tc>
          <w:tcPr>
            <w:tcW w:w="774" w:type="dxa"/>
          </w:tcPr>
          <w:p w14:paraId="75444153">
            <w:pPr>
              <w:pStyle w:val="13"/>
            </w:pPr>
          </w:p>
        </w:tc>
        <w:tc>
          <w:tcPr>
            <w:tcW w:w="1352" w:type="dxa"/>
          </w:tcPr>
          <w:p w14:paraId="568B0DBA">
            <w:pPr>
              <w:pStyle w:val="13"/>
            </w:pPr>
          </w:p>
        </w:tc>
        <w:tc>
          <w:tcPr>
            <w:tcW w:w="1418" w:type="dxa"/>
          </w:tcPr>
          <w:p w14:paraId="2F9A8D16">
            <w:pPr>
              <w:pStyle w:val="13"/>
            </w:pPr>
          </w:p>
        </w:tc>
        <w:tc>
          <w:tcPr>
            <w:tcW w:w="2397" w:type="dxa"/>
          </w:tcPr>
          <w:p w14:paraId="572349C6">
            <w:pPr>
              <w:pStyle w:val="13"/>
            </w:pPr>
          </w:p>
        </w:tc>
      </w:tr>
      <w:tr w14:paraId="01A1F9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C3E07D6">
            <w:pPr>
              <w:pStyle w:val="13"/>
            </w:pPr>
          </w:p>
        </w:tc>
        <w:tc>
          <w:tcPr>
            <w:tcW w:w="1984" w:type="dxa"/>
          </w:tcPr>
          <w:p w14:paraId="32BF74C9">
            <w:pPr>
              <w:pStyle w:val="13"/>
            </w:pPr>
          </w:p>
        </w:tc>
        <w:tc>
          <w:tcPr>
            <w:tcW w:w="851" w:type="dxa"/>
          </w:tcPr>
          <w:p w14:paraId="75F006E7">
            <w:pPr>
              <w:pStyle w:val="13"/>
            </w:pPr>
          </w:p>
        </w:tc>
        <w:tc>
          <w:tcPr>
            <w:tcW w:w="774" w:type="dxa"/>
          </w:tcPr>
          <w:p w14:paraId="1445BB7D">
            <w:pPr>
              <w:pStyle w:val="13"/>
            </w:pPr>
          </w:p>
        </w:tc>
        <w:tc>
          <w:tcPr>
            <w:tcW w:w="1352" w:type="dxa"/>
          </w:tcPr>
          <w:p w14:paraId="52366FB8">
            <w:pPr>
              <w:pStyle w:val="13"/>
            </w:pPr>
          </w:p>
        </w:tc>
        <w:tc>
          <w:tcPr>
            <w:tcW w:w="1418" w:type="dxa"/>
          </w:tcPr>
          <w:p w14:paraId="0D68C05C">
            <w:pPr>
              <w:pStyle w:val="13"/>
            </w:pPr>
          </w:p>
        </w:tc>
        <w:tc>
          <w:tcPr>
            <w:tcW w:w="2397" w:type="dxa"/>
          </w:tcPr>
          <w:p w14:paraId="06A84D16">
            <w:pPr>
              <w:pStyle w:val="13"/>
            </w:pPr>
          </w:p>
        </w:tc>
      </w:tr>
      <w:tr w14:paraId="4AF3DE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DE583D8">
            <w:pPr>
              <w:pStyle w:val="13"/>
            </w:pPr>
          </w:p>
        </w:tc>
        <w:tc>
          <w:tcPr>
            <w:tcW w:w="1984" w:type="dxa"/>
          </w:tcPr>
          <w:p w14:paraId="28FFC7E5">
            <w:pPr>
              <w:pStyle w:val="13"/>
            </w:pPr>
          </w:p>
        </w:tc>
        <w:tc>
          <w:tcPr>
            <w:tcW w:w="851" w:type="dxa"/>
          </w:tcPr>
          <w:p w14:paraId="77A453A3">
            <w:pPr>
              <w:pStyle w:val="13"/>
            </w:pPr>
          </w:p>
        </w:tc>
        <w:tc>
          <w:tcPr>
            <w:tcW w:w="774" w:type="dxa"/>
          </w:tcPr>
          <w:p w14:paraId="76297DF0">
            <w:pPr>
              <w:pStyle w:val="13"/>
            </w:pPr>
          </w:p>
        </w:tc>
        <w:tc>
          <w:tcPr>
            <w:tcW w:w="1352" w:type="dxa"/>
          </w:tcPr>
          <w:p w14:paraId="30D1456B">
            <w:pPr>
              <w:pStyle w:val="13"/>
            </w:pPr>
          </w:p>
        </w:tc>
        <w:tc>
          <w:tcPr>
            <w:tcW w:w="1418" w:type="dxa"/>
          </w:tcPr>
          <w:p w14:paraId="6760DCA1">
            <w:pPr>
              <w:pStyle w:val="13"/>
            </w:pPr>
          </w:p>
        </w:tc>
        <w:tc>
          <w:tcPr>
            <w:tcW w:w="2397" w:type="dxa"/>
          </w:tcPr>
          <w:p w14:paraId="09FD06A0">
            <w:pPr>
              <w:pStyle w:val="13"/>
            </w:pPr>
          </w:p>
        </w:tc>
      </w:tr>
      <w:tr w14:paraId="7C4A7B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8A9AFB5">
            <w:pPr>
              <w:pStyle w:val="13"/>
            </w:pPr>
          </w:p>
        </w:tc>
        <w:tc>
          <w:tcPr>
            <w:tcW w:w="1984" w:type="dxa"/>
          </w:tcPr>
          <w:p w14:paraId="70C662A1">
            <w:pPr>
              <w:pStyle w:val="13"/>
            </w:pPr>
          </w:p>
        </w:tc>
        <w:tc>
          <w:tcPr>
            <w:tcW w:w="851" w:type="dxa"/>
          </w:tcPr>
          <w:p w14:paraId="05C2BD51">
            <w:pPr>
              <w:pStyle w:val="13"/>
            </w:pPr>
          </w:p>
        </w:tc>
        <w:tc>
          <w:tcPr>
            <w:tcW w:w="774" w:type="dxa"/>
          </w:tcPr>
          <w:p w14:paraId="1AE58599">
            <w:pPr>
              <w:pStyle w:val="13"/>
            </w:pPr>
          </w:p>
        </w:tc>
        <w:tc>
          <w:tcPr>
            <w:tcW w:w="1352" w:type="dxa"/>
          </w:tcPr>
          <w:p w14:paraId="724308C2">
            <w:pPr>
              <w:pStyle w:val="13"/>
            </w:pPr>
          </w:p>
        </w:tc>
        <w:tc>
          <w:tcPr>
            <w:tcW w:w="1418" w:type="dxa"/>
          </w:tcPr>
          <w:p w14:paraId="10B3F3F0">
            <w:pPr>
              <w:pStyle w:val="13"/>
            </w:pPr>
          </w:p>
        </w:tc>
        <w:tc>
          <w:tcPr>
            <w:tcW w:w="2397" w:type="dxa"/>
          </w:tcPr>
          <w:p w14:paraId="62A20298">
            <w:pPr>
              <w:pStyle w:val="13"/>
            </w:pPr>
          </w:p>
        </w:tc>
      </w:tr>
      <w:tr w14:paraId="1D9B88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06548A4">
            <w:pPr>
              <w:pStyle w:val="13"/>
            </w:pPr>
          </w:p>
        </w:tc>
        <w:tc>
          <w:tcPr>
            <w:tcW w:w="1984" w:type="dxa"/>
          </w:tcPr>
          <w:p w14:paraId="58A091D2">
            <w:pPr>
              <w:pStyle w:val="13"/>
            </w:pPr>
          </w:p>
        </w:tc>
        <w:tc>
          <w:tcPr>
            <w:tcW w:w="851" w:type="dxa"/>
          </w:tcPr>
          <w:p w14:paraId="230701C1">
            <w:pPr>
              <w:pStyle w:val="13"/>
            </w:pPr>
          </w:p>
        </w:tc>
        <w:tc>
          <w:tcPr>
            <w:tcW w:w="774" w:type="dxa"/>
          </w:tcPr>
          <w:p w14:paraId="5EDB0222">
            <w:pPr>
              <w:pStyle w:val="13"/>
            </w:pPr>
          </w:p>
        </w:tc>
        <w:tc>
          <w:tcPr>
            <w:tcW w:w="1352" w:type="dxa"/>
          </w:tcPr>
          <w:p w14:paraId="12EDB4F6">
            <w:pPr>
              <w:pStyle w:val="13"/>
            </w:pPr>
          </w:p>
        </w:tc>
        <w:tc>
          <w:tcPr>
            <w:tcW w:w="1418" w:type="dxa"/>
          </w:tcPr>
          <w:p w14:paraId="4443F657">
            <w:pPr>
              <w:pStyle w:val="13"/>
            </w:pPr>
          </w:p>
        </w:tc>
        <w:tc>
          <w:tcPr>
            <w:tcW w:w="2397" w:type="dxa"/>
          </w:tcPr>
          <w:p w14:paraId="7E4E518D">
            <w:pPr>
              <w:pStyle w:val="13"/>
            </w:pPr>
          </w:p>
        </w:tc>
      </w:tr>
      <w:tr w14:paraId="0B51B0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2C807F2">
            <w:pPr>
              <w:pStyle w:val="13"/>
            </w:pPr>
          </w:p>
        </w:tc>
        <w:tc>
          <w:tcPr>
            <w:tcW w:w="1984" w:type="dxa"/>
          </w:tcPr>
          <w:p w14:paraId="7EE5CE4A">
            <w:pPr>
              <w:pStyle w:val="13"/>
            </w:pPr>
          </w:p>
        </w:tc>
        <w:tc>
          <w:tcPr>
            <w:tcW w:w="851" w:type="dxa"/>
          </w:tcPr>
          <w:p w14:paraId="5127E4FE">
            <w:pPr>
              <w:pStyle w:val="13"/>
            </w:pPr>
          </w:p>
        </w:tc>
        <w:tc>
          <w:tcPr>
            <w:tcW w:w="774" w:type="dxa"/>
          </w:tcPr>
          <w:p w14:paraId="0288C4B6">
            <w:pPr>
              <w:pStyle w:val="13"/>
            </w:pPr>
          </w:p>
        </w:tc>
        <w:tc>
          <w:tcPr>
            <w:tcW w:w="1352" w:type="dxa"/>
          </w:tcPr>
          <w:p w14:paraId="53EF24D3">
            <w:pPr>
              <w:pStyle w:val="13"/>
            </w:pPr>
          </w:p>
        </w:tc>
        <w:tc>
          <w:tcPr>
            <w:tcW w:w="1418" w:type="dxa"/>
          </w:tcPr>
          <w:p w14:paraId="1864A107">
            <w:pPr>
              <w:pStyle w:val="13"/>
            </w:pPr>
          </w:p>
        </w:tc>
        <w:tc>
          <w:tcPr>
            <w:tcW w:w="2397" w:type="dxa"/>
          </w:tcPr>
          <w:p w14:paraId="67824303">
            <w:pPr>
              <w:pStyle w:val="13"/>
            </w:pPr>
          </w:p>
        </w:tc>
      </w:tr>
    </w:tbl>
    <w:p w14:paraId="57DF3E0D">
      <w:pPr>
        <w:spacing w:before="156" w:beforeLines="50" w:after="156" w:afterLines="50" w:line="440" w:lineRule="exact"/>
        <w:rPr>
          <w:rFonts w:eastAsia="黑体"/>
          <w:color w:val="000000" w:themeColor="text1"/>
          <w:sz w:val="30"/>
          <w:szCs w:val="30"/>
          <w14:textFill>
            <w14:solidFill>
              <w14:schemeClr w14:val="tx1"/>
            </w14:solidFill>
          </w14:textFill>
        </w:rPr>
      </w:pPr>
    </w:p>
    <w:p w14:paraId="2A5C64EC">
      <w:pPr>
        <w:spacing w:before="156" w:beforeLines="50" w:after="156" w:afterLines="50" w:line="440" w:lineRule="exact"/>
        <w:rPr>
          <w:rFonts w:eastAsia="黑体"/>
          <w:color w:val="000000" w:themeColor="text1"/>
          <w:sz w:val="30"/>
          <w:szCs w:val="30"/>
          <w14:textFill>
            <w14:solidFill>
              <w14:schemeClr w14:val="tx1"/>
            </w14:solidFill>
          </w14:textFill>
        </w:rPr>
      </w:pPr>
    </w:p>
    <w:p w14:paraId="3598704D">
      <w:pPr>
        <w:spacing w:before="156" w:beforeLines="50" w:after="156" w:afterLines="50" w:line="440" w:lineRule="exact"/>
        <w:rPr>
          <w:rFonts w:eastAsia="黑体"/>
          <w:color w:val="000000" w:themeColor="text1"/>
          <w:sz w:val="30"/>
          <w:szCs w:val="30"/>
          <w14:textFill>
            <w14:solidFill>
              <w14:schemeClr w14:val="tx1"/>
            </w14:solidFill>
          </w14:textFill>
        </w:rPr>
      </w:pPr>
    </w:p>
    <w:p w14:paraId="34190726">
      <w:pPr>
        <w:spacing w:before="156" w:beforeLines="50" w:after="156" w:afterLines="50" w:line="440" w:lineRule="exact"/>
        <w:jc w:val="center"/>
        <w:rPr>
          <w:rFonts w:eastAsia="黑体"/>
          <w:color w:val="000000" w:themeColor="text1"/>
          <w:sz w:val="30"/>
          <w:szCs w:val="30"/>
          <w14:textFill>
            <w14:solidFill>
              <w14:schemeClr w14:val="tx1"/>
            </w14:solidFill>
          </w14:textFill>
        </w:rPr>
      </w:pPr>
    </w:p>
    <w:p w14:paraId="3F341A17">
      <w:pPr>
        <w:spacing w:before="156" w:beforeLines="50" w:after="156" w:afterLines="50" w:line="440" w:lineRule="exact"/>
        <w:jc w:val="center"/>
        <w:rPr>
          <w:rFonts w:eastAsia="黑体"/>
          <w:color w:val="000000" w:themeColor="text1"/>
          <w:sz w:val="30"/>
          <w:szCs w:val="30"/>
          <w14:textFill>
            <w14:solidFill>
              <w14:schemeClr w14:val="tx1"/>
            </w14:solidFill>
          </w14:textFill>
        </w:rPr>
      </w:pPr>
      <w:r>
        <w:rPr>
          <w:rFonts w:eastAsia="黑体"/>
          <w:color w:val="000000" w:themeColor="text1"/>
          <w:sz w:val="30"/>
          <w:szCs w:val="30"/>
          <w14:textFill>
            <w14:solidFill>
              <w14:schemeClr w14:val="tx1"/>
            </w14:solidFill>
          </w14:textFill>
        </w:rPr>
        <w:t>9-2：工程设备暂估价表</w:t>
      </w:r>
    </w:p>
    <w:tbl>
      <w:tblPr>
        <w:tblStyle w:val="25"/>
        <w:tblW w:w="9784"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2412"/>
      </w:tblGrid>
      <w:tr w14:paraId="5BF964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tcPr>
          <w:p w14:paraId="4CD9C3AA">
            <w:pPr>
              <w:pStyle w:val="13"/>
            </w:pPr>
            <w:r>
              <w:t>序号</w:t>
            </w:r>
          </w:p>
        </w:tc>
        <w:tc>
          <w:tcPr>
            <w:tcW w:w="1984" w:type="dxa"/>
            <w:tcBorders>
              <w:top w:val="single" w:color="auto" w:sz="12" w:space="0"/>
              <w:bottom w:val="double" w:color="auto" w:sz="6" w:space="0"/>
            </w:tcBorders>
          </w:tcPr>
          <w:p w14:paraId="59342C65">
            <w:pPr>
              <w:pStyle w:val="13"/>
            </w:pPr>
            <w:r>
              <w:t>名称</w:t>
            </w:r>
          </w:p>
        </w:tc>
        <w:tc>
          <w:tcPr>
            <w:tcW w:w="851" w:type="dxa"/>
            <w:tcBorders>
              <w:top w:val="single" w:color="auto" w:sz="12" w:space="0"/>
              <w:bottom w:val="double" w:color="auto" w:sz="6" w:space="0"/>
            </w:tcBorders>
          </w:tcPr>
          <w:p w14:paraId="4197FE26">
            <w:pPr>
              <w:pStyle w:val="13"/>
            </w:pPr>
            <w:r>
              <w:t>单位</w:t>
            </w:r>
          </w:p>
        </w:tc>
        <w:tc>
          <w:tcPr>
            <w:tcW w:w="774" w:type="dxa"/>
            <w:tcBorders>
              <w:top w:val="single" w:color="auto" w:sz="12" w:space="0"/>
              <w:bottom w:val="double" w:color="auto" w:sz="6" w:space="0"/>
            </w:tcBorders>
          </w:tcPr>
          <w:p w14:paraId="7EFDE160">
            <w:pPr>
              <w:pStyle w:val="13"/>
            </w:pPr>
            <w:r>
              <w:t>数量</w:t>
            </w:r>
          </w:p>
        </w:tc>
        <w:tc>
          <w:tcPr>
            <w:tcW w:w="1352" w:type="dxa"/>
            <w:tcBorders>
              <w:top w:val="single" w:color="auto" w:sz="12" w:space="0"/>
              <w:bottom w:val="double" w:color="auto" w:sz="6" w:space="0"/>
            </w:tcBorders>
          </w:tcPr>
          <w:p w14:paraId="6CBC1D74">
            <w:pPr>
              <w:pStyle w:val="13"/>
            </w:pPr>
            <w:r>
              <w:t>单价（元）</w:t>
            </w:r>
          </w:p>
        </w:tc>
        <w:tc>
          <w:tcPr>
            <w:tcW w:w="1418" w:type="dxa"/>
            <w:tcBorders>
              <w:top w:val="single" w:color="auto" w:sz="12" w:space="0"/>
              <w:bottom w:val="double" w:color="auto" w:sz="6" w:space="0"/>
            </w:tcBorders>
          </w:tcPr>
          <w:p w14:paraId="07C2D578">
            <w:pPr>
              <w:pStyle w:val="13"/>
            </w:pPr>
            <w:r>
              <w:t>合价（元）</w:t>
            </w:r>
          </w:p>
        </w:tc>
        <w:tc>
          <w:tcPr>
            <w:tcW w:w="2412" w:type="dxa"/>
            <w:tcBorders>
              <w:top w:val="single" w:color="auto" w:sz="12" w:space="0"/>
              <w:bottom w:val="double" w:color="auto" w:sz="6" w:space="0"/>
            </w:tcBorders>
          </w:tcPr>
          <w:p w14:paraId="5884067A">
            <w:pPr>
              <w:pStyle w:val="13"/>
            </w:pPr>
            <w:r>
              <w:t>备注</w:t>
            </w:r>
          </w:p>
        </w:tc>
      </w:tr>
      <w:tr w14:paraId="291D41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099B8301">
            <w:pPr>
              <w:pStyle w:val="13"/>
            </w:pPr>
          </w:p>
        </w:tc>
        <w:tc>
          <w:tcPr>
            <w:tcW w:w="1984" w:type="dxa"/>
            <w:tcBorders>
              <w:top w:val="double" w:color="auto" w:sz="6" w:space="0"/>
              <w:bottom w:val="single" w:color="auto" w:sz="6" w:space="0"/>
            </w:tcBorders>
          </w:tcPr>
          <w:p w14:paraId="2DFD8200">
            <w:pPr>
              <w:pStyle w:val="13"/>
            </w:pPr>
          </w:p>
        </w:tc>
        <w:tc>
          <w:tcPr>
            <w:tcW w:w="851" w:type="dxa"/>
            <w:tcBorders>
              <w:top w:val="double" w:color="auto" w:sz="6" w:space="0"/>
              <w:bottom w:val="single" w:color="auto" w:sz="6" w:space="0"/>
            </w:tcBorders>
          </w:tcPr>
          <w:p w14:paraId="7170FC29">
            <w:pPr>
              <w:pStyle w:val="13"/>
            </w:pPr>
          </w:p>
        </w:tc>
        <w:tc>
          <w:tcPr>
            <w:tcW w:w="774" w:type="dxa"/>
            <w:tcBorders>
              <w:top w:val="double" w:color="auto" w:sz="6" w:space="0"/>
              <w:bottom w:val="single" w:color="auto" w:sz="6" w:space="0"/>
            </w:tcBorders>
          </w:tcPr>
          <w:p w14:paraId="168699A6">
            <w:pPr>
              <w:pStyle w:val="13"/>
            </w:pPr>
          </w:p>
        </w:tc>
        <w:tc>
          <w:tcPr>
            <w:tcW w:w="1352" w:type="dxa"/>
            <w:tcBorders>
              <w:top w:val="double" w:color="auto" w:sz="6" w:space="0"/>
              <w:bottom w:val="single" w:color="auto" w:sz="6" w:space="0"/>
            </w:tcBorders>
          </w:tcPr>
          <w:p w14:paraId="44C12662">
            <w:pPr>
              <w:pStyle w:val="13"/>
            </w:pPr>
          </w:p>
        </w:tc>
        <w:tc>
          <w:tcPr>
            <w:tcW w:w="1418" w:type="dxa"/>
            <w:tcBorders>
              <w:top w:val="double" w:color="auto" w:sz="6" w:space="0"/>
              <w:bottom w:val="single" w:color="auto" w:sz="6" w:space="0"/>
            </w:tcBorders>
          </w:tcPr>
          <w:p w14:paraId="40EA5677">
            <w:pPr>
              <w:pStyle w:val="13"/>
            </w:pPr>
          </w:p>
        </w:tc>
        <w:tc>
          <w:tcPr>
            <w:tcW w:w="2412" w:type="dxa"/>
            <w:tcBorders>
              <w:top w:val="double" w:color="auto" w:sz="6" w:space="0"/>
              <w:bottom w:val="single" w:color="auto" w:sz="6" w:space="0"/>
            </w:tcBorders>
          </w:tcPr>
          <w:p w14:paraId="7903FD67">
            <w:pPr>
              <w:pStyle w:val="13"/>
            </w:pPr>
          </w:p>
        </w:tc>
      </w:tr>
      <w:tr w14:paraId="4177D4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6254262B">
            <w:pPr>
              <w:pStyle w:val="13"/>
            </w:pPr>
          </w:p>
        </w:tc>
        <w:tc>
          <w:tcPr>
            <w:tcW w:w="1984" w:type="dxa"/>
            <w:tcBorders>
              <w:top w:val="nil"/>
            </w:tcBorders>
          </w:tcPr>
          <w:p w14:paraId="51493927">
            <w:pPr>
              <w:pStyle w:val="13"/>
            </w:pPr>
          </w:p>
        </w:tc>
        <w:tc>
          <w:tcPr>
            <w:tcW w:w="851" w:type="dxa"/>
            <w:tcBorders>
              <w:top w:val="nil"/>
            </w:tcBorders>
          </w:tcPr>
          <w:p w14:paraId="01227ED7">
            <w:pPr>
              <w:pStyle w:val="13"/>
            </w:pPr>
          </w:p>
        </w:tc>
        <w:tc>
          <w:tcPr>
            <w:tcW w:w="774" w:type="dxa"/>
            <w:tcBorders>
              <w:top w:val="nil"/>
            </w:tcBorders>
          </w:tcPr>
          <w:p w14:paraId="2368A046">
            <w:pPr>
              <w:pStyle w:val="13"/>
            </w:pPr>
          </w:p>
        </w:tc>
        <w:tc>
          <w:tcPr>
            <w:tcW w:w="1352" w:type="dxa"/>
            <w:tcBorders>
              <w:top w:val="nil"/>
            </w:tcBorders>
          </w:tcPr>
          <w:p w14:paraId="7FD970AC">
            <w:pPr>
              <w:pStyle w:val="13"/>
            </w:pPr>
          </w:p>
        </w:tc>
        <w:tc>
          <w:tcPr>
            <w:tcW w:w="1418" w:type="dxa"/>
            <w:tcBorders>
              <w:top w:val="nil"/>
            </w:tcBorders>
          </w:tcPr>
          <w:p w14:paraId="53C47A9F">
            <w:pPr>
              <w:pStyle w:val="13"/>
            </w:pPr>
          </w:p>
        </w:tc>
        <w:tc>
          <w:tcPr>
            <w:tcW w:w="2412" w:type="dxa"/>
            <w:tcBorders>
              <w:top w:val="nil"/>
            </w:tcBorders>
          </w:tcPr>
          <w:p w14:paraId="33A0F8DC">
            <w:pPr>
              <w:pStyle w:val="13"/>
            </w:pPr>
          </w:p>
        </w:tc>
      </w:tr>
      <w:tr w14:paraId="5956B0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D16B4A1">
            <w:pPr>
              <w:pStyle w:val="13"/>
            </w:pPr>
          </w:p>
        </w:tc>
        <w:tc>
          <w:tcPr>
            <w:tcW w:w="1984" w:type="dxa"/>
          </w:tcPr>
          <w:p w14:paraId="5B1C575C">
            <w:pPr>
              <w:pStyle w:val="13"/>
            </w:pPr>
          </w:p>
        </w:tc>
        <w:tc>
          <w:tcPr>
            <w:tcW w:w="851" w:type="dxa"/>
          </w:tcPr>
          <w:p w14:paraId="69503A36">
            <w:pPr>
              <w:pStyle w:val="13"/>
            </w:pPr>
          </w:p>
        </w:tc>
        <w:tc>
          <w:tcPr>
            <w:tcW w:w="774" w:type="dxa"/>
          </w:tcPr>
          <w:p w14:paraId="45D628FF">
            <w:pPr>
              <w:pStyle w:val="13"/>
            </w:pPr>
          </w:p>
        </w:tc>
        <w:tc>
          <w:tcPr>
            <w:tcW w:w="1352" w:type="dxa"/>
          </w:tcPr>
          <w:p w14:paraId="43EF9062">
            <w:pPr>
              <w:pStyle w:val="13"/>
            </w:pPr>
          </w:p>
        </w:tc>
        <w:tc>
          <w:tcPr>
            <w:tcW w:w="1418" w:type="dxa"/>
          </w:tcPr>
          <w:p w14:paraId="5882DFF5">
            <w:pPr>
              <w:pStyle w:val="13"/>
            </w:pPr>
          </w:p>
        </w:tc>
        <w:tc>
          <w:tcPr>
            <w:tcW w:w="2412" w:type="dxa"/>
          </w:tcPr>
          <w:p w14:paraId="2FD6AA79">
            <w:pPr>
              <w:pStyle w:val="13"/>
            </w:pPr>
          </w:p>
        </w:tc>
      </w:tr>
      <w:tr w14:paraId="18EB8C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DAE0472">
            <w:pPr>
              <w:pStyle w:val="13"/>
            </w:pPr>
          </w:p>
        </w:tc>
        <w:tc>
          <w:tcPr>
            <w:tcW w:w="1984" w:type="dxa"/>
          </w:tcPr>
          <w:p w14:paraId="47ED7C0E">
            <w:pPr>
              <w:pStyle w:val="13"/>
            </w:pPr>
          </w:p>
        </w:tc>
        <w:tc>
          <w:tcPr>
            <w:tcW w:w="851" w:type="dxa"/>
          </w:tcPr>
          <w:p w14:paraId="7CBCFBA0">
            <w:pPr>
              <w:pStyle w:val="13"/>
            </w:pPr>
          </w:p>
        </w:tc>
        <w:tc>
          <w:tcPr>
            <w:tcW w:w="774" w:type="dxa"/>
          </w:tcPr>
          <w:p w14:paraId="790E2175">
            <w:pPr>
              <w:pStyle w:val="13"/>
            </w:pPr>
          </w:p>
        </w:tc>
        <w:tc>
          <w:tcPr>
            <w:tcW w:w="1352" w:type="dxa"/>
          </w:tcPr>
          <w:p w14:paraId="2E267AEB">
            <w:pPr>
              <w:pStyle w:val="13"/>
            </w:pPr>
          </w:p>
        </w:tc>
        <w:tc>
          <w:tcPr>
            <w:tcW w:w="1418" w:type="dxa"/>
          </w:tcPr>
          <w:p w14:paraId="15465520">
            <w:pPr>
              <w:pStyle w:val="13"/>
            </w:pPr>
          </w:p>
        </w:tc>
        <w:tc>
          <w:tcPr>
            <w:tcW w:w="2412" w:type="dxa"/>
          </w:tcPr>
          <w:p w14:paraId="463C789A">
            <w:pPr>
              <w:pStyle w:val="13"/>
            </w:pPr>
          </w:p>
        </w:tc>
      </w:tr>
      <w:tr w14:paraId="1F0BC0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F867589">
            <w:pPr>
              <w:pStyle w:val="13"/>
            </w:pPr>
          </w:p>
        </w:tc>
        <w:tc>
          <w:tcPr>
            <w:tcW w:w="1984" w:type="dxa"/>
          </w:tcPr>
          <w:p w14:paraId="0457DE6B">
            <w:pPr>
              <w:pStyle w:val="13"/>
            </w:pPr>
          </w:p>
        </w:tc>
        <w:tc>
          <w:tcPr>
            <w:tcW w:w="851" w:type="dxa"/>
          </w:tcPr>
          <w:p w14:paraId="39FC5396">
            <w:pPr>
              <w:pStyle w:val="13"/>
            </w:pPr>
          </w:p>
        </w:tc>
        <w:tc>
          <w:tcPr>
            <w:tcW w:w="774" w:type="dxa"/>
          </w:tcPr>
          <w:p w14:paraId="201F7B7C">
            <w:pPr>
              <w:pStyle w:val="13"/>
            </w:pPr>
          </w:p>
        </w:tc>
        <w:tc>
          <w:tcPr>
            <w:tcW w:w="1352" w:type="dxa"/>
          </w:tcPr>
          <w:p w14:paraId="72D0FD4A">
            <w:pPr>
              <w:pStyle w:val="13"/>
            </w:pPr>
          </w:p>
        </w:tc>
        <w:tc>
          <w:tcPr>
            <w:tcW w:w="1418" w:type="dxa"/>
          </w:tcPr>
          <w:p w14:paraId="5691F764">
            <w:pPr>
              <w:pStyle w:val="13"/>
            </w:pPr>
          </w:p>
        </w:tc>
        <w:tc>
          <w:tcPr>
            <w:tcW w:w="2412" w:type="dxa"/>
          </w:tcPr>
          <w:p w14:paraId="38CCACBE">
            <w:pPr>
              <w:pStyle w:val="13"/>
            </w:pPr>
          </w:p>
        </w:tc>
      </w:tr>
      <w:tr w14:paraId="1C41AD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0EC7E67">
            <w:pPr>
              <w:pStyle w:val="13"/>
            </w:pPr>
          </w:p>
        </w:tc>
        <w:tc>
          <w:tcPr>
            <w:tcW w:w="1984" w:type="dxa"/>
          </w:tcPr>
          <w:p w14:paraId="2BB9F40F">
            <w:pPr>
              <w:pStyle w:val="13"/>
            </w:pPr>
          </w:p>
        </w:tc>
        <w:tc>
          <w:tcPr>
            <w:tcW w:w="851" w:type="dxa"/>
          </w:tcPr>
          <w:p w14:paraId="17D4B799">
            <w:pPr>
              <w:pStyle w:val="13"/>
            </w:pPr>
          </w:p>
        </w:tc>
        <w:tc>
          <w:tcPr>
            <w:tcW w:w="774" w:type="dxa"/>
          </w:tcPr>
          <w:p w14:paraId="56941B62">
            <w:pPr>
              <w:pStyle w:val="13"/>
            </w:pPr>
          </w:p>
        </w:tc>
        <w:tc>
          <w:tcPr>
            <w:tcW w:w="1352" w:type="dxa"/>
          </w:tcPr>
          <w:p w14:paraId="0AEB5E4A">
            <w:pPr>
              <w:pStyle w:val="13"/>
            </w:pPr>
          </w:p>
        </w:tc>
        <w:tc>
          <w:tcPr>
            <w:tcW w:w="1418" w:type="dxa"/>
          </w:tcPr>
          <w:p w14:paraId="028CEEA4">
            <w:pPr>
              <w:pStyle w:val="13"/>
            </w:pPr>
          </w:p>
        </w:tc>
        <w:tc>
          <w:tcPr>
            <w:tcW w:w="2412" w:type="dxa"/>
          </w:tcPr>
          <w:p w14:paraId="73ABAE11">
            <w:pPr>
              <w:pStyle w:val="13"/>
            </w:pPr>
          </w:p>
        </w:tc>
      </w:tr>
      <w:tr w14:paraId="747841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EAEAFD0">
            <w:pPr>
              <w:pStyle w:val="13"/>
            </w:pPr>
          </w:p>
        </w:tc>
        <w:tc>
          <w:tcPr>
            <w:tcW w:w="1984" w:type="dxa"/>
          </w:tcPr>
          <w:p w14:paraId="2E9B8C7D">
            <w:pPr>
              <w:pStyle w:val="13"/>
            </w:pPr>
          </w:p>
        </w:tc>
        <w:tc>
          <w:tcPr>
            <w:tcW w:w="851" w:type="dxa"/>
          </w:tcPr>
          <w:p w14:paraId="20696DA8">
            <w:pPr>
              <w:pStyle w:val="13"/>
            </w:pPr>
          </w:p>
        </w:tc>
        <w:tc>
          <w:tcPr>
            <w:tcW w:w="774" w:type="dxa"/>
          </w:tcPr>
          <w:p w14:paraId="07A07C22">
            <w:pPr>
              <w:pStyle w:val="13"/>
            </w:pPr>
          </w:p>
        </w:tc>
        <w:tc>
          <w:tcPr>
            <w:tcW w:w="1352" w:type="dxa"/>
          </w:tcPr>
          <w:p w14:paraId="32C6DD60">
            <w:pPr>
              <w:pStyle w:val="13"/>
            </w:pPr>
          </w:p>
        </w:tc>
        <w:tc>
          <w:tcPr>
            <w:tcW w:w="1418" w:type="dxa"/>
          </w:tcPr>
          <w:p w14:paraId="1227681F">
            <w:pPr>
              <w:pStyle w:val="13"/>
            </w:pPr>
          </w:p>
        </w:tc>
        <w:tc>
          <w:tcPr>
            <w:tcW w:w="2412" w:type="dxa"/>
          </w:tcPr>
          <w:p w14:paraId="0CD2223D">
            <w:pPr>
              <w:pStyle w:val="13"/>
            </w:pPr>
          </w:p>
        </w:tc>
      </w:tr>
      <w:tr w14:paraId="074842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47F1015">
            <w:pPr>
              <w:pStyle w:val="13"/>
            </w:pPr>
          </w:p>
        </w:tc>
        <w:tc>
          <w:tcPr>
            <w:tcW w:w="1984" w:type="dxa"/>
          </w:tcPr>
          <w:p w14:paraId="5998CB6C">
            <w:pPr>
              <w:pStyle w:val="13"/>
            </w:pPr>
          </w:p>
        </w:tc>
        <w:tc>
          <w:tcPr>
            <w:tcW w:w="851" w:type="dxa"/>
          </w:tcPr>
          <w:p w14:paraId="55C0C740">
            <w:pPr>
              <w:pStyle w:val="13"/>
            </w:pPr>
          </w:p>
        </w:tc>
        <w:tc>
          <w:tcPr>
            <w:tcW w:w="774" w:type="dxa"/>
          </w:tcPr>
          <w:p w14:paraId="5FA8B3FF">
            <w:pPr>
              <w:pStyle w:val="13"/>
            </w:pPr>
          </w:p>
        </w:tc>
        <w:tc>
          <w:tcPr>
            <w:tcW w:w="1352" w:type="dxa"/>
          </w:tcPr>
          <w:p w14:paraId="660E1DFE">
            <w:pPr>
              <w:pStyle w:val="13"/>
            </w:pPr>
          </w:p>
        </w:tc>
        <w:tc>
          <w:tcPr>
            <w:tcW w:w="1418" w:type="dxa"/>
          </w:tcPr>
          <w:p w14:paraId="46A189BE">
            <w:pPr>
              <w:pStyle w:val="13"/>
            </w:pPr>
          </w:p>
        </w:tc>
        <w:tc>
          <w:tcPr>
            <w:tcW w:w="2412" w:type="dxa"/>
          </w:tcPr>
          <w:p w14:paraId="3E2E0A27">
            <w:pPr>
              <w:pStyle w:val="13"/>
            </w:pPr>
          </w:p>
        </w:tc>
      </w:tr>
      <w:tr w14:paraId="30514B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A30C066">
            <w:pPr>
              <w:pStyle w:val="13"/>
            </w:pPr>
          </w:p>
        </w:tc>
        <w:tc>
          <w:tcPr>
            <w:tcW w:w="1984" w:type="dxa"/>
          </w:tcPr>
          <w:p w14:paraId="3B5205D0">
            <w:pPr>
              <w:pStyle w:val="13"/>
            </w:pPr>
          </w:p>
        </w:tc>
        <w:tc>
          <w:tcPr>
            <w:tcW w:w="851" w:type="dxa"/>
          </w:tcPr>
          <w:p w14:paraId="54B5C0AC">
            <w:pPr>
              <w:pStyle w:val="13"/>
            </w:pPr>
          </w:p>
        </w:tc>
        <w:tc>
          <w:tcPr>
            <w:tcW w:w="774" w:type="dxa"/>
          </w:tcPr>
          <w:p w14:paraId="5BAD6498">
            <w:pPr>
              <w:pStyle w:val="13"/>
            </w:pPr>
          </w:p>
        </w:tc>
        <w:tc>
          <w:tcPr>
            <w:tcW w:w="1352" w:type="dxa"/>
          </w:tcPr>
          <w:p w14:paraId="25F8FA74">
            <w:pPr>
              <w:pStyle w:val="13"/>
            </w:pPr>
          </w:p>
        </w:tc>
        <w:tc>
          <w:tcPr>
            <w:tcW w:w="1418" w:type="dxa"/>
          </w:tcPr>
          <w:p w14:paraId="5BAD08CF">
            <w:pPr>
              <w:pStyle w:val="13"/>
            </w:pPr>
          </w:p>
        </w:tc>
        <w:tc>
          <w:tcPr>
            <w:tcW w:w="2412" w:type="dxa"/>
          </w:tcPr>
          <w:p w14:paraId="1837D0C8">
            <w:pPr>
              <w:pStyle w:val="13"/>
            </w:pPr>
          </w:p>
        </w:tc>
      </w:tr>
      <w:tr w14:paraId="64144A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9C9FB83">
            <w:pPr>
              <w:pStyle w:val="13"/>
            </w:pPr>
          </w:p>
        </w:tc>
        <w:tc>
          <w:tcPr>
            <w:tcW w:w="1984" w:type="dxa"/>
          </w:tcPr>
          <w:p w14:paraId="14C2A928">
            <w:pPr>
              <w:pStyle w:val="13"/>
            </w:pPr>
          </w:p>
        </w:tc>
        <w:tc>
          <w:tcPr>
            <w:tcW w:w="851" w:type="dxa"/>
          </w:tcPr>
          <w:p w14:paraId="0AE031D6">
            <w:pPr>
              <w:pStyle w:val="13"/>
            </w:pPr>
          </w:p>
        </w:tc>
        <w:tc>
          <w:tcPr>
            <w:tcW w:w="774" w:type="dxa"/>
          </w:tcPr>
          <w:p w14:paraId="55E48B19">
            <w:pPr>
              <w:pStyle w:val="13"/>
            </w:pPr>
          </w:p>
        </w:tc>
        <w:tc>
          <w:tcPr>
            <w:tcW w:w="1352" w:type="dxa"/>
          </w:tcPr>
          <w:p w14:paraId="3BB92C4D">
            <w:pPr>
              <w:pStyle w:val="13"/>
            </w:pPr>
          </w:p>
        </w:tc>
        <w:tc>
          <w:tcPr>
            <w:tcW w:w="1418" w:type="dxa"/>
          </w:tcPr>
          <w:p w14:paraId="49E5673B">
            <w:pPr>
              <w:pStyle w:val="13"/>
            </w:pPr>
          </w:p>
        </w:tc>
        <w:tc>
          <w:tcPr>
            <w:tcW w:w="2412" w:type="dxa"/>
          </w:tcPr>
          <w:p w14:paraId="00B6136F">
            <w:pPr>
              <w:pStyle w:val="13"/>
            </w:pPr>
          </w:p>
        </w:tc>
      </w:tr>
      <w:tr w14:paraId="79D28D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9759EBC">
            <w:pPr>
              <w:pStyle w:val="13"/>
            </w:pPr>
          </w:p>
        </w:tc>
        <w:tc>
          <w:tcPr>
            <w:tcW w:w="1984" w:type="dxa"/>
          </w:tcPr>
          <w:p w14:paraId="30578C82">
            <w:pPr>
              <w:pStyle w:val="13"/>
            </w:pPr>
          </w:p>
        </w:tc>
        <w:tc>
          <w:tcPr>
            <w:tcW w:w="851" w:type="dxa"/>
          </w:tcPr>
          <w:p w14:paraId="29B61498">
            <w:pPr>
              <w:pStyle w:val="13"/>
            </w:pPr>
          </w:p>
        </w:tc>
        <w:tc>
          <w:tcPr>
            <w:tcW w:w="774" w:type="dxa"/>
          </w:tcPr>
          <w:p w14:paraId="4940DBFE">
            <w:pPr>
              <w:pStyle w:val="13"/>
            </w:pPr>
          </w:p>
        </w:tc>
        <w:tc>
          <w:tcPr>
            <w:tcW w:w="1352" w:type="dxa"/>
          </w:tcPr>
          <w:p w14:paraId="584471C5">
            <w:pPr>
              <w:pStyle w:val="13"/>
            </w:pPr>
          </w:p>
        </w:tc>
        <w:tc>
          <w:tcPr>
            <w:tcW w:w="1418" w:type="dxa"/>
          </w:tcPr>
          <w:p w14:paraId="54CD6BE1">
            <w:pPr>
              <w:pStyle w:val="13"/>
            </w:pPr>
          </w:p>
        </w:tc>
        <w:tc>
          <w:tcPr>
            <w:tcW w:w="2412" w:type="dxa"/>
          </w:tcPr>
          <w:p w14:paraId="67B0845B">
            <w:pPr>
              <w:pStyle w:val="13"/>
            </w:pPr>
          </w:p>
        </w:tc>
      </w:tr>
      <w:tr w14:paraId="4138CA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D836837">
            <w:pPr>
              <w:pStyle w:val="13"/>
            </w:pPr>
          </w:p>
        </w:tc>
        <w:tc>
          <w:tcPr>
            <w:tcW w:w="1984" w:type="dxa"/>
          </w:tcPr>
          <w:p w14:paraId="5541C418">
            <w:pPr>
              <w:pStyle w:val="13"/>
            </w:pPr>
          </w:p>
        </w:tc>
        <w:tc>
          <w:tcPr>
            <w:tcW w:w="851" w:type="dxa"/>
          </w:tcPr>
          <w:p w14:paraId="570CBCCF">
            <w:pPr>
              <w:pStyle w:val="13"/>
            </w:pPr>
          </w:p>
        </w:tc>
        <w:tc>
          <w:tcPr>
            <w:tcW w:w="774" w:type="dxa"/>
          </w:tcPr>
          <w:p w14:paraId="1EB44737">
            <w:pPr>
              <w:pStyle w:val="13"/>
            </w:pPr>
          </w:p>
        </w:tc>
        <w:tc>
          <w:tcPr>
            <w:tcW w:w="1352" w:type="dxa"/>
          </w:tcPr>
          <w:p w14:paraId="051CBFAF">
            <w:pPr>
              <w:pStyle w:val="13"/>
            </w:pPr>
          </w:p>
        </w:tc>
        <w:tc>
          <w:tcPr>
            <w:tcW w:w="1418" w:type="dxa"/>
          </w:tcPr>
          <w:p w14:paraId="3AF2409E">
            <w:pPr>
              <w:pStyle w:val="13"/>
            </w:pPr>
          </w:p>
        </w:tc>
        <w:tc>
          <w:tcPr>
            <w:tcW w:w="2412" w:type="dxa"/>
          </w:tcPr>
          <w:p w14:paraId="7AA5AF08">
            <w:pPr>
              <w:pStyle w:val="13"/>
            </w:pPr>
          </w:p>
        </w:tc>
      </w:tr>
    </w:tbl>
    <w:p w14:paraId="3AC16A29">
      <w:pPr>
        <w:spacing w:line="440" w:lineRule="exact"/>
        <w:rPr>
          <w:rFonts w:eastAsia="仿宋_GB2312"/>
          <w:color w:val="000000" w:themeColor="text1"/>
          <w:sz w:val="30"/>
          <w:szCs w:val="30"/>
          <w14:textFill>
            <w14:solidFill>
              <w14:schemeClr w14:val="tx1"/>
            </w14:solidFill>
          </w14:textFill>
        </w:rPr>
      </w:pPr>
    </w:p>
    <w:p w14:paraId="2912762C">
      <w:pPr>
        <w:spacing w:before="156" w:beforeLines="50" w:after="156" w:afterLines="50" w:line="440" w:lineRule="exact"/>
        <w:jc w:val="center"/>
        <w:rPr>
          <w:rFonts w:eastAsia="黑体"/>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br w:type="page"/>
      </w:r>
      <w:r>
        <w:rPr>
          <w:rFonts w:eastAsia="黑体"/>
          <w:color w:val="000000" w:themeColor="text1"/>
          <w:sz w:val="30"/>
          <w:szCs w:val="30"/>
          <w14:textFill>
            <w14:solidFill>
              <w14:schemeClr w14:val="tx1"/>
            </w14:solidFill>
          </w14:textFill>
        </w:rPr>
        <w:t>9-3：专业工程暂估价表</w:t>
      </w:r>
    </w:p>
    <w:tbl>
      <w:tblPr>
        <w:tblStyle w:val="25"/>
        <w:tblW w:w="965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678"/>
        <w:gridCol w:w="2114"/>
      </w:tblGrid>
      <w:tr w14:paraId="557C59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single" w:color="auto" w:sz="12" w:space="0"/>
              <w:bottom w:val="double" w:color="auto" w:sz="6" w:space="0"/>
            </w:tcBorders>
          </w:tcPr>
          <w:p w14:paraId="444C3034">
            <w:pPr>
              <w:pStyle w:val="13"/>
            </w:pPr>
            <w:r>
              <w:t>序号</w:t>
            </w:r>
          </w:p>
        </w:tc>
        <w:tc>
          <w:tcPr>
            <w:tcW w:w="1984" w:type="dxa"/>
            <w:tcBorders>
              <w:top w:val="single" w:color="auto" w:sz="12" w:space="0"/>
              <w:bottom w:val="double" w:color="auto" w:sz="6" w:space="0"/>
            </w:tcBorders>
          </w:tcPr>
          <w:p w14:paraId="39E219E7">
            <w:pPr>
              <w:pStyle w:val="13"/>
            </w:pPr>
            <w:r>
              <w:t>专业工程名称</w:t>
            </w:r>
          </w:p>
        </w:tc>
        <w:tc>
          <w:tcPr>
            <w:tcW w:w="4678" w:type="dxa"/>
            <w:tcBorders>
              <w:top w:val="single" w:color="auto" w:sz="12" w:space="0"/>
              <w:bottom w:val="double" w:color="auto" w:sz="6" w:space="0"/>
            </w:tcBorders>
          </w:tcPr>
          <w:p w14:paraId="320872AF">
            <w:pPr>
              <w:pStyle w:val="13"/>
            </w:pPr>
            <w:r>
              <w:t>工程内容</w:t>
            </w:r>
          </w:p>
        </w:tc>
        <w:tc>
          <w:tcPr>
            <w:tcW w:w="2114" w:type="dxa"/>
            <w:tcBorders>
              <w:top w:val="single" w:color="auto" w:sz="12" w:space="0"/>
              <w:bottom w:val="double" w:color="auto" w:sz="6" w:space="0"/>
            </w:tcBorders>
          </w:tcPr>
          <w:p w14:paraId="09246D28">
            <w:pPr>
              <w:pStyle w:val="13"/>
            </w:pPr>
            <w:r>
              <w:t>金额</w:t>
            </w:r>
          </w:p>
        </w:tc>
      </w:tr>
      <w:tr w14:paraId="01C486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double" w:color="auto" w:sz="6" w:space="0"/>
              <w:bottom w:val="single" w:color="auto" w:sz="6" w:space="0"/>
            </w:tcBorders>
          </w:tcPr>
          <w:p w14:paraId="1E7884D4">
            <w:pPr>
              <w:pStyle w:val="13"/>
            </w:pPr>
          </w:p>
        </w:tc>
        <w:tc>
          <w:tcPr>
            <w:tcW w:w="1984" w:type="dxa"/>
            <w:tcBorders>
              <w:top w:val="double" w:color="auto" w:sz="6" w:space="0"/>
              <w:bottom w:val="single" w:color="auto" w:sz="6" w:space="0"/>
            </w:tcBorders>
          </w:tcPr>
          <w:p w14:paraId="108C82AC">
            <w:pPr>
              <w:pStyle w:val="13"/>
            </w:pPr>
          </w:p>
        </w:tc>
        <w:tc>
          <w:tcPr>
            <w:tcW w:w="4678" w:type="dxa"/>
            <w:tcBorders>
              <w:top w:val="double" w:color="auto" w:sz="6" w:space="0"/>
              <w:bottom w:val="single" w:color="auto" w:sz="6" w:space="0"/>
            </w:tcBorders>
          </w:tcPr>
          <w:p w14:paraId="797DC929">
            <w:pPr>
              <w:pStyle w:val="13"/>
            </w:pPr>
          </w:p>
        </w:tc>
        <w:tc>
          <w:tcPr>
            <w:tcW w:w="2114" w:type="dxa"/>
            <w:tcBorders>
              <w:top w:val="double" w:color="auto" w:sz="6" w:space="0"/>
              <w:bottom w:val="single" w:color="auto" w:sz="6" w:space="0"/>
            </w:tcBorders>
          </w:tcPr>
          <w:p w14:paraId="699B3170">
            <w:pPr>
              <w:pStyle w:val="13"/>
            </w:pPr>
          </w:p>
        </w:tc>
      </w:tr>
      <w:tr w14:paraId="7DF443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6B5B78A8">
            <w:pPr>
              <w:pStyle w:val="13"/>
            </w:pPr>
          </w:p>
        </w:tc>
        <w:tc>
          <w:tcPr>
            <w:tcW w:w="1984" w:type="dxa"/>
            <w:tcBorders>
              <w:top w:val="nil"/>
            </w:tcBorders>
          </w:tcPr>
          <w:p w14:paraId="2F30B3DB">
            <w:pPr>
              <w:pStyle w:val="13"/>
            </w:pPr>
          </w:p>
        </w:tc>
        <w:tc>
          <w:tcPr>
            <w:tcW w:w="4678" w:type="dxa"/>
            <w:tcBorders>
              <w:top w:val="nil"/>
            </w:tcBorders>
          </w:tcPr>
          <w:p w14:paraId="7A709579">
            <w:pPr>
              <w:pStyle w:val="13"/>
            </w:pPr>
          </w:p>
        </w:tc>
        <w:tc>
          <w:tcPr>
            <w:tcW w:w="2114" w:type="dxa"/>
            <w:tcBorders>
              <w:top w:val="nil"/>
            </w:tcBorders>
          </w:tcPr>
          <w:p w14:paraId="4C2336A5">
            <w:pPr>
              <w:pStyle w:val="13"/>
            </w:pPr>
          </w:p>
        </w:tc>
      </w:tr>
      <w:tr w14:paraId="0E37ED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1EC17954">
            <w:pPr>
              <w:pStyle w:val="13"/>
            </w:pPr>
          </w:p>
        </w:tc>
        <w:tc>
          <w:tcPr>
            <w:tcW w:w="1984" w:type="dxa"/>
            <w:tcBorders>
              <w:top w:val="nil"/>
            </w:tcBorders>
          </w:tcPr>
          <w:p w14:paraId="7F5841AF">
            <w:pPr>
              <w:pStyle w:val="13"/>
            </w:pPr>
          </w:p>
        </w:tc>
        <w:tc>
          <w:tcPr>
            <w:tcW w:w="4678" w:type="dxa"/>
            <w:tcBorders>
              <w:top w:val="nil"/>
            </w:tcBorders>
          </w:tcPr>
          <w:p w14:paraId="77DCE349">
            <w:pPr>
              <w:pStyle w:val="13"/>
            </w:pPr>
          </w:p>
        </w:tc>
        <w:tc>
          <w:tcPr>
            <w:tcW w:w="2114" w:type="dxa"/>
            <w:tcBorders>
              <w:top w:val="nil"/>
            </w:tcBorders>
          </w:tcPr>
          <w:p w14:paraId="70086C84">
            <w:pPr>
              <w:pStyle w:val="13"/>
            </w:pPr>
          </w:p>
        </w:tc>
      </w:tr>
      <w:tr w14:paraId="543FB4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2A5EB14">
            <w:pPr>
              <w:pStyle w:val="13"/>
            </w:pPr>
          </w:p>
        </w:tc>
        <w:tc>
          <w:tcPr>
            <w:tcW w:w="1984" w:type="dxa"/>
          </w:tcPr>
          <w:p w14:paraId="023820F5">
            <w:pPr>
              <w:pStyle w:val="13"/>
            </w:pPr>
          </w:p>
        </w:tc>
        <w:tc>
          <w:tcPr>
            <w:tcW w:w="4678" w:type="dxa"/>
          </w:tcPr>
          <w:p w14:paraId="3E54FD71">
            <w:pPr>
              <w:pStyle w:val="13"/>
            </w:pPr>
          </w:p>
        </w:tc>
        <w:tc>
          <w:tcPr>
            <w:tcW w:w="2114" w:type="dxa"/>
          </w:tcPr>
          <w:p w14:paraId="5D8BB8DC">
            <w:pPr>
              <w:pStyle w:val="13"/>
            </w:pPr>
          </w:p>
        </w:tc>
      </w:tr>
      <w:tr w14:paraId="73A0B2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AFB7D05">
            <w:pPr>
              <w:pStyle w:val="13"/>
            </w:pPr>
          </w:p>
        </w:tc>
        <w:tc>
          <w:tcPr>
            <w:tcW w:w="1984" w:type="dxa"/>
          </w:tcPr>
          <w:p w14:paraId="0CF7F459">
            <w:pPr>
              <w:pStyle w:val="13"/>
            </w:pPr>
          </w:p>
        </w:tc>
        <w:tc>
          <w:tcPr>
            <w:tcW w:w="4678" w:type="dxa"/>
          </w:tcPr>
          <w:p w14:paraId="1F65B168">
            <w:pPr>
              <w:pStyle w:val="13"/>
            </w:pPr>
          </w:p>
        </w:tc>
        <w:tc>
          <w:tcPr>
            <w:tcW w:w="2114" w:type="dxa"/>
          </w:tcPr>
          <w:p w14:paraId="1B53A9AA">
            <w:pPr>
              <w:pStyle w:val="13"/>
            </w:pPr>
          </w:p>
        </w:tc>
      </w:tr>
      <w:tr w14:paraId="5DA406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6DF625F">
            <w:pPr>
              <w:pStyle w:val="13"/>
            </w:pPr>
          </w:p>
        </w:tc>
        <w:tc>
          <w:tcPr>
            <w:tcW w:w="1984" w:type="dxa"/>
          </w:tcPr>
          <w:p w14:paraId="72CDDF67">
            <w:pPr>
              <w:pStyle w:val="13"/>
            </w:pPr>
          </w:p>
        </w:tc>
        <w:tc>
          <w:tcPr>
            <w:tcW w:w="4678" w:type="dxa"/>
          </w:tcPr>
          <w:p w14:paraId="5F006D39">
            <w:pPr>
              <w:pStyle w:val="13"/>
            </w:pPr>
          </w:p>
        </w:tc>
        <w:tc>
          <w:tcPr>
            <w:tcW w:w="2114" w:type="dxa"/>
          </w:tcPr>
          <w:p w14:paraId="2E6B18D2">
            <w:pPr>
              <w:pStyle w:val="13"/>
            </w:pPr>
          </w:p>
        </w:tc>
      </w:tr>
      <w:tr w14:paraId="6D84C3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8988BFE">
            <w:pPr>
              <w:pStyle w:val="13"/>
            </w:pPr>
          </w:p>
        </w:tc>
        <w:tc>
          <w:tcPr>
            <w:tcW w:w="1984" w:type="dxa"/>
          </w:tcPr>
          <w:p w14:paraId="0F3F9925">
            <w:pPr>
              <w:pStyle w:val="13"/>
            </w:pPr>
          </w:p>
        </w:tc>
        <w:tc>
          <w:tcPr>
            <w:tcW w:w="4678" w:type="dxa"/>
          </w:tcPr>
          <w:p w14:paraId="15E2DC50">
            <w:pPr>
              <w:pStyle w:val="13"/>
            </w:pPr>
          </w:p>
        </w:tc>
        <w:tc>
          <w:tcPr>
            <w:tcW w:w="2114" w:type="dxa"/>
          </w:tcPr>
          <w:p w14:paraId="3B2AA18F">
            <w:pPr>
              <w:pStyle w:val="13"/>
            </w:pPr>
          </w:p>
        </w:tc>
      </w:tr>
      <w:tr w14:paraId="144CBC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93F0DE7">
            <w:pPr>
              <w:pStyle w:val="13"/>
            </w:pPr>
          </w:p>
        </w:tc>
        <w:tc>
          <w:tcPr>
            <w:tcW w:w="1984" w:type="dxa"/>
          </w:tcPr>
          <w:p w14:paraId="230517E2">
            <w:pPr>
              <w:pStyle w:val="13"/>
            </w:pPr>
          </w:p>
        </w:tc>
        <w:tc>
          <w:tcPr>
            <w:tcW w:w="4678" w:type="dxa"/>
          </w:tcPr>
          <w:p w14:paraId="1571FF16">
            <w:pPr>
              <w:pStyle w:val="13"/>
            </w:pPr>
          </w:p>
        </w:tc>
        <w:tc>
          <w:tcPr>
            <w:tcW w:w="2114" w:type="dxa"/>
          </w:tcPr>
          <w:p w14:paraId="5153BB7E">
            <w:pPr>
              <w:pStyle w:val="13"/>
            </w:pPr>
          </w:p>
        </w:tc>
      </w:tr>
      <w:tr w14:paraId="2E6A19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ED7DC93">
            <w:pPr>
              <w:pStyle w:val="13"/>
            </w:pPr>
          </w:p>
        </w:tc>
        <w:tc>
          <w:tcPr>
            <w:tcW w:w="1984" w:type="dxa"/>
          </w:tcPr>
          <w:p w14:paraId="1A35CBAC">
            <w:pPr>
              <w:pStyle w:val="13"/>
            </w:pPr>
          </w:p>
        </w:tc>
        <w:tc>
          <w:tcPr>
            <w:tcW w:w="4678" w:type="dxa"/>
          </w:tcPr>
          <w:p w14:paraId="1CD337EA">
            <w:pPr>
              <w:pStyle w:val="13"/>
            </w:pPr>
          </w:p>
        </w:tc>
        <w:tc>
          <w:tcPr>
            <w:tcW w:w="2114" w:type="dxa"/>
          </w:tcPr>
          <w:p w14:paraId="6E14C8D9">
            <w:pPr>
              <w:pStyle w:val="13"/>
            </w:pPr>
          </w:p>
        </w:tc>
      </w:tr>
      <w:tr w14:paraId="32A005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76325A4">
            <w:pPr>
              <w:pStyle w:val="13"/>
            </w:pPr>
          </w:p>
        </w:tc>
        <w:tc>
          <w:tcPr>
            <w:tcW w:w="1984" w:type="dxa"/>
          </w:tcPr>
          <w:p w14:paraId="71A7E23C">
            <w:pPr>
              <w:pStyle w:val="13"/>
            </w:pPr>
          </w:p>
        </w:tc>
        <w:tc>
          <w:tcPr>
            <w:tcW w:w="4678" w:type="dxa"/>
          </w:tcPr>
          <w:p w14:paraId="509F19F2">
            <w:pPr>
              <w:pStyle w:val="13"/>
            </w:pPr>
          </w:p>
        </w:tc>
        <w:tc>
          <w:tcPr>
            <w:tcW w:w="2114" w:type="dxa"/>
          </w:tcPr>
          <w:p w14:paraId="02B34663">
            <w:pPr>
              <w:pStyle w:val="13"/>
            </w:pPr>
          </w:p>
        </w:tc>
      </w:tr>
      <w:tr w14:paraId="1E95A3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00F42C4">
            <w:pPr>
              <w:pStyle w:val="13"/>
            </w:pPr>
          </w:p>
        </w:tc>
        <w:tc>
          <w:tcPr>
            <w:tcW w:w="1984" w:type="dxa"/>
          </w:tcPr>
          <w:p w14:paraId="24812D80">
            <w:pPr>
              <w:pStyle w:val="13"/>
            </w:pPr>
          </w:p>
        </w:tc>
        <w:tc>
          <w:tcPr>
            <w:tcW w:w="4678" w:type="dxa"/>
          </w:tcPr>
          <w:p w14:paraId="0ABB483E">
            <w:pPr>
              <w:pStyle w:val="13"/>
            </w:pPr>
          </w:p>
        </w:tc>
        <w:tc>
          <w:tcPr>
            <w:tcW w:w="2114" w:type="dxa"/>
          </w:tcPr>
          <w:p w14:paraId="4DCF239A">
            <w:pPr>
              <w:pStyle w:val="13"/>
            </w:pPr>
          </w:p>
        </w:tc>
      </w:tr>
      <w:tr w14:paraId="6F55B9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DBA265F">
            <w:pPr>
              <w:pStyle w:val="13"/>
            </w:pPr>
          </w:p>
        </w:tc>
        <w:tc>
          <w:tcPr>
            <w:tcW w:w="1984" w:type="dxa"/>
          </w:tcPr>
          <w:p w14:paraId="195EF31D">
            <w:pPr>
              <w:pStyle w:val="13"/>
            </w:pPr>
          </w:p>
        </w:tc>
        <w:tc>
          <w:tcPr>
            <w:tcW w:w="4678" w:type="dxa"/>
          </w:tcPr>
          <w:p w14:paraId="6AA168E3">
            <w:pPr>
              <w:pStyle w:val="13"/>
            </w:pPr>
          </w:p>
        </w:tc>
        <w:tc>
          <w:tcPr>
            <w:tcW w:w="2114" w:type="dxa"/>
          </w:tcPr>
          <w:p w14:paraId="4D41C5FF">
            <w:pPr>
              <w:pStyle w:val="13"/>
            </w:pPr>
          </w:p>
        </w:tc>
      </w:tr>
      <w:tr w14:paraId="7C2B27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6B2ADDE">
            <w:pPr>
              <w:pStyle w:val="13"/>
            </w:pPr>
          </w:p>
        </w:tc>
        <w:tc>
          <w:tcPr>
            <w:tcW w:w="1984" w:type="dxa"/>
          </w:tcPr>
          <w:p w14:paraId="4FC4F0E5">
            <w:pPr>
              <w:pStyle w:val="13"/>
            </w:pPr>
          </w:p>
        </w:tc>
        <w:tc>
          <w:tcPr>
            <w:tcW w:w="4678" w:type="dxa"/>
          </w:tcPr>
          <w:p w14:paraId="515A5376">
            <w:pPr>
              <w:pStyle w:val="13"/>
            </w:pPr>
          </w:p>
        </w:tc>
        <w:tc>
          <w:tcPr>
            <w:tcW w:w="2114" w:type="dxa"/>
          </w:tcPr>
          <w:p w14:paraId="1140C0A5">
            <w:pPr>
              <w:pStyle w:val="13"/>
            </w:pPr>
          </w:p>
        </w:tc>
      </w:tr>
      <w:tr w14:paraId="6D43E0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655" w:type="dxa"/>
            <w:gridSpan w:val="4"/>
          </w:tcPr>
          <w:p w14:paraId="1E8B9E48">
            <w:pPr>
              <w:pStyle w:val="13"/>
              <w:rPr>
                <w:sz w:val="21"/>
              </w:rPr>
            </w:pPr>
            <w:r>
              <w:t>小计：</w:t>
            </w:r>
          </w:p>
        </w:tc>
      </w:tr>
    </w:tbl>
    <w:p w14:paraId="5FF695BB">
      <w:pPr>
        <w:rPr>
          <w:color w:val="000000" w:themeColor="text1"/>
          <w14:textFill>
            <w14:solidFill>
              <w14:schemeClr w14:val="tx1"/>
            </w14:solidFill>
          </w14:textFill>
        </w:rPr>
      </w:pPr>
    </w:p>
    <w:p w14:paraId="11DB0678">
      <w:pPr>
        <w:spacing w:before="156" w:beforeLines="50" w:after="156" w:afterLines="50" w:line="440" w:lineRule="exact"/>
        <w:jc w:val="left"/>
        <w:outlineLvl w:val="3"/>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br w:type="page"/>
      </w:r>
    </w:p>
    <w:p w14:paraId="4A0EE35A">
      <w:pPr>
        <w:spacing w:before="156" w:beforeLines="50" w:after="156" w:afterLines="50" w:line="440" w:lineRule="exact"/>
        <w:jc w:val="left"/>
        <w:outlineLvl w:val="3"/>
        <w:rPr>
          <w:color w:val="000000" w:themeColor="text1"/>
          <w:sz w:val="30"/>
          <w14:textFill>
            <w14:solidFill>
              <w14:schemeClr w14:val="tx1"/>
            </w14:solidFill>
          </w14:textFill>
        </w:rPr>
      </w:pPr>
      <w:r>
        <w:rPr>
          <w:color w:val="000000" w:themeColor="text1"/>
          <w:kern w:val="0"/>
          <w:sz w:val="30"/>
          <w14:textFill>
            <w14:solidFill>
              <w14:schemeClr w14:val="tx1"/>
            </w14:solidFill>
          </w14:textFill>
        </w:rPr>
        <w:t>附件10</w:t>
      </w:r>
      <w:r>
        <w:rPr>
          <w:rFonts w:eastAsia="仿宋_GB2312"/>
          <w:color w:val="000000" w:themeColor="text1"/>
          <w:sz w:val="30"/>
          <w:szCs w:val="30"/>
          <w14:textFill>
            <w14:solidFill>
              <w14:schemeClr w14:val="tx1"/>
            </w14:solidFill>
          </w14:textFill>
        </w:rPr>
        <w:t xml:space="preserve">： </w:t>
      </w:r>
    </w:p>
    <w:p w14:paraId="214A077E">
      <w:pPr>
        <w:spacing w:before="156" w:beforeLines="50" w:after="156" w:afterLines="50" w:line="440" w:lineRule="exact"/>
        <w:jc w:val="center"/>
        <w:rPr>
          <w:rFonts w:ascii="黑体" w:hAnsi="黑体" w:eastAsia="黑体"/>
          <w:color w:val="000000" w:themeColor="text1"/>
          <w:sz w:val="30"/>
          <w14:textFill>
            <w14:solidFill>
              <w14:schemeClr w14:val="tx1"/>
            </w14:solidFill>
          </w14:textFill>
        </w:rPr>
      </w:pPr>
      <w:r>
        <w:rPr>
          <w:rFonts w:hint="eastAsia" w:ascii="黑体" w:hAnsi="黑体" w:eastAsia="黑体"/>
          <w:color w:val="000000" w:themeColor="text1"/>
          <w:sz w:val="30"/>
          <w14:textFill>
            <w14:solidFill>
              <w14:schemeClr w14:val="tx1"/>
            </w14:solidFill>
          </w14:textFill>
        </w:rPr>
        <w:t>甲限乙购材料品牌表（详见招标文件 第七章）</w:t>
      </w:r>
    </w:p>
    <w:tbl>
      <w:tblPr>
        <w:tblStyle w:val="25"/>
        <w:tblW w:w="5000" w:type="pct"/>
        <w:tblInd w:w="0" w:type="dxa"/>
        <w:tblLayout w:type="autofit"/>
        <w:tblCellMar>
          <w:top w:w="0" w:type="dxa"/>
          <w:left w:w="0" w:type="dxa"/>
          <w:bottom w:w="0" w:type="dxa"/>
          <w:right w:w="0" w:type="dxa"/>
        </w:tblCellMar>
      </w:tblPr>
      <w:tblGrid>
        <w:gridCol w:w="787"/>
        <w:gridCol w:w="2504"/>
        <w:gridCol w:w="5243"/>
      </w:tblGrid>
      <w:tr w14:paraId="16538F24">
        <w:tblPrEx>
          <w:tblCellMar>
            <w:top w:w="0" w:type="dxa"/>
            <w:left w:w="0" w:type="dxa"/>
            <w:bottom w:w="0" w:type="dxa"/>
            <w:right w:w="0" w:type="dxa"/>
          </w:tblCellMar>
        </w:tblPrEx>
        <w:trPr>
          <w:trHeight w:val="600" w:hRule="atLeast"/>
        </w:trPr>
        <w:tc>
          <w:tcPr>
            <w:tcW w:w="46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0E32D5">
            <w:pPr>
              <w:jc w:val="center"/>
              <w:textAlignment w:val="center"/>
              <w:rPr>
                <w:rFonts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lang w:bidi="ar"/>
                <w14:textFill>
                  <w14:solidFill>
                    <w14:schemeClr w14:val="tx1"/>
                  </w14:solidFill>
                </w14:textFill>
              </w:rPr>
              <w:t>序号</w:t>
            </w:r>
          </w:p>
        </w:tc>
        <w:tc>
          <w:tcPr>
            <w:tcW w:w="146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C0E8DA">
            <w:pPr>
              <w:jc w:val="center"/>
              <w:textAlignment w:val="center"/>
              <w:rPr>
                <w:rFonts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lang w:bidi="ar"/>
                <w14:textFill>
                  <w14:solidFill>
                    <w14:schemeClr w14:val="tx1"/>
                  </w14:solidFill>
                </w14:textFill>
              </w:rPr>
              <w:t>主材及设备名称</w:t>
            </w:r>
          </w:p>
        </w:tc>
        <w:tc>
          <w:tcPr>
            <w:tcW w:w="30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B1B403">
            <w:pPr>
              <w:jc w:val="center"/>
              <w:textAlignment w:val="center"/>
              <w:rPr>
                <w:rFonts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lang w:bidi="ar"/>
                <w14:textFill>
                  <w14:solidFill>
                    <w14:schemeClr w14:val="tx1"/>
                  </w14:solidFill>
                </w14:textFill>
              </w:rPr>
              <w:t>甲限品牌范围</w:t>
            </w:r>
          </w:p>
        </w:tc>
      </w:tr>
      <w:tr w14:paraId="3E3C1796">
        <w:tblPrEx>
          <w:tblCellMar>
            <w:top w:w="0" w:type="dxa"/>
            <w:left w:w="0" w:type="dxa"/>
            <w:bottom w:w="0" w:type="dxa"/>
            <w:right w:w="0" w:type="dxa"/>
          </w:tblCellMar>
        </w:tblPrEx>
        <w:trPr>
          <w:trHeight w:val="600" w:hRule="atLeast"/>
        </w:trPr>
        <w:tc>
          <w:tcPr>
            <w:tcW w:w="7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A70676">
            <w:pPr>
              <w:jc w:val="center"/>
              <w:textAlignment w:val="center"/>
              <w:rPr>
                <w:rFonts w:eastAsia="仿宋_GB2312"/>
                <w:b/>
                <w:color w:val="000000" w:themeColor="text1"/>
                <w:sz w:val="28"/>
                <w:szCs w:val="32"/>
                <w:lang w:bidi="ar"/>
                <w14:textFill>
                  <w14:solidFill>
                    <w14:schemeClr w14:val="tx1"/>
                  </w14:solidFill>
                </w14:textFill>
              </w:rPr>
            </w:pPr>
            <w:r>
              <w:rPr>
                <w:rFonts w:hint="eastAsia" w:eastAsia="仿宋"/>
                <w:b/>
                <w:color w:val="000000" w:themeColor="text1"/>
                <w:sz w:val="28"/>
                <w:szCs w:val="28"/>
                <w:lang w:val="en-US" w:eastAsia="zh-CN" w:bidi="ar"/>
                <w14:textFill>
                  <w14:solidFill>
                    <w14:schemeClr w14:val="tx1"/>
                  </w14:solidFill>
                </w14:textFill>
              </w:rPr>
              <w:t>1</w:t>
            </w:r>
          </w:p>
        </w:tc>
        <w:tc>
          <w:tcPr>
            <w:tcW w:w="250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AFA10E">
            <w:pPr>
              <w:jc w:val="center"/>
              <w:textAlignment w:val="center"/>
              <w:rPr>
                <w:rFonts w:eastAsia="仿宋_GB2312"/>
                <w:color w:val="000000" w:themeColor="text1"/>
                <w:sz w:val="28"/>
                <w:szCs w:val="32"/>
                <w14:textFill>
                  <w14:solidFill>
                    <w14:schemeClr w14:val="tx1"/>
                  </w14:solidFill>
                </w14:textFill>
              </w:rPr>
            </w:pPr>
            <w:r>
              <w:rPr>
                <w:rFonts w:hint="eastAsia" w:eastAsia="仿宋"/>
                <w:color w:val="000000" w:themeColor="text1"/>
                <w:sz w:val="28"/>
                <w:szCs w:val="28"/>
                <w:lang w:val="en-US" w:eastAsia="zh-CN"/>
                <w14:textFill>
                  <w14:solidFill>
                    <w14:schemeClr w14:val="tx1"/>
                  </w14:solidFill>
                </w14:textFill>
              </w:rPr>
              <w:t>太阳能路灯</w:t>
            </w:r>
          </w:p>
        </w:tc>
        <w:tc>
          <w:tcPr>
            <w:tcW w:w="5243" w:type="dxa"/>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54C254CD">
            <w:pPr>
              <w:jc w:val="center"/>
              <w:textAlignment w:val="center"/>
              <w:rPr>
                <w:rFonts w:eastAsia="仿宋_GB2312"/>
                <w:color w:val="000000" w:themeColor="text1"/>
                <w:sz w:val="28"/>
                <w:szCs w:val="32"/>
                <w14:textFill>
                  <w14:solidFill>
                    <w14:schemeClr w14:val="tx1"/>
                  </w14:solidFill>
                </w14:textFill>
              </w:rPr>
            </w:pPr>
            <w:r>
              <w:rPr>
                <w:rFonts w:hint="eastAsia" w:eastAsia="仿宋"/>
                <w:color w:val="000000" w:themeColor="text1"/>
                <w:sz w:val="28"/>
                <w:szCs w:val="28"/>
                <w14:textFill>
                  <w14:solidFill>
                    <w14:schemeClr w14:val="tx1"/>
                  </w14:solidFill>
                </w14:textFill>
              </w:rPr>
              <w:t>PPLE欧普、FSL佛山照明、TCL、上海亚明、雷士NVC、深圳海洋王照明</w:t>
            </w:r>
          </w:p>
        </w:tc>
      </w:tr>
      <w:tr w14:paraId="7F0B0348">
        <w:tblPrEx>
          <w:tblCellMar>
            <w:top w:w="0" w:type="dxa"/>
            <w:left w:w="0" w:type="dxa"/>
            <w:bottom w:w="0" w:type="dxa"/>
            <w:right w:w="0" w:type="dxa"/>
          </w:tblCellMar>
        </w:tblPrEx>
        <w:trPr>
          <w:trHeight w:val="600" w:hRule="atLeast"/>
        </w:trPr>
        <w:tc>
          <w:tcPr>
            <w:tcW w:w="46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61AA8A">
            <w:pPr>
              <w:jc w:val="center"/>
              <w:textAlignment w:val="center"/>
              <w:rPr>
                <w:rFonts w:eastAsia="仿宋_GB2312"/>
                <w:b/>
                <w:color w:val="000000" w:themeColor="text1"/>
                <w:sz w:val="28"/>
                <w:szCs w:val="32"/>
                <w14:textFill>
                  <w14:solidFill>
                    <w14:schemeClr w14:val="tx1"/>
                  </w14:solidFill>
                </w14:textFill>
              </w:rPr>
            </w:pPr>
            <w:r>
              <w:rPr>
                <w:rFonts w:eastAsia="仿宋_GB2312"/>
                <w:sz w:val="28"/>
                <w:szCs w:val="32"/>
              </w:rPr>
              <w:t>2</w:t>
            </w:r>
          </w:p>
        </w:tc>
        <w:tc>
          <w:tcPr>
            <w:tcW w:w="1467"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7D829D5">
            <w:pPr>
              <w:jc w:val="center"/>
              <w:textAlignment w:val="center"/>
              <w:rPr>
                <w:rFonts w:hint="eastAsia" w:eastAsia="仿宋_GB2312"/>
                <w:color w:val="000000" w:themeColor="text1"/>
                <w:sz w:val="28"/>
                <w:szCs w:val="32"/>
                <w:lang w:val="en-US" w:eastAsia="zh-CN"/>
                <w14:textFill>
                  <w14:solidFill>
                    <w14:schemeClr w14:val="tx1"/>
                  </w14:solidFill>
                </w14:textFill>
              </w:rPr>
            </w:pPr>
            <w:r>
              <w:rPr>
                <w:rFonts w:hint="eastAsia" w:eastAsia="仿宋_GB2312"/>
                <w:color w:val="000000" w:themeColor="text1"/>
                <w:sz w:val="28"/>
                <w:szCs w:val="32"/>
                <w:lang w:val="en-US" w:eastAsia="zh-CN"/>
                <w14:textFill>
                  <w14:solidFill>
                    <w14:schemeClr w14:val="tx1"/>
                  </w14:solidFill>
                </w14:textFill>
              </w:rPr>
              <w:t>监控</w:t>
            </w:r>
          </w:p>
        </w:tc>
        <w:tc>
          <w:tcPr>
            <w:tcW w:w="3072"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5AC97E9C">
            <w:pPr>
              <w:jc w:val="center"/>
              <w:textAlignment w:val="center"/>
              <w:rPr>
                <w:rFonts w:eastAsia="仿宋_GB2312"/>
                <w:color w:val="000000" w:themeColor="text1"/>
                <w:sz w:val="28"/>
                <w:szCs w:val="32"/>
                <w14:textFill>
                  <w14:solidFill>
                    <w14:schemeClr w14:val="tx1"/>
                  </w14:solidFill>
                </w14:textFill>
              </w:rPr>
            </w:pPr>
            <w:r>
              <w:rPr>
                <w:rFonts w:hint="eastAsia" w:ascii="Times New Roman" w:hAnsi="Times New Roman" w:eastAsia="仿宋" w:cs="Times New Roman"/>
                <w:color w:val="000000" w:themeColor="text1"/>
                <w:sz w:val="28"/>
                <w:szCs w:val="28"/>
                <w14:textFill>
                  <w14:solidFill>
                    <w14:schemeClr w14:val="tx1"/>
                  </w14:solidFill>
                </w14:textFill>
              </w:rPr>
              <w:t>大华、海康、宇视</w:t>
            </w:r>
          </w:p>
        </w:tc>
      </w:tr>
      <w:tr w14:paraId="42E9F931">
        <w:tblPrEx>
          <w:tblCellMar>
            <w:top w:w="0" w:type="dxa"/>
            <w:left w:w="0" w:type="dxa"/>
            <w:bottom w:w="0" w:type="dxa"/>
            <w:right w:w="0" w:type="dxa"/>
          </w:tblCellMar>
        </w:tblPrEx>
        <w:trPr>
          <w:trHeight w:val="600" w:hRule="atLeast"/>
        </w:trPr>
        <w:tc>
          <w:tcPr>
            <w:tcW w:w="46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89CE7A">
            <w:pPr>
              <w:jc w:val="center"/>
              <w:textAlignment w:val="center"/>
              <w:rPr>
                <w:rFonts w:eastAsia="仿宋_GB2312"/>
                <w:b/>
                <w:color w:val="000000" w:themeColor="text1"/>
                <w:sz w:val="28"/>
                <w:szCs w:val="32"/>
                <w14:textFill>
                  <w14:solidFill>
                    <w14:schemeClr w14:val="tx1"/>
                  </w14:solidFill>
                </w14:textFill>
              </w:rPr>
            </w:pPr>
            <w:r>
              <w:rPr>
                <w:rFonts w:eastAsia="仿宋_GB2312"/>
                <w:sz w:val="28"/>
                <w:szCs w:val="32"/>
              </w:rPr>
              <w:t>3</w:t>
            </w:r>
          </w:p>
        </w:tc>
        <w:tc>
          <w:tcPr>
            <w:tcW w:w="1467"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C2F8C3">
            <w:pPr>
              <w:jc w:val="center"/>
              <w:textAlignment w:val="center"/>
              <w:rPr>
                <w:rFonts w:eastAsia="仿宋_GB2312"/>
                <w:color w:val="000000" w:themeColor="text1"/>
                <w:sz w:val="28"/>
                <w:szCs w:val="32"/>
                <w14:textFill>
                  <w14:solidFill>
                    <w14:schemeClr w14:val="tx1"/>
                  </w14:solidFill>
                </w14:textFill>
              </w:rPr>
            </w:pPr>
          </w:p>
        </w:tc>
        <w:tc>
          <w:tcPr>
            <w:tcW w:w="3072" w:type="pct"/>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3CE0D87">
            <w:pPr>
              <w:jc w:val="center"/>
              <w:textAlignment w:val="center"/>
              <w:rPr>
                <w:rFonts w:eastAsia="仿宋_GB2312"/>
                <w:color w:val="000000" w:themeColor="text1"/>
                <w:sz w:val="28"/>
                <w:szCs w:val="32"/>
                <w14:textFill>
                  <w14:solidFill>
                    <w14:schemeClr w14:val="tx1"/>
                  </w14:solidFill>
                </w14:textFill>
              </w:rPr>
            </w:pPr>
          </w:p>
        </w:tc>
      </w:tr>
      <w:tr w14:paraId="2ABDE5C4">
        <w:tblPrEx>
          <w:tblCellMar>
            <w:top w:w="0" w:type="dxa"/>
            <w:left w:w="0" w:type="dxa"/>
            <w:bottom w:w="0" w:type="dxa"/>
            <w:right w:w="0" w:type="dxa"/>
          </w:tblCellMar>
        </w:tblPrEx>
        <w:trPr>
          <w:trHeight w:val="600" w:hRule="atLeast"/>
        </w:trPr>
        <w:tc>
          <w:tcPr>
            <w:tcW w:w="46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099E1A">
            <w:pPr>
              <w:jc w:val="center"/>
              <w:textAlignment w:val="center"/>
              <w:rPr>
                <w:rFonts w:eastAsia="仿宋_GB2312"/>
                <w:b/>
                <w:color w:val="000000" w:themeColor="text1"/>
                <w:sz w:val="28"/>
                <w:szCs w:val="32"/>
                <w14:textFill>
                  <w14:solidFill>
                    <w14:schemeClr w14:val="tx1"/>
                  </w14:solidFill>
                </w14:textFill>
              </w:rPr>
            </w:pPr>
            <w:r>
              <w:rPr>
                <w:rFonts w:eastAsia="仿宋_GB2312"/>
                <w:sz w:val="28"/>
                <w:szCs w:val="32"/>
              </w:rPr>
              <w:t>4</w:t>
            </w:r>
          </w:p>
        </w:tc>
        <w:tc>
          <w:tcPr>
            <w:tcW w:w="1467"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0301FD">
            <w:pPr>
              <w:jc w:val="center"/>
              <w:textAlignment w:val="center"/>
              <w:rPr>
                <w:rFonts w:eastAsia="仿宋_GB2312"/>
                <w:color w:val="000000" w:themeColor="text1"/>
                <w:sz w:val="28"/>
                <w:szCs w:val="32"/>
                <w14:textFill>
                  <w14:solidFill>
                    <w14:schemeClr w14:val="tx1"/>
                  </w14:solidFill>
                </w14:textFill>
              </w:rPr>
            </w:pPr>
          </w:p>
        </w:tc>
        <w:tc>
          <w:tcPr>
            <w:tcW w:w="3072" w:type="pct"/>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7770501A">
            <w:pPr>
              <w:jc w:val="center"/>
              <w:textAlignment w:val="center"/>
              <w:rPr>
                <w:rFonts w:eastAsia="仿宋_GB2312"/>
                <w:color w:val="000000" w:themeColor="text1"/>
                <w:sz w:val="28"/>
                <w:szCs w:val="32"/>
                <w14:textFill>
                  <w14:solidFill>
                    <w14:schemeClr w14:val="tx1"/>
                  </w14:solidFill>
                </w14:textFill>
              </w:rPr>
            </w:pPr>
          </w:p>
        </w:tc>
      </w:tr>
      <w:tr w14:paraId="11199B33">
        <w:tblPrEx>
          <w:tblCellMar>
            <w:top w:w="0" w:type="dxa"/>
            <w:left w:w="0" w:type="dxa"/>
            <w:bottom w:w="0" w:type="dxa"/>
            <w:right w:w="0" w:type="dxa"/>
          </w:tblCellMar>
        </w:tblPrEx>
        <w:trPr>
          <w:trHeight w:val="600" w:hRule="atLeast"/>
        </w:trPr>
        <w:tc>
          <w:tcPr>
            <w:tcW w:w="46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244E78">
            <w:pPr>
              <w:jc w:val="center"/>
              <w:textAlignment w:val="center"/>
              <w:rPr>
                <w:rFonts w:eastAsia="仿宋_GB2312"/>
                <w:b/>
                <w:color w:val="000000" w:themeColor="text1"/>
                <w:sz w:val="28"/>
                <w:szCs w:val="32"/>
                <w14:textFill>
                  <w14:solidFill>
                    <w14:schemeClr w14:val="tx1"/>
                  </w14:solidFill>
                </w14:textFill>
              </w:rPr>
            </w:pPr>
            <w:r>
              <w:rPr>
                <w:rFonts w:eastAsia="仿宋_GB2312"/>
                <w:sz w:val="28"/>
                <w:szCs w:val="32"/>
              </w:rPr>
              <w:t>5</w:t>
            </w:r>
          </w:p>
        </w:tc>
        <w:tc>
          <w:tcPr>
            <w:tcW w:w="1467"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5E32942">
            <w:pPr>
              <w:jc w:val="center"/>
              <w:textAlignment w:val="center"/>
              <w:rPr>
                <w:rFonts w:eastAsia="仿宋_GB2312"/>
                <w:color w:val="000000" w:themeColor="text1"/>
                <w:sz w:val="28"/>
                <w:szCs w:val="32"/>
                <w14:textFill>
                  <w14:solidFill>
                    <w14:schemeClr w14:val="tx1"/>
                  </w14:solidFill>
                </w14:textFill>
              </w:rPr>
            </w:pPr>
          </w:p>
        </w:tc>
        <w:tc>
          <w:tcPr>
            <w:tcW w:w="3072" w:type="pct"/>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06B2B6C0">
            <w:pPr>
              <w:jc w:val="center"/>
              <w:textAlignment w:val="center"/>
              <w:rPr>
                <w:rFonts w:eastAsia="仿宋_GB2312"/>
                <w:color w:val="000000" w:themeColor="text1"/>
                <w:sz w:val="28"/>
                <w:szCs w:val="32"/>
                <w14:textFill>
                  <w14:solidFill>
                    <w14:schemeClr w14:val="tx1"/>
                  </w14:solidFill>
                </w14:textFill>
              </w:rPr>
            </w:pPr>
          </w:p>
        </w:tc>
      </w:tr>
      <w:tr w14:paraId="359DB1AF">
        <w:tblPrEx>
          <w:tblCellMar>
            <w:top w:w="0" w:type="dxa"/>
            <w:left w:w="0" w:type="dxa"/>
            <w:bottom w:w="0" w:type="dxa"/>
            <w:right w:w="0" w:type="dxa"/>
          </w:tblCellMar>
        </w:tblPrEx>
        <w:trPr>
          <w:trHeight w:val="600" w:hRule="atLeast"/>
        </w:trPr>
        <w:tc>
          <w:tcPr>
            <w:tcW w:w="46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63B6E4">
            <w:pPr>
              <w:jc w:val="center"/>
              <w:textAlignment w:val="center"/>
              <w:rPr>
                <w:rFonts w:eastAsia="仿宋_GB2312"/>
                <w:b/>
                <w:color w:val="000000" w:themeColor="text1"/>
                <w:sz w:val="28"/>
                <w:szCs w:val="32"/>
                <w14:textFill>
                  <w14:solidFill>
                    <w14:schemeClr w14:val="tx1"/>
                  </w14:solidFill>
                </w14:textFill>
              </w:rPr>
            </w:pPr>
            <w:r>
              <w:rPr>
                <w:rFonts w:eastAsia="仿宋_GB2312"/>
                <w:sz w:val="28"/>
                <w:szCs w:val="32"/>
              </w:rPr>
              <w:t>6</w:t>
            </w:r>
          </w:p>
        </w:tc>
        <w:tc>
          <w:tcPr>
            <w:tcW w:w="146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6C079E">
            <w:pPr>
              <w:jc w:val="center"/>
              <w:textAlignment w:val="center"/>
              <w:rPr>
                <w:rFonts w:eastAsia="仿宋_GB2312"/>
                <w:color w:val="000000" w:themeColor="text1"/>
                <w:sz w:val="28"/>
                <w:szCs w:val="32"/>
                <w14:textFill>
                  <w14:solidFill>
                    <w14:schemeClr w14:val="tx1"/>
                  </w14:solidFill>
                </w14:textFill>
              </w:rPr>
            </w:pPr>
          </w:p>
        </w:tc>
        <w:tc>
          <w:tcPr>
            <w:tcW w:w="30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6D1A7B">
            <w:pPr>
              <w:jc w:val="center"/>
              <w:textAlignment w:val="center"/>
              <w:rPr>
                <w:rFonts w:eastAsia="仿宋_GB2312"/>
                <w:color w:val="000000" w:themeColor="text1"/>
                <w:sz w:val="28"/>
                <w:szCs w:val="32"/>
                <w14:textFill>
                  <w14:solidFill>
                    <w14:schemeClr w14:val="tx1"/>
                  </w14:solidFill>
                </w14:textFill>
              </w:rPr>
            </w:pPr>
          </w:p>
        </w:tc>
      </w:tr>
    </w:tbl>
    <w:p w14:paraId="61421FF7">
      <w:pPr>
        <w:spacing w:before="156" w:beforeLines="50" w:after="156" w:afterLines="50" w:line="440" w:lineRule="exact"/>
        <w:jc w:val="left"/>
        <w:rPr>
          <w:color w:val="000000" w:themeColor="text1"/>
          <w:kern w:val="0"/>
          <w:sz w:val="30"/>
          <w14:textFill>
            <w14:solidFill>
              <w14:schemeClr w14:val="tx1"/>
            </w14:solidFill>
          </w14:textFill>
        </w:rPr>
      </w:pPr>
    </w:p>
    <w:p w14:paraId="1CBDCEBE">
      <w:pPr>
        <w:spacing w:before="156" w:beforeLines="50" w:after="156" w:afterLines="50" w:line="440" w:lineRule="exact"/>
        <w:jc w:val="left"/>
        <w:rPr>
          <w:color w:val="000000" w:themeColor="text1"/>
          <w:kern w:val="0"/>
          <w:sz w:val="30"/>
          <w14:textFill>
            <w14:solidFill>
              <w14:schemeClr w14:val="tx1"/>
            </w14:solidFill>
          </w14:textFill>
        </w:rPr>
      </w:pPr>
    </w:p>
    <w:p w14:paraId="7C4BFC8E">
      <w:pPr>
        <w:spacing w:before="156" w:beforeLines="50" w:after="156" w:afterLines="50" w:line="440" w:lineRule="exact"/>
        <w:jc w:val="left"/>
        <w:rPr>
          <w:color w:val="000000" w:themeColor="text1"/>
          <w:kern w:val="0"/>
          <w:sz w:val="30"/>
          <w14:textFill>
            <w14:solidFill>
              <w14:schemeClr w14:val="tx1"/>
            </w14:solidFill>
          </w14:textFill>
        </w:rPr>
      </w:pPr>
    </w:p>
    <w:p w14:paraId="3E5A06AF">
      <w:pPr>
        <w:spacing w:before="156" w:beforeLines="50" w:after="156" w:afterLines="50" w:line="440" w:lineRule="exact"/>
        <w:jc w:val="left"/>
        <w:rPr>
          <w:color w:val="000000" w:themeColor="text1"/>
          <w:kern w:val="0"/>
          <w:sz w:val="30"/>
          <w14:textFill>
            <w14:solidFill>
              <w14:schemeClr w14:val="tx1"/>
            </w14:solidFill>
          </w14:textFill>
        </w:rPr>
      </w:pPr>
      <w:r>
        <w:rPr>
          <w:color w:val="000000" w:themeColor="text1"/>
          <w:kern w:val="0"/>
          <w:sz w:val="30"/>
          <w14:textFill>
            <w14:solidFill>
              <w14:schemeClr w14:val="tx1"/>
            </w14:solidFill>
          </w14:textFill>
        </w:rPr>
        <w:br w:type="page"/>
      </w:r>
    </w:p>
    <w:p w14:paraId="1A93F3C6">
      <w:pPr>
        <w:spacing w:before="156" w:beforeLines="50" w:after="156" w:afterLines="50" w:line="440" w:lineRule="exact"/>
        <w:jc w:val="left"/>
        <w:outlineLvl w:val="3"/>
        <w:rPr>
          <w:color w:val="000000" w:themeColor="text1"/>
          <w:sz w:val="30"/>
          <w14:textFill>
            <w14:solidFill>
              <w14:schemeClr w14:val="tx1"/>
            </w14:solidFill>
          </w14:textFill>
        </w:rPr>
      </w:pPr>
      <w:r>
        <w:rPr>
          <w:color w:val="000000" w:themeColor="text1"/>
          <w:kern w:val="0"/>
          <w:sz w:val="30"/>
          <w14:textFill>
            <w14:solidFill>
              <w14:schemeClr w14:val="tx1"/>
            </w14:solidFill>
          </w14:textFill>
        </w:rPr>
        <w:t>附件11</w:t>
      </w:r>
      <w:r>
        <w:rPr>
          <w:rFonts w:eastAsia="仿宋_GB2312"/>
          <w:color w:val="000000" w:themeColor="text1"/>
          <w:sz w:val="30"/>
          <w:szCs w:val="30"/>
          <w14:textFill>
            <w14:solidFill>
              <w14:schemeClr w14:val="tx1"/>
            </w14:solidFill>
          </w14:textFill>
        </w:rPr>
        <w:t xml:space="preserve">： </w:t>
      </w:r>
    </w:p>
    <w:p w14:paraId="38FBC607">
      <w:pPr>
        <w:spacing w:before="156" w:beforeLines="50" w:after="156" w:afterLines="50" w:line="440" w:lineRule="exact"/>
        <w:jc w:val="center"/>
        <w:rPr>
          <w:rFonts w:eastAsia="黑体"/>
          <w:color w:val="000000" w:themeColor="text1"/>
          <w:sz w:val="32"/>
          <w:szCs w:val="32"/>
          <w14:textFill>
            <w14:solidFill>
              <w14:schemeClr w14:val="tx1"/>
            </w14:solidFill>
          </w14:textFill>
        </w:rPr>
      </w:pPr>
      <w:bookmarkStart w:id="731" w:name="_Hlk181800059"/>
      <w:bookmarkStart w:id="732" w:name="_Hlk211515853"/>
      <w:bookmarkStart w:id="733" w:name="_Hlk157176020"/>
      <w:r>
        <w:rPr>
          <w:rFonts w:eastAsia="黑体"/>
          <w:color w:val="000000" w:themeColor="text1"/>
          <w:sz w:val="32"/>
          <w:szCs w:val="32"/>
          <w14:textFill>
            <w14:solidFill>
              <w14:schemeClr w14:val="tx1"/>
            </w14:solidFill>
          </w14:textFill>
        </w:rPr>
        <w:t>相关方安全协议</w:t>
      </w:r>
    </w:p>
    <w:p w14:paraId="2DE8BEE1">
      <w:pPr>
        <w:pStyle w:val="48"/>
        <w:spacing w:line="300" w:lineRule="auto"/>
        <w:ind w:firstLine="600"/>
        <w:rPr>
          <w:rFonts w:eastAsia="仿宋_GB2312"/>
          <w:sz w:val="30"/>
          <w:szCs w:val="30"/>
        </w:rPr>
      </w:pPr>
      <w:bookmarkStart w:id="734" w:name="_Hlk224896941"/>
      <w:r>
        <w:rPr>
          <w:rFonts w:eastAsia="仿宋_GB2312"/>
          <w:sz w:val="30"/>
          <w:szCs w:val="30"/>
        </w:rPr>
        <w:t>甲方：</w:t>
      </w:r>
    </w:p>
    <w:p w14:paraId="54EF8A64">
      <w:pPr>
        <w:pStyle w:val="48"/>
        <w:spacing w:line="300" w:lineRule="auto"/>
        <w:ind w:firstLine="600"/>
        <w:rPr>
          <w:rFonts w:eastAsia="仿宋_GB2312"/>
          <w:sz w:val="30"/>
          <w:szCs w:val="30"/>
        </w:rPr>
      </w:pPr>
      <w:r>
        <w:rPr>
          <w:rFonts w:eastAsia="仿宋_GB2312"/>
          <w:sz w:val="30"/>
          <w:szCs w:val="30"/>
        </w:rPr>
        <w:t>乙方：</w:t>
      </w:r>
    </w:p>
    <w:p w14:paraId="049CF134">
      <w:pPr>
        <w:pStyle w:val="48"/>
        <w:spacing w:line="300" w:lineRule="auto"/>
        <w:ind w:firstLine="600"/>
        <w:rPr>
          <w:rFonts w:eastAsia="仿宋_GB2312"/>
          <w:sz w:val="30"/>
          <w:szCs w:val="30"/>
        </w:rPr>
      </w:pPr>
      <w:r>
        <w:rPr>
          <w:rFonts w:eastAsia="仿宋_GB2312"/>
          <w:sz w:val="30"/>
          <w:szCs w:val="30"/>
        </w:rPr>
        <w:t>乙方在甲方厂区（含园区）开展</w:t>
      </w:r>
      <w:r>
        <w:rPr>
          <w:rFonts w:eastAsia="仿宋_GB2312"/>
          <w:sz w:val="30"/>
          <w:szCs w:val="30"/>
          <w:u w:val="single"/>
        </w:rPr>
        <w:t xml:space="preserve">           </w:t>
      </w:r>
      <w:r>
        <w:rPr>
          <w:rFonts w:eastAsia="仿宋_GB2312"/>
          <w:sz w:val="30"/>
          <w:szCs w:val="30"/>
        </w:rPr>
        <w:t>项目，根据国家、地方有关安全生产的法律、法规、条例、规章、政策等规范性文件的要求，为明确甲乙双方安全管理职责与权利，预防各类事故的发生，经甲乙双方协商一致，同意签订本协议，并共同遵守。</w:t>
      </w:r>
    </w:p>
    <w:p w14:paraId="13DE0753">
      <w:pPr>
        <w:pStyle w:val="48"/>
        <w:spacing w:line="300" w:lineRule="auto"/>
        <w:ind w:firstLine="600"/>
        <w:rPr>
          <w:rFonts w:eastAsia="黑体"/>
          <w:sz w:val="30"/>
          <w:szCs w:val="30"/>
        </w:rPr>
      </w:pPr>
      <w:r>
        <w:rPr>
          <w:rFonts w:eastAsia="黑体"/>
          <w:sz w:val="30"/>
          <w:szCs w:val="30"/>
        </w:rPr>
        <w:t>一、甲乙双方安全管理职责与权利：</w:t>
      </w:r>
    </w:p>
    <w:p w14:paraId="47CBADCE">
      <w:pPr>
        <w:pStyle w:val="48"/>
        <w:numPr>
          <w:ilvl w:val="255"/>
          <w:numId w:val="0"/>
        </w:numPr>
        <w:spacing w:line="300" w:lineRule="auto"/>
        <w:ind w:firstLine="602" w:firstLineChars="200"/>
        <w:rPr>
          <w:rFonts w:eastAsia="楷体_GB2312"/>
          <w:b/>
          <w:bCs/>
          <w:sz w:val="30"/>
          <w:szCs w:val="30"/>
        </w:rPr>
      </w:pPr>
      <w:r>
        <w:rPr>
          <w:rFonts w:eastAsia="楷体_GB2312"/>
          <w:b/>
          <w:bCs/>
          <w:sz w:val="30"/>
          <w:szCs w:val="30"/>
        </w:rPr>
        <w:t>（一）甲方职责与权利</w:t>
      </w:r>
    </w:p>
    <w:p w14:paraId="6BD78995">
      <w:pPr>
        <w:pStyle w:val="48"/>
        <w:spacing w:line="300" w:lineRule="auto"/>
        <w:ind w:firstLine="600"/>
        <w:rPr>
          <w:rFonts w:eastAsia="仿宋_GB2312"/>
          <w:sz w:val="30"/>
          <w:szCs w:val="30"/>
        </w:rPr>
      </w:pPr>
      <w:r>
        <w:rPr>
          <w:rFonts w:eastAsia="仿宋_GB2312"/>
          <w:sz w:val="30"/>
          <w:szCs w:val="30"/>
        </w:rPr>
        <w:t>1.甲方根据协作需求，负责为乙方提供作业场地及必要的风、水、电、气等能源。</w:t>
      </w:r>
    </w:p>
    <w:p w14:paraId="46C5F97D">
      <w:pPr>
        <w:pStyle w:val="48"/>
        <w:spacing w:line="300" w:lineRule="auto"/>
        <w:ind w:firstLine="600"/>
        <w:rPr>
          <w:rFonts w:eastAsia="仿宋_GB2312"/>
          <w:sz w:val="30"/>
          <w:szCs w:val="30"/>
        </w:rPr>
      </w:pPr>
      <w:r>
        <w:rPr>
          <w:rFonts w:eastAsia="仿宋_GB2312"/>
          <w:sz w:val="30"/>
          <w:szCs w:val="30"/>
        </w:rPr>
        <w:t>2.甲方有权督促乙方遵守国家有关安全的法规、标准和甲方的安全管理规章制度，有权对乙方作业过程中的安全管理工作、安全防范措施的落实进行监督检查，有权向乙方询问有关安全措施的落实情况，调阅有关安全资料，并落实为书面记录。</w:t>
      </w:r>
    </w:p>
    <w:p w14:paraId="3400FAAA">
      <w:pPr>
        <w:pStyle w:val="48"/>
        <w:spacing w:line="300" w:lineRule="auto"/>
        <w:ind w:firstLine="600"/>
        <w:rPr>
          <w:rFonts w:eastAsia="仿宋_GB2312"/>
          <w:sz w:val="30"/>
          <w:szCs w:val="30"/>
        </w:rPr>
      </w:pPr>
      <w:r>
        <w:rPr>
          <w:rFonts w:eastAsia="仿宋_GB2312"/>
          <w:sz w:val="30"/>
          <w:szCs w:val="30"/>
        </w:rPr>
        <w:t>3.甲方有权对乙方作业过程中出现的事故隐患、违章、冒险行为进行制止和纠正，有权要求乙方立即整改和排除风险。乙方出现重大安全隐患不进行整改的或管理混乱不服从甲方监督和协调的情况，甲方有权停止其作业，并给予警告和经济考核，直至终止本合同及具体业务合同。</w:t>
      </w:r>
    </w:p>
    <w:p w14:paraId="249D25D3">
      <w:pPr>
        <w:pStyle w:val="48"/>
        <w:spacing w:line="300" w:lineRule="auto"/>
        <w:ind w:firstLine="600"/>
        <w:rPr>
          <w:rFonts w:eastAsia="仿宋_GB2312"/>
          <w:sz w:val="30"/>
          <w:szCs w:val="30"/>
        </w:rPr>
      </w:pPr>
      <w:r>
        <w:rPr>
          <w:rFonts w:eastAsia="仿宋_GB2312"/>
          <w:sz w:val="30"/>
          <w:szCs w:val="30"/>
        </w:rPr>
        <w:t>4.甲方对乙方不得违章指挥、强令冒险作业，因甲方人员人为原因造成乙方人员发生事故的，由乙方负责处理，甲方予以协助并赔偿乙方的合理损失。</w:t>
      </w:r>
    </w:p>
    <w:p w14:paraId="3BC0CFDE">
      <w:pPr>
        <w:pStyle w:val="48"/>
        <w:spacing w:line="300" w:lineRule="auto"/>
        <w:ind w:firstLine="600"/>
        <w:rPr>
          <w:rFonts w:eastAsia="仿宋_GB2312"/>
          <w:sz w:val="30"/>
          <w:szCs w:val="30"/>
        </w:rPr>
      </w:pPr>
      <w:r>
        <w:rPr>
          <w:rFonts w:eastAsia="仿宋_GB2312"/>
          <w:sz w:val="30"/>
          <w:szCs w:val="30"/>
        </w:rPr>
        <w:t>5.甲方对乙方在甲方发生安全事故时，将尽量协助救护、保护事故现场，并有权开展或参加对事故的调查处理。因乙方原因导致的生产安全事故，由乙方承担相应责任。</w:t>
      </w:r>
    </w:p>
    <w:p w14:paraId="6EF344AC">
      <w:pPr>
        <w:pStyle w:val="48"/>
        <w:spacing w:line="300" w:lineRule="auto"/>
        <w:ind w:firstLine="600"/>
        <w:rPr>
          <w:rFonts w:eastAsia="仿宋_GB2312"/>
          <w:sz w:val="30"/>
          <w:szCs w:val="30"/>
        </w:rPr>
      </w:pPr>
      <w:r>
        <w:rPr>
          <w:rFonts w:eastAsia="仿宋_GB2312"/>
          <w:sz w:val="30"/>
          <w:szCs w:val="30"/>
        </w:rPr>
        <w:t>6.当物资供应类的物品中含有危险化学品以及其他对甲方职业安全健康有影响的产品时，甲方有权要求乙方提供相关产品的中文版化学品安全技术说明书、产品标准、使用说明书、化学性能参数表等文件。</w:t>
      </w:r>
    </w:p>
    <w:p w14:paraId="059E7033">
      <w:pPr>
        <w:pStyle w:val="48"/>
        <w:spacing w:line="300" w:lineRule="auto"/>
        <w:ind w:firstLine="600"/>
        <w:rPr>
          <w:rFonts w:eastAsia="仿宋_GB2312"/>
          <w:sz w:val="30"/>
          <w:szCs w:val="30"/>
        </w:rPr>
      </w:pPr>
      <w:r>
        <w:rPr>
          <w:rFonts w:eastAsia="仿宋_GB2312"/>
          <w:sz w:val="30"/>
          <w:szCs w:val="30"/>
        </w:rPr>
        <w:t>7.对于提供生活物质、食品的乙方，甲方有权要求乙方提供乙方工作人员的健康证明。在甲方服务时，乙方要严格遵守甲方的相关安全管理制度和卫生、健康管理制度。</w:t>
      </w:r>
    </w:p>
    <w:p w14:paraId="2A4315CB">
      <w:pPr>
        <w:pStyle w:val="48"/>
        <w:spacing w:line="300" w:lineRule="auto"/>
        <w:ind w:firstLine="600"/>
        <w:rPr>
          <w:rFonts w:eastAsia="仿宋_GB2312"/>
          <w:sz w:val="30"/>
          <w:szCs w:val="30"/>
        </w:rPr>
      </w:pPr>
      <w:r>
        <w:rPr>
          <w:rFonts w:eastAsia="仿宋_GB2312"/>
          <w:sz w:val="30"/>
          <w:szCs w:val="30"/>
        </w:rPr>
        <w:t>8、甲方有权要求乙方提供作业人员的工伤保险及意外保险缴纳证明。</w:t>
      </w:r>
    </w:p>
    <w:p w14:paraId="6AA7C83D">
      <w:pPr>
        <w:pStyle w:val="48"/>
        <w:spacing w:line="300" w:lineRule="auto"/>
        <w:ind w:firstLine="600"/>
        <w:rPr>
          <w:rFonts w:eastAsia="仿宋_GB2312"/>
          <w:sz w:val="30"/>
          <w:szCs w:val="30"/>
        </w:rPr>
      </w:pPr>
      <w:r>
        <w:rPr>
          <w:rFonts w:eastAsia="仿宋_GB2312"/>
          <w:sz w:val="30"/>
          <w:szCs w:val="30"/>
        </w:rPr>
        <w:t>9、甲方指定专人（联系人、安全员：</w:t>
      </w:r>
      <w:r>
        <w:rPr>
          <w:rFonts w:eastAsia="仿宋_GB2312"/>
          <w:sz w:val="30"/>
          <w:szCs w:val="30"/>
          <w:u w:val="single"/>
        </w:rPr>
        <w:t xml:space="preserve">        </w:t>
      </w:r>
      <w:r>
        <w:rPr>
          <w:rFonts w:eastAsia="仿宋_GB2312"/>
          <w:sz w:val="30"/>
          <w:szCs w:val="30"/>
        </w:rPr>
        <w:t>；联系方式：</w:t>
      </w:r>
      <w:r>
        <w:rPr>
          <w:rFonts w:eastAsia="仿宋_GB2312"/>
          <w:sz w:val="30"/>
          <w:szCs w:val="30"/>
          <w:u w:val="single"/>
        </w:rPr>
        <w:t xml:space="preserve">        </w:t>
      </w:r>
      <w:r>
        <w:rPr>
          <w:rFonts w:eastAsia="仿宋_GB2312"/>
          <w:sz w:val="30"/>
          <w:szCs w:val="30"/>
        </w:rPr>
        <w:t>）负责乙方业务和安全管理，乙方出现各类问题都应及时与甲方联系人、安全员联系。</w:t>
      </w:r>
    </w:p>
    <w:p w14:paraId="41B9AE8B">
      <w:pPr>
        <w:pStyle w:val="48"/>
        <w:numPr>
          <w:ilvl w:val="255"/>
          <w:numId w:val="0"/>
        </w:numPr>
        <w:spacing w:line="300" w:lineRule="auto"/>
        <w:ind w:firstLine="602" w:firstLineChars="200"/>
        <w:rPr>
          <w:rFonts w:eastAsia="楷体_GB2312"/>
          <w:b/>
          <w:bCs/>
          <w:sz w:val="30"/>
          <w:szCs w:val="30"/>
        </w:rPr>
      </w:pPr>
      <w:r>
        <w:rPr>
          <w:rFonts w:eastAsia="楷体_GB2312"/>
          <w:b/>
          <w:bCs/>
          <w:sz w:val="30"/>
          <w:szCs w:val="30"/>
        </w:rPr>
        <w:t>（二）乙方职责与权利</w:t>
      </w:r>
    </w:p>
    <w:p w14:paraId="0B69D0EF">
      <w:pPr>
        <w:pStyle w:val="48"/>
        <w:spacing w:line="300" w:lineRule="auto"/>
        <w:ind w:firstLine="600"/>
        <w:rPr>
          <w:rFonts w:eastAsia="仿宋_GB2312"/>
          <w:sz w:val="30"/>
          <w:szCs w:val="30"/>
        </w:rPr>
      </w:pPr>
      <w:r>
        <w:rPr>
          <w:rFonts w:eastAsia="仿宋_GB2312"/>
          <w:sz w:val="30"/>
          <w:szCs w:val="30"/>
        </w:rPr>
        <w:t>1.乙方进入甲方生产现场的车辆、人员必须执行甲方的各项安全管理规定，接受甲方安全管理人员的监督和管理。乙方应在进入现场前充分了解并知悉甲方的各项安全管理规定。</w:t>
      </w:r>
    </w:p>
    <w:p w14:paraId="75810A68">
      <w:pPr>
        <w:pStyle w:val="48"/>
        <w:spacing w:line="300" w:lineRule="auto"/>
        <w:ind w:firstLine="600"/>
        <w:rPr>
          <w:rFonts w:eastAsia="仿宋_GB2312"/>
          <w:sz w:val="30"/>
          <w:szCs w:val="30"/>
        </w:rPr>
      </w:pPr>
      <w:r>
        <w:rPr>
          <w:rFonts w:eastAsia="仿宋_GB2312"/>
          <w:sz w:val="30"/>
          <w:szCs w:val="30"/>
        </w:rPr>
        <w:t>2.乙方在甲方现场作业应指定安全负责人，佩戴安全管理标识负责本方的安全管理工作，乙方安全管理人员要定期开展隐患排查，并将检查及处理情况如实记录存档”。乙方应于本协议签订前，将该负责人姓名及其相关资料送至甲方审核、备案，当负责人发生变动时，乙方应在变动后5个工作日内书面通知甲方并将变动后的人员姓名及相关资料送至甲方备案。</w:t>
      </w:r>
    </w:p>
    <w:p w14:paraId="727930B6">
      <w:pPr>
        <w:pStyle w:val="48"/>
        <w:spacing w:line="300" w:lineRule="auto"/>
        <w:ind w:firstLine="600"/>
        <w:rPr>
          <w:rFonts w:eastAsia="仿宋_GB2312"/>
          <w:sz w:val="30"/>
          <w:szCs w:val="30"/>
        </w:rPr>
      </w:pPr>
      <w:r>
        <w:rPr>
          <w:rFonts w:eastAsia="仿宋_GB2312"/>
          <w:sz w:val="30"/>
          <w:szCs w:val="30"/>
        </w:rPr>
        <w:t>3.在甲方厂区内行驶的各类机动车辆，必须保证车辆的安全性能良好，并挂有公安部门或国家相关管理部门办理的有效牌照并按时审验，特种车辆设有环保码。牌照须按规定位置安装，并保持牢固、清晰、不得损坏，货物必须按规定装载和捆绑固定牢固，严禁超载、超速行驶。</w:t>
      </w:r>
    </w:p>
    <w:p w14:paraId="2E4EBCEA">
      <w:pPr>
        <w:pStyle w:val="48"/>
        <w:spacing w:line="300" w:lineRule="auto"/>
        <w:ind w:firstLine="600"/>
        <w:rPr>
          <w:rFonts w:eastAsia="仿宋_GB2312"/>
          <w:sz w:val="30"/>
          <w:szCs w:val="30"/>
        </w:rPr>
      </w:pPr>
      <w:r>
        <w:rPr>
          <w:rFonts w:eastAsia="仿宋_GB2312"/>
          <w:sz w:val="30"/>
          <w:szCs w:val="30"/>
        </w:rPr>
        <w:t>4.乙方应当保证在其派往甲方厂区的人员进入生产区域作业前，将甲方各项安全管理规章制度告知作业人员，熟知相关安全制度、作业过程存在的风险及预防控制措施并对其进行安全培训及保存相关记录备查。乙方进入甲方现场从事特种作业的工作人员，必须持有国家相关部门颁发的特种作业操作证，熟知相关安全制度、作业过程存在的风险及预防控制措施严禁无证作业。</w:t>
      </w:r>
    </w:p>
    <w:p w14:paraId="1DB22E28">
      <w:pPr>
        <w:pStyle w:val="48"/>
        <w:spacing w:line="300" w:lineRule="auto"/>
        <w:ind w:firstLine="600"/>
        <w:rPr>
          <w:rFonts w:eastAsia="仿宋_GB2312"/>
          <w:sz w:val="30"/>
          <w:szCs w:val="30"/>
        </w:rPr>
      </w:pPr>
      <w:r>
        <w:rPr>
          <w:rFonts w:eastAsia="仿宋_GB2312"/>
          <w:sz w:val="30"/>
          <w:szCs w:val="30"/>
        </w:rPr>
        <w:t>5.乙方进入甲方厂区行驶的各类机动车辆，必须遵守靠右行驶的原则，并遵守相关禁行规定，禁止逆向行驶，禁止行车过程中使用手机。车辆停放时驾驶员不得长时间离开车辆，确需离开应将车辆熄火拉紧手制动器并在停车线内停放，启动钥匙随身携带。</w:t>
      </w:r>
    </w:p>
    <w:p w14:paraId="57A18381">
      <w:pPr>
        <w:pStyle w:val="48"/>
        <w:spacing w:line="300" w:lineRule="auto"/>
        <w:ind w:firstLine="600"/>
        <w:rPr>
          <w:rFonts w:eastAsia="仿宋_GB2312"/>
          <w:sz w:val="30"/>
          <w:szCs w:val="30"/>
        </w:rPr>
      </w:pPr>
      <w:r>
        <w:rPr>
          <w:rFonts w:eastAsia="仿宋_GB2312"/>
          <w:sz w:val="30"/>
          <w:szCs w:val="30"/>
        </w:rPr>
        <w:t>6.各类机动车辆在甲方厂区主干道行驶速度不超过30公里/小时，其他道路不得超过20公里/小时；结冰、积雪、积水的道路和恶劣天气能见度在30m以内时不超过10公里/小时，恶劣天气能见度在5m以内或能见度在10m以内、道路最大纵坡在6%以上时,应停止行驶；车间内行驶速度不超过5公里/小时；进出车间大门行驶速度不超过3公里/小时。</w:t>
      </w:r>
    </w:p>
    <w:p w14:paraId="6A3ED6EF">
      <w:pPr>
        <w:pStyle w:val="48"/>
        <w:spacing w:line="300" w:lineRule="auto"/>
        <w:ind w:firstLine="600"/>
        <w:rPr>
          <w:rFonts w:eastAsia="仿宋_GB2312"/>
          <w:sz w:val="30"/>
          <w:szCs w:val="30"/>
        </w:rPr>
      </w:pPr>
      <w:r>
        <w:rPr>
          <w:rFonts w:eastAsia="仿宋_GB2312"/>
          <w:sz w:val="30"/>
          <w:szCs w:val="30"/>
        </w:rPr>
        <w:t>7.除叉车、装载机、厂内物流农用车、托头、电瓶板车等生产现场所需车辆，其余各类车辆原则上禁止进入厂房内部；确因生产需要车辆进入生产车间现场的，需报甲方需进入加工部的安全管理人员批准，并指定专人指挥、负责车辆的安全。</w:t>
      </w:r>
    </w:p>
    <w:p w14:paraId="07C87E52">
      <w:pPr>
        <w:pStyle w:val="48"/>
        <w:spacing w:line="300" w:lineRule="auto"/>
        <w:ind w:firstLine="600"/>
        <w:rPr>
          <w:rFonts w:eastAsia="仿宋_GB2312"/>
          <w:sz w:val="30"/>
          <w:szCs w:val="30"/>
        </w:rPr>
      </w:pPr>
      <w:r>
        <w:rPr>
          <w:rFonts w:eastAsia="仿宋_GB2312"/>
          <w:sz w:val="30"/>
          <w:szCs w:val="30"/>
        </w:rPr>
        <w:t>8.乙方项目中涉及有限空间的作业，乙方应按照《工贸企业有限空间作业安全规定》及甲方安全规章制度要求，严格按照监测、作业、审批及应急管理要求执行，安排经专项培训的作业人员、监护人员等进行作业。</w:t>
      </w:r>
    </w:p>
    <w:p w14:paraId="31A2CE0E">
      <w:pPr>
        <w:pStyle w:val="48"/>
        <w:spacing w:line="300" w:lineRule="auto"/>
        <w:ind w:firstLine="600"/>
        <w:rPr>
          <w:rFonts w:eastAsia="仿宋_GB2312"/>
          <w:sz w:val="30"/>
          <w:szCs w:val="30"/>
        </w:rPr>
      </w:pPr>
      <w:r>
        <w:rPr>
          <w:rFonts w:eastAsia="仿宋_GB2312"/>
          <w:sz w:val="30"/>
          <w:szCs w:val="30"/>
        </w:rPr>
        <w:t>9.因乙方人员不遵守相关安全法律法规及甲方的规章制度造成安全生产事故的，乙方应负责处理相关事宜，并承担相应责任和损失，甲方予以协助。</w:t>
      </w:r>
    </w:p>
    <w:p w14:paraId="4DC7C6C0">
      <w:pPr>
        <w:pStyle w:val="48"/>
        <w:spacing w:line="300" w:lineRule="auto"/>
        <w:ind w:firstLine="600"/>
        <w:rPr>
          <w:rFonts w:eastAsia="仿宋_GB2312"/>
          <w:sz w:val="30"/>
          <w:szCs w:val="30"/>
        </w:rPr>
      </w:pPr>
      <w:r>
        <w:rPr>
          <w:rFonts w:eastAsia="仿宋_GB2312"/>
          <w:sz w:val="30"/>
          <w:szCs w:val="30"/>
        </w:rPr>
        <w:t>10.乙方负责处理其工作人员在甲方现场工作期间发生的工伤事故，并承担相应费用及责任，甲方予以积极配合。</w:t>
      </w:r>
    </w:p>
    <w:p w14:paraId="0420A186">
      <w:pPr>
        <w:pStyle w:val="48"/>
        <w:spacing w:line="300" w:lineRule="auto"/>
        <w:ind w:firstLine="600"/>
        <w:rPr>
          <w:rFonts w:eastAsia="仿宋_GB2312"/>
          <w:sz w:val="30"/>
          <w:szCs w:val="30"/>
        </w:rPr>
      </w:pPr>
      <w:r>
        <w:rPr>
          <w:rFonts w:eastAsia="仿宋_GB2312"/>
          <w:sz w:val="30"/>
          <w:szCs w:val="30"/>
        </w:rPr>
        <w:t>11.乙方人员在甲方现场造成甲方工作人员或第三方人员人身伤害、财产损失或甲方产品、设备等财产损失的，由乙方承担相应费用及责任。</w:t>
      </w:r>
    </w:p>
    <w:p w14:paraId="72E14920">
      <w:pPr>
        <w:pStyle w:val="48"/>
        <w:spacing w:line="300" w:lineRule="auto"/>
        <w:ind w:firstLine="600"/>
        <w:rPr>
          <w:rFonts w:eastAsia="仿宋_GB2312"/>
          <w:sz w:val="30"/>
          <w:szCs w:val="30"/>
        </w:rPr>
      </w:pPr>
      <w:r>
        <w:rPr>
          <w:rFonts w:eastAsia="仿宋_GB2312"/>
          <w:sz w:val="30"/>
          <w:szCs w:val="30"/>
        </w:rPr>
        <w:t>12.乙方人员及车辆在甲方厂区范围内发生安全生产、交通等事故的，在安监部门、公安、司法机关未结案时，所有费用均由乙方先行全额垫付。待安监部门、公安、司法机关处理完毕后，由国家机关认定的责任人承担相关责任。相关责任人赔偿前，由乙方负责先行全额垫付。</w:t>
      </w:r>
    </w:p>
    <w:p w14:paraId="47BF3A59">
      <w:pPr>
        <w:pStyle w:val="48"/>
        <w:spacing w:line="300" w:lineRule="auto"/>
        <w:ind w:firstLine="600"/>
        <w:rPr>
          <w:rFonts w:eastAsia="仿宋_GB2312"/>
          <w:sz w:val="30"/>
          <w:szCs w:val="30"/>
        </w:rPr>
      </w:pPr>
      <w:r>
        <w:rPr>
          <w:rFonts w:eastAsia="仿宋_GB2312"/>
          <w:sz w:val="30"/>
          <w:szCs w:val="30"/>
        </w:rPr>
        <w:t>13.乙方应当根据《中华人民共和国职业病防治法》的要求，对其所属员工组织进行岗前、岗中、离岗职业健康查体，妥善保存查体报告，杜绝职业禁忌证、职业病人员进入甲方厂区从事相关工作，对进入甲方厂区工作的人员，按照接害因素配备相应的符合国家规范要求的劳动防护用品。乙方出现的职业病、禁忌证人员，由乙方全权负责。</w:t>
      </w:r>
    </w:p>
    <w:p w14:paraId="0E2E4D90">
      <w:pPr>
        <w:pStyle w:val="48"/>
        <w:spacing w:line="300" w:lineRule="auto"/>
        <w:ind w:firstLine="600"/>
        <w:rPr>
          <w:rFonts w:eastAsia="仿宋_GB2312"/>
          <w:sz w:val="30"/>
          <w:szCs w:val="30"/>
        </w:rPr>
      </w:pPr>
      <w:r>
        <w:rPr>
          <w:rFonts w:eastAsia="仿宋_GB2312"/>
          <w:sz w:val="30"/>
          <w:szCs w:val="30"/>
        </w:rPr>
        <w:t>14.乙方所使用的机械设施、各类机器等设备，必须是经过检测且合格可靠的，各类设备设施的合格证、检测证和安全防护装置等必须齐全、完好。严禁使用不安全的设备设施进行作业。</w:t>
      </w:r>
    </w:p>
    <w:p w14:paraId="21625000">
      <w:pPr>
        <w:pStyle w:val="48"/>
        <w:spacing w:line="300" w:lineRule="auto"/>
        <w:ind w:firstLine="600"/>
        <w:rPr>
          <w:rFonts w:eastAsia="仿宋_GB2312"/>
          <w:sz w:val="30"/>
          <w:szCs w:val="30"/>
        </w:rPr>
      </w:pPr>
      <w:r>
        <w:rPr>
          <w:rFonts w:eastAsia="仿宋_GB2312"/>
          <w:sz w:val="30"/>
          <w:szCs w:val="30"/>
        </w:rPr>
        <w:t>15.乙方负责按照相关要求为作业现场配备所需的安全防护设施、消防设施，负责为乙方作业人员配备合格、可靠的安全防护用品（特殊劳动防护用品需提供采购单位相应资质）。</w:t>
      </w:r>
    </w:p>
    <w:p w14:paraId="53A3DCCD">
      <w:pPr>
        <w:pStyle w:val="48"/>
        <w:spacing w:line="300" w:lineRule="auto"/>
        <w:ind w:firstLine="600"/>
        <w:rPr>
          <w:rFonts w:eastAsia="仿宋_GB2312"/>
          <w:sz w:val="30"/>
          <w:szCs w:val="30"/>
        </w:rPr>
      </w:pPr>
      <w:r>
        <w:rPr>
          <w:rFonts w:eastAsia="仿宋_GB2312"/>
          <w:sz w:val="30"/>
          <w:szCs w:val="30"/>
        </w:rPr>
        <w:t>16.乙方作业完成后，负责清理现场并恢复作业前的正常环境。对于作业过程中产生的废水、废料、废渣、建筑垃圾等（不包含危险废物），由乙方负责按照环保法律法规要求合法处理，因乙方违规处置产生的后果由乙方承担。</w:t>
      </w:r>
    </w:p>
    <w:p w14:paraId="505A8548">
      <w:pPr>
        <w:pStyle w:val="48"/>
        <w:spacing w:line="300" w:lineRule="auto"/>
        <w:ind w:firstLine="600"/>
        <w:rPr>
          <w:rFonts w:eastAsia="仿宋_GB2312"/>
          <w:sz w:val="30"/>
          <w:szCs w:val="30"/>
        </w:rPr>
      </w:pPr>
      <w:r>
        <w:rPr>
          <w:rFonts w:eastAsia="仿宋_GB2312"/>
          <w:sz w:val="30"/>
          <w:szCs w:val="30"/>
        </w:rPr>
        <w:t>17.乙方承诺，不将承租的项目部分或全部转包给其他单位，因违规转包而导致的一切后果由乙方自行承担。</w:t>
      </w:r>
    </w:p>
    <w:p w14:paraId="3BB7E8B5">
      <w:pPr>
        <w:pStyle w:val="48"/>
        <w:spacing w:line="300" w:lineRule="auto"/>
        <w:ind w:firstLine="600"/>
        <w:rPr>
          <w:rFonts w:eastAsia="仿宋_GB2312"/>
          <w:sz w:val="30"/>
          <w:szCs w:val="30"/>
        </w:rPr>
      </w:pPr>
      <w:r>
        <w:rPr>
          <w:rFonts w:eastAsia="仿宋_GB2312"/>
          <w:sz w:val="30"/>
          <w:szCs w:val="30"/>
        </w:rPr>
        <w:t>18.积极支持配合和参加甲方组织的消防安全防范活动，自觉培养消防意识宣传消防重要性。进行经常性的防火安全检查，对发现的火险隐患必须采取应急措施。</w:t>
      </w:r>
    </w:p>
    <w:p w14:paraId="19674185">
      <w:pPr>
        <w:pStyle w:val="48"/>
        <w:spacing w:line="300" w:lineRule="auto"/>
        <w:ind w:firstLine="600"/>
        <w:rPr>
          <w:rFonts w:eastAsia="仿宋_GB2312"/>
          <w:sz w:val="30"/>
          <w:szCs w:val="30"/>
        </w:rPr>
      </w:pPr>
      <w:r>
        <w:rPr>
          <w:rFonts w:eastAsia="仿宋_GB2312"/>
          <w:sz w:val="30"/>
          <w:szCs w:val="30"/>
        </w:rPr>
        <w:t>19.乙方不违规使用电器、不超容量用电和不违规使用液化气、管道煤气等燃气具；禁止私接电源插座，乱拉临时电线，私自拆修开关和更换灯管，灯泡，保险丝等。不在所属住宅房屋、厂房、仓库或车辆内违规贮藏保存易燃易爆危险物品。</w:t>
      </w:r>
    </w:p>
    <w:p w14:paraId="29495606">
      <w:pPr>
        <w:pStyle w:val="48"/>
        <w:spacing w:line="300" w:lineRule="auto"/>
        <w:ind w:firstLine="600"/>
        <w:rPr>
          <w:rFonts w:eastAsia="仿宋_GB2312"/>
          <w:sz w:val="30"/>
          <w:szCs w:val="30"/>
        </w:rPr>
      </w:pPr>
      <w:r>
        <w:rPr>
          <w:rFonts w:eastAsia="仿宋_GB2312"/>
          <w:sz w:val="30"/>
          <w:szCs w:val="30"/>
        </w:rPr>
        <w:t>20.乙方应遵守装修工程消防安全管理规定和工程施工安全技术规范，在作业范围内消防灭火器材的配备及日常的维护由乙方负责，应确保消防器材及设施完好有效。</w:t>
      </w:r>
    </w:p>
    <w:p w14:paraId="7D75DB53">
      <w:pPr>
        <w:pStyle w:val="48"/>
        <w:spacing w:line="300" w:lineRule="auto"/>
        <w:ind w:firstLine="600"/>
        <w:rPr>
          <w:rFonts w:eastAsia="仿宋_GB2312"/>
          <w:sz w:val="30"/>
          <w:szCs w:val="30"/>
        </w:rPr>
      </w:pPr>
      <w:r>
        <w:rPr>
          <w:rFonts w:eastAsia="仿宋_GB2312"/>
          <w:sz w:val="30"/>
          <w:szCs w:val="30"/>
        </w:rPr>
        <w:t>21.乙方作业区域发生火灾事故时能冷静准确向119报警，并能灭火、指引和协助他人逃生。必须立即采取有效措施防止事故扩大，组织人员抢救并保护现场，并立即向甲方报告。</w:t>
      </w:r>
    </w:p>
    <w:p w14:paraId="2D6BF35E">
      <w:pPr>
        <w:pStyle w:val="48"/>
        <w:spacing w:line="300" w:lineRule="auto"/>
        <w:ind w:firstLine="600"/>
        <w:rPr>
          <w:rFonts w:eastAsia="仿宋_GB2312"/>
          <w:sz w:val="30"/>
          <w:szCs w:val="30"/>
        </w:rPr>
      </w:pPr>
      <w:r>
        <w:rPr>
          <w:rFonts w:eastAsia="仿宋_GB2312"/>
          <w:sz w:val="30"/>
          <w:szCs w:val="30"/>
        </w:rPr>
        <w:t>22.乙方在作业过程中发生安全生产事故，事故现场有关人员应当立即向乙方单位及项目负责人报告。乙方单位及项目负责人接到事故报告后，应当立即如实地向甲方单位报告，并启动相应的应急预案，采取有效措施，组织抢救，防止事故扩大。</w:t>
      </w:r>
    </w:p>
    <w:p w14:paraId="21642C80">
      <w:pPr>
        <w:pStyle w:val="48"/>
        <w:spacing w:line="300" w:lineRule="auto"/>
        <w:ind w:firstLine="600"/>
        <w:rPr>
          <w:rFonts w:eastAsia="仿宋_GB2312"/>
          <w:sz w:val="30"/>
          <w:szCs w:val="30"/>
        </w:rPr>
      </w:pPr>
      <w:r>
        <w:rPr>
          <w:rFonts w:eastAsia="仿宋_GB2312"/>
          <w:sz w:val="30"/>
          <w:szCs w:val="30"/>
        </w:rPr>
        <w:t>23.乙方承诺指定专人（联系人、安全员：</w:t>
      </w:r>
      <w:r>
        <w:rPr>
          <w:rFonts w:eastAsia="仿宋_GB2312"/>
          <w:sz w:val="30"/>
          <w:szCs w:val="30"/>
          <w:u w:val="single"/>
        </w:rPr>
        <w:t xml:space="preserve">        </w:t>
      </w:r>
      <w:r>
        <w:rPr>
          <w:rFonts w:eastAsia="仿宋_GB2312"/>
          <w:sz w:val="30"/>
          <w:szCs w:val="30"/>
        </w:rPr>
        <w:t>；联系方式：</w:t>
      </w:r>
      <w:r>
        <w:rPr>
          <w:rFonts w:eastAsia="仿宋_GB2312"/>
          <w:sz w:val="30"/>
          <w:szCs w:val="30"/>
          <w:u w:val="single"/>
        </w:rPr>
        <w:t xml:space="preserve">        </w:t>
      </w:r>
      <w:r>
        <w:rPr>
          <w:rFonts w:eastAsia="仿宋_GB2312"/>
          <w:sz w:val="30"/>
          <w:szCs w:val="30"/>
        </w:rPr>
        <w:t>）负责作业过程中的安全管理，负责与甲方进行安全管理工作的对接，配合甲方统一协调管理。</w:t>
      </w:r>
    </w:p>
    <w:p w14:paraId="1B0BEBB1">
      <w:pPr>
        <w:pStyle w:val="48"/>
        <w:spacing w:line="300" w:lineRule="auto"/>
        <w:ind w:firstLine="600"/>
        <w:rPr>
          <w:rFonts w:eastAsia="黑体"/>
          <w:sz w:val="30"/>
          <w:szCs w:val="30"/>
        </w:rPr>
      </w:pPr>
      <w:r>
        <w:rPr>
          <w:rFonts w:eastAsia="黑体"/>
          <w:sz w:val="30"/>
          <w:szCs w:val="30"/>
        </w:rPr>
        <w:t>二、其他相关手续办理</w:t>
      </w:r>
    </w:p>
    <w:p w14:paraId="335D99D4">
      <w:pPr>
        <w:pStyle w:val="48"/>
        <w:spacing w:line="300" w:lineRule="auto"/>
        <w:ind w:firstLine="600"/>
        <w:rPr>
          <w:rFonts w:eastAsia="仿宋_GB2312"/>
          <w:sz w:val="30"/>
          <w:szCs w:val="30"/>
        </w:rPr>
      </w:pPr>
      <w:r>
        <w:rPr>
          <w:rFonts w:eastAsia="仿宋_GB2312"/>
          <w:sz w:val="30"/>
          <w:szCs w:val="30"/>
        </w:rPr>
        <w:t>乙方进入甲方厂区进行施工，办理其他相关手续，应遵守以下约定：</w:t>
      </w:r>
    </w:p>
    <w:p w14:paraId="28E31A28">
      <w:pPr>
        <w:pStyle w:val="48"/>
        <w:spacing w:line="300" w:lineRule="auto"/>
        <w:ind w:firstLine="600"/>
        <w:rPr>
          <w:rFonts w:eastAsia="仿宋_GB2312"/>
          <w:sz w:val="30"/>
          <w:szCs w:val="30"/>
        </w:rPr>
      </w:pPr>
      <w:r>
        <w:rPr>
          <w:rFonts w:eastAsia="仿宋_GB2312"/>
          <w:sz w:val="30"/>
          <w:szCs w:val="30"/>
        </w:rPr>
        <w:t>1.进厂手续：甲方与乙方的施工合同签订后，乙方单位持相关的资质材料，按照甲方管理制度办理施工手续后 ,方可进行作业。</w:t>
      </w:r>
    </w:p>
    <w:p w14:paraId="2B6F3697">
      <w:pPr>
        <w:pStyle w:val="48"/>
        <w:spacing w:line="300" w:lineRule="auto"/>
        <w:ind w:firstLine="600"/>
        <w:rPr>
          <w:rFonts w:eastAsia="仿宋_GB2312"/>
          <w:sz w:val="30"/>
          <w:szCs w:val="30"/>
        </w:rPr>
      </w:pPr>
      <w:r>
        <w:rPr>
          <w:rFonts w:eastAsia="仿宋_GB2312"/>
          <w:sz w:val="30"/>
          <w:szCs w:val="30"/>
        </w:rPr>
        <w:t>2.施工需进行临时用电、动火作业、高处作业、进入受限空间时，作业方案经甲方审核同意后，办理完成全部审批手续方能开展作业。作业过程中，应当设置好安全警示，严禁违章指挥、违章作业，严格做好监护和应急救援工作。</w:t>
      </w:r>
    </w:p>
    <w:p w14:paraId="648E1253">
      <w:pPr>
        <w:pStyle w:val="48"/>
        <w:spacing w:line="300" w:lineRule="auto"/>
        <w:ind w:firstLine="600"/>
        <w:rPr>
          <w:rFonts w:eastAsia="仿宋_GB2312"/>
          <w:sz w:val="30"/>
          <w:szCs w:val="30"/>
        </w:rPr>
      </w:pPr>
      <w:r>
        <w:rPr>
          <w:rFonts w:eastAsia="仿宋_GB2312"/>
          <w:sz w:val="30"/>
          <w:szCs w:val="30"/>
        </w:rPr>
        <w:t>3.入厂安全教育：乙方进入甲方厂区前应对其施工人员进行安全教育并提供教育培训的相关资料，到甲方办理《施工许可证》。</w:t>
      </w:r>
    </w:p>
    <w:p w14:paraId="3961E154">
      <w:pPr>
        <w:pStyle w:val="48"/>
        <w:spacing w:line="300" w:lineRule="auto"/>
        <w:ind w:firstLine="600"/>
        <w:rPr>
          <w:rFonts w:eastAsia="仿宋_GB2312"/>
          <w:sz w:val="30"/>
          <w:szCs w:val="30"/>
        </w:rPr>
      </w:pPr>
      <w:r>
        <w:rPr>
          <w:rFonts w:eastAsia="仿宋_GB2312"/>
          <w:sz w:val="30"/>
          <w:szCs w:val="30"/>
        </w:rPr>
        <w:t>4.乙方要保持施工现场的环境卫生，文明施工；当日的废物、边角料当日清除；施工所用的材料、物品应摆放整齐，不得随地乱放；如因工程需要必须占用车间通道，须经项目施工组织部门与车间及有关科室协调同意，由施工单位做好标示护栏，加以警示。</w:t>
      </w:r>
    </w:p>
    <w:p w14:paraId="7B0E31EC">
      <w:pPr>
        <w:pStyle w:val="48"/>
        <w:spacing w:line="300" w:lineRule="auto"/>
        <w:ind w:firstLine="600"/>
        <w:rPr>
          <w:rFonts w:eastAsia="黑体"/>
          <w:sz w:val="30"/>
          <w:szCs w:val="30"/>
        </w:rPr>
      </w:pPr>
      <w:r>
        <w:rPr>
          <w:rFonts w:eastAsia="黑体"/>
          <w:sz w:val="30"/>
          <w:szCs w:val="30"/>
        </w:rPr>
        <w:t>三、违约责任</w:t>
      </w:r>
    </w:p>
    <w:p w14:paraId="6A9E25D7">
      <w:pPr>
        <w:pStyle w:val="48"/>
        <w:spacing w:line="300" w:lineRule="auto"/>
        <w:ind w:firstLine="600"/>
        <w:rPr>
          <w:rFonts w:eastAsia="仿宋_GB2312"/>
          <w:sz w:val="30"/>
          <w:szCs w:val="30"/>
        </w:rPr>
      </w:pPr>
      <w:r>
        <w:rPr>
          <w:rFonts w:eastAsia="仿宋_GB2312"/>
          <w:sz w:val="30"/>
          <w:szCs w:val="30"/>
        </w:rPr>
        <w:t>因乙方人员或车辆违反有关法律、法规、规章、规范性文件、甲方有关管理规定以及本协议约定，造成的一切后果和损失，由乙方承担全部责任并赔偿甲方之损失。</w:t>
      </w:r>
    </w:p>
    <w:p w14:paraId="501E93BA">
      <w:pPr>
        <w:pStyle w:val="48"/>
        <w:spacing w:line="300" w:lineRule="auto"/>
        <w:ind w:firstLine="600"/>
        <w:rPr>
          <w:rFonts w:eastAsia="仿宋_GB2312"/>
          <w:sz w:val="30"/>
          <w:szCs w:val="30"/>
        </w:rPr>
      </w:pPr>
      <w:r>
        <w:rPr>
          <w:rFonts w:eastAsia="仿宋_GB2312"/>
          <w:sz w:val="30"/>
          <w:szCs w:val="30"/>
        </w:rPr>
        <w:t>如果乙方违反本合同约定（含附件，如有）的，除应按本合同约定赔偿损失及违约金外，还应赔偿包括但不限于甲方因此支出的或预计支付的诉讼费、保全申请费、保全保险费、鉴定费、评估费、司法审计费、拍卖费、律师费等一切费用。</w:t>
      </w:r>
    </w:p>
    <w:p w14:paraId="4016329E">
      <w:pPr>
        <w:pStyle w:val="48"/>
        <w:spacing w:line="300" w:lineRule="auto"/>
        <w:ind w:firstLine="600"/>
        <w:rPr>
          <w:rFonts w:eastAsia="黑体"/>
          <w:sz w:val="30"/>
          <w:szCs w:val="30"/>
        </w:rPr>
      </w:pPr>
      <w:r>
        <w:rPr>
          <w:rFonts w:eastAsia="黑体"/>
          <w:sz w:val="30"/>
          <w:szCs w:val="30"/>
        </w:rPr>
        <w:t>四、争议解决</w:t>
      </w:r>
    </w:p>
    <w:p w14:paraId="2EA0AE64">
      <w:pPr>
        <w:pStyle w:val="48"/>
        <w:spacing w:line="300" w:lineRule="auto"/>
        <w:ind w:firstLine="600"/>
        <w:rPr>
          <w:rFonts w:eastAsia="仿宋_GB2312"/>
          <w:sz w:val="30"/>
          <w:szCs w:val="30"/>
        </w:rPr>
      </w:pPr>
      <w:r>
        <w:rPr>
          <w:rFonts w:eastAsia="仿宋_GB2312"/>
          <w:sz w:val="30"/>
          <w:szCs w:val="30"/>
        </w:rPr>
        <w:t>本协议履行过程中产生的争议，双方协商解决，协商不成的提交甲方所在地法院诉讼解决。</w:t>
      </w:r>
    </w:p>
    <w:p w14:paraId="654F07BF">
      <w:pPr>
        <w:pStyle w:val="48"/>
        <w:spacing w:line="300" w:lineRule="auto"/>
        <w:ind w:firstLine="600"/>
        <w:rPr>
          <w:rFonts w:eastAsia="黑体"/>
          <w:sz w:val="30"/>
          <w:szCs w:val="30"/>
        </w:rPr>
      </w:pPr>
      <w:r>
        <w:rPr>
          <w:rFonts w:eastAsia="黑体"/>
          <w:sz w:val="30"/>
          <w:szCs w:val="30"/>
        </w:rPr>
        <w:t>五、附则</w:t>
      </w:r>
    </w:p>
    <w:p w14:paraId="23E906ED">
      <w:pPr>
        <w:pStyle w:val="48"/>
        <w:spacing w:line="300" w:lineRule="auto"/>
        <w:ind w:firstLine="600"/>
        <w:rPr>
          <w:rFonts w:eastAsia="仿宋_GB2312"/>
          <w:sz w:val="30"/>
          <w:szCs w:val="30"/>
        </w:rPr>
      </w:pPr>
      <w:r>
        <w:rPr>
          <w:rFonts w:eastAsia="仿宋_GB2312"/>
          <w:sz w:val="30"/>
          <w:szCs w:val="30"/>
        </w:rPr>
        <w:t>1.本协议自双方签署后生效，本协议作为执行甲乙双方采购协议或其他合作协议的附件，此协议在双方合作期间有效；本协议生效前甲乙双方未签署《相关方安全协议》但实际已存在供应采购等业务合作关系并进入甲方厂区/园区的，甲乙双方同意有关业务合作适用本协议的所有条款约定。</w:t>
      </w:r>
    </w:p>
    <w:p w14:paraId="3DBB7216">
      <w:pPr>
        <w:pStyle w:val="48"/>
        <w:spacing w:line="300" w:lineRule="auto"/>
        <w:ind w:firstLine="600"/>
        <w:rPr>
          <w:rFonts w:eastAsia="仿宋_GB2312"/>
          <w:sz w:val="30"/>
          <w:szCs w:val="30"/>
        </w:rPr>
      </w:pPr>
      <w:r>
        <w:rPr>
          <w:rFonts w:eastAsia="仿宋_GB2312"/>
          <w:sz w:val="30"/>
          <w:szCs w:val="30"/>
        </w:rPr>
        <w:t>2.本协议附件与主协议具有相同的法律效力。在本协议有效期内，双方就未尽事宜达成补充协议的，补充协议与本协议具有同等法律效力。</w:t>
      </w:r>
    </w:p>
    <w:p w14:paraId="5B14947A">
      <w:pPr>
        <w:pStyle w:val="48"/>
        <w:spacing w:line="300" w:lineRule="auto"/>
        <w:ind w:firstLine="600"/>
        <w:rPr>
          <w:rFonts w:eastAsia="仿宋_GB2312"/>
          <w:sz w:val="30"/>
          <w:szCs w:val="30"/>
        </w:rPr>
      </w:pPr>
      <w:r>
        <w:rPr>
          <w:rFonts w:eastAsia="仿宋_GB2312"/>
          <w:sz w:val="30"/>
          <w:szCs w:val="30"/>
        </w:rPr>
        <w:t>3.甲方与乙方签订本协议时，已向乙方告知甲方的各项安全管理规定。乙方已充分了解并知悉甲方的各项安全管理规定及内容，并承诺严格遵守。</w:t>
      </w:r>
    </w:p>
    <w:p w14:paraId="3F90E808">
      <w:pPr>
        <w:pStyle w:val="48"/>
        <w:spacing w:line="300" w:lineRule="auto"/>
        <w:ind w:firstLine="600"/>
        <w:rPr>
          <w:rFonts w:eastAsia="仿宋_GB2312"/>
          <w:sz w:val="30"/>
          <w:szCs w:val="30"/>
        </w:rPr>
      </w:pPr>
      <w:r>
        <w:rPr>
          <w:rFonts w:eastAsia="仿宋_GB2312"/>
          <w:sz w:val="30"/>
          <w:szCs w:val="30"/>
        </w:rPr>
        <w:t>4.按照《安全生产法》规定，乙方如有不签订本协议和未执行协议擅自在甲方厂区内施工的情况，乙方均属违章作业。</w:t>
      </w:r>
    </w:p>
    <w:p w14:paraId="35226156">
      <w:pPr>
        <w:pStyle w:val="48"/>
        <w:spacing w:line="300" w:lineRule="auto"/>
        <w:ind w:firstLine="600"/>
        <w:rPr>
          <w:rFonts w:eastAsia="仿宋_GB2312"/>
          <w:sz w:val="30"/>
          <w:szCs w:val="30"/>
        </w:rPr>
      </w:pPr>
      <w:r>
        <w:rPr>
          <w:rFonts w:eastAsia="仿宋_GB2312"/>
          <w:sz w:val="30"/>
          <w:szCs w:val="30"/>
        </w:rPr>
        <w:t>5.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02FCDF56">
      <w:pPr>
        <w:pStyle w:val="48"/>
        <w:spacing w:line="300" w:lineRule="auto"/>
        <w:ind w:firstLine="600"/>
        <w:rPr>
          <w:rFonts w:eastAsia="仿宋_GB2312"/>
          <w:sz w:val="30"/>
          <w:szCs w:val="30"/>
        </w:rPr>
      </w:pPr>
      <w:r>
        <w:rPr>
          <w:rFonts w:eastAsia="仿宋_GB2312"/>
          <w:sz w:val="30"/>
          <w:szCs w:val="30"/>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3A109779">
      <w:pPr>
        <w:pStyle w:val="48"/>
        <w:spacing w:line="300" w:lineRule="auto"/>
        <w:ind w:firstLine="600"/>
        <w:rPr>
          <w:rFonts w:eastAsia="仿宋_GB2312"/>
          <w:sz w:val="30"/>
          <w:szCs w:val="30"/>
        </w:rPr>
      </w:pPr>
      <w:r>
        <w:rPr>
          <w:rFonts w:eastAsia="仿宋_GB2312"/>
          <w:sz w:val="30"/>
          <w:szCs w:val="30"/>
        </w:rPr>
        <w:t>6.本协议应与具体项目合同同时签订。一式四份，甲乙双方各两份。</w:t>
      </w:r>
    </w:p>
    <w:p w14:paraId="298FBD66">
      <w:pPr>
        <w:pStyle w:val="48"/>
        <w:spacing w:line="300" w:lineRule="auto"/>
        <w:ind w:firstLine="600"/>
        <w:rPr>
          <w:rFonts w:eastAsia="仿宋_GB2312"/>
          <w:sz w:val="30"/>
          <w:szCs w:val="30"/>
        </w:rPr>
      </w:pPr>
    </w:p>
    <w:p w14:paraId="0A61C4A1">
      <w:pPr>
        <w:pStyle w:val="48"/>
        <w:spacing w:line="300" w:lineRule="auto"/>
        <w:ind w:firstLine="600"/>
        <w:rPr>
          <w:rFonts w:eastAsia="仿宋_GB2312"/>
          <w:sz w:val="30"/>
          <w:szCs w:val="30"/>
        </w:rPr>
      </w:pPr>
    </w:p>
    <w:p w14:paraId="63C10E68">
      <w:pPr>
        <w:pStyle w:val="48"/>
        <w:spacing w:line="300" w:lineRule="auto"/>
        <w:ind w:firstLine="600"/>
        <w:rPr>
          <w:rFonts w:eastAsia="仿宋_GB2312"/>
          <w:sz w:val="30"/>
          <w:szCs w:val="30"/>
        </w:rPr>
      </w:pPr>
      <w:r>
        <w:rPr>
          <w:rFonts w:eastAsia="仿宋_GB2312"/>
          <w:sz w:val="30"/>
          <w:szCs w:val="30"/>
        </w:rPr>
        <w:t>甲方（盖章）：                    乙方（盖章）：</w:t>
      </w:r>
    </w:p>
    <w:p w14:paraId="00529549">
      <w:pPr>
        <w:pStyle w:val="48"/>
        <w:spacing w:line="300" w:lineRule="auto"/>
        <w:ind w:firstLine="600"/>
        <w:rPr>
          <w:rFonts w:eastAsia="仿宋_GB2312"/>
          <w:sz w:val="30"/>
          <w:szCs w:val="30"/>
        </w:rPr>
      </w:pPr>
    </w:p>
    <w:p w14:paraId="7B35BB67">
      <w:pPr>
        <w:pStyle w:val="48"/>
        <w:spacing w:line="300" w:lineRule="auto"/>
        <w:ind w:firstLine="600"/>
        <w:rPr>
          <w:rFonts w:eastAsia="仿宋_GB2312"/>
          <w:sz w:val="30"/>
          <w:szCs w:val="30"/>
        </w:rPr>
      </w:pPr>
      <w:r>
        <w:rPr>
          <w:rFonts w:eastAsia="仿宋_GB2312"/>
          <w:sz w:val="30"/>
          <w:szCs w:val="30"/>
        </w:rPr>
        <w:t>授权代表（签字）：                授权代表（签字）：</w:t>
      </w:r>
    </w:p>
    <w:bookmarkEnd w:id="734"/>
    <w:p w14:paraId="57634CDD">
      <w:pPr>
        <w:pStyle w:val="48"/>
        <w:spacing w:line="300" w:lineRule="auto"/>
        <w:ind w:firstLine="600"/>
        <w:rPr>
          <w:sz w:val="30"/>
        </w:rPr>
      </w:pPr>
    </w:p>
    <w:bookmarkEnd w:id="731"/>
    <w:bookmarkEnd w:id="732"/>
    <w:p w14:paraId="17889879">
      <w:pPr>
        <w:pStyle w:val="48"/>
        <w:spacing w:line="300" w:lineRule="auto"/>
        <w:ind w:firstLine="600"/>
        <w:rPr>
          <w:sz w:val="30"/>
        </w:rPr>
      </w:pPr>
    </w:p>
    <w:bookmarkEnd w:id="733"/>
    <w:p w14:paraId="6E4E19CB">
      <w:pPr>
        <w:spacing w:before="156" w:beforeLines="50" w:after="156" w:afterLines="50" w:line="440" w:lineRule="exact"/>
        <w:jc w:val="left"/>
        <w:outlineLvl w:val="3"/>
        <w:rPr>
          <w:color w:val="000000" w:themeColor="text1"/>
          <w:kern w:val="0"/>
          <w:sz w:val="30"/>
          <w14:textFill>
            <w14:solidFill>
              <w14:schemeClr w14:val="tx1"/>
            </w14:solidFill>
          </w14:textFill>
        </w:rPr>
      </w:pPr>
      <w:r>
        <w:rPr>
          <w:rFonts w:eastAsia="仿宋_GB2312"/>
          <w:b/>
          <w:bCs/>
          <w:color w:val="000000" w:themeColor="text1"/>
          <w:kern w:val="0"/>
          <w:sz w:val="32"/>
          <w:szCs w:val="32"/>
          <w14:textFill>
            <w14:solidFill>
              <w14:schemeClr w14:val="tx1"/>
            </w14:solidFill>
          </w14:textFill>
        </w:rPr>
        <w:br w:type="page"/>
      </w:r>
      <w:r>
        <w:rPr>
          <w:color w:val="000000" w:themeColor="text1"/>
          <w:kern w:val="0"/>
          <w:sz w:val="30"/>
          <w14:textFill>
            <w14:solidFill>
              <w14:schemeClr w14:val="tx1"/>
            </w14:solidFill>
          </w14:textFill>
        </w:rPr>
        <w:t>附件12</w:t>
      </w:r>
      <w:r>
        <w:rPr>
          <w:rFonts w:eastAsia="仿宋_GB2312"/>
          <w:color w:val="000000" w:themeColor="text1"/>
          <w:sz w:val="30"/>
          <w:szCs w:val="30"/>
          <w14:textFill>
            <w14:solidFill>
              <w14:schemeClr w14:val="tx1"/>
            </w14:solidFill>
          </w14:textFill>
        </w:rPr>
        <w:t>：</w:t>
      </w:r>
    </w:p>
    <w:p w14:paraId="454077A8">
      <w:pPr>
        <w:spacing w:before="156" w:beforeLines="50" w:after="156" w:afterLines="50" w:line="440" w:lineRule="exact"/>
        <w:jc w:val="center"/>
        <w:rPr>
          <w:rFonts w:eastAsia="黑体"/>
          <w:color w:val="000000" w:themeColor="text1"/>
          <w:sz w:val="32"/>
          <w14:textFill>
            <w14:solidFill>
              <w14:schemeClr w14:val="tx1"/>
            </w14:solidFill>
          </w14:textFill>
        </w:rPr>
      </w:pPr>
      <w:r>
        <w:rPr>
          <w:rFonts w:eastAsia="黑体"/>
          <w:color w:val="000000" w:themeColor="text1"/>
          <w:sz w:val="32"/>
          <w14:textFill>
            <w14:solidFill>
              <w14:schemeClr w14:val="tx1"/>
            </w14:solidFill>
          </w14:textFill>
        </w:rPr>
        <w:t>施工现场管理协议</w:t>
      </w:r>
    </w:p>
    <w:p w14:paraId="553B4C0F">
      <w:pPr>
        <w:adjustRightInd w:val="0"/>
        <w:snapToGrid w:val="0"/>
        <w:spacing w:line="300" w:lineRule="auto"/>
        <w:rPr>
          <w:rFonts w:eastAsia="仿宋_GB2312"/>
          <w:color w:val="000000" w:themeColor="text1"/>
          <w:sz w:val="28"/>
          <w:szCs w:val="28"/>
          <w:u w:val="single"/>
          <w14:textFill>
            <w14:solidFill>
              <w14:schemeClr w14:val="tx1"/>
            </w14:solidFill>
          </w14:textFill>
        </w:rPr>
      </w:pPr>
      <w:r>
        <w:rPr>
          <w:rFonts w:eastAsia="仿宋_GB2312"/>
          <w:color w:val="000000" w:themeColor="text1"/>
          <w:sz w:val="28"/>
          <w:szCs w:val="28"/>
          <w14:textFill>
            <w14:solidFill>
              <w14:schemeClr w14:val="tx1"/>
            </w14:solidFill>
          </w14:textFill>
        </w:rPr>
        <w:t>发包人：</w:t>
      </w:r>
      <w:r>
        <w:rPr>
          <w:rFonts w:eastAsia="仿宋_GB2312"/>
          <w:color w:val="000000" w:themeColor="text1"/>
          <w:sz w:val="28"/>
          <w:szCs w:val="28"/>
          <w:u w:val="single"/>
          <w14:textFill>
            <w14:solidFill>
              <w14:schemeClr w14:val="tx1"/>
            </w14:solidFill>
          </w14:textFill>
        </w:rPr>
        <w:t xml:space="preserve">                         </w:t>
      </w:r>
    </w:p>
    <w:p w14:paraId="5EE1C818">
      <w:pPr>
        <w:adjustRightInd w:val="0"/>
        <w:snapToGrid w:val="0"/>
        <w:spacing w:line="300" w:lineRule="auto"/>
        <w:rPr>
          <w:rFonts w:eastAsia="仿宋_GB2312"/>
          <w:color w:val="000000" w:themeColor="text1"/>
          <w:sz w:val="28"/>
          <w:szCs w:val="28"/>
          <w:u w:val="single"/>
          <w14:textFill>
            <w14:solidFill>
              <w14:schemeClr w14:val="tx1"/>
            </w14:solidFill>
          </w14:textFill>
        </w:rPr>
      </w:pPr>
      <w:r>
        <w:rPr>
          <w:rFonts w:eastAsia="仿宋_GB2312"/>
          <w:color w:val="000000" w:themeColor="text1"/>
          <w:sz w:val="28"/>
          <w:szCs w:val="28"/>
          <w14:textFill>
            <w14:solidFill>
              <w14:schemeClr w14:val="tx1"/>
            </w14:solidFill>
          </w14:textFill>
        </w:rPr>
        <w:t>承包人：</w:t>
      </w:r>
      <w:r>
        <w:rPr>
          <w:rFonts w:eastAsia="仿宋_GB2312"/>
          <w:color w:val="000000" w:themeColor="text1"/>
          <w:sz w:val="28"/>
          <w:szCs w:val="28"/>
          <w:u w:val="single"/>
          <w14:textFill>
            <w14:solidFill>
              <w14:schemeClr w14:val="tx1"/>
            </w14:solidFill>
          </w14:textFill>
        </w:rPr>
        <w:t xml:space="preserve">                         </w:t>
      </w:r>
    </w:p>
    <w:p w14:paraId="16C62919">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为了切实加强施工现场管理，依照双方签订的《建设工程施工合同》，本着平等、自愿的原则，签订本协议书。甲、乙双方均须严格遵守本协议书规定的权利、责任和义务，确保现场安全文明施工。</w:t>
      </w:r>
    </w:p>
    <w:p w14:paraId="4B235888">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一、管理要求</w:t>
      </w:r>
    </w:p>
    <w:p w14:paraId="260838F1">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1、施工现场周围设置封闭式硬质围挡，并做到坚固、稳定、整洁美观，将施工区域和非施工区域封闭隔离，原则上应设置不少于两个施工出入口。</w:t>
      </w:r>
    </w:p>
    <w:p w14:paraId="247D3FBB">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在施工区出入口及重点醒目位置，统一设置工程概况牌、施工公示牌（标明项目名称、施工单位、监理单位、建设单位负责人姓名及电话，施工工期起止日期等）、安全生产牌、文明施工牌和施工现场总平面布置图。</w:t>
      </w:r>
    </w:p>
    <w:p w14:paraId="7402BC07">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进场劳务工人及现场管理人员，应配合办理人员出入证，统一着装工作反光马甲，便于区分所属单位。进入施工现场的各类人员须戴好安全帽、系好帽带，否则不得准予进场；非施工人员不得擅自进入施工现场。</w:t>
      </w:r>
    </w:p>
    <w:p w14:paraId="27F4433E">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4、在施工现场禁烟区设立禁烟标志，禁烟区内严禁吸烟，保证地面无烟头。</w:t>
      </w:r>
    </w:p>
    <w:p w14:paraId="60C46E2C">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施工出入口处应设洗车台、沉淀池，不具备设置洗车台的施工现场应根据需要设置高压水枪冲洗车辆，确保驶出车辆冲洗干净，不得污染场区及市政路面。施工途经的厂区道路，按照谁使用谁负责的原则，每日安排及时清扫，常态化保持道路清洁。</w:t>
      </w:r>
    </w:p>
    <w:p w14:paraId="6AC38737">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6、办公区、生活区、材料堆放场、加工场、仓库区地面、工地内外通道必须作混凝土硬化处理。</w:t>
      </w:r>
    </w:p>
    <w:p w14:paraId="6A274522">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7、施工现场应按照施工总平面布置图搭设各项临时设施，定位堆放各种材料、成品、半成品和机械设备并进行标识，并码放整齐、限宽限高、上架入箱、分类挂牌标识，不得侵占场内道路及安全防护等设施。</w:t>
      </w:r>
    </w:p>
    <w:p w14:paraId="7F9428BA">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8、施工现场重要和危险部位必须设置明显的安全警示标志及围挡设施。施工现场的楼梯、电梯、预留口、通道、深基础、坑井、平台、屋面、楼面等一切容易坠落的临边临口必须设置有效的防护和警示设施。</w:t>
      </w:r>
    </w:p>
    <w:p w14:paraId="71EB5FAD">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9、建筑垃圾要及时清理，并设置垃圾池指定地点集中堆放；每日下班以前，施工区域必须进行清洁整理，物料码放整齐，废料及时清运，保证现场环境卫生整洁。</w:t>
      </w:r>
    </w:p>
    <w:p w14:paraId="6DC276A4">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10、施工土方作业时必须采取湿法作业，配备雾炮、洒水车、喷淋等抑尘设施。装载建筑材料、垃圾或渣土的车辆，必须采取环保车型，防止尘土飞扬、洒落或流溢。施工裸土区域必须百分百密目网覆盖，施工完毕后当日及时覆盖恢复到位。</w:t>
      </w:r>
    </w:p>
    <w:p w14:paraId="584E6916">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11、项目内必须实行“三级配电三级保护”，即总漏电保护、分配电箱漏电保护和开关箱漏电保护。临时用电设施的安装和使用必须符合安装规范和安全操作规程。</w:t>
      </w:r>
    </w:p>
    <w:p w14:paraId="53226667">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12、施工现场应严格建立和执行消防管理制度，设置消防设施，并使其保持完好的备用状态。在容易发生火灾的区域储存、使用易燃、易爆物品时应采取特殊的消防安全措施。现场动火时必须执行动火审批手续和动火监护。</w:t>
      </w:r>
    </w:p>
    <w:p w14:paraId="69BF6F75">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13、施工现场的已有设备设施、地下管线、已完工程等，须采取成品保护措施，施工前提前告知报备，施工过程安排人员旁站监督，施工结束及时与相关方交接见证，严禁野蛮施工。</w:t>
      </w:r>
    </w:p>
    <w:p w14:paraId="7023C6E0">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14、工程竣工后，施工单位应当在一周内拆除围挡及临时设施，恢复场地原状，做到“工完料净、场地清”</w:t>
      </w:r>
    </w:p>
    <w:p w14:paraId="27916461">
      <w:pPr>
        <w:adjustRightInd w:val="0"/>
        <w:snapToGrid w:val="0"/>
        <w:spacing w:line="300" w:lineRule="auto"/>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二、责任考核</w:t>
      </w:r>
    </w:p>
    <w:p w14:paraId="0FC4B163">
      <w:pPr>
        <w:adjustRightInd w:val="0"/>
        <w:snapToGrid w:val="0"/>
        <w:spacing w:line="300" w:lineRule="auto"/>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对于违反上述施工现场管理标准的，发包人将视情节严重情况，依据双方《建设工程施工合同》和《基建项目考核管理办法》，给予承包人1000-20000元/项的扣除。</w:t>
      </w:r>
    </w:p>
    <w:p w14:paraId="07D5D5C5">
      <w:pPr>
        <w:adjustRightInd w:val="0"/>
        <w:snapToGrid w:val="0"/>
        <w:spacing w:line="440" w:lineRule="exact"/>
        <w:ind w:firstLine="422" w:firstLineChars="150"/>
        <w:jc w:val="center"/>
        <w:rPr>
          <w:rFonts w:eastAsia="仿宋"/>
          <w:b/>
          <w:bCs/>
          <w:color w:val="000000" w:themeColor="text1"/>
          <w:sz w:val="28"/>
          <w:szCs w:val="28"/>
          <w14:textFill>
            <w14:solidFill>
              <w14:schemeClr w14:val="tx1"/>
            </w14:solidFill>
          </w14:textFill>
        </w:rPr>
      </w:pPr>
      <w:r>
        <w:rPr>
          <w:rFonts w:eastAsia="仿宋"/>
          <w:b/>
          <w:bCs/>
          <w:color w:val="000000" w:themeColor="text1"/>
          <w:sz w:val="28"/>
          <w:szCs w:val="28"/>
          <w14:textFill>
            <w14:solidFill>
              <w14:schemeClr w14:val="tx1"/>
            </w14:solidFill>
          </w14:textFill>
        </w:rPr>
        <w:br w:type="page"/>
      </w:r>
    </w:p>
    <w:p w14:paraId="31769FE3">
      <w:pPr>
        <w:spacing w:before="156" w:beforeLines="50" w:after="156" w:afterLines="50" w:line="440" w:lineRule="exact"/>
        <w:jc w:val="left"/>
        <w:outlineLvl w:val="3"/>
        <w:rPr>
          <w:rFonts w:eastAsia="仿宋_GB2312"/>
          <w:color w:val="000000" w:themeColor="text1"/>
          <w:sz w:val="30"/>
          <w:szCs w:val="30"/>
          <w14:textFill>
            <w14:solidFill>
              <w14:schemeClr w14:val="tx1"/>
            </w14:solidFill>
          </w14:textFill>
        </w:rPr>
      </w:pPr>
      <w:r>
        <w:rPr>
          <w:color w:val="000000" w:themeColor="text1"/>
          <w:sz w:val="30"/>
          <w14:textFill>
            <w14:solidFill>
              <w14:schemeClr w14:val="tx1"/>
            </w14:solidFill>
          </w14:textFill>
        </w:rPr>
        <w:t>附件13</w:t>
      </w:r>
      <w:r>
        <w:rPr>
          <w:rFonts w:eastAsia="仿宋_GB2312"/>
          <w:color w:val="000000" w:themeColor="text1"/>
          <w:sz w:val="30"/>
          <w:szCs w:val="30"/>
          <w14:textFill>
            <w14:solidFill>
              <w14:schemeClr w14:val="tx1"/>
            </w14:solidFill>
          </w14:textFill>
        </w:rPr>
        <w:t>：</w:t>
      </w:r>
    </w:p>
    <w:p w14:paraId="2EE09F95">
      <w:pPr>
        <w:spacing w:before="156" w:beforeLines="50" w:after="156" w:afterLines="50" w:line="440" w:lineRule="exact"/>
        <w:jc w:val="center"/>
        <w:rPr>
          <w:rFonts w:eastAsia="黑体"/>
          <w:color w:val="000000" w:themeColor="text1"/>
          <w:sz w:val="32"/>
          <w14:textFill>
            <w14:solidFill>
              <w14:schemeClr w14:val="tx1"/>
            </w14:solidFill>
          </w14:textFill>
        </w:rPr>
      </w:pPr>
      <w:r>
        <w:rPr>
          <w:rFonts w:eastAsia="黑体"/>
          <w:color w:val="000000" w:themeColor="text1"/>
          <w:sz w:val="32"/>
          <w14:textFill>
            <w14:solidFill>
              <w14:schemeClr w14:val="tx1"/>
            </w14:solidFill>
          </w14:textFill>
        </w:rPr>
        <w:t>项目考核管理（细则）协议</w:t>
      </w:r>
    </w:p>
    <w:p w14:paraId="7A56E1FB">
      <w:pPr>
        <w:adjustRightInd w:val="0"/>
        <w:snapToGrid w:val="0"/>
        <w:spacing w:line="300" w:lineRule="auto"/>
        <w:rPr>
          <w:rFonts w:eastAsia="仿宋_GB2312"/>
          <w:color w:val="000000" w:themeColor="text1"/>
          <w:sz w:val="28"/>
          <w:szCs w:val="28"/>
          <w:u w:val="single"/>
          <w14:textFill>
            <w14:solidFill>
              <w14:schemeClr w14:val="tx1"/>
            </w14:solidFill>
          </w14:textFill>
        </w:rPr>
      </w:pPr>
      <w:r>
        <w:rPr>
          <w:rFonts w:eastAsia="仿宋_GB2312"/>
          <w:color w:val="000000" w:themeColor="text1"/>
          <w:sz w:val="28"/>
          <w:szCs w:val="28"/>
          <w14:textFill>
            <w14:solidFill>
              <w14:schemeClr w14:val="tx1"/>
            </w14:solidFill>
          </w14:textFill>
        </w:rPr>
        <w:t>发包人：</w:t>
      </w:r>
      <w:r>
        <w:rPr>
          <w:rFonts w:eastAsia="仿宋_GB2312"/>
          <w:color w:val="000000" w:themeColor="text1"/>
          <w:sz w:val="28"/>
          <w:szCs w:val="28"/>
          <w:u w:val="single"/>
          <w14:textFill>
            <w14:solidFill>
              <w14:schemeClr w14:val="tx1"/>
            </w14:solidFill>
          </w14:textFill>
        </w:rPr>
        <w:t xml:space="preserve">                         </w:t>
      </w:r>
    </w:p>
    <w:p w14:paraId="722845A1">
      <w:pPr>
        <w:adjustRightInd w:val="0"/>
        <w:snapToGrid w:val="0"/>
        <w:spacing w:line="300" w:lineRule="auto"/>
        <w:rPr>
          <w:rFonts w:eastAsia="仿宋_GB2312"/>
          <w:color w:val="000000" w:themeColor="text1"/>
          <w:sz w:val="28"/>
          <w:szCs w:val="28"/>
          <w:u w:val="single"/>
          <w14:textFill>
            <w14:solidFill>
              <w14:schemeClr w14:val="tx1"/>
            </w14:solidFill>
          </w14:textFill>
        </w:rPr>
      </w:pPr>
      <w:r>
        <w:rPr>
          <w:rFonts w:eastAsia="仿宋_GB2312"/>
          <w:color w:val="000000" w:themeColor="text1"/>
          <w:sz w:val="28"/>
          <w:szCs w:val="28"/>
          <w14:textFill>
            <w14:solidFill>
              <w14:schemeClr w14:val="tx1"/>
            </w14:solidFill>
          </w14:textFill>
        </w:rPr>
        <w:t>承包人：</w:t>
      </w:r>
      <w:r>
        <w:rPr>
          <w:rFonts w:eastAsia="仿宋_GB2312"/>
          <w:color w:val="000000" w:themeColor="text1"/>
          <w:sz w:val="28"/>
          <w:szCs w:val="28"/>
          <w:u w:val="single"/>
          <w14:textFill>
            <w14:solidFill>
              <w14:schemeClr w14:val="tx1"/>
            </w14:solidFill>
          </w14:textFill>
        </w:rPr>
        <w:t xml:space="preserve">                         </w:t>
      </w:r>
    </w:p>
    <w:p w14:paraId="0E041D9D">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双方同意执行以下考核细则，承包人同意按照下述约定由发包人扣除相应费用作为考核，具体如下：</w:t>
      </w:r>
    </w:p>
    <w:p w14:paraId="4EF0C7B5">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一、施工进度考核</w:t>
      </w:r>
    </w:p>
    <w:p w14:paraId="062A4306">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1.1施工单位须向监理、项目指挥部按时提交总进度计划、周计划、专项计划以及各节点的控制计划，提交的计划必须经项目经理签字加盖项目章，否则视为无效提交。对未按要求时间提交的，每拖延一天处以2000-10000元考核。</w:t>
      </w:r>
    </w:p>
    <w:p w14:paraId="1E59EF9C">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1.2施工计划编制质量差，屡次整改达不到要求的，处以2000-5000元/次考核。</w:t>
      </w:r>
    </w:p>
    <w:p w14:paraId="7B49F083">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1.3周计划进度、专项计划进度、各控制点进度的子项任务未按计划完成，且无正当理由延期的，每一项拖延一天，处以2000-10000元/天/项考核。</w:t>
      </w:r>
    </w:p>
    <w:p w14:paraId="5E9CBE4F">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1.4里程碑节点滞后的，按照合同约定的违约条款，处以不低于合同额的万分之三/天且不低于1万元/天考核。</w:t>
      </w:r>
    </w:p>
    <w:p w14:paraId="3E3DCC1E">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1.5施工单位为完成进度计划应制定有效的保证措施，包括人、料、机等资源投入，作业时间调整等，对人、料、机投入不能满足施工进度计划要求并对工程进度造成潜在影响的，处以5000-10000元考核。</w:t>
      </w:r>
    </w:p>
    <w:p w14:paraId="63CC788F">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1.6工程进度滞后，现场项目部安排加班抢工，对施工单位不响应抢工要求的，不组织工人机械加班抢工的，处以20000-50000元/天考核。</w:t>
      </w:r>
    </w:p>
    <w:p w14:paraId="3639E1BD">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1.7对于临时工作任务，经现场项目部以书面工作联系单的形式向施工单位发出工作指令，要求限期完成，施工单位无正当理由未按期完成的，每拖延一天处以5000-20000元/天考核。</w:t>
      </w:r>
    </w:p>
    <w:p w14:paraId="6595D6B1">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1.8在周例会或专题会议上，现场项目部要求限期完成的工作任务，施工单位无正当理由未按时完成的，每拖延一天处以5000-20000元/天/项考核。</w:t>
      </w:r>
    </w:p>
    <w:p w14:paraId="405A25A2">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1.9施工进度滞后，对组织抢工措施不力，消极应对、采取考核措施仍不见效的施工单位，将采取公司发函、约谈责任单位企业负责人，情节严重的将列入黑名单，取消今后项目招标入围资格。</w:t>
      </w:r>
    </w:p>
    <w:p w14:paraId="5D628FD1">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二、施工安全文明考核</w:t>
      </w:r>
    </w:p>
    <w:p w14:paraId="29342835">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2.1项目部或监理单位下达的书面整改文件（包括各类通知单、联系单、会议要求等）未按要求时间整改完毕的，每拖延一天处以5000-20000元/天考核。</w:t>
      </w:r>
    </w:p>
    <w:p w14:paraId="50F74694">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2.2对不按时参加现场组织的安全周、月及专项检查的，处以2000-5000元/次考核。</w:t>
      </w:r>
    </w:p>
    <w:p w14:paraId="395B86FD">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 xml:space="preserve">2.3“三宝四口”措施不到位，对不正确使用或不使用安全帽、安全带的，予以500元/人·次考核。对“四口”存在的安全隐患，督促后仍未整改的，予以5000元/处考核，并每拖延一天处以10000元考核。        </w:t>
      </w:r>
    </w:p>
    <w:p w14:paraId="07566EFB">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2.4特种作业未能持证上岗、未办理动火审批手续、消防器材未配备到位、施工人员未佩戴安全帽、安全绳、高空作业防护不到位、施工现场吸烟等违规行为，每发现一处，处以2000-5000元考核。</w:t>
      </w:r>
    </w:p>
    <w:p w14:paraId="19EC4936">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2.5施工单位应每日工完料净，施工垃圾集中清运，道路遗撒污染、施工垃圾及包装物乱堆乱弃等现象，每发现一处，处以2000-10000元考核。</w:t>
      </w:r>
    </w:p>
    <w:p w14:paraId="18C14EAC">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2.6对抑尘措施不到位，发生扬尘现象的，处以2000-10000元/次考核；对被环保、渣土办部门处罚的，除相关处罚所有费用均由施工单位承担外，建设单位对施工单位予以加倍处罚。</w:t>
      </w:r>
    </w:p>
    <w:p w14:paraId="4AF3DCD9">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2.7若施工方对现场存在的安全隐患不予整改或迟迟整改不到位，且采取考核措施后仍不见效的，现场项目部将要求停工整改，并书面通报施工单位企业负责人现场处理，对整改效果仍达不到各方满意的，将上报建设行政主管部门。</w:t>
      </w:r>
    </w:p>
    <w:p w14:paraId="086C4BCC">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三、施工质量考核</w:t>
      </w:r>
    </w:p>
    <w:p w14:paraId="3DA49837">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3.1未按要求执行样品样板开路的或擅自更换材料品牌的，处以5000-50000元/次考核。</w:t>
      </w:r>
    </w:p>
    <w:p w14:paraId="6E705E47">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3.2进场材料不合格，进行退场处理并予以警告，重新进场后经检查仍不合格的或材料进场发生两次及以上不合格的，处以5000-20000元/次考核。</w:t>
      </w:r>
    </w:p>
    <w:p w14:paraId="67DDC400">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3.3未经验收，擅自进入下道工序施工的，处以5000～20000元/次考核。</w:t>
      </w:r>
    </w:p>
    <w:p w14:paraId="41B517BB">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3.4对于质量问题不按监理工程师通知单要求整改，擅自进行下一步施工的处以5000～10000元/项考核。在接到监理通知后未在通知时间内完成整改的，处以2000～10000元/项考核。</w:t>
      </w:r>
    </w:p>
    <w:p w14:paraId="5B5C31B4">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3.5隐蔽工程未经监理单位检查验收擅自隐蔽的，须打开或拆除后重新检查，并处以5000～20000元/次考核。</w:t>
      </w:r>
    </w:p>
    <w:p w14:paraId="7AEBBF3F">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3.6同一部位、同一施工质量问题，签发第二份整改通知单的，予以加倍处罚，处以20000～50000元/项考核。</w:t>
      </w:r>
    </w:p>
    <w:p w14:paraId="4114D391">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 xml:space="preserve">3.7对于发生较大、重大质量事故的造成严重影响的，除限期整改、返工并承担损失责任外，另处以10万-20万元/项考核。     </w:t>
      </w:r>
    </w:p>
    <w:p w14:paraId="570528EE">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四、施工成本及结算考核</w:t>
      </w:r>
    </w:p>
    <w:p w14:paraId="7C0028B2">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4.1批价申请价格高于最终审批价格50%以上的，按最终审批价格乘以0.9系数进入结算审计，作为对施工方的考核；批价申请价格高于最终审批价格100%以上的，按最终审批价格乘以0.8系数进行结算审计，作为对施工方的考核。批价申请资料存在伪造、虚假材料的，视情节另对施工单位进行1000-10000元/项考核。</w:t>
      </w:r>
    </w:p>
    <w:p w14:paraId="2D2626A2">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4.2承包人未按照发包人要求的《工程项目结算审计报审资料编制规范》报审竣工结算资料的，发包人每发现一次视影响程度处罚承包人500-3000元；承包人结算资料有重复报审的，发包人每发现一次视影响程度处罚承包人3000-10000 元；承包人报审竣工结算时提供虚假材料的，发包人每发现一次视影响程度处罚承包人10000-50000 元。</w:t>
      </w:r>
    </w:p>
    <w:p w14:paraId="2BA4D2F8">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4.3凡项目竣工验收合格后承包人超期未报审竣工结算资料的，每拖期一天发包人视影响程度处罚承包人 1000-5000 元/天。</w:t>
      </w:r>
    </w:p>
    <w:p w14:paraId="6D3E3DD2">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4.4工程项目结算的报审金额100万元及以下，综合审减率超出10%的；结算的报审金额100万元以上且1000万元及以下，综合审减率超出8%的；结算的报审金额1000万元以上，综合审减率超出5%的工程项目，均按超出部分的2%对施工单位进行考核。</w:t>
      </w:r>
    </w:p>
    <w:p w14:paraId="07D6974E">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4.5分部及分项清单单项审定金额与结算报审金额相比，分项审减率30%及以下不予处罚；分项审减率30%以上且50%及以下的，按超出30%部分的15%对施工单位进行考核；分项审减率大于等于50%且小于100%的，按超出30%部分的30%对施工单位进行考核；分项审减率等于100%的，按审减金额的50%对施工单位进行考核。</w:t>
      </w:r>
    </w:p>
    <w:p w14:paraId="4E77421C">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4.6除审计部或委托审计机构要求补充的资料外，施工单位初次报审后再次以漏报为由报增的，按报增部分审定金额的10%进行考核。</w:t>
      </w:r>
    </w:p>
    <w:p w14:paraId="502FFD8B">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4.7按上述考核规则，当考核金额合计不超过5000元或不超过(审减金额-报审金额*10%)*25%时，按5000元与(审减金额-报审金额*10%)*25%中较大值进行考核；当考核金额合计大于5000元且大于(审减金额-报审金额*10%)*25%时，按实际金额进行考核，由施工单位承担。</w:t>
      </w:r>
    </w:p>
    <w:p w14:paraId="5C1EA160">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4.8承包人未及时配合工程审计单位开展工作的，发包人每发现一次视影响程度处罚承包人3000-10000 元。</w:t>
      </w:r>
    </w:p>
    <w:p w14:paraId="1E21BE96">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4.9施工合同的结算报审值与结算审定值偏离≥30%的，存在弄虚作假、恶意虚报瞒报等行为或者累计发生三次及以上结算报审值与结算审定值偏离≥20%的，发包人将采取列入供方黑名单。</w:t>
      </w:r>
    </w:p>
    <w:p w14:paraId="0F994AC0">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4.10结算报审时考核条款发生变化的，按发包人最新规定执行。</w:t>
      </w:r>
    </w:p>
    <w:p w14:paraId="06D55B74">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五、其他事项</w:t>
      </w:r>
    </w:p>
    <w:p w14:paraId="4222315B">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5.1对未按时参加会议、工作执行不力、工作质量不达要求的，视情节严重程度，对责任单位处以1000-5000元/次考核。</w:t>
      </w:r>
    </w:p>
    <w:p w14:paraId="34CC3D16">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5.2现场施工的质量、进度、安全等发生的考核，由监理单位（如有）出具，经总监理工程师签字盖章后报送现场项目部负责人签字盖章后即为生效</w:t>
      </w:r>
    </w:p>
    <w:p w14:paraId="1A504458">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5.3监理单位或技改项目部应于每月20日汇总当月累计考核单，并在各单位当月形象进度款中扣除或从合同履约保函（保证金）中扣除。</w:t>
      </w:r>
    </w:p>
    <w:p w14:paraId="145AA529">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5.4对已经发生的考核，若经积极采取措施，最终完成进度节点或整改结果满足合同及项目部要求的，可视情况予以减免、取消。</w:t>
      </w:r>
    </w:p>
    <w:p w14:paraId="747ECA6B">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5.5若经采取考核措施后责任单位仍然消极应对、效果不明显，发包人项目部将采取约谈企业负责人、书面发函等措施，情节严重的将列入发包人供方黑名单。</w:t>
      </w:r>
    </w:p>
    <w:p w14:paraId="3F285160">
      <w:pPr>
        <w:snapToGrid w:val="0"/>
        <w:spacing w:line="52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5.6各单位按本规定受处罚后并不免除按法律法规和合同应承担的有关责任。</w:t>
      </w:r>
    </w:p>
    <w:p w14:paraId="08C695F0"/>
    <w:p w14:paraId="4572C54B">
      <w:pPr>
        <w:pStyle w:val="2"/>
        <w:numPr>
          <w:ilvl w:val="0"/>
          <w:numId w:val="10"/>
        </w:numPr>
        <w:spacing w:line="240" w:lineRule="auto"/>
        <w:ind w:left="0" w:leftChars="0" w:firstLine="640"/>
        <w:jc w:val="both"/>
      </w:pPr>
      <w:r>
        <w:rPr>
          <w:rFonts w:eastAsia="仿宋"/>
          <w:color w:val="000000" w:themeColor="text1"/>
          <w:sz w:val="32"/>
          <w:szCs w:val="32"/>
          <w14:textFill>
            <w14:solidFill>
              <w14:schemeClr w14:val="tx1"/>
            </w14:solidFill>
          </w14:textFill>
        </w:rPr>
        <w:br w:type="page"/>
      </w:r>
    </w:p>
    <w:p w14:paraId="45C7CEA5">
      <w:pPr>
        <w:spacing w:before="156" w:beforeLines="50" w:after="156" w:afterLines="50" w:line="440" w:lineRule="exact"/>
        <w:jc w:val="left"/>
        <w:outlineLvl w:val="3"/>
        <w:rPr>
          <w:color w:val="000000" w:themeColor="text1"/>
          <w:sz w:val="30"/>
          <w14:textFill>
            <w14:solidFill>
              <w14:schemeClr w14:val="tx1"/>
            </w14:solidFill>
          </w14:textFill>
        </w:rPr>
      </w:pPr>
      <w:r>
        <w:rPr>
          <w:color w:val="000000" w:themeColor="text1"/>
          <w:sz w:val="30"/>
          <w14:textFill>
            <w14:solidFill>
              <w14:schemeClr w14:val="tx1"/>
            </w14:solidFill>
          </w14:textFill>
        </w:rPr>
        <w:t>附件14</w:t>
      </w:r>
      <w:r>
        <w:rPr>
          <w:rFonts w:eastAsia="仿宋_GB2312"/>
          <w:color w:val="000000" w:themeColor="text1"/>
          <w:sz w:val="30"/>
          <w:szCs w:val="30"/>
          <w14:textFill>
            <w14:solidFill>
              <w14:schemeClr w14:val="tx1"/>
            </w14:solidFill>
          </w14:textFill>
        </w:rPr>
        <w:t>：</w:t>
      </w:r>
    </w:p>
    <w:p w14:paraId="1D4F64B0">
      <w:pPr>
        <w:spacing w:before="156" w:beforeLines="50" w:after="156" w:afterLines="50" w:line="440" w:lineRule="exact"/>
        <w:jc w:val="center"/>
        <w:rPr>
          <w:rFonts w:eastAsia="黑体"/>
          <w:color w:val="000000" w:themeColor="text1"/>
          <w:sz w:val="32"/>
          <w14:textFill>
            <w14:solidFill>
              <w14:schemeClr w14:val="tx1"/>
            </w14:solidFill>
          </w14:textFill>
        </w:rPr>
      </w:pPr>
      <w:bookmarkStart w:id="735" w:name="_Hlk211515806"/>
      <w:r>
        <w:rPr>
          <w:rFonts w:eastAsia="黑体"/>
          <w:color w:val="000000" w:themeColor="text1"/>
          <w:sz w:val="32"/>
          <w14:textFill>
            <w14:solidFill>
              <w14:schemeClr w14:val="tx1"/>
            </w14:solidFill>
          </w14:textFill>
        </w:rPr>
        <w:t>廉洁诚信协议</w:t>
      </w:r>
    </w:p>
    <w:p w14:paraId="09D67820">
      <w:pPr>
        <w:spacing w:line="480" w:lineRule="auto"/>
        <w:ind w:left="119" w:right="3771"/>
        <w:rPr>
          <w:rFonts w:eastAsia="仿宋_GB2312"/>
          <w:b/>
          <w:sz w:val="30"/>
        </w:rPr>
      </w:pPr>
      <w:r>
        <w:rPr>
          <w:rFonts w:eastAsia="仿宋_GB2312"/>
          <w:b/>
          <w:sz w:val="30"/>
        </w:rPr>
        <w:t>甲方：</w:t>
      </w:r>
      <w:r>
        <w:rPr>
          <w:rFonts w:eastAsia="仿宋_GB2312"/>
          <w:b/>
          <w:sz w:val="30"/>
          <w:szCs w:val="30"/>
        </w:rPr>
        <w:t xml:space="preserve">          </w:t>
      </w:r>
    </w:p>
    <w:p w14:paraId="03CB2258">
      <w:pPr>
        <w:spacing w:line="480" w:lineRule="auto"/>
        <w:ind w:left="119" w:right="3771"/>
        <w:rPr>
          <w:rFonts w:eastAsia="仿宋_GB2312"/>
          <w:b/>
          <w:sz w:val="30"/>
        </w:rPr>
      </w:pPr>
      <w:r>
        <w:rPr>
          <w:rFonts w:eastAsia="仿宋_GB2312"/>
          <w:b/>
          <w:sz w:val="30"/>
        </w:rPr>
        <w:t>乙方：</w:t>
      </w:r>
      <w:r>
        <w:rPr>
          <w:rFonts w:eastAsia="仿宋_GB2312"/>
          <w:b/>
          <w:sz w:val="30"/>
          <w:szCs w:val="30"/>
        </w:rPr>
        <w:t xml:space="preserve">         </w:t>
      </w:r>
    </w:p>
    <w:p w14:paraId="22F13EB8">
      <w:pPr>
        <w:pStyle w:val="48"/>
        <w:tabs>
          <w:tab w:val="left" w:pos="1244"/>
        </w:tabs>
        <w:adjustRightInd w:val="0"/>
        <w:spacing w:line="560" w:lineRule="exact"/>
        <w:ind w:firstLine="592"/>
        <w:rPr>
          <w:rFonts w:eastAsia="仿宋_GB2312"/>
          <w:spacing w:val="-2"/>
          <w:sz w:val="30"/>
        </w:rPr>
      </w:pPr>
      <w:r>
        <w:rPr>
          <w:rFonts w:eastAsia="仿宋_GB2312"/>
          <w:spacing w:val="-2"/>
          <w:sz w:val="30"/>
        </w:rPr>
        <w:t>乙方是甲方或甲方全资、控股、参股企业的供应商、服务商或采购商、经销商，甲方作为采购方或销售方（包含甲方及其关联企业，以下统称甲方），为保证双方长期稳定合作和健康发展，保证各合作主体之间公平、公正、公开的良性竞争，共同抵制商业贿赂等一切不正当行为，营造诚实信用的商业氛围，积极维护双方信誉,共同加强廉洁自律建设，甲乙双方在平等、自愿、协商一致的原则下，签订本协议。</w:t>
      </w:r>
    </w:p>
    <w:p w14:paraId="1BFFEDE4">
      <w:pPr>
        <w:pStyle w:val="48"/>
        <w:tabs>
          <w:tab w:val="left" w:pos="1244"/>
        </w:tabs>
        <w:adjustRightInd w:val="0"/>
        <w:spacing w:line="560" w:lineRule="exact"/>
        <w:ind w:firstLine="592"/>
        <w:rPr>
          <w:rFonts w:eastAsia="仿宋_GB2312"/>
          <w:spacing w:val="-2"/>
          <w:sz w:val="30"/>
        </w:rPr>
      </w:pPr>
      <w:r>
        <w:rPr>
          <w:rFonts w:eastAsia="仿宋_GB2312"/>
          <w:spacing w:val="-2"/>
          <w:sz w:val="30"/>
        </w:rPr>
        <w:t>1.甲乙双方应当共同遵守国家、地方法律法规以及本协议的约定，在合同的订立、履行过程中廉洁自律，绝不弄虚作假、以次充好，虚结虚算。</w:t>
      </w:r>
    </w:p>
    <w:p w14:paraId="4455FD86">
      <w:pPr>
        <w:pStyle w:val="48"/>
        <w:tabs>
          <w:tab w:val="left" w:pos="1244"/>
        </w:tabs>
        <w:adjustRightInd w:val="0"/>
        <w:spacing w:line="560" w:lineRule="exact"/>
        <w:ind w:firstLine="592"/>
        <w:rPr>
          <w:rFonts w:eastAsia="仿宋_GB2312"/>
          <w:spacing w:val="-2"/>
          <w:sz w:val="30"/>
        </w:rPr>
      </w:pPr>
      <w:r>
        <w:rPr>
          <w:rFonts w:eastAsia="仿宋_GB2312"/>
          <w:spacing w:val="-2"/>
          <w:sz w:val="30"/>
        </w:rPr>
        <w:t>2.乙方声明并承诺甲方人员或其配偶、子女及其配偶等亲属和其他特定关系人（甲方人员为领导干部的，其他特定关系人包含身边工作人员）没有直接或间接投资乙方或持有乙方股权，没有直接或间接投资乙方关联企业或持有乙方关联企业股权。</w:t>
      </w:r>
    </w:p>
    <w:p w14:paraId="31EBD246">
      <w:pPr>
        <w:pStyle w:val="48"/>
        <w:tabs>
          <w:tab w:val="left" w:pos="1244"/>
        </w:tabs>
        <w:adjustRightInd w:val="0"/>
        <w:spacing w:line="560" w:lineRule="exact"/>
        <w:ind w:firstLine="592"/>
        <w:rPr>
          <w:rFonts w:eastAsia="仿宋_GB2312"/>
          <w:spacing w:val="-2"/>
          <w:sz w:val="30"/>
        </w:rPr>
      </w:pPr>
      <w:r>
        <w:rPr>
          <w:rFonts w:eastAsia="仿宋_GB2312"/>
          <w:spacing w:val="-2"/>
          <w:sz w:val="30"/>
        </w:rPr>
        <w:t>3.乙方承诺乙方或乙方关联企业股东、实际出资人或持股人、高管、主要业务人员不得与甲方人员或其配偶、子女及其配偶等亲属和其他特定关系人共同成立公司，不得聘请甲方人员或其配偶、子女及其配偶等亲属和其他特定关系人在乙方或乙方关联企业股东或实际出资人或高管或主要业务人员成立的企业中担任高管或为其违规发放薪酬。违规发放薪酬包括不实际工作而获取薪酬或者虽实际工作但领取明显超出同职级标准薪酬。（若乙方为甲方新合作伙伴，如在本协议签订前乙方存在本条规定情形的，需在本协议签订后30日内，将相关情况报甲方所属重汽集团的纪检监察部门备案）。</w:t>
      </w:r>
    </w:p>
    <w:p w14:paraId="3EEEA40B">
      <w:pPr>
        <w:pStyle w:val="48"/>
        <w:tabs>
          <w:tab w:val="left" w:pos="1244"/>
        </w:tabs>
        <w:adjustRightInd w:val="0"/>
        <w:spacing w:line="560" w:lineRule="exact"/>
        <w:ind w:firstLine="592"/>
        <w:rPr>
          <w:rFonts w:eastAsia="仿宋_GB2312"/>
          <w:spacing w:val="-2"/>
          <w:sz w:val="30"/>
        </w:rPr>
      </w:pPr>
      <w:r>
        <w:rPr>
          <w:rFonts w:eastAsia="仿宋_GB2312"/>
          <w:spacing w:val="-2"/>
          <w:sz w:val="30"/>
        </w:rPr>
        <w:t>4.乙方承诺依法开展经营活动，不得有任何形式的商业贿赂行为。乙方一经发现其员工或其配偶、子女及其配偶等亲属和其他特定关系人存在任何商业贿赂行为，应立即通知甲方并自行进行查处和整改。若甲方认为上述行为严重影响到甲方的利益，则甲方有权单方解除双方已签订的所有合同协议，并要求乙方赔偿。</w:t>
      </w:r>
    </w:p>
    <w:p w14:paraId="641800F4">
      <w:pPr>
        <w:pStyle w:val="48"/>
        <w:tabs>
          <w:tab w:val="left" w:pos="1244"/>
        </w:tabs>
        <w:adjustRightInd w:val="0"/>
        <w:spacing w:line="560" w:lineRule="exact"/>
        <w:ind w:firstLine="592"/>
        <w:rPr>
          <w:rFonts w:eastAsia="仿宋_GB2312"/>
          <w:spacing w:val="-2"/>
          <w:sz w:val="30"/>
        </w:rPr>
      </w:pPr>
      <w:r>
        <w:rPr>
          <w:rFonts w:eastAsia="仿宋_GB2312"/>
          <w:spacing w:val="-2"/>
          <w:sz w:val="30"/>
        </w:rPr>
        <w:t>5.乙方承诺不以任何理由为甲方人员及其配偶、子女及其配偶等亲属和其他特定关系人提供如下：</w:t>
      </w:r>
    </w:p>
    <w:p w14:paraId="07E96B02">
      <w:pPr>
        <w:pStyle w:val="48"/>
        <w:tabs>
          <w:tab w:val="left" w:pos="1244"/>
        </w:tabs>
        <w:adjustRightInd w:val="0"/>
        <w:spacing w:line="560" w:lineRule="exact"/>
        <w:ind w:firstLine="592"/>
        <w:rPr>
          <w:rFonts w:eastAsia="仿宋_GB2312"/>
          <w:spacing w:val="-2"/>
          <w:sz w:val="30"/>
        </w:rPr>
      </w:pPr>
      <w:r>
        <w:rPr>
          <w:rFonts w:eastAsia="仿宋_GB2312"/>
          <w:spacing w:val="-2"/>
          <w:sz w:val="30"/>
        </w:rPr>
        <w:t>a)赠送礼品、礼金、消费卡（券）、购物卡、充值卡、信用卡和有价证券、股权、其他金融产品等财物和其他贵重物品；</w:t>
      </w:r>
    </w:p>
    <w:p w14:paraId="20BAE174">
      <w:pPr>
        <w:pStyle w:val="48"/>
        <w:tabs>
          <w:tab w:val="left" w:pos="1244"/>
        </w:tabs>
        <w:adjustRightInd w:val="0"/>
        <w:spacing w:line="560" w:lineRule="exact"/>
        <w:ind w:firstLine="592"/>
        <w:rPr>
          <w:rFonts w:eastAsia="仿宋_GB2312"/>
          <w:spacing w:val="-2"/>
          <w:sz w:val="30"/>
        </w:rPr>
      </w:pPr>
      <w:r>
        <w:rPr>
          <w:rFonts w:eastAsia="仿宋_GB2312"/>
          <w:spacing w:val="-2"/>
          <w:sz w:val="30"/>
        </w:rPr>
        <w:t>b)报销个人费用或以讲课费、课题费、咨询费等名义支付费用；</w:t>
      </w:r>
    </w:p>
    <w:p w14:paraId="3C67DBAF">
      <w:pPr>
        <w:pStyle w:val="48"/>
        <w:tabs>
          <w:tab w:val="left" w:pos="1244"/>
        </w:tabs>
        <w:adjustRightInd w:val="0"/>
        <w:spacing w:line="560" w:lineRule="exact"/>
        <w:ind w:firstLine="592"/>
        <w:rPr>
          <w:rFonts w:eastAsia="仿宋_GB2312"/>
          <w:spacing w:val="-2"/>
          <w:sz w:val="30"/>
        </w:rPr>
      </w:pPr>
      <w:r>
        <w:rPr>
          <w:rFonts w:eastAsia="仿宋_GB2312"/>
          <w:spacing w:val="-2"/>
          <w:sz w:val="30"/>
        </w:rPr>
        <w:t>c)以洽谈业务、签订合同等为借口宴请或邀请外出旅游、健身、娱乐和进入营业性娱乐场所；</w:t>
      </w:r>
    </w:p>
    <w:p w14:paraId="7763996B">
      <w:pPr>
        <w:pStyle w:val="48"/>
        <w:tabs>
          <w:tab w:val="left" w:pos="1244"/>
        </w:tabs>
        <w:adjustRightInd w:val="0"/>
        <w:spacing w:line="560" w:lineRule="exact"/>
        <w:ind w:firstLine="592"/>
        <w:rPr>
          <w:rFonts w:eastAsia="仿宋_GB2312"/>
          <w:spacing w:val="-2"/>
          <w:sz w:val="30"/>
        </w:rPr>
      </w:pPr>
      <w:r>
        <w:rPr>
          <w:rFonts w:eastAsia="仿宋_GB2312"/>
          <w:spacing w:val="-2"/>
          <w:sz w:val="30"/>
        </w:rPr>
        <w:t>d)购置或提供通讯、交通工具、钱款、住房、车辆等或提供通过民间借贷等金融助其获得大额回报；</w:t>
      </w:r>
    </w:p>
    <w:p w14:paraId="43019DB3">
      <w:pPr>
        <w:pStyle w:val="48"/>
        <w:tabs>
          <w:tab w:val="left" w:pos="1244"/>
        </w:tabs>
        <w:adjustRightInd w:val="0"/>
        <w:spacing w:line="560" w:lineRule="exact"/>
        <w:ind w:firstLine="592"/>
        <w:rPr>
          <w:rFonts w:eastAsia="仿宋_GB2312"/>
          <w:spacing w:val="-2"/>
          <w:sz w:val="30"/>
        </w:rPr>
      </w:pPr>
      <w:r>
        <w:rPr>
          <w:rFonts w:eastAsia="仿宋_GB2312"/>
          <w:spacing w:val="-2"/>
          <w:sz w:val="30"/>
        </w:rPr>
        <w:t>e)住房装修、婚丧嫁娶、家属和子女的工作安排以及出国等提供任何金钱或非金钱方式的资助或帮助；</w:t>
      </w:r>
    </w:p>
    <w:p w14:paraId="300BB15F">
      <w:pPr>
        <w:pStyle w:val="48"/>
        <w:tabs>
          <w:tab w:val="left" w:pos="1244"/>
        </w:tabs>
        <w:adjustRightInd w:val="0"/>
        <w:spacing w:line="560" w:lineRule="exact"/>
        <w:ind w:firstLine="592"/>
        <w:rPr>
          <w:rFonts w:eastAsia="仿宋_GB2312"/>
          <w:spacing w:val="-2"/>
          <w:sz w:val="30"/>
        </w:rPr>
      </w:pPr>
      <w:r>
        <w:rPr>
          <w:rFonts w:eastAsia="仿宋_GB2312"/>
          <w:spacing w:val="-2"/>
          <w:sz w:val="30"/>
        </w:rPr>
        <w:t>f)吸收存款、推销金融产品、经营名贵特产类资源等提供帮助谋取利益；</w:t>
      </w:r>
    </w:p>
    <w:p w14:paraId="4BA05F14">
      <w:pPr>
        <w:pStyle w:val="48"/>
        <w:tabs>
          <w:tab w:val="left" w:pos="1244"/>
        </w:tabs>
        <w:adjustRightInd w:val="0"/>
        <w:spacing w:line="560" w:lineRule="exact"/>
        <w:ind w:firstLine="592"/>
        <w:rPr>
          <w:rFonts w:eastAsia="仿宋_GB2312"/>
          <w:spacing w:val="-2"/>
          <w:sz w:val="30"/>
        </w:rPr>
      </w:pPr>
      <w:r>
        <w:rPr>
          <w:rFonts w:eastAsia="仿宋_GB2312"/>
          <w:spacing w:val="-2"/>
          <w:sz w:val="30"/>
        </w:rPr>
        <w:t>g)其他可能影响甲方人员公平、公正的履行职权或者履行职责的情形。</w:t>
      </w:r>
    </w:p>
    <w:p w14:paraId="626C6CBD">
      <w:pPr>
        <w:pStyle w:val="48"/>
        <w:tabs>
          <w:tab w:val="left" w:pos="1244"/>
        </w:tabs>
        <w:adjustRightInd w:val="0"/>
        <w:spacing w:line="560" w:lineRule="exact"/>
        <w:ind w:firstLine="592"/>
        <w:rPr>
          <w:rFonts w:eastAsia="仿宋_GB2312"/>
          <w:spacing w:val="-2"/>
          <w:sz w:val="30"/>
        </w:rPr>
      </w:pPr>
      <w:r>
        <w:rPr>
          <w:rFonts w:eastAsia="仿宋_GB2312"/>
          <w:spacing w:val="-2"/>
          <w:sz w:val="30"/>
        </w:rPr>
        <w:t>6.乙方应当通过正常途径开展相关业务，决不为谋取不正当利益诱使甲方人员就采购、服务或销售、经销的物项种类、物项数量、价格条件、付款条件、质量问题处理等方面私下商谈或达成默契；决不以任何方式诱使甲方人员接受或共同编造虚假议价及质量资料、影响交易价格或交易之达成、违背职务、将合同权利义务转让给第三方及其它损害甲方利益的行为。</w:t>
      </w:r>
    </w:p>
    <w:p w14:paraId="74946CC4">
      <w:pPr>
        <w:pStyle w:val="48"/>
        <w:tabs>
          <w:tab w:val="left" w:pos="1244"/>
        </w:tabs>
        <w:adjustRightInd w:val="0"/>
        <w:spacing w:line="560" w:lineRule="exact"/>
        <w:ind w:firstLine="592"/>
        <w:rPr>
          <w:rFonts w:eastAsia="仿宋_GB2312"/>
          <w:spacing w:val="-2"/>
          <w:sz w:val="30"/>
        </w:rPr>
      </w:pPr>
      <w:r>
        <w:rPr>
          <w:rFonts w:eastAsia="仿宋_GB2312"/>
          <w:spacing w:val="-2"/>
          <w:sz w:val="30"/>
        </w:rPr>
        <w:t>7.若乙方发现甲方人员或其配偶、子女及其配偶等亲属和其他特定关系人有任何形式的索贿受贿行为，乙方有责任向甲方所属重汽集团的纪检监察部门举报（举报电话：0531-58062233，举报邮箱：zgzqjw@sinotruk.com）。甲方不得以任何借口对乙方进行报复。对举报属实和严格遵守廉洁协议的乙方，在同等条件下甲方优先考虑与乙方继续合作并给予更优惠的商务合作条件。</w:t>
      </w:r>
    </w:p>
    <w:p w14:paraId="7D1DA0CC">
      <w:pPr>
        <w:pStyle w:val="48"/>
        <w:tabs>
          <w:tab w:val="left" w:pos="1244"/>
        </w:tabs>
        <w:adjustRightInd w:val="0"/>
        <w:spacing w:line="560" w:lineRule="exact"/>
        <w:ind w:firstLine="592"/>
        <w:rPr>
          <w:rFonts w:eastAsia="仿宋_GB2312"/>
          <w:spacing w:val="-2"/>
          <w:sz w:val="30"/>
        </w:rPr>
      </w:pPr>
      <w:r>
        <w:rPr>
          <w:rFonts w:eastAsia="仿宋_GB2312"/>
          <w:spacing w:val="-2"/>
          <w:sz w:val="30"/>
        </w:rPr>
        <w:t>8.若乙方知悉其它与甲方合作的供应商、服务商或采购商、经销商等合作伙伴存在违反本协议规定之行为，乙方应向甲方或甲方所属重汽集团的纪检监察部门检举并提供证据。</w:t>
      </w:r>
    </w:p>
    <w:p w14:paraId="74AEAD37">
      <w:pPr>
        <w:pStyle w:val="48"/>
        <w:tabs>
          <w:tab w:val="left" w:pos="1244"/>
        </w:tabs>
        <w:adjustRightInd w:val="0"/>
        <w:spacing w:line="560" w:lineRule="exact"/>
        <w:ind w:firstLine="592"/>
        <w:rPr>
          <w:rFonts w:eastAsia="仿宋_GB2312"/>
          <w:spacing w:val="-2"/>
          <w:sz w:val="30"/>
        </w:rPr>
      </w:pPr>
      <w:r>
        <w:rPr>
          <w:rFonts w:eastAsia="仿宋_GB2312"/>
          <w:spacing w:val="-2"/>
          <w:sz w:val="30"/>
        </w:rPr>
        <w:t>9.乙方承诺在双方业务往来期间，不得对甲方人员采取任何手段使其离开甲方到乙方或乙方关联企业任职，若出现上述情况，则属于乙方违约，应承担给甲方造成的一切损失。</w:t>
      </w:r>
    </w:p>
    <w:p w14:paraId="6C38019A">
      <w:pPr>
        <w:pStyle w:val="48"/>
        <w:tabs>
          <w:tab w:val="left" w:pos="1244"/>
        </w:tabs>
        <w:adjustRightInd w:val="0"/>
        <w:spacing w:line="560" w:lineRule="exact"/>
        <w:ind w:firstLine="592"/>
        <w:rPr>
          <w:rFonts w:eastAsia="仿宋_GB2312"/>
          <w:spacing w:val="-2"/>
          <w:sz w:val="30"/>
        </w:rPr>
      </w:pPr>
      <w:r>
        <w:rPr>
          <w:rFonts w:eastAsia="仿宋_GB2312"/>
          <w:spacing w:val="-2"/>
          <w:sz w:val="30"/>
        </w:rPr>
        <w:t>10.乙方承诺不聘任甲方内退领导干部或其他人员在乙方或乙方关联企业工作；乙方承诺不聘任甲方离职或退休三年内的领导干部或其他人员在乙方或乙方关联企业工作。</w:t>
      </w:r>
    </w:p>
    <w:p w14:paraId="3BA25D11">
      <w:pPr>
        <w:pStyle w:val="48"/>
        <w:tabs>
          <w:tab w:val="left" w:pos="1244"/>
        </w:tabs>
        <w:adjustRightInd w:val="0"/>
        <w:spacing w:line="560" w:lineRule="exact"/>
        <w:ind w:firstLine="592"/>
        <w:rPr>
          <w:rFonts w:eastAsia="仿宋_GB2312"/>
          <w:spacing w:val="-2"/>
          <w:sz w:val="30"/>
        </w:rPr>
      </w:pPr>
      <w:r>
        <w:rPr>
          <w:rFonts w:eastAsia="仿宋_GB2312"/>
          <w:spacing w:val="-2"/>
          <w:sz w:val="30"/>
        </w:rPr>
        <w:t>11.若乙方违反本协议约定的任何一项，乙方自愿向甲方支付5万元至50万元人民币或违反协议约定事件发现的上年度采购额的10%作为违约金，给甲方造成损失的，还应承担全部赔偿责任。另外甲方还有权对乙方采取降低供货比例、取消供货资格、单方解除采购合同等措施。情节特别严重或触犯法律法规的，将交由甲方住所地司法机关依法进行处理。</w:t>
      </w:r>
    </w:p>
    <w:p w14:paraId="5ED93336">
      <w:pPr>
        <w:pStyle w:val="48"/>
        <w:tabs>
          <w:tab w:val="left" w:pos="1244"/>
        </w:tabs>
        <w:adjustRightInd w:val="0"/>
        <w:spacing w:line="560" w:lineRule="exact"/>
        <w:ind w:firstLine="592"/>
        <w:rPr>
          <w:rFonts w:eastAsia="仿宋_GB2312"/>
          <w:spacing w:val="-2"/>
          <w:sz w:val="30"/>
        </w:rPr>
      </w:pPr>
      <w:r>
        <w:rPr>
          <w:rFonts w:eastAsia="仿宋_GB2312"/>
          <w:spacing w:val="-2"/>
          <w:sz w:val="30"/>
        </w:rPr>
        <w:t>12.关联企业是指：a）本企业的实际控制人，如甲方的实际控制人中国重型汽车集团有限公司或山东重工集团有限公司等；b）本企业实际控制人对外出资，拥有股权超过50%的各级子公司；c）本企业实际控制人直接或间接持股比例虽未超过50%，但为第一大股东，并且通过股东协议、公司章程、董事会决议或者其他协议安排等能够对其实际支配的企业或单位。</w:t>
      </w:r>
    </w:p>
    <w:p w14:paraId="4D8E76E2">
      <w:pPr>
        <w:pStyle w:val="48"/>
        <w:tabs>
          <w:tab w:val="left" w:pos="1244"/>
        </w:tabs>
        <w:adjustRightInd w:val="0"/>
        <w:spacing w:line="560" w:lineRule="exact"/>
        <w:ind w:firstLine="592"/>
        <w:rPr>
          <w:rFonts w:eastAsia="仿宋_GB2312"/>
          <w:spacing w:val="-2"/>
          <w:sz w:val="30"/>
        </w:rPr>
      </w:pPr>
      <w:r>
        <w:rPr>
          <w:rFonts w:eastAsia="仿宋_GB2312"/>
          <w:spacing w:val="-2"/>
          <w:sz w:val="30"/>
        </w:rPr>
        <w:t>本企业股东、管理人员及其配偶、子女及其配偶等亲属和其他特定关系人以及本企业实际控制人、实际控制人持股超过50%的各级子公司、实际控制人持股未超过50%但能够实际支配的企业或单位的股东、管理人员及其配偶、子女及其配偶等亲属和其他特定关系人，直接持股、间接持股或以其他形式投资的企业或单位，视同本企业的关联企业。</w:t>
      </w:r>
    </w:p>
    <w:p w14:paraId="6D7394E4">
      <w:pPr>
        <w:pStyle w:val="48"/>
        <w:tabs>
          <w:tab w:val="left" w:pos="1244"/>
        </w:tabs>
        <w:adjustRightInd w:val="0"/>
        <w:spacing w:line="560" w:lineRule="exact"/>
        <w:ind w:firstLine="592"/>
        <w:rPr>
          <w:spacing w:val="-2"/>
          <w:sz w:val="30"/>
        </w:rPr>
      </w:pPr>
      <w:r>
        <w:rPr>
          <w:rFonts w:eastAsia="仿宋_GB2312"/>
          <w:spacing w:val="-2"/>
          <w:sz w:val="30"/>
        </w:rPr>
        <w:t>13.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w:t>
      </w:r>
      <w:r>
        <w:rPr>
          <w:rFonts w:eastAsia="仿宋_GB2312"/>
          <w:spacing w:val="-2"/>
          <w:sz w:val="30"/>
          <w:szCs w:val="30"/>
        </w:rPr>
        <w:t>、一方擅自增加、删改、篡改</w:t>
      </w:r>
      <w:r>
        <w:rPr>
          <w:rFonts w:eastAsia="仿宋_GB2312"/>
          <w:spacing w:val="-2"/>
          <w:sz w:val="30"/>
        </w:rPr>
        <w:t>部分无效（个人手写签名除外）。</w:t>
      </w:r>
    </w:p>
    <w:p w14:paraId="0623D209">
      <w:pPr>
        <w:pStyle w:val="48"/>
        <w:tabs>
          <w:tab w:val="left" w:pos="1244"/>
        </w:tabs>
        <w:adjustRightInd w:val="0"/>
        <w:spacing w:line="560" w:lineRule="exact"/>
        <w:ind w:firstLine="592"/>
        <w:rPr>
          <w:rFonts w:eastAsia="仿宋_GB2312"/>
          <w:spacing w:val="-2"/>
          <w:sz w:val="30"/>
        </w:rPr>
      </w:pPr>
      <w:r>
        <w:rPr>
          <w:rFonts w:eastAsia="仿宋_GB2312"/>
          <w:spacing w:val="-2"/>
          <w:sz w:val="30"/>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w:t>
      </w:r>
      <w:r>
        <w:rPr>
          <w:rFonts w:eastAsia="仿宋_GB2312"/>
          <w:spacing w:val="-2"/>
          <w:sz w:val="30"/>
          <w:szCs w:val="30"/>
        </w:rPr>
        <w:t>各方</w:t>
      </w:r>
      <w:r>
        <w:rPr>
          <w:rFonts w:eastAsia="仿宋_GB2312"/>
          <w:spacing w:val="-2"/>
          <w:sz w:val="30"/>
        </w:rPr>
        <w:t>已签署完毕。</w:t>
      </w:r>
    </w:p>
    <w:p w14:paraId="273D69A1">
      <w:pPr>
        <w:pStyle w:val="48"/>
        <w:tabs>
          <w:tab w:val="left" w:pos="1244"/>
        </w:tabs>
        <w:adjustRightInd w:val="0"/>
        <w:spacing w:line="560" w:lineRule="exact"/>
        <w:ind w:firstLine="592"/>
        <w:rPr>
          <w:rFonts w:eastAsia="仿宋_GB2312"/>
          <w:spacing w:val="-2"/>
          <w:sz w:val="30"/>
        </w:rPr>
      </w:pPr>
      <w:r>
        <w:rPr>
          <w:rFonts w:eastAsia="仿宋_GB2312"/>
          <w:spacing w:val="-2"/>
          <w:sz w:val="30"/>
        </w:rPr>
        <w:t>14.本协议作为执行甲乙双方采购协议或其他合作合同、协议的附件，自双方签署之日起生效，此协议在甲乙双方业务合作期间有效；本协议生效后将自动替代生效日之前双方已签订的《供应商廉洁诚信协议》或类同协议约定；本协议生效前甲乙双方未签署《供应商廉洁诚信协议》或类同协议约定等但实际已存在供应采购等业务合作关系的，甲乙双方同意有关业务合作适用本协议的所有条款约定。</w:t>
      </w:r>
    </w:p>
    <w:p w14:paraId="7A0A0E77">
      <w:pPr>
        <w:pStyle w:val="48"/>
        <w:tabs>
          <w:tab w:val="left" w:pos="1244"/>
        </w:tabs>
        <w:adjustRightInd w:val="0"/>
        <w:spacing w:line="560" w:lineRule="exact"/>
        <w:ind w:firstLine="592"/>
        <w:rPr>
          <w:rFonts w:eastAsia="仿宋_GB2312"/>
          <w:spacing w:val="-2"/>
          <w:sz w:val="30"/>
        </w:rPr>
      </w:pPr>
      <w:r>
        <w:rPr>
          <w:rFonts w:eastAsia="仿宋_GB2312"/>
          <w:spacing w:val="-2"/>
          <w:sz w:val="30"/>
        </w:rPr>
        <w:t>15.本协议一式二份，双方各执一份，具有同等法律效力。若产生争议，双方协商解决，协商不成的在甲方所在地有管辖权的法院诉讼解决。</w:t>
      </w:r>
    </w:p>
    <w:p w14:paraId="6ED9E849">
      <w:pPr>
        <w:pStyle w:val="48"/>
        <w:tabs>
          <w:tab w:val="left" w:pos="1244"/>
        </w:tabs>
        <w:adjustRightInd w:val="0"/>
        <w:spacing w:line="305" w:lineRule="auto"/>
        <w:ind w:firstLine="600"/>
        <w:rPr>
          <w:rFonts w:eastAsia="仿宋_GB2312"/>
          <w:sz w:val="30"/>
        </w:rPr>
      </w:pPr>
    </w:p>
    <w:p w14:paraId="38B11881">
      <w:pPr>
        <w:tabs>
          <w:tab w:val="left" w:pos="5457"/>
        </w:tabs>
        <w:spacing w:before="1"/>
        <w:ind w:left="117"/>
        <w:rPr>
          <w:rFonts w:eastAsia="仿宋_GB2312"/>
          <w:b/>
          <w:sz w:val="30"/>
        </w:rPr>
      </w:pPr>
      <w:r>
        <w:rPr>
          <w:rFonts w:eastAsia="仿宋_GB2312"/>
          <w:b/>
          <w:spacing w:val="-1"/>
          <w:w w:val="99"/>
          <w:sz w:val="30"/>
        </w:rPr>
        <w:t>甲方（盖章</w:t>
      </w:r>
      <w:r>
        <w:rPr>
          <w:rFonts w:eastAsia="仿宋_GB2312"/>
          <w:b/>
          <w:spacing w:val="-140"/>
          <w:w w:val="99"/>
          <w:sz w:val="30"/>
        </w:rPr>
        <w:t>）</w:t>
      </w:r>
      <w:r>
        <w:rPr>
          <w:rFonts w:eastAsia="仿宋_GB2312"/>
          <w:b/>
          <w:w w:val="99"/>
          <w:sz w:val="30"/>
        </w:rPr>
        <w:t>：</w:t>
      </w:r>
      <w:r>
        <w:rPr>
          <w:rFonts w:eastAsia="仿宋_GB2312"/>
          <w:b/>
          <w:sz w:val="30"/>
        </w:rPr>
        <w:tab/>
      </w:r>
      <w:r>
        <w:rPr>
          <w:rFonts w:eastAsia="仿宋_GB2312"/>
          <w:b/>
          <w:spacing w:val="-1"/>
          <w:w w:val="99"/>
          <w:sz w:val="30"/>
        </w:rPr>
        <w:t>乙方（盖</w:t>
      </w:r>
      <w:r>
        <w:rPr>
          <w:rFonts w:eastAsia="仿宋_GB2312"/>
          <w:b/>
          <w:spacing w:val="2"/>
          <w:w w:val="99"/>
          <w:sz w:val="30"/>
        </w:rPr>
        <w:t>章</w:t>
      </w:r>
      <w:r>
        <w:rPr>
          <w:rFonts w:eastAsia="仿宋_GB2312"/>
          <w:b/>
          <w:spacing w:val="-142"/>
          <w:w w:val="99"/>
          <w:sz w:val="30"/>
        </w:rPr>
        <w:t>）</w:t>
      </w:r>
      <w:r>
        <w:rPr>
          <w:rFonts w:eastAsia="仿宋_GB2312"/>
          <w:b/>
          <w:w w:val="99"/>
          <w:sz w:val="30"/>
        </w:rPr>
        <w:t>：</w:t>
      </w:r>
    </w:p>
    <w:p w14:paraId="7D05DA8F">
      <w:pPr>
        <w:pStyle w:val="13"/>
        <w:ind w:firstLine="482"/>
        <w:rPr>
          <w:rFonts w:eastAsia="仿宋_GB2312"/>
          <w:b/>
          <w:sz w:val="30"/>
        </w:rPr>
      </w:pPr>
    </w:p>
    <w:p w14:paraId="649EAE03">
      <w:pPr>
        <w:pStyle w:val="13"/>
        <w:spacing w:before="1"/>
        <w:ind w:firstLine="482"/>
        <w:rPr>
          <w:rFonts w:eastAsia="仿宋_GB2312"/>
          <w:b/>
          <w:sz w:val="30"/>
        </w:rPr>
      </w:pPr>
    </w:p>
    <w:p w14:paraId="368691EA">
      <w:pPr>
        <w:tabs>
          <w:tab w:val="left" w:pos="5457"/>
        </w:tabs>
        <w:ind w:left="117"/>
        <w:rPr>
          <w:rFonts w:eastAsia="仿宋_GB2312"/>
          <w:b/>
          <w:sz w:val="30"/>
        </w:rPr>
      </w:pPr>
      <w:r>
        <w:rPr>
          <w:rFonts w:eastAsia="仿宋_GB2312"/>
          <w:b/>
          <w:sz w:val="30"/>
        </w:rPr>
        <w:t>法定代表/授权代表</w:t>
      </w:r>
      <w:r>
        <w:rPr>
          <w:rFonts w:eastAsia="仿宋_GB2312"/>
          <w:b/>
          <w:sz w:val="30"/>
        </w:rPr>
        <w:tab/>
      </w:r>
      <w:r>
        <w:rPr>
          <w:rFonts w:eastAsia="仿宋_GB2312"/>
          <w:b/>
          <w:sz w:val="30"/>
        </w:rPr>
        <w:t>法定代表/授权代表</w:t>
      </w:r>
    </w:p>
    <w:p w14:paraId="63989C44">
      <w:pPr>
        <w:tabs>
          <w:tab w:val="left" w:pos="5457"/>
        </w:tabs>
        <w:ind w:left="117"/>
        <w:rPr>
          <w:rFonts w:eastAsia="仿宋_GB2312"/>
          <w:b/>
          <w:sz w:val="30"/>
        </w:rPr>
      </w:pPr>
    </w:p>
    <w:p w14:paraId="70AFC9DF">
      <w:pPr>
        <w:pStyle w:val="2"/>
        <w:ind w:left="420" w:firstLine="420"/>
        <w:rPr>
          <w:rFonts w:eastAsia="仿宋_GB2312"/>
        </w:rPr>
      </w:pPr>
    </w:p>
    <w:p w14:paraId="22E062CE">
      <w:pPr>
        <w:tabs>
          <w:tab w:val="left" w:pos="5457"/>
        </w:tabs>
        <w:ind w:left="117"/>
        <w:rPr>
          <w:rFonts w:eastAsia="仿宋_GB2312"/>
          <w:b/>
          <w:sz w:val="30"/>
        </w:rPr>
      </w:pPr>
      <w:r>
        <w:rPr>
          <w:rFonts w:eastAsia="仿宋_GB2312"/>
          <w:b/>
          <w:sz w:val="30"/>
        </w:rPr>
        <w:t>日</w:t>
      </w:r>
      <w:r>
        <w:rPr>
          <w:rFonts w:eastAsia="仿宋_GB2312"/>
          <w:b/>
          <w:spacing w:val="-4"/>
          <w:sz w:val="30"/>
        </w:rPr>
        <w:t xml:space="preserve"> </w:t>
      </w:r>
      <w:r>
        <w:rPr>
          <w:rFonts w:eastAsia="仿宋_GB2312"/>
          <w:b/>
          <w:sz w:val="30"/>
        </w:rPr>
        <w:t>期:</w:t>
      </w:r>
      <w:r>
        <w:rPr>
          <w:rFonts w:eastAsia="仿宋_GB2312"/>
          <w:b/>
          <w:sz w:val="30"/>
        </w:rPr>
        <w:tab/>
      </w:r>
      <w:r>
        <w:rPr>
          <w:rFonts w:eastAsia="仿宋_GB2312"/>
          <w:b/>
          <w:sz w:val="30"/>
        </w:rPr>
        <w:t>日 期:</w:t>
      </w:r>
    </w:p>
    <w:bookmarkEnd w:id="735"/>
    <w:p w14:paraId="153B36CE">
      <w:pPr>
        <w:adjustRightInd w:val="0"/>
        <w:snapToGrid w:val="0"/>
        <w:spacing w:line="300" w:lineRule="auto"/>
        <w:ind w:firstLine="800" w:firstLineChars="200"/>
        <w:rPr>
          <w:rFonts w:eastAsia="仿宋_GB2312"/>
          <w:sz w:val="30"/>
          <w:szCs w:val="30"/>
        </w:rPr>
      </w:pPr>
      <w:r>
        <w:rPr>
          <w:rFonts w:eastAsia="仿宋_GB2312"/>
          <w:sz w:val="40"/>
          <w:szCs w:val="21"/>
        </w:rPr>
        <w:t xml:space="preserve">            </w:t>
      </w:r>
    </w:p>
    <w:p w14:paraId="1BB238A2">
      <w:pPr>
        <w:pStyle w:val="48"/>
        <w:tabs>
          <w:tab w:val="left" w:pos="1244"/>
        </w:tabs>
        <w:adjustRightInd w:val="0"/>
        <w:spacing w:line="305" w:lineRule="auto"/>
        <w:ind w:firstLine="592"/>
        <w:rPr>
          <w:rFonts w:eastAsia="仿宋_GB2312"/>
          <w:spacing w:val="-2"/>
          <w:sz w:val="30"/>
          <w:szCs w:val="30"/>
        </w:rPr>
      </w:pPr>
    </w:p>
    <w:p w14:paraId="1F335062">
      <w:pPr>
        <w:rPr>
          <w:rFonts w:eastAsia="黑体"/>
          <w:sz w:val="32"/>
          <w:szCs w:val="32"/>
        </w:rPr>
      </w:pPr>
      <w:r>
        <w:rPr>
          <w:rFonts w:eastAsia="黑体"/>
          <w:sz w:val="32"/>
          <w:szCs w:val="32"/>
        </w:rPr>
        <w:br w:type="page"/>
      </w:r>
    </w:p>
    <w:p w14:paraId="0E9F758E">
      <w:pPr>
        <w:spacing w:before="156" w:beforeLines="50" w:after="156" w:afterLines="50" w:line="440" w:lineRule="exact"/>
        <w:jc w:val="left"/>
        <w:outlineLvl w:val="3"/>
        <w:rPr>
          <w:color w:val="000000" w:themeColor="text1"/>
          <w:sz w:val="30"/>
          <w14:textFill>
            <w14:solidFill>
              <w14:schemeClr w14:val="tx1"/>
            </w14:solidFill>
          </w14:textFill>
        </w:rPr>
      </w:pPr>
      <w:r>
        <w:rPr>
          <w:color w:val="000000" w:themeColor="text1"/>
          <w:sz w:val="30"/>
          <w14:textFill>
            <w14:solidFill>
              <w14:schemeClr w14:val="tx1"/>
            </w14:solidFill>
          </w14:textFill>
        </w:rPr>
        <w:t>附件15</w:t>
      </w:r>
      <w:r>
        <w:rPr>
          <w:rFonts w:eastAsia="仿宋_GB2312"/>
          <w:color w:val="000000" w:themeColor="text1"/>
          <w:sz w:val="30"/>
          <w:szCs w:val="30"/>
          <w14:textFill>
            <w14:solidFill>
              <w14:schemeClr w14:val="tx1"/>
            </w14:solidFill>
          </w14:textFill>
        </w:rPr>
        <w:t>：</w:t>
      </w:r>
    </w:p>
    <w:p w14:paraId="166D73AC">
      <w:pPr>
        <w:spacing w:before="156" w:beforeLines="50" w:after="156" w:afterLines="50" w:line="440" w:lineRule="exact"/>
        <w:jc w:val="center"/>
        <w:rPr>
          <w:rFonts w:eastAsia="黑体"/>
          <w:color w:val="000000" w:themeColor="text1"/>
          <w:sz w:val="32"/>
          <w14:textFill>
            <w14:solidFill>
              <w14:schemeClr w14:val="tx1"/>
            </w14:solidFill>
          </w14:textFill>
        </w:rPr>
      </w:pPr>
      <w:bookmarkStart w:id="736" w:name="_Hlk211515755"/>
      <w:r>
        <w:rPr>
          <w:rFonts w:eastAsia="黑体"/>
          <w:color w:val="000000" w:themeColor="text1"/>
          <w:sz w:val="32"/>
          <w14:textFill>
            <w14:solidFill>
              <w14:schemeClr w14:val="tx1"/>
            </w14:solidFill>
          </w14:textFill>
        </w:rPr>
        <w:t>保密协议</w:t>
      </w:r>
    </w:p>
    <w:p w14:paraId="7FFB51F7">
      <w:pPr>
        <w:spacing w:line="360" w:lineRule="auto"/>
        <w:rPr>
          <w:rFonts w:eastAsia="仿宋_GB2312"/>
          <w:sz w:val="30"/>
          <w:szCs w:val="30"/>
        </w:rPr>
      </w:pPr>
      <w:r>
        <w:rPr>
          <w:rFonts w:eastAsia="仿宋_GB2312"/>
          <w:sz w:val="30"/>
          <w:szCs w:val="30"/>
        </w:rPr>
        <w:t>本协议由以下双方于</w:t>
      </w:r>
      <w:r>
        <w:rPr>
          <w:rFonts w:eastAsia="仿宋_GB2312"/>
          <w:sz w:val="30"/>
          <w:szCs w:val="30"/>
          <w:u w:val="single"/>
        </w:rPr>
        <w:t xml:space="preserve">       </w:t>
      </w:r>
      <w:r>
        <w:rPr>
          <w:rFonts w:eastAsia="仿宋_GB2312"/>
          <w:sz w:val="30"/>
          <w:szCs w:val="30"/>
        </w:rPr>
        <w:t>共同签署：</w:t>
      </w:r>
    </w:p>
    <w:p w14:paraId="678471AE">
      <w:pPr>
        <w:spacing w:line="360" w:lineRule="auto"/>
        <w:rPr>
          <w:rFonts w:eastAsia="仿宋_GB2312"/>
          <w:sz w:val="30"/>
          <w:szCs w:val="30"/>
        </w:rPr>
      </w:pPr>
      <w:r>
        <w:rPr>
          <w:rFonts w:eastAsia="仿宋_GB2312"/>
          <w:sz w:val="30"/>
          <w:szCs w:val="30"/>
        </w:rPr>
        <w:t>甲方：中国重汽集团</w:t>
      </w:r>
      <w:r>
        <w:rPr>
          <w:rFonts w:eastAsia="仿宋_GB2312"/>
          <w:sz w:val="30"/>
          <w:szCs w:val="30"/>
          <w:u w:val="single"/>
        </w:rPr>
        <w:t xml:space="preserve">         </w:t>
      </w:r>
      <w:r>
        <w:rPr>
          <w:rFonts w:eastAsia="仿宋_GB2312"/>
          <w:sz w:val="30"/>
          <w:szCs w:val="30"/>
        </w:rPr>
        <w:t>有限公司</w:t>
      </w:r>
    </w:p>
    <w:p w14:paraId="5F0A1147">
      <w:pPr>
        <w:spacing w:line="360" w:lineRule="auto"/>
        <w:rPr>
          <w:rFonts w:eastAsia="仿宋_GB2312"/>
          <w:sz w:val="30"/>
          <w:szCs w:val="30"/>
        </w:rPr>
      </w:pPr>
      <w:r>
        <w:rPr>
          <w:rFonts w:eastAsia="仿宋_GB2312"/>
          <w:sz w:val="30"/>
          <w:szCs w:val="30"/>
        </w:rPr>
        <w:t>公司住所：</w:t>
      </w:r>
    </w:p>
    <w:p w14:paraId="2045AE4E">
      <w:pPr>
        <w:spacing w:line="360" w:lineRule="auto"/>
        <w:rPr>
          <w:rFonts w:eastAsia="仿宋_GB2312"/>
          <w:sz w:val="30"/>
          <w:szCs w:val="30"/>
        </w:rPr>
      </w:pPr>
      <w:r>
        <w:rPr>
          <w:rFonts w:eastAsia="仿宋_GB2312"/>
          <w:sz w:val="30"/>
          <w:szCs w:val="30"/>
        </w:rPr>
        <w:t xml:space="preserve">法定代表人： </w:t>
      </w:r>
    </w:p>
    <w:p w14:paraId="2FD964B7">
      <w:pPr>
        <w:spacing w:line="360" w:lineRule="auto"/>
        <w:rPr>
          <w:rFonts w:eastAsia="仿宋_GB2312"/>
          <w:sz w:val="30"/>
          <w:szCs w:val="30"/>
        </w:rPr>
      </w:pPr>
      <w:r>
        <w:rPr>
          <w:rFonts w:eastAsia="仿宋_GB2312"/>
          <w:sz w:val="30"/>
          <w:szCs w:val="30"/>
        </w:rPr>
        <w:t xml:space="preserve">乙方： </w:t>
      </w:r>
    </w:p>
    <w:p w14:paraId="41F97AB3">
      <w:pPr>
        <w:spacing w:line="360" w:lineRule="auto"/>
        <w:rPr>
          <w:rFonts w:eastAsia="仿宋_GB2312"/>
          <w:sz w:val="30"/>
          <w:szCs w:val="30"/>
        </w:rPr>
      </w:pPr>
      <w:r>
        <w:rPr>
          <w:rFonts w:eastAsia="仿宋_GB2312"/>
          <w:sz w:val="30"/>
          <w:szCs w:val="30"/>
        </w:rPr>
        <w:t>公司住所：</w:t>
      </w:r>
    </w:p>
    <w:p w14:paraId="1AE5040A">
      <w:pPr>
        <w:spacing w:line="360" w:lineRule="auto"/>
        <w:rPr>
          <w:rFonts w:eastAsia="仿宋_GB2312"/>
          <w:sz w:val="30"/>
          <w:szCs w:val="30"/>
        </w:rPr>
      </w:pPr>
      <w:r>
        <w:rPr>
          <w:rFonts w:eastAsia="仿宋_GB2312"/>
          <w:sz w:val="30"/>
          <w:szCs w:val="30"/>
        </w:rPr>
        <w:t>法定代表人：</w:t>
      </w:r>
    </w:p>
    <w:p w14:paraId="3A6719A3">
      <w:pPr>
        <w:spacing w:line="360" w:lineRule="auto"/>
        <w:ind w:firstLine="600" w:firstLineChars="200"/>
        <w:rPr>
          <w:rFonts w:eastAsia="仿宋_GB2312"/>
          <w:sz w:val="30"/>
          <w:szCs w:val="30"/>
        </w:rPr>
      </w:pPr>
      <w:r>
        <w:rPr>
          <w:rFonts w:eastAsia="仿宋_GB2312"/>
          <w:sz w:val="30"/>
          <w:szCs w:val="30"/>
        </w:rPr>
        <w:t>甲乙双方需开展</w:t>
      </w:r>
      <w:r>
        <w:rPr>
          <w:rFonts w:eastAsia="仿宋_GB2312"/>
          <w:sz w:val="30"/>
          <w:szCs w:val="30"/>
          <w:u w:val="single"/>
        </w:rPr>
        <w:t xml:space="preserve">        </w:t>
      </w:r>
      <w:r>
        <w:rPr>
          <w:rFonts w:eastAsia="仿宋_GB2312"/>
          <w:sz w:val="30"/>
          <w:szCs w:val="30"/>
        </w:rPr>
        <w:t>项目合作。出于该合作目的，甲方已经或将要向乙方提供有关项目的保密信息。经平等协商，双方自愿签订协议如下：</w:t>
      </w:r>
    </w:p>
    <w:p w14:paraId="204F43EE">
      <w:pPr>
        <w:spacing w:line="360" w:lineRule="auto"/>
        <w:ind w:firstLine="600" w:firstLineChars="200"/>
        <w:rPr>
          <w:rFonts w:eastAsia="黑体"/>
          <w:bCs/>
          <w:sz w:val="30"/>
          <w:szCs w:val="30"/>
        </w:rPr>
      </w:pPr>
      <w:r>
        <w:rPr>
          <w:rFonts w:eastAsia="黑体"/>
          <w:bCs/>
          <w:sz w:val="30"/>
          <w:szCs w:val="30"/>
        </w:rPr>
        <w:t>第一条 定义</w:t>
      </w:r>
    </w:p>
    <w:p w14:paraId="1BEDC067">
      <w:pPr>
        <w:spacing w:line="360" w:lineRule="auto"/>
        <w:ind w:firstLine="600" w:firstLineChars="200"/>
        <w:rPr>
          <w:rFonts w:eastAsia="仿宋_GB2312"/>
          <w:sz w:val="30"/>
          <w:szCs w:val="30"/>
        </w:rPr>
      </w:pPr>
      <w:r>
        <w:rPr>
          <w:rFonts w:eastAsia="仿宋_GB2312"/>
          <w:sz w:val="30"/>
          <w:szCs w:val="30"/>
        </w:rPr>
        <w:t>1、“保密信息”指甲方现在或将来向乙方提供的</w:t>
      </w:r>
      <w:r>
        <w:rPr>
          <w:rFonts w:eastAsia="仿宋_GB2312"/>
          <w:sz w:val="30"/>
          <w:szCs w:val="30"/>
          <w:lang w:val="en-GB"/>
        </w:rPr>
        <w:t>与本协议有关的任何信息和数据，包括但不限于任何类型的</w:t>
      </w:r>
      <w:r>
        <w:rPr>
          <w:rFonts w:eastAsia="仿宋_GB2312"/>
          <w:sz w:val="30"/>
          <w:szCs w:val="30"/>
        </w:rPr>
        <w:t>经营信息、技术信息</w:t>
      </w:r>
      <w:r>
        <w:rPr>
          <w:rFonts w:eastAsia="仿宋_GB2312"/>
          <w:sz w:val="30"/>
          <w:szCs w:val="30"/>
          <w:lang w:val="en-GB"/>
        </w:rPr>
        <w:t>、</w:t>
      </w:r>
      <w:r>
        <w:rPr>
          <w:rFonts w:eastAsia="仿宋_GB2312"/>
          <w:sz w:val="30"/>
          <w:szCs w:val="30"/>
        </w:rPr>
        <w:t>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w:t>
      </w:r>
    </w:p>
    <w:p w14:paraId="0AFAF913">
      <w:pPr>
        <w:spacing w:line="360" w:lineRule="auto"/>
        <w:ind w:firstLine="600" w:firstLineChars="200"/>
        <w:rPr>
          <w:rFonts w:eastAsia="仿宋_GB2312"/>
          <w:sz w:val="30"/>
          <w:szCs w:val="30"/>
        </w:rPr>
      </w:pPr>
      <w:r>
        <w:rPr>
          <w:rFonts w:eastAsia="仿宋_GB2312"/>
          <w:sz w:val="30"/>
          <w:szCs w:val="30"/>
        </w:rPr>
        <w:t>2、信息提供方：甲方</w:t>
      </w:r>
    </w:p>
    <w:p w14:paraId="59321695">
      <w:pPr>
        <w:spacing w:line="360" w:lineRule="auto"/>
        <w:ind w:firstLine="600" w:firstLineChars="200"/>
        <w:rPr>
          <w:rFonts w:eastAsia="仿宋_GB2312"/>
          <w:sz w:val="30"/>
          <w:szCs w:val="30"/>
        </w:rPr>
      </w:pPr>
      <w:r>
        <w:rPr>
          <w:rFonts w:eastAsia="仿宋_GB2312"/>
          <w:sz w:val="30"/>
          <w:szCs w:val="30"/>
        </w:rPr>
        <w:t>3、信息接受方：乙方</w:t>
      </w:r>
    </w:p>
    <w:p w14:paraId="7199334F">
      <w:pPr>
        <w:spacing w:line="360" w:lineRule="auto"/>
        <w:ind w:firstLine="600" w:firstLineChars="200"/>
        <w:rPr>
          <w:rFonts w:eastAsia="仿宋_GB2312"/>
          <w:sz w:val="30"/>
          <w:szCs w:val="30"/>
        </w:rPr>
      </w:pPr>
      <w:r>
        <w:rPr>
          <w:rFonts w:eastAsia="仿宋_GB2312"/>
          <w:sz w:val="30"/>
          <w:szCs w:val="30"/>
        </w:rPr>
        <w:t>4、第三方：指本协议双方之外的任何第三方。</w:t>
      </w:r>
    </w:p>
    <w:p w14:paraId="1D524E18">
      <w:pPr>
        <w:spacing w:line="360" w:lineRule="auto"/>
        <w:ind w:firstLine="600" w:firstLineChars="200"/>
        <w:rPr>
          <w:rFonts w:eastAsia="仿宋_GB2312"/>
          <w:sz w:val="30"/>
          <w:szCs w:val="30"/>
        </w:rPr>
      </w:pPr>
      <w:r>
        <w:rPr>
          <w:rFonts w:eastAsia="仿宋_GB2312"/>
          <w:sz w:val="30"/>
          <w:szCs w:val="30"/>
        </w:rPr>
        <w:t>5、</w:t>
      </w:r>
      <w:r>
        <w:rPr>
          <w:rFonts w:eastAsia="仿宋_GB2312"/>
          <w:sz w:val="30"/>
          <w:szCs w:val="30"/>
          <w:lang w:val="en-GB"/>
        </w:rPr>
        <w:t>关联</w:t>
      </w:r>
      <w:r>
        <w:rPr>
          <w:rFonts w:eastAsia="仿宋_GB2312"/>
          <w:sz w:val="30"/>
          <w:szCs w:val="30"/>
        </w:rPr>
        <w:t>公司</w:t>
      </w:r>
      <w:r>
        <w:rPr>
          <w:rFonts w:eastAsia="仿宋_GB2312"/>
          <w:sz w:val="30"/>
          <w:szCs w:val="30"/>
          <w:lang w:val="en-GB"/>
        </w:rPr>
        <w:t>：直接或间接控制</w:t>
      </w:r>
      <w:r>
        <w:rPr>
          <w:rFonts w:eastAsia="仿宋_GB2312"/>
          <w:sz w:val="30"/>
          <w:szCs w:val="30"/>
        </w:rPr>
        <w:t>一</w:t>
      </w:r>
      <w:r>
        <w:rPr>
          <w:rFonts w:eastAsia="仿宋_GB2312"/>
          <w:sz w:val="30"/>
          <w:szCs w:val="30"/>
          <w:lang w:val="en-GB"/>
        </w:rPr>
        <w:t>方，或者受控于</w:t>
      </w:r>
      <w:r>
        <w:rPr>
          <w:rFonts w:eastAsia="仿宋_GB2312"/>
          <w:sz w:val="30"/>
          <w:szCs w:val="30"/>
        </w:rPr>
        <w:t>该</w:t>
      </w:r>
      <w:r>
        <w:rPr>
          <w:rFonts w:eastAsia="仿宋_GB2312"/>
          <w:sz w:val="30"/>
          <w:szCs w:val="30"/>
          <w:lang w:val="en-GB"/>
        </w:rPr>
        <w:t>方，或者与</w:t>
      </w:r>
      <w:r>
        <w:rPr>
          <w:rFonts w:eastAsia="仿宋_GB2312"/>
          <w:sz w:val="30"/>
          <w:szCs w:val="30"/>
        </w:rPr>
        <w:t>该</w:t>
      </w:r>
      <w:r>
        <w:rPr>
          <w:rFonts w:eastAsia="仿宋_GB2312"/>
          <w:sz w:val="30"/>
          <w:szCs w:val="30"/>
          <w:lang w:val="en-GB"/>
        </w:rPr>
        <w:t>方共同处于控制之下的任何</w:t>
      </w:r>
      <w:r>
        <w:rPr>
          <w:rFonts w:eastAsia="仿宋_GB2312"/>
          <w:sz w:val="30"/>
          <w:szCs w:val="30"/>
        </w:rPr>
        <w:t>第三方。</w:t>
      </w:r>
    </w:p>
    <w:p w14:paraId="798AB3E0">
      <w:pPr>
        <w:spacing w:line="360" w:lineRule="auto"/>
        <w:ind w:firstLine="600" w:firstLineChars="200"/>
        <w:rPr>
          <w:rFonts w:eastAsia="黑体"/>
          <w:bCs/>
          <w:sz w:val="30"/>
          <w:szCs w:val="30"/>
        </w:rPr>
      </w:pPr>
      <w:r>
        <w:rPr>
          <w:rFonts w:eastAsia="黑体"/>
          <w:bCs/>
          <w:sz w:val="30"/>
          <w:szCs w:val="30"/>
        </w:rPr>
        <w:t>第二条 保密信息的提供</w:t>
      </w:r>
    </w:p>
    <w:p w14:paraId="59238B50">
      <w:pPr>
        <w:spacing w:line="360" w:lineRule="auto"/>
        <w:ind w:firstLine="600" w:firstLineChars="200"/>
        <w:rPr>
          <w:rFonts w:eastAsia="仿宋_GB2312"/>
          <w:sz w:val="30"/>
          <w:szCs w:val="30"/>
        </w:rPr>
      </w:pPr>
      <w:r>
        <w:rPr>
          <w:rFonts w:eastAsia="仿宋_GB2312"/>
          <w:sz w:val="30"/>
          <w:szCs w:val="30"/>
        </w:rPr>
        <w:t>1、本协议所述之保密信息均由协议双方为洽谈合作事项之目的而提供。</w:t>
      </w:r>
    </w:p>
    <w:p w14:paraId="43A46E7A">
      <w:pPr>
        <w:spacing w:line="360" w:lineRule="auto"/>
        <w:ind w:firstLine="600" w:firstLineChars="200"/>
        <w:rPr>
          <w:rFonts w:eastAsia="仿宋_GB2312"/>
          <w:sz w:val="30"/>
          <w:szCs w:val="30"/>
        </w:rPr>
      </w:pPr>
      <w:r>
        <w:rPr>
          <w:rFonts w:eastAsia="仿宋_GB2312"/>
          <w:sz w:val="30"/>
          <w:szCs w:val="30"/>
        </w:rPr>
        <w:t>2、保密信息的所有权及知识产权归属于甲方或甲方具有合法来源。</w:t>
      </w:r>
    </w:p>
    <w:p w14:paraId="162F262C">
      <w:pPr>
        <w:spacing w:line="360" w:lineRule="auto"/>
        <w:ind w:firstLine="600" w:firstLineChars="200"/>
        <w:rPr>
          <w:rFonts w:eastAsia="仿宋_GB2312"/>
          <w:sz w:val="30"/>
          <w:szCs w:val="30"/>
        </w:rPr>
      </w:pPr>
      <w:r>
        <w:rPr>
          <w:rFonts w:eastAsia="仿宋_GB2312"/>
          <w:sz w:val="30"/>
          <w:szCs w:val="30"/>
        </w:rPr>
        <w:t>3、本协议任何条款均不视为将保密信息的所有权和其他权利转让给乙方。</w:t>
      </w:r>
    </w:p>
    <w:p w14:paraId="29D83662">
      <w:pPr>
        <w:spacing w:line="360" w:lineRule="auto"/>
        <w:ind w:firstLine="600" w:firstLineChars="200"/>
        <w:rPr>
          <w:rFonts w:eastAsia="黑体"/>
          <w:bCs/>
          <w:sz w:val="30"/>
          <w:szCs w:val="30"/>
        </w:rPr>
      </w:pPr>
      <w:r>
        <w:rPr>
          <w:rFonts w:eastAsia="黑体"/>
          <w:bCs/>
          <w:sz w:val="30"/>
          <w:szCs w:val="30"/>
        </w:rPr>
        <w:t>第三条 保密义务</w:t>
      </w:r>
    </w:p>
    <w:p w14:paraId="66AB239E">
      <w:pPr>
        <w:spacing w:line="360" w:lineRule="auto"/>
        <w:ind w:firstLine="600" w:firstLineChars="200"/>
        <w:rPr>
          <w:rFonts w:eastAsia="仿宋_GB2312"/>
          <w:sz w:val="30"/>
          <w:szCs w:val="30"/>
        </w:rPr>
      </w:pPr>
      <w:r>
        <w:rPr>
          <w:rFonts w:eastAsia="仿宋_GB2312"/>
          <w:sz w:val="30"/>
          <w:szCs w:val="30"/>
        </w:rPr>
        <w:t>1、乙方仅能将甲方提供的保密信息用于本协议所约定的项目并承担保密义务。</w:t>
      </w:r>
    </w:p>
    <w:p w14:paraId="4E825251">
      <w:pPr>
        <w:spacing w:line="360" w:lineRule="auto"/>
        <w:ind w:firstLine="600" w:firstLineChars="200"/>
        <w:rPr>
          <w:rFonts w:eastAsia="仿宋_GB2312"/>
          <w:sz w:val="30"/>
          <w:szCs w:val="30"/>
        </w:rPr>
      </w:pPr>
      <w:r>
        <w:rPr>
          <w:rFonts w:eastAsia="仿宋_GB2312"/>
          <w:sz w:val="30"/>
          <w:szCs w:val="30"/>
        </w:rPr>
        <w:t>2、乙方将采取有效措施使用甲方提供的保密信息，只将该等保密信息提供给本方负责决策或实施合作事项的具体参与人员，乙方及其相关人员不得以任何方式或形式散布、披露或传播给该范围以外的人（包括乙方关联机构），也不得允许任何保密信息被泄漏、被披露、被交流。</w:t>
      </w:r>
    </w:p>
    <w:p w14:paraId="789CD92B">
      <w:pPr>
        <w:spacing w:line="360" w:lineRule="auto"/>
        <w:ind w:firstLine="600" w:firstLineChars="200"/>
        <w:rPr>
          <w:rFonts w:eastAsia="仿宋_GB2312"/>
          <w:sz w:val="30"/>
          <w:szCs w:val="30"/>
        </w:rPr>
      </w:pPr>
      <w:r>
        <w:rPr>
          <w:rFonts w:eastAsia="仿宋_GB2312"/>
          <w:sz w:val="30"/>
          <w:szCs w:val="30"/>
        </w:rPr>
        <w:t>3、如果乙方为项目需要，而不得不向该第三方披露保密信息，则乙方应事先从甲方得到书面同意。乙方应在披露保密信息之前，按照与本协议相同的保护程度与该第三方签署一份保密协议。若上述第三方（包括其股东、高管、雇员）发生泄密，乙方应与该第三方承担连带责任。</w:t>
      </w:r>
    </w:p>
    <w:p w14:paraId="34444E78">
      <w:pPr>
        <w:spacing w:line="360" w:lineRule="auto"/>
        <w:ind w:firstLine="600" w:firstLineChars="200"/>
        <w:rPr>
          <w:rFonts w:eastAsia="仿宋_GB2312"/>
          <w:sz w:val="30"/>
          <w:szCs w:val="30"/>
        </w:rPr>
      </w:pPr>
      <w:r>
        <w:rPr>
          <w:rFonts w:eastAsia="仿宋_GB2312"/>
          <w:sz w:val="30"/>
          <w:szCs w:val="30"/>
        </w:rPr>
        <w:t xml:space="preserve">4、如乙方得悉甲方的任何保密信息遭侵犯或疑似侵权，乙方应立即通知甲方。如果甲方决定就侵权行为进行起诉，或以其他方式停止或阻止该实际或可能发生的侵权行为，乙方尽最大限度予以协助。 </w:t>
      </w:r>
    </w:p>
    <w:p w14:paraId="3B831135">
      <w:pPr>
        <w:spacing w:line="360" w:lineRule="auto"/>
        <w:ind w:firstLine="600" w:firstLineChars="200"/>
        <w:rPr>
          <w:rFonts w:eastAsia="仿宋_GB2312"/>
          <w:sz w:val="30"/>
          <w:szCs w:val="30"/>
        </w:rPr>
      </w:pPr>
      <w:r>
        <w:rPr>
          <w:rFonts w:eastAsia="仿宋_GB2312"/>
          <w:sz w:val="30"/>
          <w:szCs w:val="30"/>
        </w:rPr>
        <w:t>5、乙方不得在世界任何地方就保密信息进行升级、变更和/或改进，亦不得直接或间接提交或促使提交专利或著作权或其它权利的申请，也不得以其名义取得或促使以其他人名义取得任何专利或其它权利注册。</w:t>
      </w:r>
    </w:p>
    <w:p w14:paraId="2E380043">
      <w:pPr>
        <w:spacing w:line="360" w:lineRule="auto"/>
        <w:ind w:firstLine="600" w:firstLineChars="200"/>
        <w:rPr>
          <w:rFonts w:eastAsia="仿宋_GB2312"/>
          <w:sz w:val="30"/>
          <w:szCs w:val="30"/>
        </w:rPr>
      </w:pPr>
      <w:r>
        <w:rPr>
          <w:rFonts w:eastAsia="仿宋_GB2312"/>
          <w:sz w:val="30"/>
          <w:szCs w:val="30"/>
        </w:rPr>
        <w:t xml:space="preserve">6、乙方应遵从甲方不时发出的有关使用、处理和保管保密信息的任何指令或政策，并按照甲方的要求将本协议项下保密信息的使用情况向甲方汇报。 </w:t>
      </w:r>
    </w:p>
    <w:p w14:paraId="356ED44C">
      <w:pPr>
        <w:spacing w:line="360" w:lineRule="auto"/>
        <w:ind w:firstLine="600" w:firstLineChars="200"/>
        <w:rPr>
          <w:rFonts w:eastAsia="仿宋_GB2312"/>
          <w:sz w:val="30"/>
          <w:szCs w:val="30"/>
        </w:rPr>
      </w:pPr>
      <w:r>
        <w:rPr>
          <w:rFonts w:eastAsia="仿宋_GB2312"/>
          <w:sz w:val="30"/>
          <w:szCs w:val="30"/>
        </w:rPr>
        <w:t>7、乙方不得为第三方利益使用保密信息，不得非为实现双方合作目的使用保密信息，不得对保密信息采取任何反向工程、反向编译或反向分解等行为。</w:t>
      </w:r>
    </w:p>
    <w:p w14:paraId="77D325CC">
      <w:pPr>
        <w:spacing w:line="360" w:lineRule="auto"/>
        <w:ind w:firstLine="600" w:firstLineChars="200"/>
        <w:rPr>
          <w:rFonts w:eastAsia="仿宋_GB2312"/>
          <w:sz w:val="30"/>
          <w:szCs w:val="30"/>
          <w:highlight w:val="yellow"/>
        </w:rPr>
      </w:pPr>
      <w:r>
        <w:rPr>
          <w:rFonts w:eastAsia="仿宋_GB2312"/>
          <w:sz w:val="30"/>
          <w:szCs w:val="30"/>
        </w:rPr>
        <w:t>8、双方合作期间形成的与本协议有关的任何信息和数据受本协议约束。</w:t>
      </w:r>
    </w:p>
    <w:p w14:paraId="7A5DFA2B">
      <w:pPr>
        <w:tabs>
          <w:tab w:val="left" w:pos="567"/>
        </w:tabs>
        <w:spacing w:line="360" w:lineRule="auto"/>
        <w:ind w:firstLine="600" w:firstLineChars="200"/>
        <w:rPr>
          <w:rFonts w:eastAsia="仿宋_GB2312"/>
          <w:sz w:val="30"/>
          <w:szCs w:val="30"/>
          <w:lang w:val="en-GB"/>
        </w:rPr>
      </w:pPr>
      <w:r>
        <w:rPr>
          <w:rFonts w:eastAsia="仿宋_GB2312"/>
          <w:sz w:val="30"/>
          <w:szCs w:val="30"/>
          <w:lang w:val="en-GB"/>
        </w:rPr>
        <w:t>在本协议签订后，</w:t>
      </w:r>
      <w:r>
        <w:rPr>
          <w:rFonts w:eastAsia="仿宋_GB2312"/>
          <w:sz w:val="30"/>
          <w:szCs w:val="30"/>
        </w:rPr>
        <w:t>甲方仅将保密信息向乙</w:t>
      </w:r>
      <w:r>
        <w:rPr>
          <w:rFonts w:eastAsia="仿宋_GB2312"/>
          <w:sz w:val="30"/>
          <w:szCs w:val="30"/>
          <w:lang w:val="en-GB"/>
        </w:rPr>
        <w:t>方</w:t>
      </w:r>
      <w:r>
        <w:rPr>
          <w:rFonts w:eastAsia="仿宋_GB2312"/>
          <w:sz w:val="30"/>
          <w:szCs w:val="30"/>
        </w:rPr>
        <w:t>指定联系人</w:t>
      </w:r>
      <w:bookmarkStart w:id="737" w:name="OLE_LINK3"/>
      <w:bookmarkStart w:id="738" w:name="OLE_LINK2"/>
      <w:r>
        <w:rPr>
          <w:rFonts w:eastAsia="仿宋_GB2312"/>
          <w:sz w:val="30"/>
          <w:szCs w:val="30"/>
        </w:rPr>
        <w:t>：</w:t>
      </w:r>
      <w:bookmarkStart w:id="739" w:name="OLE_LINK1"/>
      <w:r>
        <w:rPr>
          <w:rFonts w:eastAsia="仿宋_GB2312"/>
          <w:sz w:val="30"/>
          <w:szCs w:val="30"/>
          <w:u w:val="single"/>
        </w:rPr>
        <w:t xml:space="preserve">   </w:t>
      </w:r>
      <w:bookmarkEnd w:id="737"/>
      <w:r>
        <w:rPr>
          <w:rFonts w:eastAsia="仿宋_GB2312"/>
          <w:sz w:val="30"/>
          <w:szCs w:val="30"/>
          <w:u w:val="single"/>
        </w:rPr>
        <w:t xml:space="preserve"> </w:t>
      </w:r>
      <w:bookmarkEnd w:id="738"/>
      <w:r>
        <w:rPr>
          <w:rFonts w:eastAsia="仿宋_GB2312"/>
          <w:sz w:val="30"/>
          <w:szCs w:val="30"/>
          <w:u w:val="single"/>
        </w:rPr>
        <w:t xml:space="preserve"> </w:t>
      </w:r>
      <w:bookmarkEnd w:id="739"/>
      <w:r>
        <w:rPr>
          <w:rFonts w:eastAsia="仿宋_GB2312"/>
          <w:sz w:val="30"/>
          <w:szCs w:val="30"/>
        </w:rPr>
        <w:t>进行披露，如乙方联系人发生变更，应立即书面通知甲方并做出新的授权。</w:t>
      </w:r>
    </w:p>
    <w:p w14:paraId="02533597">
      <w:pPr>
        <w:spacing w:line="360" w:lineRule="auto"/>
        <w:ind w:firstLine="600" w:firstLineChars="200"/>
        <w:rPr>
          <w:rFonts w:eastAsia="黑体"/>
          <w:bCs/>
          <w:sz w:val="30"/>
          <w:szCs w:val="30"/>
        </w:rPr>
      </w:pPr>
      <w:r>
        <w:rPr>
          <w:rFonts w:eastAsia="黑体"/>
          <w:bCs/>
          <w:sz w:val="30"/>
          <w:szCs w:val="30"/>
        </w:rPr>
        <w:t>第四条 保密义务的例外</w:t>
      </w:r>
    </w:p>
    <w:p w14:paraId="4D3B9FF8">
      <w:pPr>
        <w:spacing w:line="360" w:lineRule="auto"/>
        <w:ind w:firstLine="600" w:firstLineChars="200"/>
        <w:rPr>
          <w:rFonts w:eastAsia="仿宋_GB2312"/>
          <w:sz w:val="30"/>
          <w:szCs w:val="30"/>
          <w:lang w:val="en-GB"/>
        </w:rPr>
      </w:pPr>
      <w:r>
        <w:rPr>
          <w:rFonts w:eastAsia="仿宋_GB2312"/>
          <w:sz w:val="30"/>
          <w:szCs w:val="30"/>
        </w:rPr>
        <w:t>1、</w:t>
      </w:r>
      <w:r>
        <w:rPr>
          <w:rFonts w:eastAsia="仿宋_GB2312"/>
          <w:sz w:val="30"/>
          <w:szCs w:val="30"/>
          <w:lang w:val="en-GB"/>
        </w:rPr>
        <w:t>根据有关法律或有管辖权的法院、仲裁机构、交易所或政府机构</w:t>
      </w:r>
      <w:r>
        <w:rPr>
          <w:rFonts w:eastAsia="仿宋_GB2312"/>
          <w:sz w:val="30"/>
          <w:szCs w:val="30"/>
        </w:rPr>
        <w:t>的</w:t>
      </w:r>
      <w:r>
        <w:rPr>
          <w:rFonts w:eastAsia="仿宋_GB2312"/>
          <w:sz w:val="30"/>
          <w:szCs w:val="30"/>
          <w:lang w:val="en-GB"/>
        </w:rPr>
        <w:t>要求而披露保密信息。</w:t>
      </w:r>
    </w:p>
    <w:p w14:paraId="0374DD31">
      <w:pPr>
        <w:spacing w:line="360" w:lineRule="auto"/>
        <w:ind w:firstLine="600" w:firstLineChars="200"/>
        <w:rPr>
          <w:rFonts w:eastAsia="仿宋_GB2312"/>
          <w:sz w:val="30"/>
          <w:szCs w:val="30"/>
        </w:rPr>
      </w:pPr>
      <w:r>
        <w:rPr>
          <w:rFonts w:eastAsia="仿宋_GB2312"/>
          <w:sz w:val="30"/>
          <w:szCs w:val="30"/>
        </w:rPr>
        <w:t>2、事先取得甲方书面同意而公开的信息。</w:t>
      </w:r>
    </w:p>
    <w:p w14:paraId="35566117">
      <w:pPr>
        <w:spacing w:line="360" w:lineRule="auto"/>
        <w:ind w:firstLine="600" w:firstLineChars="200"/>
        <w:rPr>
          <w:rFonts w:eastAsia="仿宋_GB2312"/>
          <w:sz w:val="30"/>
          <w:szCs w:val="30"/>
        </w:rPr>
      </w:pPr>
      <w:r>
        <w:rPr>
          <w:rFonts w:eastAsia="仿宋_GB2312"/>
          <w:sz w:val="30"/>
          <w:szCs w:val="30"/>
        </w:rPr>
        <w:t>披露该等保密信息之前，乙方应当立即通知甲方，并提供有关该等命令的通知，协同甲方采取有效措施防范风险。</w:t>
      </w:r>
    </w:p>
    <w:p w14:paraId="4DD78359">
      <w:pPr>
        <w:spacing w:line="360" w:lineRule="auto"/>
        <w:ind w:firstLine="600" w:firstLineChars="200"/>
        <w:rPr>
          <w:rFonts w:eastAsia="黑体"/>
          <w:bCs/>
          <w:sz w:val="30"/>
          <w:szCs w:val="30"/>
        </w:rPr>
      </w:pPr>
      <w:r>
        <w:rPr>
          <w:rFonts w:eastAsia="黑体"/>
          <w:bCs/>
          <w:sz w:val="30"/>
          <w:szCs w:val="30"/>
        </w:rPr>
        <w:t>第五条 保密信息的返还</w:t>
      </w:r>
    </w:p>
    <w:p w14:paraId="5FD6DEEC">
      <w:pPr>
        <w:tabs>
          <w:tab w:val="left" w:pos="990"/>
        </w:tabs>
        <w:spacing w:line="360" w:lineRule="auto"/>
        <w:ind w:firstLine="600" w:firstLineChars="200"/>
        <w:rPr>
          <w:rFonts w:eastAsia="仿宋_GB2312"/>
          <w:sz w:val="30"/>
          <w:szCs w:val="30"/>
        </w:rPr>
      </w:pPr>
      <w:r>
        <w:rPr>
          <w:rFonts w:eastAsia="仿宋_GB2312"/>
          <w:sz w:val="30"/>
          <w:szCs w:val="30"/>
        </w:rPr>
        <w:t>根据甲方要求或乙方违约时</w:t>
      </w:r>
      <w:r>
        <w:rPr>
          <w:rFonts w:eastAsia="仿宋_GB2312"/>
          <w:sz w:val="30"/>
          <w:szCs w:val="30"/>
          <w:lang w:val="en-GB"/>
        </w:rPr>
        <w:t>，</w:t>
      </w:r>
      <w:r>
        <w:rPr>
          <w:rFonts w:eastAsia="仿宋_GB2312"/>
          <w:sz w:val="30"/>
          <w:szCs w:val="30"/>
        </w:rPr>
        <w:t>乙方应</w:t>
      </w:r>
      <w:r>
        <w:rPr>
          <w:rFonts w:eastAsia="仿宋_GB2312"/>
          <w:sz w:val="30"/>
          <w:szCs w:val="30"/>
          <w:lang w:val="en-GB"/>
        </w:rPr>
        <w:t>立即</w:t>
      </w:r>
      <w:r>
        <w:rPr>
          <w:rFonts w:eastAsia="仿宋_GB2312"/>
          <w:sz w:val="30"/>
          <w:szCs w:val="30"/>
        </w:rPr>
        <w:t>在甲方要求的时间内</w:t>
      </w:r>
      <w:r>
        <w:rPr>
          <w:rFonts w:eastAsia="仿宋_GB2312"/>
          <w:sz w:val="30"/>
          <w:szCs w:val="30"/>
          <w:lang w:val="en-GB"/>
        </w:rPr>
        <w:t>向甲方返还所有保密信息并不得保存副本，</w:t>
      </w:r>
      <w:r>
        <w:rPr>
          <w:rFonts w:eastAsia="仿宋_GB2312"/>
          <w:sz w:val="30"/>
          <w:szCs w:val="30"/>
        </w:rPr>
        <w:t>包括但不限于储存于</w:t>
      </w:r>
      <w:r>
        <w:rPr>
          <w:rFonts w:eastAsia="仿宋_GB2312"/>
          <w:sz w:val="30"/>
          <w:szCs w:val="30"/>
          <w:lang w:val="en-GB"/>
        </w:rPr>
        <w:t>计算机磁盘、CD-ROM驱动、CD-ROM、硬盘、软件或任何纸质媒介的材料</w:t>
      </w:r>
      <w:r>
        <w:rPr>
          <w:rFonts w:eastAsia="仿宋_GB2312"/>
          <w:sz w:val="30"/>
          <w:szCs w:val="30"/>
        </w:rPr>
        <w:t>及其</w:t>
      </w:r>
      <w:r>
        <w:rPr>
          <w:rFonts w:eastAsia="仿宋_GB2312"/>
          <w:sz w:val="30"/>
          <w:szCs w:val="30"/>
          <w:lang w:val="en-GB"/>
        </w:rPr>
        <w:t>备份。</w:t>
      </w:r>
      <w:r>
        <w:rPr>
          <w:rFonts w:eastAsia="仿宋_GB2312"/>
          <w:sz w:val="30"/>
          <w:szCs w:val="30"/>
        </w:rPr>
        <w:t>因</w:t>
      </w:r>
      <w:r>
        <w:rPr>
          <w:rFonts w:eastAsia="仿宋_GB2312"/>
          <w:sz w:val="30"/>
          <w:szCs w:val="30"/>
          <w:lang w:val="en-GB"/>
        </w:rPr>
        <w:t>保密信息载体及保密信息介质的特性导致客观上无法返还甲方的，乙方应当于甲方要求的时间内将载有保密信息的载体或介质销毁，或对其进行处理使其不具有保密信息保存和传递功能，以达到乙方不保存任何保密信息的目的，</w:t>
      </w:r>
      <w:r>
        <w:rPr>
          <w:rFonts w:eastAsia="仿宋_GB2312"/>
          <w:sz w:val="30"/>
          <w:szCs w:val="30"/>
        </w:rPr>
        <w:t>同时乙方应</w:t>
      </w:r>
      <w:r>
        <w:rPr>
          <w:rFonts w:eastAsia="仿宋_GB2312"/>
          <w:sz w:val="30"/>
          <w:szCs w:val="30"/>
          <w:lang w:val="en-GB"/>
        </w:rPr>
        <w:t>向</w:t>
      </w:r>
      <w:r>
        <w:rPr>
          <w:rFonts w:eastAsia="仿宋_GB2312"/>
          <w:sz w:val="30"/>
          <w:szCs w:val="30"/>
        </w:rPr>
        <w:t>甲</w:t>
      </w:r>
      <w:r>
        <w:rPr>
          <w:rFonts w:eastAsia="仿宋_GB2312"/>
          <w:sz w:val="30"/>
          <w:szCs w:val="30"/>
          <w:lang w:val="en-GB"/>
        </w:rPr>
        <w:t>方出具已经归还或销毁</w:t>
      </w:r>
      <w:r>
        <w:rPr>
          <w:rFonts w:eastAsia="仿宋_GB2312"/>
          <w:sz w:val="30"/>
          <w:szCs w:val="30"/>
        </w:rPr>
        <w:t>全部</w:t>
      </w:r>
      <w:r>
        <w:rPr>
          <w:rFonts w:eastAsia="仿宋_GB2312"/>
          <w:sz w:val="30"/>
          <w:szCs w:val="30"/>
          <w:lang w:val="en-GB"/>
        </w:rPr>
        <w:t>材料的书面</w:t>
      </w:r>
      <w:r>
        <w:rPr>
          <w:rFonts w:eastAsia="仿宋_GB2312"/>
          <w:sz w:val="30"/>
          <w:szCs w:val="30"/>
        </w:rPr>
        <w:t>承诺。</w:t>
      </w:r>
    </w:p>
    <w:p w14:paraId="5132EBA9">
      <w:pPr>
        <w:spacing w:line="360" w:lineRule="auto"/>
        <w:ind w:firstLine="600" w:firstLineChars="200"/>
        <w:rPr>
          <w:rFonts w:eastAsia="黑体"/>
          <w:bCs/>
          <w:sz w:val="30"/>
          <w:szCs w:val="30"/>
        </w:rPr>
      </w:pPr>
      <w:r>
        <w:rPr>
          <w:rFonts w:eastAsia="黑体"/>
          <w:bCs/>
          <w:sz w:val="30"/>
          <w:szCs w:val="30"/>
        </w:rPr>
        <w:t>第六条 保密期限</w:t>
      </w:r>
    </w:p>
    <w:p w14:paraId="298789C3">
      <w:pPr>
        <w:spacing w:line="360" w:lineRule="auto"/>
        <w:ind w:firstLine="600" w:firstLineChars="200"/>
        <w:rPr>
          <w:rFonts w:eastAsia="仿宋_GB2312"/>
          <w:sz w:val="30"/>
          <w:szCs w:val="30"/>
        </w:rPr>
      </w:pPr>
      <w:r>
        <w:rPr>
          <w:rFonts w:eastAsia="仿宋_GB2312"/>
          <w:sz w:val="30"/>
          <w:szCs w:val="30"/>
        </w:rPr>
        <w:t>除本协议双方另有约定外，本协议的保密期限自甲方提供保密信息之日起至本协议所述保密信息向公众披露或为公众所知悉之日止。</w:t>
      </w:r>
    </w:p>
    <w:p w14:paraId="4FBCCFBC">
      <w:pPr>
        <w:spacing w:line="360" w:lineRule="auto"/>
        <w:ind w:firstLine="600" w:firstLineChars="200"/>
        <w:rPr>
          <w:rFonts w:eastAsia="黑体"/>
          <w:bCs/>
          <w:sz w:val="30"/>
          <w:szCs w:val="30"/>
        </w:rPr>
      </w:pPr>
      <w:r>
        <w:rPr>
          <w:rFonts w:eastAsia="黑体"/>
          <w:bCs/>
          <w:sz w:val="30"/>
          <w:szCs w:val="30"/>
        </w:rPr>
        <w:t>第七条 违约责任</w:t>
      </w:r>
    </w:p>
    <w:p w14:paraId="197A4D98">
      <w:pPr>
        <w:spacing w:line="360" w:lineRule="auto"/>
        <w:ind w:firstLine="600" w:firstLineChars="200"/>
        <w:rPr>
          <w:rFonts w:eastAsia="仿宋_GB2312"/>
          <w:sz w:val="30"/>
          <w:szCs w:val="30"/>
        </w:rPr>
      </w:pPr>
      <w:r>
        <w:rPr>
          <w:rFonts w:eastAsia="仿宋_GB2312"/>
          <w:sz w:val="30"/>
          <w:szCs w:val="30"/>
        </w:rPr>
        <w:t xml:space="preserve">1、如乙方违反本协议约定，应立即停止使用保密信息。如果乙方董事、监事 、高级管理人员、员工、股东、关联机构、代理、顾问、参与项目谈判的人员以及其他利益相关人的行为与本协议相违背，均视为乙方违反本协议。 </w:t>
      </w:r>
    </w:p>
    <w:p w14:paraId="03FF8216">
      <w:pPr>
        <w:spacing w:line="360" w:lineRule="auto"/>
        <w:ind w:firstLine="600" w:firstLineChars="200"/>
        <w:rPr>
          <w:rFonts w:eastAsia="仿宋_GB2312"/>
          <w:sz w:val="30"/>
          <w:szCs w:val="30"/>
        </w:rPr>
      </w:pPr>
      <w:r>
        <w:rPr>
          <w:rFonts w:eastAsia="仿宋_GB2312"/>
          <w:sz w:val="30"/>
          <w:szCs w:val="30"/>
        </w:rPr>
        <w:t>2、双方确认，基于保密信息的性质，乙方任何违反本协议的行为将对甲方造成不可弥补的损害，乙方（包括乙方董事、监事 、高级管理人员、员工、股东、关联机构、代理、顾问、参与项目谈判的人员以及其他利益相关人），应当对于因违反本协议而给甲方及甲方关联公司造成的全部损失承担赔偿责任及可期待的商业利益损失。</w:t>
      </w:r>
    </w:p>
    <w:p w14:paraId="7C2E2C81">
      <w:pPr>
        <w:spacing w:line="360" w:lineRule="auto"/>
        <w:ind w:firstLine="600" w:firstLineChars="200"/>
        <w:rPr>
          <w:rFonts w:eastAsia="仿宋_GB2312"/>
          <w:sz w:val="30"/>
          <w:szCs w:val="30"/>
        </w:rPr>
      </w:pPr>
      <w:r>
        <w:rPr>
          <w:rFonts w:eastAsia="仿宋_GB2312"/>
          <w:sz w:val="30"/>
          <w:szCs w:val="30"/>
        </w:rPr>
        <w:t>3、在各种情况下，双方一致认为甲方的损失均应被视为最少不低于</w:t>
      </w:r>
      <w:r>
        <w:rPr>
          <w:rFonts w:eastAsia="仿宋_GB2312"/>
          <w:sz w:val="30"/>
          <w:szCs w:val="30"/>
          <w:u w:val="single"/>
        </w:rPr>
        <w:t xml:space="preserve">    </w:t>
      </w:r>
      <w:r>
        <w:rPr>
          <w:rFonts w:eastAsia="仿宋_GB2312"/>
          <w:sz w:val="30"/>
          <w:szCs w:val="30"/>
        </w:rPr>
        <w:t xml:space="preserve">万元。 </w:t>
      </w:r>
    </w:p>
    <w:p w14:paraId="126E38A4">
      <w:pPr>
        <w:spacing w:line="360" w:lineRule="auto"/>
        <w:ind w:firstLine="600" w:firstLineChars="200"/>
        <w:rPr>
          <w:rFonts w:eastAsia="仿宋_GB2312"/>
          <w:sz w:val="30"/>
          <w:szCs w:val="30"/>
        </w:rPr>
      </w:pPr>
      <w:r>
        <w:rPr>
          <w:rFonts w:eastAsia="仿宋_GB2312"/>
          <w:sz w:val="30"/>
          <w:szCs w:val="30"/>
        </w:rPr>
        <w:t>4、如乙方违反第三条第5项的约定提交了申请或取得专利或著作权或其他权利注册，则乙方除应按本协议的约定承担违约责任外，还应根据甲方要求，毫不延迟地将该等申请、注册的权利无偿转让给甲方。该等转让或变更涉及所有费用由乙方承担。</w:t>
      </w:r>
    </w:p>
    <w:p w14:paraId="297FB516">
      <w:pPr>
        <w:spacing w:line="360" w:lineRule="auto"/>
        <w:ind w:firstLine="600" w:firstLineChars="200"/>
        <w:rPr>
          <w:rFonts w:eastAsia="仿宋_GB2312"/>
          <w:sz w:val="30"/>
          <w:szCs w:val="30"/>
        </w:rPr>
      </w:pPr>
      <w:r>
        <w:rPr>
          <w:rFonts w:eastAsia="仿宋_GB2312"/>
          <w:sz w:val="30"/>
          <w:szCs w:val="30"/>
        </w:rPr>
        <w:t>5、如果乙方违反本合同约定（含附件，如有）的，除应按本合同约定赔偿损失及违约金外，还应赔偿包括但不限于甲方因此支出的或预计支付的诉讼费、保全申请费、保全保险费、鉴定费、评估费、司法审计费、拍卖费、律师费等一切费用。</w:t>
      </w:r>
    </w:p>
    <w:p w14:paraId="2352C7BD">
      <w:pPr>
        <w:spacing w:line="360" w:lineRule="auto"/>
        <w:ind w:firstLine="600" w:firstLineChars="200"/>
        <w:rPr>
          <w:rFonts w:eastAsia="黑体"/>
          <w:bCs/>
          <w:sz w:val="30"/>
          <w:szCs w:val="30"/>
        </w:rPr>
      </w:pPr>
      <w:r>
        <w:rPr>
          <w:rFonts w:eastAsia="黑体"/>
          <w:bCs/>
          <w:sz w:val="30"/>
          <w:szCs w:val="30"/>
        </w:rPr>
        <w:t>第八条 适用法律及争议的解决</w:t>
      </w:r>
    </w:p>
    <w:p w14:paraId="39C560B9">
      <w:pPr>
        <w:tabs>
          <w:tab w:val="left" w:pos="567"/>
        </w:tabs>
        <w:spacing w:line="360" w:lineRule="auto"/>
        <w:ind w:firstLine="600" w:firstLineChars="200"/>
        <w:rPr>
          <w:rFonts w:eastAsia="仿宋_GB2312"/>
          <w:sz w:val="30"/>
          <w:szCs w:val="30"/>
          <w:lang w:val="en-GB"/>
        </w:rPr>
      </w:pPr>
      <w:r>
        <w:rPr>
          <w:rFonts w:eastAsia="仿宋_GB2312"/>
          <w:sz w:val="30"/>
          <w:szCs w:val="30"/>
          <w:lang w:val="en-GB"/>
        </w:rPr>
        <w:t>本协议受中国现行</w:t>
      </w:r>
      <w:r>
        <w:rPr>
          <w:rFonts w:eastAsia="仿宋_GB2312"/>
          <w:sz w:val="30"/>
          <w:szCs w:val="30"/>
        </w:rPr>
        <w:t>有效的法律</w:t>
      </w:r>
      <w:r>
        <w:rPr>
          <w:rFonts w:eastAsia="仿宋_GB2312"/>
          <w:sz w:val="30"/>
          <w:szCs w:val="30"/>
          <w:lang w:val="en-GB"/>
        </w:rPr>
        <w:t>管辖，因本协议引起的或与本协议有关的任何争议，应由双方先行协商解决，协商不成的，由甲方所在地法院诉讼解决。</w:t>
      </w:r>
    </w:p>
    <w:p w14:paraId="641C627C">
      <w:pPr>
        <w:spacing w:line="360" w:lineRule="auto"/>
        <w:ind w:firstLine="600" w:firstLineChars="200"/>
        <w:rPr>
          <w:rFonts w:eastAsia="黑体"/>
          <w:bCs/>
          <w:sz w:val="30"/>
          <w:szCs w:val="30"/>
        </w:rPr>
      </w:pPr>
      <w:r>
        <w:rPr>
          <w:rFonts w:eastAsia="黑体"/>
          <w:bCs/>
          <w:sz w:val="30"/>
          <w:szCs w:val="30"/>
        </w:rPr>
        <w:t xml:space="preserve">第九条 继续有效 </w:t>
      </w:r>
    </w:p>
    <w:p w14:paraId="2FFB219D">
      <w:pPr>
        <w:spacing w:line="360" w:lineRule="auto"/>
        <w:ind w:firstLine="600" w:firstLineChars="200"/>
        <w:rPr>
          <w:rFonts w:eastAsia="仿宋_GB2312"/>
          <w:sz w:val="30"/>
          <w:szCs w:val="30"/>
        </w:rPr>
      </w:pPr>
      <w:r>
        <w:rPr>
          <w:rFonts w:eastAsia="仿宋_GB2312"/>
          <w:sz w:val="30"/>
          <w:szCs w:val="30"/>
        </w:rPr>
        <w:t>如果本协议有任何条款或部分因任何原因被判定为无效或不可执行，本协议其他条款不应受到影响，在法律允许的范围内继续具有完全效力。</w:t>
      </w:r>
    </w:p>
    <w:p w14:paraId="50455375">
      <w:pPr>
        <w:spacing w:line="360" w:lineRule="auto"/>
        <w:ind w:firstLine="600" w:firstLineChars="200"/>
        <w:rPr>
          <w:rFonts w:eastAsia="仿宋_GB2312"/>
          <w:sz w:val="30"/>
          <w:szCs w:val="30"/>
        </w:rPr>
      </w:pPr>
      <w:r>
        <w:rPr>
          <w:rFonts w:eastAsia="黑体"/>
          <w:bCs/>
          <w:sz w:val="30"/>
          <w:szCs w:val="30"/>
        </w:rPr>
        <w:t>第十条 协议生效</w:t>
      </w:r>
    </w:p>
    <w:p w14:paraId="0E9F9E07">
      <w:pPr>
        <w:spacing w:line="360" w:lineRule="auto"/>
        <w:ind w:firstLine="600" w:firstLineChars="200"/>
        <w:rPr>
          <w:rFonts w:eastAsia="仿宋_GB2312"/>
          <w:sz w:val="30"/>
          <w:szCs w:val="30"/>
        </w:rPr>
      </w:pPr>
      <w:r>
        <w:rPr>
          <w:rFonts w:eastAsia="仿宋_GB2312"/>
          <w:sz w:val="30"/>
          <w:szCs w:val="30"/>
        </w:rPr>
        <w:t xml:space="preserve">1、协议双方同意，本协议于双方签署之日起生效。但是如果本协议签订前存在甲方向乙方提供保密信息的，也适用本协议。 </w:t>
      </w:r>
    </w:p>
    <w:p w14:paraId="1C7E22F3">
      <w:pPr>
        <w:spacing w:line="360" w:lineRule="auto"/>
        <w:ind w:firstLine="600" w:firstLineChars="200"/>
        <w:rPr>
          <w:rFonts w:eastAsia="仿宋_GB2312"/>
          <w:sz w:val="30"/>
          <w:szCs w:val="30"/>
        </w:rPr>
      </w:pPr>
      <w:r>
        <w:rPr>
          <w:rFonts w:eastAsia="仿宋_GB2312"/>
          <w:sz w:val="30"/>
          <w:szCs w:val="30"/>
        </w:rPr>
        <w:t>2、协议双方对本协议内容的修改或补充，应采用书面形式订立补充协议，补充协议经双方签署生效，成为本协议的有效组成部份、与本协议具有同等法律效力。</w:t>
      </w:r>
    </w:p>
    <w:p w14:paraId="2E0F84CB">
      <w:pPr>
        <w:spacing w:line="360" w:lineRule="auto"/>
        <w:ind w:firstLine="600" w:firstLineChars="200"/>
        <w:rPr>
          <w:rFonts w:eastAsia="仿宋_GB2312"/>
          <w:sz w:val="30"/>
          <w:szCs w:val="30"/>
        </w:rPr>
      </w:pPr>
      <w:r>
        <w:rPr>
          <w:rFonts w:eastAsia="仿宋_GB2312"/>
          <w:sz w:val="30"/>
          <w:szCs w:val="30"/>
        </w:rPr>
        <w:t>3、本协议正本一式三份，甲方执两份，乙方执一份，具有同等法律效力。</w:t>
      </w:r>
    </w:p>
    <w:p w14:paraId="24662249">
      <w:pPr>
        <w:spacing w:line="360" w:lineRule="auto"/>
        <w:ind w:firstLine="600" w:firstLineChars="200"/>
        <w:rPr>
          <w:rFonts w:eastAsia="仿宋_GB2312"/>
          <w:sz w:val="30"/>
          <w:szCs w:val="30"/>
        </w:rPr>
      </w:pPr>
      <w:r>
        <w:rPr>
          <w:rFonts w:eastAsia="仿宋_GB2312"/>
          <w:sz w:val="30"/>
          <w:szCs w:val="30"/>
        </w:rPr>
        <w:t>兹此，双方已促使本协议由各自正式授权代表签署或加盖双方公章或合同专用章。</w:t>
      </w:r>
    </w:p>
    <w:p w14:paraId="7D3E0962">
      <w:pPr>
        <w:spacing w:line="360" w:lineRule="auto"/>
        <w:ind w:firstLine="600" w:firstLineChars="200"/>
        <w:rPr>
          <w:rFonts w:eastAsia="仿宋_GB2312"/>
          <w:sz w:val="30"/>
          <w:szCs w:val="30"/>
        </w:rPr>
      </w:pPr>
    </w:p>
    <w:p w14:paraId="4FFADDA7">
      <w:pPr>
        <w:ind w:firstLine="482" w:firstLineChars="200"/>
        <w:rPr>
          <w:b/>
          <w:sz w:val="24"/>
        </w:rPr>
      </w:pPr>
      <w:r>
        <w:rPr>
          <w:b/>
          <w:sz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66161C9E">
      <w:pPr>
        <w:ind w:firstLine="482" w:firstLineChars="200"/>
        <w:rPr>
          <w:b/>
          <w:sz w:val="24"/>
        </w:rPr>
      </w:pPr>
      <w:r>
        <w:rPr>
          <w:b/>
          <w:sz w:val="24"/>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448EF8C0">
      <w:pPr>
        <w:spacing w:line="360" w:lineRule="auto"/>
        <w:rPr>
          <w:rFonts w:eastAsia="仿宋_GB2312"/>
          <w:sz w:val="30"/>
        </w:rPr>
      </w:pPr>
      <w:r>
        <w:rPr>
          <w:rFonts w:eastAsia="仿宋_GB2312"/>
          <w:sz w:val="30"/>
        </w:rPr>
        <w:t>甲方</w:t>
      </w:r>
      <w:r>
        <w:rPr>
          <w:rFonts w:eastAsia="仿宋_GB2312"/>
          <w:sz w:val="30"/>
          <w:szCs w:val="30"/>
        </w:rPr>
        <w:t>：中国重汽集团</w:t>
      </w:r>
      <w:r>
        <w:rPr>
          <w:rFonts w:eastAsia="仿宋_GB2312"/>
          <w:sz w:val="30"/>
          <w:szCs w:val="30"/>
          <w:u w:val="single"/>
        </w:rPr>
        <w:t xml:space="preserve">       </w:t>
      </w:r>
      <w:r>
        <w:rPr>
          <w:rFonts w:eastAsia="仿宋_GB2312"/>
          <w:sz w:val="30"/>
          <w:szCs w:val="30"/>
        </w:rPr>
        <w:t>有限公司</w:t>
      </w:r>
      <w:r>
        <w:rPr>
          <w:rFonts w:eastAsia="仿宋_GB2312"/>
          <w:sz w:val="30"/>
        </w:rPr>
        <w:t>（盖章）</w:t>
      </w:r>
    </w:p>
    <w:p w14:paraId="3BE9B857">
      <w:pPr>
        <w:spacing w:line="360" w:lineRule="auto"/>
        <w:rPr>
          <w:rFonts w:eastAsia="仿宋_GB2312"/>
          <w:sz w:val="30"/>
          <w:szCs w:val="30"/>
        </w:rPr>
      </w:pPr>
      <w:r>
        <w:rPr>
          <w:rFonts w:eastAsia="仿宋_GB2312"/>
          <w:sz w:val="30"/>
          <w:szCs w:val="30"/>
        </w:rPr>
        <w:t>法定代表人或</w:t>
      </w:r>
      <w:r>
        <w:rPr>
          <w:rFonts w:eastAsia="仿宋_GB2312"/>
          <w:sz w:val="30"/>
        </w:rPr>
        <w:t>授权代表</w:t>
      </w:r>
      <w:r>
        <w:rPr>
          <w:rFonts w:eastAsia="仿宋_GB2312"/>
          <w:sz w:val="30"/>
          <w:szCs w:val="30"/>
        </w:rPr>
        <w:t>：</w:t>
      </w:r>
      <w:r>
        <w:rPr>
          <w:rFonts w:eastAsia="仿宋_GB2312"/>
          <w:sz w:val="30"/>
          <w:szCs w:val="30"/>
          <w:u w:val="single"/>
        </w:rPr>
        <w:t xml:space="preserve">                </w:t>
      </w:r>
      <w:r>
        <w:rPr>
          <w:rFonts w:eastAsia="仿宋_GB2312"/>
          <w:sz w:val="30"/>
        </w:rPr>
        <w:t>（签字）</w:t>
      </w:r>
    </w:p>
    <w:p w14:paraId="28495057">
      <w:pPr>
        <w:spacing w:line="360" w:lineRule="auto"/>
        <w:rPr>
          <w:rFonts w:eastAsia="仿宋_GB2312"/>
          <w:sz w:val="30"/>
          <w:szCs w:val="30"/>
        </w:rPr>
      </w:pPr>
      <w:r>
        <w:rPr>
          <w:rFonts w:eastAsia="仿宋_GB2312"/>
          <w:sz w:val="30"/>
          <w:szCs w:val="30"/>
        </w:rPr>
        <w:t xml:space="preserve">乙方： </w:t>
      </w:r>
    </w:p>
    <w:p w14:paraId="1F9BEB94">
      <w:pPr>
        <w:spacing w:line="360" w:lineRule="auto"/>
        <w:rPr>
          <w:rFonts w:eastAsia="仿宋_GB2312"/>
          <w:sz w:val="30"/>
        </w:rPr>
      </w:pPr>
      <w:r>
        <w:rPr>
          <w:rFonts w:eastAsia="仿宋_GB2312"/>
          <w:sz w:val="30"/>
          <w:szCs w:val="30"/>
        </w:rPr>
        <w:t>法定代表人或</w:t>
      </w:r>
      <w:r>
        <w:rPr>
          <w:rFonts w:eastAsia="仿宋_GB2312"/>
          <w:sz w:val="30"/>
        </w:rPr>
        <w:t>授权代表</w:t>
      </w:r>
      <w:r>
        <w:rPr>
          <w:rFonts w:eastAsia="仿宋_GB2312"/>
          <w:sz w:val="30"/>
          <w:szCs w:val="30"/>
        </w:rPr>
        <w:t>：</w:t>
      </w:r>
      <w:r>
        <w:rPr>
          <w:rFonts w:eastAsia="仿宋_GB2312"/>
          <w:sz w:val="30"/>
          <w:szCs w:val="30"/>
          <w:u w:val="single"/>
        </w:rPr>
        <w:t xml:space="preserve">                </w:t>
      </w:r>
      <w:r>
        <w:rPr>
          <w:rFonts w:eastAsia="仿宋_GB2312"/>
          <w:sz w:val="30"/>
        </w:rPr>
        <w:t>（签字）</w:t>
      </w:r>
    </w:p>
    <w:bookmarkEnd w:id="736"/>
    <w:p w14:paraId="6B2E6CDC">
      <w:pPr>
        <w:rPr>
          <w:rFonts w:eastAsia="仿宋"/>
          <w:color w:val="000000" w:themeColor="text1"/>
          <w:sz w:val="32"/>
          <w:szCs w:val="32"/>
          <w14:textFill>
            <w14:solidFill>
              <w14:schemeClr w14:val="tx1"/>
            </w14:solidFill>
          </w14:textFill>
        </w:rPr>
      </w:pPr>
      <w:r>
        <w:rPr>
          <w:rFonts w:eastAsia="仿宋"/>
          <w:color w:val="000000" w:themeColor="text1"/>
          <w:sz w:val="32"/>
          <w:szCs w:val="32"/>
          <w14:textFill>
            <w14:solidFill>
              <w14:schemeClr w14:val="tx1"/>
            </w14:solidFill>
          </w14:textFill>
        </w:rPr>
        <w:br w:type="page"/>
      </w:r>
    </w:p>
    <w:p w14:paraId="60D13B13">
      <w:pPr>
        <w:spacing w:before="156" w:beforeLines="50" w:after="156" w:afterLines="50" w:line="440" w:lineRule="exact"/>
        <w:jc w:val="left"/>
        <w:outlineLvl w:val="3"/>
        <w:rPr>
          <w:rFonts w:eastAsia="仿宋_GB2312"/>
          <w:color w:val="000000" w:themeColor="text1"/>
          <w:sz w:val="30"/>
          <w:szCs w:val="30"/>
          <w14:textFill>
            <w14:solidFill>
              <w14:schemeClr w14:val="tx1"/>
            </w14:solidFill>
          </w14:textFill>
        </w:rPr>
      </w:pPr>
      <w:r>
        <w:rPr>
          <w:color w:val="000000" w:themeColor="text1"/>
          <w:kern w:val="0"/>
          <w:sz w:val="30"/>
          <w14:textFill>
            <w14:solidFill>
              <w14:schemeClr w14:val="tx1"/>
            </w14:solidFill>
          </w14:textFill>
        </w:rPr>
        <w:t>附件16</w:t>
      </w:r>
      <w:r>
        <w:rPr>
          <w:rFonts w:eastAsia="仿宋_GB2312"/>
          <w:color w:val="000000" w:themeColor="text1"/>
          <w:sz w:val="30"/>
          <w:szCs w:val="30"/>
          <w14:textFill>
            <w14:solidFill>
              <w14:schemeClr w14:val="tx1"/>
            </w14:solidFill>
          </w14:textFill>
        </w:rPr>
        <w:t xml:space="preserve">： </w:t>
      </w:r>
    </w:p>
    <w:p w14:paraId="4CE09719">
      <w:pPr>
        <w:spacing w:before="156" w:beforeLines="50" w:after="156" w:afterLines="50" w:line="440" w:lineRule="exact"/>
        <w:jc w:val="center"/>
        <w:rPr>
          <w:color w:val="000000" w:themeColor="text1"/>
          <w:sz w:val="32"/>
          <w14:textFill>
            <w14:solidFill>
              <w14:schemeClr w14:val="tx1"/>
            </w14:solidFill>
          </w14:textFill>
        </w:rPr>
      </w:pPr>
      <w:r>
        <w:rPr>
          <w:rFonts w:eastAsia="黑体"/>
          <w:color w:val="000000" w:themeColor="text1"/>
          <w:sz w:val="32"/>
          <w:szCs w:val="32"/>
          <w14:textFill>
            <w14:solidFill>
              <w14:schemeClr w14:val="tx1"/>
            </w14:solidFill>
          </w14:textFill>
        </w:rPr>
        <w:t>已标价工程量清单</w:t>
      </w:r>
    </w:p>
    <w:p w14:paraId="4B6382C5">
      <w:pPr>
        <w:rPr>
          <w:rFonts w:ascii="方正小标宋简体" w:hAnsi="方正小标宋简体" w:eastAsia="方正小标宋简体" w:cs="方正小标宋简体"/>
          <w:sz w:val="44"/>
          <w:szCs w:val="44"/>
        </w:rPr>
      </w:pPr>
    </w:p>
    <w:p w14:paraId="155A872B">
      <w:pPr>
        <w:rPr>
          <w:rFonts w:ascii="宋体" w:hAnsi="宋体"/>
        </w:rPr>
      </w:pPr>
    </w:p>
    <w:p w14:paraId="389AE5E5">
      <w:pPr>
        <w:rPr>
          <w:rFonts w:hint="eastAsia" w:ascii="宋体" w:hAnsi="宋体"/>
          <w:i w:val="0"/>
          <w:iCs w:val="0"/>
        </w:rPr>
      </w:pPr>
      <w:r>
        <w:rPr>
          <w:rFonts w:hint="eastAsia" w:ascii="宋体" w:hAnsi="宋体"/>
          <w:i w:val="0"/>
          <w:iCs w:val="0"/>
        </w:rPr>
        <w:br w:type="page"/>
      </w:r>
    </w:p>
    <w:p w14:paraId="2A905F5A">
      <w:pPr>
        <w:pStyle w:val="6"/>
        <w:spacing w:before="0" w:after="0" w:line="360" w:lineRule="auto"/>
        <w:jc w:val="center"/>
        <w:rPr>
          <w:rStyle w:val="39"/>
          <w:rFonts w:ascii="宋体" w:hAnsi="宋体"/>
          <w:szCs w:val="21"/>
        </w:rPr>
      </w:pPr>
      <w:bookmarkStart w:id="740" w:name="_Toc8807"/>
      <w:r>
        <w:rPr>
          <w:rFonts w:hint="eastAsia" w:ascii="宋体" w:hAnsi="宋体"/>
          <w:i w:val="0"/>
          <w:iCs w:val="0"/>
        </w:rPr>
        <w:t xml:space="preserve">第五章 </w:t>
      </w:r>
      <w:bookmarkEnd w:id="113"/>
      <w:bookmarkEnd w:id="114"/>
      <w:r>
        <w:rPr>
          <w:rFonts w:hint="eastAsia" w:ascii="宋体" w:hAnsi="宋体"/>
          <w:i w:val="0"/>
          <w:iCs w:val="0"/>
        </w:rPr>
        <w:t>投标报价要求</w:t>
      </w:r>
      <w:bookmarkEnd w:id="115"/>
      <w:bookmarkEnd w:id="116"/>
      <w:bookmarkEnd w:id="117"/>
      <w:bookmarkEnd w:id="118"/>
      <w:bookmarkEnd w:id="119"/>
      <w:bookmarkEnd w:id="120"/>
      <w:bookmarkEnd w:id="121"/>
      <w:bookmarkEnd w:id="122"/>
      <w:bookmarkEnd w:id="123"/>
      <w:bookmarkEnd w:id="124"/>
      <w:bookmarkEnd w:id="125"/>
      <w:bookmarkEnd w:id="126"/>
      <w:bookmarkEnd w:id="740"/>
    </w:p>
    <w:p w14:paraId="1A480203">
      <w:pPr>
        <w:pStyle w:val="13"/>
        <w:rPr>
          <w:rStyle w:val="39"/>
          <w:rFonts w:ascii="宋体" w:hAnsi="宋体"/>
          <w:szCs w:val="21"/>
        </w:rPr>
      </w:pPr>
    </w:p>
    <w:p w14:paraId="3E6EC196">
      <w:pPr>
        <w:pStyle w:val="6"/>
        <w:spacing w:line="360" w:lineRule="auto"/>
        <w:jc w:val="center"/>
        <w:rPr>
          <w:rFonts w:ascii="宋体" w:hAnsi="宋体" w:cs="TimesNewRomanPSMT"/>
          <w:bCs w:val="0"/>
          <w:i w:val="0"/>
          <w:iCs w:val="0"/>
          <w:sz w:val="24"/>
          <w:szCs w:val="24"/>
        </w:rPr>
      </w:pPr>
      <w:bookmarkStart w:id="741" w:name="_Toc27580"/>
      <w:bookmarkStart w:id="742" w:name="_Toc22002"/>
      <w:bookmarkStart w:id="743" w:name="_Toc235533814"/>
      <w:r>
        <w:rPr>
          <w:rFonts w:hint="eastAsia" w:ascii="宋体" w:hAnsi="宋体" w:cs="TimesNewRomanPSMT"/>
          <w:bCs w:val="0"/>
          <w:i w:val="0"/>
          <w:iCs w:val="0"/>
          <w:sz w:val="24"/>
          <w:szCs w:val="24"/>
        </w:rPr>
        <w:t>第一节     工程量清单</w:t>
      </w:r>
      <w:bookmarkEnd w:id="741"/>
      <w:bookmarkEnd w:id="742"/>
      <w:r>
        <w:rPr>
          <w:rFonts w:hint="eastAsia" w:ascii="宋体" w:hAnsi="宋体" w:cs="TimesNewRomanPSMT"/>
          <w:bCs w:val="0"/>
          <w:i w:val="0"/>
          <w:iCs w:val="0"/>
          <w:sz w:val="24"/>
          <w:szCs w:val="24"/>
        </w:rPr>
        <w:t>说明</w:t>
      </w:r>
      <w:bookmarkEnd w:id="743"/>
    </w:p>
    <w:p w14:paraId="3A057DFF">
      <w:pPr>
        <w:widowControl/>
        <w:spacing w:line="360" w:lineRule="auto"/>
        <w:jc w:val="left"/>
        <w:rPr>
          <w:rFonts w:ascii="宋体" w:hAnsi="宋体" w:cs="宋体"/>
          <w:b/>
          <w:bCs/>
          <w:szCs w:val="21"/>
        </w:rPr>
      </w:pPr>
      <w:r>
        <w:rPr>
          <w:rFonts w:hint="eastAsia" w:ascii="宋体" w:hAnsi="宋体" w:cs="宋体"/>
          <w:b/>
          <w:bCs/>
          <w:szCs w:val="21"/>
        </w:rPr>
        <w:t>1.工程量清单说明</w:t>
      </w:r>
    </w:p>
    <w:p w14:paraId="7FBF65B1">
      <w:pPr>
        <w:widowControl/>
        <w:spacing w:line="360" w:lineRule="auto"/>
        <w:ind w:firstLine="422" w:firstLineChars="200"/>
        <w:rPr>
          <w:rFonts w:ascii="宋体" w:hAnsi="宋体" w:cs="宋体"/>
          <w:b/>
          <w:bCs/>
          <w:szCs w:val="21"/>
        </w:rPr>
      </w:pPr>
      <w:r>
        <w:rPr>
          <w:rFonts w:hint="eastAsia" w:ascii="宋体" w:hAnsi="宋体" w:cs="宋体"/>
          <w:b/>
          <w:bCs/>
          <w:szCs w:val="21"/>
        </w:rPr>
        <w:t>1.1本招标工程量清单依据《建设工程工程量清单计价标准》（GB/T50500-2024）及配套相关工程量计算标准、《〈建设工程工程量清单计价标准〉实施指引》（鲁建标字〔2025〕6 号）、《山东省建设工程费用项目组成及计算规则》（2025 版）（鲁建标字〔2025〕7 号），根据招标文件要求及工程交付范围，以合同标的为工程量清单编制对象进行列项编制，是招标文件的组成部分。</w:t>
      </w:r>
    </w:p>
    <w:p w14:paraId="6CAD3122">
      <w:pPr>
        <w:snapToGrid w:val="0"/>
        <w:spacing w:line="360" w:lineRule="auto"/>
        <w:ind w:firstLine="420" w:firstLineChars="200"/>
      </w:pPr>
      <w:r>
        <w:rPr>
          <w:rFonts w:ascii="宋体" w:hAnsi="宋体" w:cs="宋体"/>
          <w:szCs w:val="21"/>
          <w:lang w:bidi="ar"/>
        </w:rPr>
        <w:t>1.2</w:t>
      </w:r>
      <w:r>
        <w:rPr>
          <w:rFonts w:hint="eastAsia" w:ascii="宋体" w:hAnsi="宋体" w:cs="宋体"/>
          <w:szCs w:val="21"/>
          <w:lang w:bidi="ar"/>
        </w:rPr>
        <w:t>本招标工程量清单成果文件包括封面、签署页、工程量清单编制说明、工程量计算规则说明、工程量清单及计价表格等。本节与“招标工程量清单”对同一事项的描述存在不一致的，以“招标工程量清单”描述为准。</w:t>
      </w:r>
    </w:p>
    <w:p w14:paraId="4B42CCAD">
      <w:pPr>
        <w:snapToGrid w:val="0"/>
        <w:spacing w:line="360" w:lineRule="auto"/>
        <w:ind w:firstLine="420" w:firstLineChars="200"/>
        <w:rPr>
          <w:rFonts w:ascii="宋体" w:hAnsi="宋体" w:cs="宋体"/>
          <w:szCs w:val="21"/>
        </w:rPr>
      </w:pPr>
      <w:r>
        <w:rPr>
          <w:rFonts w:hint="eastAsia" w:ascii="宋体" w:hAnsi="宋体" w:cs="宋体"/>
          <w:szCs w:val="21"/>
          <w:lang w:bidi="ar"/>
        </w:rPr>
        <w:t>1.3招标人根据工程实际情况编制的招标工程量清单，其清单项目列项、项目特征的工作内容及其工程数量应视为符合招标图纸和技术标准规范的要求。存在分部分项工程项目清单缺陷的，应由发包人承担相关清单缺陷责任。</w:t>
      </w:r>
    </w:p>
    <w:p w14:paraId="5CB2F544">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rPr>
        <w:t>1.4工程量清单中分部分项工程项目清单工程数量为暂定的工程量，在合同履行中应按发包人提供的实际施工图纸、合同约定国家及行业工程量计算标准及补充的工程量计算规则重新计量确定，但措施项目清单和以项计价的分部分项工程项目清单应按《建设工程工程量清单计价标准》（GB/T50500-2024）总价计价的规定计算。</w:t>
      </w:r>
    </w:p>
    <w:p w14:paraId="58782B89">
      <w:pPr>
        <w:widowControl/>
        <w:snapToGrid w:val="0"/>
        <w:spacing w:line="360" w:lineRule="auto"/>
        <w:ind w:firstLine="420" w:firstLineChars="200"/>
        <w:jc w:val="left"/>
        <w:rPr>
          <w:rFonts w:ascii="宋体" w:hAnsi="宋体" w:cs="宋体"/>
          <w:szCs w:val="21"/>
        </w:rPr>
      </w:pPr>
      <w:r>
        <w:rPr>
          <w:rFonts w:hint="eastAsia" w:ascii="宋体" w:hAnsi="宋体" w:cs="宋体"/>
          <w:szCs w:val="21"/>
        </w:rPr>
        <w:t>1.5本招标工程量清单分部分项工程项目清单的项目编码、项目名称、项目特征、 计量单位符合国家及行业工程量计算标准和补充工程量清单计算规则的规定；措施项目清单的项目编码、项目名称、工作内容符合国家及行业工程量计算标准的规定。</w:t>
      </w:r>
    </w:p>
    <w:p w14:paraId="152B0DF3">
      <w:pPr>
        <w:widowControl/>
        <w:spacing w:line="360" w:lineRule="auto"/>
        <w:ind w:firstLine="420" w:firstLineChars="200"/>
        <w:jc w:val="left"/>
        <w:rPr>
          <w:rFonts w:ascii="宋体" w:hAnsi="宋体" w:cs="宋体"/>
          <w:szCs w:val="21"/>
        </w:rPr>
      </w:pPr>
      <w:r>
        <w:rPr>
          <w:rFonts w:hint="eastAsia" w:ascii="宋体" w:hAnsi="宋体" w:cs="宋体"/>
          <w:szCs w:val="21"/>
        </w:rPr>
        <w:t>1.6</w:t>
      </w:r>
      <w:r>
        <w:rPr>
          <w:rFonts w:hint="eastAsia" w:ascii="宋体" w:hAnsi="宋体" w:cs="宋体"/>
          <w:color w:val="000000"/>
          <w:kern w:val="0"/>
          <w:szCs w:val="21"/>
          <w:lang w:bidi="ar"/>
        </w:rPr>
        <w:t>招标工程量清单的编制执行《建设工程工程量清单计价标准》（</w:t>
      </w:r>
      <w:r>
        <w:rPr>
          <w:color w:val="000000"/>
          <w:kern w:val="0"/>
          <w:szCs w:val="21"/>
          <w:lang w:bidi="ar"/>
        </w:rPr>
        <w:t>GB/T50500-2024</w:t>
      </w:r>
      <w:r>
        <w:rPr>
          <w:rFonts w:hint="eastAsia" w:ascii="宋体" w:hAnsi="宋体" w:cs="宋体"/>
          <w:color w:val="000000"/>
          <w:kern w:val="0"/>
          <w:szCs w:val="21"/>
          <w:lang w:bidi="ar"/>
        </w:rPr>
        <w:t>）及配套工程量计算标准中对工程量清单编制依据的规定，根据本招标工程实际予以确定和补充的清单项目，执行下列原则</w:t>
      </w:r>
      <w:r>
        <w:rPr>
          <w:rFonts w:hint="eastAsia" w:ascii="宋体" w:hAnsi="宋体" w:cs="宋体"/>
          <w:szCs w:val="21"/>
        </w:rPr>
        <w:t>：</w:t>
      </w:r>
    </w:p>
    <w:p w14:paraId="2FC2DB53">
      <w:pPr>
        <w:widowControl/>
        <w:spacing w:line="360" w:lineRule="auto"/>
        <w:ind w:firstLine="420" w:firstLineChars="200"/>
        <w:jc w:val="left"/>
        <w:rPr>
          <w:rFonts w:ascii="宋体" w:hAnsi="宋体" w:cs="宋体"/>
          <w:color w:val="000000"/>
          <w:kern w:val="0"/>
          <w:szCs w:val="21"/>
          <w:lang w:bidi="ar"/>
        </w:rPr>
      </w:pPr>
      <w:r>
        <w:rPr>
          <w:rFonts w:hint="eastAsia" w:ascii="宋体" w:hAnsi="宋体" w:cs="宋体"/>
          <w:color w:val="000000"/>
          <w:kern w:val="0"/>
          <w:szCs w:val="21"/>
          <w:lang w:bidi="ar"/>
        </w:rPr>
        <w:t>（</w:t>
      </w:r>
      <w:r>
        <w:rPr>
          <w:rFonts w:ascii="宋体" w:hAnsi="宋体" w:cs="宋体"/>
          <w:color w:val="000000"/>
          <w:kern w:val="0"/>
          <w:szCs w:val="21"/>
          <w:lang w:bidi="ar"/>
        </w:rPr>
        <w:t>1</w:t>
      </w:r>
      <w:r>
        <w:rPr>
          <w:rFonts w:hint="eastAsia" w:ascii="宋体" w:hAnsi="宋体" w:cs="宋体"/>
          <w:color w:val="000000"/>
          <w:kern w:val="0"/>
          <w:szCs w:val="21"/>
          <w:lang w:bidi="ar"/>
        </w:rPr>
        <w:t xml:space="preserve">）使用的计量计价类标准、计价依据、规定等在附表“工程量清单编制说明”、“工程量清单计算规则说明”中准确完整的描述标准名称、标准编号、计价依据版本、规定文号等。 </w:t>
      </w:r>
    </w:p>
    <w:p w14:paraId="6164D3E5">
      <w:pPr>
        <w:widowControl/>
        <w:spacing w:line="360" w:lineRule="auto"/>
        <w:ind w:firstLine="420" w:firstLineChars="200"/>
        <w:jc w:val="left"/>
        <w:rPr>
          <w:rFonts w:ascii="宋体" w:hAnsi="宋体" w:cs="宋体"/>
          <w:color w:val="000000"/>
          <w:kern w:val="0"/>
          <w:szCs w:val="21"/>
          <w:lang w:bidi="ar"/>
        </w:rPr>
      </w:pPr>
      <w:r>
        <w:rPr>
          <w:rFonts w:hint="eastAsia" w:ascii="宋体" w:hAnsi="宋体" w:cs="宋体"/>
          <w:color w:val="000000"/>
          <w:kern w:val="0"/>
          <w:szCs w:val="21"/>
          <w:lang w:bidi="ar"/>
        </w:rPr>
        <w:t>（</w:t>
      </w:r>
      <w:r>
        <w:rPr>
          <w:rFonts w:ascii="宋体" w:hAnsi="宋体" w:cs="宋体"/>
          <w:color w:val="000000"/>
          <w:kern w:val="0"/>
          <w:szCs w:val="21"/>
          <w:lang w:bidi="ar"/>
        </w:rPr>
        <w:t>2</w:t>
      </w:r>
      <w:r>
        <w:rPr>
          <w:rFonts w:hint="eastAsia" w:ascii="宋体" w:hAnsi="宋体" w:cs="宋体"/>
          <w:color w:val="000000"/>
          <w:kern w:val="0"/>
          <w:szCs w:val="21"/>
          <w:lang w:bidi="ar"/>
        </w:rPr>
        <w:t xml:space="preserve">）除招标图纸已注明的技术标准（规范）外，其他作为清单编制依据的工程技术类标准（规范）在附表“工程量清单编制说明”中准确完整的描述标准（规范）名称、编号等。 </w:t>
      </w:r>
    </w:p>
    <w:p w14:paraId="7421E2BD">
      <w:pPr>
        <w:widowControl/>
        <w:spacing w:line="360" w:lineRule="auto"/>
        <w:ind w:firstLine="420" w:firstLineChars="200"/>
        <w:jc w:val="left"/>
        <w:rPr>
          <w:rFonts w:ascii="宋体" w:hAnsi="宋体" w:cs="宋体"/>
          <w:color w:val="000000"/>
          <w:kern w:val="0"/>
          <w:szCs w:val="21"/>
          <w:lang w:bidi="ar"/>
        </w:rPr>
      </w:pPr>
      <w:r>
        <w:rPr>
          <w:rFonts w:hint="eastAsia" w:ascii="宋体" w:hAnsi="宋体" w:cs="宋体"/>
          <w:color w:val="000000"/>
          <w:kern w:val="0"/>
          <w:szCs w:val="21"/>
          <w:lang w:bidi="ar"/>
        </w:rPr>
        <w:t>（</w:t>
      </w:r>
      <w:r>
        <w:rPr>
          <w:rFonts w:ascii="宋体" w:hAnsi="宋体" w:cs="宋体"/>
          <w:color w:val="000000"/>
          <w:kern w:val="0"/>
          <w:szCs w:val="21"/>
          <w:lang w:bidi="ar"/>
        </w:rPr>
        <w:t>3</w:t>
      </w:r>
      <w:r>
        <w:rPr>
          <w:rFonts w:hint="eastAsia" w:ascii="宋体" w:hAnsi="宋体" w:cs="宋体"/>
          <w:color w:val="000000"/>
          <w:kern w:val="0"/>
          <w:szCs w:val="21"/>
          <w:lang w:bidi="ar"/>
        </w:rPr>
        <w:t xml:space="preserve">）补充的工程量清单在附表“工程量清单计算规则说明”中明示补充的项目编码、项目名称、计量单位、计算规则及工作内容。 </w:t>
      </w:r>
    </w:p>
    <w:p w14:paraId="530451BD">
      <w:pPr>
        <w:widowControl/>
        <w:spacing w:line="360" w:lineRule="auto"/>
        <w:ind w:firstLine="420" w:firstLineChars="200"/>
        <w:jc w:val="left"/>
        <w:rPr>
          <w:rFonts w:ascii="宋体" w:hAnsi="宋体" w:cs="宋体"/>
          <w:color w:val="000000"/>
          <w:kern w:val="0"/>
          <w:szCs w:val="21"/>
          <w:lang w:bidi="ar"/>
        </w:rPr>
      </w:pPr>
      <w:r>
        <w:rPr>
          <w:rFonts w:hint="eastAsia" w:ascii="宋体" w:hAnsi="宋体" w:cs="宋体"/>
          <w:color w:val="000000"/>
          <w:kern w:val="0"/>
          <w:szCs w:val="21"/>
          <w:lang w:bidi="ar"/>
        </w:rPr>
        <w:t>（</w:t>
      </w:r>
      <w:r>
        <w:rPr>
          <w:rFonts w:ascii="宋体" w:hAnsi="宋体" w:cs="宋体"/>
          <w:color w:val="000000"/>
          <w:kern w:val="0"/>
          <w:szCs w:val="21"/>
          <w:lang w:bidi="ar"/>
        </w:rPr>
        <w:t>4</w:t>
      </w:r>
      <w:r>
        <w:rPr>
          <w:rFonts w:hint="eastAsia" w:ascii="宋体" w:hAnsi="宋体" w:cs="宋体"/>
          <w:color w:val="000000"/>
          <w:kern w:val="0"/>
          <w:szCs w:val="21"/>
          <w:lang w:bidi="ar"/>
        </w:rPr>
        <w:t>）除设计文件已有明示外，其他依据地勘水文资料、发包人要求、工程特点及交付标准而设置的清单项目与描述的清单项目特征，在附表“工程量清单编制说明”中对具体项目及依据内容予以说明。</w:t>
      </w:r>
    </w:p>
    <w:p w14:paraId="67C09AD9">
      <w:pPr>
        <w:snapToGrid w:val="0"/>
        <w:spacing w:line="360" w:lineRule="auto"/>
        <w:ind w:firstLine="420" w:firstLineChars="200"/>
        <w:rPr>
          <w:rFonts w:ascii="宋体" w:hAnsi="宋体" w:cs="宋体"/>
          <w:szCs w:val="21"/>
        </w:rPr>
      </w:pPr>
      <w:r>
        <w:rPr>
          <w:rFonts w:hint="eastAsia" w:ascii="宋体" w:hAnsi="宋体" w:cs="宋体"/>
          <w:szCs w:val="21"/>
        </w:rPr>
        <w:t>1.7本工程量清单应与招标文件中的投标人须知、通用合同条款、专用合同条款、技术标准和要求及招标图纸等章节内容一起阅读、理解和使用。</w:t>
      </w:r>
    </w:p>
    <w:p w14:paraId="630152D8">
      <w:pPr>
        <w:pStyle w:val="13"/>
        <w:numPr>
          <w:ilvl w:val="0"/>
          <w:numId w:val="12"/>
        </w:numPr>
        <w:spacing w:line="360" w:lineRule="auto"/>
        <w:rPr>
          <w:rFonts w:ascii="宋体" w:hAnsi="宋体" w:eastAsia="宋体" w:cs="宋体"/>
          <w:b/>
          <w:bCs/>
          <w:sz w:val="21"/>
          <w:szCs w:val="21"/>
        </w:rPr>
      </w:pPr>
      <w:r>
        <w:rPr>
          <w:rFonts w:hint="eastAsia" w:ascii="宋体" w:hAnsi="宋体" w:eastAsia="宋体" w:cs="宋体"/>
          <w:b/>
          <w:bCs/>
          <w:sz w:val="21"/>
          <w:szCs w:val="21"/>
        </w:rPr>
        <w:t>工程量清单编制说明</w:t>
      </w:r>
    </w:p>
    <w:p w14:paraId="44D40468">
      <w:pPr>
        <w:widowControl/>
        <w:spacing w:line="360" w:lineRule="auto"/>
        <w:ind w:firstLine="420" w:firstLineChars="200"/>
        <w:jc w:val="left"/>
        <w:rPr>
          <w:rFonts w:ascii="宋体" w:hAnsi="宋体" w:cs="宋体"/>
          <w:szCs w:val="21"/>
        </w:rPr>
      </w:pPr>
      <w:r>
        <w:rPr>
          <w:rFonts w:ascii="宋体" w:hAnsi="宋体" w:cs="宋体"/>
          <w:szCs w:val="21"/>
        </w:rPr>
        <w:t xml:space="preserve">2.1 </w:t>
      </w:r>
      <w:r>
        <w:rPr>
          <w:rFonts w:hint="eastAsia" w:ascii="宋体" w:hAnsi="宋体" w:cs="宋体"/>
          <w:szCs w:val="21"/>
        </w:rPr>
        <w:t>工程概况：详见招标公告。</w:t>
      </w:r>
    </w:p>
    <w:p w14:paraId="14B9DEC1">
      <w:pPr>
        <w:widowControl/>
        <w:spacing w:line="360" w:lineRule="auto"/>
        <w:ind w:firstLine="420" w:firstLineChars="200"/>
        <w:jc w:val="left"/>
        <w:rPr>
          <w:rFonts w:ascii="宋体" w:hAnsi="宋体" w:cs="宋体"/>
          <w:szCs w:val="21"/>
        </w:rPr>
      </w:pPr>
      <w:r>
        <w:rPr>
          <w:rFonts w:ascii="宋体" w:hAnsi="宋体" w:cs="宋体"/>
          <w:szCs w:val="21"/>
        </w:rPr>
        <w:t xml:space="preserve">2.2 </w:t>
      </w:r>
      <w:r>
        <w:rPr>
          <w:rFonts w:hint="eastAsia" w:ascii="宋体" w:hAnsi="宋体" w:cs="宋体"/>
          <w:szCs w:val="21"/>
        </w:rPr>
        <w:t xml:space="preserve">招标范围：详见招标公告。 </w:t>
      </w:r>
    </w:p>
    <w:p w14:paraId="39A344D7">
      <w:pPr>
        <w:widowControl/>
        <w:spacing w:line="360" w:lineRule="auto"/>
        <w:ind w:firstLine="420" w:firstLineChars="200"/>
        <w:jc w:val="left"/>
        <w:rPr>
          <w:rFonts w:ascii="宋体" w:hAnsi="宋体" w:cs="宋体"/>
          <w:szCs w:val="21"/>
        </w:rPr>
      </w:pPr>
      <w:r>
        <w:rPr>
          <w:rFonts w:ascii="宋体" w:hAnsi="宋体" w:cs="宋体"/>
          <w:szCs w:val="21"/>
        </w:rPr>
        <w:t xml:space="preserve">2.3 </w:t>
      </w:r>
      <w:r>
        <w:rPr>
          <w:rFonts w:hint="eastAsia" w:ascii="宋体" w:hAnsi="宋体" w:cs="宋体"/>
          <w:szCs w:val="21"/>
        </w:rPr>
        <w:t xml:space="preserve">编制依据 </w:t>
      </w:r>
    </w:p>
    <w:p w14:paraId="4794C4D2">
      <w:pPr>
        <w:widowControl/>
        <w:spacing w:line="360" w:lineRule="auto"/>
        <w:ind w:firstLine="420" w:firstLineChars="200"/>
        <w:jc w:val="left"/>
        <w:rPr>
          <w:rFonts w:ascii="宋体" w:hAnsi="宋体" w:cs="宋体"/>
          <w:szCs w:val="21"/>
        </w:rPr>
      </w:pPr>
      <w:r>
        <w:rPr>
          <w:rFonts w:ascii="宋体" w:hAnsi="宋体" w:cs="宋体"/>
          <w:szCs w:val="21"/>
        </w:rPr>
        <w:t xml:space="preserve">2.3.1 </w:t>
      </w:r>
      <w:r>
        <w:rPr>
          <w:rFonts w:hint="eastAsia" w:ascii="宋体" w:hAnsi="宋体" w:cs="宋体"/>
          <w:szCs w:val="21"/>
        </w:rPr>
        <w:t xml:space="preserve">本招标工程量清单依据下列规定和依据编制： </w:t>
      </w:r>
    </w:p>
    <w:p w14:paraId="314F8887">
      <w:pPr>
        <w:widowControl/>
        <w:spacing w:line="360" w:lineRule="auto"/>
        <w:ind w:firstLine="420" w:firstLineChars="200"/>
        <w:jc w:val="left"/>
        <w:rPr>
          <w:rFonts w:ascii="宋体" w:hAnsi="宋体" w:cs="宋体"/>
          <w:szCs w:val="21"/>
        </w:rPr>
      </w:pPr>
      <w:r>
        <w:rPr>
          <w:rFonts w:hint="eastAsia" w:ascii="宋体" w:hAnsi="宋体" w:cs="宋体"/>
          <w:szCs w:val="21"/>
        </w:rPr>
        <w:t>（</w:t>
      </w:r>
      <w:r>
        <w:rPr>
          <w:rFonts w:ascii="宋体" w:hAnsi="宋体" w:cs="宋体"/>
          <w:szCs w:val="21"/>
        </w:rPr>
        <w:t>1</w:t>
      </w:r>
      <w:r>
        <w:rPr>
          <w:rFonts w:hint="eastAsia" w:ascii="宋体" w:hAnsi="宋体" w:cs="宋体"/>
          <w:szCs w:val="21"/>
        </w:rPr>
        <w:t>）《建设工程工程量清单计价标准》（</w:t>
      </w:r>
      <w:r>
        <w:rPr>
          <w:rFonts w:ascii="宋体" w:hAnsi="宋体" w:cs="宋体"/>
          <w:szCs w:val="21"/>
        </w:rPr>
        <w:t>GB/T50500-2024</w:t>
      </w:r>
      <w:r>
        <w:rPr>
          <w:rFonts w:hint="eastAsia" w:ascii="宋体" w:hAnsi="宋体" w:cs="宋体"/>
          <w:szCs w:val="21"/>
        </w:rPr>
        <w:t xml:space="preserve">）和相关工程国家及行业工程量计算标准； </w:t>
      </w:r>
    </w:p>
    <w:p w14:paraId="53356D85">
      <w:pPr>
        <w:widowControl/>
        <w:spacing w:line="360" w:lineRule="auto"/>
        <w:ind w:firstLine="420" w:firstLineChars="200"/>
        <w:jc w:val="left"/>
        <w:rPr>
          <w:rFonts w:ascii="宋体" w:hAns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 xml:space="preserve">）国家及省级、行业建设主管部门颁发的工程计量与计价相关规定，以及根据本工程需要补充的工程量计算规则； </w:t>
      </w:r>
    </w:p>
    <w:p w14:paraId="43B77649">
      <w:pPr>
        <w:widowControl/>
        <w:spacing w:line="360" w:lineRule="auto"/>
        <w:ind w:firstLine="420" w:firstLineChars="200"/>
        <w:jc w:val="left"/>
        <w:rPr>
          <w:rFonts w:ascii="宋体" w:hAnsi="宋体" w:cs="宋体"/>
          <w:szCs w:val="21"/>
        </w:rPr>
      </w:pPr>
      <w:r>
        <w:rPr>
          <w:rFonts w:hint="eastAsia" w:ascii="宋体" w:hAnsi="宋体" w:cs="宋体"/>
          <w:szCs w:val="21"/>
        </w:rPr>
        <w:t>（</w:t>
      </w:r>
      <w:r>
        <w:rPr>
          <w:rFonts w:ascii="宋体" w:hAnsi="宋体" w:cs="宋体"/>
          <w:szCs w:val="21"/>
        </w:rPr>
        <w:t>3</w:t>
      </w:r>
      <w:r>
        <w:rPr>
          <w:rFonts w:hint="eastAsia" w:ascii="宋体" w:hAnsi="宋体" w:cs="宋体"/>
          <w:szCs w:val="21"/>
        </w:rPr>
        <w:t>）《</w:t>
      </w:r>
      <w:r>
        <w:rPr>
          <w:rFonts w:ascii="宋体" w:hAnsi="宋体" w:cs="宋体"/>
          <w:szCs w:val="21"/>
        </w:rPr>
        <w:t>&lt;</w:t>
      </w:r>
      <w:r>
        <w:rPr>
          <w:rFonts w:hint="eastAsia" w:ascii="宋体" w:hAnsi="宋体" w:cs="宋体"/>
          <w:szCs w:val="21"/>
        </w:rPr>
        <w:t>建设工程工程量清单计价标准</w:t>
      </w:r>
      <w:r>
        <w:rPr>
          <w:rFonts w:ascii="宋体" w:hAnsi="宋体" w:cs="宋体"/>
          <w:szCs w:val="21"/>
        </w:rPr>
        <w:t>&gt;</w:t>
      </w:r>
      <w:r>
        <w:rPr>
          <w:rFonts w:hint="eastAsia" w:ascii="宋体" w:hAnsi="宋体" w:cs="宋体"/>
          <w:szCs w:val="21"/>
        </w:rPr>
        <w:t>实施指引》（鲁建标字〔</w:t>
      </w:r>
      <w:r>
        <w:rPr>
          <w:rFonts w:ascii="宋体" w:hAnsi="宋体" w:cs="宋体"/>
          <w:szCs w:val="21"/>
        </w:rPr>
        <w:t>2025</w:t>
      </w:r>
      <w:r>
        <w:rPr>
          <w:rFonts w:hint="eastAsia" w:ascii="宋体" w:hAnsi="宋体" w:cs="宋体"/>
          <w:szCs w:val="21"/>
        </w:rPr>
        <w:t>〕６号）、《山东省建设工程费用项目组成及计算规则》（</w:t>
      </w:r>
      <w:r>
        <w:rPr>
          <w:rFonts w:ascii="宋体" w:hAnsi="宋体" w:cs="宋体"/>
          <w:szCs w:val="21"/>
        </w:rPr>
        <w:t xml:space="preserve">2025 </w:t>
      </w:r>
      <w:r>
        <w:rPr>
          <w:rFonts w:hint="eastAsia" w:ascii="宋体" w:hAnsi="宋体" w:cs="宋体"/>
          <w:szCs w:val="21"/>
        </w:rPr>
        <w:t>版）（鲁建标字〔</w:t>
      </w:r>
      <w:r>
        <w:rPr>
          <w:rFonts w:ascii="宋体" w:hAnsi="宋体" w:cs="宋体"/>
          <w:szCs w:val="21"/>
        </w:rPr>
        <w:t>2025</w:t>
      </w:r>
      <w:r>
        <w:rPr>
          <w:rFonts w:hint="eastAsia" w:ascii="宋体" w:hAnsi="宋体" w:cs="宋体"/>
          <w:szCs w:val="21"/>
        </w:rPr>
        <w:t>〕</w:t>
      </w:r>
      <w:r>
        <w:rPr>
          <w:rFonts w:ascii="宋体" w:hAnsi="宋体" w:cs="宋体"/>
          <w:szCs w:val="21"/>
        </w:rPr>
        <w:t>7</w:t>
      </w:r>
      <w:r>
        <w:rPr>
          <w:rFonts w:hint="eastAsia" w:ascii="宋体" w:hAnsi="宋体" w:cs="宋体"/>
          <w:szCs w:val="21"/>
        </w:rPr>
        <w:t xml:space="preserve">号）； </w:t>
      </w:r>
    </w:p>
    <w:p w14:paraId="7041A8BB">
      <w:pPr>
        <w:widowControl/>
        <w:spacing w:line="360" w:lineRule="auto"/>
        <w:ind w:firstLine="420" w:firstLineChars="200"/>
        <w:jc w:val="left"/>
        <w:rPr>
          <w:rFonts w:ascii="宋体" w:hAnsi="宋体" w:cs="宋体"/>
          <w:szCs w:val="21"/>
        </w:rPr>
      </w:pPr>
      <w:r>
        <w:rPr>
          <w:rFonts w:hint="eastAsia" w:ascii="宋体" w:hAnsi="宋体" w:cs="宋体"/>
          <w:szCs w:val="21"/>
        </w:rPr>
        <w:t>（</w:t>
      </w:r>
      <w:r>
        <w:rPr>
          <w:rFonts w:ascii="宋体" w:hAnsi="宋体" w:cs="宋体"/>
          <w:szCs w:val="21"/>
        </w:rPr>
        <w:t>4</w:t>
      </w:r>
      <w:r>
        <w:rPr>
          <w:rFonts w:hint="eastAsia" w:ascii="宋体" w:hAnsi="宋体" w:cs="宋体"/>
          <w:szCs w:val="21"/>
        </w:rPr>
        <w:t xml:space="preserve">）招标文件、拟订的合同条款及其相关资料； </w:t>
      </w:r>
    </w:p>
    <w:p w14:paraId="21F30273">
      <w:pPr>
        <w:widowControl/>
        <w:spacing w:line="360" w:lineRule="auto"/>
        <w:ind w:firstLine="420" w:firstLineChars="200"/>
        <w:jc w:val="left"/>
        <w:rPr>
          <w:rFonts w:ascii="宋体" w:hAnsi="宋体" w:cs="宋体"/>
          <w:szCs w:val="21"/>
        </w:rPr>
      </w:pPr>
      <w:r>
        <w:rPr>
          <w:rFonts w:hint="eastAsia" w:ascii="宋体" w:hAnsi="宋体" w:cs="宋体"/>
          <w:szCs w:val="21"/>
        </w:rPr>
        <w:t>（</w:t>
      </w:r>
      <w:r>
        <w:rPr>
          <w:rFonts w:ascii="宋体" w:hAnsi="宋体" w:cs="宋体"/>
          <w:szCs w:val="21"/>
        </w:rPr>
        <w:t>5</w:t>
      </w:r>
      <w:r>
        <w:rPr>
          <w:rFonts w:hint="eastAsia" w:ascii="宋体" w:hAnsi="宋体" w:cs="宋体"/>
          <w:szCs w:val="21"/>
        </w:rPr>
        <w:t xml:space="preserve">）本工程招标图纸及其相关资料； </w:t>
      </w:r>
    </w:p>
    <w:p w14:paraId="02B1BAA4">
      <w:pPr>
        <w:widowControl/>
        <w:spacing w:line="360" w:lineRule="auto"/>
        <w:ind w:firstLine="420" w:firstLineChars="200"/>
        <w:jc w:val="left"/>
        <w:rPr>
          <w:rFonts w:ascii="宋体" w:hAnsi="宋体" w:cs="宋体"/>
          <w:szCs w:val="21"/>
        </w:rPr>
      </w:pPr>
      <w:r>
        <w:rPr>
          <w:rFonts w:hint="eastAsia" w:ascii="宋体" w:hAnsi="宋体" w:cs="宋体"/>
          <w:szCs w:val="21"/>
        </w:rPr>
        <w:t>（</w:t>
      </w:r>
      <w:r>
        <w:rPr>
          <w:rFonts w:ascii="宋体" w:hAnsi="宋体" w:cs="宋体"/>
          <w:szCs w:val="21"/>
        </w:rPr>
        <w:t>6</w:t>
      </w:r>
      <w:r>
        <w:rPr>
          <w:rFonts w:hint="eastAsia" w:ascii="宋体" w:hAnsi="宋体" w:cs="宋体"/>
          <w:szCs w:val="21"/>
        </w:rPr>
        <w:t xml:space="preserve">）与本工程有关的技术标准规范； </w:t>
      </w:r>
    </w:p>
    <w:p w14:paraId="7751D647">
      <w:pPr>
        <w:widowControl/>
        <w:spacing w:line="360" w:lineRule="auto"/>
        <w:ind w:firstLine="420" w:firstLineChars="200"/>
        <w:jc w:val="left"/>
        <w:rPr>
          <w:rFonts w:ascii="宋体" w:hAnsi="宋体" w:cs="宋体"/>
          <w:szCs w:val="21"/>
        </w:rPr>
      </w:pPr>
      <w:r>
        <w:rPr>
          <w:rFonts w:hint="eastAsia" w:ascii="宋体" w:hAnsi="宋体" w:cs="宋体"/>
          <w:szCs w:val="21"/>
        </w:rPr>
        <w:t>（</w:t>
      </w:r>
      <w:r>
        <w:rPr>
          <w:rFonts w:ascii="宋体" w:hAnsi="宋体" w:cs="宋体"/>
          <w:szCs w:val="21"/>
        </w:rPr>
        <w:t>7</w:t>
      </w:r>
      <w:r>
        <w:rPr>
          <w:rFonts w:hint="eastAsia" w:ascii="宋体" w:hAnsi="宋体" w:cs="宋体"/>
          <w:szCs w:val="21"/>
        </w:rPr>
        <w:t xml:space="preserve">）本工程施工现场情况、相关地勘水文资料、工程特点及交付标准； </w:t>
      </w:r>
    </w:p>
    <w:p w14:paraId="1996648C">
      <w:pPr>
        <w:widowControl/>
        <w:spacing w:line="360" w:lineRule="auto"/>
        <w:ind w:firstLine="420" w:firstLineChars="200"/>
        <w:jc w:val="left"/>
        <w:rPr>
          <w:rFonts w:ascii="宋体" w:hAnsi="宋体" w:cs="宋体"/>
          <w:szCs w:val="21"/>
        </w:rPr>
      </w:pPr>
      <w:r>
        <w:rPr>
          <w:rFonts w:hint="eastAsia" w:ascii="宋体" w:hAnsi="宋体" w:cs="宋体"/>
          <w:szCs w:val="21"/>
        </w:rPr>
        <w:t>（</w:t>
      </w:r>
      <w:r>
        <w:rPr>
          <w:rFonts w:ascii="宋体" w:hAnsi="宋体" w:cs="宋体"/>
          <w:szCs w:val="21"/>
        </w:rPr>
        <w:t>8</w:t>
      </w:r>
      <w:r>
        <w:rPr>
          <w:rFonts w:hint="eastAsia" w:ascii="宋体" w:hAnsi="宋体" w:cs="宋体"/>
          <w:szCs w:val="21"/>
        </w:rPr>
        <w:t>）</w:t>
      </w:r>
      <w:r>
        <w:rPr>
          <w:rFonts w:hint="eastAsia" w:ascii="宋体" w:hAnsi="宋体" w:cs="宋体"/>
          <w:szCs w:val="21"/>
          <w:u w:val="single"/>
        </w:rPr>
        <w:t xml:space="preserve">                 </w:t>
      </w:r>
      <w:r>
        <w:rPr>
          <w:rFonts w:hint="eastAsia" w:ascii="宋体" w:hAnsi="宋体" w:cs="宋体"/>
          <w:szCs w:val="21"/>
        </w:rPr>
        <w:t xml:space="preserve"> 等其他相关资料。 </w:t>
      </w:r>
    </w:p>
    <w:p w14:paraId="399C17EA">
      <w:pPr>
        <w:widowControl/>
        <w:spacing w:line="360" w:lineRule="auto"/>
        <w:ind w:firstLine="420" w:firstLineChars="200"/>
        <w:jc w:val="left"/>
        <w:rPr>
          <w:rFonts w:ascii="宋体" w:hAnsi="宋体" w:cs="宋体"/>
          <w:szCs w:val="21"/>
        </w:rPr>
      </w:pPr>
      <w:r>
        <w:rPr>
          <w:rFonts w:ascii="宋体" w:hAnsi="宋体" w:cs="宋体"/>
          <w:szCs w:val="21"/>
        </w:rPr>
        <w:t>2.3.2</w:t>
      </w:r>
      <w:r>
        <w:rPr>
          <w:rFonts w:hint="eastAsia" w:ascii="宋体" w:hAnsi="宋体" w:cs="宋体"/>
          <w:szCs w:val="21"/>
        </w:rPr>
        <w:t xml:space="preserve">本招标工程的工程量清单依据招标图纸、技术标准规范、相关工程国家及行业工程量计算标准及补充的工程量计算规则，确定分部分项工程项目清单及其项目特征，并计算其工程数量。分部分项工程清单项目按项计量编制的，在其计量单位中以项表示。本工程招标图纸没反映、但施工中可能会发生的清单项目及其项目特征，参考同类工程的设计图纸等资料在本招标工程量清单中列出，并结合招标工程及参考同类工程资料确定了暂定工程数量。 </w:t>
      </w:r>
    </w:p>
    <w:p w14:paraId="344E49AB">
      <w:pPr>
        <w:widowControl/>
        <w:spacing w:line="360" w:lineRule="auto"/>
        <w:ind w:firstLine="420" w:firstLineChars="200"/>
        <w:jc w:val="left"/>
        <w:rPr>
          <w:rFonts w:ascii="宋体" w:hAnsi="宋体" w:cs="宋体"/>
          <w:szCs w:val="21"/>
        </w:rPr>
      </w:pPr>
      <w:r>
        <w:rPr>
          <w:rFonts w:ascii="宋体" w:hAnsi="宋体" w:cs="宋体"/>
          <w:szCs w:val="21"/>
          <w:highlight w:val="yellow"/>
        </w:rPr>
        <w:t xml:space="preserve">2.3.3 </w:t>
      </w:r>
      <w:r>
        <w:rPr>
          <w:rFonts w:hint="eastAsia" w:ascii="宋体" w:hAnsi="宋体" w:cs="宋体"/>
          <w:szCs w:val="21"/>
          <w:highlight w:val="yellow"/>
        </w:rPr>
        <w:t xml:space="preserve">分部分项工程项目清单中由发包人提供材料的清单项目，本招标文件已明确发包人提供材料的名称、档次、规格型号、交货方式及地点、有效损耗率，详见招标工程量清单表 </w:t>
      </w:r>
      <w:r>
        <w:rPr>
          <w:rFonts w:ascii="宋体" w:hAnsi="宋体" w:cs="宋体"/>
          <w:szCs w:val="21"/>
          <w:highlight w:val="yellow"/>
        </w:rPr>
        <w:t>G.1.1</w:t>
      </w:r>
      <w:r>
        <w:rPr>
          <w:rFonts w:hint="eastAsia" w:ascii="宋体" w:hAnsi="宋体" w:cs="宋体"/>
          <w:szCs w:val="21"/>
          <w:highlight w:val="yellow"/>
        </w:rPr>
        <w:t>“发包人提供材料一览表”，并在项目特征中说明主材由发包人提供，同时明确主材名称。</w:t>
      </w:r>
      <w:r>
        <w:rPr>
          <w:rFonts w:hint="eastAsia" w:ascii="宋体" w:hAnsi="宋体" w:cs="宋体"/>
          <w:szCs w:val="21"/>
        </w:rPr>
        <w:t xml:space="preserve"> </w:t>
      </w:r>
    </w:p>
    <w:p w14:paraId="3A6D00E9">
      <w:pPr>
        <w:widowControl/>
        <w:spacing w:line="360" w:lineRule="auto"/>
        <w:ind w:firstLine="420" w:firstLineChars="200"/>
        <w:jc w:val="left"/>
        <w:rPr>
          <w:rFonts w:ascii="宋体" w:hAnsi="宋体" w:cs="宋体"/>
          <w:szCs w:val="21"/>
        </w:rPr>
      </w:pPr>
      <w:r>
        <w:rPr>
          <w:rFonts w:ascii="宋体" w:hAnsi="宋体" w:cs="宋体"/>
          <w:szCs w:val="21"/>
        </w:rPr>
        <w:t xml:space="preserve">2.3.4 </w:t>
      </w:r>
      <w:r>
        <w:rPr>
          <w:rFonts w:hint="eastAsia" w:ascii="宋体" w:hAnsi="宋体" w:cs="宋体"/>
          <w:szCs w:val="21"/>
        </w:rPr>
        <w:t xml:space="preserve">分部分项工程项目清单中由发包人提供暂估材料价格的清单项目，已在项目特征中明确材料暂估价的名称和供应方式，并在招标工程量清单表 </w:t>
      </w:r>
      <w:r>
        <w:rPr>
          <w:rFonts w:ascii="宋体" w:hAnsi="宋体" w:cs="宋体"/>
          <w:szCs w:val="21"/>
        </w:rPr>
        <w:t>E.2.3</w:t>
      </w:r>
      <w:r>
        <w:rPr>
          <w:rFonts w:hint="eastAsia" w:ascii="宋体" w:hAnsi="宋体" w:cs="宋体"/>
          <w:szCs w:val="21"/>
        </w:rPr>
        <w:t xml:space="preserve">“材料暂估单价表”中单独列出材料名称、规格型号、计量单位及其暂估单价。 </w:t>
      </w:r>
    </w:p>
    <w:p w14:paraId="02C8B1AE">
      <w:pPr>
        <w:widowControl/>
        <w:spacing w:line="360" w:lineRule="auto"/>
        <w:ind w:firstLine="420" w:firstLineChars="200"/>
        <w:jc w:val="left"/>
        <w:rPr>
          <w:rFonts w:ascii="宋体" w:hAnsi="宋体" w:cs="宋体"/>
          <w:szCs w:val="21"/>
        </w:rPr>
      </w:pPr>
      <w:r>
        <w:rPr>
          <w:rFonts w:ascii="宋体" w:hAnsi="宋体" w:cs="宋体"/>
          <w:szCs w:val="21"/>
        </w:rPr>
        <w:t xml:space="preserve">2.3.5 </w:t>
      </w:r>
      <w:r>
        <w:rPr>
          <w:rFonts w:hint="eastAsia" w:ascii="宋体" w:hAnsi="宋体" w:cs="宋体"/>
          <w:szCs w:val="21"/>
        </w:rPr>
        <w:t xml:space="preserve">措施项目清单结合本招标工程的实际情况和相关部门的有关规定，按相关工程国家及行业工程量计算标准的措施项目分类规则，以及补充的工程量计算规则，结合本招标文件及合同条款要求进行编制。其中，安全生产、环境保护、文明施工、临时设施措施项目按 </w:t>
      </w:r>
      <w:r>
        <w:rPr>
          <w:rFonts w:ascii="宋体" w:hAnsi="宋体" w:cs="宋体"/>
          <w:szCs w:val="21"/>
        </w:rPr>
        <w:t xml:space="preserve">2025 </w:t>
      </w:r>
      <w:r>
        <w:rPr>
          <w:rFonts w:hint="eastAsia" w:ascii="宋体" w:hAnsi="宋体" w:cs="宋体"/>
          <w:szCs w:val="21"/>
        </w:rPr>
        <w:t xml:space="preserve">版《山东省建设工程费用项目组成及计算规则》等山东省有关规定列项。 </w:t>
      </w:r>
    </w:p>
    <w:p w14:paraId="3CAABFD6">
      <w:pPr>
        <w:widowControl/>
        <w:spacing w:line="360" w:lineRule="auto"/>
        <w:ind w:firstLine="422" w:firstLineChars="200"/>
        <w:jc w:val="left"/>
        <w:rPr>
          <w:rFonts w:ascii="宋体" w:hAnsi="宋体" w:cs="宋体"/>
          <w:b/>
          <w:bCs/>
          <w:szCs w:val="21"/>
        </w:rPr>
      </w:pPr>
      <w:r>
        <w:rPr>
          <w:rFonts w:ascii="宋体" w:hAnsi="宋体" w:cs="宋体"/>
          <w:b/>
          <w:bCs/>
          <w:szCs w:val="21"/>
        </w:rPr>
        <w:t>2.3.6 本工程</w:t>
      </w:r>
      <w:r>
        <w:rPr>
          <w:b/>
          <w:bCs/>
          <w:szCs w:val="21"/>
        </w:rPr>
        <w:t>无暂列金额</w:t>
      </w:r>
      <w:r>
        <w:rPr>
          <w:rFonts w:ascii="宋体" w:hAnsi="宋体" w:cs="宋体"/>
          <w:b/>
          <w:bCs/>
          <w:szCs w:val="21"/>
        </w:rPr>
        <w:t>，不设置暂列金额清单列项。</w:t>
      </w:r>
    </w:p>
    <w:p w14:paraId="7D8E4A28">
      <w:pPr>
        <w:widowControl/>
        <w:spacing w:line="360" w:lineRule="auto"/>
        <w:ind w:firstLine="422" w:firstLineChars="200"/>
        <w:jc w:val="left"/>
        <w:rPr>
          <w:rFonts w:ascii="宋体" w:hAnsi="宋体" w:cs="宋体"/>
          <w:b/>
          <w:bCs/>
          <w:szCs w:val="21"/>
        </w:rPr>
      </w:pPr>
      <w:r>
        <w:rPr>
          <w:rFonts w:ascii="宋体" w:hAnsi="宋体" w:cs="宋体"/>
          <w:b/>
          <w:bCs/>
          <w:szCs w:val="21"/>
        </w:rPr>
        <w:t xml:space="preserve">2.3.7 </w:t>
      </w:r>
      <w:r>
        <w:rPr>
          <w:rFonts w:hint="eastAsia" w:ascii="宋体" w:hAnsi="宋体" w:cs="宋体"/>
          <w:b/>
          <w:bCs/>
          <w:szCs w:val="21"/>
        </w:rPr>
        <w:t>本工程无专业工程暂估价。</w:t>
      </w:r>
    </w:p>
    <w:p w14:paraId="56BFE36E">
      <w:pPr>
        <w:widowControl/>
        <w:spacing w:line="360" w:lineRule="auto"/>
        <w:ind w:firstLine="422" w:firstLineChars="200"/>
        <w:rPr>
          <w:rFonts w:ascii="宋体" w:hAnsi="宋体" w:cs="宋体"/>
          <w:b/>
          <w:bCs/>
          <w:szCs w:val="21"/>
        </w:rPr>
      </w:pPr>
      <w:r>
        <w:rPr>
          <w:rFonts w:ascii="宋体" w:hAnsi="宋体" w:cs="宋体"/>
          <w:b/>
          <w:bCs/>
          <w:szCs w:val="21"/>
        </w:rPr>
        <w:t xml:space="preserve">2.3.8 </w:t>
      </w:r>
      <w:r>
        <w:rPr>
          <w:rFonts w:hint="eastAsia" w:ascii="宋体" w:hAnsi="宋体" w:cs="宋体"/>
          <w:b/>
          <w:bCs/>
          <w:szCs w:val="21"/>
        </w:rPr>
        <w:t>本工程无发包人直接发包的专业工程，不设置对应明细表，无总承包管理服务费。</w:t>
      </w:r>
    </w:p>
    <w:p w14:paraId="7594906A">
      <w:pPr>
        <w:widowControl/>
        <w:spacing w:line="360" w:lineRule="auto"/>
        <w:ind w:firstLine="422" w:firstLineChars="200"/>
        <w:jc w:val="left"/>
        <w:rPr>
          <w:rFonts w:ascii="宋体" w:hAnsi="宋体" w:cs="宋体"/>
          <w:b/>
          <w:bCs/>
          <w:szCs w:val="21"/>
        </w:rPr>
      </w:pPr>
      <w:r>
        <w:rPr>
          <w:rFonts w:ascii="宋体" w:hAnsi="宋体" w:cs="宋体"/>
          <w:b/>
          <w:bCs/>
          <w:szCs w:val="21"/>
        </w:rPr>
        <w:t xml:space="preserve">2.3.9 </w:t>
      </w:r>
      <w:r>
        <w:rPr>
          <w:rFonts w:hint="eastAsia" w:ascii="宋体" w:hAnsi="宋体" w:cs="宋体"/>
          <w:b/>
          <w:bCs/>
          <w:szCs w:val="21"/>
        </w:rPr>
        <w:t xml:space="preserve">发包人提供的材料在招标工程量清单表 </w:t>
      </w:r>
      <w:r>
        <w:rPr>
          <w:rFonts w:ascii="宋体" w:hAnsi="宋体" w:cs="宋体"/>
          <w:b/>
          <w:bCs/>
          <w:szCs w:val="21"/>
        </w:rPr>
        <w:t>G.1.1</w:t>
      </w:r>
      <w:r>
        <w:rPr>
          <w:rFonts w:hint="eastAsia" w:ascii="宋体" w:hAnsi="宋体" w:cs="宋体"/>
          <w:b/>
          <w:bCs/>
          <w:szCs w:val="21"/>
        </w:rPr>
        <w:t xml:space="preserve">“发包人提供材料一览表”列出了材料明细项目、数量、单价等。 </w:t>
      </w:r>
    </w:p>
    <w:p w14:paraId="46D632EC">
      <w:pPr>
        <w:widowControl/>
        <w:spacing w:line="360" w:lineRule="auto"/>
        <w:ind w:firstLine="422" w:firstLineChars="200"/>
        <w:jc w:val="left"/>
        <w:rPr>
          <w:rFonts w:ascii="宋体" w:hAnsi="宋体" w:cs="宋体"/>
          <w:b/>
          <w:bCs/>
          <w:szCs w:val="21"/>
        </w:rPr>
      </w:pPr>
      <w:r>
        <w:rPr>
          <w:rFonts w:ascii="宋体" w:hAnsi="宋体" w:cs="宋体"/>
          <w:b/>
          <w:bCs/>
          <w:szCs w:val="21"/>
        </w:rPr>
        <w:t xml:space="preserve">2.3.10 </w:t>
      </w:r>
      <w:r>
        <w:rPr>
          <w:rFonts w:hint="eastAsia" w:ascii="宋体" w:hAnsi="宋体" w:cs="宋体"/>
          <w:b/>
          <w:bCs/>
          <w:szCs w:val="21"/>
        </w:rPr>
        <w:t>本工程不设置计日工清单列项。</w:t>
      </w:r>
    </w:p>
    <w:p w14:paraId="06728FAD">
      <w:pPr>
        <w:widowControl/>
        <w:spacing w:line="360" w:lineRule="auto"/>
        <w:ind w:firstLine="420" w:firstLineChars="200"/>
        <w:jc w:val="left"/>
        <w:rPr>
          <w:rFonts w:ascii="宋体" w:hAnsi="宋体" w:cs="宋体"/>
          <w:szCs w:val="21"/>
        </w:rPr>
      </w:pPr>
      <w:r>
        <w:rPr>
          <w:rFonts w:ascii="宋体" w:hAnsi="宋体" w:cs="宋体"/>
          <w:szCs w:val="21"/>
        </w:rPr>
        <w:t xml:space="preserve">2.3.11 </w:t>
      </w:r>
      <w:r>
        <w:rPr>
          <w:rFonts w:hint="eastAsia" w:ascii="宋体" w:hAnsi="宋体" w:cs="宋体"/>
          <w:szCs w:val="21"/>
        </w:rPr>
        <w:t xml:space="preserve">发包人提供材料、专业分包工程的总承包服务费分别列项，按项或费率计量。按费率计量的，以本清单给出的暂估价作为计价基础；直接发包的专业工程的总承包服务费以项计量。 </w:t>
      </w:r>
    </w:p>
    <w:p w14:paraId="74FBF7F2">
      <w:pPr>
        <w:widowControl/>
        <w:spacing w:line="360" w:lineRule="auto"/>
        <w:ind w:firstLine="420" w:firstLineChars="200"/>
        <w:jc w:val="left"/>
        <w:rPr>
          <w:rFonts w:ascii="宋体" w:hAnsi="宋体" w:cs="宋体"/>
          <w:szCs w:val="21"/>
        </w:rPr>
      </w:pPr>
      <w:r>
        <w:rPr>
          <w:rFonts w:ascii="宋体" w:hAnsi="宋体" w:cs="宋体"/>
          <w:szCs w:val="21"/>
        </w:rPr>
        <w:t xml:space="preserve">2.3.12 </w:t>
      </w:r>
      <w:r>
        <w:rPr>
          <w:rFonts w:hint="eastAsia" w:ascii="宋体" w:hAnsi="宋体" w:cs="宋体"/>
          <w:szCs w:val="21"/>
        </w:rPr>
        <w:t xml:space="preserve">本说明 </w:t>
      </w:r>
      <w:r>
        <w:rPr>
          <w:rFonts w:ascii="宋体" w:hAnsi="宋体" w:cs="宋体"/>
          <w:szCs w:val="21"/>
        </w:rPr>
        <w:t xml:space="preserve">2.3.6-2.3.11 </w:t>
      </w:r>
      <w:r>
        <w:rPr>
          <w:rFonts w:hint="eastAsia" w:ascii="宋体" w:hAnsi="宋体" w:cs="宋体"/>
          <w:szCs w:val="21"/>
        </w:rPr>
        <w:t>未包含的其他项目，如建设项目工伤保险、优质优价费等，根据招标文件要求结合工程实际情况做补充列项。</w:t>
      </w:r>
    </w:p>
    <w:p w14:paraId="7305A1D0">
      <w:pPr>
        <w:widowControl/>
        <w:spacing w:line="360" w:lineRule="auto"/>
        <w:ind w:firstLine="420" w:firstLineChars="200"/>
        <w:jc w:val="left"/>
        <w:rPr>
          <w:rFonts w:ascii="宋体" w:hAnsi="宋体" w:cs="宋体"/>
          <w:szCs w:val="21"/>
        </w:rPr>
      </w:pPr>
      <w:r>
        <w:rPr>
          <w:rFonts w:ascii="宋体" w:hAnsi="宋体" w:cs="宋体"/>
          <w:szCs w:val="21"/>
        </w:rPr>
        <w:t xml:space="preserve">2.3.13 </w:t>
      </w:r>
      <w:r>
        <w:rPr>
          <w:rFonts w:hint="eastAsia" w:ascii="宋体" w:hAnsi="宋体" w:cs="宋体"/>
          <w:szCs w:val="21"/>
        </w:rPr>
        <w:t>增值税根据政府有关主管部门的规定及《建设工程工程量清单计价标准》（</w:t>
      </w:r>
      <w:r>
        <w:rPr>
          <w:rFonts w:ascii="宋体" w:hAnsi="宋体" w:cs="宋体"/>
          <w:szCs w:val="21"/>
        </w:rPr>
        <w:t>GB/T50500-2024</w:t>
      </w:r>
      <w:r>
        <w:rPr>
          <w:rFonts w:hint="eastAsia" w:ascii="宋体" w:hAnsi="宋体" w:cs="宋体"/>
          <w:szCs w:val="21"/>
        </w:rPr>
        <w:t xml:space="preserve">）第 </w:t>
      </w:r>
      <w:r>
        <w:rPr>
          <w:rFonts w:ascii="宋体" w:hAnsi="宋体" w:cs="宋体"/>
          <w:szCs w:val="21"/>
        </w:rPr>
        <w:t xml:space="preserve">3.1.6 </w:t>
      </w:r>
      <w:r>
        <w:rPr>
          <w:rFonts w:hint="eastAsia" w:ascii="宋体" w:hAnsi="宋体" w:cs="宋体"/>
          <w:szCs w:val="21"/>
        </w:rPr>
        <w:t xml:space="preserve">条、第 </w:t>
      </w:r>
      <w:r>
        <w:rPr>
          <w:rFonts w:ascii="宋体" w:hAnsi="宋体" w:cs="宋体"/>
          <w:szCs w:val="21"/>
        </w:rPr>
        <w:t xml:space="preserve">3.2.11 </w:t>
      </w:r>
      <w:r>
        <w:rPr>
          <w:rFonts w:hint="eastAsia" w:ascii="宋体" w:hAnsi="宋体" w:cs="宋体"/>
          <w:szCs w:val="21"/>
        </w:rPr>
        <w:t xml:space="preserve">条的规定列项，按增值税税率计算。 </w:t>
      </w:r>
    </w:p>
    <w:p w14:paraId="3A1DAB17">
      <w:pPr>
        <w:pStyle w:val="13"/>
        <w:numPr>
          <w:ilvl w:val="0"/>
          <w:numId w:val="12"/>
        </w:numPr>
        <w:spacing w:line="360" w:lineRule="auto"/>
        <w:rPr>
          <w:rFonts w:ascii="宋体" w:hAnsi="宋体" w:eastAsia="宋体" w:cs="宋体"/>
          <w:b/>
          <w:bCs/>
          <w:sz w:val="21"/>
          <w:szCs w:val="21"/>
        </w:rPr>
      </w:pPr>
      <w:r>
        <w:rPr>
          <w:rFonts w:hint="eastAsia" w:ascii="宋体" w:hAnsi="宋体" w:eastAsia="宋体" w:cs="宋体"/>
          <w:b/>
          <w:bCs/>
          <w:sz w:val="21"/>
          <w:szCs w:val="21"/>
        </w:rPr>
        <w:t xml:space="preserve">工程量计算规则说明 </w:t>
      </w:r>
    </w:p>
    <w:p w14:paraId="1F396068">
      <w:pPr>
        <w:widowControl/>
        <w:spacing w:line="360" w:lineRule="auto"/>
        <w:ind w:firstLine="420" w:firstLineChars="200"/>
        <w:jc w:val="left"/>
        <w:rPr>
          <w:rFonts w:ascii="宋体" w:hAnsi="宋体" w:cs="宋体"/>
          <w:szCs w:val="21"/>
        </w:rPr>
      </w:pPr>
      <w:r>
        <w:rPr>
          <w:rFonts w:ascii="宋体" w:hAnsi="宋体" w:cs="宋体"/>
          <w:szCs w:val="21"/>
        </w:rPr>
        <w:t>3.1</w:t>
      </w:r>
      <w:r>
        <w:rPr>
          <w:rFonts w:hint="eastAsia" w:ascii="宋体" w:hAnsi="宋体" w:cs="宋体"/>
          <w:szCs w:val="21"/>
        </w:rPr>
        <w:t xml:space="preserve">本招标工程量清单使用的国家及行业工程量计算标准如下：详见本章第三节“招标工程量清单”。 </w:t>
      </w:r>
    </w:p>
    <w:p w14:paraId="77344175">
      <w:pPr>
        <w:widowControl/>
        <w:spacing w:line="360" w:lineRule="auto"/>
        <w:ind w:firstLine="420" w:firstLineChars="200"/>
        <w:jc w:val="left"/>
        <w:rPr>
          <w:rFonts w:ascii="宋体" w:hAnsi="宋体" w:cs="宋体"/>
          <w:szCs w:val="21"/>
        </w:rPr>
      </w:pPr>
      <w:r>
        <w:rPr>
          <w:rFonts w:ascii="宋体" w:hAnsi="宋体" w:cs="宋体"/>
          <w:szCs w:val="21"/>
        </w:rPr>
        <w:t xml:space="preserve">3.2 </w:t>
      </w:r>
      <w:r>
        <w:rPr>
          <w:rFonts w:hint="eastAsia" w:ascii="宋体" w:hAnsi="宋体" w:cs="宋体"/>
          <w:szCs w:val="21"/>
        </w:rPr>
        <w:t xml:space="preserve">根据工程实际需要补充的工程量计算规则及其适用工程如下：详见本章第三节“招标工程量清单”。 </w:t>
      </w:r>
    </w:p>
    <w:p w14:paraId="25544675">
      <w:pPr>
        <w:widowControl/>
        <w:spacing w:line="360" w:lineRule="auto"/>
        <w:jc w:val="left"/>
        <w:rPr>
          <w:rFonts w:ascii="宋体" w:hAnsi="宋体" w:cs="宋体"/>
          <w:szCs w:val="21"/>
        </w:rPr>
      </w:pPr>
      <w:r>
        <w:rPr>
          <w:rFonts w:ascii="宋体" w:hAnsi="宋体" w:cs="宋体"/>
          <w:szCs w:val="21"/>
        </w:rPr>
        <w:t>4.</w:t>
      </w:r>
      <w:r>
        <w:rPr>
          <w:rFonts w:hint="eastAsia" w:ascii="宋体" w:hAnsi="宋体" w:cs="宋体"/>
          <w:szCs w:val="21"/>
        </w:rPr>
        <w:t xml:space="preserve">其他说明：详见本章第三节“招标工程量清单”。 </w:t>
      </w:r>
    </w:p>
    <w:p w14:paraId="30215A17">
      <w:pPr>
        <w:widowControl/>
        <w:spacing w:line="360" w:lineRule="auto"/>
        <w:jc w:val="left"/>
        <w:rPr>
          <w:rFonts w:ascii="宋体" w:hAnsi="宋体" w:cs="宋体"/>
          <w:szCs w:val="21"/>
        </w:rPr>
      </w:pPr>
      <w:r>
        <w:rPr>
          <w:rFonts w:ascii="宋体" w:hAnsi="宋体" w:cs="宋体"/>
          <w:szCs w:val="21"/>
        </w:rPr>
        <w:t>5.</w:t>
      </w:r>
      <w:r>
        <w:rPr>
          <w:rFonts w:hint="eastAsia" w:ascii="宋体" w:hAnsi="宋体" w:cs="宋体"/>
          <w:szCs w:val="21"/>
        </w:rPr>
        <w:t xml:space="preserve">工程计价文件：投标报价应使用的计价表格详见本章第三节内容。 </w:t>
      </w:r>
    </w:p>
    <w:p w14:paraId="0A89F8F4">
      <w:pPr>
        <w:widowControl/>
        <w:spacing w:line="360" w:lineRule="auto"/>
        <w:jc w:val="left"/>
        <w:rPr>
          <w:rFonts w:ascii="宋体" w:hAnsi="宋体" w:cs="宋体"/>
          <w:szCs w:val="21"/>
        </w:rPr>
      </w:pPr>
      <w:r>
        <w:rPr>
          <w:rFonts w:ascii="宋体" w:hAnsi="宋体" w:cs="宋体"/>
          <w:szCs w:val="21"/>
        </w:rPr>
        <w:t>6.</w:t>
      </w:r>
      <w:r>
        <w:rPr>
          <w:rFonts w:hint="eastAsia" w:ascii="宋体" w:hAnsi="宋体" w:cs="宋体"/>
          <w:szCs w:val="21"/>
        </w:rPr>
        <w:t xml:space="preserve">招标工程量清单：招标工程量清单详见本章第三节，也可另册出版。 </w:t>
      </w:r>
    </w:p>
    <w:p w14:paraId="6A205EE3">
      <w:pPr>
        <w:widowControl/>
        <w:spacing w:line="360" w:lineRule="auto"/>
        <w:jc w:val="left"/>
        <w:rPr>
          <w:rFonts w:ascii="宋体" w:hAnsi="宋体" w:cs="宋体"/>
          <w:szCs w:val="21"/>
        </w:rPr>
      </w:pPr>
      <w:r>
        <w:rPr>
          <w:rFonts w:ascii="宋体" w:hAnsi="宋体" w:cs="宋体"/>
          <w:szCs w:val="21"/>
        </w:rPr>
        <w:t>7.</w:t>
      </w:r>
      <w:r>
        <w:rPr>
          <w:rFonts w:hint="eastAsia" w:ascii="宋体" w:hAnsi="宋体" w:cs="宋体"/>
          <w:szCs w:val="21"/>
        </w:rPr>
        <w:t>最高投标限价：无</w:t>
      </w:r>
    </w:p>
    <w:p w14:paraId="76E517C8">
      <w:pPr>
        <w:pStyle w:val="6"/>
        <w:spacing w:line="360" w:lineRule="auto"/>
        <w:jc w:val="center"/>
        <w:rPr>
          <w:rFonts w:ascii="宋体" w:hAnsi="宋体" w:cs="TimesNewRomanPSMT"/>
          <w:bCs w:val="0"/>
          <w:i w:val="0"/>
          <w:iCs w:val="0"/>
          <w:sz w:val="24"/>
          <w:szCs w:val="24"/>
        </w:rPr>
      </w:pPr>
      <w:bookmarkStart w:id="744" w:name="_Toc235533815"/>
      <w:r>
        <w:rPr>
          <w:rFonts w:hint="eastAsia" w:ascii="宋体" w:hAnsi="宋体" w:cs="TimesNewRomanPSMT"/>
          <w:bCs w:val="0"/>
          <w:i w:val="0"/>
          <w:iCs w:val="0"/>
          <w:sz w:val="24"/>
          <w:szCs w:val="24"/>
        </w:rPr>
        <w:t xml:space="preserve">第二节   </w:t>
      </w:r>
      <w:r>
        <w:rPr>
          <w:rFonts w:ascii="宋体" w:hAnsi="宋体" w:cs="TimesNewRomanPSMT"/>
          <w:bCs w:val="0"/>
          <w:i w:val="0"/>
          <w:iCs w:val="0"/>
          <w:sz w:val="24"/>
          <w:szCs w:val="24"/>
        </w:rPr>
        <w:t xml:space="preserve"> </w:t>
      </w:r>
      <w:r>
        <w:rPr>
          <w:rFonts w:hint="eastAsia" w:ascii="宋体" w:hAnsi="宋体" w:cs="TimesNewRomanPSMT"/>
          <w:bCs w:val="0"/>
          <w:i w:val="0"/>
          <w:iCs w:val="0"/>
          <w:sz w:val="24"/>
          <w:szCs w:val="24"/>
        </w:rPr>
        <w:t xml:space="preserve"> 投标报价要求</w:t>
      </w:r>
      <w:bookmarkEnd w:id="744"/>
    </w:p>
    <w:p w14:paraId="4DCE5462">
      <w:pPr>
        <w:pStyle w:val="2"/>
        <w:ind w:left="0" w:leftChars="0" w:firstLine="0" w:firstLineChars="0"/>
      </w:pPr>
      <w:r>
        <w:rPr>
          <w:rFonts w:hint="eastAsia" w:ascii="宋体" w:hAnsi="宋体" w:cs="宋体"/>
          <w:b/>
          <w:bCs/>
          <w:sz w:val="24"/>
        </w:rPr>
        <w:t>2.1投标报价要求</w:t>
      </w:r>
    </w:p>
    <w:p w14:paraId="7F880FD6">
      <w:pPr>
        <w:snapToGrid w:val="0"/>
        <w:spacing w:line="360" w:lineRule="auto"/>
        <w:ind w:firstLine="420" w:firstLineChars="200"/>
        <w:rPr>
          <w:rFonts w:ascii="宋体" w:hAnsi="宋体" w:cs="宋体"/>
          <w:szCs w:val="21"/>
        </w:rPr>
      </w:pPr>
      <w:bookmarkStart w:id="745" w:name="_Toc26291"/>
      <w:r>
        <w:rPr>
          <w:rFonts w:hint="eastAsia" w:ascii="宋体" w:hAnsi="宋体" w:cs="宋体"/>
          <w:szCs w:val="21"/>
        </w:rPr>
        <w:t xml:space="preserve">1.投标报价应由投标人在对招标工程资料（含设计文件、技术标准规范、合同条款、地勘水文资料等）、项目地理位置、场地情况、周边环境充分熟悉的基础上，根据招标文件要求和招标工程量清单，结合企业自身情况及风险承担能力自主确定。投标人应对已标价工程量清单填报价格的一致性及合理性负责，承担不合理报价及总价合同的工程量清单缺陷等风险。投标报价应符合下列规定和依据： </w:t>
      </w:r>
    </w:p>
    <w:p w14:paraId="21D47596">
      <w:pPr>
        <w:widowControl/>
        <w:spacing w:line="360" w:lineRule="auto"/>
        <w:ind w:firstLine="420" w:firstLineChars="200"/>
        <w:jc w:val="left"/>
        <w:rPr>
          <w:rFonts w:ascii="宋体" w:hAnsi="宋体" w:cs="宋体"/>
          <w:color w:val="000000"/>
          <w:kern w:val="0"/>
          <w:szCs w:val="21"/>
          <w:lang w:bidi="ar"/>
        </w:rPr>
      </w:pPr>
      <w:r>
        <w:rPr>
          <w:rFonts w:hint="eastAsia" w:ascii="宋体" w:hAnsi="宋体" w:cs="宋体"/>
          <w:color w:val="000000"/>
          <w:kern w:val="0"/>
          <w:szCs w:val="21"/>
          <w:lang w:bidi="ar"/>
        </w:rPr>
        <w:t xml:space="preserve">1）《建设工程工程量清单计价标准》（GB/T50500-2024）和相关工程国家及行业工程量计算标准； </w:t>
      </w:r>
    </w:p>
    <w:p w14:paraId="6EAFC43F">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lang w:bidi="ar"/>
        </w:rPr>
        <w:t>2）《〈建设工程工程量清单计价标准〉实施指引》（鲁建标字〔2025〕６号）；</w:t>
      </w:r>
    </w:p>
    <w:p w14:paraId="68088D09">
      <w:pPr>
        <w:widowControl/>
        <w:spacing w:line="360" w:lineRule="auto"/>
        <w:ind w:firstLine="420" w:firstLineChars="200"/>
        <w:rPr>
          <w:rFonts w:ascii="宋体" w:hAnsi="宋体" w:cs="宋体"/>
          <w:szCs w:val="21"/>
        </w:rPr>
      </w:pPr>
      <w:r>
        <w:rPr>
          <w:rFonts w:hint="eastAsia" w:ascii="宋体" w:hAnsi="宋体" w:cs="宋体"/>
          <w:color w:val="000000"/>
          <w:kern w:val="0"/>
          <w:szCs w:val="21"/>
          <w:lang w:bidi="ar"/>
        </w:rPr>
        <w:t>3）《山东省建设工程费用项目组成及计算规则》（2025版）（鲁建标字〔2025〕7号）；</w:t>
      </w:r>
    </w:p>
    <w:p w14:paraId="2B177EB1">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lang w:bidi="ar"/>
        </w:rPr>
        <w:t xml:space="preserve">4）本招标文件（包括招标工程量清单、合同条款、招标图纸、技术标准规范等）及其补遗、答疑、异议澄清或修正； </w:t>
      </w:r>
    </w:p>
    <w:p w14:paraId="3F641FC5">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lang w:bidi="ar"/>
        </w:rPr>
        <w:t xml:space="preserve">5）国家及省级、行业建设主管部门颁发的工程计量与计价相关规定，以及根据工程需要补充的工程量计算规则； </w:t>
      </w:r>
    </w:p>
    <w:p w14:paraId="7F23AFBD">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lang w:bidi="ar"/>
        </w:rPr>
        <w:t xml:space="preserve">6）与招标工程相关的技术标准规范等技术资料； </w:t>
      </w:r>
    </w:p>
    <w:p w14:paraId="1719EA70">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lang w:bidi="ar"/>
        </w:rPr>
        <w:t xml:space="preserve">7）工程特点及交付标准、地勘水文资料、现场踏勘情况； </w:t>
      </w:r>
    </w:p>
    <w:p w14:paraId="58437911">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lang w:bidi="ar"/>
        </w:rPr>
        <w:t xml:space="preserve">8）投标人的工程实施方案及投标工期； </w:t>
      </w:r>
    </w:p>
    <w:p w14:paraId="2F886BBA">
      <w:pPr>
        <w:widowControl/>
        <w:spacing w:line="360" w:lineRule="auto"/>
        <w:ind w:firstLine="420" w:firstLineChars="200"/>
        <w:rPr>
          <w:rFonts w:ascii="宋体" w:hAnsi="宋体" w:cs="宋体"/>
          <w:szCs w:val="21"/>
        </w:rPr>
      </w:pPr>
      <w:r>
        <w:rPr>
          <w:rFonts w:hint="eastAsia" w:ascii="宋体" w:hAnsi="宋体" w:cs="宋体"/>
          <w:color w:val="000000"/>
          <w:kern w:val="0"/>
          <w:szCs w:val="21"/>
          <w:lang w:bidi="ar"/>
        </w:rPr>
        <w:t xml:space="preserve">9）投标人企业定额、工程造价数据、市场价格信息及价格变动预期、装备及管理水平、造价资讯等； </w:t>
      </w:r>
    </w:p>
    <w:p w14:paraId="1F997D4A">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lang w:bidi="ar"/>
        </w:rPr>
        <w:t>10）</w:t>
      </w:r>
      <w:r>
        <w:rPr>
          <w:rFonts w:hint="eastAsia" w:ascii="宋体" w:hAnsi="宋体" w:cs="宋体"/>
          <w:color w:val="000000"/>
          <w:kern w:val="0"/>
          <w:szCs w:val="21"/>
          <w:u w:val="single"/>
          <w:lang w:bidi="ar"/>
        </w:rPr>
        <w:t xml:space="preserve">            </w:t>
      </w:r>
      <w:r>
        <w:rPr>
          <w:rFonts w:hint="eastAsia" w:ascii="宋体" w:hAnsi="宋体" w:cs="宋体"/>
          <w:color w:val="000000"/>
          <w:kern w:val="0"/>
          <w:szCs w:val="21"/>
          <w:lang w:bidi="ar"/>
        </w:rPr>
        <w:t>其他相关资料。</w:t>
      </w:r>
    </w:p>
    <w:p w14:paraId="5E6834A1">
      <w:pPr>
        <w:numPr>
          <w:ilvl w:val="255"/>
          <w:numId w:val="0"/>
        </w:numPr>
        <w:snapToGrid w:val="0"/>
        <w:spacing w:line="360" w:lineRule="auto"/>
        <w:ind w:firstLine="420" w:firstLineChars="200"/>
        <w:rPr>
          <w:rFonts w:ascii="宋体" w:hAnsi="宋体" w:cs="宋体"/>
          <w:b/>
          <w:bCs/>
          <w:szCs w:val="21"/>
        </w:rPr>
      </w:pPr>
      <w:r>
        <w:rPr>
          <w:rFonts w:hint="eastAsia" w:ascii="宋体" w:hAnsi="宋体" w:cs="宋体"/>
          <w:szCs w:val="21"/>
        </w:rPr>
        <w:t>2.投标人的投标报价应涵盖本招标工程的全部招标范围、工作内容，以及完整、合格地履行合同所需的全部金额。</w:t>
      </w:r>
      <w:r>
        <w:rPr>
          <w:rFonts w:hint="eastAsia" w:ascii="宋体" w:hAnsi="宋体" w:cs="宋体"/>
          <w:b/>
          <w:bCs/>
          <w:szCs w:val="21"/>
        </w:rPr>
        <w:t xml:space="preserve">投标报价不得低于投标人的成本价，也不得高于招标人公布的最高投标限价（若有），否则其投标将被否决。 </w:t>
      </w:r>
    </w:p>
    <w:p w14:paraId="5EB7FFE5">
      <w:pPr>
        <w:numPr>
          <w:ilvl w:val="255"/>
          <w:numId w:val="0"/>
        </w:numPr>
        <w:snapToGrid w:val="0"/>
        <w:spacing w:line="360" w:lineRule="auto"/>
        <w:ind w:firstLine="420" w:firstLineChars="200"/>
        <w:rPr>
          <w:rFonts w:ascii="宋体" w:hAnsi="宋体" w:cs="宋体"/>
          <w:b/>
          <w:bCs/>
          <w:szCs w:val="21"/>
        </w:rPr>
      </w:pPr>
      <w:r>
        <w:rPr>
          <w:rFonts w:hint="eastAsia" w:ascii="宋体" w:hAnsi="宋体" w:cs="宋体"/>
          <w:szCs w:val="21"/>
        </w:rPr>
        <w:t>3.投标人应在接收招标文件后，在其投标须知前附表中规定时间内根据招标文件说明的工程特点及合同要求复查招标文件中计划工期的可行性及其风险与影响。对计划工期存有疑问或异议的，应按招标文件的规定以书面形式提请招标人澄清或修正。投标人对计划工期或招标人澄清或修正后的计划工期无疑问或无异议的，投标人应根据自身的实施方案、施工技术、管理水平、合同履约风险及专业分包工程工期等合理确定投标工期并投标报价。</w:t>
      </w:r>
      <w:r>
        <w:rPr>
          <w:rFonts w:hint="eastAsia" w:ascii="宋体" w:hAnsi="宋体" w:cs="宋体"/>
          <w:b/>
          <w:bCs/>
          <w:szCs w:val="21"/>
        </w:rPr>
        <w:t xml:space="preserve">投标工期不得超过招标人的计划工期或澄清修正的计划工期，否则，其投标将被否决。 </w:t>
      </w:r>
    </w:p>
    <w:p w14:paraId="53E0D440">
      <w:pPr>
        <w:numPr>
          <w:ilvl w:val="255"/>
          <w:numId w:val="0"/>
        </w:numPr>
        <w:snapToGrid w:val="0"/>
        <w:spacing w:line="360" w:lineRule="auto"/>
        <w:ind w:firstLine="420" w:firstLineChars="200"/>
        <w:rPr>
          <w:rFonts w:ascii="宋体" w:hAnsi="宋体" w:cs="宋体"/>
          <w:b/>
          <w:bCs/>
          <w:szCs w:val="21"/>
        </w:rPr>
      </w:pPr>
      <w:r>
        <w:rPr>
          <w:rFonts w:hint="eastAsia" w:ascii="宋体" w:hAnsi="宋体" w:cs="宋体"/>
          <w:szCs w:val="21"/>
        </w:rPr>
        <w:t>4.投标人应在接收招标文件后，在其投标须知前附表中规定时间内根据工程特点、合同要求及现场踏勘情况，复查</w:t>
      </w:r>
      <w:r>
        <w:rPr>
          <w:rFonts w:hint="eastAsia" w:ascii="宋体" w:hAnsi="宋体" w:cs="宋体"/>
          <w:b/>
          <w:bCs/>
          <w:szCs w:val="21"/>
        </w:rPr>
        <w:t>措施项目</w:t>
      </w:r>
      <w:r>
        <w:rPr>
          <w:rFonts w:hint="eastAsia" w:ascii="宋体" w:hAnsi="宋体" w:cs="宋体"/>
          <w:szCs w:val="21"/>
        </w:rPr>
        <w:t>清单列项的完整性和适用性。如投标人对措施项目清单有疑问或异议的，可按招标文件的规定以书面形式提请招标人澄清或修正，若投标人认为需要增加措施项目的，可在措施项目中补充列项及报价，并对措施项目清单的准确性和完整性负责。</w:t>
      </w:r>
      <w:r>
        <w:rPr>
          <w:rFonts w:hint="eastAsia" w:ascii="宋体" w:hAnsi="宋体" w:cs="宋体"/>
          <w:b/>
          <w:bCs/>
          <w:szCs w:val="21"/>
        </w:rPr>
        <w:t>无论投标人是否对措施项目清单提出疑问或异议，也不论招标人是否予以澄清或修正，措施项目清单的准确性和完整性均由投标人负责。</w:t>
      </w:r>
    </w:p>
    <w:p w14:paraId="733B6FD7">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rPr>
        <w:t>5.投标人应在接收招标文件后，在其投标须知前附表中规定时间内对招标工程量清单的分部分项工程项目清单进行复核。如投标人对分部分项工程项目清单有疑问或异议的，应按招标文件的规定以书面形式提请招标人澄清，招标人核实后作出修正的，投标人应按修正后的分部分项工程项目清单进行投标报价。无论投标人是否已提出疑问或异议，分部分项工程项目清单的完整性和准确性由招标人负责。</w:t>
      </w:r>
    </w:p>
    <w:p w14:paraId="4A3E8E14">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rPr>
        <w:t>6.投标报价文件不得改变招标工程量清单（含修正内容）的项目编码、项目名称、 特征描述（分部分项工程项目清单）、计量单位、工程量、工作内容（措施项目清单）等已标明条件，也不得改变招标工程量清单（含修正内容）项目的排序方式，否则，招标人有权将其投标否决。招标文件允许补充列项的除外。</w:t>
      </w:r>
    </w:p>
    <w:p w14:paraId="5CDD8296">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rPr>
        <w:t xml:space="preserve">7.投标人对招标工程量清单、最高投标限价的完整性与合理性提出疑问或异议，经招标人澄清后，投标人可根据自身情况，对措施项目清单（按项计量）进行补充完善及报价；采用总价合同形式的，还可对分部分项工程项目清单进行补充完善并报价。 </w:t>
      </w:r>
    </w:p>
    <w:p w14:paraId="38E78EDB">
      <w:pPr>
        <w:numPr>
          <w:ilvl w:val="255"/>
          <w:numId w:val="0"/>
        </w:numPr>
        <w:snapToGrid w:val="0"/>
        <w:spacing w:line="360" w:lineRule="auto"/>
        <w:ind w:firstLine="420" w:firstLineChars="200"/>
        <w:rPr>
          <w:rFonts w:ascii="宋体" w:hAnsi="宋体" w:cs="宋体"/>
          <w:szCs w:val="21"/>
        </w:rPr>
      </w:pPr>
      <w:r>
        <w:rPr>
          <w:rFonts w:ascii="宋体" w:hAnsi="宋体" w:cs="宋体"/>
          <w:szCs w:val="21"/>
        </w:rPr>
        <w:t xml:space="preserve">7.1 </w:t>
      </w:r>
      <w:r>
        <w:rPr>
          <w:rFonts w:hint="eastAsia" w:ascii="宋体" w:hAnsi="宋体" w:cs="宋体"/>
          <w:szCs w:val="21"/>
        </w:rPr>
        <w:t xml:space="preserve">投标人对补充完善的已标价工程量清单的完整性及准确性负责。 </w:t>
      </w:r>
    </w:p>
    <w:p w14:paraId="266043A6">
      <w:pPr>
        <w:numPr>
          <w:ilvl w:val="255"/>
          <w:numId w:val="0"/>
        </w:numPr>
        <w:snapToGrid w:val="0"/>
        <w:spacing w:line="360" w:lineRule="auto"/>
        <w:ind w:firstLine="420" w:firstLineChars="200"/>
      </w:pPr>
      <w:r>
        <w:rPr>
          <w:rFonts w:ascii="宋体" w:hAnsi="宋体" w:cs="宋体"/>
          <w:szCs w:val="21"/>
        </w:rPr>
        <w:t>7.2</w:t>
      </w:r>
      <w:r>
        <w:rPr>
          <w:rFonts w:hint="eastAsia" w:ascii="宋体" w:hAnsi="宋体" w:cs="宋体"/>
          <w:szCs w:val="21"/>
        </w:rPr>
        <w:t xml:space="preserve">投标人自行补充的清单项目应置于各单位工程的分部分项工程项目清单计价表及措施项目清单计价表的末尾，以 </w:t>
      </w:r>
      <w:r>
        <w:rPr>
          <w:rFonts w:ascii="宋体" w:hAnsi="宋体" w:cs="宋体"/>
          <w:szCs w:val="21"/>
        </w:rPr>
        <w:t xml:space="preserve">TB001 </w:t>
      </w:r>
      <w:r>
        <w:rPr>
          <w:rFonts w:hint="eastAsia" w:ascii="宋体" w:hAnsi="宋体" w:cs="宋体"/>
          <w:szCs w:val="21"/>
        </w:rPr>
        <w:t>为初始编号，依次排列。</w:t>
      </w:r>
    </w:p>
    <w:p w14:paraId="560FF3D9">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lang w:bidi="ar"/>
        </w:rPr>
        <w:t>8.投标人应根据</w:t>
      </w:r>
      <w:r>
        <w:rPr>
          <w:rFonts w:hint="eastAsia" w:ascii="宋体" w:hAnsi="宋体" w:cs="宋体"/>
          <w:szCs w:val="21"/>
        </w:rPr>
        <w:t>招标</w:t>
      </w:r>
      <w:r>
        <w:rPr>
          <w:rFonts w:hint="eastAsia" w:ascii="宋体" w:hAnsi="宋体" w:cs="宋体"/>
          <w:szCs w:val="21"/>
          <w:lang w:bidi="ar"/>
        </w:rPr>
        <w:t>工程资料，结合企业技术能力、装备水平，编制合理可行的投标施工方案，并按拟定的施工方案编制投标报价。已标价工程量清单中涉及的施工工艺及技术措施应视为与投标施工方案一致。合同实施过程中，承包人不得以上述两者不一致为由要求价款调整。</w:t>
      </w:r>
    </w:p>
    <w:p w14:paraId="3D0A9CAE">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lang w:bidi="ar"/>
        </w:rPr>
        <w:t>9.投标人的投标</w:t>
      </w:r>
      <w:r>
        <w:rPr>
          <w:rFonts w:hint="eastAsia" w:ascii="宋体" w:hAnsi="宋体" w:cs="宋体"/>
          <w:szCs w:val="21"/>
        </w:rPr>
        <w:t>报价</w:t>
      </w:r>
      <w:r>
        <w:rPr>
          <w:rFonts w:hint="eastAsia" w:ascii="宋体" w:hAnsi="宋体" w:cs="宋体"/>
          <w:szCs w:val="21"/>
          <w:lang w:bidi="ar"/>
        </w:rPr>
        <w:t>应包括招标文件中表 G.2.1-1 承包人提供可调价主要材料表一或 G.2.1-2 承包人提供可调价主要材料表二规定的由承包人承担范围及幅度内的风险费用。</w:t>
      </w:r>
    </w:p>
    <w:p w14:paraId="5B2998AD">
      <w:pPr>
        <w:numPr>
          <w:ilvl w:val="255"/>
          <w:numId w:val="0"/>
        </w:numPr>
        <w:snapToGrid w:val="0"/>
        <w:spacing w:line="360" w:lineRule="auto"/>
        <w:ind w:firstLine="420" w:firstLineChars="200"/>
        <w:rPr>
          <w:rFonts w:ascii="宋体" w:hAnsi="宋体" w:cs="宋体"/>
          <w:szCs w:val="21"/>
          <w:lang w:bidi="ar"/>
        </w:rPr>
      </w:pPr>
      <w:r>
        <w:rPr>
          <w:rFonts w:hint="eastAsia" w:ascii="宋体" w:hAnsi="宋体" w:cs="宋体"/>
          <w:szCs w:val="21"/>
          <w:lang w:bidi="ar"/>
        </w:rPr>
        <w:t>10.投标人应按</w:t>
      </w:r>
      <w:r>
        <w:rPr>
          <w:rFonts w:hint="eastAsia" w:ascii="宋体" w:hAnsi="宋体" w:cs="宋体"/>
          <w:szCs w:val="21"/>
        </w:rPr>
        <w:t>要求</w:t>
      </w:r>
      <w:r>
        <w:rPr>
          <w:rFonts w:hint="eastAsia" w:ascii="宋体" w:hAnsi="宋体" w:cs="宋体"/>
          <w:szCs w:val="21"/>
          <w:lang w:bidi="ar"/>
        </w:rPr>
        <w:t>完整填报工程量清单中所有清单项目的综合单价及其合价和（或）总价计价项目的价格，且每个清单项目应只填报一个报价，未按要求填报（漏填或未填）综合单价及其合价和（或）清单项目价格的，相关清单项目报价视为已包含在投标总价中。</w:t>
      </w:r>
    </w:p>
    <w:p w14:paraId="65D2FA0A">
      <w:pPr>
        <w:numPr>
          <w:ilvl w:val="255"/>
          <w:numId w:val="0"/>
        </w:numPr>
        <w:snapToGrid w:val="0"/>
        <w:spacing w:line="360" w:lineRule="auto"/>
        <w:ind w:firstLine="420" w:firstLineChars="200"/>
      </w:pPr>
      <w:r>
        <w:rPr>
          <w:rFonts w:hint="eastAsia" w:ascii="宋体" w:hAnsi="宋体" w:cs="宋体"/>
          <w:szCs w:val="21"/>
        </w:rPr>
        <w:t xml:space="preserve">11.投标人的投标总价应与分部分项工程项目清单、措施项目清单、其他项目清单、增值税的合价总额一致。如投标总价与前述合价总额不相符，应在保持投标总价不变的前提下，按招标文件规定执行。 </w:t>
      </w:r>
    </w:p>
    <w:p w14:paraId="69CF3FA0">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rPr>
        <w:t xml:space="preserve">12.投标人应招标文件规定的国家及行业工程量计算标准规定和补充的工程量计算规则，对分部分项工程项目清单的所有清单项目进行报价，其报价应满足下列因素对价格的要求： </w:t>
      </w:r>
    </w:p>
    <w:p w14:paraId="4EC8CFD7">
      <w:pPr>
        <w:numPr>
          <w:ilvl w:val="255"/>
          <w:numId w:val="0"/>
        </w:numPr>
        <w:snapToGrid w:val="0"/>
        <w:spacing w:line="360" w:lineRule="auto"/>
        <w:ind w:firstLine="420" w:firstLineChars="200"/>
        <w:rPr>
          <w:rFonts w:ascii="宋体" w:hAnsi="宋体" w:cs="宋体"/>
          <w:szCs w:val="21"/>
        </w:rPr>
      </w:pPr>
      <w:r>
        <w:rPr>
          <w:rFonts w:hint="eastAsia" w:ascii="宋体" w:hAnsi="宋体" w:cs="宋体"/>
          <w:color w:val="000000"/>
          <w:kern w:val="0"/>
          <w:szCs w:val="21"/>
          <w:lang w:bidi="ar"/>
        </w:rPr>
        <w:t>1）工程数量对材料</w:t>
      </w:r>
      <w:r>
        <w:rPr>
          <w:rFonts w:hint="eastAsia" w:ascii="宋体" w:hAnsi="宋体" w:cs="宋体"/>
          <w:szCs w:val="21"/>
        </w:rPr>
        <w:t>采购</w:t>
      </w:r>
      <w:r>
        <w:rPr>
          <w:rFonts w:hint="eastAsia" w:ascii="宋体" w:hAnsi="宋体" w:cs="宋体"/>
          <w:color w:val="000000"/>
          <w:kern w:val="0"/>
          <w:szCs w:val="21"/>
          <w:lang w:bidi="ar"/>
        </w:rPr>
        <w:t xml:space="preserve">及人工价格的影响； </w:t>
      </w:r>
    </w:p>
    <w:p w14:paraId="08DA4878">
      <w:pPr>
        <w:numPr>
          <w:ilvl w:val="255"/>
          <w:numId w:val="0"/>
        </w:numPr>
        <w:snapToGrid w:val="0"/>
        <w:spacing w:line="360" w:lineRule="auto"/>
        <w:ind w:firstLine="420" w:firstLineChars="200"/>
        <w:rPr>
          <w:rFonts w:ascii="宋体" w:hAnsi="宋体" w:cs="宋体"/>
          <w:color w:val="000000"/>
          <w:kern w:val="0"/>
          <w:szCs w:val="21"/>
          <w:lang w:bidi="ar"/>
        </w:rPr>
      </w:pPr>
      <w:r>
        <w:rPr>
          <w:rFonts w:hint="eastAsia" w:ascii="宋体" w:hAnsi="宋体" w:cs="宋体"/>
          <w:color w:val="000000"/>
          <w:kern w:val="0"/>
          <w:szCs w:val="21"/>
          <w:lang w:bidi="ar"/>
        </w:rPr>
        <w:t>2）</w:t>
      </w:r>
      <w:r>
        <w:rPr>
          <w:rFonts w:hint="eastAsia" w:ascii="宋体" w:hAnsi="宋体" w:cs="宋体"/>
          <w:b/>
          <w:bCs/>
          <w:color w:val="000000"/>
          <w:kern w:val="0"/>
          <w:szCs w:val="21"/>
          <w:lang w:bidi="ar"/>
        </w:rPr>
        <w:t>招标文件规定物价变化进行价格调整的清单项目，在调整的范围和波动幅度内市场物价变动及调整时段带来的承包风险的影响；</w:t>
      </w:r>
      <w:r>
        <w:rPr>
          <w:rFonts w:hint="eastAsia" w:ascii="宋体" w:hAnsi="宋体" w:cs="宋体"/>
          <w:color w:val="000000"/>
          <w:kern w:val="0"/>
          <w:szCs w:val="21"/>
          <w:lang w:bidi="ar"/>
        </w:rPr>
        <w:t xml:space="preserve"> </w:t>
      </w:r>
    </w:p>
    <w:p w14:paraId="391AE382">
      <w:pPr>
        <w:numPr>
          <w:ilvl w:val="255"/>
          <w:numId w:val="0"/>
        </w:numPr>
        <w:snapToGrid w:val="0"/>
        <w:spacing w:line="360" w:lineRule="auto"/>
        <w:ind w:firstLine="420" w:firstLineChars="200"/>
        <w:rPr>
          <w:rFonts w:ascii="宋体" w:hAnsi="宋体" w:cs="宋体"/>
          <w:color w:val="000000"/>
          <w:kern w:val="0"/>
          <w:szCs w:val="21"/>
          <w:lang w:bidi="ar"/>
        </w:rPr>
      </w:pPr>
      <w:r>
        <w:rPr>
          <w:rFonts w:hint="eastAsia" w:ascii="宋体" w:hAnsi="宋体" w:cs="宋体"/>
          <w:color w:val="000000"/>
          <w:kern w:val="0"/>
          <w:szCs w:val="21"/>
          <w:lang w:bidi="ar"/>
        </w:rPr>
        <w:t>3）招标文件未规定物价变化进行价格调整的清单项目的材料费、人工费、施工机具使用费等市场价格波动的影响；</w:t>
      </w:r>
    </w:p>
    <w:p w14:paraId="5796C9BE">
      <w:pPr>
        <w:numPr>
          <w:ilvl w:val="255"/>
          <w:numId w:val="0"/>
        </w:numPr>
        <w:snapToGrid w:val="0"/>
        <w:spacing w:line="360" w:lineRule="auto"/>
        <w:ind w:firstLine="420" w:firstLineChars="200"/>
        <w:rPr>
          <w:rFonts w:ascii="宋体" w:hAnsi="宋体" w:cs="宋体"/>
          <w:szCs w:val="21"/>
        </w:rPr>
      </w:pPr>
      <w:r>
        <w:rPr>
          <w:rFonts w:hint="eastAsia" w:ascii="宋体" w:hAnsi="宋体" w:cs="宋体"/>
          <w:color w:val="000000"/>
          <w:kern w:val="0"/>
          <w:szCs w:val="21"/>
          <w:lang w:bidi="ar"/>
        </w:rPr>
        <w:t xml:space="preserve">4）履行《建设工程工程量清单计价标准》（GB/T50500-2024）第8.2节的工程量清单缺陷价格调整和《建设工程工程量清单计价标准》（GB/T50500-2024）第8.9节的工程变更计价规定的工程数量变化带来的承包风险的影响； </w:t>
      </w:r>
    </w:p>
    <w:p w14:paraId="4EC65DDB">
      <w:pPr>
        <w:numPr>
          <w:ilvl w:val="255"/>
          <w:numId w:val="0"/>
        </w:numPr>
        <w:snapToGrid w:val="0"/>
        <w:spacing w:line="360" w:lineRule="auto"/>
        <w:ind w:firstLine="420" w:firstLineChars="200"/>
        <w:rPr>
          <w:rFonts w:ascii="宋体" w:hAnsi="宋体" w:cs="宋体"/>
          <w:color w:val="000000"/>
          <w:kern w:val="0"/>
          <w:szCs w:val="21"/>
          <w:lang w:bidi="ar"/>
        </w:rPr>
      </w:pPr>
      <w:r>
        <w:rPr>
          <w:rFonts w:hint="eastAsia" w:ascii="宋体" w:hAnsi="宋体" w:cs="宋体"/>
          <w:color w:val="000000"/>
          <w:kern w:val="0"/>
          <w:szCs w:val="21"/>
          <w:lang w:bidi="ar"/>
        </w:rPr>
        <w:t>5）除履行</w:t>
      </w:r>
      <w:r>
        <w:rPr>
          <w:rFonts w:hint="eastAsia" w:ascii="宋体" w:hAnsi="宋体" w:cs="宋体"/>
          <w:szCs w:val="21"/>
        </w:rPr>
        <w:t>《建设工程工程量清单计价标准》</w:t>
      </w:r>
      <w:r>
        <w:rPr>
          <w:rFonts w:hint="eastAsia" w:ascii="宋体" w:hAnsi="宋体" w:cs="宋体"/>
          <w:color w:val="000000"/>
          <w:kern w:val="0"/>
          <w:szCs w:val="21"/>
          <w:lang w:bidi="ar"/>
        </w:rPr>
        <w:t>（GB/T50500-2024）第8章规定的合同价格调整外，总价合同及单价合同中综合单价不做调整规定所引起的承包风险的影响；</w:t>
      </w:r>
    </w:p>
    <w:p w14:paraId="2B0B809D">
      <w:pPr>
        <w:numPr>
          <w:ilvl w:val="255"/>
          <w:numId w:val="0"/>
        </w:numPr>
        <w:snapToGrid w:val="0"/>
        <w:spacing w:line="360" w:lineRule="auto"/>
        <w:ind w:firstLine="420" w:firstLineChars="200"/>
        <w:rPr>
          <w:rFonts w:ascii="宋体" w:hAnsi="宋体" w:cs="宋体"/>
          <w:b/>
          <w:bCs/>
          <w:szCs w:val="21"/>
        </w:rPr>
      </w:pPr>
      <w:r>
        <w:rPr>
          <w:rFonts w:hint="eastAsia" w:ascii="宋体" w:hAnsi="宋体" w:cs="宋体"/>
          <w:szCs w:val="21"/>
        </w:rPr>
        <w:t>13.对分部分项工程项目清单中按项计价的项目，投标人应按其项目特征的工作内容、自身的实施方案、市场合理价格，以及履行招标图纸和技术标准规范要求、按《建设工程工程量清单计价标准》（GB/T50500-2024）第 8.9 节规定执行工程变更价格调整引起的承包风险，对按项计价项目进行投标报价。</w:t>
      </w:r>
      <w:r>
        <w:rPr>
          <w:rFonts w:hint="eastAsia" w:ascii="宋体" w:hAnsi="宋体" w:cs="宋体"/>
          <w:b/>
          <w:bCs/>
          <w:szCs w:val="21"/>
        </w:rPr>
        <w:t>除合同另有约定外，按项计价项目报价为包干价，工程结算时</w:t>
      </w:r>
      <w:r>
        <w:rPr>
          <w:rFonts w:hint="eastAsia" w:ascii="宋体" w:hAnsi="宋体" w:cs="宋体"/>
          <w:b/>
          <w:bCs/>
          <w:szCs w:val="21"/>
          <w:highlight w:val="yellow"/>
        </w:rPr>
        <w:t>发生计取，不发生不计取。</w:t>
      </w:r>
    </w:p>
    <w:p w14:paraId="7351C9A5">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rPr>
        <w:t xml:space="preserve">14.对分部分项工程项目清单中发包人提供材料的清单项目，投标人应按招标文件说明的发包人提供材料的规格型号、品牌档次和《建设工程工程量清单计价标准》（GB/T50500-2024）第 3.6 节的规定，对发包人提供材料的清单项目进行安装报价，并应满足工程数量对人工价格变化、招标文件规定的有效损耗率、自身原因超耗使用材料产生的承包风险等要求。投标报价的综合单价及投标总价不应包含发包人提供材料的供货人将相关的材料运抵交货地点、完成卸货的费用。投标人认为招标工程量清单（含修正内容）中发包人提供材料的有效损耗率不能满足使用损耗的，应自行测算材料损耗率，并在综合单价分析表中明示超出有效损耗部分的材料数量。超出有效损耗率部分的材料费用由承包人承担，包含在投标综合单价中。 </w:t>
      </w:r>
    </w:p>
    <w:p w14:paraId="23B1AB24">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rPr>
        <w:t xml:space="preserve">15.对分部分项工程项目清单中载明材料暂估价的清单项目，应按工程量清单载明的材料暂估单价（不含增值税）计入综合单价。投标人对分部分项工程项目清单中的材料暂估价清单项目的报价，应满足工程数量对人工价格变化、履行《建设工程工程量清单计价标准》（GB/T50500-2024）第 8.4 节规定的材料暂估价调价规则产生的价格变化等要求，并按招标文件提供的材料暂估价单价在表 E.2.3“材料暂估单价表”中完善数量及合价。 </w:t>
      </w:r>
    </w:p>
    <w:p w14:paraId="71FF42A4">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rPr>
        <w:t xml:space="preserve">16.投标人应按自身的工程实施方案及投标工期、招标文件规定拟定的措施项目，对措施项目清单进行自主报价。措施项目清单的报价应满足下列因素对价格影响的要求： </w:t>
      </w:r>
    </w:p>
    <w:p w14:paraId="68AC811E">
      <w:pPr>
        <w:numPr>
          <w:ilvl w:val="255"/>
          <w:numId w:val="0"/>
        </w:numPr>
        <w:snapToGrid w:val="0"/>
        <w:spacing w:line="360" w:lineRule="auto"/>
        <w:ind w:firstLine="420" w:firstLineChars="200"/>
        <w:rPr>
          <w:rFonts w:ascii="宋体" w:hAnsi="宋体" w:cs="宋体"/>
          <w:szCs w:val="21"/>
        </w:rPr>
      </w:pPr>
      <w:r>
        <w:rPr>
          <w:rFonts w:hint="eastAsia" w:ascii="宋体" w:hAnsi="宋体" w:cs="宋体"/>
          <w:color w:val="000000"/>
          <w:kern w:val="0"/>
          <w:szCs w:val="21"/>
          <w:lang w:bidi="ar"/>
        </w:rPr>
        <w:t>1）招标工程的特点</w:t>
      </w:r>
      <w:r>
        <w:rPr>
          <w:rFonts w:hint="eastAsia" w:ascii="宋体" w:hAnsi="宋体" w:cs="宋体"/>
          <w:szCs w:val="21"/>
        </w:rPr>
        <w:t xml:space="preserve">及其标段划分和完工交付标准； </w:t>
      </w:r>
    </w:p>
    <w:p w14:paraId="3CE23956">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rPr>
        <w:t xml:space="preserve">2）工程地质条件、邻近建筑物、现场设施情况、周边道路、交通、水文、环境； </w:t>
      </w:r>
    </w:p>
    <w:p w14:paraId="4DBE5F20">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rPr>
        <w:t xml:space="preserve">3）招标文件说明的相关合同责任； </w:t>
      </w:r>
    </w:p>
    <w:p w14:paraId="1B542206">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rPr>
        <w:t>4）招标文件规定的</w:t>
      </w:r>
      <w:r>
        <w:rPr>
          <w:rFonts w:hint="eastAsia" w:ascii="宋体" w:hAnsi="宋体" w:cs="宋体"/>
          <w:color w:val="000000"/>
          <w:kern w:val="0"/>
          <w:szCs w:val="21"/>
          <w:lang w:bidi="ar"/>
        </w:rPr>
        <w:t xml:space="preserve">承包风险； </w:t>
      </w:r>
    </w:p>
    <w:p w14:paraId="05A9FA07">
      <w:pPr>
        <w:numPr>
          <w:ilvl w:val="255"/>
          <w:numId w:val="0"/>
        </w:numPr>
        <w:snapToGrid w:val="0"/>
        <w:spacing w:line="360" w:lineRule="auto"/>
        <w:ind w:firstLine="420" w:firstLineChars="200"/>
        <w:rPr>
          <w:rFonts w:ascii="宋体" w:hAnsi="宋体" w:cs="宋体"/>
          <w:szCs w:val="21"/>
        </w:rPr>
      </w:pPr>
      <w:r>
        <w:rPr>
          <w:rFonts w:hint="eastAsia" w:ascii="宋体" w:hAnsi="宋体" w:cs="宋体"/>
          <w:color w:val="000000"/>
          <w:kern w:val="0"/>
          <w:szCs w:val="21"/>
          <w:lang w:bidi="ar"/>
        </w:rPr>
        <w:t>5）发包人提供材</w:t>
      </w:r>
      <w:r>
        <w:rPr>
          <w:rFonts w:hint="eastAsia" w:ascii="宋体" w:hAnsi="宋体" w:cs="宋体"/>
          <w:szCs w:val="21"/>
        </w:rPr>
        <w:t xml:space="preserve">料的货物供应、专业分包工程、直接发包的专业工程的总承包管理服务（本款仅适用于施工总承包合同的投标报价）； </w:t>
      </w:r>
    </w:p>
    <w:p w14:paraId="64E99AB5">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rPr>
        <w:t>6）措施项目清单中的安全生产、环境保护、文明施工、临时设施措施费的报价应满足国家及省相关部门规</w:t>
      </w:r>
      <w:r>
        <w:rPr>
          <w:rFonts w:hint="eastAsia" w:ascii="宋体" w:hAnsi="宋体" w:cs="宋体"/>
          <w:color w:val="000000"/>
          <w:kern w:val="0"/>
          <w:szCs w:val="21"/>
          <w:lang w:bidi="ar"/>
        </w:rPr>
        <w:t xml:space="preserve">定，投标报价对应费率不得低于招标工程适用《山东省建设工程费用项目组成及计算规则》（2025 版）所对应的费率，否则，投标将被否决。 </w:t>
      </w:r>
    </w:p>
    <w:p w14:paraId="70E10C7C">
      <w:pPr>
        <w:numPr>
          <w:ilvl w:val="255"/>
          <w:numId w:val="0"/>
        </w:numPr>
        <w:snapToGrid w:val="0"/>
        <w:spacing w:line="360" w:lineRule="auto"/>
        <w:ind w:firstLine="420" w:firstLineChars="200"/>
        <w:rPr>
          <w:rFonts w:ascii="宋体" w:hAnsi="宋体" w:cs="宋体"/>
          <w:color w:val="000000"/>
          <w:kern w:val="0"/>
          <w:szCs w:val="21"/>
          <w:lang w:bidi="ar"/>
        </w:rPr>
      </w:pPr>
      <w:r>
        <w:rPr>
          <w:rFonts w:hint="eastAsia" w:ascii="宋体" w:hAnsi="宋体" w:cs="宋体"/>
          <w:color w:val="000000"/>
          <w:kern w:val="0"/>
          <w:szCs w:val="21"/>
          <w:lang w:bidi="ar"/>
        </w:rPr>
        <w:t>7）</w:t>
      </w:r>
      <w:r>
        <w:rPr>
          <w:rFonts w:hint="eastAsia" w:ascii="宋体" w:hAnsi="宋体" w:cs="宋体"/>
          <w:b/>
          <w:bCs/>
          <w:color w:val="000000"/>
          <w:kern w:val="0"/>
          <w:szCs w:val="21"/>
          <w:highlight w:val="yellow"/>
          <w:lang w:bidi="ar"/>
        </w:rPr>
        <w:t>执行措施项目费用包干引起的承包风险。工程变更、暂列金额中未能完全预见或详细说明的工程、新增工程、工程索赔等引起的措施项目的费用（除安全文明措施费之外）不予计取。</w:t>
      </w:r>
      <w:r>
        <w:rPr>
          <w:rFonts w:hint="eastAsia" w:ascii="宋体" w:hAnsi="宋体" w:cs="宋体"/>
          <w:b/>
          <w:bCs/>
          <w:szCs w:val="21"/>
          <w:highlight w:val="yellow"/>
        </w:rPr>
        <w:t>安全文明措施费（安全生产、环境保护、文明施工、临时设施措施项目）在结算时，</w:t>
      </w:r>
      <w:r>
        <w:rPr>
          <w:rFonts w:ascii="宋体" w:hAnsi="宋体" w:cs="宋体"/>
          <w:b/>
          <w:bCs/>
          <w:szCs w:val="21"/>
          <w:highlight w:val="yellow"/>
        </w:rPr>
        <w:t>按调整后的计算基数及合同约定费率重新计算。</w:t>
      </w:r>
    </w:p>
    <w:p w14:paraId="04A8DF1F">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rPr>
        <w:t>17.投标人应按招标工程量清单中提供的暂列金额、专业工程暂估价金额，准确填报在相应投标总价内，不得修改或竞争，否则投标将被否决。</w:t>
      </w:r>
    </w:p>
    <w:p w14:paraId="5D84554B">
      <w:pPr>
        <w:numPr>
          <w:ilvl w:val="255"/>
          <w:numId w:val="0"/>
        </w:numPr>
        <w:snapToGrid w:val="0"/>
        <w:spacing w:line="360" w:lineRule="auto"/>
        <w:ind w:firstLine="480" w:firstLineChars="200"/>
        <w:rPr>
          <w:rFonts w:ascii="宋体" w:hAnsi="宋体" w:cs="宋体"/>
          <w:szCs w:val="21"/>
        </w:rPr>
      </w:pPr>
      <w:r>
        <w:rPr>
          <w:color w:val="000000"/>
          <w:kern w:val="0"/>
          <w:sz w:val="24"/>
          <w:lang w:bidi="ar"/>
        </w:rPr>
        <w:t>18.</w:t>
      </w:r>
      <w:r>
        <w:rPr>
          <w:rFonts w:hint="eastAsia" w:ascii="宋体" w:hAnsi="宋体" w:cs="宋体"/>
          <w:szCs w:val="21"/>
        </w:rPr>
        <w:t>投标人应按计日工清单中提供的清单项目及其暂定数量和《建设工程工程量清单计价标准》（</w:t>
      </w:r>
      <w:r>
        <w:rPr>
          <w:rFonts w:ascii="宋体" w:hAnsi="宋体" w:cs="宋体"/>
          <w:szCs w:val="21"/>
        </w:rPr>
        <w:t>GB/T50500-2024</w:t>
      </w:r>
      <w:r>
        <w:rPr>
          <w:rFonts w:hint="eastAsia" w:ascii="宋体" w:hAnsi="宋体" w:cs="宋体"/>
          <w:szCs w:val="21"/>
        </w:rPr>
        <w:t>）第</w:t>
      </w:r>
      <w:r>
        <w:rPr>
          <w:rFonts w:ascii="宋体" w:hAnsi="宋体" w:cs="宋体"/>
          <w:szCs w:val="21"/>
        </w:rPr>
        <w:t>3.2.10</w:t>
      </w:r>
      <w:r>
        <w:rPr>
          <w:rFonts w:hint="eastAsia" w:ascii="宋体" w:hAnsi="宋体" w:cs="宋体"/>
          <w:szCs w:val="21"/>
        </w:rPr>
        <w:t>条、第</w:t>
      </w:r>
      <w:r>
        <w:rPr>
          <w:rFonts w:ascii="宋体" w:hAnsi="宋体" w:cs="宋体"/>
          <w:szCs w:val="21"/>
        </w:rPr>
        <w:t>8.6</w:t>
      </w:r>
      <w:r>
        <w:rPr>
          <w:rFonts w:hint="eastAsia" w:ascii="宋体" w:hAnsi="宋体" w:cs="宋体"/>
          <w:szCs w:val="21"/>
        </w:rPr>
        <w:t>节的相关规定，对计日工清单项目进行投标报价。</w:t>
      </w:r>
    </w:p>
    <w:p w14:paraId="38C8FE74">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rPr>
        <w:t>19.投标人应按工程实施方案和对各专业分包工程、发包人直接发包的专业工程的工期安排，以及对发包人提供材料的供应履行管理及协调责任、对各专业分包工程履行管理和协调及配合责任、对发包人各直接发包的专业工程履行协调及配合责任等招标文件规定的总承包服务内容及要求。对其他项目清单中的各项总承包服务费进行投标报价，并应满足《建设工程工程量清单计价标准》（</w:t>
      </w:r>
      <w:r>
        <w:rPr>
          <w:rFonts w:ascii="宋体" w:hAnsi="宋体" w:cs="宋体"/>
          <w:szCs w:val="21"/>
        </w:rPr>
        <w:t>GB/T50500-2024</w:t>
      </w:r>
      <w:r>
        <w:rPr>
          <w:rFonts w:hint="eastAsia" w:ascii="宋体" w:hAnsi="宋体" w:cs="宋体"/>
          <w:szCs w:val="21"/>
        </w:rPr>
        <w:t xml:space="preserve">）第 </w:t>
      </w:r>
      <w:r>
        <w:rPr>
          <w:rFonts w:ascii="宋体" w:hAnsi="宋体" w:cs="宋体"/>
          <w:szCs w:val="21"/>
        </w:rPr>
        <w:t xml:space="preserve">8.5 </w:t>
      </w:r>
      <w:r>
        <w:rPr>
          <w:rFonts w:hint="eastAsia" w:ascii="宋体" w:hAnsi="宋体" w:cs="宋体"/>
          <w:szCs w:val="21"/>
        </w:rPr>
        <w:t>节规定的总承包服务费计价风险的要求。</w:t>
      </w:r>
    </w:p>
    <w:p w14:paraId="2A899D21">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rPr>
        <w:t>20.投标人依据相关造价资讯进行投标报价时，应满足招标工程与所使用造价资讯相应工程存在的建设时间、建设地点、建设规模、完工交付标准、招投标方式、材料来源、使用工人来源等差异引起的价格变化的要求，投标人可在合理调整造价资讯相关价格后应用于投标报价。</w:t>
      </w:r>
    </w:p>
    <w:p w14:paraId="6E92BCDA">
      <w:pPr>
        <w:numPr>
          <w:ilvl w:val="255"/>
          <w:numId w:val="0"/>
        </w:numPr>
        <w:snapToGrid w:val="0"/>
        <w:spacing w:line="360" w:lineRule="auto"/>
        <w:ind w:firstLine="420" w:firstLineChars="200"/>
        <w:rPr>
          <w:rFonts w:ascii="宋体" w:hAnsi="宋体" w:cs="宋体"/>
          <w:b/>
          <w:bCs/>
          <w:szCs w:val="21"/>
        </w:rPr>
      </w:pPr>
      <w:r>
        <w:rPr>
          <w:rFonts w:hint="eastAsia" w:ascii="宋体" w:hAnsi="宋体" w:cs="宋体"/>
          <w:szCs w:val="21"/>
        </w:rPr>
        <w:t>21.投标人依据完成报价的分部分项工程项目清单、措施项目清单、其他项目清单（扣除专业工程暂估价）的清单总价汇总后，应按《建设工程工程量清单计价标准》（GB/T50500-2024）第3.2.11条的规定，将其汇总的项目清单总价乘以增值税税率确定增值税报价。</w:t>
      </w:r>
      <w:r>
        <w:rPr>
          <w:rFonts w:hint="eastAsia" w:ascii="宋体" w:hAnsi="宋体" w:cs="宋体"/>
          <w:b/>
          <w:bCs/>
          <w:szCs w:val="21"/>
        </w:rPr>
        <w:t>本招标工程实行一般计税法，增值税税率执行</w:t>
      </w:r>
      <w:r>
        <w:rPr>
          <w:rFonts w:hint="eastAsia" w:ascii="宋体" w:hAnsi="宋体" w:cs="宋体"/>
          <w:b/>
          <w:bCs/>
          <w:szCs w:val="21"/>
          <w:u w:val="single"/>
        </w:rPr>
        <w:t xml:space="preserve">  9  </w:t>
      </w:r>
      <w:r>
        <w:rPr>
          <w:rFonts w:hint="eastAsia" w:ascii="宋体" w:hAnsi="宋体" w:cs="宋体"/>
          <w:b/>
          <w:bCs/>
          <w:szCs w:val="21"/>
        </w:rPr>
        <w:t>%，不得竞争报价，否则，投标将被否决。</w:t>
      </w:r>
    </w:p>
    <w:p w14:paraId="0E63E545">
      <w:pPr>
        <w:numPr>
          <w:ilvl w:val="255"/>
          <w:numId w:val="0"/>
        </w:numPr>
        <w:snapToGrid w:val="0"/>
        <w:spacing w:line="360" w:lineRule="auto"/>
        <w:ind w:firstLine="420" w:firstLineChars="200"/>
      </w:pPr>
      <w:r>
        <w:rPr>
          <w:rFonts w:hint="eastAsia" w:ascii="宋体" w:hAnsi="宋体" w:cs="宋体"/>
          <w:szCs w:val="21"/>
        </w:rPr>
        <w:t>22.投标人应在投标文件提交时完整提交与已标价工程量清单中综合单价及合价一致的费用构成明细表，相关表格应符合本招标文件提供的“分部分项工程项目清单综合单价分析表”、“措施项目清单构成明细分析表”、“措施项目拆分表”、“大型机械进出场费用组成明细表”的有关规定。</w:t>
      </w:r>
      <w:r>
        <w:rPr>
          <w:rFonts w:hint="eastAsia" w:ascii="宋体" w:hAnsi="宋体" w:cs="宋体"/>
          <w:b/>
          <w:bCs/>
          <w:szCs w:val="21"/>
        </w:rPr>
        <w:t>未按本条提交上述表格或未按要求填报的，投标将被否决。</w:t>
      </w:r>
    </w:p>
    <w:p w14:paraId="295F351A">
      <w:pPr>
        <w:numPr>
          <w:ilvl w:val="255"/>
          <w:numId w:val="0"/>
        </w:numPr>
        <w:snapToGrid w:val="0"/>
        <w:spacing w:line="360" w:lineRule="auto"/>
        <w:ind w:firstLine="422" w:firstLineChars="200"/>
        <w:rPr>
          <w:b/>
          <w:bCs/>
          <w:szCs w:val="21"/>
        </w:rPr>
      </w:pPr>
      <w:r>
        <w:rPr>
          <w:rFonts w:hint="eastAsia" w:ascii="宋体" w:hAnsi="宋体" w:cs="宋体"/>
          <w:b/>
          <w:bCs/>
          <w:color w:val="000000"/>
          <w:kern w:val="0"/>
          <w:szCs w:val="21"/>
          <w:lang w:bidi="ar"/>
        </w:rPr>
        <w:t>23.其他说明和要求</w:t>
      </w:r>
    </w:p>
    <w:p w14:paraId="4484E04A">
      <w:pPr>
        <w:numPr>
          <w:ilvl w:val="255"/>
          <w:numId w:val="0"/>
        </w:numPr>
        <w:snapToGrid w:val="0"/>
        <w:spacing w:line="360" w:lineRule="auto"/>
        <w:ind w:firstLine="420" w:firstLineChars="200"/>
        <w:rPr>
          <w:szCs w:val="21"/>
        </w:rPr>
      </w:pPr>
      <w:r>
        <w:rPr>
          <w:rFonts w:hint="eastAsia" w:ascii="宋体" w:hAnsi="宋体" w:cs="宋体"/>
          <w:color w:val="000000"/>
          <w:kern w:val="0"/>
          <w:szCs w:val="21"/>
          <w:lang w:bidi="ar"/>
        </w:rPr>
        <w:t>23.1本章所有术语与</w:t>
      </w:r>
      <w:r>
        <w:rPr>
          <w:rFonts w:hint="eastAsia" w:ascii="宋体" w:hAnsi="宋体" w:cs="宋体"/>
          <w:szCs w:val="21"/>
        </w:rPr>
        <w:t>《建设工程工程量清单计价标准》</w:t>
      </w:r>
      <w:r>
        <w:rPr>
          <w:rFonts w:hint="eastAsia" w:ascii="宋体" w:hAnsi="宋体" w:cs="宋体"/>
          <w:color w:val="000000"/>
          <w:kern w:val="0"/>
          <w:szCs w:val="21"/>
          <w:lang w:bidi="ar"/>
        </w:rPr>
        <w:t>（</w:t>
      </w:r>
      <w:r>
        <w:rPr>
          <w:color w:val="000000"/>
          <w:kern w:val="0"/>
          <w:szCs w:val="21"/>
          <w:lang w:bidi="ar"/>
        </w:rPr>
        <w:t>GB/T50500-2024</w:t>
      </w:r>
      <w:r>
        <w:rPr>
          <w:rFonts w:hint="eastAsia" w:ascii="宋体" w:hAnsi="宋体" w:cs="宋体"/>
          <w:color w:val="000000"/>
          <w:kern w:val="0"/>
          <w:szCs w:val="21"/>
          <w:lang w:bidi="ar"/>
        </w:rPr>
        <w:t>）定义的术语一致。</w:t>
      </w:r>
    </w:p>
    <w:p w14:paraId="389D596A">
      <w:pPr>
        <w:numPr>
          <w:ilvl w:val="255"/>
          <w:numId w:val="0"/>
        </w:numPr>
        <w:snapToGrid w:val="0"/>
        <w:spacing w:line="360" w:lineRule="auto"/>
        <w:ind w:firstLine="420" w:firstLineChars="200"/>
        <w:rPr>
          <w:rFonts w:ascii="宋体" w:hAnsi="宋体" w:cs="宋体"/>
          <w:szCs w:val="21"/>
        </w:rPr>
      </w:pPr>
      <w:r>
        <w:rPr>
          <w:rFonts w:hint="eastAsia" w:ascii="宋体" w:hAnsi="宋体" w:cs="宋体"/>
          <w:szCs w:val="21"/>
        </w:rPr>
        <w:t>23.2本次招标投标工程费用项目组成及计算规则遵循《山东省建设工程费用项目组成及计算规则》（2025 版）（鲁建标字〔2025〕7 号）规定，本章未尽事宜，以《山东省建设工程费用项目组成及计算规则》（2025 版）为准。</w:t>
      </w:r>
    </w:p>
    <w:p w14:paraId="077C0BE1">
      <w:pPr>
        <w:numPr>
          <w:ilvl w:val="255"/>
          <w:numId w:val="0"/>
        </w:numPr>
        <w:snapToGrid w:val="0"/>
        <w:spacing w:line="360" w:lineRule="auto"/>
        <w:ind w:firstLine="422" w:firstLineChars="200"/>
        <w:rPr>
          <w:highlight w:val="yellow"/>
        </w:rPr>
      </w:pPr>
      <w:r>
        <w:rPr>
          <w:rFonts w:hint="eastAsia" w:ascii="宋体" w:hAnsi="宋体" w:cs="宋体"/>
          <w:b/>
          <w:bCs/>
          <w:szCs w:val="21"/>
          <w:highlight w:val="yellow"/>
        </w:rPr>
        <w:t>23.3不允许投标单位采用不平衡报价，如发现非客观因素不平衡报价，招标人有权对其高报价部分予以调低价格，结算时按不利于投标人的方式结算。</w:t>
      </w:r>
    </w:p>
    <w:p w14:paraId="3CE07E72">
      <w:pPr>
        <w:numPr>
          <w:ilvl w:val="255"/>
          <w:numId w:val="0"/>
        </w:numPr>
        <w:snapToGrid w:val="0"/>
        <w:spacing w:line="360" w:lineRule="auto"/>
        <w:ind w:firstLine="422" w:firstLineChars="200"/>
        <w:rPr>
          <w:rFonts w:ascii="宋体" w:hAnsi="宋体" w:cs="宋体"/>
          <w:b/>
          <w:bCs/>
          <w:szCs w:val="21"/>
          <w:highlight w:val="yellow"/>
          <w:u w:val="single"/>
        </w:rPr>
      </w:pPr>
      <w:r>
        <w:rPr>
          <w:rFonts w:hint="eastAsia" w:ascii="宋体" w:hAnsi="宋体" w:cs="宋体"/>
          <w:b/>
          <w:bCs/>
          <w:szCs w:val="21"/>
          <w:highlight w:val="yellow"/>
        </w:rPr>
        <w:t>23.4</w:t>
      </w:r>
      <w:r>
        <w:rPr>
          <w:rFonts w:hint="eastAsia" w:ascii="宋体" w:hAnsi="宋体" w:cs="宋体"/>
          <w:b/>
          <w:bCs/>
          <w:szCs w:val="21"/>
          <w:highlight w:val="yellow"/>
          <w:u w:val="single"/>
        </w:rPr>
        <w:t>本项目无暂估价材料、设备、无专业工程暂估价。</w:t>
      </w:r>
    </w:p>
    <w:p w14:paraId="0B5FAEBD">
      <w:pPr>
        <w:numPr>
          <w:ilvl w:val="255"/>
          <w:numId w:val="0"/>
        </w:numPr>
        <w:snapToGrid w:val="0"/>
        <w:spacing w:line="360" w:lineRule="auto"/>
        <w:ind w:firstLine="422" w:firstLineChars="200"/>
        <w:rPr>
          <w:rFonts w:ascii="宋体" w:hAnsi="宋体" w:cs="宋体"/>
          <w:b/>
          <w:bCs/>
          <w:szCs w:val="21"/>
          <w:highlight w:val="yellow"/>
          <w:u w:val="single"/>
        </w:rPr>
      </w:pPr>
      <w:r>
        <w:rPr>
          <w:rFonts w:hint="eastAsia" w:ascii="宋体" w:hAnsi="宋体" w:cs="宋体"/>
          <w:b/>
          <w:bCs/>
          <w:szCs w:val="21"/>
          <w:highlight w:val="yellow"/>
        </w:rPr>
        <w:t>23.5</w:t>
      </w:r>
      <w:r>
        <w:rPr>
          <w:rFonts w:hint="eastAsia" w:ascii="宋体" w:hAnsi="宋体" w:cs="宋体"/>
          <w:b/>
          <w:bCs/>
          <w:szCs w:val="21"/>
          <w:highlight w:val="yellow"/>
          <w:u w:val="single"/>
        </w:rPr>
        <w:t>本项目不计取总承包服务费及甲供材料（设备）采保费。</w:t>
      </w:r>
    </w:p>
    <w:p w14:paraId="70BF3B89">
      <w:pPr>
        <w:numPr>
          <w:ilvl w:val="255"/>
          <w:numId w:val="0"/>
        </w:numPr>
        <w:snapToGrid w:val="0"/>
        <w:spacing w:line="360" w:lineRule="auto"/>
        <w:ind w:firstLine="422" w:firstLineChars="200"/>
        <w:rPr>
          <w:rFonts w:ascii="宋体" w:hAnsi="宋体" w:cs="宋体"/>
          <w:b/>
          <w:bCs/>
          <w:szCs w:val="21"/>
          <w:highlight w:val="yellow"/>
          <w:u w:val="single"/>
        </w:rPr>
      </w:pPr>
      <w:r>
        <w:rPr>
          <w:rFonts w:hint="eastAsia" w:ascii="宋体" w:hAnsi="宋体" w:cs="宋体"/>
          <w:b/>
          <w:bCs/>
          <w:szCs w:val="21"/>
          <w:highlight w:val="yellow"/>
        </w:rPr>
        <w:t>23.6</w:t>
      </w:r>
      <w:r>
        <w:rPr>
          <w:rFonts w:hint="eastAsia" w:ascii="宋体" w:hAnsi="宋体" w:cs="宋体"/>
          <w:b/>
          <w:bCs/>
          <w:szCs w:val="21"/>
          <w:highlight w:val="yellow"/>
          <w:u w:val="single"/>
        </w:rPr>
        <w:t>本项目计日工不含税综合单价  220  元/工日。（统一费用，不再竞报）。</w:t>
      </w:r>
    </w:p>
    <w:p w14:paraId="735BDD6B">
      <w:pPr>
        <w:numPr>
          <w:ilvl w:val="255"/>
          <w:numId w:val="0"/>
        </w:numPr>
        <w:snapToGrid w:val="0"/>
        <w:spacing w:line="360" w:lineRule="auto"/>
        <w:ind w:firstLine="422" w:firstLineChars="200"/>
        <w:rPr>
          <w:highlight w:val="yellow"/>
        </w:rPr>
      </w:pPr>
      <w:r>
        <w:rPr>
          <w:rFonts w:hint="eastAsia" w:ascii="宋体" w:hAnsi="宋体" w:cs="宋体"/>
          <w:b/>
          <w:bCs/>
          <w:szCs w:val="21"/>
          <w:highlight w:val="yellow"/>
        </w:rPr>
        <w:t>23.7工伤保险由中标方按相关政府标准规定缴纳。结算时按缴费凭据办理结算。</w:t>
      </w:r>
    </w:p>
    <w:p w14:paraId="264A4C61">
      <w:pPr>
        <w:numPr>
          <w:ilvl w:val="255"/>
          <w:numId w:val="0"/>
        </w:numPr>
        <w:snapToGrid w:val="0"/>
        <w:spacing w:line="360" w:lineRule="auto"/>
        <w:ind w:firstLine="422" w:firstLineChars="200"/>
        <w:rPr>
          <w:rFonts w:ascii="宋体" w:hAnsi="宋体" w:cs="宋体"/>
          <w:b/>
          <w:bCs/>
          <w:szCs w:val="21"/>
          <w:highlight w:val="yellow"/>
        </w:rPr>
      </w:pPr>
      <w:r>
        <w:rPr>
          <w:rFonts w:hint="eastAsia" w:ascii="宋体" w:hAnsi="宋体" w:cs="宋体"/>
          <w:b/>
          <w:bCs/>
          <w:szCs w:val="21"/>
          <w:highlight w:val="yellow"/>
        </w:rPr>
        <w:t>23.8其他注意事项</w:t>
      </w:r>
    </w:p>
    <w:p w14:paraId="0B60FE7B">
      <w:pPr>
        <w:numPr>
          <w:ilvl w:val="0"/>
          <w:numId w:val="13"/>
        </w:numPr>
        <w:snapToGrid w:val="0"/>
        <w:spacing w:line="360" w:lineRule="auto"/>
        <w:ind w:firstLine="525" w:firstLineChars="250"/>
      </w:pPr>
      <w:r>
        <w:rPr>
          <w:rFonts w:hint="eastAsia" w:ascii="宋体" w:hAnsi="宋体" w:cs="宋体"/>
          <w:szCs w:val="21"/>
        </w:rPr>
        <w:t>应按工程量清单报价格式规定的内容进行编制、填写、签字、盖章。工程量清单及其报价格式中的任何内容不得随意删除或修改。</w:t>
      </w:r>
    </w:p>
    <w:p w14:paraId="230F74F9">
      <w:pPr>
        <w:snapToGrid w:val="0"/>
        <w:spacing w:line="360" w:lineRule="auto"/>
        <w:ind w:firstLine="420" w:firstLineChars="200"/>
        <w:rPr>
          <w:rFonts w:ascii="宋体" w:hAnsi="宋体" w:cs="宋体"/>
          <w:szCs w:val="21"/>
        </w:rPr>
      </w:pPr>
      <w:r>
        <w:rPr>
          <w:rFonts w:hint="eastAsia" w:ascii="宋体" w:hAnsi="宋体" w:cs="宋体"/>
          <w:szCs w:val="21"/>
        </w:rPr>
        <w:t>（2）投标人的报价不得改变工程量清单中的“序号、项目编码、项目名称、项目特征描述、计量单位、工程量”等内容，且不得有缺漏报价表的情况，否则按招标文件相关约定处理。</w:t>
      </w:r>
    </w:p>
    <w:p w14:paraId="23074874">
      <w:pPr>
        <w:adjustRightInd w:val="0"/>
        <w:snapToGrid w:val="0"/>
        <w:spacing w:line="360" w:lineRule="auto"/>
        <w:ind w:firstLine="420" w:firstLineChars="200"/>
        <w:rPr>
          <w:rFonts w:ascii="宋体" w:hAnsi="宋体" w:cs="宋体"/>
          <w:szCs w:val="21"/>
        </w:rPr>
      </w:pPr>
      <w:r>
        <w:rPr>
          <w:rFonts w:hint="eastAsia" w:ascii="宋体" w:hAnsi="宋体" w:cs="宋体"/>
          <w:szCs w:val="21"/>
        </w:rPr>
        <w:t>（3）各投标人须根据下发的图纸，依据招标文件中提供的技术要求、工程量清单，进行自主市场报价，投标人任何漏项、漏报、少报、错报所产生的后果，投标人承担全部责任。</w:t>
      </w:r>
    </w:p>
    <w:p w14:paraId="6973555E">
      <w:pPr>
        <w:snapToGrid w:val="0"/>
        <w:spacing w:line="360" w:lineRule="auto"/>
        <w:ind w:firstLine="420" w:firstLineChars="200"/>
        <w:rPr>
          <w:rFonts w:ascii="宋体" w:hAnsi="宋体" w:cs="宋体"/>
          <w:szCs w:val="21"/>
        </w:rPr>
      </w:pPr>
      <w:r>
        <w:rPr>
          <w:rFonts w:hint="eastAsia" w:ascii="宋体" w:hAnsi="宋体" w:cs="宋体"/>
          <w:szCs w:val="21"/>
        </w:rPr>
        <w:t>（4）综合单价包含完成清单全部标准工作内容的所有费用。承包人投标报价时，需依据国标清单规范、施工工序、验收要求自主组价，不得以清单未明确描述、自身报价漏项为由，申请结算调价。</w:t>
      </w:r>
    </w:p>
    <w:p w14:paraId="089EDF14">
      <w:pPr>
        <w:snapToGrid w:val="0"/>
        <w:spacing w:line="360" w:lineRule="auto"/>
        <w:ind w:firstLine="420" w:firstLineChars="200"/>
        <w:rPr>
          <w:rFonts w:ascii="宋体" w:hAnsi="宋体" w:cs="宋体"/>
          <w:b/>
          <w:bCs/>
          <w:szCs w:val="21"/>
        </w:rPr>
      </w:pPr>
      <w:r>
        <w:rPr>
          <w:rFonts w:hint="eastAsia" w:ascii="宋体" w:hAnsi="宋体" w:cs="宋体"/>
          <w:szCs w:val="21"/>
        </w:rPr>
        <w:t>（</w:t>
      </w:r>
      <w:r>
        <w:rPr>
          <w:rFonts w:ascii="宋体" w:hAnsi="宋体" w:cs="宋体"/>
          <w:szCs w:val="21"/>
        </w:rPr>
        <w:t>5</w:t>
      </w:r>
      <w:r>
        <w:rPr>
          <w:rFonts w:hint="eastAsia" w:ascii="宋体" w:hAnsi="宋体" w:cs="宋体"/>
          <w:szCs w:val="21"/>
        </w:rPr>
        <w:t>）</w:t>
      </w:r>
      <w:r>
        <w:rPr>
          <w:rFonts w:hint="eastAsia" w:ascii="宋体" w:hAnsi="宋体" w:cs="宋体"/>
          <w:b/>
          <w:bCs/>
          <w:szCs w:val="21"/>
        </w:rPr>
        <w:t>项目描述及工作内容相同的清单子项综合单价必须相同，若有不同报价，结算时招标人有权按照较低报价确定该子项的综合单价。</w:t>
      </w:r>
    </w:p>
    <w:p w14:paraId="51E0B345">
      <w:pPr>
        <w:snapToGrid w:val="0"/>
        <w:spacing w:line="360" w:lineRule="auto"/>
        <w:ind w:firstLine="422" w:firstLineChars="200"/>
        <w:rPr>
          <w:rFonts w:ascii="宋体" w:hAnsi="宋体" w:cs="宋体"/>
          <w:szCs w:val="21"/>
        </w:rPr>
      </w:pPr>
      <w:r>
        <w:rPr>
          <w:rFonts w:hint="eastAsia" w:ascii="宋体" w:hAnsi="宋体" w:cs="宋体"/>
          <w:b/>
          <w:bCs/>
          <w:szCs w:val="21"/>
        </w:rPr>
        <w:t>（</w:t>
      </w:r>
      <w:r>
        <w:rPr>
          <w:rFonts w:ascii="宋体" w:hAnsi="宋体" w:cs="宋体"/>
          <w:b/>
          <w:bCs/>
          <w:szCs w:val="21"/>
        </w:rPr>
        <w:t>6</w:t>
      </w:r>
      <w:r>
        <w:rPr>
          <w:rFonts w:hint="eastAsia" w:ascii="宋体" w:hAnsi="宋体" w:cs="宋体"/>
          <w:b/>
          <w:bCs/>
          <w:szCs w:val="21"/>
        </w:rPr>
        <w:t>）</w:t>
      </w:r>
      <w:r>
        <w:rPr>
          <w:rFonts w:hint="eastAsia" w:ascii="宋体" w:hAnsi="宋体" w:cs="宋体"/>
          <w:szCs w:val="21"/>
        </w:rPr>
        <w:t>投标人所报综合单价在合同有效期内，不随除合同条款约定之外的政策调整而变化，且不随量的调整而变化，并作为结算的依据，除双方另有约定外结算时不得调整，投标人报价时综合考虑。投标人不得以报价时对现场实际情况了解不充分、报价时设计不完善、按主管部门要求必须进行设计修改或方案变更或其他政策性因素等情况为由，要求招标人调整合同单价。</w:t>
      </w:r>
    </w:p>
    <w:p w14:paraId="344A2FF7">
      <w:pPr>
        <w:snapToGrid w:val="0"/>
        <w:spacing w:line="360" w:lineRule="auto"/>
        <w:ind w:firstLine="420" w:firstLineChars="200"/>
        <w:rPr>
          <w:rFonts w:ascii="宋体" w:hAnsi="宋体" w:cs="宋体"/>
          <w:szCs w:val="21"/>
        </w:rPr>
      </w:pPr>
      <w:r>
        <w:rPr>
          <w:rFonts w:hint="eastAsia" w:ascii="宋体" w:hAnsi="宋体" w:cs="宋体"/>
          <w:szCs w:val="21"/>
        </w:rPr>
        <w:t>（</w:t>
      </w:r>
      <w:r>
        <w:rPr>
          <w:rFonts w:ascii="宋体" w:hAnsi="宋体" w:cs="宋体"/>
          <w:szCs w:val="21"/>
        </w:rPr>
        <w:t>7</w:t>
      </w:r>
      <w:r>
        <w:rPr>
          <w:rFonts w:hint="eastAsia" w:ascii="宋体" w:hAnsi="宋体" w:cs="宋体"/>
          <w:szCs w:val="21"/>
        </w:rPr>
        <w:t>）投标人可应先到工地踏勘以充分理解工地位置、情况、道路、储存空间、装卸限制及任何其他足以影响承包价的情况，</w:t>
      </w:r>
      <w:r>
        <w:rPr>
          <w:rFonts w:hint="eastAsia" w:ascii="宋体" w:hAnsi="宋体" w:cs="宋体"/>
          <w:b/>
          <w:bCs/>
          <w:szCs w:val="21"/>
        </w:rPr>
        <w:t>投标报价一经报出，即认为是包含了为完成本项施工内容进行的所有工作，相关的施工费用不再单独计取。</w:t>
      </w:r>
      <w:r>
        <w:rPr>
          <w:rFonts w:hint="eastAsia" w:ascii="宋体" w:hAnsi="宋体" w:cs="宋体"/>
          <w:szCs w:val="21"/>
        </w:rPr>
        <w:t>任何因忽视或误解工地情况而导致的索赔或工期延长申请将不被批准。</w:t>
      </w:r>
    </w:p>
    <w:p w14:paraId="1D1EDEAA">
      <w:pPr>
        <w:snapToGrid w:val="0"/>
        <w:spacing w:line="360" w:lineRule="auto"/>
        <w:ind w:firstLine="420" w:firstLineChars="200"/>
        <w:rPr>
          <w:rFonts w:ascii="宋体" w:hAnsi="宋体" w:cs="宋体"/>
          <w:szCs w:val="21"/>
        </w:rPr>
      </w:pPr>
      <w:r>
        <w:rPr>
          <w:rFonts w:hint="eastAsia" w:ascii="宋体" w:hAnsi="宋体" w:cs="宋体"/>
          <w:szCs w:val="21"/>
        </w:rPr>
        <w:t>（</w:t>
      </w:r>
      <w:r>
        <w:rPr>
          <w:rFonts w:ascii="宋体" w:hAnsi="宋体" w:cs="宋体"/>
          <w:szCs w:val="21"/>
        </w:rPr>
        <w:t>8</w:t>
      </w:r>
      <w:r>
        <w:rPr>
          <w:rFonts w:hint="eastAsia" w:ascii="宋体" w:hAnsi="宋体" w:cs="宋体"/>
          <w:szCs w:val="21"/>
        </w:rPr>
        <w:t>）投标人一旦参加投标，就意味着已承认招标文件中所有条款及要求，并受其约束。</w:t>
      </w:r>
    </w:p>
    <w:p w14:paraId="4450E19F">
      <w:pPr>
        <w:snapToGrid w:val="0"/>
        <w:spacing w:line="360" w:lineRule="auto"/>
        <w:rPr>
          <w:rFonts w:ascii="宋体" w:hAnsi="宋体" w:cs="宋体"/>
          <w:szCs w:val="21"/>
        </w:rPr>
      </w:pPr>
      <w:r>
        <w:rPr>
          <w:rFonts w:hint="eastAsia" w:ascii="宋体" w:hAnsi="宋体" w:cs="宋体"/>
          <w:szCs w:val="21"/>
        </w:rPr>
        <w:t>投标人在投标报价时应综合考虑以下费用：</w:t>
      </w:r>
    </w:p>
    <w:p w14:paraId="6DEC5DA3">
      <w:pPr>
        <w:snapToGrid w:val="0"/>
        <w:spacing w:line="360" w:lineRule="auto"/>
        <w:ind w:firstLine="525" w:firstLineChars="250"/>
        <w:rPr>
          <w:rFonts w:ascii="宋体" w:hAnsi="宋体" w:cs="宋体"/>
          <w:szCs w:val="21"/>
        </w:rPr>
      </w:pPr>
      <w:r>
        <w:rPr>
          <w:rFonts w:hint="eastAsia" w:ascii="宋体" w:hAnsi="宋体" w:cs="宋体"/>
          <w:szCs w:val="21"/>
        </w:rPr>
        <w:t>1）因招标文件及合同特殊要求而发生的费用；</w:t>
      </w:r>
    </w:p>
    <w:p w14:paraId="1FD11DFE">
      <w:pPr>
        <w:snapToGrid w:val="0"/>
        <w:spacing w:line="360" w:lineRule="auto"/>
        <w:ind w:firstLine="525" w:firstLineChars="250"/>
        <w:rPr>
          <w:rFonts w:ascii="宋体" w:hAnsi="宋体" w:cs="宋体"/>
          <w:szCs w:val="21"/>
        </w:rPr>
      </w:pPr>
      <w:r>
        <w:rPr>
          <w:rFonts w:hint="eastAsia" w:ascii="宋体" w:hAnsi="宋体" w:cs="宋体"/>
          <w:szCs w:val="21"/>
        </w:rPr>
        <w:t>2）工程量清单没有体现而施工中又必然发生的费用；</w:t>
      </w:r>
    </w:p>
    <w:p w14:paraId="347862C7">
      <w:pPr>
        <w:snapToGrid w:val="0"/>
        <w:spacing w:line="360" w:lineRule="auto"/>
        <w:ind w:firstLine="525" w:firstLineChars="250"/>
        <w:rPr>
          <w:rFonts w:ascii="宋体" w:hAnsi="宋体" w:cs="宋体"/>
          <w:szCs w:val="21"/>
        </w:rPr>
      </w:pPr>
      <w:r>
        <w:rPr>
          <w:rFonts w:hint="eastAsia" w:ascii="宋体" w:hAnsi="宋体" w:cs="宋体"/>
          <w:szCs w:val="21"/>
        </w:rPr>
        <w:t>3）投标人投标报价时应充分考虑招标文件\第四章 合同主要条款中相关约定；</w:t>
      </w:r>
    </w:p>
    <w:p w14:paraId="09724D67">
      <w:pPr>
        <w:snapToGrid w:val="0"/>
        <w:spacing w:line="360" w:lineRule="auto"/>
        <w:ind w:firstLine="525" w:firstLineChars="250"/>
        <w:rPr>
          <w:rFonts w:ascii="宋体" w:hAnsi="宋体" w:cs="宋体"/>
          <w:szCs w:val="21"/>
        </w:rPr>
      </w:pPr>
      <w:r>
        <w:rPr>
          <w:rFonts w:hint="eastAsia" w:ascii="宋体" w:hAnsi="宋体" w:cs="宋体"/>
          <w:szCs w:val="21"/>
        </w:rPr>
        <w:t>4）考虑合同明示和暗示的所有责任、义务及不可抗力以外的一切风险因素等所发生的所有费用；</w:t>
      </w:r>
    </w:p>
    <w:bookmarkEnd w:id="745"/>
    <w:p w14:paraId="01102B7C">
      <w:pPr>
        <w:pStyle w:val="6"/>
        <w:spacing w:line="360" w:lineRule="auto"/>
        <w:rPr>
          <w:rFonts w:ascii="宋体" w:hAnsi="宋体" w:cs="TimesNewRomanPSMT"/>
          <w:bCs w:val="0"/>
          <w:i w:val="0"/>
          <w:iCs w:val="0"/>
          <w:sz w:val="24"/>
          <w:szCs w:val="24"/>
        </w:rPr>
      </w:pPr>
      <w:bookmarkStart w:id="746" w:name="_Toc235533816"/>
      <w:bookmarkStart w:id="747" w:name="_Toc28411"/>
      <w:r>
        <w:rPr>
          <w:rFonts w:hint="eastAsia" w:ascii="宋体" w:hAnsi="宋体" w:cs="TimesNewRomanPSMT"/>
          <w:bCs w:val="0"/>
          <w:i w:val="0"/>
          <w:iCs w:val="0"/>
          <w:sz w:val="24"/>
          <w:szCs w:val="24"/>
        </w:rPr>
        <w:t>2.2 清单以外项目</w:t>
      </w:r>
      <w:bookmarkEnd w:id="746"/>
      <w:bookmarkEnd w:id="747"/>
    </w:p>
    <w:p w14:paraId="6460D6F6">
      <w:pPr>
        <w:tabs>
          <w:tab w:val="left" w:pos="2310"/>
        </w:tabs>
        <w:spacing w:line="360" w:lineRule="auto"/>
        <w:ind w:left="1" w:firstLine="420" w:firstLineChars="200"/>
        <w:rPr>
          <w:rFonts w:ascii="宋体" w:hAnsi="宋体" w:cs="宋体"/>
          <w:bCs/>
          <w:szCs w:val="21"/>
        </w:rPr>
      </w:pPr>
      <w:r>
        <w:rPr>
          <w:rFonts w:hint="eastAsia" w:ascii="宋体" w:hAnsi="宋体" w:cs="宋体"/>
          <w:bCs/>
          <w:szCs w:val="21"/>
        </w:rPr>
        <w:t>清单以外项目是指结算时不适用合同专用条款10.4 .1《变更估价》（1）、（2）进行结算的项目。</w:t>
      </w:r>
    </w:p>
    <w:p w14:paraId="72238DEE">
      <w:pPr>
        <w:snapToGrid w:val="0"/>
        <w:spacing w:line="360" w:lineRule="auto"/>
        <w:ind w:firstLine="525" w:firstLineChars="250"/>
        <w:rPr>
          <w:rFonts w:ascii="宋体" w:hAnsi="宋体" w:cs="宋体"/>
          <w:bCs/>
          <w:szCs w:val="21"/>
        </w:rPr>
      </w:pPr>
      <w:r>
        <w:rPr>
          <w:rFonts w:hint="eastAsia" w:ascii="宋体" w:hAnsi="宋体" w:cs="宋体"/>
          <w:bCs/>
          <w:szCs w:val="21"/>
        </w:rPr>
        <w:t>（1）清单外项目计价依据：</w:t>
      </w:r>
    </w:p>
    <w:p w14:paraId="5908E4B6">
      <w:pPr>
        <w:pStyle w:val="12"/>
        <w:spacing w:line="360" w:lineRule="auto"/>
        <w:ind w:firstLine="422" w:firstLineChars="200"/>
        <w:rPr>
          <w:rFonts w:ascii="宋体" w:hAnsi="宋体" w:cs="宋体"/>
          <w:b/>
          <w:szCs w:val="21"/>
        </w:rPr>
      </w:pPr>
      <w:r>
        <w:rPr>
          <w:rFonts w:hint="eastAsia" w:ascii="宋体" w:hAnsi="宋体" w:cs="宋体"/>
          <w:b/>
          <w:szCs w:val="21"/>
          <w:u w:val="single"/>
        </w:rPr>
        <w:fldChar w:fldCharType="begin"/>
      </w:r>
      <w:r>
        <w:rPr>
          <w:rFonts w:hint="eastAsia" w:ascii="宋体" w:hAnsi="宋体" w:cs="宋体"/>
          <w:b/>
          <w:szCs w:val="21"/>
          <w:u w:val="single"/>
        </w:rPr>
        <w:instrText xml:space="preserve"> = 1 \* GB3 \* MERGEFORMAT </w:instrText>
      </w:r>
      <w:r>
        <w:rPr>
          <w:rFonts w:hint="eastAsia" w:ascii="宋体" w:hAnsi="宋体" w:cs="宋体"/>
          <w:b/>
          <w:szCs w:val="21"/>
          <w:u w:val="single"/>
        </w:rPr>
        <w:fldChar w:fldCharType="separate"/>
      </w:r>
      <w:r>
        <w:rPr>
          <w:rFonts w:hint="eastAsia" w:ascii="宋体" w:hAnsi="宋体" w:cs="宋体"/>
          <w:b/>
          <w:szCs w:val="21"/>
          <w:u w:val="single"/>
        </w:rPr>
        <w:t>①</w:t>
      </w:r>
      <w:r>
        <w:rPr>
          <w:rFonts w:hint="eastAsia" w:ascii="宋体" w:hAnsi="宋体" w:cs="宋体"/>
          <w:b/>
          <w:szCs w:val="21"/>
          <w:u w:val="single"/>
        </w:rPr>
        <w:fldChar w:fldCharType="end"/>
      </w:r>
      <w:r>
        <w:rPr>
          <w:rFonts w:hint="eastAsia" w:ascii="宋体" w:hAnsi="宋体" w:cs="宋体"/>
          <w:b/>
          <w:szCs w:val="21"/>
          <w:u w:val="single"/>
        </w:rPr>
        <w:t>计价依据：</w:t>
      </w:r>
      <w:r>
        <w:rPr>
          <w:rFonts w:hint="eastAsia" w:ascii="宋体" w:hAnsi="宋体" w:cs="宋体"/>
          <w:b/>
          <w:bCs/>
          <w:szCs w:val="21"/>
        </w:rPr>
        <w:t>《</w:t>
      </w:r>
      <w:r>
        <w:rPr>
          <w:rFonts w:hint="eastAsia" w:ascii="宋体" w:hAnsi="宋体" w:cs="宋体"/>
          <w:b/>
          <w:bCs/>
          <w:szCs w:val="21"/>
          <w:u w:val="single"/>
        </w:rPr>
        <w:t>建设工程工程量清单计价标准》（GB/T50500-2024）及配套相关工程量计算标准、《〈建设工程工程量清单计价标准〉实施指引》（鲁建标字〔2025〕6号）</w:t>
      </w:r>
      <w:r>
        <w:rPr>
          <w:rFonts w:hint="eastAsia" w:ascii="宋体" w:hAnsi="宋体" w:cs="宋体"/>
          <w:b/>
          <w:szCs w:val="21"/>
          <w:u w:val="single"/>
        </w:rPr>
        <w:t>《山东省建设工程费用项目组成及计算规则》、《山东省建筑工程消耗量定额》25版、《山东省安装工程消耗量定额》25版、《山东省市政工程消耗量定额》25版、《山东省园林绿化工程消耗量定额》（鲁建标字〔2025〕7号）、2020版《山东省房屋修缮工程消耗量定额》及</w:t>
      </w:r>
      <w:r>
        <w:rPr>
          <w:rFonts w:hint="eastAsia" w:ascii="宋体" w:hAnsi="宋体" w:cs="宋体"/>
          <w:b/>
          <w:szCs w:val="21"/>
          <w:highlight w:val="yellow"/>
          <w:u w:val="single"/>
        </w:rPr>
        <w:t>《济南市价目表》(2026年)</w:t>
      </w:r>
      <w:r>
        <w:rPr>
          <w:rFonts w:hint="eastAsia" w:ascii="宋体" w:hAnsi="宋体" w:cs="宋体"/>
          <w:b/>
          <w:szCs w:val="21"/>
          <w:u w:val="single"/>
        </w:rPr>
        <w:t>。</w:t>
      </w:r>
    </w:p>
    <w:p w14:paraId="453B00B2">
      <w:pPr>
        <w:snapToGrid w:val="0"/>
        <w:spacing w:line="360" w:lineRule="auto"/>
        <w:ind w:firstLine="527" w:firstLineChars="250"/>
        <w:rPr>
          <w:rFonts w:ascii="宋体" w:hAnsi="宋体" w:cs="宋体"/>
          <w:b/>
          <w:szCs w:val="21"/>
        </w:rPr>
      </w:pPr>
      <w:r>
        <w:rPr>
          <w:rFonts w:hint="eastAsia" w:ascii="宋体" w:hAnsi="宋体" w:cs="宋体"/>
          <w:b/>
          <w:szCs w:val="21"/>
        </w:rPr>
        <w:fldChar w:fldCharType="begin"/>
      </w:r>
      <w:r>
        <w:rPr>
          <w:rFonts w:hint="eastAsia" w:ascii="宋体" w:hAnsi="宋体" w:cs="宋体"/>
          <w:b/>
          <w:szCs w:val="21"/>
        </w:rPr>
        <w:instrText xml:space="preserve"> = 2 \* GB3 \* MERGEFORMAT </w:instrText>
      </w:r>
      <w:r>
        <w:rPr>
          <w:rFonts w:hint="eastAsia" w:ascii="宋体" w:hAnsi="宋体" w:cs="宋体"/>
          <w:b/>
          <w:szCs w:val="21"/>
        </w:rPr>
        <w:fldChar w:fldCharType="separate"/>
      </w:r>
      <w:r>
        <w:rPr>
          <w:rFonts w:hint="eastAsia" w:ascii="宋体" w:hAnsi="宋体" w:cs="宋体"/>
          <w:b/>
          <w:szCs w:val="21"/>
        </w:rPr>
        <w:t>②</w:t>
      </w:r>
      <w:r>
        <w:rPr>
          <w:rFonts w:hint="eastAsia" w:ascii="宋体" w:hAnsi="宋体" w:cs="宋体"/>
          <w:b/>
          <w:szCs w:val="21"/>
        </w:rPr>
        <w:fldChar w:fldCharType="end"/>
      </w:r>
      <w:r>
        <w:rPr>
          <w:rFonts w:hint="eastAsia" w:ascii="宋体" w:hAnsi="宋体" w:cs="宋体"/>
          <w:b/>
          <w:szCs w:val="21"/>
        </w:rPr>
        <w:t>工程类别：建筑执行Ⅲ类取费，装饰执行Ⅲ类取费；</w:t>
      </w:r>
    </w:p>
    <w:p w14:paraId="039679B2">
      <w:pPr>
        <w:snapToGrid w:val="0"/>
        <w:spacing w:line="360" w:lineRule="auto"/>
        <w:ind w:firstLine="527" w:firstLineChars="250"/>
        <w:rPr>
          <w:rFonts w:ascii="宋体" w:hAnsi="宋体" w:cs="宋体"/>
          <w:b/>
          <w:szCs w:val="21"/>
          <w:highlight w:val="yellow"/>
        </w:rPr>
      </w:pPr>
      <w:r>
        <w:rPr>
          <w:rFonts w:hint="eastAsia" w:ascii="宋体" w:hAnsi="宋体" w:cs="宋体"/>
          <w:b/>
          <w:szCs w:val="21"/>
        </w:rPr>
        <w:fldChar w:fldCharType="begin"/>
      </w:r>
      <w:r>
        <w:rPr>
          <w:rFonts w:hint="eastAsia" w:ascii="宋体" w:hAnsi="宋体" w:cs="宋体"/>
          <w:b/>
          <w:szCs w:val="21"/>
        </w:rPr>
        <w:instrText xml:space="preserve"> = 3 \* GB3 \* MERGEFORMAT </w:instrText>
      </w:r>
      <w:r>
        <w:rPr>
          <w:rFonts w:hint="eastAsia" w:ascii="宋体" w:hAnsi="宋体" w:cs="宋体"/>
          <w:b/>
          <w:szCs w:val="21"/>
        </w:rPr>
        <w:fldChar w:fldCharType="separate"/>
      </w:r>
      <w:r>
        <w:rPr>
          <w:rFonts w:hint="eastAsia" w:ascii="宋体" w:hAnsi="宋体" w:cs="宋体"/>
          <w:b/>
          <w:szCs w:val="21"/>
        </w:rPr>
        <w:t>③</w:t>
      </w:r>
      <w:r>
        <w:rPr>
          <w:rFonts w:hint="eastAsia" w:ascii="宋体" w:hAnsi="宋体" w:cs="宋体"/>
          <w:b/>
          <w:szCs w:val="21"/>
        </w:rPr>
        <w:fldChar w:fldCharType="end"/>
      </w:r>
      <w:r>
        <w:rPr>
          <w:rFonts w:hint="eastAsia" w:ascii="宋体" w:hAnsi="宋体" w:cs="宋体"/>
          <w:b/>
          <w:szCs w:val="21"/>
          <w:highlight w:val="yellow"/>
        </w:rPr>
        <w:t>人工费建筑工程142元/工日，装饰工程151元/工日，安装工程151元/工日，市政工程130元/工日，园林绿化工程130元/工日；</w:t>
      </w:r>
      <w:r>
        <w:rPr>
          <w:rFonts w:hint="eastAsia" w:ascii="宋体" w:hAnsi="宋体" w:cs="宋体"/>
          <w:b/>
          <w:szCs w:val="21"/>
          <w:highlight w:val="magenta"/>
        </w:rPr>
        <w:t>材料、设备费</w:t>
      </w:r>
      <w:r>
        <w:rPr>
          <w:rFonts w:hint="eastAsia" w:ascii="宋体" w:hAnsi="宋体" w:cs="宋体"/>
          <w:b/>
          <w:szCs w:val="21"/>
        </w:rPr>
        <w:t>投标文件中已有价格的</w:t>
      </w:r>
      <w:r>
        <w:rPr>
          <w:rFonts w:hint="eastAsia" w:ascii="宋体" w:hAnsi="宋体" w:cs="宋体"/>
          <w:b/>
          <w:szCs w:val="21"/>
          <w:highlight w:val="magenta"/>
        </w:rPr>
        <w:t>材料、设备</w:t>
      </w:r>
      <w:r>
        <w:rPr>
          <w:rFonts w:hint="eastAsia" w:ascii="宋体" w:hAnsi="宋体" w:cs="宋体"/>
          <w:b/>
          <w:szCs w:val="21"/>
        </w:rPr>
        <w:t>执行中标价格，投标文件中没有价格的主要材料</w:t>
      </w:r>
      <w:r>
        <w:rPr>
          <w:rFonts w:hint="eastAsia" w:ascii="宋体" w:hAnsi="宋体" w:cs="宋体"/>
          <w:b/>
          <w:szCs w:val="21"/>
          <w:highlight w:val="magenta"/>
        </w:rPr>
        <w:t>、设备</w:t>
      </w:r>
      <w:r>
        <w:rPr>
          <w:rFonts w:hint="eastAsia" w:ascii="宋体" w:hAnsi="宋体" w:cs="宋体"/>
          <w:b/>
          <w:szCs w:val="21"/>
        </w:rPr>
        <w:t>按照监理方、发包人书面确定的价格执行，其</w:t>
      </w:r>
      <w:r>
        <w:rPr>
          <w:rFonts w:hint="eastAsia" w:ascii="宋体" w:hAnsi="宋体" w:cs="宋体"/>
          <w:b/>
          <w:szCs w:val="21"/>
          <w:highlight w:val="yellow"/>
        </w:rPr>
        <w:t>中清单已有价格的</w:t>
      </w:r>
      <w:r>
        <w:rPr>
          <w:rFonts w:hint="eastAsia" w:ascii="宋体" w:hAnsi="宋体" w:cs="宋体"/>
          <w:b/>
          <w:szCs w:val="21"/>
          <w:highlight w:val="magenta"/>
        </w:rPr>
        <w:t>材料、设备</w:t>
      </w:r>
      <w:r>
        <w:rPr>
          <w:rFonts w:hint="eastAsia" w:ascii="宋体" w:hAnsi="宋体" w:cs="宋体"/>
          <w:b/>
          <w:szCs w:val="21"/>
          <w:highlight w:val="yellow"/>
        </w:rPr>
        <w:t>，仅规格型号发生变更的，变更后仅调整不同规格型号的</w:t>
      </w:r>
      <w:r>
        <w:rPr>
          <w:rFonts w:hint="eastAsia" w:ascii="宋体" w:hAnsi="宋体" w:cs="宋体"/>
          <w:b/>
          <w:szCs w:val="21"/>
          <w:highlight w:val="magenta"/>
        </w:rPr>
        <w:t>材料、设备</w:t>
      </w:r>
      <w:r>
        <w:rPr>
          <w:rFonts w:hint="eastAsia" w:ascii="宋体" w:hAnsi="宋体" w:cs="宋体"/>
          <w:b/>
          <w:szCs w:val="21"/>
          <w:highlight w:val="yellow"/>
        </w:rPr>
        <w:t>市场价差；</w:t>
      </w:r>
    </w:p>
    <w:p w14:paraId="3EC74AA6">
      <w:pPr>
        <w:snapToGrid w:val="0"/>
        <w:spacing w:line="360" w:lineRule="auto"/>
        <w:ind w:firstLine="527" w:firstLineChars="250"/>
        <w:rPr>
          <w:rFonts w:ascii="宋体" w:hAnsi="宋体" w:cs="宋体"/>
          <w:b/>
          <w:color w:val="C00000"/>
          <w:szCs w:val="21"/>
        </w:rPr>
      </w:pPr>
      <w:r>
        <w:rPr>
          <w:rFonts w:hint="eastAsia" w:ascii="宋体" w:hAnsi="宋体" w:cs="宋体"/>
          <w:b/>
          <w:szCs w:val="21"/>
        </w:rPr>
        <w:fldChar w:fldCharType="begin"/>
      </w:r>
      <w:r>
        <w:rPr>
          <w:rFonts w:hint="eastAsia" w:ascii="宋体" w:hAnsi="宋体" w:cs="宋体"/>
          <w:b/>
          <w:szCs w:val="21"/>
        </w:rPr>
        <w:instrText xml:space="preserve"> = 4 \* GB3 \* MERGEFORMAT </w:instrText>
      </w:r>
      <w:r>
        <w:rPr>
          <w:rFonts w:hint="eastAsia" w:ascii="宋体" w:hAnsi="宋体" w:cs="宋体"/>
          <w:b/>
          <w:szCs w:val="21"/>
        </w:rPr>
        <w:fldChar w:fldCharType="separate"/>
      </w:r>
      <w:r>
        <w:rPr>
          <w:rFonts w:hint="eastAsia" w:ascii="宋体" w:hAnsi="宋体" w:cs="宋体"/>
          <w:b/>
          <w:szCs w:val="21"/>
        </w:rPr>
        <w:t>④</w:t>
      </w:r>
      <w:r>
        <w:rPr>
          <w:rFonts w:hint="eastAsia" w:ascii="宋体" w:hAnsi="宋体" w:cs="宋体"/>
          <w:b/>
          <w:szCs w:val="21"/>
        </w:rPr>
        <w:fldChar w:fldCharType="end"/>
      </w:r>
      <w:r>
        <w:rPr>
          <w:rFonts w:hint="eastAsia" w:ascii="宋体" w:hAnsi="宋体" w:cs="宋体"/>
          <w:b/>
          <w:szCs w:val="21"/>
        </w:rPr>
        <w:t>承包人按上述原则就清单外工作内容按总造价统一让利</w:t>
      </w:r>
      <w:r>
        <w:rPr>
          <w:rFonts w:hint="eastAsia" w:ascii="宋体" w:hAnsi="宋体" w:cs="宋体"/>
          <w:b/>
          <w:szCs w:val="21"/>
          <w:u w:val="single"/>
        </w:rPr>
        <w:t xml:space="preserve">    </w:t>
      </w:r>
      <w:r>
        <w:rPr>
          <w:rFonts w:hint="eastAsia" w:ascii="宋体" w:hAnsi="宋体" w:cs="宋体"/>
          <w:b/>
          <w:szCs w:val="21"/>
        </w:rPr>
        <w:t>%（</w:t>
      </w:r>
      <w:r>
        <w:rPr>
          <w:rFonts w:hint="eastAsia" w:ascii="宋体" w:hAnsi="宋体" w:cs="宋体"/>
          <w:b/>
          <w:szCs w:val="21"/>
          <w:highlight w:val="yellow"/>
        </w:rPr>
        <w:t>取5%与总价下浮率的较大值，总价下浮率=1-最后一轮澄清总报价/清标修正后的总报价</w:t>
      </w:r>
      <w:r>
        <w:rPr>
          <w:rFonts w:hint="eastAsia" w:ascii="宋体" w:hAnsi="宋体" w:cs="宋体"/>
          <w:b/>
          <w:szCs w:val="21"/>
        </w:rPr>
        <w:t>）</w:t>
      </w:r>
    </w:p>
    <w:p w14:paraId="7E87A9DA">
      <w:pPr>
        <w:pStyle w:val="6"/>
        <w:spacing w:line="360" w:lineRule="auto"/>
        <w:rPr>
          <w:rFonts w:ascii="宋体" w:hAnsi="宋体" w:cs="宋体"/>
          <w:sz w:val="21"/>
          <w:szCs w:val="21"/>
          <w:highlight w:val="yellow"/>
        </w:rPr>
      </w:pPr>
      <w:bookmarkStart w:id="748" w:name="_Toc7392"/>
      <w:bookmarkStart w:id="749" w:name="_Toc235533817"/>
      <w:bookmarkStart w:id="750" w:name="_Toc8106"/>
      <w:r>
        <w:rPr>
          <w:rFonts w:hint="eastAsia" w:ascii="宋体" w:hAnsi="宋体" w:cs="TimesNewRomanPSMT"/>
          <w:bCs w:val="0"/>
          <w:i w:val="0"/>
          <w:iCs w:val="0"/>
          <w:sz w:val="24"/>
          <w:szCs w:val="24"/>
          <w:highlight w:val="yellow"/>
        </w:rPr>
        <w:t>2.3 其他说明</w:t>
      </w:r>
      <w:bookmarkEnd w:id="748"/>
      <w:bookmarkEnd w:id="749"/>
      <w:bookmarkEnd w:id="750"/>
    </w:p>
    <w:p w14:paraId="358C1173">
      <w:pPr>
        <w:numPr>
          <w:ilvl w:val="0"/>
          <w:numId w:val="14"/>
        </w:numPr>
        <w:snapToGrid w:val="0"/>
        <w:spacing w:line="360" w:lineRule="auto"/>
        <w:ind w:firstLine="525" w:firstLineChars="250"/>
        <w:rPr>
          <w:rFonts w:ascii="宋体" w:hAnsi="宋体" w:cs="宋体"/>
          <w:szCs w:val="21"/>
        </w:rPr>
      </w:pPr>
      <w:r>
        <w:rPr>
          <w:rFonts w:hint="eastAsia" w:ascii="宋体" w:hAnsi="宋体" w:cs="宋体"/>
          <w:szCs w:val="21"/>
        </w:rPr>
        <w:t>施工中因承包人私自变更施工组织设计引起的造价变动一律不计入结算，造成所有损失均由承包人自行负责。</w:t>
      </w:r>
    </w:p>
    <w:p w14:paraId="598628FD">
      <w:pPr>
        <w:numPr>
          <w:ilvl w:val="0"/>
          <w:numId w:val="14"/>
        </w:numPr>
        <w:snapToGrid w:val="0"/>
        <w:spacing w:line="360" w:lineRule="auto"/>
        <w:ind w:firstLine="525" w:firstLineChars="250"/>
        <w:rPr>
          <w:rFonts w:ascii="宋体" w:hAnsi="宋体" w:cs="宋体"/>
          <w:szCs w:val="21"/>
        </w:rPr>
      </w:pPr>
      <w:r>
        <w:rPr>
          <w:rFonts w:hint="eastAsia" w:ascii="宋体" w:hAnsi="宋体" w:cs="宋体"/>
          <w:szCs w:val="21"/>
        </w:rPr>
        <w:t>承包人拖欠劳动者（包含为承包人提供劳动的一切书面或非书面雇佣的工人）工资，造成群体性事件或上访的,承包人须立即出面解决，疏散人群，否则发包人有权从工程款中直接扣除发包人因此遭受的损失。拖欠工资经有关部门调查属实的，发包人有权从工程款中扣除直接向劳动者支付，折抵承包人的工程款。</w:t>
      </w:r>
    </w:p>
    <w:p w14:paraId="0ADF654E">
      <w:pPr>
        <w:numPr>
          <w:ilvl w:val="0"/>
          <w:numId w:val="14"/>
        </w:numPr>
        <w:snapToGrid w:val="0"/>
        <w:spacing w:line="360" w:lineRule="auto"/>
        <w:ind w:firstLine="525" w:firstLineChars="250"/>
        <w:rPr>
          <w:rFonts w:ascii="宋体" w:hAnsi="宋体" w:cs="宋体"/>
          <w:szCs w:val="21"/>
        </w:rPr>
      </w:pPr>
      <w:r>
        <w:rPr>
          <w:rFonts w:hint="eastAsia" w:ascii="宋体" w:hAnsi="宋体" w:cs="宋体"/>
          <w:szCs w:val="21"/>
        </w:rPr>
        <w:t>由于承包人或其管理的分包单位拖欠劳动者工资致使发包人被投诉或起诉并被判令先行垫付劳动者工资的，承包人除承担1次严重违约责任外，还应向发包人支付发包人先行垫付的劳动者工资金额的两倍作为补偿。</w:t>
      </w:r>
    </w:p>
    <w:p w14:paraId="373E0A53">
      <w:pPr>
        <w:numPr>
          <w:ilvl w:val="0"/>
          <w:numId w:val="14"/>
        </w:numPr>
        <w:snapToGrid w:val="0"/>
        <w:spacing w:line="360" w:lineRule="auto"/>
        <w:ind w:firstLine="525" w:firstLineChars="250"/>
        <w:rPr>
          <w:rFonts w:ascii="宋体" w:hAnsi="宋体" w:cs="宋体"/>
          <w:szCs w:val="21"/>
        </w:rPr>
      </w:pPr>
      <w:r>
        <w:rPr>
          <w:rFonts w:hint="eastAsia" w:ascii="宋体" w:hAnsi="宋体" w:cs="宋体"/>
          <w:szCs w:val="21"/>
        </w:rPr>
        <w:t>因承包人违约导致发包人暂停支付工程款时，承包人不得以此为理由拖欠工资，在发包人和承包人就暂停支付工程款问题解决之前，承包人有义务先行支付其所属工人工资。</w:t>
      </w:r>
    </w:p>
    <w:p w14:paraId="621ED357">
      <w:pPr>
        <w:numPr>
          <w:ilvl w:val="0"/>
          <w:numId w:val="14"/>
        </w:numPr>
        <w:snapToGrid w:val="0"/>
        <w:spacing w:line="360" w:lineRule="auto"/>
        <w:ind w:firstLine="525" w:firstLineChars="250"/>
        <w:rPr>
          <w:rFonts w:ascii="宋体" w:hAnsi="宋体" w:cs="宋体"/>
          <w:szCs w:val="21"/>
        </w:rPr>
      </w:pPr>
      <w:r>
        <w:rPr>
          <w:rFonts w:hint="eastAsia" w:ascii="宋体" w:hAnsi="宋体" w:cs="宋体"/>
          <w:szCs w:val="21"/>
        </w:rPr>
        <w:t>发包人有权在工程款内扣留30万元群体事件保证金，若发生因承包人原因造成的群体上访事件或拖欠工人工资的情形，经发包人核实后，发包人有权在该笔保证金内扣除相应金额的款项代为支付；若未发生因承包人原因造成的群体上访事件或拖欠工人工资的情形，该保证金无息返还或冲抵工程款。</w:t>
      </w:r>
    </w:p>
    <w:p w14:paraId="539E8B7E">
      <w:pPr>
        <w:numPr>
          <w:ilvl w:val="0"/>
          <w:numId w:val="14"/>
        </w:numPr>
        <w:snapToGrid w:val="0"/>
        <w:spacing w:line="360" w:lineRule="auto"/>
        <w:ind w:firstLine="527" w:firstLineChars="250"/>
        <w:rPr>
          <w:rFonts w:ascii="宋体" w:hAnsi="宋体" w:cs="宋体"/>
          <w:b/>
          <w:bCs/>
          <w:szCs w:val="21"/>
        </w:rPr>
      </w:pPr>
      <w:r>
        <w:rPr>
          <w:rFonts w:hint="eastAsia" w:ascii="宋体" w:hAnsi="宋体" w:cs="宋体"/>
          <w:b/>
          <w:bCs/>
          <w:szCs w:val="21"/>
        </w:rPr>
        <w:t>主要设备及主要材料品牌按照招标文件甲限乙购品牌表中选择。投标文件中已按附表选择主要设备及主要材料品牌的，按投标文件所报品牌执行；未按此选择的，施工过程中必须按此表选择品牌；附表外其他材料承包人在投标时明确品牌的必须使用投标品牌。承包人未按照上述约定执行的，一经发现应按照合同约定使用材料及设备总价的2倍向发包人承担违约金，同时应按照监理人发包人要求予以整改，替换成合格的材料和设备，因整改造成工期延误的承包人承担工期延误的违约责任。</w:t>
      </w:r>
    </w:p>
    <w:p w14:paraId="045A4748">
      <w:pPr>
        <w:numPr>
          <w:ilvl w:val="255"/>
          <w:numId w:val="0"/>
        </w:numPr>
        <w:snapToGrid w:val="0"/>
        <w:spacing w:line="360" w:lineRule="auto"/>
        <w:ind w:firstLine="422" w:firstLineChars="200"/>
        <w:rPr>
          <w:rFonts w:ascii="宋体" w:hAnsi="宋体" w:cs="宋体"/>
          <w:b/>
          <w:bCs/>
          <w:szCs w:val="21"/>
        </w:rPr>
      </w:pPr>
      <w:r>
        <w:rPr>
          <w:rFonts w:hint="eastAsia" w:ascii="宋体" w:hAnsi="宋体" w:cs="宋体"/>
          <w:b/>
          <w:bCs/>
          <w:szCs w:val="21"/>
        </w:rPr>
        <w:t>若因市场货源不足或供货时间原因确需采用其他品牌、厂家同类产品替代的，承包人必须报发包人审核批准，并同时核定替代产品的单价。若替代产品的市场单价高于合同约定（投标）品牌市场单价，不予调整；若低于合同约定（投标）品牌市场单价，按实调整价差。若未经发包人同意而使用其他品牌的，视为使用不合格材料，承包人按合同条款承担违约责任。</w:t>
      </w:r>
      <w:r>
        <w:rPr>
          <w:rFonts w:hint="eastAsia" w:ascii="宋体" w:hAnsi="宋体" w:cs="宋体"/>
          <w:b/>
          <w:bCs/>
          <w:szCs w:val="21"/>
        </w:rPr>
        <w:tab/>
      </w:r>
    </w:p>
    <w:p w14:paraId="166D34DB">
      <w:pPr>
        <w:rPr>
          <w:rStyle w:val="39"/>
          <w:rFonts w:ascii="宋体" w:hAnsi="宋体"/>
          <w:szCs w:val="21"/>
        </w:rPr>
      </w:pPr>
    </w:p>
    <w:p w14:paraId="769162AA">
      <w:pPr>
        <w:pStyle w:val="6"/>
        <w:spacing w:line="360" w:lineRule="auto"/>
        <w:jc w:val="center"/>
        <w:rPr>
          <w:rFonts w:ascii="宋体" w:hAnsi="宋体" w:cs="TimesNewRomanPSMT"/>
          <w:bCs w:val="0"/>
          <w:i w:val="0"/>
          <w:iCs w:val="0"/>
          <w:sz w:val="24"/>
          <w:szCs w:val="24"/>
        </w:rPr>
      </w:pPr>
      <w:bookmarkStart w:id="751" w:name="_Toc235533818"/>
      <w:r>
        <w:rPr>
          <w:rFonts w:hint="eastAsia" w:ascii="宋体" w:hAnsi="宋体" w:cs="TimesNewRomanPSMT"/>
          <w:bCs w:val="0"/>
          <w:i w:val="0"/>
          <w:iCs w:val="0"/>
          <w:sz w:val="24"/>
          <w:szCs w:val="24"/>
        </w:rPr>
        <w:t xml:space="preserve">第三节 </w:t>
      </w:r>
      <w:r>
        <w:rPr>
          <w:rFonts w:ascii="宋体" w:hAnsi="宋体" w:cs="TimesNewRomanPSMT"/>
          <w:bCs w:val="0"/>
          <w:i w:val="0"/>
          <w:iCs w:val="0"/>
          <w:sz w:val="24"/>
          <w:szCs w:val="24"/>
        </w:rPr>
        <w:t xml:space="preserve">    </w:t>
      </w:r>
      <w:r>
        <w:rPr>
          <w:rFonts w:hint="eastAsia" w:ascii="宋体" w:hAnsi="宋体" w:cs="TimesNewRomanPSMT"/>
          <w:bCs w:val="0"/>
          <w:i w:val="0"/>
          <w:iCs w:val="0"/>
          <w:sz w:val="24"/>
          <w:szCs w:val="24"/>
        </w:rPr>
        <w:t>招标工程量清单</w:t>
      </w:r>
      <w:bookmarkEnd w:id="751"/>
    </w:p>
    <w:p w14:paraId="4282FAEF">
      <w:pPr>
        <w:jc w:val="center"/>
        <w:rPr>
          <w:b/>
          <w:bCs/>
          <w:sz w:val="20"/>
          <w:szCs w:val="22"/>
        </w:rPr>
      </w:pPr>
      <w:r>
        <w:rPr>
          <w:rFonts w:hint="eastAsia"/>
          <w:b/>
          <w:bCs/>
          <w:sz w:val="24"/>
        </w:rPr>
        <w:t>本次招标工程量清单另册提供。</w:t>
      </w:r>
    </w:p>
    <w:p w14:paraId="591D1684"/>
    <w:p w14:paraId="3EF01E0C">
      <w:pPr>
        <w:rPr>
          <w:rStyle w:val="39"/>
          <w:rFonts w:ascii="宋体" w:hAnsi="宋体"/>
          <w:szCs w:val="21"/>
        </w:rPr>
      </w:pPr>
      <w:r>
        <w:rPr>
          <w:rStyle w:val="39"/>
          <w:rFonts w:ascii="宋体" w:hAnsi="宋体"/>
          <w:szCs w:val="21"/>
        </w:rPr>
        <w:br w:type="page"/>
      </w:r>
    </w:p>
    <w:p w14:paraId="78D0BB9B"/>
    <w:p w14:paraId="7F73964D">
      <w:pPr>
        <w:pStyle w:val="7"/>
        <w:rPr>
          <w:rStyle w:val="39"/>
          <w:rFonts w:ascii="宋体" w:hAnsi="宋体"/>
          <w:szCs w:val="21"/>
        </w:rPr>
      </w:pPr>
    </w:p>
    <w:p w14:paraId="4DE3B808"/>
    <w:p w14:paraId="59D7549D">
      <w:pPr>
        <w:pStyle w:val="13"/>
        <w:rPr>
          <w:rStyle w:val="39"/>
          <w:rFonts w:ascii="宋体" w:hAnsi="宋体"/>
          <w:szCs w:val="21"/>
        </w:rPr>
      </w:pPr>
    </w:p>
    <w:p w14:paraId="04539F3D">
      <w:pPr>
        <w:rPr>
          <w:rStyle w:val="39"/>
          <w:rFonts w:ascii="宋体" w:hAnsi="宋体"/>
          <w:szCs w:val="21"/>
        </w:rPr>
      </w:pPr>
    </w:p>
    <w:p w14:paraId="478F73A1">
      <w:pPr>
        <w:pStyle w:val="5"/>
        <w:rPr>
          <w:sz w:val="48"/>
          <w:szCs w:val="48"/>
        </w:rPr>
      </w:pPr>
      <w:bookmarkStart w:id="752" w:name="_Toc28237"/>
    </w:p>
    <w:p w14:paraId="0071D33C">
      <w:pPr>
        <w:pStyle w:val="5"/>
        <w:jc w:val="center"/>
        <w:rPr>
          <w:sz w:val="48"/>
          <w:szCs w:val="48"/>
        </w:rPr>
      </w:pPr>
    </w:p>
    <w:p w14:paraId="73283397">
      <w:pPr>
        <w:pStyle w:val="5"/>
        <w:jc w:val="center"/>
        <w:rPr>
          <w:sz w:val="48"/>
          <w:szCs w:val="48"/>
        </w:rPr>
      </w:pPr>
    </w:p>
    <w:p w14:paraId="1F505ECE">
      <w:pPr>
        <w:pStyle w:val="5"/>
        <w:jc w:val="center"/>
        <w:rPr>
          <w:sz w:val="48"/>
          <w:szCs w:val="48"/>
        </w:rPr>
      </w:pPr>
      <w:bookmarkStart w:id="753" w:name="_Toc3738"/>
      <w:r>
        <w:rPr>
          <w:sz w:val="48"/>
          <w:szCs w:val="48"/>
        </w:rPr>
        <w:t>第二卷</w:t>
      </w:r>
      <w:bookmarkEnd w:id="752"/>
      <w:bookmarkEnd w:id="753"/>
    </w:p>
    <w:p w14:paraId="3D164DB8">
      <w:pPr>
        <w:rPr>
          <w:rStyle w:val="39"/>
          <w:rFonts w:ascii="宋体" w:hAnsi="宋体"/>
          <w:szCs w:val="21"/>
        </w:rPr>
      </w:pPr>
    </w:p>
    <w:p w14:paraId="4D920448">
      <w:pPr>
        <w:rPr>
          <w:rStyle w:val="39"/>
          <w:rFonts w:ascii="宋体" w:hAnsi="宋体"/>
          <w:szCs w:val="21"/>
        </w:rPr>
      </w:pPr>
    </w:p>
    <w:p w14:paraId="38F5AD1B">
      <w:pPr>
        <w:rPr>
          <w:rStyle w:val="39"/>
          <w:rFonts w:ascii="宋体" w:hAnsi="宋体"/>
          <w:szCs w:val="21"/>
        </w:rPr>
      </w:pPr>
    </w:p>
    <w:p w14:paraId="5663045E">
      <w:pPr>
        <w:rPr>
          <w:rStyle w:val="39"/>
          <w:rFonts w:ascii="宋体" w:hAnsi="宋体"/>
          <w:szCs w:val="21"/>
        </w:rPr>
      </w:pPr>
    </w:p>
    <w:p w14:paraId="5DEBA2DB">
      <w:pPr>
        <w:rPr>
          <w:sz w:val="32"/>
          <w:szCs w:val="32"/>
        </w:rPr>
      </w:pPr>
      <w:bookmarkStart w:id="754" w:name="_Toc17817345"/>
      <w:bookmarkStart w:id="755" w:name="_Toc10358"/>
      <w:r>
        <w:rPr>
          <w:sz w:val="32"/>
          <w:szCs w:val="32"/>
        </w:rPr>
        <w:br w:type="page"/>
      </w:r>
    </w:p>
    <w:p w14:paraId="615A7286">
      <w:pPr>
        <w:pStyle w:val="6"/>
        <w:jc w:val="center"/>
        <w:rPr>
          <w:i w:val="0"/>
          <w:iCs w:val="0"/>
          <w:sz w:val="32"/>
          <w:szCs w:val="32"/>
        </w:rPr>
      </w:pPr>
      <w:bookmarkStart w:id="756" w:name="_Toc22184"/>
      <w:r>
        <w:rPr>
          <w:i w:val="0"/>
          <w:iCs w:val="0"/>
          <w:sz w:val="32"/>
          <w:szCs w:val="32"/>
        </w:rPr>
        <w:t>第六章  图  纸</w:t>
      </w:r>
      <w:bookmarkEnd w:id="754"/>
      <w:bookmarkEnd w:id="755"/>
      <w:bookmarkEnd w:id="756"/>
    </w:p>
    <w:p w14:paraId="5932564A">
      <w:pPr>
        <w:spacing w:line="500" w:lineRule="exact"/>
        <w:ind w:firstLine="422" w:firstLineChars="200"/>
        <w:rPr>
          <w:rStyle w:val="39"/>
          <w:rFonts w:ascii="宋体" w:hAnsi="宋体"/>
          <w:b/>
          <w:bCs/>
        </w:rPr>
      </w:pPr>
      <w:r>
        <w:rPr>
          <w:rStyle w:val="39"/>
          <w:rFonts w:ascii="宋体" w:hAnsi="宋体"/>
          <w:b/>
          <w:bCs/>
        </w:rPr>
        <w:t>图纸以</w:t>
      </w:r>
      <w:r>
        <w:rPr>
          <w:rStyle w:val="39"/>
          <w:rFonts w:hint="eastAsia" w:ascii="宋体" w:hAnsi="宋体"/>
          <w:b/>
          <w:bCs/>
        </w:rPr>
        <w:t>与招标工程量清单一同发出的电子版</w:t>
      </w:r>
      <w:r>
        <w:rPr>
          <w:rStyle w:val="39"/>
          <w:rFonts w:ascii="宋体" w:hAnsi="宋体"/>
          <w:b/>
          <w:bCs/>
        </w:rPr>
        <w:t>为准。具体施工范围请对应工程量清单及招标文件要求。</w:t>
      </w:r>
    </w:p>
    <w:p w14:paraId="0C33AB1F">
      <w:pPr>
        <w:rPr>
          <w:rStyle w:val="39"/>
          <w:rFonts w:ascii="宋体" w:hAnsi="宋体"/>
          <w:szCs w:val="21"/>
        </w:rPr>
      </w:pPr>
    </w:p>
    <w:p w14:paraId="764C47EC">
      <w:pPr>
        <w:rPr>
          <w:rStyle w:val="39"/>
          <w:rFonts w:ascii="宋体" w:hAnsi="宋体"/>
          <w:szCs w:val="21"/>
        </w:rPr>
      </w:pPr>
    </w:p>
    <w:p w14:paraId="5A9720F9">
      <w:pPr>
        <w:rPr>
          <w:rStyle w:val="39"/>
          <w:rFonts w:ascii="宋体" w:hAnsi="宋体"/>
          <w:szCs w:val="21"/>
        </w:rPr>
      </w:pPr>
    </w:p>
    <w:p w14:paraId="549F792E">
      <w:pPr>
        <w:spacing w:line="500" w:lineRule="exact"/>
        <w:ind w:firstLine="422" w:firstLineChars="200"/>
        <w:rPr>
          <w:rStyle w:val="39"/>
          <w:rFonts w:ascii="宋体" w:hAnsi="宋体"/>
          <w:b/>
          <w:bCs/>
        </w:rPr>
      </w:pPr>
    </w:p>
    <w:p w14:paraId="5F40D655">
      <w:pPr>
        <w:rPr>
          <w:rStyle w:val="39"/>
          <w:rFonts w:ascii="宋体" w:hAnsi="宋体"/>
          <w:szCs w:val="21"/>
        </w:rPr>
      </w:pPr>
    </w:p>
    <w:p w14:paraId="5D41D487">
      <w:pPr>
        <w:rPr>
          <w:rStyle w:val="39"/>
          <w:rFonts w:ascii="宋体" w:hAnsi="宋体"/>
          <w:szCs w:val="21"/>
        </w:rPr>
      </w:pPr>
    </w:p>
    <w:p w14:paraId="6FFA5A33">
      <w:pPr>
        <w:rPr>
          <w:rStyle w:val="39"/>
          <w:rFonts w:ascii="宋体" w:hAnsi="宋体"/>
          <w:szCs w:val="21"/>
        </w:rPr>
      </w:pPr>
    </w:p>
    <w:p w14:paraId="22799E25">
      <w:pPr>
        <w:rPr>
          <w:rStyle w:val="39"/>
          <w:rFonts w:ascii="宋体" w:hAnsi="宋体"/>
          <w:szCs w:val="21"/>
        </w:rPr>
      </w:pPr>
    </w:p>
    <w:p w14:paraId="6529876F">
      <w:pPr>
        <w:rPr>
          <w:rStyle w:val="39"/>
          <w:rFonts w:ascii="宋体" w:hAnsi="宋体"/>
          <w:szCs w:val="21"/>
        </w:rPr>
      </w:pPr>
    </w:p>
    <w:p w14:paraId="209C1BE0">
      <w:pPr>
        <w:jc w:val="center"/>
        <w:rPr>
          <w:rStyle w:val="39"/>
          <w:rFonts w:ascii="宋体" w:hAnsi="宋体"/>
          <w:sz w:val="48"/>
          <w:szCs w:val="48"/>
        </w:rPr>
      </w:pPr>
    </w:p>
    <w:p w14:paraId="2101DE6E">
      <w:pPr>
        <w:jc w:val="center"/>
        <w:rPr>
          <w:rStyle w:val="39"/>
          <w:rFonts w:ascii="宋体" w:hAnsi="宋体"/>
          <w:sz w:val="48"/>
          <w:szCs w:val="48"/>
        </w:rPr>
      </w:pPr>
    </w:p>
    <w:p w14:paraId="0DE00F3F">
      <w:pPr>
        <w:jc w:val="center"/>
        <w:rPr>
          <w:rStyle w:val="39"/>
          <w:rFonts w:ascii="宋体" w:hAnsi="宋体"/>
          <w:sz w:val="44"/>
          <w:szCs w:val="44"/>
        </w:rPr>
      </w:pPr>
    </w:p>
    <w:p w14:paraId="0F051CC7">
      <w:pPr>
        <w:spacing w:after="240"/>
        <w:rPr>
          <w:rStyle w:val="39"/>
          <w:rFonts w:ascii="宋体" w:hAnsi="宋体"/>
          <w:sz w:val="44"/>
          <w:szCs w:val="44"/>
        </w:rPr>
      </w:pPr>
    </w:p>
    <w:p w14:paraId="0557CC69">
      <w:pPr>
        <w:spacing w:after="240"/>
        <w:rPr>
          <w:rStyle w:val="39"/>
          <w:rFonts w:ascii="宋体" w:hAnsi="宋体"/>
          <w:sz w:val="44"/>
          <w:szCs w:val="44"/>
        </w:rPr>
      </w:pPr>
    </w:p>
    <w:p w14:paraId="0965E8EE">
      <w:pPr>
        <w:rPr>
          <w:rStyle w:val="39"/>
          <w:rFonts w:ascii="宋体" w:hAnsi="宋体"/>
        </w:rPr>
      </w:pPr>
    </w:p>
    <w:p w14:paraId="1CDDBBD5">
      <w:pPr>
        <w:rPr>
          <w:rStyle w:val="39"/>
          <w:rFonts w:ascii="宋体" w:hAnsi="宋体"/>
        </w:rPr>
      </w:pPr>
      <w:r>
        <w:rPr>
          <w:rStyle w:val="39"/>
          <w:rFonts w:ascii="宋体" w:hAnsi="宋体"/>
        </w:rPr>
        <w:br w:type="page"/>
      </w:r>
    </w:p>
    <w:p w14:paraId="1130B928">
      <w:pPr>
        <w:rPr>
          <w:rStyle w:val="39"/>
          <w:rFonts w:ascii="宋体" w:hAnsi="宋体"/>
        </w:rPr>
      </w:pPr>
    </w:p>
    <w:p w14:paraId="1A1374E6">
      <w:pPr>
        <w:rPr>
          <w:rStyle w:val="39"/>
          <w:rFonts w:ascii="宋体" w:hAnsi="宋体"/>
        </w:rPr>
      </w:pPr>
    </w:p>
    <w:p w14:paraId="3C86A580">
      <w:pPr>
        <w:rPr>
          <w:rStyle w:val="39"/>
          <w:rFonts w:ascii="宋体" w:hAnsi="宋体"/>
        </w:rPr>
      </w:pPr>
    </w:p>
    <w:p w14:paraId="7B294D8C">
      <w:pPr>
        <w:rPr>
          <w:rStyle w:val="39"/>
          <w:rFonts w:ascii="宋体" w:hAnsi="宋体"/>
        </w:rPr>
      </w:pPr>
    </w:p>
    <w:p w14:paraId="04EDFDFC">
      <w:pPr>
        <w:rPr>
          <w:rStyle w:val="39"/>
          <w:rFonts w:ascii="宋体" w:hAnsi="宋体"/>
        </w:rPr>
      </w:pPr>
    </w:p>
    <w:p w14:paraId="0163CEB9">
      <w:pPr>
        <w:rPr>
          <w:rStyle w:val="39"/>
          <w:rFonts w:ascii="宋体" w:hAnsi="宋体"/>
        </w:rPr>
      </w:pPr>
    </w:p>
    <w:p w14:paraId="5CBCA213">
      <w:pPr>
        <w:rPr>
          <w:rStyle w:val="39"/>
          <w:rFonts w:ascii="宋体" w:hAnsi="宋体"/>
        </w:rPr>
      </w:pPr>
    </w:p>
    <w:p w14:paraId="4680E80D">
      <w:pPr>
        <w:rPr>
          <w:rStyle w:val="39"/>
          <w:rFonts w:ascii="宋体" w:hAnsi="宋体"/>
        </w:rPr>
      </w:pPr>
    </w:p>
    <w:p w14:paraId="2EFEB979">
      <w:pPr>
        <w:rPr>
          <w:rStyle w:val="39"/>
          <w:rFonts w:ascii="宋体" w:hAnsi="宋体"/>
        </w:rPr>
      </w:pPr>
    </w:p>
    <w:p w14:paraId="0DEDE2CA">
      <w:pPr>
        <w:rPr>
          <w:rStyle w:val="39"/>
          <w:rFonts w:ascii="宋体" w:hAnsi="宋体"/>
        </w:rPr>
      </w:pPr>
    </w:p>
    <w:p w14:paraId="182AB51D">
      <w:pPr>
        <w:rPr>
          <w:rStyle w:val="39"/>
          <w:rFonts w:ascii="宋体" w:hAnsi="宋体"/>
          <w:szCs w:val="21"/>
        </w:rPr>
      </w:pPr>
    </w:p>
    <w:p w14:paraId="4DD955C3">
      <w:pPr>
        <w:pStyle w:val="5"/>
        <w:jc w:val="center"/>
        <w:rPr>
          <w:sz w:val="48"/>
          <w:szCs w:val="48"/>
        </w:rPr>
      </w:pPr>
      <w:bookmarkStart w:id="757" w:name="_Toc3146"/>
      <w:bookmarkStart w:id="758" w:name="_Toc12737"/>
      <w:r>
        <w:rPr>
          <w:sz w:val="48"/>
          <w:szCs w:val="48"/>
        </w:rPr>
        <w:t>第三卷</w:t>
      </w:r>
      <w:bookmarkEnd w:id="757"/>
      <w:bookmarkEnd w:id="758"/>
    </w:p>
    <w:p w14:paraId="2B6149EC">
      <w:pPr>
        <w:rPr>
          <w:rStyle w:val="39"/>
          <w:rFonts w:ascii="宋体" w:hAnsi="宋体"/>
        </w:rPr>
      </w:pPr>
    </w:p>
    <w:p w14:paraId="5C88D4E1">
      <w:pPr>
        <w:rPr>
          <w:rStyle w:val="39"/>
          <w:rFonts w:ascii="宋体" w:hAnsi="宋体"/>
        </w:rPr>
      </w:pPr>
    </w:p>
    <w:p w14:paraId="3752A4F9">
      <w:pPr>
        <w:rPr>
          <w:rStyle w:val="39"/>
          <w:rFonts w:ascii="宋体" w:hAnsi="宋体"/>
        </w:rPr>
      </w:pPr>
    </w:p>
    <w:p w14:paraId="4239C94C">
      <w:pPr>
        <w:rPr>
          <w:rStyle w:val="39"/>
          <w:rFonts w:ascii="宋体" w:hAnsi="宋体"/>
        </w:rPr>
      </w:pPr>
    </w:p>
    <w:p w14:paraId="2EA5AEC0">
      <w:pPr>
        <w:rPr>
          <w:rStyle w:val="39"/>
          <w:rFonts w:ascii="宋体" w:hAnsi="宋体"/>
        </w:rPr>
      </w:pPr>
    </w:p>
    <w:p w14:paraId="2E448EDF">
      <w:pPr>
        <w:rPr>
          <w:rStyle w:val="39"/>
          <w:rFonts w:ascii="宋体" w:hAnsi="宋体"/>
        </w:rPr>
      </w:pPr>
    </w:p>
    <w:p w14:paraId="003E297A">
      <w:pPr>
        <w:rPr>
          <w:rStyle w:val="39"/>
          <w:rFonts w:ascii="宋体" w:hAnsi="宋体"/>
        </w:rPr>
      </w:pPr>
    </w:p>
    <w:p w14:paraId="497F98C3">
      <w:pPr>
        <w:rPr>
          <w:rStyle w:val="39"/>
          <w:rFonts w:ascii="宋体" w:hAnsi="宋体"/>
        </w:rPr>
      </w:pPr>
    </w:p>
    <w:p w14:paraId="267F256A">
      <w:pPr>
        <w:rPr>
          <w:rStyle w:val="39"/>
          <w:rFonts w:ascii="宋体" w:hAnsi="宋体"/>
        </w:rPr>
      </w:pPr>
    </w:p>
    <w:p w14:paraId="11171CBD">
      <w:pPr>
        <w:rPr>
          <w:rStyle w:val="39"/>
          <w:rFonts w:ascii="宋体" w:hAnsi="宋体"/>
        </w:rPr>
      </w:pPr>
    </w:p>
    <w:p w14:paraId="0F351021">
      <w:pPr>
        <w:rPr>
          <w:rStyle w:val="39"/>
          <w:rFonts w:ascii="宋体" w:hAnsi="宋体"/>
        </w:rPr>
      </w:pPr>
    </w:p>
    <w:p w14:paraId="4480E9C6">
      <w:pPr>
        <w:rPr>
          <w:rStyle w:val="39"/>
          <w:rFonts w:ascii="宋体" w:hAnsi="宋体"/>
        </w:rPr>
      </w:pPr>
    </w:p>
    <w:p w14:paraId="4DF18C97">
      <w:pPr>
        <w:rPr>
          <w:rStyle w:val="39"/>
          <w:rFonts w:ascii="宋体" w:hAnsi="宋体"/>
        </w:rPr>
      </w:pPr>
    </w:p>
    <w:p w14:paraId="534269E4">
      <w:pPr>
        <w:rPr>
          <w:rStyle w:val="39"/>
          <w:rFonts w:ascii="宋体" w:hAnsi="宋体"/>
        </w:rPr>
      </w:pPr>
    </w:p>
    <w:p w14:paraId="74AAE8D7">
      <w:pPr>
        <w:rPr>
          <w:rStyle w:val="39"/>
          <w:rFonts w:ascii="宋体" w:hAnsi="宋体"/>
        </w:rPr>
      </w:pPr>
    </w:p>
    <w:p w14:paraId="1BFA870F">
      <w:pPr>
        <w:rPr>
          <w:rStyle w:val="39"/>
          <w:rFonts w:ascii="宋体" w:hAnsi="宋体"/>
        </w:rPr>
      </w:pPr>
    </w:p>
    <w:p w14:paraId="24C19090">
      <w:pPr>
        <w:rPr>
          <w:rStyle w:val="39"/>
          <w:rFonts w:ascii="宋体" w:hAnsi="宋体"/>
        </w:rPr>
      </w:pPr>
    </w:p>
    <w:p w14:paraId="0AD51057">
      <w:pPr>
        <w:rPr>
          <w:rStyle w:val="39"/>
          <w:rFonts w:ascii="宋体" w:hAnsi="宋体"/>
        </w:rPr>
      </w:pPr>
    </w:p>
    <w:p w14:paraId="53D1E4EA">
      <w:pPr>
        <w:rPr>
          <w:rStyle w:val="39"/>
          <w:rFonts w:ascii="宋体" w:hAnsi="宋体"/>
        </w:rPr>
      </w:pPr>
    </w:p>
    <w:p w14:paraId="07B66FBD">
      <w:pPr>
        <w:rPr>
          <w:rStyle w:val="39"/>
          <w:rFonts w:ascii="宋体" w:hAnsi="宋体"/>
        </w:rPr>
      </w:pPr>
    </w:p>
    <w:p w14:paraId="623AEFFC">
      <w:pPr>
        <w:rPr>
          <w:rStyle w:val="39"/>
          <w:rFonts w:ascii="宋体" w:hAnsi="宋体"/>
        </w:rPr>
      </w:pPr>
    </w:p>
    <w:p w14:paraId="26637740">
      <w:pPr>
        <w:rPr>
          <w:rStyle w:val="39"/>
          <w:rFonts w:ascii="宋体" w:hAnsi="宋体"/>
        </w:rPr>
      </w:pPr>
    </w:p>
    <w:p w14:paraId="3FD8161D">
      <w:pPr>
        <w:rPr>
          <w:rStyle w:val="39"/>
          <w:rFonts w:ascii="宋体" w:hAnsi="宋体"/>
        </w:rPr>
      </w:pPr>
    </w:p>
    <w:p w14:paraId="63D10568">
      <w:pPr>
        <w:rPr>
          <w:rStyle w:val="39"/>
          <w:rFonts w:ascii="宋体" w:hAnsi="宋体"/>
        </w:rPr>
      </w:pPr>
    </w:p>
    <w:p w14:paraId="25B60BB7">
      <w:pPr>
        <w:rPr>
          <w:rStyle w:val="39"/>
          <w:rFonts w:ascii="宋体" w:hAnsi="宋体"/>
        </w:rPr>
      </w:pPr>
    </w:p>
    <w:p w14:paraId="30E38A3A">
      <w:pPr>
        <w:pStyle w:val="13"/>
      </w:pPr>
    </w:p>
    <w:p w14:paraId="49ADB1D5">
      <w:pPr>
        <w:rPr>
          <w:rStyle w:val="39"/>
          <w:rFonts w:ascii="宋体" w:hAnsi="宋体"/>
        </w:rPr>
      </w:pPr>
    </w:p>
    <w:p w14:paraId="65D1F33A">
      <w:pPr>
        <w:rPr>
          <w:rStyle w:val="39"/>
          <w:rFonts w:ascii="宋体" w:hAnsi="宋体"/>
        </w:rPr>
      </w:pPr>
    </w:p>
    <w:p w14:paraId="2D3F5E2E">
      <w:pPr>
        <w:pStyle w:val="6"/>
        <w:jc w:val="center"/>
        <w:rPr>
          <w:i w:val="0"/>
          <w:iCs w:val="0"/>
          <w:sz w:val="32"/>
          <w:szCs w:val="32"/>
        </w:rPr>
      </w:pPr>
      <w:bookmarkStart w:id="759" w:name="_Toc4366"/>
      <w:bookmarkStart w:id="760" w:name="_Toc14490"/>
      <w:bookmarkStart w:id="761" w:name="_Toc17817346"/>
      <w:r>
        <w:rPr>
          <w:i w:val="0"/>
          <w:iCs w:val="0"/>
          <w:sz w:val="32"/>
          <w:szCs w:val="32"/>
        </w:rPr>
        <w:t>第七章  技术标准和要求</w:t>
      </w:r>
      <w:bookmarkEnd w:id="759"/>
      <w:bookmarkEnd w:id="760"/>
      <w:bookmarkEnd w:id="761"/>
    </w:p>
    <w:p w14:paraId="27B134B5">
      <w:pPr>
        <w:spacing w:line="520" w:lineRule="exact"/>
        <w:ind w:firstLine="420" w:firstLineChars="200"/>
        <w:rPr>
          <w:rStyle w:val="39"/>
          <w:rFonts w:ascii="宋体" w:hAnsi="宋体"/>
          <w:szCs w:val="20"/>
        </w:rPr>
      </w:pPr>
    </w:p>
    <w:p w14:paraId="5AF212D5">
      <w:pPr>
        <w:snapToGrid w:val="0"/>
        <w:spacing w:line="440" w:lineRule="exact"/>
        <w:ind w:firstLine="525" w:firstLineChars="250"/>
        <w:rPr>
          <w:rStyle w:val="39"/>
          <w:rFonts w:ascii="宋体" w:hAnsi="宋体"/>
        </w:rPr>
      </w:pPr>
      <w:r>
        <w:rPr>
          <w:rStyle w:val="39"/>
          <w:rFonts w:hint="eastAsia" w:ascii="宋体" w:hAnsi="宋体"/>
        </w:rPr>
        <w:t>1、依据设计施工图纸和技术文件要求，本工程项目的材料、设备、施工必须达到现行中华人民共和国及省、市、行业的一切有关法规、规范的要求，如各标准及规范要求有出入则以较严格者为准。</w:t>
      </w:r>
    </w:p>
    <w:p w14:paraId="2B681227">
      <w:pPr>
        <w:snapToGrid w:val="0"/>
        <w:spacing w:line="440" w:lineRule="exact"/>
        <w:ind w:firstLine="525" w:firstLineChars="250"/>
        <w:rPr>
          <w:rStyle w:val="39"/>
          <w:rFonts w:hint="eastAsia" w:ascii="宋体" w:hAnsi="宋体"/>
          <w:highlight w:val="none"/>
        </w:rPr>
      </w:pPr>
      <w:r>
        <w:rPr>
          <w:rStyle w:val="39"/>
          <w:rFonts w:hint="eastAsia" w:ascii="宋体" w:hAnsi="宋体"/>
        </w:rPr>
        <w:t>2、执行国家、省市现行的建设工程施工及工程质量验收规范、施工技术标准、程序，建设工程施工操作规程、“建设工程质量管理条例”、“工程建设强制性标准”、“工程建设标准强制性条文”、“建筑工程安全生产管理条理”、“建筑施工安全检查标准”以及有关建筑质量、安全施工建筑材料及半成品备</w:t>
      </w:r>
      <w:r>
        <w:rPr>
          <w:rStyle w:val="39"/>
          <w:rFonts w:hint="eastAsia" w:ascii="宋体" w:hAnsi="宋体"/>
          <w:highlight w:val="none"/>
        </w:rPr>
        <w:t>案证制度等有关文件、规定、施工图纸、技术交底、地质勘察等有关技术说明和“建筑工程质量检验评定标准”，“建筑安装工程质量检验评定统一标准”等。</w:t>
      </w:r>
      <w:bookmarkStart w:id="762" w:name="_Toc31859"/>
    </w:p>
    <w:p w14:paraId="73B0A7D5">
      <w:pPr>
        <w:snapToGrid w:val="0"/>
        <w:spacing w:line="440" w:lineRule="exact"/>
        <w:ind w:firstLine="525" w:firstLineChars="250"/>
        <w:rPr>
          <w:rStyle w:val="39"/>
          <w:rFonts w:hint="eastAsia" w:ascii="宋体" w:hAnsi="宋体" w:eastAsia="宋体" w:cs="Times New Roman"/>
          <w:lang w:val="en-US" w:eastAsia="zh-CN"/>
        </w:rPr>
      </w:pPr>
      <w:r>
        <w:rPr>
          <w:rStyle w:val="39"/>
          <w:rFonts w:hint="eastAsia" w:ascii="宋体" w:hAnsi="宋体" w:eastAsia="宋体" w:cs="Times New Roman"/>
          <w:lang w:val="en-US" w:eastAsia="zh-CN"/>
        </w:rPr>
        <w:t>3、甲限材料品牌范围</w:t>
      </w:r>
    </w:p>
    <w:p w14:paraId="6512BA8E">
      <w:pPr>
        <w:snapToGrid w:val="0"/>
        <w:spacing w:line="440" w:lineRule="exact"/>
        <w:ind w:firstLine="525" w:firstLineChars="250"/>
        <w:rPr>
          <w:rStyle w:val="39"/>
          <w:rFonts w:hint="eastAsia" w:ascii="宋体" w:hAnsi="宋体" w:eastAsia="宋体"/>
        </w:rPr>
      </w:pPr>
      <w:r>
        <w:rPr>
          <w:rStyle w:val="39"/>
          <w:rFonts w:hint="eastAsia" w:ascii="宋体" w:hAnsi="宋体" w:eastAsia="宋体" w:cs="Times New Roman"/>
          <w:lang w:val="en-US" w:eastAsia="zh-CN"/>
        </w:rPr>
        <w:t>因工期要求，需在甲限品牌范围外选择其他品牌的应选择同档次品牌并技术标书中作出偏离说明提请评标小组进行评审。</w:t>
      </w:r>
    </w:p>
    <w:tbl>
      <w:tblPr>
        <w:tblStyle w:val="25"/>
        <w:tblpPr w:leftFromText="180" w:rightFromText="180" w:vertAnchor="text" w:horzAnchor="page" w:tblpX="1510" w:tblpY="461"/>
        <w:tblOverlap w:val="never"/>
        <w:tblW w:w="9359" w:type="dxa"/>
        <w:tblInd w:w="0" w:type="dxa"/>
        <w:tblLayout w:type="autofit"/>
        <w:tblCellMar>
          <w:top w:w="0" w:type="dxa"/>
          <w:left w:w="0" w:type="dxa"/>
          <w:bottom w:w="0" w:type="dxa"/>
          <w:right w:w="0" w:type="dxa"/>
        </w:tblCellMar>
      </w:tblPr>
      <w:tblGrid>
        <w:gridCol w:w="630"/>
        <w:gridCol w:w="1603"/>
        <w:gridCol w:w="7126"/>
      </w:tblGrid>
      <w:tr w14:paraId="1EFE79F4">
        <w:tblPrEx>
          <w:tblCellMar>
            <w:top w:w="0" w:type="dxa"/>
            <w:left w:w="0" w:type="dxa"/>
            <w:bottom w:w="0" w:type="dxa"/>
            <w:right w:w="0" w:type="dxa"/>
          </w:tblCellMar>
        </w:tblPrEx>
        <w:trPr>
          <w:trHeight w:val="616" w:hRule="atLeast"/>
        </w:trPr>
        <w:tc>
          <w:tcPr>
            <w:tcW w:w="6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2CE4E9">
            <w:pPr>
              <w:spacing w:before="120" w:beforeLines="50" w:after="120" w:afterLines="50" w:line="44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序号</w:t>
            </w:r>
          </w:p>
        </w:tc>
        <w:tc>
          <w:tcPr>
            <w:tcW w:w="16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0388D4">
            <w:pPr>
              <w:spacing w:before="120" w:beforeLines="50" w:after="120" w:afterLines="50" w:line="440" w:lineRule="exact"/>
              <w:jc w:val="center"/>
              <w:rPr>
                <w:rFonts w:hint="eastAsia" w:ascii="仿宋" w:hAnsi="仿宋" w:eastAsia="仿宋" w:cs="仿宋"/>
                <w:sz w:val="24"/>
                <w:szCs w:val="24"/>
              </w:rPr>
            </w:pPr>
            <w:r>
              <w:rPr>
                <w:rFonts w:hint="eastAsia" w:ascii="仿宋" w:hAnsi="仿宋" w:eastAsia="仿宋" w:cs="仿宋"/>
                <w:sz w:val="24"/>
                <w:szCs w:val="24"/>
              </w:rPr>
              <w:t>材料名称</w:t>
            </w:r>
          </w:p>
        </w:tc>
        <w:tc>
          <w:tcPr>
            <w:tcW w:w="712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4D7290A4">
            <w:pPr>
              <w:spacing w:before="120" w:beforeLines="50" w:after="120" w:afterLines="50" w:line="440" w:lineRule="exact"/>
              <w:jc w:val="center"/>
              <w:rPr>
                <w:rFonts w:hint="eastAsia" w:ascii="仿宋" w:hAnsi="仿宋" w:eastAsia="仿宋" w:cs="仿宋"/>
                <w:sz w:val="24"/>
                <w:szCs w:val="24"/>
              </w:rPr>
            </w:pPr>
            <w:r>
              <w:rPr>
                <w:rFonts w:hint="eastAsia" w:ascii="仿宋" w:hAnsi="仿宋" w:eastAsia="仿宋" w:cs="仿宋"/>
                <w:sz w:val="24"/>
                <w:szCs w:val="24"/>
              </w:rPr>
              <w:t>甲限品牌范围</w:t>
            </w:r>
          </w:p>
        </w:tc>
      </w:tr>
      <w:tr w14:paraId="2E9F1D29">
        <w:tblPrEx>
          <w:tblCellMar>
            <w:top w:w="0" w:type="dxa"/>
            <w:left w:w="0" w:type="dxa"/>
            <w:bottom w:w="0" w:type="dxa"/>
            <w:right w:w="0" w:type="dxa"/>
          </w:tblCellMar>
        </w:tblPrEx>
        <w:trPr>
          <w:trHeight w:val="616" w:hRule="atLeast"/>
        </w:trPr>
        <w:tc>
          <w:tcPr>
            <w:tcW w:w="6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252210">
            <w:pPr>
              <w:spacing w:before="120" w:beforeLines="50" w:after="120" w:afterLines="50" w:line="440" w:lineRule="exact"/>
              <w:jc w:val="center"/>
              <w:rPr>
                <w:rFonts w:hint="eastAsia" w:ascii="仿宋" w:hAnsi="仿宋" w:eastAsia="仿宋" w:cs="仿宋"/>
                <w:sz w:val="24"/>
                <w:szCs w:val="24"/>
              </w:rPr>
            </w:pPr>
            <w:r>
              <w:rPr>
                <w:rFonts w:hint="eastAsia" w:ascii="仿宋" w:hAnsi="仿宋" w:eastAsia="仿宋" w:cs="仿宋"/>
                <w:sz w:val="24"/>
                <w:szCs w:val="24"/>
              </w:rPr>
              <w:t>1</w:t>
            </w:r>
          </w:p>
        </w:tc>
        <w:tc>
          <w:tcPr>
            <w:tcW w:w="16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C0F643">
            <w:pPr>
              <w:spacing w:before="120" w:beforeLines="50" w:after="120" w:afterLines="50" w:line="44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太阳能路灯</w:t>
            </w:r>
          </w:p>
        </w:tc>
        <w:tc>
          <w:tcPr>
            <w:tcW w:w="71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F4C407">
            <w:pPr>
              <w:spacing w:before="120" w:beforeLines="50" w:after="120" w:afterLines="50" w:line="44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PPLE欧普、FSL佛山照明、TCL、上海亚明、雷士NVC、深圳海洋王照明</w:t>
            </w:r>
          </w:p>
        </w:tc>
      </w:tr>
      <w:tr w14:paraId="02FDF465">
        <w:tblPrEx>
          <w:tblCellMar>
            <w:top w:w="0" w:type="dxa"/>
            <w:left w:w="0" w:type="dxa"/>
            <w:bottom w:w="0" w:type="dxa"/>
            <w:right w:w="0" w:type="dxa"/>
          </w:tblCellMar>
        </w:tblPrEx>
        <w:trPr>
          <w:trHeight w:val="616" w:hRule="atLeast"/>
        </w:trPr>
        <w:tc>
          <w:tcPr>
            <w:tcW w:w="6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39D133">
            <w:pPr>
              <w:spacing w:before="120" w:beforeLines="50" w:after="120" w:afterLines="50" w:line="44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6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841031">
            <w:pPr>
              <w:spacing w:before="120" w:beforeLines="50" w:after="120" w:afterLines="50" w:line="44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监控</w:t>
            </w:r>
          </w:p>
        </w:tc>
        <w:tc>
          <w:tcPr>
            <w:tcW w:w="71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41DFFC">
            <w:pPr>
              <w:spacing w:before="120" w:beforeLines="50" w:after="120" w:afterLines="50" w:line="44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大华、海康、宇视</w:t>
            </w:r>
          </w:p>
        </w:tc>
      </w:tr>
    </w:tbl>
    <w:p w14:paraId="4A949624">
      <w:pPr>
        <w:rPr>
          <w:sz w:val="48"/>
          <w:szCs w:val="48"/>
          <w:highlight w:val="none"/>
        </w:rPr>
      </w:pPr>
    </w:p>
    <w:p w14:paraId="0DD63A1D"/>
    <w:p w14:paraId="227E43F8">
      <w:pPr>
        <w:pStyle w:val="5"/>
        <w:jc w:val="center"/>
        <w:rPr>
          <w:sz w:val="48"/>
          <w:szCs w:val="48"/>
        </w:rPr>
      </w:pPr>
    </w:p>
    <w:p w14:paraId="711B9DF0">
      <w:pPr>
        <w:pStyle w:val="5"/>
        <w:jc w:val="center"/>
        <w:rPr>
          <w:sz w:val="48"/>
          <w:szCs w:val="48"/>
        </w:rPr>
      </w:pPr>
    </w:p>
    <w:p w14:paraId="7F0A5692">
      <w:pPr>
        <w:pStyle w:val="5"/>
        <w:jc w:val="center"/>
        <w:rPr>
          <w:sz w:val="48"/>
          <w:szCs w:val="48"/>
        </w:rPr>
      </w:pPr>
    </w:p>
    <w:p w14:paraId="5BE5971C">
      <w:pPr>
        <w:pStyle w:val="5"/>
        <w:jc w:val="center"/>
        <w:rPr>
          <w:sz w:val="48"/>
          <w:szCs w:val="48"/>
        </w:rPr>
      </w:pPr>
    </w:p>
    <w:p w14:paraId="3F3CB2CB">
      <w:pPr>
        <w:pStyle w:val="5"/>
        <w:jc w:val="center"/>
        <w:rPr>
          <w:sz w:val="48"/>
          <w:szCs w:val="48"/>
        </w:rPr>
      </w:pPr>
      <w:bookmarkStart w:id="763" w:name="_Toc1489"/>
      <w:r>
        <w:rPr>
          <w:sz w:val="48"/>
          <w:szCs w:val="48"/>
        </w:rPr>
        <w:t>第四卷</w:t>
      </w:r>
      <w:bookmarkEnd w:id="762"/>
      <w:bookmarkEnd w:id="763"/>
    </w:p>
    <w:p w14:paraId="0F3FF18D">
      <w:pPr>
        <w:spacing w:before="120" w:after="120" w:line="480" w:lineRule="exact"/>
        <w:rPr>
          <w:rStyle w:val="39"/>
          <w:rFonts w:ascii="宋体" w:hAnsi="宋体"/>
        </w:rPr>
      </w:pPr>
    </w:p>
    <w:p w14:paraId="757DF768">
      <w:pPr>
        <w:spacing w:before="120" w:after="120" w:line="480" w:lineRule="exact"/>
        <w:rPr>
          <w:rStyle w:val="39"/>
          <w:rFonts w:ascii="宋体" w:hAnsi="宋体"/>
        </w:rPr>
      </w:pPr>
    </w:p>
    <w:p w14:paraId="6101048B">
      <w:pPr>
        <w:spacing w:before="120" w:after="120" w:line="480" w:lineRule="exact"/>
        <w:rPr>
          <w:rStyle w:val="39"/>
          <w:rFonts w:ascii="宋体" w:hAnsi="宋体"/>
        </w:rPr>
      </w:pPr>
    </w:p>
    <w:p w14:paraId="0BBF3C49">
      <w:pPr>
        <w:spacing w:before="120" w:after="120" w:line="480" w:lineRule="exact"/>
        <w:rPr>
          <w:rStyle w:val="39"/>
          <w:rFonts w:ascii="宋体" w:hAnsi="宋体"/>
        </w:rPr>
      </w:pPr>
    </w:p>
    <w:p w14:paraId="25EEAB9F">
      <w:pPr>
        <w:spacing w:before="120" w:after="120" w:line="480" w:lineRule="exact"/>
        <w:rPr>
          <w:rStyle w:val="39"/>
          <w:rFonts w:ascii="宋体" w:hAnsi="宋体"/>
        </w:rPr>
      </w:pPr>
    </w:p>
    <w:p w14:paraId="074E8552">
      <w:pPr>
        <w:rPr>
          <w:i w:val="0"/>
          <w:iCs w:val="0"/>
          <w:sz w:val="32"/>
          <w:szCs w:val="32"/>
        </w:rPr>
      </w:pPr>
      <w:bookmarkStart w:id="764" w:name="_Toc17817347"/>
      <w:bookmarkStart w:id="765" w:name="_Toc28132"/>
      <w:r>
        <w:rPr>
          <w:i w:val="0"/>
          <w:iCs w:val="0"/>
          <w:sz w:val="32"/>
          <w:szCs w:val="32"/>
        </w:rPr>
        <w:br w:type="page"/>
      </w:r>
    </w:p>
    <w:p w14:paraId="4267D0DD">
      <w:pPr>
        <w:pStyle w:val="6"/>
        <w:jc w:val="center"/>
        <w:rPr>
          <w:i w:val="0"/>
          <w:iCs w:val="0"/>
          <w:sz w:val="32"/>
          <w:szCs w:val="32"/>
        </w:rPr>
      </w:pPr>
      <w:bookmarkStart w:id="766" w:name="_Toc14936"/>
      <w:r>
        <w:rPr>
          <w:i w:val="0"/>
          <w:iCs w:val="0"/>
          <w:sz w:val="32"/>
          <w:szCs w:val="32"/>
        </w:rPr>
        <w:t>第八章  投标文件格式</w:t>
      </w:r>
      <w:bookmarkEnd w:id="764"/>
      <w:bookmarkEnd w:id="765"/>
      <w:bookmarkEnd w:id="766"/>
    </w:p>
    <w:p w14:paraId="38D8C948">
      <w:pPr>
        <w:spacing w:before="120" w:after="120" w:line="480" w:lineRule="exact"/>
        <w:rPr>
          <w:rStyle w:val="39"/>
          <w:rFonts w:ascii="宋体" w:hAnsi="宋体"/>
        </w:rPr>
      </w:pPr>
    </w:p>
    <w:p w14:paraId="03799D1F">
      <w:pPr>
        <w:spacing w:before="120" w:after="120" w:line="480" w:lineRule="exact"/>
        <w:rPr>
          <w:rStyle w:val="39"/>
          <w:rFonts w:ascii="宋体" w:hAnsi="宋体"/>
        </w:rPr>
      </w:pPr>
    </w:p>
    <w:p w14:paraId="32D8A3AA">
      <w:pPr>
        <w:jc w:val="center"/>
        <w:rPr>
          <w:rStyle w:val="39"/>
          <w:rFonts w:ascii="宋体" w:hAnsi="宋体"/>
          <w:sz w:val="28"/>
          <w:szCs w:val="28"/>
          <w:u w:val="single"/>
        </w:rPr>
      </w:pPr>
      <w:r>
        <w:rPr>
          <w:rStyle w:val="39"/>
          <w:rFonts w:ascii="宋体" w:hAnsi="宋体"/>
          <w:sz w:val="28"/>
          <w:szCs w:val="28"/>
        </w:rPr>
        <w:t>（项目名称）</w:t>
      </w:r>
    </w:p>
    <w:p w14:paraId="4C84E8AE">
      <w:pPr>
        <w:spacing w:before="240"/>
        <w:jc w:val="center"/>
        <w:rPr>
          <w:rStyle w:val="39"/>
          <w:rFonts w:ascii="宋体" w:hAnsi="宋体"/>
          <w:sz w:val="44"/>
          <w:szCs w:val="44"/>
        </w:rPr>
      </w:pPr>
      <w:r>
        <w:rPr>
          <w:rStyle w:val="39"/>
          <w:rFonts w:ascii="宋体" w:hAnsi="宋体"/>
          <w:sz w:val="44"/>
          <w:szCs w:val="44"/>
        </w:rPr>
        <w:t>投  标  文  件</w:t>
      </w:r>
    </w:p>
    <w:p w14:paraId="64AF80B4">
      <w:pPr>
        <w:jc w:val="center"/>
        <w:rPr>
          <w:rStyle w:val="39"/>
          <w:rFonts w:ascii="宋体" w:hAnsi="宋体"/>
          <w:sz w:val="32"/>
          <w:szCs w:val="32"/>
        </w:rPr>
      </w:pPr>
    </w:p>
    <w:p w14:paraId="30AF3E9B">
      <w:pPr>
        <w:jc w:val="center"/>
        <w:rPr>
          <w:rStyle w:val="39"/>
          <w:rFonts w:ascii="宋体" w:hAnsi="宋体"/>
          <w:sz w:val="32"/>
          <w:szCs w:val="32"/>
        </w:rPr>
      </w:pPr>
    </w:p>
    <w:p w14:paraId="40E98DB7">
      <w:pPr>
        <w:jc w:val="center"/>
        <w:rPr>
          <w:rStyle w:val="39"/>
          <w:rFonts w:ascii="宋体" w:hAnsi="宋体"/>
          <w:sz w:val="32"/>
          <w:szCs w:val="32"/>
        </w:rPr>
      </w:pPr>
    </w:p>
    <w:p w14:paraId="39B058D7">
      <w:pPr>
        <w:jc w:val="center"/>
        <w:rPr>
          <w:rStyle w:val="39"/>
          <w:rFonts w:ascii="宋体" w:hAnsi="宋体"/>
          <w:sz w:val="32"/>
          <w:szCs w:val="32"/>
        </w:rPr>
      </w:pPr>
    </w:p>
    <w:p w14:paraId="038707EC">
      <w:pPr>
        <w:jc w:val="center"/>
        <w:rPr>
          <w:rStyle w:val="39"/>
          <w:rFonts w:ascii="宋体" w:hAnsi="宋体"/>
          <w:sz w:val="32"/>
          <w:szCs w:val="32"/>
        </w:rPr>
      </w:pPr>
    </w:p>
    <w:p w14:paraId="236B3447">
      <w:pPr>
        <w:jc w:val="center"/>
        <w:rPr>
          <w:rStyle w:val="39"/>
          <w:rFonts w:ascii="宋体" w:hAnsi="宋体"/>
          <w:sz w:val="32"/>
          <w:szCs w:val="32"/>
        </w:rPr>
      </w:pPr>
    </w:p>
    <w:p w14:paraId="355CA5C2">
      <w:pPr>
        <w:jc w:val="center"/>
        <w:rPr>
          <w:rStyle w:val="39"/>
          <w:rFonts w:ascii="宋体" w:hAnsi="宋体"/>
          <w:sz w:val="32"/>
          <w:szCs w:val="32"/>
        </w:rPr>
      </w:pPr>
    </w:p>
    <w:p w14:paraId="3A889D7C">
      <w:pPr>
        <w:jc w:val="center"/>
        <w:rPr>
          <w:rStyle w:val="39"/>
          <w:rFonts w:ascii="宋体" w:hAnsi="宋体"/>
          <w:sz w:val="32"/>
          <w:szCs w:val="32"/>
        </w:rPr>
      </w:pPr>
    </w:p>
    <w:p w14:paraId="1337E8D7">
      <w:pPr>
        <w:jc w:val="center"/>
        <w:rPr>
          <w:rStyle w:val="39"/>
          <w:rFonts w:ascii="宋体" w:hAnsi="宋体"/>
          <w:sz w:val="32"/>
          <w:szCs w:val="32"/>
        </w:rPr>
      </w:pPr>
    </w:p>
    <w:p w14:paraId="228C8C3E">
      <w:pPr>
        <w:jc w:val="center"/>
        <w:rPr>
          <w:rStyle w:val="39"/>
          <w:rFonts w:ascii="宋体" w:hAnsi="宋体"/>
          <w:sz w:val="32"/>
          <w:szCs w:val="32"/>
        </w:rPr>
      </w:pPr>
    </w:p>
    <w:p w14:paraId="0D1337C7">
      <w:pPr>
        <w:jc w:val="center"/>
        <w:rPr>
          <w:rStyle w:val="39"/>
          <w:rFonts w:ascii="宋体" w:hAnsi="宋体"/>
          <w:sz w:val="32"/>
          <w:szCs w:val="32"/>
        </w:rPr>
      </w:pPr>
    </w:p>
    <w:p w14:paraId="533B5021">
      <w:pPr>
        <w:jc w:val="center"/>
        <w:rPr>
          <w:rStyle w:val="39"/>
          <w:rFonts w:ascii="宋体" w:hAnsi="宋体"/>
          <w:sz w:val="32"/>
          <w:szCs w:val="32"/>
        </w:rPr>
      </w:pPr>
    </w:p>
    <w:p w14:paraId="2D51BC74">
      <w:pPr>
        <w:jc w:val="center"/>
        <w:rPr>
          <w:rStyle w:val="39"/>
          <w:rFonts w:ascii="宋体" w:hAnsi="宋体"/>
          <w:sz w:val="32"/>
          <w:szCs w:val="32"/>
        </w:rPr>
      </w:pPr>
    </w:p>
    <w:p w14:paraId="0554DAF0">
      <w:pPr>
        <w:jc w:val="center"/>
        <w:rPr>
          <w:rStyle w:val="39"/>
          <w:rFonts w:ascii="宋体" w:hAnsi="宋体"/>
          <w:sz w:val="32"/>
          <w:szCs w:val="32"/>
        </w:rPr>
      </w:pPr>
    </w:p>
    <w:p w14:paraId="32DE6664">
      <w:pPr>
        <w:jc w:val="center"/>
        <w:rPr>
          <w:rStyle w:val="39"/>
          <w:rFonts w:ascii="宋体" w:hAnsi="宋体"/>
          <w:sz w:val="32"/>
          <w:szCs w:val="32"/>
        </w:rPr>
      </w:pPr>
    </w:p>
    <w:p w14:paraId="40C360BD">
      <w:pPr>
        <w:jc w:val="center"/>
        <w:rPr>
          <w:rStyle w:val="39"/>
          <w:rFonts w:ascii="宋体" w:hAnsi="宋体"/>
          <w:sz w:val="32"/>
          <w:szCs w:val="32"/>
        </w:rPr>
      </w:pPr>
    </w:p>
    <w:p w14:paraId="09884497">
      <w:pPr>
        <w:jc w:val="center"/>
        <w:rPr>
          <w:rStyle w:val="39"/>
          <w:rFonts w:ascii="宋体" w:hAnsi="宋体"/>
          <w:sz w:val="32"/>
          <w:szCs w:val="32"/>
        </w:rPr>
      </w:pPr>
    </w:p>
    <w:p w14:paraId="79071C7A">
      <w:pPr>
        <w:jc w:val="center"/>
        <w:rPr>
          <w:rStyle w:val="39"/>
          <w:rFonts w:ascii="宋体" w:hAnsi="宋体"/>
          <w:sz w:val="32"/>
          <w:szCs w:val="32"/>
        </w:rPr>
      </w:pPr>
    </w:p>
    <w:p w14:paraId="7C73EB86">
      <w:pPr>
        <w:jc w:val="center"/>
        <w:rPr>
          <w:rStyle w:val="39"/>
          <w:rFonts w:ascii="宋体" w:hAnsi="宋体"/>
          <w:sz w:val="32"/>
          <w:szCs w:val="32"/>
        </w:rPr>
      </w:pPr>
    </w:p>
    <w:p w14:paraId="160AD900">
      <w:pPr>
        <w:spacing w:line="360" w:lineRule="auto"/>
        <w:jc w:val="center"/>
        <w:rPr>
          <w:rStyle w:val="39"/>
          <w:rFonts w:ascii="宋体" w:hAnsi="宋体"/>
          <w:sz w:val="28"/>
          <w:szCs w:val="28"/>
        </w:rPr>
      </w:pPr>
      <w:r>
        <w:rPr>
          <w:rStyle w:val="39"/>
          <w:rFonts w:ascii="宋体" w:hAnsi="宋体"/>
          <w:sz w:val="28"/>
          <w:szCs w:val="28"/>
        </w:rPr>
        <w:t>投标人：（盖单位公章）</w:t>
      </w:r>
    </w:p>
    <w:p w14:paraId="1173C38A">
      <w:pPr>
        <w:spacing w:line="360" w:lineRule="auto"/>
        <w:ind w:firstLine="980" w:firstLineChars="350"/>
        <w:rPr>
          <w:rStyle w:val="39"/>
          <w:rFonts w:ascii="宋体" w:hAnsi="宋体"/>
          <w:sz w:val="28"/>
          <w:szCs w:val="28"/>
        </w:rPr>
      </w:pPr>
      <w:r>
        <w:rPr>
          <w:rStyle w:val="39"/>
          <w:rFonts w:ascii="宋体" w:hAnsi="宋体"/>
          <w:sz w:val="28"/>
          <w:szCs w:val="28"/>
        </w:rPr>
        <w:t>法定代表人或其委托代理人：（签字或盖章）</w:t>
      </w:r>
    </w:p>
    <w:p w14:paraId="05850E61">
      <w:pPr>
        <w:jc w:val="center"/>
        <w:rPr>
          <w:rStyle w:val="39"/>
          <w:rFonts w:ascii="宋体" w:hAnsi="宋体"/>
          <w:sz w:val="28"/>
          <w:szCs w:val="28"/>
        </w:rPr>
      </w:pPr>
    </w:p>
    <w:p w14:paraId="4EB361F5">
      <w:pPr>
        <w:jc w:val="center"/>
        <w:rPr>
          <w:rStyle w:val="39"/>
          <w:rFonts w:ascii="宋体" w:hAnsi="宋体"/>
          <w:sz w:val="28"/>
          <w:szCs w:val="28"/>
        </w:rPr>
      </w:pPr>
    </w:p>
    <w:p w14:paraId="7F7E277C">
      <w:pPr>
        <w:jc w:val="center"/>
        <w:rPr>
          <w:rStyle w:val="39"/>
          <w:rFonts w:ascii="宋体" w:hAnsi="宋体"/>
          <w:sz w:val="28"/>
          <w:szCs w:val="28"/>
        </w:rPr>
      </w:pPr>
      <w:r>
        <w:rPr>
          <w:rStyle w:val="39"/>
          <w:rFonts w:ascii="宋体" w:hAnsi="宋体"/>
          <w:sz w:val="28"/>
          <w:szCs w:val="28"/>
        </w:rPr>
        <w:t>年月日</w:t>
      </w:r>
    </w:p>
    <w:p w14:paraId="237E9FEB">
      <w:pPr>
        <w:jc w:val="center"/>
        <w:rPr>
          <w:rStyle w:val="39"/>
          <w:rFonts w:ascii="宋体" w:hAnsi="宋体"/>
          <w:sz w:val="28"/>
          <w:szCs w:val="28"/>
        </w:rPr>
      </w:pPr>
    </w:p>
    <w:p w14:paraId="31CCAE88">
      <w:pPr>
        <w:jc w:val="center"/>
        <w:rPr>
          <w:rStyle w:val="39"/>
          <w:rFonts w:ascii="宋体" w:hAnsi="宋体"/>
          <w:sz w:val="28"/>
          <w:szCs w:val="28"/>
        </w:rPr>
      </w:pPr>
    </w:p>
    <w:p w14:paraId="0CB4FDD6">
      <w:pPr>
        <w:jc w:val="center"/>
        <w:rPr>
          <w:rStyle w:val="39"/>
          <w:rFonts w:ascii="宋体" w:hAnsi="宋体"/>
          <w:sz w:val="28"/>
          <w:szCs w:val="28"/>
        </w:rPr>
      </w:pPr>
    </w:p>
    <w:p w14:paraId="18A4BD69">
      <w:pPr>
        <w:jc w:val="center"/>
        <w:rPr>
          <w:rStyle w:val="39"/>
          <w:rFonts w:ascii="宋体" w:hAnsi="宋体"/>
          <w:sz w:val="28"/>
          <w:szCs w:val="28"/>
        </w:rPr>
      </w:pPr>
    </w:p>
    <w:p w14:paraId="6D77A6D6">
      <w:pPr>
        <w:jc w:val="center"/>
        <w:rPr>
          <w:rStyle w:val="39"/>
          <w:rFonts w:ascii="宋体" w:hAnsi="宋体"/>
          <w:sz w:val="28"/>
          <w:szCs w:val="28"/>
        </w:rPr>
      </w:pPr>
    </w:p>
    <w:p w14:paraId="34585747">
      <w:pPr>
        <w:jc w:val="center"/>
        <w:rPr>
          <w:rStyle w:val="39"/>
          <w:rFonts w:ascii="宋体" w:hAnsi="宋体"/>
          <w:sz w:val="28"/>
          <w:szCs w:val="28"/>
        </w:rPr>
      </w:pPr>
      <w:r>
        <w:rPr>
          <w:rStyle w:val="39"/>
          <w:rFonts w:ascii="宋体" w:hAnsi="宋体"/>
          <w:sz w:val="28"/>
          <w:szCs w:val="28"/>
        </w:rPr>
        <w:t>目    录</w:t>
      </w:r>
    </w:p>
    <w:p w14:paraId="784BF9D0">
      <w:pPr>
        <w:spacing w:line="600" w:lineRule="exact"/>
        <w:rPr>
          <w:rStyle w:val="39"/>
          <w:rFonts w:ascii="宋体" w:hAnsi="宋体"/>
          <w:szCs w:val="21"/>
        </w:rPr>
      </w:pPr>
      <w:r>
        <w:rPr>
          <w:rStyle w:val="39"/>
          <w:rFonts w:ascii="宋体" w:hAnsi="宋体"/>
          <w:szCs w:val="21"/>
        </w:rPr>
        <w:t>一、投标函及投标函附录</w:t>
      </w:r>
    </w:p>
    <w:p w14:paraId="61355A65">
      <w:pPr>
        <w:spacing w:line="600" w:lineRule="exact"/>
        <w:rPr>
          <w:rStyle w:val="39"/>
          <w:rFonts w:ascii="宋体" w:hAnsi="宋体"/>
          <w:szCs w:val="21"/>
        </w:rPr>
      </w:pPr>
      <w:r>
        <w:rPr>
          <w:rStyle w:val="39"/>
          <w:rFonts w:ascii="宋体" w:hAnsi="宋体"/>
          <w:szCs w:val="21"/>
        </w:rPr>
        <w:t>二、法定代表人身份证明</w:t>
      </w:r>
    </w:p>
    <w:p w14:paraId="1BFAF9BC">
      <w:pPr>
        <w:spacing w:line="600" w:lineRule="exact"/>
        <w:rPr>
          <w:rStyle w:val="39"/>
          <w:rFonts w:ascii="宋体" w:hAnsi="宋体"/>
          <w:szCs w:val="21"/>
        </w:rPr>
      </w:pPr>
      <w:r>
        <w:rPr>
          <w:rStyle w:val="39"/>
          <w:rFonts w:ascii="宋体" w:hAnsi="宋体"/>
          <w:szCs w:val="21"/>
        </w:rPr>
        <w:t>三、授权委托书</w:t>
      </w:r>
    </w:p>
    <w:p w14:paraId="01881FA2">
      <w:pPr>
        <w:spacing w:line="600" w:lineRule="exact"/>
        <w:rPr>
          <w:rStyle w:val="39"/>
          <w:rFonts w:ascii="宋体" w:hAnsi="宋体"/>
          <w:szCs w:val="21"/>
        </w:rPr>
      </w:pPr>
      <w:r>
        <w:rPr>
          <w:rStyle w:val="39"/>
          <w:rFonts w:ascii="宋体" w:hAnsi="宋体"/>
          <w:szCs w:val="21"/>
        </w:rPr>
        <w:t>四、投标保证金</w:t>
      </w:r>
    </w:p>
    <w:p w14:paraId="07A50B39">
      <w:pPr>
        <w:spacing w:line="600" w:lineRule="exact"/>
        <w:rPr>
          <w:rStyle w:val="39"/>
          <w:rFonts w:ascii="宋体" w:hAnsi="宋体"/>
          <w:szCs w:val="21"/>
        </w:rPr>
      </w:pPr>
      <w:r>
        <w:rPr>
          <w:rStyle w:val="39"/>
          <w:rFonts w:ascii="宋体" w:hAnsi="宋体"/>
          <w:szCs w:val="21"/>
        </w:rPr>
        <w:t>五、已标价工程量清单</w:t>
      </w:r>
    </w:p>
    <w:p w14:paraId="749DF15C">
      <w:pPr>
        <w:spacing w:line="600" w:lineRule="exact"/>
        <w:rPr>
          <w:rStyle w:val="39"/>
          <w:rFonts w:ascii="宋体" w:hAnsi="宋体"/>
        </w:rPr>
      </w:pPr>
      <w:r>
        <w:rPr>
          <w:rStyle w:val="39"/>
          <w:rFonts w:hint="eastAsia" w:ascii="宋体" w:hAnsi="宋体"/>
        </w:rPr>
        <w:t>六、施工组织设计</w:t>
      </w:r>
    </w:p>
    <w:p w14:paraId="4B284766">
      <w:pPr>
        <w:spacing w:line="600" w:lineRule="exact"/>
        <w:rPr>
          <w:rStyle w:val="39"/>
          <w:rFonts w:ascii="宋体" w:hAnsi="宋体"/>
          <w:szCs w:val="21"/>
        </w:rPr>
      </w:pPr>
      <w:r>
        <w:rPr>
          <w:rStyle w:val="39"/>
          <w:rFonts w:hint="eastAsia" w:ascii="宋体" w:hAnsi="宋体"/>
          <w:szCs w:val="21"/>
          <w:lang w:val="en-US" w:eastAsia="zh-CN"/>
        </w:rPr>
        <w:t>七</w:t>
      </w:r>
      <w:r>
        <w:rPr>
          <w:rStyle w:val="39"/>
          <w:rFonts w:hint="eastAsia" w:ascii="宋体" w:hAnsi="宋体"/>
          <w:szCs w:val="21"/>
        </w:rPr>
        <w:t>、</w:t>
      </w:r>
      <w:r>
        <w:rPr>
          <w:rStyle w:val="39"/>
          <w:rFonts w:ascii="宋体" w:hAnsi="宋体"/>
          <w:szCs w:val="21"/>
        </w:rPr>
        <w:t>其他材料</w:t>
      </w:r>
    </w:p>
    <w:p w14:paraId="38AEE317">
      <w:pPr>
        <w:spacing w:line="600" w:lineRule="exact"/>
        <w:rPr>
          <w:rStyle w:val="39"/>
          <w:rFonts w:ascii="宋体" w:hAnsi="宋体"/>
          <w:szCs w:val="21"/>
        </w:rPr>
      </w:pPr>
    </w:p>
    <w:p w14:paraId="2EF7331F">
      <w:pPr>
        <w:spacing w:line="600" w:lineRule="exact"/>
        <w:rPr>
          <w:rStyle w:val="39"/>
          <w:rFonts w:ascii="宋体" w:hAnsi="宋体"/>
          <w:szCs w:val="21"/>
        </w:rPr>
      </w:pPr>
    </w:p>
    <w:p w14:paraId="6DC25D86">
      <w:pPr>
        <w:spacing w:line="600" w:lineRule="exact"/>
        <w:rPr>
          <w:rStyle w:val="39"/>
          <w:rFonts w:ascii="宋体" w:hAnsi="宋体"/>
          <w:szCs w:val="21"/>
        </w:rPr>
      </w:pPr>
    </w:p>
    <w:p w14:paraId="0A5FEC0D">
      <w:pPr>
        <w:spacing w:line="600" w:lineRule="exact"/>
        <w:rPr>
          <w:rStyle w:val="39"/>
          <w:rFonts w:ascii="宋体" w:hAnsi="宋体"/>
          <w:szCs w:val="21"/>
        </w:rPr>
      </w:pPr>
    </w:p>
    <w:p w14:paraId="61A5A0DB">
      <w:pPr>
        <w:spacing w:line="600" w:lineRule="exact"/>
        <w:rPr>
          <w:rStyle w:val="39"/>
          <w:rFonts w:ascii="宋体" w:hAnsi="宋体"/>
          <w:szCs w:val="21"/>
        </w:rPr>
      </w:pPr>
    </w:p>
    <w:p w14:paraId="70C8D2BE">
      <w:pPr>
        <w:spacing w:line="600" w:lineRule="exact"/>
        <w:rPr>
          <w:rStyle w:val="39"/>
          <w:rFonts w:ascii="宋体" w:hAnsi="宋体"/>
          <w:szCs w:val="21"/>
        </w:rPr>
      </w:pPr>
    </w:p>
    <w:p w14:paraId="0F753C79">
      <w:pPr>
        <w:spacing w:line="600" w:lineRule="exact"/>
        <w:rPr>
          <w:rStyle w:val="39"/>
          <w:rFonts w:ascii="宋体" w:hAnsi="宋体"/>
          <w:szCs w:val="21"/>
        </w:rPr>
      </w:pPr>
    </w:p>
    <w:p w14:paraId="07D46219">
      <w:pPr>
        <w:spacing w:line="600" w:lineRule="exact"/>
        <w:rPr>
          <w:rStyle w:val="39"/>
          <w:rFonts w:ascii="宋体" w:hAnsi="宋体"/>
          <w:szCs w:val="21"/>
        </w:rPr>
      </w:pPr>
    </w:p>
    <w:p w14:paraId="53744D97">
      <w:pPr>
        <w:spacing w:line="600" w:lineRule="exact"/>
        <w:rPr>
          <w:rStyle w:val="39"/>
          <w:rFonts w:ascii="宋体" w:hAnsi="宋体"/>
          <w:szCs w:val="21"/>
        </w:rPr>
      </w:pPr>
    </w:p>
    <w:p w14:paraId="60B69743">
      <w:pPr>
        <w:rPr>
          <w:sz w:val="30"/>
          <w:szCs w:val="30"/>
        </w:rPr>
      </w:pPr>
      <w:bookmarkStart w:id="767" w:name="_Toc17817348"/>
      <w:bookmarkStart w:id="768" w:name="_Toc6538"/>
      <w:bookmarkStart w:id="769" w:name="_Toc16063994"/>
      <w:bookmarkStart w:id="770" w:name="_Toc23716"/>
      <w:r>
        <w:rPr>
          <w:sz w:val="30"/>
          <w:szCs w:val="30"/>
        </w:rPr>
        <w:br w:type="page"/>
      </w:r>
    </w:p>
    <w:p w14:paraId="07F72910">
      <w:pPr>
        <w:pStyle w:val="7"/>
        <w:spacing w:before="0" w:after="0" w:line="480" w:lineRule="auto"/>
        <w:jc w:val="center"/>
        <w:rPr>
          <w:sz w:val="30"/>
          <w:szCs w:val="30"/>
        </w:rPr>
      </w:pPr>
      <w:bookmarkStart w:id="771" w:name="_Toc17394"/>
      <w:r>
        <w:rPr>
          <w:sz w:val="30"/>
          <w:szCs w:val="30"/>
        </w:rPr>
        <w:t>一、投标函及投标函附录</w:t>
      </w:r>
      <w:bookmarkEnd w:id="767"/>
      <w:bookmarkEnd w:id="768"/>
      <w:bookmarkEnd w:id="769"/>
      <w:bookmarkEnd w:id="770"/>
      <w:bookmarkEnd w:id="771"/>
    </w:p>
    <w:p w14:paraId="1F4BFA08">
      <w:pPr>
        <w:snapToGrid w:val="0"/>
        <w:spacing w:line="440" w:lineRule="exact"/>
        <w:ind w:firstLine="527" w:firstLineChars="250"/>
        <w:jc w:val="center"/>
        <w:rPr>
          <w:rStyle w:val="39"/>
          <w:rFonts w:ascii="宋体" w:hAnsi="宋体"/>
          <w:b/>
          <w:szCs w:val="21"/>
        </w:rPr>
      </w:pPr>
      <w:bookmarkStart w:id="772" w:name="_Toc16063995"/>
      <w:r>
        <w:rPr>
          <w:rStyle w:val="39"/>
          <w:rFonts w:ascii="宋体" w:hAnsi="宋体"/>
          <w:b/>
          <w:szCs w:val="21"/>
        </w:rPr>
        <w:t>（一）投标函</w:t>
      </w:r>
      <w:bookmarkEnd w:id="772"/>
    </w:p>
    <w:p w14:paraId="2D0B0158">
      <w:pPr>
        <w:snapToGrid w:val="0"/>
        <w:spacing w:line="440" w:lineRule="exact"/>
        <w:ind w:firstLine="527" w:firstLineChars="250"/>
        <w:jc w:val="center"/>
        <w:rPr>
          <w:rStyle w:val="39"/>
          <w:rFonts w:ascii="宋体" w:hAnsi="宋体"/>
          <w:b/>
          <w:szCs w:val="21"/>
        </w:rPr>
      </w:pPr>
    </w:p>
    <w:p w14:paraId="7DED16FA">
      <w:pPr>
        <w:spacing w:line="480" w:lineRule="exact"/>
        <w:rPr>
          <w:rStyle w:val="67"/>
          <w:b w:val="0"/>
          <w:bCs w:val="0"/>
        </w:rPr>
      </w:pPr>
      <w:r>
        <w:rPr>
          <w:rStyle w:val="67"/>
          <w:b w:val="0"/>
          <w:bCs w:val="0"/>
        </w:rPr>
        <w:t>致：（招标人名称）</w:t>
      </w:r>
    </w:p>
    <w:p w14:paraId="0B9770FB">
      <w:pPr>
        <w:spacing w:line="480" w:lineRule="exact"/>
        <w:ind w:firstLine="420" w:firstLineChars="200"/>
        <w:rPr>
          <w:rStyle w:val="67"/>
          <w:b w:val="0"/>
          <w:bCs w:val="0"/>
        </w:rPr>
      </w:pPr>
      <w:r>
        <w:rPr>
          <w:rStyle w:val="67"/>
          <w:b w:val="0"/>
          <w:bCs w:val="0"/>
        </w:rPr>
        <w:t>根据已收到贵方的招标编号为</w:t>
      </w:r>
      <w:r>
        <w:rPr>
          <w:rStyle w:val="67"/>
          <w:b w:val="0"/>
          <w:bCs w:val="0"/>
          <w:u w:val="single"/>
        </w:rPr>
        <w:t xml:space="preserve">        </w:t>
      </w:r>
      <w:r>
        <w:rPr>
          <w:rStyle w:val="67"/>
          <w:b w:val="0"/>
          <w:bCs w:val="0"/>
        </w:rPr>
        <w:t xml:space="preserve"> 的</w:t>
      </w:r>
      <w:r>
        <w:rPr>
          <w:rStyle w:val="67"/>
          <w:b w:val="0"/>
          <w:bCs w:val="0"/>
          <w:u w:val="single"/>
        </w:rPr>
        <w:t xml:space="preserve">           </w:t>
      </w:r>
      <w:r>
        <w:rPr>
          <w:rStyle w:val="67"/>
          <w:b w:val="0"/>
          <w:bCs w:val="0"/>
        </w:rPr>
        <w:t xml:space="preserve"> 工程的招标文件，遵照《中华人民共和国招标投标法》等有关规定，我方经考察现场和研究上述招标文件的投标须知、合同条款、技术规范、图纸和工程量清单及其他有关文件后，我方愿以工程唱标单中的投标报价人民币</w:t>
      </w:r>
      <w:r>
        <w:rPr>
          <w:rStyle w:val="67"/>
          <w:b w:val="0"/>
          <w:bCs w:val="0"/>
          <w:u w:val="single"/>
        </w:rPr>
        <w:t xml:space="preserve">           </w:t>
      </w:r>
      <w:r>
        <w:rPr>
          <w:rStyle w:val="67"/>
          <w:b w:val="0"/>
          <w:bCs w:val="0"/>
        </w:rPr>
        <w:t>（大写）（人民币：¥          元），并按上述图纸、合同条款、技术规范和工程量清单的条件要求承包上述工程的施工、竣工并承担任何质量缺陷保修责任，并保证质量达到</w:t>
      </w:r>
      <w:r>
        <w:rPr>
          <w:rStyle w:val="67"/>
          <w:b w:val="0"/>
          <w:bCs w:val="0"/>
          <w:u w:val="single"/>
        </w:rPr>
        <w:t xml:space="preserve">       </w:t>
      </w:r>
      <w:r>
        <w:rPr>
          <w:rStyle w:val="67"/>
          <w:b w:val="0"/>
          <w:bCs w:val="0"/>
        </w:rPr>
        <w:t>标准。</w:t>
      </w:r>
    </w:p>
    <w:p w14:paraId="4BD5FFE9">
      <w:pPr>
        <w:spacing w:line="480" w:lineRule="exact"/>
        <w:ind w:firstLine="420" w:firstLineChars="200"/>
        <w:rPr>
          <w:rStyle w:val="67"/>
          <w:b w:val="0"/>
          <w:bCs w:val="0"/>
        </w:rPr>
      </w:pPr>
      <w:r>
        <w:rPr>
          <w:rStyle w:val="67"/>
          <w:b w:val="0"/>
          <w:bCs w:val="0"/>
        </w:rPr>
        <w:t>如果我方中标，我方保证在</w:t>
      </w:r>
      <w:r>
        <w:rPr>
          <w:rStyle w:val="67"/>
          <w:b w:val="0"/>
          <w:bCs w:val="0"/>
          <w:u w:val="single"/>
        </w:rPr>
        <w:t xml:space="preserve">   </w:t>
      </w:r>
      <w:r>
        <w:rPr>
          <w:rStyle w:val="67"/>
          <w:b w:val="0"/>
          <w:bCs w:val="0"/>
        </w:rPr>
        <w:t>年</w:t>
      </w:r>
      <w:r>
        <w:rPr>
          <w:rStyle w:val="67"/>
          <w:b w:val="0"/>
          <w:bCs w:val="0"/>
          <w:u w:val="single"/>
        </w:rPr>
        <w:t xml:space="preserve">  </w:t>
      </w:r>
      <w:r>
        <w:rPr>
          <w:rStyle w:val="67"/>
          <w:b w:val="0"/>
          <w:bCs w:val="0"/>
        </w:rPr>
        <w:t>月</w:t>
      </w:r>
      <w:r>
        <w:rPr>
          <w:rStyle w:val="67"/>
          <w:b w:val="0"/>
          <w:bCs w:val="0"/>
          <w:u w:val="single"/>
        </w:rPr>
        <w:t xml:space="preserve">  </w:t>
      </w:r>
      <w:r>
        <w:rPr>
          <w:rStyle w:val="67"/>
          <w:b w:val="0"/>
          <w:bCs w:val="0"/>
        </w:rPr>
        <w:t>日或按照合同约定的开工日期开始本工程的施工，</w:t>
      </w:r>
      <w:r>
        <w:rPr>
          <w:rStyle w:val="67"/>
          <w:b w:val="0"/>
          <w:bCs w:val="0"/>
          <w:u w:val="single"/>
        </w:rPr>
        <w:t xml:space="preserve">   </w:t>
      </w:r>
      <w:r>
        <w:rPr>
          <w:rStyle w:val="67"/>
          <w:b w:val="0"/>
          <w:bCs w:val="0"/>
        </w:rPr>
        <w:t>天（日历日）内竣工，并确保工程质量达到</w:t>
      </w:r>
      <w:r>
        <w:rPr>
          <w:rStyle w:val="67"/>
          <w:b w:val="0"/>
          <w:bCs w:val="0"/>
          <w:u w:val="single"/>
        </w:rPr>
        <w:t xml:space="preserve">       </w:t>
      </w:r>
      <w:r>
        <w:rPr>
          <w:rStyle w:val="67"/>
          <w:b w:val="0"/>
          <w:bCs w:val="0"/>
        </w:rPr>
        <w:t>标准。我方同意本投标函在招标文件规定的提交投标文件截止时间后、在招标文件规定的投标有效期期满前对我方具有约束力，且随时准备接受你方发出的中标通知书。</w:t>
      </w:r>
    </w:p>
    <w:p w14:paraId="6BC7665B">
      <w:pPr>
        <w:spacing w:line="480" w:lineRule="exact"/>
        <w:ind w:firstLine="420" w:firstLineChars="200"/>
        <w:rPr>
          <w:rStyle w:val="67"/>
          <w:b w:val="0"/>
          <w:bCs w:val="0"/>
        </w:rPr>
      </w:pPr>
      <w:r>
        <w:rPr>
          <w:rStyle w:val="67"/>
          <w:b w:val="0"/>
          <w:bCs w:val="0"/>
        </w:rPr>
        <w:t>随本投标函递交的投标函附录是本投标函的组成部分，对我方构成约束力。</w:t>
      </w:r>
    </w:p>
    <w:p w14:paraId="5BAEB3A8">
      <w:pPr>
        <w:spacing w:line="480" w:lineRule="exact"/>
        <w:ind w:firstLine="420" w:firstLineChars="200"/>
        <w:rPr>
          <w:rStyle w:val="67"/>
          <w:b w:val="0"/>
          <w:bCs w:val="0"/>
        </w:rPr>
      </w:pPr>
      <w:r>
        <w:rPr>
          <w:rStyle w:val="67"/>
          <w:b w:val="0"/>
          <w:bCs w:val="0"/>
        </w:rPr>
        <w:t>随同本投标函递交投标保证金一份，金额为人民币（大写）：</w:t>
      </w:r>
      <w:r>
        <w:rPr>
          <w:rStyle w:val="67"/>
          <w:b w:val="0"/>
          <w:bCs w:val="0"/>
          <w:u w:val="single"/>
        </w:rPr>
        <w:t xml:space="preserve">     </w:t>
      </w:r>
      <w:r>
        <w:rPr>
          <w:rStyle w:val="67"/>
          <w:b w:val="0"/>
          <w:bCs w:val="0"/>
        </w:rPr>
        <w:t>元（¥</w:t>
      </w:r>
      <w:r>
        <w:rPr>
          <w:rStyle w:val="67"/>
          <w:b w:val="0"/>
          <w:bCs w:val="0"/>
          <w:u w:val="single"/>
        </w:rPr>
        <w:t xml:space="preserve">     </w:t>
      </w:r>
      <w:r>
        <w:rPr>
          <w:rStyle w:val="67"/>
          <w:b w:val="0"/>
          <w:bCs w:val="0"/>
        </w:rPr>
        <w:t>元）。</w:t>
      </w:r>
    </w:p>
    <w:p w14:paraId="582F24F2">
      <w:pPr>
        <w:spacing w:line="480" w:lineRule="exact"/>
        <w:ind w:firstLine="420" w:firstLineChars="200"/>
        <w:rPr>
          <w:rStyle w:val="67"/>
          <w:b w:val="0"/>
          <w:bCs w:val="0"/>
        </w:rPr>
      </w:pPr>
      <w:r>
        <w:rPr>
          <w:rStyle w:val="67"/>
          <w:b w:val="0"/>
          <w:bCs w:val="0"/>
        </w:rPr>
        <w:t>在签署协议书之前，你方中标通知书连同本投标函，包括投标函附录，对双方具有约束力。</w:t>
      </w:r>
    </w:p>
    <w:p w14:paraId="23A94DDA">
      <w:pPr>
        <w:spacing w:line="480" w:lineRule="exact"/>
        <w:ind w:firstLine="420" w:firstLineChars="200"/>
        <w:rPr>
          <w:rStyle w:val="67"/>
          <w:b w:val="0"/>
          <w:bCs w:val="0"/>
        </w:rPr>
      </w:pPr>
      <w:r>
        <w:rPr>
          <w:rStyle w:val="67"/>
          <w:b w:val="0"/>
          <w:bCs w:val="0"/>
        </w:rPr>
        <w:t>我公司承诺遵守贵公司由于招标人公司政策变化引起的随时终止项目的要求并承担由此带来的一切损失。</w:t>
      </w:r>
    </w:p>
    <w:p w14:paraId="311C7A4A">
      <w:pPr>
        <w:rPr>
          <w:b w:val="0"/>
          <w:bCs w:val="0"/>
        </w:rPr>
      </w:pPr>
    </w:p>
    <w:p w14:paraId="2C8C3769">
      <w:pPr>
        <w:spacing w:line="200" w:lineRule="exact"/>
        <w:ind w:firstLine="420" w:firstLineChars="200"/>
        <w:rPr>
          <w:rStyle w:val="67"/>
          <w:b w:val="0"/>
          <w:bCs w:val="0"/>
        </w:rPr>
      </w:pPr>
    </w:p>
    <w:p w14:paraId="1A367869">
      <w:pPr>
        <w:spacing w:line="480" w:lineRule="exact"/>
        <w:ind w:firstLine="420" w:firstLineChars="200"/>
        <w:rPr>
          <w:rStyle w:val="67"/>
          <w:b w:val="0"/>
          <w:bCs w:val="0"/>
        </w:rPr>
      </w:pPr>
      <w:r>
        <w:rPr>
          <w:rStyle w:val="67"/>
          <w:b w:val="0"/>
          <w:bCs w:val="0"/>
        </w:rPr>
        <w:t>投  标  人（盖单位公章）：</w:t>
      </w:r>
    </w:p>
    <w:p w14:paraId="2B027D99">
      <w:pPr>
        <w:pStyle w:val="2"/>
        <w:ind w:left="420" w:firstLine="420"/>
        <w:rPr>
          <w:b w:val="0"/>
          <w:bCs w:val="0"/>
        </w:rPr>
      </w:pPr>
    </w:p>
    <w:p w14:paraId="36B60FA3">
      <w:pPr>
        <w:spacing w:line="480" w:lineRule="exact"/>
        <w:ind w:firstLine="420" w:firstLineChars="200"/>
        <w:rPr>
          <w:rStyle w:val="67"/>
          <w:b w:val="0"/>
          <w:bCs w:val="0"/>
        </w:rPr>
      </w:pPr>
      <w:r>
        <w:rPr>
          <w:rStyle w:val="67"/>
          <w:b w:val="0"/>
          <w:bCs w:val="0"/>
        </w:rPr>
        <w:t>法人代表或委托代理人（签字或盖章）：</w:t>
      </w:r>
    </w:p>
    <w:p w14:paraId="242B792F">
      <w:pPr>
        <w:pStyle w:val="2"/>
        <w:ind w:left="420" w:firstLine="420"/>
        <w:rPr>
          <w:b w:val="0"/>
          <w:bCs w:val="0"/>
        </w:rPr>
      </w:pPr>
    </w:p>
    <w:p w14:paraId="0182C29A">
      <w:pPr>
        <w:spacing w:line="480" w:lineRule="exact"/>
        <w:ind w:firstLine="420" w:firstLineChars="200"/>
        <w:rPr>
          <w:rStyle w:val="67"/>
          <w:b w:val="0"/>
          <w:bCs w:val="0"/>
        </w:rPr>
      </w:pPr>
      <w:r>
        <w:rPr>
          <w:rStyle w:val="67"/>
          <w:b w:val="0"/>
          <w:bCs w:val="0"/>
        </w:rPr>
        <w:t>日  期：    年    月    日</w:t>
      </w:r>
    </w:p>
    <w:p w14:paraId="7BCC584E">
      <w:pPr>
        <w:spacing w:line="200" w:lineRule="exact"/>
        <w:ind w:firstLine="420" w:firstLineChars="200"/>
        <w:rPr>
          <w:rStyle w:val="39"/>
          <w:rFonts w:ascii="宋体" w:hAnsi="宋体"/>
        </w:rPr>
      </w:pPr>
    </w:p>
    <w:p w14:paraId="361C8BBD">
      <w:pPr>
        <w:rPr>
          <w:rStyle w:val="39"/>
          <w:rFonts w:ascii="宋体" w:hAnsi="宋体"/>
        </w:rPr>
      </w:pPr>
    </w:p>
    <w:p w14:paraId="5E6BC423">
      <w:pPr>
        <w:snapToGrid w:val="0"/>
        <w:spacing w:line="440" w:lineRule="exact"/>
        <w:jc w:val="both"/>
        <w:rPr>
          <w:rStyle w:val="39"/>
          <w:rFonts w:ascii="宋体" w:hAnsi="宋体"/>
          <w:b/>
          <w:szCs w:val="21"/>
        </w:rPr>
      </w:pPr>
      <w:bookmarkStart w:id="773" w:name="_Toc16063996"/>
    </w:p>
    <w:p w14:paraId="79FD7D68">
      <w:pPr>
        <w:snapToGrid w:val="0"/>
        <w:spacing w:line="440" w:lineRule="exact"/>
        <w:ind w:firstLine="527" w:firstLineChars="250"/>
        <w:jc w:val="center"/>
        <w:rPr>
          <w:rStyle w:val="39"/>
          <w:rFonts w:ascii="宋体" w:hAnsi="宋体"/>
          <w:b/>
          <w:szCs w:val="21"/>
        </w:rPr>
      </w:pPr>
      <w:r>
        <w:rPr>
          <w:rStyle w:val="39"/>
          <w:rFonts w:ascii="宋体" w:hAnsi="宋体"/>
          <w:b/>
          <w:szCs w:val="21"/>
        </w:rPr>
        <w:t>（二）投标函附录-1</w:t>
      </w:r>
      <w:bookmarkEnd w:id="773"/>
    </w:p>
    <w:p w14:paraId="36288BC4">
      <w:pPr>
        <w:snapToGrid w:val="0"/>
        <w:spacing w:line="440" w:lineRule="exact"/>
        <w:ind w:firstLine="527" w:firstLineChars="250"/>
        <w:jc w:val="center"/>
        <w:rPr>
          <w:rStyle w:val="39"/>
          <w:rFonts w:ascii="宋体" w:hAnsi="宋体"/>
          <w:b/>
          <w:szCs w:val="21"/>
        </w:rPr>
      </w:pPr>
    </w:p>
    <w:p w14:paraId="2E6BBEBF">
      <w:pPr>
        <w:rPr>
          <w:rStyle w:val="39"/>
          <w:rFonts w:ascii="宋体" w:hAnsi="宋体"/>
          <w:szCs w:val="21"/>
        </w:rPr>
      </w:pPr>
      <w:r>
        <w:rPr>
          <w:rStyle w:val="39"/>
          <w:rFonts w:ascii="宋体" w:hAnsi="宋体"/>
          <w:b/>
          <w:szCs w:val="21"/>
        </w:rPr>
        <w:t>工程名称：</w:t>
      </w:r>
      <w:r>
        <w:rPr>
          <w:rStyle w:val="39"/>
          <w:rFonts w:ascii="宋体" w:hAnsi="宋体"/>
          <w:szCs w:val="21"/>
        </w:rPr>
        <w:t xml:space="preserve">（项目名称）            </w:t>
      </w:r>
    </w:p>
    <w:tbl>
      <w:tblPr>
        <w:tblStyle w:val="2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3"/>
        <w:gridCol w:w="2696"/>
        <w:gridCol w:w="1561"/>
        <w:gridCol w:w="1766"/>
        <w:gridCol w:w="1638"/>
      </w:tblGrid>
      <w:tr w14:paraId="13885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4004C7E6">
            <w:pPr>
              <w:jc w:val="center"/>
              <w:rPr>
                <w:rStyle w:val="39"/>
                <w:b/>
                <w:szCs w:val="21"/>
              </w:rPr>
            </w:pPr>
            <w:r>
              <w:rPr>
                <w:rStyle w:val="39"/>
                <w:b/>
                <w:szCs w:val="21"/>
              </w:rPr>
              <w:t>序 号</w:t>
            </w:r>
          </w:p>
        </w:tc>
        <w:tc>
          <w:tcPr>
            <w:tcW w:w="1583" w:type="pct"/>
            <w:tcBorders>
              <w:top w:val="single" w:color="000000" w:sz="4" w:space="0"/>
              <w:left w:val="single" w:color="000000" w:sz="4" w:space="0"/>
              <w:bottom w:val="single" w:color="000000" w:sz="4" w:space="0"/>
              <w:right w:val="single" w:color="000000" w:sz="4" w:space="0"/>
            </w:tcBorders>
            <w:vAlign w:val="center"/>
          </w:tcPr>
          <w:p w14:paraId="12759DAC">
            <w:pPr>
              <w:jc w:val="center"/>
              <w:rPr>
                <w:rStyle w:val="39"/>
                <w:b/>
                <w:szCs w:val="21"/>
              </w:rPr>
            </w:pPr>
            <w:r>
              <w:rPr>
                <w:rStyle w:val="39"/>
                <w:b/>
                <w:szCs w:val="21"/>
              </w:rPr>
              <w:t>条款内容</w:t>
            </w:r>
          </w:p>
        </w:tc>
        <w:tc>
          <w:tcPr>
            <w:tcW w:w="917" w:type="pct"/>
            <w:tcBorders>
              <w:top w:val="single" w:color="000000" w:sz="4" w:space="0"/>
              <w:left w:val="single" w:color="000000" w:sz="4" w:space="0"/>
              <w:bottom w:val="single" w:color="000000" w:sz="4" w:space="0"/>
              <w:right w:val="single" w:color="000000" w:sz="4" w:space="0"/>
            </w:tcBorders>
            <w:vAlign w:val="center"/>
          </w:tcPr>
          <w:p w14:paraId="23AAF151">
            <w:pPr>
              <w:jc w:val="center"/>
              <w:rPr>
                <w:rStyle w:val="39"/>
                <w:b/>
                <w:szCs w:val="21"/>
              </w:rPr>
            </w:pPr>
            <w:r>
              <w:rPr>
                <w:rStyle w:val="39"/>
                <w:b/>
                <w:szCs w:val="21"/>
              </w:rPr>
              <w:t>合同条款号</w:t>
            </w:r>
          </w:p>
        </w:tc>
        <w:tc>
          <w:tcPr>
            <w:tcW w:w="1037" w:type="pct"/>
            <w:tcBorders>
              <w:top w:val="single" w:color="000000" w:sz="4" w:space="0"/>
              <w:left w:val="single" w:color="000000" w:sz="4" w:space="0"/>
              <w:bottom w:val="single" w:color="000000" w:sz="4" w:space="0"/>
              <w:right w:val="single" w:color="000000" w:sz="4" w:space="0"/>
            </w:tcBorders>
            <w:vAlign w:val="center"/>
          </w:tcPr>
          <w:p w14:paraId="6FF88504">
            <w:pPr>
              <w:jc w:val="center"/>
              <w:rPr>
                <w:rStyle w:val="39"/>
                <w:b/>
                <w:szCs w:val="21"/>
              </w:rPr>
            </w:pPr>
            <w:r>
              <w:rPr>
                <w:rStyle w:val="39"/>
                <w:b/>
                <w:szCs w:val="21"/>
              </w:rPr>
              <w:t>约定内容</w:t>
            </w:r>
          </w:p>
        </w:tc>
        <w:tc>
          <w:tcPr>
            <w:tcW w:w="962" w:type="pct"/>
            <w:tcBorders>
              <w:top w:val="single" w:color="000000" w:sz="4" w:space="0"/>
              <w:left w:val="single" w:color="000000" w:sz="4" w:space="0"/>
              <w:bottom w:val="single" w:color="000000" w:sz="4" w:space="0"/>
              <w:right w:val="single" w:color="000000" w:sz="4" w:space="0"/>
            </w:tcBorders>
            <w:vAlign w:val="center"/>
          </w:tcPr>
          <w:p w14:paraId="2C13ED6E">
            <w:pPr>
              <w:jc w:val="center"/>
              <w:rPr>
                <w:rStyle w:val="39"/>
                <w:b/>
                <w:szCs w:val="21"/>
              </w:rPr>
            </w:pPr>
            <w:r>
              <w:rPr>
                <w:rStyle w:val="39"/>
                <w:b/>
                <w:szCs w:val="21"/>
              </w:rPr>
              <w:t>备注</w:t>
            </w:r>
          </w:p>
        </w:tc>
      </w:tr>
      <w:tr w14:paraId="358C9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713B20BB">
            <w:pPr>
              <w:pStyle w:val="48"/>
              <w:numPr>
                <w:ilvl w:val="0"/>
                <w:numId w:val="15"/>
              </w:numPr>
              <w:ind w:firstLineChars="0"/>
              <w:jc w:val="center"/>
              <w:rPr>
                <w:rStyle w:val="39"/>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0463A863">
            <w:pPr>
              <w:rPr>
                <w:rStyle w:val="39"/>
                <w:szCs w:val="21"/>
              </w:rPr>
            </w:pPr>
            <w:r>
              <w:rPr>
                <w:rStyle w:val="39"/>
                <w:szCs w:val="21"/>
              </w:rPr>
              <w:t>项目负责人（项目经理）</w:t>
            </w:r>
          </w:p>
        </w:tc>
        <w:tc>
          <w:tcPr>
            <w:tcW w:w="917" w:type="pct"/>
            <w:tcBorders>
              <w:top w:val="single" w:color="000000" w:sz="4" w:space="0"/>
              <w:left w:val="single" w:color="000000" w:sz="4" w:space="0"/>
              <w:bottom w:val="single" w:color="000000" w:sz="4" w:space="0"/>
              <w:right w:val="single" w:color="000000" w:sz="4" w:space="0"/>
            </w:tcBorders>
            <w:vAlign w:val="center"/>
          </w:tcPr>
          <w:p w14:paraId="7E3F9A94">
            <w:pPr>
              <w:jc w:val="center"/>
              <w:rPr>
                <w:rStyle w:val="39"/>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691A1DF1">
            <w:pPr>
              <w:rPr>
                <w:rStyle w:val="39"/>
                <w:szCs w:val="21"/>
              </w:rPr>
            </w:pPr>
            <w:r>
              <w:rPr>
                <w:rStyle w:val="39"/>
                <w:szCs w:val="21"/>
              </w:rPr>
              <w:t>姓名：</w:t>
            </w:r>
            <w:r>
              <w:rPr>
                <w:rStyle w:val="39"/>
                <w:szCs w:val="21"/>
                <w:u w:val="single"/>
              </w:rPr>
              <w:t xml:space="preserve">         </w:t>
            </w:r>
            <w:r>
              <w:rPr>
                <w:rStyle w:val="39"/>
                <w:szCs w:val="21"/>
              </w:rPr>
              <w:t xml:space="preserve"> </w:t>
            </w:r>
          </w:p>
        </w:tc>
        <w:tc>
          <w:tcPr>
            <w:tcW w:w="962" w:type="pct"/>
            <w:tcBorders>
              <w:top w:val="single" w:color="000000" w:sz="4" w:space="0"/>
              <w:left w:val="single" w:color="000000" w:sz="4" w:space="0"/>
              <w:bottom w:val="single" w:color="000000" w:sz="4" w:space="0"/>
              <w:right w:val="single" w:color="000000" w:sz="4" w:space="0"/>
            </w:tcBorders>
            <w:vAlign w:val="center"/>
          </w:tcPr>
          <w:p w14:paraId="29FBA242">
            <w:pPr>
              <w:jc w:val="center"/>
              <w:rPr>
                <w:rStyle w:val="39"/>
                <w:szCs w:val="21"/>
              </w:rPr>
            </w:pPr>
          </w:p>
        </w:tc>
      </w:tr>
      <w:tr w14:paraId="14244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6D0525F7">
            <w:pPr>
              <w:pStyle w:val="48"/>
              <w:numPr>
                <w:ilvl w:val="0"/>
                <w:numId w:val="15"/>
              </w:numPr>
              <w:ind w:firstLineChars="0"/>
              <w:jc w:val="center"/>
              <w:rPr>
                <w:rStyle w:val="39"/>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798E7933">
            <w:pPr>
              <w:rPr>
                <w:rStyle w:val="39"/>
                <w:szCs w:val="21"/>
              </w:rPr>
            </w:pPr>
            <w:r>
              <w:rPr>
                <w:rStyle w:val="39"/>
                <w:szCs w:val="21"/>
              </w:rPr>
              <w:t>工期</w:t>
            </w:r>
          </w:p>
        </w:tc>
        <w:tc>
          <w:tcPr>
            <w:tcW w:w="917" w:type="pct"/>
            <w:tcBorders>
              <w:top w:val="single" w:color="000000" w:sz="4" w:space="0"/>
              <w:left w:val="single" w:color="000000" w:sz="4" w:space="0"/>
              <w:bottom w:val="single" w:color="000000" w:sz="4" w:space="0"/>
              <w:right w:val="single" w:color="000000" w:sz="4" w:space="0"/>
            </w:tcBorders>
            <w:vAlign w:val="center"/>
          </w:tcPr>
          <w:p w14:paraId="69CC9F1F">
            <w:pPr>
              <w:jc w:val="center"/>
              <w:rPr>
                <w:rStyle w:val="39"/>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6A01635E">
            <w:pPr>
              <w:jc w:val="center"/>
              <w:rPr>
                <w:rStyle w:val="39"/>
                <w:szCs w:val="21"/>
              </w:rPr>
            </w:pPr>
            <w:r>
              <w:rPr>
                <w:rStyle w:val="39"/>
                <w:szCs w:val="21"/>
                <w:u w:val="single"/>
              </w:rPr>
              <w:t xml:space="preserve">         </w:t>
            </w:r>
            <w:r>
              <w:rPr>
                <w:rStyle w:val="39"/>
                <w:szCs w:val="21"/>
              </w:rPr>
              <w:t>日历天</w:t>
            </w:r>
          </w:p>
        </w:tc>
        <w:tc>
          <w:tcPr>
            <w:tcW w:w="962" w:type="pct"/>
            <w:tcBorders>
              <w:top w:val="single" w:color="000000" w:sz="4" w:space="0"/>
              <w:left w:val="single" w:color="000000" w:sz="4" w:space="0"/>
              <w:bottom w:val="single" w:color="000000" w:sz="4" w:space="0"/>
              <w:right w:val="single" w:color="000000" w:sz="4" w:space="0"/>
            </w:tcBorders>
            <w:vAlign w:val="center"/>
          </w:tcPr>
          <w:p w14:paraId="524DF7B2">
            <w:pPr>
              <w:jc w:val="center"/>
              <w:rPr>
                <w:rStyle w:val="39"/>
                <w:szCs w:val="21"/>
              </w:rPr>
            </w:pPr>
          </w:p>
        </w:tc>
      </w:tr>
      <w:tr w14:paraId="4182D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51455EE0">
            <w:pPr>
              <w:pStyle w:val="48"/>
              <w:numPr>
                <w:ilvl w:val="0"/>
                <w:numId w:val="15"/>
              </w:numPr>
              <w:ind w:firstLineChars="0"/>
              <w:jc w:val="center"/>
              <w:rPr>
                <w:rStyle w:val="39"/>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6D55A764">
            <w:pPr>
              <w:rPr>
                <w:rStyle w:val="39"/>
                <w:szCs w:val="21"/>
              </w:rPr>
            </w:pPr>
            <w:r>
              <w:rPr>
                <w:rStyle w:val="39"/>
                <w:szCs w:val="21"/>
              </w:rPr>
              <w:t>质量保修期</w:t>
            </w:r>
          </w:p>
        </w:tc>
        <w:tc>
          <w:tcPr>
            <w:tcW w:w="917" w:type="pct"/>
            <w:tcBorders>
              <w:top w:val="single" w:color="000000" w:sz="4" w:space="0"/>
              <w:left w:val="single" w:color="000000" w:sz="4" w:space="0"/>
              <w:bottom w:val="single" w:color="000000" w:sz="4" w:space="0"/>
              <w:right w:val="single" w:color="000000" w:sz="4" w:space="0"/>
            </w:tcBorders>
            <w:vAlign w:val="center"/>
          </w:tcPr>
          <w:p w14:paraId="0A039660">
            <w:pPr>
              <w:jc w:val="center"/>
              <w:rPr>
                <w:rStyle w:val="39"/>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46AC9BD8">
            <w:pPr>
              <w:jc w:val="center"/>
              <w:rPr>
                <w:rStyle w:val="39"/>
                <w:szCs w:val="21"/>
              </w:rPr>
            </w:pPr>
          </w:p>
        </w:tc>
        <w:tc>
          <w:tcPr>
            <w:tcW w:w="962" w:type="pct"/>
            <w:tcBorders>
              <w:top w:val="single" w:color="000000" w:sz="4" w:space="0"/>
              <w:left w:val="single" w:color="000000" w:sz="4" w:space="0"/>
              <w:bottom w:val="single" w:color="000000" w:sz="4" w:space="0"/>
              <w:right w:val="single" w:color="000000" w:sz="4" w:space="0"/>
            </w:tcBorders>
            <w:vAlign w:val="center"/>
          </w:tcPr>
          <w:p w14:paraId="66E3856F">
            <w:pPr>
              <w:jc w:val="center"/>
              <w:rPr>
                <w:rStyle w:val="39"/>
                <w:szCs w:val="21"/>
              </w:rPr>
            </w:pPr>
          </w:p>
        </w:tc>
      </w:tr>
      <w:tr w14:paraId="6750A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4FA0F023">
            <w:pPr>
              <w:pStyle w:val="48"/>
              <w:numPr>
                <w:ilvl w:val="0"/>
                <w:numId w:val="15"/>
              </w:numPr>
              <w:ind w:firstLineChars="0"/>
              <w:jc w:val="center"/>
              <w:rPr>
                <w:rStyle w:val="39"/>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6C2943C2">
            <w:pPr>
              <w:rPr>
                <w:rStyle w:val="39"/>
                <w:szCs w:val="21"/>
              </w:rPr>
            </w:pPr>
            <w:r>
              <w:rPr>
                <w:rStyle w:val="39"/>
                <w:szCs w:val="21"/>
              </w:rPr>
              <w:t>承包人履约担保金额</w:t>
            </w:r>
          </w:p>
        </w:tc>
        <w:tc>
          <w:tcPr>
            <w:tcW w:w="917" w:type="pct"/>
            <w:tcBorders>
              <w:top w:val="single" w:color="000000" w:sz="4" w:space="0"/>
              <w:left w:val="single" w:color="000000" w:sz="4" w:space="0"/>
              <w:bottom w:val="single" w:color="000000" w:sz="4" w:space="0"/>
              <w:right w:val="single" w:color="000000" w:sz="4" w:space="0"/>
            </w:tcBorders>
            <w:vAlign w:val="center"/>
          </w:tcPr>
          <w:p w14:paraId="0619498A">
            <w:pPr>
              <w:jc w:val="center"/>
              <w:rPr>
                <w:rStyle w:val="39"/>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1326E184">
            <w:pPr>
              <w:jc w:val="center"/>
              <w:rPr>
                <w:rStyle w:val="39"/>
                <w:szCs w:val="21"/>
              </w:rPr>
            </w:pPr>
          </w:p>
        </w:tc>
        <w:tc>
          <w:tcPr>
            <w:tcW w:w="962" w:type="pct"/>
            <w:tcBorders>
              <w:top w:val="single" w:color="000000" w:sz="4" w:space="0"/>
              <w:left w:val="single" w:color="000000" w:sz="4" w:space="0"/>
              <w:bottom w:val="single" w:color="000000" w:sz="4" w:space="0"/>
              <w:right w:val="single" w:color="000000" w:sz="4" w:space="0"/>
            </w:tcBorders>
            <w:vAlign w:val="center"/>
          </w:tcPr>
          <w:p w14:paraId="55A64923">
            <w:pPr>
              <w:jc w:val="center"/>
              <w:rPr>
                <w:rStyle w:val="39"/>
                <w:szCs w:val="21"/>
              </w:rPr>
            </w:pPr>
          </w:p>
        </w:tc>
      </w:tr>
      <w:tr w14:paraId="535D0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6C2C8744">
            <w:pPr>
              <w:pStyle w:val="48"/>
              <w:numPr>
                <w:ilvl w:val="0"/>
                <w:numId w:val="15"/>
              </w:numPr>
              <w:ind w:firstLineChars="0"/>
              <w:jc w:val="center"/>
              <w:rPr>
                <w:rStyle w:val="39"/>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034E3B63">
            <w:pPr>
              <w:rPr>
                <w:rStyle w:val="39"/>
                <w:szCs w:val="21"/>
              </w:rPr>
            </w:pPr>
            <w:r>
              <w:rPr>
                <w:rStyle w:val="39"/>
                <w:szCs w:val="21"/>
              </w:rPr>
              <w:t>分包</w:t>
            </w:r>
          </w:p>
        </w:tc>
        <w:tc>
          <w:tcPr>
            <w:tcW w:w="917" w:type="pct"/>
            <w:tcBorders>
              <w:top w:val="single" w:color="000000" w:sz="4" w:space="0"/>
              <w:left w:val="single" w:color="000000" w:sz="4" w:space="0"/>
              <w:bottom w:val="single" w:color="000000" w:sz="4" w:space="0"/>
              <w:right w:val="single" w:color="000000" w:sz="4" w:space="0"/>
            </w:tcBorders>
            <w:vAlign w:val="center"/>
          </w:tcPr>
          <w:p w14:paraId="6B48E5DB">
            <w:pPr>
              <w:jc w:val="center"/>
              <w:rPr>
                <w:rStyle w:val="39"/>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66A6F8CC">
            <w:pPr>
              <w:jc w:val="center"/>
              <w:rPr>
                <w:rStyle w:val="39"/>
                <w:szCs w:val="21"/>
              </w:rPr>
            </w:pPr>
            <w:r>
              <w:rPr>
                <w:rStyle w:val="39"/>
                <w:szCs w:val="21"/>
              </w:rPr>
              <w:t>见分包项目情况表</w:t>
            </w:r>
          </w:p>
        </w:tc>
        <w:tc>
          <w:tcPr>
            <w:tcW w:w="962" w:type="pct"/>
            <w:tcBorders>
              <w:top w:val="single" w:color="000000" w:sz="4" w:space="0"/>
              <w:left w:val="single" w:color="000000" w:sz="4" w:space="0"/>
              <w:bottom w:val="single" w:color="000000" w:sz="4" w:space="0"/>
              <w:right w:val="single" w:color="000000" w:sz="4" w:space="0"/>
            </w:tcBorders>
            <w:vAlign w:val="center"/>
          </w:tcPr>
          <w:p w14:paraId="2EA38CCB">
            <w:pPr>
              <w:jc w:val="center"/>
              <w:rPr>
                <w:rStyle w:val="39"/>
                <w:szCs w:val="21"/>
              </w:rPr>
            </w:pPr>
          </w:p>
        </w:tc>
      </w:tr>
      <w:tr w14:paraId="63A46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1C684EDD">
            <w:pPr>
              <w:pStyle w:val="48"/>
              <w:numPr>
                <w:ilvl w:val="0"/>
                <w:numId w:val="15"/>
              </w:numPr>
              <w:ind w:firstLineChars="0"/>
              <w:jc w:val="center"/>
              <w:rPr>
                <w:rStyle w:val="39"/>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68A622F7">
            <w:pPr>
              <w:rPr>
                <w:rStyle w:val="39"/>
                <w:szCs w:val="21"/>
              </w:rPr>
            </w:pPr>
            <w:r>
              <w:rPr>
                <w:rStyle w:val="39"/>
                <w:szCs w:val="21"/>
              </w:rPr>
              <w:t>逾期竣工违约金</w:t>
            </w:r>
          </w:p>
        </w:tc>
        <w:tc>
          <w:tcPr>
            <w:tcW w:w="917" w:type="pct"/>
            <w:tcBorders>
              <w:top w:val="single" w:color="000000" w:sz="4" w:space="0"/>
              <w:left w:val="single" w:color="000000" w:sz="4" w:space="0"/>
              <w:bottom w:val="single" w:color="000000" w:sz="4" w:space="0"/>
              <w:right w:val="single" w:color="000000" w:sz="4" w:space="0"/>
            </w:tcBorders>
            <w:vAlign w:val="center"/>
          </w:tcPr>
          <w:p w14:paraId="48983DCA">
            <w:pPr>
              <w:jc w:val="center"/>
              <w:rPr>
                <w:rStyle w:val="39"/>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138742FB">
            <w:pPr>
              <w:rPr>
                <w:rStyle w:val="39"/>
                <w:szCs w:val="21"/>
              </w:rPr>
            </w:pPr>
            <w:r>
              <w:rPr>
                <w:rStyle w:val="39"/>
                <w:szCs w:val="21"/>
                <w:u w:val="single"/>
              </w:rPr>
              <w:t xml:space="preserve">          </w:t>
            </w:r>
            <w:r>
              <w:rPr>
                <w:rStyle w:val="39"/>
                <w:szCs w:val="21"/>
              </w:rPr>
              <w:t>元/天</w:t>
            </w:r>
          </w:p>
        </w:tc>
        <w:tc>
          <w:tcPr>
            <w:tcW w:w="962" w:type="pct"/>
            <w:tcBorders>
              <w:top w:val="single" w:color="000000" w:sz="4" w:space="0"/>
              <w:left w:val="single" w:color="000000" w:sz="4" w:space="0"/>
              <w:bottom w:val="single" w:color="000000" w:sz="4" w:space="0"/>
              <w:right w:val="single" w:color="000000" w:sz="4" w:space="0"/>
            </w:tcBorders>
            <w:vAlign w:val="center"/>
          </w:tcPr>
          <w:p w14:paraId="47214D6E">
            <w:pPr>
              <w:jc w:val="center"/>
              <w:rPr>
                <w:rStyle w:val="39"/>
                <w:szCs w:val="21"/>
              </w:rPr>
            </w:pPr>
          </w:p>
        </w:tc>
      </w:tr>
      <w:tr w14:paraId="34797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345B3E85">
            <w:pPr>
              <w:pStyle w:val="48"/>
              <w:numPr>
                <w:ilvl w:val="0"/>
                <w:numId w:val="15"/>
              </w:numPr>
              <w:ind w:firstLineChars="0"/>
              <w:jc w:val="center"/>
              <w:rPr>
                <w:rStyle w:val="39"/>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2B7A5068">
            <w:pPr>
              <w:rPr>
                <w:rStyle w:val="39"/>
                <w:szCs w:val="21"/>
              </w:rPr>
            </w:pPr>
            <w:r>
              <w:rPr>
                <w:rStyle w:val="39"/>
                <w:szCs w:val="21"/>
              </w:rPr>
              <w:t>逾期竣工违约金最高限额</w:t>
            </w:r>
          </w:p>
        </w:tc>
        <w:tc>
          <w:tcPr>
            <w:tcW w:w="917" w:type="pct"/>
            <w:tcBorders>
              <w:top w:val="single" w:color="000000" w:sz="4" w:space="0"/>
              <w:left w:val="single" w:color="000000" w:sz="4" w:space="0"/>
              <w:bottom w:val="single" w:color="000000" w:sz="4" w:space="0"/>
              <w:right w:val="single" w:color="000000" w:sz="4" w:space="0"/>
            </w:tcBorders>
            <w:vAlign w:val="center"/>
          </w:tcPr>
          <w:p w14:paraId="0E6B6254">
            <w:pPr>
              <w:jc w:val="center"/>
              <w:rPr>
                <w:rStyle w:val="39"/>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48A7DB00">
            <w:pPr>
              <w:rPr>
                <w:rStyle w:val="39"/>
                <w:szCs w:val="21"/>
                <w:u w:val="single"/>
              </w:rPr>
            </w:pPr>
            <w:r>
              <w:rPr>
                <w:rStyle w:val="39"/>
                <w:szCs w:val="21"/>
                <w:u w:val="single"/>
              </w:rPr>
              <w:t xml:space="preserve">              </w:t>
            </w:r>
          </w:p>
        </w:tc>
        <w:tc>
          <w:tcPr>
            <w:tcW w:w="962" w:type="pct"/>
            <w:tcBorders>
              <w:top w:val="single" w:color="000000" w:sz="4" w:space="0"/>
              <w:left w:val="single" w:color="000000" w:sz="4" w:space="0"/>
              <w:bottom w:val="single" w:color="000000" w:sz="4" w:space="0"/>
              <w:right w:val="single" w:color="000000" w:sz="4" w:space="0"/>
            </w:tcBorders>
            <w:vAlign w:val="center"/>
          </w:tcPr>
          <w:p w14:paraId="6A896876">
            <w:pPr>
              <w:jc w:val="center"/>
              <w:rPr>
                <w:rStyle w:val="39"/>
                <w:szCs w:val="21"/>
              </w:rPr>
            </w:pPr>
          </w:p>
        </w:tc>
      </w:tr>
      <w:tr w14:paraId="61C49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3227873B">
            <w:pPr>
              <w:pStyle w:val="48"/>
              <w:numPr>
                <w:ilvl w:val="0"/>
                <w:numId w:val="15"/>
              </w:numPr>
              <w:ind w:firstLineChars="0"/>
              <w:jc w:val="center"/>
              <w:rPr>
                <w:rStyle w:val="39"/>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317BAEC9">
            <w:pPr>
              <w:rPr>
                <w:rStyle w:val="39"/>
                <w:szCs w:val="21"/>
              </w:rPr>
            </w:pPr>
            <w:r>
              <w:rPr>
                <w:rStyle w:val="39"/>
                <w:szCs w:val="21"/>
              </w:rPr>
              <w:t>质量标准</w:t>
            </w:r>
          </w:p>
        </w:tc>
        <w:tc>
          <w:tcPr>
            <w:tcW w:w="917" w:type="pct"/>
            <w:tcBorders>
              <w:top w:val="single" w:color="000000" w:sz="4" w:space="0"/>
              <w:left w:val="single" w:color="000000" w:sz="4" w:space="0"/>
              <w:bottom w:val="single" w:color="000000" w:sz="4" w:space="0"/>
              <w:right w:val="single" w:color="000000" w:sz="4" w:space="0"/>
            </w:tcBorders>
            <w:vAlign w:val="center"/>
          </w:tcPr>
          <w:p w14:paraId="70ED3261">
            <w:pPr>
              <w:jc w:val="center"/>
              <w:rPr>
                <w:rStyle w:val="39"/>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56B29984">
            <w:pPr>
              <w:jc w:val="center"/>
              <w:rPr>
                <w:rStyle w:val="39"/>
                <w:szCs w:val="21"/>
              </w:rPr>
            </w:pPr>
          </w:p>
        </w:tc>
        <w:tc>
          <w:tcPr>
            <w:tcW w:w="962" w:type="pct"/>
            <w:tcBorders>
              <w:top w:val="single" w:color="000000" w:sz="4" w:space="0"/>
              <w:left w:val="single" w:color="000000" w:sz="4" w:space="0"/>
              <w:bottom w:val="single" w:color="000000" w:sz="4" w:space="0"/>
              <w:right w:val="single" w:color="000000" w:sz="4" w:space="0"/>
            </w:tcBorders>
            <w:vAlign w:val="center"/>
          </w:tcPr>
          <w:p w14:paraId="1CB8348C">
            <w:pPr>
              <w:jc w:val="center"/>
              <w:rPr>
                <w:rStyle w:val="39"/>
                <w:szCs w:val="21"/>
              </w:rPr>
            </w:pPr>
          </w:p>
        </w:tc>
      </w:tr>
      <w:tr w14:paraId="2A9F0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4F20088A">
            <w:pPr>
              <w:pStyle w:val="48"/>
              <w:numPr>
                <w:ilvl w:val="0"/>
                <w:numId w:val="15"/>
              </w:numPr>
              <w:ind w:firstLineChars="0"/>
              <w:jc w:val="center"/>
              <w:rPr>
                <w:rStyle w:val="39"/>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1AF47F7C">
            <w:pPr>
              <w:rPr>
                <w:rStyle w:val="39"/>
                <w:szCs w:val="21"/>
                <w:shd w:val="pct10" w:color="auto" w:fill="FFFFFF"/>
              </w:rPr>
            </w:pPr>
            <w:r>
              <w:rPr>
                <w:rStyle w:val="39"/>
                <w:szCs w:val="21"/>
              </w:rPr>
              <w:t>预付款额度</w:t>
            </w:r>
          </w:p>
        </w:tc>
        <w:tc>
          <w:tcPr>
            <w:tcW w:w="917" w:type="pct"/>
            <w:tcBorders>
              <w:top w:val="single" w:color="000000" w:sz="4" w:space="0"/>
              <w:left w:val="single" w:color="000000" w:sz="4" w:space="0"/>
              <w:bottom w:val="single" w:color="000000" w:sz="4" w:space="0"/>
              <w:right w:val="single" w:color="000000" w:sz="4" w:space="0"/>
            </w:tcBorders>
            <w:vAlign w:val="center"/>
          </w:tcPr>
          <w:p w14:paraId="30CB7A5C">
            <w:pPr>
              <w:jc w:val="center"/>
              <w:rPr>
                <w:rStyle w:val="39"/>
                <w:szCs w:val="21"/>
                <w:shd w:val="pct10" w:color="auto" w:fill="FFFFFF"/>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0921EBC0">
            <w:pPr>
              <w:jc w:val="center"/>
              <w:rPr>
                <w:rStyle w:val="39"/>
                <w:szCs w:val="21"/>
                <w:shd w:val="pct10" w:color="auto" w:fill="FFFFFF"/>
              </w:rPr>
            </w:pPr>
          </w:p>
        </w:tc>
        <w:tc>
          <w:tcPr>
            <w:tcW w:w="962" w:type="pct"/>
            <w:tcBorders>
              <w:top w:val="single" w:color="000000" w:sz="4" w:space="0"/>
              <w:left w:val="single" w:color="000000" w:sz="4" w:space="0"/>
              <w:bottom w:val="single" w:color="000000" w:sz="4" w:space="0"/>
              <w:right w:val="single" w:color="000000" w:sz="4" w:space="0"/>
            </w:tcBorders>
            <w:vAlign w:val="center"/>
          </w:tcPr>
          <w:p w14:paraId="755DCD6F">
            <w:pPr>
              <w:jc w:val="center"/>
              <w:rPr>
                <w:rStyle w:val="39"/>
                <w:szCs w:val="21"/>
                <w:shd w:val="pct10" w:color="auto" w:fill="FFFFFF"/>
              </w:rPr>
            </w:pPr>
          </w:p>
        </w:tc>
      </w:tr>
      <w:tr w14:paraId="2F581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32D0944F">
            <w:pPr>
              <w:pStyle w:val="48"/>
              <w:numPr>
                <w:ilvl w:val="0"/>
                <w:numId w:val="15"/>
              </w:numPr>
              <w:ind w:firstLineChars="0"/>
              <w:jc w:val="center"/>
              <w:rPr>
                <w:rStyle w:val="39"/>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06D66748">
            <w:pPr>
              <w:rPr>
                <w:rStyle w:val="39"/>
                <w:szCs w:val="21"/>
              </w:rPr>
            </w:pPr>
            <w:r>
              <w:rPr>
                <w:rStyle w:val="39"/>
                <w:szCs w:val="21"/>
              </w:rPr>
              <w:t>预付款保函金额</w:t>
            </w:r>
          </w:p>
        </w:tc>
        <w:tc>
          <w:tcPr>
            <w:tcW w:w="917" w:type="pct"/>
            <w:tcBorders>
              <w:top w:val="single" w:color="000000" w:sz="4" w:space="0"/>
              <w:left w:val="single" w:color="000000" w:sz="4" w:space="0"/>
              <w:bottom w:val="single" w:color="000000" w:sz="4" w:space="0"/>
              <w:right w:val="single" w:color="000000" w:sz="4" w:space="0"/>
            </w:tcBorders>
            <w:vAlign w:val="center"/>
          </w:tcPr>
          <w:p w14:paraId="6A44DAB1">
            <w:pPr>
              <w:jc w:val="center"/>
              <w:rPr>
                <w:rStyle w:val="39"/>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6E86B893">
            <w:pPr>
              <w:jc w:val="center"/>
              <w:rPr>
                <w:rStyle w:val="39"/>
                <w:szCs w:val="21"/>
              </w:rPr>
            </w:pPr>
          </w:p>
        </w:tc>
        <w:tc>
          <w:tcPr>
            <w:tcW w:w="962" w:type="pct"/>
            <w:tcBorders>
              <w:top w:val="single" w:color="000000" w:sz="4" w:space="0"/>
              <w:left w:val="single" w:color="000000" w:sz="4" w:space="0"/>
              <w:bottom w:val="single" w:color="000000" w:sz="4" w:space="0"/>
              <w:right w:val="single" w:color="000000" w:sz="4" w:space="0"/>
            </w:tcBorders>
            <w:vAlign w:val="center"/>
          </w:tcPr>
          <w:p w14:paraId="4163DE68">
            <w:pPr>
              <w:jc w:val="center"/>
              <w:rPr>
                <w:rStyle w:val="39"/>
                <w:szCs w:val="21"/>
              </w:rPr>
            </w:pPr>
          </w:p>
        </w:tc>
      </w:tr>
      <w:tr w14:paraId="662D2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37E85DD4">
            <w:pPr>
              <w:pStyle w:val="48"/>
              <w:numPr>
                <w:ilvl w:val="0"/>
                <w:numId w:val="15"/>
              </w:numPr>
              <w:ind w:firstLineChars="0"/>
              <w:jc w:val="center"/>
              <w:rPr>
                <w:rStyle w:val="39"/>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686464D1">
            <w:pPr>
              <w:rPr>
                <w:rStyle w:val="39"/>
                <w:szCs w:val="21"/>
              </w:rPr>
            </w:pPr>
            <w:r>
              <w:rPr>
                <w:rStyle w:val="39"/>
                <w:szCs w:val="21"/>
              </w:rPr>
              <w:t>质量保证金扣留百分比</w:t>
            </w:r>
          </w:p>
        </w:tc>
        <w:tc>
          <w:tcPr>
            <w:tcW w:w="917" w:type="pct"/>
            <w:tcBorders>
              <w:top w:val="single" w:color="000000" w:sz="4" w:space="0"/>
              <w:left w:val="single" w:color="000000" w:sz="4" w:space="0"/>
              <w:bottom w:val="single" w:color="000000" w:sz="4" w:space="0"/>
              <w:right w:val="single" w:color="000000" w:sz="4" w:space="0"/>
            </w:tcBorders>
            <w:vAlign w:val="center"/>
          </w:tcPr>
          <w:p w14:paraId="6E7CA381">
            <w:pPr>
              <w:jc w:val="center"/>
              <w:rPr>
                <w:rStyle w:val="39"/>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3E997630">
            <w:pPr>
              <w:jc w:val="center"/>
              <w:rPr>
                <w:rStyle w:val="39"/>
                <w:szCs w:val="21"/>
              </w:rPr>
            </w:pPr>
          </w:p>
        </w:tc>
        <w:tc>
          <w:tcPr>
            <w:tcW w:w="962" w:type="pct"/>
            <w:tcBorders>
              <w:top w:val="single" w:color="000000" w:sz="4" w:space="0"/>
              <w:left w:val="single" w:color="000000" w:sz="4" w:space="0"/>
              <w:bottom w:val="single" w:color="000000" w:sz="4" w:space="0"/>
              <w:right w:val="single" w:color="000000" w:sz="4" w:space="0"/>
            </w:tcBorders>
            <w:vAlign w:val="center"/>
          </w:tcPr>
          <w:p w14:paraId="2057DFB0">
            <w:pPr>
              <w:jc w:val="center"/>
              <w:rPr>
                <w:rStyle w:val="39"/>
                <w:szCs w:val="21"/>
              </w:rPr>
            </w:pPr>
          </w:p>
        </w:tc>
      </w:tr>
      <w:tr w14:paraId="3FA27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65EF3049">
            <w:pPr>
              <w:pStyle w:val="48"/>
              <w:numPr>
                <w:ilvl w:val="0"/>
                <w:numId w:val="15"/>
              </w:numPr>
              <w:ind w:firstLineChars="0"/>
              <w:jc w:val="center"/>
              <w:rPr>
                <w:rStyle w:val="39"/>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241C4394">
            <w:pPr>
              <w:rPr>
                <w:rStyle w:val="39"/>
                <w:szCs w:val="21"/>
              </w:rPr>
            </w:pPr>
            <w:r>
              <w:rPr>
                <w:rStyle w:val="39"/>
                <w:szCs w:val="21"/>
              </w:rPr>
              <w:t>质量保证金额度</w:t>
            </w:r>
          </w:p>
        </w:tc>
        <w:tc>
          <w:tcPr>
            <w:tcW w:w="917" w:type="pct"/>
            <w:tcBorders>
              <w:top w:val="single" w:color="000000" w:sz="4" w:space="0"/>
              <w:left w:val="single" w:color="000000" w:sz="4" w:space="0"/>
              <w:bottom w:val="single" w:color="000000" w:sz="4" w:space="0"/>
              <w:right w:val="single" w:color="000000" w:sz="4" w:space="0"/>
            </w:tcBorders>
            <w:vAlign w:val="center"/>
          </w:tcPr>
          <w:p w14:paraId="6B593D2F">
            <w:pPr>
              <w:jc w:val="center"/>
              <w:rPr>
                <w:rStyle w:val="39"/>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598D2BA9">
            <w:pPr>
              <w:jc w:val="center"/>
              <w:rPr>
                <w:rStyle w:val="39"/>
                <w:szCs w:val="21"/>
              </w:rPr>
            </w:pPr>
          </w:p>
        </w:tc>
        <w:tc>
          <w:tcPr>
            <w:tcW w:w="962" w:type="pct"/>
            <w:tcBorders>
              <w:top w:val="single" w:color="000000" w:sz="4" w:space="0"/>
              <w:left w:val="single" w:color="000000" w:sz="4" w:space="0"/>
              <w:bottom w:val="single" w:color="000000" w:sz="4" w:space="0"/>
              <w:right w:val="single" w:color="000000" w:sz="4" w:space="0"/>
            </w:tcBorders>
            <w:vAlign w:val="center"/>
          </w:tcPr>
          <w:p w14:paraId="17D0C857">
            <w:pPr>
              <w:jc w:val="center"/>
              <w:rPr>
                <w:rStyle w:val="39"/>
                <w:szCs w:val="21"/>
              </w:rPr>
            </w:pPr>
          </w:p>
        </w:tc>
      </w:tr>
      <w:tr w14:paraId="73BC4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34" w:hRule="atLeast"/>
        </w:trPr>
        <w:tc>
          <w:tcPr>
            <w:tcW w:w="501" w:type="pct"/>
            <w:tcBorders>
              <w:top w:val="single" w:color="000000" w:sz="4" w:space="0"/>
              <w:left w:val="single" w:color="000000" w:sz="4" w:space="0"/>
              <w:bottom w:val="single" w:color="000000" w:sz="4" w:space="0"/>
              <w:right w:val="single" w:color="000000" w:sz="4" w:space="0"/>
            </w:tcBorders>
            <w:vAlign w:val="center"/>
          </w:tcPr>
          <w:p w14:paraId="6095CE31">
            <w:pPr>
              <w:jc w:val="center"/>
              <w:rPr>
                <w:rStyle w:val="39"/>
                <w:szCs w:val="21"/>
              </w:rPr>
            </w:pPr>
          </w:p>
        </w:tc>
        <w:tc>
          <w:tcPr>
            <w:tcW w:w="1583" w:type="pct"/>
            <w:tcBorders>
              <w:top w:val="single" w:color="000000" w:sz="4" w:space="0"/>
              <w:left w:val="single" w:color="000000" w:sz="4" w:space="0"/>
              <w:bottom w:val="single" w:color="000000" w:sz="4" w:space="0"/>
              <w:right w:val="single" w:color="000000" w:sz="4" w:space="0"/>
            </w:tcBorders>
            <w:vAlign w:val="center"/>
          </w:tcPr>
          <w:p w14:paraId="6E141845">
            <w:pPr>
              <w:spacing w:line="440" w:lineRule="exact"/>
              <w:rPr>
                <w:rStyle w:val="39"/>
                <w:szCs w:val="21"/>
              </w:rPr>
            </w:pPr>
            <w:r>
              <w:rPr>
                <w:rStyle w:val="39"/>
                <w:szCs w:val="21"/>
              </w:rPr>
              <w:t>……</w:t>
            </w:r>
          </w:p>
        </w:tc>
        <w:tc>
          <w:tcPr>
            <w:tcW w:w="917" w:type="pct"/>
            <w:tcBorders>
              <w:top w:val="single" w:color="000000" w:sz="4" w:space="0"/>
              <w:left w:val="single" w:color="000000" w:sz="4" w:space="0"/>
              <w:bottom w:val="single" w:color="000000" w:sz="4" w:space="0"/>
              <w:right w:val="single" w:color="000000" w:sz="4" w:space="0"/>
            </w:tcBorders>
            <w:vAlign w:val="center"/>
          </w:tcPr>
          <w:p w14:paraId="13F4138B">
            <w:pPr>
              <w:rPr>
                <w:rStyle w:val="39"/>
                <w:szCs w:val="21"/>
              </w:rPr>
            </w:pPr>
          </w:p>
        </w:tc>
        <w:tc>
          <w:tcPr>
            <w:tcW w:w="1037" w:type="pct"/>
            <w:tcBorders>
              <w:top w:val="single" w:color="000000" w:sz="4" w:space="0"/>
              <w:left w:val="single" w:color="000000" w:sz="4" w:space="0"/>
              <w:bottom w:val="single" w:color="000000" w:sz="4" w:space="0"/>
              <w:right w:val="single" w:color="000000" w:sz="4" w:space="0"/>
            </w:tcBorders>
            <w:vAlign w:val="center"/>
          </w:tcPr>
          <w:p w14:paraId="159E745F">
            <w:pPr>
              <w:jc w:val="center"/>
              <w:rPr>
                <w:rStyle w:val="39"/>
                <w:szCs w:val="21"/>
              </w:rPr>
            </w:pPr>
          </w:p>
        </w:tc>
        <w:tc>
          <w:tcPr>
            <w:tcW w:w="962" w:type="pct"/>
            <w:tcBorders>
              <w:top w:val="single" w:color="000000" w:sz="4" w:space="0"/>
              <w:left w:val="single" w:color="000000" w:sz="4" w:space="0"/>
              <w:bottom w:val="single" w:color="000000" w:sz="4" w:space="0"/>
              <w:right w:val="single" w:color="000000" w:sz="4" w:space="0"/>
            </w:tcBorders>
            <w:vAlign w:val="center"/>
          </w:tcPr>
          <w:p w14:paraId="7AE30ED0">
            <w:pPr>
              <w:jc w:val="center"/>
              <w:rPr>
                <w:rStyle w:val="39"/>
                <w:szCs w:val="21"/>
              </w:rPr>
            </w:pPr>
          </w:p>
        </w:tc>
      </w:tr>
      <w:tr w14:paraId="16328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000" w:type="pct"/>
            <w:gridSpan w:val="5"/>
            <w:tcBorders>
              <w:top w:val="single" w:color="000000" w:sz="4" w:space="0"/>
              <w:left w:val="single" w:color="000000" w:sz="4" w:space="0"/>
              <w:bottom w:val="single" w:color="000000" w:sz="4" w:space="0"/>
              <w:right w:val="single" w:color="000000" w:sz="4" w:space="0"/>
            </w:tcBorders>
            <w:vAlign w:val="center"/>
          </w:tcPr>
          <w:p w14:paraId="19A97D24">
            <w:pPr>
              <w:rPr>
                <w:rStyle w:val="39"/>
                <w:szCs w:val="21"/>
              </w:rPr>
            </w:pPr>
            <w:r>
              <w:rPr>
                <w:rStyle w:val="39"/>
                <w:szCs w:val="21"/>
              </w:rPr>
              <w:t>备注：投标人在响应招标文件中规定的实质性要求和条件的基础上，可做出其他有利于招标人的承诺。此类承诺可在本表中予以补充填写。</w:t>
            </w:r>
          </w:p>
        </w:tc>
      </w:tr>
    </w:tbl>
    <w:p w14:paraId="74998C1B">
      <w:pPr>
        <w:spacing w:line="480" w:lineRule="exact"/>
        <w:ind w:firstLine="422" w:firstLineChars="200"/>
        <w:rPr>
          <w:rStyle w:val="39"/>
          <w:rFonts w:ascii="宋体" w:hAnsi="宋体"/>
          <w:szCs w:val="21"/>
        </w:rPr>
      </w:pPr>
      <w:r>
        <w:rPr>
          <w:rStyle w:val="39"/>
          <w:rFonts w:ascii="宋体" w:hAnsi="宋体"/>
          <w:b/>
          <w:szCs w:val="21"/>
        </w:rPr>
        <w:t xml:space="preserve"> 投标人</w:t>
      </w:r>
      <w:r>
        <w:rPr>
          <w:rStyle w:val="39"/>
          <w:rFonts w:ascii="宋体" w:hAnsi="宋体"/>
          <w:szCs w:val="21"/>
        </w:rPr>
        <w:t>（盖单位公章）：</w:t>
      </w:r>
    </w:p>
    <w:p w14:paraId="624A15FC">
      <w:pPr>
        <w:spacing w:line="480" w:lineRule="exact"/>
        <w:ind w:firstLine="422" w:firstLineChars="200"/>
        <w:rPr>
          <w:rStyle w:val="39"/>
          <w:rFonts w:ascii="宋体" w:hAnsi="宋体"/>
          <w:szCs w:val="21"/>
        </w:rPr>
      </w:pPr>
      <w:r>
        <w:rPr>
          <w:rStyle w:val="39"/>
          <w:rFonts w:ascii="宋体" w:hAnsi="宋体"/>
          <w:b/>
          <w:szCs w:val="21"/>
        </w:rPr>
        <w:t>法人代表或委托代理人</w:t>
      </w:r>
      <w:r>
        <w:rPr>
          <w:rStyle w:val="39"/>
          <w:rFonts w:ascii="宋体" w:hAnsi="宋体"/>
          <w:szCs w:val="21"/>
        </w:rPr>
        <w:t>（签字或盖章）：</w:t>
      </w:r>
    </w:p>
    <w:p w14:paraId="117FD2EE">
      <w:pPr>
        <w:spacing w:line="480" w:lineRule="exact"/>
        <w:ind w:firstLine="422" w:firstLineChars="200"/>
        <w:rPr>
          <w:rStyle w:val="39"/>
          <w:rFonts w:ascii="宋体" w:hAnsi="宋体"/>
          <w:b/>
          <w:szCs w:val="21"/>
        </w:rPr>
      </w:pPr>
      <w:r>
        <w:rPr>
          <w:rStyle w:val="39"/>
          <w:rFonts w:ascii="宋体" w:hAnsi="宋体"/>
          <w:b/>
          <w:szCs w:val="21"/>
        </w:rPr>
        <w:t xml:space="preserve"> 日期：年月日</w:t>
      </w:r>
    </w:p>
    <w:p w14:paraId="2D41A991">
      <w:pPr>
        <w:spacing w:before="120"/>
        <w:jc w:val="center"/>
        <w:rPr>
          <w:rStyle w:val="39"/>
          <w:rFonts w:ascii="宋体" w:hAnsi="宋体"/>
          <w:b/>
          <w:szCs w:val="21"/>
        </w:rPr>
      </w:pPr>
      <w:r>
        <w:rPr>
          <w:rStyle w:val="39"/>
          <w:rFonts w:ascii="宋体" w:hAnsi="宋体"/>
          <w:b/>
          <w:szCs w:val="21"/>
        </w:rPr>
        <w:br w:type="page"/>
      </w:r>
    </w:p>
    <w:p w14:paraId="6B9B829F">
      <w:pPr>
        <w:snapToGrid w:val="0"/>
        <w:spacing w:line="440" w:lineRule="exact"/>
        <w:ind w:firstLine="527" w:firstLineChars="250"/>
        <w:jc w:val="center"/>
        <w:rPr>
          <w:rStyle w:val="39"/>
          <w:rFonts w:ascii="宋体" w:hAnsi="宋体"/>
          <w:b/>
          <w:szCs w:val="21"/>
        </w:rPr>
      </w:pPr>
      <w:bookmarkStart w:id="774" w:name="_Toc16063997"/>
      <w:r>
        <w:rPr>
          <w:rStyle w:val="39"/>
          <w:rFonts w:ascii="宋体" w:hAnsi="宋体"/>
          <w:b/>
          <w:szCs w:val="21"/>
        </w:rPr>
        <w:t>（三）投标函附录-2</w:t>
      </w:r>
      <w:bookmarkEnd w:id="774"/>
    </w:p>
    <w:p w14:paraId="3F480C77">
      <w:pPr>
        <w:snapToGrid w:val="0"/>
        <w:spacing w:line="440" w:lineRule="exact"/>
        <w:ind w:firstLine="527" w:firstLineChars="250"/>
        <w:jc w:val="center"/>
        <w:rPr>
          <w:rStyle w:val="39"/>
          <w:rFonts w:ascii="宋体" w:hAnsi="宋体"/>
          <w:b/>
          <w:szCs w:val="21"/>
        </w:rPr>
      </w:pPr>
    </w:p>
    <w:p w14:paraId="5B3709CF">
      <w:pPr>
        <w:spacing w:line="360" w:lineRule="auto"/>
        <w:ind w:firstLine="278" w:firstLineChars="99"/>
        <w:jc w:val="center"/>
        <w:rPr>
          <w:rStyle w:val="39"/>
          <w:rFonts w:ascii="宋体" w:hAnsi="宋体"/>
          <w:b/>
          <w:bCs/>
          <w:sz w:val="28"/>
          <w:szCs w:val="28"/>
        </w:rPr>
      </w:pPr>
      <w:r>
        <w:rPr>
          <w:rStyle w:val="39"/>
          <w:rFonts w:ascii="宋体" w:hAnsi="宋体"/>
          <w:b/>
          <w:bCs/>
          <w:sz w:val="28"/>
          <w:szCs w:val="28"/>
        </w:rPr>
        <w:t>工程唱标单（格式）</w:t>
      </w:r>
    </w:p>
    <w:tbl>
      <w:tblPr>
        <w:tblStyle w:val="25"/>
        <w:tblW w:w="98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180"/>
        <w:gridCol w:w="1235"/>
        <w:gridCol w:w="2114"/>
        <w:gridCol w:w="1807"/>
        <w:gridCol w:w="1202"/>
      </w:tblGrid>
      <w:tr w14:paraId="3406A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72" w:hRule="atLeast"/>
          <w:jc w:val="center"/>
        </w:trPr>
        <w:tc>
          <w:tcPr>
            <w:tcW w:w="9819" w:type="dxa"/>
            <w:gridSpan w:val="6"/>
            <w:tcBorders>
              <w:top w:val="single" w:color="000000" w:sz="4" w:space="0"/>
              <w:left w:val="single" w:color="000000" w:sz="4" w:space="0"/>
              <w:bottom w:val="single" w:color="000000" w:sz="4" w:space="0"/>
              <w:right w:val="single" w:color="000000" w:sz="4" w:space="0"/>
            </w:tcBorders>
            <w:vAlign w:val="center"/>
          </w:tcPr>
          <w:p w14:paraId="30D1F681">
            <w:pPr>
              <w:rPr>
                <w:rStyle w:val="39"/>
                <w:rFonts w:hint="eastAsia" w:ascii="宋体" w:hAnsi="宋体"/>
                <w:bCs/>
                <w:szCs w:val="21"/>
              </w:rPr>
            </w:pPr>
            <w:r>
              <w:rPr>
                <w:rStyle w:val="39"/>
                <w:rFonts w:ascii="宋体" w:hAnsi="宋体"/>
                <w:bCs/>
                <w:szCs w:val="21"/>
              </w:rPr>
              <w:t xml:space="preserve">投标人：                                             </w:t>
            </w:r>
          </w:p>
        </w:tc>
      </w:tr>
      <w:tr w14:paraId="10F35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5" w:hRule="atLeast"/>
          <w:jc w:val="center"/>
        </w:trPr>
        <w:tc>
          <w:tcPr>
            <w:tcW w:w="9819" w:type="dxa"/>
            <w:gridSpan w:val="6"/>
            <w:tcBorders>
              <w:top w:val="single" w:color="000000" w:sz="4" w:space="0"/>
              <w:left w:val="single" w:color="000000" w:sz="4" w:space="0"/>
              <w:bottom w:val="single" w:color="000000" w:sz="4" w:space="0"/>
              <w:right w:val="single" w:color="000000" w:sz="4" w:space="0"/>
            </w:tcBorders>
            <w:vAlign w:val="center"/>
          </w:tcPr>
          <w:p w14:paraId="48BE7DC7">
            <w:pPr>
              <w:rPr>
                <w:rStyle w:val="39"/>
                <w:rFonts w:hint="eastAsia" w:ascii="宋体" w:hAnsi="宋体"/>
                <w:bCs/>
                <w:szCs w:val="21"/>
              </w:rPr>
            </w:pPr>
            <w:r>
              <w:rPr>
                <w:rStyle w:val="39"/>
                <w:rFonts w:ascii="宋体" w:hAnsi="宋体"/>
                <w:bCs/>
                <w:szCs w:val="21"/>
              </w:rPr>
              <w:t xml:space="preserve">工程名称：                                           </w:t>
            </w:r>
          </w:p>
        </w:tc>
      </w:tr>
      <w:tr w14:paraId="56A96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146" w:hRule="atLeast"/>
          <w:jc w:val="center"/>
        </w:trPr>
        <w:tc>
          <w:tcPr>
            <w:tcW w:w="9819" w:type="dxa"/>
            <w:gridSpan w:val="6"/>
            <w:tcBorders>
              <w:top w:val="single" w:color="000000" w:sz="4" w:space="0"/>
              <w:left w:val="single" w:color="000000" w:sz="4" w:space="0"/>
              <w:bottom w:val="single" w:color="000000" w:sz="4" w:space="0"/>
              <w:right w:val="single" w:color="000000" w:sz="4" w:space="0"/>
            </w:tcBorders>
            <w:vAlign w:val="center"/>
          </w:tcPr>
          <w:p w14:paraId="66D6FA6D">
            <w:pPr>
              <w:rPr>
                <w:rFonts w:hint="eastAsia" w:ascii="宋体" w:hAnsi="宋体" w:cs="宋体"/>
                <w:sz w:val="22"/>
                <w:szCs w:val="28"/>
              </w:rPr>
            </w:pPr>
            <w:r>
              <w:rPr>
                <w:rFonts w:hint="eastAsia" w:ascii="宋体" w:hAnsi="宋体" w:cs="宋体"/>
                <w:sz w:val="22"/>
                <w:szCs w:val="28"/>
              </w:rPr>
              <w:t>投标总价：大写：</w:t>
            </w:r>
            <w:r>
              <w:rPr>
                <w:rFonts w:hint="eastAsia" w:ascii="宋体" w:hAnsi="宋体" w:cs="宋体"/>
                <w:sz w:val="22"/>
                <w:szCs w:val="28"/>
                <w:u w:val="single"/>
              </w:rPr>
              <w:t xml:space="preserve">      </w:t>
            </w:r>
            <w:r>
              <w:rPr>
                <w:rFonts w:hint="eastAsia" w:ascii="宋体" w:hAnsi="宋体" w:cs="宋体"/>
                <w:sz w:val="22"/>
                <w:szCs w:val="28"/>
              </w:rPr>
              <w:t>元；（小写：</w:t>
            </w:r>
            <w:r>
              <w:rPr>
                <w:rFonts w:hint="eastAsia" w:ascii="宋体" w:hAnsi="宋体" w:cs="宋体"/>
                <w:sz w:val="22"/>
                <w:szCs w:val="28"/>
                <w:u w:val="single"/>
              </w:rPr>
              <w:t xml:space="preserve">      </w:t>
            </w:r>
            <w:r>
              <w:rPr>
                <w:rFonts w:hint="eastAsia" w:ascii="宋体" w:hAnsi="宋体" w:cs="宋体"/>
                <w:sz w:val="22"/>
                <w:szCs w:val="28"/>
              </w:rPr>
              <w:t>）。</w:t>
            </w:r>
          </w:p>
          <w:p w14:paraId="15C97EB6"/>
          <w:p w14:paraId="7ECFBA2A">
            <w:pPr>
              <w:pStyle w:val="13"/>
              <w:rPr>
                <w:rFonts w:hint="eastAsia" w:ascii="宋体" w:hAnsi="宋体" w:eastAsia="宋体" w:cs="宋体"/>
                <w:sz w:val="22"/>
                <w:szCs w:val="28"/>
                <w:lang w:eastAsia="zh-CN"/>
              </w:rPr>
            </w:pPr>
            <w:r>
              <w:rPr>
                <w:rFonts w:hint="eastAsia" w:ascii="宋体" w:hAnsi="宋体" w:eastAsia="宋体" w:cs="宋体"/>
                <w:sz w:val="22"/>
                <w:szCs w:val="28"/>
              </w:rPr>
              <w:t>清单外让利：</w:t>
            </w:r>
            <w:r>
              <w:rPr>
                <w:rFonts w:hint="eastAsia" w:ascii="宋体" w:hAnsi="宋体" w:eastAsia="宋体" w:cs="宋体"/>
                <w:sz w:val="22"/>
                <w:szCs w:val="28"/>
                <w:u w:val="single"/>
              </w:rPr>
              <w:t xml:space="preserve">  5  </w:t>
            </w:r>
            <w:r>
              <w:rPr>
                <w:rFonts w:hint="eastAsia" w:ascii="宋体" w:hAnsi="宋体" w:eastAsia="宋体" w:cs="宋体"/>
                <w:sz w:val="22"/>
                <w:szCs w:val="28"/>
              </w:rPr>
              <w:t>%</w:t>
            </w:r>
            <w:r>
              <w:rPr>
                <w:rFonts w:hint="eastAsia" w:ascii="宋体" w:hAnsi="宋体" w:eastAsia="宋体" w:cs="宋体"/>
                <w:sz w:val="22"/>
                <w:szCs w:val="28"/>
                <w:lang w:eastAsia="zh-CN"/>
              </w:rPr>
              <w:t>；</w:t>
            </w:r>
          </w:p>
          <w:p w14:paraId="2475BCBE">
            <w:pPr>
              <w:pStyle w:val="13"/>
              <w:rPr>
                <w:rFonts w:hint="eastAsia" w:ascii="宋体" w:hAnsi="宋体" w:eastAsia="宋体" w:cs="宋体"/>
                <w:sz w:val="22"/>
                <w:szCs w:val="28"/>
              </w:rPr>
            </w:pPr>
            <w:r>
              <w:rPr>
                <w:rFonts w:hint="eastAsia" w:ascii="宋体" w:hAnsi="宋体" w:eastAsia="宋体" w:cs="宋体"/>
                <w:sz w:val="22"/>
                <w:szCs w:val="28"/>
              </w:rPr>
              <w:t>（取5%与总价下浮率的较大值，总价下浮率=1-最后一轮澄清总报价/清标修正后的总报价）</w:t>
            </w:r>
          </w:p>
          <w:p w14:paraId="176C24B8">
            <w:pPr>
              <w:pStyle w:val="13"/>
            </w:pPr>
            <w:r>
              <w:rPr>
                <w:rFonts w:hint="eastAsia" w:ascii="宋体" w:hAnsi="宋体" w:eastAsia="宋体" w:cs="宋体"/>
                <w:sz w:val="22"/>
                <w:szCs w:val="28"/>
              </w:rPr>
              <w:t>计日工不含税综合单价220元/工日</w:t>
            </w:r>
            <w:r>
              <w:rPr>
                <w:rFonts w:hint="eastAsia" w:ascii="仿宋" w:hAnsi="仿宋" w:eastAsia="仿宋" w:cs="仿宋"/>
                <w:sz w:val="24"/>
              </w:rPr>
              <w:t>。</w:t>
            </w:r>
          </w:p>
        </w:tc>
      </w:tr>
      <w:tr w14:paraId="4C3CB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31" w:hRule="atLeast"/>
          <w:jc w:val="center"/>
        </w:trPr>
        <w:tc>
          <w:tcPr>
            <w:tcW w:w="1281" w:type="dxa"/>
            <w:tcBorders>
              <w:top w:val="single" w:color="000000" w:sz="4" w:space="0"/>
              <w:left w:val="single" w:color="000000" w:sz="4" w:space="0"/>
              <w:bottom w:val="single" w:color="000000" w:sz="4" w:space="0"/>
              <w:right w:val="single" w:color="000000" w:sz="4" w:space="0"/>
            </w:tcBorders>
            <w:vAlign w:val="center"/>
          </w:tcPr>
          <w:p w14:paraId="6662A604">
            <w:pPr>
              <w:jc w:val="center"/>
              <w:rPr>
                <w:rStyle w:val="39"/>
                <w:rFonts w:hint="eastAsia" w:ascii="宋体" w:hAnsi="宋体"/>
                <w:bCs/>
                <w:szCs w:val="21"/>
              </w:rPr>
            </w:pPr>
            <w:r>
              <w:rPr>
                <w:rStyle w:val="39"/>
                <w:rFonts w:ascii="宋体" w:hAnsi="宋体"/>
                <w:bCs/>
                <w:szCs w:val="21"/>
              </w:rPr>
              <w:t>投标工期</w:t>
            </w:r>
          </w:p>
        </w:tc>
        <w:tc>
          <w:tcPr>
            <w:tcW w:w="8538" w:type="dxa"/>
            <w:gridSpan w:val="5"/>
            <w:tcBorders>
              <w:top w:val="single" w:color="000000" w:sz="4" w:space="0"/>
              <w:left w:val="single" w:color="000000" w:sz="4" w:space="0"/>
              <w:bottom w:val="single" w:color="000000" w:sz="4" w:space="0"/>
              <w:right w:val="single" w:color="000000" w:sz="4" w:space="0"/>
            </w:tcBorders>
            <w:vAlign w:val="bottom"/>
          </w:tcPr>
          <w:p w14:paraId="553D8DC0">
            <w:pPr>
              <w:spacing w:line="276" w:lineRule="auto"/>
              <w:rPr>
                <w:rStyle w:val="39"/>
                <w:rFonts w:hint="eastAsia" w:ascii="宋体" w:hAnsi="宋体"/>
                <w:szCs w:val="21"/>
              </w:rPr>
            </w:pPr>
            <w:r>
              <w:rPr>
                <w:rStyle w:val="39"/>
                <w:rFonts w:ascii="宋体" w:hAnsi="宋体"/>
                <w:szCs w:val="21"/>
              </w:rPr>
              <w:t>计划总工期</w:t>
            </w:r>
            <w:r>
              <w:rPr>
                <w:rStyle w:val="39"/>
                <w:rFonts w:ascii="宋体" w:hAnsi="宋体"/>
                <w:szCs w:val="21"/>
                <w:u w:val="single"/>
              </w:rPr>
              <w:t xml:space="preserve">：   </w:t>
            </w:r>
            <w:r>
              <w:rPr>
                <w:rStyle w:val="39"/>
                <w:rFonts w:ascii="宋体" w:hAnsi="宋体"/>
                <w:szCs w:val="21"/>
              </w:rPr>
              <w:t>日历天</w:t>
            </w:r>
            <w:r>
              <w:rPr>
                <w:rStyle w:val="39"/>
                <w:rFonts w:hint="eastAsia" w:ascii="宋体" w:hAnsi="宋体"/>
                <w:szCs w:val="21"/>
              </w:rPr>
              <w:t>（以收到招标人中标通知之日起计算）</w:t>
            </w:r>
            <w:r>
              <w:rPr>
                <w:rStyle w:val="39"/>
                <w:rFonts w:ascii="宋体" w:hAnsi="宋体"/>
                <w:szCs w:val="21"/>
              </w:rPr>
              <w:t>；</w:t>
            </w:r>
          </w:p>
          <w:p w14:paraId="638F9406">
            <w:pPr>
              <w:spacing w:line="276" w:lineRule="auto"/>
              <w:rPr>
                <w:rStyle w:val="39"/>
                <w:rFonts w:hint="eastAsia" w:ascii="宋体" w:hAnsi="宋体"/>
                <w:szCs w:val="21"/>
              </w:rPr>
            </w:pPr>
            <w:r>
              <w:rPr>
                <w:rStyle w:val="39"/>
                <w:rFonts w:ascii="宋体" w:hAnsi="宋体"/>
                <w:szCs w:val="21"/>
              </w:rPr>
              <w:t>计划开工日期：20</w:t>
            </w:r>
            <w:r>
              <w:rPr>
                <w:rStyle w:val="39"/>
                <w:rFonts w:hint="eastAsia" w:ascii="宋体" w:hAnsi="宋体"/>
                <w:szCs w:val="21"/>
              </w:rPr>
              <w:t>2</w:t>
            </w:r>
            <w:r>
              <w:rPr>
                <w:rStyle w:val="39"/>
                <w:rFonts w:hint="eastAsia" w:ascii="宋体" w:hAnsi="宋体"/>
                <w:szCs w:val="21"/>
                <w:lang w:val="en-US" w:eastAsia="zh-CN"/>
              </w:rPr>
              <w:t>6</w:t>
            </w:r>
            <w:r>
              <w:rPr>
                <w:rStyle w:val="39"/>
                <w:rFonts w:ascii="宋体" w:hAnsi="宋体"/>
                <w:szCs w:val="21"/>
              </w:rPr>
              <w:t>年</w:t>
            </w:r>
            <w:r>
              <w:rPr>
                <w:rStyle w:val="39"/>
                <w:rFonts w:hint="eastAsia" w:ascii="宋体" w:hAnsi="宋体"/>
                <w:szCs w:val="21"/>
              </w:rPr>
              <w:t xml:space="preserve"> </w:t>
            </w:r>
            <w:r>
              <w:rPr>
                <w:rStyle w:val="39"/>
                <w:rFonts w:ascii="宋体" w:hAnsi="宋体"/>
                <w:szCs w:val="21"/>
              </w:rPr>
              <w:t>月</w:t>
            </w:r>
            <w:r>
              <w:rPr>
                <w:rStyle w:val="39"/>
                <w:rFonts w:hint="eastAsia" w:ascii="宋体" w:hAnsi="宋体"/>
                <w:szCs w:val="21"/>
              </w:rPr>
              <w:t xml:space="preserve"> </w:t>
            </w:r>
            <w:r>
              <w:rPr>
                <w:rStyle w:val="39"/>
                <w:rFonts w:ascii="宋体" w:hAnsi="宋体"/>
                <w:szCs w:val="21"/>
              </w:rPr>
              <w:t>日；</w:t>
            </w:r>
          </w:p>
          <w:p w14:paraId="43740CFA">
            <w:pPr>
              <w:rPr>
                <w:rStyle w:val="39"/>
                <w:rFonts w:hint="eastAsia" w:ascii="宋体" w:hAnsi="宋体"/>
                <w:bCs/>
                <w:szCs w:val="21"/>
              </w:rPr>
            </w:pPr>
            <w:r>
              <w:rPr>
                <w:rStyle w:val="39"/>
                <w:rFonts w:ascii="宋体" w:hAnsi="宋体"/>
                <w:szCs w:val="21"/>
              </w:rPr>
              <w:t>计划竣工日期：20</w:t>
            </w:r>
            <w:r>
              <w:rPr>
                <w:rStyle w:val="39"/>
                <w:rFonts w:hint="eastAsia" w:ascii="宋体" w:hAnsi="宋体"/>
                <w:szCs w:val="21"/>
              </w:rPr>
              <w:t>26</w:t>
            </w:r>
            <w:r>
              <w:rPr>
                <w:rStyle w:val="39"/>
                <w:rFonts w:ascii="宋体" w:hAnsi="宋体"/>
                <w:szCs w:val="21"/>
              </w:rPr>
              <w:t>年</w:t>
            </w:r>
            <w:r>
              <w:rPr>
                <w:rStyle w:val="39"/>
                <w:rFonts w:hint="eastAsia" w:ascii="宋体" w:hAnsi="宋体"/>
                <w:szCs w:val="21"/>
              </w:rPr>
              <w:t xml:space="preserve"> </w:t>
            </w:r>
            <w:r>
              <w:rPr>
                <w:rStyle w:val="39"/>
                <w:rFonts w:ascii="宋体" w:hAnsi="宋体"/>
                <w:szCs w:val="21"/>
              </w:rPr>
              <w:t>月</w:t>
            </w:r>
            <w:r>
              <w:rPr>
                <w:rStyle w:val="39"/>
                <w:rFonts w:hint="eastAsia" w:ascii="宋体" w:hAnsi="宋体"/>
                <w:szCs w:val="21"/>
              </w:rPr>
              <w:t xml:space="preserve"> </w:t>
            </w:r>
            <w:r>
              <w:rPr>
                <w:rStyle w:val="39"/>
                <w:rFonts w:ascii="宋体" w:hAnsi="宋体"/>
                <w:szCs w:val="21"/>
              </w:rPr>
              <w:t>日。</w:t>
            </w:r>
          </w:p>
        </w:tc>
      </w:tr>
      <w:tr w14:paraId="5EDB3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39" w:hRule="atLeast"/>
          <w:jc w:val="center"/>
        </w:trPr>
        <w:tc>
          <w:tcPr>
            <w:tcW w:w="1281" w:type="dxa"/>
            <w:tcBorders>
              <w:top w:val="single" w:color="000000" w:sz="4" w:space="0"/>
              <w:left w:val="single" w:color="000000" w:sz="4" w:space="0"/>
              <w:bottom w:val="single" w:color="000000" w:sz="4" w:space="0"/>
              <w:right w:val="single" w:color="000000" w:sz="4" w:space="0"/>
            </w:tcBorders>
            <w:vAlign w:val="center"/>
          </w:tcPr>
          <w:p w14:paraId="316153E0">
            <w:pPr>
              <w:jc w:val="center"/>
              <w:rPr>
                <w:rStyle w:val="39"/>
                <w:rFonts w:hint="eastAsia" w:ascii="宋体" w:hAnsi="宋体"/>
                <w:bCs/>
                <w:szCs w:val="21"/>
              </w:rPr>
            </w:pPr>
            <w:r>
              <w:rPr>
                <w:rStyle w:val="39"/>
                <w:rFonts w:ascii="宋体" w:hAnsi="宋体"/>
                <w:bCs/>
                <w:szCs w:val="21"/>
              </w:rPr>
              <w:t>项目经理</w:t>
            </w:r>
          </w:p>
        </w:tc>
        <w:tc>
          <w:tcPr>
            <w:tcW w:w="2180" w:type="dxa"/>
            <w:tcBorders>
              <w:top w:val="single" w:color="000000" w:sz="4" w:space="0"/>
              <w:left w:val="single" w:color="000000" w:sz="4" w:space="0"/>
              <w:bottom w:val="single" w:color="000000" w:sz="4" w:space="0"/>
              <w:right w:val="single" w:color="000000" w:sz="4" w:space="0"/>
            </w:tcBorders>
            <w:vAlign w:val="center"/>
          </w:tcPr>
          <w:p w14:paraId="38FF89F4">
            <w:pPr>
              <w:jc w:val="center"/>
              <w:rPr>
                <w:rStyle w:val="39"/>
                <w:rFonts w:hint="eastAsia" w:ascii="宋体" w:hAnsi="宋体"/>
                <w:bCs/>
                <w:szCs w:val="21"/>
              </w:rPr>
            </w:pPr>
          </w:p>
        </w:tc>
        <w:tc>
          <w:tcPr>
            <w:tcW w:w="1235" w:type="dxa"/>
            <w:tcBorders>
              <w:top w:val="single" w:color="000000" w:sz="4" w:space="0"/>
              <w:left w:val="single" w:color="000000" w:sz="4" w:space="0"/>
              <w:bottom w:val="single" w:color="000000" w:sz="4" w:space="0"/>
              <w:right w:val="single" w:color="000000" w:sz="4" w:space="0"/>
            </w:tcBorders>
            <w:vAlign w:val="center"/>
          </w:tcPr>
          <w:p w14:paraId="3F00E423">
            <w:pPr>
              <w:jc w:val="center"/>
              <w:rPr>
                <w:rStyle w:val="39"/>
                <w:rFonts w:hint="eastAsia" w:ascii="宋体" w:hAnsi="宋体"/>
                <w:bCs/>
                <w:szCs w:val="21"/>
              </w:rPr>
            </w:pPr>
            <w:r>
              <w:rPr>
                <w:rStyle w:val="39"/>
                <w:rFonts w:ascii="宋体" w:hAnsi="宋体"/>
                <w:bCs/>
                <w:szCs w:val="21"/>
              </w:rPr>
              <w:t>级别</w:t>
            </w:r>
          </w:p>
        </w:tc>
        <w:tc>
          <w:tcPr>
            <w:tcW w:w="2114" w:type="dxa"/>
            <w:tcBorders>
              <w:top w:val="single" w:color="000000" w:sz="4" w:space="0"/>
              <w:left w:val="single" w:color="000000" w:sz="4" w:space="0"/>
              <w:bottom w:val="single" w:color="000000" w:sz="4" w:space="0"/>
              <w:right w:val="single" w:color="000000" w:sz="4" w:space="0"/>
            </w:tcBorders>
            <w:vAlign w:val="center"/>
          </w:tcPr>
          <w:p w14:paraId="1084062F">
            <w:pPr>
              <w:jc w:val="center"/>
              <w:rPr>
                <w:rStyle w:val="39"/>
                <w:rFonts w:hint="eastAsia" w:ascii="宋体" w:hAnsi="宋体"/>
                <w:bCs/>
                <w:szCs w:val="21"/>
              </w:rPr>
            </w:pPr>
          </w:p>
        </w:tc>
        <w:tc>
          <w:tcPr>
            <w:tcW w:w="1807" w:type="dxa"/>
            <w:tcBorders>
              <w:top w:val="single" w:color="000000" w:sz="4" w:space="0"/>
              <w:left w:val="single" w:color="000000" w:sz="4" w:space="0"/>
              <w:bottom w:val="single" w:color="000000" w:sz="4" w:space="0"/>
              <w:right w:val="single" w:color="000000" w:sz="4" w:space="0"/>
            </w:tcBorders>
            <w:vAlign w:val="center"/>
          </w:tcPr>
          <w:p w14:paraId="66E5537D">
            <w:pPr>
              <w:jc w:val="center"/>
              <w:rPr>
                <w:rStyle w:val="39"/>
                <w:rFonts w:hint="eastAsia" w:ascii="宋体" w:hAnsi="宋体"/>
                <w:bCs/>
                <w:szCs w:val="21"/>
              </w:rPr>
            </w:pPr>
            <w:r>
              <w:rPr>
                <w:rStyle w:val="39"/>
                <w:rFonts w:ascii="宋体" w:hAnsi="宋体"/>
                <w:bCs/>
                <w:szCs w:val="21"/>
              </w:rPr>
              <w:t>编号</w:t>
            </w:r>
          </w:p>
        </w:tc>
        <w:tc>
          <w:tcPr>
            <w:tcW w:w="1202" w:type="dxa"/>
            <w:tcBorders>
              <w:top w:val="single" w:color="000000" w:sz="4" w:space="0"/>
              <w:left w:val="single" w:color="000000" w:sz="4" w:space="0"/>
              <w:bottom w:val="single" w:color="000000" w:sz="4" w:space="0"/>
              <w:right w:val="single" w:color="000000" w:sz="4" w:space="0"/>
            </w:tcBorders>
            <w:vAlign w:val="center"/>
          </w:tcPr>
          <w:p w14:paraId="440FB380">
            <w:pPr>
              <w:jc w:val="center"/>
              <w:rPr>
                <w:rStyle w:val="39"/>
                <w:rFonts w:hint="eastAsia" w:ascii="宋体" w:hAnsi="宋体"/>
                <w:bCs/>
                <w:szCs w:val="21"/>
              </w:rPr>
            </w:pPr>
          </w:p>
        </w:tc>
      </w:tr>
      <w:tr w14:paraId="0DD1E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895" w:hRule="atLeast"/>
          <w:jc w:val="center"/>
        </w:trPr>
        <w:tc>
          <w:tcPr>
            <w:tcW w:w="9819" w:type="dxa"/>
            <w:gridSpan w:val="6"/>
            <w:tcBorders>
              <w:top w:val="single" w:color="000000" w:sz="4" w:space="0"/>
              <w:left w:val="single" w:color="000000" w:sz="4" w:space="0"/>
              <w:bottom w:val="single" w:color="000000" w:sz="4" w:space="0"/>
              <w:right w:val="single" w:color="000000" w:sz="4" w:space="0"/>
            </w:tcBorders>
            <w:vAlign w:val="center"/>
          </w:tcPr>
          <w:p w14:paraId="1EA3F7D8">
            <w:pPr>
              <w:rPr>
                <w:rStyle w:val="39"/>
                <w:rFonts w:hint="eastAsia" w:ascii="宋体" w:hAnsi="宋体"/>
                <w:b/>
                <w:szCs w:val="21"/>
              </w:rPr>
            </w:pPr>
            <w:r>
              <w:rPr>
                <w:rStyle w:val="39"/>
                <w:rFonts w:ascii="宋体" w:hAnsi="宋体"/>
                <w:b/>
                <w:szCs w:val="21"/>
              </w:rPr>
              <w:t>承诺拟派项目班子成员始终在工地现场管理，不擅自更换、不兼职其他工程项目，如确有原因须更换，应事先征得业主同意。</w:t>
            </w:r>
          </w:p>
          <w:p w14:paraId="459FC3CC">
            <w:pPr>
              <w:pStyle w:val="2"/>
              <w:ind w:left="0" w:leftChars="0" w:firstLine="0" w:firstLineChars="0"/>
              <w:jc w:val="both"/>
            </w:pPr>
            <w:r>
              <w:t>我方报价及清单外让利已充分考虑了招标清单外增加施工内容的风险，我方认可并严格执行招标文件约定的清单外结算原则。</w:t>
            </w:r>
          </w:p>
        </w:tc>
      </w:tr>
      <w:tr w14:paraId="10F2E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5" w:hRule="atLeast"/>
          <w:jc w:val="center"/>
        </w:trPr>
        <w:tc>
          <w:tcPr>
            <w:tcW w:w="9819" w:type="dxa"/>
            <w:gridSpan w:val="6"/>
            <w:tcBorders>
              <w:top w:val="single" w:color="000000" w:sz="4" w:space="0"/>
              <w:left w:val="single" w:color="000000" w:sz="4" w:space="0"/>
              <w:bottom w:val="single" w:color="000000" w:sz="4" w:space="0"/>
              <w:right w:val="single" w:color="000000" w:sz="4" w:space="0"/>
            </w:tcBorders>
            <w:vAlign w:val="center"/>
          </w:tcPr>
          <w:p w14:paraId="2E69626D">
            <w:pPr>
              <w:rPr>
                <w:rStyle w:val="39"/>
                <w:rFonts w:hint="eastAsia" w:ascii="宋体" w:hAnsi="宋体"/>
                <w:bCs/>
                <w:szCs w:val="21"/>
              </w:rPr>
            </w:pPr>
            <w:r>
              <w:rPr>
                <w:rStyle w:val="39"/>
                <w:rFonts w:ascii="宋体" w:hAnsi="宋体"/>
                <w:bCs/>
                <w:szCs w:val="21"/>
              </w:rPr>
              <w:t>质量</w:t>
            </w:r>
            <w:r>
              <w:rPr>
                <w:rStyle w:val="39"/>
                <w:rFonts w:hint="eastAsia" w:ascii="宋体" w:hAnsi="宋体"/>
                <w:bCs/>
                <w:szCs w:val="21"/>
              </w:rPr>
              <w:t>标准</w:t>
            </w:r>
            <w:r>
              <w:rPr>
                <w:rStyle w:val="39"/>
                <w:rFonts w:ascii="宋体" w:hAnsi="宋体"/>
                <w:bCs/>
                <w:szCs w:val="21"/>
              </w:rPr>
              <w:t>：</w:t>
            </w:r>
          </w:p>
        </w:tc>
      </w:tr>
      <w:tr w14:paraId="32157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60" w:hRule="atLeast"/>
          <w:jc w:val="center"/>
        </w:trPr>
        <w:tc>
          <w:tcPr>
            <w:tcW w:w="9819" w:type="dxa"/>
            <w:gridSpan w:val="6"/>
            <w:tcBorders>
              <w:top w:val="single" w:color="000000" w:sz="4" w:space="0"/>
              <w:left w:val="single" w:color="000000" w:sz="4" w:space="0"/>
              <w:bottom w:val="single" w:color="000000" w:sz="4" w:space="0"/>
              <w:right w:val="single" w:color="000000" w:sz="4" w:space="0"/>
            </w:tcBorders>
            <w:vAlign w:val="center"/>
          </w:tcPr>
          <w:p w14:paraId="70E7F9AA">
            <w:pPr>
              <w:rPr>
                <w:rStyle w:val="39"/>
                <w:rFonts w:hint="eastAsia" w:ascii="宋体" w:hAnsi="宋体"/>
                <w:bCs/>
                <w:szCs w:val="21"/>
              </w:rPr>
            </w:pPr>
            <w:r>
              <w:rPr>
                <w:rStyle w:val="39"/>
                <w:rFonts w:ascii="宋体" w:hAnsi="宋体"/>
                <w:bCs/>
                <w:szCs w:val="21"/>
              </w:rPr>
              <w:t>本投标人完全认同招标文件的各项条款要求。</w:t>
            </w:r>
          </w:p>
        </w:tc>
      </w:tr>
      <w:tr w14:paraId="4AFAC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49" w:hRule="atLeast"/>
          <w:jc w:val="center"/>
        </w:trPr>
        <w:tc>
          <w:tcPr>
            <w:tcW w:w="9819" w:type="dxa"/>
            <w:gridSpan w:val="6"/>
            <w:tcBorders>
              <w:top w:val="single" w:color="000000" w:sz="4" w:space="0"/>
              <w:left w:val="single" w:color="000000" w:sz="4" w:space="0"/>
              <w:bottom w:val="single" w:color="000000" w:sz="4" w:space="0"/>
              <w:right w:val="single" w:color="000000" w:sz="4" w:space="0"/>
            </w:tcBorders>
            <w:vAlign w:val="center"/>
          </w:tcPr>
          <w:p w14:paraId="1B3496C2">
            <w:pPr>
              <w:rPr>
                <w:rStyle w:val="39"/>
                <w:rFonts w:hint="eastAsia" w:ascii="宋体" w:hAnsi="宋体"/>
                <w:bCs/>
                <w:szCs w:val="21"/>
              </w:rPr>
            </w:pPr>
            <w:r>
              <w:rPr>
                <w:rStyle w:val="39"/>
                <w:rFonts w:ascii="宋体" w:hAnsi="宋体"/>
                <w:bCs/>
                <w:szCs w:val="21"/>
              </w:rPr>
              <w:t>投标人现场确认（签字）：</w:t>
            </w:r>
          </w:p>
        </w:tc>
      </w:tr>
    </w:tbl>
    <w:p w14:paraId="3E631F08">
      <w:pPr>
        <w:spacing w:line="400" w:lineRule="exact"/>
        <w:ind w:firstLine="209" w:firstLineChars="99"/>
        <w:rPr>
          <w:rStyle w:val="39"/>
          <w:rFonts w:ascii="宋体" w:hAnsi="宋体"/>
          <w:b/>
          <w:bCs/>
          <w:szCs w:val="21"/>
        </w:rPr>
      </w:pPr>
    </w:p>
    <w:p w14:paraId="281F439E">
      <w:pPr>
        <w:spacing w:line="400" w:lineRule="exact"/>
        <w:ind w:firstLine="209" w:firstLineChars="99"/>
        <w:rPr>
          <w:rStyle w:val="39"/>
          <w:rFonts w:ascii="宋体" w:hAnsi="宋体"/>
          <w:b/>
          <w:bCs/>
          <w:szCs w:val="21"/>
        </w:rPr>
      </w:pPr>
      <w:r>
        <w:rPr>
          <w:rStyle w:val="39"/>
          <w:rFonts w:ascii="宋体" w:hAnsi="宋体"/>
          <w:b/>
          <w:bCs/>
          <w:szCs w:val="21"/>
        </w:rPr>
        <w:t>投标人（盖单位公章）</w:t>
      </w:r>
    </w:p>
    <w:p w14:paraId="2618124A">
      <w:pPr>
        <w:spacing w:line="400" w:lineRule="exact"/>
        <w:ind w:firstLine="209" w:firstLineChars="99"/>
        <w:rPr>
          <w:rStyle w:val="39"/>
          <w:rFonts w:ascii="宋体" w:hAnsi="宋体"/>
          <w:b/>
          <w:bCs/>
          <w:szCs w:val="21"/>
          <w:u w:val="single"/>
        </w:rPr>
      </w:pPr>
      <w:r>
        <w:rPr>
          <w:rStyle w:val="39"/>
          <w:rFonts w:ascii="宋体" w:hAnsi="宋体"/>
          <w:b/>
          <w:bCs/>
          <w:szCs w:val="21"/>
        </w:rPr>
        <w:t>法定代表人：（盖章）</w:t>
      </w:r>
      <w:r>
        <w:rPr>
          <w:rStyle w:val="39"/>
          <w:rFonts w:ascii="宋体" w:hAnsi="宋体"/>
          <w:b/>
          <w:bCs/>
          <w:szCs w:val="21"/>
          <w:u w:val="single"/>
        </w:rPr>
        <w:t xml:space="preserve">        年      月    日</w:t>
      </w:r>
    </w:p>
    <w:p w14:paraId="6029A229">
      <w:pPr>
        <w:spacing w:line="400" w:lineRule="exact"/>
        <w:ind w:left="630" w:hanging="630" w:hangingChars="299"/>
        <w:rPr>
          <w:rStyle w:val="39"/>
          <w:rFonts w:ascii="宋体" w:hAnsi="宋体"/>
          <w:b/>
          <w:bCs/>
          <w:szCs w:val="21"/>
        </w:rPr>
      </w:pPr>
    </w:p>
    <w:p w14:paraId="41323284">
      <w:pPr>
        <w:spacing w:line="400" w:lineRule="exact"/>
        <w:ind w:firstLine="209" w:firstLineChars="99"/>
        <w:rPr>
          <w:rStyle w:val="39"/>
          <w:rFonts w:ascii="宋体" w:hAnsi="宋体"/>
          <w:b/>
          <w:bCs/>
          <w:szCs w:val="21"/>
        </w:rPr>
      </w:pPr>
      <w:r>
        <w:rPr>
          <w:rStyle w:val="39"/>
          <w:rFonts w:ascii="宋体" w:hAnsi="宋体"/>
          <w:b/>
          <w:bCs/>
          <w:szCs w:val="21"/>
        </w:rPr>
        <w:t>注：1、本唱标单除装订在投标文件中外还应一式两份单独密封递交，各项内容务必填写详细，可以填满，但不允许添加附页。</w:t>
      </w:r>
    </w:p>
    <w:p w14:paraId="0ADB92ED">
      <w:pPr>
        <w:spacing w:line="400" w:lineRule="exact"/>
        <w:ind w:firstLine="209" w:firstLineChars="99"/>
        <w:rPr>
          <w:rStyle w:val="39"/>
          <w:rFonts w:ascii="宋体" w:hAnsi="宋体"/>
          <w:b/>
          <w:bCs/>
          <w:szCs w:val="21"/>
        </w:rPr>
      </w:pPr>
      <w:r>
        <w:rPr>
          <w:rStyle w:val="39"/>
          <w:rFonts w:ascii="宋体" w:hAnsi="宋体"/>
          <w:b/>
          <w:bCs/>
          <w:szCs w:val="21"/>
        </w:rPr>
        <w:t>2、招标文件要求竞报费率的，不填按0计（但不参与评标基准价的计算）。</w:t>
      </w:r>
    </w:p>
    <w:p w14:paraId="17F076EA">
      <w:pPr>
        <w:spacing w:line="400" w:lineRule="exact"/>
        <w:ind w:firstLine="209" w:firstLineChars="99"/>
        <w:rPr>
          <w:rStyle w:val="39"/>
          <w:rFonts w:ascii="宋体" w:hAnsi="宋体"/>
          <w:b/>
          <w:bCs/>
          <w:szCs w:val="21"/>
        </w:rPr>
      </w:pPr>
      <w:r>
        <w:rPr>
          <w:rStyle w:val="39"/>
          <w:rFonts w:ascii="宋体" w:hAnsi="宋体"/>
          <w:b/>
          <w:bCs/>
          <w:szCs w:val="21"/>
        </w:rPr>
        <w:t>3、在评标过程中，评定内容的具体数据以单独密封并递交的本表内容为准。</w:t>
      </w:r>
    </w:p>
    <w:p w14:paraId="13E42EA1">
      <w:pPr>
        <w:spacing w:line="400" w:lineRule="exact"/>
        <w:ind w:firstLine="207" w:firstLineChars="99"/>
        <w:rPr>
          <w:rStyle w:val="39"/>
          <w:rFonts w:ascii="宋体" w:hAnsi="宋体"/>
          <w:szCs w:val="21"/>
        </w:rPr>
      </w:pPr>
      <w:r>
        <w:rPr>
          <w:rStyle w:val="39"/>
          <w:rFonts w:ascii="宋体" w:hAnsi="宋体"/>
          <w:szCs w:val="21"/>
        </w:rPr>
        <w:br w:type="page"/>
      </w:r>
    </w:p>
    <w:p w14:paraId="7ABF331C">
      <w:pPr>
        <w:ind w:firstLine="651" w:firstLineChars="310"/>
        <w:rPr>
          <w:rStyle w:val="39"/>
          <w:rFonts w:ascii="宋体" w:hAnsi="宋体"/>
          <w:szCs w:val="21"/>
        </w:rPr>
      </w:pPr>
    </w:p>
    <w:p w14:paraId="4594E11D">
      <w:pPr>
        <w:numPr>
          <w:ilvl w:val="0"/>
          <w:numId w:val="16"/>
        </w:numPr>
        <w:snapToGrid w:val="0"/>
        <w:spacing w:line="440" w:lineRule="exact"/>
        <w:ind w:firstLine="527" w:firstLineChars="250"/>
        <w:jc w:val="left"/>
        <w:rPr>
          <w:rStyle w:val="39"/>
          <w:rFonts w:ascii="宋体" w:hAnsi="宋体"/>
          <w:b/>
          <w:szCs w:val="21"/>
        </w:rPr>
      </w:pPr>
      <w:bookmarkStart w:id="775" w:name="_Toc16063999"/>
      <w:bookmarkStart w:id="776" w:name="_Toc24038"/>
      <w:bookmarkStart w:id="777" w:name="_Toc27993"/>
      <w:bookmarkStart w:id="778" w:name="_Toc17817349"/>
      <w:r>
        <w:rPr>
          <w:rStyle w:val="39"/>
          <w:rFonts w:ascii="宋体" w:hAnsi="宋体"/>
          <w:b/>
          <w:szCs w:val="21"/>
        </w:rPr>
        <w:t>投标函附录-</w:t>
      </w:r>
      <w:r>
        <w:rPr>
          <w:rStyle w:val="39"/>
          <w:rFonts w:hint="eastAsia" w:ascii="宋体" w:hAnsi="宋体"/>
          <w:b/>
          <w:szCs w:val="21"/>
          <w:lang w:val="en-US" w:eastAsia="zh-CN"/>
        </w:rPr>
        <w:t>3</w:t>
      </w:r>
    </w:p>
    <w:p w14:paraId="1D9949EA">
      <w:pPr>
        <w:pStyle w:val="13"/>
      </w:pPr>
    </w:p>
    <w:p w14:paraId="45E1C021">
      <w:pPr>
        <w:jc w:val="center"/>
        <w:rPr>
          <w:rStyle w:val="39"/>
          <w:rFonts w:ascii="宋体" w:hAnsi="宋体"/>
          <w:b/>
          <w:bCs/>
          <w:sz w:val="28"/>
          <w:szCs w:val="28"/>
        </w:rPr>
      </w:pPr>
      <w:r>
        <w:rPr>
          <w:rStyle w:val="39"/>
          <w:rFonts w:hint="eastAsia" w:ascii="宋体" w:hAnsi="宋体"/>
          <w:b/>
          <w:bCs/>
          <w:sz w:val="28"/>
          <w:szCs w:val="28"/>
        </w:rPr>
        <w:t>承诺书</w:t>
      </w:r>
    </w:p>
    <w:p w14:paraId="0E4B1B34">
      <w:pPr>
        <w:spacing w:after="240" w:line="440" w:lineRule="exact"/>
        <w:rPr>
          <w:rStyle w:val="39"/>
          <w:rFonts w:ascii="宋体"/>
        </w:rPr>
      </w:pPr>
      <w:r>
        <w:rPr>
          <w:rStyle w:val="39"/>
          <w:rFonts w:ascii="宋体"/>
          <w:position w:val="-7"/>
        </w:rPr>
        <w:t>————————</w:t>
      </w:r>
      <w:r>
        <w:rPr>
          <w:rStyle w:val="39"/>
          <w:rFonts w:ascii="宋体"/>
        </w:rPr>
        <w:t>（招标人名称）：</w:t>
      </w:r>
    </w:p>
    <w:p w14:paraId="1A82DD51">
      <w:pPr>
        <w:spacing w:line="440" w:lineRule="exact"/>
        <w:ind w:firstLine="200"/>
        <w:rPr>
          <w:rStyle w:val="39"/>
          <w:rFonts w:ascii="宋体"/>
        </w:rPr>
      </w:pPr>
      <w:r>
        <w:rPr>
          <w:rStyle w:val="39"/>
          <w:rFonts w:hint="eastAsia" w:ascii="宋体"/>
        </w:rPr>
        <w:t>针对</w:t>
      </w:r>
      <w:r>
        <w:rPr>
          <w:rStyle w:val="39"/>
          <w:rFonts w:hint="eastAsia" w:ascii="宋体"/>
          <w:u w:val="single"/>
        </w:rPr>
        <w:t xml:space="preserve">           </w:t>
      </w:r>
      <w:r>
        <w:rPr>
          <w:rStyle w:val="39"/>
          <w:rFonts w:hint="eastAsia" w:ascii="宋体"/>
        </w:rPr>
        <w:t>项目，我方承诺：</w:t>
      </w:r>
    </w:p>
    <w:p w14:paraId="25E07376">
      <w:pPr>
        <w:spacing w:line="440" w:lineRule="exact"/>
        <w:ind w:firstLine="200"/>
        <w:rPr>
          <w:rStyle w:val="39"/>
          <w:rFonts w:ascii="宋体"/>
        </w:rPr>
      </w:pPr>
      <w:r>
        <w:rPr>
          <w:rStyle w:val="39"/>
          <w:rFonts w:hint="eastAsia" w:ascii="宋体"/>
        </w:rPr>
        <w:t>一、</w:t>
      </w:r>
      <w:r>
        <w:rPr>
          <w:rStyle w:val="39"/>
          <w:rFonts w:ascii="宋体"/>
        </w:rPr>
        <w:t>我方拟派往（项目名称）（以下简称“本工程”）的项目经理（项目经理姓名）现阶段没有担任任何在施建设工程项目的项目经理。</w:t>
      </w:r>
    </w:p>
    <w:p w14:paraId="2345B46E">
      <w:pPr>
        <w:spacing w:line="440" w:lineRule="exact"/>
        <w:ind w:firstLine="200"/>
        <w:rPr>
          <w:rStyle w:val="39"/>
          <w:rFonts w:ascii="宋体"/>
        </w:rPr>
      </w:pPr>
      <w:r>
        <w:rPr>
          <w:rStyle w:val="39"/>
          <w:rFonts w:hint="eastAsia" w:ascii="宋体"/>
        </w:rPr>
        <w:t>二、中标后现场管理班子均为我单位正式职工，已连续缴纳社保半年以上，确保到岗不少于</w:t>
      </w:r>
    </w:p>
    <w:p w14:paraId="5E8F2E15">
      <w:pPr>
        <w:spacing w:line="440" w:lineRule="exact"/>
        <w:rPr>
          <w:rStyle w:val="39"/>
          <w:rFonts w:ascii="宋体"/>
        </w:rPr>
      </w:pPr>
      <w:r>
        <w:rPr>
          <w:rStyle w:val="39"/>
          <w:rFonts w:hint="eastAsia" w:ascii="宋体"/>
        </w:rPr>
        <w:t xml:space="preserve">   </w:t>
      </w:r>
      <w:r>
        <w:rPr>
          <w:rStyle w:val="39"/>
          <w:rFonts w:hint="eastAsia" w:ascii="宋体"/>
          <w:u w:val="single"/>
        </w:rPr>
        <w:t xml:space="preserve">    </w:t>
      </w:r>
      <w:r>
        <w:rPr>
          <w:rStyle w:val="39"/>
          <w:rFonts w:hint="eastAsia" w:ascii="宋体"/>
        </w:rPr>
        <w:t>人，每少一人承担</w:t>
      </w:r>
      <w:r>
        <w:rPr>
          <w:rStyle w:val="39"/>
          <w:rFonts w:hint="eastAsia" w:ascii="宋体"/>
          <w:u w:val="single"/>
        </w:rPr>
        <w:t xml:space="preserve"> 1 </w:t>
      </w:r>
      <w:r>
        <w:rPr>
          <w:rStyle w:val="39"/>
          <w:rFonts w:hint="eastAsia" w:ascii="宋体"/>
        </w:rPr>
        <w:t>万元的赔偿且在施工期间未经发包人允许绝不擅自更换；</w:t>
      </w:r>
    </w:p>
    <w:p w14:paraId="2779E523">
      <w:pPr>
        <w:numPr>
          <w:ilvl w:val="0"/>
          <w:numId w:val="17"/>
        </w:numPr>
        <w:spacing w:line="440" w:lineRule="exact"/>
        <w:ind w:firstLine="200"/>
        <w:rPr>
          <w:rStyle w:val="39"/>
          <w:rFonts w:ascii="宋体"/>
        </w:rPr>
      </w:pPr>
      <w:r>
        <w:rPr>
          <w:rStyle w:val="39"/>
          <w:rFonts w:hint="eastAsia" w:ascii="宋体"/>
        </w:rPr>
        <w:t>项目经理现场履职每月不少于25天，每少一天自愿接受考核</w:t>
      </w:r>
      <w:r>
        <w:rPr>
          <w:rStyle w:val="39"/>
          <w:rFonts w:hint="eastAsia" w:ascii="宋体"/>
          <w:u w:val="single"/>
        </w:rPr>
        <w:t>1000</w:t>
      </w:r>
      <w:r>
        <w:rPr>
          <w:rStyle w:val="39"/>
          <w:rFonts w:hint="eastAsia" w:ascii="宋体"/>
        </w:rPr>
        <w:t>元/天。</w:t>
      </w:r>
    </w:p>
    <w:p w14:paraId="0F53F1CB">
      <w:pPr>
        <w:spacing w:line="440" w:lineRule="exact"/>
        <w:ind w:firstLine="210" w:firstLineChars="100"/>
        <w:rPr>
          <w:rStyle w:val="39"/>
          <w:rFonts w:ascii="宋体"/>
        </w:rPr>
      </w:pPr>
      <w:r>
        <w:rPr>
          <w:rStyle w:val="39"/>
          <w:rFonts w:hint="eastAsia" w:ascii="宋体"/>
        </w:rPr>
        <w:t>四、若我方违背上述承诺，视为工程转包、挂靠行为，除承担合同约定的违约责任外，</w:t>
      </w:r>
      <w:r>
        <w:rPr>
          <w:rStyle w:val="39"/>
          <w:rFonts w:ascii="宋体"/>
        </w:rPr>
        <w:t>并愿意承担因我方就此弄虚作假所引起的一切法律后果。</w:t>
      </w:r>
    </w:p>
    <w:p w14:paraId="6BC50179">
      <w:pPr>
        <w:spacing w:line="440" w:lineRule="exact"/>
        <w:ind w:firstLine="200"/>
        <w:rPr>
          <w:rStyle w:val="39"/>
          <w:rFonts w:ascii="宋体"/>
        </w:rPr>
      </w:pPr>
    </w:p>
    <w:p w14:paraId="72A02500">
      <w:pPr>
        <w:rPr>
          <w:rStyle w:val="39"/>
          <w:rFonts w:ascii="宋体"/>
        </w:rPr>
      </w:pPr>
    </w:p>
    <w:p w14:paraId="3CD37C49">
      <w:pPr>
        <w:rPr>
          <w:rStyle w:val="39"/>
          <w:rFonts w:ascii="宋体"/>
        </w:rPr>
      </w:pPr>
    </w:p>
    <w:p w14:paraId="2A444D60">
      <w:pPr>
        <w:ind w:firstLine="1800"/>
        <w:rPr>
          <w:rStyle w:val="39"/>
          <w:rFonts w:ascii="宋体"/>
        </w:rPr>
      </w:pPr>
    </w:p>
    <w:p w14:paraId="0DDBC0C1">
      <w:pPr>
        <w:ind w:firstLine="1800"/>
        <w:rPr>
          <w:rStyle w:val="39"/>
          <w:rFonts w:ascii="宋体"/>
        </w:rPr>
      </w:pPr>
    </w:p>
    <w:p w14:paraId="093D1333">
      <w:pPr>
        <w:ind w:firstLine="1800"/>
        <w:rPr>
          <w:rStyle w:val="39"/>
          <w:rFonts w:ascii="宋体"/>
        </w:rPr>
      </w:pPr>
    </w:p>
    <w:p w14:paraId="4EBB5BAC">
      <w:pPr>
        <w:ind w:firstLine="1800"/>
        <w:rPr>
          <w:rStyle w:val="39"/>
          <w:rFonts w:ascii="宋体"/>
        </w:rPr>
      </w:pPr>
    </w:p>
    <w:p w14:paraId="7AF1D6B8">
      <w:pPr>
        <w:ind w:firstLine="1800"/>
        <w:rPr>
          <w:rStyle w:val="39"/>
          <w:rFonts w:ascii="宋体"/>
        </w:rPr>
      </w:pPr>
    </w:p>
    <w:p w14:paraId="539C8457">
      <w:pPr>
        <w:ind w:firstLine="1800"/>
        <w:rPr>
          <w:rStyle w:val="39"/>
          <w:rFonts w:ascii="宋体"/>
        </w:rPr>
      </w:pPr>
    </w:p>
    <w:p w14:paraId="7312AA46">
      <w:pPr>
        <w:ind w:firstLine="1800"/>
        <w:rPr>
          <w:rStyle w:val="39"/>
          <w:rFonts w:ascii="宋体"/>
        </w:rPr>
      </w:pPr>
    </w:p>
    <w:p w14:paraId="2CB1A38A">
      <w:pPr>
        <w:ind w:firstLine="1800"/>
        <w:rPr>
          <w:rStyle w:val="39"/>
          <w:rFonts w:ascii="宋体"/>
        </w:rPr>
      </w:pPr>
    </w:p>
    <w:p w14:paraId="50447333">
      <w:pPr>
        <w:ind w:firstLine="3780" w:firstLineChars="1800"/>
        <w:rPr>
          <w:rStyle w:val="39"/>
          <w:rFonts w:ascii="宋体"/>
        </w:rPr>
      </w:pPr>
      <w:r>
        <w:rPr>
          <w:rStyle w:val="39"/>
          <w:rFonts w:hint="eastAsia" w:ascii="宋体"/>
        </w:rPr>
        <w:t>公司法律人员或法务部门签字盖章</w:t>
      </w:r>
    </w:p>
    <w:p w14:paraId="1082B4A5">
      <w:pPr>
        <w:rPr>
          <w:rStyle w:val="39"/>
          <w:rFonts w:ascii="宋体"/>
        </w:rPr>
      </w:pPr>
    </w:p>
    <w:p w14:paraId="0F762113">
      <w:pPr>
        <w:ind w:firstLine="3780" w:firstLineChars="1800"/>
        <w:rPr>
          <w:rStyle w:val="39"/>
          <w:rFonts w:ascii="宋体"/>
        </w:rPr>
      </w:pPr>
      <w:r>
        <w:rPr>
          <w:rStyle w:val="39"/>
          <w:rFonts w:hint="eastAsia" w:ascii="宋体"/>
        </w:rPr>
        <w:t xml:space="preserve">投标单位：     （公章）             </w:t>
      </w:r>
    </w:p>
    <w:p w14:paraId="3E570751">
      <w:pPr>
        <w:rPr>
          <w:rStyle w:val="39"/>
          <w:rFonts w:ascii="宋体"/>
        </w:rPr>
      </w:pPr>
      <w:r>
        <w:rPr>
          <w:rStyle w:val="39"/>
          <w:rFonts w:hint="eastAsia" w:ascii="宋体"/>
        </w:rPr>
        <w:t xml:space="preserve">                                  </w:t>
      </w:r>
    </w:p>
    <w:p w14:paraId="3B642206">
      <w:pPr>
        <w:ind w:firstLine="3780" w:firstLineChars="1800"/>
        <w:rPr>
          <w:rStyle w:val="39"/>
          <w:rFonts w:ascii="宋体"/>
        </w:rPr>
      </w:pPr>
      <w:r>
        <w:rPr>
          <w:rStyle w:val="39"/>
          <w:rFonts w:hint="eastAsia" w:ascii="宋体"/>
        </w:rPr>
        <w:t>法人签字：</w:t>
      </w:r>
    </w:p>
    <w:p w14:paraId="4EFD7D38">
      <w:pPr>
        <w:pStyle w:val="2"/>
        <w:ind w:left="420" w:firstLine="420"/>
      </w:pPr>
    </w:p>
    <w:p w14:paraId="6AC268C9">
      <w:pPr>
        <w:ind w:firstLine="1680" w:firstLineChars="800"/>
        <w:rPr>
          <w:rStyle w:val="39"/>
          <w:rFonts w:ascii="宋体"/>
        </w:rPr>
      </w:pPr>
      <w:r>
        <w:rPr>
          <w:rStyle w:val="39"/>
          <w:rFonts w:hint="eastAsia" w:ascii="宋体"/>
        </w:rPr>
        <w:t xml:space="preserve">                    日期：</w:t>
      </w:r>
    </w:p>
    <w:p w14:paraId="333462CD">
      <w:pPr>
        <w:pStyle w:val="7"/>
        <w:spacing w:before="0" w:after="0" w:line="480" w:lineRule="auto"/>
        <w:rPr>
          <w:sz w:val="30"/>
          <w:szCs w:val="30"/>
        </w:rPr>
      </w:pPr>
    </w:p>
    <w:p w14:paraId="3A1CB557">
      <w:pPr>
        <w:pStyle w:val="7"/>
        <w:spacing w:before="0" w:after="0" w:line="480" w:lineRule="auto"/>
        <w:rPr>
          <w:sz w:val="30"/>
          <w:szCs w:val="30"/>
        </w:rPr>
      </w:pPr>
    </w:p>
    <w:p w14:paraId="3712B8E8">
      <w:pPr>
        <w:rPr>
          <w:sz w:val="30"/>
          <w:szCs w:val="30"/>
        </w:rPr>
      </w:pPr>
    </w:p>
    <w:p w14:paraId="6618D40F">
      <w:pPr>
        <w:pStyle w:val="13"/>
        <w:jc w:val="center"/>
      </w:pPr>
    </w:p>
    <w:p w14:paraId="1ACC585E">
      <w:pPr>
        <w:pStyle w:val="7"/>
        <w:spacing w:before="0" w:after="0" w:line="480" w:lineRule="auto"/>
        <w:jc w:val="center"/>
        <w:rPr>
          <w:sz w:val="30"/>
          <w:szCs w:val="30"/>
        </w:rPr>
      </w:pPr>
      <w:bookmarkStart w:id="779" w:name="_Toc32391"/>
      <w:r>
        <w:rPr>
          <w:sz w:val="30"/>
          <w:szCs w:val="30"/>
        </w:rPr>
        <w:t>二、法定代表人身份证明</w:t>
      </w:r>
      <w:bookmarkEnd w:id="775"/>
      <w:bookmarkEnd w:id="776"/>
      <w:bookmarkEnd w:id="777"/>
      <w:bookmarkEnd w:id="778"/>
      <w:bookmarkEnd w:id="779"/>
    </w:p>
    <w:p w14:paraId="0FB64934">
      <w:pPr>
        <w:spacing w:line="500" w:lineRule="exact"/>
        <w:ind w:firstLine="735" w:firstLineChars="350"/>
        <w:rPr>
          <w:rStyle w:val="39"/>
          <w:rFonts w:ascii="宋体" w:hAnsi="宋体"/>
          <w:szCs w:val="21"/>
        </w:rPr>
      </w:pPr>
      <w:r>
        <w:rPr>
          <w:rStyle w:val="39"/>
          <w:rFonts w:ascii="宋体" w:hAnsi="宋体"/>
          <w:szCs w:val="21"/>
        </w:rPr>
        <w:t>投 标 人：</w:t>
      </w:r>
    </w:p>
    <w:p w14:paraId="0F7C52BD">
      <w:pPr>
        <w:spacing w:line="500" w:lineRule="exact"/>
        <w:ind w:firstLine="735" w:firstLineChars="350"/>
        <w:rPr>
          <w:rStyle w:val="39"/>
          <w:rFonts w:ascii="宋体" w:hAnsi="宋体"/>
          <w:szCs w:val="21"/>
        </w:rPr>
      </w:pPr>
      <w:r>
        <w:rPr>
          <w:rStyle w:val="39"/>
          <w:rFonts w:ascii="宋体" w:hAnsi="宋体"/>
          <w:szCs w:val="21"/>
        </w:rPr>
        <w:t>单位性质：</w:t>
      </w:r>
    </w:p>
    <w:p w14:paraId="414BB376">
      <w:pPr>
        <w:spacing w:line="500" w:lineRule="exact"/>
        <w:ind w:firstLine="735" w:firstLineChars="350"/>
        <w:rPr>
          <w:rStyle w:val="39"/>
          <w:rFonts w:ascii="宋体" w:hAnsi="宋体"/>
          <w:szCs w:val="21"/>
        </w:rPr>
      </w:pPr>
      <w:r>
        <w:rPr>
          <w:rStyle w:val="39"/>
          <w:rFonts w:ascii="宋体" w:hAnsi="宋体"/>
          <w:szCs w:val="21"/>
        </w:rPr>
        <w:t>地    址：</w:t>
      </w:r>
    </w:p>
    <w:p w14:paraId="0A80EEEB">
      <w:pPr>
        <w:spacing w:line="500" w:lineRule="exact"/>
        <w:ind w:firstLine="735" w:firstLineChars="350"/>
        <w:rPr>
          <w:rStyle w:val="39"/>
          <w:rFonts w:ascii="宋体" w:hAnsi="宋体"/>
          <w:szCs w:val="21"/>
        </w:rPr>
      </w:pPr>
      <w:r>
        <w:rPr>
          <w:rStyle w:val="39"/>
          <w:rFonts w:ascii="宋体" w:hAnsi="宋体"/>
          <w:szCs w:val="21"/>
        </w:rPr>
        <w:t>成立时间：年月日</w:t>
      </w:r>
    </w:p>
    <w:p w14:paraId="139912AE">
      <w:pPr>
        <w:spacing w:line="500" w:lineRule="exact"/>
        <w:ind w:firstLine="735" w:firstLineChars="350"/>
        <w:rPr>
          <w:rStyle w:val="39"/>
          <w:rFonts w:ascii="宋体" w:hAnsi="宋体"/>
          <w:szCs w:val="21"/>
        </w:rPr>
      </w:pPr>
      <w:r>
        <w:rPr>
          <w:rStyle w:val="39"/>
          <w:rFonts w:ascii="宋体" w:hAnsi="宋体"/>
          <w:szCs w:val="21"/>
        </w:rPr>
        <w:t>经营期限：</w:t>
      </w:r>
    </w:p>
    <w:p w14:paraId="54DB06BF">
      <w:pPr>
        <w:spacing w:line="500" w:lineRule="exact"/>
        <w:ind w:firstLine="735" w:firstLineChars="350"/>
        <w:rPr>
          <w:rStyle w:val="39"/>
          <w:rFonts w:ascii="宋体" w:hAnsi="宋体"/>
          <w:szCs w:val="21"/>
        </w:rPr>
      </w:pPr>
      <w:r>
        <w:rPr>
          <w:rStyle w:val="39"/>
          <w:rFonts w:ascii="宋体" w:hAnsi="宋体"/>
          <w:szCs w:val="21"/>
        </w:rPr>
        <w:t>姓    名：性        别：</w:t>
      </w:r>
    </w:p>
    <w:p w14:paraId="0DE1782D">
      <w:pPr>
        <w:spacing w:line="500" w:lineRule="exact"/>
        <w:ind w:firstLine="735" w:firstLineChars="350"/>
        <w:rPr>
          <w:rStyle w:val="39"/>
          <w:rFonts w:ascii="宋体" w:hAnsi="宋体"/>
          <w:szCs w:val="21"/>
          <w:u w:val="single"/>
        </w:rPr>
      </w:pPr>
      <w:r>
        <w:rPr>
          <w:rStyle w:val="39"/>
          <w:rFonts w:ascii="宋体" w:hAnsi="宋体"/>
          <w:szCs w:val="21"/>
        </w:rPr>
        <w:t>年    龄：职        务：</w:t>
      </w:r>
    </w:p>
    <w:p w14:paraId="42EFABA9">
      <w:pPr>
        <w:spacing w:line="500" w:lineRule="exact"/>
        <w:ind w:firstLine="735" w:firstLineChars="350"/>
        <w:rPr>
          <w:rStyle w:val="39"/>
          <w:rFonts w:ascii="宋体" w:hAnsi="宋体"/>
          <w:szCs w:val="21"/>
          <w:u w:val="single"/>
        </w:rPr>
      </w:pPr>
      <w:r>
        <w:rPr>
          <w:rStyle w:val="39"/>
          <w:rFonts w:ascii="宋体" w:hAnsi="宋体"/>
          <w:szCs w:val="21"/>
        </w:rPr>
        <w:t>身份证号:</w:t>
      </w:r>
    </w:p>
    <w:p w14:paraId="0BF52BB4">
      <w:pPr>
        <w:spacing w:line="500" w:lineRule="exact"/>
        <w:ind w:firstLine="735" w:firstLineChars="350"/>
        <w:rPr>
          <w:rStyle w:val="39"/>
          <w:rFonts w:ascii="宋体" w:hAnsi="宋体"/>
          <w:szCs w:val="21"/>
        </w:rPr>
      </w:pPr>
      <w:r>
        <w:rPr>
          <w:rStyle w:val="39"/>
          <w:rFonts w:ascii="宋体" w:hAnsi="宋体"/>
          <w:szCs w:val="21"/>
        </w:rPr>
        <w:t>系</w:t>
      </w:r>
      <w:r>
        <w:rPr>
          <w:rStyle w:val="39"/>
          <w:rFonts w:hint="eastAsia" w:ascii="宋体" w:hAnsi="宋体"/>
          <w:szCs w:val="21"/>
          <w:lang w:val="en-US" w:eastAsia="zh-CN"/>
        </w:rPr>
        <w:t xml:space="preserve">                </w:t>
      </w:r>
      <w:r>
        <w:rPr>
          <w:rStyle w:val="39"/>
          <w:rFonts w:ascii="宋体" w:hAnsi="宋体"/>
          <w:szCs w:val="21"/>
        </w:rPr>
        <w:t>（投标人名称）的法定代表人。</w:t>
      </w:r>
    </w:p>
    <w:p w14:paraId="5F79605D">
      <w:pPr>
        <w:spacing w:line="500" w:lineRule="exact"/>
        <w:ind w:firstLine="735" w:firstLineChars="350"/>
        <w:rPr>
          <w:rStyle w:val="39"/>
          <w:rFonts w:ascii="宋体" w:hAnsi="宋体"/>
          <w:szCs w:val="21"/>
        </w:rPr>
      </w:pPr>
      <w:r>
        <w:rPr>
          <w:rStyle w:val="39"/>
          <w:rFonts w:ascii="宋体" w:hAnsi="宋体"/>
          <w:szCs w:val="21"/>
        </w:rPr>
        <w:t>特此证明。</w:t>
      </w:r>
    </w:p>
    <w:p w14:paraId="3745FE84">
      <w:pPr>
        <w:spacing w:line="500" w:lineRule="exact"/>
        <w:rPr>
          <w:rStyle w:val="39"/>
          <w:rFonts w:ascii="宋体" w:hAnsi="宋体"/>
          <w:szCs w:val="21"/>
        </w:rPr>
      </w:pPr>
    </w:p>
    <w:p w14:paraId="1B431C8A">
      <w:pPr>
        <w:spacing w:line="500" w:lineRule="exact"/>
        <w:rPr>
          <w:rStyle w:val="39"/>
          <w:rFonts w:ascii="宋体" w:hAnsi="宋体"/>
          <w:szCs w:val="21"/>
        </w:rPr>
      </w:pPr>
    </w:p>
    <w:p w14:paraId="21C30D7B">
      <w:pPr>
        <w:spacing w:line="500" w:lineRule="exact"/>
        <w:jc w:val="right"/>
        <w:rPr>
          <w:rStyle w:val="39"/>
          <w:rFonts w:ascii="宋体" w:hAnsi="宋体"/>
          <w:szCs w:val="21"/>
        </w:rPr>
      </w:pPr>
      <w:r>
        <w:rPr>
          <w:rStyle w:val="39"/>
          <w:rFonts w:ascii="宋体" w:hAnsi="宋体"/>
          <w:szCs w:val="21"/>
        </w:rPr>
        <w:t>投标人：（盖单位公章）</w:t>
      </w:r>
    </w:p>
    <w:p w14:paraId="0553987E">
      <w:pPr>
        <w:spacing w:line="500" w:lineRule="exact"/>
        <w:jc w:val="right"/>
        <w:rPr>
          <w:rStyle w:val="39"/>
          <w:rFonts w:ascii="宋体" w:hAnsi="宋体"/>
          <w:szCs w:val="21"/>
        </w:rPr>
      </w:pPr>
      <w:r>
        <w:rPr>
          <w:rStyle w:val="39"/>
          <w:rFonts w:ascii="宋体" w:hAnsi="宋体"/>
          <w:szCs w:val="21"/>
        </w:rPr>
        <w:t>年月日</w:t>
      </w:r>
    </w:p>
    <w:p w14:paraId="72D0EC6C">
      <w:pPr>
        <w:spacing w:line="500" w:lineRule="exact"/>
        <w:jc w:val="right"/>
        <w:rPr>
          <w:rStyle w:val="39"/>
          <w:rFonts w:ascii="宋体" w:hAnsi="宋体"/>
          <w:szCs w:val="21"/>
        </w:rPr>
      </w:pPr>
    </w:p>
    <w:p w14:paraId="133B2A55">
      <w:pPr>
        <w:spacing w:line="500" w:lineRule="exact"/>
        <w:jc w:val="right"/>
        <w:rPr>
          <w:rStyle w:val="39"/>
          <w:rFonts w:ascii="宋体" w:hAnsi="宋体"/>
          <w:szCs w:val="21"/>
        </w:rPr>
      </w:pPr>
    </w:p>
    <w:p w14:paraId="719A9B5D">
      <w:pPr>
        <w:spacing w:line="500" w:lineRule="exact"/>
        <w:jc w:val="right"/>
        <w:rPr>
          <w:rStyle w:val="39"/>
          <w:rFonts w:ascii="宋体" w:hAnsi="宋体"/>
          <w:szCs w:val="21"/>
        </w:rPr>
      </w:pPr>
    </w:p>
    <w:p w14:paraId="17306550">
      <w:pPr>
        <w:spacing w:line="500" w:lineRule="exact"/>
        <w:jc w:val="right"/>
        <w:rPr>
          <w:rStyle w:val="39"/>
          <w:rFonts w:ascii="宋体" w:hAnsi="宋体"/>
          <w:szCs w:val="21"/>
        </w:rPr>
      </w:pPr>
    </w:p>
    <w:p w14:paraId="320FB185">
      <w:pPr>
        <w:spacing w:line="500" w:lineRule="exact"/>
        <w:jc w:val="right"/>
        <w:rPr>
          <w:rStyle w:val="39"/>
          <w:rFonts w:ascii="宋体" w:hAnsi="宋体"/>
          <w:szCs w:val="21"/>
        </w:rPr>
      </w:pPr>
    </w:p>
    <w:p w14:paraId="66D9C3A8">
      <w:pPr>
        <w:spacing w:line="500" w:lineRule="exact"/>
        <w:jc w:val="right"/>
        <w:rPr>
          <w:rStyle w:val="39"/>
          <w:rFonts w:ascii="宋体" w:hAnsi="宋体"/>
          <w:szCs w:val="21"/>
        </w:rPr>
      </w:pPr>
    </w:p>
    <w:p w14:paraId="16A0CC2A">
      <w:pPr>
        <w:spacing w:line="500" w:lineRule="exact"/>
        <w:jc w:val="right"/>
        <w:rPr>
          <w:rStyle w:val="39"/>
          <w:rFonts w:ascii="宋体" w:hAnsi="宋体"/>
          <w:szCs w:val="21"/>
        </w:rPr>
      </w:pPr>
    </w:p>
    <w:p w14:paraId="4DD9EF98">
      <w:pPr>
        <w:spacing w:line="500" w:lineRule="exact"/>
        <w:jc w:val="right"/>
        <w:rPr>
          <w:rStyle w:val="39"/>
          <w:rFonts w:ascii="宋体" w:hAnsi="宋体"/>
          <w:szCs w:val="21"/>
        </w:rPr>
      </w:pPr>
    </w:p>
    <w:p w14:paraId="19FF971F">
      <w:pPr>
        <w:spacing w:line="500" w:lineRule="exact"/>
        <w:jc w:val="right"/>
        <w:rPr>
          <w:rStyle w:val="39"/>
          <w:rFonts w:ascii="宋体" w:hAnsi="宋体"/>
          <w:szCs w:val="21"/>
        </w:rPr>
      </w:pPr>
    </w:p>
    <w:p w14:paraId="30E85209">
      <w:pPr>
        <w:spacing w:line="500" w:lineRule="exact"/>
        <w:jc w:val="right"/>
        <w:rPr>
          <w:rStyle w:val="39"/>
          <w:rFonts w:ascii="宋体" w:hAnsi="宋体"/>
          <w:szCs w:val="21"/>
        </w:rPr>
      </w:pPr>
    </w:p>
    <w:p w14:paraId="7C80C9CA">
      <w:pPr>
        <w:spacing w:line="500" w:lineRule="exact"/>
        <w:jc w:val="right"/>
        <w:rPr>
          <w:rStyle w:val="39"/>
          <w:rFonts w:ascii="宋体" w:hAnsi="宋体"/>
          <w:szCs w:val="21"/>
        </w:rPr>
      </w:pPr>
    </w:p>
    <w:p w14:paraId="07162436">
      <w:pPr>
        <w:spacing w:line="500" w:lineRule="exact"/>
        <w:ind w:right="105"/>
        <w:jc w:val="right"/>
        <w:rPr>
          <w:rStyle w:val="39"/>
          <w:rFonts w:ascii="宋体" w:hAnsi="宋体"/>
          <w:szCs w:val="21"/>
        </w:rPr>
      </w:pPr>
    </w:p>
    <w:p w14:paraId="40307016">
      <w:pPr>
        <w:pStyle w:val="7"/>
        <w:spacing w:before="0" w:after="0" w:line="480" w:lineRule="auto"/>
        <w:jc w:val="center"/>
        <w:rPr>
          <w:sz w:val="30"/>
          <w:szCs w:val="30"/>
        </w:rPr>
      </w:pPr>
      <w:bookmarkStart w:id="780" w:name="_Toc8651"/>
      <w:bookmarkStart w:id="781" w:name="_Toc23544"/>
      <w:bookmarkStart w:id="782" w:name="_Toc17817350"/>
      <w:bookmarkStart w:id="783" w:name="_Toc29134"/>
      <w:bookmarkStart w:id="784" w:name="_Toc16064000"/>
      <w:r>
        <w:rPr>
          <w:sz w:val="30"/>
          <w:szCs w:val="30"/>
        </w:rPr>
        <w:t>三、授权委托书</w:t>
      </w:r>
      <w:bookmarkEnd w:id="780"/>
      <w:bookmarkEnd w:id="781"/>
      <w:bookmarkEnd w:id="782"/>
      <w:bookmarkEnd w:id="783"/>
      <w:bookmarkEnd w:id="784"/>
    </w:p>
    <w:p w14:paraId="3FEA18F5">
      <w:pPr>
        <w:snapToGrid w:val="0"/>
        <w:spacing w:line="360" w:lineRule="auto"/>
        <w:ind w:firstLine="480" w:firstLineChars="200"/>
        <w:rPr>
          <w:b w:val="0"/>
          <w:bCs w:val="0"/>
          <w:sz w:val="24"/>
        </w:rPr>
      </w:pPr>
      <w:bookmarkStart w:id="785" w:name="_Hlk161835218"/>
      <w:r>
        <w:rPr>
          <w:sz w:val="24"/>
        </w:rPr>
        <w:t>本人</w:t>
      </w:r>
      <w:r>
        <w:rPr>
          <w:sz w:val="24"/>
          <w:u w:val="single"/>
        </w:rPr>
        <w:t xml:space="preserve">    </w:t>
      </w:r>
      <w:r>
        <w:rPr>
          <w:b w:val="0"/>
          <w:bCs w:val="0"/>
          <w:sz w:val="24"/>
          <w:u w:val="single"/>
        </w:rPr>
        <w:t xml:space="preserve">        </w:t>
      </w:r>
      <w:r>
        <w:rPr>
          <w:b w:val="0"/>
          <w:bCs w:val="0"/>
          <w:sz w:val="24"/>
        </w:rPr>
        <w:t>（姓名）系</w:t>
      </w:r>
      <w:r>
        <w:rPr>
          <w:b w:val="0"/>
          <w:bCs w:val="0"/>
          <w:sz w:val="24"/>
          <w:u w:val="single"/>
        </w:rPr>
        <w:t xml:space="preserve">            </w:t>
      </w:r>
      <w:r>
        <w:rPr>
          <w:b w:val="0"/>
          <w:bCs w:val="0"/>
          <w:sz w:val="24"/>
        </w:rPr>
        <w:t>（投标人名称）的法定代表人，现委托</w:t>
      </w:r>
      <w:r>
        <w:rPr>
          <w:b w:val="0"/>
          <w:bCs w:val="0"/>
          <w:sz w:val="24"/>
          <w:u w:val="single"/>
        </w:rPr>
        <w:t xml:space="preserve">      </w:t>
      </w:r>
      <w:r>
        <w:rPr>
          <w:b w:val="0"/>
          <w:bCs w:val="0"/>
          <w:sz w:val="24"/>
        </w:rPr>
        <w:t>（姓名）为我方代理人。代理人根据授权，以我方名义签署、澄清、说明、补正、递交、撤回、修改</w:t>
      </w:r>
      <w:r>
        <w:rPr>
          <w:b w:val="0"/>
          <w:bCs w:val="0"/>
          <w:sz w:val="24"/>
          <w:u w:val="single"/>
        </w:rPr>
        <w:t xml:space="preserve">                   </w:t>
      </w:r>
      <w:r>
        <w:rPr>
          <w:b w:val="0"/>
          <w:bCs w:val="0"/>
          <w:sz w:val="24"/>
        </w:rPr>
        <w:t>（项目名称）投标文件、签订合同和处理有关事宜，其法律后果由我方承担。</w:t>
      </w:r>
    </w:p>
    <w:p w14:paraId="12CC35C7">
      <w:pPr>
        <w:snapToGrid w:val="0"/>
        <w:spacing w:line="360" w:lineRule="auto"/>
        <w:ind w:firstLine="480"/>
        <w:rPr>
          <w:b w:val="0"/>
          <w:bCs w:val="0"/>
          <w:sz w:val="24"/>
          <w:u w:val="single"/>
        </w:rPr>
      </w:pPr>
      <w:r>
        <w:rPr>
          <w:b w:val="0"/>
          <w:bCs w:val="0"/>
          <w:sz w:val="24"/>
        </w:rPr>
        <w:t>委托期限：</w:t>
      </w:r>
      <w:r>
        <w:rPr>
          <w:b w:val="0"/>
          <w:bCs w:val="0"/>
          <w:sz w:val="24"/>
          <w:u w:val="single"/>
        </w:rPr>
        <w:t xml:space="preserve">           </w:t>
      </w:r>
    </w:p>
    <w:p w14:paraId="3F37C918">
      <w:pPr>
        <w:snapToGrid w:val="0"/>
        <w:spacing w:line="360" w:lineRule="auto"/>
        <w:ind w:firstLine="480"/>
        <w:rPr>
          <w:b w:val="0"/>
          <w:bCs w:val="0"/>
          <w:sz w:val="24"/>
        </w:rPr>
      </w:pPr>
      <w:r>
        <w:rPr>
          <w:b w:val="0"/>
          <w:bCs w:val="0"/>
          <w:sz w:val="24"/>
        </w:rPr>
        <w:t xml:space="preserve">代理人无权转委托权。  </w:t>
      </w:r>
    </w:p>
    <w:p w14:paraId="5CAE530C">
      <w:pPr>
        <w:snapToGrid w:val="0"/>
        <w:spacing w:line="360" w:lineRule="auto"/>
        <w:ind w:firstLine="480"/>
        <w:rPr>
          <w:b w:val="0"/>
          <w:bCs w:val="0"/>
          <w:sz w:val="24"/>
        </w:rPr>
      </w:pPr>
      <w:r>
        <w:rPr>
          <w:b w:val="0"/>
          <w:bCs w:val="0"/>
          <w:sz w:val="24"/>
        </w:rPr>
        <w:t>附：法定代表人身份证明</w:t>
      </w:r>
    </w:p>
    <w:tbl>
      <w:tblPr>
        <w:tblStyle w:val="25"/>
        <w:tblW w:w="5000" w:type="pct"/>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8720"/>
      </w:tblGrid>
      <w:tr w14:paraId="51A1C645">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4563" w:hRule="atLeast"/>
        </w:trPr>
        <w:tc>
          <w:tcPr>
            <w:tcW w:w="5000" w:type="pct"/>
          </w:tcPr>
          <w:p w14:paraId="5A2A613A">
            <w:pPr>
              <w:snapToGrid w:val="0"/>
              <w:spacing w:line="360" w:lineRule="auto"/>
              <w:ind w:firstLine="480" w:firstLineChars="200"/>
              <w:jc w:val="left"/>
              <w:rPr>
                <w:b w:val="0"/>
                <w:bCs w:val="0"/>
                <w:sz w:val="24"/>
              </w:rPr>
            </w:pPr>
            <w:r>
              <w:rPr>
                <w:b w:val="0"/>
                <w:bCs w:val="0"/>
                <w:sz w:val="24"/>
              </w:rPr>
              <w:t>（法定代表人及授权代理人身份证正、反面复印件）</w:t>
            </w:r>
          </w:p>
          <w:p w14:paraId="26E0E129">
            <w:pPr>
              <w:snapToGrid w:val="0"/>
              <w:spacing w:line="360" w:lineRule="auto"/>
              <w:ind w:firstLine="480"/>
              <w:rPr>
                <w:b w:val="0"/>
                <w:bCs w:val="0"/>
                <w:sz w:val="24"/>
              </w:rPr>
            </w:pPr>
          </w:p>
          <w:p w14:paraId="1C2ABBBC">
            <w:pPr>
              <w:pStyle w:val="11"/>
              <w:rPr>
                <w:rFonts w:ascii="Times New Roman"/>
                <w:b w:val="0"/>
                <w:bCs w:val="0"/>
              </w:rPr>
            </w:pPr>
          </w:p>
          <w:p w14:paraId="2E70ECF8">
            <w:pPr>
              <w:rPr>
                <w:b w:val="0"/>
                <w:bCs w:val="0"/>
              </w:rPr>
            </w:pPr>
          </w:p>
          <w:p w14:paraId="3D3FBF7C">
            <w:pPr>
              <w:pStyle w:val="11"/>
              <w:rPr>
                <w:rFonts w:ascii="Times New Roman"/>
                <w:b w:val="0"/>
                <w:bCs w:val="0"/>
              </w:rPr>
            </w:pPr>
          </w:p>
        </w:tc>
      </w:tr>
    </w:tbl>
    <w:p w14:paraId="7D341D9A">
      <w:pPr>
        <w:spacing w:line="400" w:lineRule="exact"/>
        <w:ind w:firstLine="420" w:firstLineChars="200"/>
        <w:rPr>
          <w:rStyle w:val="67"/>
          <w:b w:val="0"/>
          <w:bCs w:val="0"/>
          <w:szCs w:val="21"/>
        </w:rPr>
      </w:pPr>
      <w:r>
        <w:rPr>
          <w:rStyle w:val="67"/>
          <w:b w:val="0"/>
          <w:bCs w:val="0"/>
          <w:szCs w:val="21"/>
        </w:rPr>
        <w:t>投  标  人：</w:t>
      </w:r>
      <w:r>
        <w:rPr>
          <w:rStyle w:val="67"/>
          <w:b w:val="0"/>
          <w:bCs w:val="0"/>
          <w:szCs w:val="21"/>
          <w:u w:val="single"/>
        </w:rPr>
        <w:t xml:space="preserve">                    </w:t>
      </w:r>
      <w:r>
        <w:rPr>
          <w:rStyle w:val="67"/>
          <w:b w:val="0"/>
          <w:bCs w:val="0"/>
          <w:szCs w:val="21"/>
        </w:rPr>
        <w:t>（盖章）</w:t>
      </w:r>
    </w:p>
    <w:p w14:paraId="536097D4">
      <w:pPr>
        <w:spacing w:line="400" w:lineRule="exact"/>
        <w:ind w:firstLine="420" w:firstLineChars="200"/>
        <w:rPr>
          <w:rStyle w:val="67"/>
          <w:b w:val="0"/>
          <w:bCs w:val="0"/>
          <w:szCs w:val="21"/>
        </w:rPr>
      </w:pPr>
      <w:r>
        <w:rPr>
          <w:rStyle w:val="67"/>
          <w:b w:val="0"/>
          <w:bCs w:val="0"/>
          <w:szCs w:val="21"/>
        </w:rPr>
        <w:t>法定代表人：</w:t>
      </w:r>
      <w:r>
        <w:rPr>
          <w:rStyle w:val="67"/>
          <w:b w:val="0"/>
          <w:bCs w:val="0"/>
          <w:szCs w:val="21"/>
          <w:u w:val="single"/>
        </w:rPr>
        <w:t xml:space="preserve">                    </w:t>
      </w:r>
      <w:r>
        <w:rPr>
          <w:rStyle w:val="67"/>
          <w:b w:val="0"/>
          <w:bCs w:val="0"/>
          <w:szCs w:val="21"/>
        </w:rPr>
        <w:t>（签字或盖章）</w:t>
      </w:r>
    </w:p>
    <w:p w14:paraId="3BAD75A9">
      <w:pPr>
        <w:spacing w:line="400" w:lineRule="exact"/>
        <w:ind w:firstLine="420" w:firstLineChars="200"/>
        <w:rPr>
          <w:rStyle w:val="67"/>
          <w:b w:val="0"/>
          <w:bCs w:val="0"/>
          <w:szCs w:val="21"/>
          <w:u w:val="single"/>
        </w:rPr>
      </w:pPr>
      <w:r>
        <w:rPr>
          <w:rStyle w:val="67"/>
          <w:b w:val="0"/>
          <w:bCs w:val="0"/>
          <w:szCs w:val="21"/>
        </w:rPr>
        <w:t>身份证号码：</w:t>
      </w:r>
      <w:r>
        <w:rPr>
          <w:rStyle w:val="67"/>
          <w:b w:val="0"/>
          <w:bCs w:val="0"/>
          <w:szCs w:val="21"/>
          <w:u w:val="single"/>
        </w:rPr>
        <w:t xml:space="preserve">                    </w:t>
      </w:r>
    </w:p>
    <w:p w14:paraId="08879F7A">
      <w:pPr>
        <w:spacing w:line="400" w:lineRule="exact"/>
        <w:ind w:firstLine="420" w:firstLineChars="200"/>
        <w:rPr>
          <w:rStyle w:val="67"/>
          <w:b w:val="0"/>
          <w:bCs w:val="0"/>
          <w:szCs w:val="21"/>
        </w:rPr>
      </w:pPr>
      <w:r>
        <w:rPr>
          <w:rStyle w:val="67"/>
          <w:b w:val="0"/>
          <w:bCs w:val="0"/>
          <w:szCs w:val="21"/>
        </w:rPr>
        <w:t>委托代理人：</w:t>
      </w:r>
      <w:r>
        <w:rPr>
          <w:rStyle w:val="67"/>
          <w:b w:val="0"/>
          <w:bCs w:val="0"/>
          <w:szCs w:val="21"/>
          <w:u w:val="single"/>
        </w:rPr>
        <w:t xml:space="preserve">                    </w:t>
      </w:r>
      <w:r>
        <w:rPr>
          <w:rStyle w:val="67"/>
          <w:b w:val="0"/>
          <w:bCs w:val="0"/>
          <w:szCs w:val="21"/>
        </w:rPr>
        <w:t>（签字或盖章）</w:t>
      </w:r>
    </w:p>
    <w:p w14:paraId="55FDBEF2">
      <w:pPr>
        <w:spacing w:line="400" w:lineRule="exact"/>
        <w:ind w:firstLine="420" w:firstLineChars="200"/>
        <w:rPr>
          <w:rStyle w:val="67"/>
          <w:b w:val="0"/>
          <w:bCs w:val="0"/>
          <w:szCs w:val="21"/>
          <w:u w:val="single"/>
        </w:rPr>
      </w:pPr>
      <w:r>
        <w:rPr>
          <w:rStyle w:val="67"/>
          <w:b w:val="0"/>
          <w:bCs w:val="0"/>
          <w:szCs w:val="21"/>
        </w:rPr>
        <w:t>身份证号码：</w:t>
      </w:r>
      <w:r>
        <w:rPr>
          <w:rStyle w:val="67"/>
          <w:b w:val="0"/>
          <w:bCs w:val="0"/>
          <w:szCs w:val="21"/>
          <w:u w:val="single"/>
        </w:rPr>
        <w:t xml:space="preserve">                    </w:t>
      </w:r>
    </w:p>
    <w:p w14:paraId="02932987">
      <w:pPr>
        <w:spacing w:line="400" w:lineRule="exact"/>
        <w:ind w:firstLine="420" w:firstLineChars="200"/>
        <w:rPr>
          <w:rStyle w:val="67"/>
          <w:b w:val="0"/>
          <w:bCs w:val="0"/>
          <w:szCs w:val="21"/>
        </w:rPr>
      </w:pPr>
      <w:r>
        <w:rPr>
          <w:rStyle w:val="67"/>
          <w:b w:val="0"/>
          <w:bCs w:val="0"/>
          <w:szCs w:val="21"/>
        </w:rPr>
        <w:t>日      期：</w:t>
      </w:r>
      <w:r>
        <w:rPr>
          <w:rStyle w:val="67"/>
          <w:b w:val="0"/>
          <w:bCs w:val="0"/>
          <w:szCs w:val="21"/>
          <w:u w:val="single"/>
        </w:rPr>
        <w:t xml:space="preserve">    </w:t>
      </w:r>
      <w:r>
        <w:rPr>
          <w:rStyle w:val="67"/>
          <w:b w:val="0"/>
          <w:bCs w:val="0"/>
          <w:szCs w:val="21"/>
        </w:rPr>
        <w:t>年</w:t>
      </w:r>
      <w:r>
        <w:rPr>
          <w:rStyle w:val="67"/>
          <w:b w:val="0"/>
          <w:bCs w:val="0"/>
          <w:szCs w:val="21"/>
          <w:u w:val="single"/>
        </w:rPr>
        <w:t xml:space="preserve">    </w:t>
      </w:r>
      <w:r>
        <w:rPr>
          <w:rStyle w:val="67"/>
          <w:b w:val="0"/>
          <w:bCs w:val="0"/>
          <w:szCs w:val="21"/>
        </w:rPr>
        <w:t>月</w:t>
      </w:r>
      <w:r>
        <w:rPr>
          <w:rStyle w:val="67"/>
          <w:b w:val="0"/>
          <w:bCs w:val="0"/>
          <w:szCs w:val="21"/>
          <w:u w:val="single"/>
        </w:rPr>
        <w:t xml:space="preserve">    </w:t>
      </w:r>
      <w:r>
        <w:rPr>
          <w:rStyle w:val="67"/>
          <w:b w:val="0"/>
          <w:bCs w:val="0"/>
          <w:szCs w:val="21"/>
        </w:rPr>
        <w:t>日</w:t>
      </w:r>
    </w:p>
    <w:p w14:paraId="1E6FF6D2">
      <w:pPr>
        <w:pStyle w:val="2"/>
        <w:ind w:left="420" w:firstLine="420"/>
        <w:rPr>
          <w:b w:val="0"/>
          <w:bCs w:val="0"/>
        </w:rPr>
      </w:pPr>
    </w:p>
    <w:p w14:paraId="38207AA9">
      <w:pPr>
        <w:pStyle w:val="4"/>
        <w:ind w:left="420"/>
        <w:rPr>
          <w:b w:val="0"/>
          <w:bCs w:val="0"/>
        </w:rPr>
      </w:pPr>
      <w:r>
        <w:rPr>
          <w:b w:val="0"/>
          <w:bCs w:val="0"/>
        </w:rPr>
        <w:t>备注：开标现场若提供纸质授权委托书，须加盖单位公章、法人签字（或法人章）及委托代理人签字。</w:t>
      </w:r>
    </w:p>
    <w:bookmarkEnd w:id="785"/>
    <w:p w14:paraId="64ABDED1">
      <w:pPr>
        <w:pStyle w:val="47"/>
        <w:spacing w:before="0" w:after="0"/>
        <w:jc w:val="center"/>
        <w:rPr>
          <w:rStyle w:val="39"/>
          <w:rFonts w:ascii="宋体" w:hAnsi="宋体"/>
          <w:sz w:val="28"/>
          <w:szCs w:val="28"/>
        </w:rPr>
      </w:pPr>
    </w:p>
    <w:p w14:paraId="1F31A9AB">
      <w:pPr>
        <w:rPr>
          <w:sz w:val="30"/>
          <w:szCs w:val="30"/>
        </w:rPr>
      </w:pPr>
      <w:bookmarkStart w:id="786" w:name="_Toc16064001"/>
      <w:bookmarkStart w:id="787" w:name="_Toc17817351"/>
      <w:bookmarkStart w:id="788" w:name="_Toc20930"/>
      <w:bookmarkStart w:id="789" w:name="_Toc6247"/>
      <w:r>
        <w:rPr>
          <w:sz w:val="30"/>
          <w:szCs w:val="30"/>
        </w:rPr>
        <w:br w:type="page"/>
      </w:r>
    </w:p>
    <w:p w14:paraId="4065B381">
      <w:pPr>
        <w:pStyle w:val="7"/>
        <w:spacing w:before="0" w:after="0" w:line="480" w:lineRule="auto"/>
        <w:jc w:val="center"/>
        <w:rPr>
          <w:sz w:val="30"/>
          <w:szCs w:val="30"/>
        </w:rPr>
      </w:pPr>
      <w:bookmarkStart w:id="790" w:name="_Toc29544"/>
      <w:r>
        <w:rPr>
          <w:sz w:val="30"/>
          <w:szCs w:val="30"/>
        </w:rPr>
        <w:t>四、投标保证金</w:t>
      </w:r>
      <w:bookmarkEnd w:id="786"/>
      <w:bookmarkEnd w:id="787"/>
      <w:bookmarkEnd w:id="788"/>
      <w:bookmarkEnd w:id="789"/>
      <w:bookmarkEnd w:id="790"/>
    </w:p>
    <w:p w14:paraId="25F2C0DE">
      <w:pPr>
        <w:widowControl/>
        <w:jc w:val="left"/>
        <w:rPr>
          <w:rStyle w:val="67"/>
          <w:b w:val="0"/>
          <w:bCs w:val="0"/>
          <w:sz w:val="24"/>
          <w:szCs w:val="20"/>
        </w:rPr>
      </w:pPr>
      <w:r>
        <w:rPr>
          <w:rFonts w:ascii="Times New Roman" w:hAnsi="Times New Roman" w:eastAsia="宋体" w:cs="Times New Roman"/>
          <w:color w:val="000000"/>
          <w:kern w:val="0"/>
          <w:sz w:val="24"/>
          <w:lang w:bidi="ar"/>
        </w:rPr>
        <w:t>附：1</w:t>
      </w:r>
      <w:r>
        <w:rPr>
          <w:color w:val="000000"/>
          <w:kern w:val="0"/>
          <w:sz w:val="24"/>
          <w:lang w:bidi="ar"/>
        </w:rPr>
        <w:t>、采用现金转账、银行保函、投标保证金保险、担保保函等方式缴纳的凭证</w:t>
      </w:r>
      <w:r>
        <w:rPr>
          <w:rStyle w:val="67"/>
          <w:b w:val="0"/>
          <w:bCs w:val="0"/>
          <w:sz w:val="24"/>
          <w:szCs w:val="20"/>
        </w:rPr>
        <w:t>（加盖单位公章）</w:t>
      </w:r>
      <w:r>
        <w:rPr>
          <w:color w:val="000000"/>
          <w:kern w:val="0"/>
          <w:sz w:val="24"/>
          <w:lang w:bidi="ar"/>
        </w:rPr>
        <w:t>。</w:t>
      </w:r>
    </w:p>
    <w:p w14:paraId="604A65F9">
      <w:pPr>
        <w:rPr>
          <w:rStyle w:val="67"/>
          <w:b w:val="0"/>
          <w:bCs w:val="0"/>
          <w:sz w:val="20"/>
          <w:szCs w:val="22"/>
        </w:rPr>
      </w:pPr>
      <w:r>
        <w:rPr>
          <w:rStyle w:val="67"/>
          <w:b w:val="0"/>
          <w:bCs w:val="0"/>
          <w:sz w:val="24"/>
          <w:szCs w:val="20"/>
        </w:rPr>
        <w:t>2、投标保证金退还信息，格式如下（限现金转账的形式）；</w:t>
      </w:r>
    </w:p>
    <w:p w14:paraId="55CE6A65">
      <w:pPr>
        <w:rPr>
          <w:rStyle w:val="39"/>
          <w:rFonts w:ascii="宋体" w:hAnsi="宋体"/>
          <w:b/>
        </w:rPr>
      </w:pPr>
    </w:p>
    <w:p w14:paraId="615188DF">
      <w:pPr>
        <w:spacing w:line="460" w:lineRule="exact"/>
        <w:rPr>
          <w:rStyle w:val="39"/>
          <w:rFonts w:ascii="宋体" w:hAnsi="宋体"/>
          <w:sz w:val="28"/>
          <w:szCs w:val="21"/>
        </w:rPr>
      </w:pPr>
    </w:p>
    <w:p w14:paraId="143CD59E">
      <w:pPr>
        <w:jc w:val="center"/>
        <w:rPr>
          <w:rStyle w:val="39"/>
          <w:rFonts w:ascii="宋体" w:hAnsi="宋体"/>
          <w:b/>
        </w:rPr>
      </w:pPr>
    </w:p>
    <w:p w14:paraId="054C6425">
      <w:pPr>
        <w:jc w:val="center"/>
        <w:rPr>
          <w:rStyle w:val="39"/>
          <w:rFonts w:ascii="宋体" w:hAnsi="宋体"/>
          <w:b/>
        </w:rPr>
      </w:pPr>
      <w:r>
        <w:rPr>
          <w:rStyle w:val="39"/>
          <w:rFonts w:ascii="宋体" w:hAnsi="宋体"/>
          <w:b/>
        </w:rPr>
        <w:t>投标保证金退还信息</w:t>
      </w:r>
    </w:p>
    <w:p w14:paraId="475080BE">
      <w:pPr>
        <w:spacing w:line="600" w:lineRule="exact"/>
        <w:rPr>
          <w:rStyle w:val="39"/>
          <w:rFonts w:ascii="宋体" w:hAnsi="宋体"/>
          <w:sz w:val="22"/>
        </w:rPr>
      </w:pPr>
      <w:r>
        <w:rPr>
          <w:rStyle w:val="39"/>
          <w:rFonts w:hint="eastAsia" w:ascii="宋体" w:hAnsi="宋体"/>
          <w:sz w:val="22"/>
          <w:u w:val="single"/>
        </w:rPr>
        <w:t xml:space="preserve">                    </w:t>
      </w:r>
      <w:r>
        <w:rPr>
          <w:rStyle w:val="39"/>
          <w:rFonts w:ascii="宋体" w:hAnsi="宋体"/>
          <w:sz w:val="22"/>
        </w:rPr>
        <w:t>：</w:t>
      </w:r>
    </w:p>
    <w:p w14:paraId="2284374E">
      <w:pPr>
        <w:spacing w:line="600" w:lineRule="exact"/>
        <w:rPr>
          <w:rStyle w:val="39"/>
          <w:rFonts w:ascii="宋体" w:hAnsi="宋体"/>
          <w:sz w:val="22"/>
        </w:rPr>
      </w:pPr>
      <w:r>
        <w:rPr>
          <w:rStyle w:val="39"/>
          <w:rFonts w:ascii="宋体" w:hAnsi="宋体"/>
          <w:sz w:val="22"/>
        </w:rPr>
        <w:t xml:space="preserve">   请贵公司将</w:t>
      </w:r>
      <w:r>
        <w:rPr>
          <w:rStyle w:val="39"/>
          <w:rFonts w:ascii="宋体" w:hAnsi="宋体"/>
          <w:sz w:val="22"/>
          <w:u w:val="single"/>
        </w:rPr>
        <w:t xml:space="preserve">                  （</w:t>
      </w:r>
      <w:r>
        <w:rPr>
          <w:rStyle w:val="39"/>
          <w:rFonts w:ascii="宋体" w:hAnsi="宋体"/>
          <w:sz w:val="22"/>
        </w:rPr>
        <w:t>项目名称）的投标保证金，退还至我公司以下账户：</w:t>
      </w:r>
    </w:p>
    <w:p w14:paraId="2C54B84D">
      <w:pPr>
        <w:spacing w:line="600" w:lineRule="exact"/>
        <w:rPr>
          <w:rStyle w:val="39"/>
          <w:rFonts w:ascii="宋体" w:hAnsi="宋体"/>
          <w:sz w:val="22"/>
          <w:u w:val="single"/>
        </w:rPr>
      </w:pPr>
      <w:r>
        <w:rPr>
          <w:rStyle w:val="39"/>
          <w:rFonts w:ascii="宋体" w:hAnsi="宋体"/>
          <w:sz w:val="22"/>
        </w:rPr>
        <w:t xml:space="preserve">   开户名称： </w:t>
      </w:r>
    </w:p>
    <w:p w14:paraId="4623D0A8">
      <w:pPr>
        <w:tabs>
          <w:tab w:val="decimal" w:pos="0"/>
          <w:tab w:val="decimal" w:pos="840"/>
          <w:tab w:val="decimal" w:pos="955"/>
        </w:tabs>
        <w:snapToGrid w:val="0"/>
        <w:spacing w:before="72" w:line="600" w:lineRule="exact"/>
        <w:ind w:firstLine="330" w:firstLineChars="150"/>
        <w:rPr>
          <w:rStyle w:val="39"/>
          <w:rFonts w:ascii="宋体" w:hAnsi="宋体"/>
          <w:sz w:val="22"/>
        </w:rPr>
      </w:pPr>
      <w:r>
        <w:rPr>
          <w:rStyle w:val="39"/>
          <w:rFonts w:ascii="宋体" w:hAnsi="宋体"/>
          <w:sz w:val="22"/>
        </w:rPr>
        <w:t xml:space="preserve">开户银行： </w:t>
      </w:r>
    </w:p>
    <w:p w14:paraId="3ACD29B7">
      <w:pPr>
        <w:tabs>
          <w:tab w:val="decimal" w:pos="0"/>
          <w:tab w:val="decimal" w:pos="840"/>
          <w:tab w:val="decimal" w:pos="955"/>
        </w:tabs>
        <w:snapToGrid w:val="0"/>
        <w:spacing w:before="72" w:line="600" w:lineRule="exact"/>
        <w:ind w:firstLine="330" w:firstLineChars="150"/>
        <w:rPr>
          <w:rStyle w:val="39"/>
          <w:rFonts w:ascii="宋体" w:hAnsi="宋体"/>
          <w:sz w:val="22"/>
        </w:rPr>
      </w:pPr>
      <w:r>
        <w:rPr>
          <w:rStyle w:val="39"/>
          <w:rFonts w:ascii="宋体" w:hAnsi="宋体"/>
          <w:sz w:val="22"/>
        </w:rPr>
        <w:t>帐    号：</w:t>
      </w:r>
    </w:p>
    <w:p w14:paraId="522B58C7">
      <w:pPr>
        <w:tabs>
          <w:tab w:val="decimal" w:pos="0"/>
          <w:tab w:val="decimal" w:pos="840"/>
          <w:tab w:val="decimal" w:pos="955"/>
        </w:tabs>
        <w:snapToGrid w:val="0"/>
        <w:spacing w:before="72" w:line="600" w:lineRule="exact"/>
        <w:ind w:firstLine="330" w:firstLineChars="150"/>
        <w:rPr>
          <w:rStyle w:val="39"/>
          <w:rFonts w:ascii="宋体" w:hAnsi="宋体"/>
          <w:sz w:val="22"/>
          <w:szCs w:val="22"/>
        </w:rPr>
      </w:pPr>
      <w:r>
        <w:rPr>
          <w:rStyle w:val="39"/>
          <w:rFonts w:hint="eastAsia" w:ascii="宋体" w:hAnsi="宋体"/>
          <w:sz w:val="22"/>
          <w:szCs w:val="22"/>
        </w:rPr>
        <w:t>联 行 号：</w:t>
      </w:r>
    </w:p>
    <w:p w14:paraId="7AA2ECF6">
      <w:pPr>
        <w:spacing w:line="360" w:lineRule="auto"/>
        <w:rPr>
          <w:rStyle w:val="39"/>
          <w:rFonts w:ascii="宋体" w:hAnsi="宋体"/>
          <w:sz w:val="22"/>
        </w:rPr>
      </w:pPr>
    </w:p>
    <w:p w14:paraId="7DC7E665">
      <w:pPr>
        <w:spacing w:line="600" w:lineRule="exact"/>
        <w:rPr>
          <w:rStyle w:val="39"/>
          <w:rFonts w:ascii="宋体" w:hAnsi="宋体"/>
          <w:sz w:val="22"/>
        </w:rPr>
      </w:pPr>
      <w:r>
        <w:rPr>
          <w:rStyle w:val="39"/>
          <w:rFonts w:ascii="宋体" w:hAnsi="宋体"/>
          <w:sz w:val="22"/>
        </w:rPr>
        <w:t xml:space="preserve">                     投标单位（盖单位公章）：                  </w:t>
      </w:r>
    </w:p>
    <w:p w14:paraId="1A29A57F">
      <w:pPr>
        <w:spacing w:line="600" w:lineRule="exact"/>
        <w:rPr>
          <w:rStyle w:val="39"/>
          <w:rFonts w:ascii="宋体" w:hAnsi="宋体"/>
          <w:sz w:val="22"/>
        </w:rPr>
      </w:pPr>
      <w:r>
        <w:rPr>
          <w:rStyle w:val="39"/>
          <w:rFonts w:ascii="宋体" w:hAnsi="宋体"/>
          <w:sz w:val="22"/>
        </w:rPr>
        <w:t xml:space="preserve">                     日  期：       年   月  日</w:t>
      </w:r>
    </w:p>
    <w:p w14:paraId="345E17D5">
      <w:pPr>
        <w:spacing w:line="460" w:lineRule="exact"/>
        <w:rPr>
          <w:rStyle w:val="39"/>
          <w:rFonts w:ascii="宋体" w:hAnsi="宋体"/>
          <w:b/>
          <w:bCs/>
          <w:szCs w:val="42"/>
        </w:rPr>
      </w:pPr>
      <w:r>
        <w:rPr>
          <w:rStyle w:val="39"/>
          <w:rFonts w:ascii="宋体" w:hAnsi="宋体"/>
          <w:b/>
          <w:bCs/>
          <w:szCs w:val="42"/>
        </w:rPr>
        <w:t>备注：</w:t>
      </w:r>
    </w:p>
    <w:p w14:paraId="6027BAA5">
      <w:pPr>
        <w:numPr>
          <w:ilvl w:val="0"/>
          <w:numId w:val="18"/>
        </w:numPr>
        <w:spacing w:line="460" w:lineRule="exact"/>
        <w:rPr>
          <w:rStyle w:val="39"/>
          <w:rFonts w:ascii="宋体" w:hAnsi="宋体"/>
          <w:b/>
          <w:bCs/>
          <w:szCs w:val="42"/>
        </w:rPr>
      </w:pPr>
      <w:r>
        <w:rPr>
          <w:rStyle w:val="39"/>
          <w:rFonts w:ascii="宋体" w:hAnsi="宋体"/>
          <w:b/>
          <w:bCs/>
          <w:szCs w:val="42"/>
        </w:rPr>
        <w:t>以上信息用于退还投标保证金</w:t>
      </w:r>
      <w:r>
        <w:rPr>
          <w:rStyle w:val="39"/>
          <w:rFonts w:hint="eastAsia" w:ascii="宋体" w:hAnsi="宋体"/>
          <w:b/>
          <w:bCs/>
          <w:szCs w:val="42"/>
        </w:rPr>
        <w:t>，缺少以上任意一条信息均无法退还投标保证金</w:t>
      </w:r>
      <w:r>
        <w:rPr>
          <w:rStyle w:val="39"/>
          <w:rFonts w:ascii="宋体" w:hAnsi="宋体"/>
          <w:b/>
          <w:bCs/>
          <w:szCs w:val="42"/>
        </w:rPr>
        <w:t>。</w:t>
      </w:r>
    </w:p>
    <w:p w14:paraId="70BFD834">
      <w:pPr>
        <w:numPr>
          <w:ilvl w:val="0"/>
          <w:numId w:val="18"/>
        </w:numPr>
        <w:spacing w:line="460" w:lineRule="exact"/>
        <w:rPr>
          <w:rStyle w:val="39"/>
          <w:rFonts w:ascii="宋体" w:hAnsi="宋体"/>
          <w:b/>
          <w:bCs/>
          <w:szCs w:val="42"/>
        </w:rPr>
      </w:pPr>
      <w:r>
        <w:rPr>
          <w:rStyle w:val="39"/>
          <w:rFonts w:hint="eastAsia" w:ascii="宋体" w:hAnsi="宋体"/>
          <w:b/>
          <w:bCs/>
          <w:szCs w:val="42"/>
        </w:rPr>
        <w:t>按照招投标法保证金返还相关条款约定，结合我公司财务管理流程等综合因素，保证金退款流程申请成功退款到账时间为：未中标单位自定标之日起最长约60天；退款方式为无息退款。请各投标单位知悉且视为认同此条款。</w:t>
      </w:r>
    </w:p>
    <w:p w14:paraId="539D4E7C">
      <w:pPr>
        <w:spacing w:line="460" w:lineRule="exact"/>
        <w:jc w:val="center"/>
        <w:rPr>
          <w:rStyle w:val="39"/>
          <w:rFonts w:ascii="宋体" w:hAnsi="宋体"/>
          <w:szCs w:val="21"/>
        </w:rPr>
      </w:pPr>
    </w:p>
    <w:p w14:paraId="41530CE6">
      <w:pPr>
        <w:spacing w:line="460" w:lineRule="exact"/>
        <w:jc w:val="right"/>
        <w:rPr>
          <w:rStyle w:val="39"/>
          <w:rFonts w:ascii="宋体" w:hAnsi="宋体"/>
          <w:szCs w:val="21"/>
        </w:rPr>
      </w:pPr>
    </w:p>
    <w:p w14:paraId="2616055D">
      <w:pPr>
        <w:spacing w:line="460" w:lineRule="exact"/>
        <w:rPr>
          <w:rStyle w:val="39"/>
          <w:rFonts w:ascii="宋体" w:hAnsi="宋体"/>
          <w:szCs w:val="21"/>
        </w:rPr>
      </w:pPr>
    </w:p>
    <w:p w14:paraId="09156E35">
      <w:pPr>
        <w:pStyle w:val="47"/>
        <w:spacing w:before="0" w:after="0"/>
        <w:jc w:val="center"/>
        <w:rPr>
          <w:rStyle w:val="39"/>
          <w:rFonts w:ascii="宋体" w:hAnsi="宋体"/>
          <w:szCs w:val="21"/>
        </w:rPr>
      </w:pPr>
      <w:r>
        <w:rPr>
          <w:rStyle w:val="39"/>
          <w:rFonts w:ascii="宋体" w:hAnsi="宋体"/>
          <w:szCs w:val="21"/>
        </w:rPr>
        <w:br w:type="page"/>
      </w:r>
    </w:p>
    <w:p w14:paraId="6A559A88">
      <w:pPr>
        <w:pStyle w:val="7"/>
        <w:spacing w:before="0" w:after="0" w:line="480" w:lineRule="auto"/>
        <w:jc w:val="center"/>
        <w:rPr>
          <w:sz w:val="30"/>
          <w:szCs w:val="30"/>
        </w:rPr>
      </w:pPr>
      <w:bookmarkStart w:id="791" w:name="_Toc16064002"/>
      <w:bookmarkStart w:id="792" w:name="_Toc17817352"/>
      <w:bookmarkStart w:id="793" w:name="_Toc16799"/>
      <w:bookmarkStart w:id="794" w:name="_Toc28423"/>
      <w:bookmarkStart w:id="795" w:name="_Toc27670"/>
      <w:r>
        <w:rPr>
          <w:sz w:val="30"/>
          <w:szCs w:val="30"/>
        </w:rPr>
        <w:t>五、已标价工程量清单</w:t>
      </w:r>
      <w:bookmarkEnd w:id="791"/>
      <w:bookmarkEnd w:id="792"/>
      <w:bookmarkEnd w:id="793"/>
      <w:bookmarkEnd w:id="794"/>
      <w:bookmarkEnd w:id="795"/>
    </w:p>
    <w:p w14:paraId="231ABD3B">
      <w:pPr>
        <w:spacing w:line="460" w:lineRule="exact"/>
        <w:rPr>
          <w:rStyle w:val="39"/>
          <w:rFonts w:hint="eastAsia" w:ascii="宋体" w:hAnsi="宋体"/>
          <w:szCs w:val="21"/>
        </w:rPr>
      </w:pPr>
      <w:r>
        <w:rPr>
          <w:rStyle w:val="39"/>
          <w:rFonts w:ascii="宋体" w:hAnsi="宋体"/>
          <w:szCs w:val="21"/>
        </w:rPr>
        <w:t>说明：已标价工程量清单按第五章“工程量清单”中的相关清单表格式填写。构成合同文件的已标价工程量清单包括第五章“工程量清单”有关工程量清单、投标报价以及其他说明的内容。</w:t>
      </w:r>
    </w:p>
    <w:p w14:paraId="2CD9A1A7">
      <w:pPr>
        <w:pStyle w:val="47"/>
        <w:jc w:val="both"/>
        <w:rPr>
          <w:sz w:val="30"/>
          <w:szCs w:val="30"/>
        </w:rPr>
      </w:pPr>
      <w:r>
        <w:rPr>
          <w:rStyle w:val="39"/>
          <w:rFonts w:ascii="宋体" w:hAnsi="宋体"/>
          <w:szCs w:val="21"/>
        </w:rPr>
        <w:br w:type="page"/>
      </w:r>
      <w:bookmarkStart w:id="796" w:name="_Toc16064003"/>
      <w:bookmarkStart w:id="797" w:name="_Toc17817353"/>
    </w:p>
    <w:p w14:paraId="510E3F13">
      <w:pPr>
        <w:pStyle w:val="7"/>
        <w:numPr>
          <w:ilvl w:val="0"/>
          <w:numId w:val="19"/>
        </w:numPr>
        <w:spacing w:before="0" w:after="0" w:line="480" w:lineRule="auto"/>
        <w:jc w:val="center"/>
        <w:rPr>
          <w:sz w:val="30"/>
          <w:szCs w:val="30"/>
        </w:rPr>
      </w:pPr>
      <w:bookmarkStart w:id="798" w:name="_Toc29645"/>
      <w:bookmarkStart w:id="799" w:name="_Toc698"/>
      <w:bookmarkStart w:id="800" w:name="_Toc1777"/>
      <w:r>
        <w:rPr>
          <w:sz w:val="30"/>
          <w:szCs w:val="30"/>
        </w:rPr>
        <w:t>施工组织设计</w:t>
      </w:r>
      <w:bookmarkEnd w:id="796"/>
      <w:bookmarkEnd w:id="797"/>
      <w:bookmarkEnd w:id="798"/>
      <w:bookmarkEnd w:id="799"/>
      <w:bookmarkEnd w:id="800"/>
    </w:p>
    <w:p w14:paraId="758BE737">
      <w:pPr>
        <w:spacing w:line="420" w:lineRule="exact"/>
        <w:ind w:firstLine="420" w:firstLineChars="200"/>
        <w:rPr>
          <w:rFonts w:hint="eastAsia" w:ascii="宋体" w:hAnsi="宋体"/>
          <w:szCs w:val="21"/>
        </w:rPr>
      </w:pPr>
      <w:bookmarkStart w:id="801" w:name="_Toc8712"/>
      <w:bookmarkStart w:id="802" w:name="_Toc24097"/>
      <w:bookmarkStart w:id="803" w:name="_Toc12238"/>
      <w:bookmarkStart w:id="804" w:name="_Toc17817354"/>
      <w:r>
        <w:rPr>
          <w:rFonts w:hint="eastAsia" w:ascii="宋体" w:hAnsi="宋体"/>
          <w:szCs w:val="21"/>
        </w:rPr>
        <w:t>1．投标人应根据招标文件和对现场的勘察情况，采用文字并结合图表形式，参考以下要点及顺序编制本工程的施工组织设计：</w:t>
      </w:r>
    </w:p>
    <w:p w14:paraId="0BF61A5B">
      <w:pPr>
        <w:spacing w:line="420" w:lineRule="exact"/>
        <w:ind w:firstLine="409" w:firstLineChars="195"/>
        <w:rPr>
          <w:rFonts w:ascii="宋体"/>
        </w:rPr>
      </w:pPr>
      <w:r>
        <w:rPr>
          <w:rFonts w:hint="eastAsia" w:ascii="宋体"/>
        </w:rPr>
        <w:t>1．投标人应根据招标文件和对现场的勘察情况，采用文字并结合图表形式，参考以下要点及顺序编制本工程的施工组织设计：</w:t>
      </w:r>
    </w:p>
    <w:p w14:paraId="06060EF1">
      <w:pPr>
        <w:spacing w:line="420" w:lineRule="exact"/>
        <w:ind w:firstLine="409" w:firstLineChars="195"/>
        <w:rPr>
          <w:rStyle w:val="39"/>
          <w:rFonts w:ascii="宋体"/>
        </w:rPr>
      </w:pPr>
      <w:r>
        <w:rPr>
          <w:rStyle w:val="39"/>
          <w:rFonts w:ascii="宋体"/>
        </w:rPr>
        <w:t>（1）施工组织总体方案</w:t>
      </w:r>
      <w:r>
        <w:rPr>
          <w:rStyle w:val="39"/>
          <w:rFonts w:hint="eastAsia" w:ascii="宋体"/>
        </w:rPr>
        <w:t>（</w:t>
      </w:r>
      <w:r>
        <w:rPr>
          <w:rFonts w:hint="eastAsia" w:ascii="宋体" w:cs="宋体"/>
        </w:rPr>
        <w:t>对项目特点认知、项目管理机构组建、施工准备、现场布置、施工顺序、施工流水段划分、施工劳务队伍选择和组织、材料机械组织等</w:t>
      </w:r>
      <w:r>
        <w:rPr>
          <w:rStyle w:val="39"/>
          <w:rFonts w:hint="eastAsia" w:ascii="宋体"/>
        </w:rPr>
        <w:t>）</w:t>
      </w:r>
      <w:r>
        <w:rPr>
          <w:rStyle w:val="39"/>
          <w:rFonts w:ascii="宋体"/>
        </w:rPr>
        <w:t>；</w:t>
      </w:r>
    </w:p>
    <w:p w14:paraId="2B29F3B0">
      <w:pPr>
        <w:spacing w:line="420" w:lineRule="exact"/>
        <w:ind w:firstLine="409" w:firstLineChars="195"/>
        <w:rPr>
          <w:rStyle w:val="39"/>
          <w:rFonts w:ascii="宋体"/>
        </w:rPr>
      </w:pPr>
      <w:r>
        <w:rPr>
          <w:rStyle w:val="39"/>
          <w:rFonts w:ascii="宋体"/>
        </w:rPr>
        <w:t>（2）</w:t>
      </w:r>
      <w:r>
        <w:rPr>
          <w:rFonts w:hint="eastAsia" w:ascii="宋体" w:cs="宋体"/>
          <w:kern w:val="0"/>
          <w:szCs w:val="21"/>
        </w:rPr>
        <w:t>施工进度计划及保证措施</w:t>
      </w:r>
      <w:r>
        <w:rPr>
          <w:rFonts w:hint="eastAsia" w:ascii="宋体" w:cs="宋体"/>
        </w:rPr>
        <w:t>（</w:t>
      </w:r>
      <w:r>
        <w:rPr>
          <w:rFonts w:hint="eastAsia" w:ascii="宋体" w:cs="宋体"/>
          <w:kern w:val="0"/>
          <w:szCs w:val="21"/>
        </w:rPr>
        <w:t>1、要求根据建设单位提供的关键节点，提供施工总进度横道图或网络图计划，施工内容要切合实际、全面；2、列举分析本工程的工期风险点及应对保证措施</w:t>
      </w:r>
      <w:r>
        <w:rPr>
          <w:rFonts w:hint="eastAsia" w:ascii="宋体" w:cs="宋体"/>
        </w:rPr>
        <w:t>）</w:t>
      </w:r>
      <w:r>
        <w:rPr>
          <w:rStyle w:val="39"/>
          <w:rFonts w:ascii="宋体"/>
        </w:rPr>
        <w:t>；</w:t>
      </w:r>
    </w:p>
    <w:p w14:paraId="4B98E215">
      <w:pPr>
        <w:spacing w:line="420" w:lineRule="exact"/>
        <w:ind w:firstLine="420" w:firstLineChars="200"/>
        <w:rPr>
          <w:rStyle w:val="39"/>
          <w:rFonts w:ascii="宋体"/>
        </w:rPr>
      </w:pPr>
      <w:r>
        <w:rPr>
          <w:rStyle w:val="39"/>
          <w:rFonts w:ascii="宋体"/>
        </w:rPr>
        <w:t>（3）</w:t>
      </w:r>
      <w:r>
        <w:rPr>
          <w:rFonts w:hint="eastAsia" w:ascii="宋体" w:cs="宋体"/>
        </w:rPr>
        <w:t>关键施工技术、工艺及工程实施的重点、难点分析（要求提炼出招标项目的关键施工工艺、施工重难点、危险性较大的专项工程等）</w:t>
      </w:r>
      <w:r>
        <w:rPr>
          <w:rStyle w:val="39"/>
          <w:rFonts w:ascii="宋体"/>
        </w:rPr>
        <w:t>；</w:t>
      </w:r>
    </w:p>
    <w:p w14:paraId="7401C7A5">
      <w:pPr>
        <w:spacing w:line="420" w:lineRule="exact"/>
        <w:ind w:firstLine="409" w:firstLineChars="195"/>
        <w:rPr>
          <w:rStyle w:val="39"/>
          <w:rFonts w:ascii="宋体"/>
        </w:rPr>
      </w:pPr>
      <w:r>
        <w:rPr>
          <w:rStyle w:val="39"/>
          <w:rFonts w:ascii="宋体"/>
        </w:rPr>
        <w:t>（4）</w:t>
      </w:r>
      <w:r>
        <w:rPr>
          <w:rStyle w:val="39"/>
          <w:rFonts w:hint="eastAsia" w:ascii="宋体"/>
        </w:rPr>
        <w:t>质量</w:t>
      </w:r>
      <w:r>
        <w:rPr>
          <w:rStyle w:val="39"/>
          <w:rFonts w:ascii="宋体"/>
        </w:rPr>
        <w:t>保证措施</w:t>
      </w:r>
      <w:r>
        <w:rPr>
          <w:rFonts w:hint="eastAsia" w:ascii="宋体" w:cs="宋体"/>
          <w:kern w:val="0"/>
          <w:szCs w:val="21"/>
        </w:rPr>
        <w:t>（要求针对性分析本工程容易出现的质量通病、质量控制重点和保证措施）</w:t>
      </w:r>
      <w:r>
        <w:rPr>
          <w:rStyle w:val="39"/>
          <w:rFonts w:ascii="宋体"/>
        </w:rPr>
        <w:t>；</w:t>
      </w:r>
    </w:p>
    <w:p w14:paraId="54C2E867">
      <w:pPr>
        <w:spacing w:line="420" w:lineRule="exact"/>
        <w:ind w:firstLine="409" w:firstLineChars="195"/>
        <w:rPr>
          <w:rFonts w:ascii="宋体" w:cs="宋体"/>
          <w:kern w:val="0"/>
          <w:szCs w:val="21"/>
        </w:rPr>
      </w:pPr>
      <w:r>
        <w:rPr>
          <w:rStyle w:val="39"/>
          <w:rFonts w:ascii="宋体"/>
        </w:rPr>
        <w:t>（5）</w:t>
      </w:r>
      <w:r>
        <w:rPr>
          <w:rFonts w:hint="eastAsia" w:ascii="宋体" w:cs="宋体"/>
          <w:kern w:val="0"/>
          <w:szCs w:val="21"/>
        </w:rPr>
        <w:t>安全文明施工措施（要求对安全生产、文明施工、环境保护及防尘、施工措施，制定保证措施和承诺）；</w:t>
      </w:r>
    </w:p>
    <w:p w14:paraId="0C72B0D4">
      <w:pPr>
        <w:spacing w:line="420" w:lineRule="exact"/>
        <w:ind w:firstLine="409" w:firstLineChars="195"/>
        <w:rPr>
          <w:rFonts w:ascii="宋体" w:cs="宋体"/>
          <w:kern w:val="0"/>
          <w:szCs w:val="21"/>
        </w:rPr>
      </w:pPr>
      <w:r>
        <w:rPr>
          <w:rFonts w:hint="eastAsia" w:ascii="宋体" w:cs="宋体"/>
          <w:kern w:val="0"/>
          <w:szCs w:val="21"/>
        </w:rPr>
        <w:t>（6）招标文件规定的其他内容。</w:t>
      </w:r>
    </w:p>
    <w:p w14:paraId="44448644">
      <w:pPr>
        <w:rPr>
          <w:sz w:val="30"/>
          <w:szCs w:val="30"/>
        </w:rPr>
      </w:pPr>
      <w:r>
        <w:rPr>
          <w:sz w:val="30"/>
          <w:szCs w:val="30"/>
        </w:rPr>
        <w:br w:type="page"/>
      </w:r>
      <w:bookmarkEnd w:id="801"/>
    </w:p>
    <w:bookmarkEnd w:id="802"/>
    <w:bookmarkEnd w:id="803"/>
    <w:bookmarkEnd w:id="804"/>
    <w:p w14:paraId="55DCCE10">
      <w:pPr>
        <w:pStyle w:val="13"/>
        <w:rPr>
          <w:sz w:val="30"/>
          <w:szCs w:val="30"/>
        </w:rPr>
      </w:pPr>
      <w:bookmarkStart w:id="805" w:name="_Toc6584"/>
    </w:p>
    <w:p w14:paraId="22E012AD">
      <w:pPr>
        <w:pStyle w:val="13"/>
      </w:pPr>
    </w:p>
    <w:p w14:paraId="1E2720D0">
      <w:pPr>
        <w:pStyle w:val="13"/>
        <w:rPr>
          <w:sz w:val="30"/>
          <w:szCs w:val="30"/>
        </w:rPr>
      </w:pPr>
    </w:p>
    <w:p w14:paraId="31DF29FE"/>
    <w:p w14:paraId="240EE2F0">
      <w:pPr>
        <w:pStyle w:val="13"/>
      </w:pPr>
      <w:bookmarkStart w:id="806" w:name="_Toc13419"/>
    </w:p>
    <w:p w14:paraId="2F391BFC">
      <w:pPr>
        <w:pStyle w:val="7"/>
        <w:numPr>
          <w:ilvl w:val="0"/>
          <w:numId w:val="19"/>
        </w:numPr>
        <w:spacing w:line="480" w:lineRule="auto"/>
        <w:jc w:val="center"/>
        <w:rPr>
          <w:sz w:val="30"/>
          <w:szCs w:val="30"/>
        </w:rPr>
      </w:pPr>
      <w:bookmarkStart w:id="807" w:name="_Toc23012"/>
      <w:r>
        <w:rPr>
          <w:rFonts w:hint="eastAsia"/>
          <w:sz w:val="30"/>
          <w:szCs w:val="30"/>
        </w:rPr>
        <w:t>其他材料</w:t>
      </w:r>
      <w:bookmarkEnd w:id="805"/>
      <w:bookmarkEnd w:id="806"/>
      <w:bookmarkEnd w:id="807"/>
    </w:p>
    <w:p w14:paraId="561B3832">
      <w:pPr>
        <w:spacing w:line="500" w:lineRule="exact"/>
        <w:jc w:val="center"/>
        <w:rPr>
          <w:rStyle w:val="39"/>
          <w:rFonts w:ascii="宋体" w:hAnsi="宋体"/>
          <w:b/>
          <w:szCs w:val="21"/>
        </w:rPr>
      </w:pPr>
      <w:r>
        <w:rPr>
          <w:rStyle w:val="39"/>
          <w:rFonts w:ascii="宋体" w:hAnsi="宋体"/>
          <w:b/>
          <w:szCs w:val="21"/>
        </w:rPr>
        <w:t>（格式自行设定）</w:t>
      </w:r>
    </w:p>
    <w:p w14:paraId="1AE58163">
      <w:pPr>
        <w:rPr>
          <w:rStyle w:val="39"/>
          <w:rFonts w:ascii="宋体" w:hAnsi="宋体"/>
        </w:rPr>
      </w:pPr>
    </w:p>
    <w:p w14:paraId="14189A7F">
      <w:pPr>
        <w:rPr>
          <w:rStyle w:val="39"/>
          <w:rFonts w:ascii="宋体" w:hAnsi="宋体"/>
        </w:rPr>
      </w:pPr>
    </w:p>
    <w:p w14:paraId="3D7880DE">
      <w:pPr>
        <w:spacing w:line="360" w:lineRule="auto"/>
        <w:rPr>
          <w:rStyle w:val="39"/>
          <w:rFonts w:ascii="宋体" w:hAnsi="宋体"/>
        </w:rPr>
      </w:pPr>
      <w:r>
        <w:rPr>
          <w:rStyle w:val="39"/>
          <w:rFonts w:ascii="宋体" w:hAnsi="宋体"/>
        </w:rPr>
        <w:t>备注：对于招标文件要求的内容，招标文件有固定格式的执行固定格式，没有格式的自行设计格式。</w:t>
      </w:r>
    </w:p>
    <w:p w14:paraId="1C118F90">
      <w:pPr>
        <w:rPr>
          <w:rStyle w:val="39"/>
          <w:rFonts w:ascii="宋体" w:hAnsi="宋体"/>
        </w:rPr>
      </w:pPr>
      <w:r>
        <w:rPr>
          <w:rStyle w:val="39"/>
          <w:rFonts w:ascii="宋体" w:hAnsi="宋体"/>
        </w:rPr>
        <w:br w:type="page"/>
      </w:r>
    </w:p>
    <w:p w14:paraId="7A06B61C">
      <w:pPr>
        <w:rPr>
          <w:rStyle w:val="39"/>
          <w:rFonts w:ascii="宋体" w:hAnsi="宋体"/>
        </w:rPr>
      </w:pPr>
    </w:p>
    <w:p w14:paraId="52553980">
      <w:pPr>
        <w:pStyle w:val="6"/>
        <w:jc w:val="center"/>
        <w:rPr>
          <w:i w:val="0"/>
          <w:iCs w:val="0"/>
          <w:sz w:val="32"/>
          <w:szCs w:val="32"/>
        </w:rPr>
      </w:pPr>
      <w:bookmarkStart w:id="808" w:name="_Toc6830"/>
      <w:bookmarkStart w:id="809" w:name="_Toc22263"/>
      <w:bookmarkStart w:id="810" w:name="_Toc3181"/>
      <w:bookmarkStart w:id="811" w:name="_Toc17817356"/>
      <w:r>
        <w:rPr>
          <w:i w:val="0"/>
          <w:iCs w:val="0"/>
          <w:sz w:val="32"/>
          <w:szCs w:val="32"/>
        </w:rPr>
        <w:t>第九章  资格审查文件</w:t>
      </w:r>
      <w:bookmarkEnd w:id="808"/>
      <w:bookmarkEnd w:id="809"/>
      <w:bookmarkEnd w:id="810"/>
      <w:bookmarkEnd w:id="811"/>
    </w:p>
    <w:p w14:paraId="4F445CDF"/>
    <w:p w14:paraId="34D370B9"/>
    <w:p w14:paraId="796D214C">
      <w:pPr>
        <w:jc w:val="center"/>
        <w:rPr>
          <w:rStyle w:val="39"/>
          <w:rFonts w:ascii="宋体" w:hAnsi="宋体"/>
          <w:sz w:val="28"/>
          <w:szCs w:val="28"/>
        </w:rPr>
      </w:pPr>
      <w:r>
        <w:rPr>
          <w:rStyle w:val="39"/>
          <w:rFonts w:ascii="宋体" w:hAnsi="宋体"/>
          <w:sz w:val="28"/>
          <w:szCs w:val="28"/>
        </w:rPr>
        <w:t>（项目名称）</w:t>
      </w:r>
    </w:p>
    <w:p w14:paraId="0CD8C0BB">
      <w:pPr>
        <w:spacing w:before="240"/>
        <w:jc w:val="center"/>
        <w:rPr>
          <w:rStyle w:val="39"/>
          <w:rFonts w:ascii="宋体" w:hAnsi="宋体"/>
          <w:sz w:val="44"/>
          <w:szCs w:val="44"/>
        </w:rPr>
      </w:pPr>
    </w:p>
    <w:p w14:paraId="695C7225">
      <w:pPr>
        <w:spacing w:before="240"/>
        <w:jc w:val="center"/>
        <w:rPr>
          <w:rStyle w:val="39"/>
          <w:rFonts w:ascii="宋体" w:hAnsi="宋体"/>
          <w:sz w:val="44"/>
          <w:szCs w:val="44"/>
        </w:rPr>
      </w:pPr>
    </w:p>
    <w:p w14:paraId="41CD0526">
      <w:pPr>
        <w:spacing w:before="240"/>
        <w:jc w:val="center"/>
        <w:rPr>
          <w:rStyle w:val="39"/>
          <w:rFonts w:ascii="宋体" w:hAnsi="宋体"/>
          <w:sz w:val="44"/>
          <w:szCs w:val="44"/>
        </w:rPr>
      </w:pPr>
      <w:r>
        <w:rPr>
          <w:rStyle w:val="39"/>
          <w:rFonts w:ascii="宋体" w:hAnsi="宋体"/>
          <w:sz w:val="44"/>
          <w:szCs w:val="44"/>
        </w:rPr>
        <w:t>资格审查文件</w:t>
      </w:r>
    </w:p>
    <w:p w14:paraId="5A97E79F">
      <w:pPr>
        <w:jc w:val="center"/>
        <w:rPr>
          <w:rStyle w:val="39"/>
          <w:rFonts w:ascii="宋体" w:hAnsi="宋体"/>
          <w:sz w:val="32"/>
          <w:szCs w:val="32"/>
        </w:rPr>
      </w:pPr>
    </w:p>
    <w:p w14:paraId="010E746D">
      <w:pPr>
        <w:jc w:val="center"/>
        <w:rPr>
          <w:rStyle w:val="39"/>
          <w:rFonts w:ascii="宋体" w:hAnsi="宋体"/>
          <w:sz w:val="32"/>
          <w:szCs w:val="32"/>
        </w:rPr>
      </w:pPr>
    </w:p>
    <w:p w14:paraId="04EBFC69">
      <w:pPr>
        <w:jc w:val="center"/>
        <w:rPr>
          <w:rStyle w:val="39"/>
          <w:rFonts w:ascii="宋体" w:hAnsi="宋体"/>
          <w:sz w:val="32"/>
          <w:szCs w:val="32"/>
        </w:rPr>
      </w:pPr>
    </w:p>
    <w:p w14:paraId="713AC54A">
      <w:pPr>
        <w:jc w:val="center"/>
        <w:rPr>
          <w:rStyle w:val="39"/>
          <w:rFonts w:ascii="宋体" w:hAnsi="宋体"/>
          <w:sz w:val="32"/>
          <w:szCs w:val="32"/>
        </w:rPr>
      </w:pPr>
    </w:p>
    <w:p w14:paraId="7E039561">
      <w:pPr>
        <w:jc w:val="center"/>
        <w:rPr>
          <w:rStyle w:val="39"/>
          <w:rFonts w:ascii="宋体" w:hAnsi="宋体"/>
          <w:sz w:val="32"/>
          <w:szCs w:val="32"/>
        </w:rPr>
      </w:pPr>
    </w:p>
    <w:p w14:paraId="4544485F">
      <w:pPr>
        <w:jc w:val="center"/>
        <w:rPr>
          <w:rStyle w:val="39"/>
          <w:rFonts w:ascii="宋体" w:hAnsi="宋体"/>
          <w:sz w:val="32"/>
          <w:szCs w:val="32"/>
        </w:rPr>
      </w:pPr>
    </w:p>
    <w:p w14:paraId="46924470">
      <w:pPr>
        <w:jc w:val="center"/>
        <w:rPr>
          <w:rStyle w:val="39"/>
          <w:rFonts w:ascii="宋体" w:hAnsi="宋体"/>
          <w:sz w:val="32"/>
          <w:szCs w:val="32"/>
        </w:rPr>
      </w:pPr>
    </w:p>
    <w:p w14:paraId="3C5F2E1C">
      <w:pPr>
        <w:jc w:val="center"/>
        <w:rPr>
          <w:rStyle w:val="39"/>
          <w:rFonts w:ascii="宋体" w:hAnsi="宋体"/>
          <w:sz w:val="32"/>
          <w:szCs w:val="32"/>
        </w:rPr>
      </w:pPr>
    </w:p>
    <w:p w14:paraId="6EA9D9AC">
      <w:pPr>
        <w:jc w:val="center"/>
        <w:rPr>
          <w:rStyle w:val="39"/>
          <w:rFonts w:ascii="宋体" w:hAnsi="宋体"/>
          <w:sz w:val="32"/>
          <w:szCs w:val="32"/>
        </w:rPr>
      </w:pPr>
    </w:p>
    <w:p w14:paraId="40FA17C4">
      <w:pPr>
        <w:jc w:val="center"/>
        <w:rPr>
          <w:rStyle w:val="39"/>
          <w:rFonts w:ascii="宋体" w:hAnsi="宋体"/>
          <w:sz w:val="32"/>
          <w:szCs w:val="32"/>
        </w:rPr>
      </w:pPr>
    </w:p>
    <w:p w14:paraId="020EB7B6">
      <w:pPr>
        <w:jc w:val="center"/>
        <w:rPr>
          <w:rStyle w:val="39"/>
          <w:rFonts w:ascii="宋体" w:hAnsi="宋体"/>
          <w:sz w:val="32"/>
          <w:szCs w:val="32"/>
        </w:rPr>
      </w:pPr>
    </w:p>
    <w:p w14:paraId="254CB3CB">
      <w:pPr>
        <w:jc w:val="center"/>
        <w:rPr>
          <w:rStyle w:val="39"/>
          <w:rFonts w:ascii="宋体" w:hAnsi="宋体"/>
          <w:sz w:val="32"/>
          <w:szCs w:val="32"/>
        </w:rPr>
      </w:pPr>
    </w:p>
    <w:p w14:paraId="36CD5548">
      <w:pPr>
        <w:jc w:val="center"/>
        <w:rPr>
          <w:rStyle w:val="39"/>
          <w:rFonts w:ascii="宋体" w:hAnsi="宋体"/>
          <w:sz w:val="32"/>
          <w:szCs w:val="32"/>
        </w:rPr>
      </w:pPr>
    </w:p>
    <w:p w14:paraId="2CD19C7E">
      <w:pPr>
        <w:jc w:val="center"/>
        <w:rPr>
          <w:rStyle w:val="39"/>
          <w:rFonts w:ascii="宋体" w:hAnsi="宋体"/>
          <w:sz w:val="32"/>
          <w:szCs w:val="32"/>
        </w:rPr>
      </w:pPr>
    </w:p>
    <w:p w14:paraId="715B6DC8">
      <w:pPr>
        <w:jc w:val="center"/>
        <w:rPr>
          <w:rStyle w:val="39"/>
          <w:rFonts w:ascii="宋体" w:hAnsi="宋体"/>
          <w:sz w:val="32"/>
          <w:szCs w:val="32"/>
        </w:rPr>
      </w:pPr>
    </w:p>
    <w:p w14:paraId="52630D64">
      <w:pPr>
        <w:spacing w:line="360" w:lineRule="auto"/>
        <w:rPr>
          <w:rStyle w:val="39"/>
          <w:rFonts w:ascii="宋体" w:hAnsi="宋体"/>
          <w:sz w:val="28"/>
          <w:szCs w:val="28"/>
        </w:rPr>
      </w:pPr>
      <w:r>
        <w:rPr>
          <w:rStyle w:val="39"/>
          <w:rFonts w:ascii="宋体" w:hAnsi="宋体"/>
          <w:sz w:val="28"/>
          <w:szCs w:val="28"/>
        </w:rPr>
        <w:t xml:space="preserve">   投标人：（盖单位公章）</w:t>
      </w:r>
    </w:p>
    <w:p w14:paraId="0C26CD1F">
      <w:pPr>
        <w:spacing w:line="360" w:lineRule="auto"/>
        <w:ind w:firstLine="420" w:firstLineChars="150"/>
        <w:rPr>
          <w:rStyle w:val="39"/>
          <w:rFonts w:ascii="宋体" w:hAnsi="宋体"/>
          <w:sz w:val="28"/>
          <w:szCs w:val="28"/>
        </w:rPr>
      </w:pPr>
      <w:r>
        <w:rPr>
          <w:rStyle w:val="39"/>
          <w:rFonts w:ascii="宋体" w:hAnsi="宋体"/>
          <w:sz w:val="28"/>
          <w:szCs w:val="28"/>
        </w:rPr>
        <w:t>法定代表人：（签字或盖章）</w:t>
      </w:r>
    </w:p>
    <w:p w14:paraId="566C83C3">
      <w:pPr>
        <w:jc w:val="center"/>
        <w:rPr>
          <w:rStyle w:val="39"/>
          <w:rFonts w:ascii="宋体" w:hAnsi="宋体"/>
          <w:sz w:val="28"/>
          <w:szCs w:val="28"/>
        </w:rPr>
      </w:pPr>
    </w:p>
    <w:p w14:paraId="7781F165">
      <w:pPr>
        <w:jc w:val="center"/>
        <w:rPr>
          <w:rStyle w:val="39"/>
          <w:rFonts w:ascii="宋体" w:hAnsi="宋体"/>
          <w:sz w:val="28"/>
          <w:szCs w:val="28"/>
        </w:rPr>
      </w:pPr>
    </w:p>
    <w:p w14:paraId="5F7DCF93">
      <w:pPr>
        <w:jc w:val="center"/>
        <w:rPr>
          <w:rStyle w:val="39"/>
          <w:rFonts w:ascii="宋体" w:hAnsi="宋体"/>
          <w:sz w:val="28"/>
          <w:szCs w:val="28"/>
        </w:rPr>
      </w:pPr>
    </w:p>
    <w:p w14:paraId="5BC035C3">
      <w:pPr>
        <w:spacing w:before="120" w:after="240" w:line="440" w:lineRule="exact"/>
        <w:jc w:val="center"/>
        <w:rPr>
          <w:rStyle w:val="39"/>
          <w:rFonts w:ascii="宋体" w:hAnsi="宋体"/>
          <w:sz w:val="28"/>
          <w:szCs w:val="28"/>
        </w:rPr>
      </w:pPr>
      <w:r>
        <w:rPr>
          <w:rStyle w:val="39"/>
          <w:rFonts w:ascii="宋体" w:hAnsi="宋体"/>
          <w:sz w:val="28"/>
          <w:szCs w:val="28"/>
        </w:rPr>
        <w:t>年月日</w:t>
      </w:r>
    </w:p>
    <w:p w14:paraId="3938805F">
      <w:pPr>
        <w:pStyle w:val="13"/>
      </w:pPr>
    </w:p>
    <w:p w14:paraId="4BC99074">
      <w:pPr>
        <w:pStyle w:val="48"/>
        <w:numPr>
          <w:ilvl w:val="0"/>
          <w:numId w:val="20"/>
        </w:numPr>
        <w:snapToGrid w:val="0"/>
        <w:spacing w:line="440" w:lineRule="exact"/>
        <w:ind w:firstLineChars="0"/>
        <w:jc w:val="center"/>
        <w:rPr>
          <w:rStyle w:val="39"/>
          <w:rFonts w:ascii="宋体" w:hAnsi="宋体"/>
          <w:b/>
          <w:szCs w:val="21"/>
        </w:rPr>
      </w:pPr>
      <w:bookmarkStart w:id="812" w:name="_Toc16064005"/>
      <w:r>
        <w:rPr>
          <w:rStyle w:val="39"/>
          <w:rFonts w:ascii="宋体" w:hAnsi="宋体"/>
          <w:b/>
          <w:szCs w:val="21"/>
        </w:rPr>
        <w:t>投标人基本情况表</w:t>
      </w:r>
      <w:bookmarkEnd w:id="812"/>
    </w:p>
    <w:p w14:paraId="31D4F5B3">
      <w:pPr>
        <w:pStyle w:val="48"/>
        <w:snapToGrid w:val="0"/>
        <w:spacing w:line="440" w:lineRule="exact"/>
        <w:ind w:left="1367" w:firstLine="0" w:firstLineChars="0"/>
        <w:rPr>
          <w:rStyle w:val="39"/>
          <w:rFonts w:ascii="宋体" w:hAnsi="宋体"/>
          <w:b/>
          <w:szCs w:val="21"/>
        </w:rPr>
      </w:pPr>
    </w:p>
    <w:tbl>
      <w:tblPr>
        <w:tblStyle w:val="25"/>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85"/>
        <w:gridCol w:w="897"/>
        <w:gridCol w:w="1021"/>
        <w:gridCol w:w="993"/>
        <w:gridCol w:w="283"/>
        <w:gridCol w:w="195"/>
        <w:gridCol w:w="1246"/>
        <w:gridCol w:w="260"/>
        <w:gridCol w:w="709"/>
        <w:gridCol w:w="1416"/>
      </w:tblGrid>
      <w:tr w14:paraId="22CCB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212D5243">
            <w:pPr>
              <w:jc w:val="center"/>
              <w:rPr>
                <w:rStyle w:val="39"/>
                <w:rFonts w:ascii="宋体" w:hAnsi="宋体"/>
                <w:szCs w:val="21"/>
              </w:rPr>
            </w:pPr>
            <w:r>
              <w:rPr>
                <w:rStyle w:val="39"/>
                <w:rFonts w:ascii="宋体" w:hAnsi="宋体"/>
                <w:szCs w:val="21"/>
              </w:rPr>
              <w:t>投标人名称</w:t>
            </w:r>
          </w:p>
        </w:tc>
        <w:tc>
          <w:tcPr>
            <w:tcW w:w="7020" w:type="dxa"/>
            <w:gridSpan w:val="9"/>
            <w:tcBorders>
              <w:top w:val="single" w:color="000000" w:sz="4" w:space="0"/>
              <w:left w:val="single" w:color="000000" w:sz="4" w:space="0"/>
              <w:bottom w:val="single" w:color="000000" w:sz="4" w:space="0"/>
              <w:right w:val="single" w:color="000000" w:sz="4" w:space="0"/>
            </w:tcBorders>
            <w:vAlign w:val="center"/>
          </w:tcPr>
          <w:p w14:paraId="39966A96">
            <w:pPr>
              <w:jc w:val="center"/>
              <w:rPr>
                <w:rStyle w:val="39"/>
                <w:rFonts w:ascii="宋体" w:hAnsi="宋体"/>
                <w:szCs w:val="21"/>
              </w:rPr>
            </w:pPr>
          </w:p>
        </w:tc>
      </w:tr>
      <w:tr w14:paraId="69F2A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06658133">
            <w:pPr>
              <w:jc w:val="center"/>
              <w:rPr>
                <w:rStyle w:val="39"/>
                <w:rFonts w:ascii="宋体" w:hAnsi="宋体"/>
                <w:szCs w:val="21"/>
              </w:rPr>
            </w:pPr>
            <w:r>
              <w:rPr>
                <w:rStyle w:val="39"/>
                <w:rFonts w:ascii="宋体" w:hAnsi="宋体"/>
                <w:szCs w:val="21"/>
              </w:rPr>
              <w:t>注册地址</w:t>
            </w:r>
          </w:p>
        </w:tc>
        <w:tc>
          <w:tcPr>
            <w:tcW w:w="3389" w:type="dxa"/>
            <w:gridSpan w:val="5"/>
            <w:tcBorders>
              <w:top w:val="single" w:color="000000" w:sz="4" w:space="0"/>
              <w:left w:val="single" w:color="000000" w:sz="4" w:space="0"/>
              <w:bottom w:val="single" w:color="000000" w:sz="4" w:space="0"/>
              <w:right w:val="single" w:color="000000" w:sz="4" w:space="0"/>
            </w:tcBorders>
            <w:vAlign w:val="center"/>
          </w:tcPr>
          <w:p w14:paraId="04A3BB28">
            <w:pPr>
              <w:jc w:val="center"/>
              <w:rPr>
                <w:rStyle w:val="39"/>
                <w:rFonts w:ascii="宋体" w:hAnsi="宋体"/>
                <w:szCs w:val="21"/>
              </w:rPr>
            </w:pPr>
          </w:p>
        </w:tc>
        <w:tc>
          <w:tcPr>
            <w:tcW w:w="1246" w:type="dxa"/>
            <w:tcBorders>
              <w:top w:val="single" w:color="000000" w:sz="4" w:space="0"/>
              <w:left w:val="single" w:color="000000" w:sz="4" w:space="0"/>
              <w:bottom w:val="single" w:color="000000" w:sz="4" w:space="0"/>
              <w:right w:val="single" w:color="000000" w:sz="4" w:space="0"/>
            </w:tcBorders>
            <w:vAlign w:val="center"/>
          </w:tcPr>
          <w:p w14:paraId="44B8161D">
            <w:pPr>
              <w:jc w:val="center"/>
              <w:rPr>
                <w:rStyle w:val="39"/>
                <w:rFonts w:ascii="宋体" w:hAnsi="宋体"/>
                <w:szCs w:val="21"/>
              </w:rPr>
            </w:pPr>
            <w:r>
              <w:rPr>
                <w:rStyle w:val="39"/>
                <w:rFonts w:ascii="宋体" w:hAnsi="宋体"/>
                <w:szCs w:val="21"/>
              </w:rPr>
              <w:t>邮政编码</w:t>
            </w:r>
          </w:p>
        </w:tc>
        <w:tc>
          <w:tcPr>
            <w:tcW w:w="2385" w:type="dxa"/>
            <w:gridSpan w:val="3"/>
            <w:tcBorders>
              <w:top w:val="single" w:color="000000" w:sz="4" w:space="0"/>
              <w:left w:val="single" w:color="000000" w:sz="4" w:space="0"/>
              <w:bottom w:val="single" w:color="000000" w:sz="4" w:space="0"/>
              <w:right w:val="single" w:color="000000" w:sz="4" w:space="0"/>
            </w:tcBorders>
            <w:vAlign w:val="center"/>
          </w:tcPr>
          <w:p w14:paraId="75E8B42E">
            <w:pPr>
              <w:jc w:val="center"/>
              <w:rPr>
                <w:rStyle w:val="39"/>
                <w:rFonts w:ascii="宋体" w:hAnsi="宋体"/>
                <w:szCs w:val="21"/>
              </w:rPr>
            </w:pPr>
          </w:p>
        </w:tc>
      </w:tr>
      <w:tr w14:paraId="7428A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485" w:type="dxa"/>
            <w:vMerge w:val="restart"/>
            <w:tcBorders>
              <w:top w:val="single" w:color="000000" w:sz="4" w:space="0"/>
              <w:left w:val="single" w:color="000000" w:sz="4" w:space="0"/>
              <w:bottom w:val="single" w:color="000000" w:sz="4" w:space="0"/>
              <w:right w:val="single" w:color="000000" w:sz="4" w:space="0"/>
            </w:tcBorders>
            <w:vAlign w:val="center"/>
          </w:tcPr>
          <w:p w14:paraId="16DB6D93">
            <w:pPr>
              <w:jc w:val="center"/>
              <w:rPr>
                <w:rStyle w:val="39"/>
                <w:rFonts w:ascii="宋体" w:hAnsi="宋体"/>
                <w:szCs w:val="21"/>
              </w:rPr>
            </w:pPr>
            <w:r>
              <w:rPr>
                <w:rStyle w:val="39"/>
                <w:rFonts w:ascii="宋体" w:hAnsi="宋体"/>
                <w:szCs w:val="21"/>
              </w:rPr>
              <w:t>联系方式</w:t>
            </w:r>
          </w:p>
        </w:tc>
        <w:tc>
          <w:tcPr>
            <w:tcW w:w="897" w:type="dxa"/>
            <w:tcBorders>
              <w:top w:val="single" w:color="000000" w:sz="4" w:space="0"/>
              <w:left w:val="single" w:color="000000" w:sz="4" w:space="0"/>
              <w:bottom w:val="single" w:color="000000" w:sz="4" w:space="0"/>
              <w:right w:val="single" w:color="000000" w:sz="4" w:space="0"/>
            </w:tcBorders>
            <w:vAlign w:val="center"/>
          </w:tcPr>
          <w:p w14:paraId="702DD192">
            <w:pPr>
              <w:jc w:val="center"/>
              <w:rPr>
                <w:rStyle w:val="39"/>
                <w:rFonts w:ascii="宋体" w:hAnsi="宋体"/>
                <w:szCs w:val="21"/>
              </w:rPr>
            </w:pPr>
            <w:r>
              <w:rPr>
                <w:rStyle w:val="39"/>
                <w:rFonts w:ascii="宋体" w:hAnsi="宋体"/>
                <w:szCs w:val="21"/>
              </w:rPr>
              <w:t>联系人</w:t>
            </w:r>
          </w:p>
        </w:tc>
        <w:tc>
          <w:tcPr>
            <w:tcW w:w="2492" w:type="dxa"/>
            <w:gridSpan w:val="4"/>
            <w:tcBorders>
              <w:top w:val="single" w:color="000000" w:sz="4" w:space="0"/>
              <w:left w:val="single" w:color="000000" w:sz="4" w:space="0"/>
              <w:bottom w:val="single" w:color="000000" w:sz="4" w:space="0"/>
              <w:right w:val="single" w:color="000000" w:sz="4" w:space="0"/>
            </w:tcBorders>
            <w:vAlign w:val="center"/>
          </w:tcPr>
          <w:p w14:paraId="011C4732">
            <w:pPr>
              <w:jc w:val="center"/>
              <w:rPr>
                <w:rStyle w:val="39"/>
                <w:rFonts w:ascii="宋体" w:hAnsi="宋体"/>
                <w:szCs w:val="21"/>
              </w:rPr>
            </w:pPr>
          </w:p>
        </w:tc>
        <w:tc>
          <w:tcPr>
            <w:tcW w:w="1246" w:type="dxa"/>
            <w:tcBorders>
              <w:top w:val="single" w:color="000000" w:sz="4" w:space="0"/>
              <w:left w:val="single" w:color="000000" w:sz="4" w:space="0"/>
              <w:bottom w:val="single" w:color="000000" w:sz="4" w:space="0"/>
              <w:right w:val="single" w:color="000000" w:sz="4" w:space="0"/>
            </w:tcBorders>
            <w:vAlign w:val="center"/>
          </w:tcPr>
          <w:p w14:paraId="53F6ED8E">
            <w:pPr>
              <w:jc w:val="center"/>
              <w:rPr>
                <w:rStyle w:val="39"/>
                <w:rFonts w:ascii="宋体" w:hAnsi="宋体"/>
                <w:szCs w:val="21"/>
              </w:rPr>
            </w:pPr>
            <w:r>
              <w:rPr>
                <w:rStyle w:val="39"/>
                <w:rFonts w:ascii="宋体" w:hAnsi="宋体"/>
                <w:szCs w:val="21"/>
              </w:rPr>
              <w:t>电  话</w:t>
            </w:r>
          </w:p>
        </w:tc>
        <w:tc>
          <w:tcPr>
            <w:tcW w:w="2385" w:type="dxa"/>
            <w:gridSpan w:val="3"/>
            <w:tcBorders>
              <w:top w:val="single" w:color="000000" w:sz="4" w:space="0"/>
              <w:left w:val="single" w:color="000000" w:sz="4" w:space="0"/>
              <w:bottom w:val="single" w:color="000000" w:sz="4" w:space="0"/>
              <w:right w:val="single" w:color="000000" w:sz="4" w:space="0"/>
            </w:tcBorders>
            <w:vAlign w:val="center"/>
          </w:tcPr>
          <w:p w14:paraId="3CAB69C3">
            <w:pPr>
              <w:jc w:val="center"/>
              <w:rPr>
                <w:rStyle w:val="39"/>
                <w:rFonts w:ascii="宋体" w:hAnsi="宋体"/>
                <w:szCs w:val="21"/>
              </w:rPr>
            </w:pPr>
          </w:p>
        </w:tc>
      </w:tr>
      <w:tr w14:paraId="2121B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485" w:type="dxa"/>
            <w:vMerge w:val="continue"/>
            <w:tcBorders>
              <w:top w:val="single" w:color="000000" w:sz="4" w:space="0"/>
              <w:left w:val="single" w:color="000000" w:sz="4" w:space="0"/>
              <w:bottom w:val="single" w:color="000000" w:sz="4" w:space="0"/>
              <w:right w:val="single" w:color="000000" w:sz="4" w:space="0"/>
            </w:tcBorders>
            <w:vAlign w:val="center"/>
          </w:tcPr>
          <w:p w14:paraId="269273C0">
            <w:pPr>
              <w:jc w:val="center"/>
              <w:rPr>
                <w:rStyle w:val="39"/>
                <w:rFonts w:ascii="宋体" w:hAnsi="宋体"/>
                <w:szCs w:val="21"/>
              </w:rPr>
            </w:pPr>
          </w:p>
        </w:tc>
        <w:tc>
          <w:tcPr>
            <w:tcW w:w="897" w:type="dxa"/>
            <w:tcBorders>
              <w:top w:val="single" w:color="000000" w:sz="4" w:space="0"/>
              <w:left w:val="single" w:color="000000" w:sz="4" w:space="0"/>
              <w:bottom w:val="single" w:color="000000" w:sz="4" w:space="0"/>
              <w:right w:val="single" w:color="000000" w:sz="4" w:space="0"/>
            </w:tcBorders>
            <w:vAlign w:val="center"/>
          </w:tcPr>
          <w:p w14:paraId="7DCD3A68">
            <w:pPr>
              <w:jc w:val="center"/>
              <w:rPr>
                <w:rStyle w:val="39"/>
                <w:rFonts w:ascii="宋体" w:hAnsi="宋体"/>
                <w:szCs w:val="21"/>
              </w:rPr>
            </w:pPr>
            <w:r>
              <w:rPr>
                <w:rStyle w:val="39"/>
                <w:rFonts w:ascii="宋体" w:hAnsi="宋体"/>
                <w:szCs w:val="21"/>
              </w:rPr>
              <w:t>传  真</w:t>
            </w:r>
          </w:p>
        </w:tc>
        <w:tc>
          <w:tcPr>
            <w:tcW w:w="2492" w:type="dxa"/>
            <w:gridSpan w:val="4"/>
            <w:tcBorders>
              <w:top w:val="single" w:color="000000" w:sz="4" w:space="0"/>
              <w:left w:val="single" w:color="000000" w:sz="4" w:space="0"/>
              <w:bottom w:val="single" w:color="000000" w:sz="4" w:space="0"/>
              <w:right w:val="single" w:color="000000" w:sz="4" w:space="0"/>
            </w:tcBorders>
            <w:vAlign w:val="center"/>
          </w:tcPr>
          <w:p w14:paraId="554297B5">
            <w:pPr>
              <w:jc w:val="center"/>
              <w:rPr>
                <w:rStyle w:val="39"/>
                <w:rFonts w:ascii="宋体" w:hAnsi="宋体"/>
                <w:szCs w:val="21"/>
              </w:rPr>
            </w:pPr>
          </w:p>
        </w:tc>
        <w:tc>
          <w:tcPr>
            <w:tcW w:w="1246" w:type="dxa"/>
            <w:tcBorders>
              <w:top w:val="single" w:color="000000" w:sz="4" w:space="0"/>
              <w:left w:val="single" w:color="000000" w:sz="4" w:space="0"/>
              <w:bottom w:val="single" w:color="000000" w:sz="4" w:space="0"/>
              <w:right w:val="single" w:color="000000" w:sz="4" w:space="0"/>
            </w:tcBorders>
            <w:vAlign w:val="center"/>
          </w:tcPr>
          <w:p w14:paraId="063BA07D">
            <w:pPr>
              <w:jc w:val="center"/>
              <w:rPr>
                <w:rStyle w:val="39"/>
                <w:rFonts w:ascii="宋体" w:hAnsi="宋体"/>
                <w:szCs w:val="21"/>
              </w:rPr>
            </w:pPr>
            <w:r>
              <w:rPr>
                <w:rStyle w:val="39"/>
                <w:rFonts w:ascii="宋体" w:hAnsi="宋体"/>
                <w:szCs w:val="21"/>
              </w:rPr>
              <w:t>网  址</w:t>
            </w:r>
          </w:p>
        </w:tc>
        <w:tc>
          <w:tcPr>
            <w:tcW w:w="2385" w:type="dxa"/>
            <w:gridSpan w:val="3"/>
            <w:tcBorders>
              <w:top w:val="single" w:color="000000" w:sz="4" w:space="0"/>
              <w:left w:val="single" w:color="000000" w:sz="4" w:space="0"/>
              <w:bottom w:val="single" w:color="000000" w:sz="4" w:space="0"/>
              <w:right w:val="single" w:color="000000" w:sz="4" w:space="0"/>
            </w:tcBorders>
            <w:vAlign w:val="center"/>
          </w:tcPr>
          <w:p w14:paraId="3DF04F20">
            <w:pPr>
              <w:jc w:val="center"/>
              <w:rPr>
                <w:rStyle w:val="39"/>
                <w:rFonts w:ascii="宋体" w:hAnsi="宋体"/>
                <w:szCs w:val="21"/>
              </w:rPr>
            </w:pPr>
          </w:p>
        </w:tc>
      </w:tr>
      <w:tr w14:paraId="08023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0DD7A9D4">
            <w:pPr>
              <w:jc w:val="center"/>
              <w:rPr>
                <w:rStyle w:val="39"/>
                <w:rFonts w:ascii="宋体" w:hAnsi="宋体"/>
                <w:szCs w:val="21"/>
              </w:rPr>
            </w:pPr>
            <w:r>
              <w:rPr>
                <w:rStyle w:val="39"/>
                <w:rFonts w:ascii="宋体" w:hAnsi="宋体"/>
                <w:szCs w:val="21"/>
              </w:rPr>
              <w:t>组织结构</w:t>
            </w:r>
          </w:p>
        </w:tc>
        <w:tc>
          <w:tcPr>
            <w:tcW w:w="7020" w:type="dxa"/>
            <w:gridSpan w:val="9"/>
            <w:tcBorders>
              <w:top w:val="single" w:color="000000" w:sz="4" w:space="0"/>
              <w:left w:val="single" w:color="000000" w:sz="4" w:space="0"/>
              <w:bottom w:val="single" w:color="000000" w:sz="4" w:space="0"/>
              <w:right w:val="single" w:color="000000" w:sz="4" w:space="0"/>
            </w:tcBorders>
            <w:vAlign w:val="center"/>
          </w:tcPr>
          <w:p w14:paraId="6DE19280">
            <w:pPr>
              <w:jc w:val="center"/>
              <w:rPr>
                <w:rStyle w:val="39"/>
                <w:rFonts w:ascii="宋体" w:hAnsi="宋体"/>
                <w:szCs w:val="21"/>
              </w:rPr>
            </w:pPr>
          </w:p>
        </w:tc>
      </w:tr>
      <w:tr w14:paraId="586E7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258A8532">
            <w:pPr>
              <w:jc w:val="center"/>
              <w:rPr>
                <w:rStyle w:val="39"/>
                <w:rFonts w:ascii="宋体" w:hAnsi="宋体"/>
                <w:szCs w:val="21"/>
              </w:rPr>
            </w:pPr>
            <w:r>
              <w:rPr>
                <w:rStyle w:val="39"/>
                <w:rFonts w:ascii="宋体" w:hAnsi="宋体"/>
                <w:szCs w:val="21"/>
              </w:rPr>
              <w:t>法定代表人</w:t>
            </w:r>
          </w:p>
        </w:tc>
        <w:tc>
          <w:tcPr>
            <w:tcW w:w="897" w:type="dxa"/>
            <w:tcBorders>
              <w:top w:val="single" w:color="000000" w:sz="4" w:space="0"/>
              <w:left w:val="single" w:color="000000" w:sz="4" w:space="0"/>
              <w:bottom w:val="single" w:color="000000" w:sz="4" w:space="0"/>
              <w:right w:val="single" w:color="000000" w:sz="4" w:space="0"/>
            </w:tcBorders>
            <w:vAlign w:val="center"/>
          </w:tcPr>
          <w:p w14:paraId="60102B27">
            <w:pPr>
              <w:jc w:val="center"/>
              <w:rPr>
                <w:rStyle w:val="39"/>
                <w:rFonts w:ascii="宋体" w:hAnsi="宋体"/>
                <w:szCs w:val="21"/>
              </w:rPr>
            </w:pPr>
            <w:r>
              <w:rPr>
                <w:rStyle w:val="39"/>
                <w:rFonts w:ascii="宋体" w:hAnsi="宋体"/>
                <w:szCs w:val="21"/>
              </w:rPr>
              <w:t>姓名</w:t>
            </w:r>
          </w:p>
        </w:tc>
        <w:tc>
          <w:tcPr>
            <w:tcW w:w="1021" w:type="dxa"/>
            <w:tcBorders>
              <w:top w:val="single" w:color="000000" w:sz="4" w:space="0"/>
              <w:left w:val="single" w:color="000000" w:sz="4" w:space="0"/>
              <w:bottom w:val="single" w:color="000000" w:sz="4" w:space="0"/>
              <w:right w:val="single" w:color="000000" w:sz="4" w:space="0"/>
            </w:tcBorders>
            <w:vAlign w:val="center"/>
          </w:tcPr>
          <w:p w14:paraId="5E24311C">
            <w:pPr>
              <w:jc w:val="center"/>
              <w:rPr>
                <w:rStyle w:val="39"/>
                <w:rFonts w:ascii="宋体" w:hAnsi="宋体"/>
                <w:szCs w:val="21"/>
              </w:rPr>
            </w:pPr>
          </w:p>
        </w:tc>
        <w:tc>
          <w:tcPr>
            <w:tcW w:w="1276" w:type="dxa"/>
            <w:gridSpan w:val="2"/>
            <w:tcBorders>
              <w:top w:val="single" w:color="000000" w:sz="4" w:space="0"/>
              <w:left w:val="single" w:color="000000" w:sz="4" w:space="0"/>
              <w:bottom w:val="single" w:color="000000" w:sz="4" w:space="0"/>
              <w:right w:val="single" w:color="000000" w:sz="4" w:space="0"/>
            </w:tcBorders>
            <w:vAlign w:val="center"/>
          </w:tcPr>
          <w:p w14:paraId="310590B3">
            <w:pPr>
              <w:jc w:val="center"/>
              <w:rPr>
                <w:rStyle w:val="39"/>
                <w:rFonts w:ascii="宋体" w:hAnsi="宋体"/>
                <w:szCs w:val="21"/>
              </w:rPr>
            </w:pPr>
            <w:r>
              <w:rPr>
                <w:rStyle w:val="39"/>
                <w:rFonts w:ascii="宋体" w:hAnsi="宋体"/>
                <w:szCs w:val="21"/>
              </w:rPr>
              <w:t>技术职称</w:t>
            </w:r>
          </w:p>
        </w:tc>
        <w:tc>
          <w:tcPr>
            <w:tcW w:w="1701" w:type="dxa"/>
            <w:gridSpan w:val="3"/>
            <w:tcBorders>
              <w:top w:val="single" w:color="000000" w:sz="4" w:space="0"/>
              <w:left w:val="single" w:color="000000" w:sz="4" w:space="0"/>
              <w:bottom w:val="single" w:color="000000" w:sz="4" w:space="0"/>
              <w:right w:val="single" w:color="000000" w:sz="4" w:space="0"/>
            </w:tcBorders>
            <w:vAlign w:val="center"/>
          </w:tcPr>
          <w:p w14:paraId="049CF349">
            <w:pPr>
              <w:jc w:val="center"/>
              <w:rPr>
                <w:rStyle w:val="39"/>
                <w:rFonts w:ascii="宋体" w:hAnsi="宋体"/>
                <w:szCs w:val="21"/>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523BAB38">
            <w:pPr>
              <w:jc w:val="center"/>
              <w:rPr>
                <w:rStyle w:val="39"/>
                <w:rFonts w:ascii="宋体" w:hAnsi="宋体"/>
                <w:szCs w:val="21"/>
              </w:rPr>
            </w:pPr>
            <w:r>
              <w:rPr>
                <w:rStyle w:val="39"/>
                <w:rFonts w:ascii="宋体" w:hAnsi="宋体"/>
                <w:szCs w:val="21"/>
              </w:rPr>
              <w:t>电话</w:t>
            </w:r>
          </w:p>
        </w:tc>
        <w:tc>
          <w:tcPr>
            <w:tcW w:w="1416" w:type="dxa"/>
            <w:tcBorders>
              <w:top w:val="single" w:color="000000" w:sz="4" w:space="0"/>
              <w:left w:val="single" w:color="000000" w:sz="4" w:space="0"/>
              <w:bottom w:val="single" w:color="000000" w:sz="4" w:space="0"/>
              <w:right w:val="single" w:color="000000" w:sz="4" w:space="0"/>
            </w:tcBorders>
            <w:vAlign w:val="center"/>
          </w:tcPr>
          <w:p w14:paraId="5AC88877">
            <w:pPr>
              <w:jc w:val="center"/>
              <w:rPr>
                <w:rStyle w:val="39"/>
                <w:rFonts w:ascii="宋体" w:hAnsi="宋体"/>
                <w:szCs w:val="21"/>
              </w:rPr>
            </w:pPr>
          </w:p>
        </w:tc>
      </w:tr>
      <w:tr w14:paraId="55615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269443B9">
            <w:pPr>
              <w:jc w:val="center"/>
              <w:rPr>
                <w:rStyle w:val="39"/>
                <w:rFonts w:ascii="宋体" w:hAnsi="宋体"/>
                <w:szCs w:val="21"/>
              </w:rPr>
            </w:pPr>
            <w:r>
              <w:rPr>
                <w:rStyle w:val="39"/>
                <w:rFonts w:ascii="宋体" w:hAnsi="宋体"/>
                <w:szCs w:val="21"/>
              </w:rPr>
              <w:t>技术负责人</w:t>
            </w:r>
          </w:p>
        </w:tc>
        <w:tc>
          <w:tcPr>
            <w:tcW w:w="897" w:type="dxa"/>
            <w:tcBorders>
              <w:top w:val="single" w:color="000000" w:sz="4" w:space="0"/>
              <w:left w:val="single" w:color="000000" w:sz="4" w:space="0"/>
              <w:bottom w:val="single" w:color="000000" w:sz="4" w:space="0"/>
              <w:right w:val="single" w:color="000000" w:sz="4" w:space="0"/>
            </w:tcBorders>
            <w:vAlign w:val="center"/>
          </w:tcPr>
          <w:p w14:paraId="602B26CF">
            <w:pPr>
              <w:jc w:val="center"/>
              <w:rPr>
                <w:rStyle w:val="39"/>
                <w:rFonts w:ascii="宋体" w:hAnsi="宋体"/>
                <w:szCs w:val="21"/>
              </w:rPr>
            </w:pPr>
            <w:r>
              <w:rPr>
                <w:rStyle w:val="39"/>
                <w:rFonts w:ascii="宋体" w:hAnsi="宋体"/>
                <w:szCs w:val="21"/>
              </w:rPr>
              <w:t>姓名</w:t>
            </w:r>
          </w:p>
        </w:tc>
        <w:tc>
          <w:tcPr>
            <w:tcW w:w="1021" w:type="dxa"/>
            <w:tcBorders>
              <w:top w:val="single" w:color="000000" w:sz="4" w:space="0"/>
              <w:left w:val="single" w:color="000000" w:sz="4" w:space="0"/>
              <w:bottom w:val="single" w:color="000000" w:sz="4" w:space="0"/>
              <w:right w:val="single" w:color="000000" w:sz="4" w:space="0"/>
            </w:tcBorders>
            <w:vAlign w:val="center"/>
          </w:tcPr>
          <w:p w14:paraId="20A094EA">
            <w:pPr>
              <w:jc w:val="center"/>
              <w:rPr>
                <w:rStyle w:val="39"/>
                <w:rFonts w:ascii="宋体" w:hAnsi="宋体"/>
                <w:szCs w:val="21"/>
              </w:rPr>
            </w:pPr>
          </w:p>
        </w:tc>
        <w:tc>
          <w:tcPr>
            <w:tcW w:w="1276" w:type="dxa"/>
            <w:gridSpan w:val="2"/>
            <w:tcBorders>
              <w:top w:val="single" w:color="000000" w:sz="4" w:space="0"/>
              <w:left w:val="single" w:color="000000" w:sz="4" w:space="0"/>
              <w:bottom w:val="single" w:color="000000" w:sz="4" w:space="0"/>
              <w:right w:val="single" w:color="000000" w:sz="4" w:space="0"/>
            </w:tcBorders>
            <w:vAlign w:val="center"/>
          </w:tcPr>
          <w:p w14:paraId="57B282B7">
            <w:pPr>
              <w:jc w:val="center"/>
              <w:rPr>
                <w:rStyle w:val="39"/>
                <w:rFonts w:ascii="宋体" w:hAnsi="宋体"/>
                <w:szCs w:val="21"/>
              </w:rPr>
            </w:pPr>
            <w:r>
              <w:rPr>
                <w:rStyle w:val="39"/>
                <w:rFonts w:ascii="宋体" w:hAnsi="宋体"/>
                <w:szCs w:val="21"/>
              </w:rPr>
              <w:t>技术职称</w:t>
            </w:r>
          </w:p>
        </w:tc>
        <w:tc>
          <w:tcPr>
            <w:tcW w:w="1701" w:type="dxa"/>
            <w:gridSpan w:val="3"/>
            <w:tcBorders>
              <w:top w:val="single" w:color="000000" w:sz="4" w:space="0"/>
              <w:left w:val="single" w:color="000000" w:sz="4" w:space="0"/>
              <w:bottom w:val="single" w:color="000000" w:sz="4" w:space="0"/>
              <w:right w:val="single" w:color="000000" w:sz="4" w:space="0"/>
            </w:tcBorders>
            <w:vAlign w:val="center"/>
          </w:tcPr>
          <w:p w14:paraId="3F33974E">
            <w:pPr>
              <w:jc w:val="center"/>
              <w:rPr>
                <w:rStyle w:val="39"/>
                <w:rFonts w:ascii="宋体" w:hAnsi="宋体"/>
                <w:szCs w:val="21"/>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4E32281A">
            <w:pPr>
              <w:jc w:val="center"/>
              <w:rPr>
                <w:rStyle w:val="39"/>
                <w:rFonts w:ascii="宋体" w:hAnsi="宋体"/>
                <w:szCs w:val="21"/>
              </w:rPr>
            </w:pPr>
            <w:r>
              <w:rPr>
                <w:rStyle w:val="39"/>
                <w:rFonts w:ascii="宋体" w:hAnsi="宋体"/>
                <w:szCs w:val="21"/>
              </w:rPr>
              <w:t>电话</w:t>
            </w:r>
          </w:p>
        </w:tc>
        <w:tc>
          <w:tcPr>
            <w:tcW w:w="1416" w:type="dxa"/>
            <w:tcBorders>
              <w:top w:val="single" w:color="000000" w:sz="4" w:space="0"/>
              <w:left w:val="single" w:color="000000" w:sz="4" w:space="0"/>
              <w:bottom w:val="single" w:color="000000" w:sz="4" w:space="0"/>
              <w:right w:val="single" w:color="000000" w:sz="4" w:space="0"/>
            </w:tcBorders>
            <w:vAlign w:val="center"/>
          </w:tcPr>
          <w:p w14:paraId="56B66EA8">
            <w:pPr>
              <w:jc w:val="center"/>
              <w:rPr>
                <w:rStyle w:val="39"/>
                <w:rFonts w:ascii="宋体" w:hAnsi="宋体"/>
                <w:szCs w:val="21"/>
              </w:rPr>
            </w:pPr>
          </w:p>
        </w:tc>
      </w:tr>
      <w:tr w14:paraId="4E1E5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0FA368DC">
            <w:pPr>
              <w:jc w:val="center"/>
              <w:rPr>
                <w:rStyle w:val="39"/>
                <w:rFonts w:ascii="宋体" w:hAnsi="宋体"/>
                <w:szCs w:val="21"/>
              </w:rPr>
            </w:pPr>
            <w:r>
              <w:rPr>
                <w:rStyle w:val="39"/>
                <w:rFonts w:ascii="宋体" w:hAnsi="宋体"/>
                <w:szCs w:val="21"/>
              </w:rPr>
              <w:t>成立时间</w:t>
            </w:r>
          </w:p>
        </w:tc>
        <w:tc>
          <w:tcPr>
            <w:tcW w:w="1918" w:type="dxa"/>
            <w:gridSpan w:val="2"/>
            <w:tcBorders>
              <w:top w:val="single" w:color="000000" w:sz="4" w:space="0"/>
              <w:left w:val="single" w:color="000000" w:sz="4" w:space="0"/>
              <w:bottom w:val="single" w:color="000000" w:sz="4" w:space="0"/>
              <w:right w:val="single" w:color="000000" w:sz="4" w:space="0"/>
            </w:tcBorders>
            <w:vAlign w:val="center"/>
          </w:tcPr>
          <w:p w14:paraId="1A73FDB1">
            <w:pPr>
              <w:jc w:val="center"/>
              <w:rPr>
                <w:rStyle w:val="39"/>
                <w:rFonts w:ascii="宋体" w:hAnsi="宋体"/>
                <w:szCs w:val="21"/>
              </w:rPr>
            </w:pPr>
          </w:p>
        </w:tc>
        <w:tc>
          <w:tcPr>
            <w:tcW w:w="5102" w:type="dxa"/>
            <w:gridSpan w:val="7"/>
            <w:tcBorders>
              <w:top w:val="single" w:color="000000" w:sz="4" w:space="0"/>
              <w:left w:val="single" w:color="000000" w:sz="4" w:space="0"/>
              <w:bottom w:val="single" w:color="000000" w:sz="4" w:space="0"/>
              <w:right w:val="single" w:color="000000" w:sz="4" w:space="0"/>
            </w:tcBorders>
            <w:vAlign w:val="center"/>
          </w:tcPr>
          <w:p w14:paraId="0939B405">
            <w:pPr>
              <w:jc w:val="center"/>
              <w:rPr>
                <w:rStyle w:val="39"/>
                <w:rFonts w:ascii="宋体" w:hAnsi="宋体"/>
                <w:szCs w:val="21"/>
              </w:rPr>
            </w:pPr>
            <w:r>
              <w:rPr>
                <w:rStyle w:val="39"/>
                <w:rFonts w:ascii="宋体" w:hAnsi="宋体"/>
                <w:szCs w:val="21"/>
              </w:rPr>
              <w:t>员工总人数：</w:t>
            </w:r>
          </w:p>
        </w:tc>
      </w:tr>
      <w:tr w14:paraId="47C88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56DD5527">
            <w:pPr>
              <w:jc w:val="center"/>
              <w:rPr>
                <w:rStyle w:val="39"/>
                <w:rFonts w:ascii="宋体" w:hAnsi="宋体"/>
                <w:szCs w:val="21"/>
              </w:rPr>
            </w:pPr>
            <w:r>
              <w:rPr>
                <w:rStyle w:val="39"/>
                <w:rFonts w:ascii="宋体" w:hAnsi="宋体"/>
                <w:szCs w:val="21"/>
              </w:rPr>
              <w:t>企业资质等级</w:t>
            </w:r>
          </w:p>
        </w:tc>
        <w:tc>
          <w:tcPr>
            <w:tcW w:w="897" w:type="dxa"/>
            <w:tcBorders>
              <w:top w:val="single" w:color="000000" w:sz="4" w:space="0"/>
              <w:left w:val="single" w:color="000000" w:sz="4" w:space="0"/>
              <w:bottom w:val="single" w:color="000000" w:sz="4" w:space="0"/>
              <w:right w:val="single" w:color="000000" w:sz="4" w:space="0"/>
            </w:tcBorders>
            <w:vAlign w:val="center"/>
          </w:tcPr>
          <w:p w14:paraId="5267E02B">
            <w:pPr>
              <w:jc w:val="center"/>
              <w:rPr>
                <w:rStyle w:val="39"/>
                <w:rFonts w:ascii="宋体" w:hAnsi="宋体"/>
                <w:szCs w:val="21"/>
              </w:rPr>
            </w:pPr>
          </w:p>
        </w:tc>
        <w:tc>
          <w:tcPr>
            <w:tcW w:w="1021" w:type="dxa"/>
            <w:tcBorders>
              <w:top w:val="single" w:color="000000" w:sz="4" w:space="0"/>
              <w:left w:val="single" w:color="000000" w:sz="4" w:space="0"/>
              <w:bottom w:val="single" w:color="000000" w:sz="4" w:space="0"/>
              <w:right w:val="single" w:color="000000" w:sz="4" w:space="0"/>
            </w:tcBorders>
            <w:vAlign w:val="center"/>
          </w:tcPr>
          <w:p w14:paraId="363B9387">
            <w:pPr>
              <w:jc w:val="center"/>
              <w:rPr>
                <w:rStyle w:val="39"/>
                <w:rFonts w:ascii="宋体" w:hAnsi="宋体"/>
                <w:szCs w:val="21"/>
              </w:rPr>
            </w:pPr>
          </w:p>
        </w:tc>
        <w:tc>
          <w:tcPr>
            <w:tcW w:w="993" w:type="dxa"/>
            <w:vMerge w:val="restart"/>
            <w:tcBorders>
              <w:top w:val="single" w:color="000000" w:sz="4" w:space="0"/>
              <w:left w:val="single" w:color="000000" w:sz="4" w:space="0"/>
              <w:bottom w:val="single" w:color="000000" w:sz="4" w:space="0"/>
              <w:right w:val="single" w:color="000000" w:sz="4" w:space="0"/>
            </w:tcBorders>
            <w:vAlign w:val="center"/>
          </w:tcPr>
          <w:p w14:paraId="13FF80BC">
            <w:pPr>
              <w:jc w:val="center"/>
              <w:rPr>
                <w:rStyle w:val="39"/>
                <w:rFonts w:ascii="宋体" w:hAnsi="宋体"/>
                <w:szCs w:val="21"/>
              </w:rPr>
            </w:pPr>
            <w:r>
              <w:rPr>
                <w:rStyle w:val="39"/>
                <w:rFonts w:ascii="宋体" w:hAnsi="宋体"/>
                <w:szCs w:val="21"/>
              </w:rPr>
              <w:t>其中</w:t>
            </w:r>
          </w:p>
        </w:tc>
        <w:tc>
          <w:tcPr>
            <w:tcW w:w="1984" w:type="dxa"/>
            <w:gridSpan w:val="4"/>
            <w:tcBorders>
              <w:top w:val="single" w:color="000000" w:sz="4" w:space="0"/>
              <w:left w:val="single" w:color="000000" w:sz="4" w:space="0"/>
              <w:bottom w:val="single" w:color="000000" w:sz="4" w:space="0"/>
              <w:right w:val="single" w:color="000000" w:sz="4" w:space="0"/>
            </w:tcBorders>
            <w:vAlign w:val="center"/>
          </w:tcPr>
          <w:p w14:paraId="679A04BD">
            <w:pPr>
              <w:jc w:val="center"/>
              <w:rPr>
                <w:rStyle w:val="39"/>
                <w:rFonts w:ascii="宋体" w:hAnsi="宋体"/>
                <w:szCs w:val="21"/>
              </w:rPr>
            </w:pPr>
            <w:r>
              <w:rPr>
                <w:rStyle w:val="39"/>
                <w:rFonts w:ascii="宋体" w:hAnsi="宋体"/>
                <w:szCs w:val="21"/>
              </w:rPr>
              <w:t>项目经理</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58ACD9E8">
            <w:pPr>
              <w:jc w:val="center"/>
              <w:rPr>
                <w:rStyle w:val="39"/>
                <w:rFonts w:ascii="宋体" w:hAnsi="宋体"/>
                <w:szCs w:val="21"/>
              </w:rPr>
            </w:pPr>
          </w:p>
        </w:tc>
      </w:tr>
      <w:tr w14:paraId="17834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163769B5">
            <w:pPr>
              <w:jc w:val="center"/>
              <w:rPr>
                <w:rStyle w:val="39"/>
                <w:rFonts w:ascii="宋体" w:hAnsi="宋体"/>
                <w:szCs w:val="21"/>
              </w:rPr>
            </w:pPr>
            <w:r>
              <w:rPr>
                <w:rStyle w:val="39"/>
                <w:rFonts w:ascii="宋体" w:hAnsi="宋体"/>
                <w:szCs w:val="21"/>
              </w:rPr>
              <w:t>营业执照号</w:t>
            </w:r>
          </w:p>
        </w:tc>
        <w:tc>
          <w:tcPr>
            <w:tcW w:w="897" w:type="dxa"/>
            <w:tcBorders>
              <w:top w:val="single" w:color="000000" w:sz="4" w:space="0"/>
              <w:left w:val="single" w:color="000000" w:sz="4" w:space="0"/>
              <w:bottom w:val="single" w:color="000000" w:sz="4" w:space="0"/>
              <w:right w:val="single" w:color="000000" w:sz="4" w:space="0"/>
            </w:tcBorders>
            <w:vAlign w:val="center"/>
          </w:tcPr>
          <w:p w14:paraId="0566FFB1">
            <w:pPr>
              <w:jc w:val="center"/>
              <w:rPr>
                <w:rStyle w:val="39"/>
                <w:rFonts w:ascii="宋体" w:hAnsi="宋体"/>
                <w:szCs w:val="21"/>
              </w:rPr>
            </w:pPr>
          </w:p>
        </w:tc>
        <w:tc>
          <w:tcPr>
            <w:tcW w:w="1021" w:type="dxa"/>
            <w:tcBorders>
              <w:top w:val="single" w:color="000000" w:sz="4" w:space="0"/>
              <w:left w:val="single" w:color="000000" w:sz="4" w:space="0"/>
              <w:bottom w:val="single" w:color="000000" w:sz="4" w:space="0"/>
              <w:right w:val="single" w:color="000000" w:sz="4" w:space="0"/>
            </w:tcBorders>
            <w:vAlign w:val="center"/>
          </w:tcPr>
          <w:p w14:paraId="475A5623">
            <w:pPr>
              <w:jc w:val="center"/>
              <w:rPr>
                <w:rStyle w:val="39"/>
                <w:rFonts w:ascii="宋体" w:hAnsi="宋体"/>
                <w:szCs w:val="21"/>
              </w:rPr>
            </w:pPr>
          </w:p>
        </w:tc>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58F20AAA">
            <w:pPr>
              <w:jc w:val="center"/>
              <w:rPr>
                <w:rStyle w:val="39"/>
                <w:rFonts w:ascii="宋体" w:hAnsi="宋体"/>
                <w:szCs w:val="21"/>
              </w:rPr>
            </w:pPr>
          </w:p>
        </w:tc>
        <w:tc>
          <w:tcPr>
            <w:tcW w:w="1984" w:type="dxa"/>
            <w:gridSpan w:val="4"/>
            <w:tcBorders>
              <w:top w:val="single" w:color="000000" w:sz="4" w:space="0"/>
              <w:left w:val="single" w:color="000000" w:sz="4" w:space="0"/>
              <w:bottom w:val="single" w:color="000000" w:sz="4" w:space="0"/>
              <w:right w:val="single" w:color="000000" w:sz="4" w:space="0"/>
            </w:tcBorders>
            <w:vAlign w:val="center"/>
          </w:tcPr>
          <w:p w14:paraId="34D31D81">
            <w:pPr>
              <w:jc w:val="center"/>
              <w:rPr>
                <w:rStyle w:val="39"/>
                <w:rFonts w:ascii="宋体" w:hAnsi="宋体"/>
                <w:szCs w:val="21"/>
              </w:rPr>
            </w:pPr>
            <w:r>
              <w:rPr>
                <w:rStyle w:val="39"/>
                <w:rFonts w:ascii="宋体" w:hAnsi="宋体"/>
                <w:szCs w:val="21"/>
              </w:rPr>
              <w:t>高级职称人员</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239391B4">
            <w:pPr>
              <w:jc w:val="center"/>
              <w:rPr>
                <w:rStyle w:val="39"/>
                <w:rFonts w:ascii="宋体" w:hAnsi="宋体"/>
                <w:szCs w:val="21"/>
              </w:rPr>
            </w:pPr>
          </w:p>
        </w:tc>
      </w:tr>
      <w:tr w14:paraId="7E52D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4758F34C">
            <w:pPr>
              <w:jc w:val="center"/>
              <w:rPr>
                <w:rStyle w:val="39"/>
                <w:rFonts w:ascii="宋体" w:hAnsi="宋体"/>
                <w:szCs w:val="21"/>
              </w:rPr>
            </w:pPr>
            <w:r>
              <w:rPr>
                <w:rStyle w:val="39"/>
                <w:rFonts w:ascii="宋体" w:hAnsi="宋体"/>
                <w:szCs w:val="21"/>
              </w:rPr>
              <w:t>注册资金</w:t>
            </w:r>
          </w:p>
        </w:tc>
        <w:tc>
          <w:tcPr>
            <w:tcW w:w="897" w:type="dxa"/>
            <w:tcBorders>
              <w:top w:val="single" w:color="000000" w:sz="4" w:space="0"/>
              <w:left w:val="single" w:color="000000" w:sz="4" w:space="0"/>
              <w:bottom w:val="single" w:color="000000" w:sz="4" w:space="0"/>
              <w:right w:val="single" w:color="000000" w:sz="4" w:space="0"/>
            </w:tcBorders>
            <w:vAlign w:val="center"/>
          </w:tcPr>
          <w:p w14:paraId="648A8763">
            <w:pPr>
              <w:jc w:val="center"/>
              <w:rPr>
                <w:rStyle w:val="39"/>
                <w:rFonts w:ascii="宋体" w:hAnsi="宋体"/>
                <w:szCs w:val="21"/>
              </w:rPr>
            </w:pPr>
          </w:p>
        </w:tc>
        <w:tc>
          <w:tcPr>
            <w:tcW w:w="1021" w:type="dxa"/>
            <w:tcBorders>
              <w:top w:val="single" w:color="000000" w:sz="4" w:space="0"/>
              <w:left w:val="single" w:color="000000" w:sz="4" w:space="0"/>
              <w:bottom w:val="single" w:color="000000" w:sz="4" w:space="0"/>
              <w:right w:val="single" w:color="000000" w:sz="4" w:space="0"/>
            </w:tcBorders>
            <w:vAlign w:val="center"/>
          </w:tcPr>
          <w:p w14:paraId="321DD9C3">
            <w:pPr>
              <w:jc w:val="center"/>
              <w:rPr>
                <w:rStyle w:val="39"/>
                <w:rFonts w:ascii="宋体" w:hAnsi="宋体"/>
                <w:szCs w:val="21"/>
              </w:rPr>
            </w:pPr>
          </w:p>
        </w:tc>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138B601B">
            <w:pPr>
              <w:jc w:val="center"/>
              <w:rPr>
                <w:rStyle w:val="39"/>
                <w:rFonts w:ascii="宋体" w:hAnsi="宋体"/>
                <w:szCs w:val="21"/>
              </w:rPr>
            </w:pPr>
          </w:p>
        </w:tc>
        <w:tc>
          <w:tcPr>
            <w:tcW w:w="1984" w:type="dxa"/>
            <w:gridSpan w:val="4"/>
            <w:tcBorders>
              <w:top w:val="single" w:color="000000" w:sz="4" w:space="0"/>
              <w:left w:val="single" w:color="000000" w:sz="4" w:space="0"/>
              <w:bottom w:val="single" w:color="000000" w:sz="4" w:space="0"/>
              <w:right w:val="single" w:color="000000" w:sz="4" w:space="0"/>
            </w:tcBorders>
            <w:vAlign w:val="center"/>
          </w:tcPr>
          <w:p w14:paraId="3CC01C0C">
            <w:pPr>
              <w:jc w:val="center"/>
              <w:rPr>
                <w:rStyle w:val="39"/>
                <w:rFonts w:ascii="宋体" w:hAnsi="宋体"/>
                <w:szCs w:val="21"/>
              </w:rPr>
            </w:pPr>
            <w:r>
              <w:rPr>
                <w:rStyle w:val="39"/>
                <w:rFonts w:ascii="宋体" w:hAnsi="宋体"/>
                <w:szCs w:val="21"/>
              </w:rPr>
              <w:t>中级职称人员</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10379C0E">
            <w:pPr>
              <w:jc w:val="center"/>
              <w:rPr>
                <w:rStyle w:val="39"/>
                <w:rFonts w:ascii="宋体" w:hAnsi="宋体"/>
                <w:szCs w:val="21"/>
              </w:rPr>
            </w:pPr>
          </w:p>
        </w:tc>
      </w:tr>
      <w:tr w14:paraId="402B1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5D6AED6B">
            <w:pPr>
              <w:jc w:val="center"/>
              <w:rPr>
                <w:rStyle w:val="39"/>
                <w:rFonts w:ascii="宋体" w:hAnsi="宋体"/>
                <w:szCs w:val="21"/>
              </w:rPr>
            </w:pPr>
            <w:r>
              <w:rPr>
                <w:rStyle w:val="39"/>
                <w:rFonts w:ascii="宋体" w:hAnsi="宋体"/>
                <w:szCs w:val="21"/>
              </w:rPr>
              <w:t>开户银行</w:t>
            </w:r>
          </w:p>
        </w:tc>
        <w:tc>
          <w:tcPr>
            <w:tcW w:w="897" w:type="dxa"/>
            <w:tcBorders>
              <w:top w:val="single" w:color="000000" w:sz="4" w:space="0"/>
              <w:left w:val="single" w:color="000000" w:sz="4" w:space="0"/>
              <w:bottom w:val="single" w:color="000000" w:sz="4" w:space="0"/>
              <w:right w:val="single" w:color="000000" w:sz="4" w:space="0"/>
            </w:tcBorders>
            <w:vAlign w:val="center"/>
          </w:tcPr>
          <w:p w14:paraId="08DDAAD9">
            <w:pPr>
              <w:jc w:val="center"/>
              <w:rPr>
                <w:rStyle w:val="39"/>
                <w:rFonts w:ascii="宋体" w:hAnsi="宋体"/>
                <w:szCs w:val="21"/>
              </w:rPr>
            </w:pPr>
          </w:p>
        </w:tc>
        <w:tc>
          <w:tcPr>
            <w:tcW w:w="1021" w:type="dxa"/>
            <w:tcBorders>
              <w:top w:val="single" w:color="000000" w:sz="4" w:space="0"/>
              <w:left w:val="single" w:color="000000" w:sz="4" w:space="0"/>
              <w:bottom w:val="single" w:color="000000" w:sz="4" w:space="0"/>
              <w:right w:val="single" w:color="000000" w:sz="4" w:space="0"/>
            </w:tcBorders>
            <w:vAlign w:val="center"/>
          </w:tcPr>
          <w:p w14:paraId="79FC0556">
            <w:pPr>
              <w:jc w:val="center"/>
              <w:rPr>
                <w:rStyle w:val="39"/>
                <w:rFonts w:ascii="宋体" w:hAnsi="宋体"/>
                <w:szCs w:val="21"/>
              </w:rPr>
            </w:pPr>
          </w:p>
        </w:tc>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0929AD67">
            <w:pPr>
              <w:jc w:val="center"/>
              <w:rPr>
                <w:rStyle w:val="39"/>
                <w:rFonts w:ascii="宋体" w:hAnsi="宋体"/>
                <w:szCs w:val="21"/>
              </w:rPr>
            </w:pPr>
          </w:p>
        </w:tc>
        <w:tc>
          <w:tcPr>
            <w:tcW w:w="1984" w:type="dxa"/>
            <w:gridSpan w:val="4"/>
            <w:tcBorders>
              <w:top w:val="single" w:color="000000" w:sz="4" w:space="0"/>
              <w:left w:val="single" w:color="000000" w:sz="4" w:space="0"/>
              <w:bottom w:val="single" w:color="000000" w:sz="4" w:space="0"/>
              <w:right w:val="single" w:color="000000" w:sz="4" w:space="0"/>
            </w:tcBorders>
            <w:vAlign w:val="center"/>
          </w:tcPr>
          <w:p w14:paraId="61AA7238">
            <w:pPr>
              <w:jc w:val="center"/>
              <w:rPr>
                <w:rStyle w:val="39"/>
                <w:rFonts w:ascii="宋体" w:hAnsi="宋体"/>
                <w:szCs w:val="21"/>
              </w:rPr>
            </w:pPr>
            <w:r>
              <w:rPr>
                <w:rStyle w:val="39"/>
                <w:rFonts w:ascii="宋体" w:hAnsi="宋体"/>
                <w:szCs w:val="21"/>
              </w:rPr>
              <w:t>初级职称人员</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04CA0CE4">
            <w:pPr>
              <w:jc w:val="center"/>
              <w:rPr>
                <w:rStyle w:val="39"/>
                <w:rFonts w:ascii="宋体" w:hAnsi="宋体"/>
                <w:szCs w:val="21"/>
              </w:rPr>
            </w:pPr>
          </w:p>
        </w:tc>
      </w:tr>
      <w:tr w14:paraId="597C1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1EB5C4A1">
            <w:pPr>
              <w:jc w:val="center"/>
              <w:rPr>
                <w:rStyle w:val="39"/>
                <w:rFonts w:ascii="宋体" w:hAnsi="宋体"/>
                <w:szCs w:val="21"/>
              </w:rPr>
            </w:pPr>
            <w:r>
              <w:rPr>
                <w:rStyle w:val="39"/>
                <w:rFonts w:ascii="宋体" w:hAnsi="宋体"/>
                <w:szCs w:val="21"/>
              </w:rPr>
              <w:t>账号</w:t>
            </w:r>
          </w:p>
        </w:tc>
        <w:tc>
          <w:tcPr>
            <w:tcW w:w="897" w:type="dxa"/>
            <w:tcBorders>
              <w:top w:val="single" w:color="000000" w:sz="4" w:space="0"/>
              <w:left w:val="single" w:color="000000" w:sz="4" w:space="0"/>
              <w:bottom w:val="single" w:color="000000" w:sz="4" w:space="0"/>
              <w:right w:val="single" w:color="000000" w:sz="4" w:space="0"/>
            </w:tcBorders>
            <w:vAlign w:val="center"/>
          </w:tcPr>
          <w:p w14:paraId="72701579">
            <w:pPr>
              <w:jc w:val="center"/>
              <w:rPr>
                <w:rStyle w:val="39"/>
                <w:rFonts w:ascii="宋体" w:hAnsi="宋体"/>
                <w:szCs w:val="21"/>
              </w:rPr>
            </w:pPr>
          </w:p>
        </w:tc>
        <w:tc>
          <w:tcPr>
            <w:tcW w:w="1021" w:type="dxa"/>
            <w:tcBorders>
              <w:top w:val="single" w:color="000000" w:sz="4" w:space="0"/>
              <w:left w:val="single" w:color="000000" w:sz="4" w:space="0"/>
              <w:bottom w:val="single" w:color="000000" w:sz="4" w:space="0"/>
              <w:right w:val="single" w:color="000000" w:sz="4" w:space="0"/>
            </w:tcBorders>
            <w:vAlign w:val="center"/>
          </w:tcPr>
          <w:p w14:paraId="3726A215">
            <w:pPr>
              <w:jc w:val="center"/>
              <w:rPr>
                <w:rStyle w:val="39"/>
                <w:rFonts w:ascii="宋体" w:hAnsi="宋体"/>
                <w:szCs w:val="21"/>
              </w:rPr>
            </w:pPr>
          </w:p>
        </w:tc>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60C326E8">
            <w:pPr>
              <w:jc w:val="center"/>
              <w:rPr>
                <w:rStyle w:val="39"/>
                <w:rFonts w:ascii="宋体" w:hAnsi="宋体"/>
                <w:szCs w:val="21"/>
              </w:rPr>
            </w:pPr>
          </w:p>
        </w:tc>
        <w:tc>
          <w:tcPr>
            <w:tcW w:w="1984" w:type="dxa"/>
            <w:gridSpan w:val="4"/>
            <w:tcBorders>
              <w:top w:val="single" w:color="000000" w:sz="4" w:space="0"/>
              <w:left w:val="single" w:color="000000" w:sz="4" w:space="0"/>
              <w:bottom w:val="single" w:color="000000" w:sz="4" w:space="0"/>
              <w:right w:val="single" w:color="000000" w:sz="4" w:space="0"/>
            </w:tcBorders>
            <w:vAlign w:val="center"/>
          </w:tcPr>
          <w:p w14:paraId="6B922EB3">
            <w:pPr>
              <w:jc w:val="center"/>
              <w:rPr>
                <w:rStyle w:val="39"/>
                <w:rFonts w:ascii="宋体" w:hAnsi="宋体"/>
                <w:szCs w:val="21"/>
              </w:rPr>
            </w:pPr>
            <w:r>
              <w:rPr>
                <w:rStyle w:val="39"/>
                <w:rFonts w:ascii="宋体" w:hAnsi="宋体"/>
                <w:szCs w:val="21"/>
              </w:rPr>
              <w:t>技  工</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5CFAC15E">
            <w:pPr>
              <w:jc w:val="center"/>
              <w:rPr>
                <w:rStyle w:val="39"/>
                <w:rFonts w:ascii="宋体" w:hAnsi="宋体"/>
                <w:szCs w:val="21"/>
              </w:rPr>
            </w:pPr>
          </w:p>
        </w:tc>
      </w:tr>
      <w:tr w14:paraId="382F3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2"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30419539">
            <w:pPr>
              <w:jc w:val="center"/>
              <w:rPr>
                <w:rStyle w:val="39"/>
                <w:rFonts w:ascii="宋体" w:hAnsi="宋体"/>
                <w:szCs w:val="21"/>
              </w:rPr>
            </w:pPr>
            <w:r>
              <w:rPr>
                <w:rStyle w:val="39"/>
                <w:rFonts w:ascii="宋体" w:hAnsi="宋体"/>
                <w:szCs w:val="21"/>
              </w:rPr>
              <w:t>经营范围</w:t>
            </w:r>
          </w:p>
        </w:tc>
        <w:tc>
          <w:tcPr>
            <w:tcW w:w="7020" w:type="dxa"/>
            <w:gridSpan w:val="9"/>
            <w:tcBorders>
              <w:top w:val="single" w:color="000000" w:sz="4" w:space="0"/>
              <w:left w:val="single" w:color="000000" w:sz="4" w:space="0"/>
              <w:bottom w:val="single" w:color="000000" w:sz="4" w:space="0"/>
              <w:right w:val="single" w:color="000000" w:sz="4" w:space="0"/>
            </w:tcBorders>
            <w:vAlign w:val="center"/>
          </w:tcPr>
          <w:p w14:paraId="4819724C">
            <w:pPr>
              <w:jc w:val="center"/>
              <w:rPr>
                <w:rStyle w:val="39"/>
                <w:rFonts w:ascii="宋体" w:hAnsi="宋体"/>
                <w:szCs w:val="21"/>
              </w:rPr>
            </w:pPr>
          </w:p>
        </w:tc>
      </w:tr>
      <w:tr w14:paraId="51857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485" w:type="dxa"/>
            <w:tcBorders>
              <w:top w:val="single" w:color="000000" w:sz="4" w:space="0"/>
              <w:left w:val="single" w:color="000000" w:sz="4" w:space="0"/>
              <w:bottom w:val="single" w:color="000000" w:sz="4" w:space="0"/>
              <w:right w:val="single" w:color="000000" w:sz="4" w:space="0"/>
            </w:tcBorders>
            <w:vAlign w:val="center"/>
          </w:tcPr>
          <w:p w14:paraId="44B92654">
            <w:pPr>
              <w:jc w:val="center"/>
              <w:rPr>
                <w:rStyle w:val="39"/>
                <w:rFonts w:ascii="宋体" w:hAnsi="宋体"/>
                <w:szCs w:val="21"/>
              </w:rPr>
            </w:pPr>
            <w:r>
              <w:rPr>
                <w:rStyle w:val="39"/>
                <w:rFonts w:ascii="宋体" w:hAnsi="宋体"/>
                <w:szCs w:val="21"/>
              </w:rPr>
              <w:t>备注</w:t>
            </w:r>
          </w:p>
        </w:tc>
        <w:tc>
          <w:tcPr>
            <w:tcW w:w="7020" w:type="dxa"/>
            <w:gridSpan w:val="9"/>
            <w:tcBorders>
              <w:top w:val="single" w:color="000000" w:sz="4" w:space="0"/>
              <w:left w:val="single" w:color="000000" w:sz="4" w:space="0"/>
              <w:bottom w:val="single" w:color="000000" w:sz="4" w:space="0"/>
              <w:right w:val="single" w:color="000000" w:sz="4" w:space="0"/>
            </w:tcBorders>
            <w:vAlign w:val="center"/>
          </w:tcPr>
          <w:p w14:paraId="281E10F5">
            <w:pPr>
              <w:jc w:val="center"/>
              <w:rPr>
                <w:rStyle w:val="39"/>
                <w:rFonts w:ascii="宋体" w:hAnsi="宋体"/>
                <w:szCs w:val="21"/>
              </w:rPr>
            </w:pPr>
          </w:p>
        </w:tc>
      </w:tr>
    </w:tbl>
    <w:p w14:paraId="4508AA67">
      <w:pPr>
        <w:spacing w:line="440" w:lineRule="exact"/>
        <w:rPr>
          <w:rStyle w:val="39"/>
          <w:rFonts w:ascii="宋体" w:hAnsi="宋体"/>
          <w:szCs w:val="21"/>
        </w:rPr>
      </w:pPr>
      <w:r>
        <w:rPr>
          <w:rStyle w:val="39"/>
          <w:rFonts w:ascii="宋体" w:hAnsi="宋体"/>
          <w:szCs w:val="21"/>
        </w:rPr>
        <w:t>备注：本表后应附企业法人营业执照、企业资质证书副本、安全生产许可证等材料的复印件。</w:t>
      </w:r>
    </w:p>
    <w:p w14:paraId="2CD59F73">
      <w:pPr>
        <w:spacing w:before="120" w:after="240" w:line="440" w:lineRule="exact"/>
        <w:jc w:val="center"/>
        <w:rPr>
          <w:rStyle w:val="39"/>
          <w:rFonts w:ascii="宋体" w:hAnsi="宋体"/>
          <w:szCs w:val="21"/>
          <w:shd w:val="pct10" w:color="auto" w:fill="FFFFFF"/>
        </w:rPr>
      </w:pPr>
      <w:r>
        <w:rPr>
          <w:rStyle w:val="39"/>
          <w:rFonts w:ascii="宋体" w:hAnsi="宋体"/>
          <w:szCs w:val="21"/>
          <w:shd w:val="pct10" w:color="auto" w:fill="FFFFFF"/>
        </w:rPr>
        <w:br w:type="page"/>
      </w:r>
    </w:p>
    <w:p w14:paraId="6CBAF9D5">
      <w:pPr>
        <w:pStyle w:val="48"/>
        <w:numPr>
          <w:ilvl w:val="0"/>
          <w:numId w:val="20"/>
        </w:numPr>
        <w:snapToGrid w:val="0"/>
        <w:spacing w:line="440" w:lineRule="exact"/>
        <w:ind w:firstLineChars="0"/>
        <w:jc w:val="center"/>
        <w:rPr>
          <w:rStyle w:val="39"/>
          <w:rFonts w:ascii="宋体" w:hAnsi="宋体"/>
          <w:b/>
          <w:szCs w:val="21"/>
        </w:rPr>
      </w:pPr>
      <w:bookmarkStart w:id="813" w:name="_Toc16064006"/>
      <w:r>
        <w:rPr>
          <w:rStyle w:val="39"/>
          <w:rFonts w:hint="eastAsia" w:ascii="宋体" w:hAnsi="宋体"/>
          <w:b/>
          <w:szCs w:val="21"/>
        </w:rPr>
        <w:t>202</w:t>
      </w:r>
      <w:r>
        <w:rPr>
          <w:rStyle w:val="39"/>
          <w:rFonts w:hint="eastAsia" w:ascii="宋体" w:hAnsi="宋体"/>
          <w:b/>
          <w:szCs w:val="21"/>
          <w:lang w:val="en-US" w:eastAsia="zh-CN"/>
        </w:rPr>
        <w:t>3</w:t>
      </w:r>
      <w:r>
        <w:rPr>
          <w:rStyle w:val="39"/>
          <w:rFonts w:hint="eastAsia" w:ascii="宋体" w:hAnsi="宋体"/>
          <w:b/>
          <w:szCs w:val="21"/>
        </w:rPr>
        <w:t>、202</w:t>
      </w:r>
      <w:r>
        <w:rPr>
          <w:rStyle w:val="39"/>
          <w:rFonts w:hint="eastAsia" w:ascii="宋体" w:hAnsi="宋体"/>
          <w:b/>
          <w:szCs w:val="21"/>
          <w:lang w:val="en-US" w:eastAsia="zh-CN"/>
        </w:rPr>
        <w:t>4</w:t>
      </w:r>
      <w:r>
        <w:rPr>
          <w:rStyle w:val="39"/>
          <w:rFonts w:hint="eastAsia" w:ascii="宋体" w:hAnsi="宋体"/>
          <w:b/>
          <w:szCs w:val="21"/>
        </w:rPr>
        <w:t>、202</w:t>
      </w:r>
      <w:r>
        <w:rPr>
          <w:rStyle w:val="39"/>
          <w:rFonts w:hint="eastAsia" w:ascii="宋体" w:hAnsi="宋体"/>
          <w:b/>
          <w:szCs w:val="21"/>
          <w:lang w:val="en-US" w:eastAsia="zh-CN"/>
        </w:rPr>
        <w:t>5</w:t>
      </w:r>
      <w:r>
        <w:rPr>
          <w:rStyle w:val="39"/>
          <w:rFonts w:ascii="宋体" w:hAnsi="宋体"/>
          <w:b/>
          <w:szCs w:val="21"/>
        </w:rPr>
        <w:t>年财务状况：</w:t>
      </w:r>
      <w:bookmarkEnd w:id="813"/>
    </w:p>
    <w:p w14:paraId="04D1F9C0">
      <w:pPr>
        <w:pStyle w:val="48"/>
        <w:snapToGrid w:val="0"/>
        <w:spacing w:line="440" w:lineRule="exact"/>
        <w:ind w:left="1367" w:firstLine="0" w:firstLineChars="0"/>
        <w:rPr>
          <w:rStyle w:val="39"/>
          <w:rFonts w:ascii="宋体" w:hAnsi="宋体"/>
          <w:b/>
          <w:szCs w:val="21"/>
        </w:rPr>
      </w:pPr>
    </w:p>
    <w:p w14:paraId="22E136AF">
      <w:pPr>
        <w:spacing w:line="440" w:lineRule="exact"/>
        <w:rPr>
          <w:rStyle w:val="39"/>
          <w:rFonts w:ascii="宋体" w:hAnsi="宋体"/>
          <w:szCs w:val="21"/>
        </w:rPr>
      </w:pPr>
      <w:r>
        <w:rPr>
          <w:rStyle w:val="39"/>
          <w:rFonts w:ascii="宋体" w:hAnsi="宋体"/>
        </w:rPr>
        <w:t xml:space="preserve">   附：</w:t>
      </w:r>
      <w:r>
        <w:rPr>
          <w:rStyle w:val="39"/>
          <w:rFonts w:hint="eastAsia" w:ascii="宋体" w:hAnsi="宋体"/>
        </w:rPr>
        <w:t>投标人提供经会计师事务所审计且出具无保留意见的近三年（近三年指2023、2024、2025年）的财务审计报告，对应年度企业财务审计报告扫描件盖章附后。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要求后附企业最近半年完税证明、信用证明材料（中国人民银行信用报告）；年度纳税信用评价信息（可从电子税务局查询截图）；企业对外担保说明（写明贵单位对外有无对外担保和质押业务）。</w:t>
      </w:r>
    </w:p>
    <w:tbl>
      <w:tblPr>
        <w:tblStyle w:val="26"/>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2"/>
        <w:gridCol w:w="2322"/>
        <w:gridCol w:w="2322"/>
        <w:gridCol w:w="2322"/>
      </w:tblGrid>
      <w:tr w14:paraId="21204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288" w:type="dxa"/>
            <w:gridSpan w:val="4"/>
            <w:vAlign w:val="center"/>
          </w:tcPr>
          <w:p w14:paraId="282B30BB">
            <w:pPr>
              <w:spacing w:line="440" w:lineRule="exact"/>
              <w:jc w:val="center"/>
              <w:rPr>
                <w:rStyle w:val="39"/>
                <w:rFonts w:ascii="宋体" w:hAnsi="宋体"/>
              </w:rPr>
            </w:pPr>
            <w:r>
              <w:rPr>
                <w:rStyle w:val="39"/>
                <w:rFonts w:hint="eastAsia" w:ascii="宋体" w:hAnsi="宋体"/>
              </w:rPr>
              <w:t>投标单位资产情况汇总表</w:t>
            </w:r>
          </w:p>
        </w:tc>
      </w:tr>
      <w:tr w14:paraId="75218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547C3AAE">
            <w:pPr>
              <w:spacing w:line="440" w:lineRule="exact"/>
              <w:jc w:val="center"/>
              <w:rPr>
                <w:rStyle w:val="39"/>
                <w:rFonts w:ascii="宋体" w:hAnsi="宋体"/>
              </w:rPr>
            </w:pPr>
            <w:r>
              <w:rPr>
                <w:rStyle w:val="39"/>
                <w:rFonts w:hint="eastAsia" w:ascii="宋体" w:hAnsi="宋体"/>
              </w:rPr>
              <w:t>注册资金（万元）</w:t>
            </w:r>
          </w:p>
        </w:tc>
        <w:tc>
          <w:tcPr>
            <w:tcW w:w="6966" w:type="dxa"/>
            <w:gridSpan w:val="3"/>
          </w:tcPr>
          <w:p w14:paraId="4E5E3744">
            <w:pPr>
              <w:spacing w:line="440" w:lineRule="exact"/>
              <w:jc w:val="center"/>
              <w:rPr>
                <w:rStyle w:val="39"/>
                <w:rFonts w:ascii="宋体" w:hAnsi="宋体"/>
              </w:rPr>
            </w:pPr>
          </w:p>
        </w:tc>
      </w:tr>
      <w:tr w14:paraId="0DD8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04552865">
            <w:pPr>
              <w:spacing w:line="440" w:lineRule="exact"/>
              <w:jc w:val="center"/>
              <w:rPr>
                <w:rStyle w:val="39"/>
                <w:rFonts w:ascii="宋体" w:hAnsi="宋体"/>
              </w:rPr>
            </w:pPr>
            <w:r>
              <w:rPr>
                <w:rStyle w:val="39"/>
                <w:rFonts w:ascii="宋体" w:hAnsi="宋体"/>
              </w:rPr>
              <w:t>实收资金（万元）</w:t>
            </w:r>
          </w:p>
        </w:tc>
        <w:tc>
          <w:tcPr>
            <w:tcW w:w="6966" w:type="dxa"/>
            <w:gridSpan w:val="3"/>
          </w:tcPr>
          <w:p w14:paraId="1F45EC43">
            <w:pPr>
              <w:spacing w:line="440" w:lineRule="exact"/>
              <w:jc w:val="center"/>
              <w:rPr>
                <w:rStyle w:val="39"/>
                <w:rFonts w:ascii="宋体" w:hAnsi="宋体"/>
              </w:rPr>
            </w:pPr>
          </w:p>
        </w:tc>
      </w:tr>
      <w:tr w14:paraId="326E6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3AA812D9">
            <w:pPr>
              <w:spacing w:line="440" w:lineRule="exact"/>
              <w:jc w:val="center"/>
              <w:rPr>
                <w:rStyle w:val="39"/>
                <w:rFonts w:ascii="宋体" w:hAnsi="宋体"/>
              </w:rPr>
            </w:pPr>
            <w:r>
              <w:rPr>
                <w:rStyle w:val="39"/>
                <w:rFonts w:hint="eastAsia" w:ascii="宋体" w:hAnsi="宋体"/>
              </w:rPr>
              <w:t>年度资产情况</w:t>
            </w:r>
          </w:p>
        </w:tc>
        <w:tc>
          <w:tcPr>
            <w:tcW w:w="2322" w:type="dxa"/>
          </w:tcPr>
          <w:p w14:paraId="1E6E8AE0">
            <w:pPr>
              <w:spacing w:line="440" w:lineRule="exact"/>
              <w:jc w:val="center"/>
              <w:rPr>
                <w:rStyle w:val="39"/>
                <w:rFonts w:ascii="宋体" w:hAnsi="宋体"/>
              </w:rPr>
            </w:pPr>
            <w:r>
              <w:rPr>
                <w:rStyle w:val="39"/>
                <w:rFonts w:hint="eastAsia" w:ascii="宋体" w:hAnsi="宋体"/>
              </w:rPr>
              <w:t>202</w:t>
            </w:r>
            <w:r>
              <w:rPr>
                <w:rStyle w:val="39"/>
                <w:rFonts w:hint="eastAsia" w:ascii="宋体" w:hAnsi="宋体"/>
                <w:lang w:val="en-US" w:eastAsia="zh-CN"/>
              </w:rPr>
              <w:t>3</w:t>
            </w:r>
            <w:r>
              <w:rPr>
                <w:rStyle w:val="39"/>
                <w:rFonts w:hint="eastAsia" w:ascii="宋体" w:hAnsi="宋体"/>
              </w:rPr>
              <w:t>年</w:t>
            </w:r>
          </w:p>
        </w:tc>
        <w:tc>
          <w:tcPr>
            <w:tcW w:w="2322" w:type="dxa"/>
          </w:tcPr>
          <w:p w14:paraId="7888AA56">
            <w:pPr>
              <w:spacing w:line="440" w:lineRule="exact"/>
              <w:jc w:val="center"/>
              <w:rPr>
                <w:rStyle w:val="39"/>
                <w:rFonts w:ascii="宋体" w:hAnsi="宋体"/>
              </w:rPr>
            </w:pPr>
            <w:r>
              <w:rPr>
                <w:rStyle w:val="39"/>
                <w:rFonts w:hint="eastAsia" w:ascii="宋体" w:hAnsi="宋体"/>
              </w:rPr>
              <w:t>202</w:t>
            </w:r>
            <w:r>
              <w:rPr>
                <w:rStyle w:val="39"/>
                <w:rFonts w:hint="eastAsia" w:ascii="宋体" w:hAnsi="宋体"/>
                <w:lang w:val="en-US" w:eastAsia="zh-CN"/>
              </w:rPr>
              <w:t>4</w:t>
            </w:r>
            <w:r>
              <w:rPr>
                <w:rStyle w:val="39"/>
                <w:rFonts w:hint="eastAsia" w:ascii="宋体" w:hAnsi="宋体"/>
              </w:rPr>
              <w:t>年</w:t>
            </w:r>
          </w:p>
        </w:tc>
        <w:tc>
          <w:tcPr>
            <w:tcW w:w="2322" w:type="dxa"/>
          </w:tcPr>
          <w:p w14:paraId="096C9827">
            <w:pPr>
              <w:spacing w:line="440" w:lineRule="exact"/>
              <w:jc w:val="center"/>
              <w:rPr>
                <w:rStyle w:val="39"/>
                <w:rFonts w:ascii="宋体" w:hAnsi="宋体"/>
              </w:rPr>
            </w:pPr>
            <w:r>
              <w:rPr>
                <w:rStyle w:val="39"/>
                <w:rFonts w:hint="eastAsia" w:ascii="宋体" w:hAnsi="宋体"/>
              </w:rPr>
              <w:t>202</w:t>
            </w:r>
            <w:r>
              <w:rPr>
                <w:rStyle w:val="39"/>
                <w:rFonts w:hint="eastAsia" w:ascii="宋体" w:hAnsi="宋体"/>
                <w:lang w:val="en-US" w:eastAsia="zh-CN"/>
              </w:rPr>
              <w:t>5</w:t>
            </w:r>
            <w:r>
              <w:rPr>
                <w:rStyle w:val="39"/>
                <w:rFonts w:hint="eastAsia" w:ascii="宋体" w:hAnsi="宋体"/>
              </w:rPr>
              <w:t>年</w:t>
            </w:r>
          </w:p>
        </w:tc>
      </w:tr>
      <w:tr w14:paraId="737D6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24BF5A84">
            <w:pPr>
              <w:spacing w:line="440" w:lineRule="exact"/>
              <w:jc w:val="center"/>
              <w:rPr>
                <w:rStyle w:val="39"/>
                <w:rFonts w:ascii="宋体" w:hAnsi="宋体"/>
              </w:rPr>
            </w:pPr>
            <w:r>
              <w:rPr>
                <w:rStyle w:val="39"/>
                <w:rFonts w:hint="eastAsia" w:ascii="宋体" w:hAnsi="宋体"/>
              </w:rPr>
              <w:t>流动资产（万元）</w:t>
            </w:r>
          </w:p>
        </w:tc>
        <w:tc>
          <w:tcPr>
            <w:tcW w:w="2322" w:type="dxa"/>
          </w:tcPr>
          <w:p w14:paraId="3656AA4E">
            <w:pPr>
              <w:spacing w:line="440" w:lineRule="exact"/>
              <w:jc w:val="center"/>
              <w:rPr>
                <w:rStyle w:val="39"/>
                <w:rFonts w:ascii="宋体" w:hAnsi="宋体"/>
              </w:rPr>
            </w:pPr>
          </w:p>
        </w:tc>
        <w:tc>
          <w:tcPr>
            <w:tcW w:w="2322" w:type="dxa"/>
          </w:tcPr>
          <w:p w14:paraId="6DD81EEC">
            <w:pPr>
              <w:spacing w:line="440" w:lineRule="exact"/>
              <w:jc w:val="center"/>
              <w:rPr>
                <w:rStyle w:val="39"/>
                <w:rFonts w:ascii="宋体" w:hAnsi="宋体"/>
              </w:rPr>
            </w:pPr>
          </w:p>
        </w:tc>
        <w:tc>
          <w:tcPr>
            <w:tcW w:w="2322" w:type="dxa"/>
          </w:tcPr>
          <w:p w14:paraId="6B14049F">
            <w:pPr>
              <w:spacing w:line="440" w:lineRule="exact"/>
              <w:jc w:val="center"/>
              <w:rPr>
                <w:rStyle w:val="39"/>
                <w:rFonts w:ascii="宋体" w:hAnsi="宋体"/>
              </w:rPr>
            </w:pPr>
          </w:p>
        </w:tc>
      </w:tr>
      <w:tr w14:paraId="7FEAC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40697FE1">
            <w:pPr>
              <w:spacing w:line="440" w:lineRule="exact"/>
              <w:jc w:val="center"/>
              <w:rPr>
                <w:rStyle w:val="39"/>
                <w:rFonts w:ascii="宋体" w:hAnsi="宋体"/>
              </w:rPr>
            </w:pPr>
            <w:r>
              <w:rPr>
                <w:rStyle w:val="39"/>
                <w:rFonts w:hint="eastAsia" w:ascii="宋体" w:hAnsi="宋体"/>
              </w:rPr>
              <w:t>非流动资产（万元）</w:t>
            </w:r>
          </w:p>
        </w:tc>
        <w:tc>
          <w:tcPr>
            <w:tcW w:w="2322" w:type="dxa"/>
          </w:tcPr>
          <w:p w14:paraId="4B408A47">
            <w:pPr>
              <w:spacing w:line="440" w:lineRule="exact"/>
              <w:jc w:val="center"/>
              <w:rPr>
                <w:rStyle w:val="39"/>
                <w:rFonts w:ascii="宋体" w:hAnsi="宋体"/>
              </w:rPr>
            </w:pPr>
          </w:p>
        </w:tc>
        <w:tc>
          <w:tcPr>
            <w:tcW w:w="2322" w:type="dxa"/>
          </w:tcPr>
          <w:p w14:paraId="3E2634DE">
            <w:pPr>
              <w:spacing w:line="440" w:lineRule="exact"/>
              <w:jc w:val="center"/>
              <w:rPr>
                <w:rStyle w:val="39"/>
                <w:rFonts w:ascii="宋体" w:hAnsi="宋体"/>
              </w:rPr>
            </w:pPr>
          </w:p>
        </w:tc>
        <w:tc>
          <w:tcPr>
            <w:tcW w:w="2322" w:type="dxa"/>
          </w:tcPr>
          <w:p w14:paraId="75ED3505">
            <w:pPr>
              <w:spacing w:line="440" w:lineRule="exact"/>
              <w:jc w:val="center"/>
              <w:rPr>
                <w:rStyle w:val="39"/>
                <w:rFonts w:ascii="宋体" w:hAnsi="宋体"/>
              </w:rPr>
            </w:pPr>
          </w:p>
        </w:tc>
      </w:tr>
      <w:tr w14:paraId="4494F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6325A3A9">
            <w:pPr>
              <w:spacing w:line="440" w:lineRule="exact"/>
              <w:jc w:val="center"/>
              <w:rPr>
                <w:rStyle w:val="39"/>
                <w:rFonts w:ascii="宋体" w:hAnsi="宋体"/>
              </w:rPr>
            </w:pPr>
            <w:r>
              <w:rPr>
                <w:rStyle w:val="39"/>
                <w:rFonts w:hint="eastAsia" w:ascii="宋体" w:hAnsi="宋体"/>
              </w:rPr>
              <w:t>营业收入（万元）</w:t>
            </w:r>
          </w:p>
        </w:tc>
        <w:tc>
          <w:tcPr>
            <w:tcW w:w="2322" w:type="dxa"/>
          </w:tcPr>
          <w:p w14:paraId="53AECB75">
            <w:pPr>
              <w:spacing w:line="440" w:lineRule="exact"/>
              <w:jc w:val="center"/>
              <w:rPr>
                <w:rStyle w:val="39"/>
                <w:rFonts w:ascii="宋体" w:hAnsi="宋体"/>
              </w:rPr>
            </w:pPr>
          </w:p>
        </w:tc>
        <w:tc>
          <w:tcPr>
            <w:tcW w:w="2322" w:type="dxa"/>
          </w:tcPr>
          <w:p w14:paraId="0952EB59">
            <w:pPr>
              <w:spacing w:line="440" w:lineRule="exact"/>
              <w:jc w:val="center"/>
              <w:rPr>
                <w:rStyle w:val="39"/>
                <w:rFonts w:ascii="宋体" w:hAnsi="宋体"/>
              </w:rPr>
            </w:pPr>
          </w:p>
        </w:tc>
        <w:tc>
          <w:tcPr>
            <w:tcW w:w="2322" w:type="dxa"/>
          </w:tcPr>
          <w:p w14:paraId="2D779B83">
            <w:pPr>
              <w:spacing w:line="440" w:lineRule="exact"/>
              <w:jc w:val="center"/>
              <w:rPr>
                <w:rStyle w:val="39"/>
                <w:rFonts w:ascii="宋体" w:hAnsi="宋体"/>
              </w:rPr>
            </w:pPr>
          </w:p>
        </w:tc>
      </w:tr>
      <w:tr w14:paraId="6B0E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590DB2F9">
            <w:pPr>
              <w:spacing w:line="440" w:lineRule="exact"/>
              <w:jc w:val="center"/>
              <w:rPr>
                <w:rStyle w:val="39"/>
                <w:rFonts w:ascii="宋体" w:hAnsi="宋体"/>
              </w:rPr>
            </w:pPr>
            <w:r>
              <w:rPr>
                <w:rStyle w:val="39"/>
                <w:rFonts w:hint="eastAsia" w:ascii="宋体" w:hAnsi="宋体"/>
              </w:rPr>
              <w:t>年底资产总值（万元）</w:t>
            </w:r>
          </w:p>
        </w:tc>
        <w:tc>
          <w:tcPr>
            <w:tcW w:w="2322" w:type="dxa"/>
          </w:tcPr>
          <w:p w14:paraId="2F43E1A1">
            <w:pPr>
              <w:spacing w:line="440" w:lineRule="exact"/>
              <w:jc w:val="center"/>
              <w:rPr>
                <w:rStyle w:val="39"/>
                <w:rFonts w:ascii="宋体" w:hAnsi="宋体"/>
              </w:rPr>
            </w:pPr>
          </w:p>
        </w:tc>
        <w:tc>
          <w:tcPr>
            <w:tcW w:w="2322" w:type="dxa"/>
          </w:tcPr>
          <w:p w14:paraId="635A8DCE">
            <w:pPr>
              <w:spacing w:line="440" w:lineRule="exact"/>
              <w:jc w:val="center"/>
              <w:rPr>
                <w:rStyle w:val="39"/>
                <w:rFonts w:ascii="宋体" w:hAnsi="宋体"/>
              </w:rPr>
            </w:pPr>
          </w:p>
        </w:tc>
        <w:tc>
          <w:tcPr>
            <w:tcW w:w="2322" w:type="dxa"/>
          </w:tcPr>
          <w:p w14:paraId="090E8D2D">
            <w:pPr>
              <w:spacing w:line="440" w:lineRule="exact"/>
              <w:jc w:val="center"/>
              <w:rPr>
                <w:rStyle w:val="39"/>
                <w:rFonts w:ascii="宋体" w:hAnsi="宋体"/>
              </w:rPr>
            </w:pPr>
          </w:p>
        </w:tc>
      </w:tr>
      <w:tr w14:paraId="0988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7D8A44CE">
            <w:pPr>
              <w:spacing w:line="440" w:lineRule="exact"/>
              <w:jc w:val="center"/>
              <w:rPr>
                <w:rStyle w:val="39"/>
                <w:rFonts w:ascii="宋体" w:hAnsi="宋体"/>
              </w:rPr>
            </w:pPr>
            <w:r>
              <w:rPr>
                <w:rStyle w:val="39"/>
                <w:rFonts w:hint="eastAsia" w:ascii="宋体" w:hAnsi="宋体"/>
              </w:rPr>
              <w:t>年底负债总值（万元）</w:t>
            </w:r>
          </w:p>
        </w:tc>
        <w:tc>
          <w:tcPr>
            <w:tcW w:w="2322" w:type="dxa"/>
          </w:tcPr>
          <w:p w14:paraId="5FFF6062">
            <w:pPr>
              <w:spacing w:line="440" w:lineRule="exact"/>
              <w:jc w:val="center"/>
              <w:rPr>
                <w:rStyle w:val="39"/>
                <w:rFonts w:ascii="宋体" w:hAnsi="宋体"/>
              </w:rPr>
            </w:pPr>
          </w:p>
        </w:tc>
        <w:tc>
          <w:tcPr>
            <w:tcW w:w="2322" w:type="dxa"/>
          </w:tcPr>
          <w:p w14:paraId="1E50FDE8">
            <w:pPr>
              <w:spacing w:line="440" w:lineRule="exact"/>
              <w:jc w:val="center"/>
              <w:rPr>
                <w:rStyle w:val="39"/>
                <w:rFonts w:ascii="宋体" w:hAnsi="宋体"/>
              </w:rPr>
            </w:pPr>
          </w:p>
        </w:tc>
        <w:tc>
          <w:tcPr>
            <w:tcW w:w="2322" w:type="dxa"/>
          </w:tcPr>
          <w:p w14:paraId="3BDCE538">
            <w:pPr>
              <w:spacing w:line="440" w:lineRule="exact"/>
              <w:jc w:val="center"/>
              <w:rPr>
                <w:rStyle w:val="39"/>
                <w:rFonts w:ascii="宋体" w:hAnsi="宋体"/>
              </w:rPr>
            </w:pPr>
          </w:p>
        </w:tc>
      </w:tr>
      <w:tr w14:paraId="2B452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29DB30EF">
            <w:pPr>
              <w:spacing w:line="440" w:lineRule="exact"/>
              <w:jc w:val="center"/>
              <w:rPr>
                <w:rStyle w:val="39"/>
                <w:rFonts w:ascii="宋体" w:hAnsi="宋体"/>
              </w:rPr>
            </w:pPr>
            <w:r>
              <w:rPr>
                <w:rStyle w:val="39"/>
                <w:rFonts w:ascii="宋体" w:hAnsi="宋体"/>
              </w:rPr>
              <w:t>资产负债率</w:t>
            </w:r>
            <w:r>
              <w:rPr>
                <w:rStyle w:val="39"/>
                <w:rFonts w:hint="eastAsia" w:ascii="宋体" w:hAnsi="宋体"/>
              </w:rPr>
              <w:t>（**.**%）</w:t>
            </w:r>
          </w:p>
        </w:tc>
        <w:tc>
          <w:tcPr>
            <w:tcW w:w="2322" w:type="dxa"/>
          </w:tcPr>
          <w:p w14:paraId="27C9DF25">
            <w:pPr>
              <w:spacing w:line="440" w:lineRule="exact"/>
              <w:jc w:val="center"/>
              <w:rPr>
                <w:rStyle w:val="39"/>
                <w:rFonts w:ascii="宋体" w:hAnsi="宋体"/>
              </w:rPr>
            </w:pPr>
          </w:p>
        </w:tc>
        <w:tc>
          <w:tcPr>
            <w:tcW w:w="2322" w:type="dxa"/>
          </w:tcPr>
          <w:p w14:paraId="344FF6FC">
            <w:pPr>
              <w:spacing w:line="440" w:lineRule="exact"/>
              <w:jc w:val="center"/>
              <w:rPr>
                <w:rStyle w:val="39"/>
                <w:rFonts w:ascii="宋体" w:hAnsi="宋体"/>
              </w:rPr>
            </w:pPr>
          </w:p>
        </w:tc>
        <w:tc>
          <w:tcPr>
            <w:tcW w:w="2322" w:type="dxa"/>
          </w:tcPr>
          <w:p w14:paraId="0008C77D">
            <w:pPr>
              <w:spacing w:line="440" w:lineRule="exact"/>
              <w:jc w:val="center"/>
              <w:rPr>
                <w:rStyle w:val="39"/>
                <w:rFonts w:ascii="宋体" w:hAnsi="宋体"/>
              </w:rPr>
            </w:pPr>
          </w:p>
        </w:tc>
      </w:tr>
      <w:tr w14:paraId="391BC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79DA073F">
            <w:pPr>
              <w:spacing w:line="440" w:lineRule="exact"/>
              <w:jc w:val="center"/>
              <w:rPr>
                <w:rStyle w:val="39"/>
                <w:rFonts w:ascii="宋体" w:hAnsi="宋体"/>
              </w:rPr>
            </w:pPr>
            <w:r>
              <w:rPr>
                <w:rStyle w:val="39"/>
                <w:rFonts w:hint="eastAsia" w:ascii="宋体" w:hAnsi="宋体"/>
              </w:rPr>
              <w:t>净利润（万元）</w:t>
            </w:r>
          </w:p>
        </w:tc>
        <w:tc>
          <w:tcPr>
            <w:tcW w:w="2322" w:type="dxa"/>
          </w:tcPr>
          <w:p w14:paraId="71B62517">
            <w:pPr>
              <w:spacing w:line="440" w:lineRule="exact"/>
              <w:jc w:val="center"/>
              <w:rPr>
                <w:rStyle w:val="39"/>
                <w:rFonts w:ascii="宋体" w:hAnsi="宋体"/>
              </w:rPr>
            </w:pPr>
          </w:p>
        </w:tc>
        <w:tc>
          <w:tcPr>
            <w:tcW w:w="2322" w:type="dxa"/>
          </w:tcPr>
          <w:p w14:paraId="4064AD01">
            <w:pPr>
              <w:spacing w:line="440" w:lineRule="exact"/>
              <w:jc w:val="center"/>
              <w:rPr>
                <w:rStyle w:val="39"/>
                <w:rFonts w:ascii="宋体" w:hAnsi="宋体"/>
              </w:rPr>
            </w:pPr>
          </w:p>
        </w:tc>
        <w:tc>
          <w:tcPr>
            <w:tcW w:w="2322" w:type="dxa"/>
          </w:tcPr>
          <w:p w14:paraId="078B8103">
            <w:pPr>
              <w:spacing w:line="440" w:lineRule="exact"/>
              <w:jc w:val="center"/>
              <w:rPr>
                <w:rStyle w:val="39"/>
                <w:rFonts w:ascii="宋体" w:hAnsi="宋体"/>
              </w:rPr>
            </w:pPr>
          </w:p>
        </w:tc>
      </w:tr>
      <w:tr w14:paraId="2D01F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3D521F4A">
            <w:pPr>
              <w:spacing w:line="440" w:lineRule="exact"/>
              <w:jc w:val="center"/>
              <w:rPr>
                <w:rStyle w:val="39"/>
                <w:rFonts w:ascii="宋体" w:hAnsi="宋体"/>
              </w:rPr>
            </w:pPr>
            <w:r>
              <w:rPr>
                <w:rStyle w:val="39"/>
                <w:rFonts w:hint="eastAsia" w:ascii="宋体" w:hAnsi="宋体"/>
              </w:rPr>
              <w:t>未分配利润（万元）</w:t>
            </w:r>
          </w:p>
        </w:tc>
        <w:tc>
          <w:tcPr>
            <w:tcW w:w="2322" w:type="dxa"/>
          </w:tcPr>
          <w:p w14:paraId="534641F9">
            <w:pPr>
              <w:spacing w:line="440" w:lineRule="exact"/>
              <w:jc w:val="center"/>
              <w:rPr>
                <w:rStyle w:val="39"/>
                <w:rFonts w:ascii="宋体" w:hAnsi="宋体"/>
              </w:rPr>
            </w:pPr>
          </w:p>
        </w:tc>
        <w:tc>
          <w:tcPr>
            <w:tcW w:w="2322" w:type="dxa"/>
          </w:tcPr>
          <w:p w14:paraId="5E2E3F14">
            <w:pPr>
              <w:spacing w:line="440" w:lineRule="exact"/>
              <w:jc w:val="center"/>
              <w:rPr>
                <w:rStyle w:val="39"/>
                <w:rFonts w:ascii="宋体" w:hAnsi="宋体"/>
              </w:rPr>
            </w:pPr>
          </w:p>
        </w:tc>
        <w:tc>
          <w:tcPr>
            <w:tcW w:w="2322" w:type="dxa"/>
          </w:tcPr>
          <w:p w14:paraId="57752B9A">
            <w:pPr>
              <w:spacing w:line="440" w:lineRule="exact"/>
              <w:jc w:val="center"/>
              <w:rPr>
                <w:rStyle w:val="39"/>
                <w:rFonts w:ascii="宋体" w:hAnsi="宋体"/>
              </w:rPr>
            </w:pPr>
          </w:p>
        </w:tc>
      </w:tr>
      <w:tr w14:paraId="65ADB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73CA9228">
            <w:pPr>
              <w:spacing w:line="440" w:lineRule="exact"/>
              <w:jc w:val="center"/>
              <w:rPr>
                <w:rFonts w:ascii="宋体" w:hAnsi="宋体"/>
              </w:rPr>
            </w:pPr>
            <w:r>
              <w:rPr>
                <w:rStyle w:val="39"/>
                <w:rFonts w:hint="eastAsia" w:ascii="宋体" w:hAnsi="宋体"/>
              </w:rPr>
              <w:t>营运</w:t>
            </w:r>
            <w:r>
              <w:rPr>
                <w:rStyle w:val="39"/>
                <w:rFonts w:ascii="宋体" w:hAnsi="宋体"/>
              </w:rPr>
              <w:t>资</w:t>
            </w:r>
            <w:r>
              <w:rPr>
                <w:rStyle w:val="39"/>
                <w:rFonts w:hint="eastAsia" w:ascii="宋体" w:hAnsi="宋体"/>
              </w:rPr>
              <w:t>金</w:t>
            </w:r>
          </w:p>
        </w:tc>
        <w:tc>
          <w:tcPr>
            <w:tcW w:w="2322" w:type="dxa"/>
          </w:tcPr>
          <w:p w14:paraId="27340D3E">
            <w:pPr>
              <w:spacing w:line="440" w:lineRule="exact"/>
              <w:jc w:val="center"/>
              <w:rPr>
                <w:rStyle w:val="39"/>
                <w:rFonts w:ascii="宋体" w:hAnsi="宋体"/>
              </w:rPr>
            </w:pPr>
          </w:p>
        </w:tc>
        <w:tc>
          <w:tcPr>
            <w:tcW w:w="2322" w:type="dxa"/>
          </w:tcPr>
          <w:p w14:paraId="5DBB49FC">
            <w:pPr>
              <w:spacing w:line="440" w:lineRule="exact"/>
              <w:jc w:val="center"/>
              <w:rPr>
                <w:rStyle w:val="39"/>
                <w:rFonts w:ascii="宋体" w:hAnsi="宋体"/>
              </w:rPr>
            </w:pPr>
          </w:p>
        </w:tc>
        <w:tc>
          <w:tcPr>
            <w:tcW w:w="2322" w:type="dxa"/>
          </w:tcPr>
          <w:p w14:paraId="27AB21F9">
            <w:pPr>
              <w:spacing w:line="440" w:lineRule="exact"/>
              <w:jc w:val="center"/>
              <w:rPr>
                <w:rStyle w:val="39"/>
                <w:rFonts w:ascii="宋体" w:hAnsi="宋体"/>
              </w:rPr>
            </w:pPr>
          </w:p>
        </w:tc>
      </w:tr>
      <w:tr w14:paraId="689B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2" w:type="dxa"/>
          </w:tcPr>
          <w:p w14:paraId="018A69A3">
            <w:pPr>
              <w:spacing w:line="440" w:lineRule="exact"/>
              <w:jc w:val="center"/>
              <w:rPr>
                <w:rFonts w:ascii="宋体" w:hAnsi="宋体"/>
              </w:rPr>
            </w:pPr>
            <w:r>
              <w:rPr>
                <w:rStyle w:val="39"/>
                <w:rFonts w:hint="eastAsia" w:ascii="宋体" w:hAnsi="宋体"/>
              </w:rPr>
              <w:t>（本年营业收入-上年营业收入）÷上年营业收入</w:t>
            </w:r>
          </w:p>
        </w:tc>
        <w:tc>
          <w:tcPr>
            <w:tcW w:w="2322" w:type="dxa"/>
          </w:tcPr>
          <w:p w14:paraId="0054F77F">
            <w:pPr>
              <w:spacing w:line="440" w:lineRule="exact"/>
              <w:jc w:val="center"/>
              <w:rPr>
                <w:rStyle w:val="39"/>
                <w:rFonts w:ascii="宋体" w:hAnsi="宋体"/>
              </w:rPr>
            </w:pPr>
          </w:p>
        </w:tc>
        <w:tc>
          <w:tcPr>
            <w:tcW w:w="2322" w:type="dxa"/>
          </w:tcPr>
          <w:p w14:paraId="49AD450C">
            <w:pPr>
              <w:spacing w:line="440" w:lineRule="exact"/>
              <w:jc w:val="center"/>
              <w:rPr>
                <w:rStyle w:val="39"/>
                <w:rFonts w:ascii="宋体" w:hAnsi="宋体"/>
              </w:rPr>
            </w:pPr>
          </w:p>
        </w:tc>
        <w:tc>
          <w:tcPr>
            <w:tcW w:w="2322" w:type="dxa"/>
          </w:tcPr>
          <w:p w14:paraId="0C358A84">
            <w:pPr>
              <w:spacing w:line="440" w:lineRule="exact"/>
              <w:jc w:val="center"/>
              <w:rPr>
                <w:rStyle w:val="39"/>
                <w:rFonts w:ascii="宋体" w:hAnsi="宋体"/>
              </w:rPr>
            </w:pPr>
          </w:p>
        </w:tc>
      </w:tr>
    </w:tbl>
    <w:p w14:paraId="011721DC">
      <w:pPr>
        <w:spacing w:line="440" w:lineRule="exact"/>
        <w:rPr>
          <w:rStyle w:val="39"/>
          <w:rFonts w:ascii="宋体" w:hAnsi="宋体"/>
        </w:rPr>
      </w:pPr>
    </w:p>
    <w:p w14:paraId="1C3F8D4B">
      <w:pPr>
        <w:pStyle w:val="48"/>
        <w:numPr>
          <w:ilvl w:val="0"/>
          <w:numId w:val="20"/>
        </w:numPr>
        <w:snapToGrid w:val="0"/>
        <w:spacing w:line="440" w:lineRule="exact"/>
        <w:ind w:firstLineChars="0"/>
        <w:jc w:val="center"/>
        <w:rPr>
          <w:rStyle w:val="39"/>
          <w:rFonts w:ascii="宋体" w:hAnsi="宋体"/>
          <w:b/>
          <w:szCs w:val="21"/>
        </w:rPr>
      </w:pPr>
      <w:bookmarkStart w:id="814" w:name="_Toc16064007"/>
      <w:r>
        <w:rPr>
          <w:rStyle w:val="39"/>
          <w:rFonts w:ascii="宋体" w:hAnsi="宋体"/>
          <w:b/>
          <w:szCs w:val="21"/>
        </w:rPr>
        <w:t>拟派项目部主要管理人员：</w:t>
      </w:r>
      <w:bookmarkEnd w:id="814"/>
    </w:p>
    <w:p w14:paraId="5AF38B76">
      <w:pPr>
        <w:pStyle w:val="48"/>
        <w:snapToGrid w:val="0"/>
        <w:spacing w:line="440" w:lineRule="exact"/>
        <w:ind w:left="1367" w:firstLine="0" w:firstLineChars="0"/>
        <w:rPr>
          <w:rStyle w:val="39"/>
          <w:rFonts w:ascii="宋体" w:hAnsi="宋体"/>
          <w:b/>
          <w:szCs w:val="21"/>
        </w:rPr>
      </w:pPr>
    </w:p>
    <w:p w14:paraId="1798DB74">
      <w:pPr>
        <w:spacing w:line="440" w:lineRule="exact"/>
        <w:rPr>
          <w:rStyle w:val="39"/>
          <w:rFonts w:ascii="宋体" w:hAnsi="宋体"/>
        </w:rPr>
      </w:pPr>
      <w:r>
        <w:rPr>
          <w:rStyle w:val="39"/>
          <w:rFonts w:ascii="宋体" w:hAnsi="宋体"/>
        </w:rPr>
        <w:t xml:space="preserve">   附：</w:t>
      </w:r>
    </w:p>
    <w:p w14:paraId="416CF14A">
      <w:pPr>
        <w:spacing w:line="440" w:lineRule="exact"/>
        <w:ind w:firstLine="420" w:firstLineChars="200"/>
        <w:rPr>
          <w:rStyle w:val="39"/>
          <w:rFonts w:ascii="宋体" w:hAnsi="宋体"/>
        </w:rPr>
      </w:pPr>
      <w:r>
        <w:rPr>
          <w:rStyle w:val="39"/>
          <w:rFonts w:ascii="宋体" w:hAnsi="宋体"/>
        </w:rPr>
        <w:t xml:space="preserve">1、拟派项目经理的注册建造师执业资格证及安全生产考核合格B证复印件； </w:t>
      </w:r>
    </w:p>
    <w:p w14:paraId="495E926E">
      <w:pPr>
        <w:spacing w:line="440" w:lineRule="exact"/>
        <w:ind w:firstLine="420" w:firstLineChars="200"/>
        <w:rPr>
          <w:rStyle w:val="39"/>
          <w:rFonts w:ascii="宋体" w:hAnsi="宋体"/>
        </w:rPr>
      </w:pPr>
      <w:r>
        <w:rPr>
          <w:rStyle w:val="39"/>
          <w:rFonts w:hint="eastAsia" w:ascii="宋体" w:hAnsi="宋体"/>
          <w:lang w:val="en-US" w:eastAsia="zh-CN"/>
        </w:rPr>
        <w:t>2、</w:t>
      </w:r>
      <w:r>
        <w:rPr>
          <w:rStyle w:val="39"/>
          <w:rFonts w:ascii="宋体" w:hAnsi="宋体"/>
        </w:rPr>
        <w:t>技术负责人的职称证书复印件以及项目管理机构其他人员（施工员、</w:t>
      </w:r>
      <w:r>
        <w:rPr>
          <w:rStyle w:val="39"/>
          <w:rFonts w:hint="eastAsia" w:ascii="宋体" w:hAnsi="宋体"/>
        </w:rPr>
        <w:t>造价</w:t>
      </w:r>
      <w:r>
        <w:rPr>
          <w:rStyle w:val="39"/>
          <w:rFonts w:ascii="宋体" w:hAnsi="宋体"/>
        </w:rPr>
        <w:t>员、材料员、</w:t>
      </w:r>
      <w:r>
        <w:rPr>
          <w:rStyle w:val="39"/>
          <w:rFonts w:hint="eastAsia" w:ascii="宋体" w:hAnsi="宋体"/>
        </w:rPr>
        <w:t>质量</w:t>
      </w:r>
      <w:r>
        <w:rPr>
          <w:rStyle w:val="39"/>
          <w:rFonts w:ascii="宋体" w:hAnsi="宋体"/>
        </w:rPr>
        <w:t>员、安全员等）的岗位证书复印件。</w:t>
      </w:r>
    </w:p>
    <w:p w14:paraId="62AB501B">
      <w:pPr>
        <w:spacing w:line="360" w:lineRule="exact"/>
        <w:ind w:firstLine="413" w:firstLineChars="196"/>
        <w:rPr>
          <w:rStyle w:val="39"/>
          <w:rFonts w:ascii="宋体" w:hAnsi="宋体"/>
          <w:szCs w:val="21"/>
          <w:shd w:val="pct10" w:color="auto" w:fill="FFFFFF"/>
        </w:rPr>
      </w:pPr>
      <w:r>
        <w:rPr>
          <w:rStyle w:val="39"/>
          <w:rFonts w:ascii="宋体" w:hAnsi="宋体"/>
          <w:b/>
          <w:bCs/>
          <w:u w:val="single"/>
        </w:rPr>
        <w:t>注：以上人员资格证书单位名称</w:t>
      </w:r>
      <w:r>
        <w:rPr>
          <w:rStyle w:val="39"/>
          <w:rFonts w:hint="eastAsia" w:ascii="宋体" w:hAnsi="宋体"/>
          <w:b/>
          <w:bCs/>
          <w:u w:val="single"/>
          <w:lang w:val="en-US" w:eastAsia="zh-CN"/>
        </w:rPr>
        <w:t>须</w:t>
      </w:r>
      <w:r>
        <w:rPr>
          <w:rStyle w:val="39"/>
          <w:rFonts w:ascii="宋体" w:hAnsi="宋体"/>
          <w:b/>
          <w:bCs/>
          <w:u w:val="single"/>
        </w:rPr>
        <w:t>与投标人单位名称一致，</w:t>
      </w:r>
      <w:r>
        <w:rPr>
          <w:rStyle w:val="39"/>
          <w:rFonts w:hint="eastAsia" w:ascii="宋体" w:hAnsi="宋体"/>
          <w:b/>
          <w:bCs/>
          <w:u w:val="single"/>
          <w:lang w:val="en-US" w:eastAsia="zh-CN"/>
        </w:rPr>
        <w:t>同时</w:t>
      </w:r>
      <w:r>
        <w:rPr>
          <w:rStyle w:val="39"/>
          <w:b/>
          <w:bCs/>
        </w:rPr>
        <w:t>提交投标截至时间前一年内在本单位缴纳的连续六个月的社保证明，否则视为无效证件且不计入济建建字【2011】12号文规定的最低人员配备。</w:t>
      </w:r>
    </w:p>
    <w:p w14:paraId="6AE0DD0D">
      <w:pPr>
        <w:pStyle w:val="48"/>
        <w:numPr>
          <w:ilvl w:val="0"/>
          <w:numId w:val="20"/>
        </w:numPr>
        <w:snapToGrid w:val="0"/>
        <w:spacing w:line="440" w:lineRule="exact"/>
        <w:ind w:firstLineChars="0"/>
        <w:jc w:val="center"/>
        <w:rPr>
          <w:rStyle w:val="39"/>
          <w:rFonts w:ascii="宋体" w:hAnsi="宋体"/>
          <w:b/>
          <w:szCs w:val="21"/>
        </w:rPr>
      </w:pPr>
      <w:bookmarkStart w:id="815" w:name="_Toc16064008"/>
      <w:r>
        <w:rPr>
          <w:rStyle w:val="39"/>
          <w:rFonts w:ascii="宋体" w:hAnsi="宋体"/>
          <w:b/>
          <w:szCs w:val="21"/>
        </w:rPr>
        <w:t>近</w:t>
      </w:r>
      <w:r>
        <w:rPr>
          <w:rStyle w:val="39"/>
          <w:rFonts w:hint="eastAsia" w:ascii="宋体" w:hAnsi="宋体"/>
          <w:b/>
          <w:szCs w:val="21"/>
          <w:lang w:val="en-US" w:eastAsia="zh-CN"/>
        </w:rPr>
        <w:t>三</w:t>
      </w:r>
      <w:r>
        <w:rPr>
          <w:rStyle w:val="39"/>
          <w:rFonts w:ascii="宋体" w:hAnsi="宋体"/>
          <w:b/>
          <w:szCs w:val="21"/>
        </w:rPr>
        <w:t>年承担的类似工程情况表</w:t>
      </w:r>
      <w:bookmarkEnd w:id="815"/>
    </w:p>
    <w:p w14:paraId="60CD7A8A">
      <w:pPr>
        <w:pStyle w:val="48"/>
        <w:snapToGrid w:val="0"/>
        <w:spacing w:line="440" w:lineRule="exact"/>
        <w:ind w:left="1367" w:firstLine="0" w:firstLineChars="0"/>
        <w:rPr>
          <w:rStyle w:val="39"/>
          <w:rFonts w:ascii="宋体" w:hAnsi="宋体"/>
          <w:b/>
          <w:szCs w:val="21"/>
        </w:rPr>
      </w:pPr>
    </w:p>
    <w:tbl>
      <w:tblPr>
        <w:tblStyle w:val="25"/>
        <w:tblW w:w="110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9"/>
        <w:gridCol w:w="1037"/>
        <w:gridCol w:w="1037"/>
        <w:gridCol w:w="1038"/>
        <w:gridCol w:w="1037"/>
        <w:gridCol w:w="1038"/>
        <w:gridCol w:w="1037"/>
        <w:gridCol w:w="1037"/>
        <w:gridCol w:w="1038"/>
        <w:gridCol w:w="1037"/>
        <w:gridCol w:w="1038"/>
      </w:tblGrid>
      <w:tr w14:paraId="3FC93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jc w:val="center"/>
        </w:trPr>
        <w:tc>
          <w:tcPr>
            <w:tcW w:w="699" w:type="dxa"/>
            <w:tcBorders>
              <w:top w:val="single" w:color="000000" w:sz="4" w:space="0"/>
              <w:left w:val="single" w:color="000000" w:sz="4" w:space="0"/>
              <w:bottom w:val="single" w:color="000000" w:sz="4" w:space="0"/>
              <w:right w:val="single" w:color="000000" w:sz="4" w:space="0"/>
            </w:tcBorders>
            <w:vAlign w:val="center"/>
          </w:tcPr>
          <w:p w14:paraId="767F3C97">
            <w:pPr>
              <w:jc w:val="center"/>
              <w:rPr>
                <w:rStyle w:val="39"/>
                <w:rFonts w:ascii="宋体" w:hAnsi="宋体"/>
                <w:szCs w:val="21"/>
              </w:rPr>
            </w:pPr>
            <w:r>
              <w:rPr>
                <w:rStyle w:val="39"/>
                <w:rFonts w:ascii="宋体" w:hAnsi="宋体"/>
                <w:szCs w:val="21"/>
              </w:rPr>
              <w:t>序号</w:t>
            </w:r>
          </w:p>
        </w:tc>
        <w:tc>
          <w:tcPr>
            <w:tcW w:w="1037" w:type="dxa"/>
            <w:tcBorders>
              <w:top w:val="single" w:color="000000" w:sz="4" w:space="0"/>
              <w:left w:val="single" w:color="000000" w:sz="4" w:space="0"/>
              <w:bottom w:val="single" w:color="000000" w:sz="4" w:space="0"/>
              <w:right w:val="single" w:color="000000" w:sz="4" w:space="0"/>
            </w:tcBorders>
            <w:vAlign w:val="center"/>
          </w:tcPr>
          <w:p w14:paraId="6111DCC0">
            <w:pPr>
              <w:jc w:val="center"/>
              <w:rPr>
                <w:rStyle w:val="39"/>
                <w:rFonts w:ascii="宋体" w:hAnsi="宋体"/>
                <w:szCs w:val="21"/>
              </w:rPr>
            </w:pPr>
            <w:r>
              <w:rPr>
                <w:rStyle w:val="39"/>
                <w:rFonts w:ascii="宋体" w:hAnsi="宋体"/>
                <w:szCs w:val="21"/>
              </w:rPr>
              <w:t>项目名称</w:t>
            </w:r>
          </w:p>
        </w:tc>
        <w:tc>
          <w:tcPr>
            <w:tcW w:w="1037" w:type="dxa"/>
            <w:tcBorders>
              <w:top w:val="single" w:color="000000" w:sz="4" w:space="0"/>
              <w:left w:val="single" w:color="000000" w:sz="4" w:space="0"/>
              <w:bottom w:val="single" w:color="000000" w:sz="4" w:space="0"/>
              <w:right w:val="single" w:color="000000" w:sz="4" w:space="0"/>
            </w:tcBorders>
            <w:vAlign w:val="center"/>
          </w:tcPr>
          <w:p w14:paraId="7C63D173">
            <w:pPr>
              <w:jc w:val="center"/>
              <w:rPr>
                <w:rStyle w:val="39"/>
                <w:rFonts w:ascii="宋体" w:hAnsi="宋体"/>
                <w:szCs w:val="21"/>
              </w:rPr>
            </w:pPr>
            <w:r>
              <w:rPr>
                <w:rStyle w:val="39"/>
                <w:rFonts w:ascii="宋体" w:hAnsi="宋体"/>
                <w:szCs w:val="21"/>
              </w:rPr>
              <w:t>项目规模</w:t>
            </w:r>
          </w:p>
        </w:tc>
        <w:tc>
          <w:tcPr>
            <w:tcW w:w="1038" w:type="dxa"/>
            <w:tcBorders>
              <w:top w:val="single" w:color="000000" w:sz="4" w:space="0"/>
              <w:left w:val="single" w:color="000000" w:sz="4" w:space="0"/>
              <w:bottom w:val="single" w:color="000000" w:sz="4" w:space="0"/>
              <w:right w:val="single" w:color="000000" w:sz="4" w:space="0"/>
            </w:tcBorders>
            <w:vAlign w:val="center"/>
          </w:tcPr>
          <w:p w14:paraId="650F87D0">
            <w:pPr>
              <w:jc w:val="center"/>
              <w:rPr>
                <w:rStyle w:val="39"/>
                <w:rFonts w:ascii="宋体" w:hAnsi="宋体"/>
                <w:szCs w:val="21"/>
              </w:rPr>
            </w:pPr>
            <w:r>
              <w:rPr>
                <w:rStyle w:val="39"/>
                <w:rFonts w:ascii="宋体" w:hAnsi="宋体"/>
                <w:szCs w:val="21"/>
              </w:rPr>
              <w:t>发包人名称</w:t>
            </w:r>
          </w:p>
        </w:tc>
        <w:tc>
          <w:tcPr>
            <w:tcW w:w="1037" w:type="dxa"/>
            <w:tcBorders>
              <w:top w:val="single" w:color="000000" w:sz="4" w:space="0"/>
              <w:left w:val="single" w:color="000000" w:sz="4" w:space="0"/>
              <w:bottom w:val="single" w:color="000000" w:sz="4" w:space="0"/>
              <w:right w:val="single" w:color="000000" w:sz="4" w:space="0"/>
            </w:tcBorders>
            <w:vAlign w:val="center"/>
          </w:tcPr>
          <w:p w14:paraId="001FDD30">
            <w:pPr>
              <w:jc w:val="center"/>
              <w:rPr>
                <w:rStyle w:val="39"/>
                <w:rFonts w:ascii="宋体" w:hAnsi="宋体"/>
                <w:szCs w:val="21"/>
              </w:rPr>
            </w:pPr>
            <w:r>
              <w:rPr>
                <w:rStyle w:val="39"/>
                <w:rFonts w:ascii="宋体" w:hAnsi="宋体"/>
                <w:szCs w:val="21"/>
              </w:rPr>
              <w:t>发包人联系人及电话</w:t>
            </w:r>
          </w:p>
        </w:tc>
        <w:tc>
          <w:tcPr>
            <w:tcW w:w="1038" w:type="dxa"/>
            <w:tcBorders>
              <w:top w:val="single" w:color="000000" w:sz="4" w:space="0"/>
              <w:left w:val="single" w:color="000000" w:sz="4" w:space="0"/>
              <w:bottom w:val="single" w:color="000000" w:sz="4" w:space="0"/>
              <w:right w:val="single" w:color="000000" w:sz="4" w:space="0"/>
            </w:tcBorders>
            <w:vAlign w:val="center"/>
          </w:tcPr>
          <w:p w14:paraId="4D3FF795">
            <w:pPr>
              <w:jc w:val="center"/>
              <w:rPr>
                <w:rStyle w:val="39"/>
                <w:rFonts w:ascii="宋体" w:hAnsi="宋体"/>
                <w:szCs w:val="21"/>
              </w:rPr>
            </w:pPr>
            <w:r>
              <w:rPr>
                <w:rStyle w:val="39"/>
                <w:rFonts w:ascii="宋体" w:hAnsi="宋体"/>
                <w:szCs w:val="21"/>
              </w:rPr>
              <w:t>合同价格</w:t>
            </w:r>
          </w:p>
        </w:tc>
        <w:tc>
          <w:tcPr>
            <w:tcW w:w="1037" w:type="dxa"/>
            <w:tcBorders>
              <w:top w:val="single" w:color="000000" w:sz="4" w:space="0"/>
              <w:left w:val="single" w:color="000000" w:sz="4" w:space="0"/>
              <w:bottom w:val="single" w:color="000000" w:sz="4" w:space="0"/>
              <w:right w:val="single" w:color="000000" w:sz="4" w:space="0"/>
            </w:tcBorders>
            <w:vAlign w:val="center"/>
          </w:tcPr>
          <w:p w14:paraId="5414689B">
            <w:pPr>
              <w:jc w:val="center"/>
              <w:rPr>
                <w:rStyle w:val="39"/>
                <w:rFonts w:ascii="宋体" w:hAnsi="宋体"/>
                <w:szCs w:val="21"/>
              </w:rPr>
            </w:pPr>
            <w:r>
              <w:rPr>
                <w:rStyle w:val="39"/>
                <w:rFonts w:ascii="宋体" w:hAnsi="宋体"/>
                <w:szCs w:val="21"/>
              </w:rPr>
              <w:t>开、竣工日期</w:t>
            </w:r>
          </w:p>
        </w:tc>
        <w:tc>
          <w:tcPr>
            <w:tcW w:w="1037" w:type="dxa"/>
            <w:tcBorders>
              <w:top w:val="single" w:color="000000" w:sz="4" w:space="0"/>
              <w:left w:val="single" w:color="000000" w:sz="4" w:space="0"/>
              <w:bottom w:val="single" w:color="000000" w:sz="4" w:space="0"/>
              <w:right w:val="single" w:color="000000" w:sz="4" w:space="0"/>
            </w:tcBorders>
            <w:vAlign w:val="center"/>
          </w:tcPr>
          <w:p w14:paraId="3220AA87">
            <w:pPr>
              <w:jc w:val="center"/>
              <w:rPr>
                <w:rStyle w:val="39"/>
                <w:rFonts w:ascii="宋体" w:hAnsi="宋体"/>
                <w:szCs w:val="21"/>
              </w:rPr>
            </w:pPr>
            <w:r>
              <w:rPr>
                <w:rStyle w:val="39"/>
                <w:rFonts w:ascii="宋体" w:hAnsi="宋体"/>
                <w:szCs w:val="21"/>
              </w:rPr>
              <w:t>工程质量</w:t>
            </w:r>
          </w:p>
        </w:tc>
        <w:tc>
          <w:tcPr>
            <w:tcW w:w="1038" w:type="dxa"/>
            <w:tcBorders>
              <w:top w:val="single" w:color="000000" w:sz="4" w:space="0"/>
              <w:left w:val="single" w:color="000000" w:sz="4" w:space="0"/>
              <w:bottom w:val="single" w:color="000000" w:sz="4" w:space="0"/>
              <w:right w:val="single" w:color="000000" w:sz="4" w:space="0"/>
            </w:tcBorders>
            <w:vAlign w:val="center"/>
          </w:tcPr>
          <w:p w14:paraId="19790E6F">
            <w:pPr>
              <w:jc w:val="center"/>
              <w:rPr>
                <w:rStyle w:val="39"/>
                <w:rFonts w:ascii="宋体" w:hAnsi="宋体"/>
                <w:szCs w:val="21"/>
              </w:rPr>
            </w:pPr>
            <w:r>
              <w:rPr>
                <w:rStyle w:val="39"/>
                <w:rFonts w:ascii="宋体" w:hAnsi="宋体"/>
                <w:szCs w:val="21"/>
              </w:rPr>
              <w:t>项目经理</w:t>
            </w:r>
          </w:p>
        </w:tc>
        <w:tc>
          <w:tcPr>
            <w:tcW w:w="1037" w:type="dxa"/>
            <w:tcBorders>
              <w:top w:val="single" w:color="000000" w:sz="4" w:space="0"/>
              <w:left w:val="single" w:color="000000" w:sz="4" w:space="0"/>
              <w:bottom w:val="single" w:color="000000" w:sz="4" w:space="0"/>
              <w:right w:val="single" w:color="000000" w:sz="4" w:space="0"/>
            </w:tcBorders>
            <w:vAlign w:val="center"/>
          </w:tcPr>
          <w:p w14:paraId="10436A8A">
            <w:pPr>
              <w:jc w:val="center"/>
              <w:rPr>
                <w:rStyle w:val="39"/>
                <w:rFonts w:ascii="宋体" w:hAnsi="宋体"/>
                <w:szCs w:val="21"/>
              </w:rPr>
            </w:pPr>
            <w:r>
              <w:rPr>
                <w:rStyle w:val="39"/>
                <w:rFonts w:ascii="宋体" w:hAnsi="宋体"/>
                <w:szCs w:val="21"/>
              </w:rPr>
              <w:t>技术负责人</w:t>
            </w:r>
          </w:p>
        </w:tc>
        <w:tc>
          <w:tcPr>
            <w:tcW w:w="1038" w:type="dxa"/>
            <w:tcBorders>
              <w:top w:val="single" w:color="000000" w:sz="4" w:space="0"/>
              <w:left w:val="single" w:color="000000" w:sz="4" w:space="0"/>
              <w:bottom w:val="single" w:color="000000" w:sz="4" w:space="0"/>
              <w:right w:val="single" w:color="000000" w:sz="4" w:space="0"/>
            </w:tcBorders>
            <w:vAlign w:val="center"/>
          </w:tcPr>
          <w:p w14:paraId="7E02E4D4">
            <w:pPr>
              <w:jc w:val="center"/>
              <w:rPr>
                <w:rStyle w:val="39"/>
                <w:rFonts w:ascii="宋体" w:hAnsi="宋体"/>
                <w:szCs w:val="21"/>
              </w:rPr>
            </w:pPr>
            <w:r>
              <w:rPr>
                <w:rStyle w:val="39"/>
                <w:rFonts w:ascii="宋体" w:hAnsi="宋体"/>
                <w:szCs w:val="21"/>
              </w:rPr>
              <w:t>总监理工程师及电话</w:t>
            </w:r>
          </w:p>
        </w:tc>
      </w:tr>
      <w:tr w14:paraId="1A535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jc w:val="center"/>
        </w:trPr>
        <w:tc>
          <w:tcPr>
            <w:tcW w:w="699" w:type="dxa"/>
            <w:tcBorders>
              <w:top w:val="single" w:color="000000" w:sz="4" w:space="0"/>
              <w:left w:val="single" w:color="000000" w:sz="4" w:space="0"/>
              <w:bottom w:val="single" w:color="000000" w:sz="4" w:space="0"/>
              <w:right w:val="single" w:color="000000" w:sz="4" w:space="0"/>
            </w:tcBorders>
            <w:vAlign w:val="center"/>
          </w:tcPr>
          <w:p w14:paraId="53FFC5F0">
            <w:pPr>
              <w:numPr>
                <w:ilvl w:val="0"/>
                <w:numId w:val="21"/>
              </w:num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74706228">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44A1761E">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637D6CA5">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2E5DC878">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5F956A08">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50E4277F">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5A1FD145">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07F9F15B">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72E542F4">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tcPr>
          <w:p w14:paraId="398DA5A3">
            <w:pPr>
              <w:jc w:val="center"/>
              <w:rPr>
                <w:rStyle w:val="39"/>
                <w:rFonts w:ascii="宋体" w:hAnsi="宋体"/>
                <w:szCs w:val="21"/>
              </w:rPr>
            </w:pPr>
          </w:p>
        </w:tc>
      </w:tr>
      <w:tr w14:paraId="192E5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jc w:val="center"/>
        </w:trPr>
        <w:tc>
          <w:tcPr>
            <w:tcW w:w="699" w:type="dxa"/>
            <w:tcBorders>
              <w:top w:val="single" w:color="000000" w:sz="4" w:space="0"/>
              <w:left w:val="single" w:color="000000" w:sz="4" w:space="0"/>
              <w:bottom w:val="single" w:color="000000" w:sz="4" w:space="0"/>
              <w:right w:val="single" w:color="000000" w:sz="4" w:space="0"/>
            </w:tcBorders>
            <w:vAlign w:val="center"/>
          </w:tcPr>
          <w:p w14:paraId="6E065045">
            <w:pPr>
              <w:numPr>
                <w:ilvl w:val="0"/>
                <w:numId w:val="21"/>
              </w:num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23BE6860">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3FF079E6">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5ED24E02">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5F46DE17">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4E631190">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342E9ED9">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06789031">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19CC6483">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73AA88EB">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tcPr>
          <w:p w14:paraId="2C83D35B">
            <w:pPr>
              <w:jc w:val="center"/>
              <w:rPr>
                <w:rStyle w:val="39"/>
                <w:rFonts w:ascii="宋体" w:hAnsi="宋体"/>
                <w:szCs w:val="21"/>
              </w:rPr>
            </w:pPr>
          </w:p>
        </w:tc>
      </w:tr>
      <w:tr w14:paraId="56733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jc w:val="center"/>
        </w:trPr>
        <w:tc>
          <w:tcPr>
            <w:tcW w:w="699" w:type="dxa"/>
            <w:tcBorders>
              <w:top w:val="single" w:color="000000" w:sz="4" w:space="0"/>
              <w:left w:val="single" w:color="000000" w:sz="4" w:space="0"/>
              <w:bottom w:val="single" w:color="000000" w:sz="4" w:space="0"/>
              <w:right w:val="single" w:color="000000" w:sz="4" w:space="0"/>
            </w:tcBorders>
            <w:vAlign w:val="center"/>
          </w:tcPr>
          <w:p w14:paraId="120395F5">
            <w:pPr>
              <w:numPr>
                <w:ilvl w:val="0"/>
                <w:numId w:val="21"/>
              </w:num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24A139A5">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4A360A12">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4835B426">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4BF93204">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6AE08915">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678056BE">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2E952367">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2E062474">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333158DD">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tcPr>
          <w:p w14:paraId="4AA69E63">
            <w:pPr>
              <w:jc w:val="center"/>
              <w:rPr>
                <w:rStyle w:val="39"/>
                <w:rFonts w:ascii="宋体" w:hAnsi="宋体"/>
                <w:szCs w:val="21"/>
              </w:rPr>
            </w:pPr>
          </w:p>
        </w:tc>
      </w:tr>
      <w:tr w14:paraId="47C4F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jc w:val="center"/>
        </w:trPr>
        <w:tc>
          <w:tcPr>
            <w:tcW w:w="699" w:type="dxa"/>
            <w:tcBorders>
              <w:top w:val="single" w:color="000000" w:sz="4" w:space="0"/>
              <w:left w:val="single" w:color="000000" w:sz="4" w:space="0"/>
              <w:bottom w:val="single" w:color="000000" w:sz="4" w:space="0"/>
              <w:right w:val="single" w:color="000000" w:sz="4" w:space="0"/>
            </w:tcBorders>
            <w:vAlign w:val="center"/>
          </w:tcPr>
          <w:p w14:paraId="21BAFDE3">
            <w:pPr>
              <w:numPr>
                <w:ilvl w:val="0"/>
                <w:numId w:val="21"/>
              </w:num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360C101E">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370E98EC">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54B7F72E">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6F4B2479">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1C4CCF6C">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1DF493D2">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58866D27">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671E1C37">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3144124A">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tcPr>
          <w:p w14:paraId="41AEEA82">
            <w:pPr>
              <w:jc w:val="center"/>
              <w:rPr>
                <w:rStyle w:val="39"/>
                <w:rFonts w:ascii="宋体" w:hAnsi="宋体"/>
                <w:szCs w:val="21"/>
              </w:rPr>
            </w:pPr>
          </w:p>
        </w:tc>
      </w:tr>
      <w:tr w14:paraId="40AD0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jc w:val="center"/>
        </w:trPr>
        <w:tc>
          <w:tcPr>
            <w:tcW w:w="699" w:type="dxa"/>
            <w:tcBorders>
              <w:top w:val="single" w:color="000000" w:sz="4" w:space="0"/>
              <w:left w:val="single" w:color="000000" w:sz="4" w:space="0"/>
              <w:bottom w:val="single" w:color="000000" w:sz="4" w:space="0"/>
              <w:right w:val="single" w:color="000000" w:sz="4" w:space="0"/>
            </w:tcBorders>
            <w:vAlign w:val="center"/>
          </w:tcPr>
          <w:p w14:paraId="5566DE64">
            <w:pPr>
              <w:numPr>
                <w:ilvl w:val="0"/>
                <w:numId w:val="21"/>
              </w:num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43B78B13">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6B7D695C">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77592195">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2761EA63">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500D08AE">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2DF71FBC">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62A6C405">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2499E26E">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71E62328">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tcPr>
          <w:p w14:paraId="6FC47676">
            <w:pPr>
              <w:jc w:val="center"/>
              <w:rPr>
                <w:rStyle w:val="39"/>
                <w:rFonts w:ascii="宋体" w:hAnsi="宋体"/>
                <w:szCs w:val="21"/>
              </w:rPr>
            </w:pPr>
          </w:p>
        </w:tc>
      </w:tr>
      <w:tr w14:paraId="741E1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jc w:val="center"/>
        </w:trPr>
        <w:tc>
          <w:tcPr>
            <w:tcW w:w="699" w:type="dxa"/>
            <w:tcBorders>
              <w:top w:val="single" w:color="000000" w:sz="4" w:space="0"/>
              <w:left w:val="single" w:color="000000" w:sz="4" w:space="0"/>
              <w:bottom w:val="single" w:color="000000" w:sz="4" w:space="0"/>
              <w:right w:val="single" w:color="000000" w:sz="4" w:space="0"/>
            </w:tcBorders>
            <w:vAlign w:val="center"/>
          </w:tcPr>
          <w:p w14:paraId="2F2F1497">
            <w:pPr>
              <w:numPr>
                <w:ilvl w:val="0"/>
                <w:numId w:val="21"/>
              </w:num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692844C4">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7DE80E17">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1EB820AC">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59092457">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69CB88D2">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476A01CE">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540CF15D">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2C54C768">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61AE465E">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tcPr>
          <w:p w14:paraId="2E33E756">
            <w:pPr>
              <w:jc w:val="center"/>
              <w:rPr>
                <w:rStyle w:val="39"/>
                <w:rFonts w:ascii="宋体" w:hAnsi="宋体"/>
                <w:szCs w:val="21"/>
              </w:rPr>
            </w:pPr>
          </w:p>
        </w:tc>
      </w:tr>
      <w:tr w14:paraId="60ECC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 w:hRule="atLeast"/>
          <w:jc w:val="center"/>
        </w:trPr>
        <w:tc>
          <w:tcPr>
            <w:tcW w:w="699" w:type="dxa"/>
            <w:tcBorders>
              <w:top w:val="single" w:color="000000" w:sz="4" w:space="0"/>
              <w:left w:val="single" w:color="000000" w:sz="4" w:space="0"/>
              <w:bottom w:val="single" w:color="000000" w:sz="4" w:space="0"/>
              <w:right w:val="single" w:color="000000" w:sz="4" w:space="0"/>
            </w:tcBorders>
            <w:vAlign w:val="center"/>
          </w:tcPr>
          <w:p w14:paraId="0E53268F">
            <w:pPr>
              <w:jc w:val="center"/>
              <w:rPr>
                <w:rStyle w:val="39"/>
                <w:rFonts w:ascii="宋体" w:hAnsi="宋体"/>
                <w:szCs w:val="21"/>
              </w:rPr>
            </w:pPr>
            <w:r>
              <w:rPr>
                <w:rStyle w:val="39"/>
                <w:rFonts w:ascii="宋体" w:hAnsi="宋体"/>
                <w:szCs w:val="21"/>
              </w:rPr>
              <w:t>……</w:t>
            </w:r>
          </w:p>
        </w:tc>
        <w:tc>
          <w:tcPr>
            <w:tcW w:w="1037" w:type="dxa"/>
            <w:tcBorders>
              <w:top w:val="single" w:color="000000" w:sz="4" w:space="0"/>
              <w:left w:val="single" w:color="000000" w:sz="4" w:space="0"/>
              <w:bottom w:val="single" w:color="000000" w:sz="4" w:space="0"/>
              <w:right w:val="single" w:color="000000" w:sz="4" w:space="0"/>
            </w:tcBorders>
            <w:vAlign w:val="center"/>
          </w:tcPr>
          <w:p w14:paraId="161F2BFD">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389F380A">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3608334C">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573DF86B">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69DF6F21">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0A78B824">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03B6C70E">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vAlign w:val="center"/>
          </w:tcPr>
          <w:p w14:paraId="7A400DBD">
            <w:pPr>
              <w:jc w:val="center"/>
              <w:rPr>
                <w:rStyle w:val="39"/>
                <w:rFonts w:ascii="宋体" w:hAnsi="宋体"/>
                <w:szCs w:val="21"/>
              </w:rPr>
            </w:pPr>
          </w:p>
        </w:tc>
        <w:tc>
          <w:tcPr>
            <w:tcW w:w="1037" w:type="dxa"/>
            <w:tcBorders>
              <w:top w:val="single" w:color="000000" w:sz="4" w:space="0"/>
              <w:left w:val="single" w:color="000000" w:sz="4" w:space="0"/>
              <w:bottom w:val="single" w:color="000000" w:sz="4" w:space="0"/>
              <w:right w:val="single" w:color="000000" w:sz="4" w:space="0"/>
            </w:tcBorders>
            <w:vAlign w:val="center"/>
          </w:tcPr>
          <w:p w14:paraId="220103AB">
            <w:pPr>
              <w:jc w:val="center"/>
              <w:rPr>
                <w:rStyle w:val="39"/>
                <w:rFonts w:ascii="宋体" w:hAnsi="宋体"/>
                <w:szCs w:val="21"/>
              </w:rPr>
            </w:pPr>
          </w:p>
        </w:tc>
        <w:tc>
          <w:tcPr>
            <w:tcW w:w="1038" w:type="dxa"/>
            <w:tcBorders>
              <w:top w:val="single" w:color="000000" w:sz="4" w:space="0"/>
              <w:left w:val="single" w:color="000000" w:sz="4" w:space="0"/>
              <w:bottom w:val="single" w:color="000000" w:sz="4" w:space="0"/>
              <w:right w:val="single" w:color="000000" w:sz="4" w:space="0"/>
            </w:tcBorders>
          </w:tcPr>
          <w:p w14:paraId="547D3483">
            <w:pPr>
              <w:jc w:val="center"/>
              <w:rPr>
                <w:rStyle w:val="39"/>
                <w:rFonts w:ascii="宋体" w:hAnsi="宋体"/>
                <w:szCs w:val="21"/>
              </w:rPr>
            </w:pPr>
          </w:p>
        </w:tc>
      </w:tr>
    </w:tbl>
    <w:p w14:paraId="573B9CB9">
      <w:pPr>
        <w:spacing w:line="440" w:lineRule="exact"/>
        <w:ind w:left="630" w:hanging="630" w:hangingChars="300"/>
        <w:rPr>
          <w:rStyle w:val="39"/>
          <w:rFonts w:ascii="宋体" w:hAnsi="宋体"/>
          <w:szCs w:val="21"/>
        </w:rPr>
      </w:pPr>
      <w:r>
        <w:rPr>
          <w:rStyle w:val="39"/>
          <w:rFonts w:ascii="宋体" w:hAnsi="宋体"/>
          <w:szCs w:val="21"/>
        </w:rPr>
        <w:t>备注：1.近</w:t>
      </w:r>
      <w:r>
        <w:rPr>
          <w:rStyle w:val="39"/>
          <w:rFonts w:hint="eastAsia" w:ascii="宋体" w:hAnsi="宋体"/>
          <w:szCs w:val="21"/>
          <w:lang w:val="en-US" w:eastAsia="zh-CN"/>
        </w:rPr>
        <w:t>三</w:t>
      </w:r>
      <w:r>
        <w:rPr>
          <w:rStyle w:val="39"/>
          <w:rFonts w:ascii="宋体" w:hAnsi="宋体"/>
          <w:szCs w:val="21"/>
        </w:rPr>
        <w:t>年指20</w:t>
      </w:r>
      <w:r>
        <w:rPr>
          <w:rStyle w:val="39"/>
          <w:rFonts w:hint="eastAsia" w:ascii="宋体" w:hAnsi="宋体"/>
          <w:szCs w:val="21"/>
        </w:rPr>
        <w:t>2</w:t>
      </w:r>
      <w:r>
        <w:rPr>
          <w:rStyle w:val="39"/>
          <w:rFonts w:hint="eastAsia" w:ascii="宋体" w:hAnsi="宋体"/>
          <w:szCs w:val="21"/>
          <w:lang w:val="en-US" w:eastAsia="zh-CN"/>
        </w:rPr>
        <w:t>3</w:t>
      </w:r>
      <w:r>
        <w:rPr>
          <w:rStyle w:val="39"/>
          <w:rFonts w:hint="eastAsia" w:ascii="宋体" w:hAnsi="宋体"/>
          <w:szCs w:val="21"/>
        </w:rPr>
        <w:t>年1</w:t>
      </w:r>
      <w:r>
        <w:rPr>
          <w:rStyle w:val="39"/>
          <w:rFonts w:ascii="宋体" w:hAnsi="宋体"/>
          <w:szCs w:val="21"/>
        </w:rPr>
        <w:t>月1日至开标之日，类似工程：详见投标人须知前附表；</w:t>
      </w:r>
    </w:p>
    <w:p w14:paraId="1D858500">
      <w:pPr>
        <w:spacing w:line="440" w:lineRule="exact"/>
        <w:ind w:left="630" w:leftChars="200" w:hanging="210" w:hangingChars="100"/>
        <w:rPr>
          <w:rStyle w:val="39"/>
          <w:rFonts w:ascii="宋体" w:hAnsi="宋体"/>
          <w:szCs w:val="21"/>
        </w:rPr>
      </w:pPr>
      <w:r>
        <w:rPr>
          <w:rStyle w:val="39"/>
          <w:rFonts w:ascii="宋体" w:hAnsi="宋体"/>
          <w:szCs w:val="21"/>
        </w:rPr>
        <w:t>2.评分细则中加分的企业业绩</w:t>
      </w:r>
      <w:r>
        <w:rPr>
          <w:rStyle w:val="39"/>
          <w:rFonts w:hint="eastAsia" w:ascii="宋体" w:hAnsi="宋体"/>
          <w:szCs w:val="21"/>
        </w:rPr>
        <w:t>、</w:t>
      </w:r>
      <w:r>
        <w:rPr>
          <w:rStyle w:val="39"/>
          <w:rFonts w:ascii="宋体" w:hAnsi="宋体"/>
          <w:szCs w:val="21"/>
        </w:rPr>
        <w:t>项目经理业绩须同时附在本表中，本表后附合同协议书的复印件。</w:t>
      </w:r>
    </w:p>
    <w:p w14:paraId="7E5E7CA2">
      <w:pPr>
        <w:spacing w:line="440" w:lineRule="exact"/>
        <w:ind w:left="630" w:hanging="630" w:hangingChars="300"/>
        <w:rPr>
          <w:rStyle w:val="39"/>
          <w:rFonts w:ascii="宋体" w:hAnsi="宋体"/>
          <w:szCs w:val="21"/>
        </w:rPr>
        <w:sectPr>
          <w:headerReference r:id="rId5" w:type="default"/>
          <w:footerReference r:id="rId6" w:type="default"/>
          <w:pgSz w:w="11906" w:h="16838"/>
          <w:pgMar w:top="1588" w:right="1701" w:bottom="1418" w:left="1701" w:header="851" w:footer="851" w:gutter="0"/>
          <w:pgBorders>
            <w:top w:val="none" w:sz="0" w:space="0"/>
            <w:left w:val="none" w:sz="0" w:space="0"/>
            <w:bottom w:val="none" w:sz="0" w:space="0"/>
            <w:right w:val="none" w:sz="0" w:space="0"/>
          </w:pgBorders>
          <w:cols w:space="720" w:num="1"/>
          <w:docGrid w:linePitch="312" w:charSpace="0"/>
        </w:sectPr>
      </w:pPr>
    </w:p>
    <w:p w14:paraId="10A57E11">
      <w:pPr>
        <w:pStyle w:val="48"/>
        <w:numPr>
          <w:ilvl w:val="0"/>
          <w:numId w:val="20"/>
        </w:numPr>
        <w:snapToGrid w:val="0"/>
        <w:spacing w:line="440" w:lineRule="exact"/>
        <w:ind w:firstLineChars="0"/>
        <w:jc w:val="center"/>
        <w:rPr>
          <w:rStyle w:val="39"/>
          <w:rFonts w:ascii="宋体" w:hAnsi="宋体"/>
          <w:b/>
          <w:szCs w:val="21"/>
        </w:rPr>
      </w:pPr>
      <w:bookmarkStart w:id="816" w:name="_Toc16064009"/>
      <w:r>
        <w:rPr>
          <w:rStyle w:val="39"/>
          <w:rFonts w:ascii="宋体" w:hAnsi="宋体"/>
          <w:b/>
          <w:szCs w:val="21"/>
        </w:rPr>
        <w:t>无不良行为记录证明材料</w:t>
      </w:r>
      <w:bookmarkEnd w:id="816"/>
    </w:p>
    <w:p w14:paraId="63484D52">
      <w:pPr>
        <w:spacing w:before="120" w:after="240" w:line="440" w:lineRule="exact"/>
        <w:ind w:firstLine="420" w:firstLineChars="200"/>
        <w:rPr>
          <w:rStyle w:val="39"/>
          <w:rFonts w:ascii="宋体" w:hAnsi="宋体"/>
        </w:rPr>
      </w:pPr>
      <w:r>
        <w:rPr>
          <w:rStyle w:val="39"/>
          <w:rFonts w:ascii="宋体" w:hAnsi="宋体"/>
        </w:rPr>
        <w:t>须附“中国裁判文书网”行贿犯罪档案查询结果截图及其他无不良行为记录证明材料。</w:t>
      </w:r>
    </w:p>
    <w:p w14:paraId="35EABFBE">
      <w:pPr>
        <w:spacing w:before="120" w:after="240" w:line="440" w:lineRule="exact"/>
        <w:ind w:firstLine="420" w:firstLineChars="200"/>
        <w:rPr>
          <w:rStyle w:val="39"/>
          <w:rFonts w:ascii="宋体" w:hAnsi="宋体"/>
        </w:rPr>
      </w:pPr>
    </w:p>
    <w:p w14:paraId="6EE504F6">
      <w:pPr>
        <w:pStyle w:val="48"/>
        <w:numPr>
          <w:ilvl w:val="0"/>
          <w:numId w:val="20"/>
        </w:numPr>
        <w:snapToGrid w:val="0"/>
        <w:spacing w:line="440" w:lineRule="exact"/>
        <w:ind w:firstLineChars="0"/>
        <w:jc w:val="center"/>
        <w:rPr>
          <w:rStyle w:val="39"/>
          <w:rFonts w:ascii="宋体" w:hAnsi="宋体"/>
          <w:b/>
          <w:szCs w:val="21"/>
        </w:rPr>
      </w:pPr>
      <w:bookmarkStart w:id="817" w:name="_Toc16064010"/>
      <w:r>
        <w:rPr>
          <w:rStyle w:val="39"/>
          <w:rFonts w:ascii="宋体" w:hAnsi="宋体"/>
          <w:b/>
          <w:szCs w:val="21"/>
        </w:rPr>
        <w:t>近三年（20</w:t>
      </w:r>
      <w:r>
        <w:rPr>
          <w:rStyle w:val="39"/>
          <w:rFonts w:hint="eastAsia" w:ascii="宋体" w:hAnsi="宋体"/>
          <w:b/>
          <w:szCs w:val="21"/>
        </w:rPr>
        <w:t>2</w:t>
      </w:r>
      <w:r>
        <w:rPr>
          <w:rStyle w:val="39"/>
          <w:rFonts w:hint="eastAsia" w:ascii="宋体" w:hAnsi="宋体"/>
          <w:b/>
          <w:szCs w:val="21"/>
          <w:lang w:val="en-US" w:eastAsia="zh-CN"/>
        </w:rPr>
        <w:t>3</w:t>
      </w:r>
      <w:r>
        <w:rPr>
          <w:rStyle w:val="39"/>
          <w:rFonts w:ascii="宋体" w:hAnsi="宋体"/>
          <w:b/>
          <w:szCs w:val="21"/>
        </w:rPr>
        <w:t>年1月1日至开标之日）发生的诉讼及仲裁情况（应说明相关情况并附法院或仲裁机构作出的判决、仲裁等有关法律文书的复印件）</w:t>
      </w:r>
      <w:bookmarkEnd w:id="817"/>
    </w:p>
    <w:p w14:paraId="0B2C5E5B">
      <w:pPr>
        <w:spacing w:line="440" w:lineRule="exact"/>
        <w:ind w:firstLine="433" w:firstLineChars="196"/>
        <w:rPr>
          <w:rStyle w:val="39"/>
          <w:rFonts w:ascii="宋体" w:hAnsi="宋体"/>
          <w:b/>
          <w:sz w:val="22"/>
          <w:szCs w:val="28"/>
        </w:rPr>
      </w:pPr>
    </w:p>
    <w:p w14:paraId="6586FE15">
      <w:pPr>
        <w:spacing w:line="440" w:lineRule="exact"/>
        <w:ind w:firstLine="433" w:firstLineChars="196"/>
      </w:pPr>
      <w:r>
        <w:rPr>
          <w:rStyle w:val="39"/>
          <w:rFonts w:ascii="宋体" w:hAnsi="宋体"/>
          <w:b/>
          <w:sz w:val="22"/>
          <w:szCs w:val="28"/>
        </w:rPr>
        <w:t>注：投标人应按照以上内容要求编制资格审查文件，并对资格审查文件的真实性负责，相关复印件应加盖单位公章。评标过程中评标委员若对资格审查文件有异议的，可要求投标人提供相应原件进行复核，未能及时提供原件或若发现有不实之处的，按废标处理。</w:t>
      </w:r>
      <w:r>
        <w:rPr>
          <w:rStyle w:val="39"/>
          <w:rFonts w:ascii="宋体" w:hAnsi="宋体"/>
          <w:b/>
          <w:sz w:val="22"/>
          <w:szCs w:val="28"/>
          <w:u w:val="single"/>
        </w:rPr>
        <w:t>其中第（一）、（二）、（三）、（五）条为必备条件,若无则资格后审不合格,第（四）、（六）项内容若无应注明“无”,若资格审查文件中无第（四）、（六）项内容且未在资格后审文件中注明的,则视为不合格，不参与下一步评审。</w:t>
      </w:r>
    </w:p>
    <w:p w14:paraId="5E55AE6D"/>
    <w:p w14:paraId="72D4D416"/>
    <w:p w14:paraId="02B2D024"/>
    <w:p w14:paraId="153BE120"/>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7607E0-AE2D-468D-A9FD-99A40B90084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10103DA-DD4E-4713-8D4E-8CDB79EA5EF6}"/>
  </w:font>
  <w:font w:name="Cambria">
    <w:panose1 w:val="02040503050406030204"/>
    <w:charset w:val="00"/>
    <w:family w:val="roman"/>
    <w:pitch w:val="default"/>
    <w:sig w:usb0="E00006FF" w:usb1="420024FF" w:usb2="02000000" w:usb3="00000000" w:csb0="2000019F" w:csb1="00000000"/>
    <w:embedRegular r:id="rId3" w:fontKey="{F29EAAEE-F037-486F-9522-DA13BB463D90}"/>
  </w:font>
  <w:font w:name="楷体_GB2312">
    <w:altName w:val="楷体"/>
    <w:panose1 w:val="02010609030101010101"/>
    <w:charset w:val="86"/>
    <w:family w:val="modern"/>
    <w:pitch w:val="default"/>
    <w:sig w:usb0="00000000" w:usb1="00000000" w:usb2="00000000" w:usb3="00000000" w:csb0="00040000" w:csb1="00000000"/>
    <w:embedRegular r:id="rId4" w:fontKey="{C9471809-80FA-4CEE-9BBB-DAA803DBF02F}"/>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5" w:fontKey="{50A60CB9-9921-440F-A195-AC6115A0FB4C}"/>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embedRegular r:id="rId6" w:fontKey="{73743E0B-EE49-4AFF-86CC-513218781A31}"/>
  </w:font>
  <w:font w:name="TimesNewRomanPSMT">
    <w:altName w:val="Times New Roman"/>
    <w:panose1 w:val="00000000000000000000"/>
    <w:charset w:val="00"/>
    <w:family w:val="roman"/>
    <w:pitch w:val="default"/>
    <w:sig w:usb0="00000000" w:usb1="00000000" w:usb2="00000000" w:usb3="00000000" w:csb0="00000001" w:csb1="00000000"/>
  </w:font>
  <w:font w:name="Wingdings 2">
    <w:panose1 w:val="05020102010507070707"/>
    <w:charset w:val="02"/>
    <w:family w:val="roman"/>
    <w:pitch w:val="default"/>
    <w:sig w:usb0="00000000" w:usb1="00000000" w:usb2="00000000" w:usb3="00000000" w:csb0="80000000" w:csb1="00000000"/>
    <w:embedRegular r:id="rId7" w:fontKey="{15058E35-420E-4D9C-974A-C7221BD999AC}"/>
  </w:font>
  <w:font w:name="仿宋_GB2312">
    <w:panose1 w:val="02010609030101010101"/>
    <w:charset w:val="86"/>
    <w:family w:val="modern"/>
    <w:pitch w:val="default"/>
    <w:sig w:usb0="00000001" w:usb1="080E0000" w:usb2="00000000" w:usb3="00000000" w:csb0="00040000" w:csb1="00000000"/>
    <w:embedRegular r:id="rId8" w:fontKey="{4BFDA7B4-597C-4A01-B657-6247AC7A0749}"/>
  </w:font>
  <w:font w:name="方正小标宋简体">
    <w:panose1 w:val="02000000000000000000"/>
    <w:charset w:val="86"/>
    <w:family w:val="script"/>
    <w:pitch w:val="default"/>
    <w:sig w:usb0="A00002BF" w:usb1="184F6CFA" w:usb2="00000012" w:usb3="00000000" w:csb0="00040001" w:csb1="00000000"/>
    <w:embedRegular r:id="rId9" w:fontKey="{CB5E1563-9F45-4623-8855-6EB76F2509B5}"/>
  </w:font>
  <w:font w:name="WPSEMBED1">
    <w:panose1 w:val="05020102010507070707"/>
    <w:charset w:val="00"/>
    <w:family w:val="auto"/>
    <w:pitch w:val="default"/>
    <w:sig w:usb0="00000000" w:usb1="00000000" w:usb2="00000000" w:usb3="00000000" w:csb0="80000000" w:csb1="00000000"/>
  </w:font>
  <w:font w:name="WPSEMBED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26C89">
    <w:pPr>
      <w:pStyle w:val="17"/>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7603BF">
                          <w:pPr>
                            <w:pStyle w:val="17"/>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727603BF">
                    <w:pPr>
                      <w:pStyle w:val="17"/>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v:shape>
          </w:pict>
        </mc:Fallback>
      </mc:AlternateContent>
    </w:r>
  </w:p>
  <w:p w14:paraId="400F4106">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20032">
    <w:pPr>
      <w:pStyle w:val="1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7280A0E">
                          <w:pPr>
                            <w:pStyle w:val="17"/>
                            <w:jc w:val="center"/>
                          </w:pPr>
                          <w:r>
                            <w:fldChar w:fldCharType="begin"/>
                          </w:r>
                          <w:r>
                            <w:instrText xml:space="preserve"> PAGE   \* MERGEFORMAT </w:instrText>
                          </w:r>
                          <w:r>
                            <w:fldChar w:fldCharType="separate"/>
                          </w:r>
                          <w:r>
                            <w:rPr>
                              <w:lang w:val="zh-CN"/>
                            </w:rPr>
                            <w:t>292</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6bWPIyAgAAYw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tY8jICAABjBAAADgAAAAAAAAABACAAAAAfAQAAZHJzL2Uyb0RvYy54bWxQSwUG&#10;AAAAAAYABgBZAQAAwwUAAAAA&#10;">
              <v:fill on="f" focussize="0,0"/>
              <v:stroke on="f" weight="0.5pt"/>
              <v:imagedata o:title=""/>
              <o:lock v:ext="edit" aspectratio="f"/>
              <v:textbox inset="0mm,0mm,0mm,0mm" style="mso-fit-shape-to-text:t;">
                <w:txbxContent>
                  <w:p w14:paraId="07280A0E">
                    <w:pPr>
                      <w:pStyle w:val="17"/>
                      <w:jc w:val="center"/>
                    </w:pPr>
                    <w:r>
                      <w:fldChar w:fldCharType="begin"/>
                    </w:r>
                    <w:r>
                      <w:instrText xml:space="preserve"> PAGE   \* MERGEFORMAT </w:instrText>
                    </w:r>
                    <w:r>
                      <w:fldChar w:fldCharType="separate"/>
                    </w:r>
                    <w:r>
                      <w:rPr>
                        <w:lang w:val="zh-CN"/>
                      </w:rPr>
                      <w:t>292</w:t>
                    </w:r>
                    <w:r>
                      <w:rPr>
                        <w:lang w:val="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F7A53">
    <w:pPr>
      <w:pStyle w:val="17"/>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C72CAAD">
                          <w:pPr>
                            <w:pStyle w:val="17"/>
                            <w:jc w:val="center"/>
                          </w:pPr>
                          <w:r>
                            <w:fldChar w:fldCharType="begin"/>
                          </w:r>
                          <w:r>
                            <w:instrText xml:space="preserve"> PAGE   \* MERGEFORMAT </w:instrText>
                          </w:r>
                          <w:r>
                            <w:fldChar w:fldCharType="separate"/>
                          </w:r>
                          <w:r>
                            <w:rPr>
                              <w:lang w:val="zh-CN"/>
                            </w:rPr>
                            <w:t>297</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bsbKvjICAABkBAAADgAAAAAAAAABACAAAAAfAQAAZHJzL2Uyb0RvYy54bWxQSwUG&#10;AAAAAAYABgBZAQAAwwUAAAAA&#10;">
              <v:fill on="f" focussize="0,0"/>
              <v:stroke on="f" weight="0.5pt"/>
              <v:imagedata o:title=""/>
              <o:lock v:ext="edit" aspectratio="f"/>
              <v:textbox inset="0mm,0mm,0mm,0mm" style="mso-fit-shape-to-text:t;">
                <w:txbxContent>
                  <w:p w14:paraId="7C72CAAD">
                    <w:pPr>
                      <w:pStyle w:val="17"/>
                      <w:jc w:val="center"/>
                    </w:pPr>
                    <w:r>
                      <w:fldChar w:fldCharType="begin"/>
                    </w:r>
                    <w:r>
                      <w:instrText xml:space="preserve"> PAGE   \* MERGEFORMAT </w:instrText>
                    </w:r>
                    <w:r>
                      <w:fldChar w:fldCharType="separate"/>
                    </w:r>
                    <w:r>
                      <w:rPr>
                        <w:lang w:val="zh-CN"/>
                      </w:rPr>
                      <w:t>297</w:t>
                    </w:r>
                    <w:r>
                      <w:rPr>
                        <w:lang w:val="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C302C">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A4B49">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3F17DF"/>
    <w:multiLevelType w:val="singleLevel"/>
    <w:tmpl w:val="9B3F17DF"/>
    <w:lvl w:ilvl="0" w:tentative="0">
      <w:start w:val="2"/>
      <w:numFmt w:val="decimal"/>
      <w:lvlText w:val="%1."/>
      <w:lvlJc w:val="left"/>
      <w:pPr>
        <w:tabs>
          <w:tab w:val="left" w:pos="312"/>
        </w:tabs>
      </w:pPr>
    </w:lvl>
  </w:abstractNum>
  <w:abstractNum w:abstractNumId="1">
    <w:nsid w:val="B507B410"/>
    <w:multiLevelType w:val="singleLevel"/>
    <w:tmpl w:val="B507B410"/>
    <w:lvl w:ilvl="0" w:tentative="0">
      <w:start w:val="1"/>
      <w:numFmt w:val="decimal"/>
      <w:suff w:val="nothing"/>
      <w:lvlText w:val="%1、"/>
      <w:lvlJc w:val="left"/>
    </w:lvl>
  </w:abstractNum>
  <w:abstractNum w:abstractNumId="2">
    <w:nsid w:val="B69DDA1E"/>
    <w:multiLevelType w:val="singleLevel"/>
    <w:tmpl w:val="B69DDA1E"/>
    <w:lvl w:ilvl="0" w:tentative="0">
      <w:start w:val="3"/>
      <w:numFmt w:val="chineseCounting"/>
      <w:suff w:val="nothing"/>
      <w:lvlText w:val="%1、"/>
      <w:lvlJc w:val="left"/>
      <w:rPr>
        <w:rFonts w:hint="eastAsia"/>
      </w:rPr>
    </w:lvl>
  </w:abstractNum>
  <w:abstractNum w:abstractNumId="3">
    <w:nsid w:val="E384DFE0"/>
    <w:multiLevelType w:val="singleLevel"/>
    <w:tmpl w:val="E384DFE0"/>
    <w:lvl w:ilvl="0" w:tentative="0">
      <w:start w:val="1"/>
      <w:numFmt w:val="decimal"/>
      <w:suff w:val="nothing"/>
      <w:lvlText w:val="（%1）"/>
      <w:lvlJc w:val="left"/>
    </w:lvl>
  </w:abstractNum>
  <w:abstractNum w:abstractNumId="4">
    <w:nsid w:val="E6A32095"/>
    <w:multiLevelType w:val="singleLevel"/>
    <w:tmpl w:val="E6A32095"/>
    <w:lvl w:ilvl="0" w:tentative="0">
      <w:start w:val="1"/>
      <w:numFmt w:val="decimal"/>
      <w:suff w:val="space"/>
      <w:lvlText w:val="(%1)"/>
      <w:lvlJc w:val="left"/>
    </w:lvl>
  </w:abstractNum>
  <w:abstractNum w:abstractNumId="5">
    <w:nsid w:val="F63619FA"/>
    <w:multiLevelType w:val="multilevel"/>
    <w:tmpl w:val="F63619FA"/>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1."/>
      <w:lvlJc w:val="left"/>
      <w:pPr>
        <w:tabs>
          <w:tab w:val="left" w:pos="312"/>
        </w:tabs>
        <w:ind w:left="0" w:firstLine="0"/>
      </w:pPr>
      <w:rPr>
        <w:rFonts w:hint="default" w:ascii="Times New Roman" w:hAnsi="Times New Roman" w:cs="Times New Roman"/>
      </w:rPr>
    </w:lvl>
    <w:lvl w:ilvl="2" w:tentative="0">
      <w:start w:val="1"/>
      <w:numFmt w:val="decimal"/>
      <w:lvlText w:val="%1."/>
      <w:lvlJc w:val="left"/>
      <w:pPr>
        <w:tabs>
          <w:tab w:val="left" w:pos="312"/>
        </w:tabs>
        <w:ind w:left="0" w:firstLine="0"/>
      </w:pPr>
      <w:rPr>
        <w:rFonts w:hint="default" w:ascii="Times New Roman" w:hAnsi="Times New Roman" w:cs="Times New Roman"/>
      </w:rPr>
    </w:lvl>
    <w:lvl w:ilvl="3" w:tentative="0">
      <w:start w:val="1"/>
      <w:numFmt w:val="decimal"/>
      <w:lvlText w:val="%1."/>
      <w:lvlJc w:val="left"/>
      <w:pPr>
        <w:tabs>
          <w:tab w:val="left" w:pos="312"/>
        </w:tabs>
        <w:ind w:left="0" w:firstLine="0"/>
      </w:pPr>
      <w:rPr>
        <w:rFonts w:hint="default" w:ascii="Times New Roman" w:hAnsi="Times New Roman" w:cs="Times New Roman"/>
      </w:rPr>
    </w:lvl>
    <w:lvl w:ilvl="4" w:tentative="0">
      <w:start w:val="1"/>
      <w:numFmt w:val="decimal"/>
      <w:lvlText w:val="%1."/>
      <w:lvlJc w:val="left"/>
      <w:pPr>
        <w:tabs>
          <w:tab w:val="left" w:pos="312"/>
        </w:tabs>
        <w:ind w:left="0" w:firstLine="0"/>
      </w:pPr>
      <w:rPr>
        <w:rFonts w:hint="default" w:ascii="Times New Roman" w:hAnsi="Times New Roman" w:cs="Times New Roman"/>
      </w:rPr>
    </w:lvl>
    <w:lvl w:ilvl="5" w:tentative="0">
      <w:start w:val="1"/>
      <w:numFmt w:val="decimal"/>
      <w:lvlText w:val="%1."/>
      <w:lvlJc w:val="left"/>
      <w:pPr>
        <w:tabs>
          <w:tab w:val="left" w:pos="312"/>
        </w:tabs>
        <w:ind w:left="0" w:firstLine="0"/>
      </w:pPr>
      <w:rPr>
        <w:rFonts w:hint="default" w:ascii="Times New Roman" w:hAnsi="Times New Roman" w:cs="Times New Roman"/>
      </w:rPr>
    </w:lvl>
    <w:lvl w:ilvl="6" w:tentative="0">
      <w:start w:val="1"/>
      <w:numFmt w:val="decimal"/>
      <w:lvlText w:val="%1."/>
      <w:lvlJc w:val="left"/>
      <w:pPr>
        <w:tabs>
          <w:tab w:val="left" w:pos="312"/>
        </w:tabs>
        <w:ind w:left="0" w:firstLine="0"/>
      </w:pPr>
      <w:rPr>
        <w:rFonts w:hint="default" w:ascii="Times New Roman" w:hAnsi="Times New Roman" w:cs="Times New Roman"/>
      </w:rPr>
    </w:lvl>
    <w:lvl w:ilvl="7" w:tentative="0">
      <w:start w:val="1"/>
      <w:numFmt w:val="decimal"/>
      <w:lvlText w:val="%1."/>
      <w:lvlJc w:val="left"/>
      <w:pPr>
        <w:tabs>
          <w:tab w:val="left" w:pos="312"/>
        </w:tabs>
        <w:ind w:left="0" w:firstLine="0"/>
      </w:pPr>
      <w:rPr>
        <w:rFonts w:hint="default" w:ascii="Times New Roman" w:hAnsi="Times New Roman" w:cs="Times New Roman"/>
      </w:rPr>
    </w:lvl>
    <w:lvl w:ilvl="8" w:tentative="0">
      <w:start w:val="1"/>
      <w:numFmt w:val="decimal"/>
      <w:lvlText w:val="%1."/>
      <w:lvlJc w:val="left"/>
      <w:pPr>
        <w:tabs>
          <w:tab w:val="left" w:pos="312"/>
        </w:tabs>
        <w:ind w:left="0" w:firstLine="0"/>
      </w:pPr>
      <w:rPr>
        <w:rFonts w:hint="default" w:ascii="Times New Roman" w:hAnsi="Times New Roman" w:cs="Times New Roman"/>
      </w:rPr>
    </w:lvl>
  </w:abstractNum>
  <w:abstractNum w:abstractNumId="6">
    <w:nsid w:val="F9A5A1BF"/>
    <w:multiLevelType w:val="singleLevel"/>
    <w:tmpl w:val="F9A5A1BF"/>
    <w:lvl w:ilvl="0" w:tentative="0">
      <w:start w:val="2"/>
      <w:numFmt w:val="decimal"/>
      <w:lvlText w:val="%1."/>
      <w:lvlJc w:val="left"/>
      <w:pPr>
        <w:tabs>
          <w:tab w:val="left" w:pos="312"/>
        </w:tabs>
      </w:pPr>
    </w:lvl>
  </w:abstractNum>
  <w:abstractNum w:abstractNumId="7">
    <w:nsid w:val="0F527ADD"/>
    <w:multiLevelType w:val="multilevel"/>
    <w:tmpl w:val="0F527ADD"/>
    <w:lvl w:ilvl="0" w:tentative="0">
      <w:start w:val="1"/>
      <w:numFmt w:val="japaneseCounting"/>
      <w:lvlText w:val="（%1）"/>
      <w:lvlJc w:val="left"/>
      <w:pPr>
        <w:ind w:left="1367" w:hanging="765"/>
      </w:pPr>
      <w:rPr>
        <w:rFonts w:hint="default"/>
      </w:rPr>
    </w:lvl>
    <w:lvl w:ilvl="1" w:tentative="0">
      <w:start w:val="1"/>
      <w:numFmt w:val="lowerLetter"/>
      <w:lvlText w:val="%2)"/>
      <w:lvlJc w:val="left"/>
      <w:pPr>
        <w:ind w:left="1442" w:hanging="420"/>
      </w:pPr>
    </w:lvl>
    <w:lvl w:ilvl="2" w:tentative="0">
      <w:start w:val="1"/>
      <w:numFmt w:val="lowerRoman"/>
      <w:lvlText w:val="%3."/>
      <w:lvlJc w:val="right"/>
      <w:pPr>
        <w:ind w:left="1862" w:hanging="420"/>
      </w:pPr>
    </w:lvl>
    <w:lvl w:ilvl="3" w:tentative="0">
      <w:start w:val="1"/>
      <w:numFmt w:val="decimal"/>
      <w:lvlText w:val="%4."/>
      <w:lvlJc w:val="left"/>
      <w:pPr>
        <w:ind w:left="2282" w:hanging="420"/>
      </w:pPr>
    </w:lvl>
    <w:lvl w:ilvl="4" w:tentative="0">
      <w:start w:val="1"/>
      <w:numFmt w:val="lowerLetter"/>
      <w:lvlText w:val="%5)"/>
      <w:lvlJc w:val="left"/>
      <w:pPr>
        <w:ind w:left="2702" w:hanging="420"/>
      </w:pPr>
    </w:lvl>
    <w:lvl w:ilvl="5" w:tentative="0">
      <w:start w:val="1"/>
      <w:numFmt w:val="lowerRoman"/>
      <w:lvlText w:val="%6."/>
      <w:lvlJc w:val="right"/>
      <w:pPr>
        <w:ind w:left="3122" w:hanging="420"/>
      </w:pPr>
    </w:lvl>
    <w:lvl w:ilvl="6" w:tentative="0">
      <w:start w:val="1"/>
      <w:numFmt w:val="decimal"/>
      <w:lvlText w:val="%7."/>
      <w:lvlJc w:val="left"/>
      <w:pPr>
        <w:ind w:left="3542" w:hanging="420"/>
      </w:pPr>
    </w:lvl>
    <w:lvl w:ilvl="7" w:tentative="0">
      <w:start w:val="1"/>
      <w:numFmt w:val="lowerLetter"/>
      <w:lvlText w:val="%8)"/>
      <w:lvlJc w:val="left"/>
      <w:pPr>
        <w:ind w:left="3962" w:hanging="420"/>
      </w:pPr>
    </w:lvl>
    <w:lvl w:ilvl="8" w:tentative="0">
      <w:start w:val="1"/>
      <w:numFmt w:val="lowerRoman"/>
      <w:lvlText w:val="%9."/>
      <w:lvlJc w:val="right"/>
      <w:pPr>
        <w:ind w:left="4382" w:hanging="420"/>
      </w:pPr>
    </w:lvl>
  </w:abstractNum>
  <w:abstractNum w:abstractNumId="8">
    <w:nsid w:val="10CFA16F"/>
    <w:multiLevelType w:val="singleLevel"/>
    <w:tmpl w:val="10CFA16F"/>
    <w:lvl w:ilvl="0" w:tentative="0">
      <w:start w:val="1"/>
      <w:numFmt w:val="decimal"/>
      <w:suff w:val="space"/>
      <w:lvlText w:val="（%1）"/>
      <w:lvlJc w:val="left"/>
      <w:pPr>
        <w:ind w:left="450" w:firstLine="0"/>
      </w:pPr>
    </w:lvl>
  </w:abstractNum>
  <w:abstractNum w:abstractNumId="9">
    <w:nsid w:val="11C55E1A"/>
    <w:multiLevelType w:val="singleLevel"/>
    <w:tmpl w:val="11C55E1A"/>
    <w:lvl w:ilvl="0" w:tentative="0">
      <w:start w:val="3"/>
      <w:numFmt w:val="chineseCounting"/>
      <w:suff w:val="nothing"/>
      <w:lvlText w:val="（%1）"/>
      <w:lvlJc w:val="left"/>
      <w:rPr>
        <w:rFonts w:hint="eastAsia"/>
      </w:rPr>
    </w:lvl>
  </w:abstractNum>
  <w:abstractNum w:abstractNumId="10">
    <w:nsid w:val="15243912"/>
    <w:multiLevelType w:val="multilevel"/>
    <w:tmpl w:val="15243912"/>
    <w:lvl w:ilvl="0" w:tentative="0">
      <w:start w:val="1"/>
      <w:numFmt w:val="decimal"/>
      <w:suff w:val="nothing"/>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22FD719F"/>
    <w:multiLevelType w:val="singleLevel"/>
    <w:tmpl w:val="22FD719F"/>
    <w:lvl w:ilvl="0" w:tentative="0">
      <w:start w:val="1"/>
      <w:numFmt w:val="decimal"/>
      <w:suff w:val="space"/>
      <w:lvlText w:val="(%1)"/>
      <w:lvlJc w:val="left"/>
    </w:lvl>
  </w:abstractNum>
  <w:abstractNum w:abstractNumId="12">
    <w:nsid w:val="252A6733"/>
    <w:multiLevelType w:val="multilevel"/>
    <w:tmpl w:val="252A6733"/>
    <w:lvl w:ilvl="0" w:tentative="0">
      <w:start w:val="1"/>
      <w:numFmt w:val="decimal"/>
      <w:suff w:val="nothing"/>
      <w:lvlText w:val="（%1）"/>
      <w:lvlJc w:val="left"/>
      <w:pPr>
        <w:ind w:left="1020" w:hanging="420"/>
      </w:pPr>
      <w:rPr>
        <w:rFonts w:hint="eastAsia"/>
        <w:i/>
        <w:iCs/>
        <w:sz w:val="30"/>
        <w:szCs w:val="30"/>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13">
    <w:nsid w:val="2A2635F5"/>
    <w:multiLevelType w:val="multilevel"/>
    <w:tmpl w:val="2A2635F5"/>
    <w:lvl w:ilvl="0" w:tentative="0">
      <w:start w:val="1"/>
      <w:numFmt w:val="decimal"/>
      <w:suff w:val="nothing"/>
      <w:lvlText w:val="（%1）"/>
      <w:lvlJc w:val="left"/>
      <w:pPr>
        <w:ind w:left="420" w:hanging="420"/>
      </w:pPr>
      <w:rPr>
        <w:rFonts w:hint="eastAsia"/>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C70B407"/>
    <w:multiLevelType w:val="singleLevel"/>
    <w:tmpl w:val="2C70B407"/>
    <w:lvl w:ilvl="0" w:tentative="0">
      <w:start w:val="6"/>
      <w:numFmt w:val="chineseCounting"/>
      <w:suff w:val="nothing"/>
      <w:lvlText w:val="%1、"/>
      <w:lvlJc w:val="left"/>
      <w:rPr>
        <w:rFonts w:hint="eastAsia"/>
      </w:rPr>
    </w:lvl>
  </w:abstractNum>
  <w:abstractNum w:abstractNumId="15">
    <w:nsid w:val="2FF87E80"/>
    <w:multiLevelType w:val="multilevel"/>
    <w:tmpl w:val="2FF87E80"/>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3542603B"/>
    <w:multiLevelType w:val="singleLevel"/>
    <w:tmpl w:val="3542603B"/>
    <w:lvl w:ilvl="0" w:tentative="0">
      <w:start w:val="1"/>
      <w:numFmt w:val="decimal"/>
      <w:lvlText w:val="%1."/>
      <w:lvlJc w:val="left"/>
      <w:pPr>
        <w:tabs>
          <w:tab w:val="left" w:pos="312"/>
        </w:tabs>
      </w:pPr>
    </w:lvl>
  </w:abstractNum>
  <w:abstractNum w:abstractNumId="17">
    <w:nsid w:val="47443DFE"/>
    <w:multiLevelType w:val="multilevel"/>
    <w:tmpl w:val="47443DFE"/>
    <w:lvl w:ilvl="0" w:tentative="0">
      <w:start w:val="1"/>
      <w:numFmt w:val="decimal"/>
      <w:suff w:val="nothing"/>
      <w:lvlText w:val="（%1）"/>
      <w:lvlJc w:val="left"/>
      <w:pPr>
        <w:ind w:left="420" w:hanging="420"/>
      </w:pPr>
      <w:rPr>
        <w:rFonts w:hint="eastAsia"/>
        <w:color w:val="auto"/>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8">
    <w:nsid w:val="55F53B41"/>
    <w:multiLevelType w:val="multilevel"/>
    <w:tmpl w:val="55F53B41"/>
    <w:lvl w:ilvl="0" w:tentative="0">
      <w:start w:val="2"/>
      <w:numFmt w:val="decimal"/>
      <w:suff w:val="nothing"/>
      <w:lvlText w:val="%1）"/>
      <w:lvlJc w:val="left"/>
      <w:pPr>
        <w:tabs>
          <w:tab w:val="left" w:pos="0"/>
        </w:tabs>
        <w:ind w:left="0" w:firstLine="0"/>
      </w:pPr>
      <w:rPr>
        <w:rFonts w:hint="default" w:ascii="Times New Roman" w:hAnsi="Times New Roman" w:cs="Times New Roman"/>
      </w:rPr>
    </w:lvl>
    <w:lvl w:ilvl="1" w:tentative="0">
      <w:start w:val="2"/>
      <w:numFmt w:val="decimal"/>
      <w:suff w:val="nothing"/>
      <w:lvlText w:val="%1）"/>
      <w:lvlJc w:val="left"/>
      <w:pPr>
        <w:tabs>
          <w:tab w:val="left" w:pos="0"/>
        </w:tabs>
        <w:ind w:left="0" w:firstLine="0"/>
      </w:pPr>
      <w:rPr>
        <w:rFonts w:hint="default" w:ascii="Times New Roman" w:hAnsi="Times New Roman" w:cs="Times New Roman"/>
      </w:rPr>
    </w:lvl>
    <w:lvl w:ilvl="2" w:tentative="0">
      <w:start w:val="2"/>
      <w:numFmt w:val="decimal"/>
      <w:suff w:val="nothing"/>
      <w:lvlText w:val="%1）"/>
      <w:lvlJc w:val="left"/>
      <w:pPr>
        <w:tabs>
          <w:tab w:val="left" w:pos="0"/>
        </w:tabs>
        <w:ind w:left="0" w:firstLine="0"/>
      </w:pPr>
      <w:rPr>
        <w:rFonts w:hint="default" w:ascii="Times New Roman" w:hAnsi="Times New Roman" w:cs="Times New Roman"/>
      </w:rPr>
    </w:lvl>
    <w:lvl w:ilvl="3" w:tentative="0">
      <w:start w:val="2"/>
      <w:numFmt w:val="decimal"/>
      <w:suff w:val="nothing"/>
      <w:lvlText w:val="%1）"/>
      <w:lvlJc w:val="left"/>
      <w:pPr>
        <w:tabs>
          <w:tab w:val="left" w:pos="0"/>
        </w:tabs>
        <w:ind w:left="0" w:firstLine="0"/>
      </w:pPr>
      <w:rPr>
        <w:rFonts w:hint="default" w:ascii="Times New Roman" w:hAnsi="Times New Roman" w:cs="Times New Roman"/>
      </w:rPr>
    </w:lvl>
    <w:lvl w:ilvl="4" w:tentative="0">
      <w:start w:val="2"/>
      <w:numFmt w:val="decimal"/>
      <w:suff w:val="nothing"/>
      <w:lvlText w:val="%1）"/>
      <w:lvlJc w:val="left"/>
      <w:pPr>
        <w:tabs>
          <w:tab w:val="left" w:pos="0"/>
        </w:tabs>
        <w:ind w:left="0" w:firstLine="0"/>
      </w:pPr>
      <w:rPr>
        <w:rFonts w:hint="default" w:ascii="Times New Roman" w:hAnsi="Times New Roman" w:cs="Times New Roman"/>
      </w:rPr>
    </w:lvl>
    <w:lvl w:ilvl="5" w:tentative="0">
      <w:start w:val="2"/>
      <w:numFmt w:val="decimal"/>
      <w:suff w:val="nothing"/>
      <w:lvlText w:val="%1）"/>
      <w:lvlJc w:val="left"/>
      <w:pPr>
        <w:tabs>
          <w:tab w:val="left" w:pos="0"/>
        </w:tabs>
        <w:ind w:left="0" w:firstLine="0"/>
      </w:pPr>
      <w:rPr>
        <w:rFonts w:hint="default" w:ascii="Times New Roman" w:hAnsi="Times New Roman" w:cs="Times New Roman"/>
      </w:rPr>
    </w:lvl>
    <w:lvl w:ilvl="6" w:tentative="0">
      <w:start w:val="2"/>
      <w:numFmt w:val="decimal"/>
      <w:suff w:val="nothing"/>
      <w:lvlText w:val="%1）"/>
      <w:lvlJc w:val="left"/>
      <w:pPr>
        <w:tabs>
          <w:tab w:val="left" w:pos="0"/>
        </w:tabs>
        <w:ind w:left="0" w:firstLine="0"/>
      </w:pPr>
      <w:rPr>
        <w:rFonts w:hint="default" w:ascii="Times New Roman" w:hAnsi="Times New Roman" w:cs="Times New Roman"/>
      </w:rPr>
    </w:lvl>
    <w:lvl w:ilvl="7" w:tentative="0">
      <w:start w:val="2"/>
      <w:numFmt w:val="decimal"/>
      <w:suff w:val="nothing"/>
      <w:lvlText w:val="%1）"/>
      <w:lvlJc w:val="left"/>
      <w:pPr>
        <w:tabs>
          <w:tab w:val="left" w:pos="0"/>
        </w:tabs>
        <w:ind w:left="0" w:firstLine="0"/>
      </w:pPr>
      <w:rPr>
        <w:rFonts w:hint="default" w:ascii="Times New Roman" w:hAnsi="Times New Roman" w:cs="Times New Roman"/>
      </w:rPr>
    </w:lvl>
    <w:lvl w:ilvl="8" w:tentative="0">
      <w:start w:val="2"/>
      <w:numFmt w:val="decimal"/>
      <w:suff w:val="nothing"/>
      <w:lvlText w:val="%1）"/>
      <w:lvlJc w:val="left"/>
      <w:pPr>
        <w:tabs>
          <w:tab w:val="left" w:pos="0"/>
        </w:tabs>
        <w:ind w:left="0" w:firstLine="0"/>
      </w:pPr>
      <w:rPr>
        <w:rFonts w:hint="default" w:ascii="Times New Roman" w:hAnsi="Times New Roman" w:cs="Times New Roman"/>
      </w:rPr>
    </w:lvl>
  </w:abstractNum>
  <w:abstractNum w:abstractNumId="19">
    <w:nsid w:val="7446C7A1"/>
    <w:multiLevelType w:val="singleLevel"/>
    <w:tmpl w:val="7446C7A1"/>
    <w:lvl w:ilvl="0" w:tentative="0">
      <w:start w:val="1"/>
      <w:numFmt w:val="decimal"/>
      <w:lvlText w:val="%1."/>
      <w:lvlJc w:val="left"/>
      <w:pPr>
        <w:tabs>
          <w:tab w:val="left" w:pos="312"/>
        </w:tabs>
      </w:pPr>
    </w:lvl>
  </w:abstractNum>
  <w:abstractNum w:abstractNumId="20">
    <w:nsid w:val="7C790F0F"/>
    <w:multiLevelType w:val="multilevel"/>
    <w:tmpl w:val="7C790F0F"/>
    <w:lvl w:ilvl="0" w:tentative="0">
      <w:start w:val="1"/>
      <w:numFmt w:val="decimal"/>
      <w:lvlText w:val="%1、"/>
      <w:lvlJc w:val="left"/>
      <w:pPr>
        <w:ind w:left="420" w:hanging="420"/>
      </w:pPr>
    </w:lvl>
    <w:lvl w:ilvl="1" w:tentative="0">
      <w:start w:val="1"/>
      <w:numFmt w:val="lowerLetter"/>
      <w:lvlText w:val="%1)"/>
      <w:lvlJc w:val="left"/>
      <w:pPr>
        <w:ind w:left="840" w:hanging="420"/>
      </w:pPr>
    </w:lvl>
    <w:lvl w:ilvl="2" w:tentative="0">
      <w:start w:val="1"/>
      <w:numFmt w:val="lowerRoman"/>
      <w:lvlText w:val="%1."/>
      <w:lvlJc w:val="right"/>
      <w:pPr>
        <w:ind w:left="1260" w:hanging="420"/>
      </w:pPr>
    </w:lvl>
    <w:lvl w:ilvl="3" w:tentative="0">
      <w:start w:val="1"/>
      <w:numFmt w:val="decimal"/>
      <w:lvlText w:val="%1."/>
      <w:lvlJc w:val="left"/>
      <w:pPr>
        <w:ind w:left="1680" w:hanging="420"/>
      </w:pPr>
    </w:lvl>
    <w:lvl w:ilvl="4" w:tentative="0">
      <w:start w:val="1"/>
      <w:numFmt w:val="lowerLetter"/>
      <w:lvlText w:val="%1)"/>
      <w:lvlJc w:val="left"/>
      <w:pPr>
        <w:ind w:left="2100" w:hanging="420"/>
      </w:pPr>
    </w:lvl>
    <w:lvl w:ilvl="5" w:tentative="0">
      <w:start w:val="1"/>
      <w:numFmt w:val="lowerRoman"/>
      <w:lvlText w:val="%1."/>
      <w:lvlJc w:val="right"/>
      <w:pPr>
        <w:ind w:left="2520" w:hanging="420"/>
      </w:pPr>
    </w:lvl>
    <w:lvl w:ilvl="6" w:tentative="0">
      <w:start w:val="1"/>
      <w:numFmt w:val="decimal"/>
      <w:lvlText w:val="%1."/>
      <w:lvlJc w:val="left"/>
      <w:pPr>
        <w:ind w:left="2940" w:hanging="420"/>
      </w:pPr>
    </w:lvl>
    <w:lvl w:ilvl="7" w:tentative="0">
      <w:start w:val="1"/>
      <w:numFmt w:val="lowerLetter"/>
      <w:lvlText w:val="%1)"/>
      <w:lvlJc w:val="left"/>
      <w:pPr>
        <w:ind w:left="3360" w:hanging="420"/>
      </w:pPr>
    </w:lvl>
    <w:lvl w:ilvl="8" w:tentative="0">
      <w:start w:val="1"/>
      <w:numFmt w:val="lowerRoman"/>
      <w:lvlText w:val="%1."/>
      <w:lvlJc w:val="right"/>
      <w:pPr>
        <w:ind w:left="3780" w:hanging="42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8"/>
  </w:num>
  <w:num w:numId="4">
    <w:abstractNumId w:val="5"/>
  </w:num>
  <w:num w:numId="5">
    <w:abstractNumId w:val="1"/>
  </w:num>
  <w:num w:numId="6">
    <w:abstractNumId w:val="13"/>
  </w:num>
  <w:num w:numId="7">
    <w:abstractNumId w:val="17"/>
  </w:num>
  <w:num w:numId="8">
    <w:abstractNumId w:val="0"/>
  </w:num>
  <w:num w:numId="9">
    <w:abstractNumId w:val="8"/>
  </w:num>
  <w:num w:numId="10">
    <w:abstractNumId w:val="3"/>
  </w:num>
  <w:num w:numId="11">
    <w:abstractNumId w:val="12"/>
  </w:num>
  <w:num w:numId="12">
    <w:abstractNumId w:val="6"/>
  </w:num>
  <w:num w:numId="13">
    <w:abstractNumId w:val="4"/>
  </w:num>
  <w:num w:numId="14">
    <w:abstractNumId w:val="11"/>
  </w:num>
  <w:num w:numId="15">
    <w:abstractNumId w:val="15"/>
  </w:num>
  <w:num w:numId="16">
    <w:abstractNumId w:val="9"/>
  </w:num>
  <w:num w:numId="17">
    <w:abstractNumId w:val="2"/>
  </w:num>
  <w:num w:numId="18">
    <w:abstractNumId w:val="16"/>
  </w:num>
  <w:num w:numId="19">
    <w:abstractNumId w:val="14"/>
  </w:num>
  <w:num w:numId="20">
    <w:abstractNumId w:val="7"/>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hNjJiODI0ZmMxYjk3YmM0Y2Y3OGI1NDBkMWUyYTMifQ=="/>
  </w:docVars>
  <w:rsids>
    <w:rsidRoot w:val="00DB489A"/>
    <w:rsid w:val="00011CD3"/>
    <w:rsid w:val="000E68B6"/>
    <w:rsid w:val="00104F92"/>
    <w:rsid w:val="0012657E"/>
    <w:rsid w:val="00132AA3"/>
    <w:rsid w:val="001669D4"/>
    <w:rsid w:val="001B6B36"/>
    <w:rsid w:val="001C3A1C"/>
    <w:rsid w:val="001E4DAC"/>
    <w:rsid w:val="001F6D81"/>
    <w:rsid w:val="002410F1"/>
    <w:rsid w:val="00251CD6"/>
    <w:rsid w:val="00293C84"/>
    <w:rsid w:val="002B1416"/>
    <w:rsid w:val="002C3BFD"/>
    <w:rsid w:val="00301138"/>
    <w:rsid w:val="003176F0"/>
    <w:rsid w:val="003754B9"/>
    <w:rsid w:val="00382A60"/>
    <w:rsid w:val="003831FC"/>
    <w:rsid w:val="003B2DBF"/>
    <w:rsid w:val="003B6CAA"/>
    <w:rsid w:val="003E23C8"/>
    <w:rsid w:val="004111B8"/>
    <w:rsid w:val="0042405C"/>
    <w:rsid w:val="004D53C6"/>
    <w:rsid w:val="00505719"/>
    <w:rsid w:val="00510B75"/>
    <w:rsid w:val="00523C3D"/>
    <w:rsid w:val="00563F94"/>
    <w:rsid w:val="005862AC"/>
    <w:rsid w:val="005B19AE"/>
    <w:rsid w:val="005D75AE"/>
    <w:rsid w:val="00612F27"/>
    <w:rsid w:val="00631CA6"/>
    <w:rsid w:val="0063599B"/>
    <w:rsid w:val="006803FC"/>
    <w:rsid w:val="006D2A42"/>
    <w:rsid w:val="00702E5D"/>
    <w:rsid w:val="00755A22"/>
    <w:rsid w:val="0077522B"/>
    <w:rsid w:val="007E300E"/>
    <w:rsid w:val="008322BB"/>
    <w:rsid w:val="00844D06"/>
    <w:rsid w:val="00852B0D"/>
    <w:rsid w:val="0085726C"/>
    <w:rsid w:val="0086797E"/>
    <w:rsid w:val="008A238E"/>
    <w:rsid w:val="008C34CF"/>
    <w:rsid w:val="008F0AA2"/>
    <w:rsid w:val="00924BCD"/>
    <w:rsid w:val="00974111"/>
    <w:rsid w:val="009C337D"/>
    <w:rsid w:val="009C512B"/>
    <w:rsid w:val="009D1308"/>
    <w:rsid w:val="00A2096D"/>
    <w:rsid w:val="00A2552F"/>
    <w:rsid w:val="00A72C3B"/>
    <w:rsid w:val="00A93436"/>
    <w:rsid w:val="00A9489F"/>
    <w:rsid w:val="00A97E81"/>
    <w:rsid w:val="00AC4677"/>
    <w:rsid w:val="00B17A04"/>
    <w:rsid w:val="00B40DC3"/>
    <w:rsid w:val="00B52321"/>
    <w:rsid w:val="00B75784"/>
    <w:rsid w:val="00B8163F"/>
    <w:rsid w:val="00BA3778"/>
    <w:rsid w:val="00BD350D"/>
    <w:rsid w:val="00BD430C"/>
    <w:rsid w:val="00CB557B"/>
    <w:rsid w:val="00CD3536"/>
    <w:rsid w:val="00D02047"/>
    <w:rsid w:val="00D4065C"/>
    <w:rsid w:val="00DB489A"/>
    <w:rsid w:val="00DD0B78"/>
    <w:rsid w:val="00DE195E"/>
    <w:rsid w:val="00E1591C"/>
    <w:rsid w:val="00E66FA8"/>
    <w:rsid w:val="00E73B54"/>
    <w:rsid w:val="00E80370"/>
    <w:rsid w:val="00E956C3"/>
    <w:rsid w:val="00EB17EE"/>
    <w:rsid w:val="00EC4750"/>
    <w:rsid w:val="00EF16FF"/>
    <w:rsid w:val="00F025EA"/>
    <w:rsid w:val="00F1563B"/>
    <w:rsid w:val="00F27BDB"/>
    <w:rsid w:val="00F602C2"/>
    <w:rsid w:val="00FE03BA"/>
    <w:rsid w:val="010C008E"/>
    <w:rsid w:val="013A3E8A"/>
    <w:rsid w:val="0143280E"/>
    <w:rsid w:val="01475930"/>
    <w:rsid w:val="0156565E"/>
    <w:rsid w:val="01D71174"/>
    <w:rsid w:val="01E07299"/>
    <w:rsid w:val="02053ECA"/>
    <w:rsid w:val="02095342"/>
    <w:rsid w:val="022766A9"/>
    <w:rsid w:val="024C263E"/>
    <w:rsid w:val="02531E27"/>
    <w:rsid w:val="026912C0"/>
    <w:rsid w:val="026B5BEC"/>
    <w:rsid w:val="026E7602"/>
    <w:rsid w:val="029650A4"/>
    <w:rsid w:val="02985DB7"/>
    <w:rsid w:val="02B7292F"/>
    <w:rsid w:val="02C602A8"/>
    <w:rsid w:val="02CE3596"/>
    <w:rsid w:val="02CF69B1"/>
    <w:rsid w:val="02E244A8"/>
    <w:rsid w:val="02F2197A"/>
    <w:rsid w:val="03175169"/>
    <w:rsid w:val="033755DF"/>
    <w:rsid w:val="037E603E"/>
    <w:rsid w:val="03A16026"/>
    <w:rsid w:val="03AE3AF3"/>
    <w:rsid w:val="03B22EB7"/>
    <w:rsid w:val="03C42540"/>
    <w:rsid w:val="03CB7D0A"/>
    <w:rsid w:val="03FF3556"/>
    <w:rsid w:val="04164081"/>
    <w:rsid w:val="0438160E"/>
    <w:rsid w:val="045B6010"/>
    <w:rsid w:val="04746360"/>
    <w:rsid w:val="047C774D"/>
    <w:rsid w:val="049338D7"/>
    <w:rsid w:val="04B211F2"/>
    <w:rsid w:val="04BC1642"/>
    <w:rsid w:val="04EB6681"/>
    <w:rsid w:val="04ED7F5F"/>
    <w:rsid w:val="05373674"/>
    <w:rsid w:val="053A3164"/>
    <w:rsid w:val="053F077B"/>
    <w:rsid w:val="05507F1C"/>
    <w:rsid w:val="055D0D8E"/>
    <w:rsid w:val="05685F23"/>
    <w:rsid w:val="05AD3936"/>
    <w:rsid w:val="05AD6675"/>
    <w:rsid w:val="05AF50AF"/>
    <w:rsid w:val="05BA607B"/>
    <w:rsid w:val="05F2028D"/>
    <w:rsid w:val="05FB6D97"/>
    <w:rsid w:val="05FF1DAE"/>
    <w:rsid w:val="063E20E3"/>
    <w:rsid w:val="0643334A"/>
    <w:rsid w:val="066E2587"/>
    <w:rsid w:val="069A266D"/>
    <w:rsid w:val="06AA6409"/>
    <w:rsid w:val="06D04805"/>
    <w:rsid w:val="06E44281"/>
    <w:rsid w:val="07014810"/>
    <w:rsid w:val="073034C6"/>
    <w:rsid w:val="0733461A"/>
    <w:rsid w:val="073F2D73"/>
    <w:rsid w:val="07BA233A"/>
    <w:rsid w:val="07C1191B"/>
    <w:rsid w:val="07DA7F0D"/>
    <w:rsid w:val="07FF1C39"/>
    <w:rsid w:val="08033923"/>
    <w:rsid w:val="08145EEF"/>
    <w:rsid w:val="081F1F8D"/>
    <w:rsid w:val="084A19AA"/>
    <w:rsid w:val="08644325"/>
    <w:rsid w:val="088B6AD7"/>
    <w:rsid w:val="08947037"/>
    <w:rsid w:val="08B4006C"/>
    <w:rsid w:val="08E22CC1"/>
    <w:rsid w:val="08E4121B"/>
    <w:rsid w:val="08EF6546"/>
    <w:rsid w:val="08F63DD4"/>
    <w:rsid w:val="09063BDE"/>
    <w:rsid w:val="091B5B68"/>
    <w:rsid w:val="093A3733"/>
    <w:rsid w:val="094620D8"/>
    <w:rsid w:val="09502F56"/>
    <w:rsid w:val="0989508B"/>
    <w:rsid w:val="09977F89"/>
    <w:rsid w:val="09A15D2F"/>
    <w:rsid w:val="09B01C47"/>
    <w:rsid w:val="09F2037E"/>
    <w:rsid w:val="09F26440"/>
    <w:rsid w:val="0A1D791A"/>
    <w:rsid w:val="0A361262"/>
    <w:rsid w:val="0A4249CA"/>
    <w:rsid w:val="0A506E8E"/>
    <w:rsid w:val="0A5627EE"/>
    <w:rsid w:val="0A5A1386"/>
    <w:rsid w:val="0A6F38B0"/>
    <w:rsid w:val="0A794110"/>
    <w:rsid w:val="0A803684"/>
    <w:rsid w:val="0AA413E9"/>
    <w:rsid w:val="0AE147AE"/>
    <w:rsid w:val="0AEE2A27"/>
    <w:rsid w:val="0B062F42"/>
    <w:rsid w:val="0B0653F7"/>
    <w:rsid w:val="0B196B42"/>
    <w:rsid w:val="0B332B30"/>
    <w:rsid w:val="0B446A99"/>
    <w:rsid w:val="0B5F3D2C"/>
    <w:rsid w:val="0B7373D0"/>
    <w:rsid w:val="0B795819"/>
    <w:rsid w:val="0BA2105E"/>
    <w:rsid w:val="0BA45C80"/>
    <w:rsid w:val="0BC12911"/>
    <w:rsid w:val="0BF033E0"/>
    <w:rsid w:val="0C01678A"/>
    <w:rsid w:val="0C1E0AFD"/>
    <w:rsid w:val="0C2F6CB1"/>
    <w:rsid w:val="0C3B50BE"/>
    <w:rsid w:val="0C3B6843"/>
    <w:rsid w:val="0C451E2E"/>
    <w:rsid w:val="0C49267E"/>
    <w:rsid w:val="0C654F6B"/>
    <w:rsid w:val="0C673DCB"/>
    <w:rsid w:val="0C69668F"/>
    <w:rsid w:val="0C7F6978"/>
    <w:rsid w:val="0C9C460A"/>
    <w:rsid w:val="0CA01AE7"/>
    <w:rsid w:val="0CD14217"/>
    <w:rsid w:val="0D163102"/>
    <w:rsid w:val="0D25260F"/>
    <w:rsid w:val="0D466B4A"/>
    <w:rsid w:val="0D483549"/>
    <w:rsid w:val="0D776204"/>
    <w:rsid w:val="0D8862D3"/>
    <w:rsid w:val="0D933AC8"/>
    <w:rsid w:val="0D945EE0"/>
    <w:rsid w:val="0D9A51F4"/>
    <w:rsid w:val="0DCA4354"/>
    <w:rsid w:val="0DEF595D"/>
    <w:rsid w:val="0DF26BF3"/>
    <w:rsid w:val="0E034A3B"/>
    <w:rsid w:val="0E0F523C"/>
    <w:rsid w:val="0E230ED5"/>
    <w:rsid w:val="0E431532"/>
    <w:rsid w:val="0E5C759E"/>
    <w:rsid w:val="0E7B42D6"/>
    <w:rsid w:val="0E801780"/>
    <w:rsid w:val="0ED174EF"/>
    <w:rsid w:val="0ED65CAC"/>
    <w:rsid w:val="0ED71A24"/>
    <w:rsid w:val="0ED92F8B"/>
    <w:rsid w:val="0ED966BF"/>
    <w:rsid w:val="0EDF7182"/>
    <w:rsid w:val="0EED79C3"/>
    <w:rsid w:val="0EF71212"/>
    <w:rsid w:val="0EFF05B8"/>
    <w:rsid w:val="0F0740B7"/>
    <w:rsid w:val="0F0D7198"/>
    <w:rsid w:val="0F125B2D"/>
    <w:rsid w:val="0F4F5A5E"/>
    <w:rsid w:val="0F6E2388"/>
    <w:rsid w:val="0FB35025"/>
    <w:rsid w:val="0FB51777"/>
    <w:rsid w:val="0FBD0D96"/>
    <w:rsid w:val="0FC562C3"/>
    <w:rsid w:val="0FCB31D6"/>
    <w:rsid w:val="0FE31AF2"/>
    <w:rsid w:val="10124B9B"/>
    <w:rsid w:val="101914A3"/>
    <w:rsid w:val="103C5FE2"/>
    <w:rsid w:val="10825588"/>
    <w:rsid w:val="10853E2D"/>
    <w:rsid w:val="10A17502"/>
    <w:rsid w:val="10C304B2"/>
    <w:rsid w:val="10CC099F"/>
    <w:rsid w:val="111019E4"/>
    <w:rsid w:val="112C6057"/>
    <w:rsid w:val="1140354C"/>
    <w:rsid w:val="11453A98"/>
    <w:rsid w:val="116D107E"/>
    <w:rsid w:val="11824CD1"/>
    <w:rsid w:val="11877731"/>
    <w:rsid w:val="119814E0"/>
    <w:rsid w:val="11A13D72"/>
    <w:rsid w:val="11B11C98"/>
    <w:rsid w:val="11B322D4"/>
    <w:rsid w:val="11BE156C"/>
    <w:rsid w:val="11D212FE"/>
    <w:rsid w:val="11E708F3"/>
    <w:rsid w:val="11F70905"/>
    <w:rsid w:val="120F5E78"/>
    <w:rsid w:val="12353631"/>
    <w:rsid w:val="123F000C"/>
    <w:rsid w:val="12491018"/>
    <w:rsid w:val="125B71A3"/>
    <w:rsid w:val="12687563"/>
    <w:rsid w:val="1288598F"/>
    <w:rsid w:val="12895B6E"/>
    <w:rsid w:val="12932288"/>
    <w:rsid w:val="12B26899"/>
    <w:rsid w:val="12B776C8"/>
    <w:rsid w:val="12BA164F"/>
    <w:rsid w:val="13376C81"/>
    <w:rsid w:val="133934B0"/>
    <w:rsid w:val="133B638F"/>
    <w:rsid w:val="13535FEE"/>
    <w:rsid w:val="135A334F"/>
    <w:rsid w:val="139E09AB"/>
    <w:rsid w:val="13C26D3E"/>
    <w:rsid w:val="13E650F4"/>
    <w:rsid w:val="13E84FD1"/>
    <w:rsid w:val="13ED41C3"/>
    <w:rsid w:val="13EE3A98"/>
    <w:rsid w:val="13F014DF"/>
    <w:rsid w:val="13F86A35"/>
    <w:rsid w:val="140F702E"/>
    <w:rsid w:val="14111450"/>
    <w:rsid w:val="14315BC3"/>
    <w:rsid w:val="146E5593"/>
    <w:rsid w:val="14EB7FD7"/>
    <w:rsid w:val="14F567DB"/>
    <w:rsid w:val="14F65188"/>
    <w:rsid w:val="151614F8"/>
    <w:rsid w:val="15273705"/>
    <w:rsid w:val="152B07AB"/>
    <w:rsid w:val="15396E97"/>
    <w:rsid w:val="157D0A4E"/>
    <w:rsid w:val="158A3C94"/>
    <w:rsid w:val="158F187F"/>
    <w:rsid w:val="159B442A"/>
    <w:rsid w:val="159D1877"/>
    <w:rsid w:val="15A47083"/>
    <w:rsid w:val="15B900D5"/>
    <w:rsid w:val="15BE0EBF"/>
    <w:rsid w:val="15CD16DA"/>
    <w:rsid w:val="15DC6409"/>
    <w:rsid w:val="15E50ECA"/>
    <w:rsid w:val="15F1161D"/>
    <w:rsid w:val="16071A5B"/>
    <w:rsid w:val="16261FBD"/>
    <w:rsid w:val="1653677B"/>
    <w:rsid w:val="1665569C"/>
    <w:rsid w:val="1665736E"/>
    <w:rsid w:val="16917C74"/>
    <w:rsid w:val="16AE541A"/>
    <w:rsid w:val="16C00407"/>
    <w:rsid w:val="16D200EE"/>
    <w:rsid w:val="16D4754E"/>
    <w:rsid w:val="16DF15B9"/>
    <w:rsid w:val="16F2312F"/>
    <w:rsid w:val="16F45869"/>
    <w:rsid w:val="16F55FB5"/>
    <w:rsid w:val="16FC2F2E"/>
    <w:rsid w:val="17016842"/>
    <w:rsid w:val="17434428"/>
    <w:rsid w:val="17630885"/>
    <w:rsid w:val="17791F1A"/>
    <w:rsid w:val="179C380B"/>
    <w:rsid w:val="17AD426B"/>
    <w:rsid w:val="17D240F5"/>
    <w:rsid w:val="17FA4680"/>
    <w:rsid w:val="17FB6783"/>
    <w:rsid w:val="18025BF7"/>
    <w:rsid w:val="1811546F"/>
    <w:rsid w:val="181E40B0"/>
    <w:rsid w:val="1821365D"/>
    <w:rsid w:val="182F17B2"/>
    <w:rsid w:val="1881312C"/>
    <w:rsid w:val="188D5986"/>
    <w:rsid w:val="18AB01A9"/>
    <w:rsid w:val="18B06963"/>
    <w:rsid w:val="18B21538"/>
    <w:rsid w:val="18D12B5A"/>
    <w:rsid w:val="18D47700"/>
    <w:rsid w:val="19323278"/>
    <w:rsid w:val="19371A3D"/>
    <w:rsid w:val="19410FA1"/>
    <w:rsid w:val="194D300E"/>
    <w:rsid w:val="195962E8"/>
    <w:rsid w:val="19647819"/>
    <w:rsid w:val="198438E8"/>
    <w:rsid w:val="199B523D"/>
    <w:rsid w:val="19A51287"/>
    <w:rsid w:val="19D33365"/>
    <w:rsid w:val="19DD7FDF"/>
    <w:rsid w:val="19F718E2"/>
    <w:rsid w:val="1A1C40A9"/>
    <w:rsid w:val="1A214DBA"/>
    <w:rsid w:val="1A2D652E"/>
    <w:rsid w:val="1A6F17BF"/>
    <w:rsid w:val="1AA51F2A"/>
    <w:rsid w:val="1AC344D0"/>
    <w:rsid w:val="1ADA53CD"/>
    <w:rsid w:val="1AE24A82"/>
    <w:rsid w:val="1AF529B5"/>
    <w:rsid w:val="1AF9676E"/>
    <w:rsid w:val="1B126A51"/>
    <w:rsid w:val="1B5508A0"/>
    <w:rsid w:val="1B656E0C"/>
    <w:rsid w:val="1B875F82"/>
    <w:rsid w:val="1B8E6E35"/>
    <w:rsid w:val="1BC5019B"/>
    <w:rsid w:val="1BD84345"/>
    <w:rsid w:val="1C1571E4"/>
    <w:rsid w:val="1C275E4B"/>
    <w:rsid w:val="1C2B03FC"/>
    <w:rsid w:val="1C3A300E"/>
    <w:rsid w:val="1C4D68F2"/>
    <w:rsid w:val="1C834AA6"/>
    <w:rsid w:val="1CD74D0F"/>
    <w:rsid w:val="1CD97E69"/>
    <w:rsid w:val="1CDA105D"/>
    <w:rsid w:val="1D096521"/>
    <w:rsid w:val="1D0D23D8"/>
    <w:rsid w:val="1D0F139F"/>
    <w:rsid w:val="1D4916E2"/>
    <w:rsid w:val="1D5C7AF8"/>
    <w:rsid w:val="1D641A8B"/>
    <w:rsid w:val="1D71089B"/>
    <w:rsid w:val="1DF8224F"/>
    <w:rsid w:val="1E023031"/>
    <w:rsid w:val="1E0E7548"/>
    <w:rsid w:val="1E2456E5"/>
    <w:rsid w:val="1E4627DA"/>
    <w:rsid w:val="1E5866DD"/>
    <w:rsid w:val="1EA551C0"/>
    <w:rsid w:val="1EBD551E"/>
    <w:rsid w:val="1EC975DB"/>
    <w:rsid w:val="1EDC27EF"/>
    <w:rsid w:val="1EE12B77"/>
    <w:rsid w:val="1EFB3381"/>
    <w:rsid w:val="1F0028D1"/>
    <w:rsid w:val="1F42113B"/>
    <w:rsid w:val="1F566913"/>
    <w:rsid w:val="1F6139F7"/>
    <w:rsid w:val="1F770F83"/>
    <w:rsid w:val="1F7E03C6"/>
    <w:rsid w:val="1F8A4CDF"/>
    <w:rsid w:val="1F9B63EB"/>
    <w:rsid w:val="1F9D69EF"/>
    <w:rsid w:val="1FB5332C"/>
    <w:rsid w:val="1FC21B8C"/>
    <w:rsid w:val="1FC72574"/>
    <w:rsid w:val="1FEB4DCE"/>
    <w:rsid w:val="200C3C23"/>
    <w:rsid w:val="200F4676"/>
    <w:rsid w:val="20141A48"/>
    <w:rsid w:val="20161AB2"/>
    <w:rsid w:val="202331F2"/>
    <w:rsid w:val="204D7566"/>
    <w:rsid w:val="204E1006"/>
    <w:rsid w:val="20526073"/>
    <w:rsid w:val="20607ACB"/>
    <w:rsid w:val="206A094A"/>
    <w:rsid w:val="20744DEB"/>
    <w:rsid w:val="207913EC"/>
    <w:rsid w:val="207F2647"/>
    <w:rsid w:val="208675A5"/>
    <w:rsid w:val="209C2449"/>
    <w:rsid w:val="20C776B7"/>
    <w:rsid w:val="20F7407F"/>
    <w:rsid w:val="21034071"/>
    <w:rsid w:val="211549B5"/>
    <w:rsid w:val="212B7C94"/>
    <w:rsid w:val="213F5933"/>
    <w:rsid w:val="21507B40"/>
    <w:rsid w:val="217B3EA3"/>
    <w:rsid w:val="21837E6B"/>
    <w:rsid w:val="218A38D3"/>
    <w:rsid w:val="21913B1B"/>
    <w:rsid w:val="21991C9F"/>
    <w:rsid w:val="21A659B2"/>
    <w:rsid w:val="21D20555"/>
    <w:rsid w:val="21F66939"/>
    <w:rsid w:val="21F950CC"/>
    <w:rsid w:val="220729A3"/>
    <w:rsid w:val="22114E02"/>
    <w:rsid w:val="22191197"/>
    <w:rsid w:val="223907F9"/>
    <w:rsid w:val="22394A78"/>
    <w:rsid w:val="22415264"/>
    <w:rsid w:val="224C47AB"/>
    <w:rsid w:val="226B1089"/>
    <w:rsid w:val="227370CF"/>
    <w:rsid w:val="228F7552"/>
    <w:rsid w:val="22A33D84"/>
    <w:rsid w:val="22D80A43"/>
    <w:rsid w:val="22E5250A"/>
    <w:rsid w:val="22EA5D72"/>
    <w:rsid w:val="22FF181D"/>
    <w:rsid w:val="23013695"/>
    <w:rsid w:val="23094082"/>
    <w:rsid w:val="23211E9B"/>
    <w:rsid w:val="2332525A"/>
    <w:rsid w:val="23762A19"/>
    <w:rsid w:val="238E3257"/>
    <w:rsid w:val="23A908D0"/>
    <w:rsid w:val="23E32EED"/>
    <w:rsid w:val="23F76D95"/>
    <w:rsid w:val="23FC160F"/>
    <w:rsid w:val="240C4BCF"/>
    <w:rsid w:val="24125580"/>
    <w:rsid w:val="24196FD0"/>
    <w:rsid w:val="242C30E1"/>
    <w:rsid w:val="245A4C76"/>
    <w:rsid w:val="245D7FBC"/>
    <w:rsid w:val="246A0F18"/>
    <w:rsid w:val="24773635"/>
    <w:rsid w:val="247D6EA6"/>
    <w:rsid w:val="24824FB2"/>
    <w:rsid w:val="249C4ADD"/>
    <w:rsid w:val="24AF7273"/>
    <w:rsid w:val="24BC2064"/>
    <w:rsid w:val="24C7636B"/>
    <w:rsid w:val="24D05BE5"/>
    <w:rsid w:val="24D12D46"/>
    <w:rsid w:val="24D42836"/>
    <w:rsid w:val="24DB0AAC"/>
    <w:rsid w:val="24EC5DD1"/>
    <w:rsid w:val="25192B51"/>
    <w:rsid w:val="25202506"/>
    <w:rsid w:val="25695466"/>
    <w:rsid w:val="258B5E98"/>
    <w:rsid w:val="259F64C7"/>
    <w:rsid w:val="25B61AEB"/>
    <w:rsid w:val="25D37172"/>
    <w:rsid w:val="25F9024A"/>
    <w:rsid w:val="261519E2"/>
    <w:rsid w:val="26302EA9"/>
    <w:rsid w:val="263972EC"/>
    <w:rsid w:val="26445799"/>
    <w:rsid w:val="264D73AA"/>
    <w:rsid w:val="2685793C"/>
    <w:rsid w:val="26B91CE3"/>
    <w:rsid w:val="27052670"/>
    <w:rsid w:val="2709243A"/>
    <w:rsid w:val="27533EE6"/>
    <w:rsid w:val="27541A0C"/>
    <w:rsid w:val="277A580F"/>
    <w:rsid w:val="27943502"/>
    <w:rsid w:val="27D8088F"/>
    <w:rsid w:val="28011B94"/>
    <w:rsid w:val="280478D6"/>
    <w:rsid w:val="28094EEC"/>
    <w:rsid w:val="280D7919"/>
    <w:rsid w:val="282F0619"/>
    <w:rsid w:val="28465DDB"/>
    <w:rsid w:val="284952E9"/>
    <w:rsid w:val="284F1DB2"/>
    <w:rsid w:val="287A1CEF"/>
    <w:rsid w:val="28983C59"/>
    <w:rsid w:val="28B74948"/>
    <w:rsid w:val="28BE2459"/>
    <w:rsid w:val="28C72DDD"/>
    <w:rsid w:val="28CA0D49"/>
    <w:rsid w:val="2916341D"/>
    <w:rsid w:val="291718D0"/>
    <w:rsid w:val="291B6C85"/>
    <w:rsid w:val="29213E99"/>
    <w:rsid w:val="29463783"/>
    <w:rsid w:val="294A78BC"/>
    <w:rsid w:val="294E6051"/>
    <w:rsid w:val="29625E6D"/>
    <w:rsid w:val="29667A34"/>
    <w:rsid w:val="29786C79"/>
    <w:rsid w:val="298632DF"/>
    <w:rsid w:val="299723D8"/>
    <w:rsid w:val="299802D6"/>
    <w:rsid w:val="29A900EC"/>
    <w:rsid w:val="29E31A75"/>
    <w:rsid w:val="29EC222C"/>
    <w:rsid w:val="29FC28EB"/>
    <w:rsid w:val="2A0C1546"/>
    <w:rsid w:val="2A596B13"/>
    <w:rsid w:val="2A5A1A2F"/>
    <w:rsid w:val="2A5E660E"/>
    <w:rsid w:val="2A685AC2"/>
    <w:rsid w:val="2A6956BF"/>
    <w:rsid w:val="2A697EC4"/>
    <w:rsid w:val="2A842608"/>
    <w:rsid w:val="2AAE4F3D"/>
    <w:rsid w:val="2AC64436"/>
    <w:rsid w:val="2AC82E3D"/>
    <w:rsid w:val="2AD66C7D"/>
    <w:rsid w:val="2AE17B51"/>
    <w:rsid w:val="2B134AD1"/>
    <w:rsid w:val="2B345DDC"/>
    <w:rsid w:val="2B414F22"/>
    <w:rsid w:val="2B98280F"/>
    <w:rsid w:val="2B9B40AD"/>
    <w:rsid w:val="2BA83C6D"/>
    <w:rsid w:val="2BB13949"/>
    <w:rsid w:val="2BBB474F"/>
    <w:rsid w:val="2BC108A9"/>
    <w:rsid w:val="2BC2163A"/>
    <w:rsid w:val="2BF61755"/>
    <w:rsid w:val="2C091759"/>
    <w:rsid w:val="2C2E3173"/>
    <w:rsid w:val="2C313603"/>
    <w:rsid w:val="2C646D6B"/>
    <w:rsid w:val="2C7A3CC3"/>
    <w:rsid w:val="2C8B2374"/>
    <w:rsid w:val="2C9B59D1"/>
    <w:rsid w:val="2CCC0E2D"/>
    <w:rsid w:val="2CD772AE"/>
    <w:rsid w:val="2D062135"/>
    <w:rsid w:val="2D222CFE"/>
    <w:rsid w:val="2D460247"/>
    <w:rsid w:val="2D5601EB"/>
    <w:rsid w:val="2D727090"/>
    <w:rsid w:val="2D896E36"/>
    <w:rsid w:val="2D9B08F4"/>
    <w:rsid w:val="2DAF7966"/>
    <w:rsid w:val="2DB42B79"/>
    <w:rsid w:val="2DBD030B"/>
    <w:rsid w:val="2DED178F"/>
    <w:rsid w:val="2E275489"/>
    <w:rsid w:val="2E5B68C3"/>
    <w:rsid w:val="2E6102EA"/>
    <w:rsid w:val="2E762311"/>
    <w:rsid w:val="2E834FFA"/>
    <w:rsid w:val="2EC3210B"/>
    <w:rsid w:val="2EF75A9F"/>
    <w:rsid w:val="2F0D196C"/>
    <w:rsid w:val="2F366BAF"/>
    <w:rsid w:val="2F407445"/>
    <w:rsid w:val="2F4E5A3C"/>
    <w:rsid w:val="2F5577D9"/>
    <w:rsid w:val="2F5B5C6A"/>
    <w:rsid w:val="2FA23C5C"/>
    <w:rsid w:val="2FD2443E"/>
    <w:rsid w:val="2FE75B13"/>
    <w:rsid w:val="2FFE4E3E"/>
    <w:rsid w:val="300849DC"/>
    <w:rsid w:val="302A0B85"/>
    <w:rsid w:val="306F53A0"/>
    <w:rsid w:val="30797274"/>
    <w:rsid w:val="309644EE"/>
    <w:rsid w:val="30E6765D"/>
    <w:rsid w:val="31091AB9"/>
    <w:rsid w:val="31104BF6"/>
    <w:rsid w:val="311178ED"/>
    <w:rsid w:val="3152520E"/>
    <w:rsid w:val="315E32C6"/>
    <w:rsid w:val="3173785F"/>
    <w:rsid w:val="31767194"/>
    <w:rsid w:val="317A55ED"/>
    <w:rsid w:val="319B7BFB"/>
    <w:rsid w:val="31A87524"/>
    <w:rsid w:val="31C60B71"/>
    <w:rsid w:val="31DB17B7"/>
    <w:rsid w:val="31E56082"/>
    <w:rsid w:val="31E67F59"/>
    <w:rsid w:val="31F41057"/>
    <w:rsid w:val="31FA5931"/>
    <w:rsid w:val="321800C3"/>
    <w:rsid w:val="32195D2C"/>
    <w:rsid w:val="322F72FD"/>
    <w:rsid w:val="32484346"/>
    <w:rsid w:val="32786EF6"/>
    <w:rsid w:val="32834CD5"/>
    <w:rsid w:val="328921ED"/>
    <w:rsid w:val="32933F90"/>
    <w:rsid w:val="32956148"/>
    <w:rsid w:val="32A25FE2"/>
    <w:rsid w:val="32BB2294"/>
    <w:rsid w:val="32C43EEA"/>
    <w:rsid w:val="32D00AE0"/>
    <w:rsid w:val="32D0217E"/>
    <w:rsid w:val="32D1545E"/>
    <w:rsid w:val="32DB47E8"/>
    <w:rsid w:val="32E06A31"/>
    <w:rsid w:val="331A0480"/>
    <w:rsid w:val="33364352"/>
    <w:rsid w:val="33410B59"/>
    <w:rsid w:val="335A484E"/>
    <w:rsid w:val="336A3FB7"/>
    <w:rsid w:val="337E053C"/>
    <w:rsid w:val="33987BC6"/>
    <w:rsid w:val="339A10EE"/>
    <w:rsid w:val="33B01AC5"/>
    <w:rsid w:val="33B37295"/>
    <w:rsid w:val="33C832B9"/>
    <w:rsid w:val="33C8709C"/>
    <w:rsid w:val="340B3DCC"/>
    <w:rsid w:val="34182AA6"/>
    <w:rsid w:val="341D3ABD"/>
    <w:rsid w:val="341E3ACD"/>
    <w:rsid w:val="342407DE"/>
    <w:rsid w:val="345E3ECA"/>
    <w:rsid w:val="34605E94"/>
    <w:rsid w:val="346C4839"/>
    <w:rsid w:val="346F4329"/>
    <w:rsid w:val="34755000"/>
    <w:rsid w:val="347F3F05"/>
    <w:rsid w:val="34837B48"/>
    <w:rsid w:val="34B14942"/>
    <w:rsid w:val="34F01054"/>
    <w:rsid w:val="35016274"/>
    <w:rsid w:val="35027AF8"/>
    <w:rsid w:val="350C1B78"/>
    <w:rsid w:val="351C45BB"/>
    <w:rsid w:val="35327830"/>
    <w:rsid w:val="355C0F53"/>
    <w:rsid w:val="357940C4"/>
    <w:rsid w:val="35835CB0"/>
    <w:rsid w:val="358D635C"/>
    <w:rsid w:val="35A75F5D"/>
    <w:rsid w:val="35A87F4D"/>
    <w:rsid w:val="35B17FEC"/>
    <w:rsid w:val="35E473E2"/>
    <w:rsid w:val="35F71BCA"/>
    <w:rsid w:val="36242FBA"/>
    <w:rsid w:val="362C24D2"/>
    <w:rsid w:val="36445538"/>
    <w:rsid w:val="3660508C"/>
    <w:rsid w:val="36617CA1"/>
    <w:rsid w:val="36671138"/>
    <w:rsid w:val="36696F60"/>
    <w:rsid w:val="368972AE"/>
    <w:rsid w:val="36965776"/>
    <w:rsid w:val="36C257EC"/>
    <w:rsid w:val="36D8497A"/>
    <w:rsid w:val="36FA4EEB"/>
    <w:rsid w:val="371F2036"/>
    <w:rsid w:val="3736112E"/>
    <w:rsid w:val="373A29CC"/>
    <w:rsid w:val="373C179C"/>
    <w:rsid w:val="3744085D"/>
    <w:rsid w:val="37474C86"/>
    <w:rsid w:val="374A1900"/>
    <w:rsid w:val="37736D1E"/>
    <w:rsid w:val="378B147A"/>
    <w:rsid w:val="37BC34CC"/>
    <w:rsid w:val="37D50947"/>
    <w:rsid w:val="37E53998"/>
    <w:rsid w:val="38285B52"/>
    <w:rsid w:val="38385FD0"/>
    <w:rsid w:val="38517C12"/>
    <w:rsid w:val="38975BFC"/>
    <w:rsid w:val="38A05EC7"/>
    <w:rsid w:val="38B40107"/>
    <w:rsid w:val="38CC1D03"/>
    <w:rsid w:val="38D174C9"/>
    <w:rsid w:val="38D963D8"/>
    <w:rsid w:val="38DF50B3"/>
    <w:rsid w:val="38E4608A"/>
    <w:rsid w:val="38EE15AE"/>
    <w:rsid w:val="391A2AB5"/>
    <w:rsid w:val="39372984"/>
    <w:rsid w:val="395018F6"/>
    <w:rsid w:val="396E1053"/>
    <w:rsid w:val="39916AF0"/>
    <w:rsid w:val="399D5494"/>
    <w:rsid w:val="39B53568"/>
    <w:rsid w:val="39DD7B53"/>
    <w:rsid w:val="3A043AE0"/>
    <w:rsid w:val="3A0B4AF4"/>
    <w:rsid w:val="3A10210A"/>
    <w:rsid w:val="3A210CE6"/>
    <w:rsid w:val="3A34346A"/>
    <w:rsid w:val="3A39340F"/>
    <w:rsid w:val="3A3951BD"/>
    <w:rsid w:val="3A8275B3"/>
    <w:rsid w:val="3A945885"/>
    <w:rsid w:val="3AA84C7C"/>
    <w:rsid w:val="3AC448FF"/>
    <w:rsid w:val="3AC603ED"/>
    <w:rsid w:val="3ADA7C95"/>
    <w:rsid w:val="3B4103CD"/>
    <w:rsid w:val="3B474590"/>
    <w:rsid w:val="3B7304D5"/>
    <w:rsid w:val="3B814510"/>
    <w:rsid w:val="3B822661"/>
    <w:rsid w:val="3B8A50BE"/>
    <w:rsid w:val="3BAE7C66"/>
    <w:rsid w:val="3BBE4F75"/>
    <w:rsid w:val="3BC905AB"/>
    <w:rsid w:val="3BCD0DCE"/>
    <w:rsid w:val="3BCE4F9E"/>
    <w:rsid w:val="3BF03FA1"/>
    <w:rsid w:val="3C0331DD"/>
    <w:rsid w:val="3C106ED0"/>
    <w:rsid w:val="3C1C08F2"/>
    <w:rsid w:val="3CA641B2"/>
    <w:rsid w:val="3CB12907"/>
    <w:rsid w:val="3CCC06E9"/>
    <w:rsid w:val="3CD72A6B"/>
    <w:rsid w:val="3CD75E75"/>
    <w:rsid w:val="3CE5587C"/>
    <w:rsid w:val="3CEA6F2B"/>
    <w:rsid w:val="3CF24E59"/>
    <w:rsid w:val="3CFE7D2F"/>
    <w:rsid w:val="3D0A4BEF"/>
    <w:rsid w:val="3D1C1F36"/>
    <w:rsid w:val="3D620019"/>
    <w:rsid w:val="3D6F3CD1"/>
    <w:rsid w:val="3D874ACB"/>
    <w:rsid w:val="3D88475E"/>
    <w:rsid w:val="3D8F1598"/>
    <w:rsid w:val="3D996D78"/>
    <w:rsid w:val="3DB01748"/>
    <w:rsid w:val="3DCE3E6E"/>
    <w:rsid w:val="3DD4070D"/>
    <w:rsid w:val="3DE66AD5"/>
    <w:rsid w:val="3E021BD6"/>
    <w:rsid w:val="3E210442"/>
    <w:rsid w:val="3E390C8E"/>
    <w:rsid w:val="3E4F5E63"/>
    <w:rsid w:val="3E643E6A"/>
    <w:rsid w:val="3E820D6F"/>
    <w:rsid w:val="3E9E58CA"/>
    <w:rsid w:val="3EA03A5D"/>
    <w:rsid w:val="3EA66B99"/>
    <w:rsid w:val="3EAF068D"/>
    <w:rsid w:val="3EBA2645"/>
    <w:rsid w:val="3ED71449"/>
    <w:rsid w:val="3EFA04EA"/>
    <w:rsid w:val="3F1D133B"/>
    <w:rsid w:val="3F312907"/>
    <w:rsid w:val="3F410BBF"/>
    <w:rsid w:val="3F6F5728"/>
    <w:rsid w:val="3F9410E8"/>
    <w:rsid w:val="3F9F6F85"/>
    <w:rsid w:val="3FAC01DF"/>
    <w:rsid w:val="3FBB0422"/>
    <w:rsid w:val="3FBF2440"/>
    <w:rsid w:val="3FCD6521"/>
    <w:rsid w:val="3FD321CF"/>
    <w:rsid w:val="3FFE4FAB"/>
    <w:rsid w:val="40074D14"/>
    <w:rsid w:val="40413E86"/>
    <w:rsid w:val="40782BB5"/>
    <w:rsid w:val="40864196"/>
    <w:rsid w:val="408E05A4"/>
    <w:rsid w:val="40D35740"/>
    <w:rsid w:val="40D73788"/>
    <w:rsid w:val="40DB29AD"/>
    <w:rsid w:val="411258B0"/>
    <w:rsid w:val="41286C44"/>
    <w:rsid w:val="417B430D"/>
    <w:rsid w:val="417D488E"/>
    <w:rsid w:val="417D61FB"/>
    <w:rsid w:val="41817A57"/>
    <w:rsid w:val="418E3994"/>
    <w:rsid w:val="418E3FCE"/>
    <w:rsid w:val="41942815"/>
    <w:rsid w:val="41B960AB"/>
    <w:rsid w:val="41BD66D4"/>
    <w:rsid w:val="41D03EDA"/>
    <w:rsid w:val="41D626A7"/>
    <w:rsid w:val="422C5607"/>
    <w:rsid w:val="424233D5"/>
    <w:rsid w:val="424336D6"/>
    <w:rsid w:val="424E7922"/>
    <w:rsid w:val="42521512"/>
    <w:rsid w:val="42703746"/>
    <w:rsid w:val="428611BC"/>
    <w:rsid w:val="429F5DD9"/>
    <w:rsid w:val="42A933F4"/>
    <w:rsid w:val="42EF2447"/>
    <w:rsid w:val="42FE40ED"/>
    <w:rsid w:val="431A3E3B"/>
    <w:rsid w:val="432857A3"/>
    <w:rsid w:val="43580E9D"/>
    <w:rsid w:val="439D67BD"/>
    <w:rsid w:val="43A14EFC"/>
    <w:rsid w:val="43AE09CA"/>
    <w:rsid w:val="43BC6BBF"/>
    <w:rsid w:val="4427252A"/>
    <w:rsid w:val="4436272E"/>
    <w:rsid w:val="443A7A13"/>
    <w:rsid w:val="447225C0"/>
    <w:rsid w:val="44977AA4"/>
    <w:rsid w:val="44B32010"/>
    <w:rsid w:val="44C44536"/>
    <w:rsid w:val="44D97F2B"/>
    <w:rsid w:val="44E70442"/>
    <w:rsid w:val="44E855C1"/>
    <w:rsid w:val="44F25849"/>
    <w:rsid w:val="4507071A"/>
    <w:rsid w:val="45085EB8"/>
    <w:rsid w:val="45265AAF"/>
    <w:rsid w:val="456F7CFB"/>
    <w:rsid w:val="457A48DC"/>
    <w:rsid w:val="45BC56A3"/>
    <w:rsid w:val="45DB181E"/>
    <w:rsid w:val="45DD5636"/>
    <w:rsid w:val="45E2530E"/>
    <w:rsid w:val="460545B7"/>
    <w:rsid w:val="46151CE8"/>
    <w:rsid w:val="4624601B"/>
    <w:rsid w:val="463A4797"/>
    <w:rsid w:val="46492AAA"/>
    <w:rsid w:val="464D6A35"/>
    <w:rsid w:val="465E0864"/>
    <w:rsid w:val="4665149E"/>
    <w:rsid w:val="4665733A"/>
    <w:rsid w:val="46997B6B"/>
    <w:rsid w:val="46A24169"/>
    <w:rsid w:val="46C35681"/>
    <w:rsid w:val="46CC5A2A"/>
    <w:rsid w:val="46E95941"/>
    <w:rsid w:val="46F51269"/>
    <w:rsid w:val="46FD57C4"/>
    <w:rsid w:val="46FF0B36"/>
    <w:rsid w:val="47063A4D"/>
    <w:rsid w:val="471C433E"/>
    <w:rsid w:val="47271392"/>
    <w:rsid w:val="47275E53"/>
    <w:rsid w:val="4761567C"/>
    <w:rsid w:val="47767FBB"/>
    <w:rsid w:val="47794E4B"/>
    <w:rsid w:val="47A2041E"/>
    <w:rsid w:val="47A85A0E"/>
    <w:rsid w:val="47A95BCC"/>
    <w:rsid w:val="47AD71EA"/>
    <w:rsid w:val="47B67D63"/>
    <w:rsid w:val="47BE0A7B"/>
    <w:rsid w:val="47D06A35"/>
    <w:rsid w:val="47D97D4C"/>
    <w:rsid w:val="480C5CBF"/>
    <w:rsid w:val="481B63E2"/>
    <w:rsid w:val="484424D9"/>
    <w:rsid w:val="4847103F"/>
    <w:rsid w:val="48482A6F"/>
    <w:rsid w:val="48500694"/>
    <w:rsid w:val="48874AA5"/>
    <w:rsid w:val="48C04CFB"/>
    <w:rsid w:val="48CC45A4"/>
    <w:rsid w:val="49050FB9"/>
    <w:rsid w:val="491017DF"/>
    <w:rsid w:val="49275497"/>
    <w:rsid w:val="49557B3A"/>
    <w:rsid w:val="495C2C76"/>
    <w:rsid w:val="495D4852"/>
    <w:rsid w:val="49664C1E"/>
    <w:rsid w:val="496930A0"/>
    <w:rsid w:val="49831FB1"/>
    <w:rsid w:val="49A377FA"/>
    <w:rsid w:val="49DE752B"/>
    <w:rsid w:val="49ED77B7"/>
    <w:rsid w:val="4A360328"/>
    <w:rsid w:val="4A425992"/>
    <w:rsid w:val="4A63649F"/>
    <w:rsid w:val="4A72780C"/>
    <w:rsid w:val="4A7A0275"/>
    <w:rsid w:val="4A7A5D42"/>
    <w:rsid w:val="4A931EDC"/>
    <w:rsid w:val="4AA75D8A"/>
    <w:rsid w:val="4ABE7E56"/>
    <w:rsid w:val="4AF13179"/>
    <w:rsid w:val="4AF60694"/>
    <w:rsid w:val="4B105AC6"/>
    <w:rsid w:val="4B1F21AD"/>
    <w:rsid w:val="4B231661"/>
    <w:rsid w:val="4B5D30A3"/>
    <w:rsid w:val="4B602D44"/>
    <w:rsid w:val="4B6840F7"/>
    <w:rsid w:val="4B767E9E"/>
    <w:rsid w:val="4BB328F5"/>
    <w:rsid w:val="4BE807F1"/>
    <w:rsid w:val="4BE97691"/>
    <w:rsid w:val="4C0167F3"/>
    <w:rsid w:val="4C0C485C"/>
    <w:rsid w:val="4C135C51"/>
    <w:rsid w:val="4C293DCC"/>
    <w:rsid w:val="4C5C314D"/>
    <w:rsid w:val="4C6645EA"/>
    <w:rsid w:val="4C6E6818"/>
    <w:rsid w:val="4C837857"/>
    <w:rsid w:val="4C871DB8"/>
    <w:rsid w:val="4C891FD4"/>
    <w:rsid w:val="4C904488"/>
    <w:rsid w:val="4CA34090"/>
    <w:rsid w:val="4CBC3B05"/>
    <w:rsid w:val="4CC00C08"/>
    <w:rsid w:val="4CC21042"/>
    <w:rsid w:val="4CE34CCC"/>
    <w:rsid w:val="4CE5768B"/>
    <w:rsid w:val="4D092CC4"/>
    <w:rsid w:val="4D287D51"/>
    <w:rsid w:val="4D2C6E03"/>
    <w:rsid w:val="4D6B4992"/>
    <w:rsid w:val="4D720CBA"/>
    <w:rsid w:val="4D783DF7"/>
    <w:rsid w:val="4D7A1301"/>
    <w:rsid w:val="4DA31497"/>
    <w:rsid w:val="4DAE24AE"/>
    <w:rsid w:val="4DCB3F26"/>
    <w:rsid w:val="4DE160F0"/>
    <w:rsid w:val="4DF0336B"/>
    <w:rsid w:val="4E0655E0"/>
    <w:rsid w:val="4E0F38E9"/>
    <w:rsid w:val="4E1542CD"/>
    <w:rsid w:val="4E1A7EED"/>
    <w:rsid w:val="4E2848D7"/>
    <w:rsid w:val="4E5056C3"/>
    <w:rsid w:val="4E7B44C1"/>
    <w:rsid w:val="4E8F658C"/>
    <w:rsid w:val="4E9A16B0"/>
    <w:rsid w:val="4ECA3CF2"/>
    <w:rsid w:val="4ECF0F8A"/>
    <w:rsid w:val="4ED22336"/>
    <w:rsid w:val="4F075432"/>
    <w:rsid w:val="4F0B36FA"/>
    <w:rsid w:val="4F1162B1"/>
    <w:rsid w:val="4F1F591D"/>
    <w:rsid w:val="4F304989"/>
    <w:rsid w:val="4F4637CC"/>
    <w:rsid w:val="4F730D1A"/>
    <w:rsid w:val="4F7439BB"/>
    <w:rsid w:val="4F7D56F4"/>
    <w:rsid w:val="4F903279"/>
    <w:rsid w:val="4FC357FD"/>
    <w:rsid w:val="4FD07EA9"/>
    <w:rsid w:val="4FDA2B47"/>
    <w:rsid w:val="4FF17A7C"/>
    <w:rsid w:val="501568D4"/>
    <w:rsid w:val="501871CB"/>
    <w:rsid w:val="50200B77"/>
    <w:rsid w:val="50290FA6"/>
    <w:rsid w:val="50330996"/>
    <w:rsid w:val="506F1858"/>
    <w:rsid w:val="50700DB5"/>
    <w:rsid w:val="50743739"/>
    <w:rsid w:val="508833B6"/>
    <w:rsid w:val="50CC6AF5"/>
    <w:rsid w:val="50DE39D3"/>
    <w:rsid w:val="50E85F47"/>
    <w:rsid w:val="50EA500B"/>
    <w:rsid w:val="50FB3A85"/>
    <w:rsid w:val="512A5408"/>
    <w:rsid w:val="513276B1"/>
    <w:rsid w:val="519226D4"/>
    <w:rsid w:val="519C1A95"/>
    <w:rsid w:val="51DE500A"/>
    <w:rsid w:val="51EE28D9"/>
    <w:rsid w:val="52317E52"/>
    <w:rsid w:val="524349D3"/>
    <w:rsid w:val="524C3D9F"/>
    <w:rsid w:val="526861E8"/>
    <w:rsid w:val="526C5640"/>
    <w:rsid w:val="52711649"/>
    <w:rsid w:val="52763AD2"/>
    <w:rsid w:val="52952D55"/>
    <w:rsid w:val="529A1FAF"/>
    <w:rsid w:val="529D5AAA"/>
    <w:rsid w:val="52A103E3"/>
    <w:rsid w:val="52A2706F"/>
    <w:rsid w:val="52A667A8"/>
    <w:rsid w:val="52AA1F54"/>
    <w:rsid w:val="52BD1E2C"/>
    <w:rsid w:val="52CA72D7"/>
    <w:rsid w:val="52E00474"/>
    <w:rsid w:val="52F7596D"/>
    <w:rsid w:val="530A37F5"/>
    <w:rsid w:val="53231658"/>
    <w:rsid w:val="534D6DD8"/>
    <w:rsid w:val="53513EE3"/>
    <w:rsid w:val="535C6681"/>
    <w:rsid w:val="53600DED"/>
    <w:rsid w:val="53C027CA"/>
    <w:rsid w:val="53D004E8"/>
    <w:rsid w:val="53F14249"/>
    <w:rsid w:val="53FD0BB2"/>
    <w:rsid w:val="5402266C"/>
    <w:rsid w:val="540240D6"/>
    <w:rsid w:val="54607A2C"/>
    <w:rsid w:val="5474450F"/>
    <w:rsid w:val="54877854"/>
    <w:rsid w:val="548A4B3B"/>
    <w:rsid w:val="548D7566"/>
    <w:rsid w:val="548E5813"/>
    <w:rsid w:val="549C11CE"/>
    <w:rsid w:val="54DC6694"/>
    <w:rsid w:val="54E70A91"/>
    <w:rsid w:val="54F63F7F"/>
    <w:rsid w:val="55006BAB"/>
    <w:rsid w:val="55067F3A"/>
    <w:rsid w:val="55150299"/>
    <w:rsid w:val="555D4C6F"/>
    <w:rsid w:val="556F5ADF"/>
    <w:rsid w:val="5570584B"/>
    <w:rsid w:val="55A7069A"/>
    <w:rsid w:val="55BD7504"/>
    <w:rsid w:val="55DD6EED"/>
    <w:rsid w:val="55E72F80"/>
    <w:rsid w:val="55F337FC"/>
    <w:rsid w:val="55F53C2C"/>
    <w:rsid w:val="55FD3133"/>
    <w:rsid w:val="56286DC7"/>
    <w:rsid w:val="562E67F9"/>
    <w:rsid w:val="563063D6"/>
    <w:rsid w:val="563C5495"/>
    <w:rsid w:val="56434B55"/>
    <w:rsid w:val="56443940"/>
    <w:rsid w:val="566F21D7"/>
    <w:rsid w:val="567535C9"/>
    <w:rsid w:val="569304BE"/>
    <w:rsid w:val="56CA561A"/>
    <w:rsid w:val="56E5594A"/>
    <w:rsid w:val="56F664B8"/>
    <w:rsid w:val="571237ED"/>
    <w:rsid w:val="571E01E8"/>
    <w:rsid w:val="57264386"/>
    <w:rsid w:val="573E519F"/>
    <w:rsid w:val="576C003B"/>
    <w:rsid w:val="57776ECD"/>
    <w:rsid w:val="578565B3"/>
    <w:rsid w:val="5795733C"/>
    <w:rsid w:val="57A53A3A"/>
    <w:rsid w:val="57AF58B5"/>
    <w:rsid w:val="57B522B4"/>
    <w:rsid w:val="57B97EA1"/>
    <w:rsid w:val="57D57E3D"/>
    <w:rsid w:val="57D74751"/>
    <w:rsid w:val="57D7775D"/>
    <w:rsid w:val="57D85BEC"/>
    <w:rsid w:val="57E83927"/>
    <w:rsid w:val="58065C9F"/>
    <w:rsid w:val="583A7F06"/>
    <w:rsid w:val="583D72F0"/>
    <w:rsid w:val="58495849"/>
    <w:rsid w:val="58686560"/>
    <w:rsid w:val="587F0726"/>
    <w:rsid w:val="58851B49"/>
    <w:rsid w:val="5898359F"/>
    <w:rsid w:val="58A223B7"/>
    <w:rsid w:val="58C03626"/>
    <w:rsid w:val="58D173B3"/>
    <w:rsid w:val="58E803EA"/>
    <w:rsid w:val="59015A3E"/>
    <w:rsid w:val="59045812"/>
    <w:rsid w:val="590824D3"/>
    <w:rsid w:val="590C70B9"/>
    <w:rsid w:val="591519E0"/>
    <w:rsid w:val="5919349C"/>
    <w:rsid w:val="594771C6"/>
    <w:rsid w:val="59484FC5"/>
    <w:rsid w:val="59513E7A"/>
    <w:rsid w:val="59783B4E"/>
    <w:rsid w:val="597B0EF6"/>
    <w:rsid w:val="597D3D1A"/>
    <w:rsid w:val="598C3104"/>
    <w:rsid w:val="59C26B25"/>
    <w:rsid w:val="59D22C0A"/>
    <w:rsid w:val="59D93AD3"/>
    <w:rsid w:val="59D95C1D"/>
    <w:rsid w:val="59EC76FE"/>
    <w:rsid w:val="5A031664"/>
    <w:rsid w:val="5A0E1452"/>
    <w:rsid w:val="5A117AE7"/>
    <w:rsid w:val="5A1E37A7"/>
    <w:rsid w:val="5A5534F6"/>
    <w:rsid w:val="5A5D04AD"/>
    <w:rsid w:val="5A8B6DAD"/>
    <w:rsid w:val="5AA14481"/>
    <w:rsid w:val="5AC36FEF"/>
    <w:rsid w:val="5AFF16B3"/>
    <w:rsid w:val="5B1909C7"/>
    <w:rsid w:val="5B362CF7"/>
    <w:rsid w:val="5B4D0D61"/>
    <w:rsid w:val="5B584353"/>
    <w:rsid w:val="5BA83CC6"/>
    <w:rsid w:val="5BB10BFF"/>
    <w:rsid w:val="5BB25761"/>
    <w:rsid w:val="5BB973AE"/>
    <w:rsid w:val="5BBB710D"/>
    <w:rsid w:val="5BE45DB5"/>
    <w:rsid w:val="5C03381B"/>
    <w:rsid w:val="5C33403B"/>
    <w:rsid w:val="5C6C5C7D"/>
    <w:rsid w:val="5C6D5130"/>
    <w:rsid w:val="5C9D485F"/>
    <w:rsid w:val="5CDD3C76"/>
    <w:rsid w:val="5CE21551"/>
    <w:rsid w:val="5CEE16EC"/>
    <w:rsid w:val="5CF7769C"/>
    <w:rsid w:val="5CFB6B47"/>
    <w:rsid w:val="5D113E7C"/>
    <w:rsid w:val="5D170F36"/>
    <w:rsid w:val="5D3970FE"/>
    <w:rsid w:val="5D3C6BEF"/>
    <w:rsid w:val="5D3E2C47"/>
    <w:rsid w:val="5D5A0E23"/>
    <w:rsid w:val="5D8D2FA6"/>
    <w:rsid w:val="5DA402F0"/>
    <w:rsid w:val="5DB12834"/>
    <w:rsid w:val="5DD0013F"/>
    <w:rsid w:val="5DE32AA5"/>
    <w:rsid w:val="5DE42A79"/>
    <w:rsid w:val="5E47766B"/>
    <w:rsid w:val="5E4F0BBA"/>
    <w:rsid w:val="5E69536C"/>
    <w:rsid w:val="5E8337C2"/>
    <w:rsid w:val="5E9E5ED4"/>
    <w:rsid w:val="5EA92586"/>
    <w:rsid w:val="5EBB3B43"/>
    <w:rsid w:val="5EBD3D5F"/>
    <w:rsid w:val="5EBE4690"/>
    <w:rsid w:val="5ED05835"/>
    <w:rsid w:val="5EDA6A91"/>
    <w:rsid w:val="5EDD0442"/>
    <w:rsid w:val="5EF427CC"/>
    <w:rsid w:val="5F0D0182"/>
    <w:rsid w:val="5F126002"/>
    <w:rsid w:val="5F1F565E"/>
    <w:rsid w:val="5F4673A3"/>
    <w:rsid w:val="5F54747A"/>
    <w:rsid w:val="5F623641"/>
    <w:rsid w:val="5FAD7C88"/>
    <w:rsid w:val="5FB9735A"/>
    <w:rsid w:val="5FBF46D4"/>
    <w:rsid w:val="5FDD7FD1"/>
    <w:rsid w:val="5FE80DAB"/>
    <w:rsid w:val="5FF05A6E"/>
    <w:rsid w:val="5FFE234F"/>
    <w:rsid w:val="60394FAB"/>
    <w:rsid w:val="60490780"/>
    <w:rsid w:val="60A12B14"/>
    <w:rsid w:val="60A32AE1"/>
    <w:rsid w:val="60D056F4"/>
    <w:rsid w:val="60DD3A26"/>
    <w:rsid w:val="60DF0066"/>
    <w:rsid w:val="60F02FFA"/>
    <w:rsid w:val="610709AB"/>
    <w:rsid w:val="61073070"/>
    <w:rsid w:val="61152DC7"/>
    <w:rsid w:val="612873A9"/>
    <w:rsid w:val="614366AD"/>
    <w:rsid w:val="61452399"/>
    <w:rsid w:val="61492B79"/>
    <w:rsid w:val="615362B5"/>
    <w:rsid w:val="61653E49"/>
    <w:rsid w:val="61781DB5"/>
    <w:rsid w:val="61790391"/>
    <w:rsid w:val="6182125E"/>
    <w:rsid w:val="619568CD"/>
    <w:rsid w:val="61AE115F"/>
    <w:rsid w:val="61F00415"/>
    <w:rsid w:val="61F30FFC"/>
    <w:rsid w:val="621427D7"/>
    <w:rsid w:val="622B32D6"/>
    <w:rsid w:val="62571DD5"/>
    <w:rsid w:val="627110E9"/>
    <w:rsid w:val="6296528A"/>
    <w:rsid w:val="62C16EF1"/>
    <w:rsid w:val="62DA1288"/>
    <w:rsid w:val="62E11214"/>
    <w:rsid w:val="62E736C8"/>
    <w:rsid w:val="6329155B"/>
    <w:rsid w:val="632F68AE"/>
    <w:rsid w:val="633A597E"/>
    <w:rsid w:val="63686246"/>
    <w:rsid w:val="637C1A13"/>
    <w:rsid w:val="63EA75B7"/>
    <w:rsid w:val="63ED479F"/>
    <w:rsid w:val="63F35B2D"/>
    <w:rsid w:val="64294449"/>
    <w:rsid w:val="64326656"/>
    <w:rsid w:val="644764EB"/>
    <w:rsid w:val="64B42671"/>
    <w:rsid w:val="64C25C2B"/>
    <w:rsid w:val="64D71408"/>
    <w:rsid w:val="651F72E3"/>
    <w:rsid w:val="653543BD"/>
    <w:rsid w:val="65402A43"/>
    <w:rsid w:val="6558041F"/>
    <w:rsid w:val="655D5D62"/>
    <w:rsid w:val="655E1A62"/>
    <w:rsid w:val="656211BC"/>
    <w:rsid w:val="656F7F55"/>
    <w:rsid w:val="65903416"/>
    <w:rsid w:val="65972E01"/>
    <w:rsid w:val="65AD3D80"/>
    <w:rsid w:val="65F31E15"/>
    <w:rsid w:val="65F73150"/>
    <w:rsid w:val="65F938CF"/>
    <w:rsid w:val="661A3A65"/>
    <w:rsid w:val="662B3DF7"/>
    <w:rsid w:val="66391F1D"/>
    <w:rsid w:val="66430FEE"/>
    <w:rsid w:val="66536C8E"/>
    <w:rsid w:val="667D39EF"/>
    <w:rsid w:val="667F0B62"/>
    <w:rsid w:val="66B23A7E"/>
    <w:rsid w:val="66C7453C"/>
    <w:rsid w:val="66CE5676"/>
    <w:rsid w:val="66D659BE"/>
    <w:rsid w:val="66E82EEB"/>
    <w:rsid w:val="66E96069"/>
    <w:rsid w:val="66F24337"/>
    <w:rsid w:val="67167EA1"/>
    <w:rsid w:val="672E75A8"/>
    <w:rsid w:val="67635F5D"/>
    <w:rsid w:val="67645A08"/>
    <w:rsid w:val="678332F2"/>
    <w:rsid w:val="67931B01"/>
    <w:rsid w:val="67AF51CF"/>
    <w:rsid w:val="67CC7EE1"/>
    <w:rsid w:val="67E44227"/>
    <w:rsid w:val="67EC7D88"/>
    <w:rsid w:val="67F508D2"/>
    <w:rsid w:val="67FB7165"/>
    <w:rsid w:val="68012F0F"/>
    <w:rsid w:val="6816442E"/>
    <w:rsid w:val="681E73B7"/>
    <w:rsid w:val="682540A2"/>
    <w:rsid w:val="684F44CC"/>
    <w:rsid w:val="68600CBA"/>
    <w:rsid w:val="68615288"/>
    <w:rsid w:val="68A13644"/>
    <w:rsid w:val="68BF5E75"/>
    <w:rsid w:val="68CD4B9F"/>
    <w:rsid w:val="68D27B55"/>
    <w:rsid w:val="68D51363"/>
    <w:rsid w:val="68DE6DAC"/>
    <w:rsid w:val="69004F74"/>
    <w:rsid w:val="690562D8"/>
    <w:rsid w:val="691E7FBD"/>
    <w:rsid w:val="692A39D4"/>
    <w:rsid w:val="69B41DB9"/>
    <w:rsid w:val="69C21D45"/>
    <w:rsid w:val="69C25A0D"/>
    <w:rsid w:val="69C25A85"/>
    <w:rsid w:val="69C7771A"/>
    <w:rsid w:val="69CF67F1"/>
    <w:rsid w:val="69E228CC"/>
    <w:rsid w:val="69EC0E79"/>
    <w:rsid w:val="69FB0F56"/>
    <w:rsid w:val="6A152CA1"/>
    <w:rsid w:val="6A320BDA"/>
    <w:rsid w:val="6A3273AF"/>
    <w:rsid w:val="6A4B0866"/>
    <w:rsid w:val="6A7157C2"/>
    <w:rsid w:val="6A7A2DF9"/>
    <w:rsid w:val="6AB94C23"/>
    <w:rsid w:val="6ABC1B13"/>
    <w:rsid w:val="6AD93CCF"/>
    <w:rsid w:val="6AE25F2E"/>
    <w:rsid w:val="6AE55CDE"/>
    <w:rsid w:val="6AF87D93"/>
    <w:rsid w:val="6B002082"/>
    <w:rsid w:val="6B1E16E2"/>
    <w:rsid w:val="6B323269"/>
    <w:rsid w:val="6B437167"/>
    <w:rsid w:val="6B5A42D3"/>
    <w:rsid w:val="6B657311"/>
    <w:rsid w:val="6B802404"/>
    <w:rsid w:val="6B8C6F93"/>
    <w:rsid w:val="6BA60212"/>
    <w:rsid w:val="6BB54465"/>
    <w:rsid w:val="6BBB0C69"/>
    <w:rsid w:val="6BCC35DE"/>
    <w:rsid w:val="6BDF70C3"/>
    <w:rsid w:val="6BE413C0"/>
    <w:rsid w:val="6BF834D4"/>
    <w:rsid w:val="6BF87FC1"/>
    <w:rsid w:val="6C3003AB"/>
    <w:rsid w:val="6C483B63"/>
    <w:rsid w:val="6C4D3E71"/>
    <w:rsid w:val="6C50283A"/>
    <w:rsid w:val="6C7617AE"/>
    <w:rsid w:val="6C7730E6"/>
    <w:rsid w:val="6C84133C"/>
    <w:rsid w:val="6CAB6FB3"/>
    <w:rsid w:val="6CC35974"/>
    <w:rsid w:val="6CCB7647"/>
    <w:rsid w:val="6CD66B21"/>
    <w:rsid w:val="6CDF5B60"/>
    <w:rsid w:val="6D013069"/>
    <w:rsid w:val="6D12171A"/>
    <w:rsid w:val="6D1234C8"/>
    <w:rsid w:val="6D1574AE"/>
    <w:rsid w:val="6D3A62E5"/>
    <w:rsid w:val="6D4058B3"/>
    <w:rsid w:val="6D451B85"/>
    <w:rsid w:val="6D4A2C62"/>
    <w:rsid w:val="6D5E495F"/>
    <w:rsid w:val="6D6D4BA2"/>
    <w:rsid w:val="6D9771EA"/>
    <w:rsid w:val="6DAB142F"/>
    <w:rsid w:val="6E002E86"/>
    <w:rsid w:val="6E045376"/>
    <w:rsid w:val="6E233801"/>
    <w:rsid w:val="6E2E00FD"/>
    <w:rsid w:val="6E503372"/>
    <w:rsid w:val="6E510BD5"/>
    <w:rsid w:val="6E53758B"/>
    <w:rsid w:val="6E700CB5"/>
    <w:rsid w:val="6E874548"/>
    <w:rsid w:val="6E955409"/>
    <w:rsid w:val="6EA30BCA"/>
    <w:rsid w:val="6ED21161"/>
    <w:rsid w:val="6ED820CB"/>
    <w:rsid w:val="6EF20B58"/>
    <w:rsid w:val="6EFD36FC"/>
    <w:rsid w:val="6F1055D1"/>
    <w:rsid w:val="6F2D63B2"/>
    <w:rsid w:val="6F2F248C"/>
    <w:rsid w:val="6F370FC4"/>
    <w:rsid w:val="6F616041"/>
    <w:rsid w:val="6F636456"/>
    <w:rsid w:val="6F6C5073"/>
    <w:rsid w:val="6F6F4C02"/>
    <w:rsid w:val="6F851D34"/>
    <w:rsid w:val="6FA06B69"/>
    <w:rsid w:val="6FA94C9F"/>
    <w:rsid w:val="6FB85E0E"/>
    <w:rsid w:val="6FCC513D"/>
    <w:rsid w:val="6FCD1451"/>
    <w:rsid w:val="6FDA4984"/>
    <w:rsid w:val="6FEE6861"/>
    <w:rsid w:val="70002AD7"/>
    <w:rsid w:val="70082270"/>
    <w:rsid w:val="702446C6"/>
    <w:rsid w:val="703D6AAE"/>
    <w:rsid w:val="70443DD1"/>
    <w:rsid w:val="704E1BE5"/>
    <w:rsid w:val="705B0CE2"/>
    <w:rsid w:val="706A7177"/>
    <w:rsid w:val="708631F2"/>
    <w:rsid w:val="708F302F"/>
    <w:rsid w:val="70B035B2"/>
    <w:rsid w:val="70B35EC2"/>
    <w:rsid w:val="70B84386"/>
    <w:rsid w:val="70C76378"/>
    <w:rsid w:val="70DE477E"/>
    <w:rsid w:val="70E231B1"/>
    <w:rsid w:val="70E64A50"/>
    <w:rsid w:val="70EB3EFD"/>
    <w:rsid w:val="70FC24C5"/>
    <w:rsid w:val="710B51AC"/>
    <w:rsid w:val="710C4285"/>
    <w:rsid w:val="71165DAF"/>
    <w:rsid w:val="71990C6C"/>
    <w:rsid w:val="71A70E60"/>
    <w:rsid w:val="71C441C6"/>
    <w:rsid w:val="71E75101"/>
    <w:rsid w:val="721852C6"/>
    <w:rsid w:val="721F0D90"/>
    <w:rsid w:val="72201889"/>
    <w:rsid w:val="72233A82"/>
    <w:rsid w:val="722B014F"/>
    <w:rsid w:val="723A7DE8"/>
    <w:rsid w:val="724068D2"/>
    <w:rsid w:val="72776482"/>
    <w:rsid w:val="72991C1F"/>
    <w:rsid w:val="72BF7C4E"/>
    <w:rsid w:val="72D65085"/>
    <w:rsid w:val="72DB5A0C"/>
    <w:rsid w:val="72E95260"/>
    <w:rsid w:val="72F341E4"/>
    <w:rsid w:val="73025F26"/>
    <w:rsid w:val="730E4732"/>
    <w:rsid w:val="73171838"/>
    <w:rsid w:val="731D6723"/>
    <w:rsid w:val="73207868"/>
    <w:rsid w:val="73294E4A"/>
    <w:rsid w:val="7336503E"/>
    <w:rsid w:val="73434BEF"/>
    <w:rsid w:val="73487C44"/>
    <w:rsid w:val="7356056F"/>
    <w:rsid w:val="7360749C"/>
    <w:rsid w:val="736D3206"/>
    <w:rsid w:val="73A11102"/>
    <w:rsid w:val="73F23176"/>
    <w:rsid w:val="7407365B"/>
    <w:rsid w:val="740C7BDC"/>
    <w:rsid w:val="74201DB5"/>
    <w:rsid w:val="744C5512"/>
    <w:rsid w:val="749010A9"/>
    <w:rsid w:val="74B530B7"/>
    <w:rsid w:val="74D13C69"/>
    <w:rsid w:val="74F15DD4"/>
    <w:rsid w:val="74F52D8D"/>
    <w:rsid w:val="75041948"/>
    <w:rsid w:val="750F7DC1"/>
    <w:rsid w:val="75233F46"/>
    <w:rsid w:val="753811A8"/>
    <w:rsid w:val="755723C0"/>
    <w:rsid w:val="755E29D0"/>
    <w:rsid w:val="75840CDB"/>
    <w:rsid w:val="759D5183"/>
    <w:rsid w:val="75AE7B06"/>
    <w:rsid w:val="75B6111A"/>
    <w:rsid w:val="75D94B83"/>
    <w:rsid w:val="75E24299"/>
    <w:rsid w:val="75EB0D5A"/>
    <w:rsid w:val="764A2526"/>
    <w:rsid w:val="765154F8"/>
    <w:rsid w:val="7658171F"/>
    <w:rsid w:val="766A7ED1"/>
    <w:rsid w:val="766D4786"/>
    <w:rsid w:val="766F3739"/>
    <w:rsid w:val="767C0D52"/>
    <w:rsid w:val="767C1410"/>
    <w:rsid w:val="769264DA"/>
    <w:rsid w:val="76BA70E6"/>
    <w:rsid w:val="76DB7593"/>
    <w:rsid w:val="76E61C4D"/>
    <w:rsid w:val="76EC4E44"/>
    <w:rsid w:val="770A59BD"/>
    <w:rsid w:val="77112CCE"/>
    <w:rsid w:val="773710A5"/>
    <w:rsid w:val="776816DF"/>
    <w:rsid w:val="776B50D2"/>
    <w:rsid w:val="77707769"/>
    <w:rsid w:val="778C1910"/>
    <w:rsid w:val="77AA1D7B"/>
    <w:rsid w:val="77D81084"/>
    <w:rsid w:val="781520BE"/>
    <w:rsid w:val="782055EB"/>
    <w:rsid w:val="782C21D0"/>
    <w:rsid w:val="783240CA"/>
    <w:rsid w:val="78376B43"/>
    <w:rsid w:val="78672770"/>
    <w:rsid w:val="786C5E39"/>
    <w:rsid w:val="78745037"/>
    <w:rsid w:val="78782796"/>
    <w:rsid w:val="78963C58"/>
    <w:rsid w:val="78BD69DE"/>
    <w:rsid w:val="78BF79F2"/>
    <w:rsid w:val="78CA2EA9"/>
    <w:rsid w:val="78CD2873"/>
    <w:rsid w:val="78D45AD6"/>
    <w:rsid w:val="78FD50B1"/>
    <w:rsid w:val="790A38D6"/>
    <w:rsid w:val="791329C6"/>
    <w:rsid w:val="7924080B"/>
    <w:rsid w:val="794443B3"/>
    <w:rsid w:val="79986B03"/>
    <w:rsid w:val="79A454A8"/>
    <w:rsid w:val="79A77D37"/>
    <w:rsid w:val="79B17BC5"/>
    <w:rsid w:val="79C97E5F"/>
    <w:rsid w:val="79D8590D"/>
    <w:rsid w:val="79F0454F"/>
    <w:rsid w:val="79F86D66"/>
    <w:rsid w:val="7A351494"/>
    <w:rsid w:val="7A432F13"/>
    <w:rsid w:val="7A6E11E0"/>
    <w:rsid w:val="7A80470C"/>
    <w:rsid w:val="7A8B1EC4"/>
    <w:rsid w:val="7AD2131E"/>
    <w:rsid w:val="7AE61CC6"/>
    <w:rsid w:val="7AF366E7"/>
    <w:rsid w:val="7B0A1C83"/>
    <w:rsid w:val="7B5E0F76"/>
    <w:rsid w:val="7B633418"/>
    <w:rsid w:val="7B640A94"/>
    <w:rsid w:val="7B720497"/>
    <w:rsid w:val="7B783548"/>
    <w:rsid w:val="7B9F061D"/>
    <w:rsid w:val="7BA94019"/>
    <w:rsid w:val="7BE35B1E"/>
    <w:rsid w:val="7C270D7A"/>
    <w:rsid w:val="7C480CB4"/>
    <w:rsid w:val="7C574A54"/>
    <w:rsid w:val="7C6A4FBC"/>
    <w:rsid w:val="7C75137E"/>
    <w:rsid w:val="7C7B18EB"/>
    <w:rsid w:val="7C9061B7"/>
    <w:rsid w:val="7CA57EB5"/>
    <w:rsid w:val="7CAA7279"/>
    <w:rsid w:val="7CC82B77"/>
    <w:rsid w:val="7CCD4D16"/>
    <w:rsid w:val="7CE3278B"/>
    <w:rsid w:val="7CE64029"/>
    <w:rsid w:val="7CEB418B"/>
    <w:rsid w:val="7CF14A05"/>
    <w:rsid w:val="7D124E1E"/>
    <w:rsid w:val="7D250FF6"/>
    <w:rsid w:val="7D5B4A17"/>
    <w:rsid w:val="7D6531A0"/>
    <w:rsid w:val="7D680AD6"/>
    <w:rsid w:val="7D904A45"/>
    <w:rsid w:val="7DA13F3E"/>
    <w:rsid w:val="7DBB54B6"/>
    <w:rsid w:val="7DE247F1"/>
    <w:rsid w:val="7DE467BB"/>
    <w:rsid w:val="7DFA4230"/>
    <w:rsid w:val="7E253138"/>
    <w:rsid w:val="7E3178F8"/>
    <w:rsid w:val="7E397793"/>
    <w:rsid w:val="7E5847C3"/>
    <w:rsid w:val="7E7A11D0"/>
    <w:rsid w:val="7EA919AD"/>
    <w:rsid w:val="7EF0118F"/>
    <w:rsid w:val="7F095C02"/>
    <w:rsid w:val="7F160FB2"/>
    <w:rsid w:val="7F192331"/>
    <w:rsid w:val="7F1B5B78"/>
    <w:rsid w:val="7F2F3DF2"/>
    <w:rsid w:val="7F5B2AAD"/>
    <w:rsid w:val="7F664991"/>
    <w:rsid w:val="7F8F7768"/>
    <w:rsid w:val="7F9D0452"/>
    <w:rsid w:val="7FBA7E62"/>
    <w:rsid w:val="7FC30AF3"/>
    <w:rsid w:val="7FC41F08"/>
    <w:rsid w:val="7FD36AE7"/>
    <w:rsid w:val="7FF67C58"/>
    <w:rsid w:val="7FF87F0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link w:val="32"/>
    <w:autoRedefine/>
    <w:qFormat/>
    <w:uiPriority w:val="0"/>
    <w:pPr>
      <w:keepNext/>
      <w:keepLines/>
      <w:spacing w:before="340" w:after="330" w:line="578" w:lineRule="auto"/>
      <w:outlineLvl w:val="0"/>
    </w:pPr>
    <w:rPr>
      <w:b/>
      <w:bCs/>
      <w:kern w:val="44"/>
      <w:sz w:val="44"/>
      <w:szCs w:val="44"/>
    </w:rPr>
  </w:style>
  <w:style w:type="paragraph" w:styleId="6">
    <w:name w:val="heading 2"/>
    <w:basedOn w:val="1"/>
    <w:next w:val="1"/>
    <w:autoRedefine/>
    <w:qFormat/>
    <w:uiPriority w:val="9"/>
    <w:pPr>
      <w:keepNext/>
      <w:spacing w:before="240" w:after="60"/>
      <w:outlineLvl w:val="1"/>
    </w:pPr>
    <w:rPr>
      <w:rFonts w:ascii="Cambria" w:hAnsi="Cambria"/>
      <w:b/>
      <w:bCs/>
      <w:i/>
      <w:iCs/>
      <w:sz w:val="28"/>
      <w:szCs w:val="28"/>
    </w:rPr>
  </w:style>
  <w:style w:type="paragraph" w:styleId="7">
    <w:name w:val="heading 3"/>
    <w:basedOn w:val="1"/>
    <w:next w:val="1"/>
    <w:autoRedefine/>
    <w:qFormat/>
    <w:uiPriority w:val="9"/>
    <w:pPr>
      <w:keepNext/>
      <w:spacing w:before="240" w:after="60"/>
      <w:outlineLvl w:val="2"/>
    </w:pPr>
    <w:rPr>
      <w:rFonts w:ascii="Cambria" w:hAnsi="Cambria"/>
      <w:b/>
      <w:bCs/>
      <w:sz w:val="26"/>
      <w:szCs w:val="26"/>
    </w:rPr>
  </w:style>
  <w:style w:type="paragraph" w:styleId="8">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9">
    <w:name w:val="heading 5"/>
    <w:basedOn w:val="1"/>
    <w:next w:val="1"/>
    <w:qFormat/>
    <w:uiPriority w:val="9"/>
    <w:pPr>
      <w:spacing w:before="240" w:after="60"/>
      <w:outlineLvl w:val="4"/>
    </w:pPr>
    <w:rPr>
      <w:b/>
      <w:bCs/>
      <w:i/>
      <w:iCs/>
      <w:sz w:val="26"/>
      <w:szCs w:val="26"/>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link w:val="60"/>
    <w:autoRedefine/>
    <w:qFormat/>
    <w:uiPriority w:val="0"/>
    <w:pPr>
      <w:spacing w:line="276" w:lineRule="auto"/>
      <w:ind w:left="200" w:firstLine="200" w:firstLineChars="200"/>
      <w:jc w:val="left"/>
    </w:pPr>
  </w:style>
  <w:style w:type="paragraph" w:styleId="3">
    <w:name w:val="Body Text Indent"/>
    <w:basedOn w:val="1"/>
    <w:next w:val="1"/>
    <w:link w:val="59"/>
    <w:autoRedefine/>
    <w:qFormat/>
    <w:uiPriority w:val="0"/>
    <w:pPr>
      <w:spacing w:after="120"/>
      <w:ind w:left="420" w:leftChars="200"/>
    </w:pPr>
  </w:style>
  <w:style w:type="paragraph" w:styleId="4">
    <w:name w:val="toc 2"/>
    <w:basedOn w:val="1"/>
    <w:next w:val="1"/>
    <w:autoRedefine/>
    <w:qFormat/>
    <w:uiPriority w:val="39"/>
    <w:pPr>
      <w:tabs>
        <w:tab w:val="right" w:leader="dot" w:pos="9629"/>
      </w:tabs>
      <w:ind w:left="480" w:leftChars="200"/>
    </w:pPr>
    <w:rPr>
      <w:b/>
    </w:rPr>
  </w:style>
  <w:style w:type="paragraph" w:styleId="10">
    <w:name w:val="Normal Indent"/>
    <w:basedOn w:val="1"/>
    <w:qFormat/>
    <w:uiPriority w:val="0"/>
    <w:pPr>
      <w:ind w:firstLine="200" w:firstLineChars="200"/>
    </w:pPr>
    <w:rPr>
      <w:kern w:val="0"/>
    </w:rPr>
  </w:style>
  <w:style w:type="paragraph" w:styleId="11">
    <w:name w:val="Document Map"/>
    <w:basedOn w:val="1"/>
    <w:link w:val="36"/>
    <w:semiHidden/>
    <w:unhideWhenUsed/>
    <w:qFormat/>
    <w:uiPriority w:val="99"/>
    <w:rPr>
      <w:rFonts w:ascii="宋体"/>
      <w:sz w:val="18"/>
      <w:szCs w:val="18"/>
    </w:rPr>
  </w:style>
  <w:style w:type="paragraph" w:styleId="12">
    <w:name w:val="annotation text"/>
    <w:basedOn w:val="1"/>
    <w:link w:val="33"/>
    <w:autoRedefine/>
    <w:qFormat/>
    <w:uiPriority w:val="0"/>
    <w:pPr>
      <w:jc w:val="left"/>
    </w:pPr>
    <w:rPr>
      <w:rFonts w:asciiTheme="minorHAnsi" w:hAnsiTheme="minorHAnsi" w:cstheme="minorBidi"/>
    </w:rPr>
  </w:style>
  <w:style w:type="paragraph" w:styleId="13">
    <w:name w:val="Body Text"/>
    <w:basedOn w:val="1"/>
    <w:next w:val="1"/>
    <w:link w:val="61"/>
    <w:autoRedefine/>
    <w:qFormat/>
    <w:uiPriority w:val="0"/>
    <w:rPr>
      <w:rFonts w:eastAsia="楷体_GB2312"/>
      <w:sz w:val="28"/>
      <w:szCs w:val="20"/>
    </w:rPr>
  </w:style>
  <w:style w:type="paragraph" w:styleId="14">
    <w:name w:val="index 4"/>
    <w:basedOn w:val="1"/>
    <w:next w:val="1"/>
    <w:autoRedefine/>
    <w:qFormat/>
    <w:uiPriority w:val="0"/>
    <w:pPr>
      <w:ind w:left="600" w:leftChars="600"/>
    </w:pPr>
  </w:style>
  <w:style w:type="paragraph" w:styleId="15">
    <w:name w:val="toc 3"/>
    <w:basedOn w:val="1"/>
    <w:next w:val="1"/>
    <w:qFormat/>
    <w:uiPriority w:val="39"/>
    <w:pPr>
      <w:ind w:left="840" w:leftChars="400"/>
    </w:pPr>
  </w:style>
  <w:style w:type="paragraph" w:styleId="16">
    <w:name w:val="Balloon Text"/>
    <w:basedOn w:val="1"/>
    <w:link w:val="35"/>
    <w:semiHidden/>
    <w:unhideWhenUsed/>
    <w:qFormat/>
    <w:uiPriority w:val="99"/>
    <w:rPr>
      <w:sz w:val="18"/>
      <w:szCs w:val="18"/>
    </w:rPr>
  </w:style>
  <w:style w:type="paragraph" w:styleId="17">
    <w:name w:val="footer"/>
    <w:basedOn w:val="1"/>
    <w:link w:val="69"/>
    <w:unhideWhenUsed/>
    <w:qFormat/>
    <w:uiPriority w:val="99"/>
    <w:pPr>
      <w:tabs>
        <w:tab w:val="center" w:pos="4153"/>
        <w:tab w:val="right" w:pos="8306"/>
      </w:tabs>
      <w:snapToGrid w:val="0"/>
      <w:jc w:val="left"/>
    </w:pPr>
    <w:rPr>
      <w:sz w:val="18"/>
      <w:szCs w:val="18"/>
    </w:rPr>
  </w:style>
  <w:style w:type="paragraph" w:styleId="18">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pPr>
      <w:tabs>
        <w:tab w:val="right" w:leader="dot" w:pos="9629"/>
      </w:tabs>
    </w:pPr>
    <w:rPr>
      <w:b/>
    </w:rPr>
  </w:style>
  <w:style w:type="paragraph" w:styleId="20">
    <w:name w:val="footnote text"/>
    <w:basedOn w:val="1"/>
    <w:next w:val="18"/>
    <w:qFormat/>
    <w:uiPriority w:val="0"/>
    <w:pPr>
      <w:snapToGrid w:val="0"/>
      <w:jc w:val="left"/>
    </w:pPr>
  </w:style>
  <w:style w:type="paragraph" w:styleId="21">
    <w:name w:val="Normal (Web)"/>
    <w:basedOn w:val="1"/>
    <w:qFormat/>
    <w:uiPriority w:val="99"/>
    <w:pPr>
      <w:spacing w:before="100" w:beforeAutospacing="1" w:after="100" w:afterAutospacing="1" w:line="320" w:lineRule="atLeast"/>
    </w:pPr>
    <w:rPr>
      <w:rFonts w:ascii="宋体" w:hAnsi="宋体" w:cs="宋体"/>
      <w:sz w:val="18"/>
      <w:szCs w:val="18"/>
    </w:rPr>
  </w:style>
  <w:style w:type="paragraph" w:styleId="22">
    <w:name w:val="Title"/>
    <w:basedOn w:val="1"/>
    <w:next w:val="1"/>
    <w:qFormat/>
    <w:uiPriority w:val="0"/>
    <w:pPr>
      <w:spacing w:before="240" w:after="60" w:line="276" w:lineRule="auto"/>
      <w:jc w:val="center"/>
      <w:outlineLvl w:val="0"/>
    </w:pPr>
    <w:rPr>
      <w:rFonts w:ascii="Cambria" w:hAnsi="Cambria"/>
      <w:b/>
      <w:bCs/>
      <w:kern w:val="0"/>
      <w:sz w:val="32"/>
      <w:szCs w:val="32"/>
    </w:rPr>
  </w:style>
  <w:style w:type="paragraph" w:styleId="23">
    <w:name w:val="annotation subject"/>
    <w:basedOn w:val="12"/>
    <w:next w:val="12"/>
    <w:link w:val="67"/>
    <w:semiHidden/>
    <w:unhideWhenUsed/>
    <w:qFormat/>
    <w:uiPriority w:val="99"/>
    <w:rPr>
      <w:rFonts w:ascii="Times New Roman" w:hAnsi="Times New Roman" w:cs="Times New Roman"/>
      <w:b/>
      <w:bCs/>
    </w:rPr>
  </w:style>
  <w:style w:type="paragraph" w:styleId="24">
    <w:name w:val="Body Text First Indent"/>
    <w:basedOn w:val="13"/>
    <w:link w:val="56"/>
    <w:autoRedefine/>
    <w:semiHidden/>
    <w:unhideWhenUsed/>
    <w:qFormat/>
    <w:uiPriority w:val="99"/>
    <w:pPr>
      <w:ind w:firstLine="420" w:firstLineChars="100"/>
    </w:pPr>
  </w:style>
  <w:style w:type="table" w:styleId="26">
    <w:name w:val="Table Grid"/>
    <w:basedOn w:val="2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7"/>
    <w:qFormat/>
    <w:uiPriority w:val="22"/>
    <w:rPr>
      <w:b/>
    </w:rPr>
  </w:style>
  <w:style w:type="character" w:styleId="29">
    <w:name w:val="Hyperlink"/>
    <w:basedOn w:val="27"/>
    <w:autoRedefine/>
    <w:qFormat/>
    <w:uiPriority w:val="99"/>
    <w:rPr>
      <w:rFonts w:eastAsia="宋体"/>
      <w:color w:val="0000FF"/>
      <w:sz w:val="24"/>
      <w:u w:val="single"/>
    </w:rPr>
  </w:style>
  <w:style w:type="character" w:styleId="30">
    <w:name w:val="annotation reference"/>
    <w:basedOn w:val="27"/>
    <w:qFormat/>
    <w:uiPriority w:val="0"/>
    <w:rPr>
      <w:sz w:val="21"/>
      <w:szCs w:val="21"/>
    </w:rPr>
  </w:style>
  <w:style w:type="paragraph" w:customStyle="1" w:styleId="31">
    <w:name w:val="列出段落1"/>
    <w:basedOn w:val="1"/>
    <w:unhideWhenUsed/>
    <w:qFormat/>
    <w:uiPriority w:val="34"/>
    <w:pPr>
      <w:ind w:firstLine="420" w:firstLineChars="200"/>
    </w:pPr>
    <w:rPr>
      <w:rFonts w:hint="eastAsia"/>
    </w:rPr>
  </w:style>
  <w:style w:type="character" w:customStyle="1" w:styleId="32">
    <w:name w:val="标题 1 Char"/>
    <w:basedOn w:val="27"/>
    <w:link w:val="5"/>
    <w:autoRedefine/>
    <w:qFormat/>
    <w:uiPriority w:val="0"/>
    <w:rPr>
      <w:rFonts w:ascii="Times New Roman" w:hAnsi="Times New Roman" w:eastAsia="宋体" w:cs="Times New Roman"/>
      <w:b/>
      <w:bCs/>
      <w:kern w:val="44"/>
      <w:sz w:val="44"/>
      <w:szCs w:val="44"/>
    </w:rPr>
  </w:style>
  <w:style w:type="character" w:customStyle="1" w:styleId="33">
    <w:name w:val="批注文字 Char"/>
    <w:link w:val="12"/>
    <w:autoRedefine/>
    <w:qFormat/>
    <w:uiPriority w:val="0"/>
    <w:rPr>
      <w:rFonts w:eastAsia="宋体"/>
      <w:szCs w:val="24"/>
    </w:rPr>
  </w:style>
  <w:style w:type="character" w:customStyle="1" w:styleId="34">
    <w:name w:val="批注文字 Char1"/>
    <w:basedOn w:val="27"/>
    <w:autoRedefine/>
    <w:semiHidden/>
    <w:qFormat/>
    <w:uiPriority w:val="99"/>
    <w:rPr>
      <w:rFonts w:ascii="Times New Roman" w:hAnsi="Times New Roman" w:eastAsia="宋体" w:cs="Times New Roman"/>
      <w:szCs w:val="24"/>
    </w:rPr>
  </w:style>
  <w:style w:type="character" w:customStyle="1" w:styleId="35">
    <w:name w:val="批注框文本 Char"/>
    <w:basedOn w:val="27"/>
    <w:link w:val="16"/>
    <w:semiHidden/>
    <w:qFormat/>
    <w:uiPriority w:val="99"/>
    <w:rPr>
      <w:rFonts w:ascii="Times New Roman" w:hAnsi="Times New Roman" w:eastAsia="宋体" w:cs="Times New Roman"/>
      <w:sz w:val="18"/>
      <w:szCs w:val="18"/>
    </w:rPr>
  </w:style>
  <w:style w:type="character" w:customStyle="1" w:styleId="36">
    <w:name w:val="文档结构图 Char"/>
    <w:basedOn w:val="27"/>
    <w:link w:val="11"/>
    <w:autoRedefine/>
    <w:semiHidden/>
    <w:qFormat/>
    <w:uiPriority w:val="99"/>
    <w:rPr>
      <w:rFonts w:ascii="宋体" w:hAnsi="Times New Roman" w:eastAsia="宋体" w:cs="Times New Roman"/>
      <w:sz w:val="18"/>
      <w:szCs w:val="18"/>
    </w:rPr>
  </w:style>
  <w:style w:type="character" w:customStyle="1" w:styleId="37">
    <w:name w:val="页眉 Char"/>
    <w:basedOn w:val="27"/>
    <w:link w:val="18"/>
    <w:autoRedefine/>
    <w:qFormat/>
    <w:uiPriority w:val="99"/>
    <w:rPr>
      <w:rFonts w:ascii="Times New Roman" w:hAnsi="Times New Roman" w:eastAsia="宋体" w:cs="Times New Roman"/>
      <w:sz w:val="18"/>
      <w:szCs w:val="18"/>
    </w:rPr>
  </w:style>
  <w:style w:type="character" w:customStyle="1" w:styleId="38">
    <w:name w:val="页脚 Char"/>
    <w:basedOn w:val="27"/>
    <w:link w:val="17"/>
    <w:autoRedefine/>
    <w:qFormat/>
    <w:uiPriority w:val="99"/>
    <w:rPr>
      <w:rFonts w:ascii="Times New Roman" w:hAnsi="Times New Roman" w:eastAsia="宋体" w:cs="Times New Roman"/>
      <w:sz w:val="18"/>
      <w:szCs w:val="18"/>
    </w:rPr>
  </w:style>
  <w:style w:type="character" w:customStyle="1" w:styleId="39">
    <w:name w:val="NormalCharacter"/>
    <w:basedOn w:val="27"/>
    <w:autoRedefine/>
    <w:qFormat/>
    <w:uiPriority w:val="0"/>
  </w:style>
  <w:style w:type="character" w:customStyle="1" w:styleId="40">
    <w:name w:val="批注主题 Char"/>
    <w:basedOn w:val="33"/>
    <w:link w:val="23"/>
    <w:autoRedefine/>
    <w:semiHidden/>
    <w:qFormat/>
    <w:uiPriority w:val="99"/>
    <w:rPr>
      <w:rFonts w:eastAsia="宋体"/>
      <w:b/>
      <w:bCs/>
      <w:kern w:val="2"/>
      <w:sz w:val="21"/>
      <w:szCs w:val="24"/>
    </w:rPr>
  </w:style>
  <w:style w:type="paragraph" w:customStyle="1" w:styleId="41">
    <w:name w:val="BodyText3"/>
    <w:basedOn w:val="1"/>
    <w:autoRedefine/>
    <w:qFormat/>
    <w:uiPriority w:val="0"/>
    <w:pPr>
      <w:spacing w:after="120"/>
    </w:pPr>
    <w:rPr>
      <w:sz w:val="16"/>
      <w:szCs w:val="16"/>
    </w:rPr>
  </w:style>
  <w:style w:type="paragraph" w:customStyle="1" w:styleId="42">
    <w:name w:val="UserStyle_92"/>
    <w:basedOn w:val="1"/>
    <w:autoRedefine/>
    <w:qFormat/>
    <w:uiPriority w:val="0"/>
    <w:rPr>
      <w:szCs w:val="21"/>
    </w:rPr>
  </w:style>
  <w:style w:type="paragraph" w:customStyle="1" w:styleId="43">
    <w:name w:val="UserStyle_95"/>
    <w:basedOn w:val="44"/>
    <w:autoRedefine/>
    <w:qFormat/>
    <w:uiPriority w:val="0"/>
  </w:style>
  <w:style w:type="paragraph" w:customStyle="1" w:styleId="44">
    <w:name w:val="Heading4"/>
    <w:basedOn w:val="1"/>
    <w:next w:val="1"/>
    <w:autoRedefine/>
    <w:qFormat/>
    <w:uiPriority w:val="0"/>
    <w:pPr>
      <w:keepNext/>
      <w:spacing w:before="240" w:after="60"/>
    </w:pPr>
    <w:rPr>
      <w:b/>
      <w:bCs/>
      <w:sz w:val="28"/>
      <w:szCs w:val="28"/>
    </w:rPr>
  </w:style>
  <w:style w:type="paragraph" w:customStyle="1" w:styleId="45">
    <w:name w:val="Heading2"/>
    <w:basedOn w:val="1"/>
    <w:next w:val="1"/>
    <w:autoRedefine/>
    <w:qFormat/>
    <w:uiPriority w:val="0"/>
    <w:pPr>
      <w:keepNext/>
      <w:spacing w:before="240" w:after="60"/>
    </w:pPr>
    <w:rPr>
      <w:rFonts w:ascii="Cambria" w:hAnsi="Cambria"/>
      <w:b/>
      <w:bCs/>
      <w:i/>
      <w:iCs/>
      <w:sz w:val="28"/>
      <w:szCs w:val="28"/>
    </w:rPr>
  </w:style>
  <w:style w:type="paragraph" w:customStyle="1" w:styleId="46">
    <w:name w:val="BodyTextIndent"/>
    <w:basedOn w:val="1"/>
    <w:autoRedefine/>
    <w:qFormat/>
    <w:uiPriority w:val="0"/>
    <w:pPr>
      <w:spacing w:after="120"/>
      <w:ind w:left="420" w:leftChars="200"/>
    </w:pPr>
    <w:rPr>
      <w:sz w:val="20"/>
    </w:rPr>
  </w:style>
  <w:style w:type="paragraph" w:customStyle="1" w:styleId="47">
    <w:name w:val="Heading3"/>
    <w:basedOn w:val="1"/>
    <w:next w:val="1"/>
    <w:autoRedefine/>
    <w:qFormat/>
    <w:uiPriority w:val="0"/>
    <w:pPr>
      <w:keepNext/>
      <w:spacing w:before="240" w:after="60"/>
    </w:pPr>
    <w:rPr>
      <w:rFonts w:ascii="Cambria" w:hAnsi="Cambria"/>
      <w:b/>
      <w:bCs/>
      <w:sz w:val="26"/>
      <w:szCs w:val="26"/>
    </w:rPr>
  </w:style>
  <w:style w:type="paragraph" w:styleId="48">
    <w:name w:val="List Paragraph"/>
    <w:basedOn w:val="1"/>
    <w:autoRedefine/>
    <w:unhideWhenUsed/>
    <w:qFormat/>
    <w:uiPriority w:val="99"/>
    <w:pPr>
      <w:ind w:firstLine="420" w:firstLineChars="200"/>
    </w:pPr>
  </w:style>
  <w:style w:type="character" w:customStyle="1" w:styleId="49">
    <w:name w:val="font101"/>
    <w:basedOn w:val="27"/>
    <w:autoRedefine/>
    <w:qFormat/>
    <w:uiPriority w:val="0"/>
    <w:rPr>
      <w:rFonts w:hint="eastAsia" w:ascii="仿宋" w:hAnsi="仿宋" w:eastAsia="仿宋" w:cs="仿宋"/>
      <w:color w:val="000000"/>
      <w:sz w:val="28"/>
      <w:szCs w:val="28"/>
      <w:u w:val="none"/>
    </w:rPr>
  </w:style>
  <w:style w:type="paragraph" w:customStyle="1" w:styleId="50">
    <w:name w:val="标题4"/>
    <w:basedOn w:val="8"/>
    <w:autoRedefine/>
    <w:qFormat/>
    <w:uiPriority w:val="0"/>
  </w:style>
  <w:style w:type="character" w:customStyle="1" w:styleId="51">
    <w:name w:val="font81"/>
    <w:basedOn w:val="27"/>
    <w:autoRedefine/>
    <w:qFormat/>
    <w:uiPriority w:val="0"/>
    <w:rPr>
      <w:rFonts w:hint="eastAsia" w:ascii="仿宋" w:hAnsi="仿宋" w:eastAsia="仿宋" w:cs="仿宋"/>
      <w:color w:val="000000"/>
      <w:sz w:val="24"/>
      <w:szCs w:val="24"/>
      <w:u w:val="none"/>
    </w:rPr>
  </w:style>
  <w:style w:type="character" w:customStyle="1" w:styleId="52">
    <w:name w:val="font11"/>
    <w:basedOn w:val="27"/>
    <w:autoRedefine/>
    <w:qFormat/>
    <w:uiPriority w:val="0"/>
    <w:rPr>
      <w:rFonts w:hint="eastAsia" w:ascii="仿宋" w:hAnsi="仿宋" w:eastAsia="仿宋" w:cs="仿宋"/>
      <w:color w:val="000000"/>
      <w:sz w:val="24"/>
      <w:szCs w:val="24"/>
      <w:u w:val="none"/>
    </w:rPr>
  </w:style>
  <w:style w:type="character" w:customStyle="1" w:styleId="53">
    <w:name w:val="font01"/>
    <w:basedOn w:val="27"/>
    <w:autoRedefine/>
    <w:qFormat/>
    <w:uiPriority w:val="0"/>
    <w:rPr>
      <w:rFonts w:ascii="Arial" w:hAnsi="Arial" w:cs="Arial"/>
      <w:color w:val="000000"/>
      <w:sz w:val="24"/>
      <w:szCs w:val="24"/>
      <w:u w:val="none"/>
    </w:rPr>
  </w:style>
  <w:style w:type="character" w:customStyle="1" w:styleId="54">
    <w:name w:val="font31"/>
    <w:basedOn w:val="27"/>
    <w:autoRedefine/>
    <w:qFormat/>
    <w:uiPriority w:val="0"/>
    <w:rPr>
      <w:rFonts w:hint="eastAsia" w:ascii="仿宋" w:hAnsi="仿宋" w:eastAsia="仿宋" w:cs="仿宋"/>
      <w:color w:val="000000"/>
      <w:sz w:val="28"/>
      <w:szCs w:val="28"/>
      <w:u w:val="none"/>
    </w:rPr>
  </w:style>
  <w:style w:type="character" w:customStyle="1" w:styleId="55">
    <w:name w:val="正文文本 字符"/>
    <w:basedOn w:val="27"/>
    <w:autoRedefine/>
    <w:qFormat/>
    <w:uiPriority w:val="0"/>
    <w:rPr>
      <w:kern w:val="2"/>
      <w:sz w:val="21"/>
      <w:szCs w:val="24"/>
    </w:rPr>
  </w:style>
  <w:style w:type="character" w:customStyle="1" w:styleId="56">
    <w:name w:val="正文首行缩进 Char"/>
    <w:link w:val="24"/>
    <w:autoRedefine/>
    <w:qFormat/>
    <w:uiPriority w:val="0"/>
    <w:rPr>
      <w:sz w:val="21"/>
      <w:szCs w:val="21"/>
    </w:rPr>
  </w:style>
  <w:style w:type="character" w:customStyle="1" w:styleId="57">
    <w:name w:val="正文文本缩进 字符"/>
    <w:basedOn w:val="27"/>
    <w:autoRedefine/>
    <w:qFormat/>
    <w:uiPriority w:val="0"/>
    <w:rPr>
      <w:sz w:val="21"/>
      <w:szCs w:val="21"/>
    </w:rPr>
  </w:style>
  <w:style w:type="character" w:customStyle="1" w:styleId="58">
    <w:name w:val="正文首行缩进 2 字符"/>
    <w:basedOn w:val="57"/>
    <w:autoRedefine/>
    <w:qFormat/>
    <w:uiPriority w:val="0"/>
    <w:rPr>
      <w:sz w:val="21"/>
      <w:szCs w:val="21"/>
    </w:rPr>
  </w:style>
  <w:style w:type="character" w:customStyle="1" w:styleId="59">
    <w:name w:val="正文文本缩进 Char"/>
    <w:basedOn w:val="27"/>
    <w:link w:val="3"/>
    <w:autoRedefine/>
    <w:qFormat/>
    <w:uiPriority w:val="0"/>
    <w:rPr>
      <w:kern w:val="2"/>
      <w:sz w:val="21"/>
      <w:szCs w:val="21"/>
    </w:rPr>
  </w:style>
  <w:style w:type="character" w:customStyle="1" w:styleId="60">
    <w:name w:val="正文首行缩进 2 Char"/>
    <w:basedOn w:val="59"/>
    <w:link w:val="2"/>
    <w:autoRedefine/>
    <w:qFormat/>
    <w:uiPriority w:val="0"/>
    <w:rPr>
      <w:kern w:val="2"/>
      <w:sz w:val="21"/>
      <w:szCs w:val="21"/>
    </w:rPr>
  </w:style>
  <w:style w:type="character" w:customStyle="1" w:styleId="61">
    <w:name w:val="正文文本 Char"/>
    <w:basedOn w:val="27"/>
    <w:link w:val="13"/>
    <w:autoRedefine/>
    <w:qFormat/>
    <w:uiPriority w:val="0"/>
    <w:rPr>
      <w:sz w:val="24"/>
      <w:szCs w:val="24"/>
      <w:lang w:eastAsia="en-US" w:bidi="en-US"/>
    </w:rPr>
  </w:style>
  <w:style w:type="paragraph" w:customStyle="1" w:styleId="62">
    <w:name w:val="Style1"/>
    <w:autoRedefine/>
    <w:qFormat/>
    <w:uiPriority w:val="0"/>
    <w:pPr>
      <w:spacing w:after="120"/>
      <w:jc w:val="both"/>
    </w:pPr>
    <w:rPr>
      <w:rFonts w:ascii="Times New Roman" w:hAnsi="Times New Roman" w:eastAsia="宋体" w:cs="Times New Roman"/>
      <w:color w:val="000000"/>
      <w:spacing w:val="-3"/>
      <w:sz w:val="24"/>
      <w:szCs w:val="24"/>
      <w:lang w:val="en-US" w:eastAsia="zh-CN" w:bidi="ar-SA"/>
    </w:rPr>
  </w:style>
  <w:style w:type="paragraph" w:customStyle="1" w:styleId="63">
    <w:name w:val="_Style 6"/>
    <w:basedOn w:val="5"/>
    <w:next w:val="1"/>
    <w:autoRedefine/>
    <w:qFormat/>
    <w:uiPriority w:val="0"/>
    <w:pPr>
      <w:outlineLvl w:val="9"/>
    </w:pPr>
  </w:style>
  <w:style w:type="character" w:customStyle="1" w:styleId="64">
    <w:name w:val="font21"/>
    <w:basedOn w:val="27"/>
    <w:qFormat/>
    <w:uiPriority w:val="0"/>
    <w:rPr>
      <w:rFonts w:hint="default" w:ascii="Times New Roman" w:hAnsi="Times New Roman" w:cs="Times New Roman"/>
      <w:color w:val="000000"/>
      <w:sz w:val="16"/>
      <w:szCs w:val="16"/>
      <w:u w:val="none"/>
    </w:rPr>
  </w:style>
  <w:style w:type="paragraph" w:customStyle="1" w:styleId="65">
    <w:name w:val="paragraph"/>
    <w:basedOn w:val="1"/>
    <w:semiHidden/>
    <w:qFormat/>
    <w:uiPriority w:val="0"/>
    <w:pPr>
      <w:widowControl/>
      <w:spacing w:before="100" w:beforeAutospacing="1" w:after="100" w:afterAutospacing="1"/>
    </w:pPr>
    <w:rPr>
      <w:rFonts w:ascii="等线" w:hAnsi="等线" w:eastAsia="等线"/>
      <w:kern w:val="0"/>
    </w:rPr>
  </w:style>
  <w:style w:type="paragraph" w:customStyle="1" w:styleId="66">
    <w:name w:val="列表段落1"/>
    <w:basedOn w:val="1"/>
    <w:autoRedefine/>
    <w:qFormat/>
    <w:uiPriority w:val="0"/>
    <w:pPr>
      <w:spacing w:line="360" w:lineRule="auto"/>
      <w:ind w:firstLine="200" w:firstLineChars="200"/>
    </w:pPr>
    <w:rPr>
      <w:color w:val="262626"/>
      <w:kern w:val="0"/>
      <w:sz w:val="20"/>
      <w:szCs w:val="20"/>
    </w:rPr>
  </w:style>
  <w:style w:type="character" w:customStyle="1" w:styleId="67">
    <w:name w:val="批注主题 字符"/>
    <w:basedOn w:val="68"/>
    <w:link w:val="23"/>
    <w:qFormat/>
    <w:uiPriority w:val="0"/>
    <w:rPr>
      <w:rFonts w:eastAsia="宋体"/>
      <w:b/>
      <w:bCs/>
      <w:kern w:val="2"/>
      <w:sz w:val="21"/>
      <w:szCs w:val="24"/>
    </w:rPr>
  </w:style>
  <w:style w:type="character" w:customStyle="1" w:styleId="68">
    <w:name w:val="批注文字 字符"/>
    <w:qFormat/>
    <w:uiPriority w:val="0"/>
    <w:rPr>
      <w:rFonts w:eastAsia="宋体"/>
      <w:szCs w:val="24"/>
    </w:rPr>
  </w:style>
  <w:style w:type="character" w:customStyle="1" w:styleId="69">
    <w:name w:val="页脚 字符"/>
    <w:basedOn w:val="27"/>
    <w:link w:val="17"/>
    <w:qFormat/>
    <w:uiPriority w:val="0"/>
    <w:rPr>
      <w:rFonts w:ascii="Times New Roman" w:hAnsi="Times New Roman" w:eastAsia="宋体" w:cs="Times New Roman"/>
      <w:sz w:val="18"/>
      <w:szCs w:val="18"/>
    </w:rPr>
  </w:style>
  <w:style w:type="paragraph" w:customStyle="1" w:styleId="70">
    <w:name w:val="Table Paragraph"/>
    <w:basedOn w:val="1"/>
    <w:qFormat/>
    <w:uiPriority w:val="1"/>
    <w:pPr>
      <w:spacing w:before="91"/>
      <w:ind w:right="141"/>
      <w:jc w:val="center"/>
    </w:pPr>
  </w:style>
  <w:style w:type="table" w:customStyle="1" w:styleId="71">
    <w:name w:val="Table Normal"/>
    <w:semiHidden/>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C77970-B46B-4678-B36D-C391D13DB860}">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183</Pages>
  <Words>4219</Words>
  <Characters>4518</Characters>
  <Lines>1148</Lines>
  <Paragraphs>323</Paragraphs>
  <TotalTime>0</TotalTime>
  <ScaleCrop>false</ScaleCrop>
  <LinksUpToDate>false</LinksUpToDate>
  <CharactersWithSpaces>4819</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2024-09-19T09:03:00Z</dcterms:created>
  <dc:creator>Windows 用户</dc:creator>
  <cp:lastModifiedBy>刘圆</cp:lastModifiedBy>
  <cp:lastPrinted>2022-03-12T06:20:00Z</cp:lastPrinted>
  <dcterms:modified xsi:type="dcterms:W3CDTF">2026-09-24T01:18:25Z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6DEC342A734C43F8B412E7E8E6CD6777_13</vt:lpwstr>
  </property>
  <property fmtid="{D5CDD505-2E9C-101B-9397-08002B2CF9AE}" pid="4" name="KSOTemplateDocerSaveRecord">
    <vt:lpwstr>eyJoZGlkIjoiNzQ0NzMwNjJkMjI5YWNmMzI4MDFlYjE2YmQ2YWNjNzciLCJ1c2VySWQiOiIxNzY1NTI5ODgzIn0=</vt:lpwstr>
  </property>
</Properties>
</file>