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6F0CAD5">
      <w:pPr>
        <w:ind w:right="280"/>
        <w:jc w:val="center"/>
        <w:rPr>
          <w:rFonts w:ascii="宋体" w:hAnsi="宋体"/>
          <w:sz w:val="48"/>
          <w:szCs w:val="48"/>
        </w:rPr>
      </w:pPr>
      <w:bookmarkStart w:id="0" w:name="_Toc10987"/>
      <w:bookmarkStart w:id="1" w:name="_Toc15310"/>
    </w:p>
    <w:p w14:paraId="0435320E">
      <w:pPr>
        <w:ind w:right="280"/>
        <w:jc w:val="both"/>
        <w:rPr>
          <w:rFonts w:ascii="宋体" w:hAnsi="宋体"/>
          <w:sz w:val="48"/>
          <w:szCs w:val="48"/>
        </w:rPr>
      </w:pPr>
    </w:p>
    <w:p w14:paraId="07CDE389">
      <w:pPr>
        <w:ind w:right="280"/>
        <w:jc w:val="center"/>
        <w:rPr>
          <w:rFonts w:ascii="楷体_GB2312" w:hAnsi="宋体" w:eastAsia="楷体_GB2312"/>
          <w:sz w:val="52"/>
          <w:szCs w:val="52"/>
        </w:rPr>
      </w:pPr>
    </w:p>
    <w:p w14:paraId="79E49943">
      <w:pPr>
        <w:ind w:right="280"/>
        <w:jc w:val="center"/>
        <w:rPr>
          <w:rFonts w:hint="eastAsia" w:ascii="楷体_GB2312" w:hAnsi="宋体" w:eastAsia="楷体_GB2312"/>
          <w:sz w:val="52"/>
          <w:szCs w:val="52"/>
          <w:highlight w:val="none"/>
          <w:lang w:val="en-US" w:eastAsia="zh-CN"/>
        </w:rPr>
      </w:pPr>
      <w:r>
        <w:rPr>
          <w:rFonts w:hint="eastAsia" w:ascii="楷体_GB2312" w:hAnsi="宋体" w:eastAsia="楷体_GB2312"/>
          <w:sz w:val="52"/>
          <w:szCs w:val="52"/>
          <w:highlight w:val="none"/>
          <w:lang w:val="en-US" w:eastAsia="zh-CN"/>
        </w:rPr>
        <w:t>济南成型厂2026年度进口应达加热炉膛年度外委维修项目</w:t>
      </w:r>
    </w:p>
    <w:p w14:paraId="18CBF8EA">
      <w:pPr>
        <w:ind w:right="280"/>
        <w:jc w:val="both"/>
        <w:rPr>
          <w:sz w:val="28"/>
          <w:szCs w:val="28"/>
          <w:highlight w:val="none"/>
        </w:rPr>
      </w:pPr>
    </w:p>
    <w:p w14:paraId="6418E5FF">
      <w:pPr>
        <w:jc w:val="center"/>
        <w:rPr>
          <w:rFonts w:ascii="宋体" w:hAnsi="宋体" w:cs="宋体"/>
          <w:sz w:val="72"/>
          <w:szCs w:val="72"/>
          <w:highlight w:val="none"/>
        </w:rPr>
      </w:pPr>
      <w:r>
        <w:rPr>
          <w:rFonts w:hint="eastAsia" w:ascii="宋体" w:hAnsi="宋体" w:cs="宋体"/>
          <w:sz w:val="72"/>
          <w:szCs w:val="72"/>
          <w:highlight w:val="none"/>
        </w:rPr>
        <w:t>招标文件</w:t>
      </w:r>
    </w:p>
    <w:p w14:paraId="2A3C624C">
      <w:pPr>
        <w:jc w:val="center"/>
        <w:rPr>
          <w:rFonts w:ascii="宋体" w:hAnsi="宋体"/>
          <w:sz w:val="48"/>
          <w:szCs w:val="48"/>
          <w:highlight w:val="none"/>
        </w:rPr>
      </w:pPr>
    </w:p>
    <w:p w14:paraId="6993BE58">
      <w:pPr>
        <w:jc w:val="center"/>
        <w:rPr>
          <w:rFonts w:ascii="宋体" w:hAnsi="宋体"/>
          <w:sz w:val="48"/>
          <w:szCs w:val="48"/>
          <w:highlight w:val="none"/>
        </w:rPr>
      </w:pPr>
    </w:p>
    <w:p w14:paraId="7D4911DE">
      <w:pPr>
        <w:pStyle w:val="2"/>
        <w:rPr>
          <w:rFonts w:ascii="宋体" w:hAnsi="宋体"/>
          <w:sz w:val="48"/>
          <w:szCs w:val="48"/>
          <w:highlight w:val="none"/>
        </w:rPr>
      </w:pPr>
    </w:p>
    <w:p w14:paraId="2F601C92">
      <w:pPr>
        <w:pStyle w:val="3"/>
      </w:pPr>
    </w:p>
    <w:p w14:paraId="10A10BCC">
      <w:pPr>
        <w:widowControl/>
        <w:spacing w:line="360" w:lineRule="auto"/>
        <w:ind w:firstLine="1928" w:firstLineChars="600"/>
        <w:jc w:val="both"/>
        <w:rPr>
          <w:rFonts w:hint="default" w:ascii="宋体" w:hAnsi="宋体" w:eastAsia="宋体"/>
          <w:sz w:val="48"/>
          <w:szCs w:val="48"/>
          <w:highlight w:val="none"/>
          <w:u w:val="single"/>
          <w:lang w:val="en-US" w:eastAsia="zh-CN"/>
        </w:rPr>
      </w:pPr>
      <w:r>
        <w:rPr>
          <w:rFonts w:hint="eastAsia" w:ascii="宋体" w:hAnsi="宋体" w:cs="宋体"/>
          <w:b/>
          <w:bCs/>
          <w:kern w:val="0"/>
          <w:sz w:val="32"/>
          <w:szCs w:val="32"/>
          <w:highlight w:val="none"/>
        </w:rPr>
        <w:t>项目编号：</w:t>
      </w:r>
      <w:r>
        <w:rPr>
          <w:rFonts w:hint="eastAsia" w:ascii="宋体" w:hAnsi="宋体" w:cs="宋体"/>
          <w:b/>
          <w:bCs/>
          <w:kern w:val="0"/>
          <w:sz w:val="32"/>
          <w:szCs w:val="32"/>
          <w:highlight w:val="none"/>
          <w:u w:val="single"/>
          <w:lang w:val="en-US" w:eastAsia="zh-CN"/>
        </w:rPr>
        <w:t xml:space="preserve"> ZBGL2026090187    </w:t>
      </w:r>
      <w:r>
        <w:rPr>
          <w:rFonts w:hint="eastAsia" w:asciiTheme="minorEastAsia" w:hAnsiTheme="minorEastAsia" w:eastAsiaTheme="minorEastAsia" w:cstheme="minorEastAsia"/>
          <w:kern w:val="0"/>
          <w:sz w:val="24"/>
          <w:szCs w:val="24"/>
          <w:highlight w:val="none"/>
          <w:u w:val="single"/>
          <w:lang w:val="en-US" w:eastAsia="zh-CN" w:bidi="en-US"/>
        </w:rPr>
        <w:t xml:space="preserve">           </w:t>
      </w:r>
      <w:r>
        <w:rPr>
          <w:rFonts w:hint="eastAsia" w:ascii="宋体" w:hAnsi="宋体" w:cs="宋体"/>
          <w:b/>
          <w:bCs/>
          <w:kern w:val="0"/>
          <w:sz w:val="32"/>
          <w:szCs w:val="32"/>
          <w:highlight w:val="none"/>
          <w:u w:val="single"/>
          <w:lang w:val="en-US" w:eastAsia="zh-CN"/>
        </w:rPr>
        <w:t xml:space="preserve">    </w:t>
      </w:r>
    </w:p>
    <w:p w14:paraId="111CA3F9">
      <w:pPr>
        <w:jc w:val="both"/>
        <w:rPr>
          <w:rFonts w:ascii="宋体" w:hAnsi="宋体"/>
          <w:sz w:val="28"/>
          <w:szCs w:val="28"/>
          <w:highlight w:val="none"/>
        </w:rPr>
      </w:pPr>
    </w:p>
    <w:p w14:paraId="0943A427">
      <w:pPr>
        <w:pStyle w:val="2"/>
        <w:rPr>
          <w:rFonts w:ascii="宋体" w:hAnsi="宋体"/>
          <w:sz w:val="28"/>
          <w:szCs w:val="28"/>
          <w:highlight w:val="none"/>
        </w:rPr>
      </w:pPr>
    </w:p>
    <w:p w14:paraId="7A10FD14">
      <w:pPr>
        <w:pStyle w:val="3"/>
        <w:rPr>
          <w:rFonts w:ascii="宋体" w:hAnsi="宋体"/>
          <w:sz w:val="28"/>
          <w:szCs w:val="28"/>
          <w:highlight w:val="none"/>
        </w:rPr>
      </w:pPr>
    </w:p>
    <w:p w14:paraId="12CB50D1">
      <w:pPr>
        <w:jc w:val="center"/>
        <w:rPr>
          <w:rFonts w:ascii="宋体" w:hAnsi="宋体"/>
          <w:sz w:val="28"/>
          <w:szCs w:val="28"/>
          <w:highlight w:val="none"/>
        </w:rPr>
      </w:pPr>
    </w:p>
    <w:p w14:paraId="1CE80EBC">
      <w:pPr>
        <w:jc w:val="center"/>
        <w:rPr>
          <w:rFonts w:ascii="宋体" w:hAnsi="宋体"/>
          <w:sz w:val="28"/>
          <w:szCs w:val="28"/>
          <w:highlight w:val="none"/>
        </w:rPr>
      </w:pPr>
      <w:r>
        <w:rPr>
          <w:rFonts w:hint="eastAsia" w:ascii="宋体" w:hAnsi="宋体"/>
          <w:sz w:val="28"/>
          <w:szCs w:val="28"/>
          <w:highlight w:val="none"/>
        </w:rPr>
        <w:t>招 标 人：中国重汽集团</w:t>
      </w:r>
      <w:r>
        <w:rPr>
          <w:rFonts w:hint="eastAsia" w:ascii="宋体" w:hAnsi="宋体"/>
          <w:sz w:val="28"/>
          <w:szCs w:val="28"/>
          <w:highlight w:val="none"/>
          <w:lang w:val="en-US" w:eastAsia="zh-CN"/>
        </w:rPr>
        <w:t>济南成型厂</w:t>
      </w:r>
    </w:p>
    <w:p w14:paraId="0D8A0D9A">
      <w:pPr>
        <w:jc w:val="center"/>
        <w:rPr>
          <w:rFonts w:ascii="宋体" w:hAnsi="宋体"/>
          <w:sz w:val="28"/>
          <w:szCs w:val="28"/>
          <w:highlight w:val="none"/>
        </w:rPr>
      </w:pPr>
    </w:p>
    <w:p w14:paraId="09CB3C92">
      <w:pPr>
        <w:spacing w:line="480" w:lineRule="auto"/>
        <w:jc w:val="center"/>
        <w:rPr>
          <w:rFonts w:ascii="宋体" w:hAnsi="宋体"/>
          <w:b/>
          <w:bCs/>
          <w:sz w:val="48"/>
          <w:szCs w:val="48"/>
        </w:rPr>
      </w:pPr>
      <w:r>
        <w:rPr>
          <w:rFonts w:hint="eastAsia" w:ascii="宋体" w:hAnsi="宋体"/>
          <w:sz w:val="28"/>
          <w:szCs w:val="28"/>
          <w:highlight w:val="none"/>
          <w:u w:val="single"/>
        </w:rPr>
        <w:t>20</w:t>
      </w:r>
      <w:r>
        <w:rPr>
          <w:rFonts w:hint="eastAsia" w:ascii="宋体" w:hAnsi="宋体"/>
          <w:sz w:val="28"/>
          <w:szCs w:val="28"/>
          <w:highlight w:val="none"/>
          <w:u w:val="single"/>
          <w:lang w:val="en-US" w:eastAsia="zh-CN"/>
        </w:rPr>
        <w:t>26</w:t>
      </w:r>
      <w:r>
        <w:rPr>
          <w:rFonts w:hint="eastAsia" w:ascii="宋体" w:hAnsi="宋体"/>
          <w:sz w:val="28"/>
          <w:szCs w:val="28"/>
          <w:highlight w:val="none"/>
          <w:u w:val="single"/>
        </w:rPr>
        <w:t>年</w:t>
      </w:r>
      <w:r>
        <w:rPr>
          <w:rFonts w:hint="eastAsia" w:ascii="宋体" w:hAnsi="宋体"/>
          <w:sz w:val="28"/>
          <w:szCs w:val="28"/>
          <w:highlight w:val="none"/>
          <w:u w:val="single"/>
          <w:lang w:val="en-US" w:eastAsia="zh-CN"/>
        </w:rPr>
        <w:t>9月</w:t>
      </w:r>
    </w:p>
    <w:p w14:paraId="1E719982">
      <w:pPr>
        <w:ind w:firstLine="420"/>
        <w:rPr>
          <w:rFonts w:hint="eastAsia" w:asciiTheme="minorEastAsia" w:hAnsiTheme="minorEastAsia" w:eastAsiaTheme="minorEastAsia" w:cstheme="minorEastAsia"/>
        </w:rPr>
      </w:pPr>
    </w:p>
    <w:p w14:paraId="2B32D2B8">
      <w:pPr>
        <w:ind w:firstLine="420"/>
        <w:rPr>
          <w:rFonts w:hint="eastAsia" w:asciiTheme="minorEastAsia" w:hAnsiTheme="minorEastAsia" w:eastAsiaTheme="minorEastAsia" w:cstheme="minorEastAsia"/>
        </w:rPr>
      </w:pPr>
    </w:p>
    <w:bookmarkEnd w:id="0"/>
    <w:bookmarkEnd w:id="1"/>
    <w:p w14:paraId="029D6304">
      <w:pPr>
        <w:widowControl/>
        <w:ind w:firstLine="420"/>
        <w:jc w:val="left"/>
        <w:rPr>
          <w:rFonts w:hint="eastAsia" w:asciiTheme="minorEastAsia" w:hAnsiTheme="minorEastAsia" w:eastAsiaTheme="minorEastAsia" w:cstheme="minorEastAsia"/>
          <w:b/>
          <w:kern w:val="0"/>
          <w:sz w:val="32"/>
          <w:szCs w:val="32"/>
          <w:lang w:val="zh-CN"/>
        </w:rPr>
      </w:pPr>
      <w:bookmarkStart w:id="2" w:name="_Toc131406235"/>
      <w:bookmarkStart w:id="3" w:name="_Toc23462"/>
      <w:bookmarkStart w:id="4" w:name="_Toc16518"/>
      <w:r>
        <w:rPr>
          <w:rFonts w:hint="eastAsia" w:asciiTheme="minorEastAsia" w:hAnsiTheme="minorEastAsia" w:eastAsiaTheme="minorEastAsia" w:cstheme="minorEastAsia"/>
          <w:szCs w:val="32"/>
        </w:rPr>
        <w:br w:type="page"/>
      </w:r>
    </w:p>
    <w:p w14:paraId="16B17986">
      <w:pPr>
        <w:pStyle w:val="4"/>
        <w:snapToGrid w:val="0"/>
        <w:spacing w:before="0" w:after="0" w:line="360" w:lineRule="auto"/>
        <w:ind w:firstLine="643"/>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szCs w:val="32"/>
        </w:rPr>
        <w:t>招标公告</w:t>
      </w:r>
      <w:bookmarkEnd w:id="2"/>
      <w:bookmarkEnd w:id="3"/>
      <w:bookmarkEnd w:id="4"/>
    </w:p>
    <w:p w14:paraId="04B3D246">
      <w:pPr>
        <w:widowControl/>
        <w:snapToGrid w:val="0"/>
        <w:spacing w:line="360" w:lineRule="auto"/>
        <w:jc w:val="left"/>
        <w:outlineLvl w:val="1"/>
        <w:rPr>
          <w:rFonts w:hint="eastAsia" w:asciiTheme="minorEastAsia" w:hAnsiTheme="minorEastAsia" w:eastAsiaTheme="minorEastAsia" w:cstheme="minorEastAsia"/>
          <w:b/>
          <w:kern w:val="0"/>
          <w:sz w:val="24"/>
          <w:szCs w:val="24"/>
          <w:lang w:bidi="en-US"/>
        </w:rPr>
      </w:pPr>
      <w:r>
        <w:rPr>
          <w:rFonts w:hint="eastAsia" w:asciiTheme="minorEastAsia" w:hAnsiTheme="minorEastAsia" w:eastAsiaTheme="minorEastAsia" w:cstheme="minorEastAsia"/>
          <w:b/>
          <w:kern w:val="0"/>
          <w:sz w:val="24"/>
          <w:szCs w:val="24"/>
          <w:lang w:bidi="en-US"/>
        </w:rPr>
        <w:t>一、招标条件</w:t>
      </w:r>
    </w:p>
    <w:p w14:paraId="7826D7EA">
      <w:pPr>
        <w:widowControl/>
        <w:snapToGrid w:val="0"/>
        <w:spacing w:line="360" w:lineRule="auto"/>
        <w:ind w:firstLine="480" w:firstLineChars="200"/>
        <w:jc w:val="left"/>
        <w:rPr>
          <w:rFonts w:hint="eastAsia" w:asciiTheme="minorEastAsia" w:hAnsiTheme="minorEastAsia" w:eastAsiaTheme="minorEastAsia" w:cstheme="minorEastAsia"/>
          <w:kern w:val="0"/>
          <w:sz w:val="24"/>
          <w:szCs w:val="24"/>
          <w:highlight w:val="none"/>
          <w:lang w:bidi="en-US"/>
        </w:rPr>
      </w:pPr>
      <w:r>
        <w:rPr>
          <w:rFonts w:hint="eastAsia" w:asciiTheme="minorEastAsia" w:hAnsiTheme="minorEastAsia" w:eastAsiaTheme="minorEastAsia" w:cstheme="minorEastAsia"/>
          <w:sz w:val="24"/>
          <w:szCs w:val="24"/>
          <w:highlight w:val="none"/>
          <w:u w:val="single"/>
          <w:lang w:val="en-US" w:eastAsia="zh-CN"/>
        </w:rPr>
        <w:t>济南成型厂2026年度进口应达加热炉膛年度外委维修项目</w:t>
      </w:r>
      <w:r>
        <w:rPr>
          <w:rFonts w:hint="eastAsia" w:asciiTheme="minorEastAsia" w:hAnsiTheme="minorEastAsia" w:eastAsiaTheme="minorEastAsia" w:cstheme="minorEastAsia"/>
          <w:kern w:val="0"/>
          <w:sz w:val="24"/>
          <w:szCs w:val="24"/>
          <w:highlight w:val="none"/>
          <w:lang w:bidi="en-US"/>
        </w:rPr>
        <w:t>，以</w:t>
      </w:r>
      <w:r>
        <w:rPr>
          <w:rFonts w:hint="eastAsia" w:asciiTheme="minorEastAsia" w:hAnsiTheme="minorEastAsia" w:eastAsiaTheme="minorEastAsia" w:cstheme="minorEastAsia"/>
          <w:kern w:val="0"/>
          <w:sz w:val="24"/>
          <w:szCs w:val="24"/>
          <w:highlight w:val="yellow"/>
          <w:u w:val="single"/>
          <w:lang w:val="en-US" w:eastAsia="zh-CN" w:bidi="en-US"/>
        </w:rPr>
        <w:t>竞争性谈判</w:t>
      </w:r>
      <w:r>
        <w:rPr>
          <w:rFonts w:hint="eastAsia" w:asciiTheme="minorEastAsia" w:hAnsiTheme="minorEastAsia" w:eastAsiaTheme="minorEastAsia" w:cstheme="minorEastAsia"/>
          <w:kern w:val="0"/>
          <w:sz w:val="24"/>
          <w:szCs w:val="24"/>
          <w:highlight w:val="none"/>
          <w:lang w:bidi="en-US"/>
        </w:rPr>
        <w:t>的方式进行采购。本项目业主为</w:t>
      </w:r>
      <w:r>
        <w:rPr>
          <w:rFonts w:hint="eastAsia" w:asciiTheme="minorEastAsia" w:hAnsiTheme="minorEastAsia" w:eastAsiaTheme="minorEastAsia" w:cstheme="minorEastAsia"/>
          <w:sz w:val="24"/>
          <w:szCs w:val="24"/>
          <w:highlight w:val="none"/>
          <w:u w:val="single"/>
          <w:lang w:val="en-US" w:eastAsia="zh-CN"/>
        </w:rPr>
        <w:t>中国重汽集团济南成型厂</w:t>
      </w:r>
      <w:r>
        <w:rPr>
          <w:rFonts w:hint="eastAsia" w:asciiTheme="minorEastAsia" w:hAnsiTheme="minorEastAsia" w:eastAsiaTheme="minorEastAsia" w:cstheme="minorEastAsia"/>
          <w:kern w:val="0"/>
          <w:sz w:val="24"/>
          <w:szCs w:val="24"/>
          <w:highlight w:val="none"/>
          <w:lang w:bidi="en-US"/>
        </w:rPr>
        <w:t>，项目资金来自</w:t>
      </w:r>
      <w:r>
        <w:rPr>
          <w:rFonts w:hint="eastAsia" w:asciiTheme="minorEastAsia" w:hAnsiTheme="minorEastAsia" w:eastAsiaTheme="minorEastAsia" w:cstheme="minorEastAsia"/>
          <w:kern w:val="0"/>
          <w:sz w:val="24"/>
          <w:szCs w:val="24"/>
          <w:highlight w:val="none"/>
          <w:u w:val="single"/>
          <w:lang w:bidi="en-US"/>
        </w:rPr>
        <w:t xml:space="preserve"> 企业自筹 </w:t>
      </w:r>
      <w:r>
        <w:rPr>
          <w:rFonts w:hint="eastAsia" w:asciiTheme="minorEastAsia" w:hAnsiTheme="minorEastAsia" w:eastAsiaTheme="minorEastAsia" w:cstheme="minorEastAsia"/>
          <w:kern w:val="0"/>
          <w:sz w:val="24"/>
          <w:szCs w:val="24"/>
          <w:highlight w:val="none"/>
          <w:lang w:bidi="en-US"/>
        </w:rPr>
        <w:t>，出资例为</w:t>
      </w:r>
      <w:r>
        <w:rPr>
          <w:rFonts w:hint="eastAsia" w:asciiTheme="minorEastAsia" w:hAnsiTheme="minorEastAsia" w:eastAsiaTheme="minorEastAsia" w:cstheme="minorEastAsia"/>
          <w:kern w:val="0"/>
          <w:sz w:val="24"/>
          <w:szCs w:val="24"/>
          <w:highlight w:val="none"/>
          <w:u w:val="single"/>
          <w:lang w:bidi="en-US"/>
        </w:rPr>
        <w:t xml:space="preserve"> 100% </w:t>
      </w:r>
      <w:r>
        <w:rPr>
          <w:rFonts w:hint="eastAsia" w:asciiTheme="minorEastAsia" w:hAnsiTheme="minorEastAsia" w:eastAsiaTheme="minorEastAsia" w:cstheme="minorEastAsia"/>
          <w:kern w:val="0"/>
          <w:sz w:val="24"/>
          <w:szCs w:val="24"/>
          <w:highlight w:val="none"/>
          <w:lang w:bidi="en-US"/>
        </w:rPr>
        <w:t>。该项目现已具备招标条件，欢迎具备条件的潜在投标人参加投标。</w:t>
      </w:r>
    </w:p>
    <w:p w14:paraId="5E0E4D1D">
      <w:pPr>
        <w:widowControl/>
        <w:snapToGrid w:val="0"/>
        <w:spacing w:line="360" w:lineRule="auto"/>
        <w:jc w:val="left"/>
        <w:outlineLvl w:val="1"/>
        <w:rPr>
          <w:rFonts w:hint="eastAsia" w:asciiTheme="minorEastAsia" w:hAnsiTheme="minorEastAsia" w:eastAsiaTheme="minorEastAsia" w:cstheme="minorEastAsia"/>
          <w:kern w:val="0"/>
          <w:sz w:val="24"/>
          <w:szCs w:val="24"/>
          <w:highlight w:val="none"/>
          <w:lang w:bidi="en-US"/>
        </w:rPr>
      </w:pPr>
      <w:r>
        <w:rPr>
          <w:rFonts w:hint="eastAsia" w:asciiTheme="minorEastAsia" w:hAnsiTheme="minorEastAsia" w:eastAsiaTheme="minorEastAsia" w:cstheme="minorEastAsia"/>
          <w:b/>
          <w:bCs/>
          <w:kern w:val="0"/>
          <w:sz w:val="24"/>
          <w:szCs w:val="24"/>
          <w:highlight w:val="none"/>
          <w:lang w:bidi="en-US"/>
        </w:rPr>
        <w:t>二、项目概况与招标范围</w:t>
      </w:r>
    </w:p>
    <w:p w14:paraId="2ABEF8C0">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left"/>
        <w:textAlignment w:val="auto"/>
        <w:rPr>
          <w:rFonts w:hint="eastAsia" w:asciiTheme="minorEastAsia" w:hAnsiTheme="minorEastAsia" w:eastAsiaTheme="minorEastAsia" w:cstheme="minorEastAsia"/>
          <w:kern w:val="0"/>
          <w:sz w:val="24"/>
          <w:szCs w:val="24"/>
          <w:highlight w:val="none"/>
          <w:lang w:bidi="en-US"/>
        </w:rPr>
      </w:pPr>
      <w:bookmarkStart w:id="5" w:name="_Toc152045514"/>
      <w:bookmarkEnd w:id="5"/>
      <w:bookmarkStart w:id="6" w:name="_Toc152042290"/>
      <w:bookmarkEnd w:id="6"/>
      <w:bookmarkStart w:id="7" w:name="_Toc285809451"/>
      <w:bookmarkEnd w:id="7"/>
      <w:bookmarkStart w:id="8" w:name="_Toc179632530"/>
      <w:bookmarkEnd w:id="8"/>
      <w:bookmarkStart w:id="9" w:name="_Toc144974482"/>
      <w:bookmarkEnd w:id="9"/>
      <w:r>
        <w:rPr>
          <w:rFonts w:hint="default" w:asciiTheme="minorEastAsia" w:hAnsiTheme="minorEastAsia" w:eastAsiaTheme="minorEastAsia" w:cstheme="minorEastAsia"/>
          <w:kern w:val="0"/>
          <w:sz w:val="24"/>
          <w:szCs w:val="24"/>
          <w:highlight w:val="none"/>
          <w:lang w:val="en-US" w:eastAsia="zh-CN" w:bidi="en-US"/>
        </w:rPr>
        <w:t>1．</w:t>
      </w:r>
      <w:r>
        <w:rPr>
          <w:rFonts w:hint="eastAsia" w:asciiTheme="minorEastAsia" w:hAnsiTheme="minorEastAsia" w:eastAsiaTheme="minorEastAsia" w:cstheme="minorEastAsia"/>
          <w:kern w:val="0"/>
          <w:sz w:val="24"/>
          <w:szCs w:val="24"/>
          <w:highlight w:val="none"/>
          <w:lang w:val="en-US" w:eastAsia="zh-CN" w:bidi="en-US"/>
        </w:rPr>
        <w:t>项目</w:t>
      </w:r>
      <w:r>
        <w:rPr>
          <w:rFonts w:hint="eastAsia" w:asciiTheme="minorEastAsia" w:hAnsiTheme="minorEastAsia" w:eastAsiaTheme="minorEastAsia" w:cstheme="minorEastAsia"/>
          <w:kern w:val="0"/>
          <w:sz w:val="24"/>
          <w:szCs w:val="24"/>
          <w:highlight w:val="none"/>
          <w:lang w:bidi="en-US"/>
        </w:rPr>
        <w:t>名称：</w:t>
      </w:r>
      <w:r>
        <w:rPr>
          <w:rFonts w:hint="eastAsia" w:asciiTheme="minorEastAsia" w:hAnsiTheme="minorEastAsia" w:eastAsiaTheme="minorEastAsia" w:cstheme="minorEastAsia"/>
          <w:sz w:val="24"/>
          <w:szCs w:val="24"/>
          <w:highlight w:val="none"/>
          <w:u w:val="single"/>
          <w:lang w:val="en-US" w:eastAsia="zh-CN"/>
        </w:rPr>
        <w:t>济南成型厂2026年度进口应达加热炉膛年度外委维修项目</w:t>
      </w:r>
      <w:r>
        <w:rPr>
          <w:rFonts w:hint="eastAsia" w:asciiTheme="minorEastAsia" w:hAnsiTheme="minorEastAsia" w:eastAsiaTheme="minorEastAsia" w:cstheme="minorEastAsia"/>
          <w:kern w:val="0"/>
          <w:sz w:val="24"/>
          <w:szCs w:val="24"/>
          <w:highlight w:val="none"/>
          <w:u w:val="single"/>
          <w:lang w:val="en-US" w:eastAsia="zh-CN" w:bidi="en-US"/>
        </w:rPr>
        <w:t xml:space="preserve">  </w:t>
      </w:r>
    </w:p>
    <w:p w14:paraId="50F0AEDD">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left"/>
        <w:textAlignment w:val="auto"/>
        <w:rPr>
          <w:rFonts w:hint="eastAsia" w:asciiTheme="minorEastAsia" w:hAnsiTheme="minorEastAsia" w:eastAsiaTheme="minorEastAsia" w:cstheme="minorEastAsia"/>
          <w:kern w:val="0"/>
          <w:sz w:val="24"/>
          <w:szCs w:val="24"/>
          <w:highlight w:val="none"/>
        </w:rPr>
      </w:pPr>
      <w:r>
        <w:rPr>
          <w:rFonts w:hint="default" w:asciiTheme="minorEastAsia" w:hAnsiTheme="minorEastAsia" w:eastAsiaTheme="minorEastAsia" w:cstheme="minorEastAsia"/>
          <w:kern w:val="0"/>
          <w:sz w:val="24"/>
          <w:szCs w:val="24"/>
          <w:highlight w:val="none"/>
          <w:lang w:val="en-US" w:eastAsia="zh-CN" w:bidi="ar-SA"/>
        </w:rPr>
        <w:t>2．</w:t>
      </w:r>
      <w:r>
        <w:rPr>
          <w:rFonts w:hint="eastAsia" w:asciiTheme="minorEastAsia" w:hAnsiTheme="minorEastAsia" w:eastAsiaTheme="minorEastAsia" w:cstheme="minorEastAsia"/>
          <w:kern w:val="0"/>
          <w:sz w:val="24"/>
          <w:szCs w:val="24"/>
          <w:highlight w:val="none"/>
          <w:lang w:bidi="en-US"/>
        </w:rPr>
        <w:t>采购形式编号：</w:t>
      </w:r>
      <w:r>
        <w:rPr>
          <w:rFonts w:hint="eastAsia" w:asciiTheme="minorEastAsia" w:hAnsiTheme="minorEastAsia" w:eastAsiaTheme="minorEastAsia" w:cstheme="minorEastAsia"/>
          <w:kern w:val="0"/>
          <w:sz w:val="24"/>
          <w:szCs w:val="24"/>
          <w:highlight w:val="none"/>
          <w:u w:val="single"/>
          <w:lang w:val="en-US" w:eastAsia="zh-CN" w:bidi="en-US"/>
        </w:rPr>
        <w:t xml:space="preserve"> ZBGL2026090187 </w:t>
      </w:r>
      <w:r>
        <w:rPr>
          <w:rFonts w:hint="eastAsia" w:asciiTheme="minorEastAsia" w:hAnsiTheme="minorEastAsia" w:eastAsiaTheme="minorEastAsia" w:cstheme="minorEastAsia"/>
          <w:kern w:val="0"/>
          <w:sz w:val="24"/>
          <w:szCs w:val="24"/>
          <w:highlight w:val="none"/>
          <w:lang w:bidi="en-US"/>
        </w:rPr>
        <w:t>；</w:t>
      </w:r>
    </w:p>
    <w:p w14:paraId="53F2CDA6">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left"/>
        <w:textAlignment w:val="auto"/>
        <w:rPr>
          <w:rFonts w:hint="eastAsia" w:asciiTheme="minorEastAsia" w:hAnsiTheme="minorEastAsia" w:eastAsiaTheme="minorEastAsia" w:cstheme="minorEastAsia"/>
          <w:kern w:val="0"/>
          <w:sz w:val="24"/>
          <w:szCs w:val="24"/>
          <w:highlight w:val="none"/>
          <w:u w:val="single"/>
          <w:lang w:bidi="en-US"/>
        </w:rPr>
      </w:pPr>
      <w:r>
        <w:rPr>
          <w:rFonts w:hint="default" w:ascii="Times New Roman" w:hAnsi="Times New Roman" w:eastAsia="宋体" w:cs="Times New Roman"/>
          <w:color w:val="000000"/>
          <w:kern w:val="2"/>
          <w:sz w:val="21"/>
          <w:highlight w:val="none"/>
          <w:lang w:val="en-US" w:eastAsia="zh-CN" w:bidi="ar-SA"/>
        </w:rPr>
        <w:t>3．</w:t>
      </w:r>
      <w:r>
        <w:rPr>
          <w:rFonts w:hint="eastAsia" w:asciiTheme="minorEastAsia" w:hAnsiTheme="minorEastAsia" w:eastAsiaTheme="minorEastAsia" w:cstheme="minorEastAsia"/>
          <w:kern w:val="0"/>
          <w:sz w:val="24"/>
          <w:szCs w:val="24"/>
          <w:highlight w:val="none"/>
          <w:lang w:val="en-US" w:eastAsia="zh-CN" w:bidi="en-US"/>
        </w:rPr>
        <w:t>项目</w:t>
      </w:r>
      <w:r>
        <w:rPr>
          <w:rFonts w:hint="eastAsia" w:asciiTheme="minorEastAsia" w:hAnsiTheme="minorEastAsia" w:eastAsiaTheme="minorEastAsia" w:cstheme="minorEastAsia"/>
          <w:kern w:val="0"/>
          <w:sz w:val="24"/>
          <w:szCs w:val="24"/>
          <w:highlight w:val="none"/>
          <w:lang w:bidi="en-US"/>
        </w:rPr>
        <w:t>地点：</w:t>
      </w:r>
      <w:r>
        <w:rPr>
          <w:rFonts w:hint="eastAsia" w:asciiTheme="minorEastAsia" w:hAnsiTheme="minorEastAsia" w:eastAsiaTheme="minorEastAsia" w:cstheme="minorEastAsia"/>
          <w:kern w:val="0"/>
          <w:sz w:val="24"/>
          <w:szCs w:val="24"/>
          <w:highlight w:val="none"/>
          <w:u w:val="single"/>
          <w:lang w:val="en-US" w:eastAsia="zh-CN" w:bidi="en-US"/>
        </w:rPr>
        <w:t>中国重汽集团</w:t>
      </w:r>
      <w:r>
        <w:rPr>
          <w:rFonts w:hint="eastAsia" w:asciiTheme="minorEastAsia" w:hAnsiTheme="minorEastAsia" w:eastAsiaTheme="minorEastAsia" w:cstheme="minorEastAsia"/>
          <w:sz w:val="24"/>
          <w:szCs w:val="24"/>
          <w:highlight w:val="none"/>
          <w:u w:val="single"/>
          <w:lang w:val="en-US" w:eastAsia="zh-CN"/>
        </w:rPr>
        <w:t>动力有限公司济南成型厂</w:t>
      </w:r>
      <w:r>
        <w:rPr>
          <w:rFonts w:hint="eastAsia" w:asciiTheme="minorEastAsia" w:hAnsiTheme="minorEastAsia" w:eastAsiaTheme="minorEastAsia" w:cstheme="minorEastAsia"/>
          <w:kern w:val="0"/>
          <w:sz w:val="24"/>
          <w:szCs w:val="24"/>
          <w:highlight w:val="none"/>
          <w:u w:val="single"/>
          <w:lang w:bidi="en-US"/>
        </w:rPr>
        <w:t>，山东省济南市章丘区世纪大道6677号；</w:t>
      </w:r>
    </w:p>
    <w:p w14:paraId="50E4851D">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240" w:firstLineChars="100"/>
        <w:jc w:val="left"/>
        <w:textAlignment w:val="auto"/>
        <w:rPr>
          <w:rFonts w:hint="eastAsia" w:asciiTheme="minorEastAsia" w:hAnsiTheme="minorEastAsia" w:eastAsiaTheme="minorEastAsia" w:cstheme="minorEastAsia"/>
          <w:kern w:val="0"/>
          <w:sz w:val="24"/>
          <w:szCs w:val="24"/>
          <w:highlight w:val="none"/>
          <w:u w:val="none"/>
          <w:lang w:val="en-US" w:eastAsia="zh-CN" w:bidi="en-US"/>
        </w:rPr>
      </w:pPr>
      <w:r>
        <w:rPr>
          <w:rFonts w:hint="eastAsia" w:asciiTheme="minorEastAsia" w:hAnsiTheme="minorEastAsia" w:eastAsiaTheme="minorEastAsia" w:cstheme="minorEastAsia"/>
          <w:kern w:val="0"/>
          <w:sz w:val="24"/>
          <w:szCs w:val="24"/>
          <w:highlight w:val="none"/>
          <w:u w:val="none"/>
          <w:lang w:val="en-US" w:eastAsia="zh-CN" w:bidi="en-US"/>
        </w:rPr>
        <w:t>参与形式：</w:t>
      </w:r>
      <w:r>
        <w:rPr>
          <w:rFonts w:hint="eastAsia" w:asciiTheme="minorEastAsia" w:hAnsiTheme="minorEastAsia" w:eastAsiaTheme="minorEastAsia" w:cstheme="minorEastAsia"/>
          <w:kern w:val="0"/>
          <w:sz w:val="24"/>
          <w:szCs w:val="24"/>
          <w:highlight w:val="yellow"/>
          <w:u w:val="none"/>
          <w:lang w:val="en-US" w:eastAsia="zh-CN" w:bidi="en-US"/>
        </w:rPr>
        <w:t>线上开标</w:t>
      </w:r>
    </w:p>
    <w:p w14:paraId="342374B7">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240" w:firstLineChars="100"/>
        <w:jc w:val="left"/>
        <w:textAlignment w:val="auto"/>
        <w:rPr>
          <w:rFonts w:hint="default" w:asciiTheme="minorEastAsia" w:hAnsiTheme="minorEastAsia" w:eastAsiaTheme="minorEastAsia" w:cstheme="minorEastAsia"/>
          <w:kern w:val="0"/>
          <w:sz w:val="24"/>
          <w:szCs w:val="24"/>
          <w:highlight w:val="none"/>
          <w:u w:val="none"/>
          <w:lang w:val="en-US" w:eastAsia="zh-CN" w:bidi="en-US"/>
        </w:rPr>
      </w:pPr>
      <w:r>
        <w:rPr>
          <w:rFonts w:hint="eastAsia" w:asciiTheme="minorEastAsia" w:hAnsiTheme="minorEastAsia" w:eastAsiaTheme="minorEastAsia" w:cstheme="minorEastAsia"/>
          <w:kern w:val="0"/>
          <w:sz w:val="24"/>
          <w:szCs w:val="24"/>
          <w:highlight w:val="none"/>
          <w:u w:val="none"/>
          <w:lang w:val="en-US" w:eastAsia="zh-CN" w:bidi="en-US"/>
        </w:rPr>
        <w:t>开标地点：济南成型厂（具体会议室地点开标前一天通知各投标方）</w:t>
      </w:r>
    </w:p>
    <w:p w14:paraId="67C7413D">
      <w:pPr>
        <w:spacing w:line="360" w:lineRule="auto"/>
        <w:jc w:val="left"/>
        <w:rPr>
          <w:rFonts w:ascii="宋体" w:hAnsi="宋体" w:cs="宋体"/>
          <w:bCs/>
        </w:rPr>
      </w:pPr>
      <w:r>
        <w:rPr>
          <w:rFonts w:hint="default" w:ascii="宋体" w:hAnsi="宋体" w:eastAsia="宋体" w:cs="Times New Roman"/>
          <w:b w:val="0"/>
          <w:bCs w:val="0"/>
          <w:color w:val="000000"/>
          <w:kern w:val="2"/>
          <w:sz w:val="24"/>
          <w:szCs w:val="24"/>
          <w:lang w:val="en-US" w:eastAsia="zh-CN" w:bidi="zh-CN"/>
        </w:rPr>
        <w:t>4．</w:t>
      </w:r>
      <w:r>
        <w:rPr>
          <w:rFonts w:hint="eastAsia" w:asciiTheme="minorEastAsia" w:hAnsiTheme="minorEastAsia" w:eastAsiaTheme="minorEastAsia" w:cstheme="minorEastAsia"/>
          <w:kern w:val="0"/>
          <w:sz w:val="24"/>
          <w:szCs w:val="24"/>
          <w:highlight w:val="none"/>
          <w:lang w:val="en-US" w:eastAsia="zh-CN" w:bidi="en-US"/>
        </w:rPr>
        <w:t>本次招标为中国重汽济南成型厂2026年度进口应达加热炉膛年度外委维修项目，具体内容如下：</w:t>
      </w:r>
    </w:p>
    <w:tbl>
      <w:tblPr>
        <w:tblStyle w:val="49"/>
        <w:tblW w:w="46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4081"/>
        <w:gridCol w:w="880"/>
        <w:gridCol w:w="1877"/>
        <w:gridCol w:w="855"/>
      </w:tblGrid>
      <w:tr w14:paraId="286BF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408" w:type="pct"/>
            <w:vAlign w:val="center"/>
          </w:tcPr>
          <w:p w14:paraId="25F1DF8F">
            <w:pPr>
              <w:spacing w:line="320" w:lineRule="exact"/>
              <w:jc w:val="center"/>
              <w:rPr>
                <w:rFonts w:ascii="宋体"/>
              </w:rPr>
            </w:pPr>
            <w:r>
              <w:rPr>
                <w:rFonts w:hint="eastAsia" w:ascii="宋体"/>
              </w:rPr>
              <w:t>序号</w:t>
            </w:r>
          </w:p>
        </w:tc>
        <w:tc>
          <w:tcPr>
            <w:tcW w:w="2435" w:type="pct"/>
            <w:vAlign w:val="center"/>
          </w:tcPr>
          <w:p w14:paraId="59292179">
            <w:pPr>
              <w:spacing w:line="320" w:lineRule="exact"/>
              <w:jc w:val="center"/>
              <w:rPr>
                <w:rFonts w:ascii="宋体"/>
              </w:rPr>
            </w:pPr>
            <w:r>
              <w:rPr>
                <w:rFonts w:hint="eastAsia" w:ascii="宋体"/>
              </w:rPr>
              <w:t>名称</w:t>
            </w:r>
          </w:p>
        </w:tc>
        <w:tc>
          <w:tcPr>
            <w:tcW w:w="525" w:type="pct"/>
            <w:vAlign w:val="center"/>
          </w:tcPr>
          <w:p w14:paraId="6316A821">
            <w:pPr>
              <w:spacing w:line="320" w:lineRule="exact"/>
              <w:jc w:val="center"/>
              <w:rPr>
                <w:rFonts w:ascii="宋体"/>
              </w:rPr>
            </w:pPr>
            <w:r>
              <w:rPr>
                <w:rFonts w:hint="eastAsia" w:ascii="宋体"/>
              </w:rPr>
              <w:t>数量</w:t>
            </w:r>
          </w:p>
        </w:tc>
        <w:tc>
          <w:tcPr>
            <w:tcW w:w="1120" w:type="pct"/>
            <w:vAlign w:val="center"/>
          </w:tcPr>
          <w:p w14:paraId="20A8C88D">
            <w:pPr>
              <w:spacing w:line="320" w:lineRule="exact"/>
              <w:jc w:val="center"/>
              <w:rPr>
                <w:rFonts w:ascii="宋体"/>
              </w:rPr>
            </w:pPr>
            <w:r>
              <w:rPr>
                <w:rFonts w:hint="eastAsia" w:ascii="宋体"/>
              </w:rPr>
              <w:t>服务对象</w:t>
            </w:r>
          </w:p>
        </w:tc>
        <w:tc>
          <w:tcPr>
            <w:tcW w:w="510" w:type="pct"/>
            <w:vAlign w:val="center"/>
          </w:tcPr>
          <w:p w14:paraId="4A0549FF">
            <w:pPr>
              <w:spacing w:line="320" w:lineRule="exact"/>
              <w:jc w:val="center"/>
              <w:rPr>
                <w:rFonts w:ascii="宋体"/>
              </w:rPr>
            </w:pPr>
            <w:r>
              <w:rPr>
                <w:rFonts w:hint="eastAsia" w:ascii="宋体"/>
              </w:rPr>
              <w:t>备注</w:t>
            </w:r>
          </w:p>
        </w:tc>
      </w:tr>
      <w:tr w14:paraId="7B70E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408" w:type="pct"/>
            <w:vAlign w:val="center"/>
          </w:tcPr>
          <w:p w14:paraId="0D28F6C6">
            <w:pPr>
              <w:spacing w:line="320" w:lineRule="exact"/>
              <w:jc w:val="center"/>
              <w:rPr>
                <w:rFonts w:hint="eastAsia" w:ascii="宋体" w:eastAsia="宋体"/>
                <w:color w:val="auto"/>
                <w:lang w:val="en-US" w:eastAsia="zh-CN"/>
              </w:rPr>
            </w:pPr>
            <w:r>
              <w:rPr>
                <w:rFonts w:hint="eastAsia" w:ascii="宋体"/>
                <w:color w:val="auto"/>
                <w:lang w:val="en-US" w:eastAsia="zh-CN"/>
              </w:rPr>
              <w:t>1</w:t>
            </w:r>
          </w:p>
        </w:tc>
        <w:tc>
          <w:tcPr>
            <w:tcW w:w="2435" w:type="pct"/>
            <w:vAlign w:val="center"/>
          </w:tcPr>
          <w:p w14:paraId="04952979">
            <w:pPr>
              <w:spacing w:line="320" w:lineRule="exact"/>
              <w:jc w:val="center"/>
              <w:rPr>
                <w:rFonts w:hint="eastAsia" w:eastAsia="宋体"/>
                <w:color w:val="auto"/>
                <w:lang w:eastAsia="zh-CN"/>
              </w:rPr>
            </w:pPr>
            <w:r>
              <w:rPr>
                <w:rFonts w:hint="eastAsia"/>
                <w:lang w:val="en-US" w:eastAsia="zh-CN"/>
              </w:rPr>
              <w:t>济南成型厂2026年度进口应达加热炉膛年度外委维修项目</w:t>
            </w:r>
          </w:p>
        </w:tc>
        <w:tc>
          <w:tcPr>
            <w:tcW w:w="525" w:type="pct"/>
            <w:vAlign w:val="center"/>
          </w:tcPr>
          <w:p w14:paraId="555FDB98">
            <w:pPr>
              <w:spacing w:line="320" w:lineRule="exact"/>
              <w:jc w:val="center"/>
              <w:rPr>
                <w:rFonts w:hint="default" w:ascii="宋体" w:eastAsia="宋体"/>
                <w:color w:val="auto"/>
                <w:lang w:val="en-US" w:eastAsia="zh-CN"/>
              </w:rPr>
            </w:pPr>
            <w:r>
              <w:rPr>
                <w:rFonts w:hint="eastAsia" w:ascii="宋体"/>
                <w:color w:val="auto"/>
                <w:lang w:val="en-US" w:eastAsia="zh-CN"/>
              </w:rPr>
              <w:t>1宗</w:t>
            </w:r>
          </w:p>
        </w:tc>
        <w:tc>
          <w:tcPr>
            <w:tcW w:w="1120" w:type="pct"/>
            <w:vAlign w:val="center"/>
          </w:tcPr>
          <w:p w14:paraId="02E810A5">
            <w:pPr>
              <w:spacing w:line="320" w:lineRule="exact"/>
              <w:jc w:val="center"/>
              <w:rPr>
                <w:rFonts w:hint="default" w:eastAsia="宋体" w:cs="宋体"/>
                <w:color w:val="auto"/>
                <w:kern w:val="1"/>
                <w:lang w:val="en-US" w:eastAsia="zh-CN"/>
              </w:rPr>
            </w:pPr>
            <w:r>
              <w:rPr>
                <w:rFonts w:hint="eastAsia" w:cs="宋体"/>
                <w:color w:val="auto"/>
                <w:kern w:val="1"/>
                <w:lang w:val="en-US" w:eastAsia="zh-CN"/>
              </w:rPr>
              <w:t>锻造一部、锻造二部</w:t>
            </w:r>
          </w:p>
        </w:tc>
        <w:tc>
          <w:tcPr>
            <w:tcW w:w="510" w:type="pct"/>
            <w:vAlign w:val="center"/>
          </w:tcPr>
          <w:p w14:paraId="71B96216">
            <w:pPr>
              <w:spacing w:line="320" w:lineRule="exact"/>
              <w:jc w:val="center"/>
              <w:rPr>
                <w:rFonts w:hint="default" w:ascii="宋体" w:hAnsi="宋体" w:eastAsia="宋体"/>
                <w:color w:val="auto"/>
                <w:lang w:val="en-US" w:eastAsia="zh-CN"/>
              </w:rPr>
            </w:pPr>
          </w:p>
        </w:tc>
      </w:tr>
    </w:tbl>
    <w:p w14:paraId="2B06B0E5">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left"/>
        <w:textAlignment w:val="auto"/>
        <w:rPr>
          <w:rFonts w:hint="eastAsia" w:ascii="宋体" w:hAnsi="宋体"/>
          <w:b w:val="0"/>
          <w:bCs w:val="0"/>
          <w:color w:val="000000"/>
          <w:sz w:val="24"/>
          <w:szCs w:val="24"/>
          <w:lang w:val="en-US" w:eastAsia="zh-CN" w:bidi="zh-CN"/>
        </w:rPr>
      </w:pPr>
    </w:p>
    <w:p w14:paraId="1AEA1A1F">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left"/>
        <w:textAlignment w:val="auto"/>
        <w:rPr>
          <w:rFonts w:hint="eastAsia" w:asciiTheme="minorEastAsia" w:hAnsiTheme="minorEastAsia" w:eastAsiaTheme="minorEastAsia" w:cstheme="minorEastAsia"/>
          <w:kern w:val="0"/>
          <w:sz w:val="24"/>
          <w:szCs w:val="24"/>
          <w:u w:val="single"/>
          <w:lang w:bidi="en-US"/>
        </w:rPr>
      </w:pPr>
      <w:r>
        <w:rPr>
          <w:rFonts w:hint="default" w:asciiTheme="minorEastAsia" w:hAnsiTheme="minorEastAsia" w:eastAsiaTheme="minorEastAsia" w:cstheme="minorEastAsia"/>
          <w:kern w:val="0"/>
          <w:sz w:val="24"/>
          <w:szCs w:val="24"/>
          <w:lang w:val="en-US" w:eastAsia="zh-CN" w:bidi="en-US"/>
        </w:rPr>
        <w:t>5．</w:t>
      </w:r>
      <w:r>
        <w:rPr>
          <w:rFonts w:hint="eastAsia" w:asciiTheme="minorEastAsia" w:hAnsiTheme="minorEastAsia" w:eastAsiaTheme="minorEastAsia" w:cstheme="minorEastAsia"/>
          <w:kern w:val="0"/>
          <w:sz w:val="24"/>
          <w:szCs w:val="24"/>
          <w:lang w:bidi="en-US"/>
        </w:rPr>
        <w:t>资金来源：</w:t>
      </w:r>
      <w:r>
        <w:rPr>
          <w:rFonts w:hint="eastAsia" w:asciiTheme="minorEastAsia" w:hAnsiTheme="minorEastAsia" w:eastAsiaTheme="minorEastAsia" w:cstheme="minorEastAsia"/>
          <w:kern w:val="0"/>
          <w:sz w:val="24"/>
          <w:szCs w:val="24"/>
          <w:u w:val="single"/>
          <w:lang w:bidi="en-US"/>
        </w:rPr>
        <w:t>企业自筹，已落实</w:t>
      </w:r>
      <w:r>
        <w:rPr>
          <w:rFonts w:hint="eastAsia" w:asciiTheme="minorEastAsia" w:hAnsiTheme="minorEastAsia" w:eastAsiaTheme="minorEastAsia" w:cstheme="minorEastAsia"/>
          <w:kern w:val="0"/>
          <w:sz w:val="24"/>
          <w:szCs w:val="24"/>
          <w:lang w:bidi="en-US"/>
        </w:rPr>
        <w:t>；</w:t>
      </w:r>
    </w:p>
    <w:p w14:paraId="3FB5C2CC">
      <w:pPr>
        <w:widowControl/>
        <w:snapToGrid w:val="0"/>
        <w:spacing w:line="360" w:lineRule="auto"/>
        <w:jc w:val="left"/>
        <w:outlineLvl w:val="1"/>
        <w:rPr>
          <w:rFonts w:hint="default" w:asciiTheme="minorEastAsia" w:hAnsiTheme="minorEastAsia" w:eastAsiaTheme="minorEastAsia" w:cstheme="minorEastAsia"/>
          <w:b/>
          <w:bCs/>
          <w:kern w:val="0"/>
          <w:sz w:val="24"/>
          <w:szCs w:val="24"/>
          <w:highlight w:val="none"/>
          <w:lang w:val="en-US" w:eastAsia="zh-CN" w:bidi="en-US"/>
        </w:rPr>
      </w:pPr>
      <w:r>
        <w:rPr>
          <w:rFonts w:hint="eastAsia" w:asciiTheme="minorEastAsia" w:hAnsiTheme="minorEastAsia" w:eastAsiaTheme="minorEastAsia" w:cstheme="minorEastAsia"/>
          <w:b/>
          <w:bCs/>
          <w:kern w:val="0"/>
          <w:sz w:val="24"/>
          <w:szCs w:val="24"/>
          <w:highlight w:val="none"/>
          <w:lang w:bidi="en-US"/>
        </w:rPr>
        <w:t>三、投标人资格要求</w:t>
      </w:r>
    </w:p>
    <w:p w14:paraId="163189A0">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cs="宋体"/>
          <w:kern w:val="2"/>
          <w:sz w:val="24"/>
          <w:szCs w:val="24"/>
          <w:lang w:val="en-US" w:eastAsia="zh-CN" w:bidi="ar"/>
        </w:rPr>
      </w:pPr>
      <w:r>
        <w:rPr>
          <w:rFonts w:hint="eastAsia" w:ascii="宋体" w:hAnsi="宋体" w:cs="宋体"/>
          <w:kern w:val="2"/>
          <w:sz w:val="24"/>
          <w:szCs w:val="24"/>
          <w:lang w:val="en-US" w:eastAsia="zh-CN" w:bidi="ar"/>
        </w:rPr>
        <w:t>1、投标人须遵守《中华人民共和国招标投标法》、《中华人民共和国民法典》及其它有关的法律和法规；为中华人民共和国境内注册的独立法人机构，具有独立承担民事责任能力；</w:t>
      </w:r>
    </w:p>
    <w:p w14:paraId="6E357DFA">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cs="宋体"/>
          <w:kern w:val="2"/>
          <w:sz w:val="24"/>
          <w:szCs w:val="24"/>
          <w:lang w:val="en-US" w:eastAsia="zh-CN" w:bidi="ar"/>
        </w:rPr>
      </w:pPr>
      <w:r>
        <w:rPr>
          <w:rFonts w:hint="eastAsia" w:ascii="宋体" w:hAnsi="宋体" w:cs="宋体"/>
          <w:kern w:val="2"/>
          <w:sz w:val="24"/>
          <w:szCs w:val="24"/>
          <w:lang w:val="en-US" w:eastAsia="zh-CN" w:bidi="ar"/>
        </w:rPr>
        <w:t>*2、</w:t>
      </w:r>
      <w:r>
        <w:rPr>
          <w:rFonts w:hint="eastAsia" w:ascii="宋体" w:hAnsi="宋体" w:cs="宋体"/>
          <w:kern w:val="2"/>
          <w:sz w:val="24"/>
          <w:szCs w:val="24"/>
          <w:highlight w:val="yellow"/>
          <w:lang w:val="en-US" w:eastAsia="zh-CN" w:bidi="ar"/>
        </w:rPr>
        <w:t>投标人注册资金不得低于项目标的额或不低于 300 万元</w:t>
      </w:r>
      <w:r>
        <w:rPr>
          <w:rFonts w:hint="eastAsia" w:ascii="宋体" w:hAnsi="宋体" w:cs="宋体"/>
          <w:kern w:val="2"/>
          <w:sz w:val="24"/>
          <w:szCs w:val="24"/>
          <w:lang w:val="en-US" w:eastAsia="zh-CN" w:bidi="ar"/>
        </w:rPr>
        <w:t>；</w:t>
      </w:r>
      <w:r>
        <w:rPr>
          <w:rFonts w:hint="eastAsia" w:ascii="宋体" w:hAnsi="宋体" w:cs="宋体"/>
          <w:kern w:val="2"/>
          <w:sz w:val="24"/>
          <w:szCs w:val="24"/>
          <w:highlight w:val="yellow"/>
          <w:lang w:val="en-US" w:eastAsia="zh-CN" w:bidi="ar"/>
        </w:rPr>
        <w:t>经营具有设计生产维修用于电子、感应、电弧、电阻、燃料、精炼、真空熔炼和热处理的加热及熔炼设备；电感应炉维修、机电安装，电力工程，变压器、开关柜产品维修、销售、安装及技术咨询等相关资质。</w:t>
      </w:r>
      <w:r>
        <w:rPr>
          <w:rFonts w:hint="eastAsia" w:ascii="宋体" w:hAnsi="宋体" w:cs="宋体"/>
          <w:kern w:val="2"/>
          <w:sz w:val="24"/>
          <w:szCs w:val="24"/>
          <w:lang w:val="en-US" w:eastAsia="zh-CN" w:bidi="ar"/>
        </w:rPr>
        <w:t>同时可提供相关证明，以重汽集团内部或济南本地业绩为优，且近三年内无因服务不当而造成重大事故。</w:t>
      </w:r>
    </w:p>
    <w:p w14:paraId="796DEC10">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cs="宋体"/>
          <w:kern w:val="2"/>
          <w:sz w:val="24"/>
          <w:szCs w:val="24"/>
          <w:lang w:val="en-US" w:eastAsia="zh-CN" w:bidi="ar"/>
        </w:rPr>
      </w:pPr>
      <w:r>
        <w:rPr>
          <w:rFonts w:hint="eastAsia" w:ascii="宋体" w:hAnsi="宋体" w:cs="宋体"/>
          <w:kern w:val="2"/>
          <w:sz w:val="24"/>
          <w:szCs w:val="24"/>
          <w:lang w:val="en-US" w:eastAsia="zh-CN" w:bidi="ar"/>
        </w:rPr>
        <w:t>*3、投标人须提供具有统一社会信用代码的新版营业执照副本原件及（或）复印件（加盖公章）；</w:t>
      </w:r>
    </w:p>
    <w:p w14:paraId="74C46720">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4、</w:t>
      </w:r>
      <w:r>
        <w:rPr>
          <w:rFonts w:hint="eastAsia" w:ascii="宋体" w:hAnsi="宋体" w:eastAsia="宋体" w:cs="宋体"/>
          <w:kern w:val="2"/>
          <w:sz w:val="24"/>
          <w:szCs w:val="24"/>
          <w:lang w:val="en-US" w:eastAsia="zh-CN" w:bidi="ar"/>
        </w:rPr>
        <w:t>具有良好的商业信誉，在国家企业信用信息公示系统中无与本项目有关的行政处罚、列入经营异常名录和列入严重违法失信企业名单（黑名单）信息但上述信息已被移除的可参与投标；</w:t>
      </w:r>
    </w:p>
    <w:p w14:paraId="232B9150">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5、</w:t>
      </w:r>
      <w:r>
        <w:rPr>
          <w:rFonts w:hint="eastAsia" w:ascii="宋体" w:hAnsi="宋体" w:eastAsia="宋体" w:cs="宋体"/>
          <w:kern w:val="2"/>
          <w:sz w:val="24"/>
          <w:szCs w:val="24"/>
          <w:lang w:val="en-US" w:eastAsia="zh-CN" w:bidi="ar"/>
        </w:rPr>
        <w:t>投标人近三年内在经营活动中无与本项目有关的违法及重大违规情况；</w:t>
      </w:r>
    </w:p>
    <w:p w14:paraId="7B93B92B">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6、</w:t>
      </w:r>
      <w:r>
        <w:rPr>
          <w:rFonts w:hint="eastAsia" w:ascii="宋体" w:hAnsi="宋体" w:eastAsia="宋体" w:cs="宋体"/>
          <w:kern w:val="2"/>
          <w:sz w:val="24"/>
          <w:szCs w:val="24"/>
          <w:lang w:val="en-US" w:eastAsia="zh-CN" w:bidi="ar"/>
        </w:rPr>
        <w:t>具有健全的财务会计制度，财务状况和市场行为良好。没有处于被有权机关吊销营业执照、吊销资质、停业整顿、取消投标资格以及财产被接管、冻结或进入破产程序等；</w:t>
      </w:r>
    </w:p>
    <w:p w14:paraId="77585F19">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7、</w:t>
      </w:r>
      <w:r>
        <w:rPr>
          <w:rFonts w:hint="eastAsia" w:ascii="宋体" w:hAnsi="宋体" w:eastAsia="宋体" w:cs="宋体"/>
          <w:kern w:val="2"/>
          <w:sz w:val="24"/>
          <w:szCs w:val="24"/>
          <w:lang w:val="en-US" w:eastAsia="zh-CN" w:bidi="ar"/>
        </w:rPr>
        <w:t>投标人没有被列入招标人处《黑名单》（《黑名单》指投标人与招标人在以往或正在进行的合作中，存在招标人认为的违反合同约定或违反法律法规等的失信行为）的；</w:t>
      </w:r>
    </w:p>
    <w:p w14:paraId="045B20B7">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8、</w:t>
      </w:r>
      <w:r>
        <w:rPr>
          <w:rFonts w:hint="eastAsia" w:ascii="宋体" w:hAnsi="宋体" w:eastAsia="宋体" w:cs="宋体"/>
          <w:kern w:val="2"/>
          <w:sz w:val="24"/>
          <w:szCs w:val="24"/>
          <w:lang w:val="en-US" w:eastAsia="zh-CN" w:bidi="ar"/>
        </w:rPr>
        <w:t>投标人需要提供①经会计师事务所审计且出具无保留意见的近三年（202</w:t>
      </w:r>
      <w:r>
        <w:rPr>
          <w:rFonts w:hint="eastAsia" w:ascii="宋体" w:hAnsi="宋体" w:cs="宋体"/>
          <w:kern w:val="2"/>
          <w:sz w:val="24"/>
          <w:szCs w:val="24"/>
          <w:lang w:val="en-US" w:eastAsia="zh-CN" w:bidi="ar"/>
        </w:rPr>
        <w:t>3</w:t>
      </w:r>
      <w:r>
        <w:rPr>
          <w:rFonts w:hint="eastAsia" w:ascii="宋体" w:hAnsi="宋体" w:eastAsia="宋体" w:cs="宋体"/>
          <w:kern w:val="2"/>
          <w:sz w:val="24"/>
          <w:szCs w:val="24"/>
          <w:lang w:val="en-US" w:eastAsia="zh-CN" w:bidi="ar"/>
        </w:rPr>
        <w:t>年至今）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 应提供中文版本的审计报告或财务报表；②企业最近半年完税证明、信用证明材料（中国人民银行信用代码证+征信报告）；③年度纳税信用评价信息（可从电子税务局查询截图，需加盖公章）；④企业对外担保说明（写明贵单位对外有无对外担保和质押业务，需加盖公章）。</w:t>
      </w:r>
    </w:p>
    <w:p w14:paraId="56657939">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9、</w:t>
      </w:r>
      <w:r>
        <w:rPr>
          <w:rFonts w:hint="eastAsia" w:ascii="宋体" w:hAnsi="宋体" w:eastAsia="宋体" w:cs="宋体"/>
          <w:kern w:val="2"/>
          <w:sz w:val="24"/>
          <w:szCs w:val="24"/>
          <w:lang w:val="en-US" w:eastAsia="zh-CN" w:bidi="ar"/>
        </w:rPr>
        <w:t>投标人须提供法人授权委托书原件（在投标文件副本中可用复印件）及投标单位的法定代表人或授权代表的身份证原件及复印件（加盖公章）；</w:t>
      </w:r>
    </w:p>
    <w:p w14:paraId="75DEEFEE">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10、</w:t>
      </w:r>
      <w:r>
        <w:rPr>
          <w:rFonts w:hint="eastAsia" w:ascii="宋体" w:hAnsi="宋体" w:eastAsia="宋体" w:cs="宋体"/>
          <w:kern w:val="2"/>
          <w:sz w:val="24"/>
          <w:szCs w:val="24"/>
          <w:lang w:val="en-US" w:eastAsia="zh-CN" w:bidi="ar"/>
        </w:rPr>
        <w:t>投标人须具有履行合同所必须的设备、财务、技术、服务等方面的资质和能力；</w:t>
      </w:r>
    </w:p>
    <w:p w14:paraId="6BEF725E">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11、</w:t>
      </w:r>
      <w:r>
        <w:rPr>
          <w:rFonts w:hint="eastAsia" w:ascii="宋体" w:hAnsi="宋体" w:eastAsia="宋体" w:cs="宋体"/>
          <w:kern w:val="2"/>
          <w:sz w:val="24"/>
          <w:szCs w:val="24"/>
          <w:lang w:val="en-US" w:eastAsia="zh-CN" w:bidi="ar"/>
        </w:rPr>
        <w:t>投标人须具有完全履行招标文件的所有要求的能力；</w:t>
      </w:r>
    </w:p>
    <w:p w14:paraId="175D0769">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12、</w:t>
      </w:r>
      <w:r>
        <w:rPr>
          <w:rFonts w:hint="eastAsia" w:ascii="宋体" w:hAnsi="宋体" w:eastAsia="宋体" w:cs="宋体"/>
          <w:kern w:val="2"/>
          <w:sz w:val="24"/>
          <w:szCs w:val="24"/>
          <w:lang w:val="en-US" w:eastAsia="zh-CN" w:bidi="ar"/>
        </w:rPr>
        <w:t>投标人须负责提供合理的便于运输的包装物，并承担相关费用；</w:t>
      </w:r>
    </w:p>
    <w:p w14:paraId="6693F576">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13、</w:t>
      </w:r>
      <w:r>
        <w:rPr>
          <w:rFonts w:hint="eastAsia" w:ascii="宋体" w:hAnsi="宋体" w:eastAsia="宋体" w:cs="宋体"/>
          <w:kern w:val="2"/>
          <w:sz w:val="24"/>
          <w:szCs w:val="24"/>
          <w:lang w:val="en-US" w:eastAsia="zh-CN" w:bidi="ar"/>
        </w:rPr>
        <w:t>投标人须认可招标人的工作指令，包括节、假日能正常开展工作的要求；</w:t>
      </w:r>
    </w:p>
    <w:p w14:paraId="687D9313">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14、</w:t>
      </w:r>
      <w:r>
        <w:rPr>
          <w:rFonts w:hint="eastAsia" w:ascii="宋体" w:hAnsi="宋体" w:eastAsia="宋体" w:cs="宋体"/>
          <w:kern w:val="2"/>
          <w:sz w:val="24"/>
          <w:szCs w:val="24"/>
          <w:lang w:val="en-US" w:eastAsia="zh-CN" w:bidi="ar"/>
        </w:rPr>
        <w:t>投标人须认可招标人终止合同后3个月退还履约保证金的招标要求；</w:t>
      </w:r>
    </w:p>
    <w:p w14:paraId="50F9E1B3">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w:t>
      </w:r>
      <w:r>
        <w:rPr>
          <w:rFonts w:hint="eastAsia" w:ascii="宋体" w:hAnsi="宋体" w:cs="宋体"/>
          <w:kern w:val="2"/>
          <w:sz w:val="24"/>
          <w:szCs w:val="24"/>
          <w:lang w:val="en-US" w:eastAsia="zh-CN" w:bidi="ar"/>
        </w:rPr>
        <w:t>15、</w:t>
      </w:r>
      <w:r>
        <w:rPr>
          <w:rFonts w:hint="eastAsia" w:ascii="宋体" w:hAnsi="宋体" w:eastAsia="宋体" w:cs="宋体"/>
          <w:kern w:val="2"/>
          <w:sz w:val="24"/>
          <w:szCs w:val="24"/>
          <w:lang w:val="en-US" w:eastAsia="zh-CN" w:bidi="ar"/>
        </w:rPr>
        <w:t>投标人必须是最终投标、签订合同的单位，不得以任何理由将已中标项目以任何形式转包给其他单位；</w:t>
      </w:r>
    </w:p>
    <w:p w14:paraId="488A8786">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w:t>
      </w:r>
      <w:r>
        <w:rPr>
          <w:rFonts w:hint="eastAsia" w:ascii="宋体" w:hAnsi="宋体" w:cs="宋体"/>
          <w:kern w:val="2"/>
          <w:sz w:val="24"/>
          <w:szCs w:val="24"/>
          <w:lang w:val="en-US" w:eastAsia="zh-CN" w:bidi="ar"/>
        </w:rPr>
        <w:t>16、</w:t>
      </w:r>
      <w:r>
        <w:rPr>
          <w:rFonts w:hint="eastAsia" w:ascii="宋体" w:hAnsi="宋体" w:eastAsia="宋体" w:cs="宋体"/>
          <w:kern w:val="2"/>
          <w:sz w:val="24"/>
          <w:szCs w:val="24"/>
          <w:lang w:val="en-US" w:eastAsia="zh-CN" w:bidi="ar"/>
        </w:rPr>
        <w:t>本次招标项目不接受联合体投标；</w:t>
      </w:r>
    </w:p>
    <w:p w14:paraId="4E676B1F">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w:t>
      </w:r>
      <w:r>
        <w:rPr>
          <w:rFonts w:hint="eastAsia" w:ascii="宋体" w:hAnsi="宋体" w:cs="宋体"/>
          <w:kern w:val="2"/>
          <w:sz w:val="24"/>
          <w:szCs w:val="24"/>
          <w:lang w:val="en-US" w:eastAsia="zh-CN" w:bidi="ar"/>
        </w:rPr>
        <w:t>17、</w:t>
      </w:r>
      <w:r>
        <w:rPr>
          <w:rFonts w:hint="eastAsia" w:ascii="宋体" w:hAnsi="宋体" w:eastAsia="宋体" w:cs="宋体"/>
          <w:kern w:val="2"/>
          <w:sz w:val="24"/>
          <w:szCs w:val="24"/>
          <w:lang w:val="en-US" w:eastAsia="zh-CN" w:bidi="ar"/>
        </w:rPr>
        <w:t>本次招标项目不接受</w:t>
      </w:r>
      <w:r>
        <w:rPr>
          <w:rFonts w:hint="eastAsia" w:ascii="宋体" w:hAnsi="宋体" w:cs="宋体"/>
          <w:kern w:val="2"/>
          <w:sz w:val="24"/>
          <w:szCs w:val="24"/>
          <w:lang w:val="en-US" w:eastAsia="zh-CN" w:bidi="ar"/>
        </w:rPr>
        <w:t>代理商</w:t>
      </w:r>
      <w:r>
        <w:rPr>
          <w:rFonts w:hint="eastAsia" w:ascii="宋体" w:hAnsi="宋体" w:eastAsia="宋体" w:cs="宋体"/>
          <w:kern w:val="2"/>
          <w:sz w:val="24"/>
          <w:szCs w:val="24"/>
          <w:lang w:val="en-US" w:eastAsia="zh-CN" w:bidi="ar"/>
        </w:rPr>
        <w:t>投标；</w:t>
      </w:r>
    </w:p>
    <w:p w14:paraId="72C2C9B6">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w:t>
      </w:r>
      <w:r>
        <w:rPr>
          <w:rFonts w:hint="eastAsia" w:ascii="宋体" w:hAnsi="宋体" w:cs="宋体"/>
          <w:kern w:val="2"/>
          <w:sz w:val="24"/>
          <w:szCs w:val="24"/>
          <w:lang w:val="en-US" w:eastAsia="zh-CN" w:bidi="ar"/>
        </w:rPr>
        <w:t>18、</w:t>
      </w:r>
      <w:r>
        <w:rPr>
          <w:rFonts w:hint="eastAsia" w:ascii="宋体" w:hAnsi="宋体" w:eastAsia="宋体" w:cs="宋体"/>
          <w:kern w:val="2"/>
          <w:sz w:val="24"/>
          <w:szCs w:val="24"/>
          <w:lang w:val="en-US" w:eastAsia="zh-CN" w:bidi="ar"/>
        </w:rPr>
        <w:t>投标人在向招标人出示《投标保证金缴纳凭证》后方可进行投标；</w:t>
      </w:r>
    </w:p>
    <w:p w14:paraId="3D870335">
      <w:pPr>
        <w:keepNext w:val="0"/>
        <w:keepLines w:val="0"/>
        <w:pageBreakBefore w:val="0"/>
        <w:widowControl/>
        <w:numPr>
          <w:ilvl w:val="0"/>
          <w:numId w:val="4"/>
        </w:numPr>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供方的直接或间接股东、法定代表人、董事、监事、高管非重汽员工及其亲属。</w:t>
      </w:r>
    </w:p>
    <w:p w14:paraId="0D98F8D4">
      <w:pPr>
        <w:keepNext w:val="0"/>
        <w:keepLines w:val="0"/>
        <w:pageBreakBefore w:val="0"/>
        <w:widowControl/>
        <w:numPr>
          <w:ilvl w:val="0"/>
          <w:numId w:val="4"/>
        </w:numPr>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不同投标人若存在标书雷同、上传投标文件IP地址相同的情况，按照串标处理，扣除投标保证金并拉黑。</w:t>
      </w:r>
    </w:p>
    <w:p w14:paraId="146AD8C9">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注：上述带“*”项为必备的资格文件，在开标前核验（由投标人单独提供），缺一项按废标处理，其余文件开标后核验。逾期的投标文件招标人不予受理。</w:t>
      </w:r>
    </w:p>
    <w:p w14:paraId="2A19F322">
      <w:pPr>
        <w:widowControl/>
        <w:snapToGrid w:val="0"/>
        <w:spacing w:line="360" w:lineRule="auto"/>
        <w:jc w:val="left"/>
        <w:outlineLvl w:val="1"/>
        <w:rPr>
          <w:rFonts w:hint="eastAsia" w:asciiTheme="minorEastAsia" w:hAnsiTheme="minorEastAsia" w:eastAsiaTheme="minorEastAsia" w:cstheme="minorEastAsia"/>
          <w:b/>
          <w:bCs/>
          <w:kern w:val="0"/>
          <w:sz w:val="24"/>
          <w:szCs w:val="24"/>
          <w:lang w:bidi="en-US"/>
        </w:rPr>
      </w:pPr>
      <w:r>
        <w:rPr>
          <w:rFonts w:hint="eastAsia" w:asciiTheme="minorEastAsia" w:hAnsiTheme="minorEastAsia" w:eastAsiaTheme="minorEastAsia" w:cstheme="minorEastAsia"/>
          <w:b/>
          <w:bCs/>
          <w:kern w:val="0"/>
          <w:sz w:val="24"/>
          <w:szCs w:val="24"/>
          <w:lang w:bidi="en-US"/>
        </w:rPr>
        <w:t>四、报名、投标</w:t>
      </w:r>
    </w:p>
    <w:p w14:paraId="51509281">
      <w:pPr>
        <w:keepNext/>
        <w:keepLines/>
        <w:spacing w:line="360" w:lineRule="auto"/>
        <w:ind w:firstLine="482" w:firstLineChars="200"/>
        <w:outlineLvl w:val="2"/>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1.报名</w:t>
      </w:r>
    </w:p>
    <w:p w14:paraId="6B63D78A">
      <w:pPr>
        <w:keepNext/>
        <w:keepLines/>
        <w:spacing w:line="360" w:lineRule="auto"/>
        <w:ind w:firstLine="482" w:firstLineChars="200"/>
        <w:outlineLvl w:val="3"/>
        <w:rPr>
          <w:rFonts w:hint="default" w:ascii="宋体" w:hAnsi="宋体" w:cs="宋体"/>
          <w:b/>
          <w:bCs/>
          <w:color w:val="000000"/>
          <w:sz w:val="24"/>
          <w:szCs w:val="24"/>
          <w:highlight w:val="yellow"/>
          <w:lang w:val="en-US" w:eastAsia="zh-CN"/>
        </w:rPr>
      </w:pPr>
      <w:r>
        <w:rPr>
          <w:rFonts w:hint="eastAsia" w:ascii="宋体" w:hAnsi="宋体" w:cs="宋体"/>
          <w:b/>
          <w:bCs/>
          <w:color w:val="000000"/>
          <w:sz w:val="24"/>
          <w:szCs w:val="24"/>
          <w:highlight w:val="yellow"/>
          <w:lang w:val="en-US" w:eastAsia="zh-CN"/>
        </w:rPr>
        <w:t>报名截止时间：2026年9月28日17:00</w:t>
      </w:r>
    </w:p>
    <w:p w14:paraId="048E9A12">
      <w:pPr>
        <w:keepNext/>
        <w:keepLines/>
        <w:spacing w:line="360" w:lineRule="auto"/>
        <w:ind w:firstLine="482" w:firstLineChars="200"/>
        <w:outlineLvl w:val="3"/>
        <w:rPr>
          <w:rFonts w:hint="eastAsia" w:ascii="宋体" w:hAnsi="Courier New" w:eastAsia="宋体" w:cs="Times New Roman"/>
          <w:kern w:val="2"/>
          <w:sz w:val="24"/>
          <w:szCs w:val="24"/>
        </w:rPr>
      </w:pPr>
      <w:r>
        <w:rPr>
          <w:rFonts w:hint="eastAsia" w:ascii="宋体" w:hAnsi="宋体" w:eastAsia="宋体" w:cs="宋体"/>
          <w:b/>
          <w:bCs/>
          <w:kern w:val="2"/>
          <w:sz w:val="24"/>
          <w:szCs w:val="24"/>
          <w:lang w:val="en-US" w:eastAsia="zh-CN" w:bidi="ar"/>
        </w:rPr>
        <w:t>报名方式</w:t>
      </w:r>
      <w:r>
        <w:rPr>
          <w:rFonts w:hint="eastAsia" w:ascii="宋体" w:hAnsi="宋体" w:eastAsia="宋体" w:cs="宋体"/>
          <w:kern w:val="2"/>
          <w:sz w:val="24"/>
          <w:szCs w:val="24"/>
          <w:lang w:val="en-US" w:eastAsia="zh-CN" w:bidi="ar"/>
        </w:rPr>
        <w:t>：</w:t>
      </w:r>
    </w:p>
    <w:p w14:paraId="7053B8EF">
      <w:pPr>
        <w:pStyle w:val="44"/>
        <w:keepNext w:val="0"/>
        <w:keepLines w:val="0"/>
        <w:widowControl w:val="0"/>
        <w:suppressLineNumbers w:val="0"/>
        <w:autoSpaceDE w:val="0"/>
        <w:autoSpaceDN/>
        <w:spacing w:before="0" w:beforeAutospacing="0" w:after="0" w:afterAutospacing="0" w:line="360" w:lineRule="auto"/>
        <w:ind w:left="0" w:leftChars="0" w:right="0" w:firstLine="480" w:firstLineChars="200"/>
        <w:jc w:val="both"/>
        <w:rPr>
          <w:rFonts w:hint="eastAsia" w:ascii="宋体" w:hAnsi="宋体" w:eastAsia="宋体" w:cs="宋体"/>
          <w:b/>
          <w:bCs/>
          <w:kern w:val="2"/>
          <w:sz w:val="24"/>
          <w:szCs w:val="24"/>
          <w:lang w:val="en-US" w:eastAsia="zh-CN" w:bidi="ar"/>
        </w:rPr>
      </w:pPr>
      <w:r>
        <w:rPr>
          <w:rFonts w:hint="eastAsia" w:ascii="宋体" w:hAnsi="宋体" w:eastAsia="宋体" w:cs="宋体"/>
          <w:kern w:val="2"/>
          <w:sz w:val="24"/>
          <w:szCs w:val="24"/>
          <w:lang w:val="en-US" w:eastAsia="zh-CN" w:bidi="ar"/>
        </w:rPr>
        <w:t>拟投标人根据招标人在中国重汽官网公开媒体上发布的招标信息，</w:t>
      </w:r>
      <w:r>
        <w:rPr>
          <w:rFonts w:hint="eastAsia" w:ascii="宋体" w:hAnsi="宋体" w:eastAsia="宋体" w:cs="宋体"/>
          <w:color w:val="000000"/>
          <w:kern w:val="2"/>
          <w:sz w:val="24"/>
          <w:szCs w:val="24"/>
          <w:lang w:val="en-US" w:eastAsia="zh-CN" w:bidi="ar"/>
        </w:rPr>
        <w:t>在“中国重汽e采通”平台报名，具体流程如下：</w:t>
      </w:r>
      <w:r>
        <w:rPr>
          <w:rFonts w:hint="eastAsia" w:ascii="宋体" w:hAnsi="宋体" w:eastAsia="宋体" w:cs="宋体"/>
          <w:kern w:val="2"/>
          <w:sz w:val="24"/>
          <w:szCs w:val="24"/>
          <w:lang w:val="en-US" w:eastAsia="zh-CN" w:bidi="ar"/>
        </w:rPr>
        <w:br w:type="textWrapping"/>
      </w:r>
      <w:r>
        <w:rPr>
          <w:rFonts w:hint="eastAsia" w:ascii="宋体" w:hAnsi="宋体" w:eastAsia="宋体" w:cs="宋体"/>
          <w:b/>
          <w:bCs/>
          <w:kern w:val="2"/>
          <w:sz w:val="24"/>
          <w:szCs w:val="24"/>
          <w:lang w:val="en-US" w:eastAsia="zh-CN" w:bidi="ar"/>
        </w:rPr>
        <w:t>①系统注册与信息维护</w:t>
      </w:r>
    </w:p>
    <w:p w14:paraId="0B8AE87B">
      <w:pPr>
        <w:pStyle w:val="44"/>
        <w:keepNext w:val="0"/>
        <w:keepLines w:val="0"/>
        <w:widowControl w:val="0"/>
        <w:suppressLineNumbers w:val="0"/>
        <w:autoSpaceDE w:val="0"/>
        <w:autoSpaceDN/>
        <w:spacing w:before="0" w:beforeAutospacing="0" w:after="0" w:afterAutospacing="0" w:line="360" w:lineRule="auto"/>
        <w:ind w:left="0" w:leftChars="0" w:right="0" w:firstLine="482" w:firstLineChars="200"/>
        <w:jc w:val="both"/>
        <w:rPr>
          <w:rFonts w:hint="eastAsia" w:ascii="宋体" w:hAnsi="宋体" w:eastAsia="宋体" w:cs="宋体"/>
          <w:kern w:val="2"/>
          <w:sz w:val="24"/>
          <w:szCs w:val="24"/>
          <w:highlight w:val="none"/>
          <w:lang w:val="en-US" w:eastAsia="zh-CN" w:bidi="ar"/>
        </w:rPr>
      </w:pPr>
      <w:r>
        <w:rPr>
          <w:rFonts w:hint="eastAsia" w:ascii="宋体" w:hAnsi="宋体" w:eastAsia="宋体" w:cs="宋体"/>
          <w:b/>
          <w:bCs/>
          <w:kern w:val="2"/>
          <w:sz w:val="24"/>
          <w:szCs w:val="24"/>
          <w:lang w:val="en-US" w:eastAsia="zh-CN" w:bidi="ar"/>
        </w:rPr>
        <w:t>首次注册供应商</w:t>
      </w:r>
      <w:r>
        <w:rPr>
          <w:rFonts w:hint="eastAsia" w:ascii="宋体" w:hAnsi="宋体" w:eastAsia="宋体" w:cs="宋体"/>
          <w:kern w:val="2"/>
          <w:sz w:val="24"/>
          <w:szCs w:val="24"/>
          <w:lang w:val="en-US" w:eastAsia="zh-CN" w:bidi="ar"/>
        </w:rPr>
        <w:t>：请根据《SRM非生产供应商注册手册》（</w:t>
      </w:r>
      <w:r>
        <w:rPr>
          <w:rFonts w:hint="eastAsia" w:ascii="宋体" w:hAnsi="宋体" w:eastAsia="宋体" w:cs="宋体"/>
          <w:kern w:val="2"/>
          <w:sz w:val="24"/>
          <w:szCs w:val="24"/>
          <w:highlight w:val="none"/>
          <w:lang w:val="en-US" w:eastAsia="zh-CN" w:bidi="ar"/>
        </w:rPr>
        <w:t>附件一）完成平台账号注册。</w:t>
      </w:r>
    </w:p>
    <w:p w14:paraId="7090C312">
      <w:pPr>
        <w:pStyle w:val="44"/>
        <w:keepNext w:val="0"/>
        <w:keepLines w:val="0"/>
        <w:widowControl w:val="0"/>
        <w:suppressLineNumbers w:val="0"/>
        <w:autoSpaceDE w:val="0"/>
        <w:autoSpaceDN/>
        <w:spacing w:before="0" w:beforeAutospacing="0" w:after="0" w:afterAutospacing="0" w:line="360" w:lineRule="auto"/>
        <w:ind w:left="0" w:leftChars="0" w:right="0" w:firstLine="482" w:firstLineChars="200"/>
        <w:jc w:val="both"/>
        <w:rPr>
          <w:rFonts w:hint="eastAsia" w:ascii="宋体" w:hAnsi="宋体" w:eastAsia="宋体" w:cs="宋体"/>
          <w:kern w:val="2"/>
          <w:sz w:val="24"/>
          <w:szCs w:val="24"/>
        </w:rPr>
      </w:pPr>
      <w:r>
        <w:rPr>
          <w:rFonts w:hint="eastAsia" w:ascii="宋体" w:hAnsi="宋体" w:eastAsia="宋体" w:cs="宋体"/>
          <w:b/>
          <w:bCs/>
          <w:kern w:val="2"/>
          <w:sz w:val="24"/>
          <w:szCs w:val="24"/>
          <w:highlight w:val="none"/>
          <w:lang w:val="en-US" w:eastAsia="zh-CN" w:bidi="ar"/>
        </w:rPr>
        <w:t>已注册供应商</w:t>
      </w:r>
      <w:r>
        <w:rPr>
          <w:rFonts w:hint="eastAsia" w:ascii="宋体" w:hAnsi="宋体" w:eastAsia="宋体" w:cs="宋体"/>
          <w:kern w:val="2"/>
          <w:sz w:val="24"/>
          <w:szCs w:val="24"/>
          <w:highlight w:val="none"/>
          <w:lang w:val="en-US" w:eastAsia="zh-CN" w:bidi="ar"/>
        </w:rPr>
        <w:t>：请登录系统核对系统中2022-2024年度财务数据。如尚未填写或信息不全，请参照《SRM非生产供应商注册手册》（附件二</w:t>
      </w:r>
      <w:r>
        <w:rPr>
          <w:rFonts w:hint="eastAsia" w:ascii="宋体" w:hAnsi="宋体" w:eastAsia="宋体" w:cs="宋体"/>
          <w:kern w:val="2"/>
          <w:sz w:val="24"/>
          <w:szCs w:val="24"/>
          <w:lang w:val="en-US" w:eastAsia="zh-CN" w:bidi="ar"/>
        </w:rPr>
        <w:t>）及时进行补充与更新，确保信息真实、完整。</w:t>
      </w:r>
      <w:r>
        <w:rPr>
          <w:rFonts w:hint="eastAsia" w:ascii="宋体" w:hAnsi="宋体" w:eastAsia="宋体" w:cs="宋体"/>
          <w:kern w:val="2"/>
          <w:sz w:val="24"/>
          <w:szCs w:val="24"/>
          <w:lang w:val="en-US" w:eastAsia="zh-CN" w:bidi="ar"/>
        </w:rPr>
        <w:br w:type="textWrapping"/>
      </w:r>
      <w:r>
        <w:rPr>
          <w:rFonts w:hint="eastAsia" w:ascii="宋体" w:hAnsi="宋体" w:eastAsia="宋体" w:cs="宋体"/>
          <w:b/>
          <w:bCs/>
          <w:kern w:val="2"/>
          <w:sz w:val="24"/>
          <w:szCs w:val="24"/>
          <w:lang w:val="en-US" w:eastAsia="zh-CN" w:bidi="ar"/>
        </w:rPr>
        <w:t>②应标流程</w:t>
      </w:r>
    </w:p>
    <w:p w14:paraId="23D4D124">
      <w:pPr>
        <w:pStyle w:val="44"/>
        <w:keepNext w:val="0"/>
        <w:keepLines w:val="0"/>
        <w:widowControl w:val="0"/>
        <w:suppressLineNumbers w:val="0"/>
        <w:autoSpaceDE w:val="0"/>
        <w:autoSpaceDN/>
        <w:spacing w:before="0" w:beforeAutospacing="0" w:after="0" w:afterAutospacing="0" w:line="360" w:lineRule="auto"/>
        <w:ind w:left="0" w:leftChars="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注册及财务数据维护完成后，参照《SRM系统供应商用户手册》（附件三）登录平台，进入“供应商应标”模块，选择对应项目点击“应标”，并按照本公告第四部分“应标文件编制”要求准备资料并上传。资质审查通过后，视为报名成功（是否为代理商请如实选择）。</w:t>
      </w:r>
    </w:p>
    <w:p w14:paraId="618918DC">
      <w:pPr>
        <w:pStyle w:val="44"/>
        <w:keepNext w:val="0"/>
        <w:keepLines w:val="0"/>
        <w:widowControl w:val="0"/>
        <w:suppressLineNumbers w:val="0"/>
        <w:autoSpaceDE w:val="0"/>
        <w:autoSpaceDN/>
        <w:spacing w:before="0" w:beforeAutospacing="0" w:after="0" w:afterAutospacing="0" w:line="360" w:lineRule="auto"/>
        <w:ind w:left="0" w:leftChars="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若为</w:t>
      </w:r>
      <w:r>
        <w:rPr>
          <w:rFonts w:hint="eastAsia" w:ascii="宋体" w:hAnsi="宋体" w:eastAsia="宋体" w:cs="宋体"/>
          <w:b/>
          <w:bCs/>
          <w:kern w:val="2"/>
          <w:sz w:val="24"/>
          <w:szCs w:val="24"/>
          <w:lang w:val="en-US" w:eastAsia="zh-CN" w:bidi="ar"/>
        </w:rPr>
        <w:t>代理商应标</w:t>
      </w:r>
      <w:r>
        <w:rPr>
          <w:rFonts w:hint="eastAsia" w:ascii="宋体" w:hAnsi="宋体" w:eastAsia="宋体" w:cs="宋体"/>
          <w:kern w:val="2"/>
          <w:sz w:val="24"/>
          <w:szCs w:val="24"/>
          <w:lang w:val="en-US" w:eastAsia="zh-CN" w:bidi="ar"/>
        </w:rPr>
        <w:t>，请在应标后</w:t>
      </w:r>
      <w:r>
        <w:rPr>
          <w:rFonts w:hint="eastAsia" w:ascii="宋体" w:hAnsi="宋体" w:eastAsia="宋体" w:cs="宋体"/>
          <w:b/>
          <w:bCs/>
          <w:kern w:val="2"/>
          <w:sz w:val="24"/>
          <w:szCs w:val="24"/>
          <w:lang w:val="en-US" w:eastAsia="zh-CN" w:bidi="ar"/>
        </w:rPr>
        <w:t>主动联系商务联系人</w:t>
      </w:r>
      <w:r>
        <w:rPr>
          <w:rFonts w:hint="eastAsia" w:ascii="宋体" w:hAnsi="宋体" w:eastAsia="宋体" w:cs="宋体"/>
          <w:kern w:val="2"/>
          <w:sz w:val="24"/>
          <w:szCs w:val="24"/>
          <w:lang w:val="en-US" w:eastAsia="zh-CN" w:bidi="ar"/>
        </w:rPr>
        <w:t>。</w:t>
      </w:r>
    </w:p>
    <w:p w14:paraId="1C6CD54C">
      <w:pPr>
        <w:pStyle w:val="44"/>
        <w:keepNext w:val="0"/>
        <w:keepLines w:val="0"/>
        <w:widowControl w:val="0"/>
        <w:suppressLineNumbers w:val="0"/>
        <w:autoSpaceDE w:val="0"/>
        <w:autoSpaceDN/>
        <w:spacing w:before="0" w:beforeAutospacing="0" w:after="0" w:afterAutospacing="0" w:line="360" w:lineRule="auto"/>
        <w:ind w:left="0" w:leftChars="0" w:right="0" w:firstLine="480" w:firstLineChars="200"/>
        <w:jc w:val="both"/>
        <w:rPr>
          <w:rFonts w:hint="eastAsia" w:ascii="宋体" w:hAnsi="Courier New" w:eastAsia="宋体" w:cs="宋体"/>
          <w:kern w:val="2"/>
          <w:sz w:val="21"/>
          <w:szCs w:val="21"/>
        </w:rPr>
      </w:pPr>
      <w:r>
        <w:rPr>
          <w:rFonts w:hint="eastAsia" w:ascii="宋体" w:hAnsi="宋体" w:eastAsia="宋体" w:cs="宋体"/>
          <w:kern w:val="2"/>
          <w:sz w:val="24"/>
          <w:szCs w:val="24"/>
          <w:lang w:val="en-US" w:eastAsia="zh-CN" w:bidi="ar"/>
        </w:rPr>
        <w:t>如资质审查未通过，请按审核意见修改后重新上传。请注意：应标截止时间后将无法再次上传或修改应标文件。</w:t>
      </w:r>
    </w:p>
    <w:p w14:paraId="05229B6B">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宋体" w:hAnsi="宋体" w:eastAsia="宋体" w:cs="宋体"/>
          <w:color w:val="000000"/>
          <w:sz w:val="24"/>
          <w:szCs w:val="24"/>
          <w:highlight w:val="none"/>
          <w:lang w:val="en-US" w:eastAsia="zh-CN"/>
        </w:rPr>
      </w:pPr>
      <w:r>
        <w:rPr>
          <w:rFonts w:hint="eastAsia" w:asciiTheme="minorEastAsia" w:hAnsiTheme="minorEastAsia" w:eastAsiaTheme="minorEastAsia" w:cstheme="minorEastAsia"/>
          <w:bCs/>
          <w:sz w:val="24"/>
          <w:szCs w:val="24"/>
        </w:rPr>
        <w:t>投标人应按资质文件格式要求组成</w:t>
      </w:r>
      <w:r>
        <w:rPr>
          <w:rFonts w:hint="eastAsia" w:asciiTheme="minorEastAsia" w:hAnsiTheme="minorEastAsia" w:eastAsiaTheme="minorEastAsia" w:cstheme="minorEastAsia"/>
          <w:bCs/>
          <w:sz w:val="24"/>
          <w:szCs w:val="24"/>
          <w:lang w:val="en-US" w:eastAsia="zh-CN"/>
        </w:rPr>
        <w:t>应标</w:t>
      </w:r>
      <w:r>
        <w:rPr>
          <w:rFonts w:hint="eastAsia" w:asciiTheme="minorEastAsia" w:hAnsiTheme="minorEastAsia" w:eastAsiaTheme="minorEastAsia" w:cstheme="minorEastAsia"/>
          <w:bCs/>
          <w:sz w:val="24"/>
          <w:szCs w:val="24"/>
        </w:rPr>
        <w:t>资质文件（对以下所要求的投标文件如有任何一项未实质性响应，将可能导致其投标文件被拒绝）</w:t>
      </w:r>
      <w:r>
        <w:rPr>
          <w:rFonts w:hint="eastAsia" w:asciiTheme="minorEastAsia" w:hAnsiTheme="minorEastAsia" w:eastAsiaTheme="minorEastAsia" w:cstheme="minorEastAsia"/>
          <w:b/>
          <w:bCs w:val="0"/>
          <w:sz w:val="24"/>
          <w:szCs w:val="24"/>
          <w:lang w:val="en-US" w:eastAsia="zh-CN"/>
        </w:rPr>
        <w:t>要求每页都需加盖公章</w:t>
      </w:r>
      <w:r>
        <w:rPr>
          <w:rFonts w:hint="eastAsia" w:ascii="宋体" w:hAnsi="宋体" w:cs="宋体"/>
          <w:color w:val="000000"/>
          <w:sz w:val="24"/>
          <w:szCs w:val="24"/>
          <w:highlight w:val="none"/>
          <w:lang w:val="en-US" w:eastAsia="zh-CN"/>
        </w:rPr>
        <w:t>：</w:t>
      </w:r>
    </w:p>
    <w:p w14:paraId="01F77271">
      <w:pPr>
        <w:pStyle w:val="2"/>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kern w:val="2"/>
          <w:sz w:val="24"/>
          <w:szCs w:val="24"/>
          <w:highlight w:val="none"/>
          <w:lang w:val="en-US" w:eastAsia="zh-CN" w:bidi="ar-SA"/>
        </w:rPr>
      </w:pPr>
      <w:r>
        <w:rPr>
          <w:rFonts w:hint="eastAsia" w:asciiTheme="minorEastAsia" w:hAnsiTheme="minorEastAsia" w:eastAsiaTheme="minorEastAsia" w:cstheme="minorEastAsia"/>
          <w:bCs/>
          <w:kern w:val="2"/>
          <w:sz w:val="24"/>
          <w:szCs w:val="24"/>
          <w:highlight w:val="none"/>
          <w:lang w:val="en-US" w:eastAsia="zh-CN" w:bidi="ar-SA"/>
        </w:rPr>
        <w:t>（1）企业资质：法定代表人身份证明；法人授权委托书及身份证复印件；营业执照副本复印件；投标人应具有相应生产证明，若为代理商需具备厂家授权；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招标文件中要求的其他资格证明文件；</w:t>
      </w:r>
    </w:p>
    <w:p w14:paraId="16E39400">
      <w:pPr>
        <w:pStyle w:val="2"/>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kern w:val="2"/>
          <w:sz w:val="24"/>
          <w:szCs w:val="24"/>
          <w:highlight w:val="none"/>
          <w:lang w:val="en-US" w:eastAsia="zh-CN" w:bidi="ar-SA"/>
        </w:rPr>
      </w:pPr>
      <w:r>
        <w:rPr>
          <w:rFonts w:hint="eastAsia" w:asciiTheme="minorEastAsia" w:hAnsiTheme="minorEastAsia" w:eastAsiaTheme="minorEastAsia" w:cstheme="minorEastAsia"/>
          <w:bCs/>
          <w:kern w:val="2"/>
          <w:sz w:val="24"/>
          <w:szCs w:val="24"/>
          <w:highlight w:val="none"/>
          <w:lang w:val="en-US" w:eastAsia="zh-CN" w:bidi="ar-SA"/>
        </w:rPr>
        <w:t>（2）企业简介：PDF版企业简介；</w:t>
      </w:r>
    </w:p>
    <w:p w14:paraId="6CFA9D48">
      <w:pPr>
        <w:pStyle w:val="2"/>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kern w:val="2"/>
          <w:sz w:val="24"/>
          <w:szCs w:val="24"/>
          <w:highlight w:val="none"/>
          <w:lang w:val="en-US" w:eastAsia="zh-CN" w:bidi="ar-SA"/>
        </w:rPr>
      </w:pPr>
      <w:r>
        <w:rPr>
          <w:rFonts w:hint="eastAsia" w:asciiTheme="minorEastAsia" w:hAnsiTheme="minorEastAsia" w:eastAsiaTheme="minorEastAsia" w:cstheme="minorEastAsia"/>
          <w:bCs/>
          <w:kern w:val="2"/>
          <w:sz w:val="24"/>
          <w:szCs w:val="24"/>
          <w:highlight w:val="none"/>
          <w:lang w:val="en-US" w:eastAsia="zh-CN" w:bidi="ar-SA"/>
        </w:rPr>
        <w:t>（3）企业业绩：证明投标人满足投标资料表中列出的业绩要求的文件：近三年类似项目业绩及合同复印件（加盖公章，须有客户联系方式及联系人以供招标人核实确认）；</w:t>
      </w:r>
    </w:p>
    <w:p w14:paraId="59577AD2">
      <w:pPr>
        <w:pStyle w:val="2"/>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kern w:val="2"/>
          <w:sz w:val="24"/>
          <w:szCs w:val="24"/>
          <w:highlight w:val="none"/>
          <w:lang w:val="en-US" w:eastAsia="zh-CN" w:bidi="ar-SA"/>
        </w:rPr>
      </w:pPr>
      <w:r>
        <w:rPr>
          <w:rFonts w:hint="eastAsia" w:asciiTheme="minorEastAsia" w:hAnsiTheme="minorEastAsia" w:eastAsiaTheme="minorEastAsia" w:cstheme="minorEastAsia"/>
          <w:bCs/>
          <w:kern w:val="2"/>
          <w:sz w:val="24"/>
          <w:szCs w:val="24"/>
          <w:highlight w:val="none"/>
          <w:lang w:val="en-US" w:eastAsia="zh-CN" w:bidi="ar-SA"/>
        </w:rPr>
        <w:t>（4）其他：投标报名表等。</w:t>
      </w:r>
    </w:p>
    <w:p w14:paraId="10E42FDC">
      <w:pPr>
        <w:pStyle w:val="2"/>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lang w:val="en-US" w:eastAsia="zh-CN"/>
        </w:rPr>
      </w:pPr>
      <w:r>
        <w:rPr>
          <w:rFonts w:hint="eastAsia" w:asciiTheme="minorEastAsia" w:hAnsiTheme="minorEastAsia" w:eastAsiaTheme="minorEastAsia" w:cstheme="minorEastAsia"/>
          <w:bCs/>
          <w:kern w:val="2"/>
          <w:sz w:val="24"/>
          <w:szCs w:val="24"/>
          <w:highlight w:val="none"/>
          <w:lang w:val="en-US" w:eastAsia="zh-CN" w:bidi="ar-SA"/>
        </w:rPr>
        <w:t>备注：提供上述资料均须加盖单位公章，以PDF的形式在规定时间内上传至重汽e采通内。</w:t>
      </w:r>
    </w:p>
    <w:p w14:paraId="5B06CD58">
      <w:pPr>
        <w:keepNext w:val="0"/>
        <w:keepLines w:val="0"/>
        <w:pageBreakBefore w:val="0"/>
        <w:widowControl w:val="0"/>
        <w:kinsoku/>
        <w:wordWrap/>
        <w:overflowPunct/>
        <w:topLinePunct w:val="0"/>
        <w:autoSpaceDE/>
        <w:autoSpaceDN/>
        <w:bidi w:val="0"/>
        <w:spacing w:line="360" w:lineRule="auto"/>
        <w:ind w:firstLine="482" w:firstLineChars="200"/>
        <w:textAlignment w:val="auto"/>
        <w:rPr>
          <w:rFonts w:hint="eastAsia" w:asciiTheme="minorEastAsia" w:hAnsiTheme="minorEastAsia" w:eastAsiaTheme="minorEastAsia" w:cstheme="minorEastAsia"/>
          <w:bCs/>
          <w:kern w:val="2"/>
          <w:sz w:val="24"/>
          <w:szCs w:val="24"/>
          <w:lang w:val="en-US" w:eastAsia="zh-CN" w:bidi="ar-SA"/>
        </w:rPr>
      </w:pPr>
      <w:r>
        <w:rPr>
          <w:rFonts w:hint="eastAsia" w:asciiTheme="minorEastAsia" w:hAnsiTheme="minorEastAsia" w:eastAsiaTheme="minorEastAsia" w:cstheme="minorEastAsia"/>
          <w:b/>
          <w:bCs w:val="0"/>
          <w:kern w:val="2"/>
          <w:sz w:val="24"/>
          <w:szCs w:val="24"/>
          <w:lang w:val="en-US" w:eastAsia="zh-CN" w:bidi="ar-SA"/>
        </w:rPr>
        <w:t>以上内容合定扫描到资质文件当中。投标人提供的以上材料必须真实有效，任何一项的虚假将导致其应标文件被拒绝</w:t>
      </w:r>
      <w:r>
        <w:rPr>
          <w:rFonts w:hint="eastAsia" w:asciiTheme="minorEastAsia" w:hAnsiTheme="minorEastAsia" w:eastAsiaTheme="minorEastAsia" w:cstheme="minorEastAsia"/>
          <w:bCs/>
          <w:kern w:val="2"/>
          <w:sz w:val="24"/>
          <w:szCs w:val="24"/>
          <w:lang w:val="en-US" w:eastAsia="zh-CN" w:bidi="ar-SA"/>
        </w:rPr>
        <w:t>。</w:t>
      </w:r>
    </w:p>
    <w:p w14:paraId="391D971A">
      <w:pPr>
        <w:pStyle w:val="151"/>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2" w:firstLineChars="200"/>
        <w:jc w:val="left"/>
        <w:textAlignment w:val="auto"/>
        <w:outlineLvl w:val="2"/>
        <w:rPr>
          <w:rFonts w:hint="eastAsia" w:ascii="宋体" w:hAnsi="宋体" w:eastAsia="宋体" w:cs="宋体"/>
          <w:b/>
          <w:bCs/>
          <w:color w:val="000000"/>
          <w:kern w:val="2"/>
          <w:sz w:val="24"/>
          <w:szCs w:val="24"/>
          <w:highlight w:val="none"/>
          <w:lang w:val="en-US" w:eastAsia="zh-CN" w:bidi="ar-SA"/>
        </w:rPr>
      </w:pPr>
      <w:r>
        <w:rPr>
          <w:rFonts w:hint="eastAsia" w:ascii="宋体" w:hAnsi="宋体" w:cs="宋体"/>
          <w:b/>
          <w:bCs/>
          <w:color w:val="000000"/>
          <w:kern w:val="2"/>
          <w:sz w:val="24"/>
          <w:szCs w:val="24"/>
          <w:highlight w:val="none"/>
          <w:lang w:val="en-US" w:eastAsia="zh-CN" w:bidi="ar-SA"/>
        </w:rPr>
        <w:t>2.</w:t>
      </w:r>
      <w:r>
        <w:rPr>
          <w:rFonts w:hint="eastAsia" w:ascii="宋体" w:hAnsi="宋体" w:eastAsia="宋体" w:cs="宋体"/>
          <w:b/>
          <w:bCs/>
          <w:color w:val="000000"/>
          <w:kern w:val="2"/>
          <w:sz w:val="24"/>
          <w:szCs w:val="24"/>
          <w:highlight w:val="none"/>
          <w:lang w:val="en-US" w:eastAsia="zh-CN" w:bidi="ar-SA"/>
        </w:rPr>
        <w:t>投标</w:t>
      </w:r>
    </w:p>
    <w:p w14:paraId="06063258">
      <w:pPr>
        <w:pStyle w:val="151"/>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jc w:val="left"/>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rPr>
        <w:t>投标人在重汽e采通网站上应标审批通过后需继续完成供应商投标，</w:t>
      </w:r>
      <w:r>
        <w:rPr>
          <w:rFonts w:hint="eastAsia" w:asciiTheme="minorEastAsia" w:hAnsiTheme="minorEastAsia" w:eastAsiaTheme="minorEastAsia" w:cstheme="minorEastAsia"/>
          <w:b/>
          <w:bCs/>
          <w:sz w:val="24"/>
          <w:szCs w:val="24"/>
        </w:rPr>
        <w:t>供应商需在投标截止时间前上传投标文件（电子版）至e采通网站投标</w:t>
      </w:r>
      <w:r>
        <w:rPr>
          <w:rFonts w:hint="eastAsia" w:asciiTheme="minorEastAsia" w:hAnsiTheme="minorEastAsia" w:eastAsiaTheme="minorEastAsia" w:cstheme="minorEastAsia"/>
          <w:bCs/>
          <w:sz w:val="24"/>
          <w:szCs w:val="24"/>
        </w:rPr>
        <w:t>，超过投标截止时间将视为参与失败。</w:t>
      </w:r>
      <w:r>
        <w:rPr>
          <w:rFonts w:hint="eastAsia" w:asciiTheme="minorEastAsia" w:hAnsiTheme="minorEastAsia" w:eastAsiaTheme="minorEastAsia" w:cstheme="minorEastAsia"/>
          <w:bCs/>
          <w:sz w:val="24"/>
          <w:szCs w:val="24"/>
          <w:lang w:val="en-US" w:eastAsia="zh-CN"/>
        </w:rPr>
        <w:t xml:space="preserve"> </w:t>
      </w:r>
    </w:p>
    <w:p w14:paraId="2DE510A0">
      <w:pPr>
        <w:pStyle w:val="151"/>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jc w:val="left"/>
        <w:textAlignment w:val="auto"/>
        <w:outlineLvl w:val="3"/>
        <w:rPr>
          <w:rFonts w:hint="default" w:asciiTheme="minorEastAsia" w:hAnsiTheme="minorEastAsia" w:eastAsiaTheme="minorEastAsia" w:cstheme="minorEastAsia"/>
          <w:bCs/>
          <w:sz w:val="24"/>
          <w:szCs w:val="24"/>
          <w:highlight w:val="yellow"/>
          <w:lang w:val="en-US"/>
        </w:rPr>
      </w:pPr>
      <w:r>
        <w:rPr>
          <w:rFonts w:hint="eastAsia" w:asciiTheme="minorEastAsia" w:hAnsiTheme="minorEastAsia" w:eastAsiaTheme="minorEastAsia" w:cstheme="minorEastAsia"/>
          <w:bCs/>
          <w:sz w:val="24"/>
          <w:szCs w:val="24"/>
          <w:highlight w:val="yellow"/>
        </w:rPr>
        <w:t>投标截止时间</w:t>
      </w:r>
      <w:r>
        <w:rPr>
          <w:rFonts w:hint="eastAsia" w:asciiTheme="minorEastAsia" w:hAnsiTheme="minorEastAsia" w:eastAsiaTheme="minorEastAsia" w:cstheme="minorEastAsia"/>
          <w:bCs/>
          <w:sz w:val="24"/>
          <w:szCs w:val="24"/>
          <w:highlight w:val="yellow"/>
          <w:lang w:eastAsia="zh-CN"/>
        </w:rPr>
        <w:t>：</w:t>
      </w:r>
      <w:r>
        <w:rPr>
          <w:rFonts w:hint="eastAsia" w:asciiTheme="minorEastAsia" w:hAnsiTheme="minorEastAsia" w:eastAsiaTheme="minorEastAsia" w:cstheme="minorEastAsia"/>
          <w:bCs/>
          <w:sz w:val="24"/>
          <w:szCs w:val="24"/>
          <w:highlight w:val="yellow"/>
          <w:lang w:val="en-US" w:eastAsia="zh-CN"/>
        </w:rPr>
        <w:t>2026年9月29日9:00</w:t>
      </w:r>
    </w:p>
    <w:p w14:paraId="023E2FA8">
      <w:pPr>
        <w:tabs>
          <w:tab w:val="left" w:pos="1050"/>
          <w:tab w:val="left" w:pos="1470"/>
        </w:tabs>
        <w:autoSpaceDE w:val="0"/>
        <w:autoSpaceDN w:val="0"/>
        <w:adjustRightInd w:val="0"/>
        <w:snapToGrid w:val="0"/>
        <w:spacing w:line="360" w:lineRule="auto"/>
        <w:jc w:val="left"/>
        <w:outlineLvl w:val="1"/>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五、开标</w:t>
      </w:r>
    </w:p>
    <w:p w14:paraId="446F0DEC">
      <w:pPr>
        <w:pStyle w:val="151"/>
        <w:numPr>
          <w:ilvl w:val="0"/>
          <w:numId w:val="0"/>
        </w:numPr>
        <w:adjustRightInd w:val="0"/>
        <w:snapToGrid w:val="0"/>
        <w:spacing w:line="360" w:lineRule="auto"/>
        <w:ind w:leftChars="0"/>
        <w:rPr>
          <w:rFonts w:hint="default" w:asciiTheme="minorEastAsia" w:hAnsiTheme="minorEastAsia" w:eastAsiaTheme="minorEastAsia" w:cstheme="minorEastAsia"/>
          <w:bCs/>
          <w:sz w:val="24"/>
          <w:szCs w:val="24"/>
          <w:highlight w:val="yellow"/>
          <w:lang w:val="en-US"/>
        </w:rPr>
      </w:pPr>
      <w:r>
        <w:rPr>
          <w:rFonts w:hint="eastAsia" w:asciiTheme="minorEastAsia" w:hAnsiTheme="minorEastAsia" w:eastAsiaTheme="minorEastAsia" w:cstheme="minorEastAsia"/>
          <w:bCs/>
          <w:sz w:val="24"/>
          <w:szCs w:val="24"/>
          <w:lang w:val="en-US" w:eastAsia="zh-CN"/>
        </w:rPr>
        <w:t>1.</w:t>
      </w:r>
      <w:r>
        <w:rPr>
          <w:rFonts w:hint="eastAsia" w:asciiTheme="minorEastAsia" w:hAnsiTheme="minorEastAsia" w:eastAsiaTheme="minorEastAsia" w:cstheme="minorEastAsia"/>
          <w:bCs/>
          <w:sz w:val="24"/>
          <w:szCs w:val="24"/>
          <w:highlight w:val="yellow"/>
        </w:rPr>
        <w:t>开标时间：</w:t>
      </w:r>
      <w:r>
        <w:rPr>
          <w:rFonts w:hint="eastAsia" w:asciiTheme="minorEastAsia" w:hAnsiTheme="minorEastAsia" w:eastAsiaTheme="minorEastAsia" w:cstheme="minorEastAsia"/>
          <w:bCs/>
          <w:sz w:val="24"/>
          <w:szCs w:val="24"/>
          <w:highlight w:val="yellow"/>
          <w:lang w:val="en-US" w:eastAsia="zh-CN"/>
        </w:rPr>
        <w:t>2026年9月29日13:30（若有变动，另行通知）</w:t>
      </w:r>
    </w:p>
    <w:p w14:paraId="0CE8FDC8">
      <w:pPr>
        <w:pStyle w:val="151"/>
        <w:numPr>
          <w:ilvl w:val="0"/>
          <w:numId w:val="0"/>
        </w:numPr>
        <w:adjustRightInd w:val="0"/>
        <w:snapToGrid w:val="0"/>
        <w:spacing w:line="360" w:lineRule="auto"/>
        <w:ind w:leftChars="0"/>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2.开标地点：</w:t>
      </w:r>
      <w:r>
        <w:rPr>
          <w:rFonts w:hint="eastAsia" w:asciiTheme="minorEastAsia" w:hAnsiTheme="minorEastAsia" w:eastAsiaTheme="minorEastAsia" w:cstheme="minorEastAsia"/>
          <w:b w:val="0"/>
          <w:bCs/>
          <w:sz w:val="24"/>
          <w:szCs w:val="24"/>
          <w:highlight w:val="yellow"/>
          <w:lang w:val="en-US" w:eastAsia="zh-CN"/>
        </w:rPr>
        <w:t>线上会议</w:t>
      </w:r>
    </w:p>
    <w:p w14:paraId="091739C8">
      <w:pPr>
        <w:pStyle w:val="151"/>
        <w:numPr>
          <w:ilvl w:val="0"/>
          <w:numId w:val="0"/>
        </w:numPr>
        <w:adjustRightInd w:val="0"/>
        <w:snapToGrid w:val="0"/>
        <w:spacing w:line="360" w:lineRule="auto"/>
        <w:ind w:leftChars="0"/>
        <w:rPr>
          <w:rFonts w:hint="default" w:asciiTheme="minorEastAsia" w:hAnsiTheme="minorEastAsia" w:eastAsiaTheme="minorEastAsia" w:cstheme="minorEastAsia"/>
          <w:b w:val="0"/>
          <w:bCs/>
          <w:sz w:val="24"/>
          <w:szCs w:val="24"/>
          <w:lang w:val="en-US" w:eastAsia="zh-CN"/>
        </w:rPr>
      </w:pPr>
      <w:r>
        <w:rPr>
          <w:rFonts w:hint="eastAsia" w:ascii="宋体" w:hAnsi="宋体" w:eastAsia="宋体" w:cs="宋体"/>
          <w:b/>
          <w:bCs/>
          <w:sz w:val="21"/>
          <w:szCs w:val="21"/>
          <w:lang w:val="en-US" w:eastAsia="zh-CN"/>
        </w:rPr>
        <w:t>注：请各投标单位在开标前</w:t>
      </w:r>
      <w:r>
        <w:rPr>
          <w:rFonts w:hint="eastAsia" w:ascii="宋体" w:hAnsi="宋体" w:cs="宋体"/>
          <w:b/>
          <w:bCs/>
          <w:sz w:val="21"/>
          <w:szCs w:val="21"/>
          <w:lang w:val="en-US" w:eastAsia="zh-CN"/>
        </w:rPr>
        <w:t>两天</w:t>
      </w:r>
      <w:r>
        <w:rPr>
          <w:rFonts w:hint="eastAsia" w:ascii="宋体" w:hAnsi="宋体" w:eastAsia="宋体" w:cs="宋体"/>
          <w:b/>
          <w:bCs/>
          <w:sz w:val="21"/>
          <w:szCs w:val="21"/>
          <w:lang w:val="en-US" w:eastAsia="zh-CN"/>
        </w:rPr>
        <w:t>，先添加商务联系人微信（微信号：</w:t>
      </w:r>
      <w:r>
        <w:rPr>
          <w:rFonts w:hint="eastAsia" w:ascii="宋体" w:hAnsi="宋体" w:cs="宋体"/>
          <w:b/>
          <w:bCs/>
          <w:sz w:val="21"/>
          <w:szCs w:val="21"/>
          <w:lang w:val="en-US" w:eastAsia="zh-CN"/>
        </w:rPr>
        <w:t>15866770809</w:t>
      </w:r>
      <w:r>
        <w:rPr>
          <w:rFonts w:hint="eastAsia" w:ascii="宋体" w:hAnsi="宋体" w:eastAsia="宋体" w:cs="宋体"/>
          <w:b/>
          <w:bCs/>
          <w:sz w:val="21"/>
          <w:szCs w:val="21"/>
          <w:lang w:val="en-US" w:eastAsia="zh-CN"/>
        </w:rPr>
        <w:t>），并通过发送保证金缴纳凭证以获取</w:t>
      </w:r>
      <w:r>
        <w:rPr>
          <w:rFonts w:hint="eastAsia" w:ascii="宋体" w:hAnsi="宋体" w:eastAsia="宋体" w:cs="宋体"/>
          <w:b/>
          <w:bCs/>
          <w:sz w:val="21"/>
          <w:szCs w:val="21"/>
          <w:highlight w:val="none"/>
          <w:lang w:val="en-US" w:eastAsia="zh-CN"/>
        </w:rPr>
        <w:t>在线开标会议号码</w:t>
      </w:r>
      <w:r>
        <w:rPr>
          <w:rFonts w:hint="eastAsia" w:ascii="宋体" w:hAnsi="宋体" w:eastAsia="宋体" w:cs="宋体"/>
          <w:b/>
          <w:bCs/>
          <w:sz w:val="21"/>
          <w:szCs w:val="21"/>
          <w:lang w:val="en-US" w:eastAsia="zh-CN"/>
        </w:rPr>
        <w:t>。</w:t>
      </w:r>
    </w:p>
    <w:p w14:paraId="6A7E028F">
      <w:pPr>
        <w:pStyle w:val="151"/>
        <w:numPr>
          <w:ilvl w:val="0"/>
          <w:numId w:val="0"/>
        </w:numPr>
        <w:adjustRightInd w:val="0"/>
        <w:snapToGrid w:val="0"/>
        <w:spacing w:line="360" w:lineRule="auto"/>
        <w:ind w:leftChars="0" w:firstLine="240" w:firstLineChars="100"/>
        <w:rPr>
          <w:rFonts w:hint="default" w:asciiTheme="minorEastAsia" w:hAnsiTheme="minorEastAsia" w:eastAsiaTheme="minorEastAsia" w:cstheme="minorEastAsia"/>
          <w:sz w:val="24"/>
          <w:szCs w:val="24"/>
          <w:highlight w:val="yellow"/>
          <w:lang w:val="en-US" w:eastAsia="zh-CN"/>
        </w:rPr>
      </w:pP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highlight w:val="yellow"/>
          <w:lang w:val="en-US" w:eastAsia="zh-CN"/>
        </w:rPr>
        <w:t>商务</w:t>
      </w:r>
      <w:r>
        <w:rPr>
          <w:rFonts w:hint="eastAsia" w:asciiTheme="minorEastAsia" w:hAnsiTheme="minorEastAsia" w:eastAsiaTheme="minorEastAsia" w:cstheme="minorEastAsia"/>
          <w:sz w:val="24"/>
          <w:szCs w:val="24"/>
          <w:highlight w:val="yellow"/>
        </w:rPr>
        <w:t>联系人：</w:t>
      </w:r>
      <w:r>
        <w:rPr>
          <w:rFonts w:hint="eastAsia" w:asciiTheme="minorEastAsia" w:hAnsiTheme="minorEastAsia" w:eastAsiaTheme="minorEastAsia" w:cstheme="minorEastAsia"/>
          <w:sz w:val="24"/>
          <w:szCs w:val="24"/>
          <w:highlight w:val="yellow"/>
          <w:lang w:val="en-US" w:eastAsia="zh-CN"/>
        </w:rPr>
        <w:t>秦学科 15866770809</w:t>
      </w:r>
    </w:p>
    <w:p w14:paraId="439DE341">
      <w:pPr>
        <w:pStyle w:val="151"/>
        <w:numPr>
          <w:ilvl w:val="0"/>
          <w:numId w:val="0"/>
        </w:numPr>
        <w:adjustRightInd w:val="0"/>
        <w:snapToGrid w:val="0"/>
        <w:spacing w:line="360" w:lineRule="auto"/>
        <w:ind w:leftChars="0" w:firstLine="480" w:firstLineChars="200"/>
        <w:rPr>
          <w:rFonts w:hint="default" w:asciiTheme="minorEastAsia" w:hAnsiTheme="minorEastAsia" w:eastAsiaTheme="minorEastAsia" w:cstheme="minorEastAsia"/>
          <w:sz w:val="24"/>
          <w:szCs w:val="24"/>
          <w:highlight w:val="yellow"/>
          <w:lang w:val="en-US" w:eastAsia="zh-CN"/>
        </w:rPr>
      </w:pPr>
      <w:r>
        <w:rPr>
          <w:rFonts w:hint="eastAsia" w:asciiTheme="minorEastAsia" w:hAnsiTheme="minorEastAsia" w:eastAsiaTheme="minorEastAsia" w:cstheme="minorEastAsia"/>
          <w:sz w:val="24"/>
          <w:szCs w:val="24"/>
          <w:highlight w:val="yellow"/>
          <w:lang w:val="en-US" w:eastAsia="zh-CN"/>
        </w:rPr>
        <w:t>技术联系人：卓  伟 13853190135、赵成利 18764052003</w:t>
      </w:r>
    </w:p>
    <w:p w14:paraId="2DC106E1">
      <w:pPr>
        <w:pStyle w:val="151"/>
        <w:numPr>
          <w:ilvl w:val="0"/>
          <w:numId w:val="0"/>
        </w:numPr>
        <w:adjustRightInd w:val="0"/>
        <w:snapToGrid w:val="0"/>
        <w:spacing w:line="360" w:lineRule="auto"/>
        <w:ind w:leftChars="0"/>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4.疑问提交</w:t>
      </w:r>
    </w:p>
    <w:p w14:paraId="6F38B2E2">
      <w:pPr>
        <w:pStyle w:val="240"/>
        <w:keepNext w:val="0"/>
        <w:keepLines w:val="0"/>
        <w:pageBreakBefore w:val="0"/>
        <w:widowControl w:val="0"/>
        <w:numPr>
          <w:ilvl w:val="1"/>
          <w:numId w:val="5"/>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Courier New" w:eastAsia="宋体" w:cs="Times New Roman"/>
          <w:highlight w:val="yellow"/>
          <w:lang w:val="en-US" w:eastAsia="zh-CN"/>
        </w:rPr>
      </w:pPr>
      <w:r>
        <w:rPr>
          <w:rFonts w:hint="eastAsia" w:cs="Times New Roman"/>
          <w:highlight w:val="yellow"/>
          <w:lang w:val="en-US" w:eastAsia="zh-CN"/>
        </w:rPr>
        <w:t>提交截止</w:t>
      </w:r>
      <w:r>
        <w:rPr>
          <w:rFonts w:hint="eastAsia" w:ascii="宋体" w:hAnsi="Courier New" w:eastAsia="宋体" w:cs="Times New Roman"/>
          <w:highlight w:val="yellow"/>
          <w:lang w:val="en-US" w:eastAsia="zh-CN"/>
        </w:rPr>
        <w:t>时间</w:t>
      </w:r>
      <w:r>
        <w:rPr>
          <w:rFonts w:hint="eastAsia" w:eastAsia="宋体" w:cs="Times New Roman"/>
          <w:highlight w:val="yellow"/>
          <w:lang w:val="en-US" w:eastAsia="zh-CN"/>
        </w:rPr>
        <w:t>：</w:t>
      </w:r>
      <w:r>
        <w:rPr>
          <w:rFonts w:hint="eastAsia" w:asciiTheme="minorEastAsia" w:hAnsiTheme="minorEastAsia" w:eastAsiaTheme="minorEastAsia" w:cstheme="minorEastAsia"/>
          <w:bCs/>
          <w:sz w:val="24"/>
          <w:szCs w:val="24"/>
          <w:highlight w:val="yellow"/>
          <w:lang w:val="en-US" w:eastAsia="zh-CN"/>
        </w:rPr>
        <w:t>2026年9月24日17:00</w:t>
      </w:r>
    </w:p>
    <w:p w14:paraId="7860A805">
      <w:pPr>
        <w:pStyle w:val="240"/>
        <w:keepNext w:val="0"/>
        <w:keepLines w:val="0"/>
        <w:pageBreakBefore w:val="0"/>
        <w:widowControl w:val="0"/>
        <w:numPr>
          <w:ilvl w:val="1"/>
          <w:numId w:val="5"/>
        </w:numPr>
        <w:kinsoku/>
        <w:wordWrap/>
        <w:overflowPunct/>
        <w:topLinePunct w:val="0"/>
        <w:autoSpaceDE/>
        <w:autoSpaceDN/>
        <w:bidi w:val="0"/>
        <w:adjustRightInd/>
        <w:snapToGrid/>
        <w:spacing w:line="440" w:lineRule="exact"/>
        <w:ind w:left="0" w:leftChars="0" w:firstLine="420" w:firstLineChars="0"/>
        <w:textAlignment w:val="auto"/>
        <w:rPr>
          <w:rFonts w:hint="eastAsia" w:cs="Times New Roman"/>
          <w:highlight w:val="none"/>
          <w:lang w:val="en-US" w:eastAsia="zh-CN"/>
        </w:rPr>
      </w:pPr>
      <w:r>
        <w:rPr>
          <w:rFonts w:hint="eastAsia" w:cs="Times New Roman"/>
          <w:highlight w:val="none"/>
          <w:lang w:val="en-US" w:eastAsia="zh-CN"/>
        </w:rPr>
        <w:t>提交</w:t>
      </w:r>
      <w:r>
        <w:rPr>
          <w:rFonts w:hint="eastAsia" w:ascii="宋体" w:hAnsi="Courier New" w:eastAsia="宋体" w:cs="Times New Roman"/>
          <w:highlight w:val="none"/>
          <w:lang w:val="en-US" w:eastAsia="zh-CN"/>
        </w:rPr>
        <w:t>方式</w:t>
      </w:r>
      <w:r>
        <w:rPr>
          <w:rFonts w:hint="eastAsia" w:cs="Times New Roman"/>
          <w:highlight w:val="none"/>
          <w:lang w:val="en-US" w:eastAsia="zh-CN"/>
        </w:rPr>
        <w:t>：将答疑问题以word文件格式发送至联系人邮件内（邮箱：412226803@qq.com），并电话联系工作人员查收，</w:t>
      </w:r>
      <w:r>
        <w:rPr>
          <w:rFonts w:hint="eastAsia" w:cs="Times New Roman"/>
          <w:b/>
          <w:bCs/>
          <w:highlight w:val="none"/>
          <w:lang w:val="en-US" w:eastAsia="zh-CN"/>
        </w:rPr>
        <w:t>邮件名格式为：XXX公司（五个字以内公司简称）XX项目答疑文件。同时必须在邮件中以文字方式提供投标人全称、投标授权人姓名、联系方式（固定电话、手机、电子邮箱），并提供附件法人授权委托书。</w:t>
      </w:r>
    </w:p>
    <w:p w14:paraId="303FC02B">
      <w:pPr>
        <w:adjustRightInd w:val="0"/>
        <w:snapToGrid w:val="0"/>
        <w:spacing w:line="360" w:lineRule="auto"/>
        <w:outlineLvl w:val="1"/>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六、评标办法</w:t>
      </w:r>
    </w:p>
    <w:p w14:paraId="062D9A0E">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textAlignment w:val="auto"/>
        <w:rPr>
          <w:rFonts w:hint="eastAsia" w:asciiTheme="minorEastAsia" w:hAnsiTheme="minorEastAsia" w:eastAsiaTheme="minorEastAsia" w:cstheme="minorEastAsia"/>
          <w:b/>
          <w:bCs/>
          <w:sz w:val="24"/>
          <w:szCs w:val="24"/>
        </w:rPr>
      </w:pPr>
      <w:r>
        <w:rPr>
          <w:rFonts w:hint="eastAsia" w:ascii="宋体" w:hAnsi="宋体" w:eastAsia="宋体" w:cs="宋体"/>
          <w:color w:val="000000"/>
          <w:sz w:val="24"/>
          <w:szCs w:val="24"/>
          <w:highlight w:val="none"/>
          <w:lang w:val="en-US" w:eastAsia="zh-CN"/>
        </w:rPr>
        <w:t>采用</w:t>
      </w:r>
      <w:r>
        <w:rPr>
          <w:rFonts w:hint="eastAsia" w:ascii="宋体" w:hAnsi="宋体" w:cs="宋体"/>
          <w:color w:val="000000"/>
          <w:sz w:val="24"/>
          <w:szCs w:val="24"/>
          <w:highlight w:val="none"/>
          <w:lang w:val="en-US" w:eastAsia="zh-CN"/>
        </w:rPr>
        <w:t>综合评标</w:t>
      </w:r>
      <w:r>
        <w:rPr>
          <w:rFonts w:hint="eastAsia" w:ascii="宋体" w:hAnsi="宋体" w:eastAsia="宋体" w:cs="宋体"/>
          <w:color w:val="000000"/>
          <w:sz w:val="24"/>
          <w:szCs w:val="24"/>
          <w:highlight w:val="none"/>
          <w:lang w:val="en-US" w:eastAsia="zh-CN"/>
        </w:rPr>
        <w:t>法</w:t>
      </w:r>
      <w:r>
        <w:rPr>
          <w:rFonts w:hint="eastAsia" w:ascii="宋体" w:hAnsi="宋体" w:cs="宋体"/>
          <w:color w:val="000000"/>
          <w:sz w:val="24"/>
          <w:szCs w:val="24"/>
          <w:highlight w:val="none"/>
          <w:lang w:val="en-US" w:eastAsia="zh-CN"/>
        </w:rPr>
        <w:t>，</w:t>
      </w:r>
      <w:r>
        <w:rPr>
          <w:rFonts w:hint="eastAsia" w:asciiTheme="minorEastAsia" w:hAnsiTheme="minorEastAsia" w:eastAsiaTheme="minorEastAsia" w:cstheme="minorEastAsia"/>
          <w:sz w:val="24"/>
          <w:szCs w:val="24"/>
        </w:rPr>
        <w:t>评标工作由招标人为该项目依法组织的、由三人及以上单数成员（视标的额大小按规定确定专家人数）组成的评标工作小组负责，</w:t>
      </w:r>
      <w:r>
        <w:rPr>
          <w:rFonts w:hint="eastAsia" w:asciiTheme="minorEastAsia" w:hAnsiTheme="minorEastAsia" w:eastAsiaTheme="minorEastAsia" w:cstheme="minorEastAsia"/>
          <w:color w:val="auto"/>
          <w:sz w:val="24"/>
          <w:szCs w:val="24"/>
        </w:rPr>
        <w:t>参照以下评</w:t>
      </w:r>
      <w:r>
        <w:rPr>
          <w:rFonts w:hint="eastAsia" w:asciiTheme="minorEastAsia" w:hAnsiTheme="minorEastAsia" w:eastAsiaTheme="minorEastAsia" w:cstheme="minorEastAsia"/>
          <w:sz w:val="24"/>
          <w:szCs w:val="24"/>
        </w:rPr>
        <w:t>分标准，采用综合评定法，即由评标工作小组按照国家招投标有关规定，本着公平、公正、公开、有序的原则，在最大限度地满足招标文件实质性要求的前提下，按照招标文件中规定的各项因素进行评审，依据本招标书列示的相关报价评审规则，</w:t>
      </w:r>
      <w:r>
        <w:rPr>
          <w:rFonts w:hint="eastAsia" w:asciiTheme="minorEastAsia" w:hAnsiTheme="minorEastAsia" w:eastAsiaTheme="minorEastAsia" w:cstheme="minorEastAsia"/>
          <w:b/>
          <w:bCs/>
          <w:sz w:val="24"/>
          <w:szCs w:val="24"/>
        </w:rPr>
        <w:t>确定中标候选人，对未中标人不做任何解释。</w:t>
      </w:r>
    </w:p>
    <w:p w14:paraId="45761501">
      <w:pPr>
        <w:pStyle w:val="2"/>
        <w:ind w:firstLine="241" w:firstLineChars="100"/>
        <w:rPr>
          <w:rFonts w:hint="default" w:eastAsiaTheme="minorEastAsia"/>
          <w:b/>
          <w:bCs/>
          <w:lang w:val="en-US" w:eastAsia="zh-CN"/>
        </w:rPr>
      </w:pPr>
      <w:r>
        <w:rPr>
          <w:rFonts w:hint="eastAsia" w:eastAsiaTheme="minorEastAsia"/>
          <w:b/>
          <w:bCs/>
          <w:lang w:val="en-US" w:eastAsia="zh-CN"/>
        </w:rPr>
        <w:t>评分标准具体如下：</w:t>
      </w:r>
    </w:p>
    <w:p w14:paraId="50C689DF">
      <w:pPr>
        <w:pStyle w:val="25"/>
        <w:numPr>
          <w:ilvl w:val="0"/>
          <w:numId w:val="6"/>
        </w:numP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技术标评审：</w:t>
      </w:r>
    </w:p>
    <w:tbl>
      <w:tblPr>
        <w:tblStyle w:val="49"/>
        <w:tblW w:w="5008" w:type="pct"/>
        <w:jc w:val="center"/>
        <w:tblLayout w:type="fixed"/>
        <w:tblCellMar>
          <w:top w:w="0" w:type="dxa"/>
          <w:left w:w="0" w:type="dxa"/>
          <w:bottom w:w="0" w:type="dxa"/>
          <w:right w:w="0" w:type="dxa"/>
        </w:tblCellMar>
      </w:tblPr>
      <w:tblGrid>
        <w:gridCol w:w="607"/>
        <w:gridCol w:w="493"/>
        <w:gridCol w:w="1057"/>
        <w:gridCol w:w="583"/>
        <w:gridCol w:w="6345"/>
      </w:tblGrid>
      <w:tr w14:paraId="1A7108D2">
        <w:tblPrEx>
          <w:tblCellMar>
            <w:top w:w="0" w:type="dxa"/>
            <w:left w:w="0" w:type="dxa"/>
            <w:bottom w:w="0" w:type="dxa"/>
            <w:right w:w="0" w:type="dxa"/>
          </w:tblCellMar>
        </w:tblPrEx>
        <w:trPr>
          <w:cantSplit/>
          <w:trHeight w:val="675" w:hRule="atLeast"/>
          <w:jc w:val="center"/>
        </w:trPr>
        <w:tc>
          <w:tcPr>
            <w:tcW w:w="334"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66BACB4">
            <w:pPr>
              <w:widowControl/>
              <w:jc w:val="center"/>
              <w:textAlignment w:val="center"/>
              <w:rPr>
                <w:rFonts w:ascii="宋体" w:cs="宋体"/>
                <w:kern w:val="0"/>
                <w:szCs w:val="21"/>
              </w:rPr>
            </w:pPr>
            <w:r>
              <w:rPr>
                <w:rFonts w:hint="eastAsia" w:ascii="宋体" w:cs="宋体"/>
                <w:kern w:val="0"/>
                <w:szCs w:val="21"/>
              </w:rPr>
              <w:t>评标</w:t>
            </w:r>
          </w:p>
          <w:p w14:paraId="6A2FBF3E">
            <w:pPr>
              <w:widowControl/>
              <w:jc w:val="center"/>
              <w:textAlignment w:val="center"/>
              <w:rPr>
                <w:rFonts w:ascii="宋体" w:cs="宋体"/>
                <w:szCs w:val="21"/>
              </w:rPr>
            </w:pPr>
            <w:r>
              <w:rPr>
                <w:rFonts w:hint="eastAsia" w:ascii="宋体" w:cs="宋体"/>
                <w:kern w:val="0"/>
                <w:szCs w:val="21"/>
              </w:rPr>
              <w:t>因素</w:t>
            </w:r>
          </w:p>
        </w:tc>
        <w:tc>
          <w:tcPr>
            <w:tcW w:w="271" w:type="pct"/>
            <w:tcBorders>
              <w:top w:val="single" w:color="000000" w:sz="4" w:space="0"/>
              <w:left w:val="single" w:color="000000" w:sz="4" w:space="0"/>
              <w:bottom w:val="single" w:color="auto" w:sz="4" w:space="0"/>
              <w:right w:val="single" w:color="000000" w:sz="4" w:space="0"/>
            </w:tcBorders>
            <w:noWrap/>
            <w:tcMar>
              <w:top w:w="12" w:type="dxa"/>
              <w:left w:w="12" w:type="dxa"/>
              <w:right w:w="12" w:type="dxa"/>
            </w:tcMar>
            <w:vAlign w:val="center"/>
          </w:tcPr>
          <w:p w14:paraId="3C773AF2">
            <w:pPr>
              <w:widowControl/>
              <w:jc w:val="center"/>
              <w:textAlignment w:val="center"/>
              <w:rPr>
                <w:rFonts w:ascii="宋体" w:cs="宋体"/>
                <w:szCs w:val="21"/>
              </w:rPr>
            </w:pPr>
            <w:r>
              <w:rPr>
                <w:rFonts w:hint="eastAsia" w:ascii="宋体" w:cs="宋体"/>
                <w:kern w:val="0"/>
                <w:szCs w:val="21"/>
              </w:rPr>
              <w:t>总分</w:t>
            </w:r>
          </w:p>
        </w:tc>
        <w:tc>
          <w:tcPr>
            <w:tcW w:w="58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C742A6D">
            <w:pPr>
              <w:widowControl/>
              <w:jc w:val="center"/>
              <w:textAlignment w:val="center"/>
              <w:rPr>
                <w:rFonts w:ascii="宋体" w:cs="宋体"/>
                <w:szCs w:val="21"/>
              </w:rPr>
            </w:pPr>
            <w:r>
              <w:rPr>
                <w:rFonts w:hint="eastAsia" w:ascii="宋体" w:cs="宋体"/>
                <w:kern w:val="0"/>
                <w:szCs w:val="21"/>
              </w:rPr>
              <w:t>评价内容</w:t>
            </w:r>
          </w:p>
        </w:tc>
        <w:tc>
          <w:tcPr>
            <w:tcW w:w="32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C87AD5F">
            <w:pPr>
              <w:widowControl/>
              <w:jc w:val="center"/>
              <w:textAlignment w:val="center"/>
              <w:rPr>
                <w:rFonts w:ascii="宋体" w:cs="宋体"/>
                <w:kern w:val="0"/>
                <w:szCs w:val="21"/>
              </w:rPr>
            </w:pPr>
            <w:r>
              <w:rPr>
                <w:rFonts w:hint="eastAsia" w:ascii="宋体" w:cs="宋体"/>
                <w:kern w:val="0"/>
                <w:szCs w:val="21"/>
              </w:rPr>
              <w:t>最高</w:t>
            </w:r>
          </w:p>
          <w:p w14:paraId="287756A9">
            <w:pPr>
              <w:widowControl/>
              <w:jc w:val="center"/>
              <w:textAlignment w:val="center"/>
              <w:rPr>
                <w:rFonts w:ascii="宋体" w:cs="宋体"/>
                <w:szCs w:val="21"/>
              </w:rPr>
            </w:pPr>
            <w:r>
              <w:rPr>
                <w:rFonts w:hint="eastAsia" w:ascii="宋体" w:cs="宋体"/>
                <w:kern w:val="0"/>
                <w:szCs w:val="21"/>
              </w:rPr>
              <w:t>得分</w:t>
            </w:r>
          </w:p>
        </w:tc>
        <w:tc>
          <w:tcPr>
            <w:tcW w:w="349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7BEB5A3">
            <w:pPr>
              <w:widowControl/>
              <w:jc w:val="center"/>
              <w:textAlignment w:val="center"/>
              <w:rPr>
                <w:rFonts w:ascii="宋体" w:cs="宋体"/>
                <w:szCs w:val="21"/>
              </w:rPr>
            </w:pPr>
            <w:r>
              <w:rPr>
                <w:rFonts w:hint="eastAsia" w:ascii="宋体" w:cs="宋体"/>
                <w:kern w:val="0"/>
                <w:szCs w:val="21"/>
              </w:rPr>
              <w:t>评分标准</w:t>
            </w:r>
          </w:p>
        </w:tc>
      </w:tr>
      <w:tr w14:paraId="7BD7BDBD">
        <w:tblPrEx>
          <w:tblCellMar>
            <w:top w:w="0" w:type="dxa"/>
            <w:left w:w="0" w:type="dxa"/>
            <w:bottom w:w="0" w:type="dxa"/>
            <w:right w:w="0" w:type="dxa"/>
          </w:tblCellMar>
        </w:tblPrEx>
        <w:trPr>
          <w:cantSplit/>
          <w:trHeight w:val="1560" w:hRule="atLeast"/>
          <w:jc w:val="center"/>
        </w:trPr>
        <w:tc>
          <w:tcPr>
            <w:tcW w:w="334" w:type="pct"/>
            <w:vMerge w:val="restart"/>
            <w:tcBorders>
              <w:top w:val="single" w:color="000000" w:sz="4" w:space="0"/>
              <w:left w:val="single" w:color="000000" w:sz="4" w:space="0"/>
              <w:right w:val="single" w:color="auto" w:sz="4" w:space="0"/>
            </w:tcBorders>
            <w:noWrap/>
            <w:tcMar>
              <w:top w:w="12" w:type="dxa"/>
              <w:left w:w="12" w:type="dxa"/>
              <w:right w:w="12" w:type="dxa"/>
            </w:tcMar>
            <w:vAlign w:val="center"/>
          </w:tcPr>
          <w:p w14:paraId="1A294BBB">
            <w:pPr>
              <w:widowControl/>
              <w:jc w:val="center"/>
              <w:textAlignment w:val="center"/>
              <w:rPr>
                <w:rFonts w:ascii="宋体" w:cs="宋体"/>
                <w:kern w:val="0"/>
                <w:szCs w:val="21"/>
              </w:rPr>
            </w:pPr>
            <w:r>
              <w:rPr>
                <w:rFonts w:hint="eastAsia" w:ascii="宋体" w:cs="宋体"/>
                <w:kern w:val="0"/>
                <w:szCs w:val="21"/>
              </w:rPr>
              <w:t>技术标</w:t>
            </w:r>
          </w:p>
        </w:tc>
        <w:tc>
          <w:tcPr>
            <w:tcW w:w="271" w:type="pct"/>
            <w:vMerge w:val="restart"/>
            <w:tcBorders>
              <w:top w:val="single" w:color="auto" w:sz="4" w:space="0"/>
              <w:left w:val="single" w:color="auto" w:sz="4" w:space="0"/>
              <w:right w:val="single" w:color="auto" w:sz="4" w:space="0"/>
            </w:tcBorders>
            <w:noWrap/>
            <w:tcMar>
              <w:top w:w="12" w:type="dxa"/>
              <w:left w:w="12" w:type="dxa"/>
              <w:right w:w="12" w:type="dxa"/>
            </w:tcMar>
            <w:vAlign w:val="center"/>
          </w:tcPr>
          <w:p w14:paraId="497DC634">
            <w:pPr>
              <w:jc w:val="center"/>
              <w:rPr>
                <w:rFonts w:ascii="宋体" w:cs="宋体"/>
                <w:szCs w:val="21"/>
              </w:rPr>
            </w:pPr>
            <w:r>
              <w:rPr>
                <w:rFonts w:hint="eastAsia" w:ascii="宋体" w:cs="宋体"/>
                <w:szCs w:val="21"/>
              </w:rPr>
              <w:t>100</w:t>
            </w:r>
          </w:p>
        </w:tc>
        <w:tc>
          <w:tcPr>
            <w:tcW w:w="581" w:type="pct"/>
            <w:tcBorders>
              <w:top w:val="single" w:color="000000" w:sz="4" w:space="0"/>
              <w:left w:val="single" w:color="auto" w:sz="4" w:space="0"/>
              <w:right w:val="single" w:color="000000" w:sz="4" w:space="0"/>
            </w:tcBorders>
            <w:noWrap/>
            <w:tcMar>
              <w:top w:w="12" w:type="dxa"/>
              <w:left w:w="12" w:type="dxa"/>
              <w:right w:w="12" w:type="dxa"/>
            </w:tcMar>
            <w:vAlign w:val="center"/>
          </w:tcPr>
          <w:p w14:paraId="5738EA19">
            <w:pPr>
              <w:widowControl/>
              <w:jc w:val="center"/>
              <w:textAlignment w:val="center"/>
              <w:rPr>
                <w:rFonts w:ascii="宋体" w:cs="宋体"/>
                <w:szCs w:val="21"/>
              </w:rPr>
            </w:pPr>
            <w:r>
              <w:rPr>
                <w:rFonts w:hint="eastAsia" w:ascii="宋体" w:cs="宋体"/>
                <w:kern w:val="0"/>
                <w:szCs w:val="21"/>
              </w:rPr>
              <w:t>技术方案及组织措施</w:t>
            </w:r>
          </w:p>
        </w:tc>
        <w:tc>
          <w:tcPr>
            <w:tcW w:w="321" w:type="pct"/>
            <w:tcBorders>
              <w:top w:val="single" w:color="000000" w:sz="4" w:space="0"/>
              <w:left w:val="single" w:color="000000" w:sz="4" w:space="0"/>
              <w:right w:val="single" w:color="000000" w:sz="4" w:space="0"/>
            </w:tcBorders>
            <w:noWrap/>
            <w:tcMar>
              <w:top w:w="12" w:type="dxa"/>
              <w:left w:w="12" w:type="dxa"/>
              <w:right w:w="12" w:type="dxa"/>
            </w:tcMar>
            <w:vAlign w:val="center"/>
          </w:tcPr>
          <w:p w14:paraId="454E0A88">
            <w:pPr>
              <w:jc w:val="center"/>
              <w:rPr>
                <w:rFonts w:ascii="宋体" w:cs="宋体"/>
                <w:szCs w:val="21"/>
              </w:rPr>
            </w:pPr>
            <w:r>
              <w:rPr>
                <w:rFonts w:hint="eastAsia" w:ascii="宋体" w:cs="宋体"/>
                <w:szCs w:val="21"/>
              </w:rPr>
              <w:t>60</w:t>
            </w:r>
          </w:p>
        </w:tc>
        <w:tc>
          <w:tcPr>
            <w:tcW w:w="3491" w:type="pct"/>
            <w:tcBorders>
              <w:top w:val="single" w:color="000000" w:sz="4" w:space="0"/>
              <w:left w:val="single" w:color="000000" w:sz="4" w:space="0"/>
              <w:right w:val="single" w:color="000000" w:sz="4" w:space="0"/>
            </w:tcBorders>
            <w:noWrap/>
            <w:tcMar>
              <w:top w:w="12" w:type="dxa"/>
              <w:left w:w="12" w:type="dxa"/>
              <w:right w:w="12" w:type="dxa"/>
            </w:tcMar>
            <w:vAlign w:val="center"/>
          </w:tcPr>
          <w:p w14:paraId="2E2B04AC">
            <w:pPr>
              <w:widowControl/>
              <w:numPr>
                <w:ilvl w:val="0"/>
                <w:numId w:val="7"/>
              </w:numPr>
              <w:shd w:val="clear" w:color="auto" w:fill="FFFFFF"/>
              <w:spacing w:line="300" w:lineRule="exact"/>
              <w:jc w:val="left"/>
              <w:rPr>
                <w:rFonts w:ascii="宋体" w:hAnsi="宋体" w:cs="宋体"/>
              </w:rPr>
            </w:pPr>
            <w:r>
              <w:rPr>
                <w:rFonts w:hint="eastAsia" w:ascii="宋体" w:hAnsi="宋体" w:cs="宋体"/>
              </w:rPr>
              <w:t>投标人对项目各项技术方案及组织措施具体、技术先进，并列出较多具备相关资质与经验的施工人员及维修设备，酌情得36-60分；</w:t>
            </w:r>
          </w:p>
          <w:p w14:paraId="4C6380C6">
            <w:pPr>
              <w:widowControl/>
              <w:shd w:val="clear" w:color="auto" w:fill="FFFFFF"/>
              <w:spacing w:line="300" w:lineRule="exact"/>
              <w:jc w:val="left"/>
              <w:rPr>
                <w:rFonts w:ascii="宋体" w:hAnsi="宋体" w:cs="宋体"/>
              </w:rPr>
            </w:pPr>
            <w:r>
              <w:rPr>
                <w:rFonts w:hint="eastAsia" w:ascii="宋体" w:hAnsi="宋体" w:cs="宋体"/>
              </w:rPr>
              <w:t>2、投标人对项目中各项技术方案及组织措施不详细、技术水平一般，施工人员具备一定资质，酌情得18-36分；</w:t>
            </w:r>
          </w:p>
          <w:p w14:paraId="72DD41EA">
            <w:pPr>
              <w:widowControl/>
              <w:jc w:val="left"/>
              <w:textAlignment w:val="center"/>
              <w:rPr>
                <w:rFonts w:ascii="宋体" w:hAnsi="宋体" w:cs="宋体"/>
              </w:rPr>
            </w:pPr>
            <w:r>
              <w:rPr>
                <w:rFonts w:hint="eastAsia" w:ascii="宋体" w:hAnsi="宋体" w:cs="宋体"/>
              </w:rPr>
              <w:t>3、投标人在投标文件中没有列出技术方案及组织措施，没有相关资质的施工人员得0分。</w:t>
            </w:r>
          </w:p>
          <w:p w14:paraId="5DFB810A">
            <w:pPr>
              <w:widowControl/>
              <w:jc w:val="left"/>
              <w:textAlignment w:val="center"/>
              <w:rPr>
                <w:rFonts w:ascii="宋体" w:cs="宋体"/>
                <w:szCs w:val="21"/>
              </w:rPr>
            </w:pPr>
            <w:r>
              <w:rPr>
                <w:rFonts w:hint="eastAsia" w:ascii="宋体" w:hAnsi="宋体" w:cs="宋体"/>
              </w:rPr>
              <w:t>注：资质文件需有相关资质证明，原件或复印件</w:t>
            </w:r>
          </w:p>
        </w:tc>
      </w:tr>
      <w:tr w14:paraId="488E3B47">
        <w:tblPrEx>
          <w:tblCellMar>
            <w:top w:w="0" w:type="dxa"/>
            <w:left w:w="0" w:type="dxa"/>
            <w:bottom w:w="0" w:type="dxa"/>
            <w:right w:w="0" w:type="dxa"/>
          </w:tblCellMar>
        </w:tblPrEx>
        <w:trPr>
          <w:cantSplit/>
          <w:trHeight w:val="23" w:hRule="atLeast"/>
          <w:jc w:val="center"/>
        </w:trPr>
        <w:tc>
          <w:tcPr>
            <w:tcW w:w="334" w:type="pct"/>
            <w:vMerge w:val="continue"/>
            <w:tcBorders>
              <w:left w:val="single" w:color="000000" w:sz="4" w:space="0"/>
              <w:right w:val="single" w:color="auto" w:sz="4" w:space="0"/>
            </w:tcBorders>
            <w:noWrap/>
            <w:tcMar>
              <w:top w:w="12" w:type="dxa"/>
              <w:left w:w="12" w:type="dxa"/>
              <w:right w:w="12" w:type="dxa"/>
            </w:tcMar>
            <w:vAlign w:val="center"/>
          </w:tcPr>
          <w:p w14:paraId="603B61D1"/>
        </w:tc>
        <w:tc>
          <w:tcPr>
            <w:tcW w:w="271" w:type="pct"/>
            <w:vMerge w:val="continue"/>
            <w:tcBorders>
              <w:left w:val="single" w:color="auto" w:sz="4" w:space="0"/>
              <w:right w:val="single" w:color="auto" w:sz="4" w:space="0"/>
            </w:tcBorders>
            <w:noWrap/>
            <w:tcMar>
              <w:top w:w="12" w:type="dxa"/>
              <w:left w:w="12" w:type="dxa"/>
              <w:right w:w="12" w:type="dxa"/>
            </w:tcMar>
            <w:vAlign w:val="center"/>
          </w:tcPr>
          <w:p w14:paraId="1F07AC3F"/>
        </w:tc>
        <w:tc>
          <w:tcPr>
            <w:tcW w:w="581" w:type="pct"/>
            <w:tcBorders>
              <w:top w:val="single" w:color="000000" w:sz="4" w:space="0"/>
              <w:left w:val="single" w:color="auto" w:sz="4" w:space="0"/>
              <w:bottom w:val="single" w:color="000000" w:sz="4" w:space="0"/>
              <w:right w:val="single" w:color="000000" w:sz="4" w:space="0"/>
            </w:tcBorders>
            <w:noWrap/>
            <w:tcMar>
              <w:top w:w="12" w:type="dxa"/>
              <w:left w:w="12" w:type="dxa"/>
              <w:right w:w="12" w:type="dxa"/>
            </w:tcMar>
            <w:vAlign w:val="center"/>
          </w:tcPr>
          <w:p w14:paraId="21FC1FD9">
            <w:pPr>
              <w:jc w:val="center"/>
              <w:rPr>
                <w:rFonts w:ascii="宋体" w:cs="宋体"/>
                <w:szCs w:val="21"/>
              </w:rPr>
            </w:pPr>
            <w:r>
              <w:rPr>
                <w:rFonts w:hint="eastAsia" w:ascii="宋体" w:hAnsi="宋体" w:cs="宋体"/>
                <w:szCs w:val="21"/>
              </w:rPr>
              <w:t>现场答疑</w:t>
            </w:r>
          </w:p>
        </w:tc>
        <w:tc>
          <w:tcPr>
            <w:tcW w:w="32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99C56FE">
            <w:pPr>
              <w:jc w:val="center"/>
              <w:rPr>
                <w:rFonts w:ascii="宋体" w:cs="宋体"/>
                <w:szCs w:val="21"/>
              </w:rPr>
            </w:pPr>
            <w:r>
              <w:rPr>
                <w:rFonts w:hint="eastAsia" w:ascii="宋体" w:cs="宋体"/>
                <w:szCs w:val="21"/>
              </w:rPr>
              <w:t>10</w:t>
            </w:r>
          </w:p>
        </w:tc>
        <w:tc>
          <w:tcPr>
            <w:tcW w:w="349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6C41837">
            <w:pPr>
              <w:widowControl/>
              <w:jc w:val="left"/>
              <w:textAlignment w:val="center"/>
              <w:rPr>
                <w:rFonts w:ascii="宋体" w:cs="宋体"/>
                <w:szCs w:val="21"/>
              </w:rPr>
            </w:pPr>
            <w:r>
              <w:rPr>
                <w:rFonts w:hint="eastAsia" w:ascii="宋体" w:hAnsi="宋体" w:cs="宋体"/>
                <w:kern w:val="0"/>
                <w:szCs w:val="21"/>
                <w:lang w:bidi="ar"/>
              </w:rPr>
              <w:t xml:space="preserve">在开标现场，投标人代表对方案、技术优势的讲解，以及就该项目难点回答评标专家现场提问。酌情得1-10分； </w:t>
            </w:r>
          </w:p>
        </w:tc>
      </w:tr>
      <w:tr w14:paraId="4292170C">
        <w:tblPrEx>
          <w:tblCellMar>
            <w:top w:w="0" w:type="dxa"/>
            <w:left w:w="0" w:type="dxa"/>
            <w:bottom w:w="0" w:type="dxa"/>
            <w:right w:w="0" w:type="dxa"/>
          </w:tblCellMar>
        </w:tblPrEx>
        <w:trPr>
          <w:cantSplit/>
          <w:trHeight w:val="814" w:hRule="atLeast"/>
          <w:jc w:val="center"/>
        </w:trPr>
        <w:tc>
          <w:tcPr>
            <w:tcW w:w="334" w:type="pct"/>
            <w:vMerge w:val="continue"/>
            <w:tcBorders>
              <w:left w:val="single" w:color="000000" w:sz="4" w:space="0"/>
              <w:right w:val="single" w:color="auto" w:sz="4" w:space="0"/>
            </w:tcBorders>
            <w:noWrap/>
            <w:tcMar>
              <w:top w:w="12" w:type="dxa"/>
              <w:left w:w="12" w:type="dxa"/>
              <w:right w:w="12" w:type="dxa"/>
            </w:tcMar>
            <w:vAlign w:val="center"/>
          </w:tcPr>
          <w:p w14:paraId="3CB53E78"/>
        </w:tc>
        <w:tc>
          <w:tcPr>
            <w:tcW w:w="271" w:type="pct"/>
            <w:vMerge w:val="continue"/>
            <w:tcBorders>
              <w:left w:val="single" w:color="auto" w:sz="4" w:space="0"/>
              <w:right w:val="single" w:color="auto" w:sz="4" w:space="0"/>
            </w:tcBorders>
            <w:noWrap/>
            <w:tcMar>
              <w:top w:w="12" w:type="dxa"/>
              <w:left w:w="12" w:type="dxa"/>
              <w:right w:w="12" w:type="dxa"/>
            </w:tcMar>
            <w:vAlign w:val="center"/>
          </w:tcPr>
          <w:p w14:paraId="007318A1"/>
        </w:tc>
        <w:tc>
          <w:tcPr>
            <w:tcW w:w="581" w:type="pct"/>
            <w:tcBorders>
              <w:top w:val="single" w:color="000000" w:sz="4" w:space="0"/>
              <w:left w:val="single" w:color="auto" w:sz="4" w:space="0"/>
              <w:bottom w:val="single" w:color="000000" w:sz="4" w:space="0"/>
              <w:right w:val="single" w:color="000000" w:sz="4" w:space="0"/>
            </w:tcBorders>
            <w:noWrap/>
            <w:tcMar>
              <w:top w:w="12" w:type="dxa"/>
              <w:left w:w="12" w:type="dxa"/>
              <w:right w:w="12" w:type="dxa"/>
            </w:tcMar>
            <w:vAlign w:val="center"/>
          </w:tcPr>
          <w:p w14:paraId="03595262">
            <w:pPr>
              <w:jc w:val="center"/>
              <w:rPr>
                <w:rFonts w:ascii="Calibri" w:hAnsi="Calibri"/>
              </w:rPr>
            </w:pPr>
            <w:r>
              <w:rPr>
                <w:rFonts w:hint="eastAsia" w:ascii="Calibri" w:hAnsi="Calibri"/>
              </w:rPr>
              <w:t>条款响应</w:t>
            </w:r>
          </w:p>
        </w:tc>
        <w:tc>
          <w:tcPr>
            <w:tcW w:w="32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DDB044F">
            <w:pPr>
              <w:jc w:val="center"/>
              <w:rPr>
                <w:rFonts w:ascii="Calibri" w:hAnsi="Calibri"/>
              </w:rPr>
            </w:pPr>
            <w:r>
              <w:rPr>
                <w:rFonts w:hint="eastAsia" w:ascii="Calibri" w:hAnsi="Calibri"/>
              </w:rPr>
              <w:t>10</w:t>
            </w:r>
          </w:p>
        </w:tc>
        <w:tc>
          <w:tcPr>
            <w:tcW w:w="3491"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093AF4B">
            <w:pPr>
              <w:widowControl/>
              <w:jc w:val="left"/>
              <w:textAlignment w:val="center"/>
              <w:rPr>
                <w:rFonts w:ascii="Calibri" w:hAnsi="Calibri"/>
              </w:rPr>
            </w:pPr>
            <w:r>
              <w:rPr>
                <w:rFonts w:hint="eastAsia" w:ascii="Calibri" w:hAnsi="Calibri"/>
              </w:rPr>
              <w:t>经过有效性和符合性审核合格的投标人，投标文件中对技术要求、</w:t>
            </w:r>
            <w:r>
              <w:rPr>
                <w:rFonts w:hint="eastAsia" w:ascii="宋体" w:hAnsi="宋体" w:cs="宋体"/>
                <w:kern w:val="0"/>
                <w:szCs w:val="21"/>
                <w:lang w:bidi="ar"/>
              </w:rPr>
              <w:t>付款、供货期等</w:t>
            </w:r>
            <w:r>
              <w:rPr>
                <w:rFonts w:hint="eastAsia" w:ascii="Calibri" w:hAnsi="Calibri"/>
              </w:rPr>
              <w:t>无偏离得6分，每一条正偏离得2分，上限10分。每一条负偏离扣2分，最低0分。</w:t>
            </w:r>
            <w:r>
              <w:rPr>
                <w:rFonts w:ascii="宋体" w:hAnsi="宋体" w:cs="宋体"/>
                <w:kern w:val="0"/>
                <w:szCs w:val="21"/>
                <w:lang w:bidi="ar"/>
              </w:rPr>
              <w:t xml:space="preserve"> </w:t>
            </w:r>
          </w:p>
        </w:tc>
      </w:tr>
      <w:tr w14:paraId="17774366">
        <w:tblPrEx>
          <w:tblCellMar>
            <w:top w:w="0" w:type="dxa"/>
            <w:left w:w="0" w:type="dxa"/>
            <w:bottom w:w="0" w:type="dxa"/>
            <w:right w:w="0" w:type="dxa"/>
          </w:tblCellMar>
        </w:tblPrEx>
        <w:trPr>
          <w:cantSplit/>
          <w:trHeight w:val="814" w:hRule="atLeast"/>
          <w:jc w:val="center"/>
        </w:trPr>
        <w:tc>
          <w:tcPr>
            <w:tcW w:w="334" w:type="pct"/>
            <w:vMerge w:val="continue"/>
            <w:tcBorders>
              <w:left w:val="single" w:color="000000" w:sz="4" w:space="0"/>
              <w:right w:val="single" w:color="auto" w:sz="4" w:space="0"/>
            </w:tcBorders>
            <w:noWrap/>
            <w:tcMar>
              <w:top w:w="12" w:type="dxa"/>
              <w:left w:w="12" w:type="dxa"/>
              <w:right w:w="12" w:type="dxa"/>
            </w:tcMar>
            <w:vAlign w:val="center"/>
          </w:tcPr>
          <w:p w14:paraId="70BB0A37"/>
        </w:tc>
        <w:tc>
          <w:tcPr>
            <w:tcW w:w="271" w:type="pct"/>
            <w:vMerge w:val="continue"/>
            <w:tcBorders>
              <w:left w:val="single" w:color="auto" w:sz="4" w:space="0"/>
              <w:right w:val="single" w:color="auto" w:sz="4" w:space="0"/>
            </w:tcBorders>
            <w:noWrap/>
            <w:tcMar>
              <w:top w:w="12" w:type="dxa"/>
              <w:left w:w="12" w:type="dxa"/>
              <w:right w:w="12" w:type="dxa"/>
            </w:tcMar>
            <w:vAlign w:val="center"/>
          </w:tcPr>
          <w:p w14:paraId="72C53FB6"/>
        </w:tc>
        <w:tc>
          <w:tcPr>
            <w:tcW w:w="581" w:type="pct"/>
            <w:tcBorders>
              <w:top w:val="single" w:color="000000" w:sz="4" w:space="0"/>
              <w:left w:val="single" w:color="auto" w:sz="4" w:space="0"/>
              <w:bottom w:val="single" w:color="000000" w:sz="4" w:space="0"/>
              <w:right w:val="single" w:color="000000" w:sz="4" w:space="0"/>
            </w:tcBorders>
            <w:noWrap/>
            <w:tcMar>
              <w:top w:w="12" w:type="dxa"/>
              <w:left w:w="12" w:type="dxa"/>
              <w:right w:w="12" w:type="dxa"/>
            </w:tcMar>
            <w:vAlign w:val="center"/>
          </w:tcPr>
          <w:p w14:paraId="79C648C7">
            <w:pPr>
              <w:jc w:val="center"/>
              <w:rPr>
                <w:rFonts w:ascii="宋体" w:hAnsi="宋体" w:cs="宋体"/>
                <w:color w:val="000000"/>
                <w:szCs w:val="21"/>
                <w:shd w:val="clear" w:color="auto" w:fill="FFFFFF"/>
              </w:rPr>
            </w:pPr>
            <w:r>
              <w:rPr>
                <w:rFonts w:hint="eastAsia" w:ascii="Calibri" w:hAnsi="Calibri"/>
              </w:rPr>
              <w:t>售后服务</w:t>
            </w:r>
          </w:p>
        </w:tc>
        <w:tc>
          <w:tcPr>
            <w:tcW w:w="32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CD8C9E0">
            <w:pPr>
              <w:widowControl/>
              <w:jc w:val="center"/>
              <w:textAlignment w:val="center"/>
              <w:rPr>
                <w:rFonts w:ascii="宋体" w:hAnsi="宋体" w:cs="宋体"/>
                <w:szCs w:val="21"/>
              </w:rPr>
            </w:pPr>
            <w:r>
              <w:rPr>
                <w:rFonts w:hint="eastAsia" w:ascii="宋体" w:hAnsi="宋体" w:cs="宋体"/>
                <w:szCs w:val="21"/>
              </w:rPr>
              <w:t>10</w:t>
            </w:r>
          </w:p>
        </w:tc>
        <w:tc>
          <w:tcPr>
            <w:tcW w:w="3491"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1B6D8EC">
            <w:pPr>
              <w:widowControl/>
              <w:jc w:val="left"/>
              <w:textAlignment w:val="center"/>
              <w:rPr>
                <w:rFonts w:ascii="宋体" w:hAnsi="宋体" w:cs="宋体"/>
                <w:bCs/>
                <w:szCs w:val="21"/>
              </w:rPr>
            </w:pPr>
            <w:r>
              <w:rPr>
                <w:rFonts w:hint="eastAsia" w:ascii="Calibri" w:hAnsi="Calibri"/>
              </w:rPr>
              <w:t>售后服务及时周到，有相应的服务承诺和具体的保证措施，对招标方人员的技术培训安排科学、合理、可行，酌情得1-10分；</w:t>
            </w:r>
          </w:p>
        </w:tc>
      </w:tr>
      <w:tr w14:paraId="5DA7E7DB">
        <w:tblPrEx>
          <w:tblCellMar>
            <w:top w:w="0" w:type="dxa"/>
            <w:left w:w="0" w:type="dxa"/>
            <w:bottom w:w="0" w:type="dxa"/>
            <w:right w:w="0" w:type="dxa"/>
          </w:tblCellMar>
        </w:tblPrEx>
        <w:trPr>
          <w:cantSplit/>
          <w:trHeight w:val="23" w:hRule="atLeast"/>
          <w:jc w:val="center"/>
        </w:trPr>
        <w:tc>
          <w:tcPr>
            <w:tcW w:w="334" w:type="pct"/>
            <w:vMerge w:val="continue"/>
            <w:tcBorders>
              <w:left w:val="single" w:color="000000" w:sz="4" w:space="0"/>
              <w:right w:val="single" w:color="auto" w:sz="4" w:space="0"/>
            </w:tcBorders>
            <w:noWrap/>
            <w:tcMar>
              <w:top w:w="12" w:type="dxa"/>
              <w:left w:w="12" w:type="dxa"/>
              <w:right w:w="12" w:type="dxa"/>
            </w:tcMar>
            <w:vAlign w:val="center"/>
          </w:tcPr>
          <w:p w14:paraId="7259A21E"/>
        </w:tc>
        <w:tc>
          <w:tcPr>
            <w:tcW w:w="271" w:type="pct"/>
            <w:vMerge w:val="continue"/>
            <w:tcBorders>
              <w:left w:val="single" w:color="auto" w:sz="4" w:space="0"/>
              <w:right w:val="single" w:color="auto" w:sz="4" w:space="0"/>
            </w:tcBorders>
            <w:noWrap/>
            <w:tcMar>
              <w:top w:w="12" w:type="dxa"/>
              <w:left w:w="12" w:type="dxa"/>
              <w:right w:w="12" w:type="dxa"/>
            </w:tcMar>
            <w:vAlign w:val="center"/>
          </w:tcPr>
          <w:p w14:paraId="47A00DDB"/>
        </w:tc>
        <w:tc>
          <w:tcPr>
            <w:tcW w:w="581" w:type="pct"/>
            <w:tcBorders>
              <w:top w:val="single" w:color="000000" w:sz="4" w:space="0"/>
              <w:left w:val="single" w:color="auto" w:sz="4" w:space="0"/>
              <w:bottom w:val="single" w:color="000000" w:sz="4" w:space="0"/>
              <w:right w:val="single" w:color="000000" w:sz="4" w:space="0"/>
            </w:tcBorders>
            <w:noWrap/>
            <w:tcMar>
              <w:top w:w="12" w:type="dxa"/>
              <w:left w:w="12" w:type="dxa"/>
              <w:right w:w="12" w:type="dxa"/>
            </w:tcMar>
            <w:vAlign w:val="center"/>
          </w:tcPr>
          <w:p w14:paraId="339536A6">
            <w:pPr>
              <w:jc w:val="center"/>
              <w:rPr>
                <w:rFonts w:ascii="宋体" w:cs="宋体"/>
                <w:szCs w:val="21"/>
              </w:rPr>
            </w:pPr>
            <w:r>
              <w:rPr>
                <w:rFonts w:hint="eastAsia" w:ascii="宋体" w:hAnsi="宋体" w:cs="宋体"/>
                <w:color w:val="000000"/>
                <w:szCs w:val="21"/>
                <w:shd w:val="clear" w:color="auto" w:fill="FFFFFF"/>
              </w:rPr>
              <w:t>业绩</w:t>
            </w:r>
          </w:p>
        </w:tc>
        <w:tc>
          <w:tcPr>
            <w:tcW w:w="321" w:type="pc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DC5D60D">
            <w:pPr>
              <w:jc w:val="center"/>
              <w:rPr>
                <w:rFonts w:ascii="宋体" w:cs="宋体"/>
                <w:szCs w:val="21"/>
              </w:rPr>
            </w:pPr>
            <w:r>
              <w:rPr>
                <w:rFonts w:hint="eastAsia" w:ascii="宋体" w:cs="宋体"/>
                <w:szCs w:val="21"/>
              </w:rPr>
              <w:t>10</w:t>
            </w:r>
          </w:p>
        </w:tc>
        <w:tc>
          <w:tcPr>
            <w:tcW w:w="3491"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517E487">
            <w:pPr>
              <w:widowControl/>
              <w:jc w:val="left"/>
              <w:textAlignment w:val="center"/>
              <w:rPr>
                <w:rFonts w:ascii="宋体" w:cs="宋体"/>
                <w:kern w:val="0"/>
                <w:szCs w:val="21"/>
              </w:rPr>
            </w:pPr>
            <w:r>
              <w:rPr>
                <w:rFonts w:hint="eastAsia" w:ascii="宋体" w:hAnsi="宋体" w:cs="宋体"/>
                <w:bCs/>
                <w:szCs w:val="21"/>
              </w:rPr>
              <w:t>投标人在</w:t>
            </w:r>
            <w:r>
              <w:rPr>
                <w:rFonts w:hint="eastAsia" w:ascii="宋体" w:hAnsi="宋体" w:cs="Calibri"/>
                <w:bCs/>
                <w:szCs w:val="21"/>
              </w:rPr>
              <w:t>2018</w:t>
            </w:r>
            <w:r>
              <w:rPr>
                <w:rFonts w:hint="eastAsia" w:ascii="宋体" w:hAnsi="宋体" w:cs="宋体"/>
                <w:bCs/>
                <w:szCs w:val="21"/>
              </w:rPr>
              <w:t>年</w:t>
            </w:r>
            <w:r>
              <w:rPr>
                <w:rFonts w:hint="eastAsia" w:ascii="宋体" w:hAnsi="宋体" w:cs="Calibri"/>
                <w:bCs/>
                <w:szCs w:val="21"/>
              </w:rPr>
              <w:t>1</w:t>
            </w:r>
            <w:r>
              <w:rPr>
                <w:rFonts w:hint="eastAsia" w:ascii="宋体" w:hAnsi="宋体" w:cs="宋体"/>
                <w:bCs/>
                <w:szCs w:val="21"/>
              </w:rPr>
              <w:t>月</w:t>
            </w:r>
            <w:r>
              <w:rPr>
                <w:rFonts w:hint="eastAsia" w:ascii="宋体" w:hAnsi="宋体" w:cs="Calibri"/>
                <w:bCs/>
                <w:szCs w:val="21"/>
              </w:rPr>
              <w:t>1</w:t>
            </w:r>
            <w:r>
              <w:rPr>
                <w:rFonts w:hint="eastAsia" w:ascii="宋体" w:hAnsi="宋体" w:cs="宋体"/>
                <w:bCs/>
                <w:szCs w:val="21"/>
              </w:rPr>
              <w:t>日以来在国内与本标同类规格</w:t>
            </w:r>
            <w:r>
              <w:rPr>
                <w:rFonts w:hint="eastAsia" w:ascii="宋体" w:hAnsi="宋体" w:cs="宋体"/>
              </w:rPr>
              <w:t>业绩及备件储备情况，每有一项业绩得2分，最多得10分(必须提供合同原件,否则不得分)。</w:t>
            </w:r>
          </w:p>
        </w:tc>
      </w:tr>
      <w:tr w14:paraId="15F0B181">
        <w:tblPrEx>
          <w:tblCellMar>
            <w:top w:w="0" w:type="dxa"/>
            <w:left w:w="0" w:type="dxa"/>
            <w:bottom w:w="0" w:type="dxa"/>
            <w:right w:w="0" w:type="dxa"/>
          </w:tblCellMar>
        </w:tblPrEx>
        <w:trPr>
          <w:cantSplit/>
          <w:trHeight w:val="23"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71E65D5">
            <w:pPr>
              <w:widowControl/>
              <w:jc w:val="left"/>
            </w:pPr>
            <w:r>
              <w:rPr>
                <w:rFonts w:hint="eastAsia"/>
              </w:rPr>
              <w:t>备注：</w:t>
            </w:r>
          </w:p>
          <w:p w14:paraId="3A2B2082">
            <w:pPr>
              <w:widowControl/>
              <w:jc w:val="left"/>
              <w:rPr>
                <w:rFonts w:hint="eastAsia"/>
              </w:rPr>
            </w:pPr>
            <w:r>
              <w:rPr>
                <w:rFonts w:hint="eastAsia"/>
              </w:rPr>
              <w:t>1、投标人技术标的最终得分为所有评委打分汇总后的算术平均值。</w:t>
            </w:r>
          </w:p>
          <w:p w14:paraId="74751A3E">
            <w:pPr>
              <w:widowControl/>
              <w:jc w:val="left"/>
              <w:rPr>
                <w:rFonts w:hint="eastAsia"/>
              </w:rPr>
            </w:pPr>
            <w:r>
              <w:rPr>
                <w:rFonts w:hint="eastAsia"/>
              </w:rPr>
              <w:t>2、技术标根据评分办法进行打分，技术标评标小组推荐至少3家技术得分</w:t>
            </w:r>
            <w:r>
              <w:rPr>
                <w:rFonts w:hint="eastAsia"/>
                <w:lang w:val="en-US" w:eastAsia="zh-CN"/>
              </w:rPr>
              <w:t>70</w:t>
            </w:r>
            <w:r>
              <w:rPr>
                <w:rFonts w:hint="eastAsia"/>
              </w:rPr>
              <w:t>分以上的投标人进入商务标。技术入围投标人不足三家时，本次按废标处理，招标人有权根据招标采购管理流程重新组织招标。</w:t>
            </w:r>
          </w:p>
          <w:p w14:paraId="140C4F28">
            <w:pPr>
              <w:widowControl/>
              <w:jc w:val="left"/>
            </w:pPr>
            <w:r>
              <w:rPr>
                <w:rFonts w:hint="eastAsia"/>
              </w:rPr>
              <w:t xml:space="preserve">3、技术标得分占比 </w:t>
            </w:r>
            <w:r>
              <w:rPr>
                <w:rFonts w:hint="eastAsia"/>
                <w:lang w:val="en-US" w:eastAsia="zh-CN"/>
              </w:rPr>
              <w:t>4</w:t>
            </w:r>
            <w:r>
              <w:rPr>
                <w:rFonts w:hint="eastAsia"/>
              </w:rPr>
              <w:t>0%，计入最终评分。</w:t>
            </w:r>
          </w:p>
        </w:tc>
      </w:tr>
    </w:tbl>
    <w:p w14:paraId="6C2DC84D">
      <w:pPr>
        <w:pStyle w:val="25"/>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2.商务标评审：</w:t>
      </w:r>
    </w:p>
    <w:p w14:paraId="579EC713">
      <w:pPr>
        <w:pStyle w:val="25"/>
        <w:ind w:firstLine="480" w:firstLineChars="200"/>
        <w:rPr>
          <w:rFonts w:hint="default" w:asciiTheme="minorEastAsia" w:hAnsiTheme="minorEastAsia" w:eastAsiaTheme="minorEastAsia" w:cstheme="minorEastAsia"/>
          <w:kern w:val="2"/>
          <w:sz w:val="24"/>
          <w:szCs w:val="24"/>
          <w:lang w:val="en-US" w:eastAsia="zh-CN" w:bidi="ar-SA"/>
        </w:rPr>
      </w:pPr>
      <w:r>
        <w:rPr>
          <w:rFonts w:hint="default" w:asciiTheme="minorEastAsia" w:hAnsiTheme="minorEastAsia" w:eastAsiaTheme="minorEastAsia" w:cstheme="minorEastAsia"/>
          <w:kern w:val="2"/>
          <w:sz w:val="24"/>
          <w:szCs w:val="24"/>
          <w:lang w:val="en-US" w:eastAsia="zh-CN" w:bidi="ar-SA"/>
        </w:rPr>
        <w:t>商务标采用多轮报价，开标唱标为公开报价，在重汽e采通进行提报。商务标总分100分，</w:t>
      </w:r>
    </w:p>
    <w:p w14:paraId="062CC053">
      <w:pPr>
        <w:pStyle w:val="25"/>
        <w:ind w:firstLine="480" w:firstLineChars="200"/>
        <w:rPr>
          <w:rFonts w:hint="default" w:asciiTheme="minorEastAsia" w:hAnsiTheme="minorEastAsia" w:eastAsiaTheme="minorEastAsia" w:cstheme="minorEastAsia"/>
          <w:kern w:val="2"/>
          <w:sz w:val="24"/>
          <w:szCs w:val="24"/>
          <w:lang w:val="en-US" w:eastAsia="zh-CN" w:bidi="ar-SA"/>
        </w:rPr>
      </w:pPr>
      <w:r>
        <w:rPr>
          <w:rFonts w:hint="default" w:asciiTheme="minorEastAsia" w:hAnsiTheme="minorEastAsia" w:eastAsiaTheme="minorEastAsia" w:cstheme="minorEastAsia"/>
          <w:kern w:val="2"/>
          <w:sz w:val="24"/>
          <w:szCs w:val="24"/>
          <w:lang w:val="en-US" w:eastAsia="zh-CN" w:bidi="ar-SA"/>
        </w:rPr>
        <w:t>①经初审合格的投标文件其投标报价为有效报价。满足招标文件要求且投标报价最低的投标报价为评标基准价，其价格分为100分（标准分）。</w:t>
      </w:r>
    </w:p>
    <w:p w14:paraId="06FF1B2E">
      <w:pPr>
        <w:pStyle w:val="25"/>
        <w:ind w:firstLine="480" w:firstLineChars="200"/>
        <w:rPr>
          <w:rFonts w:hint="default" w:asciiTheme="minorEastAsia" w:hAnsiTheme="minorEastAsia" w:eastAsiaTheme="minorEastAsia" w:cstheme="minorEastAsia"/>
          <w:kern w:val="2"/>
          <w:sz w:val="24"/>
          <w:szCs w:val="24"/>
          <w:lang w:val="en-US" w:eastAsia="zh-CN" w:bidi="ar-SA"/>
        </w:rPr>
      </w:pPr>
      <w:r>
        <w:rPr>
          <w:rFonts w:hint="default" w:asciiTheme="minorEastAsia" w:hAnsiTheme="minorEastAsia" w:eastAsiaTheme="minorEastAsia" w:cstheme="minorEastAsia"/>
          <w:kern w:val="2"/>
          <w:sz w:val="24"/>
          <w:szCs w:val="24"/>
          <w:lang w:val="en-US" w:eastAsia="zh-CN" w:bidi="ar-SA"/>
        </w:rPr>
        <w:t>②其他投标方的价格分统一按照下列公式计算：</w:t>
      </w:r>
    </w:p>
    <w:p w14:paraId="1D05F76A">
      <w:pPr>
        <w:pStyle w:val="25"/>
        <w:numPr>
          <w:ilvl w:val="0"/>
          <w:numId w:val="0"/>
        </w:numPr>
        <w:ind w:firstLine="480" w:firstLineChars="200"/>
        <w:rPr>
          <w:rFonts w:hint="default" w:asciiTheme="minorEastAsia" w:hAnsiTheme="minorEastAsia" w:eastAsiaTheme="minorEastAsia" w:cstheme="minorEastAsia"/>
          <w:kern w:val="2"/>
          <w:sz w:val="24"/>
          <w:szCs w:val="24"/>
          <w:highlight w:val="yellow"/>
          <w:lang w:val="en-US" w:eastAsia="zh-CN" w:bidi="ar-SA"/>
        </w:rPr>
      </w:pPr>
      <w:r>
        <w:rPr>
          <w:rFonts w:hint="default" w:asciiTheme="minorEastAsia" w:hAnsiTheme="minorEastAsia" w:eastAsiaTheme="minorEastAsia" w:cstheme="minorEastAsia"/>
          <w:kern w:val="2"/>
          <w:sz w:val="24"/>
          <w:szCs w:val="24"/>
          <w:highlight w:val="yellow"/>
          <w:lang w:val="en-US" w:eastAsia="zh-CN" w:bidi="ar-SA"/>
        </w:rPr>
        <w:t>100-（本轮报价-本轮最低报价）/本轮最低报价*100*2。</w:t>
      </w:r>
    </w:p>
    <w:p w14:paraId="6D82E37D">
      <w:pPr>
        <w:pStyle w:val="25"/>
        <w:numPr>
          <w:ilvl w:val="0"/>
          <w:numId w:val="0"/>
        </w:numPr>
        <w:ind w:firstLine="480" w:firstLineChars="200"/>
        <w:rPr>
          <w:rFonts w:hint="default" w:asciiTheme="minorEastAsia" w:hAnsiTheme="minorEastAsia" w:eastAsiaTheme="minorEastAsia" w:cstheme="minorEastAsia"/>
          <w:kern w:val="2"/>
          <w:sz w:val="24"/>
          <w:szCs w:val="24"/>
          <w:highlight w:val="yellow"/>
          <w:lang w:val="en-US" w:eastAsia="zh-CN" w:bidi="ar-SA"/>
        </w:rPr>
      </w:pPr>
      <w:r>
        <w:rPr>
          <w:rFonts w:hint="eastAsia" w:asciiTheme="minorEastAsia" w:hAnsiTheme="minorEastAsia" w:eastAsiaTheme="minorEastAsia" w:cstheme="minorEastAsia"/>
          <w:kern w:val="2"/>
          <w:sz w:val="24"/>
          <w:szCs w:val="24"/>
          <w:highlight w:val="yellow"/>
          <w:lang w:val="en-US" w:eastAsia="zh-CN" w:bidi="ar-SA"/>
        </w:rPr>
        <w:t>备注说明：本轮报价较本轮最低价每高1%，扣2分，扣完为止，如果出现负分，按照0分计算。</w:t>
      </w:r>
    </w:p>
    <w:p w14:paraId="266BA3E2">
      <w:pPr>
        <w:pStyle w:val="25"/>
        <w:ind w:firstLine="480" w:firstLineChars="200"/>
        <w:rPr>
          <w:rFonts w:hint="default" w:asciiTheme="minorEastAsia" w:hAnsiTheme="minorEastAsia" w:eastAsiaTheme="minorEastAsia" w:cstheme="minorEastAsia"/>
          <w:kern w:val="2"/>
          <w:sz w:val="24"/>
          <w:szCs w:val="24"/>
          <w:lang w:val="en-US" w:eastAsia="zh-CN" w:bidi="ar-SA"/>
        </w:rPr>
      </w:pPr>
      <w:r>
        <w:rPr>
          <w:rFonts w:hint="default" w:asciiTheme="minorEastAsia" w:hAnsiTheme="minorEastAsia" w:eastAsiaTheme="minorEastAsia" w:cstheme="minorEastAsia"/>
          <w:kern w:val="2"/>
          <w:sz w:val="24"/>
          <w:szCs w:val="24"/>
          <w:lang w:val="en-US" w:eastAsia="zh-CN" w:bidi="ar-SA"/>
        </w:rPr>
        <w:t>③百分率、得分值小数点后保留二位，第三位四舍五入。</w:t>
      </w:r>
    </w:p>
    <w:p w14:paraId="61CAC731">
      <w:pPr>
        <w:pStyle w:val="25"/>
        <w:ind w:firstLine="480" w:firstLineChars="200"/>
        <w:rPr>
          <w:rFonts w:hint="default" w:asciiTheme="minorEastAsia" w:hAnsiTheme="minorEastAsia" w:eastAsiaTheme="minorEastAsia" w:cstheme="minorEastAsia"/>
          <w:kern w:val="2"/>
          <w:sz w:val="24"/>
          <w:szCs w:val="24"/>
          <w:lang w:val="en-US" w:eastAsia="zh-CN" w:bidi="ar-SA"/>
        </w:rPr>
      </w:pPr>
      <w:r>
        <w:rPr>
          <w:rFonts w:hint="default" w:asciiTheme="minorEastAsia" w:hAnsiTheme="minorEastAsia" w:eastAsiaTheme="minorEastAsia" w:cstheme="minorEastAsia"/>
          <w:kern w:val="2"/>
          <w:sz w:val="24"/>
          <w:szCs w:val="24"/>
          <w:lang w:val="en-US" w:eastAsia="zh-CN" w:bidi="ar-SA"/>
        </w:rPr>
        <w:t>商务标得分占比</w:t>
      </w:r>
      <w:r>
        <w:rPr>
          <w:rFonts w:hint="eastAsia" w:asciiTheme="minorEastAsia" w:hAnsiTheme="minorEastAsia" w:eastAsiaTheme="minorEastAsia" w:cstheme="minorEastAsia"/>
          <w:kern w:val="2"/>
          <w:sz w:val="24"/>
          <w:szCs w:val="24"/>
          <w:lang w:val="en-US" w:eastAsia="zh-CN" w:bidi="ar-SA"/>
        </w:rPr>
        <w:t>6</w:t>
      </w:r>
      <w:r>
        <w:rPr>
          <w:rFonts w:hint="default" w:asciiTheme="minorEastAsia" w:hAnsiTheme="minorEastAsia" w:eastAsiaTheme="minorEastAsia" w:cstheme="minorEastAsia"/>
          <w:kern w:val="2"/>
          <w:sz w:val="24"/>
          <w:szCs w:val="24"/>
          <w:lang w:val="en-US" w:eastAsia="zh-CN" w:bidi="ar-SA"/>
        </w:rPr>
        <w:t>0%，计入最终评分。</w:t>
      </w:r>
    </w:p>
    <w:p w14:paraId="5F81961A">
      <w:pPr>
        <w:pStyle w:val="25"/>
        <w:ind w:firstLine="480" w:firstLineChars="200"/>
        <w:rPr>
          <w:rFonts w:hint="default" w:asciiTheme="minorEastAsia" w:hAnsiTheme="minorEastAsia" w:eastAsiaTheme="minorEastAsia" w:cstheme="minorEastAsia"/>
          <w:kern w:val="2"/>
          <w:sz w:val="24"/>
          <w:szCs w:val="24"/>
          <w:lang w:val="en-US" w:eastAsia="zh-CN" w:bidi="ar-SA"/>
        </w:rPr>
      </w:pPr>
      <w:r>
        <w:rPr>
          <w:rFonts w:hint="default" w:asciiTheme="minorEastAsia" w:hAnsiTheme="minorEastAsia" w:eastAsiaTheme="minorEastAsia" w:cstheme="minorEastAsia"/>
          <w:kern w:val="2"/>
          <w:sz w:val="24"/>
          <w:szCs w:val="24"/>
          <w:lang w:val="en-US" w:eastAsia="zh-CN" w:bidi="ar-SA"/>
        </w:rPr>
        <w:t>注意：</w:t>
      </w:r>
    </w:p>
    <w:p w14:paraId="7B223CE4">
      <w:pPr>
        <w:pStyle w:val="25"/>
        <w:ind w:firstLine="480" w:firstLineChars="200"/>
        <w:rPr>
          <w:rFonts w:hint="default" w:asciiTheme="minorEastAsia" w:hAnsiTheme="minorEastAsia" w:eastAsiaTheme="minorEastAsia" w:cstheme="minorEastAsia"/>
          <w:kern w:val="2"/>
          <w:sz w:val="24"/>
          <w:szCs w:val="24"/>
          <w:lang w:val="en-US" w:eastAsia="zh-CN" w:bidi="ar-SA"/>
        </w:rPr>
      </w:pPr>
      <w:r>
        <w:rPr>
          <w:rFonts w:hint="default" w:asciiTheme="minorEastAsia" w:hAnsiTheme="minorEastAsia" w:eastAsiaTheme="minorEastAsia" w:cstheme="minorEastAsia"/>
          <w:kern w:val="2"/>
          <w:sz w:val="24"/>
          <w:szCs w:val="24"/>
          <w:lang w:val="en-US" w:eastAsia="zh-CN" w:bidi="ar-SA"/>
        </w:rPr>
        <w:t>（1）每一轮填报澄清报价均有时间限制，投标人应关注e采通本轮报价截止时间，到点后未能提交的按无效处理。</w:t>
      </w:r>
    </w:p>
    <w:p w14:paraId="453A7B18">
      <w:pPr>
        <w:pStyle w:val="25"/>
        <w:ind w:firstLine="480" w:firstLineChars="200"/>
        <w:rPr>
          <w:rFonts w:hint="default" w:asciiTheme="minorEastAsia" w:hAnsiTheme="minorEastAsia" w:eastAsiaTheme="minorEastAsia" w:cstheme="minorEastAsia"/>
          <w:kern w:val="2"/>
          <w:sz w:val="24"/>
          <w:szCs w:val="24"/>
          <w:lang w:val="en-US" w:eastAsia="zh-CN" w:bidi="ar-SA"/>
        </w:rPr>
      </w:pPr>
      <w:r>
        <w:rPr>
          <w:rFonts w:hint="default" w:asciiTheme="minorEastAsia" w:hAnsiTheme="minorEastAsia" w:eastAsiaTheme="minorEastAsia" w:cstheme="minorEastAsia"/>
          <w:kern w:val="2"/>
          <w:sz w:val="24"/>
          <w:szCs w:val="24"/>
          <w:lang w:val="en-US" w:eastAsia="zh-CN" w:bidi="ar-SA"/>
        </w:rPr>
        <w:t>（2）每一轮澄清函中，应分别写明总价，各分项报价同比例下浮。</w:t>
      </w:r>
    </w:p>
    <w:p w14:paraId="5369576B">
      <w:pPr>
        <w:pStyle w:val="25"/>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w:t>
      </w:r>
      <w:r>
        <w:rPr>
          <w:rFonts w:hint="default" w:asciiTheme="minorEastAsia" w:hAnsiTheme="minorEastAsia" w:eastAsiaTheme="minorEastAsia" w:cstheme="minorEastAsia"/>
          <w:kern w:val="2"/>
          <w:sz w:val="24"/>
          <w:szCs w:val="24"/>
          <w:lang w:val="en-US" w:eastAsia="zh-CN" w:bidi="ar-SA"/>
        </w:rPr>
        <w:t>最终评分</w:t>
      </w:r>
    </w:p>
    <w:p w14:paraId="5A2A108D">
      <w:pPr>
        <w:pStyle w:val="25"/>
        <w:ind w:firstLine="480" w:firstLineChars="200"/>
        <w:rPr>
          <w:rFonts w:hint="default" w:asciiTheme="minorEastAsia" w:hAnsiTheme="minorEastAsia" w:eastAsiaTheme="minorEastAsia" w:cstheme="minorEastAsia"/>
          <w:kern w:val="2"/>
          <w:sz w:val="24"/>
          <w:szCs w:val="24"/>
          <w:lang w:val="en-US" w:eastAsia="zh-CN" w:bidi="ar-SA"/>
        </w:rPr>
      </w:pPr>
      <w:r>
        <w:rPr>
          <w:rFonts w:hint="default" w:asciiTheme="minorEastAsia" w:hAnsiTheme="minorEastAsia" w:eastAsiaTheme="minorEastAsia" w:cstheme="minorEastAsia"/>
          <w:kern w:val="2"/>
          <w:sz w:val="24"/>
          <w:szCs w:val="24"/>
          <w:lang w:val="en-US" w:eastAsia="zh-CN" w:bidi="ar-SA"/>
        </w:rPr>
        <w:t xml:space="preserve">技术部分在总分值占比 </w:t>
      </w:r>
      <w:r>
        <w:rPr>
          <w:rFonts w:hint="eastAsia" w:asciiTheme="minorEastAsia" w:hAnsiTheme="minorEastAsia" w:eastAsiaTheme="minorEastAsia" w:cstheme="minorEastAsia"/>
          <w:kern w:val="2"/>
          <w:sz w:val="24"/>
          <w:szCs w:val="24"/>
          <w:lang w:val="en-US" w:eastAsia="zh-CN" w:bidi="ar-SA"/>
        </w:rPr>
        <w:t>4</w:t>
      </w:r>
      <w:r>
        <w:rPr>
          <w:rFonts w:hint="default" w:asciiTheme="minorEastAsia" w:hAnsiTheme="minorEastAsia" w:eastAsiaTheme="minorEastAsia" w:cstheme="minorEastAsia"/>
          <w:kern w:val="2"/>
          <w:sz w:val="24"/>
          <w:szCs w:val="24"/>
          <w:lang w:val="en-US" w:eastAsia="zh-CN" w:bidi="ar-SA"/>
        </w:rPr>
        <w:t>0%，商务部分占比</w:t>
      </w:r>
      <w:r>
        <w:rPr>
          <w:rFonts w:hint="eastAsia" w:asciiTheme="minorEastAsia" w:hAnsiTheme="minorEastAsia" w:eastAsiaTheme="minorEastAsia" w:cstheme="minorEastAsia"/>
          <w:kern w:val="2"/>
          <w:sz w:val="24"/>
          <w:szCs w:val="24"/>
          <w:lang w:val="en-US" w:eastAsia="zh-CN" w:bidi="ar-SA"/>
        </w:rPr>
        <w:t>6</w:t>
      </w:r>
      <w:r>
        <w:rPr>
          <w:rFonts w:hint="default" w:asciiTheme="minorEastAsia" w:hAnsiTheme="minorEastAsia" w:eastAsiaTheme="minorEastAsia" w:cstheme="minorEastAsia"/>
          <w:kern w:val="2"/>
          <w:sz w:val="24"/>
          <w:szCs w:val="24"/>
          <w:lang w:val="en-US" w:eastAsia="zh-CN" w:bidi="ar-SA"/>
        </w:rPr>
        <w:t>0%，按照最终总分由高到低排序，推荐得分最高的投标人中标。</w:t>
      </w:r>
    </w:p>
    <w:p w14:paraId="76148A0C">
      <w:pPr>
        <w:tabs>
          <w:tab w:val="left" w:pos="1134"/>
        </w:tabs>
        <w:snapToGrid w:val="0"/>
        <w:spacing w:line="360" w:lineRule="auto"/>
        <w:outlineLvl w:val="1"/>
        <w:rPr>
          <w:rFonts w:asciiTheme="majorEastAsia" w:hAnsiTheme="majorEastAsia" w:eastAsiaTheme="majorEastAsia"/>
          <w:sz w:val="24"/>
          <w:szCs w:val="24"/>
        </w:rPr>
      </w:pPr>
      <w:r>
        <w:rPr>
          <w:rFonts w:hint="eastAsia" w:asciiTheme="minorEastAsia" w:hAnsiTheme="minorEastAsia" w:eastAsiaTheme="minorEastAsia" w:cstheme="minorEastAsia"/>
          <w:b/>
          <w:sz w:val="24"/>
          <w:szCs w:val="24"/>
        </w:rPr>
        <w:t>七、</w:t>
      </w:r>
      <w:r>
        <w:rPr>
          <w:rFonts w:hint="eastAsia" w:asciiTheme="majorEastAsia" w:hAnsiTheme="majorEastAsia" w:eastAsiaTheme="majorEastAsia"/>
          <w:b/>
          <w:sz w:val="24"/>
          <w:szCs w:val="24"/>
        </w:rPr>
        <w:t>技术要求</w:t>
      </w:r>
    </w:p>
    <w:p w14:paraId="1DB345D9">
      <w:pPr>
        <w:spacing w:line="360" w:lineRule="auto"/>
        <w:ind w:firstLine="482" w:firstLineChars="200"/>
        <w:rPr>
          <w:rFonts w:hint="default" w:asciiTheme="minorEastAsia" w:hAnsiTheme="minorEastAsia" w:eastAsiaTheme="minorEastAsia" w:cstheme="minorEastAsia"/>
          <w:b/>
          <w:sz w:val="24"/>
          <w:szCs w:val="24"/>
          <w:lang w:val="en-US" w:eastAsia="zh-CN"/>
        </w:rPr>
      </w:pPr>
      <w:r>
        <w:rPr>
          <w:rFonts w:hint="eastAsia" w:ascii="宋体" w:hAnsi="宋体"/>
          <w:b/>
          <w:bCs/>
          <w:color w:val="000000"/>
          <w:sz w:val="24"/>
          <w:szCs w:val="24"/>
          <w:lang w:val="en-US" w:eastAsia="zh-CN" w:bidi="zh-CN"/>
        </w:rPr>
        <w:t>技术要求详见</w:t>
      </w:r>
      <w:r>
        <w:rPr>
          <w:rFonts w:hint="eastAsia" w:ascii="宋体" w:hAnsi="宋体"/>
          <w:b/>
          <w:bCs/>
          <w:color w:val="000000"/>
          <w:sz w:val="24"/>
          <w:szCs w:val="24"/>
          <w:highlight w:val="none"/>
          <w:lang w:val="en-US" w:eastAsia="zh-CN" w:bidi="zh-CN"/>
        </w:rPr>
        <w:t>“技术文件”</w:t>
      </w:r>
    </w:p>
    <w:p w14:paraId="53E9E309">
      <w:pPr>
        <w:tabs>
          <w:tab w:val="left" w:pos="454"/>
        </w:tabs>
        <w:snapToGrid w:val="0"/>
        <w:spacing w:line="360" w:lineRule="auto"/>
        <w:outlineLvl w:val="1"/>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val="en-US" w:eastAsia="zh-CN"/>
        </w:rPr>
        <w:t>八</w:t>
      </w:r>
      <w:r>
        <w:rPr>
          <w:rFonts w:hint="eastAsia" w:asciiTheme="minorEastAsia" w:hAnsiTheme="minorEastAsia" w:eastAsiaTheme="minorEastAsia" w:cstheme="minorEastAsia"/>
          <w:b/>
          <w:sz w:val="24"/>
          <w:szCs w:val="24"/>
        </w:rPr>
        <w:t>、投标文件</w:t>
      </w:r>
    </w:p>
    <w:p w14:paraId="11BBF338">
      <w:pPr>
        <w:tabs>
          <w:tab w:val="left" w:pos="454"/>
        </w:tabs>
        <w:snapToGrid w:val="0"/>
        <w:spacing w:line="360" w:lineRule="auto"/>
        <w:ind w:firstLine="480"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投标方的投标文件由资格证明文件、商务标书构成。</w:t>
      </w:r>
      <w:r>
        <w:rPr>
          <w:rFonts w:hint="eastAsia" w:asciiTheme="minorEastAsia" w:hAnsiTheme="minorEastAsia" w:eastAsiaTheme="minorEastAsia" w:cstheme="minorEastAsia"/>
          <w:b/>
          <w:sz w:val="24"/>
          <w:szCs w:val="24"/>
        </w:rPr>
        <w:t>投标人需在投标截止时间前上传完</w:t>
      </w:r>
      <w:r>
        <w:rPr>
          <w:rFonts w:hint="eastAsia" w:asciiTheme="minorEastAsia" w:hAnsiTheme="minorEastAsia" w:eastAsiaTheme="minorEastAsia" w:cstheme="minorEastAsia"/>
          <w:b/>
          <w:bCs/>
          <w:sz w:val="24"/>
          <w:szCs w:val="24"/>
        </w:rPr>
        <w:t>整的投标文件（电子版）至e采通网站投标。</w:t>
      </w:r>
    </w:p>
    <w:p w14:paraId="525A03C0">
      <w:pPr>
        <w:pStyle w:val="151"/>
        <w:numPr>
          <w:ilvl w:val="0"/>
          <w:numId w:val="8"/>
        </w:numPr>
        <w:tabs>
          <w:tab w:val="left" w:pos="454"/>
        </w:tabs>
        <w:adjustRightInd w:val="0"/>
        <w:snapToGrid w:val="0"/>
        <w:spacing w:line="360" w:lineRule="auto"/>
        <w:ind w:left="420" w:firstLineChars="0"/>
        <w:jc w:val="left"/>
        <w:outlineLvl w:val="2"/>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bCs/>
          <w:sz w:val="24"/>
          <w:szCs w:val="24"/>
          <w:highlight w:val="none"/>
        </w:rPr>
        <w:t>资格证明文件</w:t>
      </w:r>
      <w:r>
        <w:rPr>
          <w:rFonts w:hint="eastAsia" w:asciiTheme="minorEastAsia" w:hAnsiTheme="minorEastAsia" w:eastAsiaTheme="minorEastAsia" w:cstheme="minorEastAsia"/>
          <w:sz w:val="24"/>
          <w:szCs w:val="24"/>
          <w:highlight w:val="none"/>
        </w:rPr>
        <w:t>包括（以下文件均需加盖公章）：</w:t>
      </w:r>
    </w:p>
    <w:p w14:paraId="5FDF8E69">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1、资质文件</w:t>
      </w:r>
    </w:p>
    <w:p w14:paraId="490D5C8C">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（1）法定代表人身份证明；</w:t>
      </w:r>
    </w:p>
    <w:p w14:paraId="03DD066E">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（2）法人授权委托书及身份证复印件；</w:t>
      </w:r>
    </w:p>
    <w:p w14:paraId="69B145A0">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（3）营业执照副本复印件；</w:t>
      </w:r>
    </w:p>
    <w:p w14:paraId="0C1F41E2">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（4）投标人应具有相应生产证明，若为代理商需具备厂家授权；</w:t>
      </w:r>
    </w:p>
    <w:p w14:paraId="4044F692">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648F9BDF">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（5）招标文件中要求的其他资格证明文件；</w:t>
      </w:r>
    </w:p>
    <w:p w14:paraId="62666C40">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（6）投标保证金缴纳凭证（应标时不做要求，投标时需随资质文件一同上传）</w:t>
      </w:r>
    </w:p>
    <w:p w14:paraId="358CF421">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2、技术标文件</w:t>
      </w:r>
    </w:p>
    <w:p w14:paraId="73D76201">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（1）技术规格偏离表；</w:t>
      </w:r>
    </w:p>
    <w:p w14:paraId="24AFADF8">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（2）备品备件工具材料明细表；</w:t>
      </w:r>
    </w:p>
    <w:p w14:paraId="130C72F9">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（3）设备技术性能、参数的描述；证明货物和服务与招标文件的要求相一致的文件，可以是文字资料、图纸和数据，它包括：</w:t>
      </w:r>
    </w:p>
    <w:p w14:paraId="38296E9D">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①主要技术指标和性能的详细说明；</w:t>
      </w:r>
    </w:p>
    <w:p w14:paraId="5E10F881">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②对照招标文件技术规格，逐条说明所提供货物和服务已对招标文件的技术规格做出了实质性的响应，并申明与技术规格条文的偏差和例外。特别对有具体参数要求的指标，投标人必须提供所投设备的具体参数值。</w:t>
      </w:r>
    </w:p>
    <w:p w14:paraId="796A7742">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③投标人在阐述时应注意招标文件的技术规格中指出的工艺、材料和设备的标准以及参照的品牌或型号仅起说明作用，并没有任何限制性。投标人在投标中可以选用替代标准、品牌或型号，但这些替代要实质上满足或超过招标文件的要求。</w:t>
      </w:r>
    </w:p>
    <w:p w14:paraId="7C0D743F">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（4）技术标书中严禁出现与投标报价有关的内容；</w:t>
      </w:r>
    </w:p>
    <w:p w14:paraId="663A82FA">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（5）设备安装、验收计划、现场服务（如果有）；</w:t>
      </w:r>
    </w:p>
    <w:p w14:paraId="58196F81">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（6）产品质量保修和售后服务内容及措施。</w:t>
      </w:r>
    </w:p>
    <w:p w14:paraId="28487276">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3、商务标文件</w:t>
      </w:r>
    </w:p>
    <w:p w14:paraId="0CB09C8A">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（1）投标函；</w:t>
      </w:r>
    </w:p>
    <w:p w14:paraId="47366199">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（2）开标一览表；</w:t>
      </w:r>
    </w:p>
    <w:p w14:paraId="105D4DE6">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（3）分项报价表；</w:t>
      </w:r>
    </w:p>
    <w:p w14:paraId="5AC825B9">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（4）服务承诺函、质量承诺函；</w:t>
      </w:r>
    </w:p>
    <w:p w14:paraId="62C45B2F">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（5）商务条款偏离表；</w:t>
      </w:r>
    </w:p>
    <w:p w14:paraId="1B79BBE5">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（6）其他需要说明的事项。</w:t>
      </w:r>
    </w:p>
    <w:p w14:paraId="22E389DD">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备注：提供上述资料均须加盖单位公章，扫描后上传e采通系统中。</w:t>
      </w:r>
    </w:p>
    <w:p w14:paraId="66504422">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4、其他</w:t>
      </w:r>
    </w:p>
    <w:p w14:paraId="0B0F07C8">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w:t>
      </w:r>
      <w:r>
        <w:rPr>
          <w:rFonts w:hint="default" w:asciiTheme="minorEastAsia" w:hAnsiTheme="minorEastAsia" w:eastAsiaTheme="minorEastAsia" w:cstheme="minorEastAsia"/>
          <w:kern w:val="2"/>
          <w:sz w:val="24"/>
          <w:szCs w:val="24"/>
          <w:lang w:val="en-US" w:eastAsia="zh-CN" w:bidi="ar-SA"/>
        </w:rPr>
        <w:t>投标人应与招标人指派的答疑人员充分沟通，理解认可并接受相关技术规范及服务要求；</w:t>
      </w:r>
    </w:p>
    <w:p w14:paraId="2BCA8D8C">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w:t>
      </w:r>
      <w:r>
        <w:rPr>
          <w:rFonts w:hint="default" w:asciiTheme="minorEastAsia" w:hAnsiTheme="minorEastAsia" w:eastAsiaTheme="minorEastAsia" w:cstheme="minorEastAsia"/>
          <w:kern w:val="2"/>
          <w:sz w:val="24"/>
          <w:szCs w:val="24"/>
          <w:lang w:val="en-US" w:eastAsia="zh-CN" w:bidi="ar-SA"/>
        </w:rPr>
        <w:t>投标人可免费提供的、包含但不限于招标人所要求的其他相关服务内容，在“开标一览表”中一并说明</w:t>
      </w:r>
      <w:r>
        <w:rPr>
          <w:rFonts w:hint="eastAsia" w:asciiTheme="minorEastAsia" w:hAnsiTheme="minorEastAsia" w:eastAsiaTheme="minorEastAsia" w:cstheme="minorEastAsia"/>
          <w:kern w:val="2"/>
          <w:sz w:val="24"/>
          <w:szCs w:val="24"/>
          <w:lang w:val="en-US" w:eastAsia="zh-CN" w:bidi="ar-SA"/>
        </w:rPr>
        <w:t>；</w:t>
      </w:r>
    </w:p>
    <w:p w14:paraId="0388396C">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（3）要求招标人或相关合同签订单位提供的配合，在标书文件中说明；</w:t>
      </w:r>
    </w:p>
    <w:p w14:paraId="15666A36">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（4）投标人须认可招标人由于招标人上级集团公司政策变化引起的合同签订前终止项目的要求。如投标人不认可、不接受，则投标人在“相关条款偏离表（含商务偏离及技术偏离）”中注明“不接受”字。</w:t>
      </w:r>
    </w:p>
    <w:p w14:paraId="5A405031">
      <w:pPr>
        <w:tabs>
          <w:tab w:val="left" w:pos="454"/>
        </w:tabs>
        <w:snapToGri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九、付款方式</w:t>
      </w:r>
    </w:p>
    <w:p w14:paraId="0F962BF0">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⑴本次招标为</w:t>
      </w:r>
      <w:r>
        <w:rPr>
          <w:rFonts w:hint="eastAsia" w:asciiTheme="minorEastAsia" w:hAnsiTheme="minorEastAsia" w:eastAsiaTheme="minorEastAsia" w:cstheme="minorEastAsia"/>
          <w:kern w:val="2"/>
          <w:sz w:val="24"/>
          <w:szCs w:val="24"/>
          <w:highlight w:val="yellow"/>
          <w:lang w:val="en-US" w:eastAsia="zh-CN" w:bidi="ar-SA"/>
        </w:rPr>
        <w:t>竞争性谈判</w:t>
      </w:r>
      <w:r>
        <w:rPr>
          <w:rFonts w:hint="eastAsia" w:asciiTheme="minorEastAsia" w:hAnsiTheme="minorEastAsia" w:eastAsiaTheme="minorEastAsia" w:cstheme="minorEastAsia"/>
          <w:kern w:val="2"/>
          <w:sz w:val="24"/>
          <w:szCs w:val="24"/>
          <w:lang w:val="en-US" w:eastAsia="zh-CN" w:bidi="ar-SA"/>
        </w:rPr>
        <w:t>，报价应为：</w:t>
      </w:r>
    </w:p>
    <w:p w14:paraId="191654E4">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经与招标人或其指派的答疑人员充分沟通确认基础上，由投标人在满足招标人所提出的、与本项目所有相关环节有关的所有费用；</w:t>
      </w:r>
    </w:p>
    <w:p w14:paraId="1BC3FE32">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⑵所有报价货币单位为：万元（人民币），含税，税率13%；</w:t>
      </w:r>
    </w:p>
    <w:p w14:paraId="47C9794E">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⑶付款结算方式：</w:t>
      </w:r>
      <w:r>
        <w:rPr>
          <w:rFonts w:hint="eastAsia" w:asciiTheme="minorEastAsia" w:hAnsiTheme="minorEastAsia" w:eastAsiaTheme="minorEastAsia" w:cstheme="minorEastAsia"/>
          <w:kern w:val="2"/>
          <w:sz w:val="24"/>
          <w:szCs w:val="24"/>
          <w:highlight w:val="yellow"/>
          <w:lang w:val="en-US" w:eastAsia="zh-CN" w:bidi="ar-SA"/>
        </w:rPr>
        <w:t>采用发票挂账90天，半年期商业汇票（包括银行承兑汇票和商业承兑汇票），验收款90%，质保金10%。具体以双方最终签署的合同为准。</w:t>
      </w:r>
    </w:p>
    <w:p w14:paraId="3FD7B980">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①维修完毕，经安装、调试最终经甲方验收合格后，甲方出具书面验收单，乙方提交金额为合同价款100%全额增值税专用发票，并附带该套合同的验收单原件，经买方依照财务制度审核无误后3个月支付验收款。</w:t>
      </w:r>
    </w:p>
    <w:p w14:paraId="0D500AE8">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②合同总价款的10%作为本合同约定的质量保证金，质量保证金在质量保证期内不计利息。质保期满后，卖方向买方提交金额为合同价款10%的收据及设备使用单位的使用情况说明，经买方依照财务制度审核无误后支付。如有质量问题，质量保证金予以相应扣除。</w:t>
      </w:r>
    </w:p>
    <w:p w14:paraId="34F2058B">
      <w:pPr>
        <w:snapToGri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十、投标保证金</w:t>
      </w:r>
    </w:p>
    <w:p w14:paraId="491AFF5D">
      <w:pPr>
        <w:pStyle w:val="151"/>
        <w:numPr>
          <w:ilvl w:val="0"/>
          <w:numId w:val="9"/>
        </w:numPr>
        <w:tabs>
          <w:tab w:val="left" w:pos="454"/>
        </w:tabs>
        <w:snapToGrid w:val="0"/>
        <w:spacing w:line="360" w:lineRule="auto"/>
        <w:ind w:firstLineChars="0"/>
        <w:rPr>
          <w:rFonts w:hint="eastAsia" w:asciiTheme="minorEastAsia" w:hAnsiTheme="minorEastAsia" w:eastAsiaTheme="minorEastAsia" w:cstheme="minorEastAsia"/>
          <w:color w:val="000000"/>
          <w:sz w:val="24"/>
          <w:szCs w:val="24"/>
        </w:rPr>
      </w:pPr>
      <w:r>
        <w:rPr>
          <w:rFonts w:hint="eastAsia" w:ascii="宋体" w:hAnsi="宋体" w:eastAsia="宋体" w:cs="宋体"/>
          <w:b/>
          <w:bCs/>
          <w:sz w:val="24"/>
          <w:szCs w:val="24"/>
          <w:highlight w:val="none"/>
        </w:rPr>
        <w:t>投标保证金的缴纳形式：</w:t>
      </w:r>
      <w:r>
        <w:rPr>
          <w:rFonts w:hint="eastAsia" w:ascii="宋体" w:hAnsi="宋体" w:cs="宋体"/>
          <w:sz w:val="24"/>
          <w:szCs w:val="24"/>
          <w:highlight w:val="none"/>
          <w:lang w:val="en-US" w:eastAsia="zh-CN"/>
        </w:rPr>
        <w:t>电汇或网银</w:t>
      </w:r>
      <w:r>
        <w:rPr>
          <w:rFonts w:hint="eastAsia" w:asciiTheme="minorEastAsia" w:hAnsiTheme="minorEastAsia" w:eastAsiaTheme="minorEastAsia" w:cstheme="minorEastAsia"/>
          <w:color w:val="000000"/>
          <w:sz w:val="24"/>
          <w:szCs w:val="24"/>
        </w:rPr>
        <w:t>。</w:t>
      </w:r>
    </w:p>
    <w:p w14:paraId="14301353">
      <w:pPr>
        <w:pStyle w:val="151"/>
        <w:keepNext w:val="0"/>
        <w:keepLines w:val="0"/>
        <w:pageBreakBefore w:val="0"/>
        <w:widowControl w:val="0"/>
        <w:numPr>
          <w:ilvl w:val="0"/>
          <w:numId w:val="9"/>
        </w:numPr>
        <w:tabs>
          <w:tab w:val="left" w:pos="454"/>
        </w:tabs>
        <w:kinsoku/>
        <w:wordWrap/>
        <w:overflowPunct/>
        <w:topLinePunct w:val="0"/>
        <w:autoSpaceDE/>
        <w:autoSpaceDN/>
        <w:bidi w:val="0"/>
        <w:adjustRightInd/>
        <w:snapToGrid w:val="0"/>
        <w:spacing w:line="360" w:lineRule="auto"/>
        <w:ind w:firstLineChars="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highlight w:val="yellow"/>
        </w:rPr>
        <w:t>投标保证金</w:t>
      </w:r>
      <w:r>
        <w:rPr>
          <w:rFonts w:hint="eastAsia" w:asciiTheme="minorEastAsia" w:hAnsiTheme="minorEastAsia" w:eastAsiaTheme="minorEastAsia" w:cstheme="minorEastAsia"/>
          <w:color w:val="000000"/>
          <w:sz w:val="24"/>
          <w:szCs w:val="24"/>
          <w:highlight w:val="yellow"/>
          <w:lang w:val="en-US" w:eastAsia="zh-CN"/>
        </w:rPr>
        <w:t>缴纳截止</w:t>
      </w:r>
      <w:r>
        <w:rPr>
          <w:rFonts w:hint="eastAsia" w:asciiTheme="minorEastAsia" w:hAnsiTheme="minorEastAsia" w:eastAsiaTheme="minorEastAsia" w:cstheme="minorEastAsia"/>
          <w:color w:val="000000"/>
          <w:sz w:val="24"/>
          <w:szCs w:val="24"/>
          <w:highlight w:val="yellow"/>
        </w:rPr>
        <w:t>时间</w:t>
      </w:r>
      <w:r>
        <w:rPr>
          <w:rFonts w:hint="eastAsia" w:asciiTheme="minorEastAsia" w:hAnsiTheme="minorEastAsia" w:eastAsiaTheme="minorEastAsia" w:cstheme="minorEastAsia"/>
          <w:color w:val="000000"/>
          <w:sz w:val="24"/>
          <w:szCs w:val="24"/>
          <w:highlight w:val="yellow"/>
          <w:lang w:eastAsia="zh-CN"/>
        </w:rPr>
        <w:t>：</w:t>
      </w:r>
      <w:r>
        <w:rPr>
          <w:rFonts w:hint="eastAsia" w:asciiTheme="minorEastAsia" w:hAnsiTheme="minorEastAsia" w:eastAsiaTheme="minorEastAsia" w:cstheme="minorEastAsia"/>
          <w:color w:val="000000"/>
          <w:sz w:val="24"/>
          <w:szCs w:val="24"/>
          <w:highlight w:val="yellow"/>
          <w:lang w:val="en-US" w:eastAsia="zh-CN"/>
        </w:rPr>
        <w:t>2026年9月24</w:t>
      </w:r>
      <w:bookmarkStart w:id="23" w:name="_GoBack"/>
      <w:bookmarkEnd w:id="23"/>
      <w:r>
        <w:rPr>
          <w:rFonts w:hint="eastAsia" w:asciiTheme="minorEastAsia" w:hAnsiTheme="minorEastAsia" w:eastAsiaTheme="minorEastAsia" w:cstheme="minorEastAsia"/>
          <w:color w:val="000000"/>
          <w:sz w:val="24"/>
          <w:szCs w:val="24"/>
          <w:highlight w:val="yellow"/>
          <w:lang w:val="en-US" w:eastAsia="zh-CN"/>
        </w:rPr>
        <w:t>日17：00</w:t>
      </w:r>
      <w:r>
        <w:rPr>
          <w:rFonts w:hint="default" w:ascii="宋体" w:hAnsi="宋体" w:cs="宋体"/>
          <w:sz w:val="24"/>
          <w:szCs w:val="24"/>
          <w:highlight w:val="none"/>
          <w:lang w:val="en-US" w:eastAsia="zh-CN"/>
        </w:rPr>
        <w:t>（北京时间）</w:t>
      </w:r>
      <w:r>
        <w:rPr>
          <w:rFonts w:hint="eastAsia" w:ascii="宋体" w:hAnsi="宋体" w:cs="宋体"/>
          <w:sz w:val="24"/>
          <w:szCs w:val="24"/>
          <w:highlight w:val="none"/>
        </w:rPr>
        <w:t>。</w:t>
      </w:r>
      <w:r>
        <w:rPr>
          <w:rFonts w:hint="eastAsia" w:asciiTheme="minorEastAsia" w:hAnsiTheme="minorEastAsia" w:eastAsiaTheme="minorEastAsia" w:cstheme="minorEastAsia"/>
          <w:b/>
          <w:color w:val="000000"/>
          <w:sz w:val="24"/>
          <w:szCs w:val="24"/>
          <w:highlight w:val="none"/>
          <w:u w:val="single"/>
          <w:lang w:eastAsia="zh-CN"/>
        </w:rPr>
        <w:t>（</w:t>
      </w:r>
      <w:r>
        <w:rPr>
          <w:rFonts w:hint="eastAsia" w:asciiTheme="minorEastAsia" w:hAnsiTheme="minorEastAsia" w:eastAsiaTheme="minorEastAsia" w:cstheme="minorEastAsia"/>
          <w:b/>
          <w:color w:val="000000"/>
          <w:sz w:val="24"/>
          <w:szCs w:val="24"/>
          <w:highlight w:val="none"/>
          <w:u w:val="single"/>
          <w:lang w:val="en-US" w:eastAsia="zh-CN"/>
        </w:rPr>
        <w:t>投标保证金缴纳凭证需随资质投标文件一起上传）</w:t>
      </w:r>
      <w:r>
        <w:rPr>
          <w:rFonts w:hint="eastAsia" w:asciiTheme="minorEastAsia" w:hAnsiTheme="minorEastAsia" w:eastAsiaTheme="minorEastAsia" w:cstheme="minorEastAsia"/>
          <w:b w:val="0"/>
          <w:bCs/>
          <w:color w:val="000000"/>
          <w:sz w:val="24"/>
          <w:szCs w:val="24"/>
          <w:highlight w:val="none"/>
          <w:u w:val="single"/>
          <w:lang w:val="en-US" w:eastAsia="zh-CN"/>
        </w:rPr>
        <w:t>投标方</w:t>
      </w:r>
      <w:r>
        <w:rPr>
          <w:rFonts w:hint="eastAsia" w:ascii="宋体" w:hAnsi="宋体" w:cs="宋体"/>
          <w:sz w:val="24"/>
          <w:szCs w:val="24"/>
          <w:highlight w:val="none"/>
        </w:rPr>
        <w:t>应充分考虑银行信息交换时间，由此带来的保证金不能按时到帐的责任由</w:t>
      </w:r>
      <w:r>
        <w:rPr>
          <w:rFonts w:hint="eastAsia" w:ascii="宋体" w:hAnsi="宋体" w:cs="宋体"/>
          <w:sz w:val="24"/>
          <w:szCs w:val="24"/>
          <w:highlight w:val="none"/>
          <w:lang w:val="en-US" w:eastAsia="zh-CN"/>
        </w:rPr>
        <w:t>投标方</w:t>
      </w:r>
      <w:r>
        <w:rPr>
          <w:rFonts w:hint="eastAsia" w:ascii="宋体" w:hAnsi="宋体" w:cs="宋体"/>
          <w:sz w:val="24"/>
          <w:szCs w:val="24"/>
          <w:highlight w:val="none"/>
        </w:rPr>
        <w:t>自行承担。</w:t>
      </w:r>
    </w:p>
    <w:p w14:paraId="3CB6858C">
      <w:pPr>
        <w:keepNext w:val="0"/>
        <w:keepLines w:val="0"/>
        <w:pageBreakBefore w:val="0"/>
        <w:widowControl w:val="0"/>
        <w:tabs>
          <w:tab w:val="left" w:pos="932"/>
        </w:tabs>
        <w:kinsoku/>
        <w:wordWrap/>
        <w:overflowPunct/>
        <w:topLinePunct w:val="0"/>
        <w:autoSpaceDE/>
        <w:autoSpaceDN/>
        <w:bidi w:val="0"/>
        <w:adjustRightInd/>
        <w:spacing w:line="360" w:lineRule="auto"/>
        <w:ind w:firstLine="482" w:firstLineChars="200"/>
        <w:textAlignment w:val="auto"/>
        <w:rPr>
          <w:rFonts w:ascii="宋体" w:hAnsi="宋体" w:eastAsia="宋体" w:cs="宋体"/>
          <w:b/>
          <w:bCs/>
          <w:sz w:val="24"/>
          <w:szCs w:val="24"/>
          <w:highlight w:val="yellow"/>
        </w:rPr>
      </w:pPr>
      <w:r>
        <w:rPr>
          <w:rFonts w:hint="eastAsia" w:ascii="宋体" w:hAnsi="宋体" w:eastAsia="宋体" w:cs="宋体"/>
          <w:b/>
          <w:bCs/>
          <w:sz w:val="24"/>
          <w:szCs w:val="24"/>
          <w:highlight w:val="yellow"/>
        </w:rPr>
        <w:t>投标保证金的金额：人民币</w:t>
      </w:r>
      <w:r>
        <w:rPr>
          <w:rFonts w:hint="eastAsia" w:ascii="宋体" w:hAnsi="宋体" w:cs="宋体"/>
          <w:b/>
          <w:bCs/>
          <w:sz w:val="24"/>
          <w:szCs w:val="24"/>
          <w:highlight w:val="yellow"/>
          <w:lang w:val="en-US" w:eastAsia="zh-CN"/>
        </w:rPr>
        <w:t>5</w:t>
      </w:r>
      <w:r>
        <w:rPr>
          <w:rFonts w:hint="eastAsia" w:ascii="宋体" w:hAnsi="宋体" w:eastAsia="宋体" w:cs="宋体"/>
          <w:b/>
          <w:bCs/>
          <w:sz w:val="24"/>
          <w:szCs w:val="24"/>
          <w:highlight w:val="yellow"/>
        </w:rPr>
        <w:t>000元</w:t>
      </w:r>
    </w:p>
    <w:p w14:paraId="2EABCB25">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ascii="宋体" w:hAnsi="宋体" w:eastAsia="宋体" w:cs="宋体"/>
          <w:b/>
          <w:bCs/>
          <w:sz w:val="24"/>
          <w:szCs w:val="24"/>
          <w:highlight w:val="yellow"/>
        </w:rPr>
      </w:pPr>
      <w:r>
        <w:rPr>
          <w:rFonts w:ascii="宋体" w:hAnsi="宋体" w:eastAsia="宋体" w:cs="宋体"/>
          <w:b/>
          <w:bCs/>
          <w:sz w:val="24"/>
          <w:szCs w:val="24"/>
          <w:highlight w:val="yellow"/>
        </w:rPr>
        <w:t>单位名称：中国重汽集团济南动力有限公司</w:t>
      </w:r>
    </w:p>
    <w:p w14:paraId="08CC052A">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ascii="宋体" w:hAnsi="宋体" w:eastAsia="宋体" w:cs="宋体"/>
          <w:b/>
          <w:bCs/>
          <w:sz w:val="24"/>
          <w:szCs w:val="24"/>
          <w:highlight w:val="yellow"/>
        </w:rPr>
      </w:pPr>
      <w:r>
        <w:rPr>
          <w:rFonts w:ascii="宋体" w:hAnsi="宋体" w:eastAsia="宋体" w:cs="宋体"/>
          <w:b/>
          <w:bCs/>
          <w:sz w:val="24"/>
          <w:szCs w:val="24"/>
          <w:highlight w:val="yellow"/>
        </w:rPr>
        <w:t>收款账号：</w:t>
      </w:r>
      <w:r>
        <w:rPr>
          <w:rFonts w:hint="eastAsia" w:ascii="宋体" w:hAnsi="宋体" w:eastAsia="宋体" w:cs="宋体"/>
          <w:b/>
          <w:bCs/>
          <w:sz w:val="24"/>
          <w:szCs w:val="24"/>
          <w:highlight w:val="yellow"/>
        </w:rPr>
        <w:t>371899991010003152396</w:t>
      </w:r>
    </w:p>
    <w:p w14:paraId="3BFB2826">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ascii="宋体" w:hAnsi="宋体" w:eastAsia="宋体" w:cs="宋体"/>
          <w:b/>
          <w:bCs/>
          <w:sz w:val="24"/>
          <w:szCs w:val="24"/>
          <w:highlight w:val="yellow"/>
        </w:rPr>
      </w:pPr>
      <w:r>
        <w:rPr>
          <w:rFonts w:ascii="宋体" w:hAnsi="宋体" w:eastAsia="宋体" w:cs="宋体"/>
          <w:b/>
          <w:bCs/>
          <w:sz w:val="24"/>
          <w:szCs w:val="24"/>
          <w:highlight w:val="yellow"/>
        </w:rPr>
        <w:t>开户行名称：</w:t>
      </w:r>
      <w:r>
        <w:rPr>
          <w:rFonts w:hint="eastAsia" w:ascii="宋体" w:hAnsi="宋体" w:eastAsia="宋体" w:cs="宋体"/>
          <w:b/>
          <w:bCs/>
          <w:sz w:val="24"/>
          <w:szCs w:val="24"/>
          <w:highlight w:val="yellow"/>
        </w:rPr>
        <w:t>交通银行股份有限公司山东省分行营业部</w:t>
      </w:r>
    </w:p>
    <w:p w14:paraId="707CBF66">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ascii="宋体" w:hAnsi="宋体" w:eastAsia="宋体" w:cs="宋体"/>
          <w:b/>
          <w:bCs/>
          <w:sz w:val="24"/>
          <w:szCs w:val="24"/>
          <w:highlight w:val="yellow"/>
        </w:rPr>
      </w:pPr>
      <w:r>
        <w:rPr>
          <w:rFonts w:ascii="宋体" w:hAnsi="宋体" w:eastAsia="宋体" w:cs="宋体"/>
          <w:b/>
          <w:bCs/>
          <w:sz w:val="24"/>
          <w:szCs w:val="24"/>
          <w:highlight w:val="yellow"/>
        </w:rPr>
        <w:t>开户行行号：</w:t>
      </w:r>
      <w:r>
        <w:rPr>
          <w:rFonts w:hint="eastAsia" w:ascii="宋体" w:hAnsi="宋体" w:eastAsia="宋体" w:cs="宋体"/>
          <w:b/>
          <w:bCs/>
          <w:sz w:val="24"/>
          <w:szCs w:val="24"/>
          <w:highlight w:val="yellow"/>
        </w:rPr>
        <w:t>301451000017</w:t>
      </w:r>
    </w:p>
    <w:p w14:paraId="1E137B95">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ascii="宋体" w:hAnsi="宋体" w:eastAsia="宋体" w:cs="宋体"/>
          <w:sz w:val="24"/>
          <w:szCs w:val="24"/>
          <w:highlight w:val="none"/>
        </w:rPr>
      </w:pPr>
      <w:r>
        <w:rPr>
          <w:rFonts w:hint="eastAsia" w:ascii="宋体" w:hAnsi="宋体" w:eastAsia="宋体" w:cs="宋体"/>
          <w:sz w:val="24"/>
          <w:szCs w:val="24"/>
          <w:highlight w:val="none"/>
        </w:rPr>
        <w:t>投标保证金应从投标人的基本账户转出至上述账户并到账，否则视为无效投标。</w:t>
      </w:r>
    </w:p>
    <w:p w14:paraId="5C4359FB">
      <w:pPr>
        <w:pStyle w:val="151"/>
        <w:keepNext w:val="0"/>
        <w:keepLines w:val="0"/>
        <w:pageBreakBefore w:val="0"/>
        <w:widowControl w:val="0"/>
        <w:tabs>
          <w:tab w:val="left" w:pos="454"/>
          <w:tab w:val="left" w:pos="2433"/>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000000"/>
          <w:sz w:val="24"/>
          <w:szCs w:val="24"/>
        </w:rPr>
      </w:pPr>
      <w:r>
        <w:rPr>
          <w:rFonts w:hint="eastAsia" w:eastAsia="宋体" w:cs="Times New Roman"/>
          <w:sz w:val="24"/>
          <w:szCs w:val="28"/>
          <w:highlight w:val="none"/>
        </w:rPr>
        <w:t>转账附言：</w:t>
      </w:r>
      <w:r>
        <w:rPr>
          <w:rFonts w:hint="eastAsia" w:eastAsia="宋体" w:cs="Times New Roman"/>
          <w:b/>
          <w:bCs/>
          <w:sz w:val="24"/>
          <w:szCs w:val="28"/>
          <w:highlight w:val="none"/>
        </w:rPr>
        <w:t>公司名称+</w:t>
      </w:r>
      <w:r>
        <w:rPr>
          <w:rFonts w:hint="eastAsia" w:eastAsia="宋体" w:cs="Times New Roman"/>
          <w:b/>
          <w:bCs/>
          <w:sz w:val="24"/>
          <w:szCs w:val="28"/>
          <w:highlight w:val="none"/>
          <w:lang w:val="en-US" w:eastAsia="zh-CN"/>
        </w:rPr>
        <w:t>项目</w:t>
      </w:r>
      <w:r>
        <w:rPr>
          <w:rFonts w:hint="eastAsia" w:cs="Times New Roman"/>
          <w:b/>
          <w:bCs/>
          <w:sz w:val="24"/>
          <w:szCs w:val="28"/>
          <w:highlight w:val="none"/>
          <w:lang w:val="en-US" w:eastAsia="zh-CN"/>
        </w:rPr>
        <w:t>名称+</w:t>
      </w:r>
      <w:r>
        <w:rPr>
          <w:rFonts w:hint="eastAsia" w:eastAsia="宋体" w:cs="Times New Roman"/>
          <w:b/>
          <w:bCs/>
          <w:sz w:val="24"/>
          <w:szCs w:val="28"/>
          <w:highlight w:val="none"/>
        </w:rPr>
        <w:t>投标保证金</w:t>
      </w:r>
      <w:r>
        <w:rPr>
          <w:rFonts w:hint="eastAsia" w:eastAsia="宋体" w:cs="Times New Roman"/>
          <w:sz w:val="24"/>
          <w:szCs w:val="28"/>
          <w:highlight w:val="none"/>
        </w:rPr>
        <w:t>。</w:t>
      </w:r>
    </w:p>
    <w:p w14:paraId="0C755D3A">
      <w:pPr>
        <w:pStyle w:val="151"/>
        <w:numPr>
          <w:ilvl w:val="0"/>
          <w:numId w:val="9"/>
        </w:numPr>
        <w:tabs>
          <w:tab w:val="left" w:pos="454"/>
          <w:tab w:val="left" w:pos="2433"/>
        </w:tabs>
        <w:snapToGrid w:val="0"/>
        <w:spacing w:line="360" w:lineRule="auto"/>
        <w:ind w:firstLineChars="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投标保证金的退还</w:t>
      </w:r>
    </w:p>
    <w:p w14:paraId="05EAF43D">
      <w:pPr>
        <w:pStyle w:val="151"/>
        <w:numPr>
          <w:ilvl w:val="0"/>
          <w:numId w:val="10"/>
        </w:numPr>
        <w:tabs>
          <w:tab w:val="left" w:pos="454"/>
          <w:tab w:val="left" w:pos="2433"/>
        </w:tabs>
        <w:snapToGrid w:val="0"/>
        <w:spacing w:line="360" w:lineRule="auto"/>
        <w:ind w:firstLineChars="0"/>
        <w:rPr>
          <w:rFonts w:hint="eastAsia" w:asciiTheme="minorEastAsia" w:hAnsiTheme="minorEastAsia" w:eastAsiaTheme="minorEastAsia" w:cstheme="minorEastAsia"/>
          <w:color w:val="000000"/>
          <w:sz w:val="24"/>
          <w:szCs w:val="24"/>
        </w:rPr>
      </w:pPr>
      <w:r>
        <w:rPr>
          <w:rFonts w:hint="eastAsia" w:ascii="宋体" w:hAnsi="宋体" w:cs="宋体"/>
          <w:sz w:val="24"/>
          <w:szCs w:val="24"/>
          <w:highlight w:val="none"/>
        </w:rPr>
        <w:t>对于没有中标的投标人，投标保证金将于招标人内部完成中标人评审并确认最终中标人后在</w:t>
      </w:r>
      <w:r>
        <w:rPr>
          <w:rFonts w:hint="eastAsia" w:ascii="宋体" w:hAnsi="宋体" w:cs="宋体"/>
          <w:sz w:val="24"/>
          <w:szCs w:val="24"/>
          <w:highlight w:val="none"/>
          <w:lang w:val="en-US" w:eastAsia="zh-CN"/>
        </w:rPr>
        <w:t>一个付款周期</w:t>
      </w:r>
      <w:r>
        <w:rPr>
          <w:rFonts w:hint="eastAsia" w:ascii="宋体" w:hAnsi="宋体" w:cs="宋体"/>
          <w:sz w:val="24"/>
          <w:szCs w:val="24"/>
          <w:highlight w:val="none"/>
        </w:rPr>
        <w:t>内予以原路返还（无息）；对于中标方，投标保证金将在签订合同后</w:t>
      </w:r>
      <w:r>
        <w:rPr>
          <w:rFonts w:hint="eastAsia" w:ascii="宋体" w:hAnsi="宋体" w:cs="宋体"/>
          <w:sz w:val="24"/>
          <w:szCs w:val="24"/>
          <w:highlight w:val="none"/>
          <w:lang w:val="en-US" w:eastAsia="zh-CN"/>
        </w:rPr>
        <w:t>一个付款周期</w:t>
      </w:r>
      <w:r>
        <w:rPr>
          <w:rFonts w:hint="eastAsia" w:ascii="宋体" w:hAnsi="宋体" w:cs="宋体"/>
          <w:sz w:val="24"/>
          <w:szCs w:val="24"/>
          <w:highlight w:val="none"/>
        </w:rPr>
        <w:t>内原路返还（无息）。</w:t>
      </w:r>
    </w:p>
    <w:p w14:paraId="32B77242">
      <w:pPr>
        <w:pStyle w:val="229"/>
        <w:ind w:left="0" w:leftChars="0" w:firstLine="0" w:firstLineChars="0"/>
        <w:rPr>
          <w:rFonts w:eastAsia="宋体" w:cs="宋体"/>
          <w:highlight w:val="none"/>
        </w:rPr>
      </w:pPr>
      <w:r>
        <w:rPr>
          <w:rFonts w:hint="eastAsia" w:eastAsia="宋体" w:cs="宋体"/>
          <w:highlight w:val="none"/>
          <w:lang w:val="en-US" w:eastAsia="zh-CN"/>
        </w:rPr>
        <w:t>4.</w:t>
      </w:r>
      <w:r>
        <w:rPr>
          <w:rFonts w:hint="eastAsia" w:eastAsia="宋体" w:cs="宋体"/>
          <w:highlight w:val="none"/>
        </w:rPr>
        <w:t>发生以下情况时，招标人有权没收保证金：</w:t>
      </w:r>
    </w:p>
    <w:p w14:paraId="42A715FC">
      <w:pPr>
        <w:pStyle w:val="229"/>
        <w:ind w:firstLine="480"/>
        <w:rPr>
          <w:rFonts w:eastAsia="宋体" w:cs="宋体"/>
          <w:highlight w:val="none"/>
        </w:rPr>
      </w:pPr>
      <w:r>
        <w:rPr>
          <w:rFonts w:hint="eastAsia" w:eastAsia="宋体" w:cs="宋体"/>
          <w:highlight w:val="none"/>
          <w:lang w:eastAsia="zh-CN"/>
        </w:rPr>
        <w:t>（</w:t>
      </w:r>
      <w:r>
        <w:rPr>
          <w:rFonts w:hint="eastAsia" w:eastAsia="宋体" w:cs="宋体"/>
          <w:highlight w:val="none"/>
          <w:lang w:val="en-US" w:eastAsia="zh-CN"/>
        </w:rPr>
        <w:t>1</w:t>
      </w:r>
      <w:r>
        <w:rPr>
          <w:rFonts w:hint="eastAsia" w:eastAsia="宋体" w:cs="宋体"/>
          <w:highlight w:val="none"/>
          <w:lang w:eastAsia="zh-CN"/>
        </w:rPr>
        <w:t>）</w:t>
      </w:r>
      <w:r>
        <w:rPr>
          <w:rFonts w:hint="eastAsia" w:eastAsia="宋体" w:cs="宋体"/>
          <w:highlight w:val="none"/>
        </w:rPr>
        <w:t>截至开标前3天，投标人无正当理由且未以书面形式递交说明而在投标截止日不来投标的；</w:t>
      </w:r>
    </w:p>
    <w:p w14:paraId="1F032D61">
      <w:pPr>
        <w:pStyle w:val="229"/>
        <w:ind w:firstLine="480"/>
        <w:rPr>
          <w:rFonts w:eastAsia="宋体" w:cs="宋体"/>
          <w:highlight w:val="none"/>
        </w:rPr>
      </w:pPr>
      <w:r>
        <w:rPr>
          <w:rFonts w:hint="eastAsia" w:eastAsia="宋体" w:cs="宋体"/>
          <w:highlight w:val="none"/>
          <w:lang w:eastAsia="zh-CN"/>
        </w:rPr>
        <w:t>（</w:t>
      </w:r>
      <w:r>
        <w:rPr>
          <w:rFonts w:hint="eastAsia" w:eastAsia="宋体" w:cs="宋体"/>
          <w:highlight w:val="none"/>
          <w:lang w:val="en-US" w:eastAsia="zh-CN"/>
        </w:rPr>
        <w:t>2</w:t>
      </w:r>
      <w:r>
        <w:rPr>
          <w:rFonts w:hint="eastAsia" w:eastAsia="宋体" w:cs="宋体"/>
          <w:highlight w:val="none"/>
          <w:lang w:eastAsia="zh-CN"/>
        </w:rPr>
        <w:t>）</w:t>
      </w:r>
      <w:r>
        <w:rPr>
          <w:rFonts w:hint="eastAsia" w:eastAsia="宋体" w:cs="宋体"/>
          <w:highlight w:val="none"/>
        </w:rPr>
        <w:t>投标人递送投标文件后，无正当理由放弃投标的；</w:t>
      </w:r>
    </w:p>
    <w:p w14:paraId="57F0AAFE">
      <w:pPr>
        <w:pStyle w:val="229"/>
        <w:ind w:firstLine="480"/>
        <w:rPr>
          <w:rFonts w:eastAsia="宋体" w:cs="宋体"/>
          <w:highlight w:val="none"/>
        </w:rPr>
      </w:pPr>
      <w:r>
        <w:rPr>
          <w:rFonts w:hint="eastAsia" w:eastAsia="宋体" w:cs="宋体"/>
          <w:highlight w:val="none"/>
          <w:lang w:eastAsia="zh-CN"/>
        </w:rPr>
        <w:t>（</w:t>
      </w:r>
      <w:r>
        <w:rPr>
          <w:rFonts w:hint="eastAsia" w:eastAsia="宋体" w:cs="宋体"/>
          <w:highlight w:val="none"/>
          <w:lang w:val="en-US" w:eastAsia="zh-CN"/>
        </w:rPr>
        <w:t>3</w:t>
      </w:r>
      <w:r>
        <w:rPr>
          <w:rFonts w:hint="eastAsia" w:eastAsia="宋体" w:cs="宋体"/>
          <w:highlight w:val="none"/>
          <w:lang w:eastAsia="zh-CN"/>
        </w:rPr>
        <w:t>）</w:t>
      </w:r>
      <w:r>
        <w:rPr>
          <w:rFonts w:hint="eastAsia" w:eastAsia="宋体" w:cs="宋体"/>
          <w:highlight w:val="none"/>
        </w:rPr>
        <w:t>若为视频开标，招标过程中澄清函等资料原件未按要求提交的；</w:t>
      </w:r>
    </w:p>
    <w:p w14:paraId="46DCBA6C">
      <w:pPr>
        <w:pStyle w:val="229"/>
        <w:ind w:firstLine="480"/>
        <w:rPr>
          <w:rFonts w:eastAsia="宋体" w:cs="宋体"/>
          <w:highlight w:val="none"/>
        </w:rPr>
      </w:pPr>
      <w:r>
        <w:rPr>
          <w:rFonts w:hint="eastAsia" w:eastAsia="宋体" w:cs="宋体"/>
          <w:highlight w:val="none"/>
          <w:lang w:eastAsia="zh-CN"/>
        </w:rPr>
        <w:t>（</w:t>
      </w:r>
      <w:r>
        <w:rPr>
          <w:rFonts w:hint="eastAsia" w:eastAsia="宋体" w:cs="宋体"/>
          <w:highlight w:val="none"/>
          <w:lang w:val="en-US" w:eastAsia="zh-CN"/>
        </w:rPr>
        <w:t>4</w:t>
      </w:r>
      <w:r>
        <w:rPr>
          <w:rFonts w:hint="eastAsia" w:eastAsia="宋体" w:cs="宋体"/>
          <w:highlight w:val="none"/>
          <w:lang w:eastAsia="zh-CN"/>
        </w:rPr>
        <w:t>）</w:t>
      </w:r>
      <w:r>
        <w:rPr>
          <w:rFonts w:hint="eastAsia" w:eastAsia="宋体" w:cs="宋体"/>
          <w:highlight w:val="none"/>
        </w:rPr>
        <w:t>自中标通知书发出之日起30日内，中标人无正当理由不签订合同的；</w:t>
      </w:r>
    </w:p>
    <w:p w14:paraId="1CE8AD82">
      <w:pPr>
        <w:pStyle w:val="229"/>
        <w:ind w:firstLine="480"/>
        <w:rPr>
          <w:rFonts w:eastAsia="宋体" w:cs="宋体"/>
          <w:highlight w:val="none"/>
        </w:rPr>
      </w:pPr>
      <w:r>
        <w:rPr>
          <w:rFonts w:hint="eastAsia" w:eastAsia="宋体" w:cs="宋体"/>
          <w:highlight w:val="none"/>
          <w:lang w:eastAsia="zh-CN"/>
        </w:rPr>
        <w:t>（</w:t>
      </w:r>
      <w:r>
        <w:rPr>
          <w:rFonts w:hint="eastAsia" w:eastAsia="宋体" w:cs="宋体"/>
          <w:highlight w:val="none"/>
          <w:lang w:val="en-US" w:eastAsia="zh-CN"/>
        </w:rPr>
        <w:t>5</w:t>
      </w:r>
      <w:r>
        <w:rPr>
          <w:rFonts w:hint="eastAsia" w:eastAsia="宋体" w:cs="宋体"/>
          <w:highlight w:val="none"/>
          <w:lang w:eastAsia="zh-CN"/>
        </w:rPr>
        <w:t>）</w:t>
      </w:r>
      <w:r>
        <w:rPr>
          <w:rFonts w:hint="eastAsia" w:eastAsia="宋体" w:cs="宋体"/>
          <w:highlight w:val="none"/>
        </w:rPr>
        <w:t>投标人在投标过程中被查实有串标、围标、陪标等违规违纪行为的；</w:t>
      </w:r>
    </w:p>
    <w:p w14:paraId="46D6A965">
      <w:pPr>
        <w:pStyle w:val="229"/>
        <w:spacing w:line="360" w:lineRule="auto"/>
        <w:ind w:firstLine="480"/>
        <w:rPr>
          <w:rFonts w:hint="eastAsia" w:ascii="宋体" w:hAnsi="宋体" w:eastAsia="宋体" w:cs="宋体"/>
          <w:color w:val="000000"/>
          <w:sz w:val="24"/>
          <w:szCs w:val="24"/>
          <w:highlight w:val="none"/>
        </w:rPr>
      </w:pPr>
      <w:r>
        <w:rPr>
          <w:rFonts w:hint="eastAsia" w:eastAsia="宋体" w:cs="宋体"/>
          <w:color w:val="000000"/>
          <w:sz w:val="24"/>
          <w:szCs w:val="24"/>
          <w:highlight w:val="none"/>
          <w:lang w:eastAsia="zh-CN"/>
        </w:rPr>
        <w:t>（</w:t>
      </w:r>
      <w:r>
        <w:rPr>
          <w:rFonts w:hint="eastAsia" w:eastAsia="宋体" w:cs="宋体"/>
          <w:color w:val="000000"/>
          <w:sz w:val="24"/>
          <w:szCs w:val="24"/>
          <w:highlight w:val="none"/>
          <w:lang w:val="en-US" w:eastAsia="zh-CN"/>
        </w:rPr>
        <w:t>6</w:t>
      </w:r>
      <w:r>
        <w:rPr>
          <w:rFonts w:hint="eastAsia" w:eastAsia="宋体" w:cs="宋体"/>
          <w:color w:val="000000"/>
          <w:sz w:val="24"/>
          <w:szCs w:val="24"/>
          <w:highlight w:val="none"/>
          <w:lang w:eastAsia="zh-CN"/>
        </w:rPr>
        <w:t>）</w:t>
      </w:r>
      <w:r>
        <w:rPr>
          <w:rFonts w:hint="eastAsia" w:ascii="宋体" w:hAnsi="宋体" w:eastAsia="宋体" w:cs="宋体"/>
          <w:color w:val="000000"/>
          <w:sz w:val="24"/>
          <w:szCs w:val="24"/>
          <w:highlight w:val="none"/>
        </w:rPr>
        <w:t>投标人有违约违规行为或被投诉、举报的，在调查处理期间，保证金暂不退还，待调查处理结束后按有关规定处理。</w:t>
      </w:r>
    </w:p>
    <w:p w14:paraId="3C1C317D">
      <w:pPr>
        <w:pStyle w:val="229"/>
        <w:spacing w:line="360" w:lineRule="auto"/>
        <w:ind w:firstLine="480"/>
        <w:rPr>
          <w:rFonts w:hint="eastAsia" w:ascii="宋体" w:hAnsi="宋体" w:eastAsia="宋体" w:cs="宋体"/>
          <w:sz w:val="24"/>
          <w:szCs w:val="24"/>
          <w:highlight w:val="none"/>
        </w:rPr>
      </w:pPr>
      <w:r>
        <w:rPr>
          <w:rFonts w:hint="eastAsia" w:eastAsia="宋体" w:cs="宋体"/>
          <w:sz w:val="24"/>
          <w:szCs w:val="24"/>
          <w:highlight w:val="none"/>
          <w:lang w:val="en-US" w:eastAsia="zh-CN"/>
        </w:rPr>
        <w:t>（7）</w:t>
      </w:r>
      <w:r>
        <w:rPr>
          <w:rFonts w:hint="eastAsia" w:ascii="宋体" w:hAnsi="宋体" w:eastAsia="宋体" w:cs="宋体"/>
          <w:color w:val="000000"/>
          <w:sz w:val="24"/>
          <w:szCs w:val="24"/>
          <w:highlight w:val="none"/>
        </w:rPr>
        <w:t>供应商与采购人、其他供应商或者采购代理机构恶意串通、围标、陪标的</w:t>
      </w:r>
      <w:r>
        <w:rPr>
          <w:rFonts w:hint="eastAsia" w:ascii="宋体" w:hAnsi="宋体" w:eastAsia="宋体" w:cs="宋体"/>
          <w:sz w:val="24"/>
          <w:szCs w:val="24"/>
          <w:highlight w:val="none"/>
        </w:rPr>
        <w:t>；</w:t>
      </w:r>
    </w:p>
    <w:p w14:paraId="5A2EA0D9">
      <w:pPr>
        <w:spacing w:line="360" w:lineRule="auto"/>
        <w:ind w:right="2" w:firstLine="480" w:firstLineChars="200"/>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val="en-US" w:eastAsia="zh-CN"/>
        </w:rPr>
        <w:t>（8）</w:t>
      </w:r>
      <w:r>
        <w:rPr>
          <w:rFonts w:hint="eastAsia" w:ascii="宋体" w:hAnsi="宋体" w:eastAsia="宋体" w:cs="宋体"/>
          <w:color w:val="000000"/>
          <w:sz w:val="24"/>
          <w:szCs w:val="24"/>
          <w:highlight w:val="none"/>
        </w:rPr>
        <w:t>供应商有违约违规行为或被投诉、举报的，在调查处理期间，保证金暂不退还，待调查处理结束后按有关规定处理</w:t>
      </w:r>
      <w:r>
        <w:rPr>
          <w:rFonts w:hint="eastAsia" w:ascii="宋体" w:hAnsi="宋体" w:eastAsia="宋体" w:cs="宋体"/>
          <w:color w:val="000000"/>
          <w:sz w:val="24"/>
          <w:szCs w:val="24"/>
          <w:highlight w:val="none"/>
          <w:lang w:eastAsia="zh-CN"/>
        </w:rPr>
        <w:t>；</w:t>
      </w:r>
    </w:p>
    <w:p w14:paraId="65A1E946">
      <w:pPr>
        <w:spacing w:line="360" w:lineRule="auto"/>
        <w:ind w:right="2" w:firstLine="480" w:firstLineChars="200"/>
        <w:rPr>
          <w:rFonts w:hint="eastAsia" w:ascii="宋体" w:hAnsi="宋体" w:cs="宋体"/>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eastAsia="宋体" w:cs="宋体"/>
          <w:color w:val="000000"/>
          <w:sz w:val="24"/>
          <w:szCs w:val="24"/>
          <w:highlight w:val="none"/>
        </w:rPr>
        <w:t>采购文件规定的其他情形。</w:t>
      </w:r>
    </w:p>
    <w:p w14:paraId="20D7D000">
      <w:pPr>
        <w:snapToGri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w:t>
      </w:r>
      <w:r>
        <w:rPr>
          <w:rFonts w:hint="eastAsia" w:asciiTheme="minorEastAsia" w:hAnsiTheme="minorEastAsia" w:eastAsiaTheme="minorEastAsia" w:cstheme="minorEastAsia"/>
          <w:b/>
          <w:sz w:val="24"/>
          <w:szCs w:val="24"/>
          <w:lang w:val="en-US" w:eastAsia="zh-CN"/>
        </w:rPr>
        <w:t>一</w:t>
      </w:r>
      <w:r>
        <w:rPr>
          <w:rFonts w:hint="eastAsia" w:asciiTheme="minorEastAsia" w:hAnsiTheme="minorEastAsia" w:eastAsiaTheme="minorEastAsia" w:cstheme="minorEastAsia"/>
          <w:b/>
          <w:sz w:val="24"/>
          <w:szCs w:val="24"/>
        </w:rPr>
        <w:t>、中标</w:t>
      </w:r>
    </w:p>
    <w:p w14:paraId="3E8C097B">
      <w:pPr>
        <w:pStyle w:val="151"/>
        <w:numPr>
          <w:ilvl w:val="0"/>
          <w:numId w:val="11"/>
        </w:numPr>
        <w:adjustRightInd w:val="0"/>
        <w:snapToGrid w:val="0"/>
        <w:spacing w:line="360" w:lineRule="auto"/>
        <w:ind w:left="420" w:firstLineChar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评标定标后，招标人将以</w:t>
      </w:r>
      <w:r>
        <w:rPr>
          <w:rFonts w:hint="eastAsia" w:asciiTheme="minorEastAsia" w:hAnsiTheme="minorEastAsia" w:eastAsiaTheme="minorEastAsia" w:cstheme="minorEastAsia"/>
          <w:sz w:val="24"/>
          <w:szCs w:val="24"/>
          <w:lang w:val="en-US" w:eastAsia="zh-CN"/>
        </w:rPr>
        <w:t>书面</w:t>
      </w:r>
      <w:r>
        <w:rPr>
          <w:rFonts w:hint="eastAsia" w:asciiTheme="minorEastAsia" w:hAnsiTheme="minorEastAsia" w:eastAsiaTheme="minorEastAsia" w:cstheme="minorEastAsia"/>
          <w:sz w:val="24"/>
          <w:szCs w:val="24"/>
        </w:rPr>
        <w:t>通知的形式通知中标单位。</w:t>
      </w:r>
    </w:p>
    <w:p w14:paraId="605836FD">
      <w:pPr>
        <w:pStyle w:val="151"/>
        <w:numPr>
          <w:ilvl w:val="0"/>
          <w:numId w:val="11"/>
        </w:numPr>
        <w:adjustRightInd w:val="0"/>
        <w:snapToGrid w:val="0"/>
        <w:spacing w:line="360" w:lineRule="auto"/>
        <w:ind w:left="420" w:firstLineChars="0"/>
        <w:jc w:val="left"/>
        <w:rPr>
          <w:rFonts w:hint="eastAsia"/>
        </w:rPr>
      </w:pPr>
      <w:r>
        <w:rPr>
          <w:rFonts w:hint="eastAsia" w:asciiTheme="minorEastAsia" w:hAnsiTheme="minorEastAsia" w:eastAsiaTheme="minorEastAsia" w:cstheme="minorEastAsia"/>
          <w:sz w:val="24"/>
          <w:szCs w:val="24"/>
        </w:rPr>
        <w:t>中标人收到中标通知后，应在30个工作日内与招标人签订合同，中标人无正当理由不与招标人订立合同，或在签订合同时向招标人提出附加条件，取消其中标资格。</w:t>
      </w:r>
    </w:p>
    <w:p w14:paraId="67556CA5">
      <w:pPr>
        <w:pStyle w:val="151"/>
        <w:numPr>
          <w:ilvl w:val="0"/>
          <w:numId w:val="11"/>
        </w:numPr>
        <w:adjustRightInd w:val="0"/>
        <w:snapToGrid w:val="0"/>
        <w:spacing w:line="360" w:lineRule="auto"/>
        <w:ind w:left="420" w:firstLineChars="0"/>
        <w:jc w:val="left"/>
        <w:rPr>
          <w:rFonts w:hint="eastAsia" w:asciiTheme="minorEastAsia" w:hAnsiTheme="minorEastAsia" w:eastAsiaTheme="minorEastAsia" w:cstheme="minorEastAsia"/>
          <w:b/>
          <w:sz w:val="24"/>
          <w:szCs w:val="24"/>
        </w:rPr>
      </w:pPr>
      <w:r>
        <w:rPr>
          <w:rFonts w:hint="eastAsia" w:ascii="Times New Roman" w:hAnsi="Times New Roman"/>
          <w:b/>
          <w:color w:val="FF0000"/>
        </w:rPr>
        <w:t>若投标人已成为意向中标人，投标人必须无条件配合招标人完成核价流程的工作。</w:t>
      </w:r>
    </w:p>
    <w:p w14:paraId="669188AB">
      <w:pPr>
        <w:snapToGri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w:t>
      </w:r>
      <w:r>
        <w:rPr>
          <w:rFonts w:hint="eastAsia" w:asciiTheme="minorEastAsia" w:hAnsiTheme="minorEastAsia" w:eastAsiaTheme="minorEastAsia" w:cstheme="minorEastAsia"/>
          <w:b/>
          <w:sz w:val="24"/>
          <w:szCs w:val="24"/>
          <w:lang w:val="en-US" w:eastAsia="zh-CN"/>
        </w:rPr>
        <w:t>二</w:t>
      </w:r>
      <w:r>
        <w:rPr>
          <w:rFonts w:hint="eastAsia" w:asciiTheme="minorEastAsia" w:hAnsiTheme="minorEastAsia" w:eastAsiaTheme="minorEastAsia" w:cstheme="minorEastAsia"/>
          <w:b/>
          <w:sz w:val="24"/>
          <w:szCs w:val="24"/>
        </w:rPr>
        <w:t>、中标人瑕疵滞后发现的处理原则</w:t>
      </w:r>
    </w:p>
    <w:p w14:paraId="0047BD74">
      <w:pPr>
        <w:snapToGrid w:val="0"/>
        <w:spacing w:line="360" w:lineRule="auto"/>
        <w:ind w:firstLine="482" w:firstLineChars="200"/>
        <w:jc w:val="left"/>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无论基于何种原因，各项本应作为拒绝处理的情形，即便未被及时发现而使该中标人通过了资格审核、初评、现场复审、终评或其他所有相关程序，包括已签订合同，招标人有权取消其中标资格，一旦中标人被拒绝或该中标人此前的评议结果被取消，因招标产生的相关的费用以及一切损失均由中标人承担。已签订合同的，招标人有权单方解除合同，瑕疵中标人不得以此为由向招标人主张任何权利和请求。</w:t>
      </w:r>
    </w:p>
    <w:p w14:paraId="01E903F2">
      <w:pPr>
        <w:keepNext/>
        <w:keepLines/>
        <w:spacing w:line="360" w:lineRule="auto"/>
        <w:outlineLvl w:val="1"/>
        <w:rPr>
          <w:rFonts w:ascii="宋体" w:hAnsi="宋体" w:eastAsia="宋体" w:cs="宋体"/>
          <w:b/>
          <w:bCs/>
          <w:sz w:val="24"/>
          <w:szCs w:val="24"/>
          <w:highlight w:val="none"/>
        </w:rPr>
      </w:pPr>
      <w:r>
        <w:rPr>
          <w:rFonts w:hint="eastAsia" w:asciiTheme="minorEastAsia" w:hAnsiTheme="minorEastAsia" w:eastAsiaTheme="minorEastAsia" w:cstheme="minorEastAsia"/>
          <w:b/>
          <w:sz w:val="24"/>
          <w:szCs w:val="24"/>
          <w:u w:val="single"/>
        </w:rPr>
        <w:t>十</w:t>
      </w:r>
      <w:r>
        <w:rPr>
          <w:rFonts w:hint="eastAsia" w:asciiTheme="minorEastAsia" w:hAnsiTheme="minorEastAsia" w:eastAsiaTheme="minorEastAsia" w:cstheme="minorEastAsia"/>
          <w:b/>
          <w:sz w:val="24"/>
          <w:szCs w:val="24"/>
          <w:u w:val="single"/>
          <w:lang w:val="en-US" w:eastAsia="zh-CN"/>
        </w:rPr>
        <w:t>三</w:t>
      </w:r>
      <w:r>
        <w:rPr>
          <w:rFonts w:hint="eastAsia" w:asciiTheme="minorEastAsia" w:hAnsiTheme="minorEastAsia" w:eastAsiaTheme="minorEastAsia" w:cstheme="minorEastAsia"/>
          <w:b/>
          <w:sz w:val="24"/>
          <w:szCs w:val="24"/>
          <w:u w:val="single"/>
        </w:rPr>
        <w:t>、</w:t>
      </w:r>
      <w:r>
        <w:rPr>
          <w:rFonts w:hint="eastAsia" w:ascii="宋体" w:hAnsi="宋体" w:eastAsia="宋体" w:cs="宋体"/>
          <w:b/>
          <w:bCs/>
          <w:sz w:val="24"/>
          <w:szCs w:val="24"/>
          <w:highlight w:val="none"/>
        </w:rPr>
        <w:t>废标及终止招标</w:t>
      </w:r>
    </w:p>
    <w:p w14:paraId="44A30440">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651766ED">
      <w:pPr>
        <w:spacing w:line="360" w:lineRule="auto"/>
        <w:ind w:right="2"/>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（1）投标人提供的有关资格、资质证明文件不合格、不真实或提供虚假投标材料；</w:t>
      </w:r>
    </w:p>
    <w:p w14:paraId="418FEDA6">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（2）投标人在报价有效期内撤回投标；</w:t>
      </w:r>
    </w:p>
    <w:p w14:paraId="722D8073">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（3）在整个评标过程中，投标人有企图影响评标结果公正性的任何活动；</w:t>
      </w:r>
    </w:p>
    <w:p w14:paraId="43312A9F">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（4）投标人以任何方式诋毁其他投标人；</w:t>
      </w:r>
    </w:p>
    <w:p w14:paraId="200465AC">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（5）投标人串通投标；</w:t>
      </w:r>
    </w:p>
    <w:p w14:paraId="60961DD1">
      <w:pPr>
        <w:pStyle w:val="25"/>
        <w:spacing w:line="360" w:lineRule="auto"/>
        <w:rPr>
          <w:rFonts w:hAnsi="宋体" w:eastAsia="宋体" w:cs="宋体"/>
          <w:sz w:val="24"/>
          <w:szCs w:val="24"/>
          <w:highlight w:val="none"/>
        </w:rPr>
      </w:pPr>
      <w:r>
        <w:rPr>
          <w:rFonts w:hint="eastAsia" w:hAnsi="宋体" w:eastAsia="宋体" w:cs="宋体"/>
          <w:color w:val="000000"/>
          <w:sz w:val="24"/>
          <w:szCs w:val="24"/>
          <w:highlight w:val="none"/>
        </w:rPr>
        <w:t xml:space="preserve">    （6）投标人被举报、检举，并经招标人查实无误的；</w:t>
      </w:r>
    </w:p>
    <w:p w14:paraId="5CFB61DC">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（7）以他人名义投标或者以其他方式弄虚作假，骗取中标的；</w:t>
      </w:r>
    </w:p>
    <w:p w14:paraId="6C60DD75">
      <w:pPr>
        <w:spacing w:line="360" w:lineRule="auto"/>
        <w:ind w:right="2"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（8）投标人负责人为同一人或者存在控股、管理关系的不同单位；</w:t>
      </w:r>
    </w:p>
    <w:p w14:paraId="04118637">
      <w:pPr>
        <w:spacing w:line="360" w:lineRule="auto"/>
        <w:ind w:right="2"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（9）有效投标不足三家；</w:t>
      </w:r>
    </w:p>
    <w:p w14:paraId="7E5ED1D6">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（10）未按要求填报商务报价资料，对招标开展造成较大影响；</w:t>
      </w:r>
    </w:p>
    <w:p w14:paraId="45E6A3BC">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eastAsia="宋体" w:cs="宋体"/>
          <w:sz w:val="24"/>
          <w:szCs w:val="24"/>
          <w:highlight w:val="none"/>
        </w:rPr>
        <w:t>1）未按照招标人规定的时间内在中国重汽e采通完成投标的；</w:t>
      </w:r>
    </w:p>
    <w:p w14:paraId="57E79D8A">
      <w:pPr>
        <w:pStyle w:val="25"/>
        <w:spacing w:line="360" w:lineRule="auto"/>
        <w:ind w:firstLine="480" w:firstLineChars="200"/>
        <w:rPr>
          <w:rFonts w:hAnsi="宋体" w:eastAsia="宋体" w:cs="宋体"/>
          <w:color w:val="000000"/>
          <w:sz w:val="24"/>
          <w:szCs w:val="24"/>
          <w:highlight w:val="none"/>
        </w:rPr>
      </w:pPr>
      <w:r>
        <w:rPr>
          <w:rFonts w:hint="eastAsia" w:hAnsi="宋体" w:eastAsia="宋体" w:cs="宋体"/>
          <w:color w:val="000000"/>
          <w:sz w:val="24"/>
          <w:szCs w:val="24"/>
          <w:highlight w:val="none"/>
        </w:rPr>
        <w:t>（12）不同投标人的投标文件异常一致；</w:t>
      </w:r>
    </w:p>
    <w:p w14:paraId="3FA4CD7E">
      <w:pPr>
        <w:pStyle w:val="25"/>
        <w:spacing w:line="360" w:lineRule="auto"/>
        <w:ind w:firstLine="480" w:firstLineChars="200"/>
        <w:rPr>
          <w:rFonts w:hAnsi="宋体" w:eastAsia="宋体" w:cs="宋体"/>
          <w:color w:val="000000"/>
          <w:sz w:val="24"/>
          <w:szCs w:val="24"/>
          <w:highlight w:val="none"/>
        </w:rPr>
      </w:pPr>
      <w:r>
        <w:rPr>
          <w:rFonts w:hint="eastAsia" w:hAnsi="宋体" w:eastAsia="宋体" w:cs="宋体"/>
          <w:color w:val="000000"/>
          <w:sz w:val="24"/>
          <w:szCs w:val="24"/>
          <w:highlight w:val="none"/>
        </w:rPr>
        <w:t>（13）投标报价呈规律性差异的；</w:t>
      </w:r>
    </w:p>
    <w:p w14:paraId="7430E910">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hAnsi="宋体" w:eastAsia="宋体" w:cs="宋体"/>
          <w:color w:val="000000"/>
          <w:sz w:val="24"/>
          <w:szCs w:val="24"/>
          <w:highlight w:val="none"/>
        </w:rPr>
        <w:t>4</w:t>
      </w:r>
      <w:r>
        <w:rPr>
          <w:rFonts w:hint="eastAsia" w:ascii="宋体" w:hAnsi="宋体" w:eastAsia="宋体" w:cs="宋体"/>
          <w:color w:val="000000"/>
          <w:sz w:val="24"/>
          <w:szCs w:val="24"/>
          <w:highlight w:val="none"/>
        </w:rPr>
        <w:t>）法律、法规规定的其他情况。</w:t>
      </w:r>
    </w:p>
    <w:p w14:paraId="60183050">
      <w:pPr>
        <w:spacing w:line="360" w:lineRule="auto"/>
        <w:ind w:right="2"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2.出现下列情形之一，招标人有权否决所有投标人的投标，并终止招标。</w:t>
      </w:r>
    </w:p>
    <w:p w14:paraId="1B025717">
      <w:pPr>
        <w:spacing w:line="360" w:lineRule="auto"/>
        <w:ind w:right="2" w:firstLine="480" w:firstLineChars="200"/>
        <w:rPr>
          <w:rFonts w:ascii="宋体" w:hAnsi="宋体" w:eastAsia="宋体" w:cs="宋体"/>
          <w:b/>
          <w:sz w:val="24"/>
          <w:szCs w:val="24"/>
          <w:highlight w:val="none"/>
        </w:rPr>
      </w:pPr>
      <w:r>
        <w:rPr>
          <w:rFonts w:hint="eastAsia" w:ascii="宋体" w:hAnsi="宋体" w:eastAsia="宋体" w:cs="宋体"/>
          <w:sz w:val="24"/>
          <w:szCs w:val="24"/>
          <w:highlight w:val="none"/>
        </w:rPr>
        <w:t>（1）符合条件的投标人或者对招标文件做实质响应的投标人不足三家的；</w:t>
      </w:r>
    </w:p>
    <w:p w14:paraId="43D3C1A8">
      <w:pPr>
        <w:spacing w:line="360" w:lineRule="auto"/>
        <w:ind w:right="2"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（2）出现影响采购公正的违法、违规行为的；</w:t>
      </w:r>
    </w:p>
    <w:p w14:paraId="2DB91BA1">
      <w:pPr>
        <w:spacing w:line="360" w:lineRule="auto"/>
        <w:ind w:right="2" w:firstLine="480" w:firstLineChars="200"/>
        <w:rPr>
          <w:rFonts w:ascii="宋体" w:hAnsi="宋体" w:eastAsia="宋体" w:cs="宋体"/>
          <w:bCs/>
          <w:sz w:val="24"/>
          <w:szCs w:val="24"/>
          <w:highlight w:val="none"/>
        </w:rPr>
      </w:pPr>
      <w:r>
        <w:rPr>
          <w:rFonts w:hint="eastAsia" w:ascii="宋体" w:hAnsi="宋体" w:eastAsia="宋体" w:cs="宋体"/>
          <w:bCs/>
          <w:sz w:val="24"/>
          <w:szCs w:val="24"/>
          <w:highlight w:val="none"/>
        </w:rPr>
        <w:t>（3）评标委员会经评审，认为所有投标都不符合招标文件要求的；</w:t>
      </w:r>
    </w:p>
    <w:p w14:paraId="3165C1E9">
      <w:pPr>
        <w:spacing w:line="360" w:lineRule="auto"/>
        <w:ind w:right="2" w:firstLine="480" w:firstLineChars="200"/>
        <w:rPr>
          <w:rFonts w:ascii="宋体" w:hAnsi="宋体" w:eastAsia="宋体" w:cs="宋体"/>
          <w:bCs/>
          <w:sz w:val="24"/>
          <w:szCs w:val="24"/>
          <w:highlight w:val="none"/>
        </w:rPr>
      </w:pPr>
      <w:r>
        <w:rPr>
          <w:rFonts w:hint="eastAsia" w:ascii="宋体" w:hAnsi="宋体" w:eastAsia="宋体" w:cs="宋体"/>
          <w:bCs/>
          <w:sz w:val="24"/>
          <w:szCs w:val="24"/>
          <w:highlight w:val="none"/>
        </w:rPr>
        <w:t>（4）因重大变故，采购任务取消的</w:t>
      </w:r>
      <w:bookmarkStart w:id="10" w:name="OLE_LINK29"/>
      <w:bookmarkStart w:id="11" w:name="OLE_LINK26"/>
      <w:bookmarkStart w:id="12" w:name="OLE_LINK27"/>
      <w:bookmarkStart w:id="13" w:name="OLE_LINK28"/>
      <w:bookmarkStart w:id="14" w:name="OLE_LINK25"/>
      <w:r>
        <w:rPr>
          <w:rFonts w:hint="eastAsia" w:ascii="宋体" w:hAnsi="宋体" w:eastAsia="宋体" w:cs="宋体"/>
          <w:bCs/>
          <w:sz w:val="24"/>
          <w:szCs w:val="24"/>
          <w:highlight w:val="none"/>
        </w:rPr>
        <w:t>；</w:t>
      </w:r>
      <w:bookmarkEnd w:id="10"/>
      <w:bookmarkEnd w:id="11"/>
      <w:bookmarkEnd w:id="12"/>
      <w:bookmarkEnd w:id="13"/>
      <w:bookmarkEnd w:id="14"/>
    </w:p>
    <w:p w14:paraId="27CCD9FE">
      <w:pPr>
        <w:spacing w:line="360" w:lineRule="auto"/>
        <w:ind w:right="2" w:firstLine="480" w:firstLineChars="200"/>
        <w:rPr>
          <w:rFonts w:ascii="宋体" w:hAnsi="宋体" w:eastAsia="宋体" w:cs="宋体"/>
          <w:bCs/>
          <w:sz w:val="24"/>
          <w:szCs w:val="24"/>
          <w:highlight w:val="none"/>
        </w:rPr>
      </w:pPr>
      <w:r>
        <w:rPr>
          <w:rFonts w:hint="eastAsia" w:ascii="宋体" w:hAnsi="宋体" w:eastAsia="宋体" w:cs="宋体"/>
          <w:bCs/>
          <w:sz w:val="24"/>
          <w:szCs w:val="24"/>
          <w:highlight w:val="none"/>
        </w:rPr>
        <w:t>（5）投标人承诺同意由于招标人公司政策变化引起的随时终止项目的要求并承担由此带来的一切损失；</w:t>
      </w:r>
    </w:p>
    <w:p w14:paraId="78D3B0A6">
      <w:pPr>
        <w:pStyle w:val="25"/>
        <w:spacing w:line="360" w:lineRule="auto"/>
        <w:ind w:firstLine="480" w:firstLineChars="200"/>
        <w:rPr>
          <w:rFonts w:hAnsi="宋体" w:eastAsia="宋体" w:cs="宋体"/>
          <w:bCs/>
          <w:sz w:val="24"/>
          <w:szCs w:val="24"/>
          <w:highlight w:val="none"/>
        </w:rPr>
      </w:pPr>
      <w:r>
        <w:rPr>
          <w:rFonts w:hint="eastAsia" w:hAnsi="宋体" w:eastAsia="宋体" w:cs="宋体"/>
          <w:bCs/>
          <w:sz w:val="24"/>
          <w:szCs w:val="24"/>
          <w:highlight w:val="none"/>
        </w:rPr>
        <w:t>（6）招标人认为其他应终止招标的情形。</w:t>
      </w:r>
    </w:p>
    <w:p w14:paraId="27BD2702">
      <w:pPr>
        <w:snapToGrid w:val="0"/>
        <w:spacing w:line="360" w:lineRule="auto"/>
        <w:jc w:val="left"/>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rPr>
        <w:t>十</w:t>
      </w:r>
      <w:r>
        <w:rPr>
          <w:rFonts w:hint="eastAsia" w:asciiTheme="minorEastAsia" w:hAnsiTheme="minorEastAsia" w:eastAsiaTheme="minorEastAsia" w:cstheme="minorEastAsia"/>
          <w:b/>
          <w:sz w:val="24"/>
          <w:szCs w:val="24"/>
          <w:lang w:val="en-US" w:eastAsia="zh-CN"/>
        </w:rPr>
        <w:t>四</w:t>
      </w:r>
      <w:r>
        <w:rPr>
          <w:rFonts w:hint="eastAsia" w:asciiTheme="minorEastAsia" w:hAnsiTheme="minorEastAsia" w:eastAsiaTheme="minorEastAsia" w:cstheme="minorEastAsia"/>
          <w:b/>
          <w:sz w:val="24"/>
          <w:szCs w:val="24"/>
        </w:rPr>
        <w:t>、</w:t>
      </w:r>
      <w:r>
        <w:rPr>
          <w:rFonts w:hint="eastAsia" w:asciiTheme="minorEastAsia" w:hAnsiTheme="minorEastAsia" w:eastAsiaTheme="minorEastAsia" w:cstheme="minorEastAsia"/>
          <w:b/>
          <w:sz w:val="24"/>
          <w:szCs w:val="24"/>
          <w:lang w:val="en-US" w:eastAsia="zh-CN"/>
        </w:rPr>
        <w:t>本次招标最终解释权归中国重型汽车集团有限公司。</w:t>
      </w:r>
    </w:p>
    <w:p w14:paraId="78CE263F">
      <w:pPr>
        <w:pStyle w:val="234"/>
        <w:keepNext w:val="0"/>
        <w:keepLines w:val="0"/>
        <w:pageBreakBefore w:val="0"/>
        <w:widowControl w:val="0"/>
        <w:numPr>
          <w:ilvl w:val="0"/>
          <w:numId w:val="0"/>
        </w:numPr>
        <w:kinsoku/>
        <w:wordWrap/>
        <w:overflowPunct/>
        <w:topLinePunct w:val="0"/>
        <w:autoSpaceDE/>
        <w:autoSpaceDN/>
        <w:bidi w:val="0"/>
        <w:adjustRightInd/>
        <w:snapToGrid/>
        <w:ind w:leftChars="0" w:firstLine="422" w:firstLineChars="200"/>
        <w:textAlignment w:val="auto"/>
        <w:rPr>
          <w:rFonts w:hint="eastAsia" w:ascii="宋体" w:hAnsi="宋体" w:eastAsia="宋体" w:cs="宋体"/>
          <w:sz w:val="21"/>
          <w:szCs w:val="21"/>
          <w:lang w:val="en-US" w:eastAsia="zh-CN"/>
        </w:rPr>
      </w:pPr>
      <w:r>
        <w:rPr>
          <w:rFonts w:ascii="宋体" w:hAnsi="宋体" w:eastAsia="宋体" w:cs="宋体"/>
          <w:sz w:val="21"/>
          <w:szCs w:val="21"/>
        </w:rPr>
        <w:t>招标人有权指定招标人的关联单位作为合同签订人，与中标人签署相关合同，且具体权利义务以中标人与招标人的关联公司最终签署的合同为准</w:t>
      </w:r>
      <w:r>
        <w:rPr>
          <w:rFonts w:hint="eastAsia" w:ascii="宋体" w:hAnsi="宋体" w:eastAsia="宋体" w:cs="宋体"/>
          <w:sz w:val="21"/>
          <w:szCs w:val="21"/>
          <w:lang w:eastAsia="zh-CN"/>
        </w:rPr>
        <w:t>。</w:t>
      </w:r>
    </w:p>
    <w:p w14:paraId="1950701A">
      <w:pPr>
        <w:rPr>
          <w:rFonts w:hint="eastAsia" w:ascii="宋体" w:hAnsi="宋体" w:eastAsia="宋体" w:cs="宋体"/>
          <w:b/>
          <w:color w:val="auto"/>
          <w:sz w:val="44"/>
          <w:szCs w:val="36"/>
          <w:highlight w:val="none"/>
          <w:lang w:val="en-US" w:eastAsia="zh-CN"/>
        </w:rPr>
      </w:pPr>
      <w:r>
        <w:rPr>
          <w:rFonts w:hint="eastAsia" w:ascii="宋体" w:hAnsi="宋体" w:eastAsia="宋体" w:cs="宋体"/>
          <w:b/>
          <w:color w:val="auto"/>
          <w:sz w:val="44"/>
          <w:szCs w:val="36"/>
          <w:highlight w:val="none"/>
          <w:lang w:val="en-US" w:eastAsia="zh-CN"/>
        </w:rPr>
        <w:br w:type="page"/>
      </w:r>
    </w:p>
    <w:p w14:paraId="1DAE0226">
      <w:pPr>
        <w:autoSpaceDE w:val="0"/>
        <w:autoSpaceDN w:val="0"/>
        <w:adjustRightInd w:val="0"/>
        <w:snapToGrid w:val="0"/>
        <w:spacing w:line="360" w:lineRule="auto"/>
        <w:jc w:val="center"/>
        <w:outlineLvl w:val="0"/>
        <w:rPr>
          <w:rFonts w:hint="default" w:ascii="宋体" w:hAnsi="宋体" w:eastAsia="宋体" w:cs="宋体"/>
          <w:b/>
          <w:bCs/>
          <w:color w:val="000000"/>
          <w:sz w:val="44"/>
          <w:szCs w:val="44"/>
          <w:highlight w:val="none"/>
          <w:u w:val="none"/>
          <w:lang w:val="en-US" w:eastAsia="zh-CN" w:bidi="zh-CN"/>
        </w:rPr>
      </w:pPr>
      <w:r>
        <w:rPr>
          <w:rFonts w:hint="eastAsia" w:ascii="宋体" w:hAnsi="宋体" w:eastAsia="宋体" w:cs="宋体"/>
          <w:b/>
          <w:color w:val="auto"/>
          <w:sz w:val="44"/>
          <w:szCs w:val="36"/>
          <w:highlight w:val="none"/>
          <w:lang w:val="en-US" w:eastAsia="zh-CN"/>
        </w:rPr>
        <w:t>第二部分</w:t>
      </w:r>
      <w:r>
        <w:rPr>
          <w:rFonts w:hint="eastAsia" w:ascii="宋体" w:hAnsi="宋体" w:cs="宋体"/>
          <w:b/>
          <w:color w:val="auto"/>
          <w:sz w:val="44"/>
          <w:szCs w:val="36"/>
          <w:highlight w:val="none"/>
          <w:lang w:val="en-US" w:eastAsia="zh-CN"/>
        </w:rPr>
        <w:t xml:space="preserve"> </w:t>
      </w:r>
      <w:r>
        <w:rPr>
          <w:rFonts w:hint="eastAsia" w:ascii="宋体" w:hAnsi="宋体" w:eastAsia="宋体" w:cs="宋体"/>
          <w:b/>
          <w:bCs/>
          <w:color w:val="000000"/>
          <w:sz w:val="44"/>
          <w:szCs w:val="44"/>
          <w:highlight w:val="none"/>
          <w:u w:val="none"/>
          <w:lang w:val="en-US" w:eastAsia="zh-CN" w:bidi="zh-CN"/>
        </w:rPr>
        <w:t>技术要求</w:t>
      </w:r>
    </w:p>
    <w:p w14:paraId="13BE54AB">
      <w:pPr>
        <w:numPr>
          <w:ilvl w:val="0"/>
          <w:numId w:val="0"/>
        </w:numPr>
        <w:adjustRightInd w:val="0"/>
        <w:snapToGrid w:val="0"/>
        <w:spacing w:before="0" w:after="0" w:line="540" w:lineRule="exact"/>
        <w:jc w:val="center"/>
        <w:outlineLvl w:val="9"/>
        <w:rPr>
          <w:rFonts w:hint="eastAsia" w:ascii="仿宋" w:hAnsi="仿宋" w:eastAsia="仿宋"/>
          <w:sz w:val="40"/>
        </w:rPr>
      </w:pPr>
      <w:r>
        <w:rPr>
          <w:rFonts w:hint="eastAsia" w:ascii="黑体" w:eastAsia="黑体"/>
          <w:b/>
          <w:bCs/>
          <w:sz w:val="36"/>
          <w:szCs w:val="36"/>
        </w:rPr>
        <w:t xml:space="preserve"> </w:t>
      </w:r>
      <w:r>
        <w:rPr>
          <w:rFonts w:hint="eastAsia" w:ascii="仿宋" w:hAnsi="仿宋" w:eastAsia="仿宋"/>
          <w:sz w:val="40"/>
        </w:rPr>
        <w:t>招标文件技术要求</w:t>
      </w:r>
    </w:p>
    <w:p w14:paraId="204B2979"/>
    <w:p w14:paraId="738B0558">
      <w:pPr>
        <w:pStyle w:val="25"/>
        <w:spacing w:line="360" w:lineRule="auto"/>
        <w:rPr>
          <w:rFonts w:ascii="黑体" w:eastAsia="黑体"/>
          <w:b/>
          <w:bCs/>
          <w:sz w:val="28"/>
          <w:szCs w:val="28"/>
        </w:rPr>
      </w:pPr>
      <w:r>
        <w:rPr>
          <w:rFonts w:hint="eastAsia" w:ascii="黑体" w:eastAsia="黑体"/>
          <w:b/>
          <w:bCs/>
          <w:sz w:val="28"/>
          <w:szCs w:val="28"/>
        </w:rPr>
        <w:t>一、项目</w:t>
      </w:r>
      <w:r>
        <w:rPr>
          <w:rFonts w:hint="eastAsia" w:ascii="黑体" w:eastAsia="黑体"/>
          <w:b/>
          <w:bCs/>
          <w:sz w:val="28"/>
          <w:szCs w:val="28"/>
          <w:lang w:eastAsia="zh-CN"/>
        </w:rPr>
        <w:t>名称与</w:t>
      </w:r>
      <w:r>
        <w:rPr>
          <w:rFonts w:hint="eastAsia" w:ascii="黑体" w:eastAsia="黑体"/>
          <w:b/>
          <w:bCs/>
          <w:sz w:val="28"/>
          <w:szCs w:val="28"/>
        </w:rPr>
        <w:t>范围</w:t>
      </w:r>
    </w:p>
    <w:p w14:paraId="0CB31638">
      <w:pPr>
        <w:pStyle w:val="25"/>
        <w:keepNext w:val="0"/>
        <w:keepLines w:val="0"/>
        <w:pageBreakBefore w:val="0"/>
        <w:kinsoku/>
        <w:wordWrap/>
        <w:overflowPunct/>
        <w:topLinePunct w:val="0"/>
        <w:bidi w:val="0"/>
        <w:snapToGrid/>
        <w:spacing w:line="360" w:lineRule="auto"/>
        <w:ind w:firstLine="420" w:firstLineChars="200"/>
        <w:rPr>
          <w:rFonts w:hint="default" w:ascii="宋体" w:hAnsi="Courier New" w:eastAsia="宋体" w:cstheme="minorBidi"/>
          <w:kern w:val="2"/>
          <w:sz w:val="21"/>
          <w:szCs w:val="22"/>
          <w:lang w:val="en-US" w:eastAsia="zh-CN" w:bidi="ar-SA"/>
        </w:rPr>
      </w:pPr>
      <w:r>
        <w:rPr>
          <w:rFonts w:hint="eastAsia" w:ascii="宋体" w:hAnsi="Courier New" w:eastAsia="宋体" w:cstheme="minorBidi"/>
          <w:kern w:val="2"/>
          <w:sz w:val="21"/>
          <w:szCs w:val="22"/>
          <w:lang w:val="en-US" w:eastAsia="zh-CN" w:bidi="ar-SA"/>
        </w:rPr>
        <w:t>项目名称：</w:t>
      </w:r>
      <w:r>
        <w:rPr>
          <w:rFonts w:hint="eastAsia" w:eastAsia="宋体" w:cstheme="minorBidi"/>
          <w:kern w:val="2"/>
          <w:sz w:val="21"/>
          <w:szCs w:val="22"/>
          <w:lang w:val="en-US" w:eastAsia="zh-CN" w:bidi="ar-SA"/>
        </w:rPr>
        <w:t>济南成型厂2026年度进口应达加热炉膛年度外委维修项目</w:t>
      </w:r>
    </w:p>
    <w:p w14:paraId="13E53330">
      <w:pPr>
        <w:pStyle w:val="25"/>
        <w:keepNext w:val="0"/>
        <w:keepLines w:val="0"/>
        <w:pageBreakBefore w:val="0"/>
        <w:kinsoku/>
        <w:wordWrap/>
        <w:overflowPunct/>
        <w:topLinePunct w:val="0"/>
        <w:bidi w:val="0"/>
        <w:snapToGrid/>
        <w:spacing w:line="360" w:lineRule="auto"/>
        <w:ind w:firstLine="420" w:firstLineChars="200"/>
        <w:rPr>
          <w:rFonts w:ascii="宋体" w:hAnsi="宋体" w:cs="宋体"/>
          <w:bCs/>
        </w:rPr>
      </w:pPr>
      <w:r>
        <w:rPr>
          <w:rFonts w:hint="eastAsia" w:ascii="宋体" w:hAnsi="Courier New" w:eastAsia="宋体" w:cstheme="minorBidi"/>
          <w:kern w:val="2"/>
          <w:sz w:val="21"/>
          <w:szCs w:val="22"/>
          <w:lang w:val="en-US" w:eastAsia="zh-CN" w:bidi="ar-SA"/>
        </w:rPr>
        <w:t>本次招标为</w:t>
      </w:r>
      <w:r>
        <w:rPr>
          <w:rFonts w:hint="eastAsia" w:ascii="宋体" w:hAnsi="宋体"/>
          <w:b/>
          <w:u w:val="single"/>
        </w:rPr>
        <w:t>中国重汽</w:t>
      </w:r>
      <w:r>
        <w:rPr>
          <w:rFonts w:hint="eastAsia" w:ascii="宋体" w:hAnsi="宋体"/>
          <w:b/>
          <w:u w:val="single"/>
          <w:lang w:val="en-US" w:eastAsia="zh-CN"/>
        </w:rPr>
        <w:t>集团济南成型厂2026年度进口应达加热炉膛年度外委维修项目</w:t>
      </w:r>
      <w:r>
        <w:rPr>
          <w:rFonts w:hint="eastAsia" w:ascii="宋体" w:hAnsi="宋体"/>
          <w:b/>
          <w:u w:val="single"/>
        </w:rPr>
        <w:t>项目</w:t>
      </w:r>
      <w:r>
        <w:rPr>
          <w:rFonts w:hint="eastAsia" w:ascii="宋体" w:hAnsi="宋体" w:cs="宋体"/>
          <w:bCs/>
        </w:rPr>
        <w:t>，</w:t>
      </w:r>
      <w:r>
        <w:rPr>
          <w:rFonts w:hint="eastAsia" w:ascii="宋体" w:hAnsi="Courier New" w:eastAsia="宋体" w:cstheme="minorBidi"/>
          <w:kern w:val="2"/>
          <w:sz w:val="21"/>
          <w:szCs w:val="22"/>
          <w:lang w:val="en-US" w:eastAsia="zh-CN" w:bidi="ar-SA"/>
        </w:rPr>
        <w:t>具体内容如下：</w:t>
      </w:r>
    </w:p>
    <w:tbl>
      <w:tblPr>
        <w:tblStyle w:val="49"/>
        <w:tblW w:w="462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3"/>
        <w:gridCol w:w="4418"/>
        <w:gridCol w:w="907"/>
        <w:gridCol w:w="1683"/>
        <w:gridCol w:w="684"/>
      </w:tblGrid>
      <w:tr w14:paraId="33E80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08" w:type="pct"/>
            <w:vAlign w:val="center"/>
          </w:tcPr>
          <w:p w14:paraId="78B4613C">
            <w:pPr>
              <w:spacing w:line="320" w:lineRule="exact"/>
              <w:jc w:val="center"/>
              <w:rPr>
                <w:rFonts w:ascii="宋体"/>
              </w:rPr>
            </w:pPr>
            <w:r>
              <w:rPr>
                <w:rFonts w:hint="eastAsia" w:ascii="宋体"/>
              </w:rPr>
              <w:t>序号</w:t>
            </w:r>
          </w:p>
        </w:tc>
        <w:tc>
          <w:tcPr>
            <w:tcW w:w="2636" w:type="pct"/>
            <w:vAlign w:val="center"/>
          </w:tcPr>
          <w:p w14:paraId="29AAE6F8">
            <w:pPr>
              <w:spacing w:line="320" w:lineRule="exact"/>
              <w:jc w:val="center"/>
              <w:rPr>
                <w:rFonts w:ascii="宋体"/>
              </w:rPr>
            </w:pPr>
            <w:r>
              <w:rPr>
                <w:rFonts w:hint="eastAsia" w:ascii="宋体"/>
              </w:rPr>
              <w:t>名称</w:t>
            </w:r>
          </w:p>
        </w:tc>
        <w:tc>
          <w:tcPr>
            <w:tcW w:w="541" w:type="pct"/>
            <w:vAlign w:val="center"/>
          </w:tcPr>
          <w:p w14:paraId="3BE15E6A">
            <w:pPr>
              <w:spacing w:line="320" w:lineRule="exact"/>
              <w:jc w:val="center"/>
              <w:rPr>
                <w:rFonts w:ascii="宋体"/>
              </w:rPr>
            </w:pPr>
            <w:r>
              <w:rPr>
                <w:rFonts w:hint="eastAsia" w:ascii="宋体"/>
              </w:rPr>
              <w:t>数量</w:t>
            </w:r>
          </w:p>
        </w:tc>
        <w:tc>
          <w:tcPr>
            <w:tcW w:w="1004" w:type="pct"/>
            <w:vAlign w:val="center"/>
          </w:tcPr>
          <w:p w14:paraId="5114B536">
            <w:pPr>
              <w:spacing w:line="320" w:lineRule="exact"/>
              <w:jc w:val="center"/>
              <w:rPr>
                <w:rFonts w:ascii="宋体"/>
              </w:rPr>
            </w:pPr>
            <w:r>
              <w:rPr>
                <w:rFonts w:hint="eastAsia" w:ascii="宋体"/>
              </w:rPr>
              <w:t>服务对象</w:t>
            </w:r>
          </w:p>
        </w:tc>
        <w:tc>
          <w:tcPr>
            <w:tcW w:w="408" w:type="pct"/>
            <w:vAlign w:val="center"/>
          </w:tcPr>
          <w:p w14:paraId="744D0151">
            <w:pPr>
              <w:spacing w:line="320" w:lineRule="exact"/>
              <w:jc w:val="center"/>
              <w:rPr>
                <w:rFonts w:ascii="宋体"/>
              </w:rPr>
            </w:pPr>
            <w:r>
              <w:rPr>
                <w:rFonts w:hint="eastAsia" w:ascii="宋体"/>
              </w:rPr>
              <w:t>备注</w:t>
            </w:r>
          </w:p>
        </w:tc>
      </w:tr>
      <w:tr w14:paraId="4B3B1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408" w:type="pct"/>
            <w:vAlign w:val="center"/>
          </w:tcPr>
          <w:p w14:paraId="6D0CC101">
            <w:pPr>
              <w:spacing w:line="320" w:lineRule="exact"/>
              <w:jc w:val="center"/>
              <w:rPr>
                <w:rFonts w:hint="eastAsia" w:ascii="宋体" w:eastAsia="宋体"/>
                <w:color w:val="auto"/>
                <w:lang w:val="en-US" w:eastAsia="zh-CN"/>
              </w:rPr>
            </w:pPr>
            <w:r>
              <w:rPr>
                <w:rFonts w:hint="eastAsia" w:ascii="宋体"/>
                <w:color w:val="auto"/>
                <w:lang w:val="en-US" w:eastAsia="zh-CN"/>
              </w:rPr>
              <w:t>1</w:t>
            </w:r>
          </w:p>
        </w:tc>
        <w:tc>
          <w:tcPr>
            <w:tcW w:w="2636" w:type="pct"/>
            <w:vAlign w:val="center"/>
          </w:tcPr>
          <w:p w14:paraId="143F2B59">
            <w:pPr>
              <w:spacing w:line="320" w:lineRule="exact"/>
              <w:jc w:val="center"/>
              <w:rPr>
                <w:rFonts w:hint="eastAsia" w:eastAsia="宋体"/>
                <w:color w:val="auto"/>
                <w:lang w:eastAsia="zh-CN"/>
              </w:rPr>
            </w:pPr>
            <w:r>
              <w:rPr>
                <w:rFonts w:hint="eastAsia"/>
                <w:lang w:val="en-US" w:eastAsia="zh-CN"/>
              </w:rPr>
              <w:t>济南成型厂2026年度进口应达加热炉膛年度外委维修项目</w:t>
            </w:r>
          </w:p>
        </w:tc>
        <w:tc>
          <w:tcPr>
            <w:tcW w:w="541" w:type="pct"/>
            <w:vAlign w:val="center"/>
          </w:tcPr>
          <w:p w14:paraId="0C9C6141">
            <w:pPr>
              <w:spacing w:line="320" w:lineRule="exact"/>
              <w:jc w:val="center"/>
              <w:rPr>
                <w:rFonts w:hint="default" w:ascii="宋体" w:eastAsia="宋体"/>
                <w:color w:val="auto"/>
                <w:lang w:val="en-US" w:eastAsia="zh-CN"/>
              </w:rPr>
            </w:pPr>
            <w:r>
              <w:rPr>
                <w:rFonts w:hint="eastAsia" w:ascii="宋体"/>
                <w:color w:val="auto"/>
                <w:lang w:val="en-US" w:eastAsia="zh-CN"/>
              </w:rPr>
              <w:t>1宗</w:t>
            </w:r>
          </w:p>
        </w:tc>
        <w:tc>
          <w:tcPr>
            <w:tcW w:w="1004" w:type="pct"/>
            <w:vAlign w:val="center"/>
          </w:tcPr>
          <w:p w14:paraId="490C8932">
            <w:pPr>
              <w:spacing w:line="320" w:lineRule="exact"/>
              <w:jc w:val="center"/>
              <w:rPr>
                <w:rFonts w:hint="default" w:eastAsia="宋体" w:cs="宋体"/>
                <w:color w:val="auto"/>
                <w:kern w:val="1"/>
                <w:lang w:val="en-US" w:eastAsia="zh-CN"/>
              </w:rPr>
            </w:pPr>
            <w:r>
              <w:rPr>
                <w:rFonts w:hint="eastAsia" w:cs="宋体"/>
                <w:color w:val="auto"/>
                <w:kern w:val="1"/>
                <w:lang w:val="en-US" w:eastAsia="zh-CN"/>
              </w:rPr>
              <w:t>锻造一部、锻造二部</w:t>
            </w:r>
          </w:p>
        </w:tc>
        <w:tc>
          <w:tcPr>
            <w:tcW w:w="408" w:type="pct"/>
            <w:vAlign w:val="center"/>
          </w:tcPr>
          <w:p w14:paraId="711BB8A3">
            <w:pPr>
              <w:spacing w:line="320" w:lineRule="exact"/>
              <w:jc w:val="center"/>
              <w:rPr>
                <w:rFonts w:hint="default" w:ascii="宋体" w:hAnsi="宋体" w:eastAsia="宋体"/>
                <w:color w:val="auto"/>
                <w:lang w:val="en-US" w:eastAsia="zh-CN"/>
              </w:rPr>
            </w:pPr>
          </w:p>
        </w:tc>
      </w:tr>
    </w:tbl>
    <w:p w14:paraId="1D186EAC">
      <w:pPr>
        <w:pStyle w:val="25"/>
        <w:spacing w:line="360" w:lineRule="auto"/>
      </w:pPr>
      <w:r>
        <w:rPr>
          <w:rFonts w:hint="eastAsia" w:ascii="黑体" w:eastAsia="黑体"/>
          <w:b/>
          <w:bCs/>
          <w:sz w:val="28"/>
          <w:szCs w:val="28"/>
        </w:rPr>
        <w:t>二、招标方技术要求及施工内容</w:t>
      </w:r>
    </w:p>
    <w:p w14:paraId="4F80A90C">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pacing w:val="4"/>
          <w:szCs w:val="21"/>
          <w:lang w:val="en-US" w:eastAsia="zh-CN"/>
        </w:rPr>
      </w:pPr>
      <w:r>
        <w:rPr>
          <w:rFonts w:hint="eastAsia" w:ascii="宋体" w:hAnsi="宋体"/>
          <w:spacing w:val="4"/>
          <w:szCs w:val="21"/>
          <w:lang w:val="en-US" w:eastAsia="zh-CN"/>
        </w:rPr>
        <w:t>投标报价包括：全部人工、辅材、运输费、吊装费、设计、制造加工、验收、技术及售后服务费等所有费用的总和。所有投标均以人民币报价。</w:t>
      </w:r>
    </w:p>
    <w:p w14:paraId="76D0C86E">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pacing w:val="4"/>
          <w:szCs w:val="21"/>
          <w:lang w:val="en-US" w:eastAsia="zh-CN"/>
        </w:rPr>
      </w:pPr>
      <w:r>
        <w:rPr>
          <w:rFonts w:hint="eastAsia" w:ascii="宋体" w:hAnsi="宋体"/>
          <w:spacing w:val="4"/>
          <w:szCs w:val="21"/>
          <w:lang w:val="en-US" w:eastAsia="zh-CN"/>
        </w:rPr>
        <w:t>投标方负责承揽招标方成型厂2026年度进口应达加热炉膛年度外委维修的相关工作，相关技术要求如下：</w:t>
      </w:r>
    </w:p>
    <w:p w14:paraId="0669CDAF">
      <w:pPr>
        <w:keepNext w:val="0"/>
        <w:keepLines w:val="0"/>
        <w:pageBreakBefore w:val="0"/>
        <w:widowControl w:val="0"/>
        <w:kinsoku/>
        <w:wordWrap/>
        <w:overflowPunct/>
        <w:topLinePunct w:val="0"/>
        <w:bidi w:val="0"/>
        <w:snapToGrid/>
        <w:spacing w:line="360" w:lineRule="auto"/>
        <w:ind w:firstLine="436" w:firstLineChars="200"/>
        <w:textAlignment w:val="auto"/>
        <w:rPr>
          <w:rFonts w:hint="default" w:ascii="宋体" w:hAnsi="宋体"/>
          <w:spacing w:val="4"/>
          <w:szCs w:val="21"/>
          <w:lang w:val="en-US" w:eastAsia="zh-CN"/>
        </w:rPr>
      </w:pPr>
      <w:r>
        <w:rPr>
          <w:rFonts w:hint="eastAsia" w:ascii="宋体" w:hAnsi="宋体"/>
          <w:spacing w:val="4"/>
          <w:szCs w:val="21"/>
          <w:lang w:val="en-US" w:eastAsia="zh-CN"/>
        </w:rPr>
        <w:t>1、相关维修内容如下：</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843"/>
        <w:gridCol w:w="5245"/>
      </w:tblGrid>
      <w:tr w14:paraId="3E28E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242" w:type="dxa"/>
            <w:noWrap w:val="0"/>
            <w:vAlign w:val="top"/>
          </w:tcPr>
          <w:p w14:paraId="59487CDC">
            <w:pPr>
              <w:jc w:val="center"/>
              <w:rPr>
                <w:rFonts w:hint="eastAsia" w:ascii="宋体" w:hAnsi="宋体"/>
              </w:rPr>
            </w:pPr>
            <w:r>
              <w:rPr>
                <w:rFonts w:hint="eastAsia" w:ascii="宋体" w:hAnsi="宋体"/>
              </w:rPr>
              <w:t>序号</w:t>
            </w:r>
          </w:p>
        </w:tc>
        <w:tc>
          <w:tcPr>
            <w:tcW w:w="1843" w:type="dxa"/>
            <w:noWrap w:val="0"/>
            <w:vAlign w:val="top"/>
          </w:tcPr>
          <w:p w14:paraId="197BD2DD">
            <w:pPr>
              <w:jc w:val="center"/>
              <w:rPr>
                <w:rFonts w:hint="eastAsia" w:ascii="宋体" w:hAnsi="宋体"/>
              </w:rPr>
            </w:pPr>
            <w:r>
              <w:rPr>
                <w:rFonts w:hint="eastAsia" w:ascii="宋体" w:hAnsi="宋体"/>
              </w:rPr>
              <w:t>分类</w:t>
            </w:r>
          </w:p>
        </w:tc>
        <w:tc>
          <w:tcPr>
            <w:tcW w:w="5245" w:type="dxa"/>
            <w:noWrap w:val="0"/>
            <w:vAlign w:val="top"/>
          </w:tcPr>
          <w:p w14:paraId="27ED0831">
            <w:pPr>
              <w:jc w:val="center"/>
              <w:rPr>
                <w:rFonts w:hint="eastAsia" w:ascii="宋体" w:hAnsi="宋体"/>
              </w:rPr>
            </w:pPr>
            <w:r>
              <w:rPr>
                <w:rFonts w:hint="eastAsia" w:ascii="宋体" w:hAnsi="宋体"/>
              </w:rPr>
              <w:t>名称</w:t>
            </w:r>
          </w:p>
        </w:tc>
      </w:tr>
      <w:tr w14:paraId="355D8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noWrap w:val="0"/>
            <w:vAlign w:val="center"/>
          </w:tcPr>
          <w:p w14:paraId="634303DF">
            <w:pPr>
              <w:jc w:val="center"/>
              <w:rPr>
                <w:rFonts w:hint="eastAsia" w:ascii="宋体" w:hAnsi="宋体"/>
              </w:rPr>
            </w:pPr>
            <w:r>
              <w:rPr>
                <w:rFonts w:hint="eastAsia" w:ascii="宋体" w:hAnsi="宋体"/>
              </w:rPr>
              <w:t>1</w:t>
            </w:r>
          </w:p>
        </w:tc>
        <w:tc>
          <w:tcPr>
            <w:tcW w:w="1843" w:type="dxa"/>
            <w:vMerge w:val="restart"/>
            <w:noWrap w:val="0"/>
            <w:vAlign w:val="center"/>
          </w:tcPr>
          <w:p w14:paraId="536C3D3D">
            <w:pPr>
              <w:jc w:val="center"/>
              <w:rPr>
                <w:rFonts w:hint="eastAsia" w:ascii="宋体" w:hAnsi="宋体"/>
              </w:rPr>
            </w:pPr>
            <w:r>
              <w:rPr>
                <w:rFonts w:hint="eastAsia" w:ascii="宋体" w:hAnsi="宋体"/>
              </w:rPr>
              <w:t>标准维修</w:t>
            </w:r>
          </w:p>
        </w:tc>
        <w:tc>
          <w:tcPr>
            <w:tcW w:w="5245" w:type="dxa"/>
            <w:noWrap w:val="0"/>
            <w:vAlign w:val="top"/>
          </w:tcPr>
          <w:p w14:paraId="0F9224BD">
            <w:pPr>
              <w:jc w:val="center"/>
              <w:rPr>
                <w:rFonts w:hint="eastAsia" w:ascii="宋体" w:hAnsi="宋体"/>
              </w:rPr>
            </w:pPr>
            <w:r>
              <w:rPr>
                <w:rFonts w:hint="eastAsia" w:ascii="宋体" w:hAnsi="宋体"/>
              </w:rPr>
              <w:t>维修线圈型号与各零件确认</w:t>
            </w:r>
          </w:p>
        </w:tc>
      </w:tr>
      <w:tr w14:paraId="20A4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14:paraId="5A1484F9">
            <w:pPr>
              <w:jc w:val="center"/>
              <w:rPr>
                <w:rFonts w:hint="eastAsia" w:ascii="宋体" w:hAnsi="宋体"/>
              </w:rPr>
            </w:pPr>
          </w:p>
        </w:tc>
        <w:tc>
          <w:tcPr>
            <w:tcW w:w="1843" w:type="dxa"/>
            <w:vMerge w:val="continue"/>
            <w:noWrap w:val="0"/>
            <w:vAlign w:val="top"/>
          </w:tcPr>
          <w:p w14:paraId="213800AD">
            <w:pPr>
              <w:jc w:val="center"/>
              <w:rPr>
                <w:rFonts w:hint="eastAsia" w:ascii="宋体" w:hAnsi="宋体"/>
              </w:rPr>
            </w:pPr>
          </w:p>
        </w:tc>
        <w:tc>
          <w:tcPr>
            <w:tcW w:w="5245" w:type="dxa"/>
            <w:noWrap w:val="0"/>
            <w:vAlign w:val="top"/>
          </w:tcPr>
          <w:p w14:paraId="3172A3F7">
            <w:pPr>
              <w:jc w:val="center"/>
              <w:rPr>
                <w:rFonts w:hint="eastAsia" w:ascii="宋体" w:hAnsi="宋体"/>
              </w:rPr>
            </w:pPr>
            <w:r>
              <w:rPr>
                <w:rFonts w:hint="eastAsia" w:ascii="宋体" w:hAnsi="宋体"/>
              </w:rPr>
              <w:t>线圈绕组水压与流量检测</w:t>
            </w:r>
          </w:p>
        </w:tc>
      </w:tr>
      <w:tr w14:paraId="0658B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14:paraId="2BBA1323">
            <w:pPr>
              <w:jc w:val="center"/>
              <w:rPr>
                <w:rFonts w:hint="eastAsia" w:ascii="宋体" w:hAnsi="宋体"/>
              </w:rPr>
            </w:pPr>
          </w:p>
        </w:tc>
        <w:tc>
          <w:tcPr>
            <w:tcW w:w="1843" w:type="dxa"/>
            <w:vMerge w:val="continue"/>
            <w:noWrap w:val="0"/>
            <w:vAlign w:val="top"/>
          </w:tcPr>
          <w:p w14:paraId="7D5F6F4A">
            <w:pPr>
              <w:jc w:val="center"/>
              <w:rPr>
                <w:rFonts w:hint="eastAsia" w:ascii="宋体" w:hAnsi="宋体"/>
              </w:rPr>
            </w:pPr>
          </w:p>
        </w:tc>
        <w:tc>
          <w:tcPr>
            <w:tcW w:w="5245" w:type="dxa"/>
            <w:noWrap w:val="0"/>
            <w:vAlign w:val="top"/>
          </w:tcPr>
          <w:p w14:paraId="301D4D86">
            <w:pPr>
              <w:jc w:val="center"/>
              <w:rPr>
                <w:rFonts w:hint="eastAsia" w:ascii="宋体" w:hAnsi="宋体"/>
              </w:rPr>
            </w:pPr>
            <w:r>
              <w:rPr>
                <w:rFonts w:hint="eastAsia" w:ascii="宋体" w:hAnsi="宋体"/>
              </w:rPr>
              <w:t>拆卸线圈各部件、敲耐火泥及清理</w:t>
            </w:r>
          </w:p>
        </w:tc>
      </w:tr>
      <w:tr w14:paraId="6DAF6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14:paraId="4C1A4B68">
            <w:pPr>
              <w:jc w:val="center"/>
              <w:rPr>
                <w:rFonts w:hint="eastAsia" w:ascii="宋体" w:hAnsi="宋体"/>
              </w:rPr>
            </w:pPr>
          </w:p>
        </w:tc>
        <w:tc>
          <w:tcPr>
            <w:tcW w:w="1843" w:type="dxa"/>
            <w:vMerge w:val="continue"/>
            <w:noWrap w:val="0"/>
            <w:vAlign w:val="top"/>
          </w:tcPr>
          <w:p w14:paraId="4E4DAD11">
            <w:pPr>
              <w:jc w:val="center"/>
              <w:rPr>
                <w:rFonts w:hint="eastAsia" w:ascii="宋体" w:hAnsi="宋体"/>
              </w:rPr>
            </w:pPr>
          </w:p>
        </w:tc>
        <w:tc>
          <w:tcPr>
            <w:tcW w:w="5245" w:type="dxa"/>
            <w:noWrap w:val="0"/>
            <w:vAlign w:val="top"/>
          </w:tcPr>
          <w:p w14:paraId="5E860F72">
            <w:pPr>
              <w:jc w:val="center"/>
              <w:rPr>
                <w:rFonts w:hint="eastAsia" w:ascii="宋体" w:hAnsi="宋体"/>
              </w:rPr>
            </w:pPr>
            <w:r>
              <w:rPr>
                <w:rFonts w:hint="eastAsia" w:ascii="宋体" w:hAnsi="宋体"/>
              </w:rPr>
              <w:t>清除线圈绕组原有绝缘层</w:t>
            </w:r>
          </w:p>
        </w:tc>
      </w:tr>
      <w:tr w14:paraId="245E6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14:paraId="28C9F6AC">
            <w:pPr>
              <w:jc w:val="center"/>
              <w:rPr>
                <w:rFonts w:hint="eastAsia" w:ascii="宋体" w:hAnsi="宋体"/>
              </w:rPr>
            </w:pPr>
          </w:p>
        </w:tc>
        <w:tc>
          <w:tcPr>
            <w:tcW w:w="1843" w:type="dxa"/>
            <w:vMerge w:val="continue"/>
            <w:noWrap w:val="0"/>
            <w:vAlign w:val="top"/>
          </w:tcPr>
          <w:p w14:paraId="1D6EA5F5">
            <w:pPr>
              <w:jc w:val="center"/>
              <w:rPr>
                <w:rFonts w:hint="eastAsia" w:ascii="宋体" w:hAnsi="宋体"/>
              </w:rPr>
            </w:pPr>
          </w:p>
        </w:tc>
        <w:tc>
          <w:tcPr>
            <w:tcW w:w="5245" w:type="dxa"/>
            <w:noWrap w:val="0"/>
            <w:vAlign w:val="top"/>
          </w:tcPr>
          <w:p w14:paraId="3AB80818">
            <w:pPr>
              <w:jc w:val="center"/>
              <w:rPr>
                <w:rFonts w:hint="eastAsia" w:ascii="宋体" w:hAnsi="宋体"/>
              </w:rPr>
            </w:pPr>
            <w:r>
              <w:rPr>
                <w:rFonts w:hint="eastAsia" w:ascii="宋体" w:hAnsi="宋体"/>
              </w:rPr>
              <w:t>绕组分支管与节距螺丝银焊条补焊</w:t>
            </w:r>
          </w:p>
        </w:tc>
      </w:tr>
      <w:tr w14:paraId="26746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14:paraId="6B571AF1">
            <w:pPr>
              <w:jc w:val="center"/>
              <w:rPr>
                <w:rFonts w:hint="eastAsia" w:ascii="宋体" w:hAnsi="宋体"/>
              </w:rPr>
            </w:pPr>
          </w:p>
        </w:tc>
        <w:tc>
          <w:tcPr>
            <w:tcW w:w="1843" w:type="dxa"/>
            <w:vMerge w:val="continue"/>
            <w:noWrap w:val="0"/>
            <w:vAlign w:val="top"/>
          </w:tcPr>
          <w:p w14:paraId="59003F94">
            <w:pPr>
              <w:jc w:val="center"/>
              <w:rPr>
                <w:rFonts w:hint="eastAsia" w:ascii="宋体" w:hAnsi="宋体"/>
              </w:rPr>
            </w:pPr>
          </w:p>
        </w:tc>
        <w:tc>
          <w:tcPr>
            <w:tcW w:w="5245" w:type="dxa"/>
            <w:noWrap w:val="0"/>
            <w:vAlign w:val="top"/>
          </w:tcPr>
          <w:p w14:paraId="1382E4A4">
            <w:pPr>
              <w:jc w:val="center"/>
              <w:rPr>
                <w:rFonts w:hint="eastAsia" w:ascii="宋体" w:hAnsi="宋体"/>
              </w:rPr>
            </w:pPr>
            <w:r>
              <w:rPr>
                <w:rFonts w:hint="eastAsia" w:ascii="宋体" w:hAnsi="宋体"/>
              </w:rPr>
              <w:t>线圈绕组水压检测-补漏</w:t>
            </w:r>
          </w:p>
        </w:tc>
      </w:tr>
      <w:tr w14:paraId="18936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14:paraId="00BC3A77">
            <w:pPr>
              <w:jc w:val="center"/>
              <w:rPr>
                <w:rFonts w:hint="eastAsia" w:ascii="宋体" w:hAnsi="宋体"/>
              </w:rPr>
            </w:pPr>
          </w:p>
        </w:tc>
        <w:tc>
          <w:tcPr>
            <w:tcW w:w="1843" w:type="dxa"/>
            <w:vMerge w:val="continue"/>
            <w:noWrap w:val="0"/>
            <w:vAlign w:val="top"/>
          </w:tcPr>
          <w:p w14:paraId="0BC5C660">
            <w:pPr>
              <w:jc w:val="center"/>
              <w:rPr>
                <w:rFonts w:hint="eastAsia" w:ascii="宋体" w:hAnsi="宋体"/>
              </w:rPr>
            </w:pPr>
          </w:p>
        </w:tc>
        <w:tc>
          <w:tcPr>
            <w:tcW w:w="5245" w:type="dxa"/>
            <w:noWrap w:val="0"/>
            <w:vAlign w:val="top"/>
          </w:tcPr>
          <w:p w14:paraId="52DFB706">
            <w:pPr>
              <w:jc w:val="center"/>
              <w:rPr>
                <w:rFonts w:hint="eastAsia" w:ascii="宋体" w:hAnsi="宋体"/>
              </w:rPr>
            </w:pPr>
            <w:r>
              <w:rPr>
                <w:rFonts w:hint="eastAsia" w:ascii="宋体" w:hAnsi="宋体"/>
              </w:rPr>
              <w:t>线圈表面处理-喷砂</w:t>
            </w:r>
          </w:p>
        </w:tc>
      </w:tr>
      <w:tr w14:paraId="1B3C8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14:paraId="50A999E7">
            <w:pPr>
              <w:jc w:val="center"/>
              <w:rPr>
                <w:rFonts w:hint="eastAsia" w:ascii="宋体" w:hAnsi="宋体"/>
              </w:rPr>
            </w:pPr>
          </w:p>
        </w:tc>
        <w:tc>
          <w:tcPr>
            <w:tcW w:w="1843" w:type="dxa"/>
            <w:vMerge w:val="continue"/>
            <w:noWrap w:val="0"/>
            <w:vAlign w:val="top"/>
          </w:tcPr>
          <w:p w14:paraId="399F9B3E">
            <w:pPr>
              <w:jc w:val="center"/>
              <w:rPr>
                <w:rFonts w:hint="eastAsia" w:ascii="宋体" w:hAnsi="宋体"/>
              </w:rPr>
            </w:pPr>
          </w:p>
        </w:tc>
        <w:tc>
          <w:tcPr>
            <w:tcW w:w="5245" w:type="dxa"/>
            <w:noWrap w:val="0"/>
            <w:vAlign w:val="top"/>
          </w:tcPr>
          <w:p w14:paraId="1DFC3210">
            <w:pPr>
              <w:jc w:val="center"/>
              <w:rPr>
                <w:rFonts w:hint="eastAsia" w:ascii="宋体" w:hAnsi="宋体"/>
              </w:rPr>
            </w:pPr>
            <w:r>
              <w:rPr>
                <w:rFonts w:hint="eastAsia" w:ascii="宋体" w:hAnsi="宋体"/>
              </w:rPr>
              <w:t>线圈绝缘处理-喷粉（4遍）</w:t>
            </w:r>
          </w:p>
        </w:tc>
      </w:tr>
      <w:tr w14:paraId="1CD86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14:paraId="1F9B0E95">
            <w:pPr>
              <w:jc w:val="center"/>
              <w:rPr>
                <w:rFonts w:hint="eastAsia" w:ascii="宋体" w:hAnsi="宋体"/>
              </w:rPr>
            </w:pPr>
          </w:p>
        </w:tc>
        <w:tc>
          <w:tcPr>
            <w:tcW w:w="1843" w:type="dxa"/>
            <w:vMerge w:val="continue"/>
            <w:noWrap w:val="0"/>
            <w:vAlign w:val="top"/>
          </w:tcPr>
          <w:p w14:paraId="377CBB20">
            <w:pPr>
              <w:jc w:val="center"/>
              <w:rPr>
                <w:rFonts w:hint="eastAsia" w:ascii="宋体" w:hAnsi="宋体"/>
              </w:rPr>
            </w:pPr>
          </w:p>
        </w:tc>
        <w:tc>
          <w:tcPr>
            <w:tcW w:w="5245" w:type="dxa"/>
            <w:noWrap w:val="0"/>
            <w:vAlign w:val="top"/>
          </w:tcPr>
          <w:p w14:paraId="3900A842">
            <w:pPr>
              <w:jc w:val="center"/>
              <w:rPr>
                <w:rFonts w:hint="eastAsia" w:ascii="宋体" w:hAnsi="宋体"/>
              </w:rPr>
            </w:pPr>
            <w:r>
              <w:rPr>
                <w:rFonts w:hint="eastAsia" w:ascii="宋体" w:hAnsi="宋体"/>
              </w:rPr>
              <w:t>线圈绕组绝缘层厚度与耐压值测试</w:t>
            </w:r>
          </w:p>
        </w:tc>
      </w:tr>
      <w:tr w14:paraId="3321E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14:paraId="4E987719">
            <w:pPr>
              <w:jc w:val="center"/>
              <w:rPr>
                <w:rFonts w:hint="eastAsia" w:ascii="宋体" w:hAnsi="宋体"/>
              </w:rPr>
            </w:pPr>
          </w:p>
        </w:tc>
        <w:tc>
          <w:tcPr>
            <w:tcW w:w="1843" w:type="dxa"/>
            <w:vMerge w:val="continue"/>
            <w:noWrap w:val="0"/>
            <w:vAlign w:val="top"/>
          </w:tcPr>
          <w:p w14:paraId="5F76CE42">
            <w:pPr>
              <w:jc w:val="center"/>
              <w:rPr>
                <w:rFonts w:hint="eastAsia" w:ascii="宋体" w:hAnsi="宋体"/>
              </w:rPr>
            </w:pPr>
          </w:p>
        </w:tc>
        <w:tc>
          <w:tcPr>
            <w:tcW w:w="5245" w:type="dxa"/>
            <w:noWrap w:val="0"/>
            <w:vAlign w:val="top"/>
          </w:tcPr>
          <w:p w14:paraId="28A7156B">
            <w:pPr>
              <w:jc w:val="center"/>
              <w:rPr>
                <w:rFonts w:hint="eastAsia" w:ascii="宋体" w:hAnsi="宋体"/>
              </w:rPr>
            </w:pPr>
            <w:r>
              <w:rPr>
                <w:rFonts w:hint="eastAsia" w:ascii="宋体" w:hAnsi="宋体"/>
              </w:rPr>
              <w:t>线圈绕组匝间隙与直线度矫正</w:t>
            </w:r>
          </w:p>
        </w:tc>
      </w:tr>
      <w:tr w14:paraId="6891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14:paraId="535A74F3">
            <w:pPr>
              <w:jc w:val="center"/>
              <w:rPr>
                <w:rFonts w:hint="eastAsia" w:ascii="宋体" w:hAnsi="宋体"/>
              </w:rPr>
            </w:pPr>
          </w:p>
        </w:tc>
        <w:tc>
          <w:tcPr>
            <w:tcW w:w="1843" w:type="dxa"/>
            <w:vMerge w:val="continue"/>
            <w:noWrap w:val="0"/>
            <w:vAlign w:val="top"/>
          </w:tcPr>
          <w:p w14:paraId="39C2417E">
            <w:pPr>
              <w:jc w:val="center"/>
              <w:rPr>
                <w:rFonts w:hint="eastAsia" w:ascii="宋体" w:hAnsi="宋体"/>
              </w:rPr>
            </w:pPr>
          </w:p>
        </w:tc>
        <w:tc>
          <w:tcPr>
            <w:tcW w:w="5245" w:type="dxa"/>
            <w:noWrap w:val="0"/>
            <w:vAlign w:val="top"/>
          </w:tcPr>
          <w:p w14:paraId="03986D6F">
            <w:pPr>
              <w:jc w:val="center"/>
              <w:rPr>
                <w:rFonts w:hint="eastAsia" w:ascii="宋体" w:hAnsi="宋体"/>
              </w:rPr>
            </w:pPr>
            <w:r>
              <w:rPr>
                <w:rFonts w:hint="eastAsia" w:ascii="宋体" w:hAnsi="宋体"/>
              </w:rPr>
              <w:t>线圈浇注耐火泥前工装夹具装配</w:t>
            </w:r>
          </w:p>
        </w:tc>
      </w:tr>
      <w:tr w14:paraId="368D6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14:paraId="3333FEED">
            <w:pPr>
              <w:jc w:val="center"/>
              <w:rPr>
                <w:rFonts w:hint="eastAsia" w:ascii="宋体" w:hAnsi="宋体"/>
              </w:rPr>
            </w:pPr>
          </w:p>
        </w:tc>
        <w:tc>
          <w:tcPr>
            <w:tcW w:w="1843" w:type="dxa"/>
            <w:vMerge w:val="continue"/>
            <w:noWrap w:val="0"/>
            <w:vAlign w:val="top"/>
          </w:tcPr>
          <w:p w14:paraId="2D798AB0">
            <w:pPr>
              <w:jc w:val="center"/>
              <w:rPr>
                <w:rFonts w:hint="eastAsia" w:ascii="宋体" w:hAnsi="宋体"/>
              </w:rPr>
            </w:pPr>
          </w:p>
        </w:tc>
        <w:tc>
          <w:tcPr>
            <w:tcW w:w="5245" w:type="dxa"/>
            <w:noWrap w:val="0"/>
            <w:vAlign w:val="top"/>
          </w:tcPr>
          <w:p w14:paraId="60184EEA">
            <w:pPr>
              <w:jc w:val="center"/>
              <w:rPr>
                <w:rFonts w:hint="eastAsia" w:ascii="宋体" w:hAnsi="宋体"/>
              </w:rPr>
            </w:pPr>
            <w:r>
              <w:rPr>
                <w:rFonts w:hint="eastAsia" w:ascii="宋体" w:hAnsi="宋体"/>
              </w:rPr>
              <w:t>线圈浇注耐火泥与脱模检查炉膛耐火泥</w:t>
            </w:r>
          </w:p>
        </w:tc>
      </w:tr>
      <w:tr w14:paraId="33BC1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14:paraId="5E2DFC14">
            <w:pPr>
              <w:jc w:val="center"/>
              <w:rPr>
                <w:rFonts w:hint="eastAsia" w:ascii="宋体" w:hAnsi="宋体"/>
              </w:rPr>
            </w:pPr>
          </w:p>
        </w:tc>
        <w:tc>
          <w:tcPr>
            <w:tcW w:w="1843" w:type="dxa"/>
            <w:vMerge w:val="continue"/>
            <w:noWrap w:val="0"/>
            <w:vAlign w:val="top"/>
          </w:tcPr>
          <w:p w14:paraId="30B21F14">
            <w:pPr>
              <w:jc w:val="center"/>
              <w:rPr>
                <w:rFonts w:hint="eastAsia" w:ascii="宋体" w:hAnsi="宋体"/>
              </w:rPr>
            </w:pPr>
          </w:p>
        </w:tc>
        <w:tc>
          <w:tcPr>
            <w:tcW w:w="5245" w:type="dxa"/>
            <w:noWrap w:val="0"/>
            <w:vAlign w:val="top"/>
          </w:tcPr>
          <w:p w14:paraId="68452CE6">
            <w:pPr>
              <w:jc w:val="center"/>
              <w:rPr>
                <w:rFonts w:hint="eastAsia" w:ascii="宋体" w:hAnsi="宋体"/>
              </w:rPr>
            </w:pPr>
            <w:r>
              <w:rPr>
                <w:rFonts w:hint="eastAsia" w:ascii="宋体" w:hAnsi="宋体"/>
              </w:rPr>
              <w:t>耐火泥养生放置8小时</w:t>
            </w:r>
          </w:p>
        </w:tc>
      </w:tr>
      <w:tr w14:paraId="409BE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14:paraId="617B822B">
            <w:pPr>
              <w:jc w:val="center"/>
              <w:rPr>
                <w:rFonts w:hint="eastAsia" w:ascii="宋体" w:hAnsi="宋体"/>
              </w:rPr>
            </w:pPr>
          </w:p>
        </w:tc>
        <w:tc>
          <w:tcPr>
            <w:tcW w:w="1843" w:type="dxa"/>
            <w:vMerge w:val="continue"/>
            <w:noWrap w:val="0"/>
            <w:vAlign w:val="top"/>
          </w:tcPr>
          <w:p w14:paraId="55DB4A1A">
            <w:pPr>
              <w:jc w:val="center"/>
              <w:rPr>
                <w:rFonts w:hint="eastAsia" w:ascii="宋体" w:hAnsi="宋体"/>
              </w:rPr>
            </w:pPr>
          </w:p>
        </w:tc>
        <w:tc>
          <w:tcPr>
            <w:tcW w:w="5245" w:type="dxa"/>
            <w:noWrap w:val="0"/>
            <w:vAlign w:val="top"/>
          </w:tcPr>
          <w:p w14:paraId="7A35FF41">
            <w:pPr>
              <w:jc w:val="center"/>
              <w:rPr>
                <w:rFonts w:hint="eastAsia" w:ascii="宋体" w:hAnsi="宋体"/>
              </w:rPr>
            </w:pPr>
            <w:r>
              <w:rPr>
                <w:rFonts w:hint="eastAsia" w:ascii="宋体" w:hAnsi="宋体"/>
              </w:rPr>
              <w:t>放入烘箱，按照程序烘炉12小时</w:t>
            </w:r>
          </w:p>
        </w:tc>
      </w:tr>
      <w:tr w14:paraId="72BFC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14:paraId="5FDE968C">
            <w:pPr>
              <w:jc w:val="center"/>
              <w:rPr>
                <w:rFonts w:hint="eastAsia" w:ascii="宋体" w:hAnsi="宋体"/>
              </w:rPr>
            </w:pPr>
          </w:p>
        </w:tc>
        <w:tc>
          <w:tcPr>
            <w:tcW w:w="1843" w:type="dxa"/>
            <w:vMerge w:val="continue"/>
            <w:noWrap w:val="0"/>
            <w:vAlign w:val="top"/>
          </w:tcPr>
          <w:p w14:paraId="507D9551">
            <w:pPr>
              <w:jc w:val="center"/>
              <w:rPr>
                <w:rFonts w:hint="eastAsia" w:ascii="宋体" w:hAnsi="宋体"/>
              </w:rPr>
            </w:pPr>
          </w:p>
        </w:tc>
        <w:tc>
          <w:tcPr>
            <w:tcW w:w="5245" w:type="dxa"/>
            <w:noWrap w:val="0"/>
            <w:vAlign w:val="top"/>
          </w:tcPr>
          <w:p w14:paraId="7F655E8B">
            <w:pPr>
              <w:jc w:val="center"/>
              <w:rPr>
                <w:rFonts w:hint="eastAsia" w:ascii="宋体" w:hAnsi="宋体"/>
              </w:rPr>
            </w:pPr>
            <w:r>
              <w:rPr>
                <w:rFonts w:hint="eastAsia" w:ascii="宋体" w:hAnsi="宋体"/>
              </w:rPr>
              <w:t>线圈各零部件产品总装</w:t>
            </w:r>
          </w:p>
        </w:tc>
      </w:tr>
      <w:tr w14:paraId="280D6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14:paraId="045CCD0F">
            <w:pPr>
              <w:jc w:val="center"/>
              <w:rPr>
                <w:rFonts w:hint="eastAsia" w:ascii="宋体" w:hAnsi="宋体"/>
              </w:rPr>
            </w:pPr>
          </w:p>
        </w:tc>
        <w:tc>
          <w:tcPr>
            <w:tcW w:w="1843" w:type="dxa"/>
            <w:vMerge w:val="continue"/>
            <w:noWrap w:val="0"/>
            <w:vAlign w:val="top"/>
          </w:tcPr>
          <w:p w14:paraId="7EFD6F6C">
            <w:pPr>
              <w:jc w:val="center"/>
              <w:rPr>
                <w:rFonts w:hint="eastAsia" w:ascii="宋体" w:hAnsi="宋体"/>
              </w:rPr>
            </w:pPr>
          </w:p>
        </w:tc>
        <w:tc>
          <w:tcPr>
            <w:tcW w:w="5245" w:type="dxa"/>
            <w:noWrap w:val="0"/>
            <w:vAlign w:val="top"/>
          </w:tcPr>
          <w:p w14:paraId="2845BB25">
            <w:pPr>
              <w:jc w:val="center"/>
              <w:rPr>
                <w:rFonts w:hint="eastAsia" w:ascii="宋体" w:hAnsi="宋体"/>
              </w:rPr>
            </w:pPr>
            <w:r>
              <w:rPr>
                <w:rFonts w:hint="eastAsia" w:ascii="宋体" w:hAnsi="宋体"/>
              </w:rPr>
              <w:t>产品水压检测-查漏</w:t>
            </w:r>
          </w:p>
        </w:tc>
      </w:tr>
      <w:tr w14:paraId="6DB28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14:paraId="6BCE3CDC">
            <w:pPr>
              <w:jc w:val="center"/>
              <w:rPr>
                <w:rFonts w:hint="eastAsia" w:ascii="宋体" w:hAnsi="宋体"/>
              </w:rPr>
            </w:pPr>
          </w:p>
        </w:tc>
        <w:tc>
          <w:tcPr>
            <w:tcW w:w="1843" w:type="dxa"/>
            <w:vMerge w:val="continue"/>
            <w:noWrap w:val="0"/>
            <w:vAlign w:val="top"/>
          </w:tcPr>
          <w:p w14:paraId="41C51DA2">
            <w:pPr>
              <w:jc w:val="center"/>
              <w:rPr>
                <w:rFonts w:hint="eastAsia" w:ascii="宋体" w:hAnsi="宋体"/>
              </w:rPr>
            </w:pPr>
          </w:p>
        </w:tc>
        <w:tc>
          <w:tcPr>
            <w:tcW w:w="5245" w:type="dxa"/>
            <w:noWrap w:val="0"/>
            <w:vAlign w:val="top"/>
          </w:tcPr>
          <w:p w14:paraId="3DF8B1EB">
            <w:pPr>
              <w:jc w:val="center"/>
              <w:rPr>
                <w:rFonts w:hint="eastAsia" w:ascii="宋体" w:hAnsi="宋体"/>
              </w:rPr>
            </w:pPr>
            <w:r>
              <w:rPr>
                <w:rFonts w:hint="eastAsia" w:ascii="宋体" w:hAnsi="宋体"/>
              </w:rPr>
              <w:t>产品外观检查与清洁</w:t>
            </w:r>
          </w:p>
        </w:tc>
      </w:tr>
      <w:tr w14:paraId="2BBA8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14:paraId="747CB79D">
            <w:pPr>
              <w:jc w:val="center"/>
              <w:rPr>
                <w:rFonts w:hint="eastAsia" w:ascii="宋体" w:hAnsi="宋体"/>
              </w:rPr>
            </w:pPr>
          </w:p>
        </w:tc>
        <w:tc>
          <w:tcPr>
            <w:tcW w:w="1843" w:type="dxa"/>
            <w:vMerge w:val="continue"/>
            <w:noWrap w:val="0"/>
            <w:vAlign w:val="top"/>
          </w:tcPr>
          <w:p w14:paraId="16588DD9">
            <w:pPr>
              <w:jc w:val="center"/>
              <w:rPr>
                <w:rFonts w:hint="eastAsia" w:ascii="宋体" w:hAnsi="宋体"/>
              </w:rPr>
            </w:pPr>
          </w:p>
        </w:tc>
        <w:tc>
          <w:tcPr>
            <w:tcW w:w="5245" w:type="dxa"/>
            <w:tcBorders>
              <w:bottom w:val="single" w:color="auto" w:sz="4" w:space="0"/>
            </w:tcBorders>
            <w:noWrap w:val="0"/>
            <w:vAlign w:val="top"/>
          </w:tcPr>
          <w:p w14:paraId="04781F1B">
            <w:pPr>
              <w:jc w:val="center"/>
              <w:rPr>
                <w:rFonts w:hint="eastAsia" w:ascii="宋体" w:hAnsi="宋体"/>
              </w:rPr>
            </w:pPr>
            <w:r>
              <w:rPr>
                <w:rFonts w:hint="eastAsia" w:ascii="宋体" w:hAnsi="宋体"/>
              </w:rPr>
              <w:t>贴标签，合格证</w:t>
            </w:r>
          </w:p>
        </w:tc>
      </w:tr>
      <w:tr w14:paraId="33882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14:paraId="322986A9">
            <w:pPr>
              <w:jc w:val="center"/>
              <w:rPr>
                <w:rFonts w:hint="eastAsia" w:ascii="宋体" w:hAnsi="宋体"/>
              </w:rPr>
            </w:pPr>
          </w:p>
        </w:tc>
        <w:tc>
          <w:tcPr>
            <w:tcW w:w="1843" w:type="dxa"/>
            <w:vMerge w:val="continue"/>
            <w:noWrap w:val="0"/>
            <w:vAlign w:val="top"/>
          </w:tcPr>
          <w:p w14:paraId="6FDF32F8">
            <w:pPr>
              <w:jc w:val="center"/>
              <w:rPr>
                <w:rFonts w:hint="eastAsia" w:ascii="宋体" w:hAnsi="宋体"/>
              </w:rPr>
            </w:pPr>
          </w:p>
        </w:tc>
        <w:tc>
          <w:tcPr>
            <w:tcW w:w="5245" w:type="dxa"/>
            <w:tcBorders>
              <w:bottom w:val="single" w:color="auto" w:sz="4" w:space="0"/>
            </w:tcBorders>
            <w:noWrap w:val="0"/>
            <w:vAlign w:val="top"/>
          </w:tcPr>
          <w:p w14:paraId="5D64F236">
            <w:pPr>
              <w:jc w:val="center"/>
              <w:rPr>
                <w:rFonts w:hint="eastAsia" w:ascii="宋体" w:hAnsi="宋体"/>
              </w:rPr>
            </w:pPr>
            <w:r>
              <w:rPr>
                <w:rFonts w:hint="eastAsia" w:ascii="宋体" w:hAnsi="宋体"/>
              </w:rPr>
              <w:t>包装、运输及保险</w:t>
            </w:r>
          </w:p>
        </w:tc>
      </w:tr>
      <w:tr w14:paraId="10325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14:paraId="4AAD32A7">
            <w:pPr>
              <w:jc w:val="center"/>
              <w:rPr>
                <w:rFonts w:hint="eastAsia" w:ascii="宋体" w:hAnsi="宋体"/>
              </w:rPr>
            </w:pPr>
          </w:p>
        </w:tc>
        <w:tc>
          <w:tcPr>
            <w:tcW w:w="1843" w:type="dxa"/>
            <w:vMerge w:val="continue"/>
            <w:noWrap w:val="0"/>
            <w:vAlign w:val="top"/>
          </w:tcPr>
          <w:p w14:paraId="7F354983">
            <w:pPr>
              <w:jc w:val="center"/>
              <w:rPr>
                <w:rFonts w:hint="eastAsia" w:ascii="宋体" w:hAnsi="宋体"/>
              </w:rPr>
            </w:pPr>
          </w:p>
        </w:tc>
        <w:tc>
          <w:tcPr>
            <w:tcW w:w="5245" w:type="dxa"/>
            <w:tcBorders>
              <w:top w:val="single" w:color="auto" w:sz="4" w:space="0"/>
              <w:bottom w:val="single" w:color="auto" w:sz="4" w:space="0"/>
            </w:tcBorders>
            <w:noWrap w:val="0"/>
            <w:vAlign w:val="top"/>
          </w:tcPr>
          <w:p w14:paraId="5EFAB7ED">
            <w:pPr>
              <w:jc w:val="center"/>
              <w:rPr>
                <w:rFonts w:hint="eastAsia" w:ascii="宋体" w:hAnsi="宋体"/>
              </w:rPr>
            </w:pPr>
            <w:r>
              <w:rPr>
                <w:rFonts w:hint="eastAsia" w:ascii="宋体" w:hAnsi="宋体"/>
              </w:rPr>
              <w:t>说明：标准维修是指线圈绝缘层损坏的维修，维修线圈必须更换的备件有：</w:t>
            </w:r>
          </w:p>
        </w:tc>
      </w:tr>
      <w:tr w14:paraId="56A0F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14:paraId="1E9D9C02">
            <w:pPr>
              <w:jc w:val="center"/>
              <w:rPr>
                <w:rFonts w:hint="eastAsia" w:ascii="宋体" w:hAnsi="宋体"/>
              </w:rPr>
            </w:pPr>
          </w:p>
        </w:tc>
        <w:tc>
          <w:tcPr>
            <w:tcW w:w="1843" w:type="dxa"/>
            <w:vMerge w:val="continue"/>
            <w:noWrap w:val="0"/>
            <w:vAlign w:val="top"/>
          </w:tcPr>
          <w:p w14:paraId="1922C56D">
            <w:pPr>
              <w:jc w:val="center"/>
              <w:rPr>
                <w:rFonts w:hint="eastAsia" w:ascii="宋体" w:hAnsi="宋体"/>
              </w:rPr>
            </w:pPr>
          </w:p>
        </w:tc>
        <w:tc>
          <w:tcPr>
            <w:tcW w:w="5245" w:type="dxa"/>
            <w:tcBorders>
              <w:top w:val="single" w:color="auto" w:sz="4" w:space="0"/>
              <w:bottom w:val="single" w:color="auto" w:sz="4" w:space="0"/>
            </w:tcBorders>
            <w:noWrap w:val="0"/>
            <w:vAlign w:val="top"/>
          </w:tcPr>
          <w:p w14:paraId="147B33C1">
            <w:pPr>
              <w:numPr>
                <w:ilvl w:val="0"/>
                <w:numId w:val="12"/>
              </w:numPr>
              <w:jc w:val="center"/>
              <w:rPr>
                <w:rFonts w:hint="eastAsia" w:ascii="宋体" w:hAnsi="宋体"/>
              </w:rPr>
            </w:pPr>
            <w:r>
              <w:rPr>
                <w:rFonts w:hint="eastAsia" w:ascii="宋体" w:hAnsi="宋体"/>
              </w:rPr>
              <w:t>进口尼龙粉和底漆</w:t>
            </w:r>
          </w:p>
        </w:tc>
      </w:tr>
      <w:tr w14:paraId="7FC9D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14:paraId="4B1B5B7D">
            <w:pPr>
              <w:jc w:val="center"/>
              <w:rPr>
                <w:rFonts w:hint="eastAsia" w:ascii="宋体" w:hAnsi="宋体"/>
              </w:rPr>
            </w:pPr>
          </w:p>
        </w:tc>
        <w:tc>
          <w:tcPr>
            <w:tcW w:w="1843" w:type="dxa"/>
            <w:vMerge w:val="continue"/>
            <w:noWrap w:val="0"/>
            <w:vAlign w:val="top"/>
          </w:tcPr>
          <w:p w14:paraId="45304CDF">
            <w:pPr>
              <w:jc w:val="center"/>
              <w:rPr>
                <w:rFonts w:hint="eastAsia" w:ascii="宋体" w:hAnsi="宋体"/>
              </w:rPr>
            </w:pPr>
          </w:p>
        </w:tc>
        <w:tc>
          <w:tcPr>
            <w:tcW w:w="5245" w:type="dxa"/>
            <w:tcBorders>
              <w:top w:val="single" w:color="auto" w:sz="4" w:space="0"/>
              <w:bottom w:val="single" w:color="auto" w:sz="4" w:space="0"/>
            </w:tcBorders>
            <w:noWrap w:val="0"/>
            <w:vAlign w:val="top"/>
          </w:tcPr>
          <w:p w14:paraId="61A46372">
            <w:pPr>
              <w:numPr>
                <w:ilvl w:val="0"/>
                <w:numId w:val="12"/>
              </w:numPr>
              <w:jc w:val="center"/>
              <w:rPr>
                <w:rFonts w:hint="eastAsia" w:ascii="宋体" w:hAnsi="宋体"/>
              </w:rPr>
            </w:pPr>
            <w:r>
              <w:rPr>
                <w:rFonts w:hint="eastAsia" w:ascii="宋体" w:hAnsi="宋体"/>
              </w:rPr>
              <w:t>耐火泥涂抹料</w:t>
            </w:r>
          </w:p>
        </w:tc>
      </w:tr>
      <w:tr w14:paraId="67D1A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14:paraId="19E57644">
            <w:pPr>
              <w:jc w:val="center"/>
              <w:rPr>
                <w:rFonts w:hint="eastAsia" w:ascii="宋体" w:hAnsi="宋体"/>
              </w:rPr>
            </w:pPr>
          </w:p>
        </w:tc>
        <w:tc>
          <w:tcPr>
            <w:tcW w:w="1843" w:type="dxa"/>
            <w:vMerge w:val="continue"/>
            <w:noWrap w:val="0"/>
            <w:vAlign w:val="top"/>
          </w:tcPr>
          <w:p w14:paraId="15068227">
            <w:pPr>
              <w:jc w:val="center"/>
              <w:rPr>
                <w:rFonts w:hint="eastAsia" w:ascii="宋体" w:hAnsi="宋体"/>
              </w:rPr>
            </w:pPr>
          </w:p>
        </w:tc>
        <w:tc>
          <w:tcPr>
            <w:tcW w:w="5245" w:type="dxa"/>
            <w:tcBorders>
              <w:top w:val="single" w:color="auto" w:sz="4" w:space="0"/>
              <w:bottom w:val="single" w:color="auto" w:sz="4" w:space="0"/>
            </w:tcBorders>
            <w:noWrap w:val="0"/>
            <w:vAlign w:val="top"/>
          </w:tcPr>
          <w:p w14:paraId="092EA69F">
            <w:pPr>
              <w:numPr>
                <w:ilvl w:val="0"/>
                <w:numId w:val="12"/>
              </w:numPr>
              <w:jc w:val="center"/>
              <w:rPr>
                <w:rFonts w:hint="eastAsia" w:ascii="宋体" w:hAnsi="宋体"/>
              </w:rPr>
            </w:pPr>
            <w:r>
              <w:rPr>
                <w:rFonts w:hint="eastAsia" w:ascii="宋体" w:hAnsi="宋体"/>
              </w:rPr>
              <w:t>银焊条</w:t>
            </w:r>
          </w:p>
        </w:tc>
      </w:tr>
      <w:tr w14:paraId="56D04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14:paraId="1366B762">
            <w:pPr>
              <w:jc w:val="center"/>
              <w:rPr>
                <w:rFonts w:hint="eastAsia" w:ascii="宋体" w:hAnsi="宋体"/>
              </w:rPr>
            </w:pPr>
          </w:p>
        </w:tc>
        <w:tc>
          <w:tcPr>
            <w:tcW w:w="1843" w:type="dxa"/>
            <w:vMerge w:val="continue"/>
            <w:noWrap w:val="0"/>
            <w:vAlign w:val="top"/>
          </w:tcPr>
          <w:p w14:paraId="2DE54384">
            <w:pPr>
              <w:jc w:val="center"/>
              <w:rPr>
                <w:rFonts w:hint="eastAsia" w:ascii="宋体" w:hAnsi="宋体"/>
              </w:rPr>
            </w:pPr>
          </w:p>
        </w:tc>
        <w:tc>
          <w:tcPr>
            <w:tcW w:w="5245" w:type="dxa"/>
            <w:tcBorders>
              <w:top w:val="single" w:color="auto" w:sz="4" w:space="0"/>
              <w:bottom w:val="single" w:color="auto" w:sz="4" w:space="0"/>
            </w:tcBorders>
            <w:noWrap w:val="0"/>
            <w:vAlign w:val="top"/>
          </w:tcPr>
          <w:p w14:paraId="28F820A9">
            <w:pPr>
              <w:numPr>
                <w:ilvl w:val="0"/>
                <w:numId w:val="12"/>
              </w:numPr>
              <w:jc w:val="center"/>
              <w:rPr>
                <w:rFonts w:hint="eastAsia" w:ascii="宋体" w:hAnsi="宋体"/>
              </w:rPr>
            </w:pPr>
            <w:r>
              <w:rPr>
                <w:rFonts w:hint="eastAsia" w:ascii="宋体" w:hAnsi="宋体"/>
              </w:rPr>
              <w:t>全套绝缘橡胶板（规格1/2′和3/8′）</w:t>
            </w:r>
          </w:p>
        </w:tc>
      </w:tr>
      <w:tr w14:paraId="64B0E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14:paraId="78462D31">
            <w:pPr>
              <w:jc w:val="center"/>
              <w:rPr>
                <w:rFonts w:hint="eastAsia" w:ascii="宋体" w:hAnsi="宋体"/>
              </w:rPr>
            </w:pPr>
          </w:p>
        </w:tc>
        <w:tc>
          <w:tcPr>
            <w:tcW w:w="1843" w:type="dxa"/>
            <w:vMerge w:val="continue"/>
            <w:noWrap w:val="0"/>
            <w:vAlign w:val="top"/>
          </w:tcPr>
          <w:p w14:paraId="0253648F">
            <w:pPr>
              <w:jc w:val="center"/>
              <w:rPr>
                <w:rFonts w:hint="eastAsia" w:ascii="宋体" w:hAnsi="宋体"/>
              </w:rPr>
            </w:pPr>
          </w:p>
        </w:tc>
        <w:tc>
          <w:tcPr>
            <w:tcW w:w="5245" w:type="dxa"/>
            <w:tcBorders>
              <w:top w:val="single" w:color="auto" w:sz="4" w:space="0"/>
              <w:bottom w:val="single" w:color="auto" w:sz="4" w:space="0"/>
            </w:tcBorders>
            <w:noWrap w:val="0"/>
            <w:vAlign w:val="top"/>
          </w:tcPr>
          <w:p w14:paraId="29318A07">
            <w:pPr>
              <w:numPr>
                <w:ilvl w:val="0"/>
                <w:numId w:val="12"/>
              </w:numPr>
              <w:jc w:val="center"/>
              <w:rPr>
                <w:rFonts w:hint="eastAsia" w:ascii="宋体" w:hAnsi="宋体"/>
              </w:rPr>
            </w:pPr>
            <w:r>
              <w:rPr>
                <w:rFonts w:hint="eastAsia" w:ascii="宋体" w:hAnsi="宋体"/>
              </w:rPr>
              <w:t>全套弱磁不锈钢卡箍（规格1/2′和3/8′）</w:t>
            </w:r>
          </w:p>
        </w:tc>
      </w:tr>
      <w:tr w14:paraId="2310A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14:paraId="347FA520">
            <w:pPr>
              <w:jc w:val="center"/>
              <w:rPr>
                <w:rFonts w:hint="eastAsia" w:ascii="宋体" w:hAnsi="宋体"/>
              </w:rPr>
            </w:pPr>
          </w:p>
        </w:tc>
        <w:tc>
          <w:tcPr>
            <w:tcW w:w="1843" w:type="dxa"/>
            <w:vMerge w:val="continue"/>
            <w:tcBorders>
              <w:bottom w:val="single" w:color="auto" w:sz="4" w:space="0"/>
            </w:tcBorders>
            <w:noWrap w:val="0"/>
            <w:vAlign w:val="top"/>
          </w:tcPr>
          <w:p w14:paraId="26415F89">
            <w:pPr>
              <w:jc w:val="center"/>
              <w:rPr>
                <w:rFonts w:hint="eastAsia" w:ascii="宋体" w:hAnsi="宋体"/>
              </w:rPr>
            </w:pPr>
          </w:p>
        </w:tc>
        <w:tc>
          <w:tcPr>
            <w:tcW w:w="5245" w:type="dxa"/>
            <w:tcBorders>
              <w:top w:val="single" w:color="auto" w:sz="4" w:space="0"/>
              <w:bottom w:val="single" w:color="auto" w:sz="4" w:space="0"/>
            </w:tcBorders>
            <w:noWrap w:val="0"/>
            <w:vAlign w:val="top"/>
          </w:tcPr>
          <w:p w14:paraId="248B8E84">
            <w:pPr>
              <w:numPr>
                <w:ilvl w:val="0"/>
                <w:numId w:val="12"/>
              </w:numPr>
              <w:jc w:val="center"/>
              <w:rPr>
                <w:rFonts w:hint="eastAsia" w:ascii="宋体" w:hAnsi="宋体"/>
              </w:rPr>
            </w:pPr>
            <w:r>
              <w:rPr>
                <w:rFonts w:hint="eastAsia" w:ascii="宋体" w:hAnsi="宋体"/>
              </w:rPr>
              <w:t>其他修理耗材：耐火合成云母带，热缩管，硅胶套，铝箔纸带，铜和不锈钢螺母标准件等</w:t>
            </w:r>
          </w:p>
        </w:tc>
      </w:tr>
      <w:tr w14:paraId="1F972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noWrap w:val="0"/>
            <w:vAlign w:val="center"/>
          </w:tcPr>
          <w:p w14:paraId="756298B7">
            <w:pPr>
              <w:jc w:val="center"/>
              <w:rPr>
                <w:rFonts w:hint="eastAsia" w:ascii="宋体" w:hAnsi="宋体"/>
              </w:rPr>
            </w:pPr>
            <w:r>
              <w:rPr>
                <w:rFonts w:hint="eastAsia" w:ascii="宋体" w:hAnsi="宋体"/>
              </w:rPr>
              <w:t>2</w:t>
            </w:r>
          </w:p>
        </w:tc>
        <w:tc>
          <w:tcPr>
            <w:tcW w:w="1843" w:type="dxa"/>
            <w:vMerge w:val="restart"/>
            <w:noWrap w:val="0"/>
            <w:vAlign w:val="center"/>
          </w:tcPr>
          <w:p w14:paraId="55CF7184">
            <w:pPr>
              <w:jc w:val="center"/>
              <w:rPr>
                <w:rFonts w:hint="eastAsia" w:ascii="宋体" w:hAnsi="宋体"/>
              </w:rPr>
            </w:pPr>
            <w:r>
              <w:rPr>
                <w:rFonts w:hint="eastAsia" w:ascii="宋体" w:hAnsi="宋体"/>
              </w:rPr>
              <w:t>配件   （选修）</w:t>
            </w:r>
          </w:p>
        </w:tc>
        <w:tc>
          <w:tcPr>
            <w:tcW w:w="5245" w:type="dxa"/>
            <w:tcBorders>
              <w:top w:val="single" w:color="auto" w:sz="4" w:space="0"/>
              <w:bottom w:val="single" w:color="auto" w:sz="4" w:space="0"/>
            </w:tcBorders>
            <w:noWrap w:val="0"/>
            <w:vAlign w:val="top"/>
          </w:tcPr>
          <w:p w14:paraId="2768672C">
            <w:pPr>
              <w:jc w:val="center"/>
              <w:rPr>
                <w:rFonts w:hint="eastAsia" w:ascii="宋体" w:hAnsi="宋体"/>
              </w:rPr>
            </w:pPr>
            <w:r>
              <w:rPr>
                <w:rFonts w:hint="eastAsia" w:ascii="宋体" w:hAnsi="宋体"/>
              </w:rPr>
              <w:t>修理线圈箱</w:t>
            </w:r>
          </w:p>
        </w:tc>
      </w:tr>
      <w:tr w14:paraId="193E8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1242" w:type="dxa"/>
            <w:vMerge w:val="continue"/>
            <w:noWrap w:val="0"/>
            <w:vAlign w:val="center"/>
          </w:tcPr>
          <w:p w14:paraId="34A76EBE">
            <w:pPr>
              <w:jc w:val="center"/>
              <w:rPr>
                <w:rFonts w:hint="eastAsia" w:ascii="宋体" w:hAnsi="宋体"/>
              </w:rPr>
            </w:pPr>
          </w:p>
        </w:tc>
        <w:tc>
          <w:tcPr>
            <w:tcW w:w="1843" w:type="dxa"/>
            <w:vMerge w:val="continue"/>
            <w:noWrap w:val="0"/>
            <w:vAlign w:val="center"/>
          </w:tcPr>
          <w:p w14:paraId="44E89D15">
            <w:pPr>
              <w:jc w:val="center"/>
              <w:rPr>
                <w:rFonts w:hint="eastAsia" w:ascii="宋体" w:hAnsi="宋体"/>
              </w:rPr>
            </w:pPr>
          </w:p>
        </w:tc>
        <w:tc>
          <w:tcPr>
            <w:tcW w:w="5245" w:type="dxa"/>
            <w:tcBorders>
              <w:top w:val="single" w:color="auto" w:sz="4" w:space="0"/>
            </w:tcBorders>
            <w:noWrap w:val="0"/>
            <w:vAlign w:val="top"/>
          </w:tcPr>
          <w:p w14:paraId="1ACB987A">
            <w:pPr>
              <w:jc w:val="center"/>
              <w:rPr>
                <w:rFonts w:hint="eastAsia" w:ascii="宋体" w:hAnsi="宋体"/>
              </w:rPr>
            </w:pPr>
            <w:r>
              <w:rPr>
                <w:rFonts w:hint="eastAsia" w:ascii="宋体" w:hAnsi="宋体"/>
              </w:rPr>
              <w:t>出入口端部水冷铜板</w:t>
            </w:r>
          </w:p>
        </w:tc>
      </w:tr>
      <w:tr w14:paraId="2064B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14:paraId="3A202593">
            <w:pPr>
              <w:jc w:val="center"/>
              <w:rPr>
                <w:rFonts w:hint="eastAsia" w:ascii="宋体" w:hAnsi="宋体"/>
              </w:rPr>
            </w:pPr>
          </w:p>
        </w:tc>
        <w:tc>
          <w:tcPr>
            <w:tcW w:w="1843" w:type="dxa"/>
            <w:vMerge w:val="continue"/>
            <w:noWrap w:val="0"/>
            <w:vAlign w:val="top"/>
          </w:tcPr>
          <w:p w14:paraId="3A3288DA">
            <w:pPr>
              <w:jc w:val="center"/>
              <w:rPr>
                <w:rFonts w:hint="eastAsia" w:ascii="宋体" w:hAnsi="宋体"/>
              </w:rPr>
            </w:pPr>
          </w:p>
        </w:tc>
        <w:tc>
          <w:tcPr>
            <w:tcW w:w="5245" w:type="dxa"/>
            <w:noWrap w:val="0"/>
            <w:vAlign w:val="top"/>
          </w:tcPr>
          <w:p w14:paraId="1C41B1AC">
            <w:pPr>
              <w:jc w:val="center"/>
              <w:rPr>
                <w:rFonts w:hint="eastAsia" w:ascii="宋体" w:hAnsi="宋体"/>
              </w:rPr>
            </w:pPr>
            <w:r>
              <w:rPr>
                <w:rFonts w:hint="eastAsia" w:ascii="宋体" w:hAnsi="宋体"/>
              </w:rPr>
              <w:t>合金耐磨层水冷导轨</w:t>
            </w:r>
          </w:p>
        </w:tc>
      </w:tr>
      <w:tr w14:paraId="6C60C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14:paraId="55225A09">
            <w:pPr>
              <w:jc w:val="center"/>
              <w:rPr>
                <w:rFonts w:hint="eastAsia" w:ascii="宋体" w:hAnsi="宋体"/>
              </w:rPr>
            </w:pPr>
          </w:p>
        </w:tc>
        <w:tc>
          <w:tcPr>
            <w:tcW w:w="1843" w:type="dxa"/>
            <w:vMerge w:val="continue"/>
            <w:noWrap w:val="0"/>
            <w:vAlign w:val="top"/>
          </w:tcPr>
          <w:p w14:paraId="622B7C9B">
            <w:pPr>
              <w:jc w:val="center"/>
              <w:rPr>
                <w:rFonts w:hint="eastAsia" w:ascii="宋体" w:hAnsi="宋体"/>
              </w:rPr>
            </w:pPr>
          </w:p>
        </w:tc>
        <w:tc>
          <w:tcPr>
            <w:tcW w:w="5245" w:type="dxa"/>
            <w:noWrap w:val="0"/>
            <w:vAlign w:val="top"/>
          </w:tcPr>
          <w:p w14:paraId="125B333C">
            <w:pPr>
              <w:jc w:val="center"/>
              <w:rPr>
                <w:rFonts w:hint="eastAsia" w:ascii="宋体" w:hAnsi="宋体"/>
              </w:rPr>
            </w:pPr>
            <w:r>
              <w:rPr>
                <w:rFonts w:hint="eastAsia" w:ascii="宋体" w:hAnsi="宋体"/>
              </w:rPr>
              <w:t>绝缘隔热线圈箱</w:t>
            </w:r>
          </w:p>
        </w:tc>
      </w:tr>
      <w:tr w14:paraId="74B9F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14:paraId="729675E0">
            <w:pPr>
              <w:jc w:val="center"/>
              <w:rPr>
                <w:rFonts w:hint="eastAsia" w:ascii="宋体" w:hAnsi="宋体"/>
              </w:rPr>
            </w:pPr>
          </w:p>
        </w:tc>
        <w:tc>
          <w:tcPr>
            <w:tcW w:w="1843" w:type="dxa"/>
            <w:vMerge w:val="continue"/>
            <w:noWrap w:val="0"/>
            <w:vAlign w:val="top"/>
          </w:tcPr>
          <w:p w14:paraId="684777C6">
            <w:pPr>
              <w:jc w:val="center"/>
              <w:rPr>
                <w:rFonts w:hint="eastAsia" w:ascii="宋体" w:hAnsi="宋体"/>
              </w:rPr>
            </w:pPr>
          </w:p>
        </w:tc>
        <w:tc>
          <w:tcPr>
            <w:tcW w:w="5245" w:type="dxa"/>
            <w:noWrap w:val="0"/>
            <w:vAlign w:val="top"/>
          </w:tcPr>
          <w:p w14:paraId="1A57DFD0">
            <w:pPr>
              <w:jc w:val="center"/>
              <w:rPr>
                <w:rFonts w:hint="eastAsia" w:ascii="宋体" w:hAnsi="宋体"/>
              </w:rPr>
            </w:pPr>
            <w:r>
              <w:rPr>
                <w:rFonts w:hint="eastAsia" w:ascii="宋体" w:hAnsi="宋体"/>
              </w:rPr>
              <w:t>无氧铜线圈绕组</w:t>
            </w:r>
          </w:p>
        </w:tc>
      </w:tr>
      <w:tr w14:paraId="4DDAA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14:paraId="544A7B23">
            <w:pPr>
              <w:jc w:val="center"/>
              <w:rPr>
                <w:rFonts w:hint="eastAsia" w:ascii="宋体" w:hAnsi="宋体"/>
              </w:rPr>
            </w:pPr>
          </w:p>
        </w:tc>
        <w:tc>
          <w:tcPr>
            <w:tcW w:w="1843" w:type="dxa"/>
            <w:vMerge w:val="continue"/>
            <w:noWrap w:val="0"/>
            <w:vAlign w:val="top"/>
          </w:tcPr>
          <w:p w14:paraId="5EEDA144">
            <w:pPr>
              <w:jc w:val="center"/>
              <w:rPr>
                <w:rFonts w:hint="eastAsia" w:ascii="宋体" w:hAnsi="宋体"/>
              </w:rPr>
            </w:pPr>
          </w:p>
        </w:tc>
        <w:tc>
          <w:tcPr>
            <w:tcW w:w="5245" w:type="dxa"/>
            <w:noWrap w:val="0"/>
            <w:vAlign w:val="top"/>
          </w:tcPr>
          <w:p w14:paraId="6D201920">
            <w:pPr>
              <w:jc w:val="center"/>
              <w:rPr>
                <w:rFonts w:hint="eastAsia" w:ascii="宋体" w:hAnsi="宋体"/>
              </w:rPr>
            </w:pPr>
            <w:r>
              <w:rPr>
                <w:rFonts w:hint="eastAsia" w:ascii="宋体" w:hAnsi="宋体"/>
              </w:rPr>
              <w:t>线圈水分配器</w:t>
            </w:r>
          </w:p>
        </w:tc>
      </w:tr>
      <w:tr w14:paraId="19A43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14:paraId="57E7EC3D">
            <w:pPr>
              <w:jc w:val="center"/>
              <w:rPr>
                <w:rFonts w:hint="eastAsia" w:ascii="宋体" w:hAnsi="宋体"/>
              </w:rPr>
            </w:pPr>
          </w:p>
        </w:tc>
        <w:tc>
          <w:tcPr>
            <w:tcW w:w="1843" w:type="dxa"/>
            <w:vMerge w:val="continue"/>
            <w:noWrap w:val="0"/>
            <w:vAlign w:val="top"/>
          </w:tcPr>
          <w:p w14:paraId="51F738E2">
            <w:pPr>
              <w:jc w:val="center"/>
              <w:rPr>
                <w:rFonts w:hint="eastAsia" w:ascii="宋体" w:hAnsi="宋体"/>
              </w:rPr>
            </w:pPr>
          </w:p>
        </w:tc>
        <w:tc>
          <w:tcPr>
            <w:tcW w:w="5245" w:type="dxa"/>
            <w:noWrap w:val="0"/>
            <w:vAlign w:val="top"/>
          </w:tcPr>
          <w:p w14:paraId="493D3DA6">
            <w:pPr>
              <w:jc w:val="center"/>
              <w:rPr>
                <w:rFonts w:hint="eastAsia" w:ascii="宋体" w:hAnsi="宋体" w:eastAsia="宋体"/>
                <w:lang w:eastAsia="zh-CN"/>
              </w:rPr>
            </w:pPr>
            <w:r>
              <w:rPr>
                <w:rFonts w:hint="eastAsia" w:ascii="宋体" w:hAnsi="宋体"/>
                <w:lang w:eastAsia="zh-CN"/>
              </w:rPr>
              <w:t>卡套接头，型号R-1900022SS</w:t>
            </w:r>
          </w:p>
        </w:tc>
      </w:tr>
      <w:tr w14:paraId="54184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continue"/>
            <w:noWrap w:val="0"/>
            <w:vAlign w:val="top"/>
          </w:tcPr>
          <w:p w14:paraId="51004AED">
            <w:pPr>
              <w:jc w:val="center"/>
              <w:rPr>
                <w:rFonts w:hint="eastAsia" w:ascii="宋体" w:hAnsi="宋体"/>
              </w:rPr>
            </w:pPr>
          </w:p>
        </w:tc>
        <w:tc>
          <w:tcPr>
            <w:tcW w:w="1843" w:type="dxa"/>
            <w:vMerge w:val="continue"/>
            <w:noWrap w:val="0"/>
            <w:vAlign w:val="top"/>
          </w:tcPr>
          <w:p w14:paraId="7C9F3061">
            <w:pPr>
              <w:jc w:val="center"/>
              <w:rPr>
                <w:rFonts w:hint="eastAsia" w:ascii="宋体" w:hAnsi="宋体"/>
              </w:rPr>
            </w:pPr>
          </w:p>
        </w:tc>
        <w:tc>
          <w:tcPr>
            <w:tcW w:w="5245" w:type="dxa"/>
            <w:noWrap w:val="0"/>
            <w:vAlign w:val="top"/>
          </w:tcPr>
          <w:p w14:paraId="333295D4">
            <w:pPr>
              <w:jc w:val="center"/>
              <w:rPr>
                <w:rFonts w:hint="eastAsia" w:ascii="宋体" w:hAnsi="宋体" w:eastAsia="宋体"/>
                <w:lang w:eastAsia="zh-CN"/>
              </w:rPr>
            </w:pPr>
            <w:r>
              <w:rPr>
                <w:rFonts w:hint="eastAsia" w:ascii="宋体" w:hAnsi="宋体"/>
                <w:lang w:eastAsia="zh-CN"/>
              </w:rPr>
              <w:t>水冷导轨，型号：φ8不带涂层</w:t>
            </w:r>
          </w:p>
        </w:tc>
      </w:tr>
    </w:tbl>
    <w:p w14:paraId="0C134B02">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pacing w:val="4"/>
          <w:szCs w:val="21"/>
          <w:lang w:val="en-US" w:eastAsia="zh-CN"/>
        </w:rPr>
      </w:pPr>
      <w:r>
        <w:rPr>
          <w:rFonts w:hint="eastAsia" w:ascii="宋体" w:hAnsi="宋体"/>
          <w:spacing w:val="4"/>
          <w:szCs w:val="21"/>
          <w:lang w:val="en-US" w:eastAsia="zh-CN"/>
        </w:rPr>
        <w:t>2、维修数量由招标方确认后通知投标方，当发生选修项费用时，投标方必须提前通知招标方，由招标方确认后方可进行维修。无招标方确认单发生的选修项维修费用，招标方可以不予结算；</w:t>
      </w:r>
    </w:p>
    <w:p w14:paraId="5BC55FA6">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pacing w:val="4"/>
          <w:szCs w:val="21"/>
          <w:lang w:val="en-US" w:eastAsia="zh-CN"/>
        </w:rPr>
      </w:pPr>
      <w:r>
        <w:rPr>
          <w:rFonts w:hint="eastAsia" w:ascii="宋体" w:hAnsi="宋体"/>
          <w:spacing w:val="4"/>
          <w:szCs w:val="21"/>
          <w:lang w:val="en-US" w:eastAsia="zh-CN"/>
        </w:rPr>
        <w:t>3、废旧备件及材料由投标方负责回收，残值已在相关单项报价中进行抵除；</w:t>
      </w:r>
    </w:p>
    <w:p w14:paraId="140F6FBB">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pacing w:val="4"/>
          <w:szCs w:val="21"/>
          <w:lang w:val="en-US" w:eastAsia="zh-CN"/>
        </w:rPr>
      </w:pPr>
      <w:r>
        <w:rPr>
          <w:rFonts w:hint="eastAsia" w:ascii="宋体" w:hAnsi="宋体"/>
          <w:spacing w:val="4"/>
          <w:szCs w:val="21"/>
          <w:lang w:val="en-US" w:eastAsia="zh-CN"/>
        </w:rPr>
        <w:t xml:space="preserve">4、投标方不得转包给其他厂商维修；      </w:t>
      </w:r>
    </w:p>
    <w:p w14:paraId="3457A75A">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pacing w:val="4"/>
          <w:szCs w:val="21"/>
          <w:lang w:val="en-US" w:eastAsia="zh-CN"/>
        </w:rPr>
      </w:pPr>
      <w:r>
        <w:rPr>
          <w:rFonts w:hint="eastAsia" w:ascii="宋体" w:hAnsi="宋体"/>
          <w:spacing w:val="4"/>
          <w:szCs w:val="21"/>
          <w:lang w:val="en-US" w:eastAsia="zh-CN"/>
        </w:rPr>
        <w:t>5、该项目为年度框架项目，据实结算；</w:t>
      </w:r>
    </w:p>
    <w:p w14:paraId="7A466358">
      <w:pPr>
        <w:keepNext w:val="0"/>
        <w:keepLines w:val="0"/>
        <w:pageBreakBefore w:val="0"/>
        <w:widowControl w:val="0"/>
        <w:kinsoku/>
        <w:wordWrap/>
        <w:overflowPunct/>
        <w:topLinePunct w:val="0"/>
        <w:bidi w:val="0"/>
        <w:snapToGrid/>
        <w:spacing w:line="360" w:lineRule="auto"/>
        <w:ind w:firstLine="436" w:firstLineChars="200"/>
        <w:textAlignment w:val="auto"/>
        <w:rPr>
          <w:rFonts w:hint="default" w:ascii="宋体" w:hAnsi="宋体"/>
          <w:spacing w:val="4"/>
          <w:szCs w:val="21"/>
          <w:lang w:val="en-US" w:eastAsia="zh-CN"/>
        </w:rPr>
      </w:pPr>
      <w:r>
        <w:rPr>
          <w:rFonts w:hint="eastAsia" w:ascii="宋体" w:hAnsi="宋体"/>
          <w:spacing w:val="4"/>
          <w:szCs w:val="21"/>
          <w:lang w:val="en-US" w:eastAsia="zh-CN"/>
        </w:rPr>
        <w:t>6、项目有效期：一年。</w:t>
      </w:r>
    </w:p>
    <w:p w14:paraId="7ED31B42">
      <w:pPr>
        <w:pStyle w:val="25"/>
        <w:keepNext w:val="0"/>
        <w:keepLines w:val="0"/>
        <w:pageBreakBefore w:val="0"/>
        <w:numPr>
          <w:ilvl w:val="0"/>
          <w:numId w:val="0"/>
        </w:numPr>
        <w:kinsoku/>
        <w:wordWrap/>
        <w:overflowPunct/>
        <w:topLinePunct w:val="0"/>
        <w:bidi w:val="0"/>
        <w:snapToGrid/>
        <w:spacing w:line="360" w:lineRule="auto"/>
        <w:rPr>
          <w:rFonts w:hint="eastAsia" w:ascii="黑体" w:hAnsi="黑体" w:eastAsia="黑体" w:cs="黑体"/>
          <w:b/>
          <w:bCs/>
          <w:color w:val="auto"/>
          <w:kern w:val="2"/>
          <w:sz w:val="28"/>
          <w:szCs w:val="28"/>
          <w:highlight w:val="none"/>
          <w:lang w:val="en-US" w:eastAsia="zh-CN" w:bidi="ar-SA"/>
        </w:rPr>
      </w:pPr>
      <w:r>
        <w:rPr>
          <w:rFonts w:hint="eastAsia" w:ascii="黑体" w:hAnsi="黑体" w:eastAsia="黑体" w:cs="黑体"/>
          <w:b/>
          <w:bCs/>
          <w:kern w:val="2"/>
          <w:sz w:val="28"/>
          <w:szCs w:val="28"/>
          <w:highlight w:val="none"/>
          <w:lang w:val="en-US" w:eastAsia="zh-CN" w:bidi="ar-SA"/>
        </w:rPr>
        <w:t>三、质量要求</w:t>
      </w:r>
    </w:p>
    <w:p w14:paraId="421BC8D7">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pacing w:val="4"/>
          <w:szCs w:val="21"/>
        </w:rPr>
      </w:pPr>
      <w:r>
        <w:rPr>
          <w:rFonts w:hint="eastAsia" w:ascii="宋体" w:hAnsi="宋体"/>
          <w:spacing w:val="4"/>
          <w:szCs w:val="21"/>
          <w:lang w:val="en-US" w:eastAsia="zh-CN"/>
        </w:rPr>
        <w:t>1.</w:t>
      </w:r>
      <w:r>
        <w:rPr>
          <w:rFonts w:hint="eastAsia" w:ascii="宋体" w:hAnsi="宋体"/>
          <w:spacing w:val="4"/>
          <w:szCs w:val="21"/>
        </w:rPr>
        <w:t>承揽方要通过质量管理活动不断提高全体员工的质量意识，制定完善的施工工艺、检验制度和考核制度，主动采取质量预防措施，及时发现质量问题并及时纠正。</w:t>
      </w:r>
    </w:p>
    <w:p w14:paraId="6CDE5F24">
      <w:pPr>
        <w:keepNext w:val="0"/>
        <w:keepLines w:val="0"/>
        <w:pageBreakBefore w:val="0"/>
        <w:widowControl w:val="0"/>
        <w:kinsoku/>
        <w:wordWrap/>
        <w:overflowPunct/>
        <w:topLinePunct w:val="0"/>
        <w:bidi w:val="0"/>
        <w:snapToGrid/>
        <w:spacing w:line="360" w:lineRule="auto"/>
        <w:ind w:firstLine="436" w:firstLineChars="200"/>
        <w:textAlignment w:val="auto"/>
        <w:rPr>
          <w:rFonts w:ascii="宋体" w:hAnsi="宋体"/>
          <w:spacing w:val="4"/>
          <w:szCs w:val="21"/>
        </w:rPr>
      </w:pPr>
      <w:r>
        <w:rPr>
          <w:rFonts w:hint="eastAsia" w:ascii="宋体" w:hAnsi="宋体"/>
          <w:spacing w:val="4"/>
          <w:szCs w:val="21"/>
          <w:lang w:val="en-US" w:eastAsia="zh-CN"/>
        </w:rPr>
        <w:t>2.</w:t>
      </w:r>
      <w:r>
        <w:rPr>
          <w:rFonts w:hint="eastAsia" w:ascii="宋体" w:hAnsi="宋体"/>
          <w:spacing w:val="4"/>
          <w:szCs w:val="21"/>
        </w:rPr>
        <w:t>工程质量必须符合国家(行业)相关规范和标准。</w:t>
      </w:r>
    </w:p>
    <w:p w14:paraId="539FFECF">
      <w:pPr>
        <w:keepNext w:val="0"/>
        <w:keepLines w:val="0"/>
        <w:pageBreakBefore w:val="0"/>
        <w:widowControl w:val="0"/>
        <w:kinsoku/>
        <w:wordWrap/>
        <w:overflowPunct/>
        <w:topLinePunct w:val="0"/>
        <w:bidi w:val="0"/>
        <w:snapToGrid/>
        <w:spacing w:line="360" w:lineRule="auto"/>
        <w:ind w:firstLine="436" w:firstLineChars="200"/>
        <w:textAlignment w:val="auto"/>
        <w:rPr>
          <w:rFonts w:ascii="宋体" w:hAnsi="宋体"/>
          <w:spacing w:val="4"/>
          <w:szCs w:val="21"/>
        </w:rPr>
      </w:pPr>
      <w:r>
        <w:rPr>
          <w:rFonts w:hint="eastAsia" w:ascii="宋体" w:hAnsi="宋体"/>
          <w:spacing w:val="4"/>
          <w:szCs w:val="21"/>
          <w:lang w:val="en-US" w:eastAsia="zh-CN"/>
        </w:rPr>
        <w:t>3.</w:t>
      </w:r>
      <w:r>
        <w:rPr>
          <w:rFonts w:hint="eastAsia" w:ascii="宋体" w:hAnsi="宋体"/>
          <w:spacing w:val="4"/>
          <w:szCs w:val="21"/>
        </w:rPr>
        <w:t>承揽方均应经过维修质量自检。</w:t>
      </w:r>
    </w:p>
    <w:p w14:paraId="283D85E3">
      <w:pPr>
        <w:keepNext w:val="0"/>
        <w:keepLines w:val="0"/>
        <w:pageBreakBefore w:val="0"/>
        <w:widowControl w:val="0"/>
        <w:kinsoku/>
        <w:wordWrap/>
        <w:overflowPunct/>
        <w:topLinePunct w:val="0"/>
        <w:bidi w:val="0"/>
        <w:snapToGrid/>
        <w:spacing w:line="360" w:lineRule="auto"/>
        <w:ind w:firstLine="436" w:firstLineChars="200"/>
        <w:textAlignment w:val="auto"/>
        <w:rPr>
          <w:rFonts w:hint="eastAsia" w:ascii="宋体" w:hAnsi="宋体"/>
          <w:szCs w:val="21"/>
        </w:rPr>
      </w:pPr>
      <w:r>
        <w:rPr>
          <w:rFonts w:hint="eastAsia" w:ascii="宋体" w:hAnsi="宋体"/>
          <w:spacing w:val="4"/>
          <w:szCs w:val="21"/>
        </w:rPr>
        <w:t>4</w:t>
      </w:r>
      <w:r>
        <w:rPr>
          <w:rFonts w:hint="eastAsia" w:ascii="宋体" w:hAnsi="宋体"/>
          <w:spacing w:val="4"/>
          <w:szCs w:val="21"/>
          <w:lang w:val="en-US" w:eastAsia="zh-CN"/>
        </w:rPr>
        <w:t>.</w:t>
      </w:r>
      <w:r>
        <w:rPr>
          <w:rFonts w:hint="eastAsia" w:ascii="宋体" w:hAnsi="宋体"/>
          <w:spacing w:val="4"/>
          <w:szCs w:val="21"/>
        </w:rPr>
        <w:t>对维修所用的材料、备件、半成品（构件）必须是国内知名厂家的产品。必须符合合同要求和国家有关标准，具有出厂合格证，注明厂名、产品型号、规格、出厂日期和检查编号等。</w:t>
      </w:r>
      <w:r>
        <w:rPr>
          <w:rFonts w:hint="eastAsia" w:ascii="宋体" w:hAnsi="宋体"/>
          <w:szCs w:val="21"/>
        </w:rPr>
        <w:t>材料管理应按以下规定执行：</w:t>
      </w:r>
    </w:p>
    <w:p w14:paraId="5EF641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szCs w:val="21"/>
        </w:rPr>
      </w:pPr>
      <w:r>
        <w:rPr>
          <w:rFonts w:hint="eastAsia" w:ascii="宋体" w:hAnsi="宋体"/>
          <w:szCs w:val="21"/>
          <w:lang w:val="en-US" w:eastAsia="zh-CN"/>
        </w:rPr>
        <w:t>4.1</w:t>
      </w:r>
      <w:r>
        <w:rPr>
          <w:rFonts w:hint="eastAsia" w:ascii="宋体" w:hAnsi="宋体"/>
          <w:szCs w:val="21"/>
        </w:rPr>
        <w:t>材料型号规格应符合标书要求，如有偏离只能优于标书标准。</w:t>
      </w:r>
    </w:p>
    <w:p w14:paraId="252EBF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szCs w:val="21"/>
        </w:rPr>
      </w:pPr>
      <w:r>
        <w:rPr>
          <w:rFonts w:hint="eastAsia" w:ascii="宋体" w:hAnsi="宋体"/>
          <w:szCs w:val="21"/>
          <w:lang w:val="en-US" w:eastAsia="zh-CN"/>
        </w:rPr>
        <w:t>4.2</w:t>
      </w:r>
      <w:r>
        <w:rPr>
          <w:rFonts w:hint="eastAsia" w:ascii="宋体" w:hAnsi="宋体"/>
          <w:szCs w:val="21"/>
        </w:rPr>
        <w:t>材料质量应符合国家或部颁标准。每批材料应有合格证或质保书。</w:t>
      </w:r>
    </w:p>
    <w:p w14:paraId="243D50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spacing w:val="4"/>
          <w:szCs w:val="21"/>
        </w:rPr>
      </w:pPr>
      <w:r>
        <w:rPr>
          <w:rFonts w:hint="eastAsia" w:ascii="宋体" w:hAnsi="宋体"/>
          <w:szCs w:val="21"/>
          <w:lang w:val="en-US" w:eastAsia="zh-CN"/>
        </w:rPr>
        <w:t>4.3</w:t>
      </w:r>
      <w:r>
        <w:rPr>
          <w:rFonts w:hint="eastAsia" w:ascii="宋体" w:hAnsi="宋体"/>
          <w:szCs w:val="21"/>
        </w:rPr>
        <w:t>承揽方必须将材料的</w:t>
      </w:r>
      <w:r>
        <w:rPr>
          <w:rFonts w:hint="eastAsia" w:ascii="宋体" w:hAnsi="宋体"/>
          <w:spacing w:val="4"/>
          <w:szCs w:val="21"/>
        </w:rPr>
        <w:t>出厂合格证（注明厂名、产品型号、规格、出厂日期和检查编号等）和质量保证书交由委托方认可。进口材料必须有商品检验单复印件，未经商检不得使用。</w:t>
      </w:r>
    </w:p>
    <w:p w14:paraId="57D92C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spacing w:val="4"/>
          <w:szCs w:val="21"/>
        </w:rPr>
      </w:pPr>
      <w:r>
        <w:rPr>
          <w:rFonts w:hint="eastAsia" w:ascii="宋体" w:hAnsi="宋体"/>
          <w:szCs w:val="21"/>
          <w:lang w:val="en-US" w:eastAsia="zh-CN"/>
        </w:rPr>
        <w:t>4.4</w:t>
      </w:r>
      <w:r>
        <w:rPr>
          <w:rFonts w:hint="eastAsia" w:ascii="宋体" w:hAnsi="宋体"/>
          <w:szCs w:val="21"/>
        </w:rPr>
        <w:t>委托方可</w:t>
      </w:r>
      <w:r>
        <w:rPr>
          <w:rFonts w:hint="eastAsia" w:ascii="宋体" w:hAnsi="宋体"/>
          <w:spacing w:val="4"/>
          <w:szCs w:val="21"/>
        </w:rPr>
        <w:t>以对承揽方使用的材料进行查验，发现与技术文件要求不一致的，承揽方承担按照报价书上写明的单价的假一罚三的违约金，但是经委托方确认其性能无差异或更为优越者除外。</w:t>
      </w:r>
    </w:p>
    <w:p w14:paraId="34CD2089">
      <w:pPr>
        <w:keepNext w:val="0"/>
        <w:keepLines w:val="0"/>
        <w:pageBreakBefore w:val="0"/>
        <w:widowControl w:val="0"/>
        <w:kinsoku/>
        <w:wordWrap/>
        <w:overflowPunct/>
        <w:topLinePunct w:val="0"/>
        <w:bidi w:val="0"/>
        <w:snapToGrid/>
        <w:spacing w:line="360" w:lineRule="auto"/>
        <w:ind w:firstLine="436" w:firstLineChars="200"/>
        <w:textAlignment w:val="auto"/>
        <w:rPr>
          <w:rFonts w:ascii="宋体" w:hAnsi="宋体"/>
          <w:spacing w:val="4"/>
          <w:szCs w:val="21"/>
        </w:rPr>
      </w:pPr>
      <w:r>
        <w:rPr>
          <w:rFonts w:hint="eastAsia" w:ascii="宋体" w:hAnsi="宋体"/>
          <w:spacing w:val="4"/>
          <w:szCs w:val="21"/>
          <w:lang w:val="en-US" w:eastAsia="zh-CN"/>
        </w:rPr>
        <w:t>5.</w:t>
      </w:r>
      <w:r>
        <w:rPr>
          <w:rFonts w:hint="eastAsia" w:ascii="宋体" w:hAnsi="宋体"/>
          <w:spacing w:val="4"/>
          <w:szCs w:val="21"/>
        </w:rPr>
        <w:t>承揽方使用代用材料或更换外购设备，必须经过委托方同意，要以设计修改通知单为依据。</w:t>
      </w:r>
    </w:p>
    <w:p w14:paraId="1E0B1968">
      <w:pPr>
        <w:keepNext w:val="0"/>
        <w:keepLines w:val="0"/>
        <w:pageBreakBefore w:val="0"/>
        <w:widowControl w:val="0"/>
        <w:kinsoku/>
        <w:wordWrap/>
        <w:overflowPunct/>
        <w:topLinePunct w:val="0"/>
        <w:bidi w:val="0"/>
        <w:snapToGrid/>
        <w:spacing w:line="360" w:lineRule="auto"/>
        <w:ind w:firstLine="420" w:firstLineChars="200"/>
        <w:textAlignment w:val="auto"/>
        <w:rPr>
          <w:rFonts w:ascii="宋体" w:hAnsi="宋体"/>
          <w:szCs w:val="21"/>
        </w:rPr>
      </w:pPr>
      <w:r>
        <w:rPr>
          <w:rFonts w:hint="eastAsia" w:ascii="宋体" w:hAnsi="宋体"/>
          <w:szCs w:val="21"/>
          <w:lang w:val="en-US" w:eastAsia="zh-CN"/>
        </w:rPr>
        <w:t>6.</w:t>
      </w:r>
      <w:r>
        <w:rPr>
          <w:rFonts w:hint="eastAsia" w:ascii="宋体" w:hAnsi="宋体"/>
          <w:szCs w:val="21"/>
        </w:rPr>
        <w:t>如果承揽方不能满足质量要求而被委托责令停工超过两次，委托方有权要求承揽方停工。本合同终止，承揽方承担违约责任。</w:t>
      </w:r>
    </w:p>
    <w:p w14:paraId="0C0BF4FA">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ascii="宋体" w:hAnsi="宋体"/>
          <w:kern w:val="0"/>
          <w:szCs w:val="21"/>
        </w:rPr>
      </w:pPr>
      <w:r>
        <w:rPr>
          <w:rFonts w:hint="eastAsia" w:ascii="宋体" w:hAnsi="宋体"/>
          <w:kern w:val="0"/>
          <w:szCs w:val="21"/>
          <w:lang w:val="en-US" w:eastAsia="zh-CN"/>
        </w:rPr>
        <w:t>7.</w:t>
      </w:r>
      <w:r>
        <w:rPr>
          <w:rFonts w:hint="eastAsia" w:ascii="宋体" w:hAnsi="宋体"/>
          <w:kern w:val="0"/>
          <w:szCs w:val="21"/>
        </w:rPr>
        <w:t>特别提示</w:t>
      </w:r>
    </w:p>
    <w:p w14:paraId="39DEF194">
      <w:pPr>
        <w:pStyle w:val="25"/>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7.1本技术协议适用于中国重汽集团济南成型厂2026年度进口应达加热炉膛年度外委维修项目施工。</w:t>
      </w:r>
    </w:p>
    <w:p w14:paraId="308438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szCs w:val="21"/>
        </w:rPr>
      </w:pPr>
      <w:r>
        <w:rPr>
          <w:rFonts w:hint="eastAsia" w:ascii="宋体" w:hAnsi="宋体"/>
          <w:szCs w:val="21"/>
          <w:lang w:val="en-US" w:eastAsia="zh-CN"/>
        </w:rPr>
        <w:t>7</w:t>
      </w:r>
      <w:r>
        <w:rPr>
          <w:rFonts w:hint="eastAsia" w:ascii="宋体" w:hAnsi="宋体"/>
          <w:szCs w:val="21"/>
        </w:rPr>
        <w:t>.2 本技术协议提出的是最低限度的技术要求，并未对一切技术细节作出规定，也未充分引述有关标准和规范条文，承揽方应保证提供符合本技术规范书和现行国家（行业）标准的合格产品。</w:t>
      </w:r>
    </w:p>
    <w:p w14:paraId="53C198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szCs w:val="21"/>
        </w:rPr>
      </w:pPr>
      <w:r>
        <w:rPr>
          <w:rFonts w:hint="eastAsia" w:ascii="宋体" w:hAnsi="宋体"/>
          <w:szCs w:val="21"/>
          <w:lang w:val="en-US" w:eastAsia="zh-CN"/>
        </w:rPr>
        <w:t>7</w:t>
      </w:r>
      <w:r>
        <w:rPr>
          <w:rFonts w:hint="eastAsia" w:ascii="宋体" w:hAnsi="宋体"/>
          <w:szCs w:val="21"/>
        </w:rPr>
        <w:t>.3 本技术协议所使用的标准如遇与承揽方所执行的标准发生矛盾时，应按较高标准执行。</w:t>
      </w:r>
    </w:p>
    <w:p w14:paraId="7358A3A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黑体" w:hAnsi="黑体" w:eastAsia="黑体"/>
          <w:b/>
          <w:bCs/>
          <w:sz w:val="28"/>
          <w:szCs w:val="28"/>
        </w:rPr>
      </w:pPr>
      <w:r>
        <w:rPr>
          <w:rFonts w:hint="eastAsia" w:ascii="宋体" w:hAnsi="宋体"/>
          <w:szCs w:val="21"/>
          <w:lang w:val="en-US" w:eastAsia="zh-CN"/>
        </w:rPr>
        <w:t>7</w:t>
      </w:r>
      <w:r>
        <w:rPr>
          <w:rFonts w:hint="eastAsia" w:ascii="宋体" w:hAnsi="宋体"/>
          <w:szCs w:val="21"/>
        </w:rPr>
        <w:t>.4 本技术协议作为施工承揽合同的技术附件，经委托、施工双方确认后，与合同正文具有同等的法律效力。</w:t>
      </w:r>
    </w:p>
    <w:p w14:paraId="380D7162">
      <w:pPr>
        <w:pStyle w:val="25"/>
        <w:keepNext w:val="0"/>
        <w:keepLines w:val="0"/>
        <w:pageBreakBefore w:val="0"/>
        <w:widowControl w:val="0"/>
        <w:kinsoku/>
        <w:wordWrap/>
        <w:overflowPunct/>
        <w:topLinePunct w:val="0"/>
        <w:bidi w:val="0"/>
        <w:snapToGrid/>
        <w:spacing w:line="360" w:lineRule="auto"/>
        <w:textAlignment w:val="auto"/>
        <w:rPr>
          <w:rFonts w:ascii="黑体" w:eastAsia="黑体"/>
          <w:b/>
          <w:bCs/>
          <w:sz w:val="28"/>
          <w:szCs w:val="28"/>
        </w:rPr>
      </w:pPr>
      <w:r>
        <w:rPr>
          <w:rFonts w:hint="eastAsia" w:ascii="黑体" w:eastAsia="黑体"/>
          <w:b/>
          <w:bCs/>
          <w:sz w:val="28"/>
          <w:szCs w:val="28"/>
        </w:rPr>
        <w:t>四</w:t>
      </w:r>
      <w:r>
        <w:rPr>
          <w:rFonts w:ascii="黑体" w:eastAsia="黑体"/>
          <w:b/>
          <w:bCs/>
          <w:sz w:val="28"/>
          <w:szCs w:val="28"/>
        </w:rPr>
        <w:t>、</w:t>
      </w:r>
      <w:r>
        <w:rPr>
          <w:rFonts w:hint="eastAsia" w:ascii="黑体" w:eastAsia="黑体"/>
          <w:b/>
          <w:bCs/>
          <w:sz w:val="28"/>
          <w:szCs w:val="28"/>
        </w:rPr>
        <w:t>标志、包装、运输、储存</w:t>
      </w:r>
    </w:p>
    <w:p w14:paraId="2313B1C1">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ascii="宋体"/>
          <w:szCs w:val="22"/>
        </w:rPr>
      </w:pPr>
      <w:r>
        <w:rPr>
          <w:rFonts w:hint="eastAsia" w:ascii="宋体"/>
          <w:szCs w:val="22"/>
        </w:rPr>
        <w:t>1.所提供设备的包装，应遵照国家标准和有关包装、包皮的技术条件，或按照最好的商业惯例进行包装。</w:t>
      </w:r>
    </w:p>
    <w:p w14:paraId="73F11114">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ascii="宋体"/>
          <w:szCs w:val="22"/>
        </w:rPr>
      </w:pPr>
      <w:r>
        <w:rPr>
          <w:rFonts w:hint="eastAsia" w:ascii="宋体"/>
          <w:szCs w:val="22"/>
        </w:rPr>
        <w:t>2.包装应能满足所需要采取的运输方式（船运、汽运或铁路运输）、多次吊装卸装、卸货以及长期露天堆放要求，应能防止雨淋、受潮、生锈、腐蚀、受振、受磁以及机械和化学因素等引起的损坏。</w:t>
      </w:r>
    </w:p>
    <w:p w14:paraId="1ECBDFFD">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ascii="宋体"/>
          <w:szCs w:val="22"/>
        </w:rPr>
      </w:pPr>
      <w:r>
        <w:rPr>
          <w:rFonts w:hint="eastAsia" w:ascii="宋体"/>
          <w:szCs w:val="22"/>
        </w:rPr>
        <w:t>3.所提供设备的包装，应能防止其一般性被窃或受外力破坏；一般不得采用有大缝隙的板条包装。</w:t>
      </w:r>
    </w:p>
    <w:p w14:paraId="6A4CE823">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ascii="宋体"/>
          <w:szCs w:val="22"/>
        </w:rPr>
      </w:pPr>
      <w:r>
        <w:rPr>
          <w:rFonts w:hint="eastAsia" w:ascii="宋体"/>
          <w:szCs w:val="22"/>
        </w:rPr>
        <w:t>4.应对包装件做必要的加固和固定，以防止运输可能造成的损坏。</w:t>
      </w:r>
    </w:p>
    <w:p w14:paraId="7E268313">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ascii="宋体"/>
          <w:szCs w:val="22"/>
        </w:rPr>
      </w:pPr>
      <w:r>
        <w:rPr>
          <w:rFonts w:hint="eastAsia" w:ascii="宋体"/>
          <w:szCs w:val="22"/>
        </w:rPr>
        <w:t>5.应负责将设备运到目的地，并必须做到设备在任何运输过程中不受损坏和遗失。</w:t>
      </w:r>
    </w:p>
    <w:p w14:paraId="46C78E5B">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ascii="宋体"/>
          <w:szCs w:val="22"/>
        </w:rPr>
      </w:pPr>
      <w:r>
        <w:rPr>
          <w:rFonts w:hint="eastAsia" w:ascii="宋体"/>
          <w:szCs w:val="22"/>
        </w:rPr>
        <w:t>6.一般情况下，经由铁路、公路运输的包装件尺寸和重量不应超过国家所规定的尺寸限制。特殊情况应予以说明。</w:t>
      </w:r>
    </w:p>
    <w:p w14:paraId="0ECE3126">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ascii="宋体"/>
          <w:szCs w:val="22"/>
        </w:rPr>
      </w:pPr>
      <w:r>
        <w:rPr>
          <w:rFonts w:hint="eastAsia" w:ascii="宋体"/>
          <w:szCs w:val="22"/>
        </w:rPr>
        <w:t>7.设备运抵交货地点后，应负责货物（或设备）的卸货、搬运、保管等事宜；或按照合同约定。</w:t>
      </w:r>
    </w:p>
    <w:p w14:paraId="7FDCC16B">
      <w:pPr>
        <w:pStyle w:val="25"/>
        <w:keepNext w:val="0"/>
        <w:keepLines w:val="0"/>
        <w:pageBreakBefore w:val="0"/>
        <w:kinsoku/>
        <w:wordWrap/>
        <w:overflowPunct/>
        <w:topLinePunct w:val="0"/>
        <w:bidi w:val="0"/>
        <w:snapToGrid/>
        <w:spacing w:line="360" w:lineRule="auto"/>
        <w:rPr>
          <w:rFonts w:ascii="黑体" w:eastAsia="黑体"/>
          <w:b/>
          <w:bCs/>
          <w:sz w:val="28"/>
          <w:szCs w:val="28"/>
        </w:rPr>
      </w:pPr>
      <w:r>
        <w:rPr>
          <w:rFonts w:hint="eastAsia" w:ascii="黑体" w:eastAsia="黑体"/>
          <w:b/>
          <w:bCs/>
          <w:sz w:val="28"/>
          <w:szCs w:val="28"/>
        </w:rPr>
        <w:t>五</w:t>
      </w:r>
      <w:r>
        <w:rPr>
          <w:rFonts w:ascii="黑体" w:eastAsia="黑体"/>
          <w:b/>
          <w:bCs/>
          <w:sz w:val="28"/>
          <w:szCs w:val="28"/>
        </w:rPr>
        <w:t>、</w:t>
      </w:r>
      <w:r>
        <w:rPr>
          <w:rFonts w:hint="eastAsia" w:ascii="黑体" w:eastAsia="黑体"/>
          <w:b/>
          <w:bCs/>
          <w:sz w:val="28"/>
          <w:szCs w:val="28"/>
        </w:rPr>
        <w:t>交付</w:t>
      </w:r>
    </w:p>
    <w:p w14:paraId="099738ED">
      <w:pPr>
        <w:pStyle w:val="44"/>
        <w:widowControl/>
        <w:shd w:val="clear" w:color="auto" w:fill="FFFFFF"/>
        <w:spacing w:line="360" w:lineRule="auto"/>
        <w:rPr>
          <w:rFonts w:ascii="宋体"/>
          <w:sz w:val="21"/>
          <w:szCs w:val="22"/>
        </w:rPr>
      </w:pPr>
      <w:r>
        <w:rPr>
          <w:rFonts w:hint="eastAsia" w:ascii="宋体"/>
          <w:sz w:val="21"/>
          <w:szCs w:val="22"/>
        </w:rPr>
        <w:t>具体项目工期按招标方要求时间进行。</w:t>
      </w:r>
    </w:p>
    <w:p w14:paraId="782DFDAB">
      <w:pPr>
        <w:pStyle w:val="25"/>
        <w:keepNext w:val="0"/>
        <w:keepLines w:val="0"/>
        <w:pageBreakBefore w:val="0"/>
        <w:kinsoku/>
        <w:wordWrap/>
        <w:overflowPunct/>
        <w:topLinePunct w:val="0"/>
        <w:bidi w:val="0"/>
        <w:snapToGrid/>
        <w:spacing w:line="360" w:lineRule="auto"/>
        <w:rPr>
          <w:rFonts w:ascii="黑体" w:eastAsia="黑体"/>
          <w:b/>
          <w:bCs/>
          <w:sz w:val="28"/>
          <w:szCs w:val="28"/>
        </w:rPr>
      </w:pPr>
      <w:r>
        <w:rPr>
          <w:rFonts w:hint="eastAsia" w:ascii="黑体" w:eastAsia="黑体"/>
          <w:b/>
          <w:bCs/>
          <w:sz w:val="28"/>
          <w:szCs w:val="28"/>
        </w:rPr>
        <w:t>六</w:t>
      </w:r>
      <w:r>
        <w:rPr>
          <w:rFonts w:ascii="黑体" w:eastAsia="黑体"/>
          <w:b/>
          <w:bCs/>
          <w:sz w:val="28"/>
          <w:szCs w:val="28"/>
        </w:rPr>
        <w:t>、服务</w:t>
      </w:r>
    </w:p>
    <w:p w14:paraId="3A619749">
      <w:pPr>
        <w:pStyle w:val="44"/>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ascii="宋体"/>
          <w:sz w:val="21"/>
          <w:szCs w:val="22"/>
        </w:rPr>
      </w:pPr>
      <w:r>
        <w:rPr>
          <w:rFonts w:hint="eastAsia" w:ascii="宋体"/>
          <w:sz w:val="21"/>
          <w:szCs w:val="22"/>
        </w:rPr>
        <w:t>1</w:t>
      </w:r>
      <w:r>
        <w:rPr>
          <w:rFonts w:hint="eastAsia" w:ascii="宋体"/>
          <w:sz w:val="21"/>
          <w:szCs w:val="22"/>
          <w:lang w:val="en-US" w:eastAsia="zh-CN"/>
        </w:rPr>
        <w:t>.</w:t>
      </w:r>
      <w:r>
        <w:rPr>
          <w:rFonts w:hint="eastAsia" w:ascii="宋体"/>
          <w:sz w:val="21"/>
          <w:szCs w:val="22"/>
        </w:rPr>
        <w:t>由于承揽方责任，造成委托方设备的损坏、丢失的，应当赔偿委托方因此造成的损失。赔偿金额视设备的损坏程度及价值而定。</w:t>
      </w:r>
    </w:p>
    <w:p w14:paraId="0EABCBFF">
      <w:pPr>
        <w:pStyle w:val="44"/>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ascii="宋体"/>
          <w:sz w:val="21"/>
          <w:szCs w:val="22"/>
        </w:rPr>
      </w:pPr>
      <w:r>
        <w:rPr>
          <w:rFonts w:hint="eastAsia" w:ascii="宋体"/>
          <w:sz w:val="21"/>
          <w:szCs w:val="22"/>
        </w:rPr>
        <w:t>2</w:t>
      </w:r>
      <w:r>
        <w:rPr>
          <w:rFonts w:hint="eastAsia" w:ascii="宋体"/>
          <w:sz w:val="21"/>
          <w:szCs w:val="22"/>
          <w:lang w:val="en-US" w:eastAsia="zh-CN"/>
        </w:rPr>
        <w:t>.</w:t>
      </w:r>
      <w:r>
        <w:rPr>
          <w:rFonts w:hint="eastAsia" w:ascii="宋体"/>
          <w:sz w:val="21"/>
          <w:szCs w:val="22"/>
        </w:rPr>
        <w:t>承揽方完成的工作少于合同规定时，委托方仍然需要的，应当照数补齐，补齐部分按逾期交付处理；少交迟交部分委托方不再需要的，承揽方应承担因此造成的损失。</w:t>
      </w:r>
    </w:p>
    <w:p w14:paraId="04C47314">
      <w:pPr>
        <w:pStyle w:val="44"/>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ascii="宋体"/>
          <w:sz w:val="21"/>
          <w:szCs w:val="22"/>
        </w:rPr>
      </w:pPr>
      <w:r>
        <w:rPr>
          <w:rFonts w:hint="eastAsia" w:ascii="宋体"/>
          <w:sz w:val="21"/>
          <w:szCs w:val="22"/>
        </w:rPr>
        <w:t>3</w:t>
      </w:r>
      <w:r>
        <w:rPr>
          <w:rFonts w:hint="eastAsia" w:ascii="宋体"/>
          <w:sz w:val="21"/>
          <w:szCs w:val="22"/>
          <w:lang w:val="en-US" w:eastAsia="zh-CN"/>
        </w:rPr>
        <w:t>.</w:t>
      </w:r>
      <w:r>
        <w:rPr>
          <w:rFonts w:hint="eastAsia" w:ascii="宋体"/>
          <w:sz w:val="21"/>
          <w:szCs w:val="22"/>
        </w:rPr>
        <w:t>承揽方保证全部按照合同条款规定和交货期向委托方主提供上述合格的设备和服务质保期自验收合格之日起开始计算，质保期内发生质量问题由承揽方负责免费整改。</w:t>
      </w:r>
    </w:p>
    <w:p w14:paraId="651E099A">
      <w:pPr>
        <w:pStyle w:val="44"/>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ascii="宋体"/>
          <w:sz w:val="21"/>
          <w:szCs w:val="22"/>
        </w:rPr>
      </w:pPr>
      <w:r>
        <w:rPr>
          <w:rFonts w:hint="eastAsia" w:ascii="宋体"/>
          <w:sz w:val="21"/>
          <w:szCs w:val="22"/>
        </w:rPr>
        <w:t>4</w:t>
      </w:r>
      <w:r>
        <w:rPr>
          <w:rFonts w:hint="eastAsia" w:ascii="宋体"/>
          <w:sz w:val="21"/>
          <w:szCs w:val="22"/>
          <w:lang w:val="en-US" w:eastAsia="zh-CN"/>
        </w:rPr>
        <w:t>.</w:t>
      </w:r>
      <w:r>
        <w:rPr>
          <w:rFonts w:hint="eastAsia" w:ascii="宋体"/>
          <w:sz w:val="21"/>
          <w:szCs w:val="22"/>
        </w:rPr>
        <w:t>承揽方人员在委托方现场进行施工时，须遵守委托方的规章制度，服从委托方指定人员的安排。</w:t>
      </w:r>
    </w:p>
    <w:p w14:paraId="1ED737CD">
      <w:pPr>
        <w:pStyle w:val="44"/>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ascii="宋体"/>
          <w:sz w:val="21"/>
          <w:szCs w:val="22"/>
        </w:rPr>
      </w:pPr>
      <w:r>
        <w:rPr>
          <w:rFonts w:hint="eastAsia" w:ascii="宋体"/>
          <w:sz w:val="21"/>
          <w:szCs w:val="22"/>
        </w:rPr>
        <w:t>5</w:t>
      </w:r>
      <w:r>
        <w:rPr>
          <w:rFonts w:hint="eastAsia" w:ascii="宋体"/>
          <w:sz w:val="21"/>
          <w:szCs w:val="22"/>
          <w:lang w:val="en-US" w:eastAsia="zh-CN"/>
        </w:rPr>
        <w:t>.</w:t>
      </w:r>
      <w:r>
        <w:rPr>
          <w:rFonts w:hint="eastAsia" w:ascii="宋体"/>
          <w:sz w:val="21"/>
          <w:szCs w:val="22"/>
        </w:rPr>
        <w:t>在施工过程中，由于承揽方原因造成车间地面损坏的，由承揽方负责维修至车间地面新建状态，费用由承揽方自理。</w:t>
      </w:r>
    </w:p>
    <w:p w14:paraId="4DE558A2">
      <w:pPr>
        <w:pStyle w:val="44"/>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ascii="宋体"/>
          <w:sz w:val="21"/>
          <w:szCs w:val="22"/>
        </w:rPr>
      </w:pPr>
      <w:r>
        <w:rPr>
          <w:rFonts w:hint="eastAsia" w:ascii="宋体"/>
          <w:sz w:val="21"/>
          <w:szCs w:val="22"/>
        </w:rPr>
        <w:t>6</w:t>
      </w:r>
      <w:r>
        <w:rPr>
          <w:rFonts w:hint="eastAsia" w:ascii="宋体"/>
          <w:sz w:val="21"/>
          <w:szCs w:val="22"/>
          <w:lang w:val="en-US" w:eastAsia="zh-CN"/>
        </w:rPr>
        <w:t>.</w:t>
      </w:r>
      <w:r>
        <w:rPr>
          <w:rFonts w:hint="eastAsia" w:ascii="宋体"/>
          <w:sz w:val="21"/>
          <w:szCs w:val="22"/>
        </w:rPr>
        <w:t>承揽方施工过程中，负责设备施工场地的清理工作。</w:t>
      </w:r>
    </w:p>
    <w:p w14:paraId="2C8AFCBB">
      <w:pPr>
        <w:pStyle w:val="25"/>
        <w:keepNext w:val="0"/>
        <w:keepLines w:val="0"/>
        <w:pageBreakBefore w:val="0"/>
        <w:kinsoku/>
        <w:wordWrap/>
        <w:overflowPunct/>
        <w:topLinePunct w:val="0"/>
        <w:bidi w:val="0"/>
        <w:snapToGrid/>
        <w:spacing w:line="360" w:lineRule="auto"/>
        <w:rPr>
          <w:rFonts w:ascii="黑体" w:eastAsia="黑体"/>
          <w:b/>
          <w:bCs/>
          <w:sz w:val="28"/>
          <w:szCs w:val="28"/>
        </w:rPr>
      </w:pPr>
      <w:r>
        <w:rPr>
          <w:rFonts w:hint="eastAsia" w:ascii="黑体" w:eastAsia="黑体"/>
          <w:b/>
          <w:bCs/>
          <w:sz w:val="28"/>
          <w:szCs w:val="28"/>
        </w:rPr>
        <w:t>七</w:t>
      </w:r>
      <w:r>
        <w:rPr>
          <w:rFonts w:ascii="黑体" w:eastAsia="黑体"/>
          <w:b/>
          <w:bCs/>
          <w:sz w:val="28"/>
          <w:szCs w:val="28"/>
        </w:rPr>
        <w:t>、验收</w:t>
      </w:r>
    </w:p>
    <w:p w14:paraId="468B27BE">
      <w:pPr>
        <w:pStyle w:val="25"/>
        <w:keepNext w:val="0"/>
        <w:keepLines w:val="0"/>
        <w:pageBreakBefore w:val="0"/>
        <w:widowControl w:val="0"/>
        <w:kinsoku/>
        <w:wordWrap/>
        <w:overflowPunct/>
        <w:topLinePunct w:val="0"/>
        <w:autoSpaceDE/>
        <w:autoSpaceDN/>
        <w:bidi w:val="0"/>
        <w:adjustRightInd/>
        <w:snapToGrid/>
        <w:spacing w:line="360" w:lineRule="auto"/>
        <w:ind w:firstLine="436" w:firstLineChars="200"/>
        <w:textAlignment w:val="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承包方按照招标文件、投标文件、技术交流文件等形成并达成一致的技术协议书和合同规定验收。</w:t>
      </w:r>
    </w:p>
    <w:p w14:paraId="0CA4AE5A">
      <w:pPr>
        <w:pStyle w:val="25"/>
        <w:keepNext w:val="0"/>
        <w:keepLines w:val="0"/>
        <w:pageBreakBefore w:val="0"/>
        <w:widowControl w:val="0"/>
        <w:kinsoku/>
        <w:wordWrap/>
        <w:overflowPunct/>
        <w:topLinePunct w:val="0"/>
        <w:autoSpaceDE/>
        <w:autoSpaceDN/>
        <w:bidi w:val="0"/>
        <w:adjustRightInd/>
        <w:snapToGrid/>
        <w:spacing w:line="360" w:lineRule="auto"/>
        <w:ind w:firstLine="436" w:firstLineChars="200"/>
        <w:textAlignment w:val="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1．验收</w:t>
      </w:r>
    </w:p>
    <w:p w14:paraId="5129BA85">
      <w:pPr>
        <w:pStyle w:val="25"/>
        <w:keepNext w:val="0"/>
        <w:keepLines w:val="0"/>
        <w:pageBreakBefore w:val="0"/>
        <w:widowControl w:val="0"/>
        <w:kinsoku/>
        <w:wordWrap/>
        <w:overflowPunct/>
        <w:topLinePunct w:val="0"/>
        <w:autoSpaceDE/>
        <w:autoSpaceDN/>
        <w:bidi w:val="0"/>
        <w:adjustRightInd/>
        <w:snapToGrid/>
        <w:spacing w:line="360" w:lineRule="auto"/>
        <w:ind w:firstLine="436" w:firstLineChars="200"/>
        <w:textAlignment w:val="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招标方负责协调各方对成型厂</w:t>
      </w:r>
      <w:r>
        <w:rPr>
          <w:rFonts w:hint="eastAsia" w:ascii="宋体" w:hAnsi="宋体" w:eastAsia="宋体" w:cs="Times New Roman"/>
          <w:kern w:val="2"/>
          <w:sz w:val="21"/>
          <w:szCs w:val="21"/>
          <w:lang w:val="en-US" w:eastAsia="zh-CN" w:bidi="ar-SA"/>
        </w:rPr>
        <w:t>进口应达加热炉膛年度</w:t>
      </w:r>
      <w:r>
        <w:rPr>
          <w:rFonts w:hint="eastAsia" w:ascii="宋体" w:hAnsi="宋体" w:eastAsia="宋体" w:cs="Times New Roman"/>
          <w:spacing w:val="4"/>
          <w:kern w:val="2"/>
          <w:sz w:val="21"/>
          <w:szCs w:val="21"/>
          <w:lang w:val="en-US" w:eastAsia="zh-CN" w:bidi="ar-SA"/>
        </w:rPr>
        <w:t>外委维修项目进行验收。验收由相关各方按照合同要求进行。对验收时不符合验收标准的部分，投标方负责整改，费用投标方自理。</w:t>
      </w:r>
    </w:p>
    <w:p w14:paraId="32197873">
      <w:pPr>
        <w:pStyle w:val="25"/>
        <w:keepNext w:val="0"/>
        <w:keepLines w:val="0"/>
        <w:pageBreakBefore w:val="0"/>
        <w:widowControl w:val="0"/>
        <w:kinsoku/>
        <w:wordWrap/>
        <w:overflowPunct/>
        <w:topLinePunct w:val="0"/>
        <w:autoSpaceDE/>
        <w:autoSpaceDN/>
        <w:bidi w:val="0"/>
        <w:adjustRightInd/>
        <w:snapToGrid/>
        <w:spacing w:line="360" w:lineRule="auto"/>
        <w:ind w:firstLine="436" w:firstLineChars="200"/>
        <w:textAlignment w:val="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2．验收标准</w:t>
      </w:r>
    </w:p>
    <w:p w14:paraId="2F51A76C">
      <w:pPr>
        <w:pStyle w:val="25"/>
        <w:keepNext w:val="0"/>
        <w:keepLines w:val="0"/>
        <w:pageBreakBefore w:val="0"/>
        <w:widowControl w:val="0"/>
        <w:kinsoku/>
        <w:wordWrap/>
        <w:overflowPunct/>
        <w:topLinePunct w:val="0"/>
        <w:autoSpaceDE/>
        <w:autoSpaceDN/>
        <w:bidi w:val="0"/>
        <w:adjustRightInd/>
        <w:snapToGrid/>
        <w:spacing w:line="360" w:lineRule="auto"/>
        <w:ind w:firstLine="436" w:firstLineChars="200"/>
        <w:textAlignment w:val="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设备最后的验收以设备连续运行24小时并使加热坯料全部合格，同时炉膛无龟裂、无漏水、无脱落等为准。连续使用2天（24小时工作制）无质量问题视为验收合格。若返修炉膛到达招标方现场后，一个月内招标方没有质量反馈则视为验收合格。验收过程中如有问题投标方应及时整改，既要保证质量又要不耽误生产。</w:t>
      </w:r>
    </w:p>
    <w:p w14:paraId="0B215012">
      <w:pPr>
        <w:pStyle w:val="25"/>
        <w:keepNext w:val="0"/>
        <w:keepLines w:val="0"/>
        <w:pageBreakBefore w:val="0"/>
        <w:widowControl w:val="0"/>
        <w:kinsoku/>
        <w:wordWrap/>
        <w:overflowPunct/>
        <w:topLinePunct w:val="0"/>
        <w:autoSpaceDE/>
        <w:autoSpaceDN/>
        <w:bidi w:val="0"/>
        <w:adjustRightInd/>
        <w:snapToGrid/>
        <w:spacing w:line="360" w:lineRule="auto"/>
        <w:ind w:firstLine="436" w:firstLineChars="200"/>
        <w:textAlignment w:val="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3. 质保期</w:t>
      </w:r>
    </w:p>
    <w:p w14:paraId="1F2787C9">
      <w:pPr>
        <w:pStyle w:val="25"/>
        <w:keepNext w:val="0"/>
        <w:keepLines w:val="0"/>
        <w:pageBreakBefore w:val="0"/>
        <w:widowControl w:val="0"/>
        <w:kinsoku/>
        <w:wordWrap/>
        <w:overflowPunct/>
        <w:topLinePunct w:val="0"/>
        <w:autoSpaceDE/>
        <w:autoSpaceDN/>
        <w:bidi w:val="0"/>
        <w:adjustRightInd/>
        <w:snapToGrid/>
        <w:spacing w:line="360" w:lineRule="auto"/>
        <w:ind w:firstLine="436" w:firstLineChars="200"/>
        <w:textAlignment w:val="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本合同签订之日起，投标方对产品质量负责，质保期为自最终验收合格后实际使用</w:t>
      </w:r>
      <w:r>
        <w:rPr>
          <w:rFonts w:hint="eastAsia" w:ascii="宋体" w:hAnsi="宋体" w:eastAsia="宋体" w:cs="Times New Roman"/>
          <w:spacing w:val="4"/>
          <w:kern w:val="2"/>
          <w:sz w:val="21"/>
          <w:szCs w:val="21"/>
          <w:highlight w:val="yellow"/>
          <w:lang w:val="en-US" w:eastAsia="zh-CN" w:bidi="ar-SA"/>
        </w:rPr>
        <w:t>不低于三个月（24小时工作制）</w:t>
      </w:r>
      <w:r>
        <w:rPr>
          <w:rFonts w:hint="eastAsia" w:ascii="宋体" w:hAnsi="宋体" w:eastAsia="宋体" w:cs="Times New Roman"/>
          <w:spacing w:val="4"/>
          <w:kern w:val="2"/>
          <w:sz w:val="21"/>
          <w:szCs w:val="21"/>
          <w:lang w:val="en-US" w:eastAsia="zh-CN" w:bidi="ar-SA"/>
        </w:rPr>
        <w:t>。在质保期内，承包内容出现的任何质量问题，均由投标方处理，产生费用均由投标方负责承担。 </w:t>
      </w:r>
    </w:p>
    <w:p w14:paraId="08744ABE">
      <w:pPr>
        <w:pStyle w:val="25"/>
        <w:keepNext w:val="0"/>
        <w:keepLines w:val="0"/>
        <w:pageBreakBefore w:val="0"/>
        <w:kinsoku/>
        <w:wordWrap/>
        <w:overflowPunct/>
        <w:topLinePunct w:val="0"/>
        <w:bidi w:val="0"/>
        <w:snapToGrid/>
        <w:spacing w:line="360" w:lineRule="auto"/>
      </w:pPr>
      <w:r>
        <w:rPr>
          <w:rFonts w:hint="eastAsia" w:ascii="黑体" w:eastAsia="黑体"/>
          <w:b/>
          <w:bCs/>
          <w:sz w:val="28"/>
          <w:szCs w:val="28"/>
        </w:rPr>
        <w:t>八、其他</w:t>
      </w:r>
    </w:p>
    <w:p w14:paraId="2B25CB52">
      <w:pPr>
        <w:pStyle w:val="25"/>
        <w:keepNext w:val="0"/>
        <w:keepLines w:val="0"/>
        <w:pageBreakBefore w:val="0"/>
        <w:widowControl w:val="0"/>
        <w:kinsoku/>
        <w:wordWrap/>
        <w:overflowPunct/>
        <w:topLinePunct w:val="0"/>
        <w:autoSpaceDE/>
        <w:autoSpaceDN/>
        <w:bidi w:val="0"/>
        <w:adjustRightInd/>
        <w:snapToGrid/>
        <w:spacing w:line="360" w:lineRule="auto"/>
        <w:ind w:firstLine="436" w:firstLineChars="200"/>
        <w:textAlignment w:val="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1.投标人承诺对参与该项目所获得的与招标人产品相关的所有信息都予以保密，并承担与此相关的所有法律责任。</w:t>
      </w:r>
    </w:p>
    <w:p w14:paraId="6BA9AF1B">
      <w:pPr>
        <w:pStyle w:val="25"/>
        <w:keepNext w:val="0"/>
        <w:keepLines w:val="0"/>
        <w:pageBreakBefore w:val="0"/>
        <w:widowControl w:val="0"/>
        <w:kinsoku/>
        <w:wordWrap/>
        <w:overflowPunct/>
        <w:topLinePunct w:val="0"/>
        <w:autoSpaceDE/>
        <w:autoSpaceDN/>
        <w:bidi w:val="0"/>
        <w:adjustRightInd/>
        <w:snapToGrid/>
        <w:spacing w:line="360" w:lineRule="auto"/>
        <w:ind w:firstLine="436" w:firstLineChars="200"/>
        <w:textAlignment w:val="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2.其余未尽事宜，投标人应与招标人指派的答疑人员充分沟通，理解认可并接受相关技术规范及服务要求。</w:t>
      </w:r>
    </w:p>
    <w:p w14:paraId="353AF636">
      <w:pPr>
        <w:pStyle w:val="60"/>
        <w:spacing w:line="360" w:lineRule="auto"/>
        <w:ind w:firstLine="560"/>
        <w:rPr>
          <w:rFonts w:hint="eastAsia" w:ascii="仿宋_GB2312" w:hAnsi="仿宋_GB2312" w:eastAsia="仿宋_GB2312" w:cs="仿宋_GB2312"/>
          <w:b w:val="0"/>
          <w:bCs w:val="0"/>
          <w:sz w:val="28"/>
        </w:rPr>
      </w:pPr>
    </w:p>
    <w:p w14:paraId="0BD85323"/>
    <w:p w14:paraId="3179231C">
      <w:pPr>
        <w:rPr>
          <w:rFonts w:hint="eastAsia" w:ascii="Calibri" w:hAnsi="Calibri" w:cs="Times New Roman"/>
          <w:b/>
          <w:bCs/>
          <w:kern w:val="44"/>
          <w:sz w:val="44"/>
          <w:szCs w:val="44"/>
          <w:highlight w:val="none"/>
          <w:lang w:val="en-US" w:eastAsia="zh-CN"/>
        </w:rPr>
      </w:pPr>
      <w:r>
        <w:rPr>
          <w:rFonts w:hint="eastAsia" w:ascii="Calibri" w:hAnsi="Calibri" w:cs="Times New Roman"/>
          <w:b/>
          <w:bCs/>
          <w:kern w:val="44"/>
          <w:sz w:val="44"/>
          <w:szCs w:val="44"/>
          <w:highlight w:val="none"/>
          <w:lang w:val="en-US" w:eastAsia="zh-CN"/>
        </w:rPr>
        <w:br w:type="page"/>
      </w:r>
    </w:p>
    <w:p w14:paraId="35C27692">
      <w:pPr>
        <w:keepNext/>
        <w:keepLines/>
        <w:jc w:val="center"/>
        <w:outlineLvl w:val="0"/>
        <w:rPr>
          <w:rFonts w:ascii="Calibri" w:hAnsi="Calibri" w:eastAsia="宋体" w:cs="Times New Roman"/>
          <w:b/>
          <w:bCs/>
          <w:kern w:val="44"/>
          <w:sz w:val="44"/>
          <w:szCs w:val="44"/>
          <w:highlight w:val="none"/>
        </w:rPr>
      </w:pPr>
      <w:r>
        <w:rPr>
          <w:rFonts w:hint="eastAsia" w:ascii="Calibri" w:hAnsi="Calibri" w:cs="Times New Roman"/>
          <w:b/>
          <w:bCs/>
          <w:kern w:val="44"/>
          <w:sz w:val="44"/>
          <w:szCs w:val="44"/>
          <w:highlight w:val="none"/>
          <w:lang w:val="en-US" w:eastAsia="zh-CN"/>
        </w:rPr>
        <w:t xml:space="preserve">第三部分 </w:t>
      </w:r>
      <w:r>
        <w:rPr>
          <w:rFonts w:hint="eastAsia" w:ascii="Calibri" w:hAnsi="Calibri" w:eastAsia="宋体" w:cs="Times New Roman"/>
          <w:b/>
          <w:bCs/>
          <w:kern w:val="44"/>
          <w:sz w:val="44"/>
          <w:szCs w:val="44"/>
          <w:highlight w:val="none"/>
        </w:rPr>
        <w:t>投标文件附件</w:t>
      </w:r>
    </w:p>
    <w:p w14:paraId="004B8CE5">
      <w:pPr>
        <w:keepNext/>
        <w:keepLines/>
        <w:rPr>
          <w:rFonts w:ascii="Times New Roman" w:hAnsi="Times New Roman" w:eastAsia="宋体" w:cs="Times New Roman"/>
          <w:b/>
          <w:bCs/>
          <w:color w:val="000000"/>
          <w:sz w:val="24"/>
          <w:szCs w:val="24"/>
          <w:highlight w:val="none"/>
        </w:rPr>
      </w:pPr>
    </w:p>
    <w:p w14:paraId="6D68D61A">
      <w:pPr>
        <w:pStyle w:val="25"/>
        <w:rPr>
          <w:rFonts w:ascii="Times New Roman" w:hAnsi="Times New Roman" w:eastAsia="宋体" w:cs="Times New Roman"/>
          <w:b/>
          <w:bCs/>
          <w:color w:val="000000"/>
          <w:sz w:val="24"/>
          <w:szCs w:val="24"/>
          <w:highlight w:val="none"/>
        </w:rPr>
      </w:pPr>
    </w:p>
    <w:p w14:paraId="69EA8407">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说明：</w:t>
      </w:r>
    </w:p>
    <w:p w14:paraId="64D7EE03">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1.投标人须认真填写和提交本部分中的附件文件；</w:t>
      </w:r>
    </w:p>
    <w:p w14:paraId="4AD2D164">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2.对附件文件中所要求的内容应给予明确的答复；</w:t>
      </w:r>
    </w:p>
    <w:p w14:paraId="14B7BD2D">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3.附件文件的签字人应保证其对一切问题的答复、所做的声明及出具的资格资质文件、资料等具有真实性和准确性；</w:t>
      </w:r>
    </w:p>
    <w:p w14:paraId="67E124A3">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4.招标人将对投标人提交的文件、资料等内容予以保密，但不退还；</w:t>
      </w:r>
    </w:p>
    <w:p w14:paraId="43477162">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5.所有附件文件应以中文书写，作为投标文件的组成部分。</w:t>
      </w:r>
    </w:p>
    <w:p w14:paraId="71E3BE0D">
      <w:pPr>
        <w:keepNext/>
        <w:keepLines/>
        <w:outlineLvl w:val="9"/>
        <w:rPr>
          <w:rFonts w:hint="eastAsia" w:asciiTheme="minorEastAsia" w:hAnsiTheme="minorEastAsia" w:eastAsiaTheme="minorEastAsia" w:cstheme="minorEastAsia"/>
          <w:b/>
          <w:sz w:val="24"/>
          <w:szCs w:val="24"/>
        </w:rPr>
      </w:pPr>
    </w:p>
    <w:p w14:paraId="01A50B49">
      <w:pPr>
        <w:keepNext/>
        <w:keepLines/>
        <w:outlineLvl w:val="9"/>
        <w:rPr>
          <w:rFonts w:hint="eastAsia" w:asciiTheme="minorEastAsia" w:hAnsiTheme="minorEastAsia" w:eastAsiaTheme="minorEastAsia" w:cstheme="minorEastAsia"/>
          <w:b/>
          <w:sz w:val="24"/>
          <w:szCs w:val="24"/>
        </w:rPr>
      </w:pPr>
    </w:p>
    <w:p w14:paraId="409FB284">
      <w:pPr>
        <w:keepNext/>
        <w:keepLines/>
        <w:outlineLvl w:val="9"/>
        <w:rPr>
          <w:rFonts w:hint="eastAsia" w:asciiTheme="minorEastAsia" w:hAnsiTheme="minorEastAsia" w:eastAsiaTheme="minorEastAsia" w:cstheme="minorEastAsia"/>
          <w:b/>
          <w:sz w:val="24"/>
          <w:szCs w:val="24"/>
        </w:rPr>
      </w:pPr>
    </w:p>
    <w:p w14:paraId="4859B0FE">
      <w:pPr>
        <w:keepNext/>
        <w:keepLines/>
        <w:outlineLvl w:val="9"/>
        <w:rPr>
          <w:rFonts w:hint="eastAsia" w:asciiTheme="minorEastAsia" w:hAnsiTheme="minorEastAsia" w:eastAsiaTheme="minorEastAsia" w:cstheme="minorEastAsia"/>
          <w:b/>
          <w:sz w:val="24"/>
          <w:szCs w:val="24"/>
        </w:rPr>
      </w:pPr>
    </w:p>
    <w:p w14:paraId="7379DDCD">
      <w:pPr>
        <w:keepNext/>
        <w:keepLines/>
        <w:outlineLvl w:val="9"/>
        <w:rPr>
          <w:rFonts w:hint="eastAsia" w:asciiTheme="minorEastAsia" w:hAnsiTheme="minorEastAsia" w:eastAsiaTheme="minorEastAsia" w:cstheme="minorEastAsia"/>
          <w:b/>
          <w:sz w:val="24"/>
          <w:szCs w:val="24"/>
        </w:rPr>
      </w:pPr>
    </w:p>
    <w:p w14:paraId="315105D2">
      <w:pPr>
        <w:keepNext/>
        <w:keepLines/>
        <w:outlineLvl w:val="9"/>
        <w:rPr>
          <w:rFonts w:hint="eastAsia" w:asciiTheme="minorEastAsia" w:hAnsiTheme="minorEastAsia" w:eastAsiaTheme="minorEastAsia" w:cstheme="minorEastAsia"/>
          <w:b/>
          <w:sz w:val="24"/>
          <w:szCs w:val="24"/>
        </w:rPr>
      </w:pPr>
    </w:p>
    <w:p w14:paraId="1DCCFD44">
      <w:pPr>
        <w:keepNext/>
        <w:keepLines/>
        <w:outlineLvl w:val="9"/>
        <w:rPr>
          <w:rFonts w:hint="eastAsia" w:asciiTheme="minorEastAsia" w:hAnsiTheme="minorEastAsia" w:eastAsiaTheme="minorEastAsia" w:cstheme="minorEastAsia"/>
          <w:b/>
          <w:sz w:val="24"/>
          <w:szCs w:val="24"/>
        </w:rPr>
      </w:pPr>
    </w:p>
    <w:p w14:paraId="799A6836">
      <w:pPr>
        <w:keepNext/>
        <w:keepLines/>
        <w:outlineLvl w:val="9"/>
        <w:rPr>
          <w:rFonts w:hint="eastAsia" w:asciiTheme="minorEastAsia" w:hAnsiTheme="minorEastAsia" w:eastAsiaTheme="minorEastAsia" w:cstheme="minorEastAsia"/>
          <w:b/>
          <w:sz w:val="24"/>
          <w:szCs w:val="24"/>
        </w:rPr>
      </w:pPr>
    </w:p>
    <w:p w14:paraId="31604940">
      <w:pPr>
        <w:keepNext/>
        <w:keepLines/>
        <w:outlineLvl w:val="9"/>
        <w:rPr>
          <w:rFonts w:hint="eastAsia" w:asciiTheme="minorEastAsia" w:hAnsiTheme="minorEastAsia" w:eastAsiaTheme="minorEastAsia" w:cstheme="minorEastAsia"/>
          <w:b/>
          <w:sz w:val="24"/>
          <w:szCs w:val="24"/>
        </w:rPr>
      </w:pPr>
    </w:p>
    <w:p w14:paraId="38A631EE">
      <w:pPr>
        <w:keepNext/>
        <w:keepLines/>
        <w:outlineLvl w:val="9"/>
        <w:rPr>
          <w:rFonts w:hint="eastAsia" w:asciiTheme="minorEastAsia" w:hAnsiTheme="minorEastAsia" w:eastAsiaTheme="minorEastAsia" w:cstheme="minorEastAsia"/>
          <w:b/>
          <w:sz w:val="24"/>
          <w:szCs w:val="24"/>
        </w:rPr>
      </w:pPr>
    </w:p>
    <w:p w14:paraId="2B35014B">
      <w:pPr>
        <w:keepNext/>
        <w:keepLines/>
        <w:outlineLvl w:val="9"/>
        <w:rPr>
          <w:rFonts w:hint="eastAsia" w:asciiTheme="minorEastAsia" w:hAnsiTheme="minorEastAsia" w:eastAsiaTheme="minorEastAsia" w:cstheme="minorEastAsia"/>
          <w:b/>
          <w:sz w:val="24"/>
          <w:szCs w:val="24"/>
        </w:rPr>
      </w:pPr>
    </w:p>
    <w:p w14:paraId="3E1E2C91">
      <w:pPr>
        <w:keepNext/>
        <w:keepLines/>
        <w:outlineLvl w:val="9"/>
        <w:rPr>
          <w:rFonts w:hint="eastAsia" w:asciiTheme="minorEastAsia" w:hAnsiTheme="minorEastAsia" w:eastAsiaTheme="minorEastAsia" w:cstheme="minorEastAsia"/>
          <w:b/>
          <w:sz w:val="24"/>
          <w:szCs w:val="24"/>
        </w:rPr>
      </w:pPr>
    </w:p>
    <w:p w14:paraId="65712283">
      <w:pPr>
        <w:keepNext/>
        <w:keepLines/>
        <w:outlineLvl w:val="9"/>
        <w:rPr>
          <w:rFonts w:hint="eastAsia" w:asciiTheme="minorEastAsia" w:hAnsiTheme="minorEastAsia" w:eastAsiaTheme="minorEastAsia" w:cstheme="minorEastAsia"/>
          <w:b/>
          <w:sz w:val="24"/>
          <w:szCs w:val="24"/>
        </w:rPr>
      </w:pPr>
    </w:p>
    <w:p w14:paraId="6F133945">
      <w:pPr>
        <w:keepNext/>
        <w:keepLines/>
        <w:outlineLvl w:val="9"/>
        <w:rPr>
          <w:rFonts w:hint="eastAsia" w:asciiTheme="minorEastAsia" w:hAnsiTheme="minorEastAsia" w:eastAsiaTheme="minorEastAsia" w:cstheme="minorEastAsia"/>
          <w:b/>
          <w:sz w:val="24"/>
          <w:szCs w:val="24"/>
        </w:rPr>
      </w:pPr>
    </w:p>
    <w:p w14:paraId="6BFA7BFB">
      <w:pPr>
        <w:keepNext/>
        <w:keepLines/>
        <w:outlineLvl w:val="9"/>
        <w:rPr>
          <w:rFonts w:hint="eastAsia" w:asciiTheme="minorEastAsia" w:hAnsiTheme="minorEastAsia" w:eastAsiaTheme="minorEastAsia" w:cstheme="minorEastAsia"/>
          <w:b/>
          <w:sz w:val="24"/>
          <w:szCs w:val="24"/>
        </w:rPr>
      </w:pPr>
    </w:p>
    <w:p w14:paraId="789716BA">
      <w:pPr>
        <w:keepNext/>
        <w:keepLines/>
        <w:outlineLvl w:val="9"/>
        <w:rPr>
          <w:rFonts w:hint="eastAsia" w:asciiTheme="minorEastAsia" w:hAnsiTheme="minorEastAsia" w:eastAsiaTheme="minorEastAsia" w:cstheme="minorEastAsia"/>
          <w:b/>
          <w:sz w:val="24"/>
          <w:szCs w:val="24"/>
        </w:rPr>
      </w:pPr>
    </w:p>
    <w:p w14:paraId="271F259A">
      <w:pPr>
        <w:keepNext/>
        <w:keepLines/>
        <w:outlineLvl w:val="9"/>
        <w:rPr>
          <w:rFonts w:hint="eastAsia" w:asciiTheme="minorEastAsia" w:hAnsiTheme="minorEastAsia" w:eastAsiaTheme="minorEastAsia" w:cstheme="minorEastAsia"/>
          <w:b/>
          <w:sz w:val="24"/>
          <w:szCs w:val="24"/>
        </w:rPr>
      </w:pPr>
    </w:p>
    <w:p w14:paraId="4D697150">
      <w:pPr>
        <w:keepNext/>
        <w:keepLines/>
        <w:outlineLvl w:val="9"/>
        <w:rPr>
          <w:rFonts w:hint="eastAsia" w:asciiTheme="minorEastAsia" w:hAnsiTheme="minorEastAsia" w:eastAsiaTheme="minorEastAsia" w:cstheme="minorEastAsia"/>
          <w:b/>
          <w:sz w:val="24"/>
          <w:szCs w:val="24"/>
        </w:rPr>
      </w:pPr>
    </w:p>
    <w:p w14:paraId="1A92D340">
      <w:pPr>
        <w:keepNext/>
        <w:keepLines/>
        <w:outlineLvl w:val="9"/>
        <w:rPr>
          <w:rFonts w:hint="eastAsia" w:asciiTheme="minorEastAsia" w:hAnsiTheme="minorEastAsia" w:eastAsiaTheme="minorEastAsia" w:cstheme="minorEastAsia"/>
          <w:b/>
          <w:sz w:val="24"/>
          <w:szCs w:val="24"/>
        </w:rPr>
      </w:pPr>
    </w:p>
    <w:p w14:paraId="63AE9EFB">
      <w:pPr>
        <w:keepNext/>
        <w:keepLines/>
        <w:outlineLvl w:val="9"/>
        <w:rPr>
          <w:rFonts w:hint="eastAsia" w:asciiTheme="minorEastAsia" w:hAnsiTheme="minorEastAsia" w:eastAsiaTheme="minorEastAsia" w:cstheme="minorEastAsia"/>
          <w:b/>
          <w:sz w:val="24"/>
          <w:szCs w:val="24"/>
        </w:rPr>
      </w:pPr>
    </w:p>
    <w:p w14:paraId="02CE63D2">
      <w:pPr>
        <w:keepNext/>
        <w:keepLines/>
        <w:outlineLvl w:val="9"/>
        <w:rPr>
          <w:rFonts w:hint="eastAsia" w:asciiTheme="minorEastAsia" w:hAnsiTheme="minorEastAsia" w:eastAsiaTheme="minorEastAsia" w:cstheme="minorEastAsia"/>
          <w:b/>
          <w:sz w:val="24"/>
          <w:szCs w:val="24"/>
        </w:rPr>
      </w:pPr>
    </w:p>
    <w:p w14:paraId="7377BADF">
      <w:pPr>
        <w:keepNext/>
        <w:keepLines/>
        <w:outlineLvl w:val="9"/>
        <w:rPr>
          <w:rFonts w:hint="eastAsia" w:asciiTheme="minorEastAsia" w:hAnsiTheme="minorEastAsia" w:eastAsiaTheme="minorEastAsia" w:cstheme="minorEastAsia"/>
          <w:b/>
          <w:sz w:val="24"/>
          <w:szCs w:val="24"/>
        </w:rPr>
      </w:pPr>
    </w:p>
    <w:p w14:paraId="0E149AF0">
      <w:pPr>
        <w:keepNext/>
        <w:keepLines/>
        <w:outlineLvl w:val="9"/>
        <w:rPr>
          <w:rFonts w:hint="eastAsia" w:asciiTheme="minorEastAsia" w:hAnsiTheme="minorEastAsia" w:eastAsiaTheme="minorEastAsia" w:cstheme="minorEastAsia"/>
          <w:b/>
          <w:sz w:val="24"/>
          <w:szCs w:val="24"/>
        </w:rPr>
      </w:pPr>
    </w:p>
    <w:p w14:paraId="0753F1DE">
      <w:pPr>
        <w:keepNext/>
        <w:keepLines/>
        <w:outlineLvl w:val="9"/>
        <w:rPr>
          <w:rFonts w:hint="eastAsia" w:asciiTheme="minorEastAsia" w:hAnsiTheme="minorEastAsia" w:eastAsiaTheme="minorEastAsia" w:cstheme="minorEastAsia"/>
          <w:b/>
          <w:sz w:val="24"/>
          <w:szCs w:val="24"/>
        </w:rPr>
      </w:pPr>
    </w:p>
    <w:p w14:paraId="31E97C20">
      <w:pPr>
        <w:keepNext/>
        <w:keepLines/>
        <w:outlineLvl w:val="9"/>
        <w:rPr>
          <w:rFonts w:hint="eastAsia" w:asciiTheme="minorEastAsia" w:hAnsiTheme="minorEastAsia" w:eastAsiaTheme="minorEastAsia" w:cstheme="minorEastAsia"/>
          <w:b/>
          <w:sz w:val="24"/>
          <w:szCs w:val="24"/>
        </w:rPr>
      </w:pPr>
    </w:p>
    <w:p w14:paraId="5E039EA6">
      <w:pPr>
        <w:keepNext/>
        <w:keepLines/>
        <w:outlineLvl w:val="9"/>
        <w:rPr>
          <w:rFonts w:hint="eastAsia" w:asciiTheme="minorEastAsia" w:hAnsiTheme="minorEastAsia" w:eastAsiaTheme="minorEastAsia" w:cstheme="minorEastAsia"/>
          <w:b/>
          <w:sz w:val="24"/>
          <w:szCs w:val="24"/>
        </w:rPr>
      </w:pPr>
    </w:p>
    <w:p w14:paraId="0CA49193">
      <w:pPr>
        <w:keepNext/>
        <w:keepLines/>
        <w:outlineLvl w:val="9"/>
        <w:rPr>
          <w:rFonts w:hint="eastAsia" w:asciiTheme="minorEastAsia" w:hAnsiTheme="minorEastAsia" w:eastAsiaTheme="minorEastAsia" w:cstheme="minorEastAsia"/>
          <w:b/>
          <w:sz w:val="24"/>
          <w:szCs w:val="24"/>
        </w:rPr>
      </w:pPr>
    </w:p>
    <w:p w14:paraId="5CDE0C8B">
      <w:pPr>
        <w:spacing w:line="360" w:lineRule="auto"/>
        <w:outlineLvl w:val="9"/>
        <w:rPr>
          <w:rFonts w:hint="eastAsia" w:ascii="仿宋" w:hAnsi="仿宋" w:eastAsia="仿宋"/>
          <w:b/>
          <w:bCs/>
          <w:sz w:val="28"/>
        </w:rPr>
      </w:pPr>
    </w:p>
    <w:p w14:paraId="16512770">
      <w:pPr>
        <w:rPr>
          <w:rFonts w:hint="eastAsia" w:ascii="仿宋" w:hAnsi="仿宋" w:eastAsia="仿宋"/>
          <w:b/>
          <w:bCs/>
          <w:sz w:val="28"/>
        </w:rPr>
      </w:pPr>
      <w:r>
        <w:rPr>
          <w:rFonts w:hint="eastAsia" w:ascii="仿宋" w:hAnsi="仿宋" w:eastAsia="仿宋"/>
          <w:b/>
          <w:bCs/>
          <w:sz w:val="28"/>
        </w:rPr>
        <w:br w:type="page"/>
      </w:r>
    </w:p>
    <w:p w14:paraId="56A6EBFD">
      <w:pPr>
        <w:keepNext/>
        <w:keepLines/>
        <w:outlineLvl w:val="1"/>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bookmarkStart w:id="15" w:name="_Toc25811"/>
      <w:bookmarkStart w:id="16" w:name="_Toc639004"/>
      <w:bookmarkStart w:id="17" w:name="_Toc212369550"/>
      <w:bookmarkStart w:id="18" w:name="_Toc353881012"/>
      <w:r>
        <w:rPr>
          <w:rFonts w:hint="eastAsia" w:cs="Times New Roman"/>
          <w:b/>
          <w:bCs/>
          <w:color w:val="000000"/>
          <w:sz w:val="24"/>
          <w:szCs w:val="24"/>
          <w:lang w:val="en-US" w:eastAsia="zh-CN"/>
        </w:rPr>
        <w:t xml:space="preserve"> </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投标函</w:t>
      </w:r>
      <w:bookmarkEnd w:id="15"/>
      <w:bookmarkEnd w:id="16"/>
      <w:bookmarkEnd w:id="17"/>
      <w:bookmarkEnd w:id="18"/>
    </w:p>
    <w:p w14:paraId="722279CC">
      <w:pPr>
        <w:rPr>
          <w:rFonts w:ascii="宋体" w:hAnsi="宋体"/>
        </w:rPr>
      </w:pPr>
      <w:r>
        <w:rPr>
          <w:rFonts w:hint="eastAsia" w:ascii="宋体" w:hAnsi="宋体"/>
          <w:sz w:val="24"/>
          <w:szCs w:val="24"/>
        </w:rPr>
        <w:t>项目名称：</w:t>
      </w:r>
      <w:r>
        <w:rPr>
          <w:rFonts w:ascii="宋体" w:hAnsi="宋体"/>
        </w:rPr>
        <w:t xml:space="preserve"> </w:t>
      </w:r>
    </w:p>
    <w:p w14:paraId="6239E234">
      <w:pPr>
        <w:jc w:val="center"/>
        <w:rPr>
          <w:rFonts w:hint="eastAsia" w:eastAsia="黑体"/>
          <w:b/>
          <w:bCs/>
          <w:sz w:val="28"/>
          <w:lang w:val="en-US" w:eastAsia="zh-CN"/>
        </w:rPr>
      </w:pPr>
      <w:r>
        <w:rPr>
          <w:rFonts w:hint="eastAsia" w:eastAsia="黑体"/>
          <w:b/>
          <w:bCs/>
          <w:sz w:val="28"/>
        </w:rPr>
        <w:t>投标</w:t>
      </w:r>
      <w:r>
        <w:rPr>
          <w:rFonts w:hint="eastAsia" w:eastAsia="黑体"/>
          <w:b/>
          <w:bCs/>
          <w:sz w:val="28"/>
          <w:lang w:val="en-US" w:eastAsia="zh-CN"/>
        </w:rPr>
        <w:t>函</w:t>
      </w:r>
    </w:p>
    <w:p w14:paraId="21B9C7A0">
      <w:pPr>
        <w:rPr>
          <w:rFonts w:ascii="宋体" w:hAnsi="宋体"/>
          <w:sz w:val="24"/>
          <w:szCs w:val="24"/>
          <w:u w:val="single"/>
        </w:rPr>
      </w:pPr>
      <w:r>
        <w:rPr>
          <w:rFonts w:hint="eastAsia" w:ascii="宋体" w:hAnsi="宋体"/>
          <w:sz w:val="24"/>
          <w:szCs w:val="24"/>
        </w:rPr>
        <w:t>致</w:t>
      </w:r>
      <w:r>
        <w:rPr>
          <w:rFonts w:hint="eastAsia" w:ascii="宋体" w:hAnsi="宋体"/>
          <w:sz w:val="24"/>
          <w:szCs w:val="24"/>
          <w:u w:val="single"/>
        </w:rPr>
        <w:t>（招标人名称）                            ：</w:t>
      </w:r>
    </w:p>
    <w:p w14:paraId="466305D7">
      <w:pPr>
        <w:ind w:firstLine="645"/>
        <w:rPr>
          <w:rFonts w:ascii="宋体" w:hAnsi="宋体"/>
          <w:sz w:val="24"/>
          <w:szCs w:val="24"/>
        </w:rPr>
      </w:pPr>
      <w:r>
        <w:rPr>
          <w:rFonts w:hint="eastAsia" w:ascii="宋体" w:hAnsi="宋体"/>
          <w:sz w:val="24"/>
          <w:szCs w:val="24"/>
        </w:rPr>
        <w:t>根据贵方为（</w:t>
      </w:r>
      <w:r>
        <w:rPr>
          <w:rFonts w:hint="eastAsia" w:ascii="宋体" w:hAnsi="宋体"/>
          <w:sz w:val="24"/>
          <w:szCs w:val="24"/>
          <w:u w:val="single"/>
        </w:rPr>
        <w:t xml:space="preserve">项目名称）                         </w:t>
      </w:r>
      <w:r>
        <w:rPr>
          <w:rFonts w:hint="eastAsia" w:ascii="宋体" w:hAnsi="宋体"/>
          <w:sz w:val="24"/>
          <w:szCs w:val="24"/>
        </w:rPr>
        <w:t>招标书，签字代表</w:t>
      </w:r>
      <w:r>
        <w:rPr>
          <w:rFonts w:hint="eastAsia" w:ascii="宋体" w:hAnsi="宋体"/>
          <w:sz w:val="24"/>
          <w:szCs w:val="24"/>
          <w:u w:val="single"/>
        </w:rPr>
        <w:t xml:space="preserve">（全名、职务）           </w:t>
      </w:r>
      <w:r>
        <w:rPr>
          <w:rFonts w:hint="eastAsia" w:ascii="宋体" w:hAnsi="宋体"/>
          <w:sz w:val="24"/>
          <w:szCs w:val="24"/>
        </w:rPr>
        <w:t>经正式授权并代表投标人</w:t>
      </w:r>
      <w:r>
        <w:rPr>
          <w:rFonts w:hint="eastAsia" w:ascii="宋体" w:hAnsi="宋体"/>
          <w:sz w:val="24"/>
          <w:szCs w:val="24"/>
          <w:u w:val="single"/>
        </w:rPr>
        <w:t xml:space="preserve">（投标人名称、地址）              </w:t>
      </w:r>
      <w:r>
        <w:rPr>
          <w:rFonts w:hint="eastAsia" w:ascii="宋体" w:hAnsi="宋体"/>
          <w:sz w:val="24"/>
          <w:szCs w:val="24"/>
        </w:rPr>
        <w:t>提交下述文件：</w:t>
      </w:r>
    </w:p>
    <w:p w14:paraId="42F2D1EC">
      <w:pPr>
        <w:spacing w:line="360" w:lineRule="auto"/>
        <w:rPr>
          <w:rFonts w:ascii="宋体" w:hAnsi="宋体"/>
          <w:sz w:val="24"/>
          <w:szCs w:val="24"/>
        </w:rPr>
      </w:pPr>
      <w:r>
        <w:rPr>
          <w:rFonts w:hint="eastAsia" w:ascii="宋体" w:hAnsi="宋体" w:cs="Times New Roman"/>
          <w:sz w:val="24"/>
          <w:szCs w:val="24"/>
          <w:lang w:val="en-US" w:eastAsia="zh-CN"/>
        </w:rPr>
        <w:t>电子版</w:t>
      </w:r>
      <w:r>
        <w:rPr>
          <w:rFonts w:hint="eastAsia" w:ascii="宋体" w:hAnsi="宋体" w:cs="Times New Roman"/>
          <w:sz w:val="24"/>
          <w:szCs w:val="24"/>
        </w:rPr>
        <w:t>投标文件：资质证明文件、商务文件和技术文件。</w:t>
      </w:r>
    </w:p>
    <w:p w14:paraId="3504E81A">
      <w:pPr>
        <w:rPr>
          <w:rFonts w:ascii="宋体" w:hAnsi="宋体"/>
          <w:sz w:val="24"/>
          <w:szCs w:val="24"/>
        </w:rPr>
      </w:pPr>
      <w:r>
        <w:rPr>
          <w:rFonts w:hint="eastAsia" w:ascii="宋体" w:hAnsi="宋体"/>
          <w:sz w:val="24"/>
          <w:szCs w:val="24"/>
        </w:rPr>
        <w:t>据此，签字代表宣布同意如下：</w:t>
      </w:r>
    </w:p>
    <w:p w14:paraId="74420C3D">
      <w:pPr>
        <w:ind w:firstLine="480" w:firstLineChars="200"/>
        <w:rPr>
          <w:rFonts w:ascii="宋体" w:hAnsi="宋体"/>
          <w:sz w:val="24"/>
          <w:szCs w:val="24"/>
        </w:rPr>
      </w:pPr>
      <w:r>
        <w:rPr>
          <w:rFonts w:hint="eastAsia" w:ascii="宋体" w:hAnsi="宋体"/>
          <w:sz w:val="24"/>
          <w:szCs w:val="24"/>
        </w:rPr>
        <w:t>1.所附投标报价表中规定的应提供的投标总价</w:t>
      </w:r>
      <w:r>
        <w:rPr>
          <w:rFonts w:hint="eastAsia" w:ascii="宋体" w:hAnsi="宋体"/>
          <w:color w:val="FF0000"/>
          <w:sz w:val="24"/>
          <w:szCs w:val="24"/>
        </w:rPr>
        <w:t>（不含税）</w:t>
      </w:r>
      <w:r>
        <w:rPr>
          <w:rFonts w:hint="eastAsia" w:ascii="宋体" w:hAnsi="宋体"/>
          <w:sz w:val="24"/>
          <w:szCs w:val="24"/>
        </w:rPr>
        <w:t>为</w:t>
      </w:r>
      <w:r>
        <w:rPr>
          <w:rFonts w:hint="eastAsia" w:ascii="宋体" w:hAnsi="宋体"/>
          <w:sz w:val="24"/>
          <w:szCs w:val="24"/>
          <w:u w:val="single"/>
        </w:rPr>
        <w:t xml:space="preserve">（注明币种和金额）    </w:t>
      </w:r>
      <w:r>
        <w:rPr>
          <w:rFonts w:hint="eastAsia" w:ascii="宋体" w:hAnsi="宋体"/>
          <w:sz w:val="24"/>
          <w:szCs w:val="24"/>
        </w:rPr>
        <w:t>，</w:t>
      </w:r>
    </w:p>
    <w:p w14:paraId="6649000B">
      <w:pPr>
        <w:rPr>
          <w:rFonts w:ascii="宋体" w:hAnsi="宋体"/>
          <w:sz w:val="24"/>
          <w:szCs w:val="24"/>
          <w:u w:val="single"/>
        </w:rPr>
      </w:pPr>
      <w:r>
        <w:rPr>
          <w:rFonts w:hint="eastAsia" w:ascii="宋体" w:hAnsi="宋体"/>
          <w:sz w:val="24"/>
          <w:szCs w:val="24"/>
          <w:u w:val="single"/>
        </w:rPr>
        <w:t xml:space="preserve">即（中文文字描述）                                      </w:t>
      </w:r>
      <w:r>
        <w:rPr>
          <w:rFonts w:hint="eastAsia" w:ascii="宋体" w:hAnsi="宋体"/>
          <w:sz w:val="24"/>
          <w:szCs w:val="24"/>
        </w:rPr>
        <w:t>。</w:t>
      </w:r>
    </w:p>
    <w:p w14:paraId="6C30D5EB">
      <w:pPr>
        <w:ind w:left="435"/>
        <w:rPr>
          <w:rFonts w:ascii="宋体" w:hAnsi="宋体"/>
          <w:sz w:val="24"/>
          <w:szCs w:val="24"/>
        </w:rPr>
      </w:pPr>
      <w:r>
        <w:rPr>
          <w:rFonts w:hint="eastAsia" w:ascii="宋体" w:hAnsi="宋体"/>
          <w:sz w:val="24"/>
          <w:szCs w:val="24"/>
        </w:rPr>
        <w:t>2.投标人将按招标文件的规定履行合同责任和义务。</w:t>
      </w:r>
    </w:p>
    <w:p w14:paraId="62AE6347">
      <w:pPr>
        <w:ind w:firstLine="480" w:firstLineChars="200"/>
        <w:rPr>
          <w:rFonts w:ascii="宋体" w:hAnsi="宋体"/>
          <w:sz w:val="24"/>
          <w:szCs w:val="24"/>
        </w:rPr>
      </w:pPr>
      <w:r>
        <w:rPr>
          <w:rFonts w:hint="eastAsia" w:ascii="宋体" w:hAnsi="宋体"/>
          <w:sz w:val="24"/>
          <w:szCs w:val="24"/>
        </w:rPr>
        <w:t>3.投标人已详细审查全部招标文件，包括修改文件（如有的话）以及全部参考资料和有关附件，我们完全理解并同意放弃对这方面有不明及误解的权利。</w:t>
      </w:r>
    </w:p>
    <w:p w14:paraId="2A296CD9">
      <w:pPr>
        <w:ind w:left="435"/>
        <w:rPr>
          <w:rFonts w:ascii="宋体" w:hAnsi="宋体"/>
          <w:sz w:val="24"/>
          <w:szCs w:val="24"/>
        </w:rPr>
      </w:pPr>
      <w:r>
        <w:rPr>
          <w:rFonts w:hint="eastAsia"/>
          <w:sz w:val="24"/>
          <w:szCs w:val="24"/>
        </w:rPr>
        <w:t>4.投标有效期：</w:t>
      </w:r>
      <w:r>
        <w:rPr>
          <w:rFonts w:hint="eastAsia" w:ascii="宋体" w:hAnsi="宋体" w:eastAsia="宋体" w:cs="Times New Roman"/>
          <w:color w:val="000000"/>
          <w:sz w:val="24"/>
          <w:szCs w:val="24"/>
        </w:rPr>
        <w:t>自开标日起</w:t>
      </w:r>
      <w:r>
        <w:rPr>
          <w:rFonts w:hint="eastAsia" w:ascii="宋体" w:hAnsi="宋体" w:cs="Times New Roman"/>
          <w:color w:val="000000"/>
          <w:sz w:val="24"/>
          <w:szCs w:val="24"/>
          <w:lang w:val="en-US" w:eastAsia="zh-CN"/>
        </w:rPr>
        <w:t>90</w:t>
      </w:r>
      <w:r>
        <w:rPr>
          <w:rFonts w:hint="eastAsia" w:ascii="宋体" w:hAnsi="宋体" w:eastAsia="宋体" w:cs="Times New Roman"/>
          <w:color w:val="000000"/>
          <w:sz w:val="24"/>
          <w:szCs w:val="24"/>
        </w:rPr>
        <w:t>个日历日</w:t>
      </w:r>
      <w:r>
        <w:rPr>
          <w:rFonts w:hint="eastAsia" w:ascii="宋体" w:hAnsi="宋体"/>
          <w:sz w:val="24"/>
          <w:szCs w:val="24"/>
        </w:rPr>
        <w:t>。</w:t>
      </w:r>
    </w:p>
    <w:p w14:paraId="769136C7">
      <w:pPr>
        <w:ind w:firstLine="480" w:firstLineChars="200"/>
        <w:rPr>
          <w:rFonts w:ascii="宋体" w:hAnsi="宋体"/>
          <w:sz w:val="24"/>
          <w:szCs w:val="24"/>
        </w:rPr>
      </w:pPr>
      <w:r>
        <w:rPr>
          <w:rFonts w:hint="eastAsia" w:ascii="宋体" w:hAnsi="宋体"/>
          <w:sz w:val="24"/>
          <w:szCs w:val="24"/>
        </w:rPr>
        <w:t>5.投标人同意提供贵方要求的可能与投标有关的一切数据和资料，完全理解贵方不一定要接受最低价的投标或收到的任何投标。</w:t>
      </w:r>
    </w:p>
    <w:p w14:paraId="3B69943A">
      <w:pPr>
        <w:ind w:firstLine="480" w:firstLineChars="200"/>
        <w:rPr>
          <w:rFonts w:ascii="宋体" w:hAnsi="宋体"/>
          <w:sz w:val="24"/>
          <w:szCs w:val="24"/>
        </w:rPr>
      </w:pPr>
      <w:r>
        <w:rPr>
          <w:rFonts w:hint="eastAsia" w:ascii="宋体" w:hAnsi="宋体"/>
          <w:sz w:val="24"/>
          <w:szCs w:val="24"/>
        </w:rPr>
        <w:t>6.投标人承诺所提供的所有数据和资料均真实有效，如存在虚报情况，投标人愿为此承担一切法律责任，并主动退出本项目竞标。</w:t>
      </w:r>
    </w:p>
    <w:p w14:paraId="15CBE0CD">
      <w:pPr>
        <w:ind w:left="435"/>
        <w:rPr>
          <w:rFonts w:ascii="宋体" w:hAnsi="宋体"/>
          <w:sz w:val="24"/>
          <w:szCs w:val="24"/>
        </w:rPr>
      </w:pPr>
      <w:r>
        <w:rPr>
          <w:rFonts w:hint="eastAsia" w:ascii="宋体" w:hAnsi="宋体"/>
          <w:sz w:val="24"/>
          <w:szCs w:val="24"/>
        </w:rPr>
        <w:t>7.与本投标有关的一切正式往来通讯请寄：</w:t>
      </w:r>
    </w:p>
    <w:p w14:paraId="77593D87">
      <w:pPr>
        <w:ind w:left="795"/>
        <w:rPr>
          <w:rFonts w:ascii="宋体" w:hAnsi="宋体"/>
          <w:sz w:val="24"/>
          <w:szCs w:val="24"/>
        </w:rPr>
      </w:pPr>
      <w:r>
        <w:rPr>
          <w:rFonts w:hint="eastAsia" w:ascii="宋体" w:hAnsi="宋体"/>
          <w:sz w:val="24"/>
          <w:szCs w:val="24"/>
        </w:rPr>
        <w:t>地址：                                   邮编：</w:t>
      </w:r>
    </w:p>
    <w:p w14:paraId="38ECA45A">
      <w:pPr>
        <w:ind w:left="795"/>
        <w:rPr>
          <w:rFonts w:ascii="宋体" w:hAnsi="宋体"/>
          <w:sz w:val="24"/>
          <w:szCs w:val="24"/>
        </w:rPr>
      </w:pPr>
      <w:r>
        <w:rPr>
          <w:rFonts w:hint="eastAsia" w:ascii="宋体" w:hAnsi="宋体"/>
          <w:sz w:val="24"/>
          <w:szCs w:val="24"/>
        </w:rPr>
        <w:t>电话：                                   传真：</w:t>
      </w:r>
    </w:p>
    <w:p w14:paraId="27BCD924">
      <w:pPr>
        <w:ind w:left="795"/>
        <w:rPr>
          <w:sz w:val="24"/>
          <w:szCs w:val="24"/>
        </w:rPr>
      </w:pPr>
    </w:p>
    <w:p w14:paraId="2BFC2E2C">
      <w:pPr>
        <w:ind w:left="795"/>
        <w:rPr>
          <w:sz w:val="24"/>
          <w:szCs w:val="24"/>
        </w:rPr>
      </w:pPr>
    </w:p>
    <w:p w14:paraId="5425CAEA">
      <w:pPr>
        <w:pStyle w:val="235"/>
        <w:rPr>
          <w:sz w:val="24"/>
          <w:szCs w:val="24"/>
        </w:rPr>
      </w:pPr>
    </w:p>
    <w:p w14:paraId="01BCA12E">
      <w:pPr>
        <w:pStyle w:val="235"/>
        <w:rPr>
          <w:sz w:val="24"/>
          <w:szCs w:val="24"/>
        </w:rPr>
      </w:pPr>
    </w:p>
    <w:p w14:paraId="688CAE09">
      <w:pPr>
        <w:spacing w:line="480" w:lineRule="auto"/>
        <w:ind w:left="795"/>
        <w:rPr>
          <w:sz w:val="24"/>
          <w:szCs w:val="24"/>
        </w:rPr>
      </w:pPr>
      <w:r>
        <w:rPr>
          <w:rFonts w:hint="eastAsia"/>
          <w:sz w:val="24"/>
          <w:szCs w:val="24"/>
        </w:rPr>
        <w:t>投标人授权代表签字：                 职务：                 日期：</w:t>
      </w:r>
    </w:p>
    <w:p w14:paraId="1D559842">
      <w:pPr>
        <w:spacing w:line="480" w:lineRule="auto"/>
        <w:ind w:left="795"/>
        <w:rPr>
          <w:sz w:val="24"/>
          <w:szCs w:val="24"/>
        </w:rPr>
      </w:pPr>
      <w:r>
        <w:rPr>
          <w:rFonts w:hint="eastAsia"/>
          <w:sz w:val="24"/>
          <w:szCs w:val="24"/>
        </w:rPr>
        <w:t>投标人名称（及公章）：</w:t>
      </w:r>
    </w:p>
    <w:p w14:paraId="374EB0A9">
      <w:pPr>
        <w:spacing w:line="480" w:lineRule="auto"/>
        <w:ind w:left="795"/>
        <w:rPr>
          <w:sz w:val="24"/>
          <w:szCs w:val="24"/>
        </w:rPr>
      </w:pPr>
      <w:r>
        <w:rPr>
          <w:rFonts w:hint="eastAsia"/>
          <w:sz w:val="24"/>
          <w:szCs w:val="24"/>
        </w:rPr>
        <w:t>日期：        年       月       日</w:t>
      </w:r>
    </w:p>
    <w:p w14:paraId="41BAD362">
      <w:pPr>
        <w:rPr>
          <w:rFonts w:ascii="黑体" w:hAnsi="Calibri" w:eastAsia="黑体" w:cs="Times New Roman"/>
          <w:color w:val="000000"/>
          <w:sz w:val="24"/>
          <w:szCs w:val="24"/>
        </w:rPr>
      </w:pPr>
    </w:p>
    <w:p w14:paraId="7CADBD8E">
      <w:pPr>
        <w:pStyle w:val="25"/>
        <w:rPr>
          <w:rFonts w:ascii="黑体" w:hAnsi="Calibri" w:eastAsia="黑体" w:cs="Times New Roman"/>
          <w:color w:val="000000"/>
          <w:sz w:val="24"/>
          <w:szCs w:val="24"/>
        </w:rPr>
      </w:pPr>
    </w:p>
    <w:p w14:paraId="4CA7A370">
      <w:pPr>
        <w:pStyle w:val="25"/>
        <w:rPr>
          <w:rFonts w:ascii="黑体" w:hAnsi="Calibri" w:eastAsia="黑体" w:cs="Times New Roman"/>
          <w:color w:val="000000"/>
          <w:sz w:val="24"/>
          <w:szCs w:val="24"/>
        </w:rPr>
      </w:pPr>
    </w:p>
    <w:p w14:paraId="28AE6C52">
      <w:pPr>
        <w:pStyle w:val="25"/>
        <w:rPr>
          <w:rFonts w:ascii="黑体" w:hAnsi="Calibri" w:eastAsia="黑体" w:cs="Times New Roman"/>
          <w:color w:val="000000"/>
          <w:sz w:val="24"/>
          <w:szCs w:val="24"/>
        </w:rPr>
      </w:pPr>
    </w:p>
    <w:p w14:paraId="44A19F45">
      <w:pPr>
        <w:pStyle w:val="25"/>
        <w:rPr>
          <w:rFonts w:ascii="黑体" w:hAnsi="Calibri" w:eastAsia="黑体" w:cs="Times New Roman"/>
          <w:color w:val="000000"/>
          <w:sz w:val="24"/>
          <w:szCs w:val="24"/>
        </w:rPr>
      </w:pPr>
    </w:p>
    <w:p w14:paraId="7F655D9A">
      <w:pPr>
        <w:rPr>
          <w:rFonts w:ascii="黑体" w:hAnsi="Calibri" w:eastAsia="黑体" w:cs="Times New Roman"/>
          <w:color w:val="000000"/>
          <w:sz w:val="24"/>
          <w:szCs w:val="24"/>
        </w:rPr>
      </w:pPr>
    </w:p>
    <w:p w14:paraId="3C938287">
      <w:pPr>
        <w:keepNext/>
        <w:keepLines/>
        <w:outlineLvl w:val="1"/>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hint="eastAsia" w:cs="Times New Roman"/>
          <w:b/>
          <w:bCs/>
          <w:color w:val="000000"/>
          <w:sz w:val="24"/>
          <w:szCs w:val="24"/>
          <w:lang w:val="en-US" w:eastAsia="zh-CN"/>
        </w:rPr>
        <w:t xml:space="preserve"> </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投标文件目录</w:t>
      </w:r>
    </w:p>
    <w:p w14:paraId="0D1A60D8">
      <w:pPr>
        <w:adjustRightInd w:val="0"/>
        <w:snapToGrid w:val="0"/>
        <w:spacing w:before="93" w:beforeLines="30" w:line="240" w:lineRule="exact"/>
        <w:jc w:val="center"/>
        <w:rPr>
          <w:rFonts w:ascii="宋体" w:hAnsi="Calibri" w:eastAsia="宋体" w:cs="Times New Roman"/>
          <w:sz w:val="24"/>
          <w:szCs w:val="20"/>
        </w:rPr>
      </w:pPr>
    </w:p>
    <w:p w14:paraId="2CDD290D">
      <w:pPr>
        <w:rPr>
          <w:rFonts w:ascii="宋体" w:hAnsi="宋体"/>
        </w:rPr>
      </w:pPr>
      <w:r>
        <w:rPr>
          <w:rFonts w:hint="eastAsia" w:ascii="宋体" w:hAnsi="宋体"/>
        </w:rPr>
        <w:t>项目名称：</w:t>
      </w:r>
      <w:r>
        <w:rPr>
          <w:rFonts w:ascii="宋体" w:hAnsi="宋体"/>
        </w:rPr>
        <w:t xml:space="preserve"> </w:t>
      </w:r>
    </w:p>
    <w:p w14:paraId="7077A634">
      <w:pPr>
        <w:rPr>
          <w:rFonts w:ascii="宋体" w:hAnsi="宋体"/>
          <w:szCs w:val="21"/>
        </w:rPr>
      </w:pPr>
      <w:r>
        <w:rPr>
          <w:rFonts w:hint="eastAsia" w:ascii="宋体" w:hAnsi="宋体"/>
          <w:szCs w:val="21"/>
        </w:rPr>
        <w:t>日期：  年   月   日</w:t>
      </w:r>
    </w:p>
    <w:p w14:paraId="3DFEC6A2">
      <w:pPr>
        <w:jc w:val="center"/>
        <w:rPr>
          <w:rFonts w:ascii="黑体" w:eastAsia="黑体"/>
          <w:sz w:val="30"/>
        </w:rPr>
      </w:pPr>
      <w:r>
        <w:rPr>
          <w:rFonts w:hint="eastAsia" w:ascii="黑体" w:eastAsia="黑体"/>
          <w:sz w:val="30"/>
        </w:rPr>
        <w:t>投标文件目录</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6520"/>
        <w:gridCol w:w="1276"/>
      </w:tblGrid>
      <w:tr w14:paraId="54CE2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1C6CF2D">
            <w:pPr>
              <w:jc w:val="center"/>
              <w:rPr>
                <w:sz w:val="28"/>
              </w:rPr>
            </w:pPr>
            <w:r>
              <w:rPr>
                <w:rFonts w:hint="eastAsia"/>
                <w:sz w:val="28"/>
              </w:rPr>
              <w:t>序号</w:t>
            </w:r>
          </w:p>
        </w:tc>
        <w:tc>
          <w:tcPr>
            <w:tcW w:w="6520" w:type="dxa"/>
            <w:vAlign w:val="center"/>
          </w:tcPr>
          <w:p w14:paraId="37D688ED">
            <w:pPr>
              <w:jc w:val="center"/>
              <w:rPr>
                <w:sz w:val="28"/>
              </w:rPr>
            </w:pPr>
            <w:r>
              <w:rPr>
                <w:rFonts w:hint="eastAsia"/>
                <w:sz w:val="28"/>
              </w:rPr>
              <w:t>主要内容</w:t>
            </w:r>
          </w:p>
        </w:tc>
        <w:tc>
          <w:tcPr>
            <w:tcW w:w="1276" w:type="dxa"/>
            <w:vAlign w:val="center"/>
          </w:tcPr>
          <w:p w14:paraId="039A2B31">
            <w:pPr>
              <w:jc w:val="center"/>
              <w:rPr>
                <w:sz w:val="28"/>
              </w:rPr>
            </w:pPr>
            <w:r>
              <w:rPr>
                <w:rFonts w:hint="eastAsia"/>
                <w:sz w:val="28"/>
              </w:rPr>
              <w:t>索引</w:t>
            </w:r>
          </w:p>
        </w:tc>
      </w:tr>
      <w:tr w14:paraId="4637E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B15FAB1">
            <w:pPr>
              <w:jc w:val="center"/>
            </w:pPr>
          </w:p>
        </w:tc>
        <w:tc>
          <w:tcPr>
            <w:tcW w:w="6520" w:type="dxa"/>
            <w:vAlign w:val="center"/>
          </w:tcPr>
          <w:p w14:paraId="0967BD4A">
            <w:pPr>
              <w:jc w:val="center"/>
            </w:pPr>
          </w:p>
        </w:tc>
        <w:tc>
          <w:tcPr>
            <w:tcW w:w="1276" w:type="dxa"/>
            <w:vAlign w:val="center"/>
          </w:tcPr>
          <w:p w14:paraId="6DD695E1">
            <w:pPr>
              <w:jc w:val="center"/>
            </w:pPr>
          </w:p>
        </w:tc>
      </w:tr>
      <w:tr w14:paraId="59C9C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E80E237">
            <w:pPr>
              <w:jc w:val="center"/>
            </w:pPr>
          </w:p>
        </w:tc>
        <w:tc>
          <w:tcPr>
            <w:tcW w:w="6520" w:type="dxa"/>
            <w:vAlign w:val="center"/>
          </w:tcPr>
          <w:p w14:paraId="674698BD">
            <w:pPr>
              <w:jc w:val="center"/>
            </w:pPr>
          </w:p>
        </w:tc>
        <w:tc>
          <w:tcPr>
            <w:tcW w:w="1276" w:type="dxa"/>
            <w:vAlign w:val="center"/>
          </w:tcPr>
          <w:p w14:paraId="58C3CB94">
            <w:pPr>
              <w:jc w:val="center"/>
            </w:pPr>
          </w:p>
        </w:tc>
      </w:tr>
      <w:tr w14:paraId="13DDE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3BF5A48">
            <w:pPr>
              <w:jc w:val="center"/>
            </w:pPr>
          </w:p>
        </w:tc>
        <w:tc>
          <w:tcPr>
            <w:tcW w:w="6520" w:type="dxa"/>
            <w:vAlign w:val="center"/>
          </w:tcPr>
          <w:p w14:paraId="0DAF3774">
            <w:pPr>
              <w:jc w:val="center"/>
            </w:pPr>
          </w:p>
        </w:tc>
        <w:tc>
          <w:tcPr>
            <w:tcW w:w="1276" w:type="dxa"/>
            <w:vAlign w:val="center"/>
          </w:tcPr>
          <w:p w14:paraId="633FCDF5">
            <w:pPr>
              <w:jc w:val="center"/>
            </w:pPr>
          </w:p>
        </w:tc>
      </w:tr>
      <w:tr w14:paraId="7F989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89DBD9E">
            <w:pPr>
              <w:jc w:val="center"/>
            </w:pPr>
          </w:p>
        </w:tc>
        <w:tc>
          <w:tcPr>
            <w:tcW w:w="6520" w:type="dxa"/>
            <w:vAlign w:val="center"/>
          </w:tcPr>
          <w:p w14:paraId="18B67C47">
            <w:pPr>
              <w:jc w:val="center"/>
            </w:pPr>
          </w:p>
        </w:tc>
        <w:tc>
          <w:tcPr>
            <w:tcW w:w="1276" w:type="dxa"/>
            <w:vAlign w:val="center"/>
          </w:tcPr>
          <w:p w14:paraId="7E1E74D3">
            <w:pPr>
              <w:jc w:val="center"/>
            </w:pPr>
          </w:p>
        </w:tc>
      </w:tr>
      <w:tr w14:paraId="16CA4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71F7767">
            <w:pPr>
              <w:jc w:val="center"/>
            </w:pPr>
          </w:p>
        </w:tc>
        <w:tc>
          <w:tcPr>
            <w:tcW w:w="6520" w:type="dxa"/>
            <w:vAlign w:val="center"/>
          </w:tcPr>
          <w:p w14:paraId="2C826FBB">
            <w:pPr>
              <w:jc w:val="center"/>
            </w:pPr>
          </w:p>
        </w:tc>
        <w:tc>
          <w:tcPr>
            <w:tcW w:w="1276" w:type="dxa"/>
            <w:vAlign w:val="center"/>
          </w:tcPr>
          <w:p w14:paraId="0D4D1426">
            <w:pPr>
              <w:jc w:val="center"/>
            </w:pPr>
          </w:p>
        </w:tc>
      </w:tr>
      <w:tr w14:paraId="619AB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5BBB7FD">
            <w:pPr>
              <w:jc w:val="center"/>
            </w:pPr>
          </w:p>
        </w:tc>
        <w:tc>
          <w:tcPr>
            <w:tcW w:w="6520" w:type="dxa"/>
            <w:vAlign w:val="center"/>
          </w:tcPr>
          <w:p w14:paraId="2148E000">
            <w:pPr>
              <w:jc w:val="center"/>
            </w:pPr>
          </w:p>
        </w:tc>
        <w:tc>
          <w:tcPr>
            <w:tcW w:w="1276" w:type="dxa"/>
            <w:vAlign w:val="center"/>
          </w:tcPr>
          <w:p w14:paraId="3B51A67D">
            <w:pPr>
              <w:jc w:val="center"/>
            </w:pPr>
          </w:p>
        </w:tc>
      </w:tr>
      <w:tr w14:paraId="1ECD2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385FD5A">
            <w:pPr>
              <w:jc w:val="center"/>
            </w:pPr>
          </w:p>
        </w:tc>
        <w:tc>
          <w:tcPr>
            <w:tcW w:w="6520" w:type="dxa"/>
            <w:vAlign w:val="center"/>
          </w:tcPr>
          <w:p w14:paraId="72324F4D">
            <w:pPr>
              <w:jc w:val="center"/>
            </w:pPr>
          </w:p>
        </w:tc>
        <w:tc>
          <w:tcPr>
            <w:tcW w:w="1276" w:type="dxa"/>
            <w:vAlign w:val="center"/>
          </w:tcPr>
          <w:p w14:paraId="58A9B3DD">
            <w:pPr>
              <w:jc w:val="center"/>
            </w:pPr>
          </w:p>
        </w:tc>
      </w:tr>
      <w:tr w14:paraId="60D70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393F8C1">
            <w:pPr>
              <w:jc w:val="center"/>
            </w:pPr>
          </w:p>
        </w:tc>
        <w:tc>
          <w:tcPr>
            <w:tcW w:w="6520" w:type="dxa"/>
            <w:vAlign w:val="center"/>
          </w:tcPr>
          <w:p w14:paraId="0E1BCB2E">
            <w:pPr>
              <w:jc w:val="center"/>
            </w:pPr>
          </w:p>
        </w:tc>
        <w:tc>
          <w:tcPr>
            <w:tcW w:w="1276" w:type="dxa"/>
            <w:vAlign w:val="center"/>
          </w:tcPr>
          <w:p w14:paraId="1CCCE4B6">
            <w:pPr>
              <w:jc w:val="center"/>
            </w:pPr>
          </w:p>
        </w:tc>
      </w:tr>
      <w:tr w14:paraId="17448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3407D3F">
            <w:pPr>
              <w:jc w:val="center"/>
            </w:pPr>
          </w:p>
        </w:tc>
        <w:tc>
          <w:tcPr>
            <w:tcW w:w="6520" w:type="dxa"/>
            <w:vAlign w:val="center"/>
          </w:tcPr>
          <w:p w14:paraId="71DD3F0C">
            <w:pPr>
              <w:jc w:val="center"/>
            </w:pPr>
          </w:p>
        </w:tc>
        <w:tc>
          <w:tcPr>
            <w:tcW w:w="1276" w:type="dxa"/>
            <w:vAlign w:val="center"/>
          </w:tcPr>
          <w:p w14:paraId="08F45D90">
            <w:pPr>
              <w:jc w:val="center"/>
            </w:pPr>
          </w:p>
        </w:tc>
      </w:tr>
      <w:tr w14:paraId="3B5B3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3CBA59C">
            <w:pPr>
              <w:jc w:val="center"/>
            </w:pPr>
          </w:p>
        </w:tc>
        <w:tc>
          <w:tcPr>
            <w:tcW w:w="6520" w:type="dxa"/>
            <w:vAlign w:val="center"/>
          </w:tcPr>
          <w:p w14:paraId="3A721002">
            <w:pPr>
              <w:jc w:val="center"/>
            </w:pPr>
          </w:p>
        </w:tc>
        <w:tc>
          <w:tcPr>
            <w:tcW w:w="1276" w:type="dxa"/>
            <w:vAlign w:val="center"/>
          </w:tcPr>
          <w:p w14:paraId="053F9F00">
            <w:pPr>
              <w:jc w:val="center"/>
            </w:pPr>
          </w:p>
        </w:tc>
      </w:tr>
      <w:tr w14:paraId="2E921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C8BE4A4">
            <w:pPr>
              <w:jc w:val="center"/>
            </w:pPr>
          </w:p>
        </w:tc>
        <w:tc>
          <w:tcPr>
            <w:tcW w:w="6520" w:type="dxa"/>
            <w:vAlign w:val="center"/>
          </w:tcPr>
          <w:p w14:paraId="12805423">
            <w:pPr>
              <w:jc w:val="center"/>
            </w:pPr>
          </w:p>
        </w:tc>
        <w:tc>
          <w:tcPr>
            <w:tcW w:w="1276" w:type="dxa"/>
            <w:vAlign w:val="center"/>
          </w:tcPr>
          <w:p w14:paraId="2A566B03">
            <w:pPr>
              <w:jc w:val="center"/>
            </w:pPr>
          </w:p>
        </w:tc>
      </w:tr>
      <w:tr w14:paraId="4CC00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861F4C3">
            <w:pPr>
              <w:jc w:val="center"/>
            </w:pPr>
          </w:p>
        </w:tc>
        <w:tc>
          <w:tcPr>
            <w:tcW w:w="6520" w:type="dxa"/>
            <w:vAlign w:val="center"/>
          </w:tcPr>
          <w:p w14:paraId="6FB890E7">
            <w:pPr>
              <w:jc w:val="center"/>
            </w:pPr>
          </w:p>
        </w:tc>
        <w:tc>
          <w:tcPr>
            <w:tcW w:w="1276" w:type="dxa"/>
            <w:vAlign w:val="center"/>
          </w:tcPr>
          <w:p w14:paraId="4C985223">
            <w:pPr>
              <w:jc w:val="center"/>
            </w:pPr>
          </w:p>
        </w:tc>
      </w:tr>
    </w:tbl>
    <w:p w14:paraId="66F6C5B6">
      <w:pPr>
        <w:rPr>
          <w:rFonts w:ascii="宋体" w:hAnsi="宋体"/>
          <w:sz w:val="24"/>
          <w:szCs w:val="24"/>
        </w:rPr>
      </w:pPr>
      <w:r>
        <w:rPr>
          <w:rFonts w:hint="eastAsia" w:ascii="宋体" w:hAnsi="宋体"/>
          <w:sz w:val="24"/>
          <w:szCs w:val="24"/>
        </w:rPr>
        <w:t>投标人名称（盖章）：              法定代表人或授权代表签字：</w:t>
      </w:r>
    </w:p>
    <w:p w14:paraId="20FD674B">
      <w:pPr>
        <w:rPr>
          <w:rFonts w:ascii="宋体" w:hAnsi="宋体"/>
          <w:sz w:val="24"/>
        </w:rPr>
      </w:pPr>
    </w:p>
    <w:p w14:paraId="59A4AC62">
      <w:pPr>
        <w:rPr>
          <w:rFonts w:ascii="宋体" w:hAnsi="宋体"/>
          <w:sz w:val="24"/>
        </w:rPr>
      </w:pPr>
      <w:r>
        <w:rPr>
          <w:rFonts w:hint="eastAsia" w:ascii="宋体" w:hAnsi="宋体"/>
          <w:b/>
          <w:sz w:val="24"/>
        </w:rPr>
        <w:t>注：</w:t>
      </w:r>
      <w:r>
        <w:rPr>
          <w:rFonts w:hint="eastAsia" w:ascii="宋体" w:hAnsi="宋体"/>
          <w:sz w:val="24"/>
        </w:rPr>
        <w:t>1.本表填写投标文件主要内容，以用于开标宣读。</w:t>
      </w:r>
    </w:p>
    <w:p w14:paraId="4137AA99">
      <w:pPr>
        <w:ind w:firstLine="480"/>
        <w:rPr>
          <w:rFonts w:ascii="宋体" w:hAnsi="宋体"/>
          <w:sz w:val="24"/>
        </w:rPr>
      </w:pPr>
      <w:r>
        <w:rPr>
          <w:rFonts w:hint="eastAsia" w:ascii="宋体" w:hAnsi="宋体"/>
          <w:sz w:val="24"/>
        </w:rPr>
        <w:t>2．“索引”一栏填写该主要内容对应于投标文件的“条款号/页号”。</w:t>
      </w:r>
    </w:p>
    <w:p w14:paraId="1A3EB378">
      <w:pPr>
        <w:rPr>
          <w:rFonts w:ascii="Calibri" w:hAnsi="Calibri" w:eastAsia="黑体" w:cs="Times New Roman"/>
          <w:b/>
          <w:bCs/>
          <w:color w:val="000000"/>
          <w:sz w:val="28"/>
          <w:szCs w:val="20"/>
        </w:rPr>
      </w:pPr>
    </w:p>
    <w:p w14:paraId="5C48C921">
      <w:pPr>
        <w:pStyle w:val="25"/>
        <w:rPr>
          <w:rFonts w:ascii="Calibri" w:hAnsi="Calibri" w:eastAsia="黑体" w:cs="Times New Roman"/>
          <w:b/>
          <w:bCs/>
          <w:color w:val="000000"/>
          <w:sz w:val="28"/>
          <w:szCs w:val="20"/>
        </w:rPr>
        <w:sectPr>
          <w:footerReference r:id="rId5" w:type="first"/>
          <w:headerReference r:id="rId3" w:type="default"/>
          <w:footerReference r:id="rId4" w:type="default"/>
          <w:pgSz w:w="11906" w:h="16838"/>
          <w:pgMar w:top="1588" w:right="1418" w:bottom="1134" w:left="1418" w:header="851" w:footer="992" w:gutter="0"/>
          <w:cols w:space="720" w:num="1"/>
          <w:titlePg/>
          <w:docGrid w:type="lines" w:linePitch="312" w:charSpace="0"/>
        </w:sectPr>
      </w:pPr>
    </w:p>
    <w:p w14:paraId="396A5D81">
      <w:pPr>
        <w:keepNext/>
        <w:keepLines/>
        <w:outlineLvl w:val="1"/>
        <w:rPr>
          <w:rFonts w:hint="eastAsia" w:ascii="宋体" w:hAnsi="宋体" w:eastAsia="宋体" w:cs="宋体"/>
          <w:b w:val="0"/>
          <w:bCs w:val="0"/>
          <w:spacing w:val="-9"/>
          <w:sz w:val="24"/>
          <w:szCs w:val="24"/>
          <w14:textOutline w14:w="4356" w14:cap="flat" w14:cmpd="sng">
            <w14:solidFill>
              <w14:srgbClr w14:val="000000"/>
            </w14:solidFill>
            <w14:prstDash w14:val="solid"/>
            <w14:miter w14:val="0"/>
          </w14:textOutline>
        </w:rPr>
      </w:pPr>
      <w:r>
        <w:rPr>
          <w:rFonts w:hint="eastAsia" w:ascii="宋体" w:hAnsi="宋体" w:eastAsia="宋体" w:cs="宋体"/>
          <w:b w:val="0"/>
          <w:bCs w:val="0"/>
          <w:spacing w:val="-17"/>
          <w:sz w:val="24"/>
          <w:szCs w:val="24"/>
          <w14:textOutline w14:w="4356" w14:cap="sq" w14:cmpd="sng">
            <w14:solidFill>
              <w14:srgbClr w14:val="000000"/>
            </w14:solidFill>
            <w14:prstDash w14:val="solid"/>
            <w14:bevel/>
          </w14:textOutline>
        </w:rPr>
        <w:t>附</w:t>
      </w:r>
      <w:r>
        <w:rPr>
          <w:rFonts w:hint="eastAsia" w:ascii="宋体" w:hAnsi="宋体" w:eastAsia="宋体" w:cs="宋体"/>
          <w:b w:val="0"/>
          <w:bCs w:val="0"/>
          <w:spacing w:val="-14"/>
          <w:sz w:val="24"/>
          <w:szCs w:val="24"/>
          <w14:textOutline w14:w="4356" w14:cap="sq" w14:cmpd="sng">
            <w14:solidFill>
              <w14:srgbClr w14:val="000000"/>
            </w14:solidFill>
            <w14:prstDash w14:val="solid"/>
            <w14:bevel/>
          </w14:textOutline>
        </w:rPr>
        <w:t>件</w:t>
      </w:r>
      <w:r>
        <w:rPr>
          <w:rFonts w:hint="eastAsia" w:ascii="宋体" w:hAnsi="宋体" w:eastAsia="宋体" w:cs="宋体"/>
          <w:b w:val="0"/>
          <w:bCs w:val="0"/>
          <w:spacing w:val="-17"/>
          <w:sz w:val="24"/>
          <w:szCs w:val="24"/>
          <w14:textOutline w14:w="4356" w14:cap="sq" w14:cmpd="sng">
            <w14:solidFill>
              <w14:srgbClr w14:val="000000"/>
            </w14:solidFill>
            <w14:prstDash w14:val="solid"/>
            <w14:bevel/>
          </w14:textOutline>
        </w:rPr>
        <w:t xml:space="preserve"> </w:t>
      </w:r>
      <w:r>
        <w:rPr>
          <w:rFonts w:hint="eastAsia" w:ascii="宋体" w:hAnsi="宋体" w:eastAsia="宋体" w:cs="宋体"/>
          <w:b w:val="0"/>
          <w:bCs w:val="0"/>
          <w:spacing w:val="15"/>
          <w:position w:val="3"/>
          <w:sz w:val="24"/>
          <w:szCs w:val="24"/>
          <w14:textOutline w14:w="4356" w14:cap="sq" w14:cmpd="sng">
            <w14:solidFill>
              <w14:srgbClr w14:val="000000"/>
            </w14:solidFill>
            <w14:prstDash w14:val="solid"/>
            <w14:bevel/>
          </w14:textOutline>
        </w:rPr>
        <w:t>开标一览表</w:t>
      </w:r>
    </w:p>
    <w:p w14:paraId="37ACCC8D">
      <w:pPr>
        <w:rPr>
          <w:rFonts w:ascii="宋体" w:hAnsi="宋体"/>
        </w:rPr>
      </w:pPr>
      <w:r>
        <w:rPr>
          <w:rFonts w:hint="eastAsia" w:ascii="宋体" w:hAnsi="宋体"/>
        </w:rPr>
        <w:t>项目名称：</w:t>
      </w:r>
      <w:r>
        <w:rPr>
          <w:rFonts w:ascii="宋体" w:hAnsi="宋体"/>
        </w:rPr>
        <w:t xml:space="preserve"> </w:t>
      </w:r>
    </w:p>
    <w:p w14:paraId="2AC7295A">
      <w:pPr>
        <w:rPr>
          <w:rFonts w:ascii="宋体" w:hAnsi="宋体"/>
          <w:szCs w:val="21"/>
        </w:rPr>
      </w:pPr>
      <w:r>
        <w:rPr>
          <w:rFonts w:hint="eastAsia" w:ascii="宋体" w:hAnsi="宋体"/>
          <w:szCs w:val="21"/>
        </w:rPr>
        <w:t>日期：  年   月   日</w:t>
      </w:r>
    </w:p>
    <w:p w14:paraId="48C9304C">
      <w:pPr>
        <w:spacing w:line="400" w:lineRule="exact"/>
        <w:jc w:val="center"/>
        <w:rPr>
          <w:rFonts w:ascii="黑体" w:eastAsia="黑体"/>
          <w:sz w:val="30"/>
        </w:rPr>
      </w:pPr>
      <w:r>
        <w:rPr>
          <w:rFonts w:hint="eastAsia" w:ascii="黑体" w:eastAsia="黑体"/>
          <w:sz w:val="30"/>
        </w:rPr>
        <w:t>开标一览表</w:t>
      </w:r>
    </w:p>
    <w:tbl>
      <w:tblPr>
        <w:tblStyle w:val="49"/>
        <w:tblpPr w:leftFromText="180" w:rightFromText="180" w:vertAnchor="text" w:horzAnchor="page" w:tblpXSpec="center" w:tblpY="611"/>
        <w:tblOverlap w:val="never"/>
        <w:tblW w:w="5781" w:type="pct"/>
        <w:jc w:val="center"/>
        <w:tblLayout w:type="fixed"/>
        <w:tblCellMar>
          <w:top w:w="0" w:type="dxa"/>
          <w:left w:w="108" w:type="dxa"/>
          <w:bottom w:w="0" w:type="dxa"/>
          <w:right w:w="108" w:type="dxa"/>
        </w:tblCellMar>
      </w:tblPr>
      <w:tblGrid>
        <w:gridCol w:w="1967"/>
        <w:gridCol w:w="8520"/>
      </w:tblGrid>
      <w:tr w14:paraId="36FFF833">
        <w:tblPrEx>
          <w:tblCellMar>
            <w:top w:w="0" w:type="dxa"/>
            <w:left w:w="108" w:type="dxa"/>
            <w:bottom w:w="0" w:type="dxa"/>
            <w:right w:w="108" w:type="dxa"/>
          </w:tblCellMar>
        </w:tblPrEx>
        <w:trPr>
          <w:trHeight w:val="531" w:hRule="atLeast"/>
          <w:jc w:val="center"/>
        </w:trPr>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68D30CD8">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投标单位名称</w:t>
            </w:r>
          </w:p>
        </w:tc>
        <w:tc>
          <w:tcPr>
            <w:tcW w:w="4061" w:type="pct"/>
            <w:tcBorders>
              <w:top w:val="single" w:color="000000" w:sz="8" w:space="0"/>
              <w:left w:val="nil"/>
              <w:bottom w:val="single" w:color="000000" w:sz="8" w:space="0"/>
              <w:right w:val="single" w:color="000000" w:sz="8" w:space="0"/>
            </w:tcBorders>
            <w:shd w:val="clear" w:color="auto" w:fill="auto"/>
            <w:noWrap/>
            <w:vAlign w:val="center"/>
          </w:tcPr>
          <w:p w14:paraId="2AA74FCD">
            <w:pPr>
              <w:rPr>
                <w:rFonts w:ascii="宋体" w:hAnsi="宋体" w:cs="宋体"/>
                <w:color w:val="000000"/>
                <w:sz w:val="24"/>
                <w:szCs w:val="24"/>
              </w:rPr>
            </w:pPr>
          </w:p>
        </w:tc>
      </w:tr>
      <w:tr w14:paraId="1552CCB3">
        <w:tblPrEx>
          <w:tblCellMar>
            <w:top w:w="0" w:type="dxa"/>
            <w:left w:w="108" w:type="dxa"/>
            <w:bottom w:w="0" w:type="dxa"/>
            <w:right w:w="108" w:type="dxa"/>
          </w:tblCellMar>
        </w:tblPrEx>
        <w:trPr>
          <w:trHeight w:val="1221" w:hRule="atLeast"/>
          <w:jc w:val="center"/>
        </w:trPr>
        <w:tc>
          <w:tcPr>
            <w:tcW w:w="938" w:type="pct"/>
            <w:tcBorders>
              <w:top w:val="nil"/>
              <w:left w:val="single" w:color="000000" w:sz="8" w:space="0"/>
              <w:bottom w:val="single" w:color="000000" w:sz="8" w:space="0"/>
              <w:right w:val="single" w:color="000000" w:sz="8" w:space="0"/>
            </w:tcBorders>
            <w:shd w:val="clear" w:color="auto" w:fill="auto"/>
            <w:noWrap/>
            <w:vAlign w:val="center"/>
          </w:tcPr>
          <w:p w14:paraId="27B1357B">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投标报价</w:t>
            </w:r>
          </w:p>
        </w:tc>
        <w:tc>
          <w:tcPr>
            <w:tcW w:w="4061" w:type="pct"/>
            <w:tcBorders>
              <w:top w:val="nil"/>
              <w:left w:val="nil"/>
              <w:bottom w:val="single" w:color="000000" w:sz="8" w:space="0"/>
              <w:right w:val="single" w:color="000000" w:sz="8" w:space="0"/>
            </w:tcBorders>
            <w:shd w:val="clear" w:color="auto" w:fill="auto"/>
            <w:noWrap/>
            <w:vAlign w:val="center"/>
          </w:tcPr>
          <w:p w14:paraId="6D9038B3">
            <w:pPr>
              <w:widowControl/>
              <w:textAlignment w:val="center"/>
              <w:rPr>
                <w:rFonts w:ascii="宋体"/>
                <w:bCs/>
                <w:sz w:val="24"/>
                <w:highlight w:val="green"/>
              </w:rPr>
            </w:pPr>
            <w:r>
              <w:rPr>
                <w:rFonts w:hint="eastAsia" w:ascii="宋体" w:hAnsi="宋体" w:cs="宋体"/>
                <w:color w:val="000000"/>
                <w:kern w:val="0"/>
                <w:sz w:val="24"/>
                <w:szCs w:val="24"/>
                <w:highlight w:val="green"/>
                <w:lang w:bidi="ar"/>
              </w:rPr>
              <w:t>大写：</w:t>
            </w:r>
            <w:r>
              <w:rPr>
                <w:rFonts w:hint="eastAsia" w:ascii="宋体" w:hAnsi="宋体" w:cs="宋体"/>
                <w:color w:val="000000"/>
                <w:kern w:val="0"/>
                <w:sz w:val="24"/>
                <w:szCs w:val="24"/>
                <w:highlight w:val="green"/>
                <w:u w:val="single"/>
                <w:lang w:bidi="ar"/>
              </w:rPr>
              <w:t xml:space="preserve">        </w:t>
            </w:r>
            <w:r>
              <w:rPr>
                <w:rFonts w:ascii="宋体" w:hAnsi="宋体" w:cs="宋体"/>
                <w:color w:val="000000"/>
                <w:kern w:val="0"/>
                <w:sz w:val="24"/>
                <w:szCs w:val="24"/>
                <w:highlight w:val="green"/>
                <w:u w:val="single"/>
                <w:lang w:bidi="ar"/>
              </w:rPr>
              <w:t xml:space="preserve">    </w:t>
            </w:r>
            <w:r>
              <w:rPr>
                <w:rFonts w:hint="eastAsia" w:ascii="宋体" w:hAnsi="宋体" w:cs="宋体"/>
                <w:color w:val="000000"/>
                <w:kern w:val="0"/>
                <w:sz w:val="24"/>
                <w:szCs w:val="24"/>
                <w:highlight w:val="green"/>
                <w:u w:val="single"/>
                <w:lang w:bidi="ar"/>
              </w:rPr>
              <w:t xml:space="preserve"> </w:t>
            </w:r>
            <w:r>
              <w:rPr>
                <w:rFonts w:hint="eastAsia" w:ascii="宋体"/>
                <w:bCs/>
                <w:sz w:val="24"/>
                <w:highlight w:val="green"/>
              </w:rPr>
              <w:t>（万元，未税）；</w:t>
            </w:r>
            <w:r>
              <w:rPr>
                <w:rFonts w:hint="eastAsia" w:ascii="宋体" w:hAnsi="宋体" w:cs="宋体"/>
                <w:color w:val="000000"/>
                <w:kern w:val="0"/>
                <w:sz w:val="24"/>
                <w:szCs w:val="24"/>
                <w:highlight w:val="green"/>
                <w:u w:val="single"/>
                <w:lang w:bidi="ar"/>
              </w:rPr>
              <w:t xml:space="preserve">     </w:t>
            </w:r>
            <w:r>
              <w:rPr>
                <w:rFonts w:hint="eastAsia" w:ascii="宋体" w:hAnsi="宋体" w:cs="宋体"/>
                <w:color w:val="000000"/>
                <w:kern w:val="0"/>
                <w:sz w:val="24"/>
                <w:szCs w:val="24"/>
                <w:highlight w:val="green"/>
                <w:lang w:bidi="ar"/>
              </w:rPr>
              <w:t>（税率）；价税合计：</w:t>
            </w:r>
            <w:r>
              <w:rPr>
                <w:rFonts w:hint="eastAsia" w:ascii="宋体" w:hAnsi="宋体" w:cs="宋体"/>
                <w:color w:val="000000"/>
                <w:kern w:val="0"/>
                <w:sz w:val="24"/>
                <w:szCs w:val="24"/>
                <w:highlight w:val="green"/>
                <w:u w:val="single"/>
                <w:lang w:bidi="ar"/>
              </w:rPr>
              <w:t xml:space="preserve">           </w:t>
            </w:r>
            <w:r>
              <w:rPr>
                <w:rFonts w:hint="eastAsia" w:ascii="宋体" w:hAnsi="宋体" w:cs="宋体"/>
                <w:color w:val="000000"/>
                <w:kern w:val="0"/>
                <w:sz w:val="24"/>
                <w:szCs w:val="24"/>
                <w:highlight w:val="green"/>
                <w:lang w:bidi="ar"/>
              </w:rPr>
              <w:t>（万元）</w:t>
            </w:r>
          </w:p>
          <w:p w14:paraId="47CC52BF">
            <w:pPr>
              <w:widowControl/>
              <w:textAlignment w:val="center"/>
            </w:pPr>
            <w:r>
              <w:rPr>
                <w:rFonts w:hint="eastAsia" w:ascii="宋体"/>
                <w:bCs/>
                <w:sz w:val="24"/>
                <w:highlight w:val="green"/>
              </w:rPr>
              <w:t>小写：</w:t>
            </w:r>
            <w:r>
              <w:rPr>
                <w:rFonts w:hint="eastAsia" w:ascii="宋体" w:hAnsi="宋体" w:cs="宋体"/>
                <w:color w:val="000000"/>
                <w:kern w:val="0"/>
                <w:sz w:val="24"/>
                <w:szCs w:val="24"/>
                <w:highlight w:val="green"/>
                <w:u w:val="single"/>
                <w:lang w:bidi="ar"/>
              </w:rPr>
              <w:t xml:space="preserve">             </w:t>
            </w:r>
            <w:r>
              <w:rPr>
                <w:rFonts w:hint="eastAsia" w:ascii="宋体"/>
                <w:bCs/>
                <w:sz w:val="24"/>
                <w:highlight w:val="green"/>
              </w:rPr>
              <w:t>（万元，未税）；</w:t>
            </w:r>
            <w:r>
              <w:rPr>
                <w:rFonts w:hint="eastAsia" w:ascii="宋体" w:hAnsi="宋体" w:cs="宋体"/>
                <w:color w:val="000000"/>
                <w:kern w:val="0"/>
                <w:sz w:val="24"/>
                <w:szCs w:val="24"/>
                <w:highlight w:val="green"/>
                <w:u w:val="single"/>
                <w:lang w:bidi="ar"/>
              </w:rPr>
              <w:t xml:space="preserve">     </w:t>
            </w:r>
            <w:r>
              <w:rPr>
                <w:rFonts w:hint="eastAsia" w:ascii="宋体" w:hAnsi="宋体" w:cs="宋体"/>
                <w:color w:val="000000"/>
                <w:kern w:val="0"/>
                <w:sz w:val="24"/>
                <w:szCs w:val="24"/>
                <w:highlight w:val="green"/>
                <w:lang w:bidi="ar"/>
              </w:rPr>
              <w:t>（税率）；价税合计：</w:t>
            </w:r>
            <w:r>
              <w:rPr>
                <w:rFonts w:hint="eastAsia" w:ascii="宋体" w:hAnsi="宋体" w:cs="宋体"/>
                <w:color w:val="000000"/>
                <w:kern w:val="0"/>
                <w:sz w:val="24"/>
                <w:szCs w:val="24"/>
                <w:highlight w:val="green"/>
                <w:u w:val="single"/>
                <w:lang w:bidi="ar"/>
              </w:rPr>
              <w:t xml:space="preserve">           </w:t>
            </w:r>
            <w:r>
              <w:rPr>
                <w:rFonts w:hint="eastAsia" w:ascii="宋体" w:hAnsi="宋体" w:cs="宋体"/>
                <w:color w:val="000000"/>
                <w:kern w:val="0"/>
                <w:sz w:val="24"/>
                <w:szCs w:val="24"/>
                <w:highlight w:val="green"/>
                <w:lang w:bidi="ar"/>
              </w:rPr>
              <w:t>（万元）</w:t>
            </w:r>
          </w:p>
        </w:tc>
      </w:tr>
      <w:tr w14:paraId="0E20D7DC">
        <w:tblPrEx>
          <w:tblCellMar>
            <w:top w:w="0" w:type="dxa"/>
            <w:left w:w="108" w:type="dxa"/>
            <w:bottom w:w="0" w:type="dxa"/>
            <w:right w:w="108" w:type="dxa"/>
          </w:tblCellMar>
        </w:tblPrEx>
        <w:trPr>
          <w:trHeight w:val="939" w:hRule="atLeast"/>
          <w:jc w:val="center"/>
        </w:trPr>
        <w:tc>
          <w:tcPr>
            <w:tcW w:w="938" w:type="pct"/>
            <w:tcBorders>
              <w:top w:val="nil"/>
              <w:left w:val="single" w:color="000000" w:sz="8" w:space="0"/>
              <w:bottom w:val="single" w:color="000000" w:sz="8" w:space="0"/>
              <w:right w:val="single" w:color="000000" w:sz="8" w:space="0"/>
            </w:tcBorders>
            <w:shd w:val="clear" w:color="auto" w:fill="auto"/>
            <w:noWrap/>
            <w:vAlign w:val="center"/>
          </w:tcPr>
          <w:p w14:paraId="4185F8FF">
            <w:pPr>
              <w:widowControl/>
              <w:jc w:val="center"/>
              <w:textAlignment w:val="center"/>
              <w:rPr>
                <w:rFonts w:ascii="宋体" w:hAnsi="宋体" w:cs="宋体"/>
                <w:color w:val="000000"/>
                <w:sz w:val="24"/>
                <w:szCs w:val="24"/>
              </w:rPr>
            </w:pPr>
            <w:r>
              <w:rPr>
                <w:rFonts w:hint="eastAsia" w:ascii="宋体" w:hAnsi="宋体" w:cs="宋体"/>
                <w:color w:val="000000"/>
                <w:sz w:val="24"/>
                <w:szCs w:val="24"/>
              </w:rPr>
              <w:t>工期</w:t>
            </w:r>
          </w:p>
        </w:tc>
        <w:tc>
          <w:tcPr>
            <w:tcW w:w="4061" w:type="pct"/>
            <w:tcBorders>
              <w:top w:val="nil"/>
              <w:left w:val="nil"/>
              <w:bottom w:val="single" w:color="000000" w:sz="8" w:space="0"/>
              <w:right w:val="single" w:color="000000" w:sz="8" w:space="0"/>
            </w:tcBorders>
            <w:shd w:val="clear" w:color="auto" w:fill="auto"/>
            <w:noWrap/>
            <w:vAlign w:val="center"/>
          </w:tcPr>
          <w:p w14:paraId="54C48207">
            <w:pPr>
              <w:widowControl/>
              <w:textAlignment w:val="center"/>
              <w:rPr>
                <w:rFonts w:ascii="宋体" w:hAnsi="宋体" w:cs="宋体"/>
                <w:color w:val="000000"/>
                <w:sz w:val="24"/>
                <w:szCs w:val="24"/>
              </w:rPr>
            </w:pPr>
          </w:p>
        </w:tc>
      </w:tr>
      <w:tr w14:paraId="26B69178">
        <w:tblPrEx>
          <w:tblCellMar>
            <w:top w:w="0" w:type="dxa"/>
            <w:left w:w="108" w:type="dxa"/>
            <w:bottom w:w="0" w:type="dxa"/>
            <w:right w:w="108" w:type="dxa"/>
          </w:tblCellMar>
        </w:tblPrEx>
        <w:trPr>
          <w:trHeight w:val="924" w:hRule="atLeast"/>
          <w:jc w:val="center"/>
        </w:trPr>
        <w:tc>
          <w:tcPr>
            <w:tcW w:w="938" w:type="pct"/>
            <w:tcBorders>
              <w:top w:val="nil"/>
              <w:left w:val="single" w:color="000000" w:sz="8" w:space="0"/>
              <w:bottom w:val="single" w:color="000000" w:sz="8" w:space="0"/>
              <w:right w:val="single" w:color="000000" w:sz="8" w:space="0"/>
            </w:tcBorders>
            <w:shd w:val="clear" w:color="auto" w:fill="auto"/>
            <w:noWrap/>
            <w:vAlign w:val="center"/>
          </w:tcPr>
          <w:p w14:paraId="4798BAD5">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质保期</w:t>
            </w:r>
          </w:p>
        </w:tc>
        <w:tc>
          <w:tcPr>
            <w:tcW w:w="4061"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FEFC18D">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自安装运行正常，验收合格之日（以签署日期最晚者为准）起</w:t>
            </w:r>
            <w:r>
              <w:rPr>
                <w:rStyle w:val="236"/>
                <w:rFonts w:hint="default"/>
                <w:lang w:bidi="ar"/>
              </w:rPr>
              <w:t xml:space="preserve">    </w:t>
            </w:r>
            <w:r>
              <w:rPr>
                <w:rStyle w:val="237"/>
                <w:rFonts w:hint="default"/>
                <w:lang w:bidi="ar"/>
              </w:rPr>
              <w:t>月。</w:t>
            </w:r>
          </w:p>
        </w:tc>
      </w:tr>
      <w:tr w14:paraId="04EB5B9B">
        <w:tblPrEx>
          <w:tblCellMar>
            <w:top w:w="0" w:type="dxa"/>
            <w:left w:w="108" w:type="dxa"/>
            <w:bottom w:w="0" w:type="dxa"/>
            <w:right w:w="108" w:type="dxa"/>
          </w:tblCellMar>
        </w:tblPrEx>
        <w:trPr>
          <w:trHeight w:val="1266" w:hRule="atLeast"/>
          <w:jc w:val="center"/>
        </w:trPr>
        <w:tc>
          <w:tcPr>
            <w:tcW w:w="93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53C3250">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对招标文件的响应程度</w:t>
            </w:r>
          </w:p>
          <w:p w14:paraId="03EB88FA">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（是否完全响应）</w:t>
            </w:r>
          </w:p>
        </w:tc>
        <w:tc>
          <w:tcPr>
            <w:tcW w:w="4061"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7867C50">
            <w:pPr>
              <w:rPr>
                <w:rFonts w:ascii="宋体" w:hAnsi="宋体" w:cs="宋体"/>
                <w:color w:val="000000"/>
                <w:sz w:val="22"/>
                <w:szCs w:val="22"/>
              </w:rPr>
            </w:pPr>
          </w:p>
        </w:tc>
      </w:tr>
    </w:tbl>
    <w:p w14:paraId="283D23FD">
      <w:pPr>
        <w:pStyle w:val="2"/>
        <w:spacing w:line="460" w:lineRule="exact"/>
        <w:rPr>
          <w:rFonts w:ascii="宋体" w:hAnsi="宋体"/>
          <w:b/>
          <w:bCs/>
        </w:rPr>
      </w:pPr>
    </w:p>
    <w:p w14:paraId="782AAA96">
      <w:pPr>
        <w:pStyle w:val="2"/>
        <w:spacing w:line="460" w:lineRule="exact"/>
        <w:rPr>
          <w:rFonts w:ascii="宋体" w:hAnsi="宋体"/>
        </w:rPr>
      </w:pPr>
      <w:r>
        <w:rPr>
          <w:rFonts w:hint="eastAsia" w:ascii="宋体" w:hAnsi="宋体"/>
          <w:b/>
          <w:bCs/>
        </w:rPr>
        <w:t>注：</w:t>
      </w:r>
    </w:p>
    <w:p w14:paraId="7DA2EF98">
      <w:pPr>
        <w:spacing w:line="520" w:lineRule="exact"/>
        <w:rPr>
          <w:rFonts w:ascii="宋体" w:hAnsi="宋体"/>
          <w:b/>
          <w:bCs/>
        </w:rPr>
      </w:pPr>
      <w:r>
        <w:rPr>
          <w:rFonts w:hint="eastAsia" w:ascii="宋体" w:hAnsi="宋体"/>
          <w:b/>
          <w:bCs/>
        </w:rPr>
        <w:t>1、此表中的报价必须与相应的报价明细表中的报价一致，并根据明细基价按比例进行调整。</w:t>
      </w:r>
    </w:p>
    <w:p w14:paraId="5B500459">
      <w:pPr>
        <w:spacing w:line="360" w:lineRule="auto"/>
        <w:rPr>
          <w:rFonts w:ascii="宋体" w:hAnsi="宋体"/>
          <w:b/>
          <w:bCs/>
        </w:rPr>
      </w:pPr>
      <w:r>
        <w:rPr>
          <w:rFonts w:hint="eastAsia" w:ascii="宋体" w:hAnsi="宋体"/>
          <w:b/>
          <w:bCs/>
        </w:rPr>
        <w:t>2、本表除附在投标文件中外，还应一式贰份单独密封，以便唱标。</w:t>
      </w:r>
    </w:p>
    <w:p w14:paraId="478CD496">
      <w:pPr>
        <w:spacing w:line="360" w:lineRule="auto"/>
        <w:rPr>
          <w:rFonts w:ascii="宋体" w:hAnsi="宋体"/>
          <w:sz w:val="24"/>
        </w:rPr>
      </w:pPr>
      <w:r>
        <w:rPr>
          <w:rFonts w:hint="eastAsia" w:ascii="宋体" w:hAnsi="宋体"/>
          <w:sz w:val="24"/>
        </w:rPr>
        <w:t>投标人：（盖章）</w:t>
      </w:r>
    </w:p>
    <w:p w14:paraId="7262471A">
      <w:pPr>
        <w:spacing w:line="360" w:lineRule="auto"/>
        <w:rPr>
          <w:rFonts w:ascii="宋体" w:hAnsi="宋体"/>
          <w:sz w:val="24"/>
        </w:rPr>
      </w:pPr>
      <w:r>
        <w:rPr>
          <w:rFonts w:hint="eastAsia" w:ascii="宋体" w:hAnsi="宋体"/>
          <w:sz w:val="24"/>
        </w:rPr>
        <w:t>法定代表人（授权代表）：（签字）</w:t>
      </w:r>
    </w:p>
    <w:p w14:paraId="1DD22871">
      <w:pPr>
        <w:spacing w:line="360" w:lineRule="auto"/>
        <w:rPr>
          <w:rFonts w:hint="eastAsia" w:ascii="宋体" w:hAnsi="宋体"/>
          <w:sz w:val="24"/>
        </w:rPr>
        <w:sectPr>
          <w:headerReference r:id="rId6" w:type="default"/>
          <w:footerReference r:id="rId7" w:type="default"/>
          <w:footerReference r:id="rId8" w:type="even"/>
          <w:pgSz w:w="11906" w:h="16838"/>
          <w:pgMar w:top="1701" w:right="1418" w:bottom="1134" w:left="1418" w:header="851" w:footer="896" w:gutter="0"/>
          <w:pgNumType w:fmt="numberInDash" w:start="0"/>
          <w:cols w:space="720" w:num="1"/>
          <w:titlePg/>
          <w:docGrid w:type="lines" w:linePitch="312" w:charSpace="0"/>
        </w:sect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741A23F5">
      <w:pPr>
        <w:outlineLvl w:val="1"/>
        <w:rPr>
          <w:rFonts w:ascii="宋体" w:hAnsi="宋体" w:cs="宋体"/>
          <w:b/>
          <w:bCs/>
          <w:color w:val="auto"/>
        </w:rPr>
      </w:pPr>
      <w:bookmarkStart w:id="19" w:name="_Toc26556"/>
      <w:bookmarkStart w:id="20" w:name="_Toc353881017"/>
      <w:bookmarkStart w:id="21" w:name="_Toc639008"/>
      <w:r>
        <w:rPr>
          <w:rFonts w:hint="eastAsia" w:ascii="宋体" w:hAnsi="宋体" w:cs="宋体"/>
          <w:b/>
          <w:bCs/>
          <w:color w:val="auto"/>
          <w:lang w:val="en-US" w:eastAsia="zh-CN"/>
        </w:rPr>
        <w:t xml:space="preserve">附件 </w:t>
      </w:r>
      <w:r>
        <w:rPr>
          <w:rFonts w:hint="eastAsia" w:ascii="宋体" w:hAnsi="宋体" w:cs="宋体"/>
          <w:b/>
          <w:bCs/>
          <w:color w:val="auto"/>
        </w:rPr>
        <w:t>投标报价明细表</w:t>
      </w:r>
      <w:bookmarkEnd w:id="19"/>
      <w:bookmarkEnd w:id="20"/>
      <w:bookmarkEnd w:id="21"/>
    </w:p>
    <w:p w14:paraId="343BF0ED">
      <w:pPr>
        <w:pStyle w:val="229"/>
        <w:ind w:firstLine="0" w:firstLineChars="0"/>
        <w:jc w:val="left"/>
        <w:rPr>
          <w:rFonts w:cs="宋体"/>
        </w:rPr>
      </w:pPr>
      <w:r>
        <w:rPr>
          <w:rFonts w:hint="eastAsia" w:cs="宋体"/>
        </w:rPr>
        <w:t>项目名称：</w:t>
      </w:r>
    </w:p>
    <w:p w14:paraId="25A45D40">
      <w:pPr>
        <w:pStyle w:val="229"/>
        <w:ind w:firstLine="0" w:firstLineChars="0"/>
        <w:jc w:val="left"/>
        <w:rPr>
          <w:rFonts w:cs="宋体"/>
        </w:rPr>
      </w:pPr>
      <w:r>
        <w:rPr>
          <w:rFonts w:hint="eastAsia" w:cs="宋体"/>
        </w:rPr>
        <w:t>招标编号：</w:t>
      </w:r>
    </w:p>
    <w:p w14:paraId="03A24DDA">
      <w:pPr>
        <w:pStyle w:val="229"/>
        <w:ind w:firstLine="3960" w:firstLineChars="1800"/>
        <w:rPr>
          <w:rFonts w:hint="eastAsia" w:cs="宋体"/>
          <w:sz w:val="22"/>
          <w:szCs w:val="22"/>
        </w:rPr>
      </w:pPr>
      <w:r>
        <w:rPr>
          <w:rFonts w:hint="eastAsia" w:cs="宋体"/>
          <w:sz w:val="22"/>
          <w:szCs w:val="22"/>
        </w:rPr>
        <w:t>注：该表计价应与附件《开标一览表》中报价相符。</w:t>
      </w:r>
    </w:p>
    <w:tbl>
      <w:tblPr>
        <w:tblStyle w:val="49"/>
        <w:tblW w:w="4941" w:type="pct"/>
        <w:jc w:val="center"/>
        <w:tblLayout w:type="fixed"/>
        <w:tblCellMar>
          <w:top w:w="0" w:type="dxa"/>
          <w:left w:w="108" w:type="dxa"/>
          <w:bottom w:w="0" w:type="dxa"/>
          <w:right w:w="108" w:type="dxa"/>
        </w:tblCellMar>
      </w:tblPr>
      <w:tblGrid>
        <w:gridCol w:w="658"/>
        <w:gridCol w:w="2183"/>
        <w:gridCol w:w="2366"/>
        <w:gridCol w:w="1119"/>
        <w:gridCol w:w="559"/>
        <w:gridCol w:w="720"/>
        <w:gridCol w:w="1359"/>
      </w:tblGrid>
      <w:tr w14:paraId="2F7D2EB2">
        <w:tblPrEx>
          <w:tblCellMar>
            <w:top w:w="0" w:type="dxa"/>
            <w:left w:w="108" w:type="dxa"/>
            <w:bottom w:w="0" w:type="dxa"/>
            <w:right w:w="108" w:type="dxa"/>
          </w:tblCellMar>
        </w:tblPrEx>
        <w:trPr>
          <w:trHeight w:val="1695" w:hRule="atLeast"/>
          <w:jc w:val="center"/>
        </w:trPr>
        <w:tc>
          <w:tcPr>
            <w:tcW w:w="367" w:type="pct"/>
            <w:tcBorders>
              <w:top w:val="single" w:color="auto" w:sz="4" w:space="0"/>
              <w:left w:val="single" w:color="auto" w:sz="4" w:space="0"/>
              <w:bottom w:val="single" w:color="auto" w:sz="4" w:space="0"/>
              <w:right w:val="single" w:color="auto" w:sz="4" w:space="0"/>
            </w:tcBorders>
            <w:noWrap/>
            <w:vAlign w:val="center"/>
          </w:tcPr>
          <w:p w14:paraId="1ACF425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项目</w:t>
            </w:r>
          </w:p>
        </w:tc>
        <w:tc>
          <w:tcPr>
            <w:tcW w:w="1217" w:type="pct"/>
            <w:tcBorders>
              <w:top w:val="single" w:color="auto" w:sz="4" w:space="0"/>
              <w:left w:val="nil"/>
              <w:bottom w:val="single" w:color="auto" w:sz="4" w:space="0"/>
              <w:right w:val="single" w:color="auto" w:sz="4" w:space="0"/>
            </w:tcBorders>
            <w:noWrap/>
            <w:vAlign w:val="center"/>
          </w:tcPr>
          <w:p w14:paraId="3C5283A7">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类别</w:t>
            </w:r>
          </w:p>
        </w:tc>
        <w:tc>
          <w:tcPr>
            <w:tcW w:w="1319" w:type="pct"/>
            <w:tcBorders>
              <w:top w:val="single" w:color="auto" w:sz="4" w:space="0"/>
              <w:left w:val="nil"/>
              <w:bottom w:val="single" w:color="auto" w:sz="4" w:space="0"/>
              <w:right w:val="single" w:color="auto" w:sz="4" w:space="0"/>
            </w:tcBorders>
            <w:vAlign w:val="center"/>
          </w:tcPr>
          <w:p w14:paraId="248EC908">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型号规格</w:t>
            </w:r>
          </w:p>
        </w:tc>
        <w:tc>
          <w:tcPr>
            <w:tcW w:w="624" w:type="pct"/>
            <w:tcBorders>
              <w:top w:val="single" w:color="auto" w:sz="4" w:space="0"/>
              <w:left w:val="single" w:color="auto" w:sz="4" w:space="0"/>
              <w:bottom w:val="single" w:color="auto" w:sz="4" w:space="0"/>
              <w:right w:val="single" w:color="auto" w:sz="4" w:space="0"/>
            </w:tcBorders>
            <w:vAlign w:val="center"/>
          </w:tcPr>
          <w:p w14:paraId="3E3E5372">
            <w:pPr>
              <w:widowControl/>
              <w:jc w:val="center"/>
              <w:rPr>
                <w:rFonts w:hint="default" w:ascii="宋体" w:hAnsi="宋体" w:eastAsia="宋体" w:cs="宋体"/>
                <w:b/>
                <w:bCs/>
                <w:color w:val="000000"/>
                <w:kern w:val="0"/>
                <w:sz w:val="22"/>
                <w:szCs w:val="22"/>
                <w:lang w:val="en-US" w:eastAsia="zh-CN"/>
              </w:rPr>
            </w:pPr>
            <w:r>
              <w:rPr>
                <w:rFonts w:hint="eastAsia" w:ascii="宋体" w:hAnsi="宋体" w:cs="宋体"/>
                <w:b/>
                <w:bCs/>
                <w:color w:val="000000"/>
                <w:kern w:val="0"/>
                <w:sz w:val="22"/>
                <w:szCs w:val="22"/>
                <w:lang w:val="en-US" w:eastAsia="zh-CN"/>
              </w:rPr>
              <w:t>单价（</w:t>
            </w:r>
            <w:r>
              <w:rPr>
                <w:rFonts w:hint="eastAsia" w:ascii="宋体" w:hAnsi="宋体" w:cs="宋体"/>
                <w:b/>
                <w:bCs/>
                <w:color w:val="FF0000"/>
                <w:kern w:val="0"/>
                <w:sz w:val="22"/>
                <w:szCs w:val="22"/>
                <w:lang w:val="en-US" w:eastAsia="zh-CN"/>
              </w:rPr>
              <w:t>往年单价，仅供参考</w:t>
            </w:r>
            <w:r>
              <w:rPr>
                <w:rFonts w:hint="eastAsia" w:ascii="宋体" w:hAnsi="宋体" w:cs="宋体"/>
                <w:b/>
                <w:bCs/>
                <w:color w:val="000000"/>
                <w:kern w:val="0"/>
                <w:sz w:val="22"/>
                <w:szCs w:val="22"/>
                <w:lang w:val="en-US" w:eastAsia="zh-CN"/>
              </w:rPr>
              <w:t>）</w:t>
            </w:r>
          </w:p>
        </w:tc>
        <w:tc>
          <w:tcPr>
            <w:tcW w:w="311" w:type="pct"/>
            <w:tcBorders>
              <w:top w:val="single" w:color="auto" w:sz="4" w:space="0"/>
              <w:left w:val="single" w:color="auto" w:sz="4" w:space="0"/>
              <w:bottom w:val="single" w:color="auto" w:sz="4" w:space="0"/>
              <w:right w:val="single" w:color="auto" w:sz="4" w:space="0"/>
            </w:tcBorders>
            <w:vAlign w:val="center"/>
          </w:tcPr>
          <w:p w14:paraId="24D6BE20">
            <w:pPr>
              <w:widowControl/>
              <w:spacing w:line="720" w:lineRule="auto"/>
              <w:jc w:val="center"/>
              <w:rPr>
                <w:rFonts w:ascii="宋体" w:hAnsi="宋体" w:cs="宋体"/>
                <w:b/>
                <w:bCs/>
                <w:color w:val="000000"/>
                <w:kern w:val="0"/>
                <w:sz w:val="22"/>
                <w:szCs w:val="22"/>
              </w:rPr>
            </w:pPr>
            <w:r>
              <w:rPr>
                <w:rFonts w:hint="eastAsia" w:ascii="宋体" w:hAnsi="宋体" w:cs="宋体"/>
                <w:b/>
                <w:bCs/>
                <w:color w:val="000000"/>
                <w:kern w:val="0"/>
                <w:sz w:val="22"/>
                <w:szCs w:val="22"/>
              </w:rPr>
              <w:t>单位</w:t>
            </w:r>
          </w:p>
        </w:tc>
        <w:tc>
          <w:tcPr>
            <w:tcW w:w="401" w:type="pct"/>
            <w:tcBorders>
              <w:top w:val="single" w:color="auto" w:sz="4" w:space="0"/>
              <w:left w:val="single" w:color="auto" w:sz="4" w:space="0"/>
              <w:bottom w:val="single" w:color="auto" w:sz="4" w:space="0"/>
              <w:right w:val="single" w:color="auto" w:sz="4" w:space="0"/>
            </w:tcBorders>
            <w:vAlign w:val="center"/>
          </w:tcPr>
          <w:p w14:paraId="78BDAC89">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数量</w:t>
            </w:r>
          </w:p>
        </w:tc>
        <w:tc>
          <w:tcPr>
            <w:tcW w:w="757" w:type="pct"/>
            <w:tcBorders>
              <w:top w:val="single" w:color="auto" w:sz="4" w:space="0"/>
              <w:left w:val="single" w:color="auto" w:sz="4" w:space="0"/>
              <w:bottom w:val="single" w:color="auto" w:sz="4" w:space="0"/>
              <w:right w:val="single" w:color="auto" w:sz="4" w:space="0"/>
            </w:tcBorders>
            <w:noWrap/>
            <w:vAlign w:val="center"/>
          </w:tcPr>
          <w:p w14:paraId="7597780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价格（</w:t>
            </w:r>
            <w:r>
              <w:rPr>
                <w:rFonts w:hint="eastAsia" w:ascii="宋体" w:hAnsi="宋体" w:cs="宋体"/>
                <w:b/>
                <w:bCs/>
                <w:color w:val="000000"/>
                <w:kern w:val="0"/>
                <w:sz w:val="22"/>
                <w:szCs w:val="22"/>
                <w:lang w:val="en-US" w:eastAsia="zh-CN"/>
              </w:rPr>
              <w:t>未税/</w:t>
            </w:r>
            <w:r>
              <w:rPr>
                <w:rFonts w:hint="eastAsia" w:ascii="宋体" w:hAnsi="宋体" w:cs="宋体"/>
                <w:b/>
                <w:bCs/>
                <w:color w:val="000000"/>
                <w:kern w:val="0"/>
                <w:sz w:val="22"/>
                <w:szCs w:val="22"/>
              </w:rPr>
              <w:t>元）</w:t>
            </w:r>
          </w:p>
        </w:tc>
      </w:tr>
      <w:tr w14:paraId="2DC5609C">
        <w:tblPrEx>
          <w:tblCellMar>
            <w:top w:w="0" w:type="dxa"/>
            <w:left w:w="108" w:type="dxa"/>
            <w:bottom w:w="0" w:type="dxa"/>
            <w:right w:w="108" w:type="dxa"/>
          </w:tblCellMar>
        </w:tblPrEx>
        <w:trPr>
          <w:trHeight w:val="270" w:hRule="atLeast"/>
          <w:jc w:val="center"/>
        </w:trPr>
        <w:tc>
          <w:tcPr>
            <w:tcW w:w="367" w:type="pct"/>
            <w:vMerge w:val="restart"/>
            <w:tcBorders>
              <w:top w:val="single" w:color="auto" w:sz="4" w:space="0"/>
              <w:left w:val="single" w:color="auto" w:sz="4" w:space="0"/>
              <w:bottom w:val="single" w:color="auto" w:sz="4" w:space="0"/>
              <w:right w:val="single" w:color="auto" w:sz="4" w:space="0"/>
            </w:tcBorders>
            <w:vAlign w:val="center"/>
          </w:tcPr>
          <w:p w14:paraId="71C707B0">
            <w:pPr>
              <w:keepNext w:val="0"/>
              <w:keepLines w:val="0"/>
              <w:widowControl/>
              <w:suppressLineNumbers w:val="0"/>
              <w:jc w:val="center"/>
              <w:textAlignment w:val="center"/>
              <w:rPr>
                <w:rFonts w:ascii="宋体" w:hAnsi="宋体" w:cs="宋体"/>
                <w:color w:val="000000"/>
                <w:kern w:val="0"/>
                <w:sz w:val="22"/>
                <w:szCs w:val="22"/>
              </w:rPr>
            </w:pPr>
            <w:r>
              <w:rPr>
                <w:rFonts w:hint="eastAsia" w:ascii="等线" w:hAnsi="等线" w:eastAsia="等线" w:cs="等线"/>
                <w:i w:val="0"/>
                <w:iCs w:val="0"/>
                <w:color w:val="000000"/>
                <w:kern w:val="0"/>
                <w:sz w:val="22"/>
                <w:szCs w:val="22"/>
                <w:u w:val="none"/>
                <w:lang w:val="en-US" w:eastAsia="zh-CN" w:bidi="ar"/>
              </w:rPr>
              <w:t>1</w:t>
            </w:r>
          </w:p>
        </w:tc>
        <w:tc>
          <w:tcPr>
            <w:tcW w:w="1217" w:type="pct"/>
            <w:vMerge w:val="restart"/>
            <w:tcBorders>
              <w:top w:val="nil"/>
              <w:left w:val="nil"/>
              <w:bottom w:val="single" w:color="auto" w:sz="4" w:space="0"/>
              <w:right w:val="single" w:color="auto" w:sz="4" w:space="0"/>
            </w:tcBorders>
            <w:noWrap/>
            <w:vAlign w:val="center"/>
          </w:tcPr>
          <w:p w14:paraId="55E68165">
            <w:pPr>
              <w:keepNext w:val="0"/>
              <w:keepLines w:val="0"/>
              <w:widowControl/>
              <w:suppressLineNumbers w:val="0"/>
              <w:jc w:val="center"/>
              <w:textAlignment w:val="center"/>
              <w:rPr>
                <w:rFonts w:hint="eastAsia" w:ascii="宋体" w:hAnsi="宋体" w:eastAsia="宋体" w:cs="宋体"/>
                <w:kern w:val="0"/>
                <w:sz w:val="22"/>
                <w:szCs w:val="22"/>
                <w:lang w:eastAsia="zh-CN"/>
              </w:rPr>
            </w:pPr>
            <w:r>
              <w:rPr>
                <w:rFonts w:hint="eastAsia" w:ascii="宋体" w:hAnsi="宋体" w:cs="宋体"/>
                <w:kern w:val="0"/>
                <w:sz w:val="22"/>
                <w:szCs w:val="22"/>
              </w:rPr>
              <w:t>应达中频加热炉膛</w:t>
            </w:r>
            <w:r>
              <w:rPr>
                <w:rFonts w:hint="eastAsia" w:ascii="等线" w:hAnsi="等线" w:eastAsia="等线" w:cs="等线"/>
                <w:i w:val="0"/>
                <w:iCs w:val="0"/>
                <w:color w:val="000000"/>
                <w:kern w:val="0"/>
                <w:sz w:val="22"/>
                <w:szCs w:val="22"/>
                <w:u w:val="none"/>
                <w:lang w:val="en-US" w:eastAsia="zh-CN" w:bidi="ar"/>
              </w:rPr>
              <w:t>标准维修</w:t>
            </w:r>
          </w:p>
        </w:tc>
        <w:tc>
          <w:tcPr>
            <w:tcW w:w="1319" w:type="pct"/>
            <w:tcBorders>
              <w:top w:val="single" w:color="auto" w:sz="4" w:space="0"/>
              <w:left w:val="nil"/>
              <w:bottom w:val="single" w:color="auto" w:sz="4" w:space="0"/>
              <w:right w:val="single" w:color="auto" w:sz="4" w:space="0"/>
            </w:tcBorders>
            <w:vAlign w:val="center"/>
          </w:tcPr>
          <w:p w14:paraId="562D84CC">
            <w:pPr>
              <w:keepNext w:val="0"/>
              <w:keepLines w:val="0"/>
              <w:widowControl/>
              <w:suppressLineNumbers w:val="0"/>
              <w:jc w:val="left"/>
              <w:textAlignment w:val="center"/>
              <w:rPr>
                <w:rFonts w:ascii="宋体" w:hAnsi="宋体" w:cs="宋体"/>
                <w:color w:val="000000"/>
                <w:kern w:val="0"/>
                <w:sz w:val="22"/>
                <w:szCs w:val="22"/>
              </w:rPr>
            </w:pPr>
            <w:r>
              <w:rPr>
                <w:rFonts w:hint="eastAsia" w:ascii="等线" w:hAnsi="等线" w:eastAsia="等线" w:cs="等线"/>
                <w:i w:val="0"/>
                <w:iCs w:val="0"/>
                <w:color w:val="000000"/>
                <w:kern w:val="0"/>
                <w:sz w:val="22"/>
                <w:szCs w:val="22"/>
                <w:u w:val="none"/>
                <w:lang w:val="en-US" w:eastAsia="zh-CN" w:bidi="ar"/>
              </w:rPr>
              <w:t>维修线圈型号与各零件确认</w:t>
            </w:r>
          </w:p>
        </w:tc>
        <w:tc>
          <w:tcPr>
            <w:tcW w:w="624" w:type="pct"/>
            <w:vMerge w:val="restart"/>
            <w:tcBorders>
              <w:top w:val="single" w:color="auto" w:sz="4" w:space="0"/>
              <w:left w:val="single" w:color="auto" w:sz="4" w:space="0"/>
              <w:right w:val="single" w:color="auto" w:sz="4" w:space="0"/>
            </w:tcBorders>
          </w:tcPr>
          <w:p w14:paraId="1A7F52FD">
            <w:pPr>
              <w:widowControl/>
              <w:jc w:val="center"/>
              <w:rPr>
                <w:rFonts w:hint="default" w:ascii="宋体" w:hAnsi="宋体" w:cs="宋体"/>
                <w:color w:val="FF0000"/>
                <w:kern w:val="0"/>
                <w:sz w:val="22"/>
                <w:szCs w:val="22"/>
                <w:lang w:val="en-US" w:eastAsia="zh-CN"/>
              </w:rPr>
            </w:pPr>
          </w:p>
          <w:p w14:paraId="6F56027E">
            <w:pPr>
              <w:bidi w:val="0"/>
              <w:rPr>
                <w:rFonts w:hint="default" w:ascii="Times New Roman" w:hAnsi="Times New Roman" w:eastAsia="宋体" w:cs="Times New Roman"/>
                <w:kern w:val="2"/>
                <w:sz w:val="21"/>
                <w:lang w:val="en-US" w:eastAsia="zh-CN" w:bidi="ar-SA"/>
              </w:rPr>
            </w:pPr>
          </w:p>
          <w:p w14:paraId="280971CA">
            <w:pPr>
              <w:bidi w:val="0"/>
              <w:rPr>
                <w:rFonts w:hint="default"/>
                <w:lang w:val="en-US" w:eastAsia="zh-CN"/>
              </w:rPr>
            </w:pPr>
          </w:p>
          <w:p w14:paraId="79A3D410">
            <w:pPr>
              <w:bidi w:val="0"/>
              <w:rPr>
                <w:rFonts w:hint="default"/>
                <w:lang w:val="en-US" w:eastAsia="zh-CN"/>
              </w:rPr>
            </w:pPr>
          </w:p>
          <w:p w14:paraId="3FB36111">
            <w:pPr>
              <w:bidi w:val="0"/>
              <w:rPr>
                <w:rFonts w:hint="default"/>
                <w:lang w:val="en-US" w:eastAsia="zh-CN"/>
              </w:rPr>
            </w:pPr>
          </w:p>
          <w:p w14:paraId="3FA515CC">
            <w:pPr>
              <w:bidi w:val="0"/>
              <w:rPr>
                <w:rFonts w:hint="default"/>
                <w:lang w:val="en-US" w:eastAsia="zh-CN"/>
              </w:rPr>
            </w:pPr>
          </w:p>
          <w:p w14:paraId="679FF853">
            <w:pPr>
              <w:bidi w:val="0"/>
              <w:rPr>
                <w:rFonts w:hint="default"/>
                <w:lang w:val="en-US" w:eastAsia="zh-CN"/>
              </w:rPr>
            </w:pPr>
          </w:p>
          <w:p w14:paraId="2C65EEBC">
            <w:pPr>
              <w:bidi w:val="0"/>
              <w:rPr>
                <w:rFonts w:hint="default"/>
                <w:lang w:val="en-US" w:eastAsia="zh-CN"/>
              </w:rPr>
            </w:pPr>
          </w:p>
          <w:p w14:paraId="1B56FA4C">
            <w:pPr>
              <w:bidi w:val="0"/>
              <w:rPr>
                <w:rFonts w:hint="default"/>
                <w:lang w:val="en-US" w:eastAsia="zh-CN"/>
              </w:rPr>
            </w:pPr>
          </w:p>
          <w:p w14:paraId="1861971C">
            <w:pPr>
              <w:bidi w:val="0"/>
              <w:rPr>
                <w:rFonts w:hint="default"/>
                <w:lang w:val="en-US" w:eastAsia="zh-CN"/>
              </w:rPr>
            </w:pPr>
          </w:p>
          <w:p w14:paraId="47E7FBE8">
            <w:pPr>
              <w:bidi w:val="0"/>
              <w:rPr>
                <w:rFonts w:hint="default"/>
                <w:lang w:val="en-US" w:eastAsia="zh-CN"/>
              </w:rPr>
            </w:pPr>
          </w:p>
          <w:p w14:paraId="64E6B22C">
            <w:pPr>
              <w:bidi w:val="0"/>
              <w:rPr>
                <w:rFonts w:hint="default"/>
                <w:lang w:val="en-US" w:eastAsia="zh-CN"/>
              </w:rPr>
            </w:pPr>
          </w:p>
          <w:p w14:paraId="4031856D">
            <w:pPr>
              <w:bidi w:val="0"/>
              <w:rPr>
                <w:rFonts w:hint="default"/>
                <w:lang w:val="en-US" w:eastAsia="zh-CN"/>
              </w:rPr>
            </w:pPr>
          </w:p>
          <w:p w14:paraId="49117911">
            <w:pPr>
              <w:bidi w:val="0"/>
              <w:rPr>
                <w:rFonts w:hint="default"/>
                <w:lang w:val="en-US" w:eastAsia="zh-CN"/>
              </w:rPr>
            </w:pPr>
          </w:p>
          <w:p w14:paraId="607C2352">
            <w:pPr>
              <w:bidi w:val="0"/>
              <w:jc w:val="center"/>
              <w:rPr>
                <w:rFonts w:hint="default"/>
                <w:lang w:val="en-US" w:eastAsia="zh-CN"/>
              </w:rPr>
            </w:pPr>
          </w:p>
          <w:p w14:paraId="7CE0A2B9">
            <w:pPr>
              <w:bidi w:val="0"/>
              <w:jc w:val="center"/>
              <w:rPr>
                <w:rFonts w:hint="default"/>
                <w:lang w:val="en-US" w:eastAsia="zh-CN"/>
              </w:rPr>
            </w:pPr>
          </w:p>
          <w:p w14:paraId="59F73620">
            <w:pPr>
              <w:bidi w:val="0"/>
              <w:jc w:val="center"/>
              <w:rPr>
                <w:rFonts w:hint="default"/>
                <w:lang w:val="en-US" w:eastAsia="zh-CN"/>
              </w:rPr>
            </w:pPr>
          </w:p>
          <w:p w14:paraId="7DE3FE23">
            <w:pPr>
              <w:bidi w:val="0"/>
              <w:jc w:val="center"/>
              <w:rPr>
                <w:rFonts w:hint="default"/>
                <w:lang w:val="en-US" w:eastAsia="zh-CN"/>
              </w:rPr>
            </w:pPr>
          </w:p>
          <w:p w14:paraId="4825767A">
            <w:pPr>
              <w:bidi w:val="0"/>
              <w:jc w:val="center"/>
              <w:rPr>
                <w:rFonts w:hint="default"/>
                <w:lang w:val="en-US" w:eastAsia="zh-CN"/>
              </w:rPr>
            </w:pPr>
          </w:p>
          <w:p w14:paraId="7D274492">
            <w:pPr>
              <w:bidi w:val="0"/>
              <w:jc w:val="center"/>
              <w:rPr>
                <w:rFonts w:hint="default"/>
                <w:lang w:val="en-US" w:eastAsia="zh-CN"/>
              </w:rPr>
            </w:pPr>
          </w:p>
          <w:p w14:paraId="28D2C3F7">
            <w:pPr>
              <w:bidi w:val="0"/>
              <w:jc w:val="center"/>
              <w:rPr>
                <w:rFonts w:hint="default"/>
                <w:lang w:val="en-US" w:eastAsia="zh-CN"/>
              </w:rPr>
            </w:pPr>
          </w:p>
          <w:p w14:paraId="5718BA67">
            <w:pPr>
              <w:bidi w:val="0"/>
              <w:jc w:val="center"/>
              <w:rPr>
                <w:rFonts w:hint="default"/>
                <w:lang w:val="en-US" w:eastAsia="zh-CN"/>
              </w:rPr>
            </w:pPr>
            <w:r>
              <w:rPr>
                <w:rFonts w:hint="default"/>
                <w:color w:val="FF0000"/>
                <w:lang w:val="en-US" w:eastAsia="zh-CN"/>
              </w:rPr>
              <w:t>13274.34</w:t>
            </w:r>
          </w:p>
        </w:tc>
        <w:tc>
          <w:tcPr>
            <w:tcW w:w="311" w:type="pct"/>
            <w:vMerge w:val="restart"/>
            <w:tcBorders>
              <w:top w:val="single" w:color="auto" w:sz="4" w:space="0"/>
              <w:left w:val="single" w:color="auto" w:sz="4" w:space="0"/>
              <w:right w:val="single" w:color="auto" w:sz="4" w:space="0"/>
            </w:tcBorders>
            <w:vAlign w:val="center"/>
          </w:tcPr>
          <w:p w14:paraId="293CE28A">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节</w:t>
            </w:r>
          </w:p>
        </w:tc>
        <w:tc>
          <w:tcPr>
            <w:tcW w:w="401" w:type="pct"/>
            <w:vMerge w:val="restart"/>
            <w:tcBorders>
              <w:top w:val="single" w:color="auto" w:sz="4" w:space="0"/>
              <w:left w:val="single" w:color="auto" w:sz="4" w:space="0"/>
              <w:right w:val="single" w:color="auto" w:sz="4" w:space="0"/>
            </w:tcBorders>
            <w:vAlign w:val="center"/>
          </w:tcPr>
          <w:p w14:paraId="0CD8B35C">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20</w:t>
            </w:r>
          </w:p>
        </w:tc>
        <w:tc>
          <w:tcPr>
            <w:tcW w:w="757" w:type="pct"/>
            <w:vMerge w:val="restart"/>
            <w:tcBorders>
              <w:top w:val="single" w:color="auto" w:sz="4" w:space="0"/>
              <w:left w:val="single" w:color="auto" w:sz="4" w:space="0"/>
              <w:right w:val="single" w:color="auto" w:sz="4" w:space="0"/>
            </w:tcBorders>
            <w:noWrap/>
            <w:vAlign w:val="center"/>
          </w:tcPr>
          <w:p w14:paraId="1121B082">
            <w:pPr>
              <w:widowControl/>
              <w:jc w:val="center"/>
              <w:rPr>
                <w:rFonts w:hint="eastAsia" w:ascii="宋体" w:hAnsi="宋体" w:eastAsia="宋体" w:cs="宋体"/>
                <w:color w:val="000000"/>
                <w:kern w:val="0"/>
                <w:sz w:val="22"/>
                <w:szCs w:val="22"/>
                <w:lang w:val="en-US" w:eastAsia="zh-CN"/>
              </w:rPr>
            </w:pPr>
          </w:p>
        </w:tc>
      </w:tr>
      <w:tr w14:paraId="4F6D302A">
        <w:tblPrEx>
          <w:tblCellMar>
            <w:top w:w="0" w:type="dxa"/>
            <w:left w:w="108" w:type="dxa"/>
            <w:bottom w:w="0" w:type="dxa"/>
            <w:right w:w="108" w:type="dxa"/>
          </w:tblCellMar>
        </w:tblPrEx>
        <w:trPr>
          <w:trHeight w:val="270" w:hRule="atLeast"/>
          <w:jc w:val="center"/>
        </w:trPr>
        <w:tc>
          <w:tcPr>
            <w:tcW w:w="367" w:type="pct"/>
            <w:vMerge w:val="continue"/>
            <w:tcBorders>
              <w:top w:val="single" w:color="auto" w:sz="4" w:space="0"/>
              <w:left w:val="single" w:color="auto" w:sz="4" w:space="0"/>
              <w:bottom w:val="single" w:color="auto" w:sz="4" w:space="0"/>
              <w:right w:val="single" w:color="auto" w:sz="4" w:space="0"/>
            </w:tcBorders>
            <w:vAlign w:val="center"/>
          </w:tcPr>
          <w:p w14:paraId="0A1688F1">
            <w:pPr>
              <w:jc w:val="center"/>
              <w:rPr>
                <w:rFonts w:ascii="宋体" w:hAnsi="宋体" w:cs="宋体"/>
                <w:color w:val="000000"/>
                <w:kern w:val="0"/>
                <w:sz w:val="22"/>
                <w:szCs w:val="22"/>
              </w:rPr>
            </w:pPr>
          </w:p>
        </w:tc>
        <w:tc>
          <w:tcPr>
            <w:tcW w:w="1217" w:type="pct"/>
            <w:vMerge w:val="continue"/>
            <w:tcBorders>
              <w:top w:val="nil"/>
              <w:left w:val="nil"/>
              <w:bottom w:val="single" w:color="auto" w:sz="4" w:space="0"/>
              <w:right w:val="single" w:color="auto" w:sz="4" w:space="0"/>
            </w:tcBorders>
            <w:noWrap/>
            <w:vAlign w:val="center"/>
          </w:tcPr>
          <w:p w14:paraId="631C6AA7">
            <w:pPr>
              <w:jc w:val="center"/>
              <w:rPr>
                <w:rFonts w:ascii="宋体" w:hAnsi="宋体" w:cs="宋体"/>
                <w:kern w:val="0"/>
                <w:sz w:val="22"/>
                <w:szCs w:val="22"/>
              </w:rPr>
            </w:pPr>
          </w:p>
        </w:tc>
        <w:tc>
          <w:tcPr>
            <w:tcW w:w="1319" w:type="pct"/>
            <w:tcBorders>
              <w:top w:val="single" w:color="auto" w:sz="4" w:space="0"/>
              <w:left w:val="nil"/>
              <w:bottom w:val="single" w:color="auto" w:sz="4" w:space="0"/>
              <w:right w:val="single" w:color="auto" w:sz="4" w:space="0"/>
            </w:tcBorders>
            <w:vAlign w:val="center"/>
          </w:tcPr>
          <w:p w14:paraId="162AC8A4">
            <w:pPr>
              <w:keepNext w:val="0"/>
              <w:keepLines w:val="0"/>
              <w:widowControl/>
              <w:suppressLineNumbers w:val="0"/>
              <w:jc w:val="left"/>
              <w:textAlignment w:val="center"/>
              <w:rPr>
                <w:rFonts w:ascii="宋体" w:hAnsi="宋体" w:cs="宋体"/>
                <w:color w:val="000000"/>
                <w:kern w:val="0"/>
                <w:sz w:val="22"/>
                <w:szCs w:val="22"/>
              </w:rPr>
            </w:pPr>
            <w:r>
              <w:rPr>
                <w:rFonts w:hint="eastAsia" w:ascii="等线" w:hAnsi="等线" w:eastAsia="等线" w:cs="等线"/>
                <w:i w:val="0"/>
                <w:iCs w:val="0"/>
                <w:color w:val="000000"/>
                <w:kern w:val="0"/>
                <w:sz w:val="22"/>
                <w:szCs w:val="22"/>
                <w:u w:val="none"/>
                <w:lang w:val="en-US" w:eastAsia="zh-CN" w:bidi="ar"/>
              </w:rPr>
              <w:t>线圈绕组水压与流量检测</w:t>
            </w:r>
          </w:p>
        </w:tc>
        <w:tc>
          <w:tcPr>
            <w:tcW w:w="624" w:type="pct"/>
            <w:vMerge w:val="continue"/>
            <w:tcBorders>
              <w:left w:val="single" w:color="auto" w:sz="4" w:space="0"/>
              <w:right w:val="single" w:color="auto" w:sz="4" w:space="0"/>
            </w:tcBorders>
          </w:tcPr>
          <w:p w14:paraId="2CCEB2D9">
            <w:pPr>
              <w:widowControl/>
              <w:jc w:val="center"/>
              <w:rPr>
                <w:rFonts w:hint="default" w:ascii="宋体" w:hAnsi="宋体" w:cs="宋体"/>
                <w:color w:val="FF0000"/>
                <w:kern w:val="0"/>
                <w:sz w:val="22"/>
                <w:szCs w:val="22"/>
                <w:lang w:val="en-US" w:eastAsia="zh-CN"/>
              </w:rPr>
            </w:pPr>
          </w:p>
        </w:tc>
        <w:tc>
          <w:tcPr>
            <w:tcW w:w="311" w:type="pct"/>
            <w:vMerge w:val="continue"/>
            <w:tcBorders>
              <w:left w:val="single" w:color="auto" w:sz="4" w:space="0"/>
              <w:right w:val="single" w:color="auto" w:sz="4" w:space="0"/>
            </w:tcBorders>
            <w:vAlign w:val="center"/>
          </w:tcPr>
          <w:p w14:paraId="035C2F1C">
            <w:pPr>
              <w:widowControl/>
              <w:jc w:val="center"/>
              <w:rPr>
                <w:rFonts w:ascii="宋体" w:hAnsi="宋体" w:cs="宋体"/>
                <w:color w:val="000000"/>
                <w:kern w:val="0"/>
                <w:sz w:val="22"/>
                <w:szCs w:val="22"/>
              </w:rPr>
            </w:pPr>
          </w:p>
        </w:tc>
        <w:tc>
          <w:tcPr>
            <w:tcW w:w="401" w:type="pct"/>
            <w:vMerge w:val="continue"/>
            <w:tcBorders>
              <w:left w:val="single" w:color="auto" w:sz="4" w:space="0"/>
              <w:right w:val="single" w:color="auto" w:sz="4" w:space="0"/>
            </w:tcBorders>
            <w:vAlign w:val="center"/>
          </w:tcPr>
          <w:p w14:paraId="52B81817">
            <w:pPr>
              <w:widowControl/>
              <w:jc w:val="center"/>
              <w:rPr>
                <w:rFonts w:hint="default" w:ascii="宋体" w:hAnsi="宋体" w:eastAsia="宋体" w:cs="宋体"/>
                <w:color w:val="000000"/>
                <w:kern w:val="0"/>
                <w:sz w:val="22"/>
                <w:szCs w:val="22"/>
                <w:lang w:val="en-US" w:eastAsia="zh-CN"/>
              </w:rPr>
            </w:pPr>
          </w:p>
        </w:tc>
        <w:tc>
          <w:tcPr>
            <w:tcW w:w="757" w:type="pct"/>
            <w:vMerge w:val="continue"/>
            <w:tcBorders>
              <w:left w:val="single" w:color="auto" w:sz="4" w:space="0"/>
              <w:right w:val="single" w:color="auto" w:sz="4" w:space="0"/>
            </w:tcBorders>
            <w:noWrap/>
            <w:vAlign w:val="center"/>
          </w:tcPr>
          <w:p w14:paraId="5AFAE3E2">
            <w:pPr>
              <w:widowControl/>
              <w:jc w:val="center"/>
              <w:rPr>
                <w:rFonts w:ascii="宋体" w:hAnsi="宋体" w:cs="宋体"/>
                <w:color w:val="000000"/>
                <w:kern w:val="0"/>
                <w:sz w:val="22"/>
                <w:szCs w:val="22"/>
              </w:rPr>
            </w:pPr>
          </w:p>
        </w:tc>
      </w:tr>
      <w:tr w14:paraId="61DA0439">
        <w:tblPrEx>
          <w:tblCellMar>
            <w:top w:w="0" w:type="dxa"/>
            <w:left w:w="108" w:type="dxa"/>
            <w:bottom w:w="0" w:type="dxa"/>
            <w:right w:w="108" w:type="dxa"/>
          </w:tblCellMar>
        </w:tblPrEx>
        <w:trPr>
          <w:trHeight w:val="270" w:hRule="atLeast"/>
          <w:jc w:val="center"/>
        </w:trPr>
        <w:tc>
          <w:tcPr>
            <w:tcW w:w="367" w:type="pct"/>
            <w:vMerge w:val="continue"/>
            <w:tcBorders>
              <w:top w:val="single" w:color="auto" w:sz="4" w:space="0"/>
              <w:left w:val="single" w:color="auto" w:sz="4" w:space="0"/>
              <w:bottom w:val="single" w:color="auto" w:sz="4" w:space="0"/>
              <w:right w:val="single" w:color="auto" w:sz="4" w:space="0"/>
            </w:tcBorders>
            <w:vAlign w:val="center"/>
          </w:tcPr>
          <w:p w14:paraId="58D8FD9D">
            <w:pPr>
              <w:jc w:val="center"/>
              <w:rPr>
                <w:rFonts w:ascii="宋体" w:hAnsi="宋体" w:cs="宋体"/>
                <w:color w:val="000000"/>
                <w:kern w:val="0"/>
                <w:sz w:val="22"/>
                <w:szCs w:val="22"/>
              </w:rPr>
            </w:pPr>
          </w:p>
        </w:tc>
        <w:tc>
          <w:tcPr>
            <w:tcW w:w="1217" w:type="pct"/>
            <w:vMerge w:val="continue"/>
            <w:tcBorders>
              <w:top w:val="nil"/>
              <w:left w:val="nil"/>
              <w:bottom w:val="single" w:color="auto" w:sz="4" w:space="0"/>
              <w:right w:val="single" w:color="auto" w:sz="4" w:space="0"/>
            </w:tcBorders>
            <w:noWrap/>
            <w:vAlign w:val="center"/>
          </w:tcPr>
          <w:p w14:paraId="05E415DD">
            <w:pPr>
              <w:jc w:val="center"/>
              <w:rPr>
                <w:rFonts w:ascii="宋体" w:hAnsi="宋体" w:cs="宋体"/>
                <w:kern w:val="0"/>
                <w:sz w:val="22"/>
                <w:szCs w:val="22"/>
              </w:rPr>
            </w:pPr>
          </w:p>
        </w:tc>
        <w:tc>
          <w:tcPr>
            <w:tcW w:w="1319" w:type="pct"/>
            <w:tcBorders>
              <w:top w:val="single" w:color="auto" w:sz="4" w:space="0"/>
              <w:left w:val="nil"/>
              <w:bottom w:val="single" w:color="auto" w:sz="4" w:space="0"/>
              <w:right w:val="single" w:color="auto" w:sz="4" w:space="0"/>
            </w:tcBorders>
            <w:vAlign w:val="center"/>
          </w:tcPr>
          <w:p w14:paraId="15BDCC0E">
            <w:pPr>
              <w:keepNext w:val="0"/>
              <w:keepLines w:val="0"/>
              <w:widowControl/>
              <w:suppressLineNumbers w:val="0"/>
              <w:jc w:val="left"/>
              <w:textAlignment w:val="center"/>
              <w:rPr>
                <w:rFonts w:ascii="宋体" w:hAnsi="宋体" w:cs="宋体"/>
                <w:color w:val="000000"/>
                <w:kern w:val="0"/>
                <w:sz w:val="22"/>
                <w:szCs w:val="22"/>
              </w:rPr>
            </w:pPr>
            <w:r>
              <w:rPr>
                <w:rFonts w:hint="eastAsia" w:ascii="等线" w:hAnsi="等线" w:eastAsia="等线" w:cs="等线"/>
                <w:i w:val="0"/>
                <w:iCs w:val="0"/>
                <w:color w:val="000000"/>
                <w:kern w:val="0"/>
                <w:sz w:val="22"/>
                <w:szCs w:val="22"/>
                <w:u w:val="none"/>
                <w:lang w:val="en-US" w:eastAsia="zh-CN" w:bidi="ar"/>
              </w:rPr>
              <w:t>拆卸线圈各部件、敲耐火泥及清理</w:t>
            </w:r>
          </w:p>
        </w:tc>
        <w:tc>
          <w:tcPr>
            <w:tcW w:w="624" w:type="pct"/>
            <w:vMerge w:val="continue"/>
            <w:tcBorders>
              <w:left w:val="single" w:color="auto" w:sz="4" w:space="0"/>
              <w:right w:val="single" w:color="auto" w:sz="4" w:space="0"/>
            </w:tcBorders>
          </w:tcPr>
          <w:p w14:paraId="2363425A">
            <w:pPr>
              <w:widowControl/>
              <w:jc w:val="center"/>
              <w:rPr>
                <w:rFonts w:hint="default" w:ascii="宋体" w:hAnsi="宋体" w:cs="宋体"/>
                <w:color w:val="FF0000"/>
                <w:kern w:val="0"/>
                <w:sz w:val="22"/>
                <w:szCs w:val="22"/>
                <w:lang w:val="en-US" w:eastAsia="zh-CN"/>
              </w:rPr>
            </w:pPr>
          </w:p>
        </w:tc>
        <w:tc>
          <w:tcPr>
            <w:tcW w:w="311" w:type="pct"/>
            <w:vMerge w:val="continue"/>
            <w:tcBorders>
              <w:left w:val="single" w:color="auto" w:sz="4" w:space="0"/>
              <w:right w:val="single" w:color="auto" w:sz="4" w:space="0"/>
            </w:tcBorders>
            <w:vAlign w:val="center"/>
          </w:tcPr>
          <w:p w14:paraId="6E433662">
            <w:pPr>
              <w:widowControl/>
              <w:jc w:val="center"/>
              <w:rPr>
                <w:rFonts w:ascii="宋体" w:hAnsi="宋体" w:cs="宋体"/>
                <w:color w:val="000000"/>
                <w:kern w:val="0"/>
                <w:sz w:val="22"/>
                <w:szCs w:val="22"/>
              </w:rPr>
            </w:pPr>
          </w:p>
        </w:tc>
        <w:tc>
          <w:tcPr>
            <w:tcW w:w="401" w:type="pct"/>
            <w:vMerge w:val="continue"/>
            <w:tcBorders>
              <w:left w:val="single" w:color="auto" w:sz="4" w:space="0"/>
              <w:right w:val="single" w:color="auto" w:sz="4" w:space="0"/>
            </w:tcBorders>
            <w:vAlign w:val="center"/>
          </w:tcPr>
          <w:p w14:paraId="282E60D6">
            <w:pPr>
              <w:widowControl/>
              <w:jc w:val="center"/>
              <w:rPr>
                <w:rFonts w:hint="default" w:ascii="宋体" w:hAnsi="宋体" w:eastAsia="宋体" w:cs="宋体"/>
                <w:color w:val="000000"/>
                <w:kern w:val="0"/>
                <w:sz w:val="22"/>
                <w:szCs w:val="22"/>
                <w:lang w:val="en-US" w:eastAsia="zh-CN"/>
              </w:rPr>
            </w:pPr>
          </w:p>
        </w:tc>
        <w:tc>
          <w:tcPr>
            <w:tcW w:w="757" w:type="pct"/>
            <w:vMerge w:val="continue"/>
            <w:tcBorders>
              <w:left w:val="single" w:color="auto" w:sz="4" w:space="0"/>
              <w:right w:val="single" w:color="auto" w:sz="4" w:space="0"/>
            </w:tcBorders>
            <w:noWrap/>
            <w:vAlign w:val="center"/>
          </w:tcPr>
          <w:p w14:paraId="6ACEB7E0">
            <w:pPr>
              <w:widowControl/>
              <w:jc w:val="center"/>
              <w:rPr>
                <w:rFonts w:ascii="宋体" w:hAnsi="宋体" w:cs="宋体"/>
                <w:color w:val="000000"/>
                <w:kern w:val="0"/>
                <w:sz w:val="22"/>
                <w:szCs w:val="22"/>
              </w:rPr>
            </w:pPr>
          </w:p>
        </w:tc>
      </w:tr>
      <w:tr w14:paraId="26E4D883">
        <w:tblPrEx>
          <w:tblCellMar>
            <w:top w:w="0" w:type="dxa"/>
            <w:left w:w="108" w:type="dxa"/>
            <w:bottom w:w="0" w:type="dxa"/>
            <w:right w:w="108" w:type="dxa"/>
          </w:tblCellMar>
        </w:tblPrEx>
        <w:trPr>
          <w:trHeight w:val="270" w:hRule="atLeast"/>
          <w:jc w:val="center"/>
        </w:trPr>
        <w:tc>
          <w:tcPr>
            <w:tcW w:w="367" w:type="pct"/>
            <w:vMerge w:val="continue"/>
            <w:tcBorders>
              <w:top w:val="single" w:color="auto" w:sz="4" w:space="0"/>
              <w:left w:val="single" w:color="auto" w:sz="4" w:space="0"/>
              <w:bottom w:val="single" w:color="auto" w:sz="4" w:space="0"/>
              <w:right w:val="single" w:color="auto" w:sz="4" w:space="0"/>
            </w:tcBorders>
            <w:vAlign w:val="center"/>
          </w:tcPr>
          <w:p w14:paraId="677A9251">
            <w:pPr>
              <w:jc w:val="center"/>
              <w:rPr>
                <w:rFonts w:hint="eastAsia" w:ascii="宋体" w:hAnsi="宋体" w:eastAsia="宋体" w:cs="宋体"/>
                <w:color w:val="000000"/>
                <w:kern w:val="0"/>
                <w:sz w:val="22"/>
                <w:szCs w:val="22"/>
                <w:lang w:val="en-US" w:eastAsia="zh-CN"/>
              </w:rPr>
            </w:pPr>
          </w:p>
        </w:tc>
        <w:tc>
          <w:tcPr>
            <w:tcW w:w="1217" w:type="pct"/>
            <w:vMerge w:val="continue"/>
            <w:tcBorders>
              <w:top w:val="nil"/>
              <w:left w:val="nil"/>
              <w:bottom w:val="single" w:color="auto" w:sz="4" w:space="0"/>
              <w:right w:val="single" w:color="auto" w:sz="4" w:space="0"/>
            </w:tcBorders>
            <w:shd w:val="clear" w:color="auto" w:fill="auto"/>
            <w:noWrap/>
            <w:vAlign w:val="center"/>
          </w:tcPr>
          <w:p w14:paraId="42052F12">
            <w:pPr>
              <w:jc w:val="center"/>
              <w:rPr>
                <w:rFonts w:hint="eastAsia" w:ascii="宋体" w:hAnsi="宋体" w:eastAsia="宋体" w:cs="宋体"/>
                <w:color w:val="000000"/>
                <w:kern w:val="0"/>
                <w:sz w:val="22"/>
                <w:szCs w:val="22"/>
                <w:lang w:val="en-US" w:eastAsia="zh-CN" w:bidi="ar-SA"/>
              </w:rPr>
            </w:pPr>
          </w:p>
        </w:tc>
        <w:tc>
          <w:tcPr>
            <w:tcW w:w="1319" w:type="pct"/>
            <w:tcBorders>
              <w:top w:val="single" w:color="auto" w:sz="4" w:space="0"/>
              <w:left w:val="nil"/>
              <w:bottom w:val="single" w:color="auto" w:sz="4" w:space="0"/>
              <w:right w:val="single" w:color="auto" w:sz="4" w:space="0"/>
            </w:tcBorders>
            <w:shd w:val="clear" w:color="auto" w:fill="auto"/>
            <w:vAlign w:val="center"/>
          </w:tcPr>
          <w:p w14:paraId="3F6A94B3">
            <w:pPr>
              <w:keepNext w:val="0"/>
              <w:keepLines w:val="0"/>
              <w:widowControl/>
              <w:suppressLineNumbers w:val="0"/>
              <w:jc w:val="left"/>
              <w:textAlignment w:val="center"/>
              <w:rPr>
                <w:rFonts w:hint="eastAsia" w:ascii="宋体" w:hAnsi="宋体" w:eastAsia="宋体" w:cs="宋体"/>
                <w:color w:val="000000"/>
                <w:kern w:val="0"/>
                <w:sz w:val="22"/>
                <w:szCs w:val="22"/>
                <w:lang w:val="en-US" w:eastAsia="zh-CN" w:bidi="ar-SA"/>
              </w:rPr>
            </w:pPr>
            <w:r>
              <w:rPr>
                <w:rFonts w:hint="eastAsia" w:ascii="等线" w:hAnsi="等线" w:eastAsia="等线" w:cs="等线"/>
                <w:i w:val="0"/>
                <w:iCs w:val="0"/>
                <w:color w:val="000000"/>
                <w:kern w:val="0"/>
                <w:sz w:val="22"/>
                <w:szCs w:val="22"/>
                <w:u w:val="none"/>
                <w:lang w:val="en-US" w:eastAsia="zh-CN" w:bidi="ar"/>
              </w:rPr>
              <w:t>清除线圈绕组原有绝缘层</w:t>
            </w:r>
          </w:p>
        </w:tc>
        <w:tc>
          <w:tcPr>
            <w:tcW w:w="624" w:type="pct"/>
            <w:vMerge w:val="continue"/>
            <w:tcBorders>
              <w:left w:val="single" w:color="auto" w:sz="4" w:space="0"/>
              <w:right w:val="single" w:color="auto" w:sz="4" w:space="0"/>
            </w:tcBorders>
            <w:shd w:val="clear" w:color="auto" w:fill="auto"/>
            <w:vAlign w:val="top"/>
          </w:tcPr>
          <w:p w14:paraId="37487141">
            <w:pPr>
              <w:widowControl/>
              <w:jc w:val="center"/>
              <w:rPr>
                <w:rFonts w:hint="default" w:ascii="宋体" w:hAnsi="宋体" w:cs="宋体"/>
                <w:color w:val="FF0000"/>
                <w:kern w:val="0"/>
                <w:sz w:val="22"/>
                <w:szCs w:val="22"/>
                <w:lang w:val="en-US" w:eastAsia="zh-CN"/>
              </w:rPr>
            </w:pPr>
          </w:p>
        </w:tc>
        <w:tc>
          <w:tcPr>
            <w:tcW w:w="311" w:type="pct"/>
            <w:vMerge w:val="continue"/>
            <w:tcBorders>
              <w:left w:val="single" w:color="auto" w:sz="4" w:space="0"/>
              <w:right w:val="single" w:color="auto" w:sz="4" w:space="0"/>
            </w:tcBorders>
            <w:shd w:val="clear" w:color="auto" w:fill="auto"/>
            <w:vAlign w:val="center"/>
          </w:tcPr>
          <w:p w14:paraId="012C7FAA">
            <w:pPr>
              <w:widowControl/>
              <w:jc w:val="center"/>
              <w:rPr>
                <w:rFonts w:hint="eastAsia" w:ascii="宋体" w:hAnsi="宋体" w:eastAsia="宋体" w:cs="宋体"/>
                <w:color w:val="000000"/>
                <w:kern w:val="0"/>
                <w:sz w:val="22"/>
                <w:szCs w:val="22"/>
                <w:lang w:val="en-US" w:eastAsia="zh-CN" w:bidi="ar-SA"/>
              </w:rPr>
            </w:pPr>
          </w:p>
        </w:tc>
        <w:tc>
          <w:tcPr>
            <w:tcW w:w="401" w:type="pct"/>
            <w:vMerge w:val="continue"/>
            <w:tcBorders>
              <w:left w:val="single" w:color="auto" w:sz="4" w:space="0"/>
              <w:right w:val="single" w:color="auto" w:sz="4" w:space="0"/>
            </w:tcBorders>
            <w:shd w:val="clear" w:color="auto" w:fill="auto"/>
            <w:vAlign w:val="center"/>
          </w:tcPr>
          <w:p w14:paraId="4FD4A8AD">
            <w:pPr>
              <w:widowControl/>
              <w:jc w:val="center"/>
              <w:rPr>
                <w:rFonts w:hint="eastAsia" w:ascii="宋体" w:hAnsi="宋体" w:eastAsia="宋体" w:cs="宋体"/>
                <w:color w:val="000000"/>
                <w:kern w:val="0"/>
                <w:sz w:val="22"/>
                <w:szCs w:val="22"/>
                <w:lang w:val="en-US" w:eastAsia="zh-CN" w:bidi="ar-SA"/>
              </w:rPr>
            </w:pPr>
          </w:p>
        </w:tc>
        <w:tc>
          <w:tcPr>
            <w:tcW w:w="757" w:type="pct"/>
            <w:vMerge w:val="continue"/>
            <w:tcBorders>
              <w:left w:val="single" w:color="auto" w:sz="4" w:space="0"/>
              <w:right w:val="single" w:color="auto" w:sz="4" w:space="0"/>
            </w:tcBorders>
            <w:noWrap/>
            <w:vAlign w:val="center"/>
          </w:tcPr>
          <w:p w14:paraId="00393C20">
            <w:pPr>
              <w:widowControl/>
              <w:jc w:val="center"/>
              <w:rPr>
                <w:rFonts w:ascii="宋体" w:hAnsi="宋体" w:cs="宋体"/>
                <w:color w:val="000000"/>
                <w:kern w:val="0"/>
                <w:sz w:val="22"/>
                <w:szCs w:val="22"/>
              </w:rPr>
            </w:pPr>
          </w:p>
        </w:tc>
      </w:tr>
      <w:tr w14:paraId="68F4B44E">
        <w:tblPrEx>
          <w:tblCellMar>
            <w:top w:w="0" w:type="dxa"/>
            <w:left w:w="108" w:type="dxa"/>
            <w:bottom w:w="0" w:type="dxa"/>
            <w:right w:w="108" w:type="dxa"/>
          </w:tblCellMar>
        </w:tblPrEx>
        <w:trPr>
          <w:trHeight w:val="270" w:hRule="atLeast"/>
          <w:jc w:val="center"/>
        </w:trPr>
        <w:tc>
          <w:tcPr>
            <w:tcW w:w="367" w:type="pct"/>
            <w:vMerge w:val="continue"/>
            <w:tcBorders>
              <w:top w:val="single" w:color="auto" w:sz="4" w:space="0"/>
              <w:left w:val="single" w:color="auto" w:sz="4" w:space="0"/>
              <w:bottom w:val="single" w:color="auto" w:sz="4" w:space="0"/>
              <w:right w:val="single" w:color="auto" w:sz="4" w:space="0"/>
            </w:tcBorders>
            <w:vAlign w:val="center"/>
          </w:tcPr>
          <w:p w14:paraId="50927E0D">
            <w:pPr>
              <w:jc w:val="center"/>
              <w:rPr>
                <w:rFonts w:hint="eastAsia" w:ascii="宋体" w:hAnsi="宋体" w:eastAsia="宋体" w:cs="宋体"/>
                <w:color w:val="000000"/>
                <w:kern w:val="0"/>
                <w:sz w:val="22"/>
                <w:szCs w:val="22"/>
                <w:lang w:val="en-US" w:eastAsia="zh-CN"/>
              </w:rPr>
            </w:pPr>
          </w:p>
        </w:tc>
        <w:tc>
          <w:tcPr>
            <w:tcW w:w="1217" w:type="pct"/>
            <w:vMerge w:val="continue"/>
            <w:tcBorders>
              <w:top w:val="nil"/>
              <w:left w:val="nil"/>
              <w:bottom w:val="single" w:color="auto" w:sz="4" w:space="0"/>
              <w:right w:val="single" w:color="auto" w:sz="4" w:space="0"/>
            </w:tcBorders>
            <w:shd w:val="clear" w:color="auto" w:fill="auto"/>
            <w:noWrap/>
            <w:vAlign w:val="center"/>
          </w:tcPr>
          <w:p w14:paraId="7B5A1C0D">
            <w:pPr>
              <w:jc w:val="center"/>
              <w:rPr>
                <w:rFonts w:hint="eastAsia" w:ascii="宋体" w:hAnsi="宋体" w:eastAsia="宋体" w:cs="宋体"/>
                <w:color w:val="000000"/>
                <w:kern w:val="0"/>
                <w:sz w:val="22"/>
                <w:szCs w:val="22"/>
                <w:lang w:val="en-US" w:eastAsia="zh-CN" w:bidi="ar-SA"/>
              </w:rPr>
            </w:pPr>
          </w:p>
        </w:tc>
        <w:tc>
          <w:tcPr>
            <w:tcW w:w="1319" w:type="pct"/>
            <w:tcBorders>
              <w:top w:val="single" w:color="auto" w:sz="4" w:space="0"/>
              <w:left w:val="nil"/>
              <w:bottom w:val="single" w:color="auto" w:sz="4" w:space="0"/>
              <w:right w:val="single" w:color="auto" w:sz="4" w:space="0"/>
            </w:tcBorders>
            <w:shd w:val="clear" w:color="auto" w:fill="auto"/>
            <w:vAlign w:val="center"/>
          </w:tcPr>
          <w:p w14:paraId="3A105806">
            <w:pPr>
              <w:keepNext w:val="0"/>
              <w:keepLines w:val="0"/>
              <w:widowControl/>
              <w:suppressLineNumbers w:val="0"/>
              <w:jc w:val="left"/>
              <w:textAlignment w:val="center"/>
              <w:rPr>
                <w:rFonts w:hint="eastAsia" w:ascii="宋体" w:hAnsi="宋体" w:eastAsia="宋体" w:cs="宋体"/>
                <w:color w:val="000000"/>
                <w:kern w:val="0"/>
                <w:sz w:val="22"/>
                <w:szCs w:val="22"/>
                <w:lang w:val="en-US" w:eastAsia="zh-CN" w:bidi="ar-SA"/>
              </w:rPr>
            </w:pPr>
            <w:r>
              <w:rPr>
                <w:rFonts w:hint="eastAsia" w:ascii="等线" w:hAnsi="等线" w:eastAsia="等线" w:cs="等线"/>
                <w:i w:val="0"/>
                <w:iCs w:val="0"/>
                <w:color w:val="000000"/>
                <w:kern w:val="0"/>
                <w:sz w:val="22"/>
                <w:szCs w:val="22"/>
                <w:u w:val="none"/>
                <w:lang w:val="en-US" w:eastAsia="zh-CN" w:bidi="ar"/>
              </w:rPr>
              <w:t>绕组分支管与节距螺丝银焊条补焊</w:t>
            </w:r>
          </w:p>
        </w:tc>
        <w:tc>
          <w:tcPr>
            <w:tcW w:w="624" w:type="pct"/>
            <w:vMerge w:val="continue"/>
            <w:tcBorders>
              <w:left w:val="single" w:color="auto" w:sz="4" w:space="0"/>
              <w:right w:val="single" w:color="auto" w:sz="4" w:space="0"/>
            </w:tcBorders>
            <w:shd w:val="clear" w:color="auto" w:fill="auto"/>
            <w:vAlign w:val="top"/>
          </w:tcPr>
          <w:p w14:paraId="43061589">
            <w:pPr>
              <w:widowControl/>
              <w:jc w:val="center"/>
              <w:rPr>
                <w:rFonts w:hint="default" w:ascii="宋体" w:hAnsi="宋体" w:cs="宋体"/>
                <w:color w:val="FF0000"/>
                <w:kern w:val="0"/>
                <w:sz w:val="22"/>
                <w:szCs w:val="22"/>
                <w:lang w:val="en-US" w:eastAsia="zh-CN"/>
              </w:rPr>
            </w:pPr>
          </w:p>
        </w:tc>
        <w:tc>
          <w:tcPr>
            <w:tcW w:w="311" w:type="pct"/>
            <w:vMerge w:val="continue"/>
            <w:tcBorders>
              <w:left w:val="single" w:color="auto" w:sz="4" w:space="0"/>
              <w:right w:val="single" w:color="auto" w:sz="4" w:space="0"/>
            </w:tcBorders>
            <w:shd w:val="clear" w:color="auto" w:fill="auto"/>
            <w:vAlign w:val="center"/>
          </w:tcPr>
          <w:p w14:paraId="395B4F92">
            <w:pPr>
              <w:widowControl/>
              <w:jc w:val="center"/>
              <w:rPr>
                <w:rFonts w:hint="eastAsia" w:ascii="宋体" w:hAnsi="宋体" w:eastAsia="宋体" w:cs="宋体"/>
                <w:color w:val="000000"/>
                <w:kern w:val="0"/>
                <w:sz w:val="22"/>
                <w:szCs w:val="22"/>
                <w:lang w:val="en-US" w:eastAsia="zh-CN" w:bidi="ar-SA"/>
              </w:rPr>
            </w:pPr>
          </w:p>
        </w:tc>
        <w:tc>
          <w:tcPr>
            <w:tcW w:w="401" w:type="pct"/>
            <w:vMerge w:val="continue"/>
            <w:tcBorders>
              <w:left w:val="single" w:color="auto" w:sz="4" w:space="0"/>
              <w:right w:val="single" w:color="auto" w:sz="4" w:space="0"/>
            </w:tcBorders>
            <w:shd w:val="clear" w:color="auto" w:fill="auto"/>
            <w:vAlign w:val="center"/>
          </w:tcPr>
          <w:p w14:paraId="43442AE0">
            <w:pPr>
              <w:widowControl/>
              <w:jc w:val="center"/>
              <w:rPr>
                <w:rFonts w:hint="eastAsia" w:ascii="宋体" w:hAnsi="宋体" w:eastAsia="宋体" w:cs="宋体"/>
                <w:color w:val="000000"/>
                <w:kern w:val="0"/>
                <w:sz w:val="22"/>
                <w:szCs w:val="22"/>
                <w:lang w:val="en-US" w:eastAsia="zh-CN" w:bidi="ar-SA"/>
              </w:rPr>
            </w:pPr>
          </w:p>
        </w:tc>
        <w:tc>
          <w:tcPr>
            <w:tcW w:w="757" w:type="pct"/>
            <w:vMerge w:val="continue"/>
            <w:tcBorders>
              <w:left w:val="single" w:color="auto" w:sz="4" w:space="0"/>
              <w:right w:val="single" w:color="auto" w:sz="4" w:space="0"/>
            </w:tcBorders>
            <w:noWrap/>
            <w:vAlign w:val="center"/>
          </w:tcPr>
          <w:p w14:paraId="2226EC06">
            <w:pPr>
              <w:widowControl/>
              <w:jc w:val="center"/>
              <w:rPr>
                <w:rFonts w:ascii="宋体" w:hAnsi="宋体" w:cs="宋体"/>
                <w:color w:val="000000"/>
                <w:kern w:val="0"/>
                <w:sz w:val="22"/>
                <w:szCs w:val="22"/>
              </w:rPr>
            </w:pPr>
          </w:p>
        </w:tc>
      </w:tr>
      <w:tr w14:paraId="2B3C286D">
        <w:tblPrEx>
          <w:tblCellMar>
            <w:top w:w="0" w:type="dxa"/>
            <w:left w:w="108" w:type="dxa"/>
            <w:bottom w:w="0" w:type="dxa"/>
            <w:right w:w="108" w:type="dxa"/>
          </w:tblCellMar>
        </w:tblPrEx>
        <w:trPr>
          <w:trHeight w:val="270" w:hRule="atLeast"/>
          <w:jc w:val="center"/>
        </w:trPr>
        <w:tc>
          <w:tcPr>
            <w:tcW w:w="367" w:type="pct"/>
            <w:vMerge w:val="continue"/>
            <w:tcBorders>
              <w:top w:val="single" w:color="auto" w:sz="4" w:space="0"/>
              <w:left w:val="single" w:color="auto" w:sz="4" w:space="0"/>
              <w:bottom w:val="single" w:color="auto" w:sz="4" w:space="0"/>
              <w:right w:val="single" w:color="auto" w:sz="4" w:space="0"/>
            </w:tcBorders>
            <w:vAlign w:val="center"/>
          </w:tcPr>
          <w:p w14:paraId="4C8E0F32">
            <w:pPr>
              <w:jc w:val="center"/>
              <w:rPr>
                <w:rFonts w:hint="eastAsia" w:ascii="宋体" w:hAnsi="宋体" w:eastAsia="宋体" w:cs="宋体"/>
                <w:color w:val="000000"/>
                <w:kern w:val="0"/>
                <w:sz w:val="22"/>
                <w:szCs w:val="22"/>
                <w:lang w:val="en-US" w:eastAsia="zh-CN"/>
              </w:rPr>
            </w:pPr>
          </w:p>
        </w:tc>
        <w:tc>
          <w:tcPr>
            <w:tcW w:w="1217" w:type="pct"/>
            <w:vMerge w:val="continue"/>
            <w:tcBorders>
              <w:top w:val="nil"/>
              <w:left w:val="nil"/>
              <w:bottom w:val="single" w:color="auto" w:sz="4" w:space="0"/>
              <w:right w:val="single" w:color="auto" w:sz="4" w:space="0"/>
            </w:tcBorders>
            <w:noWrap/>
            <w:vAlign w:val="center"/>
          </w:tcPr>
          <w:p w14:paraId="4A3D9232">
            <w:pPr>
              <w:jc w:val="center"/>
              <w:rPr>
                <w:rFonts w:ascii="宋体" w:hAnsi="宋体" w:cs="宋体"/>
                <w:kern w:val="0"/>
                <w:sz w:val="22"/>
                <w:szCs w:val="22"/>
              </w:rPr>
            </w:pPr>
          </w:p>
        </w:tc>
        <w:tc>
          <w:tcPr>
            <w:tcW w:w="1319" w:type="pct"/>
            <w:tcBorders>
              <w:top w:val="single" w:color="auto" w:sz="4" w:space="0"/>
              <w:left w:val="nil"/>
              <w:bottom w:val="single" w:color="auto" w:sz="4" w:space="0"/>
              <w:right w:val="single" w:color="auto" w:sz="4" w:space="0"/>
            </w:tcBorders>
            <w:vAlign w:val="center"/>
          </w:tcPr>
          <w:p w14:paraId="719C1BA5">
            <w:pPr>
              <w:keepNext w:val="0"/>
              <w:keepLines w:val="0"/>
              <w:widowControl/>
              <w:suppressLineNumbers w:val="0"/>
              <w:jc w:val="left"/>
              <w:textAlignment w:val="center"/>
              <w:rPr>
                <w:rFonts w:ascii="宋体" w:hAnsi="宋体" w:cs="宋体"/>
                <w:color w:val="000000"/>
                <w:kern w:val="0"/>
                <w:sz w:val="22"/>
                <w:szCs w:val="22"/>
              </w:rPr>
            </w:pPr>
            <w:r>
              <w:rPr>
                <w:rFonts w:hint="eastAsia" w:ascii="等线" w:hAnsi="等线" w:eastAsia="等线" w:cs="等线"/>
                <w:i w:val="0"/>
                <w:iCs w:val="0"/>
                <w:color w:val="000000"/>
                <w:kern w:val="0"/>
                <w:sz w:val="22"/>
                <w:szCs w:val="22"/>
                <w:u w:val="none"/>
                <w:lang w:val="en-US" w:eastAsia="zh-CN" w:bidi="ar"/>
              </w:rPr>
              <w:t>线圈绕组水压检测-补漏</w:t>
            </w:r>
          </w:p>
        </w:tc>
        <w:tc>
          <w:tcPr>
            <w:tcW w:w="624" w:type="pct"/>
            <w:vMerge w:val="continue"/>
            <w:tcBorders>
              <w:left w:val="single" w:color="auto" w:sz="4" w:space="0"/>
              <w:right w:val="single" w:color="auto" w:sz="4" w:space="0"/>
            </w:tcBorders>
          </w:tcPr>
          <w:p w14:paraId="255B4131">
            <w:pPr>
              <w:widowControl/>
              <w:jc w:val="both"/>
              <w:rPr>
                <w:rFonts w:hint="default" w:ascii="宋体" w:hAnsi="宋体" w:cs="宋体"/>
                <w:color w:val="FF0000"/>
                <w:kern w:val="0"/>
                <w:sz w:val="22"/>
                <w:szCs w:val="22"/>
                <w:lang w:val="en-US" w:eastAsia="zh-CN"/>
              </w:rPr>
            </w:pPr>
          </w:p>
        </w:tc>
        <w:tc>
          <w:tcPr>
            <w:tcW w:w="311" w:type="pct"/>
            <w:vMerge w:val="continue"/>
            <w:tcBorders>
              <w:left w:val="single" w:color="auto" w:sz="4" w:space="0"/>
              <w:right w:val="single" w:color="auto" w:sz="4" w:space="0"/>
            </w:tcBorders>
            <w:vAlign w:val="center"/>
          </w:tcPr>
          <w:p w14:paraId="268864A5">
            <w:pPr>
              <w:widowControl/>
              <w:jc w:val="center"/>
              <w:rPr>
                <w:rFonts w:ascii="宋体" w:hAnsi="宋体" w:cs="宋体"/>
                <w:color w:val="000000"/>
                <w:kern w:val="0"/>
                <w:sz w:val="22"/>
                <w:szCs w:val="22"/>
              </w:rPr>
            </w:pPr>
          </w:p>
        </w:tc>
        <w:tc>
          <w:tcPr>
            <w:tcW w:w="401" w:type="pct"/>
            <w:vMerge w:val="continue"/>
            <w:tcBorders>
              <w:left w:val="single" w:color="auto" w:sz="4" w:space="0"/>
              <w:right w:val="single" w:color="auto" w:sz="4" w:space="0"/>
            </w:tcBorders>
            <w:vAlign w:val="center"/>
          </w:tcPr>
          <w:p w14:paraId="696C8DD5">
            <w:pPr>
              <w:widowControl/>
              <w:jc w:val="center"/>
              <w:rPr>
                <w:rFonts w:hint="eastAsia" w:ascii="宋体" w:hAnsi="宋体" w:eastAsia="宋体" w:cs="宋体"/>
                <w:color w:val="000000"/>
                <w:kern w:val="0"/>
                <w:sz w:val="22"/>
                <w:szCs w:val="22"/>
                <w:lang w:val="en-US" w:eastAsia="zh-CN"/>
              </w:rPr>
            </w:pPr>
          </w:p>
        </w:tc>
        <w:tc>
          <w:tcPr>
            <w:tcW w:w="757" w:type="pct"/>
            <w:vMerge w:val="continue"/>
            <w:tcBorders>
              <w:left w:val="single" w:color="auto" w:sz="4" w:space="0"/>
              <w:right w:val="single" w:color="auto" w:sz="4" w:space="0"/>
            </w:tcBorders>
            <w:noWrap/>
            <w:vAlign w:val="center"/>
          </w:tcPr>
          <w:p w14:paraId="16270082">
            <w:pPr>
              <w:widowControl/>
              <w:jc w:val="center"/>
              <w:rPr>
                <w:rFonts w:ascii="宋体" w:hAnsi="宋体" w:cs="宋体"/>
                <w:color w:val="000000"/>
                <w:kern w:val="0"/>
                <w:sz w:val="22"/>
                <w:szCs w:val="22"/>
              </w:rPr>
            </w:pPr>
          </w:p>
        </w:tc>
      </w:tr>
      <w:tr w14:paraId="5CE62B4D">
        <w:tblPrEx>
          <w:tblCellMar>
            <w:top w:w="0" w:type="dxa"/>
            <w:left w:w="108" w:type="dxa"/>
            <w:bottom w:w="0" w:type="dxa"/>
            <w:right w:w="108" w:type="dxa"/>
          </w:tblCellMar>
        </w:tblPrEx>
        <w:trPr>
          <w:trHeight w:val="610" w:hRule="atLeast"/>
          <w:jc w:val="center"/>
        </w:trPr>
        <w:tc>
          <w:tcPr>
            <w:tcW w:w="367" w:type="pct"/>
            <w:vMerge w:val="continue"/>
            <w:tcBorders>
              <w:top w:val="single" w:color="auto" w:sz="4" w:space="0"/>
              <w:left w:val="single" w:color="auto" w:sz="4" w:space="0"/>
              <w:bottom w:val="single" w:color="auto" w:sz="4" w:space="0"/>
              <w:right w:val="single" w:color="auto" w:sz="4" w:space="0"/>
            </w:tcBorders>
            <w:vAlign w:val="center"/>
          </w:tcPr>
          <w:p w14:paraId="61DA76F3">
            <w:pPr>
              <w:jc w:val="center"/>
              <w:rPr>
                <w:rFonts w:hint="eastAsia" w:ascii="宋体" w:hAnsi="宋体" w:eastAsia="宋体" w:cs="宋体"/>
                <w:color w:val="000000"/>
                <w:kern w:val="0"/>
                <w:sz w:val="22"/>
                <w:szCs w:val="22"/>
                <w:lang w:val="en-US" w:eastAsia="zh-CN"/>
              </w:rPr>
            </w:pPr>
          </w:p>
        </w:tc>
        <w:tc>
          <w:tcPr>
            <w:tcW w:w="1217" w:type="pct"/>
            <w:vMerge w:val="continue"/>
            <w:tcBorders>
              <w:top w:val="nil"/>
              <w:left w:val="nil"/>
              <w:bottom w:val="single" w:color="auto" w:sz="4" w:space="0"/>
              <w:right w:val="single" w:color="auto" w:sz="4" w:space="0"/>
            </w:tcBorders>
            <w:noWrap/>
            <w:vAlign w:val="center"/>
          </w:tcPr>
          <w:p w14:paraId="12B37DD7">
            <w:pPr>
              <w:jc w:val="center"/>
              <w:rPr>
                <w:rFonts w:hint="eastAsia" w:ascii="宋体" w:hAnsi="宋体" w:eastAsia="宋体" w:cs="宋体"/>
                <w:color w:val="000000"/>
                <w:kern w:val="0"/>
                <w:sz w:val="22"/>
                <w:szCs w:val="22"/>
                <w:lang w:eastAsia="zh-CN"/>
              </w:rPr>
            </w:pPr>
          </w:p>
        </w:tc>
        <w:tc>
          <w:tcPr>
            <w:tcW w:w="1319" w:type="pct"/>
            <w:tcBorders>
              <w:top w:val="single" w:color="auto" w:sz="4" w:space="0"/>
              <w:left w:val="nil"/>
              <w:bottom w:val="single" w:color="auto" w:sz="4" w:space="0"/>
              <w:right w:val="single" w:color="auto" w:sz="4" w:space="0"/>
            </w:tcBorders>
            <w:vAlign w:val="center"/>
          </w:tcPr>
          <w:p w14:paraId="132B02EB">
            <w:pPr>
              <w:keepNext w:val="0"/>
              <w:keepLines w:val="0"/>
              <w:widowControl/>
              <w:suppressLineNumbers w:val="0"/>
              <w:jc w:val="left"/>
              <w:textAlignment w:val="center"/>
              <w:rPr>
                <w:rFonts w:ascii="宋体" w:hAnsi="宋体" w:cs="宋体"/>
                <w:color w:val="000000"/>
                <w:kern w:val="0"/>
                <w:sz w:val="22"/>
                <w:szCs w:val="22"/>
              </w:rPr>
            </w:pPr>
            <w:r>
              <w:rPr>
                <w:rFonts w:hint="eastAsia" w:ascii="等线" w:hAnsi="等线" w:eastAsia="等线" w:cs="等线"/>
                <w:i w:val="0"/>
                <w:iCs w:val="0"/>
                <w:color w:val="000000"/>
                <w:kern w:val="0"/>
                <w:sz w:val="22"/>
                <w:szCs w:val="22"/>
                <w:u w:val="none"/>
                <w:lang w:val="en-US" w:eastAsia="zh-CN" w:bidi="ar"/>
              </w:rPr>
              <w:t>线圈表面处理-喷砂</w:t>
            </w:r>
          </w:p>
        </w:tc>
        <w:tc>
          <w:tcPr>
            <w:tcW w:w="624" w:type="pct"/>
            <w:vMerge w:val="continue"/>
            <w:tcBorders>
              <w:left w:val="single" w:color="auto" w:sz="4" w:space="0"/>
              <w:right w:val="single" w:color="auto" w:sz="4" w:space="0"/>
            </w:tcBorders>
          </w:tcPr>
          <w:p w14:paraId="29E64870">
            <w:pPr>
              <w:widowControl/>
              <w:jc w:val="center"/>
              <w:rPr>
                <w:rFonts w:hint="default" w:ascii="宋体" w:hAnsi="宋体" w:cs="宋体"/>
                <w:color w:val="FF0000"/>
                <w:kern w:val="0"/>
                <w:sz w:val="22"/>
                <w:szCs w:val="22"/>
                <w:lang w:val="en-US" w:eastAsia="zh-CN"/>
              </w:rPr>
            </w:pPr>
          </w:p>
        </w:tc>
        <w:tc>
          <w:tcPr>
            <w:tcW w:w="311" w:type="pct"/>
            <w:vMerge w:val="continue"/>
            <w:tcBorders>
              <w:left w:val="single" w:color="auto" w:sz="4" w:space="0"/>
              <w:right w:val="single" w:color="auto" w:sz="4" w:space="0"/>
            </w:tcBorders>
            <w:vAlign w:val="center"/>
          </w:tcPr>
          <w:p w14:paraId="5715557E">
            <w:pPr>
              <w:widowControl/>
              <w:jc w:val="center"/>
              <w:rPr>
                <w:rFonts w:ascii="宋体" w:hAnsi="宋体" w:cs="宋体"/>
                <w:color w:val="000000"/>
                <w:kern w:val="0"/>
                <w:sz w:val="22"/>
                <w:szCs w:val="22"/>
              </w:rPr>
            </w:pPr>
          </w:p>
        </w:tc>
        <w:tc>
          <w:tcPr>
            <w:tcW w:w="401" w:type="pct"/>
            <w:vMerge w:val="continue"/>
            <w:tcBorders>
              <w:left w:val="single" w:color="auto" w:sz="4" w:space="0"/>
              <w:right w:val="single" w:color="auto" w:sz="4" w:space="0"/>
            </w:tcBorders>
            <w:vAlign w:val="center"/>
          </w:tcPr>
          <w:p w14:paraId="2F69DDC9">
            <w:pPr>
              <w:widowControl/>
              <w:jc w:val="center"/>
              <w:rPr>
                <w:rFonts w:hint="default" w:ascii="宋体" w:hAnsi="宋体" w:eastAsia="宋体" w:cs="宋体"/>
                <w:color w:val="000000"/>
                <w:kern w:val="0"/>
                <w:sz w:val="22"/>
                <w:szCs w:val="22"/>
                <w:lang w:val="en-US" w:eastAsia="zh-CN"/>
              </w:rPr>
            </w:pPr>
          </w:p>
        </w:tc>
        <w:tc>
          <w:tcPr>
            <w:tcW w:w="757" w:type="pct"/>
            <w:vMerge w:val="continue"/>
            <w:tcBorders>
              <w:left w:val="single" w:color="auto" w:sz="4" w:space="0"/>
              <w:right w:val="single" w:color="auto" w:sz="4" w:space="0"/>
            </w:tcBorders>
            <w:noWrap/>
            <w:vAlign w:val="center"/>
          </w:tcPr>
          <w:p w14:paraId="04DD3175">
            <w:pPr>
              <w:widowControl/>
              <w:jc w:val="center"/>
              <w:rPr>
                <w:rFonts w:ascii="宋体" w:hAnsi="宋体" w:cs="宋体"/>
                <w:color w:val="000000"/>
                <w:kern w:val="0"/>
                <w:sz w:val="22"/>
                <w:szCs w:val="22"/>
              </w:rPr>
            </w:pPr>
          </w:p>
        </w:tc>
      </w:tr>
      <w:tr w14:paraId="387830D4">
        <w:tblPrEx>
          <w:tblCellMar>
            <w:top w:w="0" w:type="dxa"/>
            <w:left w:w="108" w:type="dxa"/>
            <w:bottom w:w="0" w:type="dxa"/>
            <w:right w:w="108" w:type="dxa"/>
          </w:tblCellMar>
        </w:tblPrEx>
        <w:trPr>
          <w:trHeight w:val="610" w:hRule="atLeast"/>
          <w:jc w:val="center"/>
        </w:trPr>
        <w:tc>
          <w:tcPr>
            <w:tcW w:w="367" w:type="pct"/>
            <w:vMerge w:val="continue"/>
            <w:tcBorders>
              <w:top w:val="single" w:color="auto" w:sz="4" w:space="0"/>
              <w:left w:val="single" w:color="auto" w:sz="4" w:space="0"/>
              <w:bottom w:val="single" w:color="auto" w:sz="4" w:space="0"/>
              <w:right w:val="single" w:color="auto" w:sz="4" w:space="0"/>
            </w:tcBorders>
            <w:vAlign w:val="center"/>
          </w:tcPr>
          <w:p w14:paraId="077311B2">
            <w:pPr>
              <w:jc w:val="center"/>
              <w:rPr>
                <w:rFonts w:hint="eastAsia" w:ascii="宋体" w:hAnsi="宋体" w:cs="宋体"/>
                <w:color w:val="000000"/>
                <w:kern w:val="0"/>
                <w:sz w:val="22"/>
                <w:szCs w:val="22"/>
                <w:lang w:val="en-US" w:eastAsia="zh-CN"/>
              </w:rPr>
            </w:pPr>
          </w:p>
        </w:tc>
        <w:tc>
          <w:tcPr>
            <w:tcW w:w="1217" w:type="pct"/>
            <w:vMerge w:val="continue"/>
            <w:tcBorders>
              <w:top w:val="nil"/>
              <w:left w:val="nil"/>
              <w:bottom w:val="single" w:color="auto" w:sz="4" w:space="0"/>
              <w:right w:val="single" w:color="auto" w:sz="4" w:space="0"/>
            </w:tcBorders>
            <w:noWrap/>
            <w:vAlign w:val="center"/>
          </w:tcPr>
          <w:p w14:paraId="1A8D01B1">
            <w:pPr>
              <w:jc w:val="center"/>
              <w:rPr>
                <w:rFonts w:hint="eastAsia" w:ascii="宋体" w:hAnsi="宋体" w:eastAsia="宋体" w:cs="宋体"/>
                <w:color w:val="000000"/>
                <w:kern w:val="0"/>
                <w:sz w:val="22"/>
                <w:szCs w:val="22"/>
                <w:lang w:eastAsia="zh-CN"/>
              </w:rPr>
            </w:pPr>
          </w:p>
        </w:tc>
        <w:tc>
          <w:tcPr>
            <w:tcW w:w="1319" w:type="pct"/>
            <w:tcBorders>
              <w:top w:val="single" w:color="auto" w:sz="4" w:space="0"/>
              <w:left w:val="nil"/>
              <w:bottom w:val="single" w:color="auto" w:sz="4" w:space="0"/>
              <w:right w:val="single" w:color="auto" w:sz="4" w:space="0"/>
            </w:tcBorders>
            <w:vAlign w:val="center"/>
          </w:tcPr>
          <w:p w14:paraId="20CDCA8B">
            <w:pPr>
              <w:keepNext w:val="0"/>
              <w:keepLines w:val="0"/>
              <w:widowControl/>
              <w:suppressLineNumbers w:val="0"/>
              <w:jc w:val="left"/>
              <w:textAlignment w:val="center"/>
              <w:rPr>
                <w:rFonts w:ascii="宋体" w:hAnsi="宋体" w:cs="宋体"/>
                <w:color w:val="000000"/>
                <w:kern w:val="0"/>
                <w:sz w:val="22"/>
                <w:szCs w:val="22"/>
              </w:rPr>
            </w:pPr>
            <w:r>
              <w:rPr>
                <w:rFonts w:hint="eastAsia" w:ascii="等线" w:hAnsi="等线" w:eastAsia="等线" w:cs="等线"/>
                <w:i w:val="0"/>
                <w:iCs w:val="0"/>
                <w:color w:val="000000"/>
                <w:kern w:val="0"/>
                <w:sz w:val="22"/>
                <w:szCs w:val="22"/>
                <w:u w:val="none"/>
                <w:lang w:val="en-US" w:eastAsia="zh-CN" w:bidi="ar"/>
              </w:rPr>
              <w:t>线圈绝缘处理-喷粉（4遍）</w:t>
            </w:r>
          </w:p>
        </w:tc>
        <w:tc>
          <w:tcPr>
            <w:tcW w:w="624" w:type="pct"/>
            <w:vMerge w:val="continue"/>
            <w:tcBorders>
              <w:left w:val="single" w:color="auto" w:sz="4" w:space="0"/>
              <w:right w:val="single" w:color="auto" w:sz="4" w:space="0"/>
            </w:tcBorders>
          </w:tcPr>
          <w:p w14:paraId="42652E28">
            <w:pPr>
              <w:widowControl/>
              <w:jc w:val="center"/>
              <w:rPr>
                <w:rFonts w:hint="default" w:ascii="宋体" w:hAnsi="宋体" w:cs="宋体"/>
                <w:color w:val="FF0000"/>
                <w:kern w:val="0"/>
                <w:sz w:val="22"/>
                <w:szCs w:val="22"/>
                <w:lang w:val="en-US" w:eastAsia="zh-CN"/>
              </w:rPr>
            </w:pPr>
          </w:p>
        </w:tc>
        <w:tc>
          <w:tcPr>
            <w:tcW w:w="311" w:type="pct"/>
            <w:vMerge w:val="continue"/>
            <w:tcBorders>
              <w:left w:val="single" w:color="auto" w:sz="4" w:space="0"/>
              <w:right w:val="single" w:color="auto" w:sz="4" w:space="0"/>
            </w:tcBorders>
            <w:vAlign w:val="center"/>
          </w:tcPr>
          <w:p w14:paraId="5F58708E">
            <w:pPr>
              <w:widowControl/>
              <w:jc w:val="center"/>
              <w:rPr>
                <w:rFonts w:ascii="宋体" w:hAnsi="宋体" w:cs="宋体"/>
                <w:color w:val="000000"/>
                <w:kern w:val="0"/>
                <w:sz w:val="22"/>
                <w:szCs w:val="22"/>
              </w:rPr>
            </w:pPr>
          </w:p>
        </w:tc>
        <w:tc>
          <w:tcPr>
            <w:tcW w:w="401" w:type="pct"/>
            <w:vMerge w:val="continue"/>
            <w:tcBorders>
              <w:left w:val="single" w:color="auto" w:sz="4" w:space="0"/>
              <w:right w:val="single" w:color="auto" w:sz="4" w:space="0"/>
            </w:tcBorders>
            <w:vAlign w:val="center"/>
          </w:tcPr>
          <w:p w14:paraId="7709301E">
            <w:pPr>
              <w:widowControl/>
              <w:jc w:val="center"/>
              <w:rPr>
                <w:rFonts w:hint="default" w:ascii="宋体" w:hAnsi="宋体" w:eastAsia="宋体" w:cs="宋体"/>
                <w:color w:val="000000"/>
                <w:kern w:val="0"/>
                <w:sz w:val="22"/>
                <w:szCs w:val="22"/>
                <w:lang w:val="en-US" w:eastAsia="zh-CN"/>
              </w:rPr>
            </w:pPr>
          </w:p>
        </w:tc>
        <w:tc>
          <w:tcPr>
            <w:tcW w:w="757" w:type="pct"/>
            <w:vMerge w:val="continue"/>
            <w:tcBorders>
              <w:left w:val="single" w:color="auto" w:sz="4" w:space="0"/>
              <w:right w:val="single" w:color="auto" w:sz="4" w:space="0"/>
            </w:tcBorders>
            <w:noWrap/>
            <w:vAlign w:val="center"/>
          </w:tcPr>
          <w:p w14:paraId="7DE0107E">
            <w:pPr>
              <w:widowControl/>
              <w:jc w:val="center"/>
              <w:rPr>
                <w:rFonts w:ascii="宋体" w:hAnsi="宋体" w:cs="宋体"/>
                <w:color w:val="000000"/>
                <w:kern w:val="0"/>
                <w:sz w:val="22"/>
                <w:szCs w:val="22"/>
              </w:rPr>
            </w:pPr>
          </w:p>
        </w:tc>
      </w:tr>
      <w:tr w14:paraId="4BEA5DBA">
        <w:tblPrEx>
          <w:tblCellMar>
            <w:top w:w="0" w:type="dxa"/>
            <w:left w:w="108" w:type="dxa"/>
            <w:bottom w:w="0" w:type="dxa"/>
            <w:right w:w="108" w:type="dxa"/>
          </w:tblCellMar>
        </w:tblPrEx>
        <w:trPr>
          <w:trHeight w:val="610" w:hRule="atLeast"/>
          <w:jc w:val="center"/>
        </w:trPr>
        <w:tc>
          <w:tcPr>
            <w:tcW w:w="367" w:type="pct"/>
            <w:vMerge w:val="continue"/>
            <w:tcBorders>
              <w:top w:val="single" w:color="auto" w:sz="4" w:space="0"/>
              <w:left w:val="single" w:color="auto" w:sz="4" w:space="0"/>
              <w:bottom w:val="single" w:color="auto" w:sz="4" w:space="0"/>
              <w:right w:val="single" w:color="auto" w:sz="4" w:space="0"/>
            </w:tcBorders>
            <w:vAlign w:val="center"/>
          </w:tcPr>
          <w:p w14:paraId="3B05F4BC">
            <w:pPr>
              <w:jc w:val="center"/>
              <w:rPr>
                <w:rFonts w:hint="eastAsia" w:ascii="宋体" w:hAnsi="宋体" w:cs="宋体"/>
                <w:color w:val="000000"/>
                <w:kern w:val="0"/>
                <w:sz w:val="22"/>
                <w:szCs w:val="22"/>
                <w:lang w:val="en-US" w:eastAsia="zh-CN"/>
              </w:rPr>
            </w:pPr>
          </w:p>
        </w:tc>
        <w:tc>
          <w:tcPr>
            <w:tcW w:w="1217" w:type="pct"/>
            <w:vMerge w:val="continue"/>
            <w:tcBorders>
              <w:top w:val="nil"/>
              <w:left w:val="nil"/>
              <w:bottom w:val="single" w:color="auto" w:sz="4" w:space="0"/>
              <w:right w:val="single" w:color="auto" w:sz="4" w:space="0"/>
            </w:tcBorders>
            <w:noWrap/>
            <w:vAlign w:val="center"/>
          </w:tcPr>
          <w:p w14:paraId="6F56B548">
            <w:pPr>
              <w:jc w:val="center"/>
              <w:rPr>
                <w:rFonts w:hint="eastAsia" w:ascii="宋体" w:hAnsi="宋体" w:eastAsia="宋体" w:cs="宋体"/>
                <w:color w:val="000000"/>
                <w:kern w:val="0"/>
                <w:sz w:val="22"/>
                <w:szCs w:val="22"/>
                <w:lang w:eastAsia="zh-CN"/>
              </w:rPr>
            </w:pPr>
          </w:p>
        </w:tc>
        <w:tc>
          <w:tcPr>
            <w:tcW w:w="1319" w:type="pct"/>
            <w:tcBorders>
              <w:top w:val="single" w:color="auto" w:sz="4" w:space="0"/>
              <w:left w:val="nil"/>
              <w:bottom w:val="single" w:color="auto" w:sz="4" w:space="0"/>
              <w:right w:val="single" w:color="auto" w:sz="4" w:space="0"/>
            </w:tcBorders>
            <w:vAlign w:val="center"/>
          </w:tcPr>
          <w:p w14:paraId="14DBA570">
            <w:pPr>
              <w:keepNext w:val="0"/>
              <w:keepLines w:val="0"/>
              <w:widowControl/>
              <w:suppressLineNumbers w:val="0"/>
              <w:jc w:val="left"/>
              <w:textAlignment w:val="center"/>
              <w:rPr>
                <w:rFonts w:ascii="宋体" w:hAnsi="宋体" w:cs="宋体"/>
                <w:color w:val="000000"/>
                <w:kern w:val="0"/>
                <w:sz w:val="22"/>
                <w:szCs w:val="22"/>
              </w:rPr>
            </w:pPr>
            <w:r>
              <w:rPr>
                <w:rFonts w:hint="eastAsia" w:ascii="等线" w:hAnsi="等线" w:eastAsia="等线" w:cs="等线"/>
                <w:i w:val="0"/>
                <w:iCs w:val="0"/>
                <w:color w:val="000000"/>
                <w:kern w:val="0"/>
                <w:sz w:val="22"/>
                <w:szCs w:val="22"/>
                <w:u w:val="none"/>
                <w:lang w:val="en-US" w:eastAsia="zh-CN" w:bidi="ar"/>
              </w:rPr>
              <w:t>线圈绕组绝缘层厚度与耐压值测试</w:t>
            </w:r>
          </w:p>
        </w:tc>
        <w:tc>
          <w:tcPr>
            <w:tcW w:w="624" w:type="pct"/>
            <w:vMerge w:val="continue"/>
            <w:tcBorders>
              <w:left w:val="single" w:color="auto" w:sz="4" w:space="0"/>
              <w:right w:val="single" w:color="auto" w:sz="4" w:space="0"/>
            </w:tcBorders>
          </w:tcPr>
          <w:p w14:paraId="2D5857C0">
            <w:pPr>
              <w:widowControl/>
              <w:jc w:val="center"/>
              <w:rPr>
                <w:rFonts w:hint="default" w:ascii="宋体" w:hAnsi="宋体" w:cs="宋体"/>
                <w:color w:val="FF0000"/>
                <w:kern w:val="0"/>
                <w:sz w:val="22"/>
                <w:szCs w:val="22"/>
                <w:lang w:val="en-US" w:eastAsia="zh-CN"/>
              </w:rPr>
            </w:pPr>
          </w:p>
        </w:tc>
        <w:tc>
          <w:tcPr>
            <w:tcW w:w="311" w:type="pct"/>
            <w:vMerge w:val="continue"/>
            <w:tcBorders>
              <w:left w:val="single" w:color="auto" w:sz="4" w:space="0"/>
              <w:right w:val="single" w:color="auto" w:sz="4" w:space="0"/>
            </w:tcBorders>
            <w:vAlign w:val="center"/>
          </w:tcPr>
          <w:p w14:paraId="33EAFF5E">
            <w:pPr>
              <w:widowControl/>
              <w:jc w:val="center"/>
              <w:rPr>
                <w:rFonts w:ascii="宋体" w:hAnsi="宋体" w:cs="宋体"/>
                <w:color w:val="000000"/>
                <w:kern w:val="0"/>
                <w:sz w:val="22"/>
                <w:szCs w:val="22"/>
              </w:rPr>
            </w:pPr>
          </w:p>
        </w:tc>
        <w:tc>
          <w:tcPr>
            <w:tcW w:w="401" w:type="pct"/>
            <w:vMerge w:val="continue"/>
            <w:tcBorders>
              <w:left w:val="single" w:color="auto" w:sz="4" w:space="0"/>
              <w:right w:val="single" w:color="auto" w:sz="4" w:space="0"/>
            </w:tcBorders>
            <w:vAlign w:val="center"/>
          </w:tcPr>
          <w:p w14:paraId="10D4C928">
            <w:pPr>
              <w:widowControl/>
              <w:jc w:val="center"/>
              <w:rPr>
                <w:rFonts w:hint="default" w:ascii="宋体" w:hAnsi="宋体" w:eastAsia="宋体" w:cs="宋体"/>
                <w:color w:val="000000"/>
                <w:kern w:val="0"/>
                <w:sz w:val="22"/>
                <w:szCs w:val="22"/>
                <w:lang w:val="en-US" w:eastAsia="zh-CN"/>
              </w:rPr>
            </w:pPr>
          </w:p>
        </w:tc>
        <w:tc>
          <w:tcPr>
            <w:tcW w:w="757" w:type="pct"/>
            <w:vMerge w:val="continue"/>
            <w:tcBorders>
              <w:left w:val="single" w:color="auto" w:sz="4" w:space="0"/>
              <w:right w:val="single" w:color="auto" w:sz="4" w:space="0"/>
            </w:tcBorders>
            <w:noWrap/>
            <w:vAlign w:val="center"/>
          </w:tcPr>
          <w:p w14:paraId="0F8DA39A">
            <w:pPr>
              <w:widowControl/>
              <w:jc w:val="center"/>
              <w:rPr>
                <w:rFonts w:ascii="宋体" w:hAnsi="宋体" w:cs="宋体"/>
                <w:color w:val="000000"/>
                <w:kern w:val="0"/>
                <w:sz w:val="22"/>
                <w:szCs w:val="22"/>
              </w:rPr>
            </w:pPr>
          </w:p>
        </w:tc>
      </w:tr>
      <w:tr w14:paraId="2752BF1F">
        <w:tblPrEx>
          <w:tblCellMar>
            <w:top w:w="0" w:type="dxa"/>
            <w:left w:w="108" w:type="dxa"/>
            <w:bottom w:w="0" w:type="dxa"/>
            <w:right w:w="108" w:type="dxa"/>
          </w:tblCellMar>
        </w:tblPrEx>
        <w:trPr>
          <w:trHeight w:val="270" w:hRule="atLeast"/>
          <w:jc w:val="center"/>
        </w:trPr>
        <w:tc>
          <w:tcPr>
            <w:tcW w:w="367" w:type="pct"/>
            <w:vMerge w:val="continue"/>
            <w:tcBorders>
              <w:top w:val="single" w:color="auto" w:sz="4" w:space="0"/>
              <w:left w:val="single" w:color="auto" w:sz="4" w:space="0"/>
              <w:bottom w:val="single" w:color="auto" w:sz="4" w:space="0"/>
              <w:right w:val="single" w:color="auto" w:sz="4" w:space="0"/>
            </w:tcBorders>
            <w:vAlign w:val="center"/>
          </w:tcPr>
          <w:p w14:paraId="433A1C96">
            <w:pPr>
              <w:jc w:val="center"/>
              <w:rPr>
                <w:rFonts w:hint="eastAsia" w:ascii="宋体" w:hAnsi="宋体" w:eastAsia="宋体" w:cs="宋体"/>
                <w:color w:val="000000"/>
                <w:kern w:val="0"/>
                <w:sz w:val="22"/>
                <w:szCs w:val="22"/>
                <w:lang w:val="en-US" w:eastAsia="zh-CN"/>
              </w:rPr>
            </w:pPr>
          </w:p>
        </w:tc>
        <w:tc>
          <w:tcPr>
            <w:tcW w:w="1217" w:type="pct"/>
            <w:vMerge w:val="continue"/>
            <w:tcBorders>
              <w:top w:val="nil"/>
              <w:left w:val="nil"/>
              <w:bottom w:val="single" w:color="auto" w:sz="4" w:space="0"/>
              <w:right w:val="single" w:color="auto" w:sz="4" w:space="0"/>
            </w:tcBorders>
            <w:noWrap/>
            <w:vAlign w:val="center"/>
          </w:tcPr>
          <w:p w14:paraId="3502BA97">
            <w:pPr>
              <w:jc w:val="center"/>
              <w:rPr>
                <w:rFonts w:ascii="宋体" w:hAnsi="宋体" w:cs="宋体"/>
                <w:color w:val="000000"/>
                <w:kern w:val="0"/>
                <w:sz w:val="22"/>
                <w:szCs w:val="22"/>
              </w:rPr>
            </w:pPr>
          </w:p>
        </w:tc>
        <w:tc>
          <w:tcPr>
            <w:tcW w:w="1319" w:type="pct"/>
            <w:tcBorders>
              <w:top w:val="single" w:color="auto" w:sz="4" w:space="0"/>
              <w:left w:val="nil"/>
              <w:bottom w:val="single" w:color="auto" w:sz="4" w:space="0"/>
              <w:right w:val="single" w:color="auto" w:sz="4" w:space="0"/>
            </w:tcBorders>
            <w:vAlign w:val="center"/>
          </w:tcPr>
          <w:p w14:paraId="3820B20F">
            <w:pPr>
              <w:keepNext w:val="0"/>
              <w:keepLines w:val="0"/>
              <w:widowControl/>
              <w:suppressLineNumbers w:val="0"/>
              <w:jc w:val="left"/>
              <w:textAlignment w:val="center"/>
              <w:rPr>
                <w:rFonts w:ascii="宋体" w:hAnsi="宋体" w:cs="宋体"/>
                <w:color w:val="000000"/>
                <w:kern w:val="0"/>
                <w:sz w:val="22"/>
                <w:szCs w:val="22"/>
              </w:rPr>
            </w:pPr>
            <w:r>
              <w:rPr>
                <w:rFonts w:hint="eastAsia" w:ascii="等线" w:hAnsi="等线" w:eastAsia="等线" w:cs="等线"/>
                <w:i w:val="0"/>
                <w:iCs w:val="0"/>
                <w:color w:val="000000"/>
                <w:kern w:val="0"/>
                <w:sz w:val="22"/>
                <w:szCs w:val="22"/>
                <w:u w:val="none"/>
                <w:lang w:val="en-US" w:eastAsia="zh-CN" w:bidi="ar"/>
              </w:rPr>
              <w:t>线圈绕组匝间隙与直线度矫正</w:t>
            </w:r>
          </w:p>
        </w:tc>
        <w:tc>
          <w:tcPr>
            <w:tcW w:w="624" w:type="pct"/>
            <w:vMerge w:val="continue"/>
            <w:tcBorders>
              <w:left w:val="single" w:color="auto" w:sz="4" w:space="0"/>
              <w:right w:val="single" w:color="auto" w:sz="4" w:space="0"/>
            </w:tcBorders>
          </w:tcPr>
          <w:p w14:paraId="3154C4A4">
            <w:pPr>
              <w:widowControl/>
              <w:jc w:val="center"/>
              <w:rPr>
                <w:rFonts w:hint="default" w:ascii="宋体" w:hAnsi="宋体" w:cs="宋体"/>
                <w:color w:val="FF0000"/>
                <w:kern w:val="0"/>
                <w:sz w:val="22"/>
                <w:szCs w:val="22"/>
                <w:lang w:val="en-US" w:eastAsia="zh-CN"/>
              </w:rPr>
            </w:pPr>
          </w:p>
        </w:tc>
        <w:tc>
          <w:tcPr>
            <w:tcW w:w="311" w:type="pct"/>
            <w:vMerge w:val="continue"/>
            <w:tcBorders>
              <w:left w:val="single" w:color="auto" w:sz="4" w:space="0"/>
              <w:right w:val="single" w:color="auto" w:sz="4" w:space="0"/>
            </w:tcBorders>
            <w:vAlign w:val="center"/>
          </w:tcPr>
          <w:p w14:paraId="65E687B7">
            <w:pPr>
              <w:widowControl/>
              <w:jc w:val="center"/>
              <w:rPr>
                <w:rFonts w:ascii="宋体" w:hAnsi="宋体" w:cs="宋体"/>
                <w:color w:val="000000"/>
                <w:kern w:val="0"/>
                <w:sz w:val="22"/>
                <w:szCs w:val="22"/>
              </w:rPr>
            </w:pPr>
          </w:p>
        </w:tc>
        <w:tc>
          <w:tcPr>
            <w:tcW w:w="401" w:type="pct"/>
            <w:vMerge w:val="continue"/>
            <w:tcBorders>
              <w:left w:val="single" w:color="auto" w:sz="4" w:space="0"/>
              <w:right w:val="single" w:color="auto" w:sz="4" w:space="0"/>
            </w:tcBorders>
            <w:vAlign w:val="center"/>
          </w:tcPr>
          <w:p w14:paraId="29CB7E80">
            <w:pPr>
              <w:widowControl/>
              <w:jc w:val="center"/>
              <w:rPr>
                <w:rFonts w:hint="default" w:ascii="宋体" w:hAnsi="宋体" w:eastAsia="宋体" w:cs="宋体"/>
                <w:color w:val="000000"/>
                <w:kern w:val="0"/>
                <w:sz w:val="22"/>
                <w:szCs w:val="22"/>
                <w:lang w:val="en-US" w:eastAsia="zh-CN"/>
              </w:rPr>
            </w:pPr>
          </w:p>
        </w:tc>
        <w:tc>
          <w:tcPr>
            <w:tcW w:w="757" w:type="pct"/>
            <w:vMerge w:val="continue"/>
            <w:tcBorders>
              <w:left w:val="single" w:color="auto" w:sz="4" w:space="0"/>
              <w:right w:val="single" w:color="auto" w:sz="4" w:space="0"/>
            </w:tcBorders>
            <w:noWrap/>
            <w:vAlign w:val="center"/>
          </w:tcPr>
          <w:p w14:paraId="30FB6942">
            <w:pPr>
              <w:widowControl/>
              <w:jc w:val="center"/>
              <w:rPr>
                <w:rFonts w:ascii="宋体" w:hAnsi="宋体" w:cs="宋体"/>
                <w:color w:val="000000"/>
                <w:kern w:val="0"/>
                <w:sz w:val="22"/>
                <w:szCs w:val="22"/>
              </w:rPr>
            </w:pPr>
          </w:p>
        </w:tc>
      </w:tr>
      <w:tr w14:paraId="46D054DC">
        <w:tblPrEx>
          <w:tblCellMar>
            <w:top w:w="0" w:type="dxa"/>
            <w:left w:w="108" w:type="dxa"/>
            <w:bottom w:w="0" w:type="dxa"/>
            <w:right w:w="108" w:type="dxa"/>
          </w:tblCellMar>
        </w:tblPrEx>
        <w:trPr>
          <w:trHeight w:val="270" w:hRule="atLeast"/>
          <w:jc w:val="center"/>
        </w:trPr>
        <w:tc>
          <w:tcPr>
            <w:tcW w:w="367" w:type="pct"/>
            <w:vMerge w:val="continue"/>
            <w:tcBorders>
              <w:top w:val="single" w:color="auto" w:sz="4" w:space="0"/>
              <w:left w:val="single" w:color="auto" w:sz="4" w:space="0"/>
              <w:bottom w:val="single" w:color="auto" w:sz="4" w:space="0"/>
              <w:right w:val="single" w:color="auto" w:sz="4" w:space="0"/>
            </w:tcBorders>
            <w:vAlign w:val="center"/>
          </w:tcPr>
          <w:p w14:paraId="68400495">
            <w:pPr>
              <w:jc w:val="center"/>
              <w:rPr>
                <w:rFonts w:hint="eastAsia" w:ascii="宋体" w:hAnsi="宋体" w:cs="宋体"/>
                <w:color w:val="000000"/>
                <w:kern w:val="0"/>
                <w:sz w:val="22"/>
                <w:szCs w:val="22"/>
                <w:lang w:val="en-US" w:eastAsia="zh-CN"/>
              </w:rPr>
            </w:pPr>
          </w:p>
        </w:tc>
        <w:tc>
          <w:tcPr>
            <w:tcW w:w="1217" w:type="pct"/>
            <w:vMerge w:val="continue"/>
            <w:tcBorders>
              <w:top w:val="nil"/>
              <w:left w:val="nil"/>
              <w:bottom w:val="single" w:color="auto" w:sz="4" w:space="0"/>
              <w:right w:val="single" w:color="auto" w:sz="4" w:space="0"/>
            </w:tcBorders>
            <w:noWrap/>
            <w:vAlign w:val="center"/>
          </w:tcPr>
          <w:p w14:paraId="492A867A">
            <w:pPr>
              <w:jc w:val="center"/>
              <w:rPr>
                <w:rFonts w:ascii="宋体" w:hAnsi="宋体" w:cs="宋体"/>
                <w:color w:val="000000"/>
                <w:kern w:val="0"/>
                <w:sz w:val="22"/>
                <w:szCs w:val="22"/>
              </w:rPr>
            </w:pPr>
          </w:p>
        </w:tc>
        <w:tc>
          <w:tcPr>
            <w:tcW w:w="1319" w:type="pct"/>
            <w:tcBorders>
              <w:top w:val="single" w:color="auto" w:sz="4" w:space="0"/>
              <w:left w:val="nil"/>
              <w:bottom w:val="single" w:color="auto" w:sz="4" w:space="0"/>
              <w:right w:val="single" w:color="auto" w:sz="4" w:space="0"/>
            </w:tcBorders>
            <w:vAlign w:val="center"/>
          </w:tcPr>
          <w:p w14:paraId="2286C991">
            <w:pPr>
              <w:keepNext w:val="0"/>
              <w:keepLines w:val="0"/>
              <w:widowControl/>
              <w:suppressLineNumbers w:val="0"/>
              <w:jc w:val="left"/>
              <w:textAlignment w:val="center"/>
              <w:rPr>
                <w:rFonts w:ascii="宋体" w:hAnsi="宋体" w:cs="宋体"/>
                <w:color w:val="000000"/>
                <w:kern w:val="0"/>
                <w:sz w:val="22"/>
                <w:szCs w:val="22"/>
              </w:rPr>
            </w:pPr>
            <w:r>
              <w:rPr>
                <w:rFonts w:hint="eastAsia" w:ascii="等线" w:hAnsi="等线" w:eastAsia="等线" w:cs="等线"/>
                <w:i w:val="0"/>
                <w:iCs w:val="0"/>
                <w:color w:val="000000"/>
                <w:kern w:val="0"/>
                <w:sz w:val="22"/>
                <w:szCs w:val="22"/>
                <w:u w:val="none"/>
                <w:lang w:val="en-US" w:eastAsia="zh-CN" w:bidi="ar"/>
              </w:rPr>
              <w:t>线圈浇注耐火泥前工装夹具装配</w:t>
            </w:r>
          </w:p>
        </w:tc>
        <w:tc>
          <w:tcPr>
            <w:tcW w:w="624" w:type="pct"/>
            <w:vMerge w:val="continue"/>
            <w:tcBorders>
              <w:left w:val="single" w:color="auto" w:sz="4" w:space="0"/>
              <w:right w:val="single" w:color="auto" w:sz="4" w:space="0"/>
            </w:tcBorders>
          </w:tcPr>
          <w:p w14:paraId="3FC9CE3D">
            <w:pPr>
              <w:widowControl/>
              <w:jc w:val="center"/>
              <w:rPr>
                <w:rFonts w:hint="default" w:ascii="宋体" w:hAnsi="宋体" w:cs="宋体"/>
                <w:color w:val="FF0000"/>
                <w:kern w:val="0"/>
                <w:sz w:val="22"/>
                <w:szCs w:val="22"/>
                <w:lang w:val="en-US" w:eastAsia="zh-CN"/>
              </w:rPr>
            </w:pPr>
          </w:p>
        </w:tc>
        <w:tc>
          <w:tcPr>
            <w:tcW w:w="311" w:type="pct"/>
            <w:vMerge w:val="continue"/>
            <w:tcBorders>
              <w:left w:val="single" w:color="auto" w:sz="4" w:space="0"/>
              <w:right w:val="single" w:color="auto" w:sz="4" w:space="0"/>
            </w:tcBorders>
            <w:vAlign w:val="center"/>
          </w:tcPr>
          <w:p w14:paraId="49524982">
            <w:pPr>
              <w:widowControl/>
              <w:jc w:val="center"/>
              <w:rPr>
                <w:rFonts w:ascii="宋体" w:hAnsi="宋体" w:cs="宋体"/>
                <w:color w:val="000000"/>
                <w:kern w:val="0"/>
                <w:sz w:val="22"/>
                <w:szCs w:val="22"/>
              </w:rPr>
            </w:pPr>
          </w:p>
        </w:tc>
        <w:tc>
          <w:tcPr>
            <w:tcW w:w="401" w:type="pct"/>
            <w:vMerge w:val="continue"/>
            <w:tcBorders>
              <w:left w:val="single" w:color="auto" w:sz="4" w:space="0"/>
              <w:right w:val="single" w:color="auto" w:sz="4" w:space="0"/>
            </w:tcBorders>
            <w:vAlign w:val="center"/>
          </w:tcPr>
          <w:p w14:paraId="32FFAA74">
            <w:pPr>
              <w:widowControl/>
              <w:jc w:val="center"/>
              <w:rPr>
                <w:rFonts w:hint="default" w:ascii="宋体" w:hAnsi="宋体" w:eastAsia="宋体" w:cs="宋体"/>
                <w:color w:val="000000"/>
                <w:kern w:val="0"/>
                <w:sz w:val="22"/>
                <w:szCs w:val="22"/>
                <w:lang w:val="en-US" w:eastAsia="zh-CN"/>
              </w:rPr>
            </w:pPr>
          </w:p>
        </w:tc>
        <w:tc>
          <w:tcPr>
            <w:tcW w:w="757" w:type="pct"/>
            <w:vMerge w:val="continue"/>
            <w:tcBorders>
              <w:left w:val="single" w:color="auto" w:sz="4" w:space="0"/>
              <w:right w:val="single" w:color="auto" w:sz="4" w:space="0"/>
            </w:tcBorders>
            <w:noWrap/>
            <w:vAlign w:val="center"/>
          </w:tcPr>
          <w:p w14:paraId="6CCD8C5B">
            <w:pPr>
              <w:widowControl/>
              <w:jc w:val="center"/>
              <w:rPr>
                <w:rFonts w:ascii="宋体" w:hAnsi="宋体" w:cs="宋体"/>
                <w:color w:val="000000"/>
                <w:kern w:val="0"/>
                <w:sz w:val="22"/>
                <w:szCs w:val="22"/>
              </w:rPr>
            </w:pPr>
          </w:p>
        </w:tc>
      </w:tr>
      <w:tr w14:paraId="36C86FD5">
        <w:tblPrEx>
          <w:tblCellMar>
            <w:top w:w="0" w:type="dxa"/>
            <w:left w:w="108" w:type="dxa"/>
            <w:bottom w:w="0" w:type="dxa"/>
            <w:right w:w="108" w:type="dxa"/>
          </w:tblCellMar>
        </w:tblPrEx>
        <w:trPr>
          <w:trHeight w:val="270" w:hRule="atLeast"/>
          <w:jc w:val="center"/>
        </w:trPr>
        <w:tc>
          <w:tcPr>
            <w:tcW w:w="367" w:type="pct"/>
            <w:vMerge w:val="continue"/>
            <w:tcBorders>
              <w:top w:val="single" w:color="auto" w:sz="4" w:space="0"/>
              <w:left w:val="single" w:color="auto" w:sz="4" w:space="0"/>
              <w:bottom w:val="single" w:color="auto" w:sz="4" w:space="0"/>
              <w:right w:val="single" w:color="auto" w:sz="4" w:space="0"/>
            </w:tcBorders>
            <w:vAlign w:val="center"/>
          </w:tcPr>
          <w:p w14:paraId="0D992541">
            <w:pPr>
              <w:jc w:val="center"/>
              <w:rPr>
                <w:rFonts w:hint="eastAsia" w:ascii="宋体" w:hAnsi="宋体" w:cs="宋体"/>
                <w:color w:val="000000"/>
                <w:kern w:val="0"/>
                <w:sz w:val="22"/>
                <w:szCs w:val="22"/>
                <w:lang w:val="en-US" w:eastAsia="zh-CN"/>
              </w:rPr>
            </w:pPr>
          </w:p>
        </w:tc>
        <w:tc>
          <w:tcPr>
            <w:tcW w:w="1217" w:type="pct"/>
            <w:vMerge w:val="continue"/>
            <w:tcBorders>
              <w:top w:val="nil"/>
              <w:left w:val="nil"/>
              <w:bottom w:val="single" w:color="auto" w:sz="4" w:space="0"/>
              <w:right w:val="single" w:color="auto" w:sz="4" w:space="0"/>
            </w:tcBorders>
            <w:noWrap/>
            <w:vAlign w:val="center"/>
          </w:tcPr>
          <w:p w14:paraId="54F1627F">
            <w:pPr>
              <w:jc w:val="center"/>
              <w:rPr>
                <w:rFonts w:ascii="宋体" w:hAnsi="宋体" w:cs="宋体"/>
                <w:color w:val="000000"/>
                <w:kern w:val="0"/>
                <w:sz w:val="22"/>
                <w:szCs w:val="22"/>
              </w:rPr>
            </w:pPr>
          </w:p>
        </w:tc>
        <w:tc>
          <w:tcPr>
            <w:tcW w:w="1319" w:type="pct"/>
            <w:tcBorders>
              <w:top w:val="single" w:color="auto" w:sz="4" w:space="0"/>
              <w:left w:val="nil"/>
              <w:bottom w:val="single" w:color="auto" w:sz="4" w:space="0"/>
              <w:right w:val="single" w:color="auto" w:sz="4" w:space="0"/>
            </w:tcBorders>
            <w:vAlign w:val="center"/>
          </w:tcPr>
          <w:p w14:paraId="24272E70">
            <w:pPr>
              <w:keepNext w:val="0"/>
              <w:keepLines w:val="0"/>
              <w:widowControl/>
              <w:suppressLineNumbers w:val="0"/>
              <w:jc w:val="left"/>
              <w:textAlignment w:val="center"/>
              <w:rPr>
                <w:rFonts w:ascii="宋体" w:hAnsi="宋体" w:cs="宋体"/>
                <w:color w:val="000000"/>
                <w:kern w:val="0"/>
                <w:sz w:val="22"/>
                <w:szCs w:val="22"/>
              </w:rPr>
            </w:pPr>
            <w:r>
              <w:rPr>
                <w:rFonts w:hint="eastAsia" w:ascii="等线" w:hAnsi="等线" w:eastAsia="等线" w:cs="等线"/>
                <w:i w:val="0"/>
                <w:iCs w:val="0"/>
                <w:color w:val="000000"/>
                <w:kern w:val="0"/>
                <w:sz w:val="22"/>
                <w:szCs w:val="22"/>
                <w:u w:val="none"/>
                <w:lang w:val="en-US" w:eastAsia="zh-CN" w:bidi="ar"/>
              </w:rPr>
              <w:t>线圈浇注耐火泥与脱模检查炉膛耐火泥</w:t>
            </w:r>
          </w:p>
        </w:tc>
        <w:tc>
          <w:tcPr>
            <w:tcW w:w="624" w:type="pct"/>
            <w:vMerge w:val="continue"/>
            <w:tcBorders>
              <w:left w:val="single" w:color="auto" w:sz="4" w:space="0"/>
              <w:right w:val="single" w:color="auto" w:sz="4" w:space="0"/>
            </w:tcBorders>
          </w:tcPr>
          <w:p w14:paraId="768A285A">
            <w:pPr>
              <w:widowControl/>
              <w:jc w:val="center"/>
              <w:rPr>
                <w:rFonts w:hint="default" w:ascii="宋体" w:hAnsi="宋体" w:cs="宋体"/>
                <w:color w:val="FF0000"/>
                <w:kern w:val="0"/>
                <w:sz w:val="22"/>
                <w:szCs w:val="22"/>
                <w:lang w:val="en-US" w:eastAsia="zh-CN"/>
              </w:rPr>
            </w:pPr>
          </w:p>
        </w:tc>
        <w:tc>
          <w:tcPr>
            <w:tcW w:w="311" w:type="pct"/>
            <w:vMerge w:val="continue"/>
            <w:tcBorders>
              <w:left w:val="single" w:color="auto" w:sz="4" w:space="0"/>
              <w:right w:val="single" w:color="auto" w:sz="4" w:space="0"/>
            </w:tcBorders>
            <w:vAlign w:val="center"/>
          </w:tcPr>
          <w:p w14:paraId="305617A9">
            <w:pPr>
              <w:widowControl/>
              <w:jc w:val="center"/>
              <w:rPr>
                <w:rFonts w:ascii="宋体" w:hAnsi="宋体" w:cs="宋体"/>
                <w:color w:val="000000"/>
                <w:kern w:val="0"/>
                <w:sz w:val="22"/>
                <w:szCs w:val="22"/>
              </w:rPr>
            </w:pPr>
          </w:p>
        </w:tc>
        <w:tc>
          <w:tcPr>
            <w:tcW w:w="401" w:type="pct"/>
            <w:vMerge w:val="continue"/>
            <w:tcBorders>
              <w:left w:val="single" w:color="auto" w:sz="4" w:space="0"/>
              <w:right w:val="single" w:color="auto" w:sz="4" w:space="0"/>
            </w:tcBorders>
            <w:vAlign w:val="center"/>
          </w:tcPr>
          <w:p w14:paraId="301D23A2">
            <w:pPr>
              <w:widowControl/>
              <w:jc w:val="center"/>
              <w:rPr>
                <w:rFonts w:hint="default" w:ascii="宋体" w:hAnsi="宋体" w:eastAsia="宋体" w:cs="宋体"/>
                <w:color w:val="000000"/>
                <w:kern w:val="0"/>
                <w:sz w:val="22"/>
                <w:szCs w:val="22"/>
                <w:lang w:val="en-US" w:eastAsia="zh-CN"/>
              </w:rPr>
            </w:pPr>
          </w:p>
        </w:tc>
        <w:tc>
          <w:tcPr>
            <w:tcW w:w="757" w:type="pct"/>
            <w:vMerge w:val="continue"/>
            <w:tcBorders>
              <w:left w:val="single" w:color="auto" w:sz="4" w:space="0"/>
              <w:right w:val="single" w:color="auto" w:sz="4" w:space="0"/>
            </w:tcBorders>
            <w:noWrap/>
            <w:vAlign w:val="center"/>
          </w:tcPr>
          <w:p w14:paraId="31F701A9">
            <w:pPr>
              <w:widowControl/>
              <w:jc w:val="center"/>
              <w:rPr>
                <w:rFonts w:ascii="宋体" w:hAnsi="宋体" w:cs="宋体"/>
                <w:color w:val="000000"/>
                <w:kern w:val="0"/>
                <w:sz w:val="22"/>
                <w:szCs w:val="22"/>
              </w:rPr>
            </w:pPr>
          </w:p>
        </w:tc>
      </w:tr>
      <w:tr w14:paraId="0D518C7A">
        <w:tblPrEx>
          <w:tblCellMar>
            <w:top w:w="0" w:type="dxa"/>
            <w:left w:w="108" w:type="dxa"/>
            <w:bottom w:w="0" w:type="dxa"/>
            <w:right w:w="108" w:type="dxa"/>
          </w:tblCellMar>
        </w:tblPrEx>
        <w:trPr>
          <w:trHeight w:val="270" w:hRule="atLeast"/>
          <w:jc w:val="center"/>
        </w:trPr>
        <w:tc>
          <w:tcPr>
            <w:tcW w:w="367" w:type="pct"/>
            <w:vMerge w:val="continue"/>
            <w:tcBorders>
              <w:top w:val="single" w:color="auto" w:sz="4" w:space="0"/>
              <w:left w:val="single" w:color="auto" w:sz="4" w:space="0"/>
              <w:bottom w:val="single" w:color="auto" w:sz="4" w:space="0"/>
              <w:right w:val="single" w:color="auto" w:sz="4" w:space="0"/>
            </w:tcBorders>
            <w:vAlign w:val="center"/>
          </w:tcPr>
          <w:p w14:paraId="6D31B3A2">
            <w:pPr>
              <w:jc w:val="center"/>
              <w:rPr>
                <w:rFonts w:hint="eastAsia" w:ascii="宋体" w:hAnsi="宋体" w:cs="宋体"/>
                <w:color w:val="000000"/>
                <w:kern w:val="0"/>
                <w:sz w:val="22"/>
                <w:szCs w:val="22"/>
                <w:lang w:val="en-US" w:eastAsia="zh-CN"/>
              </w:rPr>
            </w:pPr>
          </w:p>
        </w:tc>
        <w:tc>
          <w:tcPr>
            <w:tcW w:w="1217" w:type="pct"/>
            <w:vMerge w:val="continue"/>
            <w:tcBorders>
              <w:top w:val="nil"/>
              <w:left w:val="nil"/>
              <w:bottom w:val="single" w:color="auto" w:sz="4" w:space="0"/>
              <w:right w:val="single" w:color="auto" w:sz="4" w:space="0"/>
            </w:tcBorders>
            <w:noWrap/>
            <w:vAlign w:val="center"/>
          </w:tcPr>
          <w:p w14:paraId="67776BF5">
            <w:pPr>
              <w:jc w:val="center"/>
              <w:rPr>
                <w:rFonts w:ascii="宋体" w:hAnsi="宋体" w:cs="宋体"/>
                <w:color w:val="000000"/>
                <w:kern w:val="0"/>
                <w:sz w:val="22"/>
                <w:szCs w:val="22"/>
              </w:rPr>
            </w:pPr>
          </w:p>
        </w:tc>
        <w:tc>
          <w:tcPr>
            <w:tcW w:w="1319" w:type="pct"/>
            <w:tcBorders>
              <w:top w:val="single" w:color="auto" w:sz="4" w:space="0"/>
              <w:left w:val="nil"/>
              <w:bottom w:val="single" w:color="auto" w:sz="4" w:space="0"/>
              <w:right w:val="single" w:color="auto" w:sz="4" w:space="0"/>
            </w:tcBorders>
            <w:vAlign w:val="center"/>
          </w:tcPr>
          <w:p w14:paraId="55C2E80C">
            <w:pPr>
              <w:keepNext w:val="0"/>
              <w:keepLines w:val="0"/>
              <w:widowControl/>
              <w:suppressLineNumbers w:val="0"/>
              <w:jc w:val="left"/>
              <w:textAlignment w:val="center"/>
              <w:rPr>
                <w:rFonts w:ascii="宋体" w:hAnsi="宋体" w:cs="宋体"/>
                <w:color w:val="000000"/>
                <w:kern w:val="0"/>
                <w:sz w:val="22"/>
                <w:szCs w:val="22"/>
              </w:rPr>
            </w:pPr>
            <w:r>
              <w:rPr>
                <w:rFonts w:hint="eastAsia" w:ascii="等线" w:hAnsi="等线" w:eastAsia="等线" w:cs="等线"/>
                <w:i w:val="0"/>
                <w:iCs w:val="0"/>
                <w:color w:val="000000"/>
                <w:kern w:val="0"/>
                <w:sz w:val="22"/>
                <w:szCs w:val="22"/>
                <w:u w:val="none"/>
                <w:lang w:val="en-US" w:eastAsia="zh-CN" w:bidi="ar"/>
              </w:rPr>
              <w:t>耐火泥养生放置8小时</w:t>
            </w:r>
          </w:p>
        </w:tc>
        <w:tc>
          <w:tcPr>
            <w:tcW w:w="624" w:type="pct"/>
            <w:vMerge w:val="continue"/>
            <w:tcBorders>
              <w:left w:val="single" w:color="auto" w:sz="4" w:space="0"/>
              <w:right w:val="single" w:color="auto" w:sz="4" w:space="0"/>
            </w:tcBorders>
          </w:tcPr>
          <w:p w14:paraId="3914774E">
            <w:pPr>
              <w:widowControl/>
              <w:jc w:val="center"/>
              <w:rPr>
                <w:rFonts w:hint="default" w:ascii="宋体" w:hAnsi="宋体" w:cs="宋体"/>
                <w:color w:val="FF0000"/>
                <w:kern w:val="0"/>
                <w:sz w:val="22"/>
                <w:szCs w:val="22"/>
                <w:lang w:val="en-US" w:eastAsia="zh-CN"/>
              </w:rPr>
            </w:pPr>
          </w:p>
        </w:tc>
        <w:tc>
          <w:tcPr>
            <w:tcW w:w="311" w:type="pct"/>
            <w:vMerge w:val="continue"/>
            <w:tcBorders>
              <w:left w:val="single" w:color="auto" w:sz="4" w:space="0"/>
              <w:right w:val="single" w:color="auto" w:sz="4" w:space="0"/>
            </w:tcBorders>
            <w:vAlign w:val="center"/>
          </w:tcPr>
          <w:p w14:paraId="1E4330A7">
            <w:pPr>
              <w:widowControl/>
              <w:jc w:val="center"/>
              <w:rPr>
                <w:rFonts w:ascii="宋体" w:hAnsi="宋体" w:cs="宋体"/>
                <w:color w:val="000000"/>
                <w:kern w:val="0"/>
                <w:sz w:val="22"/>
                <w:szCs w:val="22"/>
              </w:rPr>
            </w:pPr>
          </w:p>
        </w:tc>
        <w:tc>
          <w:tcPr>
            <w:tcW w:w="401" w:type="pct"/>
            <w:vMerge w:val="continue"/>
            <w:tcBorders>
              <w:left w:val="single" w:color="auto" w:sz="4" w:space="0"/>
              <w:right w:val="single" w:color="auto" w:sz="4" w:space="0"/>
            </w:tcBorders>
            <w:vAlign w:val="center"/>
          </w:tcPr>
          <w:p w14:paraId="54EC3260">
            <w:pPr>
              <w:widowControl/>
              <w:jc w:val="center"/>
              <w:rPr>
                <w:rFonts w:hint="default" w:ascii="宋体" w:hAnsi="宋体" w:eastAsia="宋体" w:cs="宋体"/>
                <w:color w:val="000000"/>
                <w:kern w:val="0"/>
                <w:sz w:val="22"/>
                <w:szCs w:val="22"/>
                <w:lang w:val="en-US" w:eastAsia="zh-CN"/>
              </w:rPr>
            </w:pPr>
          </w:p>
        </w:tc>
        <w:tc>
          <w:tcPr>
            <w:tcW w:w="757" w:type="pct"/>
            <w:vMerge w:val="continue"/>
            <w:tcBorders>
              <w:left w:val="single" w:color="auto" w:sz="4" w:space="0"/>
              <w:right w:val="single" w:color="auto" w:sz="4" w:space="0"/>
            </w:tcBorders>
            <w:noWrap/>
            <w:vAlign w:val="center"/>
          </w:tcPr>
          <w:p w14:paraId="51EC9E1C">
            <w:pPr>
              <w:widowControl/>
              <w:jc w:val="center"/>
              <w:rPr>
                <w:rFonts w:ascii="宋体" w:hAnsi="宋体" w:cs="宋体"/>
                <w:color w:val="000000"/>
                <w:kern w:val="0"/>
                <w:sz w:val="22"/>
                <w:szCs w:val="22"/>
              </w:rPr>
            </w:pPr>
          </w:p>
        </w:tc>
      </w:tr>
      <w:tr w14:paraId="77F1B250">
        <w:tblPrEx>
          <w:tblCellMar>
            <w:top w:w="0" w:type="dxa"/>
            <w:left w:w="108" w:type="dxa"/>
            <w:bottom w:w="0" w:type="dxa"/>
            <w:right w:w="108" w:type="dxa"/>
          </w:tblCellMar>
        </w:tblPrEx>
        <w:trPr>
          <w:trHeight w:val="270" w:hRule="atLeast"/>
          <w:jc w:val="center"/>
        </w:trPr>
        <w:tc>
          <w:tcPr>
            <w:tcW w:w="367" w:type="pct"/>
            <w:vMerge w:val="continue"/>
            <w:tcBorders>
              <w:top w:val="single" w:color="auto" w:sz="4" w:space="0"/>
              <w:left w:val="single" w:color="auto" w:sz="4" w:space="0"/>
              <w:bottom w:val="single" w:color="auto" w:sz="4" w:space="0"/>
              <w:right w:val="single" w:color="auto" w:sz="4" w:space="0"/>
            </w:tcBorders>
            <w:vAlign w:val="center"/>
          </w:tcPr>
          <w:p w14:paraId="28B8D1B3">
            <w:pPr>
              <w:jc w:val="center"/>
              <w:rPr>
                <w:rFonts w:hint="eastAsia" w:ascii="宋体" w:hAnsi="宋体" w:eastAsia="宋体" w:cs="宋体"/>
                <w:color w:val="000000"/>
                <w:kern w:val="0"/>
                <w:sz w:val="22"/>
                <w:szCs w:val="22"/>
                <w:lang w:val="en-US" w:eastAsia="zh-CN"/>
              </w:rPr>
            </w:pPr>
          </w:p>
        </w:tc>
        <w:tc>
          <w:tcPr>
            <w:tcW w:w="1217" w:type="pct"/>
            <w:vMerge w:val="continue"/>
            <w:tcBorders>
              <w:top w:val="nil"/>
              <w:left w:val="nil"/>
              <w:bottom w:val="single" w:color="auto" w:sz="4" w:space="0"/>
              <w:right w:val="single" w:color="auto" w:sz="4" w:space="0"/>
            </w:tcBorders>
            <w:noWrap/>
            <w:vAlign w:val="center"/>
          </w:tcPr>
          <w:p w14:paraId="1FB0B6E8">
            <w:pPr>
              <w:jc w:val="center"/>
              <w:rPr>
                <w:rFonts w:hint="eastAsia" w:ascii="宋体" w:hAnsi="宋体" w:eastAsia="宋体" w:cs="宋体"/>
                <w:color w:val="000000"/>
                <w:kern w:val="0"/>
                <w:sz w:val="22"/>
                <w:szCs w:val="22"/>
                <w:lang w:eastAsia="zh-CN"/>
              </w:rPr>
            </w:pPr>
          </w:p>
        </w:tc>
        <w:tc>
          <w:tcPr>
            <w:tcW w:w="1319" w:type="pct"/>
            <w:tcBorders>
              <w:top w:val="single" w:color="auto" w:sz="4" w:space="0"/>
              <w:left w:val="nil"/>
              <w:bottom w:val="single" w:color="auto" w:sz="4" w:space="0"/>
              <w:right w:val="single" w:color="auto" w:sz="4" w:space="0"/>
            </w:tcBorders>
            <w:vAlign w:val="center"/>
          </w:tcPr>
          <w:p w14:paraId="4F68CFDB">
            <w:pPr>
              <w:keepNext w:val="0"/>
              <w:keepLines w:val="0"/>
              <w:widowControl/>
              <w:suppressLineNumbers w:val="0"/>
              <w:jc w:val="left"/>
              <w:textAlignment w:val="center"/>
              <w:rPr>
                <w:rFonts w:hint="eastAsia" w:ascii="宋体" w:hAnsi="宋体" w:eastAsia="宋体" w:cs="宋体"/>
                <w:color w:val="000000"/>
                <w:kern w:val="0"/>
                <w:sz w:val="22"/>
                <w:szCs w:val="22"/>
                <w:lang w:eastAsia="zh-CN"/>
              </w:rPr>
            </w:pPr>
            <w:r>
              <w:rPr>
                <w:rFonts w:hint="eastAsia" w:ascii="等线" w:hAnsi="等线" w:eastAsia="等线" w:cs="等线"/>
                <w:i w:val="0"/>
                <w:iCs w:val="0"/>
                <w:color w:val="000000"/>
                <w:kern w:val="0"/>
                <w:sz w:val="22"/>
                <w:szCs w:val="22"/>
                <w:u w:val="none"/>
                <w:lang w:val="en-US" w:eastAsia="zh-CN" w:bidi="ar"/>
              </w:rPr>
              <w:t>放入烘箱，按照程序烘炉12小时</w:t>
            </w:r>
          </w:p>
        </w:tc>
        <w:tc>
          <w:tcPr>
            <w:tcW w:w="624" w:type="pct"/>
            <w:vMerge w:val="continue"/>
            <w:tcBorders>
              <w:left w:val="single" w:color="auto" w:sz="4" w:space="0"/>
              <w:right w:val="single" w:color="auto" w:sz="4" w:space="0"/>
            </w:tcBorders>
          </w:tcPr>
          <w:p w14:paraId="5E9D0097">
            <w:pPr>
              <w:widowControl/>
              <w:jc w:val="center"/>
              <w:rPr>
                <w:rFonts w:hint="default" w:ascii="宋体" w:hAnsi="宋体" w:cs="宋体"/>
                <w:color w:val="FF0000"/>
                <w:kern w:val="0"/>
                <w:sz w:val="22"/>
                <w:szCs w:val="22"/>
                <w:lang w:val="en-US" w:eastAsia="zh-CN"/>
              </w:rPr>
            </w:pPr>
          </w:p>
        </w:tc>
        <w:tc>
          <w:tcPr>
            <w:tcW w:w="311" w:type="pct"/>
            <w:vMerge w:val="continue"/>
            <w:tcBorders>
              <w:left w:val="single" w:color="auto" w:sz="4" w:space="0"/>
              <w:right w:val="single" w:color="auto" w:sz="4" w:space="0"/>
            </w:tcBorders>
            <w:vAlign w:val="center"/>
          </w:tcPr>
          <w:p w14:paraId="6DFC48E2">
            <w:pPr>
              <w:widowControl/>
              <w:jc w:val="center"/>
              <w:rPr>
                <w:rFonts w:hint="eastAsia" w:ascii="宋体" w:hAnsi="宋体" w:eastAsia="宋体" w:cs="宋体"/>
                <w:color w:val="000000"/>
                <w:kern w:val="0"/>
                <w:sz w:val="22"/>
                <w:szCs w:val="22"/>
                <w:lang w:eastAsia="zh-CN"/>
              </w:rPr>
            </w:pPr>
          </w:p>
        </w:tc>
        <w:tc>
          <w:tcPr>
            <w:tcW w:w="401" w:type="pct"/>
            <w:vMerge w:val="continue"/>
            <w:tcBorders>
              <w:left w:val="single" w:color="auto" w:sz="4" w:space="0"/>
              <w:right w:val="single" w:color="auto" w:sz="4" w:space="0"/>
            </w:tcBorders>
            <w:vAlign w:val="center"/>
          </w:tcPr>
          <w:p w14:paraId="6126BE0C">
            <w:pPr>
              <w:widowControl/>
              <w:jc w:val="center"/>
              <w:rPr>
                <w:rFonts w:hint="default" w:ascii="宋体" w:hAnsi="宋体" w:eastAsia="宋体" w:cs="宋体"/>
                <w:color w:val="000000"/>
                <w:kern w:val="0"/>
                <w:sz w:val="22"/>
                <w:szCs w:val="22"/>
                <w:lang w:val="en-US" w:eastAsia="zh-CN"/>
              </w:rPr>
            </w:pPr>
          </w:p>
        </w:tc>
        <w:tc>
          <w:tcPr>
            <w:tcW w:w="757" w:type="pct"/>
            <w:vMerge w:val="continue"/>
            <w:tcBorders>
              <w:left w:val="single" w:color="auto" w:sz="4" w:space="0"/>
              <w:right w:val="single" w:color="auto" w:sz="4" w:space="0"/>
            </w:tcBorders>
            <w:noWrap/>
            <w:vAlign w:val="center"/>
          </w:tcPr>
          <w:p w14:paraId="00E91FA7">
            <w:pPr>
              <w:widowControl/>
              <w:jc w:val="center"/>
              <w:rPr>
                <w:rFonts w:ascii="宋体" w:hAnsi="宋体" w:cs="宋体"/>
                <w:color w:val="000000"/>
                <w:kern w:val="0"/>
                <w:sz w:val="22"/>
                <w:szCs w:val="22"/>
              </w:rPr>
            </w:pPr>
          </w:p>
        </w:tc>
      </w:tr>
      <w:tr w14:paraId="2B71FDA7">
        <w:tblPrEx>
          <w:tblCellMar>
            <w:top w:w="0" w:type="dxa"/>
            <w:left w:w="108" w:type="dxa"/>
            <w:bottom w:w="0" w:type="dxa"/>
            <w:right w:w="108" w:type="dxa"/>
          </w:tblCellMar>
        </w:tblPrEx>
        <w:trPr>
          <w:trHeight w:val="270" w:hRule="atLeast"/>
          <w:jc w:val="center"/>
        </w:trPr>
        <w:tc>
          <w:tcPr>
            <w:tcW w:w="367" w:type="pct"/>
            <w:vMerge w:val="continue"/>
            <w:tcBorders>
              <w:top w:val="single" w:color="auto" w:sz="4" w:space="0"/>
              <w:left w:val="single" w:color="auto" w:sz="4" w:space="0"/>
              <w:bottom w:val="single" w:color="auto" w:sz="4" w:space="0"/>
              <w:right w:val="single" w:color="auto" w:sz="4" w:space="0"/>
            </w:tcBorders>
            <w:vAlign w:val="center"/>
          </w:tcPr>
          <w:p w14:paraId="6A2BAE9E">
            <w:pPr>
              <w:jc w:val="center"/>
              <w:rPr>
                <w:rFonts w:hint="eastAsia" w:ascii="宋体" w:hAnsi="宋体" w:cs="宋体"/>
                <w:color w:val="000000"/>
                <w:kern w:val="0"/>
                <w:sz w:val="22"/>
                <w:szCs w:val="22"/>
                <w:lang w:val="en-US" w:eastAsia="zh-CN"/>
              </w:rPr>
            </w:pPr>
          </w:p>
        </w:tc>
        <w:tc>
          <w:tcPr>
            <w:tcW w:w="1217" w:type="pct"/>
            <w:vMerge w:val="continue"/>
            <w:tcBorders>
              <w:top w:val="nil"/>
              <w:left w:val="nil"/>
              <w:bottom w:val="single" w:color="auto" w:sz="4" w:space="0"/>
              <w:right w:val="single" w:color="auto" w:sz="4" w:space="0"/>
            </w:tcBorders>
            <w:noWrap/>
            <w:vAlign w:val="center"/>
          </w:tcPr>
          <w:p w14:paraId="776889F2">
            <w:pPr>
              <w:jc w:val="center"/>
              <w:rPr>
                <w:rFonts w:hint="eastAsia" w:ascii="宋体" w:hAnsi="宋体" w:eastAsia="宋体" w:cs="宋体"/>
                <w:color w:val="000000"/>
                <w:kern w:val="0"/>
                <w:sz w:val="22"/>
                <w:szCs w:val="22"/>
                <w:lang w:eastAsia="zh-CN"/>
              </w:rPr>
            </w:pPr>
          </w:p>
        </w:tc>
        <w:tc>
          <w:tcPr>
            <w:tcW w:w="1319" w:type="pct"/>
            <w:tcBorders>
              <w:top w:val="single" w:color="auto" w:sz="4" w:space="0"/>
              <w:left w:val="nil"/>
              <w:bottom w:val="single" w:color="auto" w:sz="4" w:space="0"/>
              <w:right w:val="single" w:color="auto" w:sz="4" w:space="0"/>
            </w:tcBorders>
            <w:vAlign w:val="center"/>
          </w:tcPr>
          <w:p w14:paraId="037AAE79">
            <w:pPr>
              <w:keepNext w:val="0"/>
              <w:keepLines w:val="0"/>
              <w:widowControl/>
              <w:suppressLineNumbers w:val="0"/>
              <w:jc w:val="left"/>
              <w:textAlignment w:val="center"/>
              <w:rPr>
                <w:rFonts w:hint="eastAsia" w:ascii="宋体" w:hAnsi="宋体" w:eastAsia="宋体" w:cs="宋体"/>
                <w:color w:val="000000"/>
                <w:kern w:val="0"/>
                <w:sz w:val="22"/>
                <w:szCs w:val="22"/>
                <w:lang w:eastAsia="zh-CN"/>
              </w:rPr>
            </w:pPr>
            <w:r>
              <w:rPr>
                <w:rFonts w:hint="eastAsia" w:ascii="等线" w:hAnsi="等线" w:eastAsia="等线" w:cs="等线"/>
                <w:i w:val="0"/>
                <w:iCs w:val="0"/>
                <w:color w:val="000000"/>
                <w:kern w:val="0"/>
                <w:sz w:val="22"/>
                <w:szCs w:val="22"/>
                <w:u w:val="none"/>
                <w:lang w:val="en-US" w:eastAsia="zh-CN" w:bidi="ar"/>
              </w:rPr>
              <w:t>线圈各零部件产品总装</w:t>
            </w:r>
          </w:p>
        </w:tc>
        <w:tc>
          <w:tcPr>
            <w:tcW w:w="624" w:type="pct"/>
            <w:vMerge w:val="continue"/>
            <w:tcBorders>
              <w:left w:val="single" w:color="auto" w:sz="4" w:space="0"/>
              <w:right w:val="single" w:color="auto" w:sz="4" w:space="0"/>
            </w:tcBorders>
          </w:tcPr>
          <w:p w14:paraId="300F11E9">
            <w:pPr>
              <w:widowControl/>
              <w:jc w:val="center"/>
              <w:rPr>
                <w:rFonts w:hint="default" w:ascii="宋体" w:hAnsi="宋体" w:cs="宋体"/>
                <w:color w:val="FF0000"/>
                <w:kern w:val="0"/>
                <w:sz w:val="22"/>
                <w:szCs w:val="22"/>
                <w:lang w:val="en-US" w:eastAsia="zh-CN"/>
              </w:rPr>
            </w:pPr>
          </w:p>
        </w:tc>
        <w:tc>
          <w:tcPr>
            <w:tcW w:w="311" w:type="pct"/>
            <w:vMerge w:val="continue"/>
            <w:tcBorders>
              <w:left w:val="single" w:color="auto" w:sz="4" w:space="0"/>
              <w:right w:val="single" w:color="auto" w:sz="4" w:space="0"/>
            </w:tcBorders>
            <w:vAlign w:val="center"/>
          </w:tcPr>
          <w:p w14:paraId="148F7344">
            <w:pPr>
              <w:widowControl/>
              <w:jc w:val="center"/>
              <w:rPr>
                <w:rFonts w:hint="eastAsia" w:ascii="宋体" w:hAnsi="宋体" w:eastAsia="宋体" w:cs="宋体"/>
                <w:color w:val="000000"/>
                <w:kern w:val="0"/>
                <w:sz w:val="22"/>
                <w:szCs w:val="22"/>
                <w:lang w:eastAsia="zh-CN"/>
              </w:rPr>
            </w:pPr>
          </w:p>
        </w:tc>
        <w:tc>
          <w:tcPr>
            <w:tcW w:w="401" w:type="pct"/>
            <w:vMerge w:val="continue"/>
            <w:tcBorders>
              <w:left w:val="single" w:color="auto" w:sz="4" w:space="0"/>
              <w:right w:val="single" w:color="auto" w:sz="4" w:space="0"/>
            </w:tcBorders>
            <w:vAlign w:val="center"/>
          </w:tcPr>
          <w:p w14:paraId="44778AD7">
            <w:pPr>
              <w:widowControl/>
              <w:jc w:val="center"/>
              <w:rPr>
                <w:rFonts w:hint="default" w:ascii="宋体" w:hAnsi="宋体" w:eastAsia="宋体" w:cs="宋体"/>
                <w:color w:val="000000"/>
                <w:kern w:val="0"/>
                <w:sz w:val="22"/>
                <w:szCs w:val="22"/>
                <w:lang w:val="en-US" w:eastAsia="zh-CN"/>
              </w:rPr>
            </w:pPr>
          </w:p>
        </w:tc>
        <w:tc>
          <w:tcPr>
            <w:tcW w:w="757" w:type="pct"/>
            <w:vMerge w:val="continue"/>
            <w:tcBorders>
              <w:left w:val="single" w:color="auto" w:sz="4" w:space="0"/>
              <w:right w:val="single" w:color="auto" w:sz="4" w:space="0"/>
            </w:tcBorders>
            <w:noWrap/>
            <w:vAlign w:val="center"/>
          </w:tcPr>
          <w:p w14:paraId="20F50818">
            <w:pPr>
              <w:widowControl/>
              <w:jc w:val="center"/>
              <w:rPr>
                <w:rFonts w:ascii="宋体" w:hAnsi="宋体" w:cs="宋体"/>
                <w:color w:val="000000"/>
                <w:kern w:val="0"/>
                <w:sz w:val="22"/>
                <w:szCs w:val="22"/>
              </w:rPr>
            </w:pPr>
          </w:p>
        </w:tc>
      </w:tr>
      <w:tr w14:paraId="0E7E1546">
        <w:tblPrEx>
          <w:tblCellMar>
            <w:top w:w="0" w:type="dxa"/>
            <w:left w:w="108" w:type="dxa"/>
            <w:bottom w:w="0" w:type="dxa"/>
            <w:right w:w="108" w:type="dxa"/>
          </w:tblCellMar>
        </w:tblPrEx>
        <w:trPr>
          <w:trHeight w:val="270" w:hRule="atLeast"/>
          <w:jc w:val="center"/>
        </w:trPr>
        <w:tc>
          <w:tcPr>
            <w:tcW w:w="367" w:type="pct"/>
            <w:vMerge w:val="continue"/>
            <w:tcBorders>
              <w:top w:val="single" w:color="auto" w:sz="4" w:space="0"/>
              <w:left w:val="single" w:color="auto" w:sz="4" w:space="0"/>
              <w:bottom w:val="single" w:color="auto" w:sz="4" w:space="0"/>
              <w:right w:val="single" w:color="auto" w:sz="4" w:space="0"/>
            </w:tcBorders>
            <w:vAlign w:val="center"/>
          </w:tcPr>
          <w:p w14:paraId="487C52BE">
            <w:pPr>
              <w:jc w:val="center"/>
              <w:rPr>
                <w:rFonts w:hint="default"/>
                <w:lang w:val="en-US" w:eastAsia="zh-CN"/>
              </w:rPr>
            </w:pPr>
          </w:p>
        </w:tc>
        <w:tc>
          <w:tcPr>
            <w:tcW w:w="1217" w:type="pct"/>
            <w:vMerge w:val="continue"/>
            <w:tcBorders>
              <w:top w:val="nil"/>
              <w:left w:val="nil"/>
              <w:bottom w:val="single" w:color="auto" w:sz="4" w:space="0"/>
              <w:right w:val="single" w:color="auto" w:sz="4" w:space="0"/>
            </w:tcBorders>
            <w:noWrap/>
            <w:vAlign w:val="center"/>
          </w:tcPr>
          <w:p w14:paraId="05F60AE1">
            <w:pPr>
              <w:jc w:val="center"/>
              <w:rPr>
                <w:rFonts w:hint="default" w:ascii="宋体" w:hAnsi="宋体" w:eastAsia="宋体" w:cs="宋体"/>
                <w:color w:val="000000"/>
                <w:kern w:val="0"/>
                <w:sz w:val="22"/>
                <w:szCs w:val="22"/>
                <w:lang w:val="en-US" w:eastAsia="zh-CN"/>
              </w:rPr>
            </w:pPr>
          </w:p>
        </w:tc>
        <w:tc>
          <w:tcPr>
            <w:tcW w:w="1319" w:type="pct"/>
            <w:tcBorders>
              <w:top w:val="single" w:color="auto" w:sz="4" w:space="0"/>
              <w:left w:val="nil"/>
              <w:bottom w:val="single" w:color="auto" w:sz="4" w:space="0"/>
              <w:right w:val="single" w:color="auto" w:sz="4" w:space="0"/>
            </w:tcBorders>
            <w:vAlign w:val="center"/>
          </w:tcPr>
          <w:p w14:paraId="3BFB2892">
            <w:pPr>
              <w:keepNext w:val="0"/>
              <w:keepLines w:val="0"/>
              <w:widowControl/>
              <w:suppressLineNumbers w:val="0"/>
              <w:jc w:val="left"/>
              <w:textAlignment w:val="center"/>
              <w:rPr>
                <w:rFonts w:hint="default" w:ascii="宋体" w:hAnsi="宋体" w:cs="宋体"/>
                <w:color w:val="000000"/>
                <w:kern w:val="0"/>
                <w:sz w:val="22"/>
                <w:szCs w:val="22"/>
                <w:lang w:val="en-US" w:eastAsia="zh-CN"/>
              </w:rPr>
            </w:pPr>
            <w:r>
              <w:rPr>
                <w:rFonts w:hint="eastAsia" w:ascii="等线" w:hAnsi="等线" w:eastAsia="等线" w:cs="等线"/>
                <w:i w:val="0"/>
                <w:iCs w:val="0"/>
                <w:color w:val="000000"/>
                <w:kern w:val="0"/>
                <w:sz w:val="22"/>
                <w:szCs w:val="22"/>
                <w:u w:val="none"/>
                <w:lang w:val="en-US" w:eastAsia="zh-CN" w:bidi="ar"/>
              </w:rPr>
              <w:t>产品水压检测-查漏</w:t>
            </w:r>
          </w:p>
        </w:tc>
        <w:tc>
          <w:tcPr>
            <w:tcW w:w="624" w:type="pct"/>
            <w:vMerge w:val="continue"/>
            <w:tcBorders>
              <w:left w:val="single" w:color="auto" w:sz="4" w:space="0"/>
              <w:right w:val="single" w:color="auto" w:sz="4" w:space="0"/>
            </w:tcBorders>
          </w:tcPr>
          <w:p w14:paraId="6F91822A">
            <w:pPr>
              <w:widowControl/>
              <w:jc w:val="center"/>
              <w:rPr>
                <w:rFonts w:hint="default" w:ascii="宋体" w:hAnsi="宋体" w:cs="宋体"/>
                <w:color w:val="FF0000"/>
                <w:kern w:val="0"/>
                <w:sz w:val="22"/>
                <w:szCs w:val="22"/>
                <w:lang w:val="en-US" w:eastAsia="zh-CN"/>
              </w:rPr>
            </w:pPr>
          </w:p>
        </w:tc>
        <w:tc>
          <w:tcPr>
            <w:tcW w:w="311" w:type="pct"/>
            <w:vMerge w:val="continue"/>
            <w:tcBorders>
              <w:left w:val="single" w:color="auto" w:sz="4" w:space="0"/>
              <w:right w:val="single" w:color="auto" w:sz="4" w:space="0"/>
            </w:tcBorders>
            <w:vAlign w:val="center"/>
          </w:tcPr>
          <w:p w14:paraId="16A9E5BD">
            <w:pPr>
              <w:widowControl/>
              <w:jc w:val="center"/>
              <w:rPr>
                <w:rFonts w:hint="default" w:ascii="宋体" w:hAnsi="宋体" w:cs="宋体"/>
                <w:color w:val="000000"/>
                <w:kern w:val="0"/>
                <w:sz w:val="22"/>
                <w:szCs w:val="22"/>
                <w:lang w:val="en-US" w:eastAsia="zh-CN"/>
              </w:rPr>
            </w:pPr>
          </w:p>
        </w:tc>
        <w:tc>
          <w:tcPr>
            <w:tcW w:w="401" w:type="pct"/>
            <w:vMerge w:val="continue"/>
            <w:tcBorders>
              <w:left w:val="single" w:color="auto" w:sz="4" w:space="0"/>
              <w:right w:val="single" w:color="auto" w:sz="4" w:space="0"/>
            </w:tcBorders>
            <w:vAlign w:val="center"/>
          </w:tcPr>
          <w:p w14:paraId="42D698B4">
            <w:pPr>
              <w:widowControl/>
              <w:jc w:val="center"/>
              <w:rPr>
                <w:rFonts w:hint="default" w:ascii="宋体" w:hAnsi="宋体" w:cs="宋体"/>
                <w:color w:val="000000"/>
                <w:kern w:val="0"/>
                <w:sz w:val="22"/>
                <w:szCs w:val="22"/>
                <w:lang w:val="en-US" w:eastAsia="zh-CN"/>
              </w:rPr>
            </w:pPr>
          </w:p>
        </w:tc>
        <w:tc>
          <w:tcPr>
            <w:tcW w:w="757" w:type="pct"/>
            <w:vMerge w:val="continue"/>
            <w:tcBorders>
              <w:left w:val="single" w:color="auto" w:sz="4" w:space="0"/>
              <w:right w:val="single" w:color="auto" w:sz="4" w:space="0"/>
            </w:tcBorders>
            <w:noWrap/>
            <w:vAlign w:val="center"/>
          </w:tcPr>
          <w:p w14:paraId="27B771A3">
            <w:pPr>
              <w:widowControl/>
              <w:jc w:val="center"/>
              <w:rPr>
                <w:rFonts w:ascii="宋体" w:hAnsi="宋体" w:cs="宋体"/>
                <w:color w:val="000000"/>
                <w:kern w:val="0"/>
                <w:sz w:val="22"/>
                <w:szCs w:val="22"/>
              </w:rPr>
            </w:pPr>
          </w:p>
        </w:tc>
      </w:tr>
      <w:tr w14:paraId="24201371">
        <w:tblPrEx>
          <w:tblCellMar>
            <w:top w:w="0" w:type="dxa"/>
            <w:left w:w="108" w:type="dxa"/>
            <w:bottom w:w="0" w:type="dxa"/>
            <w:right w:w="108" w:type="dxa"/>
          </w:tblCellMar>
        </w:tblPrEx>
        <w:trPr>
          <w:trHeight w:val="270" w:hRule="atLeast"/>
          <w:jc w:val="center"/>
        </w:trPr>
        <w:tc>
          <w:tcPr>
            <w:tcW w:w="367" w:type="pct"/>
            <w:vMerge w:val="continue"/>
            <w:tcBorders>
              <w:top w:val="single" w:color="auto" w:sz="4" w:space="0"/>
              <w:left w:val="single" w:color="auto" w:sz="4" w:space="0"/>
              <w:bottom w:val="single" w:color="auto" w:sz="4" w:space="0"/>
              <w:right w:val="single" w:color="auto" w:sz="4" w:space="0"/>
            </w:tcBorders>
            <w:vAlign w:val="center"/>
          </w:tcPr>
          <w:p w14:paraId="02F7E09A">
            <w:pPr>
              <w:jc w:val="center"/>
              <w:rPr>
                <w:rFonts w:hint="eastAsia" w:ascii="宋体" w:hAnsi="宋体" w:cs="宋体"/>
                <w:color w:val="000000"/>
                <w:kern w:val="0"/>
                <w:sz w:val="22"/>
                <w:szCs w:val="22"/>
                <w:lang w:val="en-US" w:eastAsia="zh-CN"/>
              </w:rPr>
            </w:pPr>
          </w:p>
        </w:tc>
        <w:tc>
          <w:tcPr>
            <w:tcW w:w="1217" w:type="pct"/>
            <w:vMerge w:val="continue"/>
            <w:tcBorders>
              <w:top w:val="nil"/>
              <w:left w:val="nil"/>
              <w:bottom w:val="single" w:color="auto" w:sz="4" w:space="0"/>
              <w:right w:val="single" w:color="auto" w:sz="4" w:space="0"/>
            </w:tcBorders>
            <w:noWrap/>
            <w:vAlign w:val="center"/>
          </w:tcPr>
          <w:p w14:paraId="4AFEE918">
            <w:pPr>
              <w:jc w:val="center"/>
              <w:rPr>
                <w:rFonts w:hint="default" w:ascii="宋体" w:hAnsi="宋体" w:eastAsia="宋体" w:cs="宋体"/>
                <w:color w:val="000000"/>
                <w:kern w:val="0"/>
                <w:sz w:val="22"/>
                <w:szCs w:val="22"/>
                <w:lang w:val="en-US" w:eastAsia="zh-CN"/>
              </w:rPr>
            </w:pPr>
          </w:p>
        </w:tc>
        <w:tc>
          <w:tcPr>
            <w:tcW w:w="1319" w:type="pct"/>
            <w:tcBorders>
              <w:top w:val="single" w:color="auto" w:sz="4" w:space="0"/>
              <w:left w:val="nil"/>
              <w:bottom w:val="single" w:color="auto" w:sz="4" w:space="0"/>
              <w:right w:val="single" w:color="auto" w:sz="4" w:space="0"/>
            </w:tcBorders>
            <w:vAlign w:val="center"/>
          </w:tcPr>
          <w:p w14:paraId="42367333">
            <w:pPr>
              <w:keepNext w:val="0"/>
              <w:keepLines w:val="0"/>
              <w:widowControl/>
              <w:suppressLineNumbers w:val="0"/>
              <w:jc w:val="left"/>
              <w:textAlignment w:val="center"/>
              <w:rPr>
                <w:rFonts w:hint="default" w:ascii="宋体" w:hAnsi="宋体" w:cs="宋体"/>
                <w:color w:val="000000"/>
                <w:kern w:val="0"/>
                <w:sz w:val="22"/>
                <w:szCs w:val="22"/>
                <w:lang w:val="en-US" w:eastAsia="zh-CN"/>
              </w:rPr>
            </w:pPr>
            <w:r>
              <w:rPr>
                <w:rFonts w:hint="eastAsia" w:ascii="等线" w:hAnsi="等线" w:eastAsia="等线" w:cs="等线"/>
                <w:i w:val="0"/>
                <w:iCs w:val="0"/>
                <w:color w:val="000000"/>
                <w:kern w:val="0"/>
                <w:sz w:val="22"/>
                <w:szCs w:val="22"/>
                <w:u w:val="none"/>
                <w:lang w:val="en-US" w:eastAsia="zh-CN" w:bidi="ar"/>
              </w:rPr>
              <w:t>产品外观检查与清洁</w:t>
            </w:r>
          </w:p>
        </w:tc>
        <w:tc>
          <w:tcPr>
            <w:tcW w:w="624" w:type="pct"/>
            <w:vMerge w:val="continue"/>
            <w:tcBorders>
              <w:left w:val="single" w:color="auto" w:sz="4" w:space="0"/>
              <w:right w:val="single" w:color="auto" w:sz="4" w:space="0"/>
            </w:tcBorders>
          </w:tcPr>
          <w:p w14:paraId="47E0600F">
            <w:pPr>
              <w:widowControl/>
              <w:jc w:val="center"/>
              <w:rPr>
                <w:rFonts w:hint="default" w:ascii="宋体" w:hAnsi="宋体" w:cs="宋体"/>
                <w:color w:val="FF0000"/>
                <w:kern w:val="0"/>
                <w:sz w:val="22"/>
                <w:szCs w:val="22"/>
                <w:lang w:val="en-US" w:eastAsia="zh-CN"/>
              </w:rPr>
            </w:pPr>
          </w:p>
        </w:tc>
        <w:tc>
          <w:tcPr>
            <w:tcW w:w="311" w:type="pct"/>
            <w:vMerge w:val="continue"/>
            <w:tcBorders>
              <w:left w:val="single" w:color="auto" w:sz="4" w:space="0"/>
              <w:right w:val="single" w:color="auto" w:sz="4" w:space="0"/>
            </w:tcBorders>
            <w:vAlign w:val="center"/>
          </w:tcPr>
          <w:p w14:paraId="71782C44">
            <w:pPr>
              <w:widowControl/>
              <w:jc w:val="center"/>
              <w:rPr>
                <w:rFonts w:hint="default" w:ascii="宋体" w:hAnsi="宋体" w:cs="宋体"/>
                <w:color w:val="000000"/>
                <w:kern w:val="0"/>
                <w:sz w:val="22"/>
                <w:szCs w:val="22"/>
                <w:lang w:val="en-US" w:eastAsia="zh-CN"/>
              </w:rPr>
            </w:pPr>
          </w:p>
        </w:tc>
        <w:tc>
          <w:tcPr>
            <w:tcW w:w="401" w:type="pct"/>
            <w:vMerge w:val="continue"/>
            <w:tcBorders>
              <w:left w:val="single" w:color="auto" w:sz="4" w:space="0"/>
              <w:right w:val="single" w:color="auto" w:sz="4" w:space="0"/>
            </w:tcBorders>
            <w:vAlign w:val="center"/>
          </w:tcPr>
          <w:p w14:paraId="5D26161F">
            <w:pPr>
              <w:widowControl/>
              <w:jc w:val="center"/>
              <w:rPr>
                <w:rFonts w:hint="default" w:ascii="宋体" w:hAnsi="宋体" w:cs="宋体"/>
                <w:color w:val="000000"/>
                <w:kern w:val="0"/>
                <w:sz w:val="22"/>
                <w:szCs w:val="22"/>
                <w:lang w:val="en-US" w:eastAsia="zh-CN"/>
              </w:rPr>
            </w:pPr>
          </w:p>
        </w:tc>
        <w:tc>
          <w:tcPr>
            <w:tcW w:w="757" w:type="pct"/>
            <w:vMerge w:val="continue"/>
            <w:tcBorders>
              <w:left w:val="single" w:color="auto" w:sz="4" w:space="0"/>
              <w:right w:val="single" w:color="auto" w:sz="4" w:space="0"/>
            </w:tcBorders>
            <w:noWrap/>
            <w:vAlign w:val="center"/>
          </w:tcPr>
          <w:p w14:paraId="2ABB1F5C">
            <w:pPr>
              <w:widowControl/>
              <w:jc w:val="center"/>
              <w:rPr>
                <w:rFonts w:ascii="宋体" w:hAnsi="宋体" w:cs="宋体"/>
                <w:color w:val="000000"/>
                <w:kern w:val="0"/>
                <w:sz w:val="22"/>
                <w:szCs w:val="22"/>
              </w:rPr>
            </w:pPr>
          </w:p>
        </w:tc>
      </w:tr>
      <w:tr w14:paraId="2F2D05C3">
        <w:tblPrEx>
          <w:tblCellMar>
            <w:top w:w="0" w:type="dxa"/>
            <w:left w:w="108" w:type="dxa"/>
            <w:bottom w:w="0" w:type="dxa"/>
            <w:right w:w="108" w:type="dxa"/>
          </w:tblCellMar>
        </w:tblPrEx>
        <w:trPr>
          <w:trHeight w:val="270" w:hRule="atLeast"/>
          <w:jc w:val="center"/>
        </w:trPr>
        <w:tc>
          <w:tcPr>
            <w:tcW w:w="367" w:type="pct"/>
            <w:vMerge w:val="continue"/>
            <w:tcBorders>
              <w:top w:val="single" w:color="auto" w:sz="4" w:space="0"/>
              <w:left w:val="single" w:color="auto" w:sz="4" w:space="0"/>
              <w:bottom w:val="single" w:color="auto" w:sz="4" w:space="0"/>
              <w:right w:val="single" w:color="auto" w:sz="4" w:space="0"/>
            </w:tcBorders>
            <w:vAlign w:val="center"/>
          </w:tcPr>
          <w:p w14:paraId="29C38C59">
            <w:pPr>
              <w:jc w:val="center"/>
              <w:rPr>
                <w:rFonts w:hint="eastAsia" w:ascii="宋体" w:hAnsi="宋体" w:cs="宋体"/>
                <w:color w:val="000000"/>
                <w:kern w:val="0"/>
                <w:sz w:val="22"/>
                <w:szCs w:val="22"/>
                <w:lang w:val="en-US" w:eastAsia="zh-CN"/>
              </w:rPr>
            </w:pPr>
          </w:p>
        </w:tc>
        <w:tc>
          <w:tcPr>
            <w:tcW w:w="1217" w:type="pct"/>
            <w:vMerge w:val="continue"/>
            <w:tcBorders>
              <w:top w:val="nil"/>
              <w:left w:val="nil"/>
              <w:bottom w:val="single" w:color="auto" w:sz="4" w:space="0"/>
              <w:right w:val="single" w:color="auto" w:sz="4" w:space="0"/>
            </w:tcBorders>
            <w:noWrap/>
            <w:vAlign w:val="center"/>
          </w:tcPr>
          <w:p w14:paraId="1822B77F">
            <w:pPr>
              <w:jc w:val="center"/>
              <w:rPr>
                <w:rFonts w:hint="default" w:ascii="宋体" w:hAnsi="宋体" w:eastAsia="宋体" w:cs="宋体"/>
                <w:color w:val="000000"/>
                <w:kern w:val="0"/>
                <w:sz w:val="22"/>
                <w:szCs w:val="22"/>
                <w:lang w:val="en-US" w:eastAsia="zh-CN"/>
              </w:rPr>
            </w:pPr>
          </w:p>
        </w:tc>
        <w:tc>
          <w:tcPr>
            <w:tcW w:w="1319" w:type="pct"/>
            <w:tcBorders>
              <w:top w:val="single" w:color="auto" w:sz="4" w:space="0"/>
              <w:left w:val="nil"/>
              <w:bottom w:val="single" w:color="auto" w:sz="4" w:space="0"/>
              <w:right w:val="single" w:color="auto" w:sz="4" w:space="0"/>
            </w:tcBorders>
            <w:vAlign w:val="center"/>
          </w:tcPr>
          <w:p w14:paraId="46430985">
            <w:pPr>
              <w:keepNext w:val="0"/>
              <w:keepLines w:val="0"/>
              <w:widowControl/>
              <w:suppressLineNumbers w:val="0"/>
              <w:jc w:val="left"/>
              <w:textAlignment w:val="center"/>
              <w:rPr>
                <w:rFonts w:hint="default" w:ascii="宋体" w:hAnsi="宋体" w:cs="宋体"/>
                <w:color w:val="000000"/>
                <w:kern w:val="0"/>
                <w:sz w:val="22"/>
                <w:szCs w:val="22"/>
                <w:lang w:val="en-US" w:eastAsia="zh-CN"/>
              </w:rPr>
            </w:pPr>
            <w:r>
              <w:rPr>
                <w:rFonts w:hint="eastAsia" w:ascii="等线" w:hAnsi="等线" w:eastAsia="等线" w:cs="等线"/>
                <w:i w:val="0"/>
                <w:iCs w:val="0"/>
                <w:color w:val="000000"/>
                <w:kern w:val="0"/>
                <w:sz w:val="22"/>
                <w:szCs w:val="22"/>
                <w:u w:val="none"/>
                <w:lang w:val="en-US" w:eastAsia="zh-CN" w:bidi="ar"/>
              </w:rPr>
              <w:t>贴标签，合格证</w:t>
            </w:r>
          </w:p>
        </w:tc>
        <w:tc>
          <w:tcPr>
            <w:tcW w:w="624" w:type="pct"/>
            <w:vMerge w:val="continue"/>
            <w:tcBorders>
              <w:left w:val="single" w:color="auto" w:sz="4" w:space="0"/>
              <w:right w:val="single" w:color="auto" w:sz="4" w:space="0"/>
            </w:tcBorders>
          </w:tcPr>
          <w:p w14:paraId="599F5FAA">
            <w:pPr>
              <w:widowControl/>
              <w:jc w:val="center"/>
              <w:rPr>
                <w:rFonts w:hint="default" w:ascii="宋体" w:hAnsi="宋体" w:cs="宋体"/>
                <w:color w:val="FF0000"/>
                <w:kern w:val="0"/>
                <w:sz w:val="22"/>
                <w:szCs w:val="22"/>
                <w:lang w:val="en-US" w:eastAsia="zh-CN"/>
              </w:rPr>
            </w:pPr>
          </w:p>
        </w:tc>
        <w:tc>
          <w:tcPr>
            <w:tcW w:w="311" w:type="pct"/>
            <w:vMerge w:val="continue"/>
            <w:tcBorders>
              <w:left w:val="single" w:color="auto" w:sz="4" w:space="0"/>
              <w:right w:val="single" w:color="auto" w:sz="4" w:space="0"/>
            </w:tcBorders>
            <w:vAlign w:val="center"/>
          </w:tcPr>
          <w:p w14:paraId="0F1C68B3">
            <w:pPr>
              <w:widowControl/>
              <w:jc w:val="center"/>
              <w:rPr>
                <w:rFonts w:hint="default" w:ascii="宋体" w:hAnsi="宋体" w:cs="宋体"/>
                <w:color w:val="000000"/>
                <w:kern w:val="0"/>
                <w:sz w:val="22"/>
                <w:szCs w:val="22"/>
                <w:lang w:val="en-US" w:eastAsia="zh-CN"/>
              </w:rPr>
            </w:pPr>
          </w:p>
        </w:tc>
        <w:tc>
          <w:tcPr>
            <w:tcW w:w="401" w:type="pct"/>
            <w:vMerge w:val="continue"/>
            <w:tcBorders>
              <w:left w:val="single" w:color="auto" w:sz="4" w:space="0"/>
              <w:right w:val="single" w:color="auto" w:sz="4" w:space="0"/>
            </w:tcBorders>
            <w:vAlign w:val="center"/>
          </w:tcPr>
          <w:p w14:paraId="45C642A1">
            <w:pPr>
              <w:widowControl/>
              <w:jc w:val="center"/>
              <w:rPr>
                <w:rFonts w:hint="default" w:ascii="宋体" w:hAnsi="宋体" w:cs="宋体"/>
                <w:color w:val="000000"/>
                <w:kern w:val="0"/>
                <w:sz w:val="22"/>
                <w:szCs w:val="22"/>
                <w:lang w:val="en-US" w:eastAsia="zh-CN"/>
              </w:rPr>
            </w:pPr>
          </w:p>
        </w:tc>
        <w:tc>
          <w:tcPr>
            <w:tcW w:w="757" w:type="pct"/>
            <w:vMerge w:val="continue"/>
            <w:tcBorders>
              <w:left w:val="single" w:color="auto" w:sz="4" w:space="0"/>
              <w:right w:val="single" w:color="auto" w:sz="4" w:space="0"/>
            </w:tcBorders>
            <w:noWrap/>
            <w:vAlign w:val="center"/>
          </w:tcPr>
          <w:p w14:paraId="6B4753A0">
            <w:pPr>
              <w:widowControl/>
              <w:jc w:val="center"/>
              <w:rPr>
                <w:rFonts w:ascii="宋体" w:hAnsi="宋体" w:cs="宋体"/>
                <w:color w:val="000000"/>
                <w:kern w:val="0"/>
                <w:sz w:val="22"/>
                <w:szCs w:val="22"/>
              </w:rPr>
            </w:pPr>
          </w:p>
        </w:tc>
      </w:tr>
      <w:tr w14:paraId="60602717">
        <w:tblPrEx>
          <w:tblCellMar>
            <w:top w:w="0" w:type="dxa"/>
            <w:left w:w="108" w:type="dxa"/>
            <w:bottom w:w="0" w:type="dxa"/>
            <w:right w:w="108" w:type="dxa"/>
          </w:tblCellMar>
        </w:tblPrEx>
        <w:trPr>
          <w:trHeight w:val="270" w:hRule="atLeast"/>
          <w:jc w:val="center"/>
        </w:trPr>
        <w:tc>
          <w:tcPr>
            <w:tcW w:w="367" w:type="pct"/>
            <w:vMerge w:val="continue"/>
            <w:tcBorders>
              <w:top w:val="single" w:color="auto" w:sz="4" w:space="0"/>
              <w:left w:val="single" w:color="auto" w:sz="4" w:space="0"/>
              <w:bottom w:val="single" w:color="auto" w:sz="4" w:space="0"/>
              <w:right w:val="single" w:color="auto" w:sz="4" w:space="0"/>
            </w:tcBorders>
            <w:vAlign w:val="center"/>
          </w:tcPr>
          <w:p w14:paraId="09514D6F">
            <w:pPr>
              <w:jc w:val="center"/>
              <w:rPr>
                <w:rFonts w:hint="eastAsia" w:ascii="宋体" w:hAnsi="宋体" w:cs="宋体"/>
                <w:color w:val="000000"/>
                <w:kern w:val="0"/>
                <w:sz w:val="22"/>
                <w:szCs w:val="22"/>
                <w:lang w:val="en-US" w:eastAsia="zh-CN"/>
              </w:rPr>
            </w:pPr>
          </w:p>
        </w:tc>
        <w:tc>
          <w:tcPr>
            <w:tcW w:w="1217" w:type="pct"/>
            <w:vMerge w:val="continue"/>
            <w:tcBorders>
              <w:top w:val="nil"/>
              <w:left w:val="nil"/>
              <w:bottom w:val="single" w:color="auto" w:sz="4" w:space="0"/>
              <w:right w:val="single" w:color="auto" w:sz="4" w:space="0"/>
            </w:tcBorders>
            <w:noWrap/>
            <w:vAlign w:val="center"/>
          </w:tcPr>
          <w:p w14:paraId="66590D4B">
            <w:pPr>
              <w:jc w:val="center"/>
              <w:rPr>
                <w:rFonts w:hint="default" w:ascii="宋体" w:hAnsi="宋体" w:eastAsia="宋体" w:cs="宋体"/>
                <w:color w:val="000000"/>
                <w:kern w:val="0"/>
                <w:sz w:val="22"/>
                <w:szCs w:val="22"/>
                <w:lang w:val="en-US" w:eastAsia="zh-CN"/>
              </w:rPr>
            </w:pPr>
          </w:p>
        </w:tc>
        <w:tc>
          <w:tcPr>
            <w:tcW w:w="1319" w:type="pct"/>
            <w:tcBorders>
              <w:top w:val="single" w:color="auto" w:sz="4" w:space="0"/>
              <w:left w:val="nil"/>
              <w:bottom w:val="single" w:color="auto" w:sz="4" w:space="0"/>
              <w:right w:val="single" w:color="auto" w:sz="4" w:space="0"/>
            </w:tcBorders>
            <w:vAlign w:val="center"/>
          </w:tcPr>
          <w:p w14:paraId="739F5566">
            <w:pPr>
              <w:keepNext w:val="0"/>
              <w:keepLines w:val="0"/>
              <w:widowControl/>
              <w:suppressLineNumbers w:val="0"/>
              <w:jc w:val="left"/>
              <w:textAlignment w:val="center"/>
              <w:rPr>
                <w:rFonts w:hint="default" w:ascii="宋体" w:hAnsi="宋体" w:cs="宋体"/>
                <w:color w:val="000000"/>
                <w:kern w:val="0"/>
                <w:sz w:val="22"/>
                <w:szCs w:val="22"/>
                <w:lang w:val="en-US" w:eastAsia="zh-CN"/>
              </w:rPr>
            </w:pPr>
            <w:r>
              <w:rPr>
                <w:rFonts w:hint="eastAsia" w:ascii="等线" w:hAnsi="等线" w:eastAsia="等线" w:cs="等线"/>
                <w:i w:val="0"/>
                <w:iCs w:val="0"/>
                <w:color w:val="000000"/>
                <w:kern w:val="0"/>
                <w:sz w:val="22"/>
                <w:szCs w:val="22"/>
                <w:u w:val="none"/>
                <w:lang w:val="en-US" w:eastAsia="zh-CN" w:bidi="ar"/>
              </w:rPr>
              <w:t>包装、运输及保险</w:t>
            </w:r>
          </w:p>
        </w:tc>
        <w:tc>
          <w:tcPr>
            <w:tcW w:w="624" w:type="pct"/>
            <w:vMerge w:val="continue"/>
            <w:tcBorders>
              <w:left w:val="single" w:color="auto" w:sz="4" w:space="0"/>
              <w:right w:val="single" w:color="auto" w:sz="4" w:space="0"/>
            </w:tcBorders>
          </w:tcPr>
          <w:p w14:paraId="05143066">
            <w:pPr>
              <w:widowControl/>
              <w:jc w:val="center"/>
              <w:rPr>
                <w:rFonts w:hint="default" w:ascii="宋体" w:hAnsi="宋体" w:cs="宋体"/>
                <w:color w:val="FF0000"/>
                <w:kern w:val="0"/>
                <w:sz w:val="22"/>
                <w:szCs w:val="22"/>
                <w:lang w:val="en-US" w:eastAsia="zh-CN"/>
              </w:rPr>
            </w:pPr>
          </w:p>
        </w:tc>
        <w:tc>
          <w:tcPr>
            <w:tcW w:w="311" w:type="pct"/>
            <w:vMerge w:val="continue"/>
            <w:tcBorders>
              <w:left w:val="single" w:color="auto" w:sz="4" w:space="0"/>
              <w:right w:val="single" w:color="auto" w:sz="4" w:space="0"/>
            </w:tcBorders>
            <w:vAlign w:val="center"/>
          </w:tcPr>
          <w:p w14:paraId="690CE688">
            <w:pPr>
              <w:widowControl/>
              <w:jc w:val="center"/>
              <w:rPr>
                <w:rFonts w:hint="default" w:ascii="宋体" w:hAnsi="宋体" w:cs="宋体"/>
                <w:color w:val="000000"/>
                <w:kern w:val="0"/>
                <w:sz w:val="22"/>
                <w:szCs w:val="22"/>
                <w:lang w:val="en-US" w:eastAsia="zh-CN"/>
              </w:rPr>
            </w:pPr>
          </w:p>
        </w:tc>
        <w:tc>
          <w:tcPr>
            <w:tcW w:w="401" w:type="pct"/>
            <w:vMerge w:val="continue"/>
            <w:tcBorders>
              <w:left w:val="single" w:color="auto" w:sz="4" w:space="0"/>
              <w:right w:val="single" w:color="auto" w:sz="4" w:space="0"/>
            </w:tcBorders>
            <w:vAlign w:val="center"/>
          </w:tcPr>
          <w:p w14:paraId="51012BE6">
            <w:pPr>
              <w:widowControl/>
              <w:jc w:val="center"/>
              <w:rPr>
                <w:rFonts w:hint="default" w:ascii="宋体" w:hAnsi="宋体" w:cs="宋体"/>
                <w:color w:val="000000"/>
                <w:kern w:val="0"/>
                <w:sz w:val="22"/>
                <w:szCs w:val="22"/>
                <w:lang w:val="en-US" w:eastAsia="zh-CN"/>
              </w:rPr>
            </w:pPr>
          </w:p>
        </w:tc>
        <w:tc>
          <w:tcPr>
            <w:tcW w:w="757" w:type="pct"/>
            <w:vMerge w:val="continue"/>
            <w:tcBorders>
              <w:left w:val="single" w:color="auto" w:sz="4" w:space="0"/>
              <w:right w:val="single" w:color="auto" w:sz="4" w:space="0"/>
            </w:tcBorders>
            <w:noWrap/>
            <w:vAlign w:val="center"/>
          </w:tcPr>
          <w:p w14:paraId="7208A63A">
            <w:pPr>
              <w:widowControl/>
              <w:jc w:val="center"/>
              <w:rPr>
                <w:rFonts w:ascii="宋体" w:hAnsi="宋体" w:cs="宋体"/>
                <w:color w:val="000000"/>
                <w:kern w:val="0"/>
                <w:sz w:val="22"/>
                <w:szCs w:val="22"/>
              </w:rPr>
            </w:pPr>
          </w:p>
        </w:tc>
      </w:tr>
      <w:tr w14:paraId="05C6B2AE">
        <w:tblPrEx>
          <w:tblCellMar>
            <w:top w:w="0" w:type="dxa"/>
            <w:left w:w="108" w:type="dxa"/>
            <w:bottom w:w="0" w:type="dxa"/>
            <w:right w:w="108" w:type="dxa"/>
          </w:tblCellMar>
        </w:tblPrEx>
        <w:trPr>
          <w:trHeight w:val="270" w:hRule="atLeast"/>
          <w:jc w:val="center"/>
        </w:trPr>
        <w:tc>
          <w:tcPr>
            <w:tcW w:w="367" w:type="pct"/>
            <w:vMerge w:val="continue"/>
            <w:tcBorders>
              <w:top w:val="single" w:color="auto" w:sz="4" w:space="0"/>
              <w:left w:val="single" w:color="auto" w:sz="4" w:space="0"/>
              <w:bottom w:val="single" w:color="auto" w:sz="4" w:space="0"/>
              <w:right w:val="single" w:color="auto" w:sz="4" w:space="0"/>
            </w:tcBorders>
            <w:vAlign w:val="center"/>
          </w:tcPr>
          <w:p w14:paraId="408D88E4">
            <w:pPr>
              <w:jc w:val="center"/>
              <w:rPr>
                <w:rFonts w:hint="eastAsia" w:ascii="宋体" w:hAnsi="宋体" w:cs="宋体"/>
                <w:color w:val="000000"/>
                <w:kern w:val="0"/>
                <w:sz w:val="22"/>
                <w:szCs w:val="22"/>
                <w:lang w:val="en-US" w:eastAsia="zh-CN"/>
              </w:rPr>
            </w:pPr>
          </w:p>
        </w:tc>
        <w:tc>
          <w:tcPr>
            <w:tcW w:w="1217" w:type="pct"/>
            <w:vMerge w:val="continue"/>
            <w:tcBorders>
              <w:top w:val="nil"/>
              <w:left w:val="nil"/>
              <w:bottom w:val="single" w:color="auto" w:sz="4" w:space="0"/>
              <w:right w:val="single" w:color="auto" w:sz="4" w:space="0"/>
            </w:tcBorders>
            <w:noWrap/>
            <w:vAlign w:val="center"/>
          </w:tcPr>
          <w:p w14:paraId="3B2678A4">
            <w:pPr>
              <w:jc w:val="center"/>
              <w:rPr>
                <w:rFonts w:hint="default" w:ascii="宋体" w:hAnsi="宋体" w:eastAsia="宋体" w:cs="宋体"/>
                <w:color w:val="000000"/>
                <w:kern w:val="0"/>
                <w:sz w:val="22"/>
                <w:szCs w:val="22"/>
                <w:lang w:val="en-US" w:eastAsia="zh-CN"/>
              </w:rPr>
            </w:pPr>
          </w:p>
        </w:tc>
        <w:tc>
          <w:tcPr>
            <w:tcW w:w="1319" w:type="pct"/>
            <w:tcBorders>
              <w:top w:val="single" w:color="auto" w:sz="4" w:space="0"/>
              <w:left w:val="nil"/>
              <w:bottom w:val="single" w:color="auto" w:sz="4" w:space="0"/>
              <w:right w:val="single" w:color="auto" w:sz="4" w:space="0"/>
            </w:tcBorders>
            <w:vAlign w:val="center"/>
          </w:tcPr>
          <w:p w14:paraId="37E0A8B8">
            <w:pPr>
              <w:keepNext w:val="0"/>
              <w:keepLines w:val="0"/>
              <w:widowControl/>
              <w:suppressLineNumbers w:val="0"/>
              <w:jc w:val="left"/>
              <w:textAlignment w:val="center"/>
              <w:rPr>
                <w:rFonts w:hint="default" w:ascii="宋体" w:hAnsi="宋体" w:cs="宋体"/>
                <w:color w:val="000000"/>
                <w:kern w:val="0"/>
                <w:sz w:val="22"/>
                <w:szCs w:val="22"/>
                <w:lang w:val="en-US" w:eastAsia="zh-CN"/>
              </w:rPr>
            </w:pPr>
            <w:r>
              <w:rPr>
                <w:rFonts w:hint="eastAsia" w:ascii="等线" w:hAnsi="等线" w:eastAsia="等线" w:cs="等线"/>
                <w:i w:val="0"/>
                <w:iCs w:val="0"/>
                <w:color w:val="000000"/>
                <w:kern w:val="0"/>
                <w:sz w:val="22"/>
                <w:szCs w:val="22"/>
                <w:u w:val="none"/>
                <w:lang w:val="en-US" w:eastAsia="zh-CN" w:bidi="ar"/>
              </w:rPr>
              <w:t>说明：标准维修是指线圈绝缘层损坏的维修，维修线圈必须更换的备件有：</w:t>
            </w:r>
            <w:r>
              <w:rPr>
                <w:rFonts w:hint="eastAsia" w:ascii="等线" w:hAnsi="等线" w:eastAsia="等线" w:cs="等线"/>
                <w:i w:val="0"/>
                <w:iCs w:val="0"/>
                <w:color w:val="000000"/>
                <w:kern w:val="0"/>
                <w:sz w:val="22"/>
                <w:szCs w:val="22"/>
                <w:u w:val="none"/>
                <w:lang w:val="en-US" w:eastAsia="zh-CN" w:bidi="ar"/>
              </w:rPr>
              <w:br w:type="textWrapping"/>
            </w:r>
            <w:r>
              <w:rPr>
                <w:rFonts w:hint="eastAsia" w:ascii="等线" w:hAnsi="等线" w:eastAsia="等线" w:cs="等线"/>
                <w:i w:val="0"/>
                <w:iCs w:val="0"/>
                <w:color w:val="000000"/>
                <w:kern w:val="0"/>
                <w:sz w:val="22"/>
                <w:szCs w:val="22"/>
                <w:u w:val="none"/>
                <w:lang w:val="en-US" w:eastAsia="zh-CN" w:bidi="ar"/>
              </w:rPr>
              <w:t>a) 进口尼龙粉和底漆</w:t>
            </w:r>
            <w:r>
              <w:rPr>
                <w:rFonts w:hint="eastAsia" w:ascii="等线" w:hAnsi="等线" w:eastAsia="等线" w:cs="等线"/>
                <w:i w:val="0"/>
                <w:iCs w:val="0"/>
                <w:color w:val="000000"/>
                <w:kern w:val="0"/>
                <w:sz w:val="22"/>
                <w:szCs w:val="22"/>
                <w:u w:val="none"/>
                <w:lang w:val="en-US" w:eastAsia="zh-CN" w:bidi="ar"/>
              </w:rPr>
              <w:br w:type="textWrapping"/>
            </w:r>
            <w:r>
              <w:rPr>
                <w:rFonts w:hint="eastAsia" w:ascii="等线" w:hAnsi="等线" w:eastAsia="等线" w:cs="等线"/>
                <w:i w:val="0"/>
                <w:iCs w:val="0"/>
                <w:color w:val="000000"/>
                <w:kern w:val="0"/>
                <w:sz w:val="22"/>
                <w:szCs w:val="22"/>
                <w:u w:val="none"/>
                <w:lang w:val="en-US" w:eastAsia="zh-CN" w:bidi="ar"/>
              </w:rPr>
              <w:t>b) 耐火泥涂抹料</w:t>
            </w:r>
            <w:r>
              <w:rPr>
                <w:rFonts w:hint="eastAsia" w:ascii="等线" w:hAnsi="等线" w:eastAsia="等线" w:cs="等线"/>
                <w:i w:val="0"/>
                <w:iCs w:val="0"/>
                <w:color w:val="000000"/>
                <w:kern w:val="0"/>
                <w:sz w:val="22"/>
                <w:szCs w:val="22"/>
                <w:u w:val="none"/>
                <w:lang w:val="en-US" w:eastAsia="zh-CN" w:bidi="ar"/>
              </w:rPr>
              <w:br w:type="textWrapping"/>
            </w:r>
            <w:r>
              <w:rPr>
                <w:rFonts w:hint="eastAsia" w:ascii="等线" w:hAnsi="等线" w:eastAsia="等线" w:cs="等线"/>
                <w:i w:val="0"/>
                <w:iCs w:val="0"/>
                <w:color w:val="000000"/>
                <w:kern w:val="0"/>
                <w:sz w:val="22"/>
                <w:szCs w:val="22"/>
                <w:u w:val="none"/>
                <w:lang w:val="en-US" w:eastAsia="zh-CN" w:bidi="ar"/>
              </w:rPr>
              <w:t>c) 银焊条</w:t>
            </w:r>
            <w:r>
              <w:rPr>
                <w:rFonts w:hint="eastAsia" w:ascii="等线" w:hAnsi="等线" w:eastAsia="等线" w:cs="等线"/>
                <w:i w:val="0"/>
                <w:iCs w:val="0"/>
                <w:color w:val="000000"/>
                <w:kern w:val="0"/>
                <w:sz w:val="22"/>
                <w:szCs w:val="22"/>
                <w:u w:val="none"/>
                <w:lang w:val="en-US" w:eastAsia="zh-CN" w:bidi="ar"/>
              </w:rPr>
              <w:br w:type="textWrapping"/>
            </w:r>
            <w:r>
              <w:rPr>
                <w:rFonts w:hint="eastAsia" w:ascii="等线" w:hAnsi="等线" w:eastAsia="等线" w:cs="等线"/>
                <w:i w:val="0"/>
                <w:iCs w:val="0"/>
                <w:color w:val="000000"/>
                <w:kern w:val="0"/>
                <w:sz w:val="22"/>
                <w:szCs w:val="22"/>
                <w:u w:val="none"/>
                <w:lang w:val="en-US" w:eastAsia="zh-CN" w:bidi="ar"/>
              </w:rPr>
              <w:t>d) 全套绝缘橡胶板（规格1/2′和3/8′）</w:t>
            </w:r>
            <w:r>
              <w:rPr>
                <w:rFonts w:hint="eastAsia" w:ascii="等线" w:hAnsi="等线" w:eastAsia="等线" w:cs="等线"/>
                <w:i w:val="0"/>
                <w:iCs w:val="0"/>
                <w:color w:val="000000"/>
                <w:kern w:val="0"/>
                <w:sz w:val="22"/>
                <w:szCs w:val="22"/>
                <w:u w:val="none"/>
                <w:lang w:val="en-US" w:eastAsia="zh-CN" w:bidi="ar"/>
              </w:rPr>
              <w:br w:type="textWrapping"/>
            </w:r>
            <w:r>
              <w:rPr>
                <w:rFonts w:hint="eastAsia" w:ascii="等线" w:hAnsi="等线" w:eastAsia="等线" w:cs="等线"/>
                <w:i w:val="0"/>
                <w:iCs w:val="0"/>
                <w:color w:val="000000"/>
                <w:kern w:val="0"/>
                <w:sz w:val="22"/>
                <w:szCs w:val="22"/>
                <w:u w:val="none"/>
                <w:lang w:val="en-US" w:eastAsia="zh-CN" w:bidi="ar"/>
              </w:rPr>
              <w:t>e) 全套弱磁不锈钢卡箍（规格1/2′和3/8′）</w:t>
            </w:r>
            <w:r>
              <w:rPr>
                <w:rFonts w:hint="eastAsia" w:ascii="等线" w:hAnsi="等线" w:eastAsia="等线" w:cs="等线"/>
                <w:i w:val="0"/>
                <w:iCs w:val="0"/>
                <w:color w:val="000000"/>
                <w:kern w:val="0"/>
                <w:sz w:val="22"/>
                <w:szCs w:val="22"/>
                <w:u w:val="none"/>
                <w:lang w:val="en-US" w:eastAsia="zh-CN" w:bidi="ar"/>
              </w:rPr>
              <w:br w:type="textWrapping"/>
            </w:r>
            <w:r>
              <w:rPr>
                <w:rFonts w:hint="eastAsia" w:ascii="等线" w:hAnsi="等线" w:eastAsia="等线" w:cs="等线"/>
                <w:i w:val="0"/>
                <w:iCs w:val="0"/>
                <w:color w:val="000000"/>
                <w:kern w:val="0"/>
                <w:sz w:val="22"/>
                <w:szCs w:val="22"/>
                <w:u w:val="none"/>
                <w:lang w:val="en-US" w:eastAsia="zh-CN" w:bidi="ar"/>
              </w:rPr>
              <w:t>f) 其他修理耗材：耐火合成云母带，热缩管，硅胶套，铝箔纸带，铜和不锈钢螺母标准件等</w:t>
            </w:r>
          </w:p>
        </w:tc>
        <w:tc>
          <w:tcPr>
            <w:tcW w:w="624" w:type="pct"/>
            <w:vMerge w:val="continue"/>
            <w:tcBorders>
              <w:left w:val="single" w:color="auto" w:sz="4" w:space="0"/>
              <w:bottom w:val="single" w:color="auto" w:sz="4" w:space="0"/>
              <w:right w:val="single" w:color="auto" w:sz="4" w:space="0"/>
            </w:tcBorders>
          </w:tcPr>
          <w:p w14:paraId="00437A96">
            <w:pPr>
              <w:widowControl/>
              <w:jc w:val="center"/>
              <w:rPr>
                <w:rFonts w:hint="default" w:ascii="宋体" w:hAnsi="宋体" w:cs="宋体"/>
                <w:color w:val="FF0000"/>
                <w:kern w:val="0"/>
                <w:sz w:val="22"/>
                <w:szCs w:val="22"/>
                <w:lang w:val="en-US" w:eastAsia="zh-CN"/>
              </w:rPr>
            </w:pPr>
          </w:p>
        </w:tc>
        <w:tc>
          <w:tcPr>
            <w:tcW w:w="311" w:type="pct"/>
            <w:vMerge w:val="continue"/>
            <w:tcBorders>
              <w:left w:val="single" w:color="auto" w:sz="4" w:space="0"/>
              <w:bottom w:val="single" w:color="auto" w:sz="4" w:space="0"/>
              <w:right w:val="single" w:color="auto" w:sz="4" w:space="0"/>
            </w:tcBorders>
            <w:vAlign w:val="center"/>
          </w:tcPr>
          <w:p w14:paraId="279829F8">
            <w:pPr>
              <w:widowControl/>
              <w:jc w:val="center"/>
              <w:rPr>
                <w:rFonts w:hint="default" w:ascii="宋体" w:hAnsi="宋体" w:cs="宋体"/>
                <w:color w:val="000000"/>
                <w:kern w:val="0"/>
                <w:sz w:val="22"/>
                <w:szCs w:val="22"/>
                <w:lang w:val="en-US" w:eastAsia="zh-CN"/>
              </w:rPr>
            </w:pPr>
          </w:p>
        </w:tc>
        <w:tc>
          <w:tcPr>
            <w:tcW w:w="401" w:type="pct"/>
            <w:vMerge w:val="continue"/>
            <w:tcBorders>
              <w:left w:val="single" w:color="auto" w:sz="4" w:space="0"/>
              <w:bottom w:val="single" w:color="auto" w:sz="4" w:space="0"/>
              <w:right w:val="single" w:color="auto" w:sz="4" w:space="0"/>
            </w:tcBorders>
            <w:vAlign w:val="center"/>
          </w:tcPr>
          <w:p w14:paraId="2682AB4E">
            <w:pPr>
              <w:widowControl/>
              <w:jc w:val="center"/>
              <w:rPr>
                <w:rFonts w:hint="default" w:ascii="宋体" w:hAnsi="宋体" w:cs="宋体"/>
                <w:color w:val="000000"/>
                <w:kern w:val="0"/>
                <w:sz w:val="22"/>
                <w:szCs w:val="22"/>
                <w:lang w:val="en-US" w:eastAsia="zh-CN"/>
              </w:rPr>
            </w:pPr>
          </w:p>
        </w:tc>
        <w:tc>
          <w:tcPr>
            <w:tcW w:w="757" w:type="pct"/>
            <w:vMerge w:val="continue"/>
            <w:tcBorders>
              <w:left w:val="single" w:color="auto" w:sz="4" w:space="0"/>
              <w:bottom w:val="single" w:color="auto" w:sz="4" w:space="0"/>
              <w:right w:val="single" w:color="auto" w:sz="4" w:space="0"/>
            </w:tcBorders>
            <w:noWrap/>
            <w:vAlign w:val="center"/>
          </w:tcPr>
          <w:p w14:paraId="6B51E847">
            <w:pPr>
              <w:widowControl/>
              <w:jc w:val="center"/>
              <w:rPr>
                <w:rFonts w:hint="default" w:ascii="宋体" w:hAnsi="宋体" w:eastAsia="宋体" w:cs="宋体"/>
                <w:color w:val="000000"/>
                <w:kern w:val="0"/>
                <w:sz w:val="22"/>
                <w:szCs w:val="22"/>
                <w:lang w:val="en-US" w:eastAsia="zh-CN"/>
              </w:rPr>
            </w:pPr>
          </w:p>
        </w:tc>
      </w:tr>
      <w:tr w14:paraId="293E4C41">
        <w:tblPrEx>
          <w:tblCellMar>
            <w:top w:w="0" w:type="dxa"/>
            <w:left w:w="108" w:type="dxa"/>
            <w:bottom w:w="0" w:type="dxa"/>
            <w:right w:w="108" w:type="dxa"/>
          </w:tblCellMar>
        </w:tblPrEx>
        <w:trPr>
          <w:trHeight w:val="270" w:hRule="atLeast"/>
          <w:jc w:val="center"/>
        </w:trPr>
        <w:tc>
          <w:tcPr>
            <w:tcW w:w="367" w:type="pct"/>
            <w:vMerge w:val="restart"/>
            <w:tcBorders>
              <w:top w:val="single" w:color="auto" w:sz="4" w:space="0"/>
              <w:left w:val="single" w:color="auto" w:sz="4" w:space="0"/>
              <w:bottom w:val="single" w:color="auto" w:sz="4" w:space="0"/>
              <w:right w:val="single" w:color="auto" w:sz="4" w:space="0"/>
            </w:tcBorders>
            <w:vAlign w:val="center"/>
          </w:tcPr>
          <w:p w14:paraId="33AC03E3">
            <w:pPr>
              <w:keepNext w:val="0"/>
              <w:keepLines w:val="0"/>
              <w:widowControl/>
              <w:suppressLineNumbers w:val="0"/>
              <w:jc w:val="center"/>
              <w:textAlignment w:val="center"/>
              <w:rPr>
                <w:rFonts w:hint="eastAsia" w:ascii="宋体" w:hAnsi="宋体" w:cs="宋体"/>
                <w:color w:val="000000"/>
                <w:kern w:val="0"/>
                <w:sz w:val="22"/>
                <w:szCs w:val="22"/>
                <w:lang w:val="en-US" w:eastAsia="zh-CN"/>
              </w:rPr>
            </w:pPr>
            <w:r>
              <w:rPr>
                <w:rFonts w:hint="eastAsia" w:ascii="等线" w:hAnsi="等线" w:eastAsia="等线" w:cs="等线"/>
                <w:i w:val="0"/>
                <w:iCs w:val="0"/>
                <w:color w:val="000000"/>
                <w:kern w:val="0"/>
                <w:sz w:val="22"/>
                <w:szCs w:val="22"/>
                <w:u w:val="none"/>
                <w:lang w:val="en-US" w:eastAsia="zh-CN" w:bidi="ar"/>
              </w:rPr>
              <w:t>2</w:t>
            </w:r>
          </w:p>
        </w:tc>
        <w:tc>
          <w:tcPr>
            <w:tcW w:w="1217" w:type="pct"/>
            <w:vMerge w:val="restart"/>
            <w:tcBorders>
              <w:top w:val="nil"/>
              <w:left w:val="nil"/>
              <w:bottom w:val="single" w:color="auto" w:sz="4" w:space="0"/>
              <w:right w:val="single" w:color="auto" w:sz="4" w:space="0"/>
            </w:tcBorders>
            <w:noWrap/>
            <w:vAlign w:val="center"/>
          </w:tcPr>
          <w:p w14:paraId="47C2FB89">
            <w:pPr>
              <w:keepNext w:val="0"/>
              <w:keepLines w:val="0"/>
              <w:widowControl/>
              <w:suppressLineNumbers w:val="0"/>
              <w:jc w:val="center"/>
              <w:textAlignment w:val="center"/>
              <w:rPr>
                <w:rFonts w:hint="default" w:ascii="宋体" w:hAnsi="宋体" w:eastAsia="宋体" w:cs="宋体"/>
                <w:color w:val="000000"/>
                <w:kern w:val="0"/>
                <w:sz w:val="22"/>
                <w:szCs w:val="22"/>
                <w:lang w:val="en-US" w:eastAsia="zh-CN"/>
              </w:rPr>
            </w:pPr>
            <w:r>
              <w:rPr>
                <w:rFonts w:hint="eastAsia" w:ascii="宋体" w:hAnsi="宋体" w:cs="宋体"/>
                <w:kern w:val="0"/>
                <w:sz w:val="22"/>
                <w:szCs w:val="22"/>
              </w:rPr>
              <w:t>应达中频加热炉膛</w:t>
            </w:r>
            <w:r>
              <w:rPr>
                <w:rFonts w:hint="eastAsia" w:ascii="等线" w:hAnsi="等线" w:eastAsia="等线" w:cs="等线"/>
                <w:i w:val="0"/>
                <w:iCs w:val="0"/>
                <w:color w:val="000000"/>
                <w:kern w:val="0"/>
                <w:sz w:val="22"/>
                <w:szCs w:val="22"/>
                <w:u w:val="none"/>
                <w:lang w:val="en-US" w:eastAsia="zh-CN" w:bidi="ar"/>
              </w:rPr>
              <w:t>配件（选修）</w:t>
            </w:r>
          </w:p>
        </w:tc>
        <w:tc>
          <w:tcPr>
            <w:tcW w:w="1319" w:type="pct"/>
            <w:tcBorders>
              <w:top w:val="single" w:color="auto" w:sz="4" w:space="0"/>
              <w:left w:val="nil"/>
              <w:bottom w:val="single" w:color="auto" w:sz="4" w:space="0"/>
              <w:right w:val="single" w:color="auto" w:sz="4" w:space="0"/>
            </w:tcBorders>
            <w:vAlign w:val="center"/>
          </w:tcPr>
          <w:p w14:paraId="4E4BD39D">
            <w:pPr>
              <w:keepNext w:val="0"/>
              <w:keepLines w:val="0"/>
              <w:widowControl/>
              <w:suppressLineNumbers w:val="0"/>
              <w:jc w:val="left"/>
              <w:textAlignment w:val="center"/>
              <w:rPr>
                <w:rFonts w:hint="default" w:ascii="宋体" w:hAnsi="宋体" w:cs="宋体"/>
                <w:color w:val="000000"/>
                <w:kern w:val="0"/>
                <w:sz w:val="22"/>
                <w:szCs w:val="22"/>
                <w:lang w:val="en-US" w:eastAsia="zh-CN"/>
              </w:rPr>
            </w:pPr>
            <w:r>
              <w:rPr>
                <w:rFonts w:hint="eastAsia" w:ascii="等线" w:hAnsi="等线" w:eastAsia="等线" w:cs="等线"/>
                <w:i w:val="0"/>
                <w:iCs w:val="0"/>
                <w:color w:val="000000"/>
                <w:kern w:val="0"/>
                <w:sz w:val="22"/>
                <w:szCs w:val="22"/>
                <w:u w:val="none"/>
                <w:lang w:val="en-US" w:eastAsia="zh-CN" w:bidi="ar"/>
              </w:rPr>
              <w:t>修理线圈箱</w:t>
            </w:r>
          </w:p>
        </w:tc>
        <w:tc>
          <w:tcPr>
            <w:tcW w:w="624" w:type="pct"/>
            <w:tcBorders>
              <w:top w:val="single" w:color="auto" w:sz="4" w:space="0"/>
              <w:left w:val="single" w:color="auto" w:sz="4" w:space="0"/>
              <w:bottom w:val="single" w:color="auto" w:sz="4" w:space="0"/>
              <w:right w:val="single" w:color="auto" w:sz="4" w:space="0"/>
            </w:tcBorders>
            <w:vAlign w:val="center"/>
          </w:tcPr>
          <w:p w14:paraId="4A2886C7">
            <w:pPr>
              <w:keepNext w:val="0"/>
              <w:keepLines w:val="0"/>
              <w:widowControl/>
              <w:suppressLineNumbers w:val="0"/>
              <w:jc w:val="center"/>
              <w:textAlignment w:val="center"/>
              <w:rPr>
                <w:rFonts w:hint="default" w:ascii="宋体" w:hAnsi="宋体" w:cs="宋体"/>
                <w:color w:val="FF0000"/>
                <w:kern w:val="0"/>
                <w:sz w:val="22"/>
                <w:szCs w:val="22"/>
                <w:lang w:val="en-US" w:eastAsia="zh-CN"/>
              </w:rPr>
            </w:pPr>
            <w:r>
              <w:rPr>
                <w:rFonts w:hint="eastAsia" w:ascii="宋体" w:hAnsi="宋体" w:eastAsia="宋体" w:cs="宋体"/>
                <w:i w:val="0"/>
                <w:iCs w:val="0"/>
                <w:color w:val="FF0000"/>
                <w:kern w:val="0"/>
                <w:sz w:val="24"/>
                <w:szCs w:val="24"/>
                <w:u w:val="none"/>
                <w:lang w:val="en-US" w:eastAsia="zh-CN" w:bidi="ar"/>
              </w:rPr>
              <w:t>3528.32</w:t>
            </w:r>
          </w:p>
        </w:tc>
        <w:tc>
          <w:tcPr>
            <w:tcW w:w="311" w:type="pct"/>
            <w:tcBorders>
              <w:top w:val="single" w:color="auto" w:sz="4" w:space="0"/>
              <w:left w:val="single" w:color="auto" w:sz="4" w:space="0"/>
              <w:bottom w:val="single" w:color="auto" w:sz="4" w:space="0"/>
              <w:right w:val="single" w:color="auto" w:sz="4" w:space="0"/>
            </w:tcBorders>
            <w:vAlign w:val="center"/>
          </w:tcPr>
          <w:p w14:paraId="56E182DC">
            <w:pPr>
              <w:keepNext w:val="0"/>
              <w:keepLines w:val="0"/>
              <w:widowControl/>
              <w:suppressLineNumbers w:val="0"/>
              <w:jc w:val="center"/>
              <w:textAlignment w:val="center"/>
              <w:rPr>
                <w:rFonts w:hint="default" w:ascii="宋体" w:hAnsi="宋体" w:cs="宋体"/>
                <w:color w:val="000000"/>
                <w:kern w:val="0"/>
                <w:sz w:val="22"/>
                <w:szCs w:val="22"/>
                <w:lang w:val="en-US" w:eastAsia="zh-CN"/>
              </w:rPr>
            </w:pPr>
            <w:r>
              <w:rPr>
                <w:rFonts w:hint="eastAsia" w:ascii="等线" w:hAnsi="等线" w:eastAsia="等线" w:cs="等线"/>
                <w:i w:val="0"/>
                <w:iCs w:val="0"/>
                <w:color w:val="000000"/>
                <w:kern w:val="0"/>
                <w:sz w:val="22"/>
                <w:szCs w:val="22"/>
                <w:u w:val="none"/>
                <w:lang w:val="en-US" w:eastAsia="zh-CN" w:bidi="ar"/>
              </w:rPr>
              <w:t>节</w:t>
            </w:r>
          </w:p>
        </w:tc>
        <w:tc>
          <w:tcPr>
            <w:tcW w:w="401" w:type="pct"/>
            <w:tcBorders>
              <w:top w:val="single" w:color="auto" w:sz="4" w:space="0"/>
              <w:left w:val="single" w:color="auto" w:sz="4" w:space="0"/>
              <w:bottom w:val="single" w:color="auto" w:sz="4" w:space="0"/>
              <w:right w:val="single" w:color="auto" w:sz="4" w:space="0"/>
            </w:tcBorders>
            <w:vAlign w:val="center"/>
          </w:tcPr>
          <w:p w14:paraId="114C1529">
            <w:pPr>
              <w:keepNext w:val="0"/>
              <w:keepLines w:val="0"/>
              <w:widowControl/>
              <w:suppressLineNumbers w:val="0"/>
              <w:jc w:val="center"/>
              <w:textAlignment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7</w:t>
            </w:r>
          </w:p>
        </w:tc>
        <w:tc>
          <w:tcPr>
            <w:tcW w:w="757" w:type="pct"/>
            <w:tcBorders>
              <w:top w:val="single" w:color="auto" w:sz="4" w:space="0"/>
              <w:left w:val="single" w:color="auto" w:sz="4" w:space="0"/>
              <w:bottom w:val="single" w:color="auto" w:sz="4" w:space="0"/>
              <w:right w:val="single" w:color="auto" w:sz="4" w:space="0"/>
            </w:tcBorders>
            <w:noWrap/>
            <w:vAlign w:val="center"/>
          </w:tcPr>
          <w:p w14:paraId="49D4D6FD">
            <w:pPr>
              <w:widowControl/>
              <w:jc w:val="center"/>
              <w:rPr>
                <w:rFonts w:ascii="宋体" w:hAnsi="宋体" w:cs="宋体"/>
                <w:color w:val="000000"/>
                <w:kern w:val="0"/>
                <w:sz w:val="22"/>
                <w:szCs w:val="22"/>
              </w:rPr>
            </w:pPr>
          </w:p>
        </w:tc>
      </w:tr>
      <w:tr w14:paraId="1D741F01">
        <w:tblPrEx>
          <w:tblCellMar>
            <w:top w:w="0" w:type="dxa"/>
            <w:left w:w="108" w:type="dxa"/>
            <w:bottom w:w="0" w:type="dxa"/>
            <w:right w:w="108" w:type="dxa"/>
          </w:tblCellMar>
        </w:tblPrEx>
        <w:trPr>
          <w:trHeight w:val="270" w:hRule="atLeast"/>
          <w:jc w:val="center"/>
        </w:trPr>
        <w:tc>
          <w:tcPr>
            <w:tcW w:w="367" w:type="pct"/>
            <w:vMerge w:val="continue"/>
            <w:tcBorders>
              <w:top w:val="single" w:color="auto" w:sz="4" w:space="0"/>
              <w:left w:val="single" w:color="auto" w:sz="4" w:space="0"/>
              <w:bottom w:val="single" w:color="auto" w:sz="4" w:space="0"/>
              <w:right w:val="single" w:color="auto" w:sz="4" w:space="0"/>
            </w:tcBorders>
            <w:vAlign w:val="center"/>
          </w:tcPr>
          <w:p w14:paraId="348A8C8A">
            <w:pPr>
              <w:jc w:val="center"/>
              <w:rPr>
                <w:rFonts w:hint="eastAsia" w:ascii="宋体" w:hAnsi="宋体" w:cs="宋体"/>
                <w:color w:val="000000"/>
                <w:kern w:val="0"/>
                <w:sz w:val="22"/>
                <w:szCs w:val="22"/>
                <w:lang w:val="en-US" w:eastAsia="zh-CN"/>
              </w:rPr>
            </w:pPr>
          </w:p>
        </w:tc>
        <w:tc>
          <w:tcPr>
            <w:tcW w:w="1217" w:type="pct"/>
            <w:vMerge w:val="continue"/>
            <w:tcBorders>
              <w:top w:val="nil"/>
              <w:left w:val="nil"/>
              <w:bottom w:val="single" w:color="auto" w:sz="4" w:space="0"/>
              <w:right w:val="single" w:color="auto" w:sz="4" w:space="0"/>
            </w:tcBorders>
            <w:noWrap/>
            <w:vAlign w:val="center"/>
          </w:tcPr>
          <w:p w14:paraId="0E325893">
            <w:pPr>
              <w:jc w:val="center"/>
              <w:rPr>
                <w:rFonts w:hint="default" w:ascii="宋体" w:hAnsi="宋体" w:eastAsia="宋体" w:cs="宋体"/>
                <w:color w:val="000000"/>
                <w:kern w:val="0"/>
                <w:sz w:val="22"/>
                <w:szCs w:val="22"/>
                <w:lang w:val="en-US" w:eastAsia="zh-CN"/>
              </w:rPr>
            </w:pPr>
          </w:p>
        </w:tc>
        <w:tc>
          <w:tcPr>
            <w:tcW w:w="1319" w:type="pct"/>
            <w:tcBorders>
              <w:top w:val="single" w:color="auto" w:sz="4" w:space="0"/>
              <w:left w:val="nil"/>
              <w:bottom w:val="single" w:color="auto" w:sz="4" w:space="0"/>
              <w:right w:val="single" w:color="auto" w:sz="4" w:space="0"/>
            </w:tcBorders>
            <w:vAlign w:val="center"/>
          </w:tcPr>
          <w:p w14:paraId="0B20B060">
            <w:pPr>
              <w:keepNext w:val="0"/>
              <w:keepLines w:val="0"/>
              <w:widowControl/>
              <w:suppressLineNumbers w:val="0"/>
              <w:jc w:val="left"/>
              <w:textAlignment w:val="center"/>
              <w:rPr>
                <w:rFonts w:hint="default" w:ascii="宋体" w:hAnsi="宋体" w:cs="宋体"/>
                <w:color w:val="000000"/>
                <w:kern w:val="0"/>
                <w:sz w:val="22"/>
                <w:szCs w:val="22"/>
                <w:lang w:val="en-US" w:eastAsia="zh-CN"/>
              </w:rPr>
            </w:pPr>
            <w:r>
              <w:rPr>
                <w:rFonts w:hint="eastAsia" w:ascii="等线" w:hAnsi="等线" w:eastAsia="等线" w:cs="等线"/>
                <w:i w:val="0"/>
                <w:iCs w:val="0"/>
                <w:color w:val="000000"/>
                <w:kern w:val="0"/>
                <w:sz w:val="22"/>
                <w:szCs w:val="22"/>
                <w:u w:val="none"/>
                <w:lang w:val="en-US" w:eastAsia="zh-CN" w:bidi="ar"/>
              </w:rPr>
              <w:t>出入口端部水冷铜板</w:t>
            </w:r>
          </w:p>
        </w:tc>
        <w:tc>
          <w:tcPr>
            <w:tcW w:w="624" w:type="pct"/>
            <w:tcBorders>
              <w:top w:val="single" w:color="auto" w:sz="4" w:space="0"/>
              <w:left w:val="single" w:color="auto" w:sz="4" w:space="0"/>
              <w:bottom w:val="single" w:color="auto" w:sz="4" w:space="0"/>
              <w:right w:val="single" w:color="auto" w:sz="4" w:space="0"/>
            </w:tcBorders>
            <w:vAlign w:val="center"/>
          </w:tcPr>
          <w:p w14:paraId="154871FD">
            <w:pPr>
              <w:keepNext w:val="0"/>
              <w:keepLines w:val="0"/>
              <w:widowControl/>
              <w:suppressLineNumbers w:val="0"/>
              <w:jc w:val="center"/>
              <w:textAlignment w:val="center"/>
              <w:rPr>
                <w:rFonts w:hint="default" w:ascii="宋体" w:hAnsi="宋体" w:cs="宋体"/>
                <w:color w:val="FF0000"/>
                <w:kern w:val="0"/>
                <w:sz w:val="22"/>
                <w:szCs w:val="22"/>
                <w:lang w:val="en-US" w:eastAsia="zh-CN"/>
              </w:rPr>
            </w:pPr>
            <w:r>
              <w:rPr>
                <w:rFonts w:hint="eastAsia" w:ascii="宋体" w:hAnsi="宋体" w:eastAsia="宋体" w:cs="宋体"/>
                <w:i w:val="0"/>
                <w:iCs w:val="0"/>
                <w:color w:val="FF0000"/>
                <w:kern w:val="0"/>
                <w:sz w:val="24"/>
                <w:szCs w:val="24"/>
                <w:u w:val="none"/>
                <w:lang w:val="en-US" w:eastAsia="zh-CN" w:bidi="ar"/>
              </w:rPr>
              <w:t>1282.3</w:t>
            </w:r>
          </w:p>
        </w:tc>
        <w:tc>
          <w:tcPr>
            <w:tcW w:w="311" w:type="pct"/>
            <w:tcBorders>
              <w:top w:val="single" w:color="auto" w:sz="4" w:space="0"/>
              <w:left w:val="single" w:color="auto" w:sz="4" w:space="0"/>
              <w:bottom w:val="single" w:color="auto" w:sz="4" w:space="0"/>
              <w:right w:val="single" w:color="auto" w:sz="4" w:space="0"/>
            </w:tcBorders>
            <w:vAlign w:val="center"/>
          </w:tcPr>
          <w:p w14:paraId="617850DC">
            <w:pPr>
              <w:keepNext w:val="0"/>
              <w:keepLines w:val="0"/>
              <w:widowControl/>
              <w:suppressLineNumbers w:val="0"/>
              <w:jc w:val="center"/>
              <w:textAlignment w:val="center"/>
              <w:rPr>
                <w:rFonts w:hint="default" w:ascii="宋体" w:hAnsi="宋体" w:cs="宋体"/>
                <w:color w:val="000000"/>
                <w:kern w:val="0"/>
                <w:sz w:val="22"/>
                <w:szCs w:val="22"/>
                <w:lang w:val="en-US" w:eastAsia="zh-CN"/>
              </w:rPr>
            </w:pPr>
            <w:r>
              <w:rPr>
                <w:rFonts w:hint="eastAsia" w:ascii="等线" w:hAnsi="等线" w:eastAsia="等线" w:cs="等线"/>
                <w:i w:val="0"/>
                <w:iCs w:val="0"/>
                <w:color w:val="000000"/>
                <w:kern w:val="0"/>
                <w:sz w:val="22"/>
                <w:szCs w:val="22"/>
                <w:u w:val="none"/>
                <w:lang w:val="en-US" w:eastAsia="zh-CN" w:bidi="ar"/>
              </w:rPr>
              <w:t>节</w:t>
            </w:r>
          </w:p>
        </w:tc>
        <w:tc>
          <w:tcPr>
            <w:tcW w:w="401" w:type="pct"/>
            <w:tcBorders>
              <w:top w:val="single" w:color="auto" w:sz="4" w:space="0"/>
              <w:left w:val="single" w:color="auto" w:sz="4" w:space="0"/>
              <w:bottom w:val="single" w:color="auto" w:sz="4" w:space="0"/>
              <w:right w:val="single" w:color="auto" w:sz="4" w:space="0"/>
            </w:tcBorders>
            <w:vAlign w:val="center"/>
          </w:tcPr>
          <w:p w14:paraId="563B2D06">
            <w:pPr>
              <w:keepNext w:val="0"/>
              <w:keepLines w:val="0"/>
              <w:widowControl/>
              <w:suppressLineNumbers w:val="0"/>
              <w:jc w:val="center"/>
              <w:textAlignment w:val="center"/>
              <w:rPr>
                <w:rFonts w:hint="default" w:ascii="宋体" w:hAnsi="宋体" w:cs="宋体"/>
                <w:color w:val="000000"/>
                <w:kern w:val="0"/>
                <w:sz w:val="22"/>
                <w:szCs w:val="22"/>
                <w:lang w:val="en-US" w:eastAsia="zh-CN"/>
              </w:rPr>
            </w:pPr>
            <w:r>
              <w:rPr>
                <w:rFonts w:hint="eastAsia" w:ascii="等线" w:hAnsi="等线" w:eastAsia="等线" w:cs="等线"/>
                <w:i w:val="0"/>
                <w:iCs w:val="0"/>
                <w:color w:val="000000"/>
                <w:kern w:val="0"/>
                <w:sz w:val="22"/>
                <w:szCs w:val="22"/>
                <w:u w:val="none"/>
                <w:lang w:val="en-US" w:eastAsia="zh-CN" w:bidi="ar"/>
              </w:rPr>
              <w:t>1</w:t>
            </w:r>
          </w:p>
        </w:tc>
        <w:tc>
          <w:tcPr>
            <w:tcW w:w="757" w:type="pct"/>
            <w:tcBorders>
              <w:top w:val="single" w:color="auto" w:sz="4" w:space="0"/>
              <w:left w:val="single" w:color="auto" w:sz="4" w:space="0"/>
              <w:bottom w:val="single" w:color="auto" w:sz="4" w:space="0"/>
              <w:right w:val="single" w:color="auto" w:sz="4" w:space="0"/>
            </w:tcBorders>
            <w:noWrap/>
            <w:vAlign w:val="center"/>
          </w:tcPr>
          <w:p w14:paraId="2FFDEEAD">
            <w:pPr>
              <w:widowControl/>
              <w:jc w:val="center"/>
              <w:rPr>
                <w:rFonts w:ascii="宋体" w:hAnsi="宋体" w:cs="宋体"/>
                <w:color w:val="000000"/>
                <w:kern w:val="0"/>
                <w:sz w:val="22"/>
                <w:szCs w:val="22"/>
              </w:rPr>
            </w:pPr>
          </w:p>
        </w:tc>
      </w:tr>
      <w:tr w14:paraId="597BBCB1">
        <w:tblPrEx>
          <w:tblCellMar>
            <w:top w:w="0" w:type="dxa"/>
            <w:left w:w="108" w:type="dxa"/>
            <w:bottom w:w="0" w:type="dxa"/>
            <w:right w:w="108" w:type="dxa"/>
          </w:tblCellMar>
        </w:tblPrEx>
        <w:trPr>
          <w:trHeight w:val="270" w:hRule="atLeast"/>
          <w:jc w:val="center"/>
        </w:trPr>
        <w:tc>
          <w:tcPr>
            <w:tcW w:w="367" w:type="pct"/>
            <w:vMerge w:val="continue"/>
            <w:tcBorders>
              <w:top w:val="single" w:color="auto" w:sz="4" w:space="0"/>
              <w:left w:val="single" w:color="auto" w:sz="4" w:space="0"/>
              <w:bottom w:val="single" w:color="auto" w:sz="4" w:space="0"/>
              <w:right w:val="single" w:color="auto" w:sz="4" w:space="0"/>
            </w:tcBorders>
            <w:vAlign w:val="center"/>
          </w:tcPr>
          <w:p w14:paraId="1ABB2C87">
            <w:pPr>
              <w:jc w:val="center"/>
              <w:rPr>
                <w:rFonts w:hint="eastAsia" w:ascii="宋体" w:hAnsi="宋体" w:cs="宋体"/>
                <w:color w:val="000000"/>
                <w:kern w:val="0"/>
                <w:sz w:val="22"/>
                <w:szCs w:val="22"/>
                <w:lang w:val="en-US" w:eastAsia="zh-CN"/>
              </w:rPr>
            </w:pPr>
          </w:p>
        </w:tc>
        <w:tc>
          <w:tcPr>
            <w:tcW w:w="1217" w:type="pct"/>
            <w:vMerge w:val="continue"/>
            <w:tcBorders>
              <w:top w:val="nil"/>
              <w:left w:val="nil"/>
              <w:bottom w:val="single" w:color="auto" w:sz="4" w:space="0"/>
              <w:right w:val="single" w:color="auto" w:sz="4" w:space="0"/>
            </w:tcBorders>
            <w:noWrap/>
            <w:vAlign w:val="center"/>
          </w:tcPr>
          <w:p w14:paraId="39D28419">
            <w:pPr>
              <w:jc w:val="center"/>
              <w:rPr>
                <w:rFonts w:hint="default" w:ascii="宋体" w:hAnsi="宋体" w:eastAsia="宋体" w:cs="宋体"/>
                <w:color w:val="000000"/>
                <w:kern w:val="0"/>
                <w:sz w:val="22"/>
                <w:szCs w:val="22"/>
                <w:lang w:val="en-US" w:eastAsia="zh-CN"/>
              </w:rPr>
            </w:pPr>
          </w:p>
        </w:tc>
        <w:tc>
          <w:tcPr>
            <w:tcW w:w="1319" w:type="pct"/>
            <w:tcBorders>
              <w:top w:val="single" w:color="auto" w:sz="4" w:space="0"/>
              <w:left w:val="nil"/>
              <w:bottom w:val="single" w:color="auto" w:sz="4" w:space="0"/>
              <w:right w:val="single" w:color="auto" w:sz="4" w:space="0"/>
            </w:tcBorders>
            <w:vAlign w:val="center"/>
          </w:tcPr>
          <w:p w14:paraId="4AFE0A11">
            <w:pPr>
              <w:keepNext w:val="0"/>
              <w:keepLines w:val="0"/>
              <w:widowControl/>
              <w:suppressLineNumbers w:val="0"/>
              <w:jc w:val="left"/>
              <w:textAlignment w:val="center"/>
              <w:rPr>
                <w:rFonts w:hint="default" w:ascii="宋体" w:hAnsi="宋体" w:cs="宋体"/>
                <w:color w:val="000000"/>
                <w:kern w:val="0"/>
                <w:sz w:val="22"/>
                <w:szCs w:val="22"/>
                <w:lang w:val="en-US" w:eastAsia="zh-CN"/>
              </w:rPr>
            </w:pPr>
            <w:r>
              <w:rPr>
                <w:rFonts w:hint="eastAsia" w:ascii="等线" w:hAnsi="等线" w:eastAsia="等线" w:cs="等线"/>
                <w:i w:val="0"/>
                <w:iCs w:val="0"/>
                <w:color w:val="000000"/>
                <w:kern w:val="0"/>
                <w:sz w:val="22"/>
                <w:szCs w:val="22"/>
                <w:u w:val="none"/>
                <w:lang w:val="en-US" w:eastAsia="zh-CN" w:bidi="ar"/>
              </w:rPr>
              <w:t>合金耐磨层水冷导轨</w:t>
            </w:r>
          </w:p>
        </w:tc>
        <w:tc>
          <w:tcPr>
            <w:tcW w:w="624" w:type="pct"/>
            <w:tcBorders>
              <w:top w:val="single" w:color="auto" w:sz="4" w:space="0"/>
              <w:left w:val="single" w:color="auto" w:sz="4" w:space="0"/>
              <w:bottom w:val="single" w:color="auto" w:sz="4" w:space="0"/>
              <w:right w:val="single" w:color="auto" w:sz="4" w:space="0"/>
            </w:tcBorders>
            <w:vAlign w:val="center"/>
          </w:tcPr>
          <w:p w14:paraId="1D2752C7">
            <w:pPr>
              <w:keepNext w:val="0"/>
              <w:keepLines w:val="0"/>
              <w:widowControl/>
              <w:suppressLineNumbers w:val="0"/>
              <w:jc w:val="center"/>
              <w:textAlignment w:val="center"/>
              <w:rPr>
                <w:rFonts w:hint="default" w:ascii="宋体" w:hAnsi="宋体" w:cs="宋体"/>
                <w:color w:val="FF0000"/>
                <w:kern w:val="0"/>
                <w:sz w:val="22"/>
                <w:szCs w:val="22"/>
                <w:lang w:val="en-US" w:eastAsia="zh-CN"/>
              </w:rPr>
            </w:pPr>
            <w:r>
              <w:rPr>
                <w:rFonts w:hint="eastAsia" w:ascii="宋体" w:hAnsi="宋体" w:eastAsia="宋体" w:cs="宋体"/>
                <w:i w:val="0"/>
                <w:iCs w:val="0"/>
                <w:color w:val="FF0000"/>
                <w:kern w:val="0"/>
                <w:sz w:val="24"/>
                <w:szCs w:val="24"/>
                <w:u w:val="none"/>
                <w:lang w:val="en-US" w:eastAsia="zh-CN" w:bidi="ar"/>
              </w:rPr>
              <w:t>2136.28</w:t>
            </w:r>
          </w:p>
        </w:tc>
        <w:tc>
          <w:tcPr>
            <w:tcW w:w="311" w:type="pct"/>
            <w:tcBorders>
              <w:top w:val="single" w:color="auto" w:sz="4" w:space="0"/>
              <w:left w:val="single" w:color="auto" w:sz="4" w:space="0"/>
              <w:bottom w:val="single" w:color="auto" w:sz="4" w:space="0"/>
              <w:right w:val="single" w:color="auto" w:sz="4" w:space="0"/>
            </w:tcBorders>
            <w:vAlign w:val="center"/>
          </w:tcPr>
          <w:p w14:paraId="6445DDF4">
            <w:pPr>
              <w:keepNext w:val="0"/>
              <w:keepLines w:val="0"/>
              <w:widowControl/>
              <w:suppressLineNumbers w:val="0"/>
              <w:jc w:val="center"/>
              <w:textAlignment w:val="center"/>
              <w:rPr>
                <w:rFonts w:hint="default" w:ascii="宋体" w:hAnsi="宋体" w:cs="宋体"/>
                <w:color w:val="000000"/>
                <w:kern w:val="0"/>
                <w:sz w:val="22"/>
                <w:szCs w:val="22"/>
                <w:lang w:val="en-US" w:eastAsia="zh-CN"/>
              </w:rPr>
            </w:pPr>
            <w:r>
              <w:rPr>
                <w:rFonts w:hint="eastAsia" w:ascii="等线" w:hAnsi="等线" w:eastAsia="等线" w:cs="等线"/>
                <w:i w:val="0"/>
                <w:iCs w:val="0"/>
                <w:color w:val="000000"/>
                <w:kern w:val="0"/>
                <w:sz w:val="22"/>
                <w:szCs w:val="22"/>
                <w:u w:val="none"/>
                <w:lang w:val="en-US" w:eastAsia="zh-CN" w:bidi="ar"/>
              </w:rPr>
              <w:t>节</w:t>
            </w:r>
          </w:p>
        </w:tc>
        <w:tc>
          <w:tcPr>
            <w:tcW w:w="401" w:type="pct"/>
            <w:tcBorders>
              <w:top w:val="single" w:color="auto" w:sz="4" w:space="0"/>
              <w:left w:val="single" w:color="auto" w:sz="4" w:space="0"/>
              <w:bottom w:val="single" w:color="auto" w:sz="4" w:space="0"/>
              <w:right w:val="single" w:color="auto" w:sz="4" w:space="0"/>
            </w:tcBorders>
            <w:vAlign w:val="center"/>
          </w:tcPr>
          <w:p w14:paraId="7A7797E3">
            <w:pPr>
              <w:keepNext w:val="0"/>
              <w:keepLines w:val="0"/>
              <w:widowControl/>
              <w:suppressLineNumbers w:val="0"/>
              <w:jc w:val="center"/>
              <w:textAlignment w:val="center"/>
              <w:rPr>
                <w:rFonts w:hint="default" w:ascii="宋体" w:hAnsi="宋体" w:cs="宋体"/>
                <w:color w:val="000000"/>
                <w:kern w:val="0"/>
                <w:sz w:val="22"/>
                <w:szCs w:val="22"/>
                <w:lang w:val="en-US" w:eastAsia="zh-CN"/>
              </w:rPr>
            </w:pPr>
            <w:r>
              <w:rPr>
                <w:rFonts w:hint="eastAsia" w:ascii="等线" w:hAnsi="等线" w:eastAsia="等线" w:cs="等线"/>
                <w:i w:val="0"/>
                <w:iCs w:val="0"/>
                <w:color w:val="000000"/>
                <w:kern w:val="0"/>
                <w:sz w:val="22"/>
                <w:szCs w:val="22"/>
                <w:u w:val="none"/>
                <w:lang w:val="en-US" w:eastAsia="zh-CN" w:bidi="ar"/>
              </w:rPr>
              <w:t>1</w:t>
            </w:r>
          </w:p>
        </w:tc>
        <w:tc>
          <w:tcPr>
            <w:tcW w:w="757" w:type="pct"/>
            <w:tcBorders>
              <w:top w:val="single" w:color="auto" w:sz="4" w:space="0"/>
              <w:left w:val="single" w:color="auto" w:sz="4" w:space="0"/>
              <w:bottom w:val="single" w:color="auto" w:sz="4" w:space="0"/>
              <w:right w:val="single" w:color="auto" w:sz="4" w:space="0"/>
            </w:tcBorders>
            <w:noWrap/>
            <w:vAlign w:val="center"/>
          </w:tcPr>
          <w:p w14:paraId="4D60DC54">
            <w:pPr>
              <w:widowControl/>
              <w:jc w:val="center"/>
              <w:rPr>
                <w:rFonts w:ascii="宋体" w:hAnsi="宋体" w:cs="宋体"/>
                <w:color w:val="000000"/>
                <w:kern w:val="0"/>
                <w:sz w:val="22"/>
                <w:szCs w:val="22"/>
              </w:rPr>
            </w:pPr>
          </w:p>
        </w:tc>
      </w:tr>
      <w:tr w14:paraId="70E5625A">
        <w:tblPrEx>
          <w:tblCellMar>
            <w:top w:w="0" w:type="dxa"/>
            <w:left w:w="108" w:type="dxa"/>
            <w:bottom w:w="0" w:type="dxa"/>
            <w:right w:w="108" w:type="dxa"/>
          </w:tblCellMar>
        </w:tblPrEx>
        <w:trPr>
          <w:trHeight w:val="270" w:hRule="atLeast"/>
          <w:jc w:val="center"/>
        </w:trPr>
        <w:tc>
          <w:tcPr>
            <w:tcW w:w="367" w:type="pct"/>
            <w:vMerge w:val="continue"/>
            <w:tcBorders>
              <w:top w:val="single" w:color="auto" w:sz="4" w:space="0"/>
              <w:left w:val="single" w:color="auto" w:sz="4" w:space="0"/>
              <w:bottom w:val="single" w:color="auto" w:sz="4" w:space="0"/>
              <w:right w:val="single" w:color="auto" w:sz="4" w:space="0"/>
            </w:tcBorders>
            <w:vAlign w:val="center"/>
          </w:tcPr>
          <w:p w14:paraId="7A4F7C7C">
            <w:pPr>
              <w:jc w:val="center"/>
              <w:rPr>
                <w:rFonts w:hint="eastAsia" w:ascii="宋体" w:hAnsi="宋体" w:cs="宋体"/>
                <w:color w:val="000000"/>
                <w:kern w:val="0"/>
                <w:sz w:val="22"/>
                <w:szCs w:val="22"/>
                <w:lang w:val="en-US" w:eastAsia="zh-CN"/>
              </w:rPr>
            </w:pPr>
          </w:p>
        </w:tc>
        <w:tc>
          <w:tcPr>
            <w:tcW w:w="1217" w:type="pct"/>
            <w:vMerge w:val="continue"/>
            <w:tcBorders>
              <w:top w:val="nil"/>
              <w:left w:val="nil"/>
              <w:bottom w:val="single" w:color="auto" w:sz="4" w:space="0"/>
              <w:right w:val="single" w:color="auto" w:sz="4" w:space="0"/>
            </w:tcBorders>
            <w:noWrap/>
            <w:vAlign w:val="center"/>
          </w:tcPr>
          <w:p w14:paraId="28F2C06D">
            <w:pPr>
              <w:jc w:val="center"/>
              <w:rPr>
                <w:rFonts w:hint="default" w:ascii="宋体" w:hAnsi="宋体" w:eastAsia="宋体" w:cs="宋体"/>
                <w:color w:val="000000"/>
                <w:kern w:val="0"/>
                <w:sz w:val="22"/>
                <w:szCs w:val="22"/>
                <w:lang w:val="en-US" w:eastAsia="zh-CN"/>
              </w:rPr>
            </w:pPr>
          </w:p>
        </w:tc>
        <w:tc>
          <w:tcPr>
            <w:tcW w:w="1319" w:type="pct"/>
            <w:tcBorders>
              <w:top w:val="single" w:color="auto" w:sz="4" w:space="0"/>
              <w:left w:val="nil"/>
              <w:bottom w:val="single" w:color="auto" w:sz="4" w:space="0"/>
              <w:right w:val="single" w:color="auto" w:sz="4" w:space="0"/>
            </w:tcBorders>
            <w:vAlign w:val="center"/>
          </w:tcPr>
          <w:p w14:paraId="7A41F46C">
            <w:pPr>
              <w:keepNext w:val="0"/>
              <w:keepLines w:val="0"/>
              <w:widowControl/>
              <w:suppressLineNumbers w:val="0"/>
              <w:jc w:val="left"/>
              <w:textAlignment w:val="center"/>
              <w:rPr>
                <w:rFonts w:hint="default" w:ascii="宋体" w:hAnsi="宋体" w:cs="宋体"/>
                <w:color w:val="000000"/>
                <w:kern w:val="0"/>
                <w:sz w:val="22"/>
                <w:szCs w:val="22"/>
                <w:lang w:val="en-US" w:eastAsia="zh-CN"/>
              </w:rPr>
            </w:pPr>
            <w:r>
              <w:rPr>
                <w:rFonts w:hint="eastAsia" w:ascii="等线" w:hAnsi="等线" w:eastAsia="等线" w:cs="等线"/>
                <w:i w:val="0"/>
                <w:iCs w:val="0"/>
                <w:color w:val="000000"/>
                <w:kern w:val="0"/>
                <w:sz w:val="22"/>
                <w:szCs w:val="22"/>
                <w:u w:val="none"/>
                <w:lang w:val="en-US" w:eastAsia="zh-CN" w:bidi="ar"/>
              </w:rPr>
              <w:t>绝缘隔热线圈箱</w:t>
            </w:r>
          </w:p>
        </w:tc>
        <w:tc>
          <w:tcPr>
            <w:tcW w:w="624" w:type="pct"/>
            <w:tcBorders>
              <w:top w:val="single" w:color="auto" w:sz="4" w:space="0"/>
              <w:left w:val="single" w:color="auto" w:sz="4" w:space="0"/>
              <w:bottom w:val="single" w:color="auto" w:sz="4" w:space="0"/>
              <w:right w:val="single" w:color="auto" w:sz="4" w:space="0"/>
            </w:tcBorders>
            <w:vAlign w:val="center"/>
          </w:tcPr>
          <w:p w14:paraId="0D031BF3">
            <w:pPr>
              <w:keepNext w:val="0"/>
              <w:keepLines w:val="0"/>
              <w:widowControl/>
              <w:suppressLineNumbers w:val="0"/>
              <w:jc w:val="center"/>
              <w:textAlignment w:val="center"/>
              <w:rPr>
                <w:rFonts w:hint="default" w:ascii="宋体" w:hAnsi="宋体" w:cs="宋体"/>
                <w:color w:val="FF0000"/>
                <w:kern w:val="0"/>
                <w:sz w:val="22"/>
                <w:szCs w:val="22"/>
                <w:lang w:val="en-US" w:eastAsia="zh-CN"/>
              </w:rPr>
            </w:pPr>
            <w:r>
              <w:rPr>
                <w:rFonts w:hint="eastAsia" w:ascii="宋体" w:hAnsi="宋体" w:eastAsia="宋体" w:cs="宋体"/>
                <w:i w:val="0"/>
                <w:iCs w:val="0"/>
                <w:color w:val="FF0000"/>
                <w:kern w:val="0"/>
                <w:sz w:val="24"/>
                <w:szCs w:val="24"/>
                <w:u w:val="none"/>
                <w:lang w:val="en-US" w:eastAsia="zh-CN" w:bidi="ar"/>
              </w:rPr>
              <w:t>5000</w:t>
            </w:r>
          </w:p>
        </w:tc>
        <w:tc>
          <w:tcPr>
            <w:tcW w:w="311" w:type="pct"/>
            <w:tcBorders>
              <w:top w:val="single" w:color="auto" w:sz="4" w:space="0"/>
              <w:left w:val="single" w:color="auto" w:sz="4" w:space="0"/>
              <w:bottom w:val="single" w:color="auto" w:sz="4" w:space="0"/>
              <w:right w:val="single" w:color="auto" w:sz="4" w:space="0"/>
            </w:tcBorders>
            <w:vAlign w:val="center"/>
          </w:tcPr>
          <w:p w14:paraId="15121C8B">
            <w:pPr>
              <w:keepNext w:val="0"/>
              <w:keepLines w:val="0"/>
              <w:widowControl/>
              <w:suppressLineNumbers w:val="0"/>
              <w:jc w:val="center"/>
              <w:textAlignment w:val="center"/>
              <w:rPr>
                <w:rFonts w:hint="default" w:ascii="宋体" w:hAnsi="宋体" w:cs="宋体"/>
                <w:color w:val="000000"/>
                <w:kern w:val="0"/>
                <w:sz w:val="22"/>
                <w:szCs w:val="22"/>
                <w:lang w:val="en-US" w:eastAsia="zh-CN"/>
              </w:rPr>
            </w:pPr>
            <w:r>
              <w:rPr>
                <w:rFonts w:hint="eastAsia" w:ascii="等线" w:hAnsi="等线" w:eastAsia="等线" w:cs="等线"/>
                <w:i w:val="0"/>
                <w:iCs w:val="0"/>
                <w:color w:val="000000"/>
                <w:kern w:val="0"/>
                <w:sz w:val="22"/>
                <w:szCs w:val="22"/>
                <w:u w:val="none"/>
                <w:lang w:val="en-US" w:eastAsia="zh-CN" w:bidi="ar"/>
              </w:rPr>
              <w:t>节</w:t>
            </w:r>
          </w:p>
        </w:tc>
        <w:tc>
          <w:tcPr>
            <w:tcW w:w="401" w:type="pct"/>
            <w:tcBorders>
              <w:top w:val="single" w:color="auto" w:sz="4" w:space="0"/>
              <w:left w:val="single" w:color="auto" w:sz="4" w:space="0"/>
              <w:bottom w:val="single" w:color="auto" w:sz="4" w:space="0"/>
              <w:right w:val="single" w:color="auto" w:sz="4" w:space="0"/>
            </w:tcBorders>
            <w:vAlign w:val="center"/>
          </w:tcPr>
          <w:p w14:paraId="6CB255AE">
            <w:pPr>
              <w:keepNext w:val="0"/>
              <w:keepLines w:val="0"/>
              <w:widowControl/>
              <w:suppressLineNumbers w:val="0"/>
              <w:jc w:val="center"/>
              <w:textAlignment w:val="center"/>
              <w:rPr>
                <w:rFonts w:hint="default" w:ascii="宋体" w:hAnsi="宋体" w:cs="宋体"/>
                <w:color w:val="000000"/>
                <w:kern w:val="0"/>
                <w:sz w:val="22"/>
                <w:szCs w:val="22"/>
                <w:lang w:val="en-US" w:eastAsia="zh-CN"/>
              </w:rPr>
            </w:pPr>
            <w:r>
              <w:rPr>
                <w:rFonts w:hint="eastAsia" w:ascii="等线" w:hAnsi="等线" w:eastAsia="等线" w:cs="等线"/>
                <w:i w:val="0"/>
                <w:iCs w:val="0"/>
                <w:color w:val="000000"/>
                <w:kern w:val="0"/>
                <w:sz w:val="22"/>
                <w:szCs w:val="22"/>
                <w:u w:val="none"/>
                <w:lang w:val="en-US" w:eastAsia="zh-CN" w:bidi="ar"/>
              </w:rPr>
              <w:t>1</w:t>
            </w:r>
          </w:p>
        </w:tc>
        <w:tc>
          <w:tcPr>
            <w:tcW w:w="757" w:type="pct"/>
            <w:tcBorders>
              <w:top w:val="single" w:color="auto" w:sz="4" w:space="0"/>
              <w:left w:val="single" w:color="auto" w:sz="4" w:space="0"/>
              <w:bottom w:val="single" w:color="auto" w:sz="4" w:space="0"/>
              <w:right w:val="single" w:color="auto" w:sz="4" w:space="0"/>
            </w:tcBorders>
            <w:noWrap/>
            <w:vAlign w:val="center"/>
          </w:tcPr>
          <w:p w14:paraId="4AD35454">
            <w:pPr>
              <w:widowControl/>
              <w:jc w:val="center"/>
              <w:rPr>
                <w:rFonts w:ascii="宋体" w:hAnsi="宋体" w:cs="宋体"/>
                <w:color w:val="000000"/>
                <w:kern w:val="0"/>
                <w:sz w:val="22"/>
                <w:szCs w:val="22"/>
              </w:rPr>
            </w:pPr>
          </w:p>
        </w:tc>
      </w:tr>
      <w:tr w14:paraId="0F70E24D">
        <w:tblPrEx>
          <w:tblCellMar>
            <w:top w:w="0" w:type="dxa"/>
            <w:left w:w="108" w:type="dxa"/>
            <w:bottom w:w="0" w:type="dxa"/>
            <w:right w:w="108" w:type="dxa"/>
          </w:tblCellMar>
        </w:tblPrEx>
        <w:trPr>
          <w:trHeight w:val="270" w:hRule="atLeast"/>
          <w:jc w:val="center"/>
        </w:trPr>
        <w:tc>
          <w:tcPr>
            <w:tcW w:w="367" w:type="pct"/>
            <w:vMerge w:val="continue"/>
            <w:tcBorders>
              <w:top w:val="single" w:color="auto" w:sz="4" w:space="0"/>
              <w:left w:val="single" w:color="auto" w:sz="4" w:space="0"/>
              <w:bottom w:val="single" w:color="auto" w:sz="4" w:space="0"/>
              <w:right w:val="single" w:color="auto" w:sz="4" w:space="0"/>
            </w:tcBorders>
            <w:vAlign w:val="center"/>
          </w:tcPr>
          <w:p w14:paraId="106A4D6D">
            <w:pPr>
              <w:jc w:val="center"/>
              <w:rPr>
                <w:rFonts w:hint="eastAsia" w:ascii="宋体" w:hAnsi="宋体" w:cs="宋体"/>
                <w:color w:val="000000"/>
                <w:kern w:val="0"/>
                <w:sz w:val="22"/>
                <w:szCs w:val="22"/>
                <w:lang w:val="en-US" w:eastAsia="zh-CN"/>
              </w:rPr>
            </w:pPr>
          </w:p>
        </w:tc>
        <w:tc>
          <w:tcPr>
            <w:tcW w:w="1217" w:type="pct"/>
            <w:vMerge w:val="continue"/>
            <w:tcBorders>
              <w:top w:val="nil"/>
              <w:left w:val="nil"/>
              <w:bottom w:val="single" w:color="auto" w:sz="4" w:space="0"/>
              <w:right w:val="single" w:color="auto" w:sz="4" w:space="0"/>
            </w:tcBorders>
            <w:noWrap/>
            <w:vAlign w:val="center"/>
          </w:tcPr>
          <w:p w14:paraId="1E5EA46B">
            <w:pPr>
              <w:jc w:val="center"/>
              <w:rPr>
                <w:rFonts w:hint="default" w:ascii="宋体" w:hAnsi="宋体" w:eastAsia="宋体" w:cs="宋体"/>
                <w:color w:val="000000"/>
                <w:kern w:val="0"/>
                <w:sz w:val="22"/>
                <w:szCs w:val="22"/>
                <w:lang w:val="en-US" w:eastAsia="zh-CN"/>
              </w:rPr>
            </w:pPr>
          </w:p>
        </w:tc>
        <w:tc>
          <w:tcPr>
            <w:tcW w:w="1319" w:type="pct"/>
            <w:tcBorders>
              <w:top w:val="single" w:color="auto" w:sz="4" w:space="0"/>
              <w:left w:val="nil"/>
              <w:bottom w:val="single" w:color="auto" w:sz="4" w:space="0"/>
              <w:right w:val="single" w:color="auto" w:sz="4" w:space="0"/>
            </w:tcBorders>
            <w:vAlign w:val="center"/>
          </w:tcPr>
          <w:p w14:paraId="61EECA42">
            <w:pPr>
              <w:keepNext w:val="0"/>
              <w:keepLines w:val="0"/>
              <w:widowControl/>
              <w:suppressLineNumbers w:val="0"/>
              <w:jc w:val="left"/>
              <w:textAlignment w:val="center"/>
              <w:rPr>
                <w:rFonts w:hint="default" w:ascii="宋体" w:hAnsi="宋体" w:cs="宋体"/>
                <w:color w:val="000000"/>
                <w:kern w:val="0"/>
                <w:sz w:val="22"/>
                <w:szCs w:val="22"/>
                <w:lang w:val="en-US" w:eastAsia="zh-CN"/>
              </w:rPr>
            </w:pPr>
            <w:r>
              <w:rPr>
                <w:rFonts w:hint="eastAsia" w:ascii="等线" w:hAnsi="等线" w:eastAsia="等线" w:cs="等线"/>
                <w:i w:val="0"/>
                <w:iCs w:val="0"/>
                <w:color w:val="000000"/>
                <w:kern w:val="0"/>
                <w:sz w:val="22"/>
                <w:szCs w:val="22"/>
                <w:u w:val="none"/>
                <w:lang w:val="en-US" w:eastAsia="zh-CN" w:bidi="ar"/>
              </w:rPr>
              <w:t>无氧铜线圈绕组</w:t>
            </w:r>
          </w:p>
        </w:tc>
        <w:tc>
          <w:tcPr>
            <w:tcW w:w="624" w:type="pct"/>
            <w:tcBorders>
              <w:top w:val="single" w:color="auto" w:sz="4" w:space="0"/>
              <w:left w:val="single" w:color="auto" w:sz="4" w:space="0"/>
              <w:bottom w:val="single" w:color="auto" w:sz="4" w:space="0"/>
              <w:right w:val="single" w:color="auto" w:sz="4" w:space="0"/>
            </w:tcBorders>
            <w:vAlign w:val="center"/>
          </w:tcPr>
          <w:p w14:paraId="4ACD4A8A">
            <w:pPr>
              <w:keepNext w:val="0"/>
              <w:keepLines w:val="0"/>
              <w:widowControl/>
              <w:suppressLineNumbers w:val="0"/>
              <w:jc w:val="center"/>
              <w:textAlignment w:val="center"/>
              <w:rPr>
                <w:rFonts w:hint="default" w:ascii="宋体" w:hAnsi="宋体" w:cs="宋体"/>
                <w:color w:val="FF0000"/>
                <w:kern w:val="0"/>
                <w:sz w:val="22"/>
                <w:szCs w:val="22"/>
                <w:lang w:val="en-US" w:eastAsia="zh-CN"/>
              </w:rPr>
            </w:pPr>
            <w:r>
              <w:rPr>
                <w:rFonts w:hint="eastAsia" w:ascii="宋体" w:hAnsi="宋体" w:eastAsia="宋体" w:cs="宋体"/>
                <w:i w:val="0"/>
                <w:iCs w:val="0"/>
                <w:color w:val="FF0000"/>
                <w:kern w:val="0"/>
                <w:sz w:val="24"/>
                <w:szCs w:val="24"/>
                <w:u w:val="none"/>
                <w:lang w:val="en-US" w:eastAsia="zh-CN" w:bidi="ar"/>
              </w:rPr>
              <w:t>4577.66</w:t>
            </w:r>
          </w:p>
        </w:tc>
        <w:tc>
          <w:tcPr>
            <w:tcW w:w="311" w:type="pct"/>
            <w:tcBorders>
              <w:top w:val="single" w:color="auto" w:sz="4" w:space="0"/>
              <w:left w:val="single" w:color="auto" w:sz="4" w:space="0"/>
              <w:bottom w:val="single" w:color="auto" w:sz="4" w:space="0"/>
              <w:right w:val="single" w:color="auto" w:sz="4" w:space="0"/>
            </w:tcBorders>
            <w:vAlign w:val="center"/>
          </w:tcPr>
          <w:p w14:paraId="42E62E38">
            <w:pPr>
              <w:keepNext w:val="0"/>
              <w:keepLines w:val="0"/>
              <w:widowControl/>
              <w:suppressLineNumbers w:val="0"/>
              <w:jc w:val="center"/>
              <w:textAlignment w:val="center"/>
              <w:rPr>
                <w:rFonts w:hint="default" w:ascii="宋体" w:hAnsi="宋体" w:cs="宋体"/>
                <w:color w:val="000000"/>
                <w:kern w:val="0"/>
                <w:sz w:val="22"/>
                <w:szCs w:val="22"/>
                <w:lang w:val="en-US" w:eastAsia="zh-CN"/>
              </w:rPr>
            </w:pPr>
            <w:r>
              <w:rPr>
                <w:rFonts w:hint="eastAsia" w:ascii="等线" w:hAnsi="等线" w:eastAsia="等线" w:cs="等线"/>
                <w:i w:val="0"/>
                <w:iCs w:val="0"/>
                <w:color w:val="000000"/>
                <w:kern w:val="0"/>
                <w:sz w:val="22"/>
                <w:szCs w:val="22"/>
                <w:u w:val="none"/>
                <w:lang w:val="en-US" w:eastAsia="zh-CN" w:bidi="ar"/>
              </w:rPr>
              <w:t>节</w:t>
            </w:r>
          </w:p>
        </w:tc>
        <w:tc>
          <w:tcPr>
            <w:tcW w:w="401" w:type="pct"/>
            <w:tcBorders>
              <w:top w:val="single" w:color="auto" w:sz="4" w:space="0"/>
              <w:left w:val="single" w:color="auto" w:sz="4" w:space="0"/>
              <w:bottom w:val="single" w:color="auto" w:sz="4" w:space="0"/>
              <w:right w:val="single" w:color="auto" w:sz="4" w:space="0"/>
            </w:tcBorders>
            <w:vAlign w:val="center"/>
          </w:tcPr>
          <w:p w14:paraId="004B145C">
            <w:pPr>
              <w:keepNext w:val="0"/>
              <w:keepLines w:val="0"/>
              <w:widowControl/>
              <w:suppressLineNumbers w:val="0"/>
              <w:jc w:val="center"/>
              <w:textAlignment w:val="center"/>
              <w:rPr>
                <w:rFonts w:hint="default" w:ascii="宋体" w:hAnsi="宋体" w:cs="宋体"/>
                <w:color w:val="000000"/>
                <w:kern w:val="0"/>
                <w:sz w:val="22"/>
                <w:szCs w:val="22"/>
                <w:lang w:val="en-US" w:eastAsia="zh-CN"/>
              </w:rPr>
            </w:pPr>
            <w:r>
              <w:rPr>
                <w:rFonts w:hint="eastAsia" w:ascii="等线" w:hAnsi="等线" w:eastAsia="等线" w:cs="等线"/>
                <w:i w:val="0"/>
                <w:iCs w:val="0"/>
                <w:color w:val="000000"/>
                <w:kern w:val="0"/>
                <w:sz w:val="22"/>
                <w:szCs w:val="22"/>
                <w:u w:val="none"/>
                <w:lang w:val="en-US" w:eastAsia="zh-CN" w:bidi="ar"/>
              </w:rPr>
              <w:t>1</w:t>
            </w:r>
          </w:p>
        </w:tc>
        <w:tc>
          <w:tcPr>
            <w:tcW w:w="757" w:type="pct"/>
            <w:tcBorders>
              <w:top w:val="single" w:color="auto" w:sz="4" w:space="0"/>
              <w:left w:val="single" w:color="auto" w:sz="4" w:space="0"/>
              <w:bottom w:val="single" w:color="auto" w:sz="4" w:space="0"/>
              <w:right w:val="single" w:color="auto" w:sz="4" w:space="0"/>
            </w:tcBorders>
            <w:noWrap/>
            <w:vAlign w:val="center"/>
          </w:tcPr>
          <w:p w14:paraId="3CDAC3D5">
            <w:pPr>
              <w:widowControl/>
              <w:jc w:val="center"/>
              <w:rPr>
                <w:rFonts w:ascii="宋体" w:hAnsi="宋体" w:cs="宋体"/>
                <w:color w:val="000000"/>
                <w:kern w:val="0"/>
                <w:sz w:val="22"/>
                <w:szCs w:val="22"/>
              </w:rPr>
            </w:pPr>
          </w:p>
        </w:tc>
      </w:tr>
      <w:tr w14:paraId="708572BA">
        <w:tblPrEx>
          <w:tblCellMar>
            <w:top w:w="0" w:type="dxa"/>
            <w:left w:w="108" w:type="dxa"/>
            <w:bottom w:w="0" w:type="dxa"/>
            <w:right w:w="108" w:type="dxa"/>
          </w:tblCellMar>
        </w:tblPrEx>
        <w:trPr>
          <w:trHeight w:val="270" w:hRule="atLeast"/>
          <w:jc w:val="center"/>
        </w:trPr>
        <w:tc>
          <w:tcPr>
            <w:tcW w:w="367" w:type="pct"/>
            <w:vMerge w:val="continue"/>
            <w:tcBorders>
              <w:top w:val="single" w:color="auto" w:sz="4" w:space="0"/>
              <w:left w:val="single" w:color="auto" w:sz="4" w:space="0"/>
              <w:bottom w:val="single" w:color="auto" w:sz="4" w:space="0"/>
              <w:right w:val="single" w:color="auto" w:sz="4" w:space="0"/>
            </w:tcBorders>
            <w:vAlign w:val="center"/>
          </w:tcPr>
          <w:p w14:paraId="532A7D03">
            <w:pPr>
              <w:jc w:val="center"/>
              <w:rPr>
                <w:rFonts w:hint="eastAsia" w:ascii="宋体" w:hAnsi="宋体" w:cs="宋体"/>
                <w:color w:val="000000"/>
                <w:kern w:val="0"/>
                <w:sz w:val="22"/>
                <w:szCs w:val="22"/>
                <w:lang w:val="en-US" w:eastAsia="zh-CN"/>
              </w:rPr>
            </w:pPr>
          </w:p>
        </w:tc>
        <w:tc>
          <w:tcPr>
            <w:tcW w:w="1217" w:type="pct"/>
            <w:vMerge w:val="continue"/>
            <w:tcBorders>
              <w:top w:val="nil"/>
              <w:left w:val="nil"/>
              <w:bottom w:val="single" w:color="auto" w:sz="4" w:space="0"/>
              <w:right w:val="single" w:color="auto" w:sz="4" w:space="0"/>
            </w:tcBorders>
            <w:noWrap/>
            <w:vAlign w:val="center"/>
          </w:tcPr>
          <w:p w14:paraId="238D5265">
            <w:pPr>
              <w:jc w:val="center"/>
              <w:rPr>
                <w:rFonts w:hint="default" w:ascii="宋体" w:hAnsi="宋体" w:eastAsia="宋体" w:cs="宋体"/>
                <w:color w:val="000000"/>
                <w:kern w:val="0"/>
                <w:sz w:val="22"/>
                <w:szCs w:val="22"/>
                <w:lang w:val="en-US" w:eastAsia="zh-CN"/>
              </w:rPr>
            </w:pPr>
          </w:p>
        </w:tc>
        <w:tc>
          <w:tcPr>
            <w:tcW w:w="1319" w:type="pct"/>
            <w:tcBorders>
              <w:top w:val="single" w:color="auto" w:sz="4" w:space="0"/>
              <w:left w:val="nil"/>
              <w:bottom w:val="single" w:color="auto" w:sz="4" w:space="0"/>
              <w:right w:val="single" w:color="auto" w:sz="4" w:space="0"/>
            </w:tcBorders>
            <w:vAlign w:val="center"/>
          </w:tcPr>
          <w:p w14:paraId="0745B62C">
            <w:pPr>
              <w:keepNext w:val="0"/>
              <w:keepLines w:val="0"/>
              <w:widowControl/>
              <w:suppressLineNumbers w:val="0"/>
              <w:jc w:val="left"/>
              <w:textAlignment w:val="center"/>
              <w:rPr>
                <w:rFonts w:hint="default" w:ascii="宋体" w:hAnsi="宋体" w:cs="宋体"/>
                <w:color w:val="000000"/>
                <w:kern w:val="0"/>
                <w:sz w:val="22"/>
                <w:szCs w:val="22"/>
                <w:lang w:val="en-US" w:eastAsia="zh-CN"/>
              </w:rPr>
            </w:pPr>
            <w:r>
              <w:rPr>
                <w:rFonts w:hint="eastAsia" w:ascii="等线" w:hAnsi="等线" w:eastAsia="等线" w:cs="等线"/>
                <w:i w:val="0"/>
                <w:iCs w:val="0"/>
                <w:color w:val="000000"/>
                <w:kern w:val="0"/>
                <w:sz w:val="22"/>
                <w:szCs w:val="22"/>
                <w:u w:val="none"/>
                <w:lang w:val="en-US" w:eastAsia="zh-CN" w:bidi="ar"/>
              </w:rPr>
              <w:t>线圈水分配器</w:t>
            </w:r>
          </w:p>
        </w:tc>
        <w:tc>
          <w:tcPr>
            <w:tcW w:w="624" w:type="pct"/>
            <w:tcBorders>
              <w:top w:val="single" w:color="auto" w:sz="4" w:space="0"/>
              <w:left w:val="single" w:color="auto" w:sz="4" w:space="0"/>
              <w:bottom w:val="single" w:color="auto" w:sz="4" w:space="0"/>
              <w:right w:val="single" w:color="auto" w:sz="4" w:space="0"/>
            </w:tcBorders>
            <w:vAlign w:val="center"/>
          </w:tcPr>
          <w:p w14:paraId="347439D1">
            <w:pPr>
              <w:keepNext w:val="0"/>
              <w:keepLines w:val="0"/>
              <w:widowControl/>
              <w:suppressLineNumbers w:val="0"/>
              <w:jc w:val="center"/>
              <w:textAlignment w:val="center"/>
              <w:rPr>
                <w:rFonts w:hint="default" w:ascii="宋体" w:hAnsi="宋体" w:cs="宋体"/>
                <w:color w:val="FF0000"/>
                <w:kern w:val="0"/>
                <w:sz w:val="22"/>
                <w:szCs w:val="22"/>
                <w:lang w:val="en-US" w:eastAsia="zh-CN"/>
              </w:rPr>
            </w:pPr>
            <w:r>
              <w:rPr>
                <w:rFonts w:hint="eastAsia" w:ascii="宋体" w:hAnsi="宋体" w:eastAsia="宋体" w:cs="宋体"/>
                <w:i w:val="0"/>
                <w:iCs w:val="0"/>
                <w:color w:val="FF0000"/>
                <w:kern w:val="0"/>
                <w:sz w:val="24"/>
                <w:szCs w:val="24"/>
                <w:u w:val="none"/>
                <w:lang w:val="en-US" w:eastAsia="zh-CN" w:bidi="ar"/>
              </w:rPr>
              <w:t>1709.73</w:t>
            </w:r>
          </w:p>
        </w:tc>
        <w:tc>
          <w:tcPr>
            <w:tcW w:w="311" w:type="pct"/>
            <w:tcBorders>
              <w:top w:val="single" w:color="auto" w:sz="4" w:space="0"/>
              <w:left w:val="single" w:color="auto" w:sz="4" w:space="0"/>
              <w:bottom w:val="single" w:color="auto" w:sz="4" w:space="0"/>
              <w:right w:val="single" w:color="auto" w:sz="4" w:space="0"/>
            </w:tcBorders>
            <w:vAlign w:val="center"/>
          </w:tcPr>
          <w:p w14:paraId="3288DBC8">
            <w:pPr>
              <w:keepNext w:val="0"/>
              <w:keepLines w:val="0"/>
              <w:widowControl/>
              <w:suppressLineNumbers w:val="0"/>
              <w:jc w:val="center"/>
              <w:textAlignment w:val="center"/>
              <w:rPr>
                <w:rFonts w:hint="default" w:ascii="宋体" w:hAnsi="宋体" w:cs="宋体"/>
                <w:color w:val="000000"/>
                <w:kern w:val="0"/>
                <w:sz w:val="22"/>
                <w:szCs w:val="22"/>
                <w:lang w:val="en-US" w:eastAsia="zh-CN"/>
              </w:rPr>
            </w:pPr>
            <w:r>
              <w:rPr>
                <w:rFonts w:hint="eastAsia" w:ascii="等线" w:hAnsi="等线" w:eastAsia="等线" w:cs="等线"/>
                <w:i w:val="0"/>
                <w:iCs w:val="0"/>
                <w:color w:val="000000"/>
                <w:kern w:val="0"/>
                <w:sz w:val="22"/>
                <w:szCs w:val="22"/>
                <w:u w:val="none"/>
                <w:lang w:val="en-US" w:eastAsia="zh-CN" w:bidi="ar"/>
              </w:rPr>
              <w:t>节</w:t>
            </w:r>
          </w:p>
        </w:tc>
        <w:tc>
          <w:tcPr>
            <w:tcW w:w="401" w:type="pct"/>
            <w:tcBorders>
              <w:top w:val="single" w:color="auto" w:sz="4" w:space="0"/>
              <w:left w:val="single" w:color="auto" w:sz="4" w:space="0"/>
              <w:bottom w:val="single" w:color="auto" w:sz="4" w:space="0"/>
              <w:right w:val="single" w:color="auto" w:sz="4" w:space="0"/>
            </w:tcBorders>
            <w:vAlign w:val="center"/>
          </w:tcPr>
          <w:p w14:paraId="0A92F59C">
            <w:pPr>
              <w:keepNext w:val="0"/>
              <w:keepLines w:val="0"/>
              <w:widowControl/>
              <w:suppressLineNumbers w:val="0"/>
              <w:jc w:val="center"/>
              <w:textAlignment w:val="center"/>
              <w:rPr>
                <w:rFonts w:hint="default" w:ascii="宋体" w:hAnsi="宋体" w:cs="宋体"/>
                <w:color w:val="000000"/>
                <w:kern w:val="0"/>
                <w:sz w:val="22"/>
                <w:szCs w:val="22"/>
                <w:lang w:val="en-US" w:eastAsia="zh-CN"/>
              </w:rPr>
            </w:pPr>
            <w:r>
              <w:rPr>
                <w:rFonts w:hint="eastAsia" w:ascii="等线" w:hAnsi="等线" w:eastAsia="等线" w:cs="等线"/>
                <w:i w:val="0"/>
                <w:iCs w:val="0"/>
                <w:color w:val="000000"/>
                <w:kern w:val="0"/>
                <w:sz w:val="22"/>
                <w:szCs w:val="22"/>
                <w:u w:val="none"/>
                <w:lang w:val="en-US" w:eastAsia="zh-CN" w:bidi="ar"/>
              </w:rPr>
              <w:t>1</w:t>
            </w:r>
          </w:p>
        </w:tc>
        <w:tc>
          <w:tcPr>
            <w:tcW w:w="757" w:type="pct"/>
            <w:tcBorders>
              <w:top w:val="single" w:color="auto" w:sz="4" w:space="0"/>
              <w:left w:val="single" w:color="auto" w:sz="4" w:space="0"/>
              <w:bottom w:val="single" w:color="auto" w:sz="4" w:space="0"/>
              <w:right w:val="single" w:color="auto" w:sz="4" w:space="0"/>
            </w:tcBorders>
            <w:noWrap/>
            <w:vAlign w:val="center"/>
          </w:tcPr>
          <w:p w14:paraId="5E7622F7">
            <w:pPr>
              <w:widowControl/>
              <w:jc w:val="center"/>
              <w:rPr>
                <w:rFonts w:ascii="宋体" w:hAnsi="宋体" w:cs="宋体"/>
                <w:color w:val="000000"/>
                <w:kern w:val="0"/>
                <w:sz w:val="22"/>
                <w:szCs w:val="22"/>
              </w:rPr>
            </w:pPr>
          </w:p>
        </w:tc>
      </w:tr>
      <w:tr w14:paraId="310A08D9">
        <w:tblPrEx>
          <w:tblCellMar>
            <w:top w:w="0" w:type="dxa"/>
            <w:left w:w="108" w:type="dxa"/>
            <w:bottom w:w="0" w:type="dxa"/>
            <w:right w:w="108" w:type="dxa"/>
          </w:tblCellMar>
        </w:tblPrEx>
        <w:trPr>
          <w:trHeight w:val="270" w:hRule="atLeast"/>
          <w:jc w:val="center"/>
        </w:trPr>
        <w:tc>
          <w:tcPr>
            <w:tcW w:w="367" w:type="pct"/>
            <w:vMerge w:val="continue"/>
            <w:tcBorders>
              <w:top w:val="single" w:color="auto" w:sz="4" w:space="0"/>
              <w:left w:val="single" w:color="auto" w:sz="4" w:space="0"/>
              <w:bottom w:val="single" w:color="auto" w:sz="4" w:space="0"/>
              <w:right w:val="single" w:color="auto" w:sz="4" w:space="0"/>
            </w:tcBorders>
            <w:vAlign w:val="center"/>
          </w:tcPr>
          <w:p w14:paraId="0B19E68E">
            <w:pPr>
              <w:jc w:val="center"/>
              <w:rPr>
                <w:rFonts w:hint="eastAsia" w:ascii="宋体" w:hAnsi="宋体" w:cs="宋体"/>
                <w:color w:val="000000"/>
                <w:kern w:val="0"/>
                <w:sz w:val="22"/>
                <w:szCs w:val="22"/>
                <w:lang w:val="en-US" w:eastAsia="zh-CN"/>
              </w:rPr>
            </w:pPr>
          </w:p>
        </w:tc>
        <w:tc>
          <w:tcPr>
            <w:tcW w:w="1217" w:type="pct"/>
            <w:vMerge w:val="continue"/>
            <w:tcBorders>
              <w:top w:val="nil"/>
              <w:left w:val="nil"/>
              <w:bottom w:val="single" w:color="auto" w:sz="4" w:space="0"/>
              <w:right w:val="single" w:color="auto" w:sz="4" w:space="0"/>
            </w:tcBorders>
            <w:noWrap/>
            <w:vAlign w:val="center"/>
          </w:tcPr>
          <w:p w14:paraId="08C2777F">
            <w:pPr>
              <w:jc w:val="center"/>
              <w:rPr>
                <w:rFonts w:hint="default" w:ascii="宋体" w:hAnsi="宋体" w:eastAsia="宋体" w:cs="宋体"/>
                <w:color w:val="000000"/>
                <w:kern w:val="0"/>
                <w:sz w:val="22"/>
                <w:szCs w:val="22"/>
                <w:lang w:val="en-US" w:eastAsia="zh-CN"/>
              </w:rPr>
            </w:pPr>
          </w:p>
        </w:tc>
        <w:tc>
          <w:tcPr>
            <w:tcW w:w="1319" w:type="pct"/>
            <w:tcBorders>
              <w:top w:val="single" w:color="auto" w:sz="4" w:space="0"/>
              <w:left w:val="nil"/>
              <w:bottom w:val="single" w:color="auto" w:sz="4" w:space="0"/>
              <w:right w:val="single" w:color="auto" w:sz="4" w:space="0"/>
            </w:tcBorders>
            <w:vAlign w:val="center"/>
          </w:tcPr>
          <w:p w14:paraId="6BAE206D">
            <w:pPr>
              <w:keepNext w:val="0"/>
              <w:keepLines w:val="0"/>
              <w:widowControl/>
              <w:suppressLineNumbers w:val="0"/>
              <w:jc w:val="left"/>
              <w:textAlignment w:val="center"/>
              <w:rPr>
                <w:rFonts w:hint="default" w:ascii="宋体" w:hAnsi="宋体" w:cs="宋体"/>
                <w:color w:val="000000"/>
                <w:kern w:val="0"/>
                <w:sz w:val="22"/>
                <w:szCs w:val="22"/>
                <w:lang w:val="en-US" w:eastAsia="zh-CN"/>
              </w:rPr>
            </w:pPr>
            <w:r>
              <w:rPr>
                <w:rFonts w:hint="eastAsia" w:ascii="等线" w:hAnsi="等线" w:eastAsia="等线" w:cs="等线"/>
                <w:i w:val="0"/>
                <w:iCs w:val="0"/>
                <w:color w:val="000000"/>
                <w:kern w:val="0"/>
                <w:sz w:val="22"/>
                <w:szCs w:val="22"/>
                <w:u w:val="none"/>
                <w:lang w:val="en-US" w:eastAsia="zh-CN" w:bidi="ar"/>
              </w:rPr>
              <w:t>卡套接头，型号R-1900022SS</w:t>
            </w:r>
          </w:p>
        </w:tc>
        <w:tc>
          <w:tcPr>
            <w:tcW w:w="624" w:type="pct"/>
            <w:tcBorders>
              <w:top w:val="single" w:color="auto" w:sz="4" w:space="0"/>
              <w:left w:val="single" w:color="auto" w:sz="4" w:space="0"/>
              <w:bottom w:val="single" w:color="auto" w:sz="4" w:space="0"/>
              <w:right w:val="single" w:color="auto" w:sz="4" w:space="0"/>
            </w:tcBorders>
            <w:vAlign w:val="center"/>
          </w:tcPr>
          <w:p w14:paraId="1CFD1A15">
            <w:pPr>
              <w:keepNext w:val="0"/>
              <w:keepLines w:val="0"/>
              <w:widowControl/>
              <w:suppressLineNumbers w:val="0"/>
              <w:jc w:val="center"/>
              <w:textAlignment w:val="center"/>
              <w:rPr>
                <w:rFonts w:hint="default" w:ascii="宋体" w:hAnsi="宋体" w:cs="宋体"/>
                <w:color w:val="FF0000"/>
                <w:kern w:val="0"/>
                <w:sz w:val="22"/>
                <w:szCs w:val="22"/>
                <w:lang w:val="en-US" w:eastAsia="zh-CN"/>
              </w:rPr>
            </w:pPr>
            <w:r>
              <w:rPr>
                <w:rFonts w:hint="eastAsia" w:ascii="宋体" w:hAnsi="宋体" w:eastAsia="宋体" w:cs="宋体"/>
                <w:i w:val="0"/>
                <w:iCs w:val="0"/>
                <w:color w:val="FF0000"/>
                <w:kern w:val="0"/>
                <w:sz w:val="24"/>
                <w:szCs w:val="24"/>
                <w:u w:val="none"/>
                <w:lang w:val="en-US" w:eastAsia="zh-CN" w:bidi="ar"/>
              </w:rPr>
              <w:t>16.5</w:t>
            </w:r>
          </w:p>
        </w:tc>
        <w:tc>
          <w:tcPr>
            <w:tcW w:w="311" w:type="pct"/>
            <w:tcBorders>
              <w:top w:val="single" w:color="auto" w:sz="4" w:space="0"/>
              <w:left w:val="single" w:color="auto" w:sz="4" w:space="0"/>
              <w:bottom w:val="single" w:color="auto" w:sz="4" w:space="0"/>
              <w:right w:val="single" w:color="auto" w:sz="4" w:space="0"/>
            </w:tcBorders>
            <w:vAlign w:val="center"/>
          </w:tcPr>
          <w:p w14:paraId="0A3D7878">
            <w:pPr>
              <w:keepNext w:val="0"/>
              <w:keepLines w:val="0"/>
              <w:widowControl/>
              <w:suppressLineNumbers w:val="0"/>
              <w:jc w:val="center"/>
              <w:textAlignment w:val="center"/>
              <w:rPr>
                <w:rFonts w:hint="default" w:ascii="宋体" w:hAnsi="宋体" w:cs="宋体"/>
                <w:color w:val="000000"/>
                <w:kern w:val="0"/>
                <w:sz w:val="22"/>
                <w:szCs w:val="22"/>
                <w:lang w:val="en-US" w:eastAsia="zh-CN"/>
              </w:rPr>
            </w:pPr>
            <w:r>
              <w:rPr>
                <w:rFonts w:hint="eastAsia" w:ascii="等线" w:hAnsi="等线" w:eastAsia="等线" w:cs="等线"/>
                <w:i w:val="0"/>
                <w:iCs w:val="0"/>
                <w:color w:val="000000"/>
                <w:kern w:val="0"/>
                <w:sz w:val="22"/>
                <w:szCs w:val="22"/>
                <w:u w:val="none"/>
                <w:lang w:val="en-US" w:eastAsia="zh-CN" w:bidi="ar"/>
              </w:rPr>
              <w:t>个</w:t>
            </w:r>
          </w:p>
        </w:tc>
        <w:tc>
          <w:tcPr>
            <w:tcW w:w="401" w:type="pct"/>
            <w:tcBorders>
              <w:top w:val="single" w:color="auto" w:sz="4" w:space="0"/>
              <w:left w:val="single" w:color="auto" w:sz="4" w:space="0"/>
              <w:bottom w:val="single" w:color="auto" w:sz="4" w:space="0"/>
              <w:right w:val="single" w:color="auto" w:sz="4" w:space="0"/>
            </w:tcBorders>
            <w:vAlign w:val="center"/>
          </w:tcPr>
          <w:p w14:paraId="0D5ABFBE">
            <w:pPr>
              <w:keepNext w:val="0"/>
              <w:keepLines w:val="0"/>
              <w:widowControl/>
              <w:suppressLineNumbers w:val="0"/>
              <w:jc w:val="center"/>
              <w:textAlignment w:val="center"/>
              <w:rPr>
                <w:rFonts w:hint="default" w:ascii="宋体" w:hAnsi="宋体" w:cs="宋体"/>
                <w:color w:val="000000"/>
                <w:kern w:val="0"/>
                <w:sz w:val="22"/>
                <w:szCs w:val="22"/>
                <w:lang w:val="en-US" w:eastAsia="zh-CN"/>
              </w:rPr>
            </w:pPr>
            <w:r>
              <w:rPr>
                <w:rFonts w:hint="eastAsia" w:ascii="等线" w:hAnsi="等线" w:eastAsia="等线" w:cs="等线"/>
                <w:i w:val="0"/>
                <w:iCs w:val="0"/>
                <w:color w:val="000000"/>
                <w:kern w:val="0"/>
                <w:sz w:val="22"/>
                <w:szCs w:val="22"/>
                <w:u w:val="none"/>
                <w:lang w:val="en-US" w:eastAsia="zh-CN" w:bidi="ar"/>
              </w:rPr>
              <w:t>120</w:t>
            </w:r>
          </w:p>
        </w:tc>
        <w:tc>
          <w:tcPr>
            <w:tcW w:w="757" w:type="pct"/>
            <w:tcBorders>
              <w:top w:val="single" w:color="auto" w:sz="4" w:space="0"/>
              <w:left w:val="single" w:color="auto" w:sz="4" w:space="0"/>
              <w:bottom w:val="single" w:color="auto" w:sz="4" w:space="0"/>
              <w:right w:val="single" w:color="auto" w:sz="4" w:space="0"/>
            </w:tcBorders>
            <w:noWrap/>
            <w:vAlign w:val="center"/>
          </w:tcPr>
          <w:p w14:paraId="719349D3">
            <w:pPr>
              <w:widowControl/>
              <w:jc w:val="center"/>
              <w:rPr>
                <w:rFonts w:ascii="宋体" w:hAnsi="宋体" w:cs="宋体"/>
                <w:color w:val="000000"/>
                <w:kern w:val="0"/>
                <w:sz w:val="22"/>
                <w:szCs w:val="22"/>
              </w:rPr>
            </w:pPr>
          </w:p>
        </w:tc>
      </w:tr>
      <w:tr w14:paraId="2FFA93B6">
        <w:tblPrEx>
          <w:tblCellMar>
            <w:top w:w="0" w:type="dxa"/>
            <w:left w:w="108" w:type="dxa"/>
            <w:bottom w:w="0" w:type="dxa"/>
            <w:right w:w="108" w:type="dxa"/>
          </w:tblCellMar>
        </w:tblPrEx>
        <w:trPr>
          <w:trHeight w:val="270" w:hRule="atLeast"/>
          <w:jc w:val="center"/>
        </w:trPr>
        <w:tc>
          <w:tcPr>
            <w:tcW w:w="367" w:type="pct"/>
            <w:vMerge w:val="continue"/>
            <w:tcBorders>
              <w:top w:val="single" w:color="auto" w:sz="4" w:space="0"/>
              <w:left w:val="single" w:color="auto" w:sz="4" w:space="0"/>
              <w:bottom w:val="single" w:color="auto" w:sz="4" w:space="0"/>
              <w:right w:val="single" w:color="auto" w:sz="4" w:space="0"/>
            </w:tcBorders>
            <w:vAlign w:val="center"/>
          </w:tcPr>
          <w:p w14:paraId="1CB79331">
            <w:pPr>
              <w:jc w:val="center"/>
              <w:rPr>
                <w:rFonts w:hint="eastAsia" w:ascii="宋体" w:hAnsi="宋体" w:cs="宋体"/>
                <w:color w:val="000000"/>
                <w:kern w:val="0"/>
                <w:sz w:val="22"/>
                <w:szCs w:val="22"/>
                <w:lang w:val="en-US" w:eastAsia="zh-CN"/>
              </w:rPr>
            </w:pPr>
          </w:p>
        </w:tc>
        <w:tc>
          <w:tcPr>
            <w:tcW w:w="1217" w:type="pct"/>
            <w:vMerge w:val="continue"/>
            <w:tcBorders>
              <w:top w:val="nil"/>
              <w:left w:val="nil"/>
              <w:bottom w:val="single" w:color="auto" w:sz="4" w:space="0"/>
              <w:right w:val="single" w:color="auto" w:sz="4" w:space="0"/>
            </w:tcBorders>
            <w:noWrap/>
            <w:vAlign w:val="center"/>
          </w:tcPr>
          <w:p w14:paraId="74CF1CD9">
            <w:pPr>
              <w:jc w:val="center"/>
              <w:rPr>
                <w:rFonts w:hint="default" w:ascii="宋体" w:hAnsi="宋体" w:eastAsia="宋体" w:cs="宋体"/>
                <w:color w:val="000000"/>
                <w:kern w:val="0"/>
                <w:sz w:val="22"/>
                <w:szCs w:val="22"/>
                <w:lang w:val="en-US" w:eastAsia="zh-CN"/>
              </w:rPr>
            </w:pPr>
          </w:p>
        </w:tc>
        <w:tc>
          <w:tcPr>
            <w:tcW w:w="1319" w:type="pct"/>
            <w:tcBorders>
              <w:top w:val="single" w:color="auto" w:sz="4" w:space="0"/>
              <w:left w:val="nil"/>
              <w:bottom w:val="single" w:color="auto" w:sz="4" w:space="0"/>
              <w:right w:val="single" w:color="auto" w:sz="4" w:space="0"/>
            </w:tcBorders>
            <w:vAlign w:val="center"/>
          </w:tcPr>
          <w:p w14:paraId="011F147D">
            <w:pPr>
              <w:keepNext w:val="0"/>
              <w:keepLines w:val="0"/>
              <w:widowControl/>
              <w:suppressLineNumbers w:val="0"/>
              <w:jc w:val="left"/>
              <w:textAlignment w:val="center"/>
              <w:rPr>
                <w:rFonts w:hint="default" w:ascii="宋体" w:hAnsi="宋体" w:cs="宋体"/>
                <w:color w:val="000000"/>
                <w:kern w:val="0"/>
                <w:sz w:val="22"/>
                <w:szCs w:val="22"/>
                <w:lang w:val="en-US" w:eastAsia="zh-CN"/>
              </w:rPr>
            </w:pPr>
            <w:r>
              <w:rPr>
                <w:rFonts w:hint="eastAsia" w:ascii="等线" w:hAnsi="等线" w:eastAsia="等线" w:cs="等线"/>
                <w:i w:val="0"/>
                <w:iCs w:val="0"/>
                <w:color w:val="000000"/>
                <w:kern w:val="0"/>
                <w:sz w:val="22"/>
                <w:szCs w:val="22"/>
                <w:u w:val="none"/>
                <w:lang w:val="en-US" w:eastAsia="zh-CN" w:bidi="ar"/>
              </w:rPr>
              <w:t>水冷导轨，型号：φ8不带涂层</w:t>
            </w:r>
          </w:p>
        </w:tc>
        <w:tc>
          <w:tcPr>
            <w:tcW w:w="624" w:type="pct"/>
            <w:tcBorders>
              <w:top w:val="single" w:color="auto" w:sz="4" w:space="0"/>
              <w:left w:val="single" w:color="auto" w:sz="4" w:space="0"/>
              <w:bottom w:val="single" w:color="auto" w:sz="4" w:space="0"/>
              <w:right w:val="single" w:color="auto" w:sz="4" w:space="0"/>
            </w:tcBorders>
            <w:vAlign w:val="center"/>
          </w:tcPr>
          <w:p w14:paraId="4E024327">
            <w:pPr>
              <w:keepNext w:val="0"/>
              <w:keepLines w:val="0"/>
              <w:widowControl/>
              <w:suppressLineNumbers w:val="0"/>
              <w:jc w:val="center"/>
              <w:textAlignment w:val="center"/>
              <w:rPr>
                <w:rFonts w:hint="default" w:ascii="宋体" w:hAnsi="宋体" w:cs="宋体"/>
                <w:color w:val="FF0000"/>
                <w:kern w:val="0"/>
                <w:sz w:val="22"/>
                <w:szCs w:val="22"/>
                <w:lang w:val="en-US" w:eastAsia="zh-CN"/>
              </w:rPr>
            </w:pPr>
            <w:r>
              <w:rPr>
                <w:rFonts w:hint="eastAsia" w:ascii="宋体" w:hAnsi="宋体" w:eastAsia="宋体" w:cs="宋体"/>
                <w:i w:val="0"/>
                <w:iCs w:val="0"/>
                <w:color w:val="FF0000"/>
                <w:kern w:val="0"/>
                <w:sz w:val="24"/>
                <w:szCs w:val="24"/>
                <w:u w:val="none"/>
                <w:lang w:val="en-US" w:eastAsia="zh-CN" w:bidi="ar"/>
              </w:rPr>
              <w:t>390.74</w:t>
            </w:r>
          </w:p>
        </w:tc>
        <w:tc>
          <w:tcPr>
            <w:tcW w:w="311" w:type="pct"/>
            <w:tcBorders>
              <w:top w:val="single" w:color="auto" w:sz="4" w:space="0"/>
              <w:left w:val="single" w:color="auto" w:sz="4" w:space="0"/>
              <w:bottom w:val="single" w:color="auto" w:sz="4" w:space="0"/>
              <w:right w:val="single" w:color="auto" w:sz="4" w:space="0"/>
            </w:tcBorders>
            <w:vAlign w:val="center"/>
          </w:tcPr>
          <w:p w14:paraId="2CE66FAA">
            <w:pPr>
              <w:keepNext w:val="0"/>
              <w:keepLines w:val="0"/>
              <w:widowControl/>
              <w:suppressLineNumbers w:val="0"/>
              <w:jc w:val="center"/>
              <w:textAlignment w:val="center"/>
              <w:rPr>
                <w:rFonts w:hint="default" w:ascii="宋体" w:hAnsi="宋体" w:cs="宋体"/>
                <w:color w:val="000000"/>
                <w:kern w:val="0"/>
                <w:sz w:val="22"/>
                <w:szCs w:val="22"/>
                <w:lang w:val="en-US" w:eastAsia="zh-CN"/>
              </w:rPr>
            </w:pPr>
            <w:r>
              <w:rPr>
                <w:rFonts w:hint="eastAsia" w:ascii="等线" w:hAnsi="等线" w:eastAsia="等线" w:cs="等线"/>
                <w:i w:val="0"/>
                <w:iCs w:val="0"/>
                <w:color w:val="000000"/>
                <w:kern w:val="0"/>
                <w:sz w:val="22"/>
                <w:szCs w:val="22"/>
                <w:u w:val="none"/>
                <w:lang w:val="en-US" w:eastAsia="zh-CN" w:bidi="ar"/>
              </w:rPr>
              <w:t>根</w:t>
            </w:r>
          </w:p>
        </w:tc>
        <w:tc>
          <w:tcPr>
            <w:tcW w:w="401" w:type="pct"/>
            <w:tcBorders>
              <w:top w:val="single" w:color="auto" w:sz="4" w:space="0"/>
              <w:left w:val="single" w:color="auto" w:sz="4" w:space="0"/>
              <w:bottom w:val="single" w:color="auto" w:sz="4" w:space="0"/>
              <w:right w:val="single" w:color="auto" w:sz="4" w:space="0"/>
            </w:tcBorders>
            <w:vAlign w:val="center"/>
          </w:tcPr>
          <w:p w14:paraId="49B513E6">
            <w:pPr>
              <w:keepNext w:val="0"/>
              <w:keepLines w:val="0"/>
              <w:widowControl/>
              <w:suppressLineNumbers w:val="0"/>
              <w:jc w:val="center"/>
              <w:textAlignment w:val="center"/>
              <w:rPr>
                <w:rFonts w:hint="default" w:ascii="宋体" w:hAnsi="宋体" w:cs="宋体"/>
                <w:color w:val="000000"/>
                <w:kern w:val="0"/>
                <w:sz w:val="22"/>
                <w:szCs w:val="22"/>
                <w:lang w:val="en-US" w:eastAsia="zh-CN"/>
              </w:rPr>
            </w:pPr>
            <w:r>
              <w:rPr>
                <w:rFonts w:hint="eastAsia" w:ascii="等线" w:hAnsi="等线" w:eastAsia="等线" w:cs="等线"/>
                <w:i w:val="0"/>
                <w:iCs w:val="0"/>
                <w:color w:val="000000"/>
                <w:kern w:val="0"/>
                <w:sz w:val="22"/>
                <w:szCs w:val="22"/>
                <w:u w:val="none"/>
                <w:lang w:val="en-US" w:eastAsia="zh-CN" w:bidi="ar"/>
              </w:rPr>
              <w:t>40</w:t>
            </w:r>
          </w:p>
        </w:tc>
        <w:tc>
          <w:tcPr>
            <w:tcW w:w="757" w:type="pct"/>
            <w:tcBorders>
              <w:top w:val="single" w:color="auto" w:sz="4" w:space="0"/>
              <w:left w:val="single" w:color="auto" w:sz="4" w:space="0"/>
              <w:bottom w:val="single" w:color="auto" w:sz="4" w:space="0"/>
              <w:right w:val="single" w:color="auto" w:sz="4" w:space="0"/>
            </w:tcBorders>
            <w:noWrap/>
            <w:vAlign w:val="center"/>
          </w:tcPr>
          <w:p w14:paraId="4EA7EFD0">
            <w:pPr>
              <w:widowControl/>
              <w:jc w:val="center"/>
              <w:rPr>
                <w:rFonts w:ascii="宋体" w:hAnsi="宋体" w:cs="宋体"/>
                <w:color w:val="000000"/>
                <w:kern w:val="0"/>
                <w:sz w:val="22"/>
                <w:szCs w:val="22"/>
              </w:rPr>
            </w:pPr>
          </w:p>
        </w:tc>
      </w:tr>
      <w:tr w14:paraId="4B2EBC08">
        <w:tblPrEx>
          <w:tblCellMar>
            <w:top w:w="0" w:type="dxa"/>
            <w:left w:w="108" w:type="dxa"/>
            <w:bottom w:w="0" w:type="dxa"/>
            <w:right w:w="108" w:type="dxa"/>
          </w:tblCellMar>
        </w:tblPrEx>
        <w:trPr>
          <w:trHeight w:val="270" w:hRule="atLeast"/>
          <w:jc w:val="center"/>
        </w:trPr>
        <w:tc>
          <w:tcPr>
            <w:tcW w:w="367" w:type="pct"/>
            <w:tcBorders>
              <w:top w:val="single" w:color="auto" w:sz="4" w:space="0"/>
              <w:left w:val="single" w:color="auto" w:sz="4" w:space="0"/>
              <w:bottom w:val="single" w:color="auto" w:sz="4" w:space="0"/>
              <w:right w:val="single" w:color="auto" w:sz="4" w:space="0"/>
            </w:tcBorders>
            <w:vAlign w:val="center"/>
          </w:tcPr>
          <w:p w14:paraId="22394DAC">
            <w:pPr>
              <w:widowControl/>
              <w:jc w:val="center"/>
              <w:rPr>
                <w:rFonts w:ascii="宋体" w:hAnsi="宋体" w:cs="宋体"/>
                <w:color w:val="000000"/>
                <w:kern w:val="0"/>
                <w:sz w:val="22"/>
                <w:szCs w:val="22"/>
              </w:rPr>
            </w:pPr>
          </w:p>
        </w:tc>
        <w:tc>
          <w:tcPr>
            <w:tcW w:w="1217" w:type="pct"/>
            <w:tcBorders>
              <w:top w:val="nil"/>
              <w:left w:val="nil"/>
              <w:bottom w:val="single" w:color="auto" w:sz="4" w:space="0"/>
              <w:right w:val="single" w:color="auto" w:sz="4" w:space="0"/>
            </w:tcBorders>
            <w:noWrap/>
            <w:vAlign w:val="center"/>
          </w:tcPr>
          <w:p w14:paraId="57A03041">
            <w:pPr>
              <w:widowControl/>
              <w:jc w:val="center"/>
              <w:rPr>
                <w:rFonts w:ascii="宋体" w:hAnsi="宋体" w:cs="宋体"/>
                <w:color w:val="000000"/>
                <w:kern w:val="0"/>
                <w:sz w:val="22"/>
                <w:szCs w:val="22"/>
              </w:rPr>
            </w:pPr>
            <w:r>
              <w:rPr>
                <w:rFonts w:hint="eastAsia" w:ascii="宋体" w:hAnsi="宋体" w:cs="宋体"/>
                <w:color w:val="000000"/>
                <w:kern w:val="0"/>
                <w:sz w:val="22"/>
                <w:szCs w:val="22"/>
              </w:rPr>
              <w:t>合计（不含税）</w:t>
            </w:r>
          </w:p>
        </w:tc>
        <w:tc>
          <w:tcPr>
            <w:tcW w:w="1319" w:type="pct"/>
            <w:tcBorders>
              <w:top w:val="single" w:color="auto" w:sz="4" w:space="0"/>
              <w:left w:val="nil"/>
              <w:bottom w:val="single" w:color="auto" w:sz="4" w:space="0"/>
              <w:right w:val="single" w:color="auto" w:sz="4" w:space="0"/>
            </w:tcBorders>
            <w:vAlign w:val="center"/>
          </w:tcPr>
          <w:p w14:paraId="30772CA6">
            <w:pPr>
              <w:widowControl/>
              <w:jc w:val="center"/>
              <w:rPr>
                <w:rFonts w:ascii="宋体" w:hAnsi="宋体" w:cs="宋体"/>
                <w:color w:val="000000"/>
                <w:kern w:val="0"/>
                <w:sz w:val="22"/>
                <w:szCs w:val="22"/>
              </w:rPr>
            </w:pPr>
          </w:p>
        </w:tc>
        <w:tc>
          <w:tcPr>
            <w:tcW w:w="624" w:type="pct"/>
            <w:tcBorders>
              <w:top w:val="single" w:color="auto" w:sz="4" w:space="0"/>
              <w:left w:val="single" w:color="auto" w:sz="4" w:space="0"/>
              <w:bottom w:val="single" w:color="auto" w:sz="4" w:space="0"/>
              <w:right w:val="single" w:color="auto" w:sz="4" w:space="0"/>
            </w:tcBorders>
          </w:tcPr>
          <w:p w14:paraId="592761FB">
            <w:pPr>
              <w:widowControl/>
              <w:jc w:val="center"/>
              <w:rPr>
                <w:rFonts w:ascii="宋体" w:hAnsi="宋体" w:cs="宋体"/>
                <w:color w:val="000000"/>
                <w:kern w:val="0"/>
                <w:sz w:val="22"/>
                <w:szCs w:val="22"/>
              </w:rPr>
            </w:pPr>
          </w:p>
        </w:tc>
        <w:tc>
          <w:tcPr>
            <w:tcW w:w="311" w:type="pct"/>
            <w:tcBorders>
              <w:top w:val="single" w:color="auto" w:sz="4" w:space="0"/>
              <w:left w:val="single" w:color="auto" w:sz="4" w:space="0"/>
              <w:bottom w:val="single" w:color="auto" w:sz="4" w:space="0"/>
              <w:right w:val="single" w:color="auto" w:sz="4" w:space="0"/>
            </w:tcBorders>
            <w:vAlign w:val="center"/>
          </w:tcPr>
          <w:p w14:paraId="22832582">
            <w:pPr>
              <w:widowControl/>
              <w:jc w:val="center"/>
              <w:rPr>
                <w:rFonts w:ascii="宋体" w:hAnsi="宋体" w:cs="宋体"/>
                <w:color w:val="000000"/>
                <w:kern w:val="0"/>
                <w:sz w:val="22"/>
                <w:szCs w:val="22"/>
              </w:rPr>
            </w:pPr>
          </w:p>
        </w:tc>
        <w:tc>
          <w:tcPr>
            <w:tcW w:w="401" w:type="pct"/>
            <w:tcBorders>
              <w:top w:val="single" w:color="auto" w:sz="4" w:space="0"/>
              <w:left w:val="single" w:color="auto" w:sz="4" w:space="0"/>
              <w:bottom w:val="single" w:color="auto" w:sz="4" w:space="0"/>
              <w:right w:val="single" w:color="auto" w:sz="4" w:space="0"/>
            </w:tcBorders>
            <w:vAlign w:val="center"/>
          </w:tcPr>
          <w:p w14:paraId="59CCA527">
            <w:pPr>
              <w:widowControl/>
              <w:jc w:val="center"/>
              <w:rPr>
                <w:rFonts w:ascii="宋体" w:hAnsi="宋体" w:cs="宋体"/>
                <w:color w:val="000000"/>
                <w:kern w:val="0"/>
                <w:sz w:val="22"/>
                <w:szCs w:val="22"/>
              </w:rPr>
            </w:pPr>
          </w:p>
        </w:tc>
        <w:tc>
          <w:tcPr>
            <w:tcW w:w="757" w:type="pct"/>
            <w:tcBorders>
              <w:top w:val="single" w:color="auto" w:sz="4" w:space="0"/>
              <w:left w:val="single" w:color="auto" w:sz="4" w:space="0"/>
              <w:bottom w:val="single" w:color="auto" w:sz="4" w:space="0"/>
              <w:right w:val="single" w:color="auto" w:sz="4" w:space="0"/>
            </w:tcBorders>
            <w:noWrap/>
            <w:vAlign w:val="center"/>
          </w:tcPr>
          <w:p w14:paraId="5F9B49C5">
            <w:pPr>
              <w:widowControl/>
              <w:jc w:val="center"/>
              <w:rPr>
                <w:rFonts w:ascii="宋体" w:hAnsi="宋体" w:cs="宋体"/>
                <w:color w:val="000000"/>
                <w:kern w:val="0"/>
                <w:sz w:val="22"/>
                <w:szCs w:val="22"/>
              </w:rPr>
            </w:pPr>
            <w:r>
              <w:rPr>
                <w:rFonts w:hint="eastAsia" w:ascii="宋体" w:hAnsi="宋体" w:cs="宋体"/>
                <w:color w:val="000000"/>
                <w:kern w:val="0"/>
                <w:sz w:val="22"/>
                <w:szCs w:val="22"/>
              </w:rPr>
              <w:t>N1</w:t>
            </w:r>
          </w:p>
        </w:tc>
      </w:tr>
      <w:tr w14:paraId="021BF8B0">
        <w:tblPrEx>
          <w:tblCellMar>
            <w:top w:w="0" w:type="dxa"/>
            <w:left w:w="108" w:type="dxa"/>
            <w:bottom w:w="0" w:type="dxa"/>
            <w:right w:w="108" w:type="dxa"/>
          </w:tblCellMar>
        </w:tblPrEx>
        <w:trPr>
          <w:trHeight w:val="270" w:hRule="atLeast"/>
          <w:jc w:val="center"/>
        </w:trPr>
        <w:tc>
          <w:tcPr>
            <w:tcW w:w="367" w:type="pct"/>
            <w:tcBorders>
              <w:top w:val="single" w:color="auto" w:sz="4" w:space="0"/>
              <w:left w:val="single" w:color="auto" w:sz="4" w:space="0"/>
              <w:bottom w:val="single" w:color="auto" w:sz="4" w:space="0"/>
              <w:right w:val="single" w:color="auto" w:sz="4" w:space="0"/>
            </w:tcBorders>
            <w:vAlign w:val="center"/>
          </w:tcPr>
          <w:p w14:paraId="6B7CC525">
            <w:pPr>
              <w:widowControl/>
              <w:jc w:val="center"/>
              <w:rPr>
                <w:rFonts w:ascii="宋体" w:hAnsi="宋体" w:cs="宋体"/>
                <w:color w:val="000000"/>
                <w:kern w:val="0"/>
                <w:sz w:val="22"/>
                <w:szCs w:val="22"/>
              </w:rPr>
            </w:pPr>
          </w:p>
        </w:tc>
        <w:tc>
          <w:tcPr>
            <w:tcW w:w="1217" w:type="pct"/>
            <w:tcBorders>
              <w:top w:val="nil"/>
              <w:left w:val="nil"/>
              <w:bottom w:val="single" w:color="auto" w:sz="4" w:space="0"/>
              <w:right w:val="single" w:color="auto" w:sz="4" w:space="0"/>
            </w:tcBorders>
            <w:noWrap/>
            <w:vAlign w:val="center"/>
          </w:tcPr>
          <w:p w14:paraId="351379C6">
            <w:pPr>
              <w:widowControl/>
              <w:jc w:val="center"/>
              <w:rPr>
                <w:rFonts w:ascii="宋体" w:hAnsi="宋体" w:cs="宋体"/>
                <w:color w:val="000000"/>
                <w:kern w:val="0"/>
                <w:sz w:val="22"/>
                <w:szCs w:val="22"/>
              </w:rPr>
            </w:pPr>
            <w:r>
              <w:rPr>
                <w:rFonts w:hint="eastAsia" w:ascii="宋体" w:hAnsi="宋体" w:cs="宋体"/>
                <w:color w:val="000000"/>
                <w:kern w:val="0"/>
                <w:sz w:val="22"/>
                <w:szCs w:val="22"/>
              </w:rPr>
              <w:t>税</w:t>
            </w:r>
          </w:p>
        </w:tc>
        <w:tc>
          <w:tcPr>
            <w:tcW w:w="1319" w:type="pct"/>
            <w:tcBorders>
              <w:top w:val="single" w:color="auto" w:sz="4" w:space="0"/>
              <w:left w:val="nil"/>
              <w:bottom w:val="single" w:color="auto" w:sz="4" w:space="0"/>
              <w:right w:val="single" w:color="auto" w:sz="4" w:space="0"/>
            </w:tcBorders>
            <w:vAlign w:val="center"/>
          </w:tcPr>
          <w:p w14:paraId="782B92A7">
            <w:pPr>
              <w:widowControl/>
              <w:jc w:val="center"/>
              <w:rPr>
                <w:rFonts w:ascii="宋体" w:hAnsi="宋体" w:cs="宋体"/>
                <w:color w:val="000000"/>
                <w:kern w:val="0"/>
                <w:sz w:val="22"/>
                <w:szCs w:val="22"/>
              </w:rPr>
            </w:pPr>
            <w:r>
              <w:rPr>
                <w:rFonts w:hint="eastAsia" w:ascii="宋体" w:hAnsi="宋体" w:cs="宋体"/>
                <w:color w:val="FF0000"/>
                <w:kern w:val="0"/>
                <w:sz w:val="22"/>
                <w:szCs w:val="22"/>
              </w:rPr>
              <w:t>税率</w:t>
            </w:r>
            <w:r>
              <w:rPr>
                <w:rFonts w:hint="eastAsia" w:ascii="宋体" w:hAnsi="宋体" w:cs="宋体"/>
                <w:color w:val="FF0000"/>
                <w:kern w:val="0"/>
                <w:sz w:val="22"/>
                <w:szCs w:val="22"/>
                <w:lang w:val="en-US" w:eastAsia="zh-CN"/>
              </w:rPr>
              <w:t xml:space="preserve"> 13 </w:t>
            </w:r>
            <w:r>
              <w:rPr>
                <w:rFonts w:hint="eastAsia" w:ascii="宋体" w:hAnsi="宋体" w:cs="宋体"/>
                <w:color w:val="FF0000"/>
                <w:kern w:val="0"/>
                <w:sz w:val="22"/>
                <w:szCs w:val="22"/>
              </w:rPr>
              <w:t>%</w:t>
            </w:r>
          </w:p>
        </w:tc>
        <w:tc>
          <w:tcPr>
            <w:tcW w:w="624" w:type="pct"/>
            <w:tcBorders>
              <w:top w:val="single" w:color="auto" w:sz="4" w:space="0"/>
              <w:left w:val="single" w:color="auto" w:sz="4" w:space="0"/>
              <w:bottom w:val="single" w:color="auto" w:sz="4" w:space="0"/>
              <w:right w:val="single" w:color="auto" w:sz="4" w:space="0"/>
            </w:tcBorders>
          </w:tcPr>
          <w:p w14:paraId="2D274B11">
            <w:pPr>
              <w:widowControl/>
              <w:jc w:val="center"/>
              <w:rPr>
                <w:rFonts w:ascii="宋体" w:hAnsi="宋体" w:cs="宋体"/>
                <w:color w:val="000000"/>
                <w:kern w:val="0"/>
                <w:sz w:val="22"/>
                <w:szCs w:val="22"/>
              </w:rPr>
            </w:pPr>
          </w:p>
        </w:tc>
        <w:tc>
          <w:tcPr>
            <w:tcW w:w="311" w:type="pct"/>
            <w:tcBorders>
              <w:top w:val="single" w:color="auto" w:sz="4" w:space="0"/>
              <w:left w:val="single" w:color="auto" w:sz="4" w:space="0"/>
              <w:bottom w:val="single" w:color="auto" w:sz="4" w:space="0"/>
              <w:right w:val="single" w:color="auto" w:sz="4" w:space="0"/>
            </w:tcBorders>
            <w:vAlign w:val="center"/>
          </w:tcPr>
          <w:p w14:paraId="53BA0C50">
            <w:pPr>
              <w:widowControl/>
              <w:jc w:val="center"/>
              <w:rPr>
                <w:rFonts w:ascii="宋体" w:hAnsi="宋体" w:cs="宋体"/>
                <w:color w:val="000000"/>
                <w:kern w:val="0"/>
                <w:sz w:val="22"/>
                <w:szCs w:val="22"/>
              </w:rPr>
            </w:pPr>
          </w:p>
        </w:tc>
        <w:tc>
          <w:tcPr>
            <w:tcW w:w="401" w:type="pct"/>
            <w:tcBorders>
              <w:top w:val="single" w:color="auto" w:sz="4" w:space="0"/>
              <w:left w:val="single" w:color="auto" w:sz="4" w:space="0"/>
              <w:bottom w:val="single" w:color="auto" w:sz="4" w:space="0"/>
              <w:right w:val="single" w:color="auto" w:sz="4" w:space="0"/>
            </w:tcBorders>
            <w:vAlign w:val="center"/>
          </w:tcPr>
          <w:p w14:paraId="5BA6EA40">
            <w:pPr>
              <w:widowControl/>
              <w:jc w:val="center"/>
              <w:rPr>
                <w:rFonts w:ascii="宋体" w:hAnsi="宋体" w:cs="宋体"/>
                <w:color w:val="000000"/>
                <w:kern w:val="0"/>
                <w:sz w:val="22"/>
                <w:szCs w:val="22"/>
              </w:rPr>
            </w:pPr>
          </w:p>
        </w:tc>
        <w:tc>
          <w:tcPr>
            <w:tcW w:w="757" w:type="pct"/>
            <w:tcBorders>
              <w:top w:val="single" w:color="auto" w:sz="4" w:space="0"/>
              <w:left w:val="single" w:color="auto" w:sz="4" w:space="0"/>
              <w:bottom w:val="single" w:color="auto" w:sz="4" w:space="0"/>
              <w:right w:val="single" w:color="auto" w:sz="4" w:space="0"/>
            </w:tcBorders>
            <w:noWrap/>
            <w:vAlign w:val="center"/>
          </w:tcPr>
          <w:p w14:paraId="611499C0">
            <w:pPr>
              <w:widowControl/>
              <w:jc w:val="center"/>
              <w:rPr>
                <w:rFonts w:ascii="宋体" w:hAnsi="宋体" w:cs="宋体"/>
                <w:color w:val="000000"/>
                <w:kern w:val="0"/>
                <w:sz w:val="22"/>
                <w:szCs w:val="22"/>
              </w:rPr>
            </w:pPr>
            <w:r>
              <w:rPr>
                <w:rFonts w:hint="eastAsia" w:ascii="宋体" w:hAnsi="宋体" w:cs="宋体"/>
                <w:color w:val="000000"/>
                <w:kern w:val="0"/>
                <w:sz w:val="22"/>
                <w:szCs w:val="22"/>
              </w:rPr>
              <w:t>N2</w:t>
            </w:r>
          </w:p>
        </w:tc>
      </w:tr>
      <w:tr w14:paraId="2D2C00B8">
        <w:tblPrEx>
          <w:tblCellMar>
            <w:top w:w="0" w:type="dxa"/>
            <w:left w:w="108" w:type="dxa"/>
            <w:bottom w:w="0" w:type="dxa"/>
            <w:right w:w="108" w:type="dxa"/>
          </w:tblCellMar>
        </w:tblPrEx>
        <w:trPr>
          <w:trHeight w:val="270" w:hRule="atLeast"/>
          <w:jc w:val="center"/>
        </w:trPr>
        <w:tc>
          <w:tcPr>
            <w:tcW w:w="367" w:type="pct"/>
            <w:tcBorders>
              <w:top w:val="single" w:color="auto" w:sz="4" w:space="0"/>
              <w:left w:val="single" w:color="auto" w:sz="4" w:space="0"/>
              <w:bottom w:val="single" w:color="auto" w:sz="4" w:space="0"/>
              <w:right w:val="single" w:color="auto" w:sz="4" w:space="0"/>
            </w:tcBorders>
            <w:vAlign w:val="center"/>
          </w:tcPr>
          <w:p w14:paraId="77FAB909">
            <w:pPr>
              <w:widowControl/>
              <w:jc w:val="center"/>
              <w:rPr>
                <w:rFonts w:ascii="宋体" w:hAnsi="宋体" w:cs="宋体"/>
                <w:color w:val="000000"/>
                <w:kern w:val="0"/>
                <w:sz w:val="22"/>
                <w:szCs w:val="22"/>
              </w:rPr>
            </w:pPr>
          </w:p>
        </w:tc>
        <w:tc>
          <w:tcPr>
            <w:tcW w:w="1217" w:type="pct"/>
            <w:tcBorders>
              <w:top w:val="nil"/>
              <w:left w:val="nil"/>
              <w:bottom w:val="single" w:color="auto" w:sz="4" w:space="0"/>
              <w:right w:val="single" w:color="auto" w:sz="4" w:space="0"/>
            </w:tcBorders>
            <w:noWrap/>
            <w:vAlign w:val="center"/>
          </w:tcPr>
          <w:p w14:paraId="2B21979A">
            <w:pPr>
              <w:widowControl/>
              <w:jc w:val="center"/>
              <w:rPr>
                <w:rFonts w:ascii="宋体" w:hAnsi="宋体" w:cs="宋体"/>
                <w:color w:val="000000"/>
                <w:kern w:val="0"/>
                <w:sz w:val="22"/>
                <w:szCs w:val="22"/>
              </w:rPr>
            </w:pPr>
            <w:r>
              <w:rPr>
                <w:rFonts w:hint="eastAsia" w:ascii="宋体" w:hAnsi="宋体" w:cs="宋体"/>
                <w:color w:val="000000"/>
                <w:kern w:val="0"/>
                <w:sz w:val="22"/>
                <w:szCs w:val="22"/>
              </w:rPr>
              <w:t>含税总价</w:t>
            </w:r>
          </w:p>
        </w:tc>
        <w:tc>
          <w:tcPr>
            <w:tcW w:w="1319" w:type="pct"/>
            <w:tcBorders>
              <w:top w:val="single" w:color="auto" w:sz="4" w:space="0"/>
              <w:left w:val="nil"/>
              <w:bottom w:val="single" w:color="auto" w:sz="4" w:space="0"/>
              <w:right w:val="single" w:color="auto" w:sz="4" w:space="0"/>
            </w:tcBorders>
            <w:vAlign w:val="center"/>
          </w:tcPr>
          <w:p w14:paraId="2C341E96">
            <w:pPr>
              <w:widowControl/>
              <w:jc w:val="center"/>
              <w:rPr>
                <w:rFonts w:ascii="宋体" w:hAnsi="宋体" w:cs="宋体"/>
                <w:color w:val="000000"/>
                <w:kern w:val="0"/>
                <w:sz w:val="22"/>
                <w:szCs w:val="22"/>
              </w:rPr>
            </w:pPr>
          </w:p>
        </w:tc>
        <w:tc>
          <w:tcPr>
            <w:tcW w:w="624" w:type="pct"/>
            <w:tcBorders>
              <w:top w:val="single" w:color="auto" w:sz="4" w:space="0"/>
              <w:left w:val="single" w:color="auto" w:sz="4" w:space="0"/>
              <w:bottom w:val="single" w:color="auto" w:sz="4" w:space="0"/>
              <w:right w:val="single" w:color="auto" w:sz="4" w:space="0"/>
            </w:tcBorders>
          </w:tcPr>
          <w:p w14:paraId="6C850585">
            <w:pPr>
              <w:widowControl/>
              <w:jc w:val="center"/>
              <w:rPr>
                <w:rFonts w:ascii="宋体" w:hAnsi="宋体" w:cs="宋体"/>
                <w:color w:val="000000"/>
                <w:kern w:val="0"/>
                <w:sz w:val="22"/>
                <w:szCs w:val="22"/>
              </w:rPr>
            </w:pPr>
          </w:p>
        </w:tc>
        <w:tc>
          <w:tcPr>
            <w:tcW w:w="311" w:type="pct"/>
            <w:tcBorders>
              <w:top w:val="single" w:color="auto" w:sz="4" w:space="0"/>
              <w:left w:val="single" w:color="auto" w:sz="4" w:space="0"/>
              <w:bottom w:val="single" w:color="auto" w:sz="4" w:space="0"/>
              <w:right w:val="single" w:color="auto" w:sz="4" w:space="0"/>
            </w:tcBorders>
            <w:vAlign w:val="center"/>
          </w:tcPr>
          <w:p w14:paraId="639891DE">
            <w:pPr>
              <w:widowControl/>
              <w:jc w:val="center"/>
              <w:rPr>
                <w:rFonts w:ascii="宋体" w:hAnsi="宋体" w:cs="宋体"/>
                <w:color w:val="000000"/>
                <w:kern w:val="0"/>
                <w:sz w:val="22"/>
                <w:szCs w:val="22"/>
              </w:rPr>
            </w:pPr>
          </w:p>
        </w:tc>
        <w:tc>
          <w:tcPr>
            <w:tcW w:w="401" w:type="pct"/>
            <w:tcBorders>
              <w:top w:val="single" w:color="auto" w:sz="4" w:space="0"/>
              <w:left w:val="single" w:color="auto" w:sz="4" w:space="0"/>
              <w:bottom w:val="single" w:color="auto" w:sz="4" w:space="0"/>
              <w:right w:val="single" w:color="auto" w:sz="4" w:space="0"/>
            </w:tcBorders>
            <w:vAlign w:val="center"/>
          </w:tcPr>
          <w:p w14:paraId="2F26DF0A">
            <w:pPr>
              <w:widowControl/>
              <w:jc w:val="center"/>
              <w:rPr>
                <w:rFonts w:ascii="宋体" w:hAnsi="宋体" w:cs="宋体"/>
                <w:color w:val="000000"/>
                <w:kern w:val="0"/>
                <w:sz w:val="22"/>
                <w:szCs w:val="22"/>
              </w:rPr>
            </w:pPr>
          </w:p>
        </w:tc>
        <w:tc>
          <w:tcPr>
            <w:tcW w:w="757" w:type="pct"/>
            <w:tcBorders>
              <w:top w:val="single" w:color="auto" w:sz="4" w:space="0"/>
              <w:left w:val="single" w:color="auto" w:sz="4" w:space="0"/>
              <w:bottom w:val="single" w:color="auto" w:sz="4" w:space="0"/>
              <w:right w:val="single" w:color="auto" w:sz="4" w:space="0"/>
            </w:tcBorders>
            <w:noWrap/>
            <w:vAlign w:val="center"/>
          </w:tcPr>
          <w:p w14:paraId="152EC0E5">
            <w:pPr>
              <w:widowControl/>
              <w:jc w:val="center"/>
              <w:rPr>
                <w:rFonts w:ascii="宋体" w:hAnsi="宋体" w:cs="宋体"/>
                <w:color w:val="000000"/>
                <w:kern w:val="0"/>
                <w:sz w:val="22"/>
                <w:szCs w:val="22"/>
              </w:rPr>
            </w:pPr>
            <w:r>
              <w:rPr>
                <w:rFonts w:hint="eastAsia" w:ascii="宋体" w:hAnsi="宋体" w:cs="宋体"/>
                <w:color w:val="000000"/>
                <w:kern w:val="0"/>
                <w:sz w:val="22"/>
                <w:szCs w:val="22"/>
              </w:rPr>
              <w:t>N1+N2</w:t>
            </w:r>
          </w:p>
        </w:tc>
      </w:tr>
    </w:tbl>
    <w:p w14:paraId="1B9E7647">
      <w:pPr>
        <w:pStyle w:val="229"/>
        <w:ind w:firstLine="3960" w:firstLineChars="1800"/>
        <w:rPr>
          <w:rFonts w:hint="eastAsia" w:cs="宋体"/>
          <w:sz w:val="22"/>
          <w:szCs w:val="22"/>
        </w:rPr>
      </w:pPr>
    </w:p>
    <w:p w14:paraId="4B468B2E">
      <w:pPr>
        <w:pStyle w:val="229"/>
        <w:ind w:firstLine="3960" w:firstLineChars="1800"/>
        <w:jc w:val="left"/>
        <w:rPr>
          <w:rFonts w:hint="eastAsia" w:cs="宋体"/>
          <w:sz w:val="22"/>
          <w:szCs w:val="22"/>
        </w:rPr>
      </w:pPr>
    </w:p>
    <w:p w14:paraId="3EE41F4A">
      <w:pPr>
        <w:pStyle w:val="229"/>
        <w:ind w:left="0" w:leftChars="0" w:firstLine="0" w:firstLineChars="0"/>
        <w:jc w:val="left"/>
        <w:rPr>
          <w:rFonts w:hint="eastAsia" w:cs="宋体"/>
          <w:sz w:val="22"/>
          <w:szCs w:val="22"/>
        </w:rPr>
      </w:pPr>
    </w:p>
    <w:p w14:paraId="1936915B">
      <w:pPr>
        <w:pStyle w:val="229"/>
        <w:ind w:firstLine="0" w:firstLineChars="0"/>
        <w:rPr>
          <w:rFonts w:cs="宋体"/>
        </w:rPr>
      </w:pPr>
      <w:r>
        <w:rPr>
          <w:rFonts w:hint="eastAsia" w:cs="宋体"/>
        </w:rPr>
        <w:t>注：</w:t>
      </w:r>
      <w:r>
        <w:rPr>
          <w:rFonts w:hint="eastAsia" w:cs="宋体"/>
          <w:lang w:val="en-US" w:eastAsia="zh-CN"/>
        </w:rPr>
        <w:t xml:space="preserve">   </w:t>
      </w:r>
      <w:r>
        <w:rPr>
          <w:rFonts w:hint="eastAsia" w:cs="宋体"/>
        </w:rPr>
        <w:t>1、选购件不包括在本报价表内，应另附纸分项单报。</w:t>
      </w:r>
    </w:p>
    <w:p w14:paraId="094739A5">
      <w:pPr>
        <w:pStyle w:val="229"/>
        <w:ind w:left="420" w:firstLine="480"/>
        <w:rPr>
          <w:rFonts w:cs="宋体"/>
        </w:rPr>
      </w:pPr>
      <w:r>
        <w:rPr>
          <w:rFonts w:hint="eastAsia" w:cs="宋体"/>
        </w:rPr>
        <w:t>2、如上表中的有关费用投标人免费提供，请注明“免费”字样。</w:t>
      </w:r>
    </w:p>
    <w:p w14:paraId="41D41668">
      <w:pPr>
        <w:pStyle w:val="229"/>
        <w:ind w:left="420" w:firstLine="480"/>
        <w:rPr>
          <w:rFonts w:hint="eastAsia" w:cs="宋体"/>
        </w:rPr>
      </w:pPr>
      <w:r>
        <w:rPr>
          <w:rFonts w:hint="eastAsia" w:cs="宋体"/>
        </w:rPr>
        <w:t>3、合计等于各分项金额之和，各分项价格为不含税价格。</w:t>
      </w:r>
    </w:p>
    <w:p w14:paraId="4F5F804A">
      <w:pPr>
        <w:pStyle w:val="229"/>
        <w:ind w:left="420" w:firstLine="480"/>
        <w:rPr>
          <w:rFonts w:ascii="宋体" w:hAnsi="宋体" w:cs="宋体"/>
        </w:rPr>
      </w:pPr>
      <w:r>
        <w:rPr>
          <w:rFonts w:hint="eastAsia" w:cs="宋体"/>
          <w:lang w:val="en-US" w:eastAsia="zh-CN"/>
        </w:rPr>
        <w:t>4、可根据实际明细需求，增加表格行数。</w:t>
      </w:r>
      <w:r>
        <w:rPr>
          <w:rFonts w:hint="eastAsia" w:ascii="宋体" w:hAnsi="宋体" w:cs="宋体"/>
        </w:rPr>
        <w:t>投标人：（盖章）</w:t>
      </w:r>
    </w:p>
    <w:p w14:paraId="2136DA57">
      <w:pPr>
        <w:spacing w:line="360" w:lineRule="auto"/>
        <w:rPr>
          <w:rFonts w:eastAsia="黑体"/>
          <w:b/>
          <w:bCs/>
          <w:sz w:val="28"/>
        </w:rPr>
      </w:pPr>
      <w:r>
        <w:rPr>
          <w:rFonts w:hint="eastAsia" w:ascii="宋体" w:hAnsi="宋体" w:cs="宋体"/>
        </w:rPr>
        <w:t xml:space="preserve">法定代表人（委托代理人）： （签字）               日  期：  </w:t>
      </w:r>
      <w:r>
        <w:rPr>
          <w:rFonts w:ascii="宋体" w:hAnsi="宋体" w:cs="宋体"/>
        </w:rPr>
        <w:t xml:space="preserve">  </w:t>
      </w:r>
      <w:r>
        <w:rPr>
          <w:rFonts w:hint="eastAsia" w:ascii="宋体" w:hAnsi="宋体" w:cs="宋体"/>
        </w:rPr>
        <w:t xml:space="preserve"> 年 </w:t>
      </w:r>
      <w:r>
        <w:rPr>
          <w:rFonts w:ascii="宋体" w:hAnsi="宋体" w:cs="宋体"/>
        </w:rPr>
        <w:t xml:space="preserve">    </w:t>
      </w:r>
      <w:r>
        <w:rPr>
          <w:rFonts w:hint="eastAsia" w:ascii="宋体" w:hAnsi="宋体" w:cs="宋体"/>
        </w:rPr>
        <w:t xml:space="preserve"> 月</w:t>
      </w:r>
    </w:p>
    <w:p w14:paraId="1888F87B"/>
    <w:p w14:paraId="46A27536">
      <w:pPr>
        <w:rPr>
          <w:rFonts w:hint="eastAsia" w:ascii="仿宋" w:hAnsi="仿宋" w:eastAsia="仿宋"/>
          <w:b/>
          <w:sz w:val="40"/>
          <w:szCs w:val="44"/>
          <w:lang w:val="en-US" w:eastAsia="zh-CN"/>
        </w:rPr>
      </w:pPr>
      <w:r>
        <w:rPr>
          <w:rFonts w:hint="eastAsia" w:ascii="仿宋" w:hAnsi="仿宋" w:eastAsia="仿宋"/>
          <w:b/>
          <w:sz w:val="40"/>
          <w:szCs w:val="44"/>
          <w:lang w:val="en-US" w:eastAsia="zh-CN"/>
        </w:rPr>
        <w:br w:type="page"/>
      </w:r>
    </w:p>
    <w:p w14:paraId="07D538F1">
      <w:pPr>
        <w:outlineLvl w:val="1"/>
        <w:rPr>
          <w:rFonts w:hint="default" w:eastAsia="黑体"/>
          <w:b/>
          <w:bCs/>
          <w:sz w:val="28"/>
          <w:lang w:val="en-US" w:eastAsia="zh-CN"/>
        </w:rPr>
      </w:pPr>
      <w:r>
        <w:rPr>
          <w:rFonts w:hint="eastAsia" w:eastAsia="黑体"/>
          <w:b/>
          <w:bCs/>
          <w:sz w:val="28"/>
          <w:lang w:val="en-US" w:eastAsia="zh-CN"/>
        </w:rPr>
        <w:t>附件 承诺函</w:t>
      </w:r>
    </w:p>
    <w:p w14:paraId="2728C25F">
      <w:pPr>
        <w:rPr>
          <w:rFonts w:ascii="宋体" w:hAnsi="宋体"/>
        </w:rPr>
      </w:pPr>
      <w:r>
        <w:rPr>
          <w:rFonts w:hint="eastAsia" w:ascii="宋体" w:hAnsi="宋体"/>
        </w:rPr>
        <w:t>项目名称：</w:t>
      </w:r>
      <w:r>
        <w:rPr>
          <w:rFonts w:ascii="宋体" w:hAnsi="宋体"/>
        </w:rPr>
        <w:t xml:space="preserve"> </w:t>
      </w:r>
    </w:p>
    <w:p w14:paraId="1D344DF5">
      <w:pPr>
        <w:rPr>
          <w:rFonts w:ascii="宋体" w:hAnsi="宋体"/>
          <w:szCs w:val="21"/>
        </w:rPr>
      </w:pPr>
      <w:r>
        <w:rPr>
          <w:rFonts w:hint="eastAsia" w:ascii="宋体" w:hAnsi="宋体"/>
          <w:szCs w:val="21"/>
        </w:rPr>
        <w:t>日期：  年   月   日</w:t>
      </w:r>
    </w:p>
    <w:p w14:paraId="3E17D845">
      <w:pPr>
        <w:jc w:val="center"/>
        <w:rPr>
          <w:rFonts w:eastAsia="黑体"/>
          <w:b/>
          <w:bCs/>
          <w:sz w:val="28"/>
        </w:rPr>
      </w:pP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584CE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8" w:hRule="atLeast"/>
        </w:trPr>
        <w:tc>
          <w:tcPr>
            <w:tcW w:w="9286" w:type="dxa"/>
          </w:tcPr>
          <w:p w14:paraId="1A396227">
            <w:pPr>
              <w:rPr>
                <w:rFonts w:ascii="仿宋_GB2312" w:hAnsi="宋体" w:eastAsia="仿宋_GB2312"/>
                <w:sz w:val="24"/>
              </w:rPr>
            </w:pPr>
            <w:r>
              <w:rPr>
                <w:rFonts w:hint="eastAsia" w:ascii="仿宋_GB2312" w:hAnsi="宋体" w:eastAsia="仿宋_GB2312"/>
                <w:sz w:val="24"/>
              </w:rPr>
              <w:t>投标人承诺：</w:t>
            </w:r>
          </w:p>
          <w:p w14:paraId="699F9F42">
            <w:pPr>
              <w:pStyle w:val="25"/>
              <w:spacing w:line="360" w:lineRule="auto"/>
              <w:ind w:firstLine="480" w:firstLineChars="200"/>
              <w:rPr>
                <w:rFonts w:ascii="仿宋_GB2312" w:hAnsi="宋体" w:eastAsia="仿宋_GB2312"/>
                <w:sz w:val="24"/>
              </w:rPr>
            </w:pPr>
            <w:r>
              <w:rPr>
                <w:rFonts w:hint="eastAsia" w:ascii="仿宋_GB2312" w:hAnsi="宋体" w:eastAsia="仿宋_GB2312"/>
                <w:sz w:val="24"/>
              </w:rPr>
              <w:t>我公司承诺遵守贵公司由于招标人公司政策变化引起的随时终止项目的要求并承担由此带来的一切损失。</w:t>
            </w:r>
          </w:p>
          <w:p w14:paraId="2EA78D09">
            <w:pPr>
              <w:rPr>
                <w:rFonts w:ascii="仿宋_GB2312" w:hAnsi="宋体" w:eastAsia="仿宋_GB2312"/>
                <w:sz w:val="24"/>
              </w:rPr>
            </w:pPr>
          </w:p>
        </w:tc>
      </w:tr>
    </w:tbl>
    <w:p w14:paraId="6DC9182E">
      <w:pPr>
        <w:rPr>
          <w:rFonts w:ascii="仿宋_GB2312" w:hAnsi="宋体" w:eastAsia="仿宋_GB2312"/>
          <w:sz w:val="24"/>
        </w:rPr>
      </w:pPr>
    </w:p>
    <w:p w14:paraId="70268540">
      <w:pPr>
        <w:rPr>
          <w:rFonts w:ascii="仿宋_GB2312" w:hAnsi="宋体" w:eastAsia="仿宋_GB2312"/>
          <w:sz w:val="24"/>
        </w:rPr>
      </w:pPr>
    </w:p>
    <w:p w14:paraId="05E6C736">
      <w:pPr>
        <w:rPr>
          <w:rFonts w:ascii="仿宋_GB2312" w:hAnsi="宋体" w:eastAsia="仿宋_GB2312"/>
          <w:sz w:val="24"/>
        </w:rPr>
      </w:pPr>
    </w:p>
    <w:p w14:paraId="006E7815">
      <w:pPr>
        <w:rPr>
          <w:rFonts w:ascii="仿宋_GB2312" w:hAnsi="宋体" w:eastAsia="仿宋_GB2312"/>
          <w:sz w:val="24"/>
        </w:rPr>
      </w:pPr>
    </w:p>
    <w:p w14:paraId="4542732D">
      <w:pPr>
        <w:rPr>
          <w:rFonts w:ascii="仿宋_GB2312" w:hAnsi="宋体" w:eastAsia="仿宋_GB2312"/>
          <w:sz w:val="24"/>
        </w:rPr>
      </w:pPr>
    </w:p>
    <w:p w14:paraId="288C86DD">
      <w:pPr>
        <w:rPr>
          <w:rFonts w:ascii="仿宋_GB2312" w:hAnsi="宋体" w:eastAsia="仿宋_GB2312"/>
          <w:sz w:val="24"/>
        </w:rPr>
      </w:pPr>
    </w:p>
    <w:p w14:paraId="4B97607F">
      <w:pPr>
        <w:rPr>
          <w:rFonts w:ascii="仿宋_GB2312" w:hAnsi="宋体" w:eastAsia="仿宋_GB2312"/>
          <w:sz w:val="24"/>
        </w:rPr>
      </w:pPr>
    </w:p>
    <w:p w14:paraId="200FEECB">
      <w:pPr>
        <w:rPr>
          <w:rFonts w:ascii="仿宋_GB2312" w:hAnsi="宋体" w:eastAsia="仿宋_GB2312"/>
          <w:sz w:val="24"/>
        </w:rPr>
      </w:pPr>
    </w:p>
    <w:p w14:paraId="599AEF4A">
      <w:pPr>
        <w:rPr>
          <w:rFonts w:ascii="仿宋_GB2312" w:hAnsi="宋体" w:eastAsia="仿宋_GB2312"/>
          <w:sz w:val="24"/>
        </w:rPr>
      </w:pPr>
    </w:p>
    <w:p w14:paraId="3CB51C71">
      <w:pPr>
        <w:rPr>
          <w:rFonts w:ascii="仿宋_GB2312" w:hAnsi="宋体" w:eastAsia="仿宋_GB2312"/>
          <w:sz w:val="24"/>
        </w:rPr>
      </w:pPr>
      <w:r>
        <w:rPr>
          <w:rFonts w:hint="eastAsia" w:ascii="仿宋_GB2312" w:hAnsi="宋体" w:eastAsia="仿宋_GB2312"/>
          <w:sz w:val="24"/>
        </w:rPr>
        <w:t>投标人名称（盖章）：              法定代表人或授权代表签字：</w:t>
      </w:r>
    </w:p>
    <w:p w14:paraId="14FF60DA">
      <w:pPr>
        <w:outlineLvl w:val="1"/>
        <w:rPr>
          <w:rFonts w:hint="default" w:eastAsia="黑体"/>
          <w:b/>
          <w:bCs/>
          <w:sz w:val="28"/>
          <w:lang w:val="en-US" w:eastAsia="zh-CN"/>
        </w:rPr>
      </w:pPr>
      <w:r>
        <w:rPr>
          <w:rFonts w:eastAsia="黑体"/>
          <w:b/>
          <w:bCs/>
          <w:sz w:val="28"/>
        </w:rPr>
        <w:br w:type="page"/>
      </w:r>
      <w:bookmarkStart w:id="22" w:name="_Hlk70069772"/>
      <w:r>
        <w:rPr>
          <w:rFonts w:hint="eastAsia" w:eastAsia="黑体"/>
          <w:b/>
          <w:bCs/>
          <w:sz w:val="28"/>
          <w:lang w:val="en-US" w:eastAsia="zh-CN"/>
        </w:rPr>
        <w:t xml:space="preserve">附件 </w:t>
      </w:r>
      <w:r>
        <w:rPr>
          <w:rFonts w:hint="eastAsia" w:eastAsia="黑体"/>
          <w:b/>
          <w:bCs/>
          <w:sz w:val="28"/>
        </w:rPr>
        <w:t>相关条款偏离表（含商务偏离及技术偏离）</w:t>
      </w:r>
    </w:p>
    <w:p w14:paraId="1D403996">
      <w:r>
        <w:rPr>
          <w:rFonts w:hint="eastAsia" w:ascii="宋体" w:hAnsi="宋体"/>
        </w:rPr>
        <w:t>项目名称：</w:t>
      </w:r>
      <w:r>
        <w:t xml:space="preserve"> </w:t>
      </w:r>
    </w:p>
    <w:p w14:paraId="31108096"/>
    <w:p w14:paraId="7C060659">
      <w:pPr>
        <w:rPr>
          <w:rFonts w:ascii="宋体" w:hAnsi="宋体"/>
          <w:szCs w:val="21"/>
        </w:rPr>
      </w:pPr>
      <w:r>
        <w:rPr>
          <w:rFonts w:hint="eastAsia" w:ascii="宋体" w:hAnsi="宋体"/>
          <w:szCs w:val="21"/>
        </w:rPr>
        <w:t>日期：  年   月   日</w:t>
      </w:r>
    </w:p>
    <w:p w14:paraId="21DD1373">
      <w:pPr>
        <w:jc w:val="center"/>
        <w:rPr>
          <w:rFonts w:eastAsia="黑体"/>
          <w:b/>
          <w:bCs/>
          <w:sz w:val="28"/>
        </w:rPr>
      </w:pPr>
    </w:p>
    <w:p w14:paraId="0034CB18">
      <w:pPr>
        <w:jc w:val="center"/>
        <w:rPr>
          <w:rFonts w:eastAsia="黑体"/>
          <w:b/>
          <w:bCs/>
          <w:sz w:val="28"/>
        </w:rPr>
      </w:pPr>
      <w:r>
        <w:rPr>
          <w:rFonts w:hint="eastAsia" w:eastAsia="黑体"/>
          <w:b/>
          <w:bCs/>
          <w:sz w:val="28"/>
        </w:rPr>
        <w:t>相关条款偏离表（含商务偏离及技术偏离）</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080"/>
        <w:gridCol w:w="3060"/>
        <w:gridCol w:w="3554"/>
      </w:tblGrid>
      <w:tr w14:paraId="0B268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vAlign w:val="center"/>
          </w:tcPr>
          <w:p w14:paraId="4D62B687">
            <w:pPr>
              <w:jc w:val="center"/>
              <w:rPr>
                <w:rFonts w:ascii="宋体" w:hAnsi="宋体"/>
                <w:sz w:val="24"/>
              </w:rPr>
            </w:pPr>
            <w:r>
              <w:rPr>
                <w:rFonts w:hint="eastAsia" w:ascii="宋体" w:hAnsi="宋体"/>
                <w:sz w:val="24"/>
              </w:rPr>
              <w:t>序号</w:t>
            </w:r>
          </w:p>
        </w:tc>
        <w:tc>
          <w:tcPr>
            <w:tcW w:w="4140" w:type="dxa"/>
            <w:gridSpan w:val="2"/>
            <w:vAlign w:val="center"/>
          </w:tcPr>
          <w:p w14:paraId="02CCB4AA">
            <w:pPr>
              <w:jc w:val="center"/>
              <w:rPr>
                <w:rFonts w:ascii="宋体" w:hAnsi="宋体"/>
                <w:sz w:val="24"/>
              </w:rPr>
            </w:pPr>
            <w:r>
              <w:rPr>
                <w:rFonts w:hint="eastAsia" w:ascii="宋体" w:hAnsi="宋体"/>
                <w:sz w:val="24"/>
              </w:rPr>
              <w:t>招标文件条款</w:t>
            </w:r>
          </w:p>
        </w:tc>
        <w:tc>
          <w:tcPr>
            <w:tcW w:w="3554" w:type="dxa"/>
            <w:vMerge w:val="restart"/>
            <w:vAlign w:val="center"/>
          </w:tcPr>
          <w:p w14:paraId="76A01AA3">
            <w:pPr>
              <w:jc w:val="center"/>
              <w:rPr>
                <w:rFonts w:ascii="宋体" w:hAnsi="宋体"/>
                <w:sz w:val="24"/>
              </w:rPr>
            </w:pPr>
            <w:r>
              <w:rPr>
                <w:rFonts w:hint="eastAsia" w:ascii="宋体" w:hAnsi="宋体"/>
                <w:sz w:val="24"/>
              </w:rPr>
              <w:t>偏离内容</w:t>
            </w:r>
          </w:p>
        </w:tc>
      </w:tr>
      <w:tr w14:paraId="397B7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vAlign w:val="center"/>
          </w:tcPr>
          <w:p w14:paraId="11A212AB">
            <w:pPr>
              <w:rPr>
                <w:rFonts w:ascii="宋体" w:hAnsi="宋体"/>
                <w:sz w:val="24"/>
              </w:rPr>
            </w:pPr>
          </w:p>
        </w:tc>
        <w:tc>
          <w:tcPr>
            <w:tcW w:w="1080" w:type="dxa"/>
            <w:vAlign w:val="center"/>
          </w:tcPr>
          <w:p w14:paraId="0E5E3269">
            <w:pPr>
              <w:jc w:val="center"/>
              <w:rPr>
                <w:rFonts w:ascii="宋体" w:hAnsi="宋体"/>
                <w:sz w:val="24"/>
              </w:rPr>
            </w:pPr>
            <w:r>
              <w:rPr>
                <w:rFonts w:hint="eastAsia" w:ascii="宋体" w:hAnsi="宋体"/>
                <w:sz w:val="24"/>
              </w:rPr>
              <w:t>条款号</w:t>
            </w:r>
          </w:p>
        </w:tc>
        <w:tc>
          <w:tcPr>
            <w:tcW w:w="3060" w:type="dxa"/>
            <w:vAlign w:val="center"/>
          </w:tcPr>
          <w:p w14:paraId="5AEC451B">
            <w:pPr>
              <w:jc w:val="center"/>
              <w:rPr>
                <w:rFonts w:ascii="宋体" w:hAnsi="宋体"/>
                <w:sz w:val="24"/>
              </w:rPr>
            </w:pPr>
            <w:r>
              <w:rPr>
                <w:rFonts w:hint="eastAsia" w:ascii="宋体" w:hAnsi="宋体"/>
                <w:sz w:val="24"/>
              </w:rPr>
              <w:t>条款要求</w:t>
            </w:r>
          </w:p>
        </w:tc>
        <w:tc>
          <w:tcPr>
            <w:tcW w:w="3554" w:type="dxa"/>
            <w:vMerge w:val="continue"/>
            <w:vAlign w:val="center"/>
          </w:tcPr>
          <w:p w14:paraId="63AFA6F1">
            <w:pPr>
              <w:jc w:val="center"/>
              <w:rPr>
                <w:rFonts w:ascii="宋体" w:hAnsi="宋体"/>
                <w:sz w:val="24"/>
              </w:rPr>
            </w:pPr>
          </w:p>
        </w:tc>
      </w:tr>
      <w:tr w14:paraId="76096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304AE383">
            <w:pPr>
              <w:jc w:val="center"/>
              <w:rPr>
                <w:rFonts w:ascii="宋体" w:hAnsi="宋体"/>
                <w:sz w:val="24"/>
              </w:rPr>
            </w:pPr>
            <w:r>
              <w:rPr>
                <w:rFonts w:hint="eastAsia" w:ascii="宋体" w:hAnsi="宋体"/>
                <w:sz w:val="24"/>
              </w:rPr>
              <w:t>1</w:t>
            </w:r>
          </w:p>
        </w:tc>
        <w:tc>
          <w:tcPr>
            <w:tcW w:w="1080" w:type="dxa"/>
            <w:vAlign w:val="center"/>
          </w:tcPr>
          <w:p w14:paraId="1018A7B0">
            <w:pPr>
              <w:rPr>
                <w:rFonts w:ascii="宋体" w:hAnsi="宋体"/>
                <w:sz w:val="24"/>
              </w:rPr>
            </w:pPr>
          </w:p>
        </w:tc>
        <w:tc>
          <w:tcPr>
            <w:tcW w:w="3060" w:type="dxa"/>
            <w:vAlign w:val="center"/>
          </w:tcPr>
          <w:p w14:paraId="36608155">
            <w:pPr>
              <w:rPr>
                <w:rFonts w:ascii="宋体" w:hAnsi="宋体"/>
                <w:sz w:val="24"/>
              </w:rPr>
            </w:pPr>
          </w:p>
        </w:tc>
        <w:tc>
          <w:tcPr>
            <w:tcW w:w="3554" w:type="dxa"/>
            <w:vAlign w:val="center"/>
          </w:tcPr>
          <w:p w14:paraId="33AE7F55">
            <w:pPr>
              <w:rPr>
                <w:rFonts w:ascii="宋体" w:hAnsi="宋体"/>
                <w:sz w:val="24"/>
              </w:rPr>
            </w:pPr>
          </w:p>
        </w:tc>
      </w:tr>
      <w:tr w14:paraId="2F6C5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320702A">
            <w:pPr>
              <w:jc w:val="center"/>
              <w:rPr>
                <w:rFonts w:ascii="宋体" w:hAnsi="宋体"/>
                <w:sz w:val="24"/>
              </w:rPr>
            </w:pPr>
            <w:r>
              <w:rPr>
                <w:rFonts w:hint="eastAsia" w:ascii="宋体" w:hAnsi="宋体"/>
                <w:sz w:val="24"/>
              </w:rPr>
              <w:t>2</w:t>
            </w:r>
          </w:p>
        </w:tc>
        <w:tc>
          <w:tcPr>
            <w:tcW w:w="1080" w:type="dxa"/>
            <w:vAlign w:val="center"/>
          </w:tcPr>
          <w:p w14:paraId="2A8DF601">
            <w:pPr>
              <w:rPr>
                <w:rFonts w:ascii="宋体" w:hAnsi="宋体"/>
                <w:sz w:val="24"/>
              </w:rPr>
            </w:pPr>
          </w:p>
        </w:tc>
        <w:tc>
          <w:tcPr>
            <w:tcW w:w="3060" w:type="dxa"/>
            <w:vAlign w:val="center"/>
          </w:tcPr>
          <w:p w14:paraId="19F11B14">
            <w:pPr>
              <w:rPr>
                <w:rFonts w:ascii="宋体" w:hAnsi="宋体"/>
                <w:sz w:val="24"/>
              </w:rPr>
            </w:pPr>
          </w:p>
        </w:tc>
        <w:tc>
          <w:tcPr>
            <w:tcW w:w="3554" w:type="dxa"/>
            <w:vAlign w:val="center"/>
          </w:tcPr>
          <w:p w14:paraId="38D887B1">
            <w:pPr>
              <w:rPr>
                <w:rFonts w:ascii="宋体" w:hAnsi="宋体"/>
                <w:sz w:val="24"/>
              </w:rPr>
            </w:pPr>
          </w:p>
        </w:tc>
      </w:tr>
      <w:tr w14:paraId="1D390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590596C">
            <w:pPr>
              <w:jc w:val="center"/>
              <w:rPr>
                <w:rFonts w:ascii="宋体" w:hAnsi="宋体"/>
                <w:sz w:val="24"/>
              </w:rPr>
            </w:pPr>
            <w:r>
              <w:rPr>
                <w:rFonts w:hint="eastAsia" w:ascii="宋体" w:hAnsi="宋体"/>
                <w:sz w:val="24"/>
              </w:rPr>
              <w:t>3</w:t>
            </w:r>
          </w:p>
        </w:tc>
        <w:tc>
          <w:tcPr>
            <w:tcW w:w="1080" w:type="dxa"/>
            <w:vAlign w:val="center"/>
          </w:tcPr>
          <w:p w14:paraId="7731CD23">
            <w:pPr>
              <w:rPr>
                <w:rFonts w:ascii="宋体" w:hAnsi="宋体"/>
                <w:sz w:val="24"/>
              </w:rPr>
            </w:pPr>
          </w:p>
        </w:tc>
        <w:tc>
          <w:tcPr>
            <w:tcW w:w="3060" w:type="dxa"/>
            <w:vAlign w:val="center"/>
          </w:tcPr>
          <w:p w14:paraId="3B580B84">
            <w:pPr>
              <w:rPr>
                <w:rFonts w:ascii="宋体" w:hAnsi="宋体"/>
                <w:sz w:val="24"/>
              </w:rPr>
            </w:pPr>
          </w:p>
        </w:tc>
        <w:tc>
          <w:tcPr>
            <w:tcW w:w="3554" w:type="dxa"/>
            <w:vAlign w:val="center"/>
          </w:tcPr>
          <w:p w14:paraId="49B27A9D">
            <w:pPr>
              <w:rPr>
                <w:rFonts w:ascii="宋体" w:hAnsi="宋体"/>
                <w:sz w:val="24"/>
              </w:rPr>
            </w:pPr>
          </w:p>
        </w:tc>
      </w:tr>
      <w:tr w14:paraId="39793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2CF99AA">
            <w:pPr>
              <w:jc w:val="center"/>
              <w:rPr>
                <w:rFonts w:ascii="宋体" w:hAnsi="宋体"/>
                <w:sz w:val="24"/>
              </w:rPr>
            </w:pPr>
            <w:r>
              <w:rPr>
                <w:rFonts w:hint="eastAsia" w:ascii="宋体" w:hAnsi="宋体"/>
                <w:sz w:val="24"/>
              </w:rPr>
              <w:t>4</w:t>
            </w:r>
          </w:p>
        </w:tc>
        <w:tc>
          <w:tcPr>
            <w:tcW w:w="1080" w:type="dxa"/>
            <w:vAlign w:val="center"/>
          </w:tcPr>
          <w:p w14:paraId="18D81020">
            <w:pPr>
              <w:rPr>
                <w:rFonts w:ascii="宋体" w:hAnsi="宋体"/>
                <w:sz w:val="24"/>
              </w:rPr>
            </w:pPr>
          </w:p>
        </w:tc>
        <w:tc>
          <w:tcPr>
            <w:tcW w:w="3060" w:type="dxa"/>
            <w:vAlign w:val="center"/>
          </w:tcPr>
          <w:p w14:paraId="2A3EF6E1">
            <w:pPr>
              <w:rPr>
                <w:rFonts w:ascii="宋体" w:hAnsi="宋体"/>
                <w:sz w:val="24"/>
              </w:rPr>
            </w:pPr>
          </w:p>
        </w:tc>
        <w:tc>
          <w:tcPr>
            <w:tcW w:w="3554" w:type="dxa"/>
            <w:vAlign w:val="center"/>
          </w:tcPr>
          <w:p w14:paraId="315BE27C">
            <w:pPr>
              <w:rPr>
                <w:rFonts w:ascii="宋体" w:hAnsi="宋体"/>
                <w:sz w:val="24"/>
              </w:rPr>
            </w:pPr>
          </w:p>
        </w:tc>
      </w:tr>
      <w:tr w14:paraId="2CFA3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20BCC4E8">
            <w:pPr>
              <w:jc w:val="center"/>
              <w:rPr>
                <w:rFonts w:ascii="宋体" w:hAnsi="宋体"/>
                <w:sz w:val="24"/>
              </w:rPr>
            </w:pPr>
            <w:r>
              <w:rPr>
                <w:rFonts w:hint="eastAsia" w:ascii="宋体" w:hAnsi="宋体"/>
                <w:sz w:val="24"/>
              </w:rPr>
              <w:t>5</w:t>
            </w:r>
          </w:p>
        </w:tc>
        <w:tc>
          <w:tcPr>
            <w:tcW w:w="1080" w:type="dxa"/>
            <w:vAlign w:val="center"/>
          </w:tcPr>
          <w:p w14:paraId="18D00B09">
            <w:pPr>
              <w:rPr>
                <w:rFonts w:ascii="宋体" w:hAnsi="宋体"/>
                <w:sz w:val="24"/>
              </w:rPr>
            </w:pPr>
          </w:p>
        </w:tc>
        <w:tc>
          <w:tcPr>
            <w:tcW w:w="3060" w:type="dxa"/>
            <w:vAlign w:val="center"/>
          </w:tcPr>
          <w:p w14:paraId="28F73623">
            <w:pPr>
              <w:rPr>
                <w:rFonts w:ascii="宋体" w:hAnsi="宋体"/>
                <w:sz w:val="24"/>
              </w:rPr>
            </w:pPr>
          </w:p>
        </w:tc>
        <w:tc>
          <w:tcPr>
            <w:tcW w:w="3554" w:type="dxa"/>
            <w:vAlign w:val="center"/>
          </w:tcPr>
          <w:p w14:paraId="7B3AC655">
            <w:pPr>
              <w:rPr>
                <w:rFonts w:ascii="宋体" w:hAnsi="宋体"/>
                <w:sz w:val="24"/>
              </w:rPr>
            </w:pPr>
          </w:p>
        </w:tc>
      </w:tr>
      <w:tr w14:paraId="48DF9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EA33F42">
            <w:pPr>
              <w:jc w:val="center"/>
              <w:rPr>
                <w:rFonts w:ascii="宋体" w:hAnsi="宋体"/>
                <w:sz w:val="24"/>
              </w:rPr>
            </w:pPr>
            <w:r>
              <w:rPr>
                <w:rFonts w:hint="eastAsia" w:ascii="宋体" w:hAnsi="宋体"/>
                <w:sz w:val="24"/>
              </w:rPr>
              <w:t>6</w:t>
            </w:r>
          </w:p>
        </w:tc>
        <w:tc>
          <w:tcPr>
            <w:tcW w:w="1080" w:type="dxa"/>
            <w:vAlign w:val="center"/>
          </w:tcPr>
          <w:p w14:paraId="49F56454">
            <w:pPr>
              <w:rPr>
                <w:rFonts w:ascii="宋体" w:hAnsi="宋体"/>
                <w:sz w:val="24"/>
              </w:rPr>
            </w:pPr>
          </w:p>
        </w:tc>
        <w:tc>
          <w:tcPr>
            <w:tcW w:w="3060" w:type="dxa"/>
            <w:vAlign w:val="center"/>
          </w:tcPr>
          <w:p w14:paraId="59CB0EDC">
            <w:pPr>
              <w:rPr>
                <w:rFonts w:ascii="宋体" w:hAnsi="宋体"/>
                <w:sz w:val="24"/>
              </w:rPr>
            </w:pPr>
          </w:p>
        </w:tc>
        <w:tc>
          <w:tcPr>
            <w:tcW w:w="3554" w:type="dxa"/>
            <w:vAlign w:val="center"/>
          </w:tcPr>
          <w:p w14:paraId="61F48CB2">
            <w:pPr>
              <w:rPr>
                <w:rFonts w:ascii="宋体" w:hAnsi="宋体"/>
                <w:sz w:val="24"/>
              </w:rPr>
            </w:pPr>
          </w:p>
        </w:tc>
      </w:tr>
      <w:tr w14:paraId="0B7F1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A60DF32">
            <w:pPr>
              <w:jc w:val="center"/>
              <w:rPr>
                <w:rFonts w:ascii="宋体" w:hAnsi="宋体"/>
                <w:sz w:val="24"/>
              </w:rPr>
            </w:pPr>
            <w:r>
              <w:rPr>
                <w:rFonts w:hint="eastAsia" w:ascii="宋体" w:hAnsi="宋体"/>
                <w:sz w:val="24"/>
              </w:rPr>
              <w:t>7</w:t>
            </w:r>
          </w:p>
        </w:tc>
        <w:tc>
          <w:tcPr>
            <w:tcW w:w="1080" w:type="dxa"/>
            <w:vAlign w:val="center"/>
          </w:tcPr>
          <w:p w14:paraId="1F269F72">
            <w:pPr>
              <w:rPr>
                <w:rFonts w:ascii="宋体" w:hAnsi="宋体"/>
                <w:sz w:val="24"/>
              </w:rPr>
            </w:pPr>
          </w:p>
        </w:tc>
        <w:tc>
          <w:tcPr>
            <w:tcW w:w="3060" w:type="dxa"/>
            <w:vAlign w:val="center"/>
          </w:tcPr>
          <w:p w14:paraId="1F7D88C9">
            <w:pPr>
              <w:rPr>
                <w:rFonts w:ascii="宋体" w:hAnsi="宋体"/>
                <w:sz w:val="24"/>
              </w:rPr>
            </w:pPr>
          </w:p>
        </w:tc>
        <w:tc>
          <w:tcPr>
            <w:tcW w:w="3554" w:type="dxa"/>
            <w:vAlign w:val="center"/>
          </w:tcPr>
          <w:p w14:paraId="7E21DC6E">
            <w:pPr>
              <w:rPr>
                <w:rFonts w:ascii="宋体" w:hAnsi="宋体"/>
                <w:sz w:val="24"/>
              </w:rPr>
            </w:pPr>
          </w:p>
        </w:tc>
      </w:tr>
      <w:tr w14:paraId="0B4AC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D47AD6B">
            <w:pPr>
              <w:jc w:val="center"/>
              <w:rPr>
                <w:rFonts w:ascii="宋体" w:hAnsi="宋体"/>
                <w:sz w:val="24"/>
              </w:rPr>
            </w:pPr>
            <w:r>
              <w:rPr>
                <w:rFonts w:hint="eastAsia" w:ascii="宋体" w:hAnsi="宋体"/>
                <w:sz w:val="24"/>
              </w:rPr>
              <w:t>8</w:t>
            </w:r>
          </w:p>
        </w:tc>
        <w:tc>
          <w:tcPr>
            <w:tcW w:w="1080" w:type="dxa"/>
            <w:vAlign w:val="center"/>
          </w:tcPr>
          <w:p w14:paraId="041FA8D7">
            <w:pPr>
              <w:rPr>
                <w:rFonts w:ascii="宋体" w:hAnsi="宋体"/>
                <w:sz w:val="24"/>
              </w:rPr>
            </w:pPr>
          </w:p>
        </w:tc>
        <w:tc>
          <w:tcPr>
            <w:tcW w:w="3060" w:type="dxa"/>
            <w:vAlign w:val="center"/>
          </w:tcPr>
          <w:p w14:paraId="4B2A7ED1">
            <w:pPr>
              <w:rPr>
                <w:rFonts w:ascii="宋体" w:hAnsi="宋体"/>
                <w:sz w:val="24"/>
              </w:rPr>
            </w:pPr>
          </w:p>
        </w:tc>
        <w:tc>
          <w:tcPr>
            <w:tcW w:w="3554" w:type="dxa"/>
            <w:vAlign w:val="center"/>
          </w:tcPr>
          <w:p w14:paraId="7EEACAD3">
            <w:pPr>
              <w:rPr>
                <w:rFonts w:ascii="宋体" w:hAnsi="宋体"/>
                <w:sz w:val="24"/>
              </w:rPr>
            </w:pPr>
          </w:p>
        </w:tc>
      </w:tr>
      <w:tr w14:paraId="7A197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D73F6CB">
            <w:pPr>
              <w:jc w:val="center"/>
              <w:rPr>
                <w:rFonts w:ascii="宋体" w:hAnsi="宋体"/>
                <w:sz w:val="24"/>
              </w:rPr>
            </w:pPr>
            <w:r>
              <w:rPr>
                <w:rFonts w:hint="eastAsia" w:ascii="宋体" w:hAnsi="宋体"/>
                <w:sz w:val="24"/>
              </w:rPr>
              <w:t>9</w:t>
            </w:r>
          </w:p>
        </w:tc>
        <w:tc>
          <w:tcPr>
            <w:tcW w:w="1080" w:type="dxa"/>
            <w:vAlign w:val="center"/>
          </w:tcPr>
          <w:p w14:paraId="29C6FC65">
            <w:pPr>
              <w:rPr>
                <w:rFonts w:ascii="宋体" w:hAnsi="宋体"/>
                <w:sz w:val="24"/>
              </w:rPr>
            </w:pPr>
          </w:p>
        </w:tc>
        <w:tc>
          <w:tcPr>
            <w:tcW w:w="3060" w:type="dxa"/>
            <w:vAlign w:val="center"/>
          </w:tcPr>
          <w:p w14:paraId="7A6C618B">
            <w:pPr>
              <w:rPr>
                <w:rFonts w:ascii="宋体" w:hAnsi="宋体"/>
                <w:sz w:val="24"/>
              </w:rPr>
            </w:pPr>
          </w:p>
        </w:tc>
        <w:tc>
          <w:tcPr>
            <w:tcW w:w="3554" w:type="dxa"/>
            <w:vAlign w:val="center"/>
          </w:tcPr>
          <w:p w14:paraId="592B9C06">
            <w:pPr>
              <w:rPr>
                <w:rFonts w:ascii="宋体" w:hAnsi="宋体"/>
                <w:sz w:val="24"/>
              </w:rPr>
            </w:pPr>
          </w:p>
        </w:tc>
      </w:tr>
      <w:tr w14:paraId="32191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13EFE12A">
            <w:pPr>
              <w:jc w:val="center"/>
              <w:rPr>
                <w:rFonts w:ascii="宋体" w:hAnsi="宋体"/>
                <w:sz w:val="24"/>
              </w:rPr>
            </w:pPr>
            <w:r>
              <w:rPr>
                <w:rFonts w:hint="eastAsia" w:ascii="宋体" w:hAnsi="宋体"/>
                <w:sz w:val="24"/>
              </w:rPr>
              <w:t>10</w:t>
            </w:r>
          </w:p>
        </w:tc>
        <w:tc>
          <w:tcPr>
            <w:tcW w:w="1080" w:type="dxa"/>
            <w:vAlign w:val="center"/>
          </w:tcPr>
          <w:p w14:paraId="1D27222E">
            <w:pPr>
              <w:rPr>
                <w:rFonts w:ascii="宋体" w:hAnsi="宋体"/>
                <w:sz w:val="24"/>
              </w:rPr>
            </w:pPr>
          </w:p>
        </w:tc>
        <w:tc>
          <w:tcPr>
            <w:tcW w:w="3060" w:type="dxa"/>
            <w:vAlign w:val="center"/>
          </w:tcPr>
          <w:p w14:paraId="2451B8DD">
            <w:pPr>
              <w:rPr>
                <w:rFonts w:ascii="宋体" w:hAnsi="宋体"/>
                <w:sz w:val="24"/>
              </w:rPr>
            </w:pPr>
          </w:p>
        </w:tc>
        <w:tc>
          <w:tcPr>
            <w:tcW w:w="3554" w:type="dxa"/>
            <w:vAlign w:val="center"/>
          </w:tcPr>
          <w:p w14:paraId="270AC604">
            <w:pPr>
              <w:rPr>
                <w:rFonts w:ascii="宋体" w:hAnsi="宋体"/>
                <w:sz w:val="24"/>
              </w:rPr>
            </w:pPr>
          </w:p>
        </w:tc>
      </w:tr>
    </w:tbl>
    <w:p w14:paraId="51810502">
      <w:pPr>
        <w:rPr>
          <w:rFonts w:ascii="宋体" w:hAnsi="宋体"/>
          <w:sz w:val="24"/>
        </w:rPr>
      </w:pPr>
    </w:p>
    <w:p w14:paraId="6802710E">
      <w:pPr>
        <w:rPr>
          <w:rFonts w:ascii="仿宋_GB2312" w:hAnsi="宋体" w:eastAsia="仿宋_GB2312"/>
          <w:sz w:val="24"/>
        </w:rPr>
      </w:pPr>
      <w:r>
        <w:rPr>
          <w:rFonts w:hint="eastAsia" w:ascii="仿宋_GB2312" w:hAnsi="宋体" w:eastAsia="仿宋_GB2312"/>
          <w:sz w:val="24"/>
        </w:rPr>
        <w:t>投标人名称（盖章）：              法定代表人或授权代表签字：</w:t>
      </w:r>
    </w:p>
    <w:p w14:paraId="6665D339">
      <w:pPr>
        <w:rPr>
          <w:rFonts w:ascii="宋体" w:hAnsi="宋体"/>
          <w:sz w:val="24"/>
        </w:rPr>
      </w:pPr>
    </w:p>
    <w:p w14:paraId="5DC6E1AC">
      <w:pPr>
        <w:rPr>
          <w:rFonts w:ascii="宋体" w:hAnsi="宋体"/>
          <w:sz w:val="24"/>
        </w:rPr>
      </w:pPr>
    </w:p>
    <w:p w14:paraId="6C873EA1">
      <w:pPr>
        <w:rPr>
          <w:rFonts w:ascii="宋体" w:hAnsi="宋体"/>
          <w:sz w:val="24"/>
        </w:rPr>
      </w:pPr>
      <w:r>
        <w:rPr>
          <w:rFonts w:hint="eastAsia" w:ascii="宋体" w:hAnsi="宋体"/>
          <w:b/>
          <w:sz w:val="24"/>
        </w:rPr>
        <w:t>注：</w:t>
      </w:r>
      <w:r>
        <w:rPr>
          <w:rFonts w:hint="eastAsia" w:ascii="宋体" w:hAnsi="宋体"/>
          <w:sz w:val="24"/>
        </w:rPr>
        <w:t>为避免歧义，无偏离也应要提报该表，并注明“无”字。如无该表则即使在其它部分已反映，将也被视为“无偏离”。</w:t>
      </w:r>
    </w:p>
    <w:p w14:paraId="4C13C457">
      <w:pPr>
        <w:rPr>
          <w:rFonts w:ascii="宋体" w:hAnsi="宋体"/>
          <w:sz w:val="24"/>
        </w:rPr>
      </w:pPr>
    </w:p>
    <w:bookmarkEnd w:id="22"/>
    <w:p w14:paraId="13A65ED6">
      <w:pPr>
        <w:widowControl/>
        <w:jc w:val="left"/>
        <w:rPr>
          <w:rFonts w:eastAsia="黑体"/>
          <w:b/>
          <w:bCs/>
          <w:sz w:val="28"/>
        </w:rPr>
      </w:pPr>
      <w:r>
        <w:rPr>
          <w:rFonts w:eastAsia="黑体"/>
          <w:b/>
          <w:bCs/>
          <w:sz w:val="28"/>
        </w:rPr>
        <w:br w:type="page"/>
      </w:r>
    </w:p>
    <w:p w14:paraId="64ABCA9F">
      <w:pPr>
        <w:outlineLvl w:val="1"/>
        <w:rPr>
          <w:rFonts w:hint="eastAsia" w:eastAsia="黑体"/>
          <w:b/>
          <w:bCs/>
          <w:sz w:val="28"/>
          <w:lang w:val="en-US" w:eastAsia="zh-CN"/>
        </w:rPr>
      </w:pPr>
      <w:r>
        <w:rPr>
          <w:rFonts w:hint="eastAsia" w:eastAsia="黑体"/>
          <w:b/>
          <w:bCs/>
          <w:sz w:val="28"/>
          <w:lang w:val="en-US" w:eastAsia="zh-CN"/>
        </w:rPr>
        <w:t>附件</w:t>
      </w:r>
      <w:r>
        <w:rPr>
          <w:rFonts w:hint="eastAsia" w:eastAsia="黑体"/>
          <w:b/>
          <w:bCs/>
          <w:sz w:val="28"/>
        </w:rPr>
        <w:t xml:space="preserve"> </w:t>
      </w:r>
      <w:r>
        <w:rPr>
          <w:rFonts w:hint="eastAsia" w:eastAsia="黑体"/>
          <w:b/>
          <w:bCs/>
          <w:sz w:val="28"/>
          <w:lang w:val="en-US" w:eastAsia="zh-CN"/>
        </w:rPr>
        <w:t xml:space="preserve"> </w:t>
      </w:r>
      <w:r>
        <w:rPr>
          <w:rFonts w:hint="eastAsia" w:eastAsia="黑体"/>
          <w:b/>
          <w:bCs/>
          <w:sz w:val="28"/>
        </w:rPr>
        <w:t>企业情况、从业经历、服务承诺一览表</w:t>
      </w:r>
    </w:p>
    <w:p w14:paraId="4A398AD5">
      <w:pPr>
        <w:rPr>
          <w:rFonts w:ascii="宋体" w:hAnsi="宋体"/>
        </w:rPr>
      </w:pPr>
      <w:r>
        <w:rPr>
          <w:rFonts w:hint="eastAsia" w:ascii="宋体" w:hAnsi="宋体"/>
        </w:rPr>
        <w:t>项目名称：</w:t>
      </w:r>
      <w:r>
        <w:rPr>
          <w:rFonts w:ascii="宋体" w:hAnsi="宋体"/>
        </w:rPr>
        <w:t xml:space="preserve"> </w:t>
      </w:r>
    </w:p>
    <w:p w14:paraId="344628F5">
      <w:pPr>
        <w:pStyle w:val="25"/>
        <w:spacing w:line="360" w:lineRule="auto"/>
        <w:ind w:left="1014" w:leftChars="-6" w:hanging="1027" w:hangingChars="428"/>
        <w:rPr>
          <w:rFonts w:hAnsi="宋体"/>
          <w:szCs w:val="21"/>
        </w:rPr>
      </w:pPr>
      <w:r>
        <w:rPr>
          <w:rFonts w:hint="eastAsia" w:hAnsi="宋体"/>
          <w:szCs w:val="21"/>
        </w:rPr>
        <w:t>日期：  年   月   日</w:t>
      </w:r>
    </w:p>
    <w:p w14:paraId="6E52E26F">
      <w:pPr>
        <w:jc w:val="center"/>
        <w:rPr>
          <w:rFonts w:eastAsia="黑体"/>
          <w:b/>
          <w:bCs/>
          <w:sz w:val="28"/>
        </w:rPr>
      </w:pPr>
      <w:r>
        <w:rPr>
          <w:rFonts w:hint="eastAsia" w:eastAsia="黑体"/>
          <w:b/>
          <w:bCs/>
          <w:sz w:val="28"/>
        </w:rPr>
        <w:t>企业情况、从业经历、服务承诺一览表</w:t>
      </w:r>
    </w:p>
    <w:p w14:paraId="4F9D2682">
      <w:pPr>
        <w:spacing w:line="400" w:lineRule="exact"/>
        <w:jc w:val="center"/>
        <w:rPr>
          <w:rFonts w:ascii="黑体" w:eastAsia="黑体"/>
          <w:color w:val="FF0000"/>
          <w:sz w:val="30"/>
        </w:rPr>
      </w:pPr>
      <w:r>
        <w:rPr>
          <w:rFonts w:hint="eastAsia" w:ascii="黑体" w:eastAsia="黑体"/>
          <w:color w:val="FF0000"/>
          <w:sz w:val="24"/>
        </w:rPr>
        <w:t>（模板仅供参考，项目需求单位根据项目实际情况自拟格式和内容）</w:t>
      </w:r>
    </w:p>
    <w:tbl>
      <w:tblPr>
        <w:tblStyle w:val="49"/>
        <w:tblW w:w="9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5"/>
        <w:gridCol w:w="566"/>
        <w:gridCol w:w="1558"/>
        <w:gridCol w:w="1134"/>
        <w:gridCol w:w="142"/>
        <w:gridCol w:w="1545"/>
        <w:gridCol w:w="1293"/>
        <w:gridCol w:w="989"/>
        <w:gridCol w:w="1274"/>
      </w:tblGrid>
      <w:tr w14:paraId="32ED0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9"/>
            <w:vAlign w:val="center"/>
          </w:tcPr>
          <w:p w14:paraId="68F68583">
            <w:pPr>
              <w:jc w:val="center"/>
              <w:rPr>
                <w:rFonts w:ascii="宋体" w:hAnsi="宋体"/>
                <w:sz w:val="24"/>
              </w:rPr>
            </w:pPr>
            <w:r>
              <w:rPr>
                <w:rFonts w:hint="eastAsia" w:ascii="宋体" w:hAnsi="宋体"/>
                <w:sz w:val="24"/>
              </w:rPr>
              <w:t>企业情况</w:t>
            </w:r>
          </w:p>
        </w:tc>
      </w:tr>
      <w:tr w14:paraId="11267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415" w:type="dxa"/>
            <w:vAlign w:val="center"/>
          </w:tcPr>
          <w:p w14:paraId="3FBB3E35">
            <w:pPr>
              <w:jc w:val="center"/>
              <w:rPr>
                <w:rFonts w:ascii="宋体" w:hAnsi="宋体"/>
                <w:sz w:val="24"/>
              </w:rPr>
            </w:pPr>
            <w:r>
              <w:rPr>
                <w:rFonts w:hint="eastAsia" w:ascii="宋体" w:hAnsi="宋体"/>
                <w:sz w:val="24"/>
              </w:rPr>
              <w:t>公司名称</w:t>
            </w:r>
          </w:p>
        </w:tc>
        <w:tc>
          <w:tcPr>
            <w:tcW w:w="2124" w:type="dxa"/>
            <w:gridSpan w:val="2"/>
            <w:vAlign w:val="center"/>
          </w:tcPr>
          <w:p w14:paraId="0D018ACC">
            <w:pPr>
              <w:jc w:val="center"/>
              <w:rPr>
                <w:rFonts w:ascii="宋体" w:hAnsi="宋体"/>
                <w:sz w:val="24"/>
              </w:rPr>
            </w:pPr>
          </w:p>
        </w:tc>
        <w:tc>
          <w:tcPr>
            <w:tcW w:w="1276" w:type="dxa"/>
            <w:gridSpan w:val="2"/>
            <w:vAlign w:val="center"/>
          </w:tcPr>
          <w:p w14:paraId="1DA8F4D3">
            <w:pPr>
              <w:rPr>
                <w:rFonts w:ascii="宋体" w:hAnsi="宋体"/>
                <w:sz w:val="24"/>
              </w:rPr>
            </w:pPr>
            <w:r>
              <w:rPr>
                <w:rFonts w:hint="eastAsia" w:ascii="宋体" w:hAnsi="宋体"/>
                <w:sz w:val="24"/>
              </w:rPr>
              <w:t>成立时间</w:t>
            </w:r>
          </w:p>
        </w:tc>
        <w:tc>
          <w:tcPr>
            <w:tcW w:w="1545" w:type="dxa"/>
            <w:vAlign w:val="center"/>
          </w:tcPr>
          <w:p w14:paraId="22D1DA3A">
            <w:pPr>
              <w:rPr>
                <w:rFonts w:ascii="宋体" w:hAnsi="宋体"/>
                <w:sz w:val="24"/>
              </w:rPr>
            </w:pPr>
          </w:p>
        </w:tc>
        <w:tc>
          <w:tcPr>
            <w:tcW w:w="1293" w:type="dxa"/>
            <w:vAlign w:val="center"/>
          </w:tcPr>
          <w:p w14:paraId="16BA6326">
            <w:pPr>
              <w:rPr>
                <w:rFonts w:ascii="宋体" w:hAnsi="宋体"/>
                <w:sz w:val="24"/>
              </w:rPr>
            </w:pPr>
            <w:r>
              <w:rPr>
                <w:rFonts w:hint="eastAsia" w:ascii="宋体" w:hAnsi="宋体"/>
                <w:sz w:val="24"/>
              </w:rPr>
              <w:t>注册资本</w:t>
            </w:r>
          </w:p>
        </w:tc>
        <w:tc>
          <w:tcPr>
            <w:tcW w:w="2263" w:type="dxa"/>
            <w:gridSpan w:val="2"/>
            <w:vAlign w:val="center"/>
          </w:tcPr>
          <w:p w14:paraId="02DB023E">
            <w:pPr>
              <w:jc w:val="right"/>
              <w:rPr>
                <w:rFonts w:ascii="宋体" w:hAnsi="宋体"/>
                <w:sz w:val="24"/>
              </w:rPr>
            </w:pPr>
            <w:r>
              <w:rPr>
                <w:rFonts w:hint="eastAsia" w:ascii="宋体" w:hAnsi="宋体"/>
                <w:sz w:val="24"/>
              </w:rPr>
              <w:t>万元</w:t>
            </w:r>
          </w:p>
        </w:tc>
      </w:tr>
      <w:tr w14:paraId="06400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2912B3B4">
            <w:pPr>
              <w:jc w:val="left"/>
              <w:rPr>
                <w:rFonts w:ascii="宋体" w:hAnsi="宋体"/>
                <w:sz w:val="24"/>
              </w:rPr>
            </w:pPr>
            <w:r>
              <w:rPr>
                <w:rFonts w:hint="eastAsia" w:ascii="宋体" w:hAnsi="宋体"/>
                <w:sz w:val="24"/>
              </w:rPr>
              <w:t>公司在册员工人数</w:t>
            </w:r>
          </w:p>
        </w:tc>
        <w:tc>
          <w:tcPr>
            <w:tcW w:w="1134" w:type="dxa"/>
            <w:vAlign w:val="center"/>
          </w:tcPr>
          <w:p w14:paraId="41D439C4">
            <w:pPr>
              <w:jc w:val="right"/>
              <w:rPr>
                <w:rFonts w:ascii="宋体" w:hAnsi="宋体"/>
                <w:sz w:val="24"/>
              </w:rPr>
            </w:pPr>
            <w:r>
              <w:rPr>
                <w:rFonts w:hint="eastAsia" w:ascii="宋体" w:hAnsi="宋体"/>
                <w:sz w:val="24"/>
              </w:rPr>
              <w:t>人</w:t>
            </w:r>
          </w:p>
        </w:tc>
        <w:tc>
          <w:tcPr>
            <w:tcW w:w="3969" w:type="dxa"/>
            <w:gridSpan w:val="4"/>
            <w:vAlign w:val="center"/>
          </w:tcPr>
          <w:p w14:paraId="564D14AC">
            <w:pPr>
              <w:rPr>
                <w:rFonts w:ascii="宋体" w:hAnsi="宋体"/>
                <w:sz w:val="24"/>
              </w:rPr>
            </w:pPr>
            <w:r>
              <w:rPr>
                <w:rFonts w:hint="eastAsia" w:ascii="宋体" w:hAnsi="宋体"/>
                <w:sz w:val="24"/>
              </w:rPr>
              <w:t>专业从事产品研发、生产的员工人数</w:t>
            </w:r>
          </w:p>
        </w:tc>
        <w:tc>
          <w:tcPr>
            <w:tcW w:w="1274" w:type="dxa"/>
            <w:vAlign w:val="center"/>
          </w:tcPr>
          <w:p w14:paraId="19D78EDA">
            <w:pPr>
              <w:jc w:val="right"/>
              <w:rPr>
                <w:rFonts w:ascii="宋体" w:hAnsi="宋体"/>
                <w:sz w:val="24"/>
              </w:rPr>
            </w:pPr>
            <w:r>
              <w:rPr>
                <w:rFonts w:hint="eastAsia" w:ascii="宋体" w:hAnsi="宋体"/>
                <w:sz w:val="24"/>
              </w:rPr>
              <w:t>人</w:t>
            </w:r>
          </w:p>
        </w:tc>
      </w:tr>
      <w:tr w14:paraId="5656D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4BC6353C">
            <w:pPr>
              <w:jc w:val="left"/>
              <w:rPr>
                <w:rFonts w:ascii="宋体" w:hAnsi="宋体"/>
                <w:sz w:val="24"/>
              </w:rPr>
            </w:pPr>
            <w:r>
              <w:rPr>
                <w:rFonts w:hint="eastAsia" w:ascii="宋体" w:hAnsi="宋体"/>
                <w:sz w:val="24"/>
              </w:rPr>
              <w:t>企业所通过的体系认证情况</w:t>
            </w:r>
          </w:p>
        </w:tc>
        <w:tc>
          <w:tcPr>
            <w:tcW w:w="6377" w:type="dxa"/>
            <w:gridSpan w:val="6"/>
            <w:vAlign w:val="center"/>
          </w:tcPr>
          <w:p w14:paraId="274CAE81">
            <w:pPr>
              <w:jc w:val="right"/>
              <w:rPr>
                <w:rFonts w:ascii="宋体" w:hAnsi="宋体"/>
                <w:sz w:val="24"/>
              </w:rPr>
            </w:pPr>
          </w:p>
        </w:tc>
      </w:tr>
      <w:tr w14:paraId="38746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5D34EA2B">
            <w:pPr>
              <w:rPr>
                <w:rFonts w:ascii="宋体" w:hAnsi="宋体"/>
                <w:sz w:val="24"/>
              </w:rPr>
            </w:pPr>
            <w:r>
              <w:rPr>
                <w:rFonts w:hint="eastAsia" w:ascii="宋体" w:hAnsi="宋体"/>
                <w:sz w:val="24"/>
              </w:rPr>
              <w:t>现有主要研发、实验、生产设备</w:t>
            </w:r>
          </w:p>
        </w:tc>
        <w:tc>
          <w:tcPr>
            <w:tcW w:w="6377" w:type="dxa"/>
            <w:gridSpan w:val="6"/>
            <w:vAlign w:val="center"/>
          </w:tcPr>
          <w:p w14:paraId="143820E3">
            <w:pPr>
              <w:rPr>
                <w:rFonts w:ascii="宋体" w:hAnsi="宋体"/>
                <w:sz w:val="24"/>
              </w:rPr>
            </w:pPr>
          </w:p>
        </w:tc>
      </w:tr>
      <w:tr w14:paraId="757F0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9"/>
            <w:vAlign w:val="center"/>
          </w:tcPr>
          <w:p w14:paraId="3F3AAA09">
            <w:pPr>
              <w:jc w:val="center"/>
              <w:rPr>
                <w:rFonts w:ascii="宋体" w:hAnsi="宋体"/>
                <w:sz w:val="24"/>
              </w:rPr>
            </w:pPr>
            <w:r>
              <w:rPr>
                <w:rFonts w:hint="eastAsia" w:ascii="宋体" w:hAnsi="宋体"/>
                <w:sz w:val="24"/>
              </w:rPr>
              <w:t>从业经历</w:t>
            </w:r>
          </w:p>
        </w:tc>
      </w:tr>
      <w:tr w14:paraId="6BA5D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5A3E5B65">
            <w:pPr>
              <w:jc w:val="center"/>
              <w:rPr>
                <w:rFonts w:ascii="宋体" w:hAnsi="宋体"/>
                <w:sz w:val="24"/>
              </w:rPr>
            </w:pPr>
            <w:r>
              <w:rPr>
                <w:rFonts w:hint="eastAsia" w:ascii="宋体" w:hAnsi="宋体"/>
                <w:szCs w:val="21"/>
              </w:rPr>
              <w:t>正在或曾经从事过的项目名称</w:t>
            </w:r>
          </w:p>
        </w:tc>
        <w:tc>
          <w:tcPr>
            <w:tcW w:w="2821" w:type="dxa"/>
            <w:gridSpan w:val="3"/>
            <w:vAlign w:val="center"/>
          </w:tcPr>
          <w:p w14:paraId="724FEE18">
            <w:pPr>
              <w:jc w:val="center"/>
              <w:rPr>
                <w:rFonts w:ascii="宋体" w:hAnsi="宋体"/>
                <w:sz w:val="24"/>
              </w:rPr>
            </w:pPr>
            <w:r>
              <w:rPr>
                <w:rFonts w:hint="eastAsia" w:ascii="宋体" w:hAnsi="宋体"/>
                <w:sz w:val="24"/>
              </w:rPr>
              <w:t>项目起止时间</w:t>
            </w:r>
          </w:p>
        </w:tc>
        <w:tc>
          <w:tcPr>
            <w:tcW w:w="3556" w:type="dxa"/>
            <w:gridSpan w:val="3"/>
            <w:vAlign w:val="center"/>
          </w:tcPr>
          <w:p w14:paraId="1035E58B">
            <w:pPr>
              <w:jc w:val="center"/>
              <w:rPr>
                <w:rFonts w:ascii="宋体" w:hAnsi="宋体"/>
                <w:sz w:val="24"/>
              </w:rPr>
            </w:pPr>
            <w:r>
              <w:rPr>
                <w:rFonts w:hint="eastAsia" w:ascii="宋体" w:hAnsi="宋体"/>
                <w:sz w:val="24"/>
              </w:rPr>
              <w:t>与投标人签订合同的单位名称</w:t>
            </w:r>
          </w:p>
        </w:tc>
      </w:tr>
      <w:tr w14:paraId="2CEEA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6C03836A">
            <w:pPr>
              <w:jc w:val="center"/>
              <w:rPr>
                <w:rFonts w:ascii="宋体" w:hAnsi="宋体"/>
                <w:sz w:val="24"/>
              </w:rPr>
            </w:pPr>
          </w:p>
        </w:tc>
        <w:tc>
          <w:tcPr>
            <w:tcW w:w="2821" w:type="dxa"/>
            <w:gridSpan w:val="3"/>
            <w:vAlign w:val="center"/>
          </w:tcPr>
          <w:p w14:paraId="5A2617C3">
            <w:pPr>
              <w:rPr>
                <w:rFonts w:ascii="宋体" w:hAnsi="宋体"/>
                <w:sz w:val="24"/>
              </w:rPr>
            </w:pPr>
          </w:p>
        </w:tc>
        <w:tc>
          <w:tcPr>
            <w:tcW w:w="3556" w:type="dxa"/>
            <w:gridSpan w:val="3"/>
            <w:vAlign w:val="center"/>
          </w:tcPr>
          <w:p w14:paraId="509FDC6B">
            <w:pPr>
              <w:rPr>
                <w:rFonts w:ascii="宋体" w:hAnsi="宋体"/>
                <w:sz w:val="24"/>
              </w:rPr>
            </w:pPr>
          </w:p>
        </w:tc>
      </w:tr>
      <w:tr w14:paraId="4B8EE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16271E4C">
            <w:pPr>
              <w:jc w:val="center"/>
              <w:rPr>
                <w:rFonts w:ascii="宋体" w:hAnsi="宋体"/>
                <w:sz w:val="24"/>
              </w:rPr>
            </w:pPr>
          </w:p>
        </w:tc>
        <w:tc>
          <w:tcPr>
            <w:tcW w:w="2821" w:type="dxa"/>
            <w:gridSpan w:val="3"/>
            <w:vAlign w:val="center"/>
          </w:tcPr>
          <w:p w14:paraId="4B300BC3">
            <w:pPr>
              <w:rPr>
                <w:rFonts w:ascii="宋体" w:hAnsi="宋体"/>
                <w:sz w:val="24"/>
              </w:rPr>
            </w:pPr>
          </w:p>
        </w:tc>
        <w:tc>
          <w:tcPr>
            <w:tcW w:w="3556" w:type="dxa"/>
            <w:gridSpan w:val="3"/>
            <w:vAlign w:val="center"/>
          </w:tcPr>
          <w:p w14:paraId="42880ED4">
            <w:pPr>
              <w:rPr>
                <w:rFonts w:ascii="宋体" w:hAnsi="宋体"/>
                <w:sz w:val="24"/>
              </w:rPr>
            </w:pPr>
          </w:p>
        </w:tc>
      </w:tr>
      <w:tr w14:paraId="5D92C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4B8D192C">
            <w:pPr>
              <w:jc w:val="center"/>
              <w:rPr>
                <w:rFonts w:ascii="宋体" w:hAnsi="宋体"/>
                <w:sz w:val="24"/>
              </w:rPr>
            </w:pPr>
          </w:p>
        </w:tc>
        <w:tc>
          <w:tcPr>
            <w:tcW w:w="2821" w:type="dxa"/>
            <w:gridSpan w:val="3"/>
            <w:vAlign w:val="center"/>
          </w:tcPr>
          <w:p w14:paraId="1E887A0A">
            <w:pPr>
              <w:rPr>
                <w:rFonts w:ascii="宋体" w:hAnsi="宋体"/>
                <w:sz w:val="24"/>
              </w:rPr>
            </w:pPr>
          </w:p>
        </w:tc>
        <w:tc>
          <w:tcPr>
            <w:tcW w:w="3556" w:type="dxa"/>
            <w:gridSpan w:val="3"/>
            <w:vAlign w:val="center"/>
          </w:tcPr>
          <w:p w14:paraId="46DF34C6">
            <w:pPr>
              <w:rPr>
                <w:rFonts w:ascii="宋体" w:hAnsi="宋体"/>
                <w:sz w:val="24"/>
              </w:rPr>
            </w:pPr>
          </w:p>
        </w:tc>
      </w:tr>
      <w:tr w14:paraId="5BBFF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75B8637F">
            <w:pPr>
              <w:jc w:val="center"/>
              <w:rPr>
                <w:rFonts w:ascii="宋体" w:hAnsi="宋体"/>
                <w:sz w:val="24"/>
              </w:rPr>
            </w:pPr>
          </w:p>
        </w:tc>
        <w:tc>
          <w:tcPr>
            <w:tcW w:w="2821" w:type="dxa"/>
            <w:gridSpan w:val="3"/>
            <w:vAlign w:val="center"/>
          </w:tcPr>
          <w:p w14:paraId="732481B7">
            <w:pPr>
              <w:rPr>
                <w:rFonts w:ascii="宋体" w:hAnsi="宋体"/>
                <w:sz w:val="24"/>
              </w:rPr>
            </w:pPr>
          </w:p>
        </w:tc>
        <w:tc>
          <w:tcPr>
            <w:tcW w:w="3556" w:type="dxa"/>
            <w:gridSpan w:val="3"/>
            <w:vAlign w:val="center"/>
          </w:tcPr>
          <w:p w14:paraId="6F3D36C3">
            <w:pPr>
              <w:rPr>
                <w:rFonts w:ascii="宋体" w:hAnsi="宋体"/>
                <w:sz w:val="24"/>
              </w:rPr>
            </w:pPr>
          </w:p>
        </w:tc>
      </w:tr>
      <w:tr w14:paraId="68CDE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9"/>
            <w:vAlign w:val="center"/>
          </w:tcPr>
          <w:p w14:paraId="5379D565">
            <w:pPr>
              <w:jc w:val="center"/>
              <w:rPr>
                <w:rFonts w:ascii="宋体" w:hAnsi="宋体"/>
                <w:sz w:val="24"/>
              </w:rPr>
            </w:pPr>
            <w:r>
              <w:rPr>
                <w:rFonts w:hint="eastAsia" w:ascii="宋体" w:hAnsi="宋体"/>
                <w:sz w:val="24"/>
              </w:rPr>
              <w:t>针对本招标项目的服务承诺</w:t>
            </w:r>
          </w:p>
        </w:tc>
      </w:tr>
      <w:tr w14:paraId="7D20B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vAlign w:val="center"/>
          </w:tcPr>
          <w:p w14:paraId="1BA6E72B">
            <w:pPr>
              <w:jc w:val="center"/>
              <w:rPr>
                <w:rFonts w:ascii="宋体" w:hAnsi="宋体"/>
                <w:sz w:val="24"/>
              </w:rPr>
            </w:pPr>
            <w:r>
              <w:rPr>
                <w:rFonts w:hint="eastAsia" w:ascii="宋体" w:hAnsi="宋体"/>
                <w:sz w:val="24"/>
              </w:rPr>
              <w:t>可为该项目配备人员、相关设备情况</w:t>
            </w:r>
          </w:p>
        </w:tc>
        <w:tc>
          <w:tcPr>
            <w:tcW w:w="1558" w:type="dxa"/>
            <w:vAlign w:val="center"/>
          </w:tcPr>
          <w:p w14:paraId="76DCF6CE">
            <w:pPr>
              <w:jc w:val="center"/>
              <w:rPr>
                <w:rFonts w:ascii="宋体" w:hAnsi="宋体"/>
                <w:sz w:val="24"/>
              </w:rPr>
            </w:pPr>
            <w:r>
              <w:rPr>
                <w:rFonts w:hint="eastAsia" w:ascii="宋体" w:hAnsi="宋体"/>
                <w:sz w:val="24"/>
              </w:rPr>
              <w:t>设计人员（名）</w:t>
            </w:r>
          </w:p>
        </w:tc>
        <w:tc>
          <w:tcPr>
            <w:tcW w:w="6377" w:type="dxa"/>
            <w:gridSpan w:val="6"/>
            <w:vAlign w:val="center"/>
          </w:tcPr>
          <w:p w14:paraId="184F6624">
            <w:pPr>
              <w:jc w:val="center"/>
              <w:rPr>
                <w:rFonts w:ascii="宋体" w:hAnsi="宋体"/>
                <w:sz w:val="24"/>
              </w:rPr>
            </w:pPr>
          </w:p>
        </w:tc>
      </w:tr>
      <w:tr w14:paraId="149C8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691FADCD">
            <w:pPr>
              <w:jc w:val="center"/>
              <w:rPr>
                <w:rFonts w:ascii="宋体" w:hAnsi="宋体"/>
                <w:sz w:val="24"/>
              </w:rPr>
            </w:pPr>
          </w:p>
        </w:tc>
        <w:tc>
          <w:tcPr>
            <w:tcW w:w="1558" w:type="dxa"/>
            <w:vAlign w:val="center"/>
          </w:tcPr>
          <w:p w14:paraId="466089A9">
            <w:pPr>
              <w:jc w:val="center"/>
              <w:rPr>
                <w:rFonts w:ascii="宋体" w:hAnsi="宋体"/>
                <w:sz w:val="24"/>
              </w:rPr>
            </w:pPr>
            <w:r>
              <w:rPr>
                <w:rFonts w:hint="eastAsia" w:ascii="宋体" w:hAnsi="宋体"/>
                <w:sz w:val="24"/>
              </w:rPr>
              <w:t>研发、实验设备（功能、型号、数量）</w:t>
            </w:r>
          </w:p>
        </w:tc>
        <w:tc>
          <w:tcPr>
            <w:tcW w:w="6377" w:type="dxa"/>
            <w:gridSpan w:val="6"/>
            <w:vAlign w:val="center"/>
          </w:tcPr>
          <w:p w14:paraId="15C826F4">
            <w:pPr>
              <w:jc w:val="center"/>
              <w:rPr>
                <w:rFonts w:ascii="宋体" w:hAnsi="宋体"/>
                <w:sz w:val="24"/>
              </w:rPr>
            </w:pPr>
          </w:p>
        </w:tc>
      </w:tr>
      <w:tr w14:paraId="3A7F6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49DBAC52">
            <w:pPr>
              <w:jc w:val="center"/>
              <w:rPr>
                <w:rFonts w:ascii="宋体" w:hAnsi="宋体"/>
                <w:sz w:val="24"/>
              </w:rPr>
            </w:pPr>
          </w:p>
        </w:tc>
        <w:tc>
          <w:tcPr>
            <w:tcW w:w="1558" w:type="dxa"/>
            <w:vAlign w:val="center"/>
          </w:tcPr>
          <w:p w14:paraId="600A39F0">
            <w:pPr>
              <w:jc w:val="center"/>
              <w:rPr>
                <w:rFonts w:ascii="宋体" w:hAnsi="宋体"/>
                <w:sz w:val="24"/>
              </w:rPr>
            </w:pPr>
            <w:r>
              <w:rPr>
                <w:rFonts w:hint="eastAsia" w:ascii="宋体" w:hAnsi="宋体"/>
                <w:sz w:val="24"/>
              </w:rPr>
              <w:t>生产设备（功能、型号、数量）</w:t>
            </w:r>
          </w:p>
        </w:tc>
        <w:tc>
          <w:tcPr>
            <w:tcW w:w="6377" w:type="dxa"/>
            <w:gridSpan w:val="6"/>
            <w:vAlign w:val="center"/>
          </w:tcPr>
          <w:p w14:paraId="250728A9">
            <w:pPr>
              <w:jc w:val="center"/>
              <w:rPr>
                <w:rFonts w:ascii="宋体" w:hAnsi="宋体"/>
                <w:sz w:val="24"/>
              </w:rPr>
            </w:pPr>
          </w:p>
        </w:tc>
      </w:tr>
      <w:tr w14:paraId="58AC1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7D9B3471">
            <w:pPr>
              <w:jc w:val="center"/>
              <w:rPr>
                <w:rFonts w:ascii="宋体" w:hAnsi="宋体"/>
                <w:sz w:val="24"/>
              </w:rPr>
            </w:pPr>
          </w:p>
        </w:tc>
        <w:tc>
          <w:tcPr>
            <w:tcW w:w="1558" w:type="dxa"/>
            <w:vAlign w:val="center"/>
          </w:tcPr>
          <w:p w14:paraId="5C222207">
            <w:pPr>
              <w:jc w:val="center"/>
              <w:rPr>
                <w:rFonts w:ascii="宋体" w:hAnsi="宋体"/>
                <w:sz w:val="24"/>
                <w:szCs w:val="24"/>
              </w:rPr>
            </w:pPr>
            <w:r>
              <w:rPr>
                <w:rFonts w:ascii="宋体" w:hAnsi="宋体"/>
                <w:sz w:val="24"/>
              </w:rPr>
              <w:t>……</w:t>
            </w:r>
          </w:p>
        </w:tc>
        <w:tc>
          <w:tcPr>
            <w:tcW w:w="6377" w:type="dxa"/>
            <w:gridSpan w:val="6"/>
            <w:vAlign w:val="center"/>
          </w:tcPr>
          <w:p w14:paraId="069BF678">
            <w:pPr>
              <w:jc w:val="center"/>
              <w:rPr>
                <w:rFonts w:ascii="宋体" w:hAnsi="宋体"/>
                <w:sz w:val="24"/>
              </w:rPr>
            </w:pPr>
          </w:p>
        </w:tc>
      </w:tr>
      <w:tr w14:paraId="56221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285CAEB5">
            <w:pPr>
              <w:jc w:val="center"/>
              <w:rPr>
                <w:rFonts w:ascii="宋体" w:hAnsi="宋体"/>
                <w:sz w:val="24"/>
              </w:rPr>
            </w:pPr>
          </w:p>
        </w:tc>
        <w:tc>
          <w:tcPr>
            <w:tcW w:w="1558" w:type="dxa"/>
            <w:vAlign w:val="center"/>
          </w:tcPr>
          <w:p w14:paraId="6E7A6498">
            <w:pPr>
              <w:jc w:val="center"/>
              <w:rPr>
                <w:rFonts w:ascii="宋体" w:hAnsi="宋体"/>
                <w:sz w:val="24"/>
              </w:rPr>
            </w:pPr>
            <w:r>
              <w:rPr>
                <w:rFonts w:ascii="宋体" w:hAnsi="宋体"/>
                <w:sz w:val="24"/>
              </w:rPr>
              <w:t>……</w:t>
            </w:r>
          </w:p>
        </w:tc>
        <w:tc>
          <w:tcPr>
            <w:tcW w:w="6377" w:type="dxa"/>
            <w:gridSpan w:val="6"/>
            <w:vAlign w:val="center"/>
          </w:tcPr>
          <w:p w14:paraId="29813182">
            <w:pPr>
              <w:jc w:val="center"/>
              <w:rPr>
                <w:rFonts w:ascii="宋体" w:hAnsi="宋体"/>
                <w:sz w:val="24"/>
              </w:rPr>
            </w:pPr>
          </w:p>
        </w:tc>
      </w:tr>
      <w:tr w14:paraId="1C5BD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vAlign w:val="center"/>
          </w:tcPr>
          <w:p w14:paraId="0CEC906D">
            <w:pPr>
              <w:jc w:val="center"/>
              <w:rPr>
                <w:rFonts w:ascii="宋体" w:hAnsi="宋体"/>
                <w:sz w:val="24"/>
              </w:rPr>
            </w:pPr>
            <w:r>
              <w:rPr>
                <w:rFonts w:hint="eastAsia" w:ascii="宋体" w:hAnsi="宋体"/>
                <w:sz w:val="24"/>
              </w:rPr>
              <w:t>其他</w:t>
            </w:r>
          </w:p>
        </w:tc>
        <w:tc>
          <w:tcPr>
            <w:tcW w:w="1558" w:type="dxa"/>
            <w:vAlign w:val="center"/>
          </w:tcPr>
          <w:p w14:paraId="4B663BFD">
            <w:pPr>
              <w:jc w:val="center"/>
              <w:rPr>
                <w:rFonts w:ascii="宋体" w:hAnsi="宋体"/>
                <w:sz w:val="24"/>
              </w:rPr>
            </w:pPr>
            <w:r>
              <w:rPr>
                <w:rFonts w:ascii="宋体" w:hAnsi="宋体"/>
                <w:sz w:val="24"/>
              </w:rPr>
              <w:t>……</w:t>
            </w:r>
          </w:p>
        </w:tc>
        <w:tc>
          <w:tcPr>
            <w:tcW w:w="6377" w:type="dxa"/>
            <w:gridSpan w:val="6"/>
            <w:vAlign w:val="center"/>
          </w:tcPr>
          <w:p w14:paraId="0CCF50F3">
            <w:pPr>
              <w:jc w:val="center"/>
              <w:rPr>
                <w:rFonts w:ascii="宋体" w:hAnsi="宋体"/>
                <w:sz w:val="24"/>
              </w:rPr>
            </w:pPr>
          </w:p>
        </w:tc>
      </w:tr>
      <w:tr w14:paraId="36507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08DBA12B">
            <w:pPr>
              <w:jc w:val="center"/>
              <w:rPr>
                <w:rFonts w:ascii="宋体" w:hAnsi="宋体"/>
                <w:sz w:val="24"/>
              </w:rPr>
            </w:pPr>
          </w:p>
        </w:tc>
        <w:tc>
          <w:tcPr>
            <w:tcW w:w="1558" w:type="dxa"/>
            <w:vAlign w:val="center"/>
          </w:tcPr>
          <w:p w14:paraId="0723994A">
            <w:pPr>
              <w:jc w:val="center"/>
              <w:rPr>
                <w:rFonts w:ascii="宋体" w:hAnsi="宋体"/>
                <w:sz w:val="24"/>
              </w:rPr>
            </w:pPr>
            <w:r>
              <w:rPr>
                <w:rFonts w:ascii="宋体" w:hAnsi="宋体"/>
                <w:sz w:val="24"/>
              </w:rPr>
              <w:t>……</w:t>
            </w:r>
          </w:p>
        </w:tc>
        <w:tc>
          <w:tcPr>
            <w:tcW w:w="6377" w:type="dxa"/>
            <w:gridSpan w:val="6"/>
            <w:vAlign w:val="center"/>
          </w:tcPr>
          <w:p w14:paraId="60971109">
            <w:pPr>
              <w:jc w:val="center"/>
              <w:rPr>
                <w:rFonts w:ascii="宋体" w:hAnsi="宋体"/>
                <w:sz w:val="24"/>
              </w:rPr>
            </w:pPr>
          </w:p>
        </w:tc>
      </w:tr>
    </w:tbl>
    <w:p w14:paraId="4B14836F">
      <w:pPr>
        <w:pStyle w:val="25"/>
        <w:spacing w:line="360" w:lineRule="auto"/>
        <w:ind w:firstLine="720" w:firstLineChars="300"/>
        <w:rPr>
          <w:rFonts w:ascii="仿宋_GB2312" w:hAnsi="宋体" w:eastAsia="仿宋_GB2312"/>
          <w:sz w:val="24"/>
        </w:rPr>
      </w:pPr>
      <w:r>
        <w:rPr>
          <w:rFonts w:hint="eastAsia" w:ascii="仿宋_GB2312" w:hAnsi="宋体" w:eastAsia="仿宋_GB2312"/>
          <w:sz w:val="24"/>
        </w:rPr>
        <w:t>投标人名称（盖章）：              法定代表人或授权代表签字：</w:t>
      </w:r>
    </w:p>
    <w:p w14:paraId="53A07231">
      <w:pPr>
        <w:pStyle w:val="25"/>
        <w:spacing w:line="360" w:lineRule="auto"/>
        <w:ind w:left="669" w:leftChars="115" w:hanging="428" w:hangingChars="194"/>
        <w:rPr>
          <w:rFonts w:hAnsi="宋体"/>
          <w:sz w:val="22"/>
        </w:rPr>
      </w:pPr>
      <w:r>
        <w:rPr>
          <w:rFonts w:hint="eastAsia" w:hAnsi="宋体"/>
          <w:b/>
          <w:sz w:val="22"/>
        </w:rPr>
        <w:t>注：</w:t>
      </w:r>
      <w:r>
        <w:rPr>
          <w:rFonts w:hint="eastAsia" w:hAnsi="宋体"/>
          <w:sz w:val="22"/>
        </w:rPr>
        <w:t>1.投标人为满足本招标项目之需，需实际配置的、包含但不限于上述设备、人员及其他条目；</w:t>
      </w:r>
    </w:p>
    <w:p w14:paraId="70997022">
      <w:pPr>
        <w:pStyle w:val="25"/>
        <w:spacing w:line="360" w:lineRule="auto"/>
        <w:ind w:left="661" w:leftChars="315"/>
        <w:rPr>
          <w:rFonts w:hAnsi="宋体"/>
          <w:sz w:val="22"/>
        </w:rPr>
      </w:pPr>
      <w:r>
        <w:rPr>
          <w:rFonts w:hint="eastAsia" w:hAnsi="宋体"/>
          <w:sz w:val="22"/>
        </w:rPr>
        <w:t>2.投标人可在上表内容基础上，酌情自行增加相关条目，以便更好的满足项目开展需要。</w:t>
      </w:r>
    </w:p>
    <w:p w14:paraId="6529FA1D">
      <w:pPr>
        <w:outlineLvl w:val="1"/>
        <w:rPr>
          <w:rFonts w:hint="eastAsia" w:eastAsia="黑体"/>
          <w:b/>
          <w:bCs/>
          <w:sz w:val="28"/>
          <w:lang w:val="en-US" w:eastAsia="zh-CN"/>
        </w:rPr>
      </w:pPr>
      <w:r>
        <w:rPr>
          <w:rFonts w:hint="eastAsia" w:eastAsia="黑体"/>
          <w:b/>
          <w:bCs/>
          <w:sz w:val="28"/>
          <w:lang w:val="en-US" w:eastAsia="zh-CN"/>
        </w:rPr>
        <w:t xml:space="preserve">附件 </w:t>
      </w:r>
      <w:r>
        <w:rPr>
          <w:rFonts w:hint="eastAsia" w:eastAsia="黑体"/>
          <w:b/>
          <w:bCs/>
          <w:sz w:val="28"/>
        </w:rPr>
        <w:t>法人授权委托书</w:t>
      </w:r>
    </w:p>
    <w:p w14:paraId="7C651213">
      <w:pPr>
        <w:rPr>
          <w:rFonts w:ascii="宋体" w:hAnsi="宋体"/>
        </w:rPr>
      </w:pPr>
      <w:r>
        <w:rPr>
          <w:rFonts w:hint="eastAsia" w:ascii="宋体" w:hAnsi="宋体"/>
        </w:rPr>
        <w:t>项目名称：</w:t>
      </w:r>
      <w:r>
        <w:rPr>
          <w:rFonts w:ascii="宋体" w:hAnsi="宋体"/>
        </w:rPr>
        <w:t xml:space="preserve"> </w:t>
      </w:r>
    </w:p>
    <w:p w14:paraId="2D21F6FE">
      <w:pPr>
        <w:rPr>
          <w:rFonts w:ascii="宋体" w:hAnsi="宋体"/>
        </w:rPr>
      </w:pPr>
    </w:p>
    <w:p w14:paraId="0CB2FB44">
      <w:pPr>
        <w:pStyle w:val="25"/>
        <w:spacing w:line="360" w:lineRule="auto"/>
        <w:rPr>
          <w:rFonts w:hAnsi="宋体"/>
          <w:szCs w:val="21"/>
        </w:rPr>
      </w:pPr>
      <w:r>
        <w:rPr>
          <w:rFonts w:hint="eastAsia" w:hAnsi="宋体"/>
          <w:szCs w:val="21"/>
        </w:rPr>
        <w:t>日期：  年   月   日</w:t>
      </w:r>
    </w:p>
    <w:p w14:paraId="4386896A">
      <w:pPr>
        <w:jc w:val="center"/>
        <w:rPr>
          <w:rFonts w:eastAsia="黑体"/>
          <w:b/>
          <w:bCs/>
          <w:sz w:val="28"/>
        </w:rPr>
      </w:pPr>
      <w:r>
        <w:rPr>
          <w:rFonts w:hint="eastAsia" w:eastAsia="黑体"/>
          <w:b/>
          <w:bCs/>
          <w:sz w:val="28"/>
        </w:rPr>
        <w:t>法人授权委托书</w:t>
      </w:r>
    </w:p>
    <w:p w14:paraId="4BFC1D77">
      <w:pPr>
        <w:rPr>
          <w:rFonts w:ascii="宋体" w:hAnsi="宋体"/>
          <w:u w:val="single"/>
        </w:rPr>
      </w:pPr>
      <w:r>
        <w:rPr>
          <w:rFonts w:hint="eastAsia" w:ascii="宋体" w:hAnsi="宋体"/>
        </w:rPr>
        <w:t>致</w:t>
      </w:r>
      <w:r>
        <w:rPr>
          <w:rFonts w:hint="eastAsia" w:ascii="宋体" w:hAnsi="宋体"/>
          <w:u w:val="single"/>
        </w:rPr>
        <w:t>（招标人名称）                            ：</w:t>
      </w:r>
    </w:p>
    <w:p w14:paraId="0611F112">
      <w:pPr>
        <w:spacing w:line="360" w:lineRule="auto"/>
        <w:ind w:firstLine="420" w:firstLineChars="200"/>
        <w:rPr>
          <w:rFonts w:ascii="宋体"/>
          <w:kern w:val="0"/>
          <w:szCs w:val="21"/>
        </w:rPr>
      </w:pPr>
      <w:r>
        <w:rPr>
          <w:rFonts w:hint="eastAsia" w:ascii="宋体" w:hAnsi="宋体"/>
          <w:kern w:val="0"/>
          <w:szCs w:val="21"/>
        </w:rPr>
        <w:t>本授权委托书声明：我</w:t>
      </w:r>
      <w:r>
        <w:rPr>
          <w:rFonts w:hint="eastAsia" w:ascii="宋体" w:hAnsi="宋体"/>
          <w:kern w:val="0"/>
          <w:szCs w:val="21"/>
          <w:u w:val="single"/>
        </w:rPr>
        <w:t xml:space="preserve">（法人姓名）       </w:t>
      </w:r>
      <w:r>
        <w:rPr>
          <w:rFonts w:hint="eastAsia" w:ascii="宋体" w:hAnsi="宋体"/>
          <w:kern w:val="0"/>
          <w:szCs w:val="21"/>
        </w:rPr>
        <w:t>系</w:t>
      </w:r>
      <w:r>
        <w:rPr>
          <w:rFonts w:hint="eastAsia" w:ascii="宋体" w:hAnsi="宋体"/>
          <w:u w:val="single"/>
        </w:rPr>
        <w:t>（投标人名称）</w:t>
      </w:r>
      <w:r>
        <w:rPr>
          <w:rFonts w:hint="eastAsia" w:ascii="宋体" w:hAnsi="宋体"/>
          <w:kern w:val="0"/>
          <w:szCs w:val="21"/>
          <w:u w:val="single"/>
        </w:rPr>
        <w:t xml:space="preserve">                   </w:t>
      </w:r>
      <w:r>
        <w:rPr>
          <w:rFonts w:hint="eastAsia" w:ascii="宋体" w:hAnsi="宋体"/>
          <w:kern w:val="0"/>
          <w:szCs w:val="21"/>
        </w:rPr>
        <w:t>的法定代表人，现授权委托</w:t>
      </w:r>
      <w:r>
        <w:rPr>
          <w:rFonts w:hint="eastAsia" w:ascii="宋体" w:hAnsi="宋体"/>
          <w:u w:val="single"/>
        </w:rPr>
        <w:t>（投标人名称）</w:t>
      </w:r>
      <w:r>
        <w:rPr>
          <w:rFonts w:hint="eastAsia" w:ascii="宋体" w:hAnsi="宋体"/>
          <w:kern w:val="0"/>
          <w:szCs w:val="21"/>
          <w:u w:val="single"/>
        </w:rPr>
        <w:t xml:space="preserve">                    </w:t>
      </w:r>
      <w:r>
        <w:rPr>
          <w:rFonts w:hint="eastAsia" w:ascii="宋体" w:hAnsi="宋体"/>
          <w:kern w:val="0"/>
          <w:szCs w:val="21"/>
        </w:rPr>
        <w:t>的</w:t>
      </w:r>
      <w:r>
        <w:rPr>
          <w:rFonts w:hint="eastAsia" w:ascii="宋体" w:hAnsi="宋体"/>
          <w:kern w:val="0"/>
          <w:szCs w:val="21"/>
          <w:u w:val="single"/>
        </w:rPr>
        <w:t xml:space="preserve"> （授权委托代理人姓名）        </w:t>
      </w:r>
      <w:r>
        <w:rPr>
          <w:rFonts w:hint="eastAsia" w:ascii="宋体" w:hAnsi="宋体"/>
          <w:kern w:val="0"/>
          <w:szCs w:val="21"/>
        </w:rPr>
        <w:t>为我公司参加贵方组织的</w:t>
      </w:r>
      <w:r>
        <w:rPr>
          <w:rFonts w:hint="eastAsia" w:cs="宋体"/>
          <w:kern w:val="0"/>
          <w:szCs w:val="21"/>
          <w:u w:val="single"/>
        </w:rPr>
        <w:t xml:space="preserve"> XX项目 </w:t>
      </w:r>
      <w:r>
        <w:rPr>
          <w:rFonts w:hint="eastAsia" w:ascii="宋体" w:hAnsi="宋体"/>
          <w:kern w:val="0"/>
          <w:szCs w:val="21"/>
        </w:rPr>
        <w:t>的法定代表人授权委托代理人，全权代表本公司处理投标过程的一切事宜，包括：投标、参与开标、谈判、签约等。投标人授权代表在投标过程中所签署的一切文件和处理与之有关的一切事务，我公司均予认可并对此承担全部责任。</w:t>
      </w:r>
    </w:p>
    <w:p w14:paraId="21416BEE">
      <w:pPr>
        <w:spacing w:line="360" w:lineRule="auto"/>
        <w:ind w:firstLine="420" w:firstLineChars="200"/>
        <w:rPr>
          <w:rFonts w:ascii="宋体"/>
          <w:kern w:val="0"/>
          <w:szCs w:val="21"/>
        </w:rPr>
      </w:pPr>
      <w:r>
        <w:rPr>
          <w:rFonts w:hint="eastAsia" w:ascii="宋体" w:hAnsi="宋体"/>
          <w:kern w:val="0"/>
          <w:szCs w:val="21"/>
        </w:rPr>
        <w:t>委托期限：</w:t>
      </w:r>
      <w:r>
        <w:rPr>
          <w:rFonts w:ascii="宋体" w:hAnsi="宋体"/>
          <w:kern w:val="0"/>
          <w:szCs w:val="21"/>
          <w:u w:val="single"/>
        </w:rPr>
        <w:t>20</w:t>
      </w:r>
      <w:r>
        <w:rPr>
          <w:rFonts w:hint="eastAsia" w:ascii="宋体" w:hAnsi="宋体"/>
          <w:kern w:val="0"/>
          <w:szCs w:val="21"/>
          <w:u w:val="single"/>
        </w:rPr>
        <w:t>XX</w:t>
      </w:r>
      <w:r>
        <w:rPr>
          <w:rFonts w:ascii="宋体" w:hAnsi="宋体"/>
          <w:kern w:val="0"/>
          <w:szCs w:val="21"/>
          <w:u w:val="single"/>
        </w:rPr>
        <w:t xml:space="preserve">  </w:t>
      </w:r>
      <w:r>
        <w:rPr>
          <w:rFonts w:hint="eastAsia" w:ascii="宋体" w:hAnsi="宋体"/>
          <w:kern w:val="0"/>
          <w:szCs w:val="21"/>
          <w:u w:val="single"/>
        </w:rPr>
        <w:t>年X</w:t>
      </w:r>
      <w:r>
        <w:rPr>
          <w:rFonts w:ascii="宋体" w:hAnsi="宋体"/>
          <w:kern w:val="0"/>
          <w:szCs w:val="21"/>
          <w:u w:val="single"/>
        </w:rPr>
        <w:t xml:space="preserve"> </w:t>
      </w:r>
      <w:r>
        <w:rPr>
          <w:rFonts w:hint="eastAsia" w:ascii="宋体" w:hAnsi="宋体"/>
          <w:kern w:val="0"/>
          <w:szCs w:val="21"/>
          <w:u w:val="single"/>
        </w:rPr>
        <w:t>月</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日至</w:t>
      </w:r>
      <w:r>
        <w:rPr>
          <w:rFonts w:ascii="宋体" w:hAnsi="宋体"/>
          <w:kern w:val="0"/>
          <w:szCs w:val="21"/>
          <w:u w:val="single"/>
        </w:rPr>
        <w:t xml:space="preserve"> 20</w:t>
      </w:r>
      <w:r>
        <w:rPr>
          <w:rFonts w:hint="eastAsia" w:ascii="宋体" w:hAnsi="宋体"/>
          <w:kern w:val="0"/>
          <w:szCs w:val="21"/>
          <w:u w:val="single"/>
        </w:rPr>
        <w:t>XX</w:t>
      </w:r>
      <w:r>
        <w:rPr>
          <w:rFonts w:ascii="宋体" w:hAnsi="宋体"/>
          <w:kern w:val="0"/>
          <w:szCs w:val="21"/>
          <w:u w:val="single"/>
        </w:rPr>
        <w:t xml:space="preserve">  </w:t>
      </w:r>
      <w:r>
        <w:rPr>
          <w:rFonts w:hint="eastAsia" w:ascii="宋体" w:hAnsi="宋体"/>
          <w:kern w:val="0"/>
          <w:szCs w:val="21"/>
          <w:u w:val="single"/>
        </w:rPr>
        <w:t>年</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月</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日</w:t>
      </w:r>
    </w:p>
    <w:p w14:paraId="3955CF8C">
      <w:pPr>
        <w:spacing w:line="360" w:lineRule="auto"/>
        <w:ind w:firstLine="420" w:firstLineChars="200"/>
        <w:rPr>
          <w:rFonts w:ascii="宋体"/>
          <w:kern w:val="0"/>
          <w:szCs w:val="21"/>
        </w:rPr>
      </w:pPr>
      <w:r>
        <w:rPr>
          <w:rFonts w:hint="eastAsia" w:ascii="宋体" w:hAnsi="宋体"/>
          <w:kern w:val="0"/>
          <w:szCs w:val="21"/>
        </w:rPr>
        <w:t>代理人无转委托权，特此委托。</w:t>
      </w:r>
    </w:p>
    <w:p w14:paraId="1A8660B5">
      <w:pPr>
        <w:spacing w:line="360" w:lineRule="auto"/>
        <w:ind w:firstLine="420" w:firstLineChars="200"/>
        <w:rPr>
          <w:rFonts w:ascii="宋体"/>
          <w:kern w:val="0"/>
          <w:szCs w:val="21"/>
        </w:rPr>
      </w:pPr>
      <w:r>
        <w:rPr>
          <w:rFonts w:hint="eastAsia" w:ascii="宋体" w:hAnsi="宋体"/>
          <w:kern w:val="0"/>
          <w:szCs w:val="21"/>
        </w:rPr>
        <w:t>代理人姓名：</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性别：</w:t>
      </w:r>
      <w:r>
        <w:rPr>
          <w:rFonts w:ascii="宋体" w:hAnsi="宋体"/>
          <w:kern w:val="0"/>
          <w:szCs w:val="21"/>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年龄：</w:t>
      </w:r>
      <w:r>
        <w:rPr>
          <w:rFonts w:ascii="宋体" w:hAnsi="宋体"/>
          <w:kern w:val="0"/>
          <w:szCs w:val="21"/>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p>
    <w:p w14:paraId="663AFD4E">
      <w:pPr>
        <w:spacing w:line="360" w:lineRule="auto"/>
        <w:ind w:firstLine="420" w:firstLineChars="200"/>
        <w:rPr>
          <w:rFonts w:ascii="宋体"/>
          <w:kern w:val="0"/>
          <w:szCs w:val="21"/>
        </w:rPr>
      </w:pPr>
      <w:r>
        <w:rPr>
          <w:rFonts w:hint="eastAsia" w:ascii="宋体" w:hAnsi="宋体"/>
          <w:kern w:val="0"/>
          <w:szCs w:val="21"/>
        </w:rPr>
        <w:t>身份证号码：</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职务：</w:t>
      </w:r>
      <w:r>
        <w:rPr>
          <w:rFonts w:ascii="宋体" w:hAnsi="宋体"/>
          <w:kern w:val="0"/>
          <w:szCs w:val="21"/>
        </w:rPr>
        <w:t xml:space="preserve"> </w:t>
      </w:r>
      <w:r>
        <w:rPr>
          <w:rFonts w:hint="eastAsia" w:ascii="宋体" w:hAnsi="宋体"/>
          <w:kern w:val="0"/>
          <w:szCs w:val="21"/>
          <w:u w:val="single"/>
        </w:rPr>
        <w:t xml:space="preserve">       </w:t>
      </w:r>
      <w:r>
        <w:rPr>
          <w:rFonts w:ascii="宋体" w:hAnsi="宋体"/>
          <w:kern w:val="0"/>
          <w:szCs w:val="21"/>
        </w:rPr>
        <w:t xml:space="preserve">    </w:t>
      </w:r>
    </w:p>
    <w:p w14:paraId="26AE8D92">
      <w:pPr>
        <w:spacing w:line="360" w:lineRule="auto"/>
        <w:ind w:firstLine="420" w:firstLineChars="200"/>
        <w:rPr>
          <w:rFonts w:ascii="宋体"/>
          <w:kern w:val="0"/>
          <w:szCs w:val="21"/>
        </w:rPr>
      </w:pPr>
      <w:r>
        <w:rPr>
          <w:rFonts w:hint="eastAsia" w:ascii="宋体" w:hAnsi="宋体"/>
          <w:kern w:val="0"/>
          <w:szCs w:val="21"/>
        </w:rPr>
        <w:t>投标人名称：（盖单位公章）</w:t>
      </w:r>
    </w:p>
    <w:p w14:paraId="7E4D73FE">
      <w:pPr>
        <w:spacing w:line="360" w:lineRule="auto"/>
        <w:ind w:firstLine="420" w:firstLineChars="200"/>
        <w:rPr>
          <w:rFonts w:ascii="宋体"/>
          <w:kern w:val="0"/>
          <w:szCs w:val="21"/>
        </w:rPr>
      </w:pPr>
      <w:r>
        <w:rPr>
          <w:rFonts w:hint="eastAsia" w:ascii="宋体" w:hAnsi="宋体"/>
          <w:kern w:val="0"/>
          <w:szCs w:val="21"/>
        </w:rPr>
        <w:t>法定代表人：（签字）</w:t>
      </w:r>
    </w:p>
    <w:p w14:paraId="2109D48D">
      <w:pPr>
        <w:spacing w:line="360" w:lineRule="auto"/>
        <w:ind w:firstLine="420" w:firstLineChars="200"/>
        <w:rPr>
          <w:rFonts w:ascii="宋体"/>
          <w:kern w:val="0"/>
          <w:szCs w:val="21"/>
        </w:rPr>
      </w:pPr>
    </w:p>
    <w:p w14:paraId="61457ED5">
      <w:pPr>
        <w:spacing w:line="360" w:lineRule="auto"/>
        <w:ind w:firstLine="420" w:firstLineChars="200"/>
        <w:rPr>
          <w:rFonts w:ascii="宋体"/>
          <w:kern w:val="0"/>
          <w:szCs w:val="21"/>
        </w:rPr>
      </w:pPr>
    </w:p>
    <w:p w14:paraId="1522547F">
      <w:pPr>
        <w:adjustRightInd w:val="0"/>
        <w:spacing w:line="480" w:lineRule="exact"/>
        <w:jc w:val="left"/>
        <w:textAlignment w:val="baseline"/>
        <w:rPr>
          <w:rFonts w:ascii="宋体"/>
          <w:b/>
          <w:kern w:val="0"/>
          <w:szCs w:val="21"/>
        </w:rPr>
      </w:pPr>
      <w:r>
        <w:rPr>
          <w:rFonts w:hint="eastAsia" w:ascii="宋体" w:hAnsi="宋体"/>
          <w:b/>
          <w:kern w:val="0"/>
          <w:szCs w:val="21"/>
        </w:rPr>
        <w:t>附授权人与被授权人有效的身份证正反两面复印件</w:t>
      </w:r>
    </w:p>
    <w:p w14:paraId="772CDB22">
      <w:pPr>
        <w:spacing w:line="360" w:lineRule="auto"/>
        <w:rPr>
          <w:rFonts w:ascii="宋体"/>
          <w:kern w:val="0"/>
          <w:szCs w:val="21"/>
        </w:rPr>
      </w:pPr>
    </w:p>
    <w:p w14:paraId="14A85523">
      <w:pPr>
        <w:spacing w:line="360" w:lineRule="auto"/>
        <w:rPr>
          <w:rFonts w:ascii="宋体"/>
          <w:kern w:val="0"/>
          <w:szCs w:val="21"/>
        </w:rPr>
      </w:pPr>
    </w:p>
    <w:p w14:paraId="63D32B4B">
      <w:pPr>
        <w:spacing w:line="360" w:lineRule="auto"/>
        <w:rPr>
          <w:rFonts w:ascii="宋体"/>
          <w:kern w:val="0"/>
          <w:szCs w:val="21"/>
        </w:rPr>
      </w:pPr>
    </w:p>
    <w:p w14:paraId="359AB9BC">
      <w:pPr>
        <w:spacing w:line="360" w:lineRule="auto"/>
        <w:rPr>
          <w:rFonts w:ascii="宋体"/>
          <w:kern w:val="0"/>
          <w:szCs w:val="21"/>
        </w:rPr>
      </w:pPr>
    </w:p>
    <w:p w14:paraId="0BBFFE97">
      <w:pPr>
        <w:spacing w:line="360" w:lineRule="auto"/>
        <w:ind w:right="560" w:firstLine="420" w:firstLineChars="200"/>
        <w:rPr>
          <w:rFonts w:ascii="宋体"/>
          <w:kern w:val="0"/>
          <w:szCs w:val="21"/>
        </w:rPr>
      </w:pPr>
    </w:p>
    <w:p w14:paraId="2586BB76">
      <w:pPr>
        <w:pStyle w:val="25"/>
        <w:spacing w:line="360" w:lineRule="auto"/>
        <w:rPr>
          <w:rFonts w:hAnsi="宋体"/>
          <w:b/>
          <w:sz w:val="24"/>
          <w:szCs w:val="24"/>
        </w:rPr>
      </w:pPr>
    </w:p>
    <w:p w14:paraId="67044876">
      <w:pPr>
        <w:pStyle w:val="25"/>
        <w:spacing w:line="360" w:lineRule="auto"/>
        <w:rPr>
          <w:rFonts w:hAnsi="宋体"/>
          <w:b/>
          <w:sz w:val="24"/>
          <w:szCs w:val="24"/>
        </w:rPr>
      </w:pPr>
    </w:p>
    <w:p w14:paraId="33F53838">
      <w:pPr>
        <w:pStyle w:val="25"/>
        <w:spacing w:line="360" w:lineRule="auto"/>
        <w:rPr>
          <w:rFonts w:hAnsi="宋体"/>
          <w:b/>
          <w:sz w:val="24"/>
          <w:szCs w:val="24"/>
        </w:rPr>
      </w:pPr>
    </w:p>
    <w:p w14:paraId="48B58BA8">
      <w:pPr>
        <w:pStyle w:val="25"/>
        <w:spacing w:line="360" w:lineRule="auto"/>
        <w:rPr>
          <w:rFonts w:hAnsi="宋体"/>
          <w:b/>
          <w:sz w:val="24"/>
          <w:szCs w:val="24"/>
        </w:rPr>
      </w:pPr>
    </w:p>
    <w:p w14:paraId="7B0AAF52">
      <w:pPr>
        <w:pStyle w:val="25"/>
        <w:spacing w:line="360" w:lineRule="auto"/>
        <w:rPr>
          <w:rFonts w:hAnsi="宋体"/>
          <w:b/>
          <w:sz w:val="24"/>
          <w:szCs w:val="24"/>
        </w:rPr>
      </w:pPr>
    </w:p>
    <w:p w14:paraId="380825F0">
      <w:pPr>
        <w:outlineLvl w:val="1"/>
        <w:rPr>
          <w:rFonts w:hint="default" w:eastAsia="黑体"/>
          <w:b/>
          <w:bCs/>
          <w:sz w:val="28"/>
          <w:lang w:val="en-US" w:eastAsia="zh-CN"/>
        </w:rPr>
      </w:pPr>
      <w:r>
        <w:rPr>
          <w:rFonts w:hint="eastAsia" w:eastAsia="黑体"/>
          <w:b/>
          <w:bCs/>
          <w:sz w:val="28"/>
          <w:lang w:val="en-US" w:eastAsia="zh-CN"/>
        </w:rPr>
        <w:t xml:space="preserve">附件 </w:t>
      </w:r>
      <w:r>
        <w:rPr>
          <w:rFonts w:hint="eastAsia" w:eastAsia="黑体"/>
          <w:b/>
          <w:bCs/>
          <w:sz w:val="28"/>
        </w:rPr>
        <w:t>投标保证金退付表</w:t>
      </w:r>
    </w:p>
    <w:p w14:paraId="1A58B6F3">
      <w:pPr>
        <w:rPr>
          <w:rFonts w:ascii="宋体" w:hAnsi="宋体"/>
        </w:rPr>
      </w:pPr>
      <w:r>
        <w:rPr>
          <w:rFonts w:hint="eastAsia" w:ascii="宋体" w:hAnsi="宋体"/>
        </w:rPr>
        <w:t>项目名称：</w:t>
      </w:r>
      <w:r>
        <w:rPr>
          <w:rFonts w:ascii="宋体" w:hAnsi="宋体"/>
        </w:rPr>
        <w:t xml:space="preserve"> </w:t>
      </w:r>
    </w:p>
    <w:p w14:paraId="7ABE2CC6">
      <w:pPr>
        <w:rPr>
          <w:rFonts w:ascii="宋体" w:hAnsi="宋体"/>
        </w:rPr>
      </w:pPr>
    </w:p>
    <w:p w14:paraId="517603EA">
      <w:pPr>
        <w:pStyle w:val="25"/>
        <w:spacing w:line="360" w:lineRule="auto"/>
        <w:ind w:left="1014" w:leftChars="-6" w:hanging="1027" w:hangingChars="428"/>
        <w:rPr>
          <w:rFonts w:hAnsi="宋体"/>
          <w:szCs w:val="21"/>
        </w:rPr>
      </w:pPr>
      <w:r>
        <w:rPr>
          <w:rFonts w:hint="eastAsia" w:hAnsi="宋体"/>
          <w:szCs w:val="21"/>
        </w:rPr>
        <w:t>日期：  年   月   日</w:t>
      </w:r>
    </w:p>
    <w:p w14:paraId="0A2679E0">
      <w:pPr>
        <w:jc w:val="center"/>
        <w:rPr>
          <w:rFonts w:eastAsia="黑体"/>
          <w:b/>
          <w:bCs/>
          <w:sz w:val="28"/>
        </w:rPr>
      </w:pPr>
      <w:r>
        <w:rPr>
          <w:rFonts w:hint="eastAsia" w:eastAsia="黑体"/>
          <w:b/>
          <w:bCs/>
          <w:sz w:val="28"/>
        </w:rPr>
        <w:t>投标保证金退付表</w:t>
      </w:r>
    </w:p>
    <w:tbl>
      <w:tblPr>
        <w:tblStyle w:val="49"/>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7BA6C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1BE9B000">
            <w:pPr>
              <w:pStyle w:val="25"/>
              <w:spacing w:line="360" w:lineRule="auto"/>
            </w:pPr>
            <w:r>
              <w:rPr>
                <w:rFonts w:hint="eastAsia"/>
              </w:rPr>
              <w:t>投标人单位名称：</w:t>
            </w:r>
          </w:p>
        </w:tc>
      </w:tr>
      <w:tr w14:paraId="35D4C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5EA6DC01">
            <w:pPr>
              <w:pStyle w:val="25"/>
              <w:spacing w:line="360" w:lineRule="auto"/>
            </w:pPr>
            <w:r>
              <w:rPr>
                <w:rFonts w:hint="eastAsia"/>
              </w:rPr>
              <w:t>开户银行：</w:t>
            </w:r>
          </w:p>
        </w:tc>
      </w:tr>
      <w:tr w14:paraId="7CAFA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42FE3010">
            <w:pPr>
              <w:pStyle w:val="25"/>
              <w:spacing w:line="360" w:lineRule="auto"/>
            </w:pPr>
            <w:r>
              <w:rPr>
                <w:rFonts w:hint="eastAsia"/>
              </w:rPr>
              <w:t>开户行行号：</w:t>
            </w:r>
          </w:p>
        </w:tc>
      </w:tr>
      <w:tr w14:paraId="46389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2FAF2142">
            <w:pPr>
              <w:pStyle w:val="25"/>
              <w:spacing w:line="360" w:lineRule="auto"/>
            </w:pPr>
            <w:r>
              <w:rPr>
                <w:rFonts w:hint="eastAsia"/>
              </w:rPr>
              <w:t>户名：</w:t>
            </w:r>
          </w:p>
        </w:tc>
      </w:tr>
      <w:tr w14:paraId="11BA5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39581310">
            <w:pPr>
              <w:pStyle w:val="25"/>
              <w:spacing w:line="360" w:lineRule="auto"/>
            </w:pPr>
            <w:r>
              <w:rPr>
                <w:rFonts w:hint="eastAsia"/>
              </w:rPr>
              <w:t>账号：</w:t>
            </w:r>
          </w:p>
        </w:tc>
      </w:tr>
      <w:tr w14:paraId="3DDC8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5F4184CD">
            <w:pPr>
              <w:pStyle w:val="25"/>
              <w:spacing w:line="360" w:lineRule="auto"/>
            </w:pPr>
            <w:r>
              <w:rPr>
                <w:rFonts w:hint="eastAsia"/>
              </w:rPr>
              <w:t>纳税人识别号：</w:t>
            </w:r>
          </w:p>
        </w:tc>
      </w:tr>
    </w:tbl>
    <w:p w14:paraId="0C0DE1EE">
      <w:pPr>
        <w:pStyle w:val="25"/>
        <w:spacing w:line="360" w:lineRule="auto"/>
        <w:ind w:firstLine="240" w:firstLineChars="100"/>
        <w:rPr>
          <w:rFonts w:ascii="仿宋_GB2312" w:hAnsi="宋体" w:eastAsia="仿宋_GB2312"/>
          <w:color w:val="000000"/>
          <w:sz w:val="24"/>
        </w:rPr>
      </w:pPr>
    </w:p>
    <w:p w14:paraId="003DECA7">
      <w:pPr>
        <w:pStyle w:val="25"/>
        <w:spacing w:line="360" w:lineRule="auto"/>
        <w:ind w:firstLine="240" w:firstLineChars="100"/>
        <w:rPr>
          <w:rFonts w:hAnsi="宋体"/>
          <w:b/>
          <w:sz w:val="24"/>
          <w:szCs w:val="24"/>
        </w:rPr>
      </w:pPr>
      <w:r>
        <w:rPr>
          <w:rFonts w:hint="eastAsia" w:ascii="仿宋_GB2312" w:hAnsi="宋体" w:eastAsia="仿宋_GB2312"/>
          <w:color w:val="000000"/>
          <w:sz w:val="24"/>
        </w:rPr>
        <w:t>投标人名称（盖章）：              法定代表人或授权代表签字：</w:t>
      </w:r>
    </w:p>
    <w:p w14:paraId="662C81E1">
      <w:pPr>
        <w:pStyle w:val="25"/>
        <w:spacing w:line="360" w:lineRule="auto"/>
        <w:rPr>
          <w:rFonts w:hAnsi="宋体"/>
          <w:b/>
          <w:sz w:val="24"/>
          <w:szCs w:val="24"/>
        </w:rPr>
      </w:pPr>
    </w:p>
    <w:p w14:paraId="674789F5">
      <w:pPr>
        <w:pStyle w:val="25"/>
        <w:spacing w:line="360" w:lineRule="auto"/>
        <w:jc w:val="center"/>
        <w:rPr>
          <w:rFonts w:ascii="黑体" w:eastAsia="黑体"/>
          <w:b/>
          <w:bCs/>
          <w:sz w:val="36"/>
          <w:szCs w:val="36"/>
        </w:rPr>
      </w:pPr>
    </w:p>
    <w:p w14:paraId="44B900FA">
      <w:pPr>
        <w:rPr>
          <w:rFonts w:eastAsia="黑体"/>
          <w:b/>
          <w:bCs/>
          <w:sz w:val="28"/>
        </w:rPr>
      </w:pPr>
      <w:r>
        <w:rPr>
          <w:rFonts w:hint="eastAsia" w:eastAsia="黑体"/>
          <w:b/>
          <w:bCs/>
          <w:sz w:val="28"/>
        </w:rPr>
        <w:br w:type="page"/>
      </w:r>
    </w:p>
    <w:p w14:paraId="316A6583">
      <w:pPr>
        <w:outlineLvl w:val="1"/>
        <w:rPr>
          <w:rFonts w:hint="default" w:eastAsia="黑体"/>
          <w:b/>
          <w:bCs/>
          <w:sz w:val="28"/>
          <w:lang w:val="en-US" w:eastAsia="zh-CN"/>
        </w:rPr>
      </w:pPr>
      <w:r>
        <w:rPr>
          <w:rFonts w:hint="eastAsia" w:eastAsia="黑体"/>
          <w:b/>
          <w:bCs/>
          <w:sz w:val="28"/>
          <w:lang w:val="en-US" w:eastAsia="zh-CN"/>
        </w:rPr>
        <w:t>附件 售后服务保障及承诺</w:t>
      </w:r>
    </w:p>
    <w:p w14:paraId="46847E55">
      <w:pPr>
        <w:spacing w:line="360" w:lineRule="auto"/>
        <w:jc w:val="center"/>
        <w:rPr>
          <w:rFonts w:ascii="宋体" w:hAnsi="宋体"/>
          <w:b/>
          <w:bCs/>
          <w:sz w:val="24"/>
        </w:rPr>
      </w:pPr>
      <w:r>
        <w:rPr>
          <w:rFonts w:hint="eastAsia" w:ascii="宋体" w:hAnsi="宋体"/>
          <w:b/>
          <w:bCs/>
          <w:sz w:val="24"/>
        </w:rPr>
        <w:t>售后服务保障及承诺</w:t>
      </w:r>
    </w:p>
    <w:p w14:paraId="23D83C6F">
      <w:pPr>
        <w:spacing w:line="360" w:lineRule="auto"/>
        <w:ind w:firstLine="480" w:firstLineChars="200"/>
        <w:jc w:val="left"/>
        <w:rPr>
          <w:rFonts w:ascii="宋体" w:hAnsi="宋体"/>
          <w:bCs/>
          <w:sz w:val="24"/>
        </w:rPr>
      </w:pPr>
      <w:r>
        <w:rPr>
          <w:rFonts w:hint="eastAsia" w:ascii="宋体" w:hAnsi="宋体"/>
          <w:bCs/>
          <w:sz w:val="24"/>
        </w:rPr>
        <w:t>售后服务内容包括售后服务机构简介；售后服务响应时间、售后地点、人员配备等情况的详细描述，格式自拟。</w:t>
      </w:r>
    </w:p>
    <w:p w14:paraId="705494F9">
      <w:pPr>
        <w:spacing w:line="360" w:lineRule="auto"/>
        <w:jc w:val="left"/>
        <w:rPr>
          <w:rFonts w:ascii="宋体" w:hAnsi="宋体"/>
          <w:bCs/>
          <w:sz w:val="24"/>
        </w:rPr>
      </w:pPr>
    </w:p>
    <w:p w14:paraId="047692E2">
      <w:pPr>
        <w:autoSpaceDE w:val="0"/>
        <w:autoSpaceDN w:val="0"/>
        <w:adjustRightInd w:val="0"/>
        <w:spacing w:line="360" w:lineRule="auto"/>
        <w:jc w:val="left"/>
        <w:rPr>
          <w:rFonts w:ascii="宋体" w:cs="宋体"/>
          <w:kern w:val="0"/>
          <w:sz w:val="24"/>
        </w:rPr>
      </w:pPr>
      <w:r>
        <w:rPr>
          <w:rFonts w:hint="eastAsia" w:ascii="宋体" w:cs="宋体"/>
          <w:kern w:val="0"/>
          <w:sz w:val="24"/>
        </w:rPr>
        <w:t>法定代表人或其委托代理人：（签字或盖章）</w:t>
      </w:r>
    </w:p>
    <w:p w14:paraId="3699F5A8">
      <w:pPr>
        <w:autoSpaceDE w:val="0"/>
        <w:autoSpaceDN w:val="0"/>
        <w:adjustRightInd w:val="0"/>
        <w:spacing w:line="360" w:lineRule="auto"/>
        <w:jc w:val="left"/>
        <w:rPr>
          <w:rFonts w:ascii="宋体" w:cs="宋体"/>
          <w:kern w:val="0"/>
          <w:sz w:val="24"/>
        </w:rPr>
      </w:pPr>
      <w:r>
        <w:rPr>
          <w:rFonts w:hint="eastAsia" w:ascii="宋体" w:cs="宋体"/>
          <w:kern w:val="0"/>
          <w:sz w:val="24"/>
        </w:rPr>
        <w:t>邮政编码：   电话：  传真：</w:t>
      </w:r>
    </w:p>
    <w:p w14:paraId="7D2715E9">
      <w:pPr>
        <w:rPr>
          <w:rFonts w:ascii="宋体" w:cs="宋体"/>
          <w:kern w:val="0"/>
          <w:sz w:val="24"/>
        </w:rPr>
      </w:pPr>
      <w:r>
        <w:rPr>
          <w:rFonts w:hint="eastAsia" w:ascii="宋体" w:cs="宋体"/>
          <w:kern w:val="0"/>
          <w:sz w:val="24"/>
        </w:rPr>
        <w:t>日    期：</w:t>
      </w:r>
      <w:r>
        <w:rPr>
          <w:rFonts w:ascii="TimesNewRomanPSMT" w:hAnsi="TimesNewRomanPSMT" w:cs="TimesNewRomanPSMT"/>
          <w:kern w:val="0"/>
          <w:sz w:val="24"/>
        </w:rPr>
        <w:t>_____</w:t>
      </w:r>
      <w:r>
        <w:rPr>
          <w:rFonts w:hint="eastAsia" w:ascii="宋体" w:cs="宋体"/>
          <w:kern w:val="0"/>
          <w:sz w:val="24"/>
        </w:rPr>
        <w:t>年</w:t>
      </w:r>
      <w:r>
        <w:rPr>
          <w:rFonts w:ascii="TimesNewRomanPSMT" w:hAnsi="TimesNewRomanPSMT" w:cs="TimesNewRomanPSMT"/>
          <w:kern w:val="0"/>
          <w:sz w:val="24"/>
        </w:rPr>
        <w:t>____</w:t>
      </w:r>
      <w:r>
        <w:rPr>
          <w:rFonts w:hint="eastAsia" w:ascii="宋体" w:cs="宋体"/>
          <w:kern w:val="0"/>
          <w:sz w:val="24"/>
        </w:rPr>
        <w:t>月</w:t>
      </w:r>
      <w:r>
        <w:rPr>
          <w:rFonts w:ascii="TimesNewRomanPSMT" w:hAnsi="TimesNewRomanPSMT" w:cs="TimesNewRomanPSMT"/>
          <w:kern w:val="0"/>
          <w:sz w:val="24"/>
        </w:rPr>
        <w:t>____</w:t>
      </w:r>
      <w:r>
        <w:rPr>
          <w:rFonts w:hint="eastAsia" w:ascii="宋体" w:cs="宋体"/>
          <w:kern w:val="0"/>
          <w:sz w:val="24"/>
        </w:rPr>
        <w:t>日</w:t>
      </w:r>
    </w:p>
    <w:p w14:paraId="2D23C143">
      <w:pPr>
        <w:rPr>
          <w:rFonts w:ascii="宋体" w:cs="宋体"/>
          <w:kern w:val="0"/>
          <w:sz w:val="24"/>
        </w:rPr>
      </w:pPr>
      <w:r>
        <w:rPr>
          <w:rFonts w:hint="eastAsia" w:ascii="宋体" w:cs="宋体"/>
          <w:kern w:val="0"/>
          <w:sz w:val="24"/>
        </w:rPr>
        <w:br w:type="page"/>
      </w:r>
    </w:p>
    <w:p w14:paraId="680A198E">
      <w:pPr>
        <w:outlineLvl w:val="1"/>
        <w:rPr>
          <w:rFonts w:hint="default" w:eastAsia="黑体"/>
          <w:b/>
          <w:bCs/>
          <w:sz w:val="28"/>
          <w:lang w:val="en-US"/>
        </w:rPr>
      </w:pPr>
      <w:r>
        <w:rPr>
          <w:rFonts w:hint="eastAsia" w:eastAsia="黑体"/>
          <w:b/>
          <w:bCs/>
          <w:sz w:val="28"/>
          <w:lang w:val="en-US" w:eastAsia="zh-CN"/>
        </w:rPr>
        <w:t>附</w:t>
      </w:r>
      <w:r>
        <w:rPr>
          <w:rFonts w:hint="eastAsia" w:ascii="Times New Roman" w:hAnsi="Times New Roman" w:eastAsia="黑体" w:cs="Times New Roman"/>
          <w:b/>
          <w:bCs/>
          <w:sz w:val="28"/>
          <w:lang w:val="en-US" w:eastAsia="zh-CN"/>
        </w:rPr>
        <w:t>件 服务承诺函</w:t>
      </w:r>
    </w:p>
    <w:p w14:paraId="04A37AC8">
      <w:pPr>
        <w:jc w:val="center"/>
        <w:rPr>
          <w:rFonts w:ascii="宋体" w:hAnsi="宋体"/>
          <w:b/>
          <w:bCs/>
          <w:sz w:val="32"/>
        </w:rPr>
      </w:pPr>
      <w:r>
        <w:rPr>
          <w:rFonts w:hint="eastAsia" w:ascii="宋体" w:hAnsi="宋体"/>
          <w:b/>
          <w:bCs/>
          <w:sz w:val="32"/>
        </w:rPr>
        <w:t>服务承诺函</w:t>
      </w:r>
    </w:p>
    <w:p w14:paraId="17FC10E8">
      <w:pPr>
        <w:jc w:val="center"/>
        <w:rPr>
          <w:rFonts w:ascii="宋体" w:hAnsi="宋体"/>
          <w:sz w:val="24"/>
        </w:rPr>
      </w:pPr>
      <w:r>
        <w:rPr>
          <w:rFonts w:hint="eastAsia" w:ascii="宋体" w:hAnsi="宋体"/>
          <w:sz w:val="24"/>
        </w:rPr>
        <w:t>（包含但不仅限于以下内容）</w:t>
      </w:r>
    </w:p>
    <w:p w14:paraId="36C2A160">
      <w:pPr>
        <w:ind w:firstLine="3360"/>
        <w:jc w:val="center"/>
        <w:rPr>
          <w:rFonts w:ascii="宋体" w:hAnsi="宋体"/>
          <w:sz w:val="24"/>
        </w:rPr>
      </w:pPr>
      <w:r>
        <w:rPr>
          <w:rFonts w:hint="eastAsia" w:ascii="宋体" w:hAnsi="宋体"/>
          <w:sz w:val="24"/>
        </w:rPr>
        <w:t xml:space="preserve">    </w:t>
      </w:r>
    </w:p>
    <w:p w14:paraId="097E98F6">
      <w:pPr>
        <w:spacing w:line="312" w:lineRule="auto"/>
        <w:rPr>
          <w:rFonts w:ascii="宋体" w:hAnsi="宋体"/>
          <w:b/>
          <w:sz w:val="24"/>
          <w:u w:val="single"/>
        </w:rPr>
      </w:pPr>
      <w:r>
        <w:rPr>
          <w:rFonts w:hint="eastAsia" w:ascii="宋体" w:hAnsi="宋体"/>
          <w:b/>
          <w:sz w:val="24"/>
          <w:u w:val="single"/>
        </w:rPr>
        <w:t>（招标人）：</w:t>
      </w:r>
    </w:p>
    <w:p w14:paraId="06061A73">
      <w:pPr>
        <w:spacing w:line="312" w:lineRule="auto"/>
        <w:rPr>
          <w:rFonts w:ascii="宋体" w:hAnsi="宋体"/>
          <w:sz w:val="24"/>
        </w:rPr>
      </w:pPr>
      <w:r>
        <w:rPr>
          <w:rFonts w:hint="eastAsia" w:ascii="宋体" w:hAnsi="宋体"/>
          <w:sz w:val="24"/>
        </w:rPr>
        <w:t xml:space="preserve">    我代表</w:t>
      </w:r>
      <w:r>
        <w:rPr>
          <w:rFonts w:hint="eastAsia" w:ascii="宋体" w:hAnsi="宋体"/>
          <w:sz w:val="24"/>
          <w:u w:val="single"/>
        </w:rPr>
        <w:t xml:space="preserve">  （投标人名称）  </w:t>
      </w:r>
      <w:r>
        <w:rPr>
          <w:rFonts w:hint="eastAsia" w:ascii="宋体" w:hAnsi="宋体"/>
          <w:sz w:val="24"/>
        </w:rPr>
        <w:t>对中标合同货物的服务做如下承诺：</w:t>
      </w:r>
    </w:p>
    <w:p w14:paraId="7A5E11BF">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6D01068D">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4E21FCE8">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33EB574D">
      <w:pPr>
        <w:numPr>
          <w:ilvl w:val="0"/>
          <w:numId w:val="13"/>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176F7840">
      <w:pPr>
        <w:numPr>
          <w:ilvl w:val="0"/>
          <w:numId w:val="13"/>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1E8BE4EE">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7462F749">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7．接到需方反映的质量问题信息后，在小时之内作出答复或派出服务人员，尽快到达现场，做到用户对质量不满意，服务不停止。</w:t>
      </w:r>
    </w:p>
    <w:p w14:paraId="64DD0327">
      <w:pPr>
        <w:numPr>
          <w:ilvl w:val="0"/>
          <w:numId w:val="14"/>
        </w:numPr>
        <w:tabs>
          <w:tab w:val="left" w:pos="780"/>
        </w:tabs>
        <w:spacing w:line="312" w:lineRule="auto"/>
        <w:rPr>
          <w:rFonts w:ascii="宋体" w:hAnsi="宋体"/>
          <w:sz w:val="24"/>
        </w:rPr>
      </w:pPr>
      <w:r>
        <w:rPr>
          <w:rFonts w:hint="eastAsia" w:ascii="宋体" w:hAnsi="宋体"/>
          <w:sz w:val="24"/>
        </w:rPr>
        <w:t>随时满足需方对备品备件的要求。</w:t>
      </w:r>
    </w:p>
    <w:p w14:paraId="1CFAEC6E">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053B7BF5">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2F68A069">
      <w:pPr>
        <w:overflowPunct w:val="0"/>
        <w:snapToGrid w:val="0"/>
        <w:spacing w:line="360" w:lineRule="auto"/>
        <w:rPr>
          <w:rFonts w:ascii="宋体" w:hAnsi="宋体"/>
          <w:b/>
          <w:bCs/>
          <w:sz w:val="24"/>
        </w:rPr>
      </w:pPr>
      <w:r>
        <w:rPr>
          <w:rFonts w:hint="eastAsia" w:ascii="宋体" w:hAnsi="宋体"/>
          <w:b/>
          <w:bCs/>
          <w:sz w:val="24"/>
        </w:rPr>
        <w:t>附我方人员服务人、日数见下表：</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410"/>
        <w:gridCol w:w="1399"/>
        <w:gridCol w:w="1536"/>
        <w:gridCol w:w="1549"/>
        <w:gridCol w:w="2469"/>
      </w:tblGrid>
      <w:tr w14:paraId="5D59F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737" w:type="dxa"/>
            <w:vMerge w:val="restart"/>
            <w:vAlign w:val="center"/>
          </w:tcPr>
          <w:p w14:paraId="3A5A4900">
            <w:pPr>
              <w:spacing w:line="360" w:lineRule="auto"/>
              <w:jc w:val="center"/>
              <w:rPr>
                <w:rFonts w:ascii="宋体" w:hAnsi="宋体"/>
                <w:sz w:val="24"/>
              </w:rPr>
            </w:pPr>
            <w:r>
              <w:rPr>
                <w:rFonts w:hint="eastAsia" w:ascii="宋体" w:hAnsi="宋体"/>
                <w:sz w:val="24"/>
              </w:rPr>
              <w:t>序号</w:t>
            </w:r>
          </w:p>
        </w:tc>
        <w:tc>
          <w:tcPr>
            <w:tcW w:w="1410" w:type="dxa"/>
            <w:vMerge w:val="restart"/>
            <w:vAlign w:val="center"/>
          </w:tcPr>
          <w:p w14:paraId="2A44F906">
            <w:pPr>
              <w:spacing w:line="360" w:lineRule="auto"/>
              <w:jc w:val="center"/>
              <w:rPr>
                <w:rFonts w:ascii="宋体" w:hAnsi="宋体"/>
                <w:sz w:val="24"/>
              </w:rPr>
            </w:pPr>
            <w:r>
              <w:rPr>
                <w:rFonts w:hint="eastAsia" w:ascii="宋体" w:hAnsi="宋体"/>
                <w:sz w:val="24"/>
              </w:rPr>
              <w:t>技术服务内容</w:t>
            </w:r>
          </w:p>
        </w:tc>
        <w:tc>
          <w:tcPr>
            <w:tcW w:w="1399" w:type="dxa"/>
            <w:vMerge w:val="restart"/>
            <w:vAlign w:val="center"/>
          </w:tcPr>
          <w:p w14:paraId="5BCF2101">
            <w:pPr>
              <w:spacing w:line="360" w:lineRule="auto"/>
              <w:jc w:val="center"/>
              <w:rPr>
                <w:rFonts w:ascii="宋体" w:hAnsi="宋体"/>
                <w:sz w:val="24"/>
              </w:rPr>
            </w:pPr>
            <w:r>
              <w:rPr>
                <w:rFonts w:hint="eastAsia" w:ascii="宋体" w:hAnsi="宋体"/>
                <w:sz w:val="24"/>
              </w:rPr>
              <w:t>计划人日数</w:t>
            </w:r>
          </w:p>
        </w:tc>
        <w:tc>
          <w:tcPr>
            <w:tcW w:w="3085" w:type="dxa"/>
            <w:gridSpan w:val="2"/>
            <w:vAlign w:val="center"/>
          </w:tcPr>
          <w:p w14:paraId="42D59EE5">
            <w:pPr>
              <w:spacing w:line="360" w:lineRule="auto"/>
              <w:jc w:val="center"/>
              <w:rPr>
                <w:rFonts w:ascii="宋体" w:hAnsi="宋体"/>
                <w:sz w:val="24"/>
              </w:rPr>
            </w:pPr>
            <w:r>
              <w:rPr>
                <w:rFonts w:hint="eastAsia" w:ascii="宋体" w:hAnsi="宋体"/>
                <w:sz w:val="24"/>
              </w:rPr>
              <w:t>派出人员构成</w:t>
            </w:r>
          </w:p>
        </w:tc>
        <w:tc>
          <w:tcPr>
            <w:tcW w:w="2469" w:type="dxa"/>
            <w:vMerge w:val="restart"/>
            <w:vAlign w:val="center"/>
          </w:tcPr>
          <w:p w14:paraId="78CE949B">
            <w:pPr>
              <w:spacing w:line="360" w:lineRule="auto"/>
              <w:jc w:val="center"/>
              <w:rPr>
                <w:rFonts w:ascii="宋体" w:hAnsi="宋体"/>
                <w:sz w:val="24"/>
              </w:rPr>
            </w:pPr>
            <w:r>
              <w:rPr>
                <w:rFonts w:hint="eastAsia" w:ascii="宋体" w:hAnsi="宋体"/>
                <w:sz w:val="24"/>
              </w:rPr>
              <w:t>备   注</w:t>
            </w:r>
          </w:p>
        </w:tc>
      </w:tr>
      <w:tr w14:paraId="6294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737" w:type="dxa"/>
            <w:vMerge w:val="continue"/>
            <w:vAlign w:val="center"/>
          </w:tcPr>
          <w:p w14:paraId="16613C80">
            <w:pPr>
              <w:spacing w:line="360" w:lineRule="auto"/>
              <w:jc w:val="center"/>
              <w:rPr>
                <w:rFonts w:ascii="宋体" w:hAnsi="宋体"/>
                <w:sz w:val="24"/>
              </w:rPr>
            </w:pPr>
          </w:p>
        </w:tc>
        <w:tc>
          <w:tcPr>
            <w:tcW w:w="1410" w:type="dxa"/>
            <w:vMerge w:val="continue"/>
            <w:vAlign w:val="center"/>
          </w:tcPr>
          <w:p w14:paraId="176DC5B1">
            <w:pPr>
              <w:spacing w:line="360" w:lineRule="auto"/>
              <w:jc w:val="center"/>
              <w:rPr>
                <w:rFonts w:ascii="宋体" w:hAnsi="宋体"/>
                <w:sz w:val="24"/>
              </w:rPr>
            </w:pPr>
          </w:p>
        </w:tc>
        <w:tc>
          <w:tcPr>
            <w:tcW w:w="1399" w:type="dxa"/>
            <w:vMerge w:val="continue"/>
            <w:vAlign w:val="center"/>
          </w:tcPr>
          <w:p w14:paraId="3A0DEEFE">
            <w:pPr>
              <w:spacing w:line="360" w:lineRule="auto"/>
              <w:jc w:val="center"/>
              <w:rPr>
                <w:rFonts w:ascii="宋体" w:hAnsi="宋体"/>
                <w:sz w:val="24"/>
              </w:rPr>
            </w:pPr>
          </w:p>
        </w:tc>
        <w:tc>
          <w:tcPr>
            <w:tcW w:w="1536" w:type="dxa"/>
            <w:vAlign w:val="center"/>
          </w:tcPr>
          <w:p w14:paraId="548A52DE">
            <w:pPr>
              <w:spacing w:line="360" w:lineRule="auto"/>
              <w:jc w:val="center"/>
              <w:rPr>
                <w:rFonts w:ascii="宋体" w:hAnsi="宋体"/>
                <w:sz w:val="24"/>
              </w:rPr>
            </w:pPr>
            <w:r>
              <w:rPr>
                <w:rFonts w:hint="eastAsia" w:ascii="宋体" w:hAnsi="宋体"/>
                <w:sz w:val="24"/>
              </w:rPr>
              <w:t>职 称</w:t>
            </w:r>
          </w:p>
        </w:tc>
        <w:tc>
          <w:tcPr>
            <w:tcW w:w="1549" w:type="dxa"/>
            <w:vAlign w:val="center"/>
          </w:tcPr>
          <w:p w14:paraId="7910ED18">
            <w:pPr>
              <w:spacing w:line="360" w:lineRule="auto"/>
              <w:jc w:val="center"/>
              <w:rPr>
                <w:rFonts w:ascii="宋体" w:hAnsi="宋体"/>
                <w:sz w:val="24"/>
              </w:rPr>
            </w:pPr>
            <w:r>
              <w:rPr>
                <w:rFonts w:hint="eastAsia" w:ascii="宋体" w:hAnsi="宋体"/>
                <w:sz w:val="24"/>
              </w:rPr>
              <w:t>人 数</w:t>
            </w:r>
          </w:p>
        </w:tc>
        <w:tc>
          <w:tcPr>
            <w:tcW w:w="2469" w:type="dxa"/>
            <w:vMerge w:val="continue"/>
            <w:vAlign w:val="center"/>
          </w:tcPr>
          <w:p w14:paraId="2F7766FC">
            <w:pPr>
              <w:spacing w:line="360" w:lineRule="auto"/>
              <w:jc w:val="center"/>
              <w:rPr>
                <w:rFonts w:ascii="宋体" w:hAnsi="宋体"/>
                <w:sz w:val="24"/>
              </w:rPr>
            </w:pPr>
          </w:p>
        </w:tc>
      </w:tr>
      <w:tr w14:paraId="32E82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37" w:type="dxa"/>
            <w:vAlign w:val="center"/>
          </w:tcPr>
          <w:p w14:paraId="6C3EB4D8">
            <w:pPr>
              <w:spacing w:line="360" w:lineRule="auto"/>
              <w:jc w:val="center"/>
              <w:rPr>
                <w:rFonts w:ascii="宋体" w:hAnsi="宋体"/>
                <w:sz w:val="24"/>
              </w:rPr>
            </w:pPr>
          </w:p>
        </w:tc>
        <w:tc>
          <w:tcPr>
            <w:tcW w:w="1410" w:type="dxa"/>
            <w:vAlign w:val="center"/>
          </w:tcPr>
          <w:p w14:paraId="132AB342">
            <w:pPr>
              <w:spacing w:line="360" w:lineRule="auto"/>
              <w:jc w:val="center"/>
              <w:rPr>
                <w:rFonts w:ascii="宋体" w:hAnsi="宋体"/>
                <w:sz w:val="24"/>
              </w:rPr>
            </w:pPr>
          </w:p>
        </w:tc>
        <w:tc>
          <w:tcPr>
            <w:tcW w:w="1399" w:type="dxa"/>
            <w:vAlign w:val="center"/>
          </w:tcPr>
          <w:p w14:paraId="4F8C301E">
            <w:pPr>
              <w:spacing w:line="360" w:lineRule="auto"/>
              <w:jc w:val="center"/>
              <w:rPr>
                <w:rFonts w:ascii="宋体" w:hAnsi="宋体"/>
                <w:sz w:val="24"/>
              </w:rPr>
            </w:pPr>
          </w:p>
        </w:tc>
        <w:tc>
          <w:tcPr>
            <w:tcW w:w="1536" w:type="dxa"/>
            <w:vAlign w:val="center"/>
          </w:tcPr>
          <w:p w14:paraId="25E63220">
            <w:pPr>
              <w:spacing w:line="360" w:lineRule="auto"/>
              <w:jc w:val="center"/>
              <w:rPr>
                <w:rFonts w:ascii="宋体" w:hAnsi="宋体"/>
                <w:sz w:val="24"/>
              </w:rPr>
            </w:pPr>
          </w:p>
        </w:tc>
        <w:tc>
          <w:tcPr>
            <w:tcW w:w="1549" w:type="dxa"/>
            <w:vAlign w:val="center"/>
          </w:tcPr>
          <w:p w14:paraId="09937BD7">
            <w:pPr>
              <w:spacing w:line="360" w:lineRule="auto"/>
              <w:jc w:val="center"/>
              <w:rPr>
                <w:rFonts w:ascii="宋体" w:hAnsi="宋体"/>
                <w:sz w:val="24"/>
              </w:rPr>
            </w:pPr>
          </w:p>
        </w:tc>
        <w:tc>
          <w:tcPr>
            <w:tcW w:w="2469" w:type="dxa"/>
            <w:vAlign w:val="center"/>
          </w:tcPr>
          <w:p w14:paraId="3C2E1F27">
            <w:pPr>
              <w:spacing w:line="360" w:lineRule="auto"/>
              <w:jc w:val="center"/>
              <w:rPr>
                <w:rFonts w:ascii="宋体" w:hAnsi="宋体"/>
                <w:sz w:val="24"/>
              </w:rPr>
            </w:pPr>
          </w:p>
        </w:tc>
      </w:tr>
      <w:tr w14:paraId="1F7DE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37" w:type="dxa"/>
            <w:vAlign w:val="center"/>
          </w:tcPr>
          <w:p w14:paraId="272CBC64">
            <w:pPr>
              <w:spacing w:line="360" w:lineRule="auto"/>
              <w:jc w:val="center"/>
              <w:rPr>
                <w:rFonts w:ascii="宋体" w:hAnsi="宋体"/>
                <w:sz w:val="24"/>
              </w:rPr>
            </w:pPr>
          </w:p>
        </w:tc>
        <w:tc>
          <w:tcPr>
            <w:tcW w:w="1410" w:type="dxa"/>
            <w:vAlign w:val="center"/>
          </w:tcPr>
          <w:p w14:paraId="6C706097">
            <w:pPr>
              <w:spacing w:line="360" w:lineRule="auto"/>
              <w:jc w:val="center"/>
              <w:rPr>
                <w:rFonts w:ascii="宋体" w:hAnsi="宋体"/>
                <w:sz w:val="24"/>
              </w:rPr>
            </w:pPr>
          </w:p>
        </w:tc>
        <w:tc>
          <w:tcPr>
            <w:tcW w:w="1399" w:type="dxa"/>
            <w:vAlign w:val="center"/>
          </w:tcPr>
          <w:p w14:paraId="588418E8">
            <w:pPr>
              <w:spacing w:line="360" w:lineRule="auto"/>
              <w:jc w:val="center"/>
              <w:rPr>
                <w:rFonts w:ascii="宋体" w:hAnsi="宋体"/>
                <w:sz w:val="24"/>
              </w:rPr>
            </w:pPr>
          </w:p>
        </w:tc>
        <w:tc>
          <w:tcPr>
            <w:tcW w:w="1536" w:type="dxa"/>
            <w:vAlign w:val="center"/>
          </w:tcPr>
          <w:p w14:paraId="29701923">
            <w:pPr>
              <w:spacing w:line="360" w:lineRule="auto"/>
              <w:jc w:val="center"/>
              <w:rPr>
                <w:rFonts w:ascii="宋体" w:hAnsi="宋体"/>
                <w:sz w:val="24"/>
              </w:rPr>
            </w:pPr>
          </w:p>
        </w:tc>
        <w:tc>
          <w:tcPr>
            <w:tcW w:w="1549" w:type="dxa"/>
            <w:vAlign w:val="center"/>
          </w:tcPr>
          <w:p w14:paraId="5466C44E">
            <w:pPr>
              <w:spacing w:line="360" w:lineRule="auto"/>
              <w:jc w:val="center"/>
              <w:rPr>
                <w:rFonts w:ascii="宋体" w:hAnsi="宋体"/>
                <w:sz w:val="24"/>
              </w:rPr>
            </w:pPr>
          </w:p>
        </w:tc>
        <w:tc>
          <w:tcPr>
            <w:tcW w:w="2469" w:type="dxa"/>
            <w:vAlign w:val="center"/>
          </w:tcPr>
          <w:p w14:paraId="10567101">
            <w:pPr>
              <w:spacing w:line="360" w:lineRule="auto"/>
              <w:jc w:val="center"/>
              <w:rPr>
                <w:rFonts w:ascii="宋体" w:hAnsi="宋体"/>
                <w:sz w:val="24"/>
              </w:rPr>
            </w:pPr>
          </w:p>
        </w:tc>
      </w:tr>
      <w:tr w14:paraId="1AC0D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737" w:type="dxa"/>
            <w:vAlign w:val="center"/>
          </w:tcPr>
          <w:p w14:paraId="69DA4368">
            <w:pPr>
              <w:spacing w:line="360" w:lineRule="auto"/>
              <w:jc w:val="center"/>
              <w:rPr>
                <w:rFonts w:ascii="宋体" w:hAnsi="宋体"/>
                <w:sz w:val="24"/>
              </w:rPr>
            </w:pPr>
          </w:p>
        </w:tc>
        <w:tc>
          <w:tcPr>
            <w:tcW w:w="1410" w:type="dxa"/>
            <w:vAlign w:val="center"/>
          </w:tcPr>
          <w:p w14:paraId="672940F1">
            <w:pPr>
              <w:spacing w:line="360" w:lineRule="auto"/>
              <w:jc w:val="center"/>
              <w:rPr>
                <w:rFonts w:ascii="宋体" w:hAnsi="宋体"/>
                <w:sz w:val="24"/>
              </w:rPr>
            </w:pPr>
          </w:p>
        </w:tc>
        <w:tc>
          <w:tcPr>
            <w:tcW w:w="1399" w:type="dxa"/>
            <w:vAlign w:val="center"/>
          </w:tcPr>
          <w:p w14:paraId="17C87DB3">
            <w:pPr>
              <w:spacing w:line="360" w:lineRule="auto"/>
              <w:jc w:val="center"/>
              <w:rPr>
                <w:rFonts w:ascii="宋体" w:hAnsi="宋体"/>
                <w:sz w:val="24"/>
              </w:rPr>
            </w:pPr>
          </w:p>
        </w:tc>
        <w:tc>
          <w:tcPr>
            <w:tcW w:w="1536" w:type="dxa"/>
            <w:vAlign w:val="center"/>
          </w:tcPr>
          <w:p w14:paraId="4E3F949F">
            <w:pPr>
              <w:spacing w:line="360" w:lineRule="auto"/>
              <w:jc w:val="center"/>
              <w:rPr>
                <w:rFonts w:ascii="宋体" w:hAnsi="宋体"/>
                <w:sz w:val="24"/>
              </w:rPr>
            </w:pPr>
          </w:p>
        </w:tc>
        <w:tc>
          <w:tcPr>
            <w:tcW w:w="1549" w:type="dxa"/>
            <w:vAlign w:val="center"/>
          </w:tcPr>
          <w:p w14:paraId="4F85C87B">
            <w:pPr>
              <w:spacing w:line="360" w:lineRule="auto"/>
              <w:jc w:val="center"/>
              <w:rPr>
                <w:rFonts w:ascii="宋体" w:hAnsi="宋体"/>
                <w:sz w:val="24"/>
              </w:rPr>
            </w:pPr>
          </w:p>
        </w:tc>
        <w:tc>
          <w:tcPr>
            <w:tcW w:w="2469" w:type="dxa"/>
            <w:vAlign w:val="center"/>
          </w:tcPr>
          <w:p w14:paraId="5669872C">
            <w:pPr>
              <w:spacing w:line="360" w:lineRule="auto"/>
              <w:jc w:val="center"/>
              <w:rPr>
                <w:rFonts w:ascii="宋体" w:hAnsi="宋体"/>
                <w:sz w:val="24"/>
              </w:rPr>
            </w:pPr>
          </w:p>
        </w:tc>
      </w:tr>
    </w:tbl>
    <w:p w14:paraId="613F9C95">
      <w:pPr>
        <w:spacing w:line="360" w:lineRule="auto"/>
        <w:rPr>
          <w:rFonts w:ascii="宋体" w:hAnsi="宋体"/>
          <w:sz w:val="24"/>
        </w:rPr>
      </w:pPr>
      <w:r>
        <w:rPr>
          <w:rFonts w:hint="eastAsia" w:ascii="宋体" w:hAnsi="宋体"/>
          <w:sz w:val="24"/>
        </w:rPr>
        <w:t xml:space="preserve">投标人名称（公章）：         </w:t>
      </w:r>
    </w:p>
    <w:p w14:paraId="4623DD2A">
      <w:pPr>
        <w:spacing w:line="360" w:lineRule="auto"/>
        <w:rPr>
          <w:rFonts w:ascii="宋体" w:hAnsi="宋体"/>
          <w:sz w:val="24"/>
        </w:rPr>
      </w:pPr>
      <w:r>
        <w:rPr>
          <w:rFonts w:hint="eastAsia" w:ascii="宋体" w:hAnsi="宋体"/>
          <w:sz w:val="24"/>
        </w:rPr>
        <w:t xml:space="preserve">法定代表人或授权代理人签字：              </w:t>
      </w:r>
    </w:p>
    <w:p w14:paraId="2874115F">
      <w:pPr>
        <w:spacing w:line="360" w:lineRule="auto"/>
        <w:rPr>
          <w:rFonts w:ascii="宋体" w:hAnsi="宋体"/>
          <w:sz w:val="24"/>
        </w:rPr>
      </w:pPr>
      <w:r>
        <w:rPr>
          <w:rFonts w:hint="eastAsia" w:ascii="宋体" w:hAnsi="宋体"/>
          <w:sz w:val="24"/>
        </w:rPr>
        <w:t xml:space="preserve">日   期：   </w:t>
      </w:r>
    </w:p>
    <w:p w14:paraId="31B4AE88">
      <w:pPr>
        <w:rPr>
          <w:rFonts w:ascii="宋体" w:hAnsi="宋体"/>
          <w:sz w:val="24"/>
        </w:rPr>
      </w:pPr>
      <w:r>
        <w:rPr>
          <w:rFonts w:hint="eastAsia" w:ascii="宋体" w:hAnsi="宋体"/>
          <w:sz w:val="24"/>
        </w:rPr>
        <w:br w:type="page"/>
      </w:r>
    </w:p>
    <w:p w14:paraId="1C266167">
      <w:pPr>
        <w:spacing w:line="360" w:lineRule="auto"/>
        <w:outlineLvl w:val="1"/>
        <w:rPr>
          <w:rFonts w:hint="default" w:eastAsia="黑体"/>
          <w:b/>
          <w:bCs/>
          <w:sz w:val="28"/>
          <w:lang w:val="en-US"/>
        </w:rPr>
      </w:pPr>
      <w:r>
        <w:rPr>
          <w:rFonts w:hint="eastAsia" w:eastAsia="黑体"/>
          <w:b/>
          <w:bCs/>
          <w:sz w:val="28"/>
          <w:lang w:val="en-US" w:eastAsia="zh-CN"/>
        </w:rPr>
        <w:t>附件 质量承诺函</w:t>
      </w:r>
    </w:p>
    <w:p w14:paraId="1FD39FFA">
      <w:pPr>
        <w:spacing w:line="360" w:lineRule="auto"/>
        <w:jc w:val="center"/>
        <w:rPr>
          <w:rFonts w:ascii="宋体" w:hAnsi="宋体"/>
          <w:b/>
          <w:bCs/>
          <w:sz w:val="32"/>
        </w:rPr>
      </w:pPr>
      <w:r>
        <w:rPr>
          <w:rFonts w:hint="eastAsia" w:ascii="宋体" w:hAnsi="宋体"/>
          <w:b/>
          <w:bCs/>
          <w:sz w:val="32"/>
        </w:rPr>
        <w:t>质量承诺函</w:t>
      </w:r>
    </w:p>
    <w:p w14:paraId="79E9DE96">
      <w:pPr>
        <w:spacing w:line="360" w:lineRule="auto"/>
        <w:ind w:firstLine="5640"/>
        <w:rPr>
          <w:rFonts w:ascii="宋体" w:hAnsi="宋体"/>
          <w:sz w:val="24"/>
        </w:rPr>
      </w:pPr>
      <w:r>
        <w:rPr>
          <w:rFonts w:hint="eastAsia" w:ascii="宋体" w:hAnsi="宋体"/>
          <w:sz w:val="24"/>
        </w:rPr>
        <w:t xml:space="preserve">项目名称：                </w:t>
      </w:r>
    </w:p>
    <w:p w14:paraId="65BCA605">
      <w:pPr>
        <w:spacing w:line="360" w:lineRule="auto"/>
        <w:ind w:firstLine="5640"/>
        <w:rPr>
          <w:rFonts w:ascii="宋体" w:hAnsi="宋体"/>
          <w:sz w:val="24"/>
        </w:rPr>
      </w:pPr>
      <w:r>
        <w:rPr>
          <w:rFonts w:hint="eastAsia" w:ascii="宋体" w:hAnsi="宋体"/>
          <w:sz w:val="24"/>
        </w:rPr>
        <w:t>项目编号：</w:t>
      </w:r>
    </w:p>
    <w:p w14:paraId="5BF2FD77">
      <w:pPr>
        <w:spacing w:line="360" w:lineRule="auto"/>
        <w:rPr>
          <w:rFonts w:ascii="宋体" w:hAnsi="宋体"/>
          <w:sz w:val="24"/>
        </w:rPr>
      </w:pPr>
      <w:r>
        <w:rPr>
          <w:rFonts w:hint="eastAsia" w:ascii="宋体" w:hAnsi="宋体"/>
          <w:b/>
          <w:sz w:val="24"/>
          <w:u w:val="single"/>
        </w:rPr>
        <w:t>（招标人）：</w:t>
      </w:r>
    </w:p>
    <w:p w14:paraId="794E00F2">
      <w:pPr>
        <w:spacing w:line="360" w:lineRule="auto"/>
        <w:rPr>
          <w:rFonts w:ascii="宋体" w:hAnsi="宋体"/>
          <w:sz w:val="24"/>
        </w:rPr>
      </w:pPr>
      <w:r>
        <w:rPr>
          <w:rFonts w:hint="eastAsia" w:ascii="宋体" w:hAnsi="宋体"/>
          <w:sz w:val="24"/>
        </w:rPr>
        <w:t xml:space="preserve">    我代表</w:t>
      </w:r>
      <w:r>
        <w:rPr>
          <w:rFonts w:hint="eastAsia" w:ascii="宋体" w:hAnsi="宋体"/>
          <w:sz w:val="24"/>
          <w:u w:val="single"/>
        </w:rPr>
        <w:t xml:space="preserve">  （投标人名称）  </w:t>
      </w:r>
      <w:r>
        <w:rPr>
          <w:rFonts w:hint="eastAsia" w:ascii="宋体" w:hAnsi="宋体"/>
          <w:sz w:val="24"/>
        </w:rPr>
        <w:t>为保证中标系统/货物的质量特做如下承诺：</w:t>
      </w:r>
    </w:p>
    <w:p w14:paraId="139BF530">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465D7202">
      <w:pPr>
        <w:spacing w:line="360" w:lineRule="auto"/>
        <w:ind w:left="480"/>
        <w:rPr>
          <w:rFonts w:ascii="宋体" w:hAnsi="宋体"/>
          <w:sz w:val="24"/>
        </w:rPr>
      </w:pPr>
      <w:r>
        <w:rPr>
          <w:rFonts w:hint="eastAsia" w:ascii="宋体" w:hAnsi="宋体"/>
          <w:sz w:val="24"/>
        </w:rPr>
        <w:t>2．严格检查和控制原材料、元器件、配套件的进厂质量。</w:t>
      </w:r>
    </w:p>
    <w:p w14:paraId="217D2F17">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1D8F1A0D">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1E31BCC8">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6AF155AA">
      <w:pPr>
        <w:spacing w:line="360" w:lineRule="auto"/>
        <w:ind w:firstLine="480" w:firstLineChars="200"/>
        <w:rPr>
          <w:rFonts w:ascii="宋体" w:hAnsi="宋体"/>
          <w:sz w:val="24"/>
        </w:rPr>
      </w:pPr>
      <w:r>
        <w:rPr>
          <w:rFonts w:hint="eastAsia" w:ascii="宋体" w:hAnsi="宋体"/>
          <w:sz w:val="24"/>
        </w:rPr>
        <w:t>6．停工待检部位提前一天通知需方。</w:t>
      </w:r>
    </w:p>
    <w:p w14:paraId="34EB6BB1">
      <w:pPr>
        <w:spacing w:line="360" w:lineRule="auto"/>
        <w:ind w:firstLine="480" w:firstLineChars="200"/>
        <w:rPr>
          <w:rFonts w:ascii="宋体" w:hAnsi="宋体"/>
          <w:sz w:val="24"/>
        </w:rPr>
      </w:pPr>
      <w:r>
        <w:rPr>
          <w:rFonts w:hint="eastAsia" w:ascii="宋体" w:hAnsi="宋体"/>
          <w:sz w:val="24"/>
        </w:rPr>
        <w:t>7．对货物制造过程中出现的质量缺陷及时向需方通报，不隐瞒。若货物缺陷超过合同规定的标准，供方无条件更换。在安装和试运过程中，货物出现质量问题，先处理问题，再分清责任，一切以满足工程进度需要为准则。</w:t>
      </w:r>
    </w:p>
    <w:p w14:paraId="287563DA">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7176B1B0">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580113E8">
      <w:pPr>
        <w:numPr>
          <w:ilvl w:val="0"/>
          <w:numId w:val="15"/>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473A6D6D">
      <w:pPr>
        <w:numPr>
          <w:ilvl w:val="0"/>
          <w:numId w:val="15"/>
        </w:numPr>
        <w:spacing w:line="360" w:lineRule="auto"/>
        <w:rPr>
          <w:rFonts w:ascii="宋体" w:hAnsi="宋体"/>
          <w:sz w:val="24"/>
        </w:rPr>
      </w:pPr>
      <w:r>
        <w:rPr>
          <w:rFonts w:hint="eastAsia" w:ascii="宋体" w:hAnsi="宋体"/>
          <w:sz w:val="24"/>
        </w:rPr>
        <w:t>我单位针对本项目提供的其他质量承诺 。</w:t>
      </w:r>
    </w:p>
    <w:p w14:paraId="5A63B739">
      <w:pPr>
        <w:spacing w:line="360" w:lineRule="auto"/>
        <w:ind w:left="480"/>
        <w:rPr>
          <w:rFonts w:ascii="宋体" w:hAnsi="宋体"/>
          <w:sz w:val="24"/>
        </w:rPr>
      </w:pPr>
    </w:p>
    <w:p w14:paraId="1EA80757">
      <w:pPr>
        <w:spacing w:line="360" w:lineRule="auto"/>
        <w:ind w:left="481" w:leftChars="229" w:firstLine="3357" w:firstLineChars="1399"/>
        <w:rPr>
          <w:rFonts w:ascii="宋体" w:hAnsi="宋体"/>
          <w:sz w:val="24"/>
        </w:rPr>
      </w:pPr>
      <w:r>
        <w:rPr>
          <w:rFonts w:hint="eastAsia" w:ascii="宋体" w:hAnsi="宋体"/>
          <w:sz w:val="24"/>
        </w:rPr>
        <w:t xml:space="preserve">投标人名称（公章）： </w:t>
      </w:r>
    </w:p>
    <w:p w14:paraId="0076D210">
      <w:pPr>
        <w:spacing w:line="360" w:lineRule="auto"/>
        <w:ind w:left="480"/>
        <w:rPr>
          <w:rFonts w:ascii="宋体" w:hAnsi="宋体"/>
          <w:sz w:val="24"/>
        </w:rPr>
      </w:pPr>
      <w:r>
        <w:rPr>
          <w:rFonts w:hint="eastAsia" w:ascii="宋体" w:hAnsi="宋体"/>
          <w:sz w:val="24"/>
        </w:rPr>
        <w:t xml:space="preserve">                    法定代表人或授权代理人签字：                </w:t>
      </w:r>
    </w:p>
    <w:p w14:paraId="2DB8D686">
      <w:pPr>
        <w:spacing w:line="360" w:lineRule="auto"/>
        <w:ind w:left="480" w:firstLine="4560" w:firstLineChars="1900"/>
        <w:rPr>
          <w:rFonts w:hint="eastAsia" w:ascii="宋体" w:hAnsi="宋体"/>
          <w:sz w:val="24"/>
        </w:rPr>
      </w:pPr>
      <w:r>
        <w:rPr>
          <w:rFonts w:hint="eastAsia" w:ascii="宋体" w:hAnsi="宋体"/>
          <w:sz w:val="24"/>
        </w:rPr>
        <w:t>日    期：</w:t>
      </w:r>
    </w:p>
    <w:p w14:paraId="2EC6DF5B">
      <w:pPr>
        <w:rPr>
          <w:rFonts w:hint="eastAsia" w:hAnsi="宋体" w:eastAsia="宋体" w:cs="宋体"/>
          <w:b/>
          <w:bCs/>
          <w:color w:val="000000"/>
          <w:sz w:val="24"/>
          <w:szCs w:val="24"/>
          <w:highlight w:val="none"/>
        </w:rPr>
      </w:pPr>
      <w:r>
        <w:rPr>
          <w:rFonts w:hint="eastAsia" w:hAnsi="宋体" w:eastAsia="宋体" w:cs="宋体"/>
          <w:b/>
          <w:bCs/>
          <w:color w:val="000000"/>
          <w:sz w:val="24"/>
          <w:szCs w:val="24"/>
          <w:highlight w:val="none"/>
        </w:rPr>
        <w:br w:type="page"/>
      </w:r>
    </w:p>
    <w:p w14:paraId="64FA5075">
      <w:pPr>
        <w:pStyle w:val="241"/>
        <w:numPr>
          <w:ilvl w:val="0"/>
          <w:numId w:val="0"/>
        </w:numPr>
        <w:rPr>
          <w:rFonts w:hint="eastAsia"/>
        </w:rPr>
      </w:pPr>
      <w:r>
        <w:rPr>
          <w:rFonts w:hint="eastAsia"/>
          <w:lang w:val="en-US" w:eastAsia="zh-CN"/>
        </w:rPr>
        <w:t xml:space="preserve">第四部分   </w:t>
      </w:r>
      <w:r>
        <w:rPr>
          <w:rFonts w:hint="eastAsia"/>
        </w:rPr>
        <w:t>合同</w:t>
      </w:r>
      <w:r>
        <w:rPr>
          <w:rFonts w:hint="eastAsia"/>
          <w:lang w:val="en-US" w:eastAsia="zh-CN"/>
        </w:rPr>
        <w:t>模板（仅供参考）</w:t>
      </w:r>
    </w:p>
    <w:p w14:paraId="62BAA8FD">
      <w:pPr>
        <w:pStyle w:val="241"/>
        <w:numPr>
          <w:ilvl w:val="0"/>
          <w:numId w:val="0"/>
        </w:numPr>
        <w:jc w:val="center"/>
        <w:rPr>
          <w:rFonts w:hint="eastAsia"/>
          <w:sz w:val="28"/>
          <w:szCs w:val="28"/>
          <w:lang w:val="en-US" w:eastAsia="zh-CN"/>
        </w:rPr>
      </w:pPr>
      <w:r>
        <w:rPr>
          <w:rFonts w:hint="eastAsia"/>
          <w:sz w:val="28"/>
          <w:szCs w:val="28"/>
          <w:lang w:val="en-US" w:eastAsia="zh-CN"/>
        </w:rPr>
        <w:t>(合同以双方最终签署的版本为准)</w:t>
      </w:r>
    </w:p>
    <w:p w14:paraId="1F517EA1">
      <w:pPr>
        <w:adjustRightInd w:val="0"/>
        <w:snapToGrid w:val="0"/>
        <w:spacing w:line="360" w:lineRule="auto"/>
        <w:jc w:val="right"/>
        <w:rPr>
          <w:rFonts w:ascii="宋体" w:hAnsi="宋体"/>
          <w:b/>
          <w:sz w:val="28"/>
          <w:szCs w:val="28"/>
        </w:rPr>
      </w:pPr>
    </w:p>
    <w:p w14:paraId="04052CCB">
      <w:pPr>
        <w:adjustRightInd w:val="0"/>
        <w:snapToGrid w:val="0"/>
        <w:spacing w:line="360" w:lineRule="auto"/>
        <w:ind w:right="1124" w:firstLine="5622" w:firstLineChars="2000"/>
        <w:rPr>
          <w:rFonts w:ascii="宋体" w:hAnsi="宋体"/>
          <w:b/>
          <w:sz w:val="28"/>
          <w:szCs w:val="28"/>
        </w:rPr>
      </w:pPr>
      <w:r>
        <w:rPr>
          <w:rFonts w:ascii="宋体" w:hAnsi="宋体"/>
          <w:b/>
          <w:sz w:val="28"/>
          <w:szCs w:val="28"/>
        </w:rPr>
        <w:t>编号：</w:t>
      </w:r>
      <w:r>
        <w:rPr>
          <w:rFonts w:ascii="宋体" w:hAnsi="宋体"/>
          <w:b/>
          <w:sz w:val="28"/>
          <w:szCs w:val="28"/>
          <w:u w:val="thick"/>
        </w:rPr>
        <w:t xml:space="preserve">                  </w:t>
      </w:r>
    </w:p>
    <w:p w14:paraId="6208108A">
      <w:pPr>
        <w:adjustRightInd w:val="0"/>
        <w:snapToGrid w:val="0"/>
        <w:spacing w:line="360" w:lineRule="auto"/>
        <w:jc w:val="left"/>
        <w:rPr>
          <w:rFonts w:ascii="宋体" w:hAnsi="宋体"/>
          <w:sz w:val="20"/>
        </w:rPr>
      </w:pPr>
    </w:p>
    <w:p w14:paraId="700522A7">
      <w:pPr>
        <w:adjustRightInd w:val="0"/>
        <w:snapToGrid w:val="0"/>
        <w:spacing w:line="360" w:lineRule="auto"/>
        <w:jc w:val="left"/>
        <w:rPr>
          <w:rFonts w:ascii="宋体" w:hAnsi="宋体"/>
          <w:sz w:val="20"/>
        </w:rPr>
      </w:pPr>
    </w:p>
    <w:p w14:paraId="7D4085A3">
      <w:pPr>
        <w:adjustRightInd w:val="0"/>
        <w:snapToGrid w:val="0"/>
        <w:spacing w:line="360" w:lineRule="auto"/>
        <w:jc w:val="left"/>
        <w:rPr>
          <w:rFonts w:ascii="宋体" w:hAnsi="宋体"/>
          <w:sz w:val="20"/>
        </w:rPr>
      </w:pPr>
    </w:p>
    <w:p w14:paraId="175FED96">
      <w:pPr>
        <w:adjustRightInd w:val="0"/>
        <w:snapToGrid w:val="0"/>
        <w:spacing w:line="360" w:lineRule="auto"/>
        <w:jc w:val="left"/>
        <w:rPr>
          <w:rFonts w:ascii="宋体" w:hAnsi="宋体"/>
          <w:sz w:val="20"/>
        </w:rPr>
      </w:pPr>
    </w:p>
    <w:p w14:paraId="0E99E076">
      <w:pPr>
        <w:adjustRightInd w:val="0"/>
        <w:snapToGrid w:val="0"/>
        <w:spacing w:line="360" w:lineRule="auto"/>
        <w:jc w:val="center"/>
        <w:rPr>
          <w:rFonts w:ascii="宋体" w:hAnsi="宋体"/>
          <w:b/>
          <w:sz w:val="52"/>
          <w:szCs w:val="36"/>
        </w:rPr>
      </w:pPr>
      <w:r>
        <w:rPr>
          <w:rFonts w:hint="eastAsia" w:ascii="宋体" w:hAnsi="宋体"/>
          <w:b/>
          <w:bCs/>
          <w:sz w:val="52"/>
          <w:szCs w:val="36"/>
        </w:rPr>
        <w:t>设备维修</w:t>
      </w:r>
      <w:r>
        <w:rPr>
          <w:rFonts w:ascii="宋体" w:hAnsi="宋体"/>
          <w:b/>
          <w:bCs/>
          <w:sz w:val="52"/>
          <w:szCs w:val="36"/>
        </w:rPr>
        <w:t>合同</w:t>
      </w:r>
    </w:p>
    <w:p w14:paraId="36D35DD7">
      <w:pPr>
        <w:adjustRightInd w:val="0"/>
        <w:snapToGrid w:val="0"/>
        <w:spacing w:line="360" w:lineRule="auto"/>
        <w:jc w:val="left"/>
        <w:rPr>
          <w:rFonts w:ascii="宋体" w:hAnsi="宋体"/>
          <w:b/>
          <w:sz w:val="36"/>
          <w:szCs w:val="36"/>
        </w:rPr>
      </w:pPr>
    </w:p>
    <w:p w14:paraId="44DBE468">
      <w:pPr>
        <w:adjustRightInd w:val="0"/>
        <w:snapToGrid w:val="0"/>
        <w:spacing w:line="360" w:lineRule="auto"/>
        <w:jc w:val="left"/>
        <w:rPr>
          <w:rFonts w:ascii="宋体" w:hAnsi="宋体"/>
          <w:b/>
          <w:sz w:val="36"/>
          <w:szCs w:val="36"/>
        </w:rPr>
      </w:pPr>
    </w:p>
    <w:p w14:paraId="4B06965A">
      <w:pPr>
        <w:adjustRightInd w:val="0"/>
        <w:snapToGrid w:val="0"/>
        <w:spacing w:line="360" w:lineRule="auto"/>
        <w:jc w:val="left"/>
        <w:rPr>
          <w:rFonts w:ascii="宋体" w:hAnsi="宋体"/>
          <w:b/>
          <w:sz w:val="36"/>
          <w:szCs w:val="36"/>
        </w:rPr>
      </w:pPr>
    </w:p>
    <w:p w14:paraId="42AB1120">
      <w:pPr>
        <w:adjustRightInd w:val="0"/>
        <w:snapToGrid w:val="0"/>
        <w:spacing w:line="360" w:lineRule="auto"/>
        <w:jc w:val="left"/>
        <w:rPr>
          <w:rFonts w:ascii="宋体" w:hAnsi="宋体"/>
          <w:b/>
          <w:sz w:val="36"/>
          <w:szCs w:val="36"/>
        </w:rPr>
      </w:pPr>
    </w:p>
    <w:p w14:paraId="6DB6D1EA">
      <w:pPr>
        <w:adjustRightInd w:val="0"/>
        <w:snapToGrid w:val="0"/>
        <w:spacing w:line="360" w:lineRule="auto"/>
        <w:jc w:val="left"/>
        <w:rPr>
          <w:rFonts w:ascii="宋体" w:hAnsi="宋体"/>
          <w:b/>
          <w:sz w:val="36"/>
          <w:szCs w:val="36"/>
        </w:rPr>
      </w:pPr>
    </w:p>
    <w:p w14:paraId="3297CAD2">
      <w:pPr>
        <w:adjustRightInd w:val="0"/>
        <w:snapToGrid w:val="0"/>
        <w:spacing w:line="360" w:lineRule="auto"/>
        <w:jc w:val="left"/>
        <w:rPr>
          <w:rFonts w:ascii="宋体" w:hAnsi="宋体"/>
          <w:b/>
          <w:sz w:val="36"/>
          <w:szCs w:val="36"/>
        </w:rPr>
      </w:pPr>
    </w:p>
    <w:p w14:paraId="5B659C94">
      <w:pPr>
        <w:adjustRightInd w:val="0"/>
        <w:snapToGrid w:val="0"/>
        <w:spacing w:line="360" w:lineRule="auto"/>
        <w:jc w:val="left"/>
        <w:rPr>
          <w:rFonts w:hint="eastAsia" w:ascii="宋体" w:hAnsi="宋体"/>
          <w:b/>
          <w:sz w:val="36"/>
          <w:szCs w:val="36"/>
        </w:rPr>
      </w:pPr>
    </w:p>
    <w:p w14:paraId="4140A4DE">
      <w:pPr>
        <w:adjustRightInd w:val="0"/>
        <w:snapToGrid w:val="0"/>
        <w:spacing w:line="360" w:lineRule="auto"/>
        <w:ind w:firstLine="1687" w:firstLineChars="600"/>
        <w:jc w:val="left"/>
        <w:rPr>
          <w:rFonts w:ascii="宋体" w:hAnsi="宋体"/>
          <w:b/>
          <w:sz w:val="28"/>
          <w:szCs w:val="36"/>
        </w:rPr>
      </w:pPr>
      <w:r>
        <w:rPr>
          <w:rFonts w:hint="eastAsia" w:ascii="宋体" w:hAnsi="宋体"/>
          <w:b/>
          <w:sz w:val="28"/>
          <w:szCs w:val="36"/>
        </w:rPr>
        <w:t>甲  方：</w:t>
      </w:r>
      <w:r>
        <w:rPr>
          <w:rFonts w:hint="eastAsia" w:ascii="宋体" w:hAnsi="宋体"/>
          <w:b/>
          <w:sz w:val="28"/>
          <w:szCs w:val="36"/>
          <w:u w:val="single"/>
        </w:rPr>
        <w:t>中国重汽集团济南动力有限公司</w:t>
      </w:r>
    </w:p>
    <w:p w14:paraId="2CE3DBA6">
      <w:pPr>
        <w:adjustRightInd w:val="0"/>
        <w:snapToGrid w:val="0"/>
        <w:spacing w:line="360" w:lineRule="auto"/>
        <w:jc w:val="left"/>
        <w:rPr>
          <w:rFonts w:ascii="宋体" w:hAnsi="宋体"/>
          <w:b/>
          <w:sz w:val="28"/>
          <w:szCs w:val="36"/>
        </w:rPr>
      </w:pPr>
    </w:p>
    <w:p w14:paraId="454ABA8C">
      <w:pPr>
        <w:adjustRightInd w:val="0"/>
        <w:snapToGrid w:val="0"/>
        <w:spacing w:line="360" w:lineRule="auto"/>
        <w:ind w:firstLine="1687" w:firstLineChars="600"/>
        <w:jc w:val="left"/>
        <w:rPr>
          <w:rFonts w:ascii="宋体" w:hAnsi="宋体"/>
          <w:b/>
          <w:sz w:val="28"/>
          <w:szCs w:val="36"/>
        </w:rPr>
      </w:pPr>
      <w:r>
        <w:rPr>
          <w:rFonts w:hint="eastAsia" w:ascii="宋体" w:hAnsi="宋体"/>
          <w:b/>
          <w:sz w:val="28"/>
          <w:szCs w:val="36"/>
        </w:rPr>
        <w:t>乙  方：</w:t>
      </w:r>
      <w:r>
        <w:rPr>
          <w:rFonts w:hint="eastAsia" w:ascii="宋体" w:hAnsi="宋体"/>
          <w:b/>
          <w:sz w:val="28"/>
          <w:szCs w:val="36"/>
          <w:u w:val="single"/>
        </w:rPr>
        <w:t>XXXXX有限公司</w:t>
      </w:r>
    </w:p>
    <w:p w14:paraId="2AD35BD4">
      <w:pPr>
        <w:pStyle w:val="2"/>
      </w:pPr>
    </w:p>
    <w:p w14:paraId="530C050F">
      <w:pPr>
        <w:pStyle w:val="3"/>
      </w:pPr>
    </w:p>
    <w:p w14:paraId="627961F4">
      <w:pPr>
        <w:pStyle w:val="3"/>
      </w:pPr>
    </w:p>
    <w:p w14:paraId="3474615E">
      <w:pPr>
        <w:pStyle w:val="3"/>
      </w:pPr>
    </w:p>
    <w:p w14:paraId="7F2AA4FC">
      <w:pPr>
        <w:pStyle w:val="3"/>
      </w:pPr>
    </w:p>
    <w:p w14:paraId="31A3EFFA">
      <w:pPr>
        <w:pStyle w:val="3"/>
      </w:pPr>
    </w:p>
    <w:p w14:paraId="0897D9D9">
      <w:pPr>
        <w:pStyle w:val="3"/>
      </w:pPr>
    </w:p>
    <w:p w14:paraId="5CAEDE51">
      <w:pPr>
        <w:spacing w:line="360" w:lineRule="auto"/>
        <w:rPr>
          <w:rFonts w:ascii="宋体" w:hAnsi="宋体" w:cs="宋体"/>
          <w:bCs/>
          <w:sz w:val="22"/>
          <w:szCs w:val="22"/>
        </w:rPr>
      </w:pPr>
      <w:r>
        <w:rPr>
          <w:rFonts w:hint="eastAsia" w:ascii="宋体" w:hAnsi="宋体" w:cs="宋体"/>
          <w:bCs/>
          <w:sz w:val="22"/>
          <w:szCs w:val="22"/>
        </w:rPr>
        <w:t>甲方（委托方）：</w:t>
      </w:r>
      <w:r>
        <w:rPr>
          <w:rFonts w:hint="eastAsia" w:ascii="宋体" w:hAnsi="宋体"/>
          <w:b/>
        </w:rPr>
        <w:t>中国重汽集团济南动力有限公司</w:t>
      </w:r>
    </w:p>
    <w:p w14:paraId="1EBC57CC">
      <w:pPr>
        <w:spacing w:line="360" w:lineRule="auto"/>
        <w:rPr>
          <w:rFonts w:ascii="宋体" w:hAnsi="宋体" w:cs="宋体"/>
          <w:bCs/>
          <w:sz w:val="22"/>
          <w:szCs w:val="22"/>
        </w:rPr>
      </w:pPr>
      <w:r>
        <w:rPr>
          <w:rFonts w:hint="eastAsia" w:ascii="宋体" w:hAnsi="宋体" w:cs="宋体"/>
          <w:bCs/>
          <w:sz w:val="22"/>
          <w:szCs w:val="22"/>
        </w:rPr>
        <w:t>乙方（承揽方）：</w:t>
      </w:r>
      <w:r>
        <w:rPr>
          <w:rFonts w:hint="eastAsia" w:ascii="宋体" w:hAnsi="宋体"/>
          <w:b/>
        </w:rPr>
        <w:t>XXXXXXX有限公司</w:t>
      </w:r>
    </w:p>
    <w:p w14:paraId="59119711">
      <w:pPr>
        <w:spacing w:line="360" w:lineRule="auto"/>
        <w:ind w:firstLine="440" w:firstLineChars="200"/>
        <w:rPr>
          <w:rFonts w:ascii="宋体" w:hAnsi="宋体" w:cs="宋体"/>
          <w:sz w:val="22"/>
          <w:szCs w:val="22"/>
        </w:rPr>
      </w:pPr>
      <w:r>
        <w:rPr>
          <w:rFonts w:hint="eastAsia" w:ascii="宋体" w:hAnsi="宋体" w:cs="宋体"/>
          <w:sz w:val="22"/>
          <w:szCs w:val="22"/>
        </w:rPr>
        <w:t>根据中华人民共和国相关法律、法规及有关规定，为明确双方的权利义务关系，甲方委托乙方进行设备维修，经双方充分协商，订立本合同，以便共同遵守。</w:t>
      </w:r>
    </w:p>
    <w:p w14:paraId="1A7C1119">
      <w:pPr>
        <w:spacing w:line="360" w:lineRule="auto"/>
        <w:rPr>
          <w:rFonts w:ascii="宋体" w:hAnsi="宋体" w:cs="宋体"/>
          <w:b/>
          <w:sz w:val="20"/>
        </w:rPr>
      </w:pPr>
      <w:r>
        <w:rPr>
          <w:rFonts w:hint="eastAsia" w:ascii="宋体" w:hAnsi="宋体" w:cs="宋体"/>
          <w:b/>
          <w:sz w:val="20"/>
        </w:rPr>
        <w:t>一、设备明细、维修费：</w:t>
      </w:r>
    </w:p>
    <w:tbl>
      <w:tblPr>
        <w:tblStyle w:val="49"/>
        <w:tblW w:w="8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591"/>
        <w:gridCol w:w="1445"/>
        <w:gridCol w:w="1985"/>
        <w:gridCol w:w="822"/>
        <w:gridCol w:w="992"/>
        <w:gridCol w:w="676"/>
      </w:tblGrid>
      <w:tr w14:paraId="69141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48" w:type="dxa"/>
            <w:vAlign w:val="center"/>
          </w:tcPr>
          <w:p w14:paraId="4B76257E">
            <w:pPr>
              <w:spacing w:line="360" w:lineRule="auto"/>
              <w:jc w:val="center"/>
              <w:rPr>
                <w:rFonts w:ascii="宋体" w:hAnsi="宋体" w:cs="宋体"/>
                <w:sz w:val="20"/>
              </w:rPr>
            </w:pPr>
            <w:r>
              <w:rPr>
                <w:rFonts w:hint="eastAsia" w:ascii="宋体" w:hAnsi="宋体" w:cs="宋体"/>
                <w:sz w:val="20"/>
              </w:rPr>
              <w:t>序号</w:t>
            </w:r>
          </w:p>
        </w:tc>
        <w:tc>
          <w:tcPr>
            <w:tcW w:w="1591" w:type="dxa"/>
            <w:vAlign w:val="center"/>
          </w:tcPr>
          <w:p w14:paraId="0FC53E1A">
            <w:pPr>
              <w:spacing w:line="360" w:lineRule="auto"/>
              <w:jc w:val="center"/>
              <w:rPr>
                <w:rFonts w:ascii="宋体" w:hAnsi="宋体" w:cs="宋体"/>
                <w:sz w:val="20"/>
              </w:rPr>
            </w:pPr>
            <w:r>
              <w:rPr>
                <w:rFonts w:hint="eastAsia" w:ascii="宋体" w:hAnsi="宋体" w:cs="宋体"/>
                <w:sz w:val="20"/>
              </w:rPr>
              <w:t>设备名称</w:t>
            </w:r>
          </w:p>
        </w:tc>
        <w:tc>
          <w:tcPr>
            <w:tcW w:w="1445" w:type="dxa"/>
            <w:vAlign w:val="center"/>
          </w:tcPr>
          <w:p w14:paraId="0B788CC2">
            <w:pPr>
              <w:spacing w:line="360" w:lineRule="auto"/>
              <w:jc w:val="center"/>
              <w:rPr>
                <w:rFonts w:ascii="宋体" w:hAnsi="宋体" w:cs="宋体"/>
                <w:sz w:val="20"/>
              </w:rPr>
            </w:pPr>
            <w:r>
              <w:rPr>
                <w:rFonts w:hint="eastAsia" w:ascii="宋体" w:hAnsi="宋体" w:cs="宋体"/>
                <w:sz w:val="20"/>
              </w:rPr>
              <w:t>设备型号</w:t>
            </w:r>
          </w:p>
        </w:tc>
        <w:tc>
          <w:tcPr>
            <w:tcW w:w="1985" w:type="dxa"/>
            <w:vAlign w:val="center"/>
          </w:tcPr>
          <w:p w14:paraId="4C448EAB">
            <w:pPr>
              <w:spacing w:line="360" w:lineRule="auto"/>
              <w:jc w:val="center"/>
              <w:rPr>
                <w:rFonts w:ascii="宋体" w:hAnsi="宋体" w:cs="宋体"/>
                <w:sz w:val="20"/>
              </w:rPr>
            </w:pPr>
            <w:r>
              <w:rPr>
                <w:rFonts w:hint="eastAsia" w:ascii="宋体" w:hAnsi="宋体" w:cs="宋体"/>
                <w:sz w:val="20"/>
              </w:rPr>
              <w:t>设备资产编号</w:t>
            </w:r>
          </w:p>
        </w:tc>
        <w:tc>
          <w:tcPr>
            <w:tcW w:w="822" w:type="dxa"/>
            <w:vAlign w:val="center"/>
          </w:tcPr>
          <w:p w14:paraId="4EC23575">
            <w:pPr>
              <w:spacing w:line="360" w:lineRule="auto"/>
              <w:jc w:val="center"/>
              <w:rPr>
                <w:rFonts w:ascii="宋体" w:hAnsi="宋体" w:cs="宋体"/>
                <w:sz w:val="20"/>
              </w:rPr>
            </w:pPr>
            <w:r>
              <w:rPr>
                <w:rFonts w:hint="eastAsia" w:ascii="宋体" w:hAnsi="宋体" w:cs="宋体"/>
                <w:sz w:val="20"/>
              </w:rPr>
              <w:t>数量</w:t>
            </w:r>
          </w:p>
        </w:tc>
        <w:tc>
          <w:tcPr>
            <w:tcW w:w="992" w:type="dxa"/>
            <w:vAlign w:val="center"/>
          </w:tcPr>
          <w:p w14:paraId="2D1B1C3E">
            <w:pPr>
              <w:spacing w:line="360" w:lineRule="auto"/>
              <w:jc w:val="center"/>
              <w:rPr>
                <w:rFonts w:ascii="宋体" w:hAnsi="宋体" w:cs="宋体"/>
                <w:sz w:val="20"/>
              </w:rPr>
            </w:pPr>
            <w:r>
              <w:rPr>
                <w:rFonts w:hint="eastAsia" w:ascii="宋体" w:hAnsi="宋体" w:cs="宋体"/>
                <w:sz w:val="20"/>
              </w:rPr>
              <w:t>维修费</w:t>
            </w:r>
          </w:p>
        </w:tc>
        <w:tc>
          <w:tcPr>
            <w:tcW w:w="676" w:type="dxa"/>
            <w:vAlign w:val="center"/>
          </w:tcPr>
          <w:p w14:paraId="65A798ED">
            <w:pPr>
              <w:spacing w:line="360" w:lineRule="auto"/>
              <w:jc w:val="center"/>
              <w:rPr>
                <w:rFonts w:ascii="宋体" w:hAnsi="宋体" w:cs="宋体"/>
                <w:sz w:val="20"/>
              </w:rPr>
            </w:pPr>
            <w:r>
              <w:rPr>
                <w:rFonts w:hint="eastAsia" w:ascii="宋体" w:hAnsi="宋体" w:cs="宋体"/>
                <w:sz w:val="20"/>
              </w:rPr>
              <w:t>备注</w:t>
            </w:r>
          </w:p>
        </w:tc>
      </w:tr>
      <w:tr w14:paraId="1E022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vAlign w:val="center"/>
          </w:tcPr>
          <w:p w14:paraId="1FC9FCAE">
            <w:pPr>
              <w:spacing w:line="360" w:lineRule="auto"/>
              <w:jc w:val="center"/>
              <w:rPr>
                <w:rFonts w:ascii="宋体" w:hAnsi="宋体" w:cs="宋体"/>
                <w:sz w:val="20"/>
              </w:rPr>
            </w:pPr>
            <w:r>
              <w:rPr>
                <w:rFonts w:hint="eastAsia" w:ascii="宋体" w:hAnsi="宋体" w:cs="宋体"/>
                <w:sz w:val="20"/>
              </w:rPr>
              <w:t>1</w:t>
            </w:r>
          </w:p>
        </w:tc>
        <w:tc>
          <w:tcPr>
            <w:tcW w:w="1591" w:type="dxa"/>
            <w:vAlign w:val="center"/>
          </w:tcPr>
          <w:p w14:paraId="1CAB5ABD">
            <w:pPr>
              <w:spacing w:line="360" w:lineRule="auto"/>
              <w:jc w:val="center"/>
              <w:rPr>
                <w:rFonts w:ascii="宋体" w:hAnsi="宋体" w:cs="宋体"/>
                <w:sz w:val="20"/>
              </w:rPr>
            </w:pPr>
          </w:p>
        </w:tc>
        <w:tc>
          <w:tcPr>
            <w:tcW w:w="1445" w:type="dxa"/>
            <w:vAlign w:val="center"/>
          </w:tcPr>
          <w:p w14:paraId="02B11829">
            <w:pPr>
              <w:spacing w:line="360" w:lineRule="auto"/>
              <w:jc w:val="center"/>
              <w:rPr>
                <w:rFonts w:ascii="宋体" w:hAnsi="宋体" w:cs="宋体"/>
                <w:sz w:val="20"/>
              </w:rPr>
            </w:pPr>
          </w:p>
        </w:tc>
        <w:tc>
          <w:tcPr>
            <w:tcW w:w="1985" w:type="dxa"/>
            <w:vAlign w:val="center"/>
          </w:tcPr>
          <w:p w14:paraId="37E31A2E">
            <w:pPr>
              <w:spacing w:line="360" w:lineRule="auto"/>
              <w:jc w:val="center"/>
              <w:rPr>
                <w:rFonts w:ascii="宋体" w:hAnsi="宋体" w:cs="宋体"/>
                <w:sz w:val="20"/>
              </w:rPr>
            </w:pPr>
          </w:p>
        </w:tc>
        <w:tc>
          <w:tcPr>
            <w:tcW w:w="822" w:type="dxa"/>
            <w:vAlign w:val="center"/>
          </w:tcPr>
          <w:p w14:paraId="43219595">
            <w:pPr>
              <w:spacing w:line="360" w:lineRule="auto"/>
              <w:jc w:val="center"/>
              <w:rPr>
                <w:rFonts w:ascii="宋体" w:hAnsi="宋体" w:cs="宋体"/>
                <w:sz w:val="20"/>
              </w:rPr>
            </w:pPr>
          </w:p>
        </w:tc>
        <w:tc>
          <w:tcPr>
            <w:tcW w:w="992" w:type="dxa"/>
            <w:vAlign w:val="center"/>
          </w:tcPr>
          <w:p w14:paraId="03C87953">
            <w:pPr>
              <w:spacing w:line="360" w:lineRule="auto"/>
              <w:jc w:val="center"/>
              <w:rPr>
                <w:rFonts w:ascii="宋体" w:hAnsi="宋体" w:cs="宋体"/>
                <w:sz w:val="20"/>
              </w:rPr>
            </w:pPr>
            <w:r>
              <w:rPr>
                <w:rFonts w:hint="eastAsia" w:ascii="宋体" w:hAnsi="宋体" w:cs="宋体"/>
                <w:sz w:val="20"/>
              </w:rPr>
              <w:t>xxxx元</w:t>
            </w:r>
          </w:p>
        </w:tc>
        <w:tc>
          <w:tcPr>
            <w:tcW w:w="676" w:type="dxa"/>
            <w:vAlign w:val="center"/>
          </w:tcPr>
          <w:p w14:paraId="5371A0B7">
            <w:pPr>
              <w:spacing w:line="360" w:lineRule="auto"/>
              <w:jc w:val="center"/>
              <w:rPr>
                <w:rFonts w:ascii="宋体" w:hAnsi="宋体" w:cs="宋体"/>
                <w:sz w:val="20"/>
              </w:rPr>
            </w:pPr>
          </w:p>
        </w:tc>
      </w:tr>
      <w:tr w14:paraId="18B25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vAlign w:val="center"/>
          </w:tcPr>
          <w:p w14:paraId="39D4E6BD">
            <w:pPr>
              <w:spacing w:line="360" w:lineRule="auto"/>
              <w:jc w:val="center"/>
              <w:rPr>
                <w:rFonts w:ascii="宋体" w:hAnsi="宋体" w:cs="宋体"/>
                <w:sz w:val="20"/>
              </w:rPr>
            </w:pPr>
            <w:r>
              <w:rPr>
                <w:rFonts w:hint="eastAsia" w:ascii="宋体" w:hAnsi="宋体" w:cs="宋体"/>
                <w:sz w:val="20"/>
              </w:rPr>
              <w:t>总价</w:t>
            </w:r>
          </w:p>
        </w:tc>
        <w:tc>
          <w:tcPr>
            <w:tcW w:w="7511" w:type="dxa"/>
            <w:gridSpan w:val="6"/>
            <w:vAlign w:val="center"/>
          </w:tcPr>
          <w:p w14:paraId="2B735F75">
            <w:pPr>
              <w:spacing w:line="360" w:lineRule="auto"/>
              <w:rPr>
                <w:rFonts w:ascii="宋体" w:hAnsi="宋体" w:cs="宋体"/>
                <w:sz w:val="20"/>
              </w:rPr>
            </w:pPr>
            <w:r>
              <w:rPr>
                <w:rFonts w:hint="eastAsia" w:ascii="宋体" w:hAnsi="宋体" w:cs="宋体"/>
                <w:sz w:val="20"/>
              </w:rPr>
              <w:t>小写：人民币【</w:t>
            </w:r>
            <w:r>
              <w:rPr>
                <w:rFonts w:hint="eastAsia" w:ascii="宋体" w:hAnsi="宋体" w:cs="宋体"/>
                <w:sz w:val="20"/>
                <w:u w:val="single"/>
              </w:rPr>
              <w:t>¥      元</w:t>
            </w:r>
            <w:r>
              <w:rPr>
                <w:rFonts w:hint="eastAsia" w:ascii="宋体" w:hAnsi="宋体" w:cs="宋体"/>
                <w:sz w:val="20"/>
              </w:rPr>
              <w:t>】</w:t>
            </w:r>
          </w:p>
          <w:p w14:paraId="2DAE255F">
            <w:pPr>
              <w:spacing w:line="360" w:lineRule="auto"/>
              <w:rPr>
                <w:rFonts w:ascii="宋体" w:hAnsi="宋体" w:cs="宋体"/>
                <w:sz w:val="20"/>
              </w:rPr>
            </w:pPr>
            <w:r>
              <w:rPr>
                <w:rFonts w:hint="eastAsia" w:ascii="宋体" w:hAnsi="宋体" w:cs="宋体"/>
                <w:sz w:val="20"/>
              </w:rPr>
              <w:t>大写: 【</w:t>
            </w:r>
            <w:r>
              <w:rPr>
                <w:rFonts w:hint="eastAsia" w:ascii="宋体" w:hAnsi="宋体" w:cs="宋体"/>
                <w:sz w:val="20"/>
                <w:u w:val="single"/>
              </w:rPr>
              <w:t>人民币     元</w:t>
            </w:r>
            <w:r>
              <w:rPr>
                <w:rFonts w:hint="eastAsia" w:ascii="宋体" w:hAnsi="宋体" w:cs="宋体"/>
                <w:sz w:val="20"/>
              </w:rPr>
              <w:t>】</w:t>
            </w:r>
          </w:p>
        </w:tc>
      </w:tr>
    </w:tbl>
    <w:p w14:paraId="4CADEB22">
      <w:pPr>
        <w:spacing w:line="360" w:lineRule="auto"/>
        <w:rPr>
          <w:rFonts w:ascii="宋体" w:hAnsi="宋体" w:cs="宋体"/>
          <w:b/>
          <w:sz w:val="20"/>
        </w:rPr>
      </w:pPr>
      <w:r>
        <w:rPr>
          <w:rFonts w:hint="eastAsia" w:ascii="宋体" w:hAnsi="宋体" w:cs="宋体"/>
          <w:b/>
          <w:sz w:val="20"/>
        </w:rPr>
        <w:t>二、维修内容</w:t>
      </w:r>
    </w:p>
    <w:p w14:paraId="535E04A2">
      <w:pPr>
        <w:spacing w:line="360" w:lineRule="auto"/>
        <w:ind w:firstLine="400" w:firstLineChars="200"/>
        <w:rPr>
          <w:rFonts w:ascii="宋体" w:hAnsi="宋体" w:cs="宋体"/>
          <w:sz w:val="20"/>
        </w:rPr>
      </w:pPr>
      <w:r>
        <w:rPr>
          <w:rFonts w:hint="eastAsia" w:ascii="宋体" w:hAnsi="宋体" w:cs="宋体"/>
          <w:sz w:val="20"/>
        </w:rPr>
        <w:t>1.1维修方式：</w:t>
      </w:r>
      <w:r>
        <w:rPr>
          <w:rFonts w:hint="eastAsia" w:ascii="宋体" w:hAnsi="宋体" w:cs="宋体"/>
          <w:sz w:val="20"/>
          <w:u w:val="single"/>
        </w:rPr>
        <w:t>按双方签订的施工内容及要求进行维修。</w:t>
      </w:r>
    </w:p>
    <w:p w14:paraId="754CE12B">
      <w:pPr>
        <w:spacing w:line="360" w:lineRule="auto"/>
        <w:ind w:firstLine="400" w:firstLineChars="200"/>
        <w:rPr>
          <w:rFonts w:ascii="宋体" w:hAnsi="宋体" w:cs="宋体"/>
          <w:sz w:val="20"/>
          <w:u w:val="single"/>
        </w:rPr>
      </w:pPr>
      <w:r>
        <w:rPr>
          <w:rFonts w:hint="eastAsia" w:ascii="宋体" w:hAnsi="宋体" w:cs="宋体"/>
          <w:sz w:val="20"/>
        </w:rPr>
        <w:t>1.2维修地点：</w:t>
      </w:r>
      <w:r>
        <w:rPr>
          <w:rFonts w:hint="eastAsia" w:ascii="宋体" w:hAnsi="宋体" w:cs="宋体"/>
          <w:color w:val="auto"/>
          <w:sz w:val="20"/>
          <w:u w:val="single"/>
        </w:rPr>
        <w:t>在乙方现场进行维修。</w:t>
      </w:r>
    </w:p>
    <w:p w14:paraId="3EDCE5AC">
      <w:pPr>
        <w:spacing w:line="360" w:lineRule="auto"/>
        <w:ind w:firstLine="400" w:firstLineChars="200"/>
        <w:rPr>
          <w:rFonts w:ascii="宋体" w:hAnsi="宋体" w:cs="宋体"/>
          <w:sz w:val="20"/>
          <w:u w:val="single"/>
        </w:rPr>
      </w:pPr>
      <w:r>
        <w:rPr>
          <w:rFonts w:hint="eastAsia" w:ascii="宋体" w:hAnsi="宋体" w:cs="宋体"/>
          <w:sz w:val="20"/>
        </w:rPr>
        <w:t>1.3维修工期：</w:t>
      </w:r>
      <w:r>
        <w:rPr>
          <w:rFonts w:hint="eastAsia" w:ascii="宋体" w:hAnsi="宋体" w:cs="宋体"/>
          <w:sz w:val="20"/>
          <w:u w:val="single"/>
        </w:rPr>
        <w:t>现场安装施工</w:t>
      </w:r>
      <w:r>
        <w:rPr>
          <w:rFonts w:hint="eastAsia" w:ascii="宋体" w:hAnsi="宋体" w:cs="宋体"/>
          <w:color w:val="auto"/>
          <w:sz w:val="20"/>
          <w:u w:val="single"/>
        </w:rPr>
        <w:t>x天</w:t>
      </w:r>
      <w:r>
        <w:rPr>
          <w:rFonts w:hint="eastAsia" w:ascii="宋体" w:hAnsi="宋体" w:cs="宋体"/>
          <w:sz w:val="20"/>
          <w:u w:val="single"/>
        </w:rPr>
        <w:t>。</w:t>
      </w:r>
    </w:p>
    <w:p w14:paraId="44421423">
      <w:pPr>
        <w:spacing w:line="360" w:lineRule="auto"/>
        <w:ind w:firstLine="400" w:firstLineChars="200"/>
        <w:rPr>
          <w:rFonts w:ascii="宋体" w:hAnsi="宋体" w:cs="宋体"/>
          <w:sz w:val="20"/>
        </w:rPr>
      </w:pPr>
      <w:r>
        <w:rPr>
          <w:rFonts w:hint="eastAsia" w:ascii="宋体" w:hAnsi="宋体" w:cs="宋体"/>
          <w:sz w:val="20"/>
        </w:rPr>
        <w:t>1.4安装调试地点：</w:t>
      </w:r>
      <w:r>
        <w:rPr>
          <w:rFonts w:hint="eastAsia" w:ascii="宋体" w:hAnsi="宋体" w:cs="宋体"/>
          <w:sz w:val="20"/>
          <w:u w:val="single"/>
        </w:rPr>
        <w:t>济南成型厂。</w:t>
      </w:r>
    </w:p>
    <w:p w14:paraId="7A7EAC72">
      <w:pPr>
        <w:spacing w:line="360" w:lineRule="auto"/>
        <w:ind w:firstLine="400" w:firstLineChars="200"/>
        <w:rPr>
          <w:rFonts w:ascii="宋体" w:hAnsi="宋体" w:cs="宋体"/>
          <w:sz w:val="20"/>
          <w:u w:val="single"/>
        </w:rPr>
      </w:pPr>
      <w:r>
        <w:rPr>
          <w:rFonts w:hint="eastAsia" w:ascii="宋体" w:hAnsi="宋体" w:cs="宋体"/>
          <w:sz w:val="20"/>
        </w:rPr>
        <w:t>1.5具体施工内容及要求如下：</w:t>
      </w:r>
    </w:p>
    <w:p w14:paraId="4D01A07A">
      <w:pPr>
        <w:spacing w:line="360" w:lineRule="auto"/>
        <w:ind w:left="394" w:hanging="394" w:hangingChars="196"/>
        <w:rPr>
          <w:rFonts w:ascii="宋体" w:hAnsi="宋体" w:cs="宋体"/>
          <w:sz w:val="20"/>
        </w:rPr>
      </w:pPr>
      <w:r>
        <w:rPr>
          <w:rFonts w:hint="eastAsia" w:ascii="宋体" w:hAnsi="宋体" w:cs="宋体"/>
          <w:b/>
          <w:sz w:val="20"/>
        </w:rPr>
        <w:t>三、运输要求</w:t>
      </w:r>
    </w:p>
    <w:p w14:paraId="63D60CBF">
      <w:pPr>
        <w:spacing w:line="360" w:lineRule="auto"/>
        <w:ind w:firstLine="400" w:firstLineChars="200"/>
        <w:rPr>
          <w:rFonts w:ascii="宋体" w:hAnsi="宋体" w:cs="宋体"/>
          <w:sz w:val="20"/>
        </w:rPr>
      </w:pPr>
      <w:r>
        <w:rPr>
          <w:rFonts w:hint="eastAsia" w:ascii="宋体" w:hAnsi="宋体" w:cs="宋体"/>
          <w:sz w:val="20"/>
        </w:rPr>
        <w:t>1、乙方运输设备应符合如下要求：</w:t>
      </w:r>
    </w:p>
    <w:p w14:paraId="0D400674">
      <w:pPr>
        <w:spacing w:line="360" w:lineRule="auto"/>
        <w:ind w:firstLine="400" w:firstLineChars="200"/>
        <w:rPr>
          <w:rFonts w:ascii="宋体" w:hAnsi="宋体" w:cs="宋体"/>
          <w:sz w:val="20"/>
        </w:rPr>
      </w:pPr>
      <w:r>
        <w:rPr>
          <w:rFonts w:hint="eastAsia" w:ascii="宋体" w:hAnsi="宋体" w:cs="宋体"/>
          <w:sz w:val="20"/>
        </w:rPr>
        <w:t>1.1保证所用车辆性能良好，在年审有效期内，司机的行车证、驾驶证合法有效，身体健康、不酗酒、具有丰富的驾驶经验。</w:t>
      </w:r>
    </w:p>
    <w:p w14:paraId="6ED71BEE">
      <w:pPr>
        <w:spacing w:line="360" w:lineRule="auto"/>
        <w:ind w:firstLine="400" w:firstLineChars="200"/>
        <w:rPr>
          <w:rFonts w:ascii="宋体" w:hAnsi="宋体" w:cs="宋体"/>
          <w:sz w:val="20"/>
        </w:rPr>
      </w:pPr>
      <w:r>
        <w:rPr>
          <w:rFonts w:hint="eastAsia" w:ascii="宋体" w:hAnsi="宋体" w:cs="宋体"/>
          <w:sz w:val="20"/>
        </w:rPr>
        <w:t>1.2乙方派送到甲方运取设备人员（以下称“取货人”）需提供乙方法定代表人授权书、取货人身份证复印件，并遵守甲方出入厂的规定。乙方授权的取货人的行为视同乙方的行为，乙方应对该人员的行为承担全部法律责任。</w:t>
      </w:r>
    </w:p>
    <w:p w14:paraId="531415A3">
      <w:pPr>
        <w:spacing w:line="360" w:lineRule="auto"/>
        <w:ind w:firstLine="400" w:firstLineChars="200"/>
        <w:rPr>
          <w:rFonts w:ascii="宋体" w:hAnsi="宋体" w:cs="宋体"/>
          <w:b/>
          <w:sz w:val="20"/>
        </w:rPr>
      </w:pPr>
      <w:r>
        <w:rPr>
          <w:rFonts w:hint="eastAsia" w:ascii="宋体" w:hAnsi="宋体" w:cs="宋体"/>
          <w:sz w:val="20"/>
        </w:rPr>
        <w:t>1.3乙方现场对设备情况予以确认，有异议及时提出，乙方一旦接收，则视为甲方的设备符合乙方确认的维修状态，并适合运输，以后所发现的设备部件缺失等情况由乙方负责补齐。</w:t>
      </w:r>
    </w:p>
    <w:p w14:paraId="12F9BBBB">
      <w:pPr>
        <w:spacing w:line="360" w:lineRule="auto"/>
        <w:rPr>
          <w:rFonts w:ascii="宋体" w:hAnsi="宋体" w:cs="宋体"/>
          <w:b/>
          <w:sz w:val="20"/>
        </w:rPr>
      </w:pPr>
      <w:r>
        <w:rPr>
          <w:rFonts w:hint="eastAsia" w:ascii="宋体" w:hAnsi="宋体" w:cs="宋体"/>
          <w:b/>
          <w:sz w:val="20"/>
        </w:rPr>
        <w:t>四、包装标准、包装物的供应与回收：</w:t>
      </w:r>
      <w:r>
        <w:rPr>
          <w:rFonts w:ascii="宋体" w:hAnsi="宋体" w:cs="宋体"/>
          <w:b/>
          <w:sz w:val="20"/>
        </w:rPr>
        <w:t xml:space="preserve"> </w:t>
      </w:r>
    </w:p>
    <w:p w14:paraId="249BF522">
      <w:pPr>
        <w:spacing w:line="360" w:lineRule="auto"/>
        <w:ind w:firstLine="400" w:firstLineChars="200"/>
        <w:rPr>
          <w:rFonts w:ascii="宋体" w:hAnsi="宋体" w:cs="宋体"/>
          <w:sz w:val="20"/>
        </w:rPr>
      </w:pPr>
      <w:r>
        <w:rPr>
          <w:rFonts w:hint="eastAsia" w:ascii="宋体" w:hAnsi="宋体" w:cs="宋体"/>
          <w:sz w:val="20"/>
        </w:rPr>
        <w:t>1、乙方运输设备的包装应适于长途运输，并有良好的防潮、防锈和防野蛮装卸等保护措施，以确保产品在运输过程中不受损伤安全抵运现场。乙方应承担由于其包装、防护不妥而引起的产品锈蚀、损坏、丢失等任何损失的责任和费用。</w:t>
      </w:r>
    </w:p>
    <w:p w14:paraId="6B6198A4">
      <w:pPr>
        <w:spacing w:line="360" w:lineRule="auto"/>
        <w:rPr>
          <w:rFonts w:ascii="宋体" w:hAnsi="宋体" w:cs="宋体"/>
          <w:sz w:val="20"/>
        </w:rPr>
      </w:pPr>
      <w:r>
        <w:rPr>
          <w:rFonts w:hint="eastAsia" w:ascii="宋体" w:hAnsi="宋体" w:cs="宋体"/>
          <w:b/>
          <w:sz w:val="20"/>
        </w:rPr>
        <w:t>五、验收标准和方法：</w:t>
      </w:r>
    </w:p>
    <w:p w14:paraId="211CD6A7">
      <w:pPr>
        <w:spacing w:line="360" w:lineRule="auto"/>
        <w:ind w:firstLine="400" w:firstLineChars="200"/>
        <w:rPr>
          <w:rFonts w:ascii="宋体" w:hAnsi="宋体" w:cs="宋体"/>
          <w:sz w:val="20"/>
        </w:rPr>
      </w:pPr>
      <w:r>
        <w:rPr>
          <w:rFonts w:hint="eastAsia" w:ascii="宋体" w:hAnsi="宋体" w:cs="宋体"/>
          <w:sz w:val="20"/>
        </w:rPr>
        <w:t>按双方签订的施工内容及要求进行验收。</w:t>
      </w:r>
    </w:p>
    <w:p w14:paraId="29456085">
      <w:pPr>
        <w:spacing w:line="360" w:lineRule="auto"/>
        <w:rPr>
          <w:rFonts w:ascii="宋体" w:hAnsi="宋体" w:cs="宋体"/>
          <w:b/>
          <w:sz w:val="20"/>
        </w:rPr>
      </w:pPr>
      <w:r>
        <w:rPr>
          <w:rFonts w:hint="eastAsia" w:ascii="宋体" w:hAnsi="宋体" w:cs="宋体"/>
          <w:b/>
          <w:sz w:val="20"/>
        </w:rPr>
        <w:t>六、结算及付款方式：</w:t>
      </w:r>
    </w:p>
    <w:p w14:paraId="584B69B6">
      <w:pPr>
        <w:spacing w:line="360" w:lineRule="auto"/>
        <w:ind w:firstLine="400" w:firstLineChars="200"/>
        <w:rPr>
          <w:rFonts w:ascii="宋体" w:hAnsi="宋体" w:cs="宋体"/>
          <w:sz w:val="20"/>
        </w:rPr>
      </w:pPr>
      <w:r>
        <w:rPr>
          <w:rFonts w:hint="eastAsia" w:ascii="宋体" w:hAnsi="宋体" w:cs="宋体"/>
          <w:sz w:val="20"/>
        </w:rPr>
        <w:t>1.1合同总价款为</w:t>
      </w:r>
      <w:r>
        <w:rPr>
          <w:rFonts w:hint="eastAsia" w:ascii="宋体" w:hAnsi="宋体" w:cs="宋体"/>
          <w:sz w:val="20"/>
          <w:u w:val="single"/>
        </w:rPr>
        <w:t>¥      元</w:t>
      </w:r>
      <w:r>
        <w:rPr>
          <w:rFonts w:hint="eastAsia" w:ascii="宋体" w:hAnsi="宋体" w:cs="宋体"/>
          <w:sz w:val="20"/>
        </w:rPr>
        <w:t>（大写：</w:t>
      </w:r>
      <w:r>
        <w:rPr>
          <w:rFonts w:hint="eastAsia" w:ascii="宋体" w:hAnsi="宋体" w:cs="宋体"/>
          <w:sz w:val="20"/>
          <w:u w:val="single"/>
        </w:rPr>
        <w:t xml:space="preserve">人民币       元 </w:t>
      </w:r>
      <w:r>
        <w:rPr>
          <w:rFonts w:hint="eastAsia" w:ascii="宋体" w:hAnsi="宋体" w:cs="宋体"/>
          <w:sz w:val="20"/>
        </w:rPr>
        <w:t>，含  %增值税），即除税价格为</w:t>
      </w:r>
      <w:r>
        <w:rPr>
          <w:rFonts w:hint="eastAsia" w:ascii="宋体" w:hAnsi="宋体" w:cs="宋体"/>
          <w:sz w:val="20"/>
          <w:u w:val="single"/>
        </w:rPr>
        <w:t>¥      元（</w:t>
      </w:r>
      <w:r>
        <w:rPr>
          <w:rFonts w:hint="eastAsia" w:ascii="宋体" w:hAnsi="宋体" w:cs="宋体"/>
          <w:sz w:val="20"/>
        </w:rPr>
        <w:t>大写：</w:t>
      </w:r>
      <w:r>
        <w:rPr>
          <w:rFonts w:hint="eastAsia" w:ascii="宋体" w:hAnsi="宋体" w:cs="宋体"/>
          <w:sz w:val="20"/>
          <w:u w:val="single"/>
        </w:rPr>
        <w:t xml:space="preserve">人民币      </w:t>
      </w:r>
      <w:r>
        <w:rPr>
          <w:rFonts w:hint="eastAsia" w:ascii="宋体" w:hAnsi="宋体" w:cs="宋体"/>
          <w:sz w:val="20"/>
        </w:rPr>
        <w:t>）。若遇税率政策调整，除税价格不变，按照调整后的国家规定税率开具增值税专用发票，并调整付款额度。该价格包括但不限于维修费、设备拆解装卸费、运输费、包装费、安装调试费、税费、备品备件、指导培训、保险等全部费用。</w:t>
      </w:r>
    </w:p>
    <w:p w14:paraId="46B8F216">
      <w:pPr>
        <w:spacing w:line="360" w:lineRule="auto"/>
        <w:ind w:firstLine="400" w:firstLineChars="200"/>
        <w:rPr>
          <w:rFonts w:ascii="宋体" w:hAnsi="宋体" w:cs="宋体"/>
          <w:sz w:val="20"/>
        </w:rPr>
      </w:pPr>
      <w:r>
        <w:rPr>
          <w:rFonts w:hint="eastAsia" w:ascii="宋体" w:hAnsi="宋体" w:cs="宋体"/>
          <w:sz w:val="20"/>
        </w:rPr>
        <w:t>1.2付款方式为：</w:t>
      </w:r>
      <w:r>
        <w:rPr>
          <w:rFonts w:hint="eastAsia" w:ascii="宋体" w:hAnsi="宋体" w:cs="宋体"/>
          <w:sz w:val="20"/>
          <w:u w:val="single"/>
        </w:rPr>
        <w:t>采用挂账付款结算方式，付款账期为三个月，付款方式为</w:t>
      </w:r>
      <w:r>
        <w:rPr>
          <w:rFonts w:hint="eastAsia" w:ascii="宋体" w:hAnsi="宋体" w:cs="宋体"/>
          <w:sz w:val="20"/>
          <w:u w:val="single"/>
          <w:lang w:val="en-US" w:eastAsia="zh-CN"/>
        </w:rPr>
        <w:t>半年期商业汇票（包括银行承兑汇票和商业承兑汇票）</w:t>
      </w:r>
      <w:r>
        <w:rPr>
          <w:rFonts w:hint="eastAsia" w:ascii="宋体" w:hAnsi="宋体" w:cs="宋体"/>
          <w:sz w:val="20"/>
          <w:u w:val="single"/>
        </w:rPr>
        <w:t>。</w:t>
      </w:r>
    </w:p>
    <w:p w14:paraId="0F2C2122">
      <w:pPr>
        <w:spacing w:line="360" w:lineRule="auto"/>
        <w:ind w:firstLine="400" w:firstLineChars="200"/>
        <w:rPr>
          <w:rFonts w:ascii="宋体" w:hAnsi="宋体" w:cs="宋体"/>
          <w:sz w:val="20"/>
        </w:rPr>
      </w:pPr>
      <w:r>
        <w:rPr>
          <w:rFonts w:hint="eastAsia" w:ascii="宋体" w:hAnsi="宋体" w:cs="宋体"/>
          <w:sz w:val="20"/>
        </w:rPr>
        <w:t>1.3合同价款的支付</w:t>
      </w:r>
    </w:p>
    <w:p w14:paraId="4E02B107">
      <w:pPr>
        <w:spacing w:line="360" w:lineRule="auto"/>
        <w:ind w:firstLine="400" w:firstLineChars="200"/>
        <w:rPr>
          <w:rFonts w:ascii="宋体" w:hAnsi="宋体" w:cs="宋体"/>
          <w:sz w:val="20"/>
        </w:rPr>
      </w:pPr>
      <w:r>
        <w:rPr>
          <w:rFonts w:hint="eastAsia" w:ascii="宋体" w:hAnsi="宋体" w:cs="宋体"/>
          <w:sz w:val="20"/>
        </w:rPr>
        <w:t>1.3.1设备施工完毕，经安装、调试最终经甲方验收合格，甲方出具书面验收单，乙方开具总金额1</w:t>
      </w:r>
      <w:r>
        <w:rPr>
          <w:rFonts w:ascii="宋体" w:hAnsi="宋体" w:cs="宋体"/>
          <w:sz w:val="20"/>
        </w:rPr>
        <w:t>00%</w:t>
      </w:r>
      <w:r>
        <w:rPr>
          <w:rFonts w:hint="eastAsia" w:ascii="宋体" w:hAnsi="宋体" w:cs="宋体"/>
          <w:sz w:val="20"/>
        </w:rPr>
        <w:t xml:space="preserve">，税率为 </w:t>
      </w:r>
      <w:r>
        <w:rPr>
          <w:rFonts w:ascii="宋体" w:hAnsi="宋体" w:cs="宋体"/>
          <w:sz w:val="20"/>
          <w:u w:val="single"/>
        </w:rPr>
        <w:t>13</w:t>
      </w:r>
      <w:r>
        <w:rPr>
          <w:rFonts w:hint="eastAsia" w:ascii="宋体" w:hAnsi="宋体" w:cs="宋体"/>
          <w:sz w:val="20"/>
        </w:rPr>
        <w:t xml:space="preserve"> %的增值税专用发票经甲方审核无误，甲方在发票挂账满三个月后支付乙方总金额9</w:t>
      </w:r>
      <w:r>
        <w:rPr>
          <w:rFonts w:ascii="宋体" w:hAnsi="宋体" w:cs="宋体"/>
          <w:sz w:val="20"/>
        </w:rPr>
        <w:t>0%</w:t>
      </w:r>
      <w:r>
        <w:rPr>
          <w:rFonts w:hint="eastAsia" w:ascii="宋体" w:hAnsi="宋体" w:cs="宋体"/>
          <w:sz w:val="20"/>
          <w:highlight w:val="none"/>
        </w:rPr>
        <w:t>款项</w:t>
      </w:r>
      <w:r>
        <w:rPr>
          <w:rFonts w:hint="eastAsia" w:ascii="宋体" w:hAnsi="宋体" w:cs="宋体"/>
          <w:sz w:val="20"/>
        </w:rPr>
        <w:t>。</w:t>
      </w:r>
    </w:p>
    <w:p w14:paraId="5D2615A5">
      <w:pPr>
        <w:spacing w:line="360" w:lineRule="auto"/>
        <w:ind w:firstLine="400" w:firstLineChars="200"/>
        <w:rPr>
          <w:rFonts w:ascii="宋体" w:hAnsi="宋体" w:cs="宋体"/>
          <w:sz w:val="20"/>
        </w:rPr>
      </w:pPr>
      <w:r>
        <w:rPr>
          <w:rFonts w:hint="eastAsia" w:ascii="宋体" w:hAnsi="宋体" w:cs="宋体"/>
          <w:sz w:val="20"/>
        </w:rPr>
        <w:t>1.3.2 合同总价款的1</w:t>
      </w:r>
      <w:r>
        <w:rPr>
          <w:rFonts w:ascii="宋体" w:hAnsi="宋体" w:cs="宋体"/>
          <w:sz w:val="20"/>
        </w:rPr>
        <w:t>0%</w:t>
      </w:r>
      <w:r>
        <w:rPr>
          <w:rFonts w:hint="eastAsia" w:ascii="宋体" w:hAnsi="宋体" w:cs="宋体"/>
          <w:sz w:val="20"/>
        </w:rPr>
        <w:t xml:space="preserve">（含 </w:t>
      </w:r>
      <w:r>
        <w:rPr>
          <w:rFonts w:ascii="宋体" w:hAnsi="宋体" w:cs="宋体"/>
          <w:sz w:val="20"/>
          <w:u w:val="single"/>
        </w:rPr>
        <w:t>13</w:t>
      </w:r>
      <w:r>
        <w:rPr>
          <w:rFonts w:hint="eastAsia" w:ascii="宋体" w:hAnsi="宋体" w:cs="宋体"/>
          <w:sz w:val="20"/>
          <w:u w:val="single"/>
        </w:rPr>
        <w:t xml:space="preserve"> </w:t>
      </w:r>
      <w:r>
        <w:rPr>
          <w:rFonts w:hint="eastAsia" w:ascii="宋体" w:hAnsi="宋体" w:cs="宋体"/>
          <w:sz w:val="20"/>
        </w:rPr>
        <w:t>%增值税）作为本合同约定的质量保证金，质量保证金在本合同约定的质量保证期内不计利息，待设备质量保证期满后，设备运行稳定无故障，乙方向甲方提交相应金额的收据及设备使用单位的使用情况说明，经甲方依照财务制度审核无误后支付；如有质量问题，质量保证金予以扣除。</w:t>
      </w:r>
    </w:p>
    <w:p w14:paraId="55A22FF6">
      <w:pPr>
        <w:spacing w:line="360" w:lineRule="auto"/>
        <w:ind w:left="-105" w:leftChars="-50" w:right="-105" w:rightChars="-50"/>
        <w:rPr>
          <w:rFonts w:ascii="宋体" w:hAnsi="宋体" w:cs="宋体"/>
          <w:b/>
          <w:bCs/>
          <w:sz w:val="20"/>
        </w:rPr>
      </w:pPr>
      <w:r>
        <w:rPr>
          <w:rFonts w:hint="eastAsia" w:ascii="宋体" w:hAnsi="宋体" w:cs="宋体"/>
          <w:b/>
          <w:sz w:val="20"/>
        </w:rPr>
        <w:t>七、</w:t>
      </w:r>
      <w:r>
        <w:rPr>
          <w:rFonts w:hint="eastAsia" w:ascii="宋体" w:hAnsi="宋体" w:cs="宋体"/>
          <w:b/>
          <w:bCs/>
          <w:sz w:val="20"/>
        </w:rPr>
        <w:t>质量保证期及质量保证金</w:t>
      </w:r>
    </w:p>
    <w:p w14:paraId="2E3E35F7">
      <w:pPr>
        <w:spacing w:line="360" w:lineRule="auto"/>
        <w:ind w:firstLine="400" w:firstLineChars="200"/>
        <w:rPr>
          <w:rFonts w:ascii="宋体" w:hAnsi="宋体" w:cs="宋体"/>
          <w:sz w:val="20"/>
        </w:rPr>
      </w:pPr>
      <w:r>
        <w:rPr>
          <w:rFonts w:hint="eastAsia" w:ascii="宋体" w:hAnsi="宋体" w:cs="宋体"/>
          <w:sz w:val="20"/>
        </w:rPr>
        <w:t>1、质量保证期限为最终验收报告签署之日（以签署日期最晚者为准）起</w:t>
      </w:r>
      <w:r>
        <w:rPr>
          <w:rFonts w:hint="eastAsia" w:ascii="宋体" w:hAnsi="宋体" w:cs="宋体"/>
          <w:sz w:val="20"/>
          <w:u w:val="single"/>
        </w:rPr>
        <w:t xml:space="preserve">    </w:t>
      </w:r>
      <w:r>
        <w:rPr>
          <w:rFonts w:hint="eastAsia" w:ascii="宋体" w:hAnsi="宋体" w:cs="宋体"/>
          <w:sz w:val="20"/>
        </w:rPr>
        <w:t>个月。</w:t>
      </w:r>
    </w:p>
    <w:p w14:paraId="042707EA">
      <w:pPr>
        <w:spacing w:line="360" w:lineRule="auto"/>
        <w:ind w:firstLine="400" w:firstLineChars="200"/>
        <w:rPr>
          <w:rFonts w:ascii="宋体" w:hAnsi="宋体" w:cs="宋体"/>
          <w:sz w:val="20"/>
        </w:rPr>
      </w:pPr>
      <w:r>
        <w:rPr>
          <w:rFonts w:hint="eastAsia" w:ascii="宋体" w:hAnsi="宋体" w:cs="宋体"/>
          <w:sz w:val="20"/>
        </w:rPr>
        <w:t>2、若在质量保证期内该设备出现质量问题，乙方须应根据甲方的要求在  小时内答复或  小时内派员现场服务，费用由乙方承担。甲方有权从质量保证金中扣除相应费用，若质量保证金不足以补偿甲方因此所受到的损失，乙方须向甲方赔偿差额部分。质量保证期在重新维修验收合格后延长</w:t>
      </w:r>
      <w:r>
        <w:rPr>
          <w:rFonts w:hint="eastAsia" w:ascii="宋体" w:hAnsi="宋体" w:cs="宋体"/>
          <w:sz w:val="20"/>
          <w:u w:val="single"/>
        </w:rPr>
        <w:t>三</w:t>
      </w:r>
      <w:r>
        <w:rPr>
          <w:rFonts w:hint="eastAsia" w:ascii="宋体" w:hAnsi="宋体" w:cs="宋体"/>
          <w:sz w:val="20"/>
        </w:rPr>
        <w:t>个月。</w:t>
      </w:r>
    </w:p>
    <w:p w14:paraId="3EC01ACC">
      <w:pPr>
        <w:spacing w:line="360" w:lineRule="auto"/>
        <w:ind w:firstLine="400" w:firstLineChars="200"/>
        <w:rPr>
          <w:rFonts w:ascii="宋体" w:hAnsi="宋体" w:cs="宋体"/>
          <w:sz w:val="20"/>
        </w:rPr>
      </w:pPr>
      <w:r>
        <w:rPr>
          <w:rFonts w:hint="eastAsia" w:ascii="宋体" w:hAnsi="宋体" w:cs="宋体"/>
          <w:sz w:val="20"/>
        </w:rPr>
        <w:t>3、质量保证期届满后，如甲方需要乙方提供技术服务，乙方应在2小时内进行答复，如需到现场解决问题的，乙方应24小时内派服务人员到达甲方现场提供服务。</w:t>
      </w:r>
    </w:p>
    <w:p w14:paraId="54EE36EB">
      <w:pPr>
        <w:spacing w:line="360" w:lineRule="auto"/>
        <w:ind w:right="-105" w:rightChars="-50"/>
        <w:rPr>
          <w:rFonts w:ascii="宋体" w:hAnsi="宋体" w:cs="宋体"/>
          <w:b/>
          <w:sz w:val="20"/>
        </w:rPr>
      </w:pPr>
      <w:r>
        <w:rPr>
          <w:rFonts w:hint="eastAsia" w:ascii="宋体" w:hAnsi="宋体" w:cs="宋体"/>
          <w:b/>
          <w:sz w:val="20"/>
        </w:rPr>
        <w:t>八、保密条款</w:t>
      </w:r>
    </w:p>
    <w:p w14:paraId="1B08E5F3">
      <w:pPr>
        <w:spacing w:line="360" w:lineRule="auto"/>
        <w:ind w:firstLine="400" w:firstLineChars="200"/>
        <w:rPr>
          <w:rFonts w:ascii="宋体" w:hAnsi="宋体" w:cs="宋体"/>
          <w:sz w:val="20"/>
        </w:rPr>
      </w:pPr>
      <w:r>
        <w:rPr>
          <w:rFonts w:hint="eastAsia" w:ascii="宋体" w:hAnsi="宋体" w:cs="宋体"/>
          <w:sz w:val="20"/>
        </w:rPr>
        <w:t xml:space="preserve">乙方在维修过程中掌握的甲方的业务、产品、程序、研究或与之有关的一切数据、工艺、配方、图纸等，均属于甲方的商业秘密，未经甲方书面允许，乙方不得披露给任何第三人。设备维修完成后，乙方须将掌握的上述商业秘密全部返还给甲方，不得以任何形式和载体备份自留。 </w:t>
      </w:r>
    </w:p>
    <w:p w14:paraId="23C80848">
      <w:pPr>
        <w:spacing w:line="360" w:lineRule="auto"/>
        <w:rPr>
          <w:rFonts w:ascii="宋体" w:hAnsi="宋体" w:cs="宋体"/>
          <w:b/>
          <w:sz w:val="20"/>
        </w:rPr>
      </w:pPr>
      <w:r>
        <w:rPr>
          <w:rFonts w:hint="eastAsia" w:ascii="宋体" w:hAnsi="宋体" w:cs="宋体"/>
          <w:b/>
          <w:sz w:val="20"/>
        </w:rPr>
        <w:t>九、其它约定</w:t>
      </w:r>
    </w:p>
    <w:p w14:paraId="148C20C2">
      <w:pPr>
        <w:tabs>
          <w:tab w:val="left" w:pos="720"/>
        </w:tabs>
        <w:spacing w:line="360" w:lineRule="auto"/>
        <w:ind w:firstLine="400" w:firstLineChars="200"/>
        <w:jc w:val="left"/>
        <w:rPr>
          <w:rFonts w:ascii="宋体" w:hAnsi="宋体" w:cs="宋体"/>
          <w:sz w:val="20"/>
        </w:rPr>
      </w:pPr>
      <w:r>
        <w:rPr>
          <w:rFonts w:hint="eastAsia" w:ascii="宋体" w:hAnsi="宋体" w:cs="宋体"/>
          <w:sz w:val="20"/>
        </w:rPr>
        <w:t>1.乙方应安排具备相关资质的施工人员在甲方现场施工，遵守甲方现场安全生产有关管理规定,严格按照安全标准组织施工，并随时接受甲方安全管理人员的监督检查，乙方需采取必要的安全防护措施，消除安全隐患。由于乙方安全措施不利造成事故的责任和因此发生的一切费用均由乙方承担。</w:t>
      </w:r>
    </w:p>
    <w:p w14:paraId="534AE64F">
      <w:pPr>
        <w:tabs>
          <w:tab w:val="left" w:pos="720"/>
        </w:tabs>
        <w:spacing w:line="360" w:lineRule="auto"/>
        <w:ind w:firstLine="400" w:firstLineChars="200"/>
        <w:jc w:val="left"/>
        <w:rPr>
          <w:rFonts w:ascii="宋体" w:hAnsi="宋体" w:cs="宋体"/>
          <w:sz w:val="20"/>
        </w:rPr>
      </w:pPr>
      <w:r>
        <w:rPr>
          <w:rFonts w:hint="eastAsia" w:ascii="宋体" w:hAnsi="宋体" w:cs="宋体"/>
          <w:sz w:val="20"/>
        </w:rPr>
        <w:t>2. 乙方人员在甲方厂区内必须遵守甲方的有关管理制度，服从甲方人员的安排。乙方在甲方现场进行工作时，发生的一切人身伤害和财产损失，由乙方自行负完全责任。上述因乙方责任行为导致甲方或第三人发生损失时，乙方须对甲方或第三人因此造成的损失负全部责任并给予赔偿。</w:t>
      </w:r>
    </w:p>
    <w:p w14:paraId="1E117DC5">
      <w:pPr>
        <w:spacing w:line="360" w:lineRule="auto"/>
        <w:ind w:firstLine="400" w:firstLineChars="200"/>
        <w:rPr>
          <w:rFonts w:ascii="宋体" w:hAnsi="宋体" w:cs="宋体"/>
          <w:sz w:val="20"/>
        </w:rPr>
      </w:pPr>
      <w:r>
        <w:rPr>
          <w:rFonts w:hint="eastAsia" w:ascii="宋体" w:hAnsi="宋体" w:cs="宋体"/>
          <w:sz w:val="20"/>
        </w:rPr>
        <w:t>3. 设备调试期间，乙方应保持甲方现场的清洁，负责清理工作，并服从甲方的组织协调。施工过程中因乙方违规操作、违反国家及行业相关规定施工，造成安全、环保或设备事故，甲方有权终止合同并视甲方损失情况对乙方进行索赔，并将乙方自甲方合格供应商目录中清除。</w:t>
      </w:r>
    </w:p>
    <w:p w14:paraId="45A21316">
      <w:pPr>
        <w:spacing w:line="360" w:lineRule="auto"/>
        <w:ind w:firstLine="400" w:firstLineChars="200"/>
        <w:rPr>
          <w:rFonts w:ascii="宋体" w:hAnsi="宋体" w:cs="宋体"/>
          <w:sz w:val="20"/>
        </w:rPr>
      </w:pPr>
      <w:r>
        <w:rPr>
          <w:rFonts w:hint="eastAsia" w:ascii="宋体" w:hAnsi="宋体" w:cs="宋体"/>
          <w:sz w:val="20"/>
        </w:rPr>
        <w:t>4、设备从拆解、运输、维修至设备安装调试完成期间所发生的设备毁损风险及责任全部由乙方承担。</w:t>
      </w:r>
    </w:p>
    <w:p w14:paraId="2D3137D6">
      <w:pPr>
        <w:spacing w:line="360" w:lineRule="auto"/>
        <w:ind w:firstLine="400" w:firstLineChars="200"/>
        <w:rPr>
          <w:rFonts w:ascii="宋体" w:hAnsi="宋体" w:cs="宋体"/>
          <w:sz w:val="20"/>
        </w:rPr>
      </w:pPr>
      <w:r>
        <w:rPr>
          <w:rFonts w:hint="eastAsia" w:ascii="宋体" w:hAnsi="宋体" w:cs="宋体"/>
          <w:sz w:val="20"/>
        </w:rPr>
        <w:t>5、乙方确认本合同中的地址为其可以接收到函件的有效送达地址，如有变更应在三日内以书面形式告知甲方。否则，甲方依本合同中的乙方地址寄发函件即视为送达。</w:t>
      </w:r>
    </w:p>
    <w:p w14:paraId="39152ABE">
      <w:pPr>
        <w:spacing w:line="360" w:lineRule="auto"/>
        <w:rPr>
          <w:rFonts w:ascii="宋体" w:hAnsi="宋体" w:cs="宋体"/>
          <w:b/>
          <w:sz w:val="20"/>
        </w:rPr>
      </w:pPr>
      <w:r>
        <w:rPr>
          <w:rFonts w:hint="eastAsia" w:ascii="宋体" w:hAnsi="宋体" w:cs="宋体"/>
          <w:b/>
          <w:sz w:val="20"/>
        </w:rPr>
        <w:t>十、违约责任</w:t>
      </w:r>
    </w:p>
    <w:p w14:paraId="42FA446D">
      <w:pPr>
        <w:spacing w:line="360" w:lineRule="auto"/>
        <w:ind w:firstLine="400" w:firstLineChars="200"/>
        <w:rPr>
          <w:rFonts w:ascii="宋体" w:hAnsi="宋体" w:cs="宋体"/>
          <w:sz w:val="20"/>
        </w:rPr>
      </w:pPr>
      <w:r>
        <w:rPr>
          <w:rFonts w:hint="eastAsia" w:ascii="宋体" w:hAnsi="宋体" w:cs="宋体"/>
          <w:sz w:val="20"/>
        </w:rPr>
        <w:t>乙方未按合同的约定完成修理工作的，甲方有权按照以下一种或多种方式要求乙方赔偿：</w:t>
      </w:r>
    </w:p>
    <w:p w14:paraId="0E02D56A">
      <w:pPr>
        <w:spacing w:line="360" w:lineRule="auto"/>
        <w:ind w:firstLine="400" w:firstLineChars="200"/>
        <w:rPr>
          <w:rFonts w:ascii="宋体" w:hAnsi="宋体" w:cs="宋体"/>
          <w:sz w:val="20"/>
        </w:rPr>
      </w:pPr>
      <w:r>
        <w:rPr>
          <w:rFonts w:hint="eastAsia" w:ascii="宋体" w:hAnsi="宋体" w:cs="宋体"/>
          <w:sz w:val="20"/>
        </w:rPr>
        <w:t>1、乙方逾期交付工作成果的，每逾期一天，应当向甲方支付合同总价款</w:t>
      </w:r>
      <w:r>
        <w:rPr>
          <w:rFonts w:hint="eastAsia" w:ascii="宋体" w:hAnsi="宋体" w:cs="宋体"/>
          <w:sz w:val="20"/>
          <w:u w:val="single"/>
        </w:rPr>
        <w:t>1%</w:t>
      </w:r>
      <w:r>
        <w:rPr>
          <w:rFonts w:hint="eastAsia" w:ascii="宋体" w:hAnsi="宋体" w:cs="宋体"/>
          <w:sz w:val="20"/>
        </w:rPr>
        <w:t>的违约金。当违约金超过设备合同总金额的</w:t>
      </w:r>
      <w:r>
        <w:rPr>
          <w:rFonts w:hint="eastAsia" w:ascii="宋体" w:hAnsi="宋体" w:cs="宋体"/>
          <w:sz w:val="20"/>
          <w:u w:val="single"/>
        </w:rPr>
        <w:t>30%</w:t>
      </w:r>
      <w:r>
        <w:rPr>
          <w:rFonts w:hint="eastAsia" w:ascii="宋体" w:hAnsi="宋体" w:cs="宋体"/>
          <w:sz w:val="20"/>
        </w:rPr>
        <w:t>时，甲方有权解除本合同，且乙方应当向甲方支付上述违约金，并赔偿由此给甲方造成的一切损失和费用。</w:t>
      </w:r>
    </w:p>
    <w:p w14:paraId="273AF3C1">
      <w:pPr>
        <w:spacing w:line="360" w:lineRule="auto"/>
        <w:ind w:firstLine="400" w:firstLineChars="200"/>
        <w:rPr>
          <w:rFonts w:ascii="宋体" w:hAnsi="宋体" w:cs="宋体"/>
          <w:sz w:val="20"/>
        </w:rPr>
      </w:pPr>
      <w:r>
        <w:rPr>
          <w:rFonts w:hint="eastAsia" w:ascii="宋体" w:hAnsi="宋体" w:cs="宋体"/>
          <w:sz w:val="20"/>
        </w:rPr>
        <w:t>2、乙方未按合同规定的质量完成工作，甲方同意使用的，应当按照乙方完成的工作量及甲方遭受损失的金额，降低维修费用；甲方不同意使用的，乙方应当负责重新修理并承担上述逾期交付的责任；经过重新修整，仍不符合合同规定的，甲方有权终止合同并拒付合同款，且乙方须赔偿由此给甲方造成的一切损失。</w:t>
      </w:r>
    </w:p>
    <w:p w14:paraId="6D977B9A">
      <w:pPr>
        <w:spacing w:line="360" w:lineRule="auto"/>
        <w:ind w:firstLine="400" w:firstLineChars="200"/>
        <w:rPr>
          <w:rFonts w:ascii="宋体" w:hAnsi="宋体" w:cs="宋体"/>
          <w:sz w:val="20"/>
        </w:rPr>
      </w:pPr>
      <w:r>
        <w:rPr>
          <w:rFonts w:hint="eastAsia" w:ascii="宋体" w:hAnsi="宋体" w:cs="宋体"/>
          <w:sz w:val="20"/>
        </w:rPr>
        <w:t>3、擅自调换甲方认可的修理零部件，甲方有权拒收，乙方应赔偿甲方因此造成的损失。如甲方要求重新修理，应当按甲方要求办理，并承担逾期交付的责任。</w:t>
      </w:r>
    </w:p>
    <w:p w14:paraId="0E3F3788">
      <w:pPr>
        <w:spacing w:line="360" w:lineRule="auto"/>
        <w:ind w:firstLine="400" w:firstLineChars="200"/>
        <w:rPr>
          <w:rFonts w:ascii="宋体" w:hAnsi="宋体" w:cs="宋体"/>
          <w:sz w:val="20"/>
        </w:rPr>
      </w:pPr>
      <w:r>
        <w:rPr>
          <w:rFonts w:hint="eastAsia" w:ascii="宋体" w:hAnsi="宋体" w:cs="宋体"/>
          <w:sz w:val="20"/>
        </w:rPr>
        <w:t>4、乙方擅自使用有缺陷的零件、部件、设备或通过修理缺陷部分以使维修设备达到合同规定的规格、质量和性能，乙方应承担一切费用和风险并负担甲方遭受的一切损失，同时乙方应相应延长被更换设备的质量保证期，自重新维修验收合格后</w:t>
      </w:r>
      <w:r>
        <w:rPr>
          <w:rFonts w:hint="eastAsia" w:ascii="宋体" w:hAnsi="宋体" w:cs="宋体"/>
          <w:sz w:val="20"/>
          <w:u w:val="single"/>
        </w:rPr>
        <w:t>三</w:t>
      </w:r>
      <w:r>
        <w:rPr>
          <w:rFonts w:hint="eastAsia" w:ascii="宋体" w:hAnsi="宋体" w:cs="宋体"/>
          <w:sz w:val="20"/>
        </w:rPr>
        <w:t>个月。</w:t>
      </w:r>
    </w:p>
    <w:p w14:paraId="72696CCE">
      <w:pPr>
        <w:spacing w:line="360" w:lineRule="auto"/>
        <w:ind w:firstLine="400" w:firstLineChars="200"/>
        <w:rPr>
          <w:rFonts w:ascii="宋体" w:hAnsi="宋体" w:cs="宋体"/>
          <w:sz w:val="20"/>
        </w:rPr>
      </w:pPr>
      <w:r>
        <w:rPr>
          <w:rFonts w:hint="eastAsia" w:ascii="宋体" w:hAnsi="宋体" w:cs="宋体"/>
          <w:sz w:val="20"/>
        </w:rPr>
        <w:t>5、乙方隐瞒备件的缺陷或使用不符合规定的备件而影响质量时，甲方有权要求重新修理、减少价款或不付款。如因乙方提供的备品备件出现质量问题或其他任何归责于乙方的原因造成甲方的设备出现毁损的，乙方应当赔偿甲方因此造成的损失，赔偿金额应视设备的损坏程度及设备的价值而定。</w:t>
      </w:r>
    </w:p>
    <w:p w14:paraId="66C05A39">
      <w:pPr>
        <w:spacing w:line="360" w:lineRule="auto"/>
        <w:ind w:firstLine="400" w:firstLineChars="200"/>
        <w:rPr>
          <w:rFonts w:ascii="宋体" w:hAnsi="宋体" w:cs="宋体"/>
          <w:sz w:val="20"/>
        </w:rPr>
      </w:pPr>
      <w:r>
        <w:rPr>
          <w:rFonts w:hint="eastAsia" w:ascii="宋体" w:hAnsi="宋体" w:cs="宋体"/>
          <w:sz w:val="20"/>
        </w:rPr>
        <w:t>6、如果乙方违反本合同其他约定（包括本合同及所有附件），应赔偿因此给甲方造成的一切损失。</w:t>
      </w:r>
    </w:p>
    <w:p w14:paraId="357A18E1">
      <w:pPr>
        <w:spacing w:line="360" w:lineRule="auto"/>
        <w:rPr>
          <w:rFonts w:ascii="宋体" w:hAnsi="宋体" w:cs="宋体"/>
          <w:b/>
          <w:sz w:val="20"/>
        </w:rPr>
      </w:pPr>
      <w:r>
        <w:rPr>
          <w:rFonts w:hint="eastAsia" w:ascii="宋体" w:hAnsi="宋体" w:cs="宋体"/>
          <w:b/>
          <w:sz w:val="20"/>
        </w:rPr>
        <w:t>十一、纠纷的处理</w:t>
      </w:r>
    </w:p>
    <w:p w14:paraId="0B41D919">
      <w:pPr>
        <w:spacing w:line="360" w:lineRule="auto"/>
        <w:ind w:firstLine="500" w:firstLineChars="250"/>
        <w:rPr>
          <w:rFonts w:ascii="宋体" w:hAnsi="宋体" w:cs="宋体"/>
          <w:sz w:val="20"/>
        </w:rPr>
      </w:pPr>
      <w:r>
        <w:rPr>
          <w:rFonts w:hint="eastAsia" w:ascii="宋体" w:hAnsi="宋体" w:cs="宋体"/>
          <w:sz w:val="20"/>
        </w:rPr>
        <w:t>解决合同纠纷的方式：双方协商解决，如双方协商解决不成，向甲方所在地人民法院提起诉讼。</w:t>
      </w:r>
    </w:p>
    <w:p w14:paraId="649018DB">
      <w:pPr>
        <w:spacing w:line="360" w:lineRule="auto"/>
        <w:rPr>
          <w:rFonts w:ascii="宋体" w:hAnsi="宋体" w:cs="宋体"/>
          <w:b/>
          <w:sz w:val="20"/>
        </w:rPr>
      </w:pPr>
      <w:r>
        <w:rPr>
          <w:rFonts w:hint="eastAsia" w:ascii="宋体" w:hAnsi="宋体" w:cs="宋体"/>
          <w:b/>
          <w:sz w:val="20"/>
        </w:rPr>
        <w:t>十二、附件</w:t>
      </w:r>
    </w:p>
    <w:p w14:paraId="714151D4">
      <w:pPr>
        <w:spacing w:line="360" w:lineRule="auto"/>
        <w:ind w:firstLine="400" w:firstLineChars="200"/>
        <w:rPr>
          <w:rFonts w:ascii="宋体" w:hAnsi="宋体" w:cs="宋体"/>
          <w:sz w:val="20"/>
        </w:rPr>
      </w:pPr>
      <w:r>
        <w:rPr>
          <w:rFonts w:hint="eastAsia" w:ascii="宋体" w:hAnsi="宋体" w:cs="宋体"/>
          <w:sz w:val="20"/>
        </w:rPr>
        <w:t>1、双方签订的技术协议作为本合同的附件，具有与合同相同的法律效力。</w:t>
      </w:r>
    </w:p>
    <w:p w14:paraId="0259B06D">
      <w:pPr>
        <w:spacing w:line="360" w:lineRule="auto"/>
        <w:ind w:firstLine="400" w:firstLineChars="200"/>
        <w:rPr>
          <w:rFonts w:ascii="宋体" w:hAnsi="宋体" w:cs="宋体"/>
          <w:sz w:val="20"/>
        </w:rPr>
      </w:pPr>
      <w:r>
        <w:rPr>
          <w:rFonts w:hint="eastAsia" w:ascii="宋体" w:hAnsi="宋体" w:cs="宋体"/>
          <w:sz w:val="20"/>
        </w:rPr>
        <w:t>2、合同未尽事宜，须经双方共同协商，做出补充协议，补充协议与本合同具有同等效力。本合同附件均为本合同的组成部分，具有同等的法律效力。</w:t>
      </w:r>
    </w:p>
    <w:p w14:paraId="6E35C9C8">
      <w:pPr>
        <w:spacing w:line="360" w:lineRule="auto"/>
        <w:ind w:firstLine="400" w:firstLineChars="200"/>
        <w:rPr>
          <w:rFonts w:ascii="宋体" w:hAnsi="宋体" w:cs="宋体"/>
          <w:sz w:val="20"/>
        </w:rPr>
      </w:pPr>
      <w:r>
        <w:rPr>
          <w:rFonts w:hint="eastAsia" w:ascii="宋体" w:hAnsi="宋体" w:cs="宋体"/>
          <w:sz w:val="20"/>
        </w:rPr>
        <w:t>3、本合同自双方签署之日起生效。本合同一式四份，甲方三份，乙方一份。</w:t>
      </w:r>
    </w:p>
    <w:p w14:paraId="520417FF">
      <w:pPr>
        <w:spacing w:line="360" w:lineRule="auto"/>
        <w:rPr>
          <w:rFonts w:ascii="宋体" w:hAnsi="宋体" w:cs="宋体"/>
          <w:sz w:val="20"/>
        </w:rPr>
      </w:pPr>
    </w:p>
    <w:p w14:paraId="5FCA64D2">
      <w:pPr>
        <w:spacing w:line="360" w:lineRule="auto"/>
        <w:ind w:firstLine="400" w:firstLineChars="200"/>
        <w:rPr>
          <w:rFonts w:ascii="宋体" w:hAnsi="宋体" w:cs="宋体"/>
          <w:sz w:val="20"/>
        </w:rPr>
      </w:pPr>
    </w:p>
    <w:p w14:paraId="534922CE">
      <w:pPr>
        <w:widowControl/>
        <w:adjustRightInd w:val="0"/>
        <w:snapToGrid w:val="0"/>
        <w:spacing w:line="360" w:lineRule="auto"/>
        <w:jc w:val="left"/>
        <w:rPr>
          <w:rFonts w:ascii="宋体" w:hAnsi="宋体"/>
          <w:snapToGrid w:val="0"/>
          <w:kern w:val="0"/>
          <w:sz w:val="20"/>
        </w:rPr>
      </w:pPr>
      <w:r>
        <w:rPr>
          <w:rFonts w:hint="eastAsia" w:ascii="宋体" w:hAnsi="宋体"/>
          <w:snapToGrid w:val="0"/>
          <w:kern w:val="0"/>
          <w:sz w:val="20"/>
        </w:rPr>
        <w:t xml:space="preserve">甲方（盖章）：中国重汽集团济南动力有限公司 </w:t>
      </w:r>
      <w:r>
        <w:rPr>
          <w:rFonts w:ascii="宋体" w:hAnsi="宋体"/>
          <w:snapToGrid w:val="0"/>
          <w:kern w:val="0"/>
          <w:sz w:val="20"/>
        </w:rPr>
        <w:t xml:space="preserve"> </w:t>
      </w:r>
      <w:r>
        <w:rPr>
          <w:rFonts w:hint="eastAsia" w:ascii="宋体" w:hAnsi="宋体"/>
          <w:snapToGrid w:val="0"/>
          <w:kern w:val="0"/>
          <w:sz w:val="20"/>
        </w:rPr>
        <w:t>乙方（盖章）：</w:t>
      </w:r>
    </w:p>
    <w:p w14:paraId="308241BA">
      <w:pPr>
        <w:widowControl/>
        <w:adjustRightInd w:val="0"/>
        <w:snapToGrid w:val="0"/>
        <w:spacing w:line="360" w:lineRule="auto"/>
        <w:jc w:val="left"/>
        <w:rPr>
          <w:rFonts w:ascii="宋体" w:hAnsi="宋体"/>
          <w:snapToGrid w:val="0"/>
          <w:kern w:val="0"/>
          <w:sz w:val="20"/>
        </w:rPr>
      </w:pPr>
    </w:p>
    <w:p w14:paraId="242576C4">
      <w:pPr>
        <w:widowControl/>
        <w:adjustRightInd w:val="0"/>
        <w:snapToGrid w:val="0"/>
        <w:spacing w:line="360" w:lineRule="auto"/>
        <w:jc w:val="left"/>
        <w:rPr>
          <w:rFonts w:ascii="宋体" w:hAnsi="宋体"/>
          <w:snapToGrid w:val="0"/>
          <w:kern w:val="0"/>
          <w:sz w:val="20"/>
        </w:rPr>
      </w:pPr>
      <w:r>
        <w:rPr>
          <w:rFonts w:ascii="宋体" w:hAnsi="宋体"/>
          <w:snapToGrid w:val="0"/>
          <w:kern w:val="0"/>
          <w:sz w:val="20"/>
        </w:rPr>
        <w:t>法定代表人或代理人（签字）：               法定代表人或代理人（签字）：</w:t>
      </w:r>
    </w:p>
    <w:p w14:paraId="6B1CF979">
      <w:pPr>
        <w:widowControl/>
        <w:adjustRightInd w:val="0"/>
        <w:snapToGrid w:val="0"/>
        <w:spacing w:line="360" w:lineRule="auto"/>
        <w:jc w:val="left"/>
        <w:rPr>
          <w:rFonts w:ascii="宋体" w:hAnsi="宋体"/>
          <w:snapToGrid w:val="0"/>
          <w:kern w:val="0"/>
          <w:sz w:val="20"/>
        </w:rPr>
      </w:pPr>
    </w:p>
    <w:p w14:paraId="421409AD">
      <w:pPr>
        <w:widowControl/>
        <w:adjustRightInd w:val="0"/>
        <w:snapToGrid w:val="0"/>
        <w:spacing w:line="360" w:lineRule="auto"/>
        <w:jc w:val="left"/>
        <w:rPr>
          <w:rFonts w:ascii="宋体" w:hAnsi="宋体"/>
          <w:snapToGrid w:val="0"/>
          <w:kern w:val="0"/>
          <w:sz w:val="20"/>
        </w:rPr>
      </w:pPr>
      <w:r>
        <w:rPr>
          <w:rFonts w:ascii="宋体" w:hAnsi="宋体"/>
          <w:snapToGrid w:val="0"/>
          <w:kern w:val="0"/>
          <w:sz w:val="20"/>
        </w:rPr>
        <w:t>地  址：</w:t>
      </w:r>
      <w:r>
        <w:rPr>
          <w:rFonts w:hint="eastAsia" w:ascii="宋体" w:hAnsi="宋体"/>
          <w:snapToGrid w:val="0"/>
          <w:kern w:val="0"/>
          <w:sz w:val="20"/>
        </w:rPr>
        <w:t>章丘区</w:t>
      </w:r>
      <w:r>
        <w:rPr>
          <w:rFonts w:ascii="宋体" w:hAnsi="宋体"/>
          <w:snapToGrid w:val="0"/>
          <w:kern w:val="0"/>
          <w:sz w:val="20"/>
        </w:rPr>
        <w:t xml:space="preserve">圣井唐王山路北潘王路西       地  址： </w:t>
      </w:r>
    </w:p>
    <w:p w14:paraId="34940036">
      <w:pPr>
        <w:widowControl/>
        <w:adjustRightInd w:val="0"/>
        <w:snapToGrid w:val="0"/>
        <w:spacing w:line="360" w:lineRule="auto"/>
        <w:jc w:val="left"/>
        <w:rPr>
          <w:rFonts w:ascii="宋体" w:hAnsi="宋体"/>
          <w:snapToGrid w:val="0"/>
          <w:kern w:val="0"/>
          <w:sz w:val="20"/>
        </w:rPr>
      </w:pPr>
      <w:r>
        <w:rPr>
          <w:rFonts w:ascii="宋体" w:hAnsi="宋体"/>
          <w:snapToGrid w:val="0"/>
          <w:kern w:val="0"/>
          <w:sz w:val="20"/>
        </w:rPr>
        <w:t>电话：</w:t>
      </w:r>
      <w:r>
        <w:rPr>
          <w:rFonts w:hint="eastAsia" w:ascii="宋体" w:hAnsi="宋体"/>
          <w:snapToGrid w:val="0"/>
          <w:kern w:val="0"/>
          <w:sz w:val="20"/>
        </w:rPr>
        <w:t>0531-58062198</w:t>
      </w:r>
      <w:r>
        <w:rPr>
          <w:rFonts w:ascii="宋体" w:hAnsi="宋体"/>
          <w:snapToGrid w:val="0"/>
          <w:kern w:val="0"/>
          <w:sz w:val="20"/>
        </w:rPr>
        <w:t xml:space="preserve">            </w:t>
      </w:r>
      <w:r>
        <w:rPr>
          <w:rFonts w:hint="eastAsia" w:ascii="宋体" w:hAnsi="宋体"/>
          <w:snapToGrid w:val="0"/>
          <w:kern w:val="0"/>
          <w:sz w:val="20"/>
        </w:rPr>
        <w:t xml:space="preserve">            </w:t>
      </w:r>
      <w:r>
        <w:rPr>
          <w:rFonts w:ascii="宋体" w:hAnsi="宋体"/>
          <w:snapToGrid w:val="0"/>
          <w:kern w:val="0"/>
          <w:sz w:val="20"/>
        </w:rPr>
        <w:t xml:space="preserve">电话： </w:t>
      </w:r>
    </w:p>
    <w:p w14:paraId="721CE7FA">
      <w:pPr>
        <w:widowControl/>
        <w:adjustRightInd w:val="0"/>
        <w:snapToGrid w:val="0"/>
        <w:spacing w:line="360" w:lineRule="auto"/>
        <w:jc w:val="left"/>
        <w:rPr>
          <w:rFonts w:ascii="宋体" w:hAnsi="宋体"/>
          <w:snapToGrid w:val="0"/>
          <w:kern w:val="0"/>
          <w:sz w:val="20"/>
        </w:rPr>
      </w:pPr>
      <w:r>
        <w:rPr>
          <w:rFonts w:ascii="宋体" w:hAnsi="宋体"/>
          <w:snapToGrid w:val="0"/>
          <w:kern w:val="0"/>
          <w:sz w:val="20"/>
        </w:rPr>
        <w:t>传真：</w:t>
      </w:r>
      <w:r>
        <w:rPr>
          <w:rFonts w:hint="eastAsia" w:ascii="宋体" w:hAnsi="宋体"/>
          <w:snapToGrid w:val="0"/>
          <w:kern w:val="0"/>
          <w:sz w:val="20"/>
        </w:rPr>
        <w:t>0531-58069900</w:t>
      </w:r>
      <w:r>
        <w:rPr>
          <w:rFonts w:ascii="宋体" w:hAnsi="宋体"/>
          <w:snapToGrid w:val="0"/>
          <w:kern w:val="0"/>
          <w:sz w:val="20"/>
        </w:rPr>
        <w:t xml:space="preserve">  </w:t>
      </w:r>
      <w:r>
        <w:rPr>
          <w:rFonts w:hint="eastAsia" w:ascii="宋体" w:hAnsi="宋体"/>
          <w:snapToGrid w:val="0"/>
          <w:kern w:val="0"/>
          <w:sz w:val="20"/>
        </w:rPr>
        <w:t xml:space="preserve">                      </w:t>
      </w:r>
      <w:r>
        <w:rPr>
          <w:rFonts w:ascii="宋体" w:hAnsi="宋体"/>
          <w:snapToGrid w:val="0"/>
          <w:kern w:val="0"/>
          <w:sz w:val="20"/>
        </w:rPr>
        <w:t xml:space="preserve">传真： </w:t>
      </w:r>
    </w:p>
    <w:p w14:paraId="432E6981">
      <w:pPr>
        <w:widowControl/>
        <w:adjustRightInd w:val="0"/>
        <w:snapToGrid w:val="0"/>
        <w:spacing w:line="360" w:lineRule="auto"/>
        <w:jc w:val="left"/>
        <w:rPr>
          <w:rFonts w:ascii="宋体" w:hAnsi="宋体"/>
          <w:snapToGrid w:val="0"/>
          <w:kern w:val="0"/>
          <w:sz w:val="20"/>
        </w:rPr>
      </w:pPr>
      <w:r>
        <w:rPr>
          <w:rFonts w:ascii="宋体" w:hAnsi="宋体"/>
          <w:snapToGrid w:val="0"/>
          <w:kern w:val="0"/>
          <w:sz w:val="20"/>
        </w:rPr>
        <w:t>开户银行：</w:t>
      </w:r>
      <w:r>
        <w:rPr>
          <w:rFonts w:hint="eastAsia" w:ascii="宋体" w:hAnsi="宋体"/>
          <w:snapToGrid w:val="0"/>
          <w:kern w:val="0"/>
          <w:sz w:val="20"/>
        </w:rPr>
        <w:t>中国</w:t>
      </w:r>
      <w:r>
        <w:rPr>
          <w:rFonts w:ascii="宋体" w:hAnsi="宋体"/>
          <w:snapToGrid w:val="0"/>
          <w:kern w:val="0"/>
          <w:sz w:val="20"/>
        </w:rPr>
        <w:t xml:space="preserve">银行章丘支行              </w:t>
      </w:r>
      <w:r>
        <w:rPr>
          <w:rFonts w:hint="eastAsia" w:ascii="宋体" w:hAnsi="宋体"/>
          <w:snapToGrid w:val="0"/>
          <w:kern w:val="0"/>
          <w:sz w:val="20"/>
        </w:rPr>
        <w:t xml:space="preserve">   </w:t>
      </w:r>
      <w:r>
        <w:rPr>
          <w:rFonts w:ascii="宋体" w:hAnsi="宋体"/>
          <w:snapToGrid w:val="0"/>
          <w:kern w:val="0"/>
          <w:sz w:val="20"/>
        </w:rPr>
        <w:t xml:space="preserve">开户银行：   </w:t>
      </w:r>
    </w:p>
    <w:p w14:paraId="2AF9C88E">
      <w:pPr>
        <w:widowControl/>
        <w:adjustRightInd w:val="0"/>
        <w:snapToGrid w:val="0"/>
        <w:spacing w:line="360" w:lineRule="auto"/>
        <w:jc w:val="left"/>
        <w:rPr>
          <w:rFonts w:ascii="宋体" w:hAnsi="宋体"/>
          <w:snapToGrid w:val="0"/>
          <w:kern w:val="0"/>
          <w:sz w:val="20"/>
        </w:rPr>
      </w:pPr>
      <w:r>
        <w:rPr>
          <w:rFonts w:ascii="宋体" w:hAnsi="宋体"/>
          <w:snapToGrid w:val="0"/>
          <w:kern w:val="0"/>
          <w:sz w:val="20"/>
        </w:rPr>
        <w:t>账 号：</w:t>
      </w:r>
      <w:r>
        <w:rPr>
          <w:rFonts w:hint="eastAsia" w:ascii="宋体" w:hAnsi="宋体"/>
          <w:snapToGrid w:val="0"/>
          <w:kern w:val="0"/>
          <w:sz w:val="20"/>
        </w:rPr>
        <w:t>237705574474</w:t>
      </w:r>
      <w:r>
        <w:rPr>
          <w:rFonts w:ascii="宋体" w:hAnsi="宋体"/>
          <w:snapToGrid w:val="0"/>
          <w:kern w:val="0"/>
          <w:sz w:val="20"/>
        </w:rPr>
        <w:t xml:space="preserve">     </w:t>
      </w:r>
      <w:r>
        <w:rPr>
          <w:rFonts w:hint="eastAsia" w:ascii="宋体" w:hAnsi="宋体"/>
          <w:snapToGrid w:val="0"/>
          <w:kern w:val="0"/>
          <w:sz w:val="20"/>
        </w:rPr>
        <w:t xml:space="preserve">              </w:t>
      </w:r>
      <w:r>
        <w:rPr>
          <w:rFonts w:ascii="宋体" w:hAnsi="宋体"/>
          <w:snapToGrid w:val="0"/>
          <w:kern w:val="0"/>
          <w:sz w:val="20"/>
        </w:rPr>
        <w:t xml:space="preserve">    </w:t>
      </w:r>
      <w:r>
        <w:rPr>
          <w:rFonts w:hint="eastAsia" w:ascii="宋体" w:hAnsi="宋体"/>
          <w:snapToGrid w:val="0"/>
          <w:kern w:val="0"/>
          <w:sz w:val="20"/>
        </w:rPr>
        <w:t xml:space="preserve"> </w:t>
      </w:r>
      <w:r>
        <w:rPr>
          <w:rFonts w:ascii="宋体" w:hAnsi="宋体"/>
          <w:snapToGrid w:val="0"/>
          <w:kern w:val="0"/>
          <w:sz w:val="20"/>
        </w:rPr>
        <w:t xml:space="preserve">账 号： </w:t>
      </w:r>
    </w:p>
    <w:p w14:paraId="4F9AA547">
      <w:pPr>
        <w:spacing w:line="360" w:lineRule="auto"/>
        <w:rPr>
          <w:rFonts w:ascii="宋体" w:hAnsi="宋体" w:cs="宋体"/>
          <w:sz w:val="20"/>
        </w:rPr>
      </w:pPr>
    </w:p>
    <w:p w14:paraId="323D95DD"/>
    <w:p w14:paraId="46F44EAB"/>
    <w:p w14:paraId="618E17C8">
      <w:pPr>
        <w:jc w:val="center"/>
        <w:rPr>
          <w:rFonts w:ascii="宋体" w:hAnsi="宋体"/>
        </w:rPr>
      </w:pPr>
      <w:r>
        <w:rPr>
          <w:rFonts w:hint="eastAsia" w:ascii="宋体" w:hAnsi="宋体"/>
        </w:rPr>
        <w:t>签约日期：  20xx  年  xx 月  xx 日</w:t>
      </w:r>
    </w:p>
    <w:p w14:paraId="15307C41">
      <w:pPr>
        <w:rPr>
          <w:rFonts w:ascii="宋体" w:hAnsi="宋体"/>
          <w:sz w:val="24"/>
        </w:rPr>
      </w:pPr>
    </w:p>
    <w:p w14:paraId="7AF06657">
      <w:pPr>
        <w:pStyle w:val="25"/>
        <w:outlineLvl w:val="1"/>
        <w:rPr>
          <w:rFonts w:hint="eastAsia" w:hAnsi="宋体" w:eastAsia="宋体" w:cs="宋体"/>
          <w:b/>
          <w:bCs/>
          <w:color w:val="000000"/>
          <w:sz w:val="24"/>
          <w:szCs w:val="24"/>
          <w:highlight w:val="none"/>
        </w:rPr>
      </w:pPr>
    </w:p>
    <w:p w14:paraId="0265FCE5">
      <w:pPr>
        <w:pStyle w:val="25"/>
        <w:outlineLvl w:val="1"/>
        <w:rPr>
          <w:rFonts w:hint="eastAsia" w:hAnsi="宋体" w:eastAsia="宋体" w:cs="宋体"/>
          <w:b/>
          <w:bCs/>
          <w:color w:val="000000"/>
          <w:sz w:val="24"/>
          <w:szCs w:val="24"/>
          <w:highlight w:val="none"/>
        </w:rPr>
      </w:pPr>
    </w:p>
    <w:p w14:paraId="09946114">
      <w:pPr>
        <w:pStyle w:val="25"/>
        <w:outlineLvl w:val="1"/>
        <w:rPr>
          <w:rFonts w:hint="eastAsia" w:hAnsi="宋体" w:eastAsia="宋体" w:cs="宋体"/>
          <w:b/>
          <w:bCs/>
          <w:color w:val="000000"/>
          <w:sz w:val="24"/>
          <w:szCs w:val="24"/>
          <w:highlight w:val="none"/>
        </w:rPr>
      </w:pPr>
    </w:p>
    <w:p w14:paraId="0C4AA0E2">
      <w:pPr>
        <w:pStyle w:val="25"/>
        <w:outlineLvl w:val="1"/>
        <w:rPr>
          <w:rFonts w:hint="eastAsia" w:hAnsi="宋体" w:eastAsia="宋体" w:cs="宋体"/>
          <w:b/>
          <w:bCs/>
          <w:color w:val="000000"/>
          <w:sz w:val="24"/>
          <w:szCs w:val="24"/>
          <w:highlight w:val="none"/>
        </w:rPr>
      </w:pPr>
    </w:p>
    <w:p w14:paraId="131E664A">
      <w:pPr>
        <w:pStyle w:val="25"/>
        <w:outlineLvl w:val="1"/>
        <w:rPr>
          <w:rFonts w:hint="eastAsia" w:hAnsi="宋体" w:eastAsia="宋体" w:cs="宋体"/>
          <w:b/>
          <w:bCs/>
          <w:color w:val="000000"/>
          <w:sz w:val="24"/>
          <w:szCs w:val="24"/>
          <w:highlight w:val="none"/>
        </w:rPr>
      </w:pPr>
    </w:p>
    <w:p w14:paraId="53698B88">
      <w:pPr>
        <w:pStyle w:val="25"/>
        <w:outlineLvl w:val="1"/>
        <w:rPr>
          <w:rFonts w:hint="eastAsia" w:hAnsi="宋体" w:eastAsia="宋体" w:cs="宋体"/>
          <w:b/>
          <w:bCs/>
          <w:color w:val="000000"/>
          <w:sz w:val="24"/>
          <w:szCs w:val="24"/>
          <w:highlight w:val="none"/>
        </w:rPr>
      </w:pPr>
    </w:p>
    <w:p w14:paraId="6E2A6DC7">
      <w:pPr>
        <w:pStyle w:val="25"/>
        <w:outlineLvl w:val="1"/>
        <w:rPr>
          <w:rFonts w:hint="eastAsia" w:hAnsi="宋体" w:eastAsia="宋体" w:cs="宋体"/>
          <w:b/>
          <w:bCs/>
          <w:color w:val="000000"/>
          <w:sz w:val="24"/>
          <w:szCs w:val="24"/>
          <w:highlight w:val="none"/>
        </w:rPr>
      </w:pPr>
    </w:p>
    <w:p w14:paraId="5116DE94">
      <w:pPr>
        <w:pStyle w:val="25"/>
        <w:outlineLvl w:val="1"/>
        <w:rPr>
          <w:rFonts w:hint="eastAsia" w:hAnsi="宋体" w:eastAsia="宋体" w:cs="宋体"/>
          <w:b/>
          <w:bCs/>
          <w:color w:val="000000"/>
          <w:sz w:val="24"/>
          <w:szCs w:val="24"/>
          <w:highlight w:val="none"/>
        </w:rPr>
      </w:pPr>
    </w:p>
    <w:p w14:paraId="4515975E">
      <w:pPr>
        <w:pStyle w:val="25"/>
        <w:outlineLvl w:val="1"/>
        <w:rPr>
          <w:rFonts w:hint="eastAsia" w:hAnsi="宋体" w:eastAsia="宋体" w:cs="宋体"/>
          <w:b/>
          <w:bCs/>
          <w:color w:val="000000"/>
          <w:sz w:val="24"/>
          <w:szCs w:val="24"/>
          <w:highlight w:val="none"/>
        </w:rPr>
      </w:pPr>
    </w:p>
    <w:p w14:paraId="5608E88B">
      <w:pPr>
        <w:pStyle w:val="25"/>
        <w:outlineLvl w:val="1"/>
        <w:rPr>
          <w:rFonts w:hint="eastAsia" w:hAnsi="宋体" w:eastAsia="宋体" w:cs="宋体"/>
          <w:b/>
          <w:bCs/>
          <w:color w:val="000000"/>
          <w:sz w:val="24"/>
          <w:szCs w:val="24"/>
          <w:highlight w:val="none"/>
        </w:rPr>
      </w:pPr>
    </w:p>
    <w:p w14:paraId="6CD2B4BE">
      <w:pPr>
        <w:pStyle w:val="25"/>
        <w:outlineLvl w:val="1"/>
        <w:rPr>
          <w:rFonts w:hint="eastAsia" w:hAnsi="宋体" w:eastAsia="宋体" w:cs="宋体"/>
          <w:b/>
          <w:bCs/>
          <w:color w:val="000000"/>
          <w:sz w:val="24"/>
          <w:szCs w:val="24"/>
          <w:highlight w:val="none"/>
        </w:rPr>
      </w:pPr>
    </w:p>
    <w:p w14:paraId="5542C61D">
      <w:pPr>
        <w:pStyle w:val="25"/>
        <w:outlineLvl w:val="1"/>
        <w:rPr>
          <w:rFonts w:hint="eastAsia" w:hAnsi="宋体" w:eastAsia="宋体" w:cs="宋体"/>
          <w:b/>
          <w:bCs/>
          <w:color w:val="000000"/>
          <w:sz w:val="24"/>
          <w:szCs w:val="24"/>
          <w:highlight w:val="none"/>
        </w:rPr>
      </w:pPr>
    </w:p>
    <w:p w14:paraId="17AFED82">
      <w:pPr>
        <w:pStyle w:val="25"/>
        <w:outlineLvl w:val="1"/>
        <w:rPr>
          <w:rFonts w:hint="eastAsia" w:hAnsi="宋体" w:eastAsia="宋体" w:cs="宋体"/>
          <w:b/>
          <w:bCs/>
          <w:color w:val="000000"/>
          <w:sz w:val="24"/>
          <w:szCs w:val="24"/>
          <w:highlight w:val="none"/>
        </w:rPr>
      </w:pPr>
    </w:p>
    <w:p w14:paraId="0B13CA40">
      <w:pPr>
        <w:pStyle w:val="25"/>
        <w:outlineLvl w:val="1"/>
        <w:rPr>
          <w:rFonts w:hAnsi="宋体" w:eastAsia="宋体" w:cs="宋体"/>
          <w:b/>
          <w:bCs/>
          <w:color w:val="000000"/>
          <w:sz w:val="24"/>
          <w:szCs w:val="24"/>
        </w:rPr>
      </w:pPr>
      <w:r>
        <w:rPr>
          <w:rFonts w:hint="eastAsia" w:hAnsi="宋体" w:eastAsia="宋体" w:cs="宋体"/>
          <w:b/>
          <w:bCs/>
          <w:color w:val="000000"/>
          <w:sz w:val="24"/>
          <w:szCs w:val="24"/>
          <w:highlight w:val="none"/>
        </w:rPr>
        <w:t>附件</w:t>
      </w:r>
      <w:r>
        <w:rPr>
          <w:rFonts w:hint="eastAsia" w:hAnsi="宋体" w:cs="宋体"/>
          <w:b/>
          <w:bCs/>
          <w:color w:val="000000"/>
          <w:sz w:val="24"/>
          <w:szCs w:val="24"/>
          <w:highlight w:val="none"/>
          <w:lang w:val="en-US" w:eastAsia="zh-CN"/>
        </w:rPr>
        <w:t>一</w:t>
      </w:r>
      <w:r>
        <w:rPr>
          <w:rFonts w:hint="eastAsia" w:hAnsi="宋体" w:eastAsia="宋体" w:cs="宋体"/>
          <w:b/>
          <w:bCs/>
          <w:color w:val="000000"/>
          <w:sz w:val="24"/>
          <w:szCs w:val="24"/>
          <w:highlight w:val="none"/>
        </w:rPr>
        <w:t xml:space="preserve"> </w:t>
      </w:r>
      <w:r>
        <w:rPr>
          <w:rFonts w:hint="eastAsia" w:hAnsi="宋体" w:eastAsia="宋体" w:cs="宋体"/>
          <w:b/>
          <w:bCs/>
          <w:color w:val="000000"/>
          <w:sz w:val="24"/>
          <w:szCs w:val="24"/>
        </w:rPr>
        <w:t>SRM非生产供应商注册操作手册</w:t>
      </w:r>
    </w:p>
    <w:p w14:paraId="1F340AF8">
      <w:pPr>
        <w:adjustRightInd w:val="0"/>
        <w:snapToGrid w:val="0"/>
        <w:jc w:val="left"/>
        <w:rPr>
          <w:rFonts w:ascii="宋体" w:hAnsi="宋体" w:eastAsia="宋体" w:cs="宋体"/>
          <w:sz w:val="24"/>
          <w:szCs w:val="24"/>
        </w:rPr>
      </w:pPr>
    </w:p>
    <w:p w14:paraId="44286618">
      <w:pPr>
        <w:adjustRightInd w:val="0"/>
        <w:snapToGrid w:val="0"/>
        <w:spacing w:line="360" w:lineRule="auto"/>
        <w:jc w:val="left"/>
        <w:rPr>
          <w:rFonts w:ascii="宋体" w:hAnsi="宋体" w:eastAsia="宋体" w:cs="宋体"/>
          <w:sz w:val="24"/>
          <w:szCs w:val="24"/>
        </w:rPr>
      </w:pPr>
      <w:r>
        <w:rPr>
          <w:rFonts w:ascii="宋体" w:hAnsi="宋体" w:eastAsia="宋体" w:cs="宋体"/>
          <w:sz w:val="24"/>
          <w:szCs w:val="24"/>
        </w:rPr>
        <w:t>浏览器中输入地址;</w:t>
      </w:r>
    </w:p>
    <w:p w14:paraId="53F35A8F">
      <w:pPr>
        <w:adjustRightInd w:val="0"/>
        <w:snapToGrid w:val="0"/>
        <w:spacing w:line="360" w:lineRule="auto"/>
        <w:jc w:val="left"/>
        <w:rPr>
          <w:rFonts w:hint="eastAsia" w:ascii="宋体" w:hAnsi="宋体" w:cs="宋体"/>
          <w:b/>
          <w:bCs/>
          <w:sz w:val="24"/>
          <w:szCs w:val="24"/>
          <w:lang w:val="en-US" w:eastAsia="zh-CN"/>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lang w:val="en-US" w:eastAsia="zh-CN"/>
        </w:rPr>
        <w:t>s</w:t>
      </w:r>
      <w:r>
        <w:rPr>
          <w:rFonts w:ascii="宋体" w:hAnsi="宋体" w:eastAsia="宋体" w:cs="宋体"/>
          <w:sz w:val="24"/>
          <w:szCs w:val="24"/>
        </w:rPr>
        <w:t>://ecaitong.sinotruk.com:8012/#/login</w:t>
      </w:r>
      <w:r>
        <w:rPr>
          <w:rFonts w:ascii="宋体" w:hAnsi="宋体" w:eastAsia="宋体" w:cs="宋体"/>
          <w:sz w:val="24"/>
          <w:szCs w:val="24"/>
        </w:rPr>
        <w:fldChar w:fldCharType="end"/>
      </w:r>
      <w:r>
        <w:rPr>
          <w:rFonts w:ascii="宋体" w:hAnsi="宋体" w:eastAsia="宋体" w:cs="宋体"/>
          <w:sz w:val="24"/>
          <w:szCs w:val="24"/>
        </w:rPr>
        <w:br w:type="textWrapping"/>
      </w:r>
      <w:r>
        <w:rPr>
          <w:rFonts w:hint="eastAsia" w:ascii="宋体" w:hAnsi="宋体" w:eastAsia="宋体" w:cs="宋体"/>
          <w:sz w:val="24"/>
          <w:szCs w:val="24"/>
          <w:lang w:val="en-US" w:eastAsia="zh-CN"/>
        </w:rPr>
        <w:t>1.下载《供应商用户手册》</w:t>
      </w:r>
    </w:p>
    <w:p w14:paraId="5FE81A02">
      <w:pPr>
        <w:outlineLvl w:val="9"/>
        <w:rPr>
          <w:rFonts w:hint="default"/>
          <w:lang w:val="en-US" w:eastAsia="zh-CN"/>
        </w:rPr>
      </w:pPr>
      <w:r>
        <w:drawing>
          <wp:inline distT="0" distB="0" distL="114300" distR="114300">
            <wp:extent cx="5758815" cy="2764790"/>
            <wp:effectExtent l="0" t="0" r="6985"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6"/>
                    <a:stretch>
                      <a:fillRect/>
                    </a:stretch>
                  </pic:blipFill>
                  <pic:spPr>
                    <a:xfrm>
                      <a:off x="0" y="0"/>
                      <a:ext cx="5758815" cy="2764790"/>
                    </a:xfrm>
                    <a:prstGeom prst="rect">
                      <a:avLst/>
                    </a:prstGeom>
                    <a:noFill/>
                    <a:ln>
                      <a:noFill/>
                    </a:ln>
                  </pic:spPr>
                </pic:pic>
              </a:graphicData>
            </a:graphic>
          </wp:inline>
        </w:drawing>
      </w:r>
    </w:p>
    <w:p w14:paraId="6B66287E">
      <w:pPr>
        <w:keepNext w:val="0"/>
        <w:keepLines w:val="0"/>
        <w:pageBreakBefore w:val="0"/>
        <w:widowControl w:val="0"/>
        <w:kinsoku/>
        <w:wordWrap/>
        <w:overflowPunct/>
        <w:topLinePunct w:val="0"/>
        <w:autoSpaceDE/>
        <w:autoSpaceDN/>
        <w:bidi w:val="0"/>
        <w:adjustRightInd w:val="0"/>
        <w:snapToGrid w:val="0"/>
        <w:spacing w:before="313" w:beforeLines="100" w:after="157" w:afterLines="50" w:line="440" w:lineRule="exact"/>
        <w:jc w:val="left"/>
        <w:textAlignment w:val="auto"/>
        <w:outlineLvl w:val="2"/>
        <w:rPr>
          <w:rFonts w:hint="default" w:ascii="宋体" w:hAnsi="宋体" w:eastAsia="宋体" w:cs="宋体"/>
          <w:b/>
          <w:bCs/>
          <w:sz w:val="24"/>
          <w:szCs w:val="24"/>
          <w:lang w:val="en-US" w:eastAsia="zh-CN"/>
        </w:rPr>
      </w:pPr>
      <w:r>
        <w:rPr>
          <w:rFonts w:hint="eastAsia" w:ascii="宋体" w:hAnsi="宋体" w:cs="宋体"/>
          <w:b/>
          <w:bCs/>
          <w:sz w:val="24"/>
          <w:szCs w:val="24"/>
          <w:lang w:val="en-US" w:eastAsia="zh-CN"/>
        </w:rPr>
        <w:t>一、首次注册</w:t>
      </w:r>
    </w:p>
    <w:p w14:paraId="06AC02F9">
      <w:pPr>
        <w:adjustRightInd w:val="0"/>
        <w:snapToGrid w:val="0"/>
        <w:spacing w:line="360" w:lineRule="auto"/>
        <w:jc w:val="left"/>
        <w:outlineLvl w:val="9"/>
        <w:rPr>
          <w:rFonts w:ascii="宋体" w:hAnsi="宋体" w:eastAsia="宋体" w:cs="宋体"/>
          <w:sz w:val="24"/>
          <w:szCs w:val="24"/>
        </w:rPr>
      </w:pPr>
      <w:r>
        <w:rPr>
          <w:rFonts w:ascii="宋体" w:hAnsi="宋体" w:eastAsia="宋体" w:cs="宋体"/>
          <w:sz w:val="24"/>
          <w:szCs w:val="24"/>
        </w:rPr>
        <w:t>1.点击立即注册</w:t>
      </w:r>
    </w:p>
    <w:p w14:paraId="43E0CCFD">
      <w:pPr>
        <w:snapToGrid w:val="0"/>
        <w:spacing w:line="312" w:lineRule="auto"/>
      </w:pPr>
      <w:r>
        <w:drawing>
          <wp:inline distT="0" distB="0" distL="0" distR="0">
            <wp:extent cx="5760085" cy="2933065"/>
            <wp:effectExtent l="0" t="0" r="5715" b="635"/>
            <wp:docPr id="3" name="picture" descr="descript"/>
            <wp:cNvGraphicFramePr/>
            <a:graphic xmlns:a="http://schemas.openxmlformats.org/drawingml/2006/main">
              <a:graphicData uri="http://schemas.openxmlformats.org/drawingml/2006/picture">
                <pic:pic xmlns:pic="http://schemas.openxmlformats.org/drawingml/2006/picture">
                  <pic:nvPicPr>
                    <pic:cNvPr id="3" name="picture" descr="descript"/>
                    <pic:cNvPicPr/>
                  </pic:nvPicPr>
                  <pic:blipFill>
                    <a:blip r:embed="rId17" cstate="print"/>
                    <a:srcRect/>
                    <a:stretch>
                      <a:fillRect/>
                    </a:stretch>
                  </pic:blipFill>
                  <pic:spPr>
                    <a:xfrm>
                      <a:off x="0" y="0"/>
                      <a:ext cx="5760085" cy="2933065"/>
                    </a:xfrm>
                    <a:prstGeom prst="rect">
                      <a:avLst/>
                    </a:prstGeom>
                  </pic:spPr>
                </pic:pic>
              </a:graphicData>
            </a:graphic>
          </wp:inline>
        </w:drawing>
      </w:r>
    </w:p>
    <w:p w14:paraId="38147027">
      <w:pPr>
        <w:keepNext w:val="0"/>
        <w:keepLines w:val="0"/>
        <w:widowControl/>
        <w:suppressLineNumbers w:val="0"/>
        <w:jc w:val="left"/>
      </w:pPr>
      <w:r>
        <w:rPr>
          <w:rFonts w:hint="eastAsia" w:ascii="宋体" w:hAnsi="宋体" w:eastAsia="宋体" w:cs="宋体"/>
          <w:color w:val="000000"/>
          <w:sz w:val="24"/>
          <w:szCs w:val="28"/>
        </w:rPr>
        <w:t>2.</w:t>
      </w:r>
      <w:r>
        <w:rPr>
          <w:rFonts w:ascii="宋体" w:hAnsi="宋体" w:eastAsia="宋体" w:cs="宋体"/>
          <w:color w:val="000000"/>
          <w:sz w:val="24"/>
          <w:szCs w:val="28"/>
        </w:rPr>
        <w:t>填写</w:t>
      </w:r>
      <w:r>
        <w:rPr>
          <w:rFonts w:hint="eastAsia" w:ascii="宋体" w:hAnsi="宋体" w:cs="宋体"/>
          <w:color w:val="000000"/>
          <w:sz w:val="24"/>
          <w:szCs w:val="28"/>
          <w:lang w:val="en-US" w:eastAsia="zh-CN"/>
        </w:rPr>
        <w:t>姓名、</w:t>
      </w:r>
      <w:r>
        <w:rPr>
          <w:rFonts w:ascii="宋体" w:hAnsi="宋体" w:eastAsia="宋体" w:cs="宋体"/>
          <w:color w:val="000000"/>
          <w:sz w:val="24"/>
          <w:szCs w:val="28"/>
        </w:rPr>
        <w:t>手机号码（没有注册过的）</w:t>
      </w:r>
      <w:r>
        <w:rPr>
          <w:rFonts w:hint="eastAsia" w:ascii="宋体" w:hAnsi="宋体" w:cs="宋体"/>
          <w:color w:val="000000"/>
          <w:sz w:val="24"/>
          <w:szCs w:val="28"/>
          <w:lang w:eastAsia="zh-CN"/>
        </w:rPr>
        <w:t>，</w:t>
      </w:r>
      <w:r>
        <w:rPr>
          <w:rFonts w:hint="eastAsia" w:ascii="宋体" w:hAnsi="宋体" w:eastAsia="宋体" w:cs="宋体"/>
          <w:color w:val="000000"/>
          <w:sz w:val="24"/>
          <w:szCs w:val="28"/>
          <w:lang w:val="en-US" w:eastAsia="zh-CN"/>
        </w:rPr>
        <w:t>通过手机号接收验证码（区分大小写），点击完成后提示“注册成功，请重新登录”。同时系统自动给手机号发送短信，短信中告知登录账号及初始密码。需要使用此账号密码登录系统，进行供应商信息注册</w:t>
      </w:r>
      <w:r>
        <w:rPr>
          <w:rFonts w:hint="eastAsia" w:ascii="宋体" w:hAnsi="宋体" w:eastAsia="宋体" w:cs="宋体"/>
          <w:color w:val="000000"/>
          <w:kern w:val="0"/>
          <w:sz w:val="20"/>
          <w:szCs w:val="20"/>
          <w:lang w:val="en-US" w:eastAsia="zh-CN" w:bidi="ar"/>
        </w:rPr>
        <w:t>。</w:t>
      </w:r>
    </w:p>
    <w:p w14:paraId="0C3D2B1B">
      <w:pPr>
        <w:spacing w:line="360" w:lineRule="auto"/>
        <w:rPr>
          <w:rFonts w:ascii="宋体" w:hAnsi="宋体" w:eastAsia="宋体" w:cs="宋体"/>
          <w:sz w:val="24"/>
          <w:szCs w:val="28"/>
        </w:rPr>
      </w:pPr>
    </w:p>
    <w:p w14:paraId="73620843">
      <w:pPr>
        <w:snapToGrid w:val="0"/>
        <w:spacing w:line="312" w:lineRule="auto"/>
      </w:pPr>
      <w:r>
        <w:drawing>
          <wp:inline distT="0" distB="0" distL="0" distR="0">
            <wp:extent cx="5760085" cy="2766695"/>
            <wp:effectExtent l="0" t="0" r="5715" b="1905"/>
            <wp:docPr id="4" name="picture" descr="descript"/>
            <wp:cNvGraphicFramePr/>
            <a:graphic xmlns:a="http://schemas.openxmlformats.org/drawingml/2006/main">
              <a:graphicData uri="http://schemas.openxmlformats.org/drawingml/2006/picture">
                <pic:pic xmlns:pic="http://schemas.openxmlformats.org/drawingml/2006/picture">
                  <pic:nvPicPr>
                    <pic:cNvPr id="4" name="picture" descr="descript"/>
                    <pic:cNvPicPr/>
                  </pic:nvPicPr>
                  <pic:blipFill>
                    <a:blip r:embed="rId18" cstate="print"/>
                    <a:srcRect/>
                    <a:stretch>
                      <a:fillRect/>
                    </a:stretch>
                  </pic:blipFill>
                  <pic:spPr>
                    <a:xfrm>
                      <a:off x="0" y="0"/>
                      <a:ext cx="5760085" cy="2766695"/>
                    </a:xfrm>
                    <a:prstGeom prst="rect">
                      <a:avLst/>
                    </a:prstGeom>
                  </pic:spPr>
                </pic:pic>
              </a:graphicData>
            </a:graphic>
          </wp:inline>
        </w:drawing>
      </w:r>
    </w:p>
    <w:p w14:paraId="1DF63456">
      <w:pPr>
        <w:spacing w:line="360" w:lineRule="auto"/>
        <w:rPr>
          <w:rFonts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471D49BE">
      <w:pPr>
        <w:snapToGrid w:val="0"/>
        <w:spacing w:line="312" w:lineRule="auto"/>
      </w:pPr>
      <w:r>
        <w:drawing>
          <wp:inline distT="0" distB="0" distL="0" distR="0">
            <wp:extent cx="5760085" cy="2869565"/>
            <wp:effectExtent l="0" t="0" r="5715" b="635"/>
            <wp:docPr id="5" name="picture" descr="descript"/>
            <wp:cNvGraphicFramePr/>
            <a:graphic xmlns:a="http://schemas.openxmlformats.org/drawingml/2006/main">
              <a:graphicData uri="http://schemas.openxmlformats.org/drawingml/2006/picture">
                <pic:pic xmlns:pic="http://schemas.openxmlformats.org/drawingml/2006/picture">
                  <pic:nvPicPr>
                    <pic:cNvPr id="5" name="picture" descr="descript"/>
                    <pic:cNvPicPr/>
                  </pic:nvPicPr>
                  <pic:blipFill>
                    <a:blip r:embed="rId19" cstate="print"/>
                    <a:srcRect/>
                    <a:stretch>
                      <a:fillRect/>
                    </a:stretch>
                  </pic:blipFill>
                  <pic:spPr>
                    <a:xfrm>
                      <a:off x="0" y="0"/>
                      <a:ext cx="5760085" cy="2869565"/>
                    </a:xfrm>
                    <a:prstGeom prst="rect">
                      <a:avLst/>
                    </a:prstGeom>
                  </pic:spPr>
                </pic:pic>
              </a:graphicData>
            </a:graphic>
          </wp:inline>
        </w:drawing>
      </w:r>
    </w:p>
    <w:p w14:paraId="258F46E5">
      <w:pPr>
        <w:spacing w:line="360" w:lineRule="auto"/>
        <w:rPr>
          <w:rFonts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7EC3BF17">
      <w:pPr>
        <w:snapToGrid w:val="0"/>
        <w:spacing w:line="312" w:lineRule="auto"/>
      </w:pPr>
      <w:r>
        <w:drawing>
          <wp:inline distT="0" distB="0" distL="0" distR="0">
            <wp:extent cx="5760085" cy="2853055"/>
            <wp:effectExtent l="0" t="0" r="5715" b="4445"/>
            <wp:docPr id="6" name="picture" descr="descript"/>
            <wp:cNvGraphicFramePr/>
            <a:graphic xmlns:a="http://schemas.openxmlformats.org/drawingml/2006/main">
              <a:graphicData uri="http://schemas.openxmlformats.org/drawingml/2006/picture">
                <pic:pic xmlns:pic="http://schemas.openxmlformats.org/drawingml/2006/picture">
                  <pic:nvPicPr>
                    <pic:cNvPr id="6" name="picture" descr="descript"/>
                    <pic:cNvPicPr/>
                  </pic:nvPicPr>
                  <pic:blipFill>
                    <a:blip r:embed="rId20" cstate="print"/>
                    <a:srcRect/>
                    <a:stretch>
                      <a:fillRect/>
                    </a:stretch>
                  </pic:blipFill>
                  <pic:spPr>
                    <a:xfrm>
                      <a:off x="0" y="0"/>
                      <a:ext cx="5760085" cy="2853055"/>
                    </a:xfrm>
                    <a:prstGeom prst="rect">
                      <a:avLst/>
                    </a:prstGeom>
                  </pic:spPr>
                </pic:pic>
              </a:graphicData>
            </a:graphic>
          </wp:inline>
        </w:drawing>
      </w:r>
    </w:p>
    <w:p w14:paraId="619779B8">
      <w:pPr>
        <w:numPr>
          <w:ilvl w:val="0"/>
          <w:numId w:val="16"/>
        </w:numPr>
        <w:spacing w:line="360" w:lineRule="auto"/>
      </w:pPr>
      <w:r>
        <w:rPr>
          <w:rFonts w:ascii="宋体" w:hAnsi="宋体" w:eastAsia="宋体" w:cs="宋体"/>
          <w:color w:val="000000"/>
          <w:sz w:val="24"/>
          <w:szCs w:val="28"/>
        </w:rPr>
        <w:t>按要求填写所有信息，注意非生产类要填写合作单位，最后提交审批</w:t>
      </w:r>
      <w:r>
        <w:drawing>
          <wp:inline distT="0" distB="0" distL="114300" distR="114300">
            <wp:extent cx="5758180" cy="3058795"/>
            <wp:effectExtent l="0" t="0" r="7620" b="190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21"/>
                    <a:stretch>
                      <a:fillRect/>
                    </a:stretch>
                  </pic:blipFill>
                  <pic:spPr>
                    <a:xfrm>
                      <a:off x="0" y="0"/>
                      <a:ext cx="5758180" cy="3058795"/>
                    </a:xfrm>
                    <a:prstGeom prst="rect">
                      <a:avLst/>
                    </a:prstGeom>
                    <a:noFill/>
                    <a:ln>
                      <a:noFill/>
                    </a:ln>
                  </pic:spPr>
                </pic:pic>
              </a:graphicData>
            </a:graphic>
          </wp:inline>
        </w:drawing>
      </w:r>
    </w:p>
    <w:p w14:paraId="23EE8F94">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eastAsia="宋体" w:cs="宋体"/>
          <w:b/>
          <w:bCs/>
          <w:sz w:val="24"/>
          <w:szCs w:val="24"/>
          <w:lang w:val="en-US" w:eastAsia="zh-CN"/>
        </w:rPr>
        <w:t>非生产-直管-直管</w:t>
      </w:r>
      <w:r>
        <w:rPr>
          <w:rFonts w:hint="eastAsia" w:ascii="宋体" w:hAnsi="宋体" w:eastAsia="宋体" w:cs="宋体"/>
          <w:sz w:val="24"/>
          <w:szCs w:val="24"/>
          <w:lang w:val="en-US" w:eastAsia="zh-CN"/>
        </w:rPr>
        <w:t>）</w:t>
      </w:r>
    </w:p>
    <w:p w14:paraId="3A98D68D">
      <w:r>
        <w:drawing>
          <wp:inline distT="0" distB="0" distL="0" distR="0">
            <wp:extent cx="5760085" cy="2809875"/>
            <wp:effectExtent l="0" t="0" r="5715" b="9525"/>
            <wp:docPr id="8" name="picture" descr="descript"/>
            <wp:cNvGraphicFramePr/>
            <a:graphic xmlns:a="http://schemas.openxmlformats.org/drawingml/2006/main">
              <a:graphicData uri="http://schemas.openxmlformats.org/drawingml/2006/picture">
                <pic:pic xmlns:pic="http://schemas.openxmlformats.org/drawingml/2006/picture">
                  <pic:nvPicPr>
                    <pic:cNvPr id="8" name="picture" descr="descript"/>
                    <pic:cNvPicPr/>
                  </pic:nvPicPr>
                  <pic:blipFill>
                    <a:blip r:embed="rId22" cstate="print"/>
                    <a:srcRect/>
                    <a:stretch>
                      <a:fillRect/>
                    </a:stretch>
                  </pic:blipFill>
                  <pic:spPr>
                    <a:xfrm>
                      <a:off x="0" y="0"/>
                      <a:ext cx="5760085" cy="2809875"/>
                    </a:xfrm>
                    <a:prstGeom prst="rect">
                      <a:avLst/>
                    </a:prstGeom>
                  </pic:spPr>
                </pic:pic>
              </a:graphicData>
            </a:graphic>
          </wp:inline>
        </w:drawing>
      </w:r>
    </w:p>
    <w:p w14:paraId="43BDB6C9">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注：</w:t>
      </w:r>
    </w:p>
    <w:p w14:paraId="377A2D12">
      <w:pPr>
        <w:keepNext w:val="0"/>
        <w:keepLines w:val="0"/>
        <w:pageBreakBefore w:val="0"/>
        <w:widowControl w:val="0"/>
        <w:numPr>
          <w:ilvl w:val="0"/>
          <w:numId w:val="17"/>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“项目名称”和“采购形式编号”见</w:t>
      </w:r>
      <w:r>
        <w:rPr>
          <w:rFonts w:hint="eastAsia" w:ascii="宋体" w:hAnsi="宋体" w:cs="宋体"/>
          <w:b/>
          <w:bCs/>
          <w:color w:val="000000"/>
          <w:sz w:val="24"/>
          <w:szCs w:val="28"/>
          <w:highlight w:val="none"/>
          <w:lang w:val="en-US" w:eastAsia="zh-CN"/>
        </w:rPr>
        <w:t>第一部分的</w:t>
      </w:r>
      <w:r>
        <w:rPr>
          <w:rFonts w:hint="eastAsia" w:ascii="宋体" w:hAnsi="宋体" w:cs="宋体"/>
          <w:b/>
          <w:bCs/>
          <w:color w:val="000000"/>
          <w:sz w:val="24"/>
          <w:szCs w:val="28"/>
          <w:highlight w:val="none"/>
          <w:lang w:eastAsia="zh-CN"/>
        </w:rPr>
        <w:t>“</w:t>
      </w:r>
      <w:r>
        <w:rPr>
          <w:rFonts w:hint="eastAsia" w:ascii="宋体" w:hAnsi="宋体" w:cs="宋体"/>
          <w:b/>
          <w:bCs/>
          <w:color w:val="000000"/>
          <w:sz w:val="24"/>
          <w:szCs w:val="28"/>
          <w:highlight w:val="none"/>
          <w:lang w:val="en-US" w:eastAsia="zh-CN"/>
        </w:rPr>
        <w:t>项目介绍”</w:t>
      </w:r>
      <w:r>
        <w:rPr>
          <w:rFonts w:hint="eastAsia" w:ascii="宋体" w:hAnsi="宋体" w:eastAsia="宋体" w:cs="宋体"/>
          <w:b/>
          <w:bCs/>
          <w:color w:val="000000"/>
          <w:sz w:val="24"/>
          <w:szCs w:val="28"/>
          <w:highlight w:val="none"/>
        </w:rPr>
        <w:t>；</w:t>
      </w:r>
    </w:p>
    <w:p w14:paraId="665FE416">
      <w:pPr>
        <w:keepNext w:val="0"/>
        <w:keepLines w:val="0"/>
        <w:pageBreakBefore w:val="0"/>
        <w:widowControl w:val="0"/>
        <w:numPr>
          <w:ilvl w:val="0"/>
          <w:numId w:val="17"/>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lang w:val="en-US" w:eastAsia="zh-CN"/>
        </w:rPr>
        <w:t>基本信息</w:t>
      </w:r>
      <w:r>
        <w:rPr>
          <w:rFonts w:hint="eastAsia" w:ascii="宋体" w:hAnsi="宋体" w:cs="宋体"/>
          <w:b/>
          <w:bCs/>
          <w:color w:val="000000"/>
          <w:sz w:val="24"/>
          <w:szCs w:val="28"/>
          <w:highlight w:val="none"/>
          <w:lang w:val="en-US" w:eastAsia="zh-CN"/>
        </w:rPr>
        <w:t>的填写</w:t>
      </w:r>
      <w:r>
        <w:rPr>
          <w:rFonts w:hint="eastAsia" w:ascii="宋体" w:hAnsi="宋体" w:eastAsia="宋体" w:cs="宋体"/>
          <w:b/>
          <w:bCs/>
          <w:color w:val="000000"/>
          <w:sz w:val="24"/>
          <w:szCs w:val="28"/>
          <w:highlight w:val="none"/>
          <w:lang w:val="en-US" w:eastAsia="zh-CN"/>
        </w:rPr>
        <w:t>尽可能完整，原则上要求供应商</w:t>
      </w:r>
      <w:r>
        <w:rPr>
          <w:rFonts w:hint="eastAsia" w:ascii="宋体" w:hAnsi="宋体" w:eastAsia="宋体" w:cs="宋体"/>
          <w:b/>
          <w:bCs/>
          <w:color w:val="000000"/>
          <w:sz w:val="24"/>
          <w:szCs w:val="28"/>
          <w:highlight w:val="yellow"/>
          <w:lang w:val="en-US" w:eastAsia="zh-CN"/>
        </w:rPr>
        <w:t>必须填写近三年财务指标情况</w:t>
      </w:r>
      <w:r>
        <w:rPr>
          <w:rFonts w:hint="eastAsia" w:ascii="宋体" w:hAnsi="宋体" w:eastAsia="宋体" w:cs="宋体"/>
          <w:b/>
          <w:bCs/>
          <w:color w:val="000000"/>
          <w:sz w:val="24"/>
          <w:szCs w:val="28"/>
          <w:highlight w:val="none"/>
          <w:lang w:val="en-US" w:eastAsia="zh-CN"/>
        </w:rPr>
        <w:t>；</w:t>
      </w:r>
    </w:p>
    <w:p w14:paraId="5E34F900">
      <w:pPr>
        <w:keepNext w:val="0"/>
        <w:keepLines w:val="0"/>
        <w:pageBreakBefore w:val="0"/>
        <w:widowControl w:val="0"/>
        <w:numPr>
          <w:ilvl w:val="0"/>
          <w:numId w:val="17"/>
        </w:numPr>
        <w:kinsoku/>
        <w:wordWrap/>
        <w:overflowPunct/>
        <w:topLinePunct w:val="0"/>
        <w:autoSpaceDE/>
        <w:autoSpaceDN/>
        <w:bidi w:val="0"/>
        <w:adjustRightInd/>
        <w:snapToGrid/>
        <w:spacing w:line="440" w:lineRule="exact"/>
        <w:ind w:left="0" w:leftChars="0" w:firstLine="0" w:firstLineChars="0"/>
        <w:textAlignment w:val="auto"/>
      </w:pPr>
      <w:r>
        <w:rPr>
          <w:rFonts w:hint="eastAsia" w:ascii="宋体" w:hAnsi="宋体" w:eastAsia="宋体" w:cs="宋体"/>
          <w:b/>
          <w:bCs/>
          <w:color w:val="000000"/>
          <w:sz w:val="24"/>
          <w:szCs w:val="28"/>
          <w:highlight w:val="none"/>
        </w:rPr>
        <w:t>管理单位选择【直管单位】、意向配套单位选择【直管单位】</w:t>
      </w:r>
      <w:r>
        <w:rPr>
          <w:rFonts w:hint="eastAsia" w:ascii="宋体" w:hAnsi="宋体" w:eastAsia="宋体" w:cs="宋体"/>
          <w:b/>
          <w:bCs/>
          <w:color w:val="000000"/>
          <w:sz w:val="24"/>
          <w:szCs w:val="28"/>
          <w:highlight w:val="none"/>
          <w:lang w:eastAsia="zh-CN"/>
        </w:rPr>
        <w:t>，</w:t>
      </w:r>
      <w:r>
        <w:rPr>
          <w:rFonts w:hint="eastAsia" w:ascii="宋体" w:hAnsi="宋体" w:eastAsia="宋体" w:cs="宋体"/>
          <w:b/>
          <w:bCs/>
          <w:color w:val="000000"/>
          <w:sz w:val="24"/>
          <w:szCs w:val="28"/>
          <w:highlight w:val="none"/>
        </w:rPr>
        <w:t>配套能力“供货类别”填“</w:t>
      </w:r>
      <w:r>
        <w:rPr>
          <w:rFonts w:hint="eastAsia" w:ascii="宋体" w:hAnsi="宋体" w:eastAsia="宋体" w:cs="宋体"/>
          <w:b/>
          <w:bCs/>
          <w:color w:val="000000"/>
          <w:sz w:val="24"/>
          <w:szCs w:val="28"/>
          <w:highlight w:val="yellow"/>
        </w:rPr>
        <w:t>直管单位非生产招标 / 货物 / 设备设施维保</w:t>
      </w:r>
      <w:r>
        <w:rPr>
          <w:rFonts w:hint="eastAsia" w:ascii="宋体" w:hAnsi="宋体" w:eastAsia="宋体" w:cs="宋体"/>
          <w:b/>
          <w:bCs/>
          <w:color w:val="000000"/>
          <w:sz w:val="24"/>
          <w:szCs w:val="28"/>
          <w:highlight w:val="none"/>
        </w:rPr>
        <w:t>”，业务主管部门选择“</w:t>
      </w:r>
      <w:r>
        <w:rPr>
          <w:rFonts w:hint="eastAsia" w:ascii="宋体" w:hAnsi="宋体" w:cs="宋体"/>
          <w:b/>
          <w:bCs/>
          <w:color w:val="000000"/>
          <w:sz w:val="24"/>
          <w:szCs w:val="28"/>
          <w:highlight w:val="yellow"/>
          <w:lang w:val="en-US" w:eastAsia="zh-CN"/>
        </w:rPr>
        <w:t>制造工程</w:t>
      </w:r>
      <w:r>
        <w:rPr>
          <w:rFonts w:hint="eastAsia" w:ascii="宋体" w:hAnsi="宋体" w:eastAsia="宋体" w:cs="宋体"/>
          <w:b/>
          <w:bCs/>
          <w:color w:val="000000"/>
          <w:sz w:val="24"/>
          <w:szCs w:val="28"/>
          <w:highlight w:val="yellow"/>
        </w:rPr>
        <w:t>部</w:t>
      </w:r>
      <w:r>
        <w:rPr>
          <w:rFonts w:hint="eastAsia" w:ascii="宋体" w:hAnsi="宋体" w:eastAsia="宋体" w:cs="宋体"/>
          <w:b/>
          <w:bCs/>
          <w:color w:val="000000"/>
          <w:sz w:val="24"/>
          <w:szCs w:val="28"/>
          <w:highlight w:val="none"/>
        </w:rPr>
        <w:t>”。</w:t>
      </w:r>
    </w:p>
    <w:p w14:paraId="1D2D9672">
      <w:pPr>
        <w:keepNext w:val="0"/>
        <w:keepLines w:val="0"/>
        <w:pageBreakBefore w:val="0"/>
        <w:widowControl w:val="0"/>
        <w:numPr>
          <w:ilvl w:val="0"/>
          <w:numId w:val="18"/>
        </w:numPr>
        <w:kinsoku/>
        <w:wordWrap/>
        <w:overflowPunct/>
        <w:topLinePunct w:val="0"/>
        <w:autoSpaceDE/>
        <w:autoSpaceDN/>
        <w:bidi w:val="0"/>
        <w:adjustRightInd w:val="0"/>
        <w:snapToGrid w:val="0"/>
        <w:spacing w:before="313" w:beforeLines="100" w:after="157" w:afterLines="50" w:line="440" w:lineRule="exact"/>
        <w:jc w:val="left"/>
        <w:textAlignment w:val="auto"/>
        <w:outlineLvl w:val="2"/>
        <w:rPr>
          <w:rFonts w:hint="default"/>
          <w:sz w:val="24"/>
          <w:szCs w:val="24"/>
          <w:lang w:val="en-US" w:eastAsia="zh-CN"/>
        </w:rPr>
      </w:pPr>
      <w:r>
        <w:rPr>
          <w:rFonts w:hint="eastAsia"/>
          <w:b/>
          <w:bCs/>
          <w:sz w:val="24"/>
          <w:szCs w:val="24"/>
          <w:lang w:val="en-US" w:eastAsia="zh-CN"/>
        </w:rPr>
        <w:t>维护近三年财务指标</w:t>
      </w:r>
    </w:p>
    <w:p w14:paraId="5FE132AC">
      <w:pPr>
        <w:numPr>
          <w:ilvl w:val="0"/>
          <w:numId w:val="0"/>
        </w:numPr>
        <w:spacing w:line="360" w:lineRule="auto"/>
        <w:rPr>
          <w:rFonts w:ascii="宋体" w:hAnsi="宋体" w:eastAsia="宋体" w:cs="宋体"/>
          <w:color w:val="000000"/>
          <w:sz w:val="24"/>
          <w:szCs w:val="28"/>
        </w:rPr>
      </w:pPr>
      <w:r>
        <w:rPr>
          <w:rFonts w:hint="eastAsia" w:ascii="宋体" w:hAnsi="宋体" w:cs="宋体"/>
          <w:color w:val="000000"/>
          <w:sz w:val="24"/>
          <w:szCs w:val="28"/>
          <w:lang w:val="en-US" w:eastAsia="zh-CN"/>
        </w:rPr>
        <w:t>1.</w:t>
      </w:r>
      <w:r>
        <w:rPr>
          <w:rFonts w:hint="eastAsia" w:ascii="宋体" w:hAnsi="宋体" w:eastAsia="宋体" w:cs="宋体"/>
          <w:color w:val="000000"/>
          <w:sz w:val="24"/>
          <w:szCs w:val="28"/>
          <w:lang w:val="en-US" w:eastAsia="zh-CN"/>
        </w:rPr>
        <w:t>供应商使用业务账号登录系统后，通过菜单路径：供应商中心→供应商变更→供应商财务数据变更管理，点击【发起变更】按钮，进入供应商财务数据变更填写界面。</w:t>
      </w:r>
    </w:p>
    <w:p w14:paraId="44F74BED">
      <w:pPr>
        <w:outlineLvl w:val="9"/>
        <w:rPr>
          <w:rFonts w:hint="default"/>
          <w:lang w:val="en-US" w:eastAsia="zh-CN"/>
        </w:rPr>
        <w:sectPr>
          <w:headerReference r:id="rId10" w:type="first"/>
          <w:footerReference r:id="rId12" w:type="first"/>
          <w:headerReference r:id="rId9" w:type="default"/>
          <w:footerReference r:id="rId11" w:type="default"/>
          <w:pgSz w:w="11906" w:h="16838"/>
          <w:pgMar w:top="1588" w:right="1418" w:bottom="1134" w:left="1418" w:header="851" w:footer="992" w:gutter="0"/>
          <w:cols w:space="720" w:num="1"/>
          <w:titlePg/>
          <w:docGrid w:type="lines" w:linePitch="312" w:charSpace="0"/>
        </w:sectPr>
      </w:pPr>
      <w:r>
        <w:rPr>
          <w:rFonts w:hint="default"/>
          <w:lang w:val="en-US" w:eastAsia="zh-CN"/>
        </w:rPr>
        <w:br w:type="textWrapping"/>
      </w:r>
      <w:r>
        <w:drawing>
          <wp:inline distT="0" distB="0" distL="114300" distR="114300">
            <wp:extent cx="5486400" cy="2661285"/>
            <wp:effectExtent l="0" t="0" r="0" b="571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23"/>
                    <a:stretch>
                      <a:fillRect/>
                    </a:stretch>
                  </pic:blipFill>
                  <pic:spPr>
                    <a:xfrm>
                      <a:off x="0" y="0"/>
                      <a:ext cx="5486400" cy="2661285"/>
                    </a:xfrm>
                    <a:prstGeom prst="rect">
                      <a:avLst/>
                    </a:prstGeom>
                    <a:noFill/>
                    <a:ln>
                      <a:noFill/>
                    </a:ln>
                  </pic:spPr>
                </pic:pic>
              </a:graphicData>
            </a:graphic>
          </wp:inline>
        </w:drawing>
      </w:r>
    </w:p>
    <w:p w14:paraId="1D419B5D">
      <w:pPr>
        <w:pStyle w:val="234"/>
        <w:numPr>
          <w:ilvl w:val="0"/>
          <w:numId w:val="0"/>
        </w:numPr>
        <w:ind w:leftChars="0"/>
        <w:outlineLvl w:val="1"/>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附件二 SRM系统供应商用户手册</w:t>
      </w:r>
    </w:p>
    <w:p w14:paraId="4014C854">
      <w:pPr>
        <w:spacing w:line="360" w:lineRule="auto"/>
        <w:rPr>
          <w:rFonts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55"/>
          <w:rFonts w:hint="eastAsia" w:ascii="宋体" w:hAnsi="宋体" w:eastAsia="宋体" w:cs="宋体"/>
          <w:sz w:val="24"/>
          <w:szCs w:val="24"/>
        </w:rPr>
        <w:t>http</w:t>
      </w:r>
      <w:r>
        <w:rPr>
          <w:rStyle w:val="55"/>
          <w:rFonts w:hint="eastAsia" w:ascii="宋体" w:hAnsi="宋体" w:eastAsia="宋体" w:cs="宋体"/>
          <w:sz w:val="24"/>
          <w:szCs w:val="24"/>
          <w:lang w:val="en-US" w:eastAsia="zh-CN"/>
        </w:rPr>
        <w:t>s</w:t>
      </w:r>
      <w:r>
        <w:rPr>
          <w:rStyle w:val="55"/>
          <w:rFonts w:hint="eastAsia" w:ascii="宋体" w:hAnsi="宋体" w:eastAsia="宋体" w:cs="宋体"/>
          <w:sz w:val="24"/>
          <w:szCs w:val="24"/>
        </w:rPr>
        <w:t>://ecaitong.sinotruk.com:8012/</w:t>
      </w:r>
      <w:r>
        <w:rPr>
          <w:rStyle w:val="55"/>
          <w:rFonts w:hint="eastAsia" w:ascii="宋体" w:hAnsi="宋体" w:eastAsia="宋体" w:cs="宋体"/>
          <w:sz w:val="24"/>
          <w:szCs w:val="24"/>
        </w:rPr>
        <w:fldChar w:fldCharType="end"/>
      </w:r>
    </w:p>
    <w:p w14:paraId="0224AABE">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160FE9C3">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39D800F0">
      <w:pPr>
        <w:spacing w:line="360" w:lineRule="auto"/>
        <w:rPr>
          <w:rFonts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192809BF">
      <w:r>
        <w:drawing>
          <wp:inline distT="0" distB="0" distL="0" distR="0">
            <wp:extent cx="5760085" cy="2269490"/>
            <wp:effectExtent l="0" t="0" r="5715" b="3810"/>
            <wp:docPr id="12" name="picture" descr="descript"/>
            <wp:cNvGraphicFramePr/>
            <a:graphic xmlns:a="http://schemas.openxmlformats.org/drawingml/2006/main">
              <a:graphicData uri="http://schemas.openxmlformats.org/drawingml/2006/picture">
                <pic:pic xmlns:pic="http://schemas.openxmlformats.org/drawingml/2006/picture">
                  <pic:nvPicPr>
                    <pic:cNvPr id="12" name="picture" descr="descript"/>
                    <pic:cNvPicPr/>
                  </pic:nvPicPr>
                  <pic:blipFill>
                    <a:blip r:embed="rId24" cstate="print"/>
                    <a:srcRect/>
                    <a:stretch>
                      <a:fillRect/>
                    </a:stretch>
                  </pic:blipFill>
                  <pic:spPr>
                    <a:xfrm>
                      <a:off x="0" y="0"/>
                      <a:ext cx="5760085" cy="2269490"/>
                    </a:xfrm>
                    <a:prstGeom prst="rect">
                      <a:avLst/>
                    </a:prstGeom>
                  </pic:spPr>
                </pic:pic>
              </a:graphicData>
            </a:graphic>
          </wp:inline>
        </w:drawing>
      </w:r>
    </w:p>
    <w:p w14:paraId="7F5F97E1">
      <w:pPr>
        <w:pStyle w:val="25"/>
      </w:pPr>
    </w:p>
    <w:p w14:paraId="44F04E35">
      <w:pPr>
        <w:pStyle w:val="25"/>
      </w:pPr>
      <w:r>
        <w:rPr>
          <w:rFonts w:hint="eastAsia" w:cs="Times New Roman"/>
          <w:b/>
          <w:bCs/>
          <w:highlight w:val="none"/>
          <w:lang w:val="en-US" w:eastAsia="zh-CN"/>
        </w:rPr>
        <w:t>2、应标页面否为代理商请如实选择，若为代理商应标，请在应标后联系商务联系人</w:t>
      </w:r>
    </w:p>
    <w:p w14:paraId="253C2BE3"/>
    <w:p w14:paraId="4049123D">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7A173815">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2833D22F">
      <w:pPr>
        <w:rPr>
          <w:rFonts w:ascii="宋体" w:hAnsi="宋体" w:eastAsia="宋体" w:cs="宋体"/>
          <w:color w:val="000000"/>
        </w:rPr>
      </w:pPr>
      <w:r>
        <w:rPr>
          <w:rFonts w:ascii="宋体" w:hAnsi="宋体" w:eastAsia="宋体" w:cs="宋体"/>
          <w:color w:val="000000"/>
        </w:rPr>
        <w:drawing>
          <wp:inline distT="0" distB="0" distL="0" distR="0">
            <wp:extent cx="5760085" cy="2125345"/>
            <wp:effectExtent l="0" t="0" r="5715" b="8255"/>
            <wp:docPr id="1033" name="picture" descr="descript"/>
            <wp:cNvGraphicFramePr/>
            <a:graphic xmlns:a="http://schemas.openxmlformats.org/drawingml/2006/main">
              <a:graphicData uri="http://schemas.openxmlformats.org/drawingml/2006/picture">
                <pic:pic xmlns:pic="http://schemas.openxmlformats.org/drawingml/2006/picture">
                  <pic:nvPicPr>
                    <pic:cNvPr id="1033" name="picture" descr="descript"/>
                    <pic:cNvPicPr/>
                  </pic:nvPicPr>
                  <pic:blipFill>
                    <a:blip r:embed="rId25" cstate="print"/>
                    <a:srcRect/>
                    <a:stretch>
                      <a:fillRect/>
                    </a:stretch>
                  </pic:blipFill>
                  <pic:spPr>
                    <a:xfrm>
                      <a:off x="0" y="0"/>
                      <a:ext cx="5760085" cy="2125345"/>
                    </a:xfrm>
                    <a:prstGeom prst="rect">
                      <a:avLst/>
                    </a:prstGeom>
                  </pic:spPr>
                </pic:pic>
              </a:graphicData>
            </a:graphic>
          </wp:inline>
        </w:drawing>
      </w:r>
    </w:p>
    <w:p w14:paraId="6B3098E6">
      <w:pPr>
        <w:spacing w:line="360" w:lineRule="auto"/>
        <w:rPr>
          <w:rFonts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4AE5A03E">
      <w:pPr>
        <w:pStyle w:val="25"/>
        <w:rPr>
          <w:rFonts w:hint="eastAsia" w:eastAsia="宋体"/>
          <w:lang w:eastAsia="zh-CN"/>
        </w:rPr>
      </w:pPr>
      <w:r>
        <w:rPr>
          <w:rFonts w:hint="eastAsia" w:hAnsi="宋体" w:eastAsia="宋体" w:cs="宋体"/>
          <w:b/>
          <w:bCs/>
          <w:color w:val="000000"/>
          <w:sz w:val="24"/>
          <w:szCs w:val="28"/>
          <w:highlight w:val="yellow"/>
        </w:rPr>
        <w:t>注意：系统内的投标报价单位为“万元”，如开标现场发现填错报价，即直接淘汰</w:t>
      </w:r>
      <w:r>
        <w:rPr>
          <w:rFonts w:hint="eastAsia" w:hAnsi="宋体" w:eastAsia="宋体" w:cs="宋体"/>
          <w:b/>
          <w:bCs/>
          <w:color w:val="000000"/>
          <w:sz w:val="24"/>
          <w:szCs w:val="28"/>
          <w:highlight w:val="yellow"/>
          <w:lang w:eastAsia="zh-CN"/>
        </w:rPr>
        <w:t>。</w:t>
      </w:r>
    </w:p>
    <w:p w14:paraId="2D8BBF64">
      <w:pPr>
        <w:ind w:left="425" w:hanging="425"/>
        <w:outlineLvl w:val="9"/>
        <w:rPr>
          <w:rFonts w:eastAsia="Arial" w:cs="Arial"/>
          <w:color w:val="000000"/>
        </w:rPr>
      </w:pPr>
      <w:r>
        <w:rPr>
          <w:rFonts w:eastAsia="Arial" w:cs="Arial"/>
          <w:color w:val="000000"/>
        </w:rPr>
        <w:drawing>
          <wp:inline distT="0" distB="0" distL="0" distR="0">
            <wp:extent cx="5490210" cy="2668905"/>
            <wp:effectExtent l="0" t="0" r="8890" b="10795"/>
            <wp:docPr id="1034" name="picture" descr="descript"/>
            <wp:cNvGraphicFramePr/>
            <a:graphic xmlns:a="http://schemas.openxmlformats.org/drawingml/2006/main">
              <a:graphicData uri="http://schemas.openxmlformats.org/drawingml/2006/picture">
                <pic:pic xmlns:pic="http://schemas.openxmlformats.org/drawingml/2006/picture">
                  <pic:nvPicPr>
                    <pic:cNvPr id="1034" name="picture" descr="descript"/>
                    <pic:cNvPicPr/>
                  </pic:nvPicPr>
                  <pic:blipFill>
                    <a:blip r:embed="rId26" cstate="print"/>
                    <a:srcRect/>
                    <a:stretch>
                      <a:fillRect/>
                    </a:stretch>
                  </pic:blipFill>
                  <pic:spPr>
                    <a:xfrm>
                      <a:off x="0" y="0"/>
                      <a:ext cx="5490210" cy="2668905"/>
                    </a:xfrm>
                    <a:prstGeom prst="rect">
                      <a:avLst/>
                    </a:prstGeom>
                  </pic:spPr>
                </pic:pic>
              </a:graphicData>
            </a:graphic>
          </wp:inline>
        </w:drawing>
      </w:r>
    </w:p>
    <w:p w14:paraId="5FC6BCBB">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7260FDDB">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684113DA">
      <w:pPr>
        <w:spacing w:line="360" w:lineRule="auto"/>
        <w:rPr>
          <w:rFonts w:ascii="宋体" w:hAnsi="宋体" w:eastAsia="宋体" w:cs="宋体"/>
          <w:sz w:val="24"/>
          <w:szCs w:val="24"/>
        </w:rPr>
      </w:pPr>
      <w:r>
        <w:rPr>
          <w:rFonts w:ascii="宋体" w:hAnsi="宋体" w:eastAsia="宋体" w:cs="宋体"/>
          <w:color w:val="000000"/>
          <w:sz w:val="24"/>
          <w:szCs w:val="24"/>
        </w:rPr>
        <w:t>点击编辑按钮进入系统，上传技术标澄清函。</w:t>
      </w:r>
    </w:p>
    <w:p w14:paraId="5B91C314">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1995"/>
            <wp:effectExtent l="0" t="0" r="8890" b="1905"/>
            <wp:docPr id="1035" name="picture" descr="descript"/>
            <wp:cNvGraphicFramePr/>
            <a:graphic xmlns:a="http://schemas.openxmlformats.org/drawingml/2006/main">
              <a:graphicData uri="http://schemas.openxmlformats.org/drawingml/2006/picture">
                <pic:pic xmlns:pic="http://schemas.openxmlformats.org/drawingml/2006/picture">
                  <pic:nvPicPr>
                    <pic:cNvPr id="1035" name="picture" descr="descript"/>
                    <pic:cNvPicPr/>
                  </pic:nvPicPr>
                  <pic:blipFill>
                    <a:blip r:embed="rId27" cstate="print"/>
                    <a:srcRect/>
                    <a:stretch>
                      <a:fillRect/>
                    </a:stretch>
                  </pic:blipFill>
                  <pic:spPr>
                    <a:xfrm>
                      <a:off x="0" y="0"/>
                      <a:ext cx="5490210" cy="1992629"/>
                    </a:xfrm>
                    <a:prstGeom prst="rect">
                      <a:avLst/>
                    </a:prstGeom>
                  </pic:spPr>
                </pic:pic>
              </a:graphicData>
            </a:graphic>
          </wp:inline>
        </w:drawing>
      </w:r>
    </w:p>
    <w:p w14:paraId="626AAE05">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21B0F8D9">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1028E20B">
      <w:pPr>
        <w:spacing w:line="360" w:lineRule="auto"/>
        <w:rPr>
          <w:rFonts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09445834">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6C35D624">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124B52E9">
      <w:pPr>
        <w:spacing w:line="360" w:lineRule="auto"/>
        <w:rPr>
          <w:rFonts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01529799">
      <w:pPr>
        <w:ind w:left="425" w:hanging="425"/>
        <w:outlineLvl w:val="9"/>
        <w:rPr>
          <w:rFonts w:eastAsia="Arial" w:cs="Arial"/>
          <w:color w:val="000000"/>
        </w:rPr>
      </w:pPr>
      <w:r>
        <w:rPr>
          <w:rFonts w:eastAsia="Arial" w:cs="Arial"/>
          <w:color w:val="000000"/>
        </w:rPr>
        <w:drawing>
          <wp:inline distT="0" distB="0" distL="0" distR="0">
            <wp:extent cx="5490210" cy="2544445"/>
            <wp:effectExtent l="0" t="0" r="8890" b="8255"/>
            <wp:docPr id="1036" name="picture" descr="descript"/>
            <wp:cNvGraphicFramePr/>
            <a:graphic xmlns:a="http://schemas.openxmlformats.org/drawingml/2006/main">
              <a:graphicData uri="http://schemas.openxmlformats.org/drawingml/2006/picture">
                <pic:pic xmlns:pic="http://schemas.openxmlformats.org/drawingml/2006/picture">
                  <pic:nvPicPr>
                    <pic:cNvPr id="1036" name="picture" descr="descript"/>
                    <pic:cNvPicPr/>
                  </pic:nvPicPr>
                  <pic:blipFill>
                    <a:blip r:embed="rId28" cstate="print"/>
                    <a:srcRect/>
                    <a:stretch>
                      <a:fillRect/>
                    </a:stretch>
                  </pic:blipFill>
                  <pic:spPr>
                    <a:xfrm>
                      <a:off x="0" y="0"/>
                      <a:ext cx="5490210" cy="2544445"/>
                    </a:xfrm>
                    <a:prstGeom prst="rect">
                      <a:avLst/>
                    </a:prstGeom>
                  </pic:spPr>
                </pic:pic>
              </a:graphicData>
            </a:graphic>
          </wp:inline>
        </w:drawing>
      </w:r>
    </w:p>
    <w:p w14:paraId="352E2EEF">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0845FFE3">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6902E253">
      <w:pPr>
        <w:spacing w:line="360" w:lineRule="auto"/>
        <w:rPr>
          <w:rFonts w:ascii="宋体" w:hAnsi="宋体" w:eastAsia="宋体" w:cs="宋体"/>
          <w:sz w:val="24"/>
          <w:szCs w:val="24"/>
        </w:rPr>
      </w:pPr>
      <w:r>
        <w:rPr>
          <w:rFonts w:ascii="宋体" w:hAnsi="宋体" w:eastAsia="宋体" w:cs="宋体"/>
          <w:color w:val="000000"/>
          <w:sz w:val="24"/>
          <w:szCs w:val="24"/>
        </w:rPr>
        <w:t>点击查看进入查看中标项目详情</w:t>
      </w:r>
    </w:p>
    <w:p w14:paraId="3DF53F64">
      <w:r>
        <w:drawing>
          <wp:inline distT="0" distB="0" distL="0" distR="0">
            <wp:extent cx="5760085" cy="1956435"/>
            <wp:effectExtent l="0" t="0" r="5715" b="12065"/>
            <wp:docPr id="1037" name="picture" descr="descript"/>
            <wp:cNvGraphicFramePr/>
            <a:graphic xmlns:a="http://schemas.openxmlformats.org/drawingml/2006/main">
              <a:graphicData uri="http://schemas.openxmlformats.org/drawingml/2006/picture">
                <pic:pic xmlns:pic="http://schemas.openxmlformats.org/drawingml/2006/picture">
                  <pic:nvPicPr>
                    <pic:cNvPr id="1037" name="picture" descr="descript"/>
                    <pic:cNvPicPr/>
                  </pic:nvPicPr>
                  <pic:blipFill>
                    <a:blip r:embed="rId29" cstate="print"/>
                    <a:srcRect/>
                    <a:stretch>
                      <a:fillRect/>
                    </a:stretch>
                  </pic:blipFill>
                  <pic:spPr>
                    <a:xfrm>
                      <a:off x="0" y="0"/>
                      <a:ext cx="5760085" cy="1956435"/>
                    </a:xfrm>
                    <a:prstGeom prst="rect">
                      <a:avLst/>
                    </a:prstGeom>
                  </pic:spPr>
                </pic:pic>
              </a:graphicData>
            </a:graphic>
          </wp:inline>
        </w:drawing>
      </w:r>
    </w:p>
    <w:p w14:paraId="3FF7DF5D">
      <w:pPr>
        <w:pStyle w:val="25"/>
        <w:rPr>
          <w:rFonts w:hAnsi="宋体" w:eastAsia="宋体" w:cs="Times New Roman"/>
          <w:b/>
          <w:color w:val="000000"/>
          <w:sz w:val="24"/>
          <w:szCs w:val="24"/>
        </w:rPr>
      </w:pPr>
    </w:p>
    <w:p w14:paraId="3CEE3B78">
      <w:pPr>
        <w:pStyle w:val="25"/>
        <w:rPr>
          <w:rFonts w:hAnsi="宋体" w:eastAsia="宋体" w:cs="Times New Roman"/>
          <w:b/>
          <w:color w:val="000000"/>
          <w:sz w:val="24"/>
          <w:szCs w:val="24"/>
        </w:rPr>
      </w:pPr>
    </w:p>
    <w:p w14:paraId="67DF5B41">
      <w:pPr>
        <w:rPr>
          <w:rFonts w:hint="default" w:ascii="宋体" w:hAnsi="宋体" w:eastAsia="宋体" w:cs="宋体"/>
          <w:sz w:val="24"/>
          <w:szCs w:val="24"/>
          <w:lang w:val="en-US"/>
        </w:rPr>
      </w:pPr>
    </w:p>
    <w:p w14:paraId="3A5EB836">
      <w:pPr>
        <w:pStyle w:val="223"/>
        <w:ind w:left="0" w:leftChars="0" w:right="960" w:firstLine="0" w:firstLineChars="0"/>
        <w:jc w:val="both"/>
        <w:rPr>
          <w:rFonts w:hint="eastAsia" w:asciiTheme="minorEastAsia" w:hAnsiTheme="minorEastAsia" w:eastAsiaTheme="minorEastAsia" w:cstheme="minorEastAsia"/>
        </w:rPr>
      </w:pPr>
    </w:p>
    <w:p w14:paraId="5FDEE26C">
      <w:pPr>
        <w:pStyle w:val="223"/>
        <w:ind w:left="0" w:leftChars="0" w:right="960" w:firstLine="0" w:firstLineChars="0"/>
        <w:jc w:val="both"/>
        <w:rPr>
          <w:rFonts w:hint="eastAsia" w:asciiTheme="minorEastAsia" w:hAnsiTheme="minorEastAsia" w:eastAsiaTheme="minorEastAsia" w:cstheme="minorEastAsia"/>
        </w:rPr>
      </w:pPr>
    </w:p>
    <w:p w14:paraId="57634867">
      <w:pPr>
        <w:pStyle w:val="223"/>
        <w:ind w:left="0" w:leftChars="0" w:right="960" w:firstLine="0" w:firstLineChars="0"/>
        <w:jc w:val="both"/>
        <w:rPr>
          <w:rFonts w:hint="eastAsia" w:asciiTheme="minorEastAsia" w:hAnsiTheme="minorEastAsia" w:eastAsiaTheme="minorEastAsia" w:cstheme="minorEastAsia"/>
        </w:rPr>
      </w:pPr>
    </w:p>
    <w:p w14:paraId="45AAB8F0">
      <w:pPr>
        <w:pStyle w:val="223"/>
        <w:ind w:left="0" w:leftChars="0" w:right="960" w:firstLine="0" w:firstLineChars="0"/>
        <w:jc w:val="both"/>
        <w:rPr>
          <w:rFonts w:hint="eastAsia" w:asciiTheme="minorEastAsia" w:hAnsiTheme="minorEastAsia" w:eastAsiaTheme="minorEastAsia" w:cstheme="minorEastAsia"/>
        </w:rPr>
      </w:pPr>
    </w:p>
    <w:p w14:paraId="29EC2FA5">
      <w:pPr>
        <w:pStyle w:val="223"/>
        <w:ind w:left="0" w:leftChars="0" w:right="960" w:firstLine="0" w:firstLineChars="0"/>
        <w:jc w:val="both"/>
        <w:rPr>
          <w:rFonts w:hint="eastAsia" w:asciiTheme="minorEastAsia" w:hAnsiTheme="minorEastAsia" w:eastAsiaTheme="minorEastAsia" w:cstheme="minorEastAsia"/>
        </w:rPr>
      </w:pPr>
    </w:p>
    <w:p w14:paraId="64CBC063">
      <w:pPr>
        <w:pStyle w:val="223"/>
        <w:ind w:left="0" w:leftChars="0" w:right="960" w:firstLine="0" w:firstLineChars="0"/>
        <w:jc w:val="both"/>
        <w:rPr>
          <w:rFonts w:hint="eastAsia" w:asciiTheme="minorEastAsia" w:hAnsiTheme="minorEastAsia" w:eastAsiaTheme="minorEastAsia" w:cstheme="minorEastAsia"/>
        </w:rPr>
      </w:pPr>
    </w:p>
    <w:p w14:paraId="328B050C">
      <w:pPr>
        <w:pStyle w:val="223"/>
        <w:ind w:left="0" w:leftChars="0" w:right="960" w:firstLine="0" w:firstLineChars="0"/>
        <w:jc w:val="both"/>
        <w:rPr>
          <w:rFonts w:hint="eastAsia" w:asciiTheme="minorEastAsia" w:hAnsiTheme="minorEastAsia" w:eastAsiaTheme="minorEastAsia" w:cstheme="minorEastAsia"/>
        </w:rPr>
      </w:pPr>
    </w:p>
    <w:p w14:paraId="7A6BC62A">
      <w:pPr>
        <w:pStyle w:val="223"/>
        <w:ind w:left="0" w:leftChars="0" w:right="960" w:firstLine="0" w:firstLineChars="0"/>
        <w:jc w:val="both"/>
        <w:rPr>
          <w:rFonts w:hint="eastAsia" w:asciiTheme="minorEastAsia" w:hAnsiTheme="minorEastAsia" w:eastAsiaTheme="minorEastAsia" w:cstheme="minorEastAsia"/>
        </w:rPr>
      </w:pPr>
    </w:p>
    <w:p w14:paraId="55A6CB75">
      <w:pPr>
        <w:pStyle w:val="223"/>
        <w:ind w:left="0" w:leftChars="0" w:right="960" w:firstLine="0" w:firstLineChars="0"/>
        <w:jc w:val="both"/>
        <w:rPr>
          <w:rFonts w:hint="eastAsia" w:asciiTheme="minorEastAsia" w:hAnsiTheme="minorEastAsia" w:eastAsiaTheme="minorEastAsia" w:cstheme="minorEastAsia"/>
        </w:rPr>
      </w:pPr>
    </w:p>
    <w:p w14:paraId="3F2936EF">
      <w:pPr>
        <w:pStyle w:val="223"/>
        <w:ind w:left="0" w:leftChars="0" w:right="960" w:firstLine="0" w:firstLineChars="0"/>
        <w:jc w:val="both"/>
        <w:rPr>
          <w:rFonts w:hint="eastAsia" w:asciiTheme="minorEastAsia" w:hAnsiTheme="minorEastAsia" w:eastAsiaTheme="minorEastAsia" w:cstheme="minorEastAsia"/>
        </w:rPr>
      </w:pPr>
    </w:p>
    <w:sectPr>
      <w:headerReference r:id="rId13" w:type="default"/>
      <w:footerReference r:id="rId14" w:type="default"/>
      <w:pgSz w:w="11906" w:h="16838"/>
      <w:pgMar w:top="1134" w:right="1134" w:bottom="1134" w:left="1134" w:header="737" w:footer="573"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等线"/>
    <w:panose1 w:val="00000000000000000000"/>
    <w:charset w:val="86"/>
    <w:family w:val="auto"/>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Tahoma">
    <w:panose1 w:val="020B0604030504040204"/>
    <w:charset w:val="00"/>
    <w:family w:val="swiss"/>
    <w:pitch w:val="default"/>
    <w:sig w:usb0="E1002EFF" w:usb1="C000605B" w:usb2="00000029" w:usb3="00000000" w:csb0="200101FF" w:csb1="20280000"/>
  </w:font>
  <w:font w:name="CG Times (W1)">
    <w:altName w:val="Times New Roman"/>
    <w:panose1 w:val="00000000000000000000"/>
    <w:charset w:val="00"/>
    <w:family w:val="roman"/>
    <w:pitch w:val="default"/>
    <w:sig w:usb0="00000000" w:usb1="00000000" w:usb2="00000000" w:usb3="00000000" w:csb0="00000001"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MS Gothic">
    <w:panose1 w:val="020B0609070205080204"/>
    <w:charset w:val="80"/>
    <w:family w:val="modern"/>
    <w:pitch w:val="default"/>
    <w:sig w:usb0="E00002FF" w:usb1="6AC7FDFB" w:usb2="08000012" w:usb3="00000000" w:csb0="4002009F" w:csb1="DFD70000"/>
  </w:font>
  <w:font w:name="CG Times (WN)">
    <w:altName w:val="Segoe Print"/>
    <w:panose1 w:val="00000000000000000000"/>
    <w:charset w:val="00"/>
    <w:family w:val="roman"/>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TimesNewRomanPSMT">
    <w:altName w:val="Times New Roman"/>
    <w:panose1 w:val="00000000000000000000"/>
    <w:charset w:val="00"/>
    <w:family w:val="roman"/>
    <w:pitch w:val="default"/>
    <w:sig w:usb0="00000000" w:usb1="00000000" w:usb2="00000000" w:usb3="00000000" w:csb0="00000001"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AE670">
    <w:pPr>
      <w:pStyle w:val="31"/>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2" name="文本框 10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7EC07BB">
                          <w:pPr>
                            <w:pStyle w:val="31"/>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00"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No3hVjKAQAAlAMAAA4AAAAAAAAAAQAgAAAAHwEAAGRycy9lMm9E&#10;b2MueG1sUEsFBgAAAAAGAAYAWQEAAFsFAAAAAA==&#10;">
              <v:fill on="f" focussize="0,0"/>
              <v:stroke on="f"/>
              <v:imagedata o:title=""/>
              <o:lock v:ext="edit" aspectratio="f"/>
              <v:textbox inset="0mm,0mm,0mm,0mm" style="mso-fit-shape-to-text:t;">
                <w:txbxContent>
                  <w:p w14:paraId="77EC07BB">
                    <w:pPr>
                      <w:pStyle w:val="31"/>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6EDD5">
    <w:pPr>
      <w:pStyle w:val="31"/>
      <w:jc w:val="center"/>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3" name="文本框 10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14137EB">
                          <w:pPr>
                            <w:pStyle w:val="31"/>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01"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OQo78MwBAACUAwAADgAAAAAAAAABACAAAAAfAQAAZHJzL2Uy&#10;b0RvYy54bWxQSwUGAAAAAAYABgBZAQAAXQUAAAAA&#10;">
              <v:fill on="f" focussize="0,0"/>
              <v:stroke on="f"/>
              <v:imagedata o:title=""/>
              <o:lock v:ext="edit" aspectratio="f"/>
              <v:textbox inset="0mm,0mm,0mm,0mm" style="mso-fit-shape-to-text:t;">
                <w:txbxContent>
                  <w:p w14:paraId="214137EB">
                    <w:pPr>
                      <w:pStyle w:val="31"/>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8D957">
    <w:pPr>
      <w:pStyle w:val="31"/>
      <w:framePr w:wrap="around" w:vAnchor="text" w:hAnchor="margin" w:xAlign="center" w:y="1"/>
      <w:rPr>
        <w:rStyle w:val="53"/>
      </w:rPr>
    </w:pPr>
    <w:r>
      <w:fldChar w:fldCharType="begin"/>
    </w:r>
    <w:r>
      <w:rPr>
        <w:rStyle w:val="53"/>
      </w:rPr>
      <w:instrText xml:space="preserve">PAGE  </w:instrText>
    </w:r>
    <w:r>
      <w:fldChar w:fldCharType="separate"/>
    </w:r>
    <w:r>
      <w:rPr>
        <w:rStyle w:val="53"/>
      </w:rPr>
      <w:t>- 19 -</w:t>
    </w:r>
    <w:r>
      <w:fldChar w:fldCharType="end"/>
    </w:r>
  </w:p>
  <w:p w14:paraId="04F5C58D">
    <w:pPr>
      <w:pStyle w:val="31"/>
    </w:pPr>
  </w:p>
  <w:p w14:paraId="151C4100"/>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9A063">
    <w:pPr>
      <w:pStyle w:val="31"/>
      <w:framePr w:wrap="around" w:vAnchor="text" w:hAnchor="margin" w:xAlign="center" w:y="1"/>
      <w:rPr>
        <w:rStyle w:val="53"/>
      </w:rPr>
    </w:pPr>
    <w:r>
      <w:fldChar w:fldCharType="begin"/>
    </w:r>
    <w:r>
      <w:rPr>
        <w:rStyle w:val="53"/>
      </w:rPr>
      <w:instrText xml:space="preserve">PAGE  </w:instrText>
    </w:r>
    <w:r>
      <w:fldChar w:fldCharType="end"/>
    </w:r>
  </w:p>
  <w:p w14:paraId="1EB7A78F">
    <w:pPr>
      <w:pStyle w:val="31"/>
    </w:pPr>
  </w:p>
  <w:p w14:paraId="4ADDF0F3"/>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9290C">
    <w:pPr>
      <w:spacing w:line="194" w:lineRule="auto"/>
      <w:rPr>
        <w:rFonts w:ascii="等线" w:hAnsi="等线" w:eastAsia="等线" w:cs="等线"/>
        <w:sz w:val="17"/>
        <w:szCs w:val="17"/>
      </w:rPr>
    </w:pPr>
    <w:r>
      <w:rPr>
        <w:sz w:val="17"/>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1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86C9511">
                          <w:pPr>
                            <w:pStyle w:val="31"/>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RfMYb8kBAACSAwAADgAAAAAAAAABACAAAAAfAQAAZHJzL2Uyb0Rv&#10;Yy54bWxQSwUGAAAAAAYABgBZAQAAWgUAAAAA&#10;">
              <v:fill on="f" focussize="0,0"/>
              <v:stroke on="f"/>
              <v:imagedata o:title=""/>
              <o:lock v:ext="edit" aspectratio="f"/>
              <v:textbox inset="0mm,0mm,0mm,0mm" style="mso-fit-shape-to-text:t;">
                <w:txbxContent>
                  <w:p w14:paraId="486C9511">
                    <w:pPr>
                      <w:pStyle w:val="31"/>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5DE4B">
    <w:pPr>
      <w:pStyle w:val="31"/>
      <w:jc w:val="center"/>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17"/>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5F8E294">
                          <w:pPr>
                            <w:pStyle w:val="31"/>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7"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BlMXkDKAQAAkgMAAA4AAAAAAAAAAQAgAAAAHwEAAGRycy9lMm9E&#10;b2MueG1sUEsFBgAAAAAGAAYAWQEAAFsFAAAAAA==&#10;">
              <v:fill on="f" focussize="0,0"/>
              <v:stroke on="f"/>
              <v:imagedata o:title=""/>
              <o:lock v:ext="edit" aspectratio="f"/>
              <v:textbox inset="0mm,0mm,0mm,0mm" style="mso-fit-shape-to-text:t;">
                <w:txbxContent>
                  <w:p w14:paraId="25F8E294">
                    <w:pPr>
                      <w:pStyle w:val="31"/>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80EE6">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A8C882">
                          <w:pPr>
                            <w:pStyle w:val="31"/>
                          </w:pPr>
                          <w:r>
                            <w:t xml:space="preserve">第 </w:t>
                          </w:r>
                          <w:r>
                            <w:fldChar w:fldCharType="begin"/>
                          </w:r>
                          <w:r>
                            <w:instrText xml:space="preserve"> PAGE  \* MERGEFORMAT </w:instrText>
                          </w:r>
                          <w:r>
                            <w:fldChar w:fldCharType="separate"/>
                          </w:r>
                          <w:r>
                            <w:t>40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A8C882">
                    <w:pPr>
                      <w:pStyle w:val="31"/>
                    </w:pPr>
                    <w:r>
                      <w:t xml:space="preserve">第 </w:t>
                    </w:r>
                    <w:r>
                      <w:fldChar w:fldCharType="begin"/>
                    </w:r>
                    <w:r>
                      <w:instrText xml:space="preserve"> PAGE  \* MERGEFORMAT </w:instrText>
                    </w:r>
                    <w:r>
                      <w:fldChar w:fldCharType="separate"/>
                    </w:r>
                    <w:r>
                      <w:t>40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F124D">
    <w:pPr>
      <w:pStyle w:val="32"/>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9E9FA">
    <w:pPr>
      <w:pStyle w:val="32"/>
      <w:rPr>
        <w:rFonts w:ascii="楷体_GB2312" w:eastAsia="楷体_GB2312"/>
        <w:sz w:val="28"/>
        <w:szCs w:val="28"/>
      </w:rPr>
    </w:pPr>
    <w:r>
      <w:drawing>
        <wp:anchor distT="0" distB="0" distL="114300" distR="114300" simplePos="0" relativeHeight="251659264" behindDoc="0" locked="0" layoutInCell="1" allowOverlap="1">
          <wp:simplePos x="0" y="0"/>
          <wp:positionH relativeFrom="column">
            <wp:posOffset>-205105</wp:posOffset>
          </wp:positionH>
          <wp:positionV relativeFrom="paragraph">
            <wp:posOffset>-218440</wp:posOffset>
          </wp:positionV>
          <wp:extent cx="1257300" cy="398145"/>
          <wp:effectExtent l="0" t="0" r="0" b="8255"/>
          <wp:wrapSquare wrapText="bothSides"/>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57300" cy="398145"/>
                  </a:xfrm>
                  <a:prstGeom prst="rect">
                    <a:avLst/>
                  </a:prstGeom>
                  <a:solidFill>
                    <a:srgbClr val="FFCC99"/>
                  </a:solidFill>
                  <a:ln>
                    <a:noFill/>
                  </a:ln>
                  <a:effectLst/>
                </pic:spPr>
              </pic:pic>
            </a:graphicData>
          </a:graphic>
        </wp:anchor>
      </w:drawing>
    </w:r>
    <w:r>
      <w:rPr>
        <w:rFonts w:hint="eastAsia"/>
      </w:rPr>
      <w:t>　　　　　　　　　　　　　　　　　　　　　　　　　　　　　　　　　　</w:t>
    </w:r>
    <w:r>
      <w:rPr>
        <w:rFonts w:hint="eastAsia" w:ascii="楷体_GB2312" w:eastAsia="楷体_GB2312"/>
      </w:rPr>
      <w:t>　　</w:t>
    </w:r>
    <w:r>
      <w:rPr>
        <w:rFonts w:hint="eastAsia" w:ascii="楷体_GB2312" w:eastAsia="楷体_GB2312"/>
        <w:sz w:val="28"/>
        <w:szCs w:val="28"/>
      </w:rPr>
      <w:t xml:space="preserve">　 </w:t>
    </w:r>
  </w:p>
  <w:p w14:paraId="05364E8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82FD6">
    <w:pPr>
      <w:pStyle w:val="32"/>
    </w:pPr>
  </w:p>
  <w:p w14:paraId="75DC59E1">
    <w:pPr>
      <w:pStyle w:val="3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39094">
    <w:pPr>
      <w:pStyle w:val="32"/>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B7FDD">
    <w:pPr>
      <w:pStyle w:val="32"/>
      <w:pBdr>
        <w:bottom w:val="single" w:color="auto" w:sz="6" w:space="0"/>
      </w:pBdr>
      <w:jc w:val="both"/>
      <w:rPr>
        <w:rFonts w:hint="eastAsia" w:eastAsia="宋体"/>
        <w:sz w:val="16"/>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323EC5"/>
    <w:multiLevelType w:val="multilevel"/>
    <w:tmpl w:val="86323EC5"/>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leftChars="0" w:firstLine="420" w:firstLineChars="0"/>
      </w:pPr>
      <w:rPr>
        <w:rFonts w:hint="default"/>
        <w:b w:val="0"/>
        <w:bCs w:val="0"/>
        <w:color w:val="auto"/>
        <w:highlight w:val="none"/>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1">
    <w:nsid w:val="9614506E"/>
    <w:multiLevelType w:val="singleLevel"/>
    <w:tmpl w:val="9614506E"/>
    <w:lvl w:ilvl="0" w:tentative="0">
      <w:start w:val="1"/>
      <w:numFmt w:val="decimal"/>
      <w:lvlText w:val="%1."/>
      <w:lvlJc w:val="left"/>
      <w:pPr>
        <w:tabs>
          <w:tab w:val="left" w:pos="312"/>
        </w:tabs>
      </w:pPr>
    </w:lvl>
  </w:abstractNum>
  <w:abstractNum w:abstractNumId="2">
    <w:nsid w:val="AE07F140"/>
    <w:multiLevelType w:val="singleLevel"/>
    <w:tmpl w:val="AE07F140"/>
    <w:lvl w:ilvl="0" w:tentative="0">
      <w:start w:val="19"/>
      <w:numFmt w:val="decimal"/>
      <w:suff w:val="nothing"/>
      <w:lvlText w:val="%1、"/>
      <w:lvlJc w:val="left"/>
    </w:lvl>
  </w:abstractNum>
  <w:abstractNum w:abstractNumId="3">
    <w:nsid w:val="BDD57867"/>
    <w:multiLevelType w:val="singleLevel"/>
    <w:tmpl w:val="BDD57867"/>
    <w:lvl w:ilvl="0" w:tentative="0">
      <w:start w:val="1"/>
      <w:numFmt w:val="decimal"/>
      <w:suff w:val="nothing"/>
      <w:lvlText w:val="%1、"/>
      <w:lvlJc w:val="left"/>
    </w:lvl>
  </w:abstractNum>
  <w:abstractNum w:abstractNumId="4">
    <w:nsid w:val="F54BF83F"/>
    <w:multiLevelType w:val="singleLevel"/>
    <w:tmpl w:val="F54BF83F"/>
    <w:lvl w:ilvl="0" w:tentative="0">
      <w:start w:val="1"/>
      <w:numFmt w:val="decimal"/>
      <w:suff w:val="space"/>
      <w:lvlText w:val="%1."/>
      <w:lvlJc w:val="left"/>
      <w:pPr>
        <w:ind w:left="0" w:firstLine="0"/>
      </w:pPr>
    </w:lvl>
  </w:abstractNum>
  <w:abstractNum w:abstractNumId="5">
    <w:nsid w:val="00000003"/>
    <w:multiLevelType w:val="singleLevel"/>
    <w:tmpl w:val="00000003"/>
    <w:lvl w:ilvl="0" w:tentative="0">
      <w:start w:val="5"/>
      <w:numFmt w:val="decimal"/>
      <w:lvlText w:val="%1."/>
      <w:lvlJc w:val="left"/>
      <w:pPr>
        <w:tabs>
          <w:tab w:val="left" w:pos="312"/>
        </w:tabs>
      </w:pPr>
    </w:lvl>
  </w:abstractNum>
  <w:abstractNum w:abstractNumId="6">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7">
    <w:nsid w:val="06882CE3"/>
    <w:multiLevelType w:val="multilevel"/>
    <w:tmpl w:val="06882CE3"/>
    <w:lvl w:ilvl="0" w:tentative="0">
      <w:start w:val="1"/>
      <w:numFmt w:val="decimal"/>
      <w:pStyle w:val="230"/>
      <w:suff w:val="nothing"/>
      <w:lvlText w:val="（%1）"/>
      <w:lvlJc w:val="left"/>
      <w:pPr>
        <w:ind w:left="1270" w:hanging="420"/>
      </w:pPr>
      <w:rPr>
        <w:b w:val="0"/>
        <w:bCs w:val="0"/>
        <w:i w:val="0"/>
        <w:iCs w:val="0"/>
        <w:caps w:val="0"/>
        <w:smallCaps w:val="0"/>
        <w:strike w:val="0"/>
        <w:dstrike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8">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9">
    <w:nsid w:val="16DF253D"/>
    <w:multiLevelType w:val="multilevel"/>
    <w:tmpl w:val="16DF253D"/>
    <w:lvl w:ilvl="0" w:tentative="0">
      <w:start w:val="1"/>
      <w:numFmt w:val="decimal"/>
      <w:lvlText w:val="(%1)"/>
      <w:lvlJc w:val="left"/>
      <w:pPr>
        <w:ind w:left="420" w:hanging="420"/>
      </w:pPr>
      <w:rPr>
        <w:rFonts w:hint="eastAsia"/>
      </w:rPr>
    </w:lvl>
    <w:lvl w:ilvl="1" w:tentative="0">
      <w:start w:val="1"/>
      <w:numFmt w:val="decimalEnclosedCircle"/>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1">
    <w:nsid w:val="36C7309A"/>
    <w:multiLevelType w:val="multilevel"/>
    <w:tmpl w:val="36C7309A"/>
    <w:lvl w:ilvl="0" w:tentative="0">
      <w:start w:val="1"/>
      <w:numFmt w:val="decimal"/>
      <w:lvlText w:val="%1."/>
      <w:lvlJc w:val="left"/>
      <w:pPr>
        <w:ind w:left="420" w:hanging="420"/>
      </w:pPr>
      <w:rPr>
        <w:rFonts w:hint="eastAsia"/>
      </w:rPr>
    </w:lvl>
    <w:lvl w:ilvl="1" w:tentative="0">
      <w:start w:val="1"/>
      <w:numFmt w:val="decimalEnclosedCircle"/>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4AF0723E"/>
    <w:multiLevelType w:val="singleLevel"/>
    <w:tmpl w:val="4AF0723E"/>
    <w:lvl w:ilvl="0" w:tentative="0">
      <w:start w:val="2"/>
      <w:numFmt w:val="chineseCounting"/>
      <w:suff w:val="nothing"/>
      <w:lvlText w:val="%1、"/>
      <w:lvlJc w:val="left"/>
      <w:rPr>
        <w:rFonts w:hint="eastAsia"/>
      </w:rPr>
    </w:lvl>
  </w:abstractNum>
  <w:abstractNum w:abstractNumId="13">
    <w:nsid w:val="56D20133"/>
    <w:multiLevelType w:val="multilevel"/>
    <w:tmpl w:val="56D20133"/>
    <w:lvl w:ilvl="0" w:tentative="0">
      <w:start w:val="1"/>
      <w:numFmt w:val="chineseCountingThousand"/>
      <w:pStyle w:val="228"/>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14">
    <w:nsid w:val="656A6EAE"/>
    <w:multiLevelType w:val="multilevel"/>
    <w:tmpl w:val="656A6EAE"/>
    <w:lvl w:ilvl="0" w:tentative="0">
      <w:start w:val="1"/>
      <w:numFmt w:val="chineseCountingThousand"/>
      <w:pStyle w:val="234"/>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5">
    <w:nsid w:val="75633311"/>
    <w:multiLevelType w:val="multilevel"/>
    <w:tmpl w:val="75633311"/>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7623664E"/>
    <w:multiLevelType w:val="multilevel"/>
    <w:tmpl w:val="7623664E"/>
    <w:lvl w:ilvl="0" w:tentative="0">
      <w:start w:val="1"/>
      <w:numFmt w:val="decimal"/>
      <w:lvlText w:val="%1."/>
      <w:lvlJc w:val="left"/>
      <w:pPr>
        <w:ind w:left="900" w:hanging="420"/>
      </w:pPr>
      <w:rPr>
        <w:rFonts w:hint="default"/>
        <w:b w:val="0"/>
        <w:bCs w:val="0"/>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7">
    <w:nsid w:val="77315800"/>
    <w:multiLevelType w:val="multilevel"/>
    <w:tmpl w:val="77315800"/>
    <w:lvl w:ilvl="0" w:tentative="0">
      <w:start w:val="1"/>
      <w:numFmt w:val="decimal"/>
      <w:lvlText w:val="%1."/>
      <w:lvlJc w:val="left"/>
      <w:pPr>
        <w:ind w:left="900" w:hanging="420"/>
      </w:pPr>
      <w:rPr>
        <w:rFonts w:hint="eastAsia"/>
      </w:rPr>
    </w:lvl>
    <w:lvl w:ilvl="1" w:tentative="0">
      <w:start w:val="1"/>
      <w:numFmt w:val="decimal"/>
      <w:lvlText w:val="（%2）"/>
      <w:lvlJc w:val="left"/>
      <w:pPr>
        <w:ind w:left="1620" w:hanging="72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3"/>
  </w:num>
  <w:num w:numId="2">
    <w:abstractNumId w:val="7"/>
  </w:num>
  <w:num w:numId="3">
    <w:abstractNumId w:val="14"/>
  </w:num>
  <w:num w:numId="4">
    <w:abstractNumId w:val="2"/>
  </w:num>
  <w:num w:numId="5">
    <w:abstractNumId w:val="0"/>
  </w:num>
  <w:num w:numId="6">
    <w:abstractNumId w:val="1"/>
  </w:num>
  <w:num w:numId="7">
    <w:abstractNumId w:val="3"/>
  </w:num>
  <w:num w:numId="8">
    <w:abstractNumId w:val="17"/>
  </w:num>
  <w:num w:numId="9">
    <w:abstractNumId w:val="11"/>
  </w:num>
  <w:num w:numId="10">
    <w:abstractNumId w:val="9"/>
  </w:num>
  <w:num w:numId="11">
    <w:abstractNumId w:val="16"/>
  </w:num>
  <w:num w:numId="12">
    <w:abstractNumId w:val="15"/>
  </w:num>
  <w:num w:numId="13">
    <w:abstractNumId w:val="10"/>
  </w:num>
  <w:num w:numId="14">
    <w:abstractNumId w:val="8"/>
  </w:num>
  <w:num w:numId="15">
    <w:abstractNumId w:val="6"/>
  </w:num>
  <w:num w:numId="16">
    <w:abstractNumId w:val="5"/>
  </w:num>
  <w:num w:numId="17">
    <w:abstractNumId w:val="4"/>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00"/>
  <w:drawingGridVerticalSpacing w:val="156"/>
  <w:displayHorizontalDrawingGridEvery w:val="1"/>
  <w:displayVerticalDrawingGridEvery w:val="1"/>
  <w:noPunctuationKerning w:val="1"/>
  <w:characterSpacingControl w:val="doNotCompress"/>
  <w:doNotValidateAgainstSchema/>
  <w:doNotDemarcateInvalidXml/>
  <w:compat>
    <w:spaceForUL/>
    <w:doNotLeaveBackslashAlon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NhYmM5YTljOTRlZTk3ZmFmNWUyODJhYWQ3OWU2M2UifQ=="/>
  </w:docVars>
  <w:rsids>
    <w:rsidRoot w:val="00172A27"/>
    <w:rsid w:val="0000183C"/>
    <w:rsid w:val="000034D1"/>
    <w:rsid w:val="000035EA"/>
    <w:rsid w:val="000051AC"/>
    <w:rsid w:val="000057B7"/>
    <w:rsid w:val="00005EF2"/>
    <w:rsid w:val="00006E7C"/>
    <w:rsid w:val="0001216B"/>
    <w:rsid w:val="00012DD9"/>
    <w:rsid w:val="0001356E"/>
    <w:rsid w:val="000154DC"/>
    <w:rsid w:val="00016105"/>
    <w:rsid w:val="00016EBC"/>
    <w:rsid w:val="000208C0"/>
    <w:rsid w:val="00020D9D"/>
    <w:rsid w:val="000221BA"/>
    <w:rsid w:val="000229A8"/>
    <w:rsid w:val="00022C4A"/>
    <w:rsid w:val="00023AF8"/>
    <w:rsid w:val="00024807"/>
    <w:rsid w:val="00024C03"/>
    <w:rsid w:val="0002506A"/>
    <w:rsid w:val="00026E24"/>
    <w:rsid w:val="000300AB"/>
    <w:rsid w:val="00030E46"/>
    <w:rsid w:val="00031697"/>
    <w:rsid w:val="0003328B"/>
    <w:rsid w:val="00033873"/>
    <w:rsid w:val="00034C6D"/>
    <w:rsid w:val="00037FCD"/>
    <w:rsid w:val="000400D6"/>
    <w:rsid w:val="00040F60"/>
    <w:rsid w:val="00041C94"/>
    <w:rsid w:val="00044CB4"/>
    <w:rsid w:val="000473F7"/>
    <w:rsid w:val="000506BD"/>
    <w:rsid w:val="000508B3"/>
    <w:rsid w:val="000518BB"/>
    <w:rsid w:val="00052BAB"/>
    <w:rsid w:val="00052FFD"/>
    <w:rsid w:val="00054F55"/>
    <w:rsid w:val="00056C4B"/>
    <w:rsid w:val="00061356"/>
    <w:rsid w:val="0006371E"/>
    <w:rsid w:val="00064255"/>
    <w:rsid w:val="0006582E"/>
    <w:rsid w:val="000709BD"/>
    <w:rsid w:val="00071413"/>
    <w:rsid w:val="000719F0"/>
    <w:rsid w:val="00074606"/>
    <w:rsid w:val="00074F21"/>
    <w:rsid w:val="00076878"/>
    <w:rsid w:val="00076B92"/>
    <w:rsid w:val="00080790"/>
    <w:rsid w:val="000810CD"/>
    <w:rsid w:val="00081348"/>
    <w:rsid w:val="000813EA"/>
    <w:rsid w:val="00081EEF"/>
    <w:rsid w:val="0008416F"/>
    <w:rsid w:val="000855A4"/>
    <w:rsid w:val="00085731"/>
    <w:rsid w:val="00086335"/>
    <w:rsid w:val="0008717F"/>
    <w:rsid w:val="00090E18"/>
    <w:rsid w:val="00090EEF"/>
    <w:rsid w:val="00090FE6"/>
    <w:rsid w:val="0009439B"/>
    <w:rsid w:val="000956AD"/>
    <w:rsid w:val="000A0AD7"/>
    <w:rsid w:val="000A2AE6"/>
    <w:rsid w:val="000A2DB9"/>
    <w:rsid w:val="000A3E5C"/>
    <w:rsid w:val="000A7434"/>
    <w:rsid w:val="000A7B57"/>
    <w:rsid w:val="000B0B7C"/>
    <w:rsid w:val="000B2DE5"/>
    <w:rsid w:val="000B4F69"/>
    <w:rsid w:val="000B55C9"/>
    <w:rsid w:val="000D0CD1"/>
    <w:rsid w:val="000D1A07"/>
    <w:rsid w:val="000D2025"/>
    <w:rsid w:val="000D4041"/>
    <w:rsid w:val="000D4B6A"/>
    <w:rsid w:val="000D4D7E"/>
    <w:rsid w:val="000D516A"/>
    <w:rsid w:val="000D5B76"/>
    <w:rsid w:val="000E0745"/>
    <w:rsid w:val="000E2E8D"/>
    <w:rsid w:val="000E36C0"/>
    <w:rsid w:val="000E41D9"/>
    <w:rsid w:val="000E4609"/>
    <w:rsid w:val="000E511C"/>
    <w:rsid w:val="000E5161"/>
    <w:rsid w:val="000E6470"/>
    <w:rsid w:val="000E793B"/>
    <w:rsid w:val="000F0B85"/>
    <w:rsid w:val="000F1F00"/>
    <w:rsid w:val="000F2444"/>
    <w:rsid w:val="000F24FD"/>
    <w:rsid w:val="000F39B7"/>
    <w:rsid w:val="000F39CC"/>
    <w:rsid w:val="000F4892"/>
    <w:rsid w:val="000F6612"/>
    <w:rsid w:val="000F6BB5"/>
    <w:rsid w:val="000F722B"/>
    <w:rsid w:val="001009E0"/>
    <w:rsid w:val="00101369"/>
    <w:rsid w:val="00103A1D"/>
    <w:rsid w:val="001041F0"/>
    <w:rsid w:val="00105EBB"/>
    <w:rsid w:val="0010751C"/>
    <w:rsid w:val="00107E3B"/>
    <w:rsid w:val="001114FF"/>
    <w:rsid w:val="00111C06"/>
    <w:rsid w:val="0011258E"/>
    <w:rsid w:val="001141C7"/>
    <w:rsid w:val="00114BBB"/>
    <w:rsid w:val="0011501D"/>
    <w:rsid w:val="001178E9"/>
    <w:rsid w:val="00120AA5"/>
    <w:rsid w:val="001211E6"/>
    <w:rsid w:val="00121397"/>
    <w:rsid w:val="00121F17"/>
    <w:rsid w:val="001222B8"/>
    <w:rsid w:val="001231A7"/>
    <w:rsid w:val="00124D44"/>
    <w:rsid w:val="00127BD4"/>
    <w:rsid w:val="0013029A"/>
    <w:rsid w:val="00131D9A"/>
    <w:rsid w:val="00133BEC"/>
    <w:rsid w:val="001341AB"/>
    <w:rsid w:val="00134C4E"/>
    <w:rsid w:val="0013763B"/>
    <w:rsid w:val="00137FE1"/>
    <w:rsid w:val="00140F66"/>
    <w:rsid w:val="0014272A"/>
    <w:rsid w:val="001439A4"/>
    <w:rsid w:val="00144987"/>
    <w:rsid w:val="0014520D"/>
    <w:rsid w:val="0014669E"/>
    <w:rsid w:val="00147CD9"/>
    <w:rsid w:val="00154B2B"/>
    <w:rsid w:val="00155123"/>
    <w:rsid w:val="00157E21"/>
    <w:rsid w:val="0016528E"/>
    <w:rsid w:val="00170873"/>
    <w:rsid w:val="0017217F"/>
    <w:rsid w:val="00172A27"/>
    <w:rsid w:val="00172F05"/>
    <w:rsid w:val="0017342A"/>
    <w:rsid w:val="00173865"/>
    <w:rsid w:val="001738BE"/>
    <w:rsid w:val="001744A8"/>
    <w:rsid w:val="00174A12"/>
    <w:rsid w:val="00174E52"/>
    <w:rsid w:val="0017511C"/>
    <w:rsid w:val="00175CC4"/>
    <w:rsid w:val="00176DD3"/>
    <w:rsid w:val="0017790F"/>
    <w:rsid w:val="00180708"/>
    <w:rsid w:val="00183225"/>
    <w:rsid w:val="00185FA0"/>
    <w:rsid w:val="001871ED"/>
    <w:rsid w:val="001876B0"/>
    <w:rsid w:val="00193C83"/>
    <w:rsid w:val="00194697"/>
    <w:rsid w:val="0019620A"/>
    <w:rsid w:val="001962F4"/>
    <w:rsid w:val="00197BC5"/>
    <w:rsid w:val="00197FC6"/>
    <w:rsid w:val="001A01C2"/>
    <w:rsid w:val="001A0A5C"/>
    <w:rsid w:val="001A1078"/>
    <w:rsid w:val="001A1FC4"/>
    <w:rsid w:val="001A3453"/>
    <w:rsid w:val="001A382C"/>
    <w:rsid w:val="001A4258"/>
    <w:rsid w:val="001A514B"/>
    <w:rsid w:val="001A5A78"/>
    <w:rsid w:val="001A6A83"/>
    <w:rsid w:val="001A6D0F"/>
    <w:rsid w:val="001A71ED"/>
    <w:rsid w:val="001A776E"/>
    <w:rsid w:val="001B020A"/>
    <w:rsid w:val="001B0810"/>
    <w:rsid w:val="001B2C24"/>
    <w:rsid w:val="001B37BA"/>
    <w:rsid w:val="001B469B"/>
    <w:rsid w:val="001B5339"/>
    <w:rsid w:val="001C0478"/>
    <w:rsid w:val="001C1AF1"/>
    <w:rsid w:val="001C23F2"/>
    <w:rsid w:val="001C2D80"/>
    <w:rsid w:val="001C37EB"/>
    <w:rsid w:val="001C3C7E"/>
    <w:rsid w:val="001C4A93"/>
    <w:rsid w:val="001C7654"/>
    <w:rsid w:val="001D02D4"/>
    <w:rsid w:val="001D06E0"/>
    <w:rsid w:val="001D0EEF"/>
    <w:rsid w:val="001D1CCB"/>
    <w:rsid w:val="001D35B3"/>
    <w:rsid w:val="001D3EB8"/>
    <w:rsid w:val="001D6245"/>
    <w:rsid w:val="001D719D"/>
    <w:rsid w:val="001E0118"/>
    <w:rsid w:val="001E0FE8"/>
    <w:rsid w:val="001E22B6"/>
    <w:rsid w:val="001E2B36"/>
    <w:rsid w:val="001E43E9"/>
    <w:rsid w:val="001E5110"/>
    <w:rsid w:val="001E64F1"/>
    <w:rsid w:val="001E7757"/>
    <w:rsid w:val="001E79E2"/>
    <w:rsid w:val="001E7CE9"/>
    <w:rsid w:val="001F1EF8"/>
    <w:rsid w:val="001F3DB4"/>
    <w:rsid w:val="001F4637"/>
    <w:rsid w:val="001F56A5"/>
    <w:rsid w:val="001F6038"/>
    <w:rsid w:val="001F767C"/>
    <w:rsid w:val="001F780E"/>
    <w:rsid w:val="001F7A8B"/>
    <w:rsid w:val="00200474"/>
    <w:rsid w:val="00204094"/>
    <w:rsid w:val="002056DC"/>
    <w:rsid w:val="00205FBA"/>
    <w:rsid w:val="00206209"/>
    <w:rsid w:val="00206845"/>
    <w:rsid w:val="00207BA9"/>
    <w:rsid w:val="00207C4C"/>
    <w:rsid w:val="00212288"/>
    <w:rsid w:val="002126A3"/>
    <w:rsid w:val="00215A7F"/>
    <w:rsid w:val="00215FE2"/>
    <w:rsid w:val="00216F63"/>
    <w:rsid w:val="00221300"/>
    <w:rsid w:val="00221D58"/>
    <w:rsid w:val="00222929"/>
    <w:rsid w:val="00223427"/>
    <w:rsid w:val="00225284"/>
    <w:rsid w:val="002253AD"/>
    <w:rsid w:val="002257DF"/>
    <w:rsid w:val="00226053"/>
    <w:rsid w:val="00226302"/>
    <w:rsid w:val="00226BA1"/>
    <w:rsid w:val="002273AE"/>
    <w:rsid w:val="002307D0"/>
    <w:rsid w:val="00230F26"/>
    <w:rsid w:val="00233392"/>
    <w:rsid w:val="00236155"/>
    <w:rsid w:val="002373F7"/>
    <w:rsid w:val="00240826"/>
    <w:rsid w:val="00240C91"/>
    <w:rsid w:val="002420A4"/>
    <w:rsid w:val="00244D60"/>
    <w:rsid w:val="0025035D"/>
    <w:rsid w:val="0025114F"/>
    <w:rsid w:val="00253A72"/>
    <w:rsid w:val="00254DCB"/>
    <w:rsid w:val="002556BE"/>
    <w:rsid w:val="00257753"/>
    <w:rsid w:val="00260850"/>
    <w:rsid w:val="00260B68"/>
    <w:rsid w:val="002610B2"/>
    <w:rsid w:val="00262747"/>
    <w:rsid w:val="002629AD"/>
    <w:rsid w:val="00262F57"/>
    <w:rsid w:val="0026364D"/>
    <w:rsid w:val="0026538D"/>
    <w:rsid w:val="00266D11"/>
    <w:rsid w:val="002701A6"/>
    <w:rsid w:val="00270935"/>
    <w:rsid w:val="00273669"/>
    <w:rsid w:val="0027397B"/>
    <w:rsid w:val="002742F4"/>
    <w:rsid w:val="002765F0"/>
    <w:rsid w:val="00280578"/>
    <w:rsid w:val="00280D1A"/>
    <w:rsid w:val="0028178C"/>
    <w:rsid w:val="00281B3E"/>
    <w:rsid w:val="0028405F"/>
    <w:rsid w:val="002844AC"/>
    <w:rsid w:val="00284EFF"/>
    <w:rsid w:val="002854BD"/>
    <w:rsid w:val="00285B17"/>
    <w:rsid w:val="00285F28"/>
    <w:rsid w:val="0028791A"/>
    <w:rsid w:val="00287E7D"/>
    <w:rsid w:val="002901F0"/>
    <w:rsid w:val="00291C5E"/>
    <w:rsid w:val="00293D1A"/>
    <w:rsid w:val="002940F2"/>
    <w:rsid w:val="00294513"/>
    <w:rsid w:val="0029713B"/>
    <w:rsid w:val="002A1089"/>
    <w:rsid w:val="002A2A13"/>
    <w:rsid w:val="002A499F"/>
    <w:rsid w:val="002A580F"/>
    <w:rsid w:val="002A7A04"/>
    <w:rsid w:val="002A7D01"/>
    <w:rsid w:val="002A7D64"/>
    <w:rsid w:val="002B0589"/>
    <w:rsid w:val="002B0603"/>
    <w:rsid w:val="002B0848"/>
    <w:rsid w:val="002B3414"/>
    <w:rsid w:val="002B54AE"/>
    <w:rsid w:val="002B6D24"/>
    <w:rsid w:val="002B6E0F"/>
    <w:rsid w:val="002B7724"/>
    <w:rsid w:val="002C05DB"/>
    <w:rsid w:val="002C14BF"/>
    <w:rsid w:val="002C1583"/>
    <w:rsid w:val="002C1A8C"/>
    <w:rsid w:val="002C27CC"/>
    <w:rsid w:val="002C2DB1"/>
    <w:rsid w:val="002C4908"/>
    <w:rsid w:val="002C6753"/>
    <w:rsid w:val="002D16E1"/>
    <w:rsid w:val="002D1A3B"/>
    <w:rsid w:val="002D24CF"/>
    <w:rsid w:val="002D5046"/>
    <w:rsid w:val="002D6DD2"/>
    <w:rsid w:val="002D7971"/>
    <w:rsid w:val="002E0178"/>
    <w:rsid w:val="002E02E6"/>
    <w:rsid w:val="002E140F"/>
    <w:rsid w:val="002E365E"/>
    <w:rsid w:val="002E4BCE"/>
    <w:rsid w:val="002E7019"/>
    <w:rsid w:val="002F1905"/>
    <w:rsid w:val="002F3CC6"/>
    <w:rsid w:val="002F4F2E"/>
    <w:rsid w:val="002F7DBB"/>
    <w:rsid w:val="003004BA"/>
    <w:rsid w:val="00302015"/>
    <w:rsid w:val="00302335"/>
    <w:rsid w:val="00302614"/>
    <w:rsid w:val="00303641"/>
    <w:rsid w:val="00306283"/>
    <w:rsid w:val="00310532"/>
    <w:rsid w:val="00311044"/>
    <w:rsid w:val="003112D9"/>
    <w:rsid w:val="0031445C"/>
    <w:rsid w:val="003147C5"/>
    <w:rsid w:val="00314AD0"/>
    <w:rsid w:val="00316504"/>
    <w:rsid w:val="00317723"/>
    <w:rsid w:val="00317E9C"/>
    <w:rsid w:val="00317EEA"/>
    <w:rsid w:val="003224D2"/>
    <w:rsid w:val="00322F94"/>
    <w:rsid w:val="0032565B"/>
    <w:rsid w:val="00327187"/>
    <w:rsid w:val="003303FF"/>
    <w:rsid w:val="003314C7"/>
    <w:rsid w:val="00333652"/>
    <w:rsid w:val="00335FB7"/>
    <w:rsid w:val="0034003A"/>
    <w:rsid w:val="00340370"/>
    <w:rsid w:val="00340AC2"/>
    <w:rsid w:val="00341B8B"/>
    <w:rsid w:val="00342361"/>
    <w:rsid w:val="003430C6"/>
    <w:rsid w:val="00343DD7"/>
    <w:rsid w:val="00343FE7"/>
    <w:rsid w:val="00344082"/>
    <w:rsid w:val="00344FF9"/>
    <w:rsid w:val="00345A38"/>
    <w:rsid w:val="003460FA"/>
    <w:rsid w:val="003469AD"/>
    <w:rsid w:val="003479BD"/>
    <w:rsid w:val="00347F92"/>
    <w:rsid w:val="0035334C"/>
    <w:rsid w:val="00355A7C"/>
    <w:rsid w:val="00357548"/>
    <w:rsid w:val="003619C5"/>
    <w:rsid w:val="00363122"/>
    <w:rsid w:val="003659FE"/>
    <w:rsid w:val="00367455"/>
    <w:rsid w:val="00372AE8"/>
    <w:rsid w:val="00372C72"/>
    <w:rsid w:val="003778D8"/>
    <w:rsid w:val="003800EE"/>
    <w:rsid w:val="003810C2"/>
    <w:rsid w:val="0038339D"/>
    <w:rsid w:val="003845C4"/>
    <w:rsid w:val="00384B94"/>
    <w:rsid w:val="0038583D"/>
    <w:rsid w:val="00385E69"/>
    <w:rsid w:val="00386767"/>
    <w:rsid w:val="00387488"/>
    <w:rsid w:val="003875BA"/>
    <w:rsid w:val="0038788C"/>
    <w:rsid w:val="0039370F"/>
    <w:rsid w:val="00393FCE"/>
    <w:rsid w:val="003946A1"/>
    <w:rsid w:val="00394AAD"/>
    <w:rsid w:val="00396025"/>
    <w:rsid w:val="0039605B"/>
    <w:rsid w:val="003A0F9F"/>
    <w:rsid w:val="003A15C2"/>
    <w:rsid w:val="003A304A"/>
    <w:rsid w:val="003A3D36"/>
    <w:rsid w:val="003A46FF"/>
    <w:rsid w:val="003A49B8"/>
    <w:rsid w:val="003A4E10"/>
    <w:rsid w:val="003A5BE8"/>
    <w:rsid w:val="003A6586"/>
    <w:rsid w:val="003A6CA2"/>
    <w:rsid w:val="003B2AC4"/>
    <w:rsid w:val="003B792C"/>
    <w:rsid w:val="003C05FB"/>
    <w:rsid w:val="003C3F8F"/>
    <w:rsid w:val="003C511F"/>
    <w:rsid w:val="003C6427"/>
    <w:rsid w:val="003C6695"/>
    <w:rsid w:val="003C674D"/>
    <w:rsid w:val="003C71AC"/>
    <w:rsid w:val="003C754D"/>
    <w:rsid w:val="003C7C44"/>
    <w:rsid w:val="003D0365"/>
    <w:rsid w:val="003D2235"/>
    <w:rsid w:val="003D343B"/>
    <w:rsid w:val="003D3F7A"/>
    <w:rsid w:val="003D5147"/>
    <w:rsid w:val="003D6DE2"/>
    <w:rsid w:val="003D6E42"/>
    <w:rsid w:val="003E2E79"/>
    <w:rsid w:val="003E4195"/>
    <w:rsid w:val="003E4811"/>
    <w:rsid w:val="003E4EC6"/>
    <w:rsid w:val="003E658A"/>
    <w:rsid w:val="003F12A0"/>
    <w:rsid w:val="003F12DE"/>
    <w:rsid w:val="003F34AF"/>
    <w:rsid w:val="003F3957"/>
    <w:rsid w:val="003F3A3C"/>
    <w:rsid w:val="003F3A49"/>
    <w:rsid w:val="003F743B"/>
    <w:rsid w:val="00400244"/>
    <w:rsid w:val="00400532"/>
    <w:rsid w:val="0040099D"/>
    <w:rsid w:val="00400A31"/>
    <w:rsid w:val="00401E95"/>
    <w:rsid w:val="00404ADD"/>
    <w:rsid w:val="004061D7"/>
    <w:rsid w:val="00407D78"/>
    <w:rsid w:val="00411603"/>
    <w:rsid w:val="004119D0"/>
    <w:rsid w:val="00412546"/>
    <w:rsid w:val="0041266B"/>
    <w:rsid w:val="00412A74"/>
    <w:rsid w:val="00412FF8"/>
    <w:rsid w:val="0041385C"/>
    <w:rsid w:val="00413BB2"/>
    <w:rsid w:val="00413F5B"/>
    <w:rsid w:val="00415F3E"/>
    <w:rsid w:val="004165F6"/>
    <w:rsid w:val="004168F3"/>
    <w:rsid w:val="00417A9A"/>
    <w:rsid w:val="004213DF"/>
    <w:rsid w:val="004225D7"/>
    <w:rsid w:val="004229AA"/>
    <w:rsid w:val="00425CEA"/>
    <w:rsid w:val="00426B8C"/>
    <w:rsid w:val="00432229"/>
    <w:rsid w:val="004327FF"/>
    <w:rsid w:val="0043403A"/>
    <w:rsid w:val="00442430"/>
    <w:rsid w:val="00442705"/>
    <w:rsid w:val="004437DE"/>
    <w:rsid w:val="00443906"/>
    <w:rsid w:val="00443F93"/>
    <w:rsid w:val="00444238"/>
    <w:rsid w:val="00445272"/>
    <w:rsid w:val="00446B68"/>
    <w:rsid w:val="00447BFC"/>
    <w:rsid w:val="00447C1D"/>
    <w:rsid w:val="00451C64"/>
    <w:rsid w:val="004526DA"/>
    <w:rsid w:val="004534DD"/>
    <w:rsid w:val="00453788"/>
    <w:rsid w:val="004658A3"/>
    <w:rsid w:val="00467AF4"/>
    <w:rsid w:val="00470DD6"/>
    <w:rsid w:val="004714BE"/>
    <w:rsid w:val="0047179D"/>
    <w:rsid w:val="004725DE"/>
    <w:rsid w:val="004729F0"/>
    <w:rsid w:val="00472B3D"/>
    <w:rsid w:val="0047324B"/>
    <w:rsid w:val="0047473E"/>
    <w:rsid w:val="00475B28"/>
    <w:rsid w:val="00475C12"/>
    <w:rsid w:val="00476DB4"/>
    <w:rsid w:val="0047730E"/>
    <w:rsid w:val="00480089"/>
    <w:rsid w:val="0048095C"/>
    <w:rsid w:val="00480F87"/>
    <w:rsid w:val="0048108B"/>
    <w:rsid w:val="0048182C"/>
    <w:rsid w:val="00482DFB"/>
    <w:rsid w:val="00487150"/>
    <w:rsid w:val="004906A8"/>
    <w:rsid w:val="004912FB"/>
    <w:rsid w:val="00492C35"/>
    <w:rsid w:val="00494E20"/>
    <w:rsid w:val="00496276"/>
    <w:rsid w:val="0049670E"/>
    <w:rsid w:val="00497CF2"/>
    <w:rsid w:val="00497DD7"/>
    <w:rsid w:val="004A3844"/>
    <w:rsid w:val="004A3EC9"/>
    <w:rsid w:val="004A4EEB"/>
    <w:rsid w:val="004A4EFC"/>
    <w:rsid w:val="004A75A1"/>
    <w:rsid w:val="004B07AB"/>
    <w:rsid w:val="004B09ED"/>
    <w:rsid w:val="004B1C37"/>
    <w:rsid w:val="004B3FAC"/>
    <w:rsid w:val="004B4C51"/>
    <w:rsid w:val="004B4CBA"/>
    <w:rsid w:val="004B6053"/>
    <w:rsid w:val="004C05CD"/>
    <w:rsid w:val="004C0F70"/>
    <w:rsid w:val="004C104F"/>
    <w:rsid w:val="004C1B1E"/>
    <w:rsid w:val="004C30BF"/>
    <w:rsid w:val="004C37DB"/>
    <w:rsid w:val="004C561A"/>
    <w:rsid w:val="004C7F81"/>
    <w:rsid w:val="004D1B2F"/>
    <w:rsid w:val="004D1DF4"/>
    <w:rsid w:val="004D2F9C"/>
    <w:rsid w:val="004D33B4"/>
    <w:rsid w:val="004D3986"/>
    <w:rsid w:val="004D45BB"/>
    <w:rsid w:val="004D69B7"/>
    <w:rsid w:val="004D6BC1"/>
    <w:rsid w:val="004D78D0"/>
    <w:rsid w:val="004D7B65"/>
    <w:rsid w:val="004E27D0"/>
    <w:rsid w:val="004E4252"/>
    <w:rsid w:val="004E45AC"/>
    <w:rsid w:val="004E4D8C"/>
    <w:rsid w:val="004E6388"/>
    <w:rsid w:val="004F05CB"/>
    <w:rsid w:val="004F39EF"/>
    <w:rsid w:val="004F4063"/>
    <w:rsid w:val="004F55EE"/>
    <w:rsid w:val="004F5A7E"/>
    <w:rsid w:val="004F5CDB"/>
    <w:rsid w:val="004F6E85"/>
    <w:rsid w:val="004F70E8"/>
    <w:rsid w:val="00502DA9"/>
    <w:rsid w:val="00504EB4"/>
    <w:rsid w:val="005058E6"/>
    <w:rsid w:val="00505E3E"/>
    <w:rsid w:val="005069FA"/>
    <w:rsid w:val="005079E6"/>
    <w:rsid w:val="00507D24"/>
    <w:rsid w:val="00510196"/>
    <w:rsid w:val="00513C5E"/>
    <w:rsid w:val="005147ED"/>
    <w:rsid w:val="00514D8E"/>
    <w:rsid w:val="005158A0"/>
    <w:rsid w:val="00517318"/>
    <w:rsid w:val="00517634"/>
    <w:rsid w:val="00520AD6"/>
    <w:rsid w:val="00520FB1"/>
    <w:rsid w:val="005220FB"/>
    <w:rsid w:val="005228D9"/>
    <w:rsid w:val="00523E76"/>
    <w:rsid w:val="00524362"/>
    <w:rsid w:val="00525C45"/>
    <w:rsid w:val="005274AD"/>
    <w:rsid w:val="0053171B"/>
    <w:rsid w:val="0053235C"/>
    <w:rsid w:val="005333AD"/>
    <w:rsid w:val="00541AEA"/>
    <w:rsid w:val="00543E63"/>
    <w:rsid w:val="00550BB8"/>
    <w:rsid w:val="0055162C"/>
    <w:rsid w:val="005532A7"/>
    <w:rsid w:val="005539A0"/>
    <w:rsid w:val="0056056C"/>
    <w:rsid w:val="00560C52"/>
    <w:rsid w:val="0056148B"/>
    <w:rsid w:val="005626C3"/>
    <w:rsid w:val="005630EA"/>
    <w:rsid w:val="00563DFC"/>
    <w:rsid w:val="0056438D"/>
    <w:rsid w:val="0056666A"/>
    <w:rsid w:val="00567322"/>
    <w:rsid w:val="00567874"/>
    <w:rsid w:val="00572C39"/>
    <w:rsid w:val="00573EFB"/>
    <w:rsid w:val="0057432F"/>
    <w:rsid w:val="0057452B"/>
    <w:rsid w:val="00576A79"/>
    <w:rsid w:val="00577A20"/>
    <w:rsid w:val="0058117D"/>
    <w:rsid w:val="0058185E"/>
    <w:rsid w:val="0058271C"/>
    <w:rsid w:val="0058395D"/>
    <w:rsid w:val="00583F48"/>
    <w:rsid w:val="00584944"/>
    <w:rsid w:val="005859B1"/>
    <w:rsid w:val="00585B13"/>
    <w:rsid w:val="005869A3"/>
    <w:rsid w:val="00590CAC"/>
    <w:rsid w:val="00593852"/>
    <w:rsid w:val="005948E1"/>
    <w:rsid w:val="00596B83"/>
    <w:rsid w:val="0059763B"/>
    <w:rsid w:val="00597661"/>
    <w:rsid w:val="005A0976"/>
    <w:rsid w:val="005A65C2"/>
    <w:rsid w:val="005A677E"/>
    <w:rsid w:val="005A7FE7"/>
    <w:rsid w:val="005B0CF4"/>
    <w:rsid w:val="005B129B"/>
    <w:rsid w:val="005B2EDB"/>
    <w:rsid w:val="005B43A0"/>
    <w:rsid w:val="005B704C"/>
    <w:rsid w:val="005C00A6"/>
    <w:rsid w:val="005C0DAD"/>
    <w:rsid w:val="005C2EF0"/>
    <w:rsid w:val="005C77C6"/>
    <w:rsid w:val="005D1312"/>
    <w:rsid w:val="005D2299"/>
    <w:rsid w:val="005D3286"/>
    <w:rsid w:val="005D3B93"/>
    <w:rsid w:val="005E2DC6"/>
    <w:rsid w:val="005E5313"/>
    <w:rsid w:val="005E7349"/>
    <w:rsid w:val="005E77B4"/>
    <w:rsid w:val="005F2A3C"/>
    <w:rsid w:val="005F2CB4"/>
    <w:rsid w:val="005F3148"/>
    <w:rsid w:val="005F36D4"/>
    <w:rsid w:val="005F49FC"/>
    <w:rsid w:val="005F4CA1"/>
    <w:rsid w:val="005F684D"/>
    <w:rsid w:val="005F723B"/>
    <w:rsid w:val="006023F6"/>
    <w:rsid w:val="00602728"/>
    <w:rsid w:val="006042BC"/>
    <w:rsid w:val="00606076"/>
    <w:rsid w:val="00607030"/>
    <w:rsid w:val="00611928"/>
    <w:rsid w:val="00613AB6"/>
    <w:rsid w:val="006144F7"/>
    <w:rsid w:val="00617FB9"/>
    <w:rsid w:val="006206E7"/>
    <w:rsid w:val="00620E56"/>
    <w:rsid w:val="0062271D"/>
    <w:rsid w:val="00622DA6"/>
    <w:rsid w:val="00623625"/>
    <w:rsid w:val="0062401E"/>
    <w:rsid w:val="00624849"/>
    <w:rsid w:val="00626341"/>
    <w:rsid w:val="0062681C"/>
    <w:rsid w:val="006315E8"/>
    <w:rsid w:val="00635D34"/>
    <w:rsid w:val="006365EA"/>
    <w:rsid w:val="006402A2"/>
    <w:rsid w:val="0064204D"/>
    <w:rsid w:val="006425DF"/>
    <w:rsid w:val="00642CD0"/>
    <w:rsid w:val="00643ED4"/>
    <w:rsid w:val="0064748F"/>
    <w:rsid w:val="006519E0"/>
    <w:rsid w:val="00651B5F"/>
    <w:rsid w:val="00654EB5"/>
    <w:rsid w:val="006552D1"/>
    <w:rsid w:val="00656AD1"/>
    <w:rsid w:val="00657070"/>
    <w:rsid w:val="00657653"/>
    <w:rsid w:val="00657E3E"/>
    <w:rsid w:val="0066019C"/>
    <w:rsid w:val="0066077E"/>
    <w:rsid w:val="00660851"/>
    <w:rsid w:val="0066232A"/>
    <w:rsid w:val="006623D7"/>
    <w:rsid w:val="0066251A"/>
    <w:rsid w:val="0066278C"/>
    <w:rsid w:val="00663166"/>
    <w:rsid w:val="006634B0"/>
    <w:rsid w:val="006702A4"/>
    <w:rsid w:val="00672113"/>
    <w:rsid w:val="0067340D"/>
    <w:rsid w:val="00675972"/>
    <w:rsid w:val="006769A5"/>
    <w:rsid w:val="006803BE"/>
    <w:rsid w:val="00680525"/>
    <w:rsid w:val="00680BB0"/>
    <w:rsid w:val="00682959"/>
    <w:rsid w:val="0068374A"/>
    <w:rsid w:val="00683915"/>
    <w:rsid w:val="0068450D"/>
    <w:rsid w:val="00687A6C"/>
    <w:rsid w:val="0069014B"/>
    <w:rsid w:val="0069251C"/>
    <w:rsid w:val="0069264F"/>
    <w:rsid w:val="00694843"/>
    <w:rsid w:val="0069489E"/>
    <w:rsid w:val="0069495C"/>
    <w:rsid w:val="00696CEB"/>
    <w:rsid w:val="0069726A"/>
    <w:rsid w:val="006978A6"/>
    <w:rsid w:val="00697BEF"/>
    <w:rsid w:val="006A0788"/>
    <w:rsid w:val="006A1DB5"/>
    <w:rsid w:val="006A37F3"/>
    <w:rsid w:val="006B255B"/>
    <w:rsid w:val="006B27F0"/>
    <w:rsid w:val="006B2D1B"/>
    <w:rsid w:val="006B5530"/>
    <w:rsid w:val="006B5614"/>
    <w:rsid w:val="006B5D63"/>
    <w:rsid w:val="006B5F7C"/>
    <w:rsid w:val="006B6F8F"/>
    <w:rsid w:val="006B745E"/>
    <w:rsid w:val="006B75A8"/>
    <w:rsid w:val="006C1436"/>
    <w:rsid w:val="006C14BF"/>
    <w:rsid w:val="006C18C7"/>
    <w:rsid w:val="006C2985"/>
    <w:rsid w:val="006C4791"/>
    <w:rsid w:val="006C4AE9"/>
    <w:rsid w:val="006C6EDE"/>
    <w:rsid w:val="006C7347"/>
    <w:rsid w:val="006D1CEA"/>
    <w:rsid w:val="006D224F"/>
    <w:rsid w:val="006D43F2"/>
    <w:rsid w:val="006D4A6D"/>
    <w:rsid w:val="006D55BF"/>
    <w:rsid w:val="006D6420"/>
    <w:rsid w:val="006D6678"/>
    <w:rsid w:val="006D7746"/>
    <w:rsid w:val="006E01FF"/>
    <w:rsid w:val="006E0641"/>
    <w:rsid w:val="006E6C8F"/>
    <w:rsid w:val="006E720D"/>
    <w:rsid w:val="006F0694"/>
    <w:rsid w:val="006F08E3"/>
    <w:rsid w:val="006F133C"/>
    <w:rsid w:val="006F2E2A"/>
    <w:rsid w:val="006F41F3"/>
    <w:rsid w:val="006F500C"/>
    <w:rsid w:val="006F7F31"/>
    <w:rsid w:val="00700394"/>
    <w:rsid w:val="00701B9D"/>
    <w:rsid w:val="00702A07"/>
    <w:rsid w:val="007036E1"/>
    <w:rsid w:val="007048CC"/>
    <w:rsid w:val="00704AF6"/>
    <w:rsid w:val="00711650"/>
    <w:rsid w:val="00711E11"/>
    <w:rsid w:val="0071249B"/>
    <w:rsid w:val="00712F1B"/>
    <w:rsid w:val="0071516B"/>
    <w:rsid w:val="007166DF"/>
    <w:rsid w:val="00720BDE"/>
    <w:rsid w:val="00725008"/>
    <w:rsid w:val="00725A54"/>
    <w:rsid w:val="00727DDA"/>
    <w:rsid w:val="00730156"/>
    <w:rsid w:val="007311BA"/>
    <w:rsid w:val="00733117"/>
    <w:rsid w:val="007332E2"/>
    <w:rsid w:val="00734CA8"/>
    <w:rsid w:val="0074067C"/>
    <w:rsid w:val="0074267D"/>
    <w:rsid w:val="0074279F"/>
    <w:rsid w:val="0074375D"/>
    <w:rsid w:val="00743905"/>
    <w:rsid w:val="00744A71"/>
    <w:rsid w:val="007451B9"/>
    <w:rsid w:val="00745DE0"/>
    <w:rsid w:val="007462F0"/>
    <w:rsid w:val="0074676E"/>
    <w:rsid w:val="00747073"/>
    <w:rsid w:val="007474BC"/>
    <w:rsid w:val="00747BD7"/>
    <w:rsid w:val="00747EB4"/>
    <w:rsid w:val="007517C1"/>
    <w:rsid w:val="00752ABE"/>
    <w:rsid w:val="00753086"/>
    <w:rsid w:val="00753184"/>
    <w:rsid w:val="00753188"/>
    <w:rsid w:val="00755ECE"/>
    <w:rsid w:val="00756B65"/>
    <w:rsid w:val="00756F7F"/>
    <w:rsid w:val="00757C5F"/>
    <w:rsid w:val="0076264D"/>
    <w:rsid w:val="00762BA1"/>
    <w:rsid w:val="00763AA3"/>
    <w:rsid w:val="00764418"/>
    <w:rsid w:val="007651A0"/>
    <w:rsid w:val="007672ED"/>
    <w:rsid w:val="00767A39"/>
    <w:rsid w:val="0077038F"/>
    <w:rsid w:val="00770408"/>
    <w:rsid w:val="00770D3F"/>
    <w:rsid w:val="0077119B"/>
    <w:rsid w:val="0077155D"/>
    <w:rsid w:val="00772D8D"/>
    <w:rsid w:val="00774491"/>
    <w:rsid w:val="007747F5"/>
    <w:rsid w:val="00774B8D"/>
    <w:rsid w:val="00781E07"/>
    <w:rsid w:val="007833AD"/>
    <w:rsid w:val="0078409F"/>
    <w:rsid w:val="00791029"/>
    <w:rsid w:val="00792262"/>
    <w:rsid w:val="00792435"/>
    <w:rsid w:val="00792744"/>
    <w:rsid w:val="00793AE3"/>
    <w:rsid w:val="00794A7C"/>
    <w:rsid w:val="00795266"/>
    <w:rsid w:val="00795481"/>
    <w:rsid w:val="0079687C"/>
    <w:rsid w:val="007975DD"/>
    <w:rsid w:val="00797F7D"/>
    <w:rsid w:val="007A2C62"/>
    <w:rsid w:val="007A406E"/>
    <w:rsid w:val="007A40A2"/>
    <w:rsid w:val="007A742F"/>
    <w:rsid w:val="007B0E5E"/>
    <w:rsid w:val="007B0F4D"/>
    <w:rsid w:val="007B3A42"/>
    <w:rsid w:val="007B3E41"/>
    <w:rsid w:val="007B4D52"/>
    <w:rsid w:val="007B6063"/>
    <w:rsid w:val="007C02A0"/>
    <w:rsid w:val="007C0A6A"/>
    <w:rsid w:val="007C36B1"/>
    <w:rsid w:val="007C47BB"/>
    <w:rsid w:val="007C4D1C"/>
    <w:rsid w:val="007C5446"/>
    <w:rsid w:val="007C5B0F"/>
    <w:rsid w:val="007C6584"/>
    <w:rsid w:val="007C692B"/>
    <w:rsid w:val="007C6E59"/>
    <w:rsid w:val="007D0C14"/>
    <w:rsid w:val="007D0FFC"/>
    <w:rsid w:val="007D1DBD"/>
    <w:rsid w:val="007D371F"/>
    <w:rsid w:val="007D4642"/>
    <w:rsid w:val="007D46EC"/>
    <w:rsid w:val="007D5F95"/>
    <w:rsid w:val="007E079B"/>
    <w:rsid w:val="007E1C48"/>
    <w:rsid w:val="007E2352"/>
    <w:rsid w:val="007E2418"/>
    <w:rsid w:val="007E2BCD"/>
    <w:rsid w:val="007E33CA"/>
    <w:rsid w:val="007E4F10"/>
    <w:rsid w:val="007E5590"/>
    <w:rsid w:val="007E63C5"/>
    <w:rsid w:val="007F0682"/>
    <w:rsid w:val="007F094F"/>
    <w:rsid w:val="007F0C59"/>
    <w:rsid w:val="007F47EB"/>
    <w:rsid w:val="007F5452"/>
    <w:rsid w:val="007F59DC"/>
    <w:rsid w:val="007F5DCC"/>
    <w:rsid w:val="007F7EC4"/>
    <w:rsid w:val="00800BED"/>
    <w:rsid w:val="00801291"/>
    <w:rsid w:val="0080241F"/>
    <w:rsid w:val="008025D4"/>
    <w:rsid w:val="00802B05"/>
    <w:rsid w:val="00802BDE"/>
    <w:rsid w:val="00802D07"/>
    <w:rsid w:val="00802E50"/>
    <w:rsid w:val="00802FB2"/>
    <w:rsid w:val="00804E29"/>
    <w:rsid w:val="00804E2F"/>
    <w:rsid w:val="00804FFE"/>
    <w:rsid w:val="00807920"/>
    <w:rsid w:val="00807B4E"/>
    <w:rsid w:val="00810EDF"/>
    <w:rsid w:val="0081139D"/>
    <w:rsid w:val="00811AB9"/>
    <w:rsid w:val="00811CA5"/>
    <w:rsid w:val="008120EF"/>
    <w:rsid w:val="0081361E"/>
    <w:rsid w:val="00813B59"/>
    <w:rsid w:val="00815FA8"/>
    <w:rsid w:val="00816184"/>
    <w:rsid w:val="008171E7"/>
    <w:rsid w:val="008220E6"/>
    <w:rsid w:val="00823763"/>
    <w:rsid w:val="00823A3C"/>
    <w:rsid w:val="00824406"/>
    <w:rsid w:val="00824B7E"/>
    <w:rsid w:val="0082747B"/>
    <w:rsid w:val="00831A3A"/>
    <w:rsid w:val="008323A4"/>
    <w:rsid w:val="008341C8"/>
    <w:rsid w:val="008354C5"/>
    <w:rsid w:val="00841CDA"/>
    <w:rsid w:val="008422B0"/>
    <w:rsid w:val="0084495A"/>
    <w:rsid w:val="00845B9F"/>
    <w:rsid w:val="00845DE3"/>
    <w:rsid w:val="008466FD"/>
    <w:rsid w:val="00851165"/>
    <w:rsid w:val="00852922"/>
    <w:rsid w:val="00853C68"/>
    <w:rsid w:val="0085467E"/>
    <w:rsid w:val="0085618A"/>
    <w:rsid w:val="008563D6"/>
    <w:rsid w:val="00856C46"/>
    <w:rsid w:val="00857DB3"/>
    <w:rsid w:val="00860102"/>
    <w:rsid w:val="0086364A"/>
    <w:rsid w:val="00863897"/>
    <w:rsid w:val="00864195"/>
    <w:rsid w:val="0086444F"/>
    <w:rsid w:val="00864706"/>
    <w:rsid w:val="008653B6"/>
    <w:rsid w:val="00865828"/>
    <w:rsid w:val="008711BD"/>
    <w:rsid w:val="00871A34"/>
    <w:rsid w:val="00873B3E"/>
    <w:rsid w:val="00873CFB"/>
    <w:rsid w:val="00874455"/>
    <w:rsid w:val="00874E73"/>
    <w:rsid w:val="008763EA"/>
    <w:rsid w:val="0088035D"/>
    <w:rsid w:val="00880FDE"/>
    <w:rsid w:val="0088260A"/>
    <w:rsid w:val="00883462"/>
    <w:rsid w:val="00883698"/>
    <w:rsid w:val="00883904"/>
    <w:rsid w:val="008843EE"/>
    <w:rsid w:val="00884CC7"/>
    <w:rsid w:val="00884CDA"/>
    <w:rsid w:val="00884DB9"/>
    <w:rsid w:val="0088518B"/>
    <w:rsid w:val="008857C4"/>
    <w:rsid w:val="00885954"/>
    <w:rsid w:val="00885B77"/>
    <w:rsid w:val="00886508"/>
    <w:rsid w:val="00886A7D"/>
    <w:rsid w:val="00886AB9"/>
    <w:rsid w:val="00890B92"/>
    <w:rsid w:val="00890D01"/>
    <w:rsid w:val="0089336A"/>
    <w:rsid w:val="00893F29"/>
    <w:rsid w:val="008958AF"/>
    <w:rsid w:val="008964B8"/>
    <w:rsid w:val="00897C76"/>
    <w:rsid w:val="008A34BE"/>
    <w:rsid w:val="008A5010"/>
    <w:rsid w:val="008B01EC"/>
    <w:rsid w:val="008B0477"/>
    <w:rsid w:val="008B04A9"/>
    <w:rsid w:val="008B10EE"/>
    <w:rsid w:val="008B1B0D"/>
    <w:rsid w:val="008B3259"/>
    <w:rsid w:val="008B3DDA"/>
    <w:rsid w:val="008B3EFC"/>
    <w:rsid w:val="008B54B3"/>
    <w:rsid w:val="008B5650"/>
    <w:rsid w:val="008B571D"/>
    <w:rsid w:val="008B6630"/>
    <w:rsid w:val="008B6E95"/>
    <w:rsid w:val="008B7474"/>
    <w:rsid w:val="008C11A0"/>
    <w:rsid w:val="008C26AF"/>
    <w:rsid w:val="008C45E0"/>
    <w:rsid w:val="008C5E75"/>
    <w:rsid w:val="008C68B7"/>
    <w:rsid w:val="008D00D0"/>
    <w:rsid w:val="008D14D0"/>
    <w:rsid w:val="008D3C59"/>
    <w:rsid w:val="008D5B99"/>
    <w:rsid w:val="008D67A2"/>
    <w:rsid w:val="008D6906"/>
    <w:rsid w:val="008E0578"/>
    <w:rsid w:val="008E0C83"/>
    <w:rsid w:val="008E1077"/>
    <w:rsid w:val="008E20EB"/>
    <w:rsid w:val="008E3AE7"/>
    <w:rsid w:val="008E44C0"/>
    <w:rsid w:val="008E7F80"/>
    <w:rsid w:val="008F0665"/>
    <w:rsid w:val="008F0701"/>
    <w:rsid w:val="008F43FD"/>
    <w:rsid w:val="008F68C9"/>
    <w:rsid w:val="00900424"/>
    <w:rsid w:val="0090307D"/>
    <w:rsid w:val="00903D21"/>
    <w:rsid w:val="009048A7"/>
    <w:rsid w:val="009057A8"/>
    <w:rsid w:val="00905B6E"/>
    <w:rsid w:val="0090734A"/>
    <w:rsid w:val="00907476"/>
    <w:rsid w:val="009074EE"/>
    <w:rsid w:val="009078D8"/>
    <w:rsid w:val="00910DEF"/>
    <w:rsid w:val="00911884"/>
    <w:rsid w:val="00911E93"/>
    <w:rsid w:val="00911FAD"/>
    <w:rsid w:val="00917973"/>
    <w:rsid w:val="00917C32"/>
    <w:rsid w:val="00922ABC"/>
    <w:rsid w:val="009234D2"/>
    <w:rsid w:val="009239F8"/>
    <w:rsid w:val="00923E11"/>
    <w:rsid w:val="00924A72"/>
    <w:rsid w:val="00924C69"/>
    <w:rsid w:val="00925880"/>
    <w:rsid w:val="00930070"/>
    <w:rsid w:val="00930E20"/>
    <w:rsid w:val="0093319B"/>
    <w:rsid w:val="00934D1D"/>
    <w:rsid w:val="00934D8D"/>
    <w:rsid w:val="00937864"/>
    <w:rsid w:val="00937A57"/>
    <w:rsid w:val="00937D20"/>
    <w:rsid w:val="0094263A"/>
    <w:rsid w:val="00942F53"/>
    <w:rsid w:val="00943311"/>
    <w:rsid w:val="00945229"/>
    <w:rsid w:val="009455EC"/>
    <w:rsid w:val="009517FA"/>
    <w:rsid w:val="00951EA8"/>
    <w:rsid w:val="0095344D"/>
    <w:rsid w:val="009543EE"/>
    <w:rsid w:val="00954E5F"/>
    <w:rsid w:val="00955ACB"/>
    <w:rsid w:val="0095643B"/>
    <w:rsid w:val="009626F6"/>
    <w:rsid w:val="009654B2"/>
    <w:rsid w:val="00966DE1"/>
    <w:rsid w:val="009675F5"/>
    <w:rsid w:val="00970E30"/>
    <w:rsid w:val="00971DC1"/>
    <w:rsid w:val="00972244"/>
    <w:rsid w:val="00973D5B"/>
    <w:rsid w:val="00974638"/>
    <w:rsid w:val="00981286"/>
    <w:rsid w:val="00982A91"/>
    <w:rsid w:val="0098399D"/>
    <w:rsid w:val="00983B20"/>
    <w:rsid w:val="00984190"/>
    <w:rsid w:val="00985302"/>
    <w:rsid w:val="0098556B"/>
    <w:rsid w:val="00985AB1"/>
    <w:rsid w:val="009928AE"/>
    <w:rsid w:val="0099392D"/>
    <w:rsid w:val="00994108"/>
    <w:rsid w:val="009960A8"/>
    <w:rsid w:val="009965BE"/>
    <w:rsid w:val="0099700E"/>
    <w:rsid w:val="009975FF"/>
    <w:rsid w:val="009A0C60"/>
    <w:rsid w:val="009A0D13"/>
    <w:rsid w:val="009A1867"/>
    <w:rsid w:val="009A1A8E"/>
    <w:rsid w:val="009A26D1"/>
    <w:rsid w:val="009A2F94"/>
    <w:rsid w:val="009A3BE6"/>
    <w:rsid w:val="009A4175"/>
    <w:rsid w:val="009A4459"/>
    <w:rsid w:val="009A5807"/>
    <w:rsid w:val="009A596E"/>
    <w:rsid w:val="009A64A8"/>
    <w:rsid w:val="009A764F"/>
    <w:rsid w:val="009B0F74"/>
    <w:rsid w:val="009B11D7"/>
    <w:rsid w:val="009B2E6C"/>
    <w:rsid w:val="009B35C9"/>
    <w:rsid w:val="009B6873"/>
    <w:rsid w:val="009B6C49"/>
    <w:rsid w:val="009C0C1C"/>
    <w:rsid w:val="009C0E2F"/>
    <w:rsid w:val="009C508B"/>
    <w:rsid w:val="009D016B"/>
    <w:rsid w:val="009D1C73"/>
    <w:rsid w:val="009D287F"/>
    <w:rsid w:val="009D3ABA"/>
    <w:rsid w:val="009D5E72"/>
    <w:rsid w:val="009D7B5C"/>
    <w:rsid w:val="009E069E"/>
    <w:rsid w:val="009E25DC"/>
    <w:rsid w:val="009E2808"/>
    <w:rsid w:val="009E3188"/>
    <w:rsid w:val="009E42D1"/>
    <w:rsid w:val="009E44A7"/>
    <w:rsid w:val="009E5847"/>
    <w:rsid w:val="009E759C"/>
    <w:rsid w:val="009F0EC0"/>
    <w:rsid w:val="009F132F"/>
    <w:rsid w:val="009F1546"/>
    <w:rsid w:val="009F1AB6"/>
    <w:rsid w:val="009F1D3B"/>
    <w:rsid w:val="009F24DB"/>
    <w:rsid w:val="009F530E"/>
    <w:rsid w:val="009F6077"/>
    <w:rsid w:val="009F788A"/>
    <w:rsid w:val="00A034D9"/>
    <w:rsid w:val="00A036B2"/>
    <w:rsid w:val="00A038CC"/>
    <w:rsid w:val="00A04840"/>
    <w:rsid w:val="00A0636D"/>
    <w:rsid w:val="00A06A25"/>
    <w:rsid w:val="00A07211"/>
    <w:rsid w:val="00A10652"/>
    <w:rsid w:val="00A14FF0"/>
    <w:rsid w:val="00A17B89"/>
    <w:rsid w:val="00A24FC4"/>
    <w:rsid w:val="00A270B7"/>
    <w:rsid w:val="00A27775"/>
    <w:rsid w:val="00A3119A"/>
    <w:rsid w:val="00A32671"/>
    <w:rsid w:val="00A32DEB"/>
    <w:rsid w:val="00A3359F"/>
    <w:rsid w:val="00A34418"/>
    <w:rsid w:val="00A3600F"/>
    <w:rsid w:val="00A40BAA"/>
    <w:rsid w:val="00A41002"/>
    <w:rsid w:val="00A4186B"/>
    <w:rsid w:val="00A42333"/>
    <w:rsid w:val="00A42A3F"/>
    <w:rsid w:val="00A43AC9"/>
    <w:rsid w:val="00A444A8"/>
    <w:rsid w:val="00A44E87"/>
    <w:rsid w:val="00A45D04"/>
    <w:rsid w:val="00A50402"/>
    <w:rsid w:val="00A50AB2"/>
    <w:rsid w:val="00A50DF8"/>
    <w:rsid w:val="00A51478"/>
    <w:rsid w:val="00A53860"/>
    <w:rsid w:val="00A56E4F"/>
    <w:rsid w:val="00A56F18"/>
    <w:rsid w:val="00A56FEE"/>
    <w:rsid w:val="00A57500"/>
    <w:rsid w:val="00A57CD5"/>
    <w:rsid w:val="00A604C6"/>
    <w:rsid w:val="00A60872"/>
    <w:rsid w:val="00A63DB9"/>
    <w:rsid w:val="00A641B4"/>
    <w:rsid w:val="00A6498E"/>
    <w:rsid w:val="00A649DA"/>
    <w:rsid w:val="00A65CE7"/>
    <w:rsid w:val="00A675A8"/>
    <w:rsid w:val="00A67A9E"/>
    <w:rsid w:val="00A71009"/>
    <w:rsid w:val="00A73517"/>
    <w:rsid w:val="00A73A01"/>
    <w:rsid w:val="00A74CDD"/>
    <w:rsid w:val="00A75578"/>
    <w:rsid w:val="00A75593"/>
    <w:rsid w:val="00A8119F"/>
    <w:rsid w:val="00A85BCA"/>
    <w:rsid w:val="00A85E73"/>
    <w:rsid w:val="00A873DE"/>
    <w:rsid w:val="00A87A35"/>
    <w:rsid w:val="00A91104"/>
    <w:rsid w:val="00A91D21"/>
    <w:rsid w:val="00A924F8"/>
    <w:rsid w:val="00A92D41"/>
    <w:rsid w:val="00A932B3"/>
    <w:rsid w:val="00A9430C"/>
    <w:rsid w:val="00A9438E"/>
    <w:rsid w:val="00A968B8"/>
    <w:rsid w:val="00A97483"/>
    <w:rsid w:val="00AA024E"/>
    <w:rsid w:val="00AA1438"/>
    <w:rsid w:val="00AA23F7"/>
    <w:rsid w:val="00AA2FF8"/>
    <w:rsid w:val="00AA5ADD"/>
    <w:rsid w:val="00AA6D8C"/>
    <w:rsid w:val="00AB18DE"/>
    <w:rsid w:val="00AB1EAE"/>
    <w:rsid w:val="00AB28EF"/>
    <w:rsid w:val="00AB2986"/>
    <w:rsid w:val="00AB2AD0"/>
    <w:rsid w:val="00AB30DC"/>
    <w:rsid w:val="00AB4814"/>
    <w:rsid w:val="00AB4AAE"/>
    <w:rsid w:val="00AB4B1E"/>
    <w:rsid w:val="00AB50FA"/>
    <w:rsid w:val="00AB546B"/>
    <w:rsid w:val="00AB553F"/>
    <w:rsid w:val="00AB5F1C"/>
    <w:rsid w:val="00AC0EBA"/>
    <w:rsid w:val="00AC11AF"/>
    <w:rsid w:val="00AC1FBA"/>
    <w:rsid w:val="00AC2A5F"/>
    <w:rsid w:val="00AC2D1E"/>
    <w:rsid w:val="00AC332E"/>
    <w:rsid w:val="00AC3C83"/>
    <w:rsid w:val="00AC4A2C"/>
    <w:rsid w:val="00AC6CF0"/>
    <w:rsid w:val="00AC7161"/>
    <w:rsid w:val="00AC7750"/>
    <w:rsid w:val="00AD0F9D"/>
    <w:rsid w:val="00AD14FD"/>
    <w:rsid w:val="00AD2BC4"/>
    <w:rsid w:val="00AD6077"/>
    <w:rsid w:val="00AD7ECF"/>
    <w:rsid w:val="00AE1876"/>
    <w:rsid w:val="00AE2A66"/>
    <w:rsid w:val="00AE52A8"/>
    <w:rsid w:val="00AE60E8"/>
    <w:rsid w:val="00AE6C39"/>
    <w:rsid w:val="00AF1048"/>
    <w:rsid w:val="00AF2206"/>
    <w:rsid w:val="00AF3406"/>
    <w:rsid w:val="00AF41D2"/>
    <w:rsid w:val="00AF469B"/>
    <w:rsid w:val="00AF52B6"/>
    <w:rsid w:val="00AF55F7"/>
    <w:rsid w:val="00AF58B4"/>
    <w:rsid w:val="00AF6619"/>
    <w:rsid w:val="00B005E4"/>
    <w:rsid w:val="00B0185C"/>
    <w:rsid w:val="00B0231F"/>
    <w:rsid w:val="00B023C5"/>
    <w:rsid w:val="00B0493C"/>
    <w:rsid w:val="00B0644E"/>
    <w:rsid w:val="00B067CA"/>
    <w:rsid w:val="00B12AAF"/>
    <w:rsid w:val="00B12EF2"/>
    <w:rsid w:val="00B14CD0"/>
    <w:rsid w:val="00B14F65"/>
    <w:rsid w:val="00B156E0"/>
    <w:rsid w:val="00B15AE1"/>
    <w:rsid w:val="00B15C72"/>
    <w:rsid w:val="00B16015"/>
    <w:rsid w:val="00B1602B"/>
    <w:rsid w:val="00B17809"/>
    <w:rsid w:val="00B226DF"/>
    <w:rsid w:val="00B25684"/>
    <w:rsid w:val="00B25C2A"/>
    <w:rsid w:val="00B35976"/>
    <w:rsid w:val="00B35F87"/>
    <w:rsid w:val="00B369FA"/>
    <w:rsid w:val="00B3782C"/>
    <w:rsid w:val="00B40316"/>
    <w:rsid w:val="00B414D1"/>
    <w:rsid w:val="00B4209B"/>
    <w:rsid w:val="00B439EA"/>
    <w:rsid w:val="00B45123"/>
    <w:rsid w:val="00B46988"/>
    <w:rsid w:val="00B46A15"/>
    <w:rsid w:val="00B508B8"/>
    <w:rsid w:val="00B517EC"/>
    <w:rsid w:val="00B53B9E"/>
    <w:rsid w:val="00B5578A"/>
    <w:rsid w:val="00B57E11"/>
    <w:rsid w:val="00B607DE"/>
    <w:rsid w:val="00B60F1A"/>
    <w:rsid w:val="00B61DEF"/>
    <w:rsid w:val="00B62335"/>
    <w:rsid w:val="00B62A85"/>
    <w:rsid w:val="00B66873"/>
    <w:rsid w:val="00B70C39"/>
    <w:rsid w:val="00B71015"/>
    <w:rsid w:val="00B738F6"/>
    <w:rsid w:val="00B740AB"/>
    <w:rsid w:val="00B75479"/>
    <w:rsid w:val="00B771AC"/>
    <w:rsid w:val="00B81993"/>
    <w:rsid w:val="00B82597"/>
    <w:rsid w:val="00B836B2"/>
    <w:rsid w:val="00B84DD3"/>
    <w:rsid w:val="00B85399"/>
    <w:rsid w:val="00B92FF3"/>
    <w:rsid w:val="00B9593F"/>
    <w:rsid w:val="00B960F6"/>
    <w:rsid w:val="00BA05D9"/>
    <w:rsid w:val="00BA258C"/>
    <w:rsid w:val="00BA5929"/>
    <w:rsid w:val="00BA7753"/>
    <w:rsid w:val="00BA7819"/>
    <w:rsid w:val="00BA7EB5"/>
    <w:rsid w:val="00BB27BF"/>
    <w:rsid w:val="00BB4202"/>
    <w:rsid w:val="00BB6847"/>
    <w:rsid w:val="00BB7F06"/>
    <w:rsid w:val="00BC2B2D"/>
    <w:rsid w:val="00BC2B5E"/>
    <w:rsid w:val="00BC5878"/>
    <w:rsid w:val="00BC78D7"/>
    <w:rsid w:val="00BC7BFA"/>
    <w:rsid w:val="00BD0BD3"/>
    <w:rsid w:val="00BD16C2"/>
    <w:rsid w:val="00BD504C"/>
    <w:rsid w:val="00BD5804"/>
    <w:rsid w:val="00BD5ECF"/>
    <w:rsid w:val="00BE21BA"/>
    <w:rsid w:val="00BE2784"/>
    <w:rsid w:val="00BE3272"/>
    <w:rsid w:val="00BE454D"/>
    <w:rsid w:val="00BE5339"/>
    <w:rsid w:val="00BE546E"/>
    <w:rsid w:val="00BE56C4"/>
    <w:rsid w:val="00BE63B9"/>
    <w:rsid w:val="00BE652C"/>
    <w:rsid w:val="00BF0184"/>
    <w:rsid w:val="00BF10E6"/>
    <w:rsid w:val="00BF1A9D"/>
    <w:rsid w:val="00BF1AC6"/>
    <w:rsid w:val="00BF38D6"/>
    <w:rsid w:val="00BF5BAD"/>
    <w:rsid w:val="00BF72B6"/>
    <w:rsid w:val="00BF7A65"/>
    <w:rsid w:val="00BF7BCC"/>
    <w:rsid w:val="00C0013C"/>
    <w:rsid w:val="00C00688"/>
    <w:rsid w:val="00C015D3"/>
    <w:rsid w:val="00C02944"/>
    <w:rsid w:val="00C02CAD"/>
    <w:rsid w:val="00C04D82"/>
    <w:rsid w:val="00C072AE"/>
    <w:rsid w:val="00C07497"/>
    <w:rsid w:val="00C10496"/>
    <w:rsid w:val="00C15A45"/>
    <w:rsid w:val="00C1700F"/>
    <w:rsid w:val="00C201E8"/>
    <w:rsid w:val="00C21CD5"/>
    <w:rsid w:val="00C229BD"/>
    <w:rsid w:val="00C2358A"/>
    <w:rsid w:val="00C2450B"/>
    <w:rsid w:val="00C24861"/>
    <w:rsid w:val="00C26917"/>
    <w:rsid w:val="00C2793A"/>
    <w:rsid w:val="00C315B5"/>
    <w:rsid w:val="00C3197D"/>
    <w:rsid w:val="00C322EE"/>
    <w:rsid w:val="00C353D8"/>
    <w:rsid w:val="00C35AA4"/>
    <w:rsid w:val="00C36ECA"/>
    <w:rsid w:val="00C37132"/>
    <w:rsid w:val="00C37610"/>
    <w:rsid w:val="00C37861"/>
    <w:rsid w:val="00C37BB9"/>
    <w:rsid w:val="00C41B86"/>
    <w:rsid w:val="00C41E0E"/>
    <w:rsid w:val="00C42987"/>
    <w:rsid w:val="00C42CD2"/>
    <w:rsid w:val="00C43AB3"/>
    <w:rsid w:val="00C47A50"/>
    <w:rsid w:val="00C47B6D"/>
    <w:rsid w:val="00C5093C"/>
    <w:rsid w:val="00C50DC4"/>
    <w:rsid w:val="00C52F54"/>
    <w:rsid w:val="00C53085"/>
    <w:rsid w:val="00C53AAA"/>
    <w:rsid w:val="00C54889"/>
    <w:rsid w:val="00C565A0"/>
    <w:rsid w:val="00C568EA"/>
    <w:rsid w:val="00C57D28"/>
    <w:rsid w:val="00C60C2B"/>
    <w:rsid w:val="00C60DC2"/>
    <w:rsid w:val="00C62E9C"/>
    <w:rsid w:val="00C67645"/>
    <w:rsid w:val="00C71017"/>
    <w:rsid w:val="00C71A1D"/>
    <w:rsid w:val="00C73186"/>
    <w:rsid w:val="00C73316"/>
    <w:rsid w:val="00C73725"/>
    <w:rsid w:val="00C73C01"/>
    <w:rsid w:val="00C73FEE"/>
    <w:rsid w:val="00C758CD"/>
    <w:rsid w:val="00C77882"/>
    <w:rsid w:val="00C778F2"/>
    <w:rsid w:val="00C80DA2"/>
    <w:rsid w:val="00C81557"/>
    <w:rsid w:val="00C82850"/>
    <w:rsid w:val="00C82F75"/>
    <w:rsid w:val="00C86135"/>
    <w:rsid w:val="00C8666D"/>
    <w:rsid w:val="00C8783C"/>
    <w:rsid w:val="00C91FF1"/>
    <w:rsid w:val="00C93288"/>
    <w:rsid w:val="00C93545"/>
    <w:rsid w:val="00C93F02"/>
    <w:rsid w:val="00C95625"/>
    <w:rsid w:val="00C96FEB"/>
    <w:rsid w:val="00C9702B"/>
    <w:rsid w:val="00C97492"/>
    <w:rsid w:val="00CA0000"/>
    <w:rsid w:val="00CA0DF0"/>
    <w:rsid w:val="00CA38D5"/>
    <w:rsid w:val="00CA39C5"/>
    <w:rsid w:val="00CA4D0A"/>
    <w:rsid w:val="00CA4D7C"/>
    <w:rsid w:val="00CA584D"/>
    <w:rsid w:val="00CA68B6"/>
    <w:rsid w:val="00CA70BB"/>
    <w:rsid w:val="00CA725D"/>
    <w:rsid w:val="00CA7598"/>
    <w:rsid w:val="00CB0242"/>
    <w:rsid w:val="00CB203B"/>
    <w:rsid w:val="00CB251E"/>
    <w:rsid w:val="00CB4D28"/>
    <w:rsid w:val="00CB6E69"/>
    <w:rsid w:val="00CC00EE"/>
    <w:rsid w:val="00CC1015"/>
    <w:rsid w:val="00CC12A0"/>
    <w:rsid w:val="00CC17A6"/>
    <w:rsid w:val="00CC2EAC"/>
    <w:rsid w:val="00CC44E8"/>
    <w:rsid w:val="00CC47A7"/>
    <w:rsid w:val="00CC5379"/>
    <w:rsid w:val="00CC64E5"/>
    <w:rsid w:val="00CC7996"/>
    <w:rsid w:val="00CD0A84"/>
    <w:rsid w:val="00CD0CBF"/>
    <w:rsid w:val="00CD0E6F"/>
    <w:rsid w:val="00CD2B25"/>
    <w:rsid w:val="00CD4A95"/>
    <w:rsid w:val="00CD592E"/>
    <w:rsid w:val="00CD74A9"/>
    <w:rsid w:val="00CE0898"/>
    <w:rsid w:val="00CE1C46"/>
    <w:rsid w:val="00CE2EC0"/>
    <w:rsid w:val="00CE4C5F"/>
    <w:rsid w:val="00CE5C7C"/>
    <w:rsid w:val="00CE78BA"/>
    <w:rsid w:val="00CE79C7"/>
    <w:rsid w:val="00CF0C9E"/>
    <w:rsid w:val="00CF0DA7"/>
    <w:rsid w:val="00CF2036"/>
    <w:rsid w:val="00CF2613"/>
    <w:rsid w:val="00CF44DA"/>
    <w:rsid w:val="00CF7031"/>
    <w:rsid w:val="00D008F8"/>
    <w:rsid w:val="00D009FD"/>
    <w:rsid w:val="00D02A1B"/>
    <w:rsid w:val="00D04646"/>
    <w:rsid w:val="00D0561C"/>
    <w:rsid w:val="00D05F57"/>
    <w:rsid w:val="00D0667A"/>
    <w:rsid w:val="00D07A32"/>
    <w:rsid w:val="00D1162E"/>
    <w:rsid w:val="00D11B06"/>
    <w:rsid w:val="00D11FA3"/>
    <w:rsid w:val="00D12064"/>
    <w:rsid w:val="00D139B3"/>
    <w:rsid w:val="00D13ACC"/>
    <w:rsid w:val="00D13D8A"/>
    <w:rsid w:val="00D1401C"/>
    <w:rsid w:val="00D14BDC"/>
    <w:rsid w:val="00D14C1F"/>
    <w:rsid w:val="00D14CB2"/>
    <w:rsid w:val="00D17908"/>
    <w:rsid w:val="00D17C19"/>
    <w:rsid w:val="00D20FC1"/>
    <w:rsid w:val="00D225D1"/>
    <w:rsid w:val="00D2496A"/>
    <w:rsid w:val="00D25243"/>
    <w:rsid w:val="00D25B0A"/>
    <w:rsid w:val="00D2657D"/>
    <w:rsid w:val="00D27267"/>
    <w:rsid w:val="00D27C85"/>
    <w:rsid w:val="00D322EC"/>
    <w:rsid w:val="00D32300"/>
    <w:rsid w:val="00D3598A"/>
    <w:rsid w:val="00D35C99"/>
    <w:rsid w:val="00D37022"/>
    <w:rsid w:val="00D3794E"/>
    <w:rsid w:val="00D40588"/>
    <w:rsid w:val="00D41477"/>
    <w:rsid w:val="00D42DCE"/>
    <w:rsid w:val="00D4318F"/>
    <w:rsid w:val="00D456C4"/>
    <w:rsid w:val="00D463BC"/>
    <w:rsid w:val="00D46544"/>
    <w:rsid w:val="00D46D94"/>
    <w:rsid w:val="00D4730F"/>
    <w:rsid w:val="00D50B3A"/>
    <w:rsid w:val="00D51F9E"/>
    <w:rsid w:val="00D536B6"/>
    <w:rsid w:val="00D53B2D"/>
    <w:rsid w:val="00D53F79"/>
    <w:rsid w:val="00D5484E"/>
    <w:rsid w:val="00D553A7"/>
    <w:rsid w:val="00D61427"/>
    <w:rsid w:val="00D620F1"/>
    <w:rsid w:val="00D639E3"/>
    <w:rsid w:val="00D66027"/>
    <w:rsid w:val="00D6734D"/>
    <w:rsid w:val="00D67449"/>
    <w:rsid w:val="00D72A64"/>
    <w:rsid w:val="00D76F6A"/>
    <w:rsid w:val="00D7714D"/>
    <w:rsid w:val="00D81EB3"/>
    <w:rsid w:val="00D82D4B"/>
    <w:rsid w:val="00D830BF"/>
    <w:rsid w:val="00D83519"/>
    <w:rsid w:val="00D83EAC"/>
    <w:rsid w:val="00D848F5"/>
    <w:rsid w:val="00D90010"/>
    <w:rsid w:val="00D902E3"/>
    <w:rsid w:val="00D90529"/>
    <w:rsid w:val="00D91182"/>
    <w:rsid w:val="00D92374"/>
    <w:rsid w:val="00D951C9"/>
    <w:rsid w:val="00D956D4"/>
    <w:rsid w:val="00D9644E"/>
    <w:rsid w:val="00D96643"/>
    <w:rsid w:val="00D9727A"/>
    <w:rsid w:val="00D9783E"/>
    <w:rsid w:val="00D97AD8"/>
    <w:rsid w:val="00DA03DB"/>
    <w:rsid w:val="00DA11E1"/>
    <w:rsid w:val="00DA16AF"/>
    <w:rsid w:val="00DA23A9"/>
    <w:rsid w:val="00DA4B2D"/>
    <w:rsid w:val="00DA56FF"/>
    <w:rsid w:val="00DA5FE7"/>
    <w:rsid w:val="00DA61DA"/>
    <w:rsid w:val="00DA7195"/>
    <w:rsid w:val="00DA76B1"/>
    <w:rsid w:val="00DB0A51"/>
    <w:rsid w:val="00DB1225"/>
    <w:rsid w:val="00DB4084"/>
    <w:rsid w:val="00DB510B"/>
    <w:rsid w:val="00DB69A3"/>
    <w:rsid w:val="00DB7189"/>
    <w:rsid w:val="00DB7770"/>
    <w:rsid w:val="00DC0022"/>
    <w:rsid w:val="00DC2020"/>
    <w:rsid w:val="00DC3286"/>
    <w:rsid w:val="00DC50F7"/>
    <w:rsid w:val="00DC61D0"/>
    <w:rsid w:val="00DC6C37"/>
    <w:rsid w:val="00DC71CA"/>
    <w:rsid w:val="00DD0DA7"/>
    <w:rsid w:val="00DD0E2E"/>
    <w:rsid w:val="00DD21A9"/>
    <w:rsid w:val="00DD2AE7"/>
    <w:rsid w:val="00DD31B3"/>
    <w:rsid w:val="00DD721E"/>
    <w:rsid w:val="00DD76A1"/>
    <w:rsid w:val="00DD792D"/>
    <w:rsid w:val="00DE01CC"/>
    <w:rsid w:val="00DE0224"/>
    <w:rsid w:val="00DE0C13"/>
    <w:rsid w:val="00DE18C7"/>
    <w:rsid w:val="00DE4430"/>
    <w:rsid w:val="00DE6F44"/>
    <w:rsid w:val="00DE7073"/>
    <w:rsid w:val="00DE74C4"/>
    <w:rsid w:val="00DF0041"/>
    <w:rsid w:val="00DF0792"/>
    <w:rsid w:val="00DF09DB"/>
    <w:rsid w:val="00DF4BE6"/>
    <w:rsid w:val="00DF689B"/>
    <w:rsid w:val="00DF7DA8"/>
    <w:rsid w:val="00DF7F45"/>
    <w:rsid w:val="00E004BB"/>
    <w:rsid w:val="00E00695"/>
    <w:rsid w:val="00E0176C"/>
    <w:rsid w:val="00E01847"/>
    <w:rsid w:val="00E0443E"/>
    <w:rsid w:val="00E0476C"/>
    <w:rsid w:val="00E04E1C"/>
    <w:rsid w:val="00E04FF0"/>
    <w:rsid w:val="00E06239"/>
    <w:rsid w:val="00E07592"/>
    <w:rsid w:val="00E07886"/>
    <w:rsid w:val="00E07E51"/>
    <w:rsid w:val="00E10CA9"/>
    <w:rsid w:val="00E11FAA"/>
    <w:rsid w:val="00E13B08"/>
    <w:rsid w:val="00E14DD3"/>
    <w:rsid w:val="00E14DED"/>
    <w:rsid w:val="00E15371"/>
    <w:rsid w:val="00E17F1F"/>
    <w:rsid w:val="00E22824"/>
    <w:rsid w:val="00E24A25"/>
    <w:rsid w:val="00E25E87"/>
    <w:rsid w:val="00E27D7A"/>
    <w:rsid w:val="00E30B65"/>
    <w:rsid w:val="00E30E29"/>
    <w:rsid w:val="00E33F70"/>
    <w:rsid w:val="00E34731"/>
    <w:rsid w:val="00E34A56"/>
    <w:rsid w:val="00E36AD8"/>
    <w:rsid w:val="00E3770C"/>
    <w:rsid w:val="00E42CB7"/>
    <w:rsid w:val="00E42CF6"/>
    <w:rsid w:val="00E434D6"/>
    <w:rsid w:val="00E457E5"/>
    <w:rsid w:val="00E47DF1"/>
    <w:rsid w:val="00E51AA2"/>
    <w:rsid w:val="00E56024"/>
    <w:rsid w:val="00E566AF"/>
    <w:rsid w:val="00E61AB2"/>
    <w:rsid w:val="00E620C2"/>
    <w:rsid w:val="00E63407"/>
    <w:rsid w:val="00E67919"/>
    <w:rsid w:val="00E67DBA"/>
    <w:rsid w:val="00E73C39"/>
    <w:rsid w:val="00E73E4B"/>
    <w:rsid w:val="00E74920"/>
    <w:rsid w:val="00E74B3A"/>
    <w:rsid w:val="00E75171"/>
    <w:rsid w:val="00E75F1D"/>
    <w:rsid w:val="00E77EAB"/>
    <w:rsid w:val="00E81626"/>
    <w:rsid w:val="00E83D00"/>
    <w:rsid w:val="00E847D1"/>
    <w:rsid w:val="00E92944"/>
    <w:rsid w:val="00E933CE"/>
    <w:rsid w:val="00E93BCB"/>
    <w:rsid w:val="00E94848"/>
    <w:rsid w:val="00E94BB4"/>
    <w:rsid w:val="00E95617"/>
    <w:rsid w:val="00E97889"/>
    <w:rsid w:val="00EA19E0"/>
    <w:rsid w:val="00EA2649"/>
    <w:rsid w:val="00EA2C87"/>
    <w:rsid w:val="00EA4335"/>
    <w:rsid w:val="00EA4E72"/>
    <w:rsid w:val="00EA5D28"/>
    <w:rsid w:val="00EA5E52"/>
    <w:rsid w:val="00EA6477"/>
    <w:rsid w:val="00EB26B7"/>
    <w:rsid w:val="00EB6D65"/>
    <w:rsid w:val="00EB6FBB"/>
    <w:rsid w:val="00EB7DB9"/>
    <w:rsid w:val="00EC0801"/>
    <w:rsid w:val="00EC0AD1"/>
    <w:rsid w:val="00EC129E"/>
    <w:rsid w:val="00EC2CD6"/>
    <w:rsid w:val="00EC5C12"/>
    <w:rsid w:val="00EC71DA"/>
    <w:rsid w:val="00EC7407"/>
    <w:rsid w:val="00ED169F"/>
    <w:rsid w:val="00ED1B1F"/>
    <w:rsid w:val="00ED269E"/>
    <w:rsid w:val="00ED4B6C"/>
    <w:rsid w:val="00ED5AE0"/>
    <w:rsid w:val="00ED71DA"/>
    <w:rsid w:val="00ED7739"/>
    <w:rsid w:val="00EE0830"/>
    <w:rsid w:val="00EE2C65"/>
    <w:rsid w:val="00EE30F4"/>
    <w:rsid w:val="00EE3936"/>
    <w:rsid w:val="00EE4E27"/>
    <w:rsid w:val="00EE5712"/>
    <w:rsid w:val="00EE583A"/>
    <w:rsid w:val="00EF0F44"/>
    <w:rsid w:val="00EF25AA"/>
    <w:rsid w:val="00EF2ECC"/>
    <w:rsid w:val="00EF5A4E"/>
    <w:rsid w:val="00EF5D3F"/>
    <w:rsid w:val="00EF6B8A"/>
    <w:rsid w:val="00F00C04"/>
    <w:rsid w:val="00F011EF"/>
    <w:rsid w:val="00F01C19"/>
    <w:rsid w:val="00F0269D"/>
    <w:rsid w:val="00F02A58"/>
    <w:rsid w:val="00F032FB"/>
    <w:rsid w:val="00F06B0A"/>
    <w:rsid w:val="00F107F0"/>
    <w:rsid w:val="00F10CDD"/>
    <w:rsid w:val="00F112B8"/>
    <w:rsid w:val="00F11FC7"/>
    <w:rsid w:val="00F120F5"/>
    <w:rsid w:val="00F1319F"/>
    <w:rsid w:val="00F13E1A"/>
    <w:rsid w:val="00F14328"/>
    <w:rsid w:val="00F152E4"/>
    <w:rsid w:val="00F15D1F"/>
    <w:rsid w:val="00F15FA5"/>
    <w:rsid w:val="00F171E0"/>
    <w:rsid w:val="00F20721"/>
    <w:rsid w:val="00F20EB9"/>
    <w:rsid w:val="00F21651"/>
    <w:rsid w:val="00F235BC"/>
    <w:rsid w:val="00F23EBB"/>
    <w:rsid w:val="00F247A7"/>
    <w:rsid w:val="00F24A54"/>
    <w:rsid w:val="00F2669E"/>
    <w:rsid w:val="00F26ACA"/>
    <w:rsid w:val="00F27B66"/>
    <w:rsid w:val="00F31888"/>
    <w:rsid w:val="00F319C0"/>
    <w:rsid w:val="00F31B88"/>
    <w:rsid w:val="00F3225D"/>
    <w:rsid w:val="00F33333"/>
    <w:rsid w:val="00F33413"/>
    <w:rsid w:val="00F336B4"/>
    <w:rsid w:val="00F33A6D"/>
    <w:rsid w:val="00F3612D"/>
    <w:rsid w:val="00F404EB"/>
    <w:rsid w:val="00F40581"/>
    <w:rsid w:val="00F42C5D"/>
    <w:rsid w:val="00F42EBD"/>
    <w:rsid w:val="00F43E5E"/>
    <w:rsid w:val="00F44975"/>
    <w:rsid w:val="00F44FFA"/>
    <w:rsid w:val="00F450E2"/>
    <w:rsid w:val="00F45A28"/>
    <w:rsid w:val="00F45B91"/>
    <w:rsid w:val="00F45BB8"/>
    <w:rsid w:val="00F46177"/>
    <w:rsid w:val="00F462B7"/>
    <w:rsid w:val="00F47403"/>
    <w:rsid w:val="00F545B0"/>
    <w:rsid w:val="00F56259"/>
    <w:rsid w:val="00F5704B"/>
    <w:rsid w:val="00F62008"/>
    <w:rsid w:val="00F62864"/>
    <w:rsid w:val="00F62AB3"/>
    <w:rsid w:val="00F62FB4"/>
    <w:rsid w:val="00F63A53"/>
    <w:rsid w:val="00F63ACF"/>
    <w:rsid w:val="00F65383"/>
    <w:rsid w:val="00F653BB"/>
    <w:rsid w:val="00F70A8D"/>
    <w:rsid w:val="00F70DA7"/>
    <w:rsid w:val="00F71005"/>
    <w:rsid w:val="00F715AF"/>
    <w:rsid w:val="00F7272A"/>
    <w:rsid w:val="00F75FC6"/>
    <w:rsid w:val="00F7733F"/>
    <w:rsid w:val="00F774D8"/>
    <w:rsid w:val="00F77937"/>
    <w:rsid w:val="00F77F06"/>
    <w:rsid w:val="00F817D8"/>
    <w:rsid w:val="00F82062"/>
    <w:rsid w:val="00F8487C"/>
    <w:rsid w:val="00F84953"/>
    <w:rsid w:val="00F901F8"/>
    <w:rsid w:val="00F9239A"/>
    <w:rsid w:val="00F947C2"/>
    <w:rsid w:val="00F94AD5"/>
    <w:rsid w:val="00F952FC"/>
    <w:rsid w:val="00F95DEF"/>
    <w:rsid w:val="00F96069"/>
    <w:rsid w:val="00F96BE5"/>
    <w:rsid w:val="00FA0AC7"/>
    <w:rsid w:val="00FA1848"/>
    <w:rsid w:val="00FA20F2"/>
    <w:rsid w:val="00FA362F"/>
    <w:rsid w:val="00FA5E33"/>
    <w:rsid w:val="00FA5F37"/>
    <w:rsid w:val="00FA6277"/>
    <w:rsid w:val="00FA633E"/>
    <w:rsid w:val="00FA6390"/>
    <w:rsid w:val="00FA6C94"/>
    <w:rsid w:val="00FA7005"/>
    <w:rsid w:val="00FA74D4"/>
    <w:rsid w:val="00FA76D6"/>
    <w:rsid w:val="00FB0CBC"/>
    <w:rsid w:val="00FB1FE7"/>
    <w:rsid w:val="00FB3D78"/>
    <w:rsid w:val="00FB534D"/>
    <w:rsid w:val="00FB5720"/>
    <w:rsid w:val="00FB69E2"/>
    <w:rsid w:val="00FB7480"/>
    <w:rsid w:val="00FC0EAC"/>
    <w:rsid w:val="00FC11CE"/>
    <w:rsid w:val="00FC2A41"/>
    <w:rsid w:val="00FC4DED"/>
    <w:rsid w:val="00FC5711"/>
    <w:rsid w:val="00FC57D4"/>
    <w:rsid w:val="00FD016D"/>
    <w:rsid w:val="00FD09A9"/>
    <w:rsid w:val="00FD1115"/>
    <w:rsid w:val="00FD274D"/>
    <w:rsid w:val="00FD2C75"/>
    <w:rsid w:val="00FD30BE"/>
    <w:rsid w:val="00FD43FB"/>
    <w:rsid w:val="00FD46D9"/>
    <w:rsid w:val="00FD50A0"/>
    <w:rsid w:val="00FE0053"/>
    <w:rsid w:val="00FE07EC"/>
    <w:rsid w:val="00FE1CFD"/>
    <w:rsid w:val="00FE3BAB"/>
    <w:rsid w:val="00FE52CD"/>
    <w:rsid w:val="00FE5A39"/>
    <w:rsid w:val="00FF14C4"/>
    <w:rsid w:val="00FF1EB0"/>
    <w:rsid w:val="00FF221F"/>
    <w:rsid w:val="00FF3101"/>
    <w:rsid w:val="00FF3B34"/>
    <w:rsid w:val="00FF551E"/>
    <w:rsid w:val="00FF7885"/>
    <w:rsid w:val="01EF48B5"/>
    <w:rsid w:val="02E74D14"/>
    <w:rsid w:val="02FC5AB3"/>
    <w:rsid w:val="035E6B0B"/>
    <w:rsid w:val="04457DEA"/>
    <w:rsid w:val="0471412E"/>
    <w:rsid w:val="04B15209"/>
    <w:rsid w:val="04B70785"/>
    <w:rsid w:val="04D70225"/>
    <w:rsid w:val="051200B1"/>
    <w:rsid w:val="05160EF2"/>
    <w:rsid w:val="058645FB"/>
    <w:rsid w:val="068F55E3"/>
    <w:rsid w:val="06B41E0E"/>
    <w:rsid w:val="06E93094"/>
    <w:rsid w:val="06F53074"/>
    <w:rsid w:val="0829293A"/>
    <w:rsid w:val="0941188A"/>
    <w:rsid w:val="09756E61"/>
    <w:rsid w:val="097F23D3"/>
    <w:rsid w:val="0A0B50CF"/>
    <w:rsid w:val="0A420FE1"/>
    <w:rsid w:val="0AD007F3"/>
    <w:rsid w:val="0BEB0202"/>
    <w:rsid w:val="0CFF56DF"/>
    <w:rsid w:val="0D030DE9"/>
    <w:rsid w:val="0D326CC2"/>
    <w:rsid w:val="0DC61A39"/>
    <w:rsid w:val="0DE16433"/>
    <w:rsid w:val="0EA03360"/>
    <w:rsid w:val="0EF10E84"/>
    <w:rsid w:val="0EF40763"/>
    <w:rsid w:val="0F293BB9"/>
    <w:rsid w:val="0F60532F"/>
    <w:rsid w:val="0F935BB3"/>
    <w:rsid w:val="0FCB0D83"/>
    <w:rsid w:val="10A91AA8"/>
    <w:rsid w:val="10BF3855"/>
    <w:rsid w:val="10F17A8A"/>
    <w:rsid w:val="10FE7942"/>
    <w:rsid w:val="114C5ED8"/>
    <w:rsid w:val="11920B94"/>
    <w:rsid w:val="12656B36"/>
    <w:rsid w:val="1378147A"/>
    <w:rsid w:val="13D35827"/>
    <w:rsid w:val="13E524FE"/>
    <w:rsid w:val="147D56F6"/>
    <w:rsid w:val="148B578A"/>
    <w:rsid w:val="14DA122C"/>
    <w:rsid w:val="150430EB"/>
    <w:rsid w:val="156F6E5A"/>
    <w:rsid w:val="15755686"/>
    <w:rsid w:val="168B7CC4"/>
    <w:rsid w:val="170C5908"/>
    <w:rsid w:val="174E7C11"/>
    <w:rsid w:val="17787D90"/>
    <w:rsid w:val="17D46287"/>
    <w:rsid w:val="181B27A7"/>
    <w:rsid w:val="1868332D"/>
    <w:rsid w:val="193675DD"/>
    <w:rsid w:val="194660D8"/>
    <w:rsid w:val="197D694C"/>
    <w:rsid w:val="197E4D0F"/>
    <w:rsid w:val="1ACB786B"/>
    <w:rsid w:val="1AE479A2"/>
    <w:rsid w:val="1BBD730C"/>
    <w:rsid w:val="1C185B56"/>
    <w:rsid w:val="1DA82577"/>
    <w:rsid w:val="1E1170AC"/>
    <w:rsid w:val="1F291C0C"/>
    <w:rsid w:val="1F476F69"/>
    <w:rsid w:val="1F5C696D"/>
    <w:rsid w:val="1F962CF2"/>
    <w:rsid w:val="202A21E1"/>
    <w:rsid w:val="20BC2503"/>
    <w:rsid w:val="218235F1"/>
    <w:rsid w:val="2197576F"/>
    <w:rsid w:val="22A44CDF"/>
    <w:rsid w:val="234A764E"/>
    <w:rsid w:val="252A68FA"/>
    <w:rsid w:val="253009F4"/>
    <w:rsid w:val="25F44B01"/>
    <w:rsid w:val="27155217"/>
    <w:rsid w:val="281108A2"/>
    <w:rsid w:val="297E0FC2"/>
    <w:rsid w:val="29C928E7"/>
    <w:rsid w:val="29CE3EAA"/>
    <w:rsid w:val="2A7C02EC"/>
    <w:rsid w:val="2A8F7CD5"/>
    <w:rsid w:val="2AA72FB4"/>
    <w:rsid w:val="2AEE50BB"/>
    <w:rsid w:val="2B3F4DD2"/>
    <w:rsid w:val="2B9654FA"/>
    <w:rsid w:val="2BB37649"/>
    <w:rsid w:val="2C2D426E"/>
    <w:rsid w:val="2CEF7B3F"/>
    <w:rsid w:val="2E427F0E"/>
    <w:rsid w:val="2E7345D1"/>
    <w:rsid w:val="2FBA0ACE"/>
    <w:rsid w:val="30D140CD"/>
    <w:rsid w:val="317A4765"/>
    <w:rsid w:val="327D0F19"/>
    <w:rsid w:val="32855967"/>
    <w:rsid w:val="33BF0D95"/>
    <w:rsid w:val="340842AA"/>
    <w:rsid w:val="34AA740D"/>
    <w:rsid w:val="34E2105A"/>
    <w:rsid w:val="351849C1"/>
    <w:rsid w:val="353F5A8C"/>
    <w:rsid w:val="36DE1355"/>
    <w:rsid w:val="372A78B2"/>
    <w:rsid w:val="37AF0F6E"/>
    <w:rsid w:val="38107BD1"/>
    <w:rsid w:val="382316B2"/>
    <w:rsid w:val="382611A3"/>
    <w:rsid w:val="386E4C08"/>
    <w:rsid w:val="38B10E44"/>
    <w:rsid w:val="38F06470"/>
    <w:rsid w:val="391A0E43"/>
    <w:rsid w:val="392D3BCE"/>
    <w:rsid w:val="393D26BB"/>
    <w:rsid w:val="396B689B"/>
    <w:rsid w:val="3A39340F"/>
    <w:rsid w:val="3A5B7C10"/>
    <w:rsid w:val="3C3170AD"/>
    <w:rsid w:val="3CBC0F5F"/>
    <w:rsid w:val="3D9C2881"/>
    <w:rsid w:val="3DF1437C"/>
    <w:rsid w:val="3E09134A"/>
    <w:rsid w:val="3E6D045A"/>
    <w:rsid w:val="3F1B08B7"/>
    <w:rsid w:val="3F801B0E"/>
    <w:rsid w:val="40124630"/>
    <w:rsid w:val="40B3559D"/>
    <w:rsid w:val="413C1020"/>
    <w:rsid w:val="41A55A6F"/>
    <w:rsid w:val="429D2840"/>
    <w:rsid w:val="432A5FEB"/>
    <w:rsid w:val="440640BA"/>
    <w:rsid w:val="457C68A6"/>
    <w:rsid w:val="45B527CD"/>
    <w:rsid w:val="45EF2E88"/>
    <w:rsid w:val="462A00B0"/>
    <w:rsid w:val="46D92B01"/>
    <w:rsid w:val="470B7BE0"/>
    <w:rsid w:val="47AB2561"/>
    <w:rsid w:val="483C3E0E"/>
    <w:rsid w:val="48A82A9E"/>
    <w:rsid w:val="49CA6C15"/>
    <w:rsid w:val="4A082E0A"/>
    <w:rsid w:val="4AC268B8"/>
    <w:rsid w:val="4C1B4B58"/>
    <w:rsid w:val="4C213966"/>
    <w:rsid w:val="4CC51E60"/>
    <w:rsid w:val="4CD949FD"/>
    <w:rsid w:val="4CF00C43"/>
    <w:rsid w:val="4D12216B"/>
    <w:rsid w:val="4D184BBB"/>
    <w:rsid w:val="4D7560E1"/>
    <w:rsid w:val="4E745A99"/>
    <w:rsid w:val="4E857B1A"/>
    <w:rsid w:val="4EB1136E"/>
    <w:rsid w:val="4F427C62"/>
    <w:rsid w:val="4F4A4FC8"/>
    <w:rsid w:val="4FBE172A"/>
    <w:rsid w:val="4FD97D99"/>
    <w:rsid w:val="50D74B46"/>
    <w:rsid w:val="51654692"/>
    <w:rsid w:val="52585C54"/>
    <w:rsid w:val="52FD37BC"/>
    <w:rsid w:val="53537C0A"/>
    <w:rsid w:val="543D56F2"/>
    <w:rsid w:val="54605E09"/>
    <w:rsid w:val="54D175A6"/>
    <w:rsid w:val="54D67D81"/>
    <w:rsid w:val="54D7260C"/>
    <w:rsid w:val="55A2680B"/>
    <w:rsid w:val="561B17C3"/>
    <w:rsid w:val="567020F2"/>
    <w:rsid w:val="56B37C4E"/>
    <w:rsid w:val="578E4942"/>
    <w:rsid w:val="57B861B7"/>
    <w:rsid w:val="57E02431"/>
    <w:rsid w:val="58055C15"/>
    <w:rsid w:val="58A04836"/>
    <w:rsid w:val="58AE4B70"/>
    <w:rsid w:val="590A624B"/>
    <w:rsid w:val="59F2455A"/>
    <w:rsid w:val="5A2D57DD"/>
    <w:rsid w:val="5AA3574A"/>
    <w:rsid w:val="5B316C0F"/>
    <w:rsid w:val="5B901D97"/>
    <w:rsid w:val="5C084598"/>
    <w:rsid w:val="5C205D85"/>
    <w:rsid w:val="5C495A77"/>
    <w:rsid w:val="5D2A089A"/>
    <w:rsid w:val="5DB508C9"/>
    <w:rsid w:val="5E9C4DBC"/>
    <w:rsid w:val="5F036A4F"/>
    <w:rsid w:val="5F377063"/>
    <w:rsid w:val="5FF411EE"/>
    <w:rsid w:val="60A441CC"/>
    <w:rsid w:val="60CE4002"/>
    <w:rsid w:val="61BB4554"/>
    <w:rsid w:val="61D945B3"/>
    <w:rsid w:val="621A5185"/>
    <w:rsid w:val="6221138D"/>
    <w:rsid w:val="62E50A5D"/>
    <w:rsid w:val="632919C3"/>
    <w:rsid w:val="633A3E82"/>
    <w:rsid w:val="633E4B0A"/>
    <w:rsid w:val="63A809BF"/>
    <w:rsid w:val="64F14763"/>
    <w:rsid w:val="650A5824"/>
    <w:rsid w:val="65FE2CBF"/>
    <w:rsid w:val="662E111E"/>
    <w:rsid w:val="673F2C72"/>
    <w:rsid w:val="67BB236C"/>
    <w:rsid w:val="68790CF7"/>
    <w:rsid w:val="68C06BDA"/>
    <w:rsid w:val="68CA4FBC"/>
    <w:rsid w:val="69534793"/>
    <w:rsid w:val="69882513"/>
    <w:rsid w:val="69F8009E"/>
    <w:rsid w:val="6A2820A4"/>
    <w:rsid w:val="6AB76068"/>
    <w:rsid w:val="6C147172"/>
    <w:rsid w:val="6C9132F0"/>
    <w:rsid w:val="6CFC62F4"/>
    <w:rsid w:val="6D5B701C"/>
    <w:rsid w:val="6F123E57"/>
    <w:rsid w:val="705269F2"/>
    <w:rsid w:val="70E22B1F"/>
    <w:rsid w:val="716167CC"/>
    <w:rsid w:val="71B9546B"/>
    <w:rsid w:val="72167457"/>
    <w:rsid w:val="72312813"/>
    <w:rsid w:val="73502CC9"/>
    <w:rsid w:val="736A2597"/>
    <w:rsid w:val="73E74B0A"/>
    <w:rsid w:val="74393501"/>
    <w:rsid w:val="74461B27"/>
    <w:rsid w:val="74995770"/>
    <w:rsid w:val="75CD3E17"/>
    <w:rsid w:val="76323600"/>
    <w:rsid w:val="76683156"/>
    <w:rsid w:val="7704653F"/>
    <w:rsid w:val="78576904"/>
    <w:rsid w:val="79B6534F"/>
    <w:rsid w:val="7A8F4EBB"/>
    <w:rsid w:val="7B280A87"/>
    <w:rsid w:val="7B29035B"/>
    <w:rsid w:val="7B4E6013"/>
    <w:rsid w:val="7B802C44"/>
    <w:rsid w:val="7BDB666D"/>
    <w:rsid w:val="7CCE2087"/>
    <w:rsid w:val="7D1671EF"/>
    <w:rsid w:val="7D9A5540"/>
    <w:rsid w:val="7DB67EA0"/>
    <w:rsid w:val="7E4261F2"/>
    <w:rsid w:val="7F517E80"/>
    <w:rsid w:val="7FC912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iPriority="0"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link w:val="61"/>
    <w:qFormat/>
    <w:uiPriority w:val="0"/>
    <w:pPr>
      <w:keepNext/>
      <w:keepLines/>
      <w:spacing w:before="340" w:after="330" w:line="576" w:lineRule="auto"/>
      <w:outlineLvl w:val="0"/>
    </w:pPr>
    <w:rPr>
      <w:b/>
      <w:kern w:val="44"/>
      <w:sz w:val="44"/>
      <w:lang w:val="zh-CN"/>
    </w:rPr>
  </w:style>
  <w:style w:type="paragraph" w:styleId="5">
    <w:name w:val="heading 2"/>
    <w:basedOn w:val="1"/>
    <w:next w:val="1"/>
    <w:link w:val="62"/>
    <w:qFormat/>
    <w:uiPriority w:val="0"/>
    <w:pPr>
      <w:keepNext/>
      <w:keepLines/>
      <w:adjustRightInd w:val="0"/>
      <w:spacing w:before="260" w:after="260" w:line="416" w:lineRule="atLeast"/>
      <w:textAlignment w:val="baseline"/>
      <w:outlineLvl w:val="1"/>
    </w:pPr>
    <w:rPr>
      <w:rFonts w:ascii="Arial" w:hAnsi="Arial" w:eastAsia="黑体"/>
      <w:b/>
      <w:kern w:val="0"/>
      <w:sz w:val="32"/>
      <w:lang w:val="zh-CN"/>
    </w:rPr>
  </w:style>
  <w:style w:type="paragraph" w:styleId="6">
    <w:name w:val="heading 3"/>
    <w:basedOn w:val="1"/>
    <w:next w:val="1"/>
    <w:link w:val="63"/>
    <w:qFormat/>
    <w:uiPriority w:val="0"/>
    <w:pPr>
      <w:keepNext/>
      <w:keepLines/>
      <w:adjustRightInd w:val="0"/>
      <w:spacing w:before="260" w:after="260" w:line="416" w:lineRule="atLeast"/>
      <w:textAlignment w:val="baseline"/>
      <w:outlineLvl w:val="2"/>
    </w:pPr>
    <w:rPr>
      <w:b/>
      <w:kern w:val="0"/>
      <w:sz w:val="32"/>
      <w:lang w:val="zh-CN"/>
    </w:rPr>
  </w:style>
  <w:style w:type="paragraph" w:styleId="7">
    <w:name w:val="heading 4"/>
    <w:basedOn w:val="1"/>
    <w:next w:val="1"/>
    <w:link w:val="65"/>
    <w:qFormat/>
    <w:uiPriority w:val="0"/>
    <w:pPr>
      <w:keepNext/>
      <w:keepLines/>
      <w:spacing w:before="280" w:after="290" w:line="372" w:lineRule="auto"/>
      <w:outlineLvl w:val="3"/>
    </w:pPr>
    <w:rPr>
      <w:rFonts w:ascii="Arial" w:hAnsi="Arial" w:eastAsia="黑体"/>
      <w:b/>
      <w:sz w:val="28"/>
      <w:lang w:val="zh-CN"/>
    </w:rPr>
  </w:style>
  <w:style w:type="paragraph" w:styleId="8">
    <w:name w:val="heading 5"/>
    <w:basedOn w:val="1"/>
    <w:next w:val="9"/>
    <w:link w:val="66"/>
    <w:qFormat/>
    <w:uiPriority w:val="0"/>
    <w:pPr>
      <w:keepNext/>
      <w:keepLines/>
      <w:spacing w:before="280" w:after="290" w:line="372" w:lineRule="auto"/>
      <w:outlineLvl w:val="4"/>
    </w:pPr>
    <w:rPr>
      <w:b/>
      <w:sz w:val="28"/>
      <w:lang w:val="zh-CN"/>
    </w:rPr>
  </w:style>
  <w:style w:type="paragraph" w:styleId="10">
    <w:name w:val="heading 6"/>
    <w:basedOn w:val="1"/>
    <w:next w:val="9"/>
    <w:link w:val="67"/>
    <w:qFormat/>
    <w:uiPriority w:val="0"/>
    <w:pPr>
      <w:keepNext/>
      <w:keepLines/>
      <w:spacing w:before="240" w:after="64" w:line="317" w:lineRule="auto"/>
      <w:outlineLvl w:val="5"/>
    </w:pPr>
    <w:rPr>
      <w:rFonts w:ascii="Arial" w:hAnsi="Arial" w:eastAsia="黑体"/>
      <w:b/>
      <w:sz w:val="24"/>
      <w:lang w:val="zh-CN"/>
    </w:rPr>
  </w:style>
  <w:style w:type="paragraph" w:styleId="11">
    <w:name w:val="heading 7"/>
    <w:basedOn w:val="1"/>
    <w:next w:val="9"/>
    <w:link w:val="68"/>
    <w:qFormat/>
    <w:uiPriority w:val="0"/>
    <w:pPr>
      <w:keepNext/>
      <w:keepLines/>
      <w:spacing w:before="240" w:after="64" w:line="317" w:lineRule="auto"/>
      <w:outlineLvl w:val="6"/>
    </w:pPr>
    <w:rPr>
      <w:b/>
      <w:sz w:val="24"/>
      <w:lang w:val="zh-CN"/>
    </w:rPr>
  </w:style>
  <w:style w:type="paragraph" w:styleId="12">
    <w:name w:val="heading 8"/>
    <w:basedOn w:val="1"/>
    <w:next w:val="9"/>
    <w:link w:val="69"/>
    <w:qFormat/>
    <w:uiPriority w:val="0"/>
    <w:pPr>
      <w:keepNext/>
      <w:keepLines/>
      <w:spacing w:before="240" w:after="64" w:line="317" w:lineRule="auto"/>
      <w:outlineLvl w:val="7"/>
    </w:pPr>
    <w:rPr>
      <w:rFonts w:ascii="Arial" w:hAnsi="Arial" w:eastAsia="黑体"/>
      <w:sz w:val="24"/>
      <w:lang w:val="zh-CN"/>
    </w:rPr>
  </w:style>
  <w:style w:type="paragraph" w:styleId="13">
    <w:name w:val="heading 9"/>
    <w:basedOn w:val="1"/>
    <w:next w:val="9"/>
    <w:link w:val="70"/>
    <w:qFormat/>
    <w:uiPriority w:val="0"/>
    <w:pPr>
      <w:keepNext/>
      <w:keepLines/>
      <w:spacing w:before="240" w:after="64" w:line="317" w:lineRule="auto"/>
      <w:outlineLvl w:val="8"/>
    </w:pPr>
    <w:rPr>
      <w:rFonts w:ascii="Arial" w:hAnsi="Arial" w:eastAsia="黑体"/>
      <w:lang w:val="zh-CN"/>
    </w:rPr>
  </w:style>
  <w:style w:type="character" w:default="1" w:styleId="51">
    <w:name w:val="Default Paragraph Font"/>
    <w:semiHidden/>
    <w:unhideWhenUsed/>
    <w:qFormat/>
    <w:uiPriority w:val="1"/>
  </w:style>
  <w:style w:type="table" w:default="1" w:styleId="4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77"/>
    <w:qFormat/>
    <w:uiPriority w:val="99"/>
    <w:rPr>
      <w:sz w:val="24"/>
    </w:rPr>
  </w:style>
  <w:style w:type="paragraph" w:customStyle="1" w:styleId="3">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styleId="9">
    <w:name w:val="Normal Indent"/>
    <w:basedOn w:val="1"/>
    <w:link w:val="64"/>
    <w:qFormat/>
    <w:uiPriority w:val="0"/>
    <w:pPr>
      <w:ind w:firstLine="420"/>
    </w:pPr>
    <w:rPr>
      <w:kern w:val="0"/>
      <w:sz w:val="20"/>
    </w:rPr>
  </w:style>
  <w:style w:type="paragraph" w:styleId="14">
    <w:name w:val="toc 7"/>
    <w:basedOn w:val="1"/>
    <w:next w:val="1"/>
    <w:qFormat/>
    <w:uiPriority w:val="0"/>
    <w:pPr>
      <w:ind w:left="2520" w:leftChars="1200"/>
    </w:pPr>
  </w:style>
  <w:style w:type="paragraph" w:styleId="15">
    <w:name w:val="Note Heading"/>
    <w:basedOn w:val="1"/>
    <w:next w:val="1"/>
    <w:link w:val="115"/>
    <w:qFormat/>
    <w:uiPriority w:val="0"/>
    <w:pPr>
      <w:adjustRightInd w:val="0"/>
      <w:snapToGrid w:val="0"/>
      <w:jc w:val="center"/>
    </w:pPr>
    <w:rPr>
      <w:lang w:val="zh-CN" w:eastAsia="zh-TW"/>
    </w:rPr>
  </w:style>
  <w:style w:type="paragraph" w:styleId="16">
    <w:name w:val="caption"/>
    <w:basedOn w:val="1"/>
    <w:next w:val="1"/>
    <w:qFormat/>
    <w:uiPriority w:val="0"/>
    <w:rPr>
      <w:rFonts w:ascii="Cambria" w:hAnsi="Cambria" w:eastAsia="黑体"/>
    </w:rPr>
  </w:style>
  <w:style w:type="paragraph" w:styleId="17">
    <w:name w:val="Document Map"/>
    <w:basedOn w:val="1"/>
    <w:link w:val="111"/>
    <w:qFormat/>
    <w:uiPriority w:val="0"/>
    <w:pPr>
      <w:shd w:val="clear" w:color="auto" w:fill="000080"/>
    </w:pPr>
    <w:rPr>
      <w:kern w:val="0"/>
      <w:sz w:val="20"/>
    </w:rPr>
  </w:style>
  <w:style w:type="paragraph" w:styleId="18">
    <w:name w:val="toa heading"/>
    <w:basedOn w:val="1"/>
    <w:next w:val="1"/>
    <w:qFormat/>
    <w:uiPriority w:val="0"/>
    <w:pPr>
      <w:adjustRightInd w:val="0"/>
      <w:spacing w:before="120" w:line="312" w:lineRule="atLeast"/>
      <w:textAlignment w:val="baseline"/>
    </w:pPr>
    <w:rPr>
      <w:rFonts w:ascii="Arial" w:hAnsi="Arial"/>
      <w:sz w:val="24"/>
    </w:rPr>
  </w:style>
  <w:style w:type="paragraph" w:styleId="19">
    <w:name w:val="annotation text"/>
    <w:basedOn w:val="1"/>
    <w:link w:val="105"/>
    <w:qFormat/>
    <w:uiPriority w:val="0"/>
    <w:pPr>
      <w:adjustRightInd w:val="0"/>
      <w:spacing w:line="360" w:lineRule="atLeast"/>
      <w:textAlignment w:val="baseline"/>
    </w:pPr>
    <w:rPr>
      <w:kern w:val="0"/>
      <w:sz w:val="24"/>
      <w:lang w:val="zh-CN"/>
    </w:rPr>
  </w:style>
  <w:style w:type="paragraph" w:styleId="20">
    <w:name w:val="Body Text 3"/>
    <w:basedOn w:val="1"/>
    <w:link w:val="82"/>
    <w:qFormat/>
    <w:uiPriority w:val="0"/>
    <w:pPr>
      <w:tabs>
        <w:tab w:val="left" w:pos="-1440"/>
      </w:tabs>
      <w:suppressAutoHyphens/>
      <w:spacing w:line="240" w:lineRule="atLeast"/>
    </w:pPr>
    <w:rPr>
      <w:rFonts w:ascii="Arial" w:hAnsi="Arial"/>
      <w:color w:val="FF0000"/>
      <w:spacing w:val="-3"/>
      <w:kern w:val="0"/>
      <w:sz w:val="22"/>
      <w:lang w:val="en-GB" w:eastAsia="en-US"/>
    </w:rPr>
  </w:style>
  <w:style w:type="paragraph" w:styleId="21">
    <w:name w:val="Body Text Indent"/>
    <w:basedOn w:val="1"/>
    <w:link w:val="110"/>
    <w:qFormat/>
    <w:uiPriority w:val="0"/>
    <w:pPr>
      <w:ind w:firstLine="360"/>
    </w:pPr>
    <w:rPr>
      <w:kern w:val="0"/>
      <w:sz w:val="28"/>
      <w:szCs w:val="24"/>
    </w:rPr>
  </w:style>
  <w:style w:type="paragraph" w:styleId="22">
    <w:name w:val="Block Text"/>
    <w:basedOn w:val="1"/>
    <w:qFormat/>
    <w:uiPriority w:val="0"/>
    <w:pPr>
      <w:ind w:left="-540" w:right="-1054"/>
    </w:pPr>
    <w:rPr>
      <w:sz w:val="28"/>
    </w:rPr>
  </w:style>
  <w:style w:type="paragraph" w:styleId="23">
    <w:name w:val="toc 5"/>
    <w:basedOn w:val="1"/>
    <w:next w:val="1"/>
    <w:qFormat/>
    <w:uiPriority w:val="0"/>
    <w:pPr>
      <w:ind w:left="1680" w:leftChars="800"/>
    </w:pPr>
  </w:style>
  <w:style w:type="paragraph" w:styleId="24">
    <w:name w:val="toc 3"/>
    <w:basedOn w:val="1"/>
    <w:next w:val="1"/>
    <w:qFormat/>
    <w:uiPriority w:val="39"/>
    <w:pPr>
      <w:ind w:left="840" w:leftChars="400"/>
    </w:pPr>
  </w:style>
  <w:style w:type="paragraph" w:styleId="25">
    <w:name w:val="Plain Text"/>
    <w:basedOn w:val="1"/>
    <w:link w:val="88"/>
    <w:qFormat/>
    <w:uiPriority w:val="99"/>
    <w:pPr>
      <w:overflowPunct w:val="0"/>
      <w:spacing w:line="360" w:lineRule="auto"/>
    </w:pPr>
    <w:rPr>
      <w:rFonts w:ascii="宋体" w:hAnsi="Courier New" w:eastAsia="仿宋_GB2312"/>
      <w:sz w:val="24"/>
      <w:lang w:val="zh-CN"/>
    </w:rPr>
  </w:style>
  <w:style w:type="paragraph" w:styleId="26">
    <w:name w:val="toc 8"/>
    <w:basedOn w:val="1"/>
    <w:next w:val="1"/>
    <w:qFormat/>
    <w:uiPriority w:val="0"/>
    <w:pPr>
      <w:ind w:left="2940" w:leftChars="1400"/>
    </w:pPr>
  </w:style>
  <w:style w:type="paragraph" w:styleId="27">
    <w:name w:val="Date"/>
    <w:basedOn w:val="1"/>
    <w:next w:val="1"/>
    <w:link w:val="126"/>
    <w:qFormat/>
    <w:uiPriority w:val="99"/>
    <w:rPr>
      <w:kern w:val="0"/>
      <w:sz w:val="24"/>
    </w:rPr>
  </w:style>
  <w:style w:type="paragraph" w:styleId="28">
    <w:name w:val="Body Text Indent 2"/>
    <w:basedOn w:val="1"/>
    <w:link w:val="76"/>
    <w:qFormat/>
    <w:uiPriority w:val="0"/>
    <w:pPr>
      <w:spacing w:before="60" w:after="60"/>
      <w:ind w:left="720" w:hanging="720"/>
    </w:pPr>
    <w:rPr>
      <w:color w:val="000000"/>
      <w:kern w:val="0"/>
      <w:sz w:val="24"/>
    </w:rPr>
  </w:style>
  <w:style w:type="paragraph" w:styleId="29">
    <w:name w:val="endnote text"/>
    <w:basedOn w:val="1"/>
    <w:link w:val="206"/>
    <w:semiHidden/>
    <w:unhideWhenUsed/>
    <w:qFormat/>
    <w:uiPriority w:val="0"/>
    <w:pPr>
      <w:snapToGrid w:val="0"/>
      <w:jc w:val="left"/>
    </w:pPr>
    <w:rPr>
      <w:rFonts w:eastAsia="??"/>
      <w:color w:val="000000"/>
      <w:kern w:val="0"/>
      <w:sz w:val="24"/>
      <w:szCs w:val="24"/>
      <w:lang w:val="zh-CN"/>
    </w:rPr>
  </w:style>
  <w:style w:type="paragraph" w:styleId="30">
    <w:name w:val="Balloon Text"/>
    <w:basedOn w:val="1"/>
    <w:link w:val="107"/>
    <w:qFormat/>
    <w:uiPriority w:val="0"/>
    <w:rPr>
      <w:sz w:val="18"/>
      <w:szCs w:val="18"/>
      <w:lang w:val="zh-CN"/>
    </w:rPr>
  </w:style>
  <w:style w:type="paragraph" w:styleId="31">
    <w:name w:val="footer"/>
    <w:basedOn w:val="1"/>
    <w:link w:val="175"/>
    <w:qFormat/>
    <w:uiPriority w:val="99"/>
    <w:pPr>
      <w:tabs>
        <w:tab w:val="center" w:pos="4153"/>
        <w:tab w:val="right" w:pos="8306"/>
      </w:tabs>
      <w:snapToGrid w:val="0"/>
    </w:pPr>
    <w:rPr>
      <w:sz w:val="18"/>
      <w:lang w:val="zh-CN"/>
    </w:rPr>
  </w:style>
  <w:style w:type="paragraph" w:styleId="32">
    <w:name w:val="header"/>
    <w:basedOn w:val="1"/>
    <w:link w:val="162"/>
    <w:qFormat/>
    <w:uiPriority w:val="99"/>
    <w:pPr>
      <w:pBdr>
        <w:bottom w:val="single" w:color="auto" w:sz="6" w:space="1"/>
      </w:pBdr>
      <w:tabs>
        <w:tab w:val="center" w:pos="4153"/>
        <w:tab w:val="right" w:pos="8306"/>
      </w:tabs>
      <w:snapToGrid w:val="0"/>
      <w:jc w:val="center"/>
    </w:pPr>
    <w:rPr>
      <w:sz w:val="18"/>
      <w:lang w:val="zh-CN"/>
    </w:rPr>
  </w:style>
  <w:style w:type="paragraph" w:styleId="33">
    <w:name w:val="toc 1"/>
    <w:basedOn w:val="1"/>
    <w:next w:val="1"/>
    <w:qFormat/>
    <w:uiPriority w:val="39"/>
  </w:style>
  <w:style w:type="paragraph" w:styleId="34">
    <w:name w:val="toc 4"/>
    <w:basedOn w:val="1"/>
    <w:next w:val="1"/>
    <w:qFormat/>
    <w:uiPriority w:val="0"/>
    <w:pPr>
      <w:ind w:left="1260" w:leftChars="600"/>
    </w:pPr>
  </w:style>
  <w:style w:type="paragraph" w:styleId="35">
    <w:name w:val="Subtitle"/>
    <w:basedOn w:val="1"/>
    <w:next w:val="1"/>
    <w:link w:val="99"/>
    <w:qFormat/>
    <w:uiPriority w:val="0"/>
    <w:pPr>
      <w:spacing w:before="240" w:after="60" w:line="312" w:lineRule="auto"/>
      <w:jc w:val="center"/>
      <w:outlineLvl w:val="1"/>
    </w:pPr>
    <w:rPr>
      <w:rFonts w:ascii="Cambria" w:hAnsi="Cambria"/>
      <w:b/>
      <w:bCs/>
      <w:kern w:val="28"/>
      <w:sz w:val="32"/>
      <w:szCs w:val="32"/>
    </w:rPr>
  </w:style>
  <w:style w:type="paragraph" w:styleId="36">
    <w:name w:val="footnote text"/>
    <w:basedOn w:val="1"/>
    <w:link w:val="129"/>
    <w:qFormat/>
    <w:uiPriority w:val="0"/>
    <w:pPr>
      <w:snapToGrid w:val="0"/>
    </w:pPr>
    <w:rPr>
      <w:sz w:val="18"/>
      <w:szCs w:val="18"/>
      <w:lang w:val="zh-CN"/>
    </w:rPr>
  </w:style>
  <w:style w:type="paragraph" w:styleId="37">
    <w:name w:val="toc 6"/>
    <w:basedOn w:val="1"/>
    <w:next w:val="1"/>
    <w:qFormat/>
    <w:uiPriority w:val="0"/>
    <w:pPr>
      <w:ind w:left="2100" w:leftChars="1000"/>
    </w:pPr>
  </w:style>
  <w:style w:type="paragraph" w:styleId="38">
    <w:name w:val="Body Text Indent 3"/>
    <w:basedOn w:val="1"/>
    <w:link w:val="83"/>
    <w:qFormat/>
    <w:uiPriority w:val="0"/>
    <w:pPr>
      <w:ind w:firstLine="720"/>
    </w:pPr>
    <w:rPr>
      <w:kern w:val="0"/>
      <w:sz w:val="24"/>
    </w:rPr>
  </w:style>
  <w:style w:type="paragraph" w:styleId="39">
    <w:name w:val="table of figures"/>
    <w:basedOn w:val="1"/>
    <w:next w:val="1"/>
    <w:qFormat/>
    <w:uiPriority w:val="0"/>
    <w:pPr>
      <w:ind w:left="440" w:hanging="440"/>
    </w:pPr>
    <w:rPr>
      <w:rFonts w:ascii="Arial" w:hAnsi="Arial"/>
      <w:sz w:val="22"/>
      <w:lang w:val="en-GB" w:eastAsia="en-US"/>
    </w:rPr>
  </w:style>
  <w:style w:type="paragraph" w:styleId="40">
    <w:name w:val="toc 2"/>
    <w:basedOn w:val="1"/>
    <w:next w:val="1"/>
    <w:qFormat/>
    <w:uiPriority w:val="39"/>
    <w:pPr>
      <w:ind w:left="420" w:leftChars="200"/>
    </w:pPr>
  </w:style>
  <w:style w:type="paragraph" w:styleId="41">
    <w:name w:val="toc 9"/>
    <w:basedOn w:val="1"/>
    <w:next w:val="1"/>
    <w:qFormat/>
    <w:uiPriority w:val="0"/>
    <w:pPr>
      <w:ind w:left="3360" w:leftChars="1600"/>
    </w:pPr>
  </w:style>
  <w:style w:type="paragraph" w:styleId="42">
    <w:name w:val="Body Text 2"/>
    <w:basedOn w:val="1"/>
    <w:link w:val="100"/>
    <w:qFormat/>
    <w:uiPriority w:val="0"/>
    <w:pPr>
      <w:spacing w:before="60" w:after="60"/>
    </w:pPr>
    <w:rPr>
      <w:color w:val="0000FF"/>
      <w:kern w:val="0"/>
      <w:sz w:val="24"/>
    </w:rPr>
  </w:style>
  <w:style w:type="paragraph" w:styleId="43">
    <w:name w:val="HTML Preformatted"/>
    <w:basedOn w:val="1"/>
    <w:link w:val="132"/>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Arial"/>
      <w:kern w:val="0"/>
      <w:sz w:val="24"/>
      <w:szCs w:val="24"/>
    </w:rPr>
  </w:style>
  <w:style w:type="paragraph" w:styleId="44">
    <w:name w:val="Normal (Web)"/>
    <w:basedOn w:val="1"/>
    <w:qFormat/>
    <w:uiPriority w:val="99"/>
    <w:rPr>
      <w:rFonts w:ascii="宋体" w:hAnsi="宋体" w:cs="宋体"/>
      <w:sz w:val="24"/>
      <w:szCs w:val="24"/>
    </w:rPr>
  </w:style>
  <w:style w:type="paragraph" w:styleId="45">
    <w:name w:val="Title"/>
    <w:basedOn w:val="1"/>
    <w:next w:val="1"/>
    <w:link w:val="96"/>
    <w:qFormat/>
    <w:uiPriority w:val="0"/>
    <w:pPr>
      <w:spacing w:before="240" w:after="60"/>
      <w:jc w:val="center"/>
      <w:outlineLvl w:val="0"/>
    </w:pPr>
    <w:rPr>
      <w:rFonts w:ascii="Cambria" w:hAnsi="Cambria"/>
      <w:b/>
      <w:bCs/>
      <w:kern w:val="0"/>
      <w:sz w:val="32"/>
      <w:szCs w:val="32"/>
      <w:lang w:val="zh-CN"/>
    </w:rPr>
  </w:style>
  <w:style w:type="paragraph" w:styleId="46">
    <w:name w:val="annotation subject"/>
    <w:basedOn w:val="19"/>
    <w:next w:val="19"/>
    <w:link w:val="120"/>
    <w:qFormat/>
    <w:uiPriority w:val="0"/>
    <w:pPr>
      <w:adjustRightInd/>
      <w:spacing w:line="240" w:lineRule="auto"/>
      <w:textAlignment w:val="auto"/>
    </w:pPr>
  </w:style>
  <w:style w:type="paragraph" w:styleId="47">
    <w:name w:val="Body Text First Indent"/>
    <w:basedOn w:val="2"/>
    <w:link w:val="121"/>
    <w:qFormat/>
    <w:uiPriority w:val="0"/>
    <w:pPr>
      <w:spacing w:after="120"/>
      <w:ind w:firstLine="420" w:firstLineChars="100"/>
    </w:pPr>
    <w:rPr>
      <w:rFonts w:ascii="宋体" w:hAnsi="宋体"/>
      <w:color w:val="000000"/>
      <w:lang w:val="zh-CN"/>
    </w:rPr>
  </w:style>
  <w:style w:type="paragraph" w:styleId="48">
    <w:name w:val="Body Text First Indent 2"/>
    <w:basedOn w:val="21"/>
    <w:link w:val="109"/>
    <w:qFormat/>
    <w:uiPriority w:val="0"/>
    <w:pPr>
      <w:spacing w:after="120"/>
      <w:ind w:left="420" w:leftChars="200" w:firstLine="420" w:firstLineChars="200"/>
    </w:pPr>
    <w:rPr>
      <w:kern w:val="2"/>
      <w:sz w:val="21"/>
    </w:rPr>
  </w:style>
  <w:style w:type="table" w:styleId="50">
    <w:name w:val="Table Grid"/>
    <w:basedOn w:val="49"/>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2">
    <w:name w:val="Strong"/>
    <w:qFormat/>
    <w:uiPriority w:val="0"/>
    <w:rPr>
      <w:b/>
      <w:bCs/>
    </w:rPr>
  </w:style>
  <w:style w:type="character" w:styleId="53">
    <w:name w:val="page number"/>
    <w:basedOn w:val="51"/>
    <w:qFormat/>
    <w:uiPriority w:val="0"/>
  </w:style>
  <w:style w:type="character" w:styleId="54">
    <w:name w:val="Emphasis"/>
    <w:qFormat/>
    <w:uiPriority w:val="0"/>
    <w:rPr>
      <w:i/>
      <w:iCs/>
    </w:rPr>
  </w:style>
  <w:style w:type="character" w:styleId="55">
    <w:name w:val="Hyperlink"/>
    <w:basedOn w:val="51"/>
    <w:qFormat/>
    <w:uiPriority w:val="99"/>
    <w:rPr>
      <w:color w:val="0000FF"/>
      <w:u w:val="single"/>
    </w:rPr>
  </w:style>
  <w:style w:type="character" w:styleId="56">
    <w:name w:val="annotation reference"/>
    <w:qFormat/>
    <w:uiPriority w:val="0"/>
    <w:rPr>
      <w:sz w:val="21"/>
      <w:szCs w:val="21"/>
    </w:rPr>
  </w:style>
  <w:style w:type="character" w:styleId="57">
    <w:name w:val="footnote reference"/>
    <w:qFormat/>
    <w:uiPriority w:val="0"/>
    <w:rPr>
      <w:vertAlign w:val="superscript"/>
    </w:rPr>
  </w:style>
  <w:style w:type="paragraph" w:customStyle="1" w:styleId="58">
    <w:name w:val="一级条标题"/>
    <w:basedOn w:val="59"/>
    <w:next w:val="60"/>
    <w:qFormat/>
    <w:uiPriority w:val="0"/>
    <w:pPr>
      <w:ind w:hanging="840"/>
    </w:pPr>
  </w:style>
  <w:style w:type="paragraph" w:customStyle="1" w:styleId="59">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60">
    <w:name w:val="段"/>
    <w:qFormat/>
    <w:uiPriority w:val="0"/>
    <w:pPr>
      <w:autoSpaceDE w:val="0"/>
      <w:autoSpaceDN w:val="0"/>
      <w:ind w:firstLine="200" w:firstLineChars="200"/>
      <w:jc w:val="both"/>
    </w:pPr>
    <w:rPr>
      <w:rFonts w:ascii="??" w:hAnsi="??" w:eastAsia="??" w:cs="宋体"/>
      <w:color w:val="000000"/>
      <w:szCs w:val="28"/>
      <w:lang w:val="en-US" w:eastAsia="zh-CN" w:bidi="ar-SA"/>
    </w:rPr>
  </w:style>
  <w:style w:type="character" w:customStyle="1" w:styleId="61">
    <w:name w:val="标题 1 字符"/>
    <w:link w:val="4"/>
    <w:qFormat/>
    <w:uiPriority w:val="0"/>
    <w:rPr>
      <w:b/>
      <w:kern w:val="44"/>
      <w:sz w:val="44"/>
      <w:lang w:val="zh-CN" w:eastAsia="zh-CN"/>
    </w:rPr>
  </w:style>
  <w:style w:type="character" w:customStyle="1" w:styleId="62">
    <w:name w:val="标题 2 字符"/>
    <w:link w:val="5"/>
    <w:qFormat/>
    <w:uiPriority w:val="0"/>
    <w:rPr>
      <w:rFonts w:ascii="Arial" w:hAnsi="Arial" w:eastAsia="黑体"/>
      <w:b/>
      <w:sz w:val="32"/>
      <w:lang w:val="zh-CN" w:eastAsia="zh-CN"/>
    </w:rPr>
  </w:style>
  <w:style w:type="character" w:customStyle="1" w:styleId="63">
    <w:name w:val="标题 3 字符"/>
    <w:link w:val="6"/>
    <w:qFormat/>
    <w:uiPriority w:val="0"/>
    <w:rPr>
      <w:b/>
      <w:sz w:val="32"/>
      <w:lang w:val="zh-CN" w:eastAsia="zh-CN"/>
    </w:rPr>
  </w:style>
  <w:style w:type="character" w:customStyle="1" w:styleId="64">
    <w:name w:val="正文缩进 字符"/>
    <w:link w:val="9"/>
    <w:qFormat/>
    <w:uiPriority w:val="0"/>
    <w:rPr>
      <w:rFonts w:eastAsia="宋体"/>
      <w:lang w:val="en-US" w:eastAsia="zh-CN" w:bidi="ar-SA"/>
    </w:rPr>
  </w:style>
  <w:style w:type="character" w:customStyle="1" w:styleId="65">
    <w:name w:val="标题 4 字符"/>
    <w:link w:val="7"/>
    <w:qFormat/>
    <w:uiPriority w:val="0"/>
    <w:rPr>
      <w:rFonts w:ascii="Arial" w:hAnsi="Arial" w:eastAsia="黑体"/>
      <w:b/>
      <w:kern w:val="2"/>
      <w:sz w:val="28"/>
      <w:lang w:val="zh-CN" w:eastAsia="zh-CN"/>
    </w:rPr>
  </w:style>
  <w:style w:type="character" w:customStyle="1" w:styleId="66">
    <w:name w:val="标题 5 字符"/>
    <w:link w:val="8"/>
    <w:qFormat/>
    <w:uiPriority w:val="0"/>
    <w:rPr>
      <w:b/>
      <w:kern w:val="2"/>
      <w:sz w:val="28"/>
      <w:lang w:val="zh-CN" w:eastAsia="zh-CN"/>
    </w:rPr>
  </w:style>
  <w:style w:type="character" w:customStyle="1" w:styleId="67">
    <w:name w:val="标题 6 字符"/>
    <w:link w:val="10"/>
    <w:qFormat/>
    <w:uiPriority w:val="0"/>
    <w:rPr>
      <w:rFonts w:ascii="Arial" w:hAnsi="Arial" w:eastAsia="黑体"/>
      <w:b/>
      <w:kern w:val="2"/>
      <w:sz w:val="24"/>
      <w:lang w:val="zh-CN" w:eastAsia="zh-CN"/>
    </w:rPr>
  </w:style>
  <w:style w:type="character" w:customStyle="1" w:styleId="68">
    <w:name w:val="标题 7 字符"/>
    <w:link w:val="11"/>
    <w:qFormat/>
    <w:uiPriority w:val="0"/>
    <w:rPr>
      <w:b/>
      <w:kern w:val="2"/>
      <w:sz w:val="24"/>
      <w:lang w:val="zh-CN" w:eastAsia="zh-CN"/>
    </w:rPr>
  </w:style>
  <w:style w:type="character" w:customStyle="1" w:styleId="69">
    <w:name w:val="标题 8 字符"/>
    <w:link w:val="12"/>
    <w:qFormat/>
    <w:uiPriority w:val="0"/>
    <w:rPr>
      <w:rFonts w:ascii="Arial" w:hAnsi="Arial" w:eastAsia="黑体"/>
      <w:kern w:val="2"/>
      <w:sz w:val="24"/>
      <w:lang w:val="zh-CN" w:eastAsia="zh-CN"/>
    </w:rPr>
  </w:style>
  <w:style w:type="character" w:customStyle="1" w:styleId="70">
    <w:name w:val="标题 9 字符"/>
    <w:link w:val="13"/>
    <w:qFormat/>
    <w:uiPriority w:val="0"/>
    <w:rPr>
      <w:rFonts w:ascii="Arial" w:hAnsi="Arial" w:eastAsia="黑体"/>
      <w:kern w:val="2"/>
      <w:sz w:val="21"/>
      <w:lang w:val="zh-CN" w:eastAsia="zh-CN"/>
    </w:rPr>
  </w:style>
  <w:style w:type="character" w:customStyle="1" w:styleId="71">
    <w:name w:val="已访问的超链接1"/>
    <w:qFormat/>
    <w:uiPriority w:val="99"/>
    <w:rPr>
      <w:color w:val="800080"/>
      <w:u w:val="single"/>
    </w:rPr>
  </w:style>
  <w:style w:type="character" w:customStyle="1" w:styleId="72">
    <w:name w:val="Char Char9"/>
    <w:qFormat/>
    <w:uiPriority w:val="0"/>
    <w:rPr>
      <w:rFonts w:ascii="Arial" w:hAnsi="Arial" w:eastAsia="黑体"/>
      <w:sz w:val="21"/>
      <w:lang w:val="en-US" w:eastAsia="zh-CN" w:bidi="ar-SA"/>
    </w:rPr>
  </w:style>
  <w:style w:type="character" w:customStyle="1" w:styleId="73">
    <w:name w:val="页脚 Char Char"/>
    <w:qFormat/>
    <w:uiPriority w:val="0"/>
    <w:rPr>
      <w:sz w:val="18"/>
    </w:rPr>
  </w:style>
  <w:style w:type="character" w:customStyle="1" w:styleId="74">
    <w:name w:val="Char Char14"/>
    <w:qFormat/>
    <w:uiPriority w:val="0"/>
    <w:rPr>
      <w:kern w:val="2"/>
      <w:sz w:val="18"/>
      <w:szCs w:val="18"/>
      <w:lang w:bidi="ar-SA"/>
    </w:rPr>
  </w:style>
  <w:style w:type="character" w:customStyle="1" w:styleId="75">
    <w:name w:val="Comment Text Char"/>
    <w:qFormat/>
    <w:uiPriority w:val="0"/>
    <w:rPr>
      <w:rFonts w:cs="Times New Roman"/>
      <w:kern w:val="2"/>
      <w:sz w:val="28"/>
      <w:szCs w:val="28"/>
    </w:rPr>
  </w:style>
  <w:style w:type="character" w:customStyle="1" w:styleId="76">
    <w:name w:val="正文文本缩进 2 字符"/>
    <w:link w:val="28"/>
    <w:qFormat/>
    <w:uiPriority w:val="0"/>
    <w:rPr>
      <w:rFonts w:eastAsia="宋体"/>
      <w:color w:val="000000"/>
      <w:sz w:val="24"/>
      <w:lang w:val="en-US" w:eastAsia="zh-CN" w:bidi="ar-SA"/>
    </w:rPr>
  </w:style>
  <w:style w:type="character" w:customStyle="1" w:styleId="77">
    <w:name w:val="正文文本 字符"/>
    <w:link w:val="2"/>
    <w:qFormat/>
    <w:uiPriority w:val="99"/>
    <w:rPr>
      <w:rFonts w:eastAsia="宋体"/>
      <w:kern w:val="2"/>
      <w:sz w:val="24"/>
      <w:lang w:val="en-US" w:eastAsia="zh-CN" w:bidi="ar-SA"/>
    </w:rPr>
  </w:style>
  <w:style w:type="character" w:customStyle="1" w:styleId="78">
    <w:name w:val="No Spacing Char"/>
    <w:link w:val="79"/>
    <w:qFormat/>
    <w:uiPriority w:val="0"/>
    <w:rPr>
      <w:rFonts w:ascii="Calibri" w:hAnsi="Calibri"/>
      <w:sz w:val="22"/>
      <w:szCs w:val="22"/>
      <w:lang w:val="en-US" w:eastAsia="zh-CN" w:bidi="ar-SA"/>
    </w:rPr>
  </w:style>
  <w:style w:type="paragraph" w:customStyle="1" w:styleId="79">
    <w:name w:val="无间隔1"/>
    <w:link w:val="78"/>
    <w:qFormat/>
    <w:uiPriority w:val="0"/>
    <w:rPr>
      <w:rFonts w:ascii="Calibri" w:hAnsi="Calibri" w:eastAsia="宋体" w:cs="Times New Roman"/>
      <w:sz w:val="22"/>
      <w:szCs w:val="22"/>
      <w:lang w:val="en-US" w:eastAsia="zh-CN" w:bidi="ar-SA"/>
    </w:rPr>
  </w:style>
  <w:style w:type="character" w:customStyle="1" w:styleId="80">
    <w:name w:val="Char Char111"/>
    <w:qFormat/>
    <w:uiPriority w:val="0"/>
    <w:rPr>
      <w:rFonts w:eastAsia="黑体"/>
      <w:kern w:val="2"/>
      <w:sz w:val="44"/>
      <w:szCs w:val="44"/>
      <w:lang w:val="en-US" w:eastAsia="zh-CN" w:bidi="ar-SA"/>
    </w:rPr>
  </w:style>
  <w:style w:type="character" w:customStyle="1" w:styleId="81">
    <w:name w:val="Char Char26"/>
    <w:qFormat/>
    <w:uiPriority w:val="0"/>
    <w:rPr>
      <w:rFonts w:eastAsia="宋体"/>
      <w:b/>
      <w:bCs/>
      <w:kern w:val="44"/>
      <w:sz w:val="44"/>
      <w:szCs w:val="44"/>
      <w:lang w:val="en-US" w:eastAsia="zh-CN" w:bidi="ar-SA"/>
    </w:rPr>
  </w:style>
  <w:style w:type="character" w:customStyle="1" w:styleId="82">
    <w:name w:val="正文文本 3 字符"/>
    <w:link w:val="20"/>
    <w:qFormat/>
    <w:uiPriority w:val="0"/>
    <w:rPr>
      <w:rFonts w:ascii="Arial" w:hAnsi="Arial"/>
      <w:color w:val="FF0000"/>
      <w:spacing w:val="-3"/>
      <w:sz w:val="22"/>
      <w:lang w:val="en-GB" w:eastAsia="en-US" w:bidi="ar-SA"/>
    </w:rPr>
  </w:style>
  <w:style w:type="character" w:customStyle="1" w:styleId="83">
    <w:name w:val="正文文本缩进 3 字符"/>
    <w:link w:val="38"/>
    <w:qFormat/>
    <w:uiPriority w:val="0"/>
    <w:rPr>
      <w:rFonts w:eastAsia="宋体"/>
      <w:sz w:val="24"/>
      <w:lang w:val="en-US" w:eastAsia="zh-CN" w:bidi="ar-SA"/>
    </w:rPr>
  </w:style>
  <w:style w:type="character" w:customStyle="1" w:styleId="84">
    <w:name w:val="正文缩进 Char2"/>
    <w:qFormat/>
    <w:uiPriority w:val="0"/>
    <w:rPr>
      <w:rFonts w:eastAsia="楷体_GB2312"/>
      <w:kern w:val="2"/>
      <w:sz w:val="28"/>
    </w:rPr>
  </w:style>
  <w:style w:type="character" w:customStyle="1" w:styleId="85">
    <w:name w:val="apple-style-span"/>
    <w:basedOn w:val="51"/>
    <w:qFormat/>
    <w:uiPriority w:val="0"/>
  </w:style>
  <w:style w:type="character" w:customStyle="1" w:styleId="86">
    <w:name w:val="Char Char15"/>
    <w:qFormat/>
    <w:uiPriority w:val="0"/>
    <w:rPr>
      <w:rFonts w:eastAsia="宋体"/>
      <w:b/>
      <w:sz w:val="28"/>
      <w:lang w:val="en-US" w:eastAsia="zh-CN" w:bidi="ar-SA"/>
    </w:rPr>
  </w:style>
  <w:style w:type="character" w:customStyle="1" w:styleId="87">
    <w:name w:val="Char Char19"/>
    <w:qFormat/>
    <w:uiPriority w:val="0"/>
    <w:rPr>
      <w:rFonts w:ascii="仿宋_GB2312" w:eastAsia="仿宋_GB2312" w:cs="MingLiU"/>
      <w:b/>
      <w:spacing w:val="1"/>
      <w:w w:val="99"/>
      <w:sz w:val="28"/>
      <w:szCs w:val="32"/>
    </w:rPr>
  </w:style>
  <w:style w:type="character" w:customStyle="1" w:styleId="88">
    <w:name w:val="纯文本 字符"/>
    <w:link w:val="25"/>
    <w:qFormat/>
    <w:uiPriority w:val="99"/>
    <w:rPr>
      <w:rFonts w:ascii="宋体" w:hAnsi="Courier New" w:eastAsia="仿宋_GB2312"/>
      <w:kern w:val="2"/>
      <w:sz w:val="24"/>
    </w:rPr>
  </w:style>
  <w:style w:type="character" w:customStyle="1" w:styleId="89">
    <w:name w:val="批注主题 Char1"/>
    <w:qFormat/>
    <w:uiPriority w:val="0"/>
    <w:rPr>
      <w:rFonts w:cs="Times New Roman"/>
      <w:b/>
      <w:bCs/>
      <w:kern w:val="2"/>
      <w:sz w:val="21"/>
      <w:szCs w:val="24"/>
      <w:lang w:val="en-US" w:eastAsia="zh-CN"/>
    </w:rPr>
  </w:style>
  <w:style w:type="character" w:customStyle="1" w:styleId="90">
    <w:name w:val="正文文字2 Char Char Char"/>
    <w:qFormat/>
    <w:uiPriority w:val="0"/>
    <w:rPr>
      <w:rFonts w:ascii="Arial" w:eastAsia="黑体"/>
      <w:sz w:val="21"/>
    </w:rPr>
  </w:style>
  <w:style w:type="character" w:customStyle="1" w:styleId="91">
    <w:name w:val="Char Char6"/>
    <w:qFormat/>
    <w:uiPriority w:val="0"/>
    <w:rPr>
      <w:kern w:val="2"/>
      <w:sz w:val="18"/>
      <w:szCs w:val="18"/>
    </w:rPr>
  </w:style>
  <w:style w:type="character" w:customStyle="1" w:styleId="92">
    <w:name w:val="cucd-0 Char Char Char"/>
    <w:qFormat/>
    <w:uiPriority w:val="0"/>
    <w:rPr>
      <w:kern w:val="2"/>
      <w:sz w:val="24"/>
      <w:szCs w:val="24"/>
      <w:lang w:bidi="ar-SA"/>
    </w:rPr>
  </w:style>
  <w:style w:type="character" w:customStyle="1" w:styleId="93">
    <w:name w:val="页脚 Char Char Char"/>
    <w:qFormat/>
    <w:uiPriority w:val="0"/>
    <w:rPr>
      <w:sz w:val="18"/>
    </w:rPr>
  </w:style>
  <w:style w:type="character" w:customStyle="1" w:styleId="94">
    <w:name w:val="无间隔 字符"/>
    <w:link w:val="95"/>
    <w:qFormat/>
    <w:uiPriority w:val="0"/>
    <w:rPr>
      <w:rFonts w:ascii="Calibri" w:hAnsi="Calibri"/>
      <w:sz w:val="22"/>
      <w:szCs w:val="22"/>
      <w:lang w:val="en-US" w:eastAsia="zh-CN" w:bidi="ar-SA"/>
    </w:rPr>
  </w:style>
  <w:style w:type="paragraph" w:styleId="95">
    <w:name w:val="No Spacing"/>
    <w:link w:val="94"/>
    <w:qFormat/>
    <w:uiPriority w:val="0"/>
    <w:rPr>
      <w:rFonts w:ascii="Calibri" w:hAnsi="Calibri" w:eastAsia="宋体" w:cs="Times New Roman"/>
      <w:sz w:val="22"/>
      <w:szCs w:val="22"/>
      <w:lang w:val="en-US" w:eastAsia="zh-CN" w:bidi="ar-SA"/>
    </w:rPr>
  </w:style>
  <w:style w:type="character" w:customStyle="1" w:styleId="96">
    <w:name w:val="标题 字符"/>
    <w:link w:val="45"/>
    <w:qFormat/>
    <w:uiPriority w:val="0"/>
    <w:rPr>
      <w:rFonts w:ascii="Cambria" w:hAnsi="Cambria" w:cs="Times New Roman"/>
      <w:b/>
      <w:bCs/>
      <w:sz w:val="32"/>
      <w:szCs w:val="32"/>
    </w:rPr>
  </w:style>
  <w:style w:type="character" w:customStyle="1" w:styleId="97">
    <w:name w:val="页脚 Char1"/>
    <w:qFormat/>
    <w:uiPriority w:val="0"/>
    <w:rPr>
      <w:sz w:val="18"/>
    </w:rPr>
  </w:style>
  <w:style w:type="character" w:customStyle="1" w:styleId="98">
    <w:name w:val="正文文本缩进 Char1"/>
    <w:qFormat/>
    <w:uiPriority w:val="0"/>
    <w:rPr>
      <w:rFonts w:ascii="宋体" w:hAnsi="宋体"/>
      <w:color w:val="000000"/>
      <w:sz w:val="24"/>
      <w:szCs w:val="24"/>
      <w:lang w:val="en-US" w:eastAsia="zh-CN"/>
    </w:rPr>
  </w:style>
  <w:style w:type="character" w:customStyle="1" w:styleId="99">
    <w:name w:val="副标题 字符"/>
    <w:link w:val="35"/>
    <w:qFormat/>
    <w:uiPriority w:val="0"/>
    <w:rPr>
      <w:rFonts w:ascii="Cambria" w:hAnsi="Cambria"/>
      <w:b/>
      <w:bCs/>
      <w:kern w:val="28"/>
      <w:sz w:val="32"/>
      <w:szCs w:val="32"/>
      <w:lang w:val="en-US" w:eastAsia="zh-CN"/>
    </w:rPr>
  </w:style>
  <w:style w:type="character" w:customStyle="1" w:styleId="100">
    <w:name w:val="正文文本 2 字符"/>
    <w:link w:val="42"/>
    <w:qFormat/>
    <w:uiPriority w:val="0"/>
    <w:rPr>
      <w:rFonts w:eastAsia="宋体"/>
      <w:color w:val="0000FF"/>
      <w:sz w:val="24"/>
      <w:lang w:val="en-US" w:eastAsia="zh-CN" w:bidi="ar-SA"/>
    </w:rPr>
  </w:style>
  <w:style w:type="character" w:customStyle="1" w:styleId="101">
    <w:name w:val="h4 Char Char1"/>
    <w:qFormat/>
    <w:uiPriority w:val="0"/>
    <w:rPr>
      <w:rFonts w:ascii="仿宋_GB2312" w:eastAsia="仿宋_GB2312" w:cs="MingLiU"/>
      <w:b/>
      <w:sz w:val="24"/>
      <w:szCs w:val="28"/>
    </w:rPr>
  </w:style>
  <w:style w:type="character" w:customStyle="1" w:styleId="102">
    <w:name w:val="Char Char24"/>
    <w:qFormat/>
    <w:uiPriority w:val="0"/>
    <w:rPr>
      <w:rFonts w:eastAsia="宋体"/>
      <w:b/>
      <w:bCs/>
      <w:kern w:val="2"/>
      <w:sz w:val="28"/>
      <w:szCs w:val="32"/>
      <w:lang w:val="en-US" w:eastAsia="zh-CN" w:bidi="ar-SA"/>
    </w:rPr>
  </w:style>
  <w:style w:type="character" w:customStyle="1" w:styleId="103">
    <w:name w:val="Char Char13"/>
    <w:qFormat/>
    <w:uiPriority w:val="0"/>
    <w:rPr>
      <w:rFonts w:ascii="Arial" w:hAnsi="Arial"/>
      <w:spacing w:val="-3"/>
      <w:sz w:val="22"/>
      <w:lang w:val="en-GB" w:eastAsia="en-US" w:bidi="ar-SA"/>
    </w:rPr>
  </w:style>
  <w:style w:type="character" w:customStyle="1" w:styleId="104">
    <w:name w:val="Char Char23"/>
    <w:qFormat/>
    <w:uiPriority w:val="0"/>
    <w:rPr>
      <w:rFonts w:ascii="Arial" w:hAnsi="Arial" w:eastAsia="黑体"/>
      <w:b/>
      <w:bCs/>
      <w:kern w:val="2"/>
      <w:sz w:val="28"/>
      <w:szCs w:val="28"/>
      <w:lang w:val="en-US" w:eastAsia="zh-CN" w:bidi="ar-SA"/>
    </w:rPr>
  </w:style>
  <w:style w:type="character" w:customStyle="1" w:styleId="105">
    <w:name w:val="批注文字 字符"/>
    <w:link w:val="19"/>
    <w:qFormat/>
    <w:uiPriority w:val="0"/>
    <w:rPr>
      <w:sz w:val="24"/>
    </w:rPr>
  </w:style>
  <w:style w:type="character" w:customStyle="1" w:styleId="106">
    <w:name w:val="Char Char12"/>
    <w:qFormat/>
    <w:uiPriority w:val="0"/>
    <w:rPr>
      <w:rFonts w:ascii="Arial" w:hAnsi="Arial" w:eastAsia="黑体"/>
      <w:b/>
      <w:sz w:val="24"/>
      <w:lang w:val="en-US" w:eastAsia="zh-CN" w:bidi="ar-SA"/>
    </w:rPr>
  </w:style>
  <w:style w:type="character" w:customStyle="1" w:styleId="107">
    <w:name w:val="批注框文本 字符"/>
    <w:link w:val="30"/>
    <w:qFormat/>
    <w:uiPriority w:val="0"/>
    <w:rPr>
      <w:kern w:val="2"/>
      <w:sz w:val="18"/>
      <w:szCs w:val="18"/>
    </w:rPr>
  </w:style>
  <w:style w:type="character" w:customStyle="1" w:styleId="108">
    <w:name w:val="Char Char16"/>
    <w:qFormat/>
    <w:uiPriority w:val="0"/>
    <w:rPr>
      <w:rFonts w:ascii="Calibri" w:hAnsi="Calibri" w:eastAsia="宋体"/>
      <w:kern w:val="2"/>
      <w:sz w:val="18"/>
      <w:szCs w:val="18"/>
      <w:lang w:val="en-US" w:eastAsia="zh-CN" w:bidi="ar-SA"/>
    </w:rPr>
  </w:style>
  <w:style w:type="character" w:customStyle="1" w:styleId="109">
    <w:name w:val="正文首行缩进 2 字符"/>
    <w:link w:val="48"/>
    <w:qFormat/>
    <w:uiPriority w:val="0"/>
    <w:rPr>
      <w:rFonts w:eastAsia="宋体"/>
      <w:kern w:val="2"/>
      <w:sz w:val="21"/>
      <w:szCs w:val="24"/>
      <w:lang w:val="en-US" w:eastAsia="zh-CN" w:bidi="ar-SA"/>
    </w:rPr>
  </w:style>
  <w:style w:type="character" w:customStyle="1" w:styleId="110">
    <w:name w:val="正文文本缩进 字符"/>
    <w:link w:val="21"/>
    <w:qFormat/>
    <w:uiPriority w:val="0"/>
    <w:rPr>
      <w:rFonts w:eastAsia="宋体"/>
      <w:sz w:val="28"/>
      <w:szCs w:val="24"/>
      <w:lang w:val="en-US" w:eastAsia="zh-CN" w:bidi="ar-SA"/>
    </w:rPr>
  </w:style>
  <w:style w:type="character" w:customStyle="1" w:styleId="111">
    <w:name w:val="文档结构图 字符"/>
    <w:link w:val="17"/>
    <w:qFormat/>
    <w:uiPriority w:val="0"/>
    <w:rPr>
      <w:rFonts w:eastAsia="宋体"/>
      <w:lang w:val="en-US" w:eastAsia="zh-CN" w:bidi="ar-SA"/>
    </w:rPr>
  </w:style>
  <w:style w:type="character" w:customStyle="1" w:styleId="112">
    <w:name w:val="Char Char17"/>
    <w:qFormat/>
    <w:uiPriority w:val="0"/>
    <w:rPr>
      <w:rFonts w:ascii="Calibri" w:hAnsi="Calibri" w:eastAsia="宋体"/>
      <w:kern w:val="2"/>
      <w:sz w:val="18"/>
      <w:szCs w:val="18"/>
      <w:lang w:val="en-US" w:eastAsia="zh-CN" w:bidi="ar-SA"/>
    </w:rPr>
  </w:style>
  <w:style w:type="character" w:customStyle="1" w:styleId="113">
    <w:name w:val="Char Char10"/>
    <w:qFormat/>
    <w:uiPriority w:val="0"/>
    <w:rPr>
      <w:rFonts w:ascii="Arial" w:hAnsi="Arial" w:eastAsia="黑体"/>
      <w:sz w:val="24"/>
      <w:lang w:val="en-US" w:eastAsia="zh-CN" w:bidi="ar-SA"/>
    </w:rPr>
  </w:style>
  <w:style w:type="character" w:customStyle="1" w:styleId="114">
    <w:name w:val="Char Char18"/>
    <w:qFormat/>
    <w:uiPriority w:val="0"/>
    <w:rPr>
      <w:rFonts w:ascii="仿宋_GB2312" w:eastAsia="仿宋_GB2312" w:cs="MingLiU"/>
      <w:b/>
      <w:sz w:val="24"/>
      <w:szCs w:val="28"/>
    </w:rPr>
  </w:style>
  <w:style w:type="character" w:customStyle="1" w:styleId="115">
    <w:name w:val="注释标题 字符"/>
    <w:link w:val="15"/>
    <w:qFormat/>
    <w:uiPriority w:val="0"/>
    <w:rPr>
      <w:kern w:val="2"/>
      <w:sz w:val="21"/>
      <w:lang w:eastAsia="zh-TW"/>
    </w:rPr>
  </w:style>
  <w:style w:type="character" w:customStyle="1" w:styleId="116">
    <w:name w:val="h4 Char Char"/>
    <w:qFormat/>
    <w:uiPriority w:val="0"/>
    <w:rPr>
      <w:rFonts w:ascii="仿宋_GB2312" w:eastAsia="仿宋_GB2312" w:cs="MingLiU"/>
      <w:b/>
      <w:sz w:val="24"/>
      <w:szCs w:val="28"/>
    </w:rPr>
  </w:style>
  <w:style w:type="character" w:customStyle="1" w:styleId="117">
    <w:name w:val="纯文本 Char1"/>
    <w:qFormat/>
    <w:uiPriority w:val="0"/>
    <w:rPr>
      <w:rFonts w:ascii="宋体" w:hAnsi="Courier New"/>
      <w:kern w:val="2"/>
      <w:sz w:val="21"/>
      <w:lang w:val="en-US" w:eastAsia="zh-CN"/>
    </w:rPr>
  </w:style>
  <w:style w:type="character" w:customStyle="1" w:styleId="118">
    <w:name w:val="Char Char11"/>
    <w:qFormat/>
    <w:uiPriority w:val="0"/>
    <w:rPr>
      <w:rFonts w:eastAsia="宋体"/>
      <w:b/>
      <w:sz w:val="24"/>
      <w:lang w:val="en-US" w:eastAsia="zh-CN" w:bidi="ar-SA"/>
    </w:rPr>
  </w:style>
  <w:style w:type="character" w:customStyle="1" w:styleId="119">
    <w:name w:val="页眉 Char1"/>
    <w:qFormat/>
    <w:uiPriority w:val="0"/>
    <w:rPr>
      <w:sz w:val="18"/>
    </w:rPr>
  </w:style>
  <w:style w:type="character" w:customStyle="1" w:styleId="120">
    <w:name w:val="批注主题 字符"/>
    <w:basedOn w:val="105"/>
    <w:link w:val="46"/>
    <w:qFormat/>
    <w:uiPriority w:val="0"/>
    <w:rPr>
      <w:sz w:val="24"/>
    </w:rPr>
  </w:style>
  <w:style w:type="character" w:customStyle="1" w:styleId="121">
    <w:name w:val="正文首行缩进 字符"/>
    <w:link w:val="47"/>
    <w:qFormat/>
    <w:uiPriority w:val="0"/>
    <w:rPr>
      <w:rFonts w:ascii="宋体" w:hAnsi="宋体"/>
      <w:color w:val="000000"/>
      <w:kern w:val="2"/>
      <w:sz w:val="24"/>
    </w:rPr>
  </w:style>
  <w:style w:type="character" w:customStyle="1" w:styleId="122">
    <w:name w:val="Char Char8"/>
    <w:qFormat/>
    <w:uiPriority w:val="0"/>
    <w:rPr>
      <w:kern w:val="2"/>
      <w:sz w:val="18"/>
      <w:szCs w:val="18"/>
    </w:rPr>
  </w:style>
  <w:style w:type="character" w:customStyle="1" w:styleId="123">
    <w:name w:val="页脚2 Char Char Char"/>
    <w:qFormat/>
    <w:uiPriority w:val="0"/>
    <w:rPr>
      <w:rFonts w:ascii="宋体" w:hAnsi="宋体"/>
      <w:sz w:val="18"/>
      <w:szCs w:val="18"/>
    </w:rPr>
  </w:style>
  <w:style w:type="character" w:customStyle="1" w:styleId="124">
    <w:name w:val="普通文字 Char2"/>
    <w:qFormat/>
    <w:uiPriority w:val="0"/>
    <w:rPr>
      <w:rFonts w:ascii="宋体" w:hAnsi="Courier New"/>
      <w:kern w:val="2"/>
      <w:sz w:val="28"/>
      <w:szCs w:val="28"/>
    </w:rPr>
  </w:style>
  <w:style w:type="character" w:customStyle="1" w:styleId="125">
    <w:name w:val="章 Char"/>
    <w:qFormat/>
    <w:uiPriority w:val="0"/>
    <w:rPr>
      <w:rFonts w:eastAsia="宋体"/>
      <w:b/>
      <w:kern w:val="44"/>
      <w:sz w:val="44"/>
      <w:lang w:val="en-US" w:eastAsia="zh-CN" w:bidi="ar-SA"/>
    </w:rPr>
  </w:style>
  <w:style w:type="character" w:customStyle="1" w:styleId="126">
    <w:name w:val="日期 字符"/>
    <w:link w:val="27"/>
    <w:qFormat/>
    <w:uiPriority w:val="99"/>
    <w:rPr>
      <w:rFonts w:eastAsia="宋体"/>
      <w:sz w:val="24"/>
      <w:lang w:val="en-US" w:eastAsia="zh-CN" w:bidi="ar-SA"/>
    </w:rPr>
  </w:style>
  <w:style w:type="character" w:customStyle="1" w:styleId="127">
    <w:name w:val="Char Char25"/>
    <w:qFormat/>
    <w:uiPriority w:val="0"/>
    <w:rPr>
      <w:rFonts w:ascii="Arial" w:hAnsi="Arial" w:eastAsia="黑体"/>
      <w:b/>
      <w:bCs/>
      <w:kern w:val="2"/>
      <w:sz w:val="30"/>
      <w:szCs w:val="32"/>
      <w:lang w:val="en-US" w:eastAsia="zh-CN" w:bidi="ar-SA"/>
    </w:rPr>
  </w:style>
  <w:style w:type="character" w:customStyle="1" w:styleId="128">
    <w:name w:val="正文文本 3 Char1"/>
    <w:qFormat/>
    <w:uiPriority w:val="0"/>
    <w:rPr>
      <w:kern w:val="2"/>
      <w:sz w:val="16"/>
      <w:szCs w:val="16"/>
      <w:lang w:val="en-US" w:eastAsia="zh-CN"/>
    </w:rPr>
  </w:style>
  <w:style w:type="character" w:customStyle="1" w:styleId="129">
    <w:name w:val="脚注文本 字符"/>
    <w:link w:val="36"/>
    <w:qFormat/>
    <w:uiPriority w:val="0"/>
    <w:rPr>
      <w:kern w:val="2"/>
      <w:sz w:val="18"/>
      <w:szCs w:val="18"/>
    </w:rPr>
  </w:style>
  <w:style w:type="character" w:customStyle="1" w:styleId="130">
    <w:name w:val="Char Char41"/>
    <w:qFormat/>
    <w:uiPriority w:val="0"/>
    <w:rPr>
      <w:rFonts w:ascii="Arial" w:hAnsi="Arial" w:eastAsia="黑体"/>
      <w:b/>
      <w:sz w:val="32"/>
      <w:lang w:val="en-US" w:eastAsia="zh-CN" w:bidi="ar-SA"/>
    </w:rPr>
  </w:style>
  <w:style w:type="character" w:customStyle="1" w:styleId="131">
    <w:name w:val="页眉 Char Char Char"/>
    <w:qFormat/>
    <w:uiPriority w:val="0"/>
    <w:rPr>
      <w:sz w:val="18"/>
    </w:rPr>
  </w:style>
  <w:style w:type="character" w:customStyle="1" w:styleId="132">
    <w:name w:val="HTML 预设格式 字符"/>
    <w:link w:val="43"/>
    <w:qFormat/>
    <w:uiPriority w:val="0"/>
    <w:rPr>
      <w:rFonts w:ascii="Arial" w:hAnsi="Arial" w:eastAsia="宋体" w:cs="Arial"/>
      <w:sz w:val="24"/>
      <w:szCs w:val="24"/>
      <w:lang w:val="en-US" w:eastAsia="zh-CN" w:bidi="ar-SA"/>
    </w:rPr>
  </w:style>
  <w:style w:type="character" w:customStyle="1" w:styleId="133">
    <w:name w:val="页脚2 Char Char"/>
    <w:link w:val="134"/>
    <w:qFormat/>
    <w:uiPriority w:val="0"/>
    <w:rPr>
      <w:rFonts w:ascii="宋体" w:hAnsi="宋体"/>
      <w:sz w:val="18"/>
      <w:szCs w:val="18"/>
    </w:rPr>
  </w:style>
  <w:style w:type="paragraph" w:customStyle="1" w:styleId="134">
    <w:name w:val="页脚2"/>
    <w:basedOn w:val="1"/>
    <w:link w:val="133"/>
    <w:qFormat/>
    <w:uiPriority w:val="0"/>
    <w:pPr>
      <w:pBdr>
        <w:top w:val="single" w:color="auto" w:sz="6" w:space="0"/>
      </w:pBdr>
      <w:jc w:val="right"/>
      <w:textAlignment w:val="center"/>
    </w:pPr>
    <w:rPr>
      <w:rFonts w:ascii="宋体" w:hAnsi="宋体"/>
      <w:kern w:val="0"/>
      <w:sz w:val="18"/>
      <w:szCs w:val="18"/>
      <w:lang w:val="zh-CN"/>
    </w:rPr>
  </w:style>
  <w:style w:type="character" w:customStyle="1" w:styleId="135">
    <w:name w:val="页眉 Char Char"/>
    <w:qFormat/>
    <w:uiPriority w:val="0"/>
    <w:rPr>
      <w:sz w:val="18"/>
    </w:rPr>
  </w:style>
  <w:style w:type="character" w:customStyle="1" w:styleId="136">
    <w:name w:val="Char Char20"/>
    <w:qFormat/>
    <w:uiPriority w:val="0"/>
    <w:rPr>
      <w:rFonts w:eastAsia="黑体"/>
      <w:kern w:val="2"/>
      <w:sz w:val="44"/>
      <w:szCs w:val="44"/>
      <w:lang w:val="en-US" w:eastAsia="zh-CN" w:bidi="ar-SA"/>
    </w:rPr>
  </w:style>
  <w:style w:type="character" w:customStyle="1" w:styleId="137">
    <w:name w:val="cucd-2 Char1"/>
    <w:link w:val="138"/>
    <w:qFormat/>
    <w:uiPriority w:val="0"/>
    <w:rPr>
      <w:rFonts w:ascii="宋体" w:hAnsi="宋体"/>
      <w:b/>
      <w:kern w:val="2"/>
      <w:sz w:val="28"/>
      <w:szCs w:val="28"/>
      <w:lang w:val="en-US" w:eastAsia="zh-CN" w:bidi="ar-SA"/>
    </w:rPr>
  </w:style>
  <w:style w:type="paragraph" w:customStyle="1" w:styleId="138">
    <w:name w:val="cucd-2"/>
    <w:next w:val="1"/>
    <w:link w:val="137"/>
    <w:qFormat/>
    <w:uiPriority w:val="0"/>
    <w:pPr>
      <w:tabs>
        <w:tab w:val="left" w:pos="1134"/>
      </w:tabs>
      <w:spacing w:line="360" w:lineRule="auto"/>
      <w:ind w:left="1134" w:hanging="567"/>
      <w:outlineLvl w:val="1"/>
    </w:pPr>
    <w:rPr>
      <w:rFonts w:ascii="宋体" w:hAnsi="宋体" w:eastAsia="宋体" w:cs="Times New Roman"/>
      <w:b/>
      <w:kern w:val="2"/>
      <w:sz w:val="28"/>
      <w:szCs w:val="28"/>
      <w:lang w:val="en-US" w:eastAsia="zh-CN" w:bidi="ar-SA"/>
    </w:rPr>
  </w:style>
  <w:style w:type="character" w:customStyle="1" w:styleId="139">
    <w:name w:val="Char Char231"/>
    <w:qFormat/>
    <w:uiPriority w:val="0"/>
    <w:rPr>
      <w:rFonts w:ascii="Arial" w:hAnsi="Arial" w:eastAsia="黑体"/>
      <w:b/>
      <w:sz w:val="32"/>
      <w:lang w:val="en-US" w:eastAsia="zh-CN" w:bidi="ar-SA"/>
    </w:rPr>
  </w:style>
  <w:style w:type="character" w:customStyle="1" w:styleId="140">
    <w:name w:val="cucd-0 Char Char"/>
    <w:link w:val="141"/>
    <w:qFormat/>
    <w:uiPriority w:val="0"/>
    <w:rPr>
      <w:kern w:val="2"/>
      <w:sz w:val="24"/>
      <w:szCs w:val="24"/>
      <w:lang w:val="en-US" w:eastAsia="zh-CN" w:bidi="ar-SA"/>
    </w:rPr>
  </w:style>
  <w:style w:type="paragraph" w:customStyle="1" w:styleId="141">
    <w:name w:val="cucd-0"/>
    <w:link w:val="140"/>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character" w:customStyle="1" w:styleId="142">
    <w:name w:val="正文文字2 Char Char"/>
    <w:link w:val="143"/>
    <w:qFormat/>
    <w:uiPriority w:val="0"/>
    <w:rPr>
      <w:rFonts w:ascii="Arial" w:eastAsia="黑体"/>
      <w:sz w:val="21"/>
      <w:lang w:val="en-US" w:eastAsia="zh-CN" w:bidi="ar-SA"/>
    </w:rPr>
  </w:style>
  <w:style w:type="paragraph" w:customStyle="1" w:styleId="143">
    <w:name w:val="正文文字2"/>
    <w:basedOn w:val="2"/>
    <w:link w:val="142"/>
    <w:qFormat/>
    <w:uiPriority w:val="0"/>
    <w:pPr>
      <w:adjustRightInd w:val="0"/>
      <w:spacing w:after="60" w:line="360" w:lineRule="atLeast"/>
      <w:ind w:left="72" w:leftChars="30" w:right="72" w:rightChars="30"/>
      <w:jc w:val="center"/>
      <w:textAlignment w:val="baseline"/>
    </w:pPr>
    <w:rPr>
      <w:rFonts w:ascii="Arial" w:eastAsia="黑体"/>
      <w:kern w:val="0"/>
      <w:sz w:val="21"/>
    </w:rPr>
  </w:style>
  <w:style w:type="paragraph" w:customStyle="1" w:styleId="144">
    <w:name w:val="CM23"/>
    <w:basedOn w:val="3"/>
    <w:next w:val="3"/>
    <w:qFormat/>
    <w:uiPriority w:val="0"/>
    <w:pPr>
      <w:spacing w:after="120"/>
    </w:pPr>
    <w:rPr>
      <w:color w:val="auto"/>
    </w:rPr>
  </w:style>
  <w:style w:type="paragraph" w:customStyle="1" w:styleId="145">
    <w:name w:val="样式 正文首行缩进 + 首行缩进:  2 字符1 Char Char"/>
    <w:basedOn w:val="47"/>
    <w:qFormat/>
    <w:uiPriority w:val="0"/>
    <w:pPr>
      <w:adjustRightInd w:val="0"/>
      <w:spacing w:after="0" w:line="400" w:lineRule="exact"/>
      <w:ind w:firstLine="480" w:firstLineChars="200"/>
      <w:textAlignment w:val="baseline"/>
    </w:pPr>
    <w:rPr>
      <w:rFonts w:eastAsia="仿宋_GB2312" w:cs="宋体"/>
    </w:rPr>
  </w:style>
  <w:style w:type="paragraph" w:customStyle="1" w:styleId="146">
    <w:name w:val="xl22"/>
    <w:basedOn w:val="1"/>
    <w:qFormat/>
    <w:uiPriority w:val="0"/>
    <w:pPr>
      <w:spacing w:before="100" w:beforeAutospacing="1" w:after="100" w:afterAutospacing="1"/>
      <w:jc w:val="center"/>
      <w:textAlignment w:val="center"/>
    </w:pPr>
    <w:rPr>
      <w:rFonts w:ascii="宋体"/>
      <w:sz w:val="24"/>
      <w:szCs w:val="24"/>
    </w:rPr>
  </w:style>
  <w:style w:type="paragraph" w:customStyle="1" w:styleId="147">
    <w:name w:val="1"/>
    <w:basedOn w:val="1"/>
    <w:qFormat/>
    <w:uiPriority w:val="0"/>
    <w:pPr>
      <w:spacing w:after="156" w:afterLines="50" w:line="360" w:lineRule="auto"/>
      <w:jc w:val="center"/>
    </w:pPr>
    <w:rPr>
      <w:rFonts w:ascii="宋体" w:hAnsi="宋体"/>
      <w:b/>
      <w:sz w:val="28"/>
      <w:szCs w:val="28"/>
    </w:rPr>
  </w:style>
  <w:style w:type="paragraph" w:customStyle="1" w:styleId="148">
    <w:name w:val="CM24"/>
    <w:basedOn w:val="3"/>
    <w:next w:val="3"/>
    <w:qFormat/>
    <w:uiPriority w:val="0"/>
    <w:pPr>
      <w:spacing w:after="218"/>
    </w:pPr>
    <w:rPr>
      <w:color w:val="auto"/>
    </w:rPr>
  </w:style>
  <w:style w:type="paragraph" w:customStyle="1" w:styleId="149">
    <w:name w:val="样式 宋体 小四 首行缩进:  1.11 厘米 行距: 1.5 倍行距"/>
    <w:basedOn w:val="1"/>
    <w:qFormat/>
    <w:uiPriority w:val="0"/>
    <w:pPr>
      <w:tabs>
        <w:tab w:val="left" w:pos="720"/>
      </w:tabs>
      <w:spacing w:before="100" w:beforeAutospacing="1" w:after="100" w:afterAutospacing="1" w:line="360" w:lineRule="auto"/>
      <w:ind w:left="720"/>
    </w:pPr>
    <w:rPr>
      <w:rFonts w:ascii="宋体"/>
      <w:color w:val="333300"/>
      <w:sz w:val="24"/>
    </w:rPr>
  </w:style>
  <w:style w:type="paragraph" w:customStyle="1" w:styleId="150">
    <w:name w:val="正文缩进1"/>
    <w:basedOn w:val="1"/>
    <w:qFormat/>
    <w:uiPriority w:val="0"/>
    <w:pPr>
      <w:ind w:firstLine="420"/>
    </w:pPr>
    <w:rPr>
      <w:szCs w:val="24"/>
    </w:rPr>
  </w:style>
  <w:style w:type="paragraph" w:styleId="151">
    <w:name w:val="List Paragraph"/>
    <w:basedOn w:val="1"/>
    <w:qFormat/>
    <w:uiPriority w:val="34"/>
    <w:pPr>
      <w:ind w:firstLine="420" w:firstLineChars="200"/>
    </w:pPr>
  </w:style>
  <w:style w:type="paragraph" w:customStyle="1" w:styleId="152">
    <w:name w:val="空半行"/>
    <w:basedOn w:val="1"/>
    <w:qFormat/>
    <w:uiPriority w:val="0"/>
    <w:pPr>
      <w:adjustRightInd w:val="0"/>
      <w:spacing w:line="120" w:lineRule="exact"/>
      <w:textAlignment w:val="baseline"/>
    </w:pPr>
    <w:rPr>
      <w:rFonts w:eastAsia="仿宋_GB2312"/>
      <w:color w:val="FFFFFF"/>
      <w:sz w:val="30"/>
    </w:rPr>
  </w:style>
  <w:style w:type="paragraph" w:customStyle="1" w:styleId="153">
    <w:name w:val="cucd-3"/>
    <w:next w:val="1"/>
    <w:qFormat/>
    <w:uiPriority w:val="0"/>
    <w:pPr>
      <w:spacing w:line="360" w:lineRule="auto"/>
      <w:ind w:left="709"/>
      <w:jc w:val="center"/>
      <w:outlineLvl w:val="2"/>
    </w:pPr>
    <w:rPr>
      <w:rFonts w:ascii="Times New Roman" w:hAnsi="Times New Roman" w:eastAsia="宋体" w:cs="Times New Roman"/>
      <w:kern w:val="2"/>
      <w:sz w:val="28"/>
      <w:szCs w:val="24"/>
      <w:lang w:val="en-US" w:eastAsia="zh-CN" w:bidi="ar-SA"/>
    </w:rPr>
  </w:style>
  <w:style w:type="paragraph" w:customStyle="1" w:styleId="154">
    <w:name w:val="普通(Web)23"/>
    <w:basedOn w:val="1"/>
    <w:qFormat/>
    <w:uiPriority w:val="0"/>
    <w:pPr>
      <w:spacing w:after="75" w:line="360" w:lineRule="atLeast"/>
    </w:pPr>
    <w:rPr>
      <w:rFonts w:ascii="宋体" w:hAnsi="宋体" w:cs="宋体"/>
      <w:sz w:val="24"/>
      <w:szCs w:val="24"/>
    </w:rPr>
  </w:style>
  <w:style w:type="paragraph" w:customStyle="1" w:styleId="155">
    <w:name w:val="样式 小四 段前: 5 磅 段后: 5 磅 首行缩进:  2 字符"/>
    <w:basedOn w:val="1"/>
    <w:qFormat/>
    <w:uiPriority w:val="0"/>
    <w:pPr>
      <w:spacing w:line="280" w:lineRule="exact"/>
      <w:jc w:val="center"/>
    </w:pPr>
    <w:rPr>
      <w:rFonts w:ascii="宋体" w:hAnsi="宋体"/>
      <w:snapToGrid w:val="0"/>
      <w:spacing w:val="-6"/>
      <w:sz w:val="24"/>
      <w:szCs w:val="24"/>
    </w:rPr>
  </w:style>
  <w:style w:type="paragraph" w:customStyle="1" w:styleId="156">
    <w:name w:val="批注框文本1"/>
    <w:basedOn w:val="1"/>
    <w:qFormat/>
    <w:uiPriority w:val="0"/>
    <w:rPr>
      <w:sz w:val="18"/>
      <w:szCs w:val="18"/>
    </w:rPr>
  </w:style>
  <w:style w:type="paragraph" w:customStyle="1" w:styleId="157">
    <w:name w:val="注"/>
    <w:basedOn w:val="1"/>
    <w:qFormat/>
    <w:uiPriority w:val="0"/>
    <w:pPr>
      <w:adjustRightInd w:val="0"/>
      <w:spacing w:line="360" w:lineRule="atLeast"/>
      <w:ind w:left="840" w:hanging="420"/>
      <w:textAlignment w:val="baseline"/>
    </w:pPr>
  </w:style>
  <w:style w:type="paragraph" w:customStyle="1" w:styleId="158">
    <w:name w:val="表中文字"/>
    <w:basedOn w:val="1"/>
    <w:qFormat/>
    <w:uiPriority w:val="0"/>
    <w:pPr>
      <w:adjustRightInd w:val="0"/>
      <w:snapToGrid w:val="0"/>
      <w:spacing w:line="360" w:lineRule="auto"/>
      <w:jc w:val="center"/>
    </w:pPr>
    <w:rPr>
      <w:rFonts w:ascii="Arial" w:hAnsi="Arial" w:cs="Arial"/>
      <w:sz w:val="24"/>
      <w:szCs w:val="24"/>
    </w:rPr>
  </w:style>
  <w:style w:type="paragraph" w:customStyle="1" w:styleId="159">
    <w:name w:val="表格"/>
    <w:basedOn w:val="1"/>
    <w:qFormat/>
    <w:uiPriority w:val="0"/>
    <w:pPr>
      <w:adjustRightInd w:val="0"/>
      <w:spacing w:before="160" w:line="400" w:lineRule="exact"/>
      <w:jc w:val="center"/>
      <w:textAlignment w:val="baseline"/>
    </w:pPr>
    <w:rPr>
      <w:spacing w:val="20"/>
      <w:sz w:val="24"/>
    </w:rPr>
  </w:style>
  <w:style w:type="paragraph" w:customStyle="1" w:styleId="160">
    <w:name w:val="Zchn Zchn Char Char"/>
    <w:basedOn w:val="1"/>
    <w:qFormat/>
    <w:uiPriority w:val="0"/>
    <w:pPr>
      <w:adjustRightInd w:val="0"/>
      <w:spacing w:line="360" w:lineRule="auto"/>
    </w:pPr>
    <w:rPr>
      <w:sz w:val="24"/>
    </w:rPr>
  </w:style>
  <w:style w:type="paragraph" w:customStyle="1" w:styleId="161">
    <w:name w:val="Char1 Char Char Char1 Char Char Char Char Char Char Char Char Char"/>
    <w:basedOn w:val="17"/>
    <w:qFormat/>
    <w:uiPriority w:val="0"/>
    <w:pPr>
      <w:adjustRightInd w:val="0"/>
      <w:spacing w:line="436" w:lineRule="exact"/>
      <w:ind w:left="357"/>
      <w:outlineLvl w:val="3"/>
    </w:pPr>
    <w:rPr>
      <w:rFonts w:ascii="Tahoma" w:hAnsi="Tahoma"/>
      <w:b/>
      <w:kern w:val="2"/>
      <w:sz w:val="24"/>
      <w:szCs w:val="24"/>
    </w:rPr>
  </w:style>
  <w:style w:type="character" w:customStyle="1" w:styleId="162">
    <w:name w:val="页眉 字符"/>
    <w:link w:val="32"/>
    <w:qFormat/>
    <w:uiPriority w:val="99"/>
    <w:rPr>
      <w:kern w:val="2"/>
      <w:sz w:val="18"/>
    </w:rPr>
  </w:style>
  <w:style w:type="paragraph" w:customStyle="1" w:styleId="163">
    <w:name w:val="Level 1"/>
    <w:basedOn w:val="1"/>
    <w:qFormat/>
    <w:uiPriority w:val="0"/>
    <w:pPr>
      <w:tabs>
        <w:tab w:val="left" w:pos="851"/>
      </w:tabs>
      <w:spacing w:after="240" w:line="312" w:lineRule="auto"/>
      <w:ind w:left="851" w:hanging="851"/>
      <w:outlineLvl w:val="0"/>
    </w:pPr>
    <w:rPr>
      <w:sz w:val="24"/>
      <w:lang w:val="en-GB" w:eastAsia="en-US"/>
    </w:rPr>
  </w:style>
  <w:style w:type="paragraph" w:customStyle="1" w:styleId="164">
    <w:name w:val="panj"/>
    <w:basedOn w:val="1"/>
    <w:qFormat/>
    <w:uiPriority w:val="0"/>
    <w:pPr>
      <w:spacing w:line="440" w:lineRule="exact"/>
      <w:ind w:firstLine="200" w:firstLineChars="200"/>
    </w:pPr>
    <w:rPr>
      <w:sz w:val="24"/>
      <w:szCs w:val="24"/>
    </w:rPr>
  </w:style>
  <w:style w:type="paragraph" w:customStyle="1" w:styleId="165">
    <w:name w:val="Char Char Char Char Char Char Char"/>
    <w:basedOn w:val="1"/>
    <w:qFormat/>
    <w:uiPriority w:val="0"/>
    <w:pPr>
      <w:snapToGrid w:val="0"/>
      <w:spacing w:after="160" w:line="360" w:lineRule="auto"/>
    </w:pPr>
    <w:rPr>
      <w:sz w:val="24"/>
      <w:szCs w:val="24"/>
      <w:lang w:eastAsia="en-US"/>
    </w:rPr>
  </w:style>
  <w:style w:type="paragraph" w:customStyle="1" w:styleId="166">
    <w:name w:val="样式 cucd-0 + 宋体"/>
    <w:basedOn w:val="1"/>
    <w:qFormat/>
    <w:uiPriority w:val="0"/>
    <w:pPr>
      <w:spacing w:line="360" w:lineRule="auto"/>
      <w:ind w:firstLine="480" w:firstLineChars="200"/>
    </w:pPr>
    <w:rPr>
      <w:rFonts w:ascii="宋体" w:hAnsi="宋体"/>
      <w:sz w:val="24"/>
      <w:szCs w:val="24"/>
    </w:rPr>
  </w:style>
  <w:style w:type="paragraph" w:customStyle="1" w:styleId="167">
    <w:name w:val="样式"/>
    <w:qFormat/>
    <w:uiPriority w:val="0"/>
    <w:pPr>
      <w:widowControl w:val="0"/>
      <w:adjustRightInd w:val="0"/>
      <w:spacing w:line="360" w:lineRule="auto"/>
      <w:ind w:firstLine="482"/>
      <w:jc w:val="both"/>
      <w:textAlignment w:val="baseline"/>
    </w:pPr>
    <w:rPr>
      <w:rFonts w:ascii="Times New Roman" w:hAnsi="Times New Roman" w:eastAsia="宋体" w:cs="Times New Roman"/>
      <w:sz w:val="24"/>
      <w:lang w:val="en-US" w:eastAsia="zh-CN" w:bidi="ar-SA"/>
    </w:rPr>
  </w:style>
  <w:style w:type="paragraph" w:customStyle="1" w:styleId="168">
    <w:name w:val="TOC 标题1"/>
    <w:basedOn w:val="4"/>
    <w:next w:val="1"/>
    <w:qFormat/>
    <w:uiPriority w:val="39"/>
    <w:pPr>
      <w:widowControl/>
      <w:spacing w:before="480" w:after="0" w:line="276" w:lineRule="auto"/>
      <w:jc w:val="left"/>
      <w:outlineLvl w:val="9"/>
    </w:pPr>
    <w:rPr>
      <w:rFonts w:ascii="Cambria" w:hAnsi="Cambria"/>
      <w:bCs/>
      <w:color w:val="365F91"/>
      <w:kern w:val="0"/>
      <w:sz w:val="28"/>
      <w:szCs w:val="28"/>
    </w:rPr>
  </w:style>
  <w:style w:type="paragraph" w:customStyle="1" w:styleId="169">
    <w:name w:val="标题2.2.1"/>
    <w:basedOn w:val="1"/>
    <w:qFormat/>
    <w:uiPriority w:val="0"/>
    <w:pPr>
      <w:tabs>
        <w:tab w:val="left" w:pos="-164"/>
      </w:tabs>
      <w:ind w:left="1418" w:hanging="1582"/>
    </w:pPr>
    <w:rPr>
      <w:szCs w:val="24"/>
    </w:rPr>
  </w:style>
  <w:style w:type="paragraph" w:customStyle="1" w:styleId="170">
    <w:name w:val="TOC 标题11"/>
    <w:basedOn w:val="4"/>
    <w:next w:val="1"/>
    <w:qFormat/>
    <w:uiPriority w:val="0"/>
    <w:pPr>
      <w:widowControl/>
      <w:spacing w:before="480" w:after="0" w:line="276" w:lineRule="auto"/>
      <w:jc w:val="left"/>
      <w:outlineLvl w:val="9"/>
    </w:pPr>
    <w:rPr>
      <w:rFonts w:ascii="Cambria" w:hAnsi="Cambria"/>
      <w:bCs/>
      <w:color w:val="365F91"/>
      <w:kern w:val="0"/>
      <w:sz w:val="28"/>
      <w:szCs w:val="28"/>
    </w:rPr>
  </w:style>
  <w:style w:type="paragraph" w:customStyle="1" w:styleId="171">
    <w:name w:val="CM21"/>
    <w:basedOn w:val="3"/>
    <w:next w:val="3"/>
    <w:qFormat/>
    <w:uiPriority w:val="0"/>
    <w:pPr>
      <w:spacing w:line="228" w:lineRule="atLeast"/>
    </w:pPr>
    <w:rPr>
      <w:color w:val="auto"/>
    </w:rPr>
  </w:style>
  <w:style w:type="paragraph" w:customStyle="1" w:styleId="172">
    <w:name w:val="表文字"/>
    <w:basedOn w:val="1"/>
    <w:qFormat/>
    <w:uiPriority w:val="0"/>
    <w:pPr>
      <w:wordWrap w:val="0"/>
      <w:adjustRightInd w:val="0"/>
      <w:snapToGrid w:val="0"/>
    </w:pPr>
  </w:style>
  <w:style w:type="paragraph" w:customStyle="1" w:styleId="173">
    <w:name w:val="列出段落1"/>
    <w:basedOn w:val="1"/>
    <w:qFormat/>
    <w:uiPriority w:val="0"/>
    <w:pPr>
      <w:ind w:firstLine="420" w:firstLineChars="200"/>
    </w:pPr>
    <w:rPr>
      <w:szCs w:val="24"/>
    </w:rPr>
  </w:style>
  <w:style w:type="paragraph" w:customStyle="1" w:styleId="174">
    <w:name w:val="纯文本1"/>
    <w:basedOn w:val="1"/>
    <w:qFormat/>
    <w:uiPriority w:val="0"/>
    <w:pPr>
      <w:adjustRightInd w:val="0"/>
      <w:textAlignment w:val="baseline"/>
    </w:pPr>
    <w:rPr>
      <w:rFonts w:ascii="宋体" w:hAnsi="Courier New"/>
    </w:rPr>
  </w:style>
  <w:style w:type="character" w:customStyle="1" w:styleId="175">
    <w:name w:val="页脚 字符"/>
    <w:link w:val="31"/>
    <w:qFormat/>
    <w:uiPriority w:val="99"/>
    <w:rPr>
      <w:kern w:val="2"/>
      <w:sz w:val="18"/>
    </w:rPr>
  </w:style>
  <w:style w:type="paragraph" w:customStyle="1" w:styleId="176">
    <w:name w:val="Char Char Char Char Char Char Char Char Char"/>
    <w:basedOn w:val="1"/>
    <w:qFormat/>
    <w:uiPriority w:val="0"/>
    <w:pPr>
      <w:spacing w:after="160" w:line="240" w:lineRule="exact"/>
    </w:pPr>
    <w:rPr>
      <w:szCs w:val="24"/>
    </w:rPr>
  </w:style>
  <w:style w:type="paragraph" w:customStyle="1" w:styleId="177">
    <w:name w:val="body 2"/>
    <w:basedOn w:val="5"/>
    <w:qFormat/>
    <w:uiPriority w:val="0"/>
    <w:pPr>
      <w:keepNext w:val="0"/>
      <w:keepLines w:val="0"/>
      <w:widowControl/>
      <w:adjustRightInd/>
      <w:spacing w:before="120" w:after="0" w:line="240" w:lineRule="auto"/>
      <w:textAlignment w:val="auto"/>
      <w:outlineLvl w:val="9"/>
    </w:pPr>
    <w:rPr>
      <w:rFonts w:eastAsia="宋体"/>
      <w:b w:val="0"/>
      <w:sz w:val="20"/>
      <w:lang w:eastAsia="en-US"/>
    </w:rPr>
  </w:style>
  <w:style w:type="paragraph" w:customStyle="1" w:styleId="178">
    <w:name w:val="xl25"/>
    <w:basedOn w:val="1"/>
    <w:qFormat/>
    <w:uiPriority w:val="0"/>
    <w:pPr>
      <w:pBdr>
        <w:bottom w:val="single" w:color="auto" w:sz="4" w:space="0"/>
        <w:right w:val="single" w:color="auto" w:sz="4" w:space="0"/>
      </w:pBdr>
      <w:spacing w:before="100" w:beforeAutospacing="1" w:after="100" w:afterAutospacing="1"/>
      <w:jc w:val="center"/>
    </w:pPr>
    <w:rPr>
      <w:rFonts w:ascii="宋体" w:hAnsi="宋体"/>
      <w:szCs w:val="21"/>
    </w:rPr>
  </w:style>
  <w:style w:type="paragraph" w:customStyle="1" w:styleId="179">
    <w:name w:val="note 2"/>
    <w:basedOn w:val="177"/>
    <w:qFormat/>
    <w:uiPriority w:val="0"/>
    <w:pPr>
      <w:ind w:left="1260" w:hanging="1080"/>
      <w:jc w:val="left"/>
    </w:pPr>
    <w:rPr>
      <w:b/>
    </w:rPr>
  </w:style>
  <w:style w:type="paragraph" w:customStyle="1" w:styleId="180">
    <w:name w:val="CM1"/>
    <w:basedOn w:val="3"/>
    <w:next w:val="3"/>
    <w:qFormat/>
    <w:uiPriority w:val="0"/>
    <w:pPr>
      <w:spacing w:line="191" w:lineRule="atLeast"/>
    </w:pPr>
    <w:rPr>
      <w:color w:val="auto"/>
    </w:rPr>
  </w:style>
  <w:style w:type="paragraph" w:customStyle="1" w:styleId="181">
    <w:name w:val="Text"/>
    <w:basedOn w:val="1"/>
    <w:qFormat/>
    <w:uiPriority w:val="0"/>
    <w:rPr>
      <w:rFonts w:ascii="Arial" w:hAnsi="Arial"/>
      <w:lang w:val="en-GB" w:eastAsia="de-DE"/>
    </w:rPr>
  </w:style>
  <w:style w:type="paragraph" w:customStyle="1" w:styleId="182">
    <w:name w:val="标题1.1"/>
    <w:basedOn w:val="1"/>
    <w:qFormat/>
    <w:uiPriority w:val="0"/>
    <w:pPr>
      <w:tabs>
        <w:tab w:val="left" w:pos="1"/>
      </w:tabs>
      <w:spacing w:line="440" w:lineRule="exact"/>
      <w:ind w:firstLine="1"/>
      <w:outlineLvl w:val="1"/>
    </w:pPr>
    <w:rPr>
      <w:rFonts w:ascii="宋体" w:hAnsi="宋体"/>
      <w:b/>
      <w:sz w:val="28"/>
      <w:szCs w:val="24"/>
    </w:rPr>
  </w:style>
  <w:style w:type="paragraph" w:customStyle="1" w:styleId="183">
    <w:name w:val="text level 2"/>
    <w:qFormat/>
    <w:uiPriority w:val="0"/>
    <w:pPr>
      <w:overflowPunct w:val="0"/>
      <w:autoSpaceDE w:val="0"/>
      <w:autoSpaceDN w:val="0"/>
      <w:adjustRightInd w:val="0"/>
      <w:ind w:left="720"/>
      <w:jc w:val="both"/>
      <w:textAlignment w:val="baseline"/>
    </w:pPr>
    <w:rPr>
      <w:rFonts w:ascii="CG Times (W1)" w:hAnsi="CG Times (W1)" w:eastAsia="宋体" w:cs="Times New Roman"/>
      <w:sz w:val="24"/>
      <w:lang w:val="en-US" w:eastAsia="zh-CN" w:bidi="ar-SA"/>
    </w:rPr>
  </w:style>
  <w:style w:type="paragraph" w:customStyle="1" w:styleId="184">
    <w:name w:val="修订1"/>
    <w:qFormat/>
    <w:uiPriority w:val="99"/>
    <w:rPr>
      <w:rFonts w:ascii="Times New Roman" w:hAnsi="Times New Roman" w:eastAsia="宋体" w:cs="Times New Roman"/>
      <w:kern w:val="2"/>
      <w:sz w:val="21"/>
      <w:szCs w:val="24"/>
      <w:lang w:val="en-US" w:eastAsia="zh-CN" w:bidi="ar-SA"/>
    </w:rPr>
  </w:style>
  <w:style w:type="paragraph" w:customStyle="1" w:styleId="185">
    <w:name w:val="Heading 2a"/>
    <w:basedOn w:val="5"/>
    <w:qFormat/>
    <w:uiPriority w:val="0"/>
    <w:pPr>
      <w:widowControl/>
      <w:adjustRightInd/>
      <w:spacing w:before="320" w:after="0" w:line="300" w:lineRule="exact"/>
      <w:jc w:val="left"/>
      <w:textAlignment w:val="auto"/>
    </w:pPr>
    <w:rPr>
      <w:rFonts w:eastAsia="Batang"/>
      <w:b w:val="0"/>
      <w:i/>
      <w:sz w:val="20"/>
      <w:lang w:val="en-GB" w:eastAsia="en-US"/>
    </w:rPr>
  </w:style>
  <w:style w:type="paragraph" w:customStyle="1" w:styleId="186">
    <w:name w:val="List Paragraph1"/>
    <w:basedOn w:val="1"/>
    <w:qFormat/>
    <w:uiPriority w:val="0"/>
    <w:pPr>
      <w:ind w:firstLine="420" w:firstLineChars="200"/>
    </w:pPr>
    <w:rPr>
      <w:rFonts w:ascii="Calibri" w:hAnsi="Calibri"/>
      <w:szCs w:val="22"/>
    </w:rPr>
  </w:style>
  <w:style w:type="paragraph" w:customStyle="1" w:styleId="187">
    <w:name w:val="样式1"/>
    <w:basedOn w:val="1"/>
    <w:qFormat/>
    <w:uiPriority w:val="0"/>
    <w:pPr>
      <w:autoSpaceDE w:val="0"/>
      <w:autoSpaceDN w:val="0"/>
      <w:adjustRightInd w:val="0"/>
      <w:spacing w:after="120"/>
      <w:textAlignment w:val="baseline"/>
    </w:pPr>
    <w:rPr>
      <w:rFonts w:ascii="宋体" w:hAnsi="Tms Rmn"/>
      <w:sz w:val="24"/>
    </w:rPr>
  </w:style>
  <w:style w:type="paragraph" w:customStyle="1" w:styleId="188">
    <w:name w:val="Char"/>
    <w:basedOn w:val="1"/>
    <w:qFormat/>
    <w:uiPriority w:val="0"/>
    <w:rPr>
      <w:rFonts w:ascii="Tahoma" w:hAnsi="Tahoma"/>
      <w:sz w:val="24"/>
    </w:rPr>
  </w:style>
  <w:style w:type="paragraph" w:customStyle="1" w:styleId="189">
    <w:name w:val="cucd-1"/>
    <w:next w:val="138"/>
    <w:qFormat/>
    <w:uiPriority w:val="0"/>
    <w:pPr>
      <w:pageBreakBefore/>
      <w:tabs>
        <w:tab w:val="left" w:pos="425"/>
      </w:tabs>
      <w:spacing w:before="312" w:beforeLines="100" w:after="156" w:afterLines="50" w:line="360" w:lineRule="auto"/>
      <w:ind w:left="425" w:hanging="425"/>
      <w:jc w:val="center"/>
      <w:outlineLvl w:val="0"/>
    </w:pPr>
    <w:rPr>
      <w:rFonts w:ascii="Times New Roman" w:hAnsi="Times New Roman" w:eastAsia="黑体" w:cs="Times New Roman"/>
      <w:b/>
      <w:kern w:val="2"/>
      <w:sz w:val="36"/>
      <w:szCs w:val="24"/>
      <w:lang w:val="en-US" w:eastAsia="zh-CN" w:bidi="ar-SA"/>
    </w:rPr>
  </w:style>
  <w:style w:type="paragraph" w:customStyle="1" w:styleId="190">
    <w:name w:val="Level 2"/>
    <w:basedOn w:val="1"/>
    <w:qFormat/>
    <w:uiPriority w:val="0"/>
    <w:pPr>
      <w:tabs>
        <w:tab w:val="left" w:pos="851"/>
      </w:tabs>
      <w:spacing w:after="240" w:line="312" w:lineRule="auto"/>
      <w:ind w:left="851" w:hanging="851"/>
      <w:outlineLvl w:val="1"/>
    </w:pPr>
    <w:rPr>
      <w:sz w:val="24"/>
      <w:lang w:val="en-GB" w:eastAsia="en-US"/>
    </w:rPr>
  </w:style>
  <w:style w:type="paragraph" w:customStyle="1" w:styleId="191">
    <w:name w:val="Char11"/>
    <w:basedOn w:val="1"/>
    <w:qFormat/>
    <w:uiPriority w:val="0"/>
    <w:pPr>
      <w:spacing w:after="160" w:line="240" w:lineRule="exact"/>
    </w:pPr>
  </w:style>
  <w:style w:type="paragraph" w:customStyle="1" w:styleId="192">
    <w:name w:val="flNote"/>
    <w:basedOn w:val="1"/>
    <w:qFormat/>
    <w:uiPriority w:val="0"/>
    <w:pPr>
      <w:adjustRightInd w:val="0"/>
      <w:spacing w:before="320" w:after="160" w:line="360" w:lineRule="atLeast"/>
      <w:jc w:val="center"/>
      <w:textAlignment w:val="baseline"/>
    </w:pPr>
    <w:rPr>
      <w:rFonts w:ascii="Arial" w:eastAsia="黑体"/>
      <w:sz w:val="30"/>
    </w:rPr>
  </w:style>
  <w:style w:type="paragraph" w:customStyle="1" w:styleId="193">
    <w:name w:val="ｽﾀｲﾙ1"/>
    <w:basedOn w:val="1"/>
    <w:qFormat/>
    <w:uiPriority w:val="0"/>
    <w:pPr>
      <w:adjustRightInd w:val="0"/>
      <w:snapToGrid w:val="0"/>
      <w:spacing w:before="60" w:after="60"/>
      <w:textAlignment w:val="baseline"/>
    </w:pPr>
    <w:rPr>
      <w:rFonts w:ascii="Arial" w:hAnsi="Arial" w:eastAsia="MS Gothic"/>
      <w:lang w:eastAsia="ja-JP"/>
    </w:rPr>
  </w:style>
  <w:style w:type="paragraph" w:customStyle="1" w:styleId="194">
    <w:name w:val="2"/>
    <w:basedOn w:val="1"/>
    <w:next w:val="9"/>
    <w:qFormat/>
    <w:uiPriority w:val="0"/>
    <w:pPr>
      <w:ind w:left="708"/>
    </w:pPr>
    <w:rPr>
      <w:rFonts w:ascii="CG Times (WN)" w:hAnsi="CG Times (WN)"/>
      <w:sz w:val="24"/>
      <w:lang w:val="de-DE" w:eastAsia="de-DE"/>
    </w:rPr>
  </w:style>
  <w:style w:type="paragraph" w:customStyle="1" w:styleId="195">
    <w:name w:val="Char Char Char1 Char Char Char Char Char Char Char"/>
    <w:basedOn w:val="1"/>
    <w:qFormat/>
    <w:uiPriority w:val="0"/>
    <w:pPr>
      <w:autoSpaceDE w:val="0"/>
      <w:autoSpaceDN w:val="0"/>
    </w:pPr>
    <w:rPr>
      <w:rFonts w:ascii="Tahoma" w:hAnsi="Tahoma"/>
      <w:sz w:val="24"/>
    </w:rPr>
  </w:style>
  <w:style w:type="paragraph" w:customStyle="1" w:styleId="196">
    <w:name w:val="目录文字"/>
    <w:basedOn w:val="1"/>
    <w:qFormat/>
    <w:uiPriority w:val="0"/>
    <w:pPr>
      <w:spacing w:line="480" w:lineRule="auto"/>
    </w:pPr>
    <w:rPr>
      <w:rFonts w:ascii="宋体" w:hAnsi="宋体"/>
      <w:sz w:val="24"/>
    </w:rPr>
  </w:style>
  <w:style w:type="paragraph" w:customStyle="1" w:styleId="197">
    <w:name w:val="Char Char Char Char Char Char Char Char Char Char Char Char Char Char Char Char Char"/>
    <w:basedOn w:val="1"/>
    <w:qFormat/>
    <w:uiPriority w:val="0"/>
    <w:rPr>
      <w:rFonts w:ascii="仿宋_GB2312" w:hAnsi="宋体" w:eastAsia="仿宋_GB2312"/>
      <w:b/>
      <w:sz w:val="28"/>
      <w:szCs w:val="28"/>
    </w:rPr>
  </w:style>
  <w:style w:type="paragraph" w:customStyle="1" w:styleId="198">
    <w:name w:val="Char Char2"/>
    <w:basedOn w:val="1"/>
    <w:qFormat/>
    <w:uiPriority w:val="0"/>
    <w:pPr>
      <w:jc w:val="center"/>
    </w:pPr>
    <w:rPr>
      <w:rFonts w:ascii="宋体"/>
      <w:szCs w:val="21"/>
    </w:rPr>
  </w:style>
  <w:style w:type="paragraph" w:customStyle="1" w:styleId="199">
    <w:name w:val="Robot List Items 2"/>
    <w:basedOn w:val="1"/>
    <w:qFormat/>
    <w:uiPriority w:val="0"/>
    <w:pPr>
      <w:tabs>
        <w:tab w:val="left" w:pos="1068"/>
      </w:tabs>
      <w:ind w:left="1068" w:hanging="360"/>
    </w:pPr>
    <w:rPr>
      <w:rFonts w:ascii="Arial" w:hAnsi="Arial"/>
      <w:sz w:val="18"/>
      <w:lang w:eastAsia="en-US"/>
    </w:rPr>
  </w:style>
  <w:style w:type="paragraph" w:customStyle="1" w:styleId="200">
    <w:name w:val="样式2"/>
    <w:basedOn w:val="1"/>
    <w:qFormat/>
    <w:uiPriority w:val="0"/>
    <w:pPr>
      <w:adjustRightInd w:val="0"/>
      <w:spacing w:line="410" w:lineRule="atLeast"/>
      <w:textAlignment w:val="baseline"/>
    </w:pPr>
  </w:style>
  <w:style w:type="paragraph" w:customStyle="1" w:styleId="201">
    <w:name w:val="Char Char1 Char Char Char Char"/>
    <w:basedOn w:val="1"/>
    <w:qFormat/>
    <w:uiPriority w:val="0"/>
    <w:rPr>
      <w:rFonts w:eastAsia="楷体_GB2312"/>
      <w:sz w:val="32"/>
    </w:rPr>
  </w:style>
  <w:style w:type="paragraph" w:customStyle="1" w:styleId="202">
    <w:name w:val="1 Char Char Char Char"/>
    <w:basedOn w:val="1"/>
    <w:qFormat/>
    <w:uiPriority w:val="0"/>
    <w:rPr>
      <w:rFonts w:ascii="Tahoma" w:hAnsi="Tahoma"/>
      <w:sz w:val="24"/>
    </w:rPr>
  </w:style>
  <w:style w:type="paragraph" w:customStyle="1" w:styleId="203">
    <w:name w:val="Char1"/>
    <w:basedOn w:val="1"/>
    <w:qFormat/>
    <w:uiPriority w:val="0"/>
    <w:rPr>
      <w:rFonts w:ascii="Tahoma" w:hAnsi="Tahoma"/>
      <w:sz w:val="24"/>
    </w:rPr>
  </w:style>
  <w:style w:type="paragraph" w:customStyle="1" w:styleId="204">
    <w:name w:val="Char Char Char Char"/>
    <w:basedOn w:val="1"/>
    <w:qFormat/>
    <w:uiPriority w:val="0"/>
    <w:rPr>
      <w:szCs w:val="24"/>
    </w:rPr>
  </w:style>
  <w:style w:type="paragraph" w:customStyle="1" w:styleId="205">
    <w:name w:val="正文 New"/>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206">
    <w:name w:val="尾注文本 字符"/>
    <w:link w:val="29"/>
    <w:semiHidden/>
    <w:qFormat/>
    <w:locked/>
    <w:uiPriority w:val="0"/>
    <w:rPr>
      <w:rFonts w:eastAsia="??"/>
      <w:color w:val="000000"/>
      <w:sz w:val="24"/>
      <w:szCs w:val="24"/>
    </w:rPr>
  </w:style>
  <w:style w:type="character" w:customStyle="1" w:styleId="207">
    <w:name w:val="尾注文本 Char"/>
    <w:semiHidden/>
    <w:qFormat/>
    <w:uiPriority w:val="0"/>
    <w:rPr>
      <w:kern w:val="2"/>
      <w:sz w:val="21"/>
    </w:rPr>
  </w:style>
  <w:style w:type="character" w:customStyle="1" w:styleId="208">
    <w:name w:val="签名 Char"/>
    <w:link w:val="209"/>
    <w:qFormat/>
    <w:locked/>
    <w:uiPriority w:val="0"/>
    <w:rPr>
      <w:rFonts w:ascii="??" w:hAnsi="??" w:eastAsia="??"/>
      <w:color w:val="000000"/>
      <w:sz w:val="24"/>
      <w:lang w:eastAsia="en-US"/>
    </w:rPr>
  </w:style>
  <w:style w:type="paragraph" w:customStyle="1" w:styleId="209">
    <w:name w:val="签名1"/>
    <w:basedOn w:val="1"/>
    <w:link w:val="208"/>
    <w:qFormat/>
    <w:uiPriority w:val="0"/>
    <w:pPr>
      <w:widowControl/>
      <w:ind w:left="4410" w:leftChars="2100"/>
      <w:jc w:val="left"/>
    </w:pPr>
    <w:rPr>
      <w:rFonts w:ascii="??" w:hAnsi="??" w:eastAsia="??"/>
      <w:color w:val="000000"/>
      <w:kern w:val="0"/>
      <w:sz w:val="24"/>
      <w:lang w:val="zh-CN" w:eastAsia="en-US"/>
    </w:rPr>
  </w:style>
  <w:style w:type="character" w:customStyle="1" w:styleId="210">
    <w:name w:val="信息标题 Char"/>
    <w:link w:val="211"/>
    <w:qFormat/>
    <w:locked/>
    <w:uiPriority w:val="0"/>
    <w:rPr>
      <w:rFonts w:ascii="Arial" w:hAnsi="Arial" w:eastAsia="??" w:cs="Arial"/>
      <w:color w:val="000000"/>
      <w:sz w:val="24"/>
      <w:szCs w:val="24"/>
      <w:shd w:val="pct20" w:color="auto" w:fill="auto"/>
    </w:rPr>
  </w:style>
  <w:style w:type="paragraph" w:customStyle="1" w:styleId="211">
    <w:name w:val="信息标题1"/>
    <w:basedOn w:val="1"/>
    <w:link w:val="210"/>
    <w:qFormat/>
    <w:uiPriority w:val="0"/>
    <w:pPr>
      <w:pBdr>
        <w:top w:val="single" w:color="auto" w:sz="6" w:space="1"/>
        <w:left w:val="single" w:color="auto" w:sz="6" w:space="1"/>
        <w:bottom w:val="single" w:color="auto" w:sz="6" w:space="1"/>
        <w:right w:val="single" w:color="auto" w:sz="6" w:space="1"/>
      </w:pBdr>
      <w:shd w:val="pct20" w:color="auto" w:fill="auto"/>
      <w:ind w:left="1550" w:leftChars="500" w:hanging="500" w:hangingChars="500"/>
    </w:pPr>
    <w:rPr>
      <w:rFonts w:ascii="Arial" w:hAnsi="Arial" w:eastAsia="??"/>
      <w:color w:val="000000"/>
      <w:kern w:val="0"/>
      <w:sz w:val="24"/>
      <w:szCs w:val="24"/>
      <w:lang w:val="zh-CN"/>
    </w:rPr>
  </w:style>
  <w:style w:type="paragraph" w:customStyle="1" w:styleId="212">
    <w:name w:val="正文首行缩进 21"/>
    <w:basedOn w:val="213"/>
    <w:qFormat/>
    <w:uiPriority w:val="0"/>
  </w:style>
  <w:style w:type="paragraph" w:customStyle="1" w:styleId="213">
    <w:name w:val="正文文本缩进1"/>
    <w:basedOn w:val="1"/>
    <w:qFormat/>
    <w:uiPriority w:val="0"/>
    <w:pPr>
      <w:spacing w:after="120"/>
      <w:ind w:left="420" w:leftChars="200"/>
    </w:pPr>
    <w:rPr>
      <w:rFonts w:ascii="??" w:hAnsi="??" w:eastAsia="??"/>
      <w:color w:val="000000"/>
      <w:kern w:val="0"/>
      <w:sz w:val="20"/>
      <w:szCs w:val="24"/>
    </w:rPr>
  </w:style>
  <w:style w:type="character" w:customStyle="1" w:styleId="214">
    <w:name w:val="结束语 Char"/>
    <w:link w:val="215"/>
    <w:qFormat/>
    <w:locked/>
    <w:uiPriority w:val="0"/>
    <w:rPr>
      <w:rFonts w:ascii="??" w:hAnsi="??" w:eastAsia="??"/>
      <w:color w:val="000000"/>
      <w:sz w:val="24"/>
      <w:lang w:eastAsia="en-US"/>
    </w:rPr>
  </w:style>
  <w:style w:type="paragraph" w:customStyle="1" w:styleId="215">
    <w:name w:val="结束语1"/>
    <w:basedOn w:val="1"/>
    <w:link w:val="214"/>
    <w:qFormat/>
    <w:uiPriority w:val="0"/>
    <w:pPr>
      <w:widowControl/>
      <w:ind w:left="4410" w:leftChars="2100"/>
      <w:jc w:val="left"/>
    </w:pPr>
    <w:rPr>
      <w:rFonts w:ascii="??" w:hAnsi="??" w:eastAsia="??"/>
      <w:color w:val="000000"/>
      <w:kern w:val="0"/>
      <w:sz w:val="24"/>
      <w:lang w:val="zh-CN" w:eastAsia="en-US"/>
    </w:rPr>
  </w:style>
  <w:style w:type="paragraph" w:customStyle="1" w:styleId="216">
    <w:name w:val="正文首行缩进1"/>
    <w:basedOn w:val="2"/>
    <w:qFormat/>
    <w:uiPriority w:val="0"/>
  </w:style>
  <w:style w:type="paragraph" w:customStyle="1" w:styleId="217">
    <w:name w:val="ÕýÎÄ"/>
    <w:qFormat/>
    <w:uiPriority w:val="0"/>
    <w:pPr>
      <w:tabs>
        <w:tab w:val="left" w:pos="630"/>
      </w:tabs>
      <w:overflowPunct w:val="0"/>
      <w:autoSpaceDE w:val="0"/>
      <w:autoSpaceDN w:val="0"/>
      <w:adjustRightInd w:val="0"/>
      <w:spacing w:line="360" w:lineRule="atLeast"/>
      <w:jc w:val="both"/>
    </w:pPr>
    <w:rPr>
      <w:rFonts w:ascii="Times New Roman" w:hAnsi="Times New Roman" w:eastAsia="??" w:cs="Times New Roman"/>
      <w:color w:val="000000"/>
      <w:sz w:val="22"/>
      <w:szCs w:val="28"/>
      <w:lang w:val="en-US" w:eastAsia="zh-CN" w:bidi="ar-SA"/>
    </w:rPr>
  </w:style>
  <w:style w:type="paragraph" w:customStyle="1" w:styleId="218">
    <w:name w:val="J2"/>
    <w:qFormat/>
    <w:uiPriority w:val="0"/>
    <w:pPr>
      <w:adjustRightInd w:val="0"/>
      <w:snapToGrid w:val="0"/>
      <w:spacing w:line="360" w:lineRule="auto"/>
      <w:ind w:left="360" w:hanging="360"/>
    </w:pPr>
    <w:rPr>
      <w:rFonts w:ascii="Times New Roman" w:hAnsi="Times New Roman" w:eastAsia="??" w:cs="Times New Roman"/>
      <w:b/>
      <w:bCs/>
      <w:color w:val="0000FF"/>
      <w:kern w:val="44"/>
      <w:szCs w:val="21"/>
      <w:lang w:val="en-US" w:eastAsia="zh-CN" w:bidi="ar-SA"/>
    </w:rPr>
  </w:style>
  <w:style w:type="paragraph" w:customStyle="1" w:styleId="219">
    <w:name w:val="J1"/>
    <w:qFormat/>
    <w:uiPriority w:val="0"/>
    <w:pPr>
      <w:adjustRightInd w:val="0"/>
      <w:snapToGrid w:val="0"/>
      <w:ind w:firstLine="413"/>
      <w:jc w:val="both"/>
      <w:outlineLvl w:val="0"/>
    </w:pPr>
    <w:rPr>
      <w:rFonts w:ascii="??" w:hAnsi="??" w:eastAsia="??" w:cs="Arial"/>
      <w:b/>
      <w:color w:val="000000"/>
      <w:sz w:val="28"/>
      <w:szCs w:val="28"/>
      <w:lang w:val="en-US" w:eastAsia="zh-CN" w:bidi="ar-SA"/>
    </w:rPr>
  </w:style>
  <w:style w:type="paragraph" w:customStyle="1" w:styleId="220">
    <w:name w:val="表格侧编号"/>
    <w:next w:val="1"/>
    <w:qFormat/>
    <w:uiPriority w:val="0"/>
    <w:pPr>
      <w:widowControl w:val="0"/>
      <w:adjustRightInd w:val="0"/>
      <w:snapToGrid w:val="0"/>
      <w:spacing w:before="40" w:after="20" w:line="240" w:lineRule="atLeast"/>
      <w:jc w:val="center"/>
    </w:pPr>
    <w:rPr>
      <w:rFonts w:ascii="Arial" w:hAnsi="Arial" w:eastAsia="??" w:cs="Arial"/>
      <w:color w:val="000000"/>
      <w:szCs w:val="28"/>
      <w:lang w:val="en-US" w:eastAsia="zh-CN" w:bidi="ar-SA"/>
    </w:rPr>
  </w:style>
  <w:style w:type="paragraph" w:customStyle="1" w:styleId="221">
    <w:name w:val="潍柴文档正文"/>
    <w:basedOn w:val="1"/>
    <w:qFormat/>
    <w:uiPriority w:val="0"/>
    <w:pPr>
      <w:spacing w:line="360" w:lineRule="auto"/>
      <w:ind w:firstLine="200" w:firstLineChars="200"/>
    </w:pPr>
    <w:rPr>
      <w:sz w:val="24"/>
      <w:szCs w:val="22"/>
    </w:rPr>
  </w:style>
  <w:style w:type="character" w:customStyle="1" w:styleId="222">
    <w:name w:val="ca-141"/>
    <w:qFormat/>
    <w:uiPriority w:val="0"/>
    <w:rPr>
      <w:rFonts w:hint="eastAsia" w:ascii="仿宋_GB2312" w:eastAsia="仿宋_GB2312"/>
      <w:sz w:val="21"/>
      <w:szCs w:val="21"/>
    </w:rPr>
  </w:style>
  <w:style w:type="paragraph" w:customStyle="1" w:styleId="223">
    <w:name w:val="1正文段落"/>
    <w:basedOn w:val="1"/>
    <w:qFormat/>
    <w:uiPriority w:val="0"/>
    <w:pPr>
      <w:spacing w:line="360" w:lineRule="auto"/>
      <w:ind w:firstLine="480" w:firstLineChars="200"/>
      <w:jc w:val="left"/>
    </w:pPr>
    <w:rPr>
      <w:snapToGrid w:val="0"/>
      <w:kern w:val="0"/>
      <w:sz w:val="24"/>
      <w:szCs w:val="24"/>
    </w:rPr>
  </w:style>
  <w:style w:type="character" w:customStyle="1" w:styleId="224">
    <w:name w:val="NormalCharacter"/>
    <w:qFormat/>
    <w:uiPriority w:val="0"/>
  </w:style>
  <w:style w:type="character" w:customStyle="1" w:styleId="225">
    <w:name w:val="font51"/>
    <w:basedOn w:val="51"/>
    <w:qFormat/>
    <w:uiPriority w:val="99"/>
    <w:rPr>
      <w:rFonts w:ascii="Times New Roman" w:hAnsi="Times New Roman" w:cs="Times New Roman"/>
      <w:color w:val="000000"/>
      <w:sz w:val="24"/>
      <w:szCs w:val="24"/>
      <w:u w:val="none"/>
    </w:rPr>
  </w:style>
  <w:style w:type="character" w:customStyle="1" w:styleId="226">
    <w:name w:val="font61"/>
    <w:basedOn w:val="51"/>
    <w:qFormat/>
    <w:uiPriority w:val="99"/>
    <w:rPr>
      <w:rFonts w:ascii="宋体" w:hAnsi="宋体" w:eastAsia="宋体" w:cs="宋体"/>
      <w:color w:val="000000"/>
      <w:sz w:val="24"/>
      <w:szCs w:val="24"/>
      <w:u w:val="none"/>
    </w:rPr>
  </w:style>
  <w:style w:type="character" w:customStyle="1" w:styleId="227">
    <w:name w:val="font31"/>
    <w:basedOn w:val="51"/>
    <w:qFormat/>
    <w:uiPriority w:val="0"/>
    <w:rPr>
      <w:rFonts w:hint="eastAsia" w:ascii="微软雅黑" w:hAnsi="微软雅黑" w:eastAsia="微软雅黑" w:cs="微软雅黑"/>
      <w:color w:val="000000"/>
      <w:sz w:val="16"/>
      <w:szCs w:val="16"/>
      <w:u w:val="none"/>
    </w:rPr>
  </w:style>
  <w:style w:type="paragraph" w:customStyle="1" w:styleId="228">
    <w:name w:val="（二）级标题"/>
    <w:basedOn w:val="25"/>
    <w:qFormat/>
    <w:uiPriority w:val="2"/>
    <w:pPr>
      <w:numPr>
        <w:ilvl w:val="0"/>
        <w:numId w:val="1"/>
      </w:numPr>
      <w:spacing w:line="360" w:lineRule="auto"/>
      <w:outlineLvl w:val="2"/>
    </w:pPr>
    <w:rPr>
      <w:b/>
    </w:rPr>
  </w:style>
  <w:style w:type="paragraph" w:customStyle="1" w:styleId="229">
    <w:name w:val="标书正文格式"/>
    <w:basedOn w:val="25"/>
    <w:qFormat/>
    <w:uiPriority w:val="0"/>
    <w:pPr>
      <w:spacing w:line="360" w:lineRule="auto"/>
      <w:ind w:firstLine="200" w:firstLineChars="200"/>
    </w:pPr>
    <w:rPr>
      <w:rFonts w:hAnsi="宋体"/>
      <w:color w:val="000000"/>
      <w:sz w:val="24"/>
      <w:szCs w:val="24"/>
    </w:rPr>
  </w:style>
  <w:style w:type="paragraph" w:customStyle="1" w:styleId="230">
    <w:name w:val="（4）级标题"/>
    <w:basedOn w:val="25"/>
    <w:qFormat/>
    <w:uiPriority w:val="8"/>
    <w:pPr>
      <w:numPr>
        <w:ilvl w:val="0"/>
        <w:numId w:val="2"/>
      </w:numPr>
      <w:spacing w:line="360" w:lineRule="auto"/>
      <w:outlineLvl w:val="4"/>
    </w:pPr>
  </w:style>
  <w:style w:type="paragraph" w:customStyle="1" w:styleId="231">
    <w:name w:val="Table Paragraph"/>
    <w:basedOn w:val="1"/>
    <w:autoRedefine/>
    <w:qFormat/>
    <w:uiPriority w:val="1"/>
    <w:rPr>
      <w:rFonts w:ascii="宋体" w:hAnsi="宋体" w:eastAsia="宋体" w:cs="宋体"/>
    </w:rPr>
  </w:style>
  <w:style w:type="table" w:customStyle="1" w:styleId="232">
    <w:name w:val="Table Normal"/>
    <w:autoRedefine/>
    <w:qFormat/>
    <w:uiPriority w:val="0"/>
    <w:tblPr>
      <w:tblCellMar>
        <w:top w:w="0" w:type="dxa"/>
        <w:left w:w="0" w:type="dxa"/>
        <w:bottom w:w="0" w:type="dxa"/>
        <w:right w:w="0" w:type="dxa"/>
      </w:tblCellMar>
    </w:tblPr>
  </w:style>
  <w:style w:type="paragraph" w:customStyle="1" w:styleId="233">
    <w:name w:val="HR正文表格"/>
    <w:basedOn w:val="1"/>
    <w:autoRedefine/>
    <w:qFormat/>
    <w:uiPriority w:val="0"/>
    <w:pPr>
      <w:spacing w:beforeLines="25" w:afterLines="25" w:line="300" w:lineRule="auto"/>
    </w:pPr>
    <w:rPr>
      <w:szCs w:val="24"/>
    </w:rPr>
  </w:style>
  <w:style w:type="paragraph" w:customStyle="1" w:styleId="234">
    <w:name w:val="一级标题"/>
    <w:basedOn w:val="25"/>
    <w:qFormat/>
    <w:uiPriority w:val="1"/>
    <w:pPr>
      <w:numPr>
        <w:ilvl w:val="0"/>
        <w:numId w:val="3"/>
      </w:numPr>
      <w:spacing w:line="360" w:lineRule="auto"/>
      <w:ind w:left="420"/>
      <w:outlineLvl w:val="1"/>
    </w:pPr>
    <w:rPr>
      <w:rFonts w:ascii="黑体" w:eastAsia="黑体"/>
      <w:b/>
      <w:bCs/>
      <w:sz w:val="28"/>
    </w:rPr>
  </w:style>
  <w:style w:type="paragraph" w:customStyle="1" w:styleId="235">
    <w:name w:val="首行缩进"/>
    <w:basedOn w:val="1"/>
    <w:qFormat/>
    <w:uiPriority w:val="0"/>
    <w:pPr>
      <w:spacing w:line="360" w:lineRule="auto"/>
      <w:ind w:firstLine="480" w:firstLineChars="200"/>
    </w:pPr>
    <w:rPr>
      <w:rFonts w:ascii="宋体" w:hAnsi="宋体" w:cs="宋体"/>
      <w:kern w:val="0"/>
      <w:sz w:val="24"/>
    </w:rPr>
  </w:style>
  <w:style w:type="character" w:customStyle="1" w:styleId="236">
    <w:name w:val="font11"/>
    <w:basedOn w:val="51"/>
    <w:qFormat/>
    <w:uiPriority w:val="0"/>
    <w:rPr>
      <w:rFonts w:hint="eastAsia" w:ascii="宋体" w:hAnsi="宋体" w:eastAsia="宋体" w:cs="宋体"/>
      <w:color w:val="000000"/>
      <w:sz w:val="24"/>
      <w:szCs w:val="24"/>
      <w:u w:val="single"/>
    </w:rPr>
  </w:style>
  <w:style w:type="character" w:customStyle="1" w:styleId="237">
    <w:name w:val="font21"/>
    <w:basedOn w:val="51"/>
    <w:qFormat/>
    <w:uiPriority w:val="0"/>
    <w:rPr>
      <w:rFonts w:hint="eastAsia" w:ascii="宋体" w:hAnsi="宋体" w:eastAsia="宋体" w:cs="宋体"/>
      <w:color w:val="000000"/>
      <w:sz w:val="24"/>
      <w:szCs w:val="24"/>
      <w:u w:val="none"/>
    </w:rPr>
  </w:style>
  <w:style w:type="character" w:customStyle="1" w:styleId="238">
    <w:name w:val="font71"/>
    <w:basedOn w:val="51"/>
    <w:qFormat/>
    <w:uiPriority w:val="0"/>
    <w:rPr>
      <w:rFonts w:ascii="Arial" w:hAnsi="Arial" w:cs="Arial"/>
      <w:color w:val="000000"/>
      <w:sz w:val="24"/>
      <w:szCs w:val="24"/>
      <w:u w:val="none"/>
    </w:rPr>
  </w:style>
  <w:style w:type="character" w:customStyle="1" w:styleId="239">
    <w:name w:val="font91"/>
    <w:basedOn w:val="51"/>
    <w:qFormat/>
    <w:uiPriority w:val="0"/>
    <w:rPr>
      <w:rFonts w:hint="default" w:ascii="Arial" w:hAnsi="Arial" w:cs="Arial"/>
      <w:color w:val="000000"/>
      <w:sz w:val="18"/>
      <w:szCs w:val="18"/>
      <w:u w:val="none"/>
    </w:rPr>
  </w:style>
  <w:style w:type="paragraph" w:customStyle="1" w:styleId="240">
    <w:name w:val="标书正文"/>
    <w:basedOn w:val="25"/>
    <w:qFormat/>
    <w:uiPriority w:val="9"/>
    <w:pPr>
      <w:spacing w:line="360" w:lineRule="auto"/>
      <w:jc w:val="left"/>
    </w:pPr>
  </w:style>
  <w:style w:type="paragraph" w:customStyle="1" w:styleId="241">
    <w:name w:val="章节"/>
    <w:basedOn w:val="25"/>
    <w:qFormat/>
    <w:uiPriority w:val="0"/>
    <w:pPr>
      <w:spacing w:line="360" w:lineRule="auto"/>
      <w:jc w:val="center"/>
      <w:outlineLvl w:val="0"/>
    </w:pPr>
    <w:rPr>
      <w:rFonts w:ascii="黑体" w:eastAsia="黑体"/>
      <w:b/>
      <w:bCs/>
      <w:sz w:val="36"/>
      <w:szCs w:val="36"/>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43</Pages>
  <Words>3400</Words>
  <Characters>3572</Characters>
  <Lines>52</Lines>
  <Paragraphs>14</Paragraphs>
  <TotalTime>53</TotalTime>
  <ScaleCrop>false</ScaleCrop>
  <LinksUpToDate>false</LinksUpToDate>
  <CharactersWithSpaces>3621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2025-05-19T02:18:00Z</dcterms:created>
  <dc:creator>zhl</dc:creator>
  <cp:lastModifiedBy>冷言</cp:lastModifiedBy>
  <cp:lastPrinted>2020-01-08T06:44:00Z</cp:lastPrinted>
  <dcterms:modified xsi:type="dcterms:W3CDTF">2026-09-23T01:30:46Z</dcterms:modified>
  <dc:title>招标文件</dc:title>
  <cp:revision>113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Base Target">
    <vt:lpwstr>_blank</vt:lpwstr>
  </property>
  <property fmtid="{D5CDD505-2E9C-101B-9397-08002B2CF9AE}" pid="4" name="ICV">
    <vt:lpwstr>0A44AFA792AA43118183F8B4B7CE4420_13</vt:lpwstr>
  </property>
  <property fmtid="{D5CDD505-2E9C-101B-9397-08002B2CF9AE}" pid="5" name="KSOTemplateDocerSaveRecord">
    <vt:lpwstr>eyJoZGlkIjoiYjkwMmRlNjMxNGNlNDYzMmFiYjIyZGNkMWMzMmJhNzUiLCJ1c2VySWQiOiI1MDU1ODk3NzQifQ==</vt:lpwstr>
  </property>
</Properties>
</file>