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643320">
      <w:pPr>
        <w:jc w:val="center"/>
        <w:rPr>
          <w:rFonts w:ascii="宋体" w:hAnsi="Calibri" w:eastAsia="宋体" w:cs="Times New Roman"/>
          <w:color w:val="000000"/>
          <w:sz w:val="30"/>
          <w:szCs w:val="30"/>
        </w:rPr>
      </w:pPr>
      <w:bookmarkStart w:id="0" w:name="OLE_LINK30"/>
      <w:bookmarkStart w:id="1" w:name="OLE_LINK31"/>
    </w:p>
    <w:p w14:paraId="65EF87EF">
      <w:pPr>
        <w:spacing w:line="276" w:lineRule="auto"/>
        <w:jc w:val="center"/>
        <w:rPr>
          <w:rFonts w:ascii="Calibri" w:hAnsi="Calibri" w:eastAsia="宋体" w:cs="Times New Roman"/>
          <w:b/>
          <w:bCs/>
          <w:color w:val="000000"/>
          <w:spacing w:val="-8"/>
          <w:sz w:val="48"/>
          <w:szCs w:val="44"/>
        </w:rPr>
      </w:pPr>
      <w:r>
        <w:rPr>
          <w:rFonts w:hint="eastAsia" w:ascii="宋体" w:hAnsi="宋体" w:eastAsia="宋体"/>
          <w:b/>
          <w:sz w:val="44"/>
          <w:szCs w:val="44"/>
        </w:rPr>
        <w:t>济南商用车制造公司双悬臂测量机电脑及软件升级项目</w:t>
      </w:r>
    </w:p>
    <w:p w14:paraId="0C8CDCC4">
      <w:pPr>
        <w:jc w:val="right"/>
        <w:rPr>
          <w:rFonts w:ascii="Calibri" w:hAnsi="Calibri" w:eastAsia="宋体" w:cs="Times New Roman"/>
          <w:color w:val="000000"/>
          <w:sz w:val="28"/>
          <w:szCs w:val="28"/>
        </w:rPr>
      </w:pPr>
      <w:r>
        <w:rPr>
          <w:rFonts w:hint="eastAsia" w:ascii="Calibri" w:hAnsi="Calibri" w:eastAsia="宋体" w:cs="Times New Roman"/>
          <w:color w:val="000000"/>
          <w:sz w:val="28"/>
          <w:szCs w:val="28"/>
        </w:rPr>
        <w:t xml:space="preserve">                                     </w:t>
      </w:r>
    </w:p>
    <w:p w14:paraId="441B8EF4">
      <w:pPr>
        <w:pStyle w:val="17"/>
      </w:pPr>
    </w:p>
    <w:p w14:paraId="00EFFA45">
      <w:pPr>
        <w:pStyle w:val="17"/>
        <w:tabs>
          <w:tab w:val="left" w:pos="6073"/>
        </w:tabs>
      </w:pPr>
      <w:r>
        <w:rPr>
          <w:rFonts w:hint="eastAsia"/>
        </w:rPr>
        <w:tab/>
      </w:r>
    </w:p>
    <w:p w14:paraId="6CCF0611">
      <w:pPr>
        <w:pStyle w:val="17"/>
      </w:pPr>
    </w:p>
    <w:p w14:paraId="508DABDB">
      <w:pPr>
        <w:jc w:val="right"/>
        <w:rPr>
          <w:rFonts w:ascii="Calibri" w:hAnsi="Calibri" w:eastAsia="宋体" w:cs="Times New Roman"/>
          <w:color w:val="000000"/>
          <w:sz w:val="28"/>
          <w:szCs w:val="28"/>
        </w:rPr>
      </w:pPr>
    </w:p>
    <w:p w14:paraId="4E88B290">
      <w:pPr>
        <w:jc w:val="center"/>
        <w:rPr>
          <w:rFonts w:hint="eastAsia" w:ascii="黑体" w:hAnsi="宋体" w:eastAsia="黑体" w:cs="Times New Roman"/>
          <w:color w:val="000000"/>
          <w:sz w:val="72"/>
          <w:szCs w:val="72"/>
        </w:rPr>
      </w:pPr>
      <w:r>
        <w:rPr>
          <w:rFonts w:hint="eastAsia" w:ascii="黑体" w:hAnsi="宋体" w:eastAsia="黑体" w:cs="Times New Roman"/>
          <w:color w:val="000000"/>
          <w:sz w:val="72"/>
          <w:szCs w:val="72"/>
        </w:rPr>
        <w:t>招</w:t>
      </w:r>
    </w:p>
    <w:p w14:paraId="18A71909">
      <w:pPr>
        <w:jc w:val="center"/>
        <w:rPr>
          <w:rFonts w:hint="eastAsia" w:ascii="黑体" w:hAnsi="宋体" w:eastAsia="黑体" w:cs="Times New Roman"/>
          <w:color w:val="000000"/>
          <w:sz w:val="72"/>
          <w:szCs w:val="72"/>
        </w:rPr>
      </w:pPr>
    </w:p>
    <w:p w14:paraId="69EF1C31">
      <w:pPr>
        <w:jc w:val="center"/>
        <w:rPr>
          <w:rFonts w:hint="eastAsia" w:ascii="黑体" w:hAnsi="宋体" w:eastAsia="黑体" w:cs="Times New Roman"/>
          <w:color w:val="000000"/>
          <w:sz w:val="72"/>
          <w:szCs w:val="72"/>
        </w:rPr>
      </w:pPr>
      <w:r>
        <w:rPr>
          <w:rFonts w:hint="eastAsia" w:ascii="黑体" w:hAnsi="宋体" w:eastAsia="黑体" w:cs="Times New Roman"/>
          <w:color w:val="000000"/>
          <w:sz w:val="72"/>
          <w:szCs w:val="72"/>
        </w:rPr>
        <w:t>标</w:t>
      </w:r>
    </w:p>
    <w:p w14:paraId="48D51E8F">
      <w:pPr>
        <w:jc w:val="center"/>
        <w:rPr>
          <w:rFonts w:hint="eastAsia" w:ascii="黑体" w:hAnsi="宋体" w:eastAsia="黑体" w:cs="Times New Roman"/>
          <w:color w:val="000000"/>
          <w:sz w:val="72"/>
          <w:szCs w:val="72"/>
        </w:rPr>
      </w:pPr>
    </w:p>
    <w:p w14:paraId="4765B0CA">
      <w:pPr>
        <w:jc w:val="center"/>
        <w:rPr>
          <w:rFonts w:ascii="宋体" w:hAnsi="Calibri" w:eastAsia="宋体" w:cs="Times New Roman"/>
          <w:color w:val="000000"/>
          <w:sz w:val="28"/>
          <w:szCs w:val="28"/>
        </w:rPr>
      </w:pPr>
      <w:r>
        <w:rPr>
          <w:rFonts w:hint="eastAsia" w:ascii="黑体" w:hAnsi="宋体" w:eastAsia="黑体" w:cs="Times New Roman"/>
          <w:color w:val="000000"/>
          <w:sz w:val="72"/>
          <w:szCs w:val="72"/>
        </w:rPr>
        <w:t>书</w:t>
      </w:r>
    </w:p>
    <w:p w14:paraId="5A419A4A">
      <w:pPr>
        <w:spacing w:line="860" w:lineRule="exact"/>
        <w:rPr>
          <w:rFonts w:hint="eastAsia" w:ascii="华文仿宋" w:hAnsi="华文仿宋" w:eastAsia="华文仿宋"/>
          <w:b/>
          <w:bCs/>
          <w:sz w:val="32"/>
          <w:szCs w:val="28"/>
        </w:rPr>
      </w:pPr>
      <w:r>
        <w:rPr>
          <w:rFonts w:hint="eastAsia" w:ascii="华文仿宋" w:hAnsi="华文仿宋" w:eastAsia="华文仿宋"/>
          <w:sz w:val="32"/>
          <w:szCs w:val="28"/>
        </w:rPr>
        <w:t xml:space="preserve">                </w:t>
      </w:r>
      <w:r>
        <w:rPr>
          <w:rFonts w:hint="eastAsia" w:ascii="华文仿宋" w:hAnsi="华文仿宋" w:eastAsia="华文仿宋"/>
          <w:b/>
          <w:bCs/>
          <w:sz w:val="32"/>
          <w:szCs w:val="28"/>
        </w:rPr>
        <w:t xml:space="preserve"> 编制：             </w:t>
      </w:r>
    </w:p>
    <w:p w14:paraId="6461C71C">
      <w:pPr>
        <w:spacing w:line="860" w:lineRule="exact"/>
        <w:rPr>
          <w:rFonts w:hint="eastAsia" w:ascii="华文仿宋" w:hAnsi="华文仿宋" w:eastAsia="华文仿宋"/>
          <w:b/>
          <w:bCs/>
          <w:sz w:val="32"/>
          <w:szCs w:val="28"/>
        </w:rPr>
      </w:pPr>
      <w:r>
        <w:rPr>
          <w:rFonts w:hint="eastAsia" w:ascii="华文仿宋" w:hAnsi="华文仿宋" w:eastAsia="华文仿宋"/>
          <w:b/>
          <w:bCs/>
          <w:sz w:val="32"/>
          <w:szCs w:val="28"/>
        </w:rPr>
        <w:t xml:space="preserve">                 审核：             </w:t>
      </w:r>
    </w:p>
    <w:p w14:paraId="3D8E081F">
      <w:pPr>
        <w:spacing w:line="860" w:lineRule="exact"/>
        <w:rPr>
          <w:rFonts w:hint="eastAsia" w:ascii="华文仿宋" w:hAnsi="华文仿宋" w:eastAsia="华文仿宋"/>
          <w:b/>
          <w:bCs/>
          <w:sz w:val="32"/>
          <w:szCs w:val="28"/>
        </w:rPr>
      </w:pPr>
      <w:r>
        <w:rPr>
          <w:rFonts w:hint="eastAsia" w:ascii="华文仿宋" w:hAnsi="华文仿宋" w:eastAsia="华文仿宋"/>
          <w:b/>
          <w:bCs/>
          <w:sz w:val="32"/>
          <w:szCs w:val="28"/>
        </w:rPr>
        <w:t xml:space="preserve">                 批准：     </w:t>
      </w:r>
    </w:p>
    <w:p w14:paraId="26BAC69A">
      <w:pPr>
        <w:pStyle w:val="17"/>
        <w:rPr>
          <w:b/>
          <w:bCs/>
        </w:rPr>
      </w:pPr>
    </w:p>
    <w:p w14:paraId="3179374C">
      <w:pPr>
        <w:jc w:val="center"/>
        <w:rPr>
          <w:rFonts w:ascii="宋体" w:hAnsi="Calibri" w:eastAsia="宋体" w:cs="Times New Roman"/>
          <w:color w:val="000000"/>
          <w:sz w:val="28"/>
          <w:szCs w:val="28"/>
          <w:highlight w:val="yellow"/>
        </w:rPr>
      </w:pPr>
      <w:r>
        <w:rPr>
          <w:rFonts w:hint="eastAsia" w:ascii="宋体" w:hAnsi="宋体" w:eastAsia="宋体" w:cs="Times New Roman"/>
          <w:color w:val="000000"/>
          <w:sz w:val="28"/>
          <w:szCs w:val="28"/>
        </w:rPr>
        <w:t>招</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标</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人：中国重汽集团济南商用车有限公司</w:t>
      </w:r>
    </w:p>
    <w:p w14:paraId="2B8E0CC4">
      <w:pPr>
        <w:jc w:val="center"/>
        <w:rPr>
          <w:rFonts w:ascii="宋体" w:hAnsi="Calibri" w:eastAsia="宋体" w:cs="Times New Roman"/>
          <w:color w:val="000000"/>
          <w:sz w:val="28"/>
          <w:szCs w:val="28"/>
        </w:rPr>
      </w:pPr>
      <w:r>
        <w:rPr>
          <w:rFonts w:ascii="Calibri" w:hAnsi="Calibri" w:eastAsia="宋体" w:cs="Times New Roman"/>
          <w:color w:val="000000"/>
          <w:sz w:val="28"/>
          <w:szCs w:val="28"/>
        </w:rPr>
        <w:t>202</w:t>
      </w:r>
      <w:r>
        <w:rPr>
          <w:rFonts w:hint="eastAsia" w:ascii="Calibri" w:hAnsi="Calibri" w:eastAsia="宋体" w:cs="Times New Roman"/>
          <w:color w:val="000000"/>
          <w:sz w:val="28"/>
          <w:szCs w:val="28"/>
        </w:rPr>
        <w:t>6</w:t>
      </w:r>
      <w:r>
        <w:rPr>
          <w:rFonts w:hint="eastAsia" w:ascii="宋体" w:hAnsi="宋体" w:eastAsia="宋体" w:cs="Times New Roman"/>
          <w:color w:val="000000"/>
          <w:sz w:val="28"/>
          <w:szCs w:val="28"/>
        </w:rPr>
        <w:t>年</w:t>
      </w:r>
      <w:r>
        <w:rPr>
          <w:rFonts w:ascii="Calibri" w:hAnsi="Calibri" w:eastAsia="宋体" w:cs="Times New Roman"/>
          <w:color w:val="000000"/>
          <w:sz w:val="28"/>
          <w:szCs w:val="28"/>
        </w:rPr>
        <w:t xml:space="preserve"> </w:t>
      </w:r>
      <w:r>
        <w:rPr>
          <w:rFonts w:hint="eastAsia" w:ascii="Calibri" w:hAnsi="Calibri" w:eastAsia="宋体" w:cs="Times New Roman"/>
          <w:color w:val="000000"/>
          <w:sz w:val="28"/>
          <w:szCs w:val="28"/>
          <w:lang w:val="en-US" w:eastAsia="zh-CN"/>
        </w:rPr>
        <w:t>9</w:t>
      </w:r>
      <w:r>
        <w:rPr>
          <w:rFonts w:hint="eastAsia" w:ascii="Calibri" w:hAnsi="Calibri" w:eastAsia="宋体" w:cs="Times New Roman"/>
          <w:color w:val="000000"/>
          <w:sz w:val="28"/>
          <w:szCs w:val="28"/>
        </w:rPr>
        <w:t>月</w:t>
      </w:r>
    </w:p>
    <w:p w14:paraId="3600E429">
      <w:pPr>
        <w:keepNext/>
        <w:keepLines/>
        <w:jc w:val="center"/>
        <w:rPr>
          <w:rFonts w:ascii="Calibri" w:hAnsi="Calibri" w:eastAsia="宋体" w:cs="Times New Roman"/>
          <w:b/>
          <w:bCs/>
          <w:kern w:val="44"/>
          <w:sz w:val="36"/>
          <w:szCs w:val="44"/>
        </w:rPr>
        <w:sectPr>
          <w:footerReference r:id="rId4" w:type="first"/>
          <w:footerReference r:id="rId3" w:type="default"/>
          <w:pgSz w:w="11906" w:h="16838"/>
          <w:pgMar w:top="1588" w:right="1418" w:bottom="1134" w:left="1418" w:header="851" w:footer="992" w:gutter="0"/>
          <w:pgNumType w:fmt="decimal"/>
          <w:cols w:space="720" w:num="1"/>
          <w:titlePg/>
          <w:docGrid w:type="lines" w:linePitch="312" w:charSpace="0"/>
        </w:sectPr>
      </w:pPr>
    </w:p>
    <w:sdt>
      <w:sdtPr>
        <w:rPr>
          <w:rFonts w:ascii="宋体" w:hAnsi="宋体" w:eastAsia="宋体" w:cs="宋体"/>
          <w:b/>
          <w:bCs/>
          <w:sz w:val="48"/>
          <w:szCs w:val="48"/>
        </w:rPr>
        <w:id w:val="147459055"/>
        <w15:color w:val="DBDBDB"/>
        <w:docPartObj>
          <w:docPartGallery w:val="Table of Contents"/>
          <w:docPartUnique/>
        </w:docPartObj>
      </w:sdtPr>
      <w:sdtEndPr>
        <w:rPr>
          <w:rFonts w:hint="eastAsia" w:ascii="Calibri" w:hAnsi="Calibri" w:eastAsia="宋体" w:cs="Times New Roman"/>
          <w:b/>
          <w:bCs/>
          <w:kern w:val="44"/>
          <w:sz w:val="21"/>
          <w:szCs w:val="44"/>
        </w:rPr>
      </w:sdtEndPr>
      <w:sdtContent>
        <w:p w14:paraId="4C6CBCC1">
          <w:pPr>
            <w:spacing w:line="480" w:lineRule="auto"/>
            <w:jc w:val="center"/>
            <w:rPr>
              <w:rFonts w:hint="eastAsia" w:cs="宋体"/>
              <w:b/>
              <w:bCs/>
              <w:sz w:val="48"/>
              <w:szCs w:val="48"/>
            </w:rPr>
          </w:pPr>
          <w:r>
            <w:rPr>
              <w:rFonts w:ascii="宋体" w:hAnsi="宋体" w:eastAsia="宋体" w:cs="宋体"/>
              <w:b/>
              <w:bCs/>
              <w:sz w:val="48"/>
              <w:szCs w:val="48"/>
            </w:rPr>
            <w:t>目录</w:t>
          </w:r>
        </w:p>
        <w:p w14:paraId="610DA9D7">
          <w:pPr>
            <w:pStyle w:val="24"/>
            <w:tabs>
              <w:tab w:val="right" w:leader="dot" w:pos="9071"/>
            </w:tabs>
            <w:spacing w:line="480" w:lineRule="auto"/>
            <w:rPr>
              <w:rFonts w:hint="eastAsia"/>
              <w:color w:val="auto"/>
              <w:sz w:val="32"/>
              <w:szCs w:val="32"/>
            </w:rPr>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"_Toc25915" </w:instrText>
          </w:r>
          <w:r>
            <w:fldChar w:fldCharType="separate"/>
          </w:r>
          <w:r>
            <w:rPr>
              <w:rFonts w:hint="eastAsia" w:ascii="Calibri" w:hAnsi="Calibri"/>
              <w:bCs/>
              <w:color w:val="auto"/>
              <w:kern w:val="44"/>
              <w:sz w:val="32"/>
              <w:szCs w:val="32"/>
            </w:rPr>
            <w:t>第一部分 投标人须知前附表</w:t>
          </w:r>
          <w:r>
            <w:rPr>
              <w:color w:val="auto"/>
              <w:sz w:val="32"/>
              <w:szCs w:val="32"/>
            </w:rPr>
            <w:tab/>
          </w:r>
          <w:r>
            <w:rPr>
              <w:color w:val="auto"/>
              <w:sz w:val="32"/>
              <w:szCs w:val="32"/>
            </w:rPr>
            <w:fldChar w:fldCharType="end"/>
          </w:r>
          <w:r>
            <w:rPr>
              <w:rFonts w:hint="eastAsia"/>
              <w:color w:val="auto"/>
              <w:sz w:val="32"/>
              <w:szCs w:val="32"/>
            </w:rPr>
            <w:t>3</w:t>
          </w:r>
        </w:p>
        <w:p w14:paraId="5ACF66B1">
          <w:pPr>
            <w:pStyle w:val="24"/>
            <w:tabs>
              <w:tab w:val="right" w:leader="dot" w:pos="9071"/>
            </w:tabs>
            <w:spacing w:line="480" w:lineRule="auto"/>
            <w:rPr>
              <w:rFonts w:hint="eastAsia" w:eastAsia="宋体"/>
              <w:color w:val="auto"/>
              <w:sz w:val="32"/>
              <w:szCs w:val="32"/>
              <w:lang w:eastAsia="zh-CN"/>
            </w:rPr>
          </w:pPr>
          <w:r>
            <w:fldChar w:fldCharType="begin"/>
          </w:r>
          <w:r>
            <w:instrText xml:space="preserve"> HYPERLINK \l "_Toc15609" </w:instrText>
          </w:r>
          <w:r>
            <w:fldChar w:fldCharType="separate"/>
          </w:r>
          <w:r>
            <w:rPr>
              <w:rFonts w:hint="eastAsia" w:ascii="Calibri" w:hAnsi="Calibri"/>
              <w:bCs/>
              <w:color w:val="auto"/>
              <w:kern w:val="44"/>
              <w:sz w:val="32"/>
              <w:szCs w:val="32"/>
            </w:rPr>
            <w:t>第二部分 投标人须知</w:t>
          </w:r>
          <w:r>
            <w:rPr>
              <w:color w:val="auto"/>
              <w:sz w:val="32"/>
              <w:szCs w:val="32"/>
            </w:rPr>
            <w:tab/>
          </w:r>
          <w:r>
            <w:rPr>
              <w:color w:val="auto"/>
              <w:sz w:val="32"/>
              <w:szCs w:val="32"/>
            </w:rPr>
            <w:fldChar w:fldCharType="end"/>
          </w:r>
          <w:r>
            <w:rPr>
              <w:rFonts w:hint="eastAsia"/>
              <w:color w:val="auto"/>
              <w:sz w:val="32"/>
              <w:szCs w:val="32"/>
              <w:lang w:val="en-US" w:eastAsia="zh-CN"/>
            </w:rPr>
            <w:t>8</w:t>
          </w:r>
        </w:p>
        <w:p w14:paraId="08D49456">
          <w:pPr>
            <w:pStyle w:val="24"/>
            <w:tabs>
              <w:tab w:val="right" w:leader="dot" w:pos="9071"/>
            </w:tabs>
            <w:spacing w:line="480" w:lineRule="auto"/>
            <w:rPr>
              <w:rFonts w:hint="eastAsia" w:eastAsia="宋体"/>
              <w:color w:val="auto"/>
              <w:sz w:val="32"/>
              <w:szCs w:val="32"/>
              <w:lang w:eastAsia="zh-CN"/>
            </w:rPr>
          </w:pPr>
          <w:r>
            <w:fldChar w:fldCharType="begin"/>
          </w:r>
          <w:r>
            <w:instrText xml:space="preserve"> HYPERLINK \l "_Toc22879" </w:instrText>
          </w:r>
          <w:r>
            <w:fldChar w:fldCharType="separate"/>
          </w:r>
          <w:r>
            <w:rPr>
              <w:rFonts w:hint="eastAsia" w:ascii="Calibri" w:hAnsi="Calibri"/>
              <w:bCs/>
              <w:color w:val="auto"/>
              <w:kern w:val="44"/>
              <w:sz w:val="32"/>
              <w:szCs w:val="32"/>
            </w:rPr>
            <w:t>第三部分 投标文件编制</w:t>
          </w:r>
          <w:r>
            <w:rPr>
              <w:color w:val="auto"/>
              <w:sz w:val="32"/>
              <w:szCs w:val="32"/>
            </w:rPr>
            <w:tab/>
          </w:r>
          <w:r>
            <w:rPr>
              <w:color w:val="auto"/>
              <w:sz w:val="32"/>
              <w:szCs w:val="32"/>
            </w:rPr>
            <w:fldChar w:fldCharType="end"/>
          </w:r>
          <w:r>
            <w:rPr>
              <w:rFonts w:hint="eastAsia"/>
              <w:color w:val="auto"/>
              <w:sz w:val="32"/>
              <w:szCs w:val="32"/>
            </w:rPr>
            <w:t>1</w:t>
          </w:r>
          <w:r>
            <w:rPr>
              <w:rFonts w:hint="eastAsia"/>
              <w:color w:val="auto"/>
              <w:sz w:val="32"/>
              <w:szCs w:val="32"/>
              <w:lang w:val="en-US" w:eastAsia="zh-CN"/>
            </w:rPr>
            <w:t>4</w:t>
          </w:r>
        </w:p>
        <w:p w14:paraId="5E7FFC53">
          <w:pPr>
            <w:pStyle w:val="24"/>
            <w:tabs>
              <w:tab w:val="right" w:leader="dot" w:pos="9071"/>
            </w:tabs>
            <w:spacing w:line="480" w:lineRule="auto"/>
            <w:rPr>
              <w:rFonts w:hint="eastAsia"/>
              <w:color w:val="auto"/>
              <w:sz w:val="32"/>
              <w:szCs w:val="32"/>
            </w:rPr>
          </w:pPr>
          <w:r>
            <w:fldChar w:fldCharType="begin"/>
          </w:r>
          <w:r>
            <w:instrText xml:space="preserve"> HYPERLINK \l "_Toc9849" </w:instrText>
          </w:r>
          <w:r>
            <w:fldChar w:fldCharType="separate"/>
          </w:r>
          <w:r>
            <w:rPr>
              <w:rFonts w:hint="eastAsia" w:ascii="Calibri" w:hAnsi="Calibri"/>
              <w:bCs/>
              <w:color w:val="auto"/>
              <w:kern w:val="44"/>
              <w:sz w:val="32"/>
              <w:szCs w:val="32"/>
            </w:rPr>
            <w:t>第四部分 技术标书</w:t>
          </w:r>
          <w:r>
            <w:rPr>
              <w:rFonts w:hint="eastAsia" w:ascii="Calibri"/>
              <w:bCs/>
              <w:color w:val="auto"/>
              <w:spacing w:val="-8"/>
              <w:sz w:val="32"/>
              <w:szCs w:val="32"/>
            </w:rPr>
            <w:t xml:space="preserve"> </w:t>
          </w:r>
          <w:r>
            <w:rPr>
              <w:color w:val="auto"/>
              <w:sz w:val="32"/>
              <w:szCs w:val="32"/>
            </w:rPr>
            <w:tab/>
          </w:r>
          <w:r>
            <w:rPr>
              <w:color w:val="auto"/>
              <w:sz w:val="32"/>
              <w:szCs w:val="32"/>
            </w:rPr>
            <w:fldChar w:fldCharType="end"/>
          </w:r>
          <w:r>
            <w:rPr>
              <w:rFonts w:hint="eastAsia"/>
              <w:color w:val="auto"/>
              <w:sz w:val="32"/>
              <w:szCs w:val="32"/>
            </w:rPr>
            <w:t>16</w:t>
          </w:r>
        </w:p>
        <w:p w14:paraId="287B5672">
          <w:pPr>
            <w:pStyle w:val="24"/>
            <w:tabs>
              <w:tab w:val="right" w:leader="dot" w:pos="9071"/>
            </w:tabs>
            <w:spacing w:line="480" w:lineRule="auto"/>
            <w:rPr>
              <w:rFonts w:hint="default" w:eastAsia="宋体"/>
              <w:color w:val="auto"/>
              <w:sz w:val="32"/>
              <w:szCs w:val="32"/>
              <w:lang w:val="en-US" w:eastAsia="zh-CN"/>
            </w:rPr>
          </w:pPr>
          <w:r>
            <w:fldChar w:fldCharType="begin"/>
          </w:r>
          <w:r>
            <w:instrText xml:space="preserve"> HYPERLINK \l "_Toc28859" </w:instrText>
          </w:r>
          <w:r>
            <w:fldChar w:fldCharType="separate"/>
          </w:r>
          <w:r>
            <w:rPr>
              <w:rFonts w:hint="eastAsia"/>
              <w:color w:val="auto"/>
              <w:sz w:val="32"/>
              <w:szCs w:val="32"/>
            </w:rPr>
            <w:t>第五部分</w:t>
          </w:r>
          <w:r>
            <w:rPr>
              <w:color w:val="auto"/>
              <w:sz w:val="32"/>
              <w:szCs w:val="32"/>
            </w:rPr>
            <w:t xml:space="preserve"> </w:t>
          </w:r>
          <w:r>
            <w:rPr>
              <w:rFonts w:hint="eastAsia"/>
              <w:color w:val="auto"/>
              <w:sz w:val="32"/>
              <w:szCs w:val="32"/>
            </w:rPr>
            <w:t>设备采购合同</w:t>
          </w:r>
          <w:r>
            <w:rPr>
              <w:color w:val="auto"/>
              <w:sz w:val="32"/>
              <w:szCs w:val="32"/>
            </w:rPr>
            <w:tab/>
          </w:r>
          <w:r>
            <w:rPr>
              <w:color w:val="auto"/>
              <w:sz w:val="32"/>
              <w:szCs w:val="32"/>
            </w:rPr>
            <w:fldChar w:fldCharType="end"/>
          </w:r>
          <w:r>
            <w:rPr>
              <w:rFonts w:hint="eastAsia"/>
              <w:color w:val="auto"/>
              <w:sz w:val="32"/>
              <w:szCs w:val="32"/>
              <w:lang w:val="en-US" w:eastAsia="zh-CN"/>
            </w:rPr>
            <w:t>40</w:t>
          </w:r>
        </w:p>
        <w:p w14:paraId="3654954B">
          <w:pPr>
            <w:pStyle w:val="24"/>
            <w:tabs>
              <w:tab w:val="right" w:leader="dot" w:pos="9071"/>
            </w:tabs>
            <w:spacing w:line="480" w:lineRule="auto"/>
            <w:rPr>
              <w:rFonts w:hint="eastAsia" w:eastAsia="宋体"/>
              <w:lang w:eastAsia="zh-CN"/>
            </w:rPr>
          </w:pPr>
          <w:r>
            <w:fldChar w:fldCharType="begin"/>
          </w:r>
          <w:r>
            <w:instrText xml:space="preserve"> HYPERLINK \l "_Toc29691" </w:instrText>
          </w:r>
          <w:r>
            <w:fldChar w:fldCharType="separate"/>
          </w:r>
          <w:r>
            <w:rPr>
              <w:rFonts w:hint="eastAsia" w:ascii="Calibri" w:hAnsi="Calibri"/>
              <w:bCs/>
              <w:color w:val="auto"/>
              <w:kern w:val="44"/>
              <w:sz w:val="32"/>
              <w:szCs w:val="32"/>
            </w:rPr>
            <w:t>第六部分</w:t>
          </w:r>
          <w:r>
            <w:rPr>
              <w:rFonts w:ascii="Calibri" w:hAnsi="Calibri"/>
              <w:bCs/>
              <w:color w:val="auto"/>
              <w:kern w:val="44"/>
              <w:sz w:val="32"/>
              <w:szCs w:val="32"/>
            </w:rPr>
            <w:t xml:space="preserve"> </w:t>
          </w:r>
          <w:r>
            <w:rPr>
              <w:rFonts w:hint="eastAsia" w:ascii="Calibri" w:hAnsi="Calibri"/>
              <w:bCs/>
              <w:color w:val="auto"/>
              <w:kern w:val="44"/>
              <w:sz w:val="32"/>
              <w:szCs w:val="32"/>
            </w:rPr>
            <w:t>投标文件附件</w:t>
          </w:r>
          <w:r>
            <w:rPr>
              <w:color w:val="auto"/>
              <w:sz w:val="32"/>
              <w:szCs w:val="32"/>
            </w:rPr>
            <w:tab/>
          </w:r>
          <w:r>
            <w:rPr>
              <w:color w:val="auto"/>
              <w:sz w:val="32"/>
              <w:szCs w:val="32"/>
            </w:rPr>
            <w:fldChar w:fldCharType="end"/>
          </w:r>
          <w:r>
            <w:rPr>
              <w:rFonts w:hint="eastAsia"/>
              <w:color w:val="auto"/>
              <w:sz w:val="32"/>
              <w:szCs w:val="32"/>
            </w:rPr>
            <w:t>5</w:t>
          </w:r>
          <w:r>
            <w:rPr>
              <w:rFonts w:hint="eastAsia"/>
              <w:color w:val="auto"/>
              <w:sz w:val="32"/>
              <w:szCs w:val="32"/>
              <w:lang w:val="en-US" w:eastAsia="zh-CN"/>
            </w:rPr>
            <w:t>3</w:t>
          </w:r>
        </w:p>
        <w:p w14:paraId="48A15C46">
          <w:pPr>
            <w:pStyle w:val="17"/>
            <w:spacing w:line="480" w:lineRule="auto"/>
            <w:jc w:val="center"/>
            <w:rPr>
              <w:rFonts w:ascii="Calibri" w:hAnsi="Calibri" w:eastAsia="宋体" w:cs="Times New Roman"/>
              <w:b/>
              <w:bCs/>
              <w:kern w:val="44"/>
              <w:sz w:val="36"/>
              <w:szCs w:val="44"/>
            </w:rPr>
            <w:sectPr>
              <w:headerReference r:id="rId5" w:type="default"/>
              <w:footerReference r:id="rId6" w:type="default"/>
              <w:pgSz w:w="11907" w:h="16840"/>
              <w:pgMar w:top="1304" w:right="1418" w:bottom="1304" w:left="1418" w:header="724" w:footer="851" w:gutter="0"/>
              <w:pgNumType w:fmt="decimal"/>
              <w:cols w:space="720" w:num="1"/>
              <w:docGrid w:linePitch="290" w:charSpace="-3931"/>
            </w:sectPr>
          </w:pPr>
          <w:r>
            <w:rPr>
              <w:rFonts w:hint="eastAsia" w:ascii="Calibri" w:hAnsi="Calibri" w:eastAsia="宋体" w:cs="Times New Roman"/>
              <w:bCs/>
              <w:kern w:val="44"/>
              <w:szCs w:val="44"/>
            </w:rPr>
            <w:fldChar w:fldCharType="end"/>
          </w:r>
        </w:p>
      </w:sdtContent>
    </w:sdt>
    <w:p w14:paraId="6A5E4518">
      <w:pPr>
        <w:pStyle w:val="17"/>
        <w:numPr>
          <w:ilvl w:val="0"/>
          <w:numId w:val="1"/>
        </w:numPr>
        <w:jc w:val="center"/>
        <w:outlineLvl w:val="0"/>
        <w:rPr>
          <w:rFonts w:ascii="Calibri" w:hAnsi="Calibri" w:eastAsia="宋体" w:cs="Times New Roman"/>
          <w:b/>
          <w:bCs/>
          <w:kern w:val="44"/>
          <w:sz w:val="36"/>
          <w:szCs w:val="44"/>
        </w:rPr>
      </w:pPr>
      <w:bookmarkStart w:id="2" w:name="_Toc25915"/>
      <w:r>
        <w:rPr>
          <w:rFonts w:hint="eastAsia" w:ascii="Calibri" w:hAnsi="Calibri" w:eastAsia="宋体" w:cs="Times New Roman"/>
          <w:b/>
          <w:bCs/>
          <w:kern w:val="44"/>
          <w:sz w:val="36"/>
          <w:szCs w:val="44"/>
        </w:rPr>
        <w:t xml:space="preserve"> 投标须知前附表</w:t>
      </w:r>
      <w:bookmarkEnd w:id="2"/>
    </w:p>
    <w:p w14:paraId="36643651">
      <w:pPr>
        <w:pStyle w:val="17"/>
        <w:jc w:val="center"/>
        <w:rPr>
          <w:rFonts w:ascii="Calibri" w:hAnsi="Calibri" w:eastAsia="宋体" w:cs="Times New Roman"/>
          <w:b/>
          <w:bCs/>
          <w:kern w:val="44"/>
          <w:sz w:val="36"/>
          <w:szCs w:val="44"/>
        </w:rPr>
      </w:pPr>
    </w:p>
    <w:p w14:paraId="5D3EABE7">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本部分是对“投标须知”正文的具体补充和修改，如有不一致，以“前附表”为准。</w:t>
      </w:r>
    </w:p>
    <w:tbl>
      <w:tblPr>
        <w:tblStyle w:val="37"/>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4D366C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60EFAE87">
            <w:pPr>
              <w:jc w:val="center"/>
              <w:rPr>
                <w:rStyle w:val="130"/>
                <w:rFonts w:hint="eastAsia" w:ascii="宋体" w:hAnsi="宋体" w:eastAsia="宋体" w:cs="宋体"/>
                <w:b/>
                <w:sz w:val="28"/>
                <w:szCs w:val="28"/>
              </w:rPr>
            </w:pPr>
            <w:bookmarkStart w:id="3" w:name="_Toc346372875"/>
            <w:r>
              <w:rPr>
                <w:rStyle w:val="130"/>
                <w:rFonts w:hint="eastAsia" w:ascii="宋体" w:hAnsi="宋体" w:eastAsia="宋体" w:cs="宋体"/>
                <w:b/>
                <w:sz w:val="28"/>
                <w:szCs w:val="28"/>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6E15B123">
            <w:pPr>
              <w:ind w:firstLine="562" w:firstLineChars="200"/>
              <w:jc w:val="center"/>
              <w:rPr>
                <w:rFonts w:hint="eastAsia" w:ascii="宋体" w:hAnsi="宋体" w:eastAsia="宋体" w:cs="宋体"/>
                <w:b/>
                <w:bCs/>
                <w:sz w:val="28"/>
                <w:szCs w:val="28"/>
              </w:rPr>
            </w:pPr>
            <w:r>
              <w:rPr>
                <w:rStyle w:val="130"/>
                <w:rFonts w:hint="eastAsia" w:ascii="宋体" w:hAnsi="宋体" w:eastAsia="宋体" w:cs="宋体"/>
                <w:b/>
                <w:sz w:val="28"/>
                <w:szCs w:val="28"/>
              </w:rPr>
              <w:t>编  列  内  容</w:t>
            </w:r>
          </w:p>
        </w:tc>
      </w:tr>
      <w:tr w14:paraId="7C36BD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11A5FD36">
            <w:pPr>
              <w:jc w:val="center"/>
              <w:rPr>
                <w:rFonts w:hint="eastAsia" w:ascii="宋体" w:hAnsi="宋体" w:eastAsia="宋体" w:cs="宋体"/>
                <w:b/>
                <w:bCs/>
                <w:sz w:val="24"/>
                <w:szCs w:val="24"/>
              </w:rPr>
            </w:pPr>
            <w:r>
              <w:rPr>
                <w:rFonts w:hint="eastAsia" w:ascii="宋体" w:hAnsi="宋体" w:eastAsia="宋体" w:cs="宋体"/>
                <w:b/>
                <w:bCs/>
                <w:sz w:val="24"/>
                <w:szCs w:val="24"/>
              </w:rPr>
              <w:t>1.项目说明</w:t>
            </w:r>
          </w:p>
        </w:tc>
      </w:tr>
      <w:tr w14:paraId="420A93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68038897">
            <w:pPr>
              <w:jc w:val="center"/>
              <w:rPr>
                <w:rFonts w:hint="eastAsia" w:ascii="宋体" w:hAnsi="宋体" w:eastAsia="宋体" w:cs="宋体"/>
                <w:sz w:val="24"/>
                <w:szCs w:val="24"/>
              </w:rPr>
            </w:pPr>
            <w:r>
              <w:rPr>
                <w:rFonts w:hint="eastAsia" w:ascii="宋体" w:hAnsi="宋体" w:eastAsia="宋体" w:cs="宋体"/>
                <w:sz w:val="24"/>
                <w:szCs w:val="24"/>
              </w:rPr>
              <w:t>1.1</w:t>
            </w:r>
          </w:p>
        </w:tc>
        <w:tc>
          <w:tcPr>
            <w:tcW w:w="8363" w:type="dxa"/>
            <w:tcBorders>
              <w:top w:val="single" w:color="auto" w:sz="2" w:space="0"/>
              <w:left w:val="single" w:color="auto" w:sz="2" w:space="0"/>
              <w:bottom w:val="single" w:color="auto" w:sz="2" w:space="0"/>
              <w:right w:val="single" w:color="auto" w:sz="2" w:space="0"/>
            </w:tcBorders>
            <w:vAlign w:val="center"/>
          </w:tcPr>
          <w:p w14:paraId="33ED9B97">
            <w:pPr>
              <w:ind w:left="1684" w:leftChars="228" w:hanging="1205" w:hangingChars="500"/>
              <w:rPr>
                <w:rFonts w:hint="eastAsia" w:ascii="宋体" w:hAnsi="宋体" w:eastAsia="宋体" w:cs="宋体"/>
                <w:sz w:val="24"/>
                <w:szCs w:val="24"/>
              </w:rPr>
            </w:pPr>
            <w:r>
              <w:rPr>
                <w:rFonts w:hint="eastAsia" w:ascii="宋体" w:hAnsi="宋体" w:eastAsia="宋体" w:cs="宋体"/>
                <w:b/>
                <w:bCs/>
                <w:sz w:val="24"/>
                <w:szCs w:val="24"/>
              </w:rPr>
              <w:t>项目名称：</w:t>
            </w:r>
            <w:r>
              <w:rPr>
                <w:rFonts w:hint="eastAsia" w:ascii="宋体" w:hAnsi="宋体" w:eastAsia="宋体" w:cs="宋体"/>
                <w:sz w:val="24"/>
                <w:szCs w:val="24"/>
                <w:u w:val="single"/>
              </w:rPr>
              <w:t>济南商用车制造公司</w:t>
            </w:r>
            <w:r>
              <w:rPr>
                <w:rFonts w:hint="eastAsia" w:ascii="宋体" w:hAnsi="宋体" w:eastAsia="宋体" w:cs="Times New Roman"/>
                <w:color w:val="000000"/>
                <w:sz w:val="24"/>
                <w:szCs w:val="24"/>
                <w:u w:val="single"/>
              </w:rPr>
              <w:t>双悬臂测量机电脑及软件升级</w:t>
            </w:r>
            <w:r>
              <w:rPr>
                <w:rFonts w:hint="eastAsia" w:ascii="宋体" w:hAnsi="宋体" w:eastAsia="宋体" w:cs="Times New Roman"/>
                <w:color w:val="000000"/>
                <w:sz w:val="24"/>
                <w:szCs w:val="24"/>
                <w:u w:val="single"/>
                <w:lang w:val="en-US" w:eastAsia="zh-CN"/>
              </w:rPr>
              <w:t>项目</w:t>
            </w:r>
          </w:p>
        </w:tc>
      </w:tr>
      <w:tr w14:paraId="76A05A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627E211E">
            <w:pPr>
              <w:ind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60EC2A43">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采购形式编号：</w:t>
            </w:r>
            <w:r>
              <w:rPr>
                <w:rFonts w:hint="eastAsia"/>
              </w:rPr>
              <w:t xml:space="preserve"> </w:t>
            </w:r>
            <w:r>
              <w:rPr>
                <w:rFonts w:hint="eastAsia" w:ascii="Helvetica" w:hAnsi="Helvetica" w:eastAsia="Helvetica" w:cs="Helvetica"/>
                <w:i w:val="0"/>
                <w:iCs w:val="0"/>
                <w:caps w:val="0"/>
                <w:color w:val="FF0000"/>
                <w:spacing w:val="0"/>
                <w:sz w:val="18"/>
                <w:szCs w:val="18"/>
                <w:u w:val="single"/>
                <w:shd w:val="clear" w:fill="FFFFFF"/>
              </w:rPr>
              <w:t>ZBGL2026090151</w:t>
            </w:r>
          </w:p>
        </w:tc>
      </w:tr>
      <w:tr w14:paraId="28477D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vMerge w:val="restart"/>
            <w:tcBorders>
              <w:top w:val="single" w:color="auto" w:sz="2" w:space="0"/>
              <w:left w:val="single" w:color="auto" w:sz="2" w:space="0"/>
              <w:right w:val="single" w:color="auto" w:sz="2" w:space="0"/>
            </w:tcBorders>
            <w:vAlign w:val="center"/>
          </w:tcPr>
          <w:p w14:paraId="631EDB85">
            <w:pPr>
              <w:jc w:val="center"/>
              <w:rPr>
                <w:rFonts w:hint="eastAsia" w:ascii="宋体" w:hAnsi="宋体" w:eastAsia="宋体" w:cs="宋体"/>
                <w:sz w:val="24"/>
                <w:szCs w:val="24"/>
              </w:rPr>
            </w:pPr>
            <w:r>
              <w:rPr>
                <w:rFonts w:hint="eastAsia" w:ascii="宋体" w:hAnsi="宋体" w:eastAsia="宋体" w:cs="宋体"/>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687C5EFE">
            <w:pPr>
              <w:ind w:left="1684" w:leftChars="228" w:hanging="1205" w:hangingChars="500"/>
              <w:rPr>
                <w:rFonts w:hint="eastAsia" w:ascii="宋体" w:hAnsi="宋体" w:eastAsia="宋体" w:cs="宋体"/>
                <w:sz w:val="24"/>
                <w:szCs w:val="24"/>
                <w:lang w:val="en-US" w:eastAsia="zh-CN"/>
              </w:rPr>
            </w:pPr>
            <w:r>
              <w:rPr>
                <w:rFonts w:hint="eastAsia" w:ascii="宋体" w:hAnsi="宋体" w:eastAsia="宋体" w:cs="宋体"/>
                <w:b/>
                <w:bCs/>
                <w:sz w:val="24"/>
                <w:szCs w:val="24"/>
              </w:rPr>
              <w:t>招标内容：</w:t>
            </w:r>
            <w:r>
              <w:rPr>
                <w:rFonts w:hint="eastAsia" w:ascii="宋体" w:hAnsi="宋体" w:eastAsia="宋体" w:cs="Times New Roman"/>
                <w:color w:val="000000"/>
                <w:sz w:val="24"/>
                <w:szCs w:val="24"/>
              </w:rPr>
              <w:t>济南商用车制造公司双悬臂测量机电脑及软件升级</w:t>
            </w:r>
          </w:p>
        </w:tc>
      </w:tr>
      <w:tr w14:paraId="2EEB47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7E744B02">
            <w:pPr>
              <w:ind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238B7CE0">
            <w:pPr>
              <w:ind w:firstLine="482" w:firstLineChars="200"/>
              <w:rPr>
                <w:rFonts w:hint="default" w:ascii="宋体" w:hAnsi="宋体" w:eastAsia="宋体" w:cs="宋体"/>
                <w:b/>
                <w:bCs/>
                <w:sz w:val="24"/>
                <w:szCs w:val="24"/>
                <w:lang w:val="en-US" w:eastAsia="zh-CN"/>
              </w:rPr>
            </w:pPr>
            <w:r>
              <w:rPr>
                <w:rFonts w:hint="eastAsia" w:ascii="宋体" w:hAnsi="宋体" w:eastAsia="宋体" w:cs="宋体"/>
                <w:b/>
                <w:bCs/>
                <w:sz w:val="24"/>
                <w:szCs w:val="24"/>
              </w:rPr>
              <w:t>招标形式：</w:t>
            </w:r>
            <w:r>
              <w:rPr>
                <w:rFonts w:hint="eastAsia" w:ascii="宋体" w:hAnsi="宋体" w:eastAsia="宋体" w:cs="宋体"/>
                <w:b w:val="0"/>
                <w:bCs w:val="0"/>
                <w:sz w:val="24"/>
                <w:szCs w:val="24"/>
                <w:lang w:val="en-US" w:eastAsia="zh-CN"/>
              </w:rPr>
              <w:t>公开招标</w:t>
            </w:r>
          </w:p>
        </w:tc>
      </w:tr>
      <w:tr w14:paraId="34A572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501" w:hRule="atLeast"/>
        </w:trPr>
        <w:tc>
          <w:tcPr>
            <w:tcW w:w="595" w:type="dxa"/>
            <w:tcBorders>
              <w:top w:val="single" w:color="auto" w:sz="2" w:space="0"/>
              <w:left w:val="single" w:color="auto" w:sz="2" w:space="0"/>
              <w:bottom w:val="single" w:color="auto" w:sz="2" w:space="0"/>
              <w:right w:val="single" w:color="auto" w:sz="2" w:space="0"/>
            </w:tcBorders>
            <w:vAlign w:val="center"/>
          </w:tcPr>
          <w:p w14:paraId="2E8E6793">
            <w:pPr>
              <w:jc w:val="center"/>
              <w:rPr>
                <w:rFonts w:hint="eastAsia" w:ascii="宋体" w:hAnsi="宋体" w:eastAsia="宋体" w:cs="宋体"/>
                <w:sz w:val="24"/>
                <w:szCs w:val="24"/>
              </w:rPr>
            </w:pPr>
            <w:r>
              <w:rPr>
                <w:rFonts w:hint="eastAsia" w:ascii="宋体" w:hAnsi="宋体" w:eastAsia="宋体" w:cs="宋体"/>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2CE58905">
            <w:pPr>
              <w:ind w:firstLine="482" w:firstLineChars="200"/>
              <w:rPr>
                <w:rFonts w:hint="eastAsia" w:ascii="宋体" w:hAnsi="宋体" w:eastAsia="宋体" w:cs="宋体"/>
                <w:bCs/>
                <w:snapToGrid w:val="0"/>
                <w:kern w:val="0"/>
                <w:sz w:val="24"/>
                <w:szCs w:val="24"/>
                <w:highlight w:val="yellow"/>
              </w:rPr>
            </w:pPr>
            <w:r>
              <w:rPr>
                <w:rFonts w:hint="eastAsia" w:ascii="宋体" w:hAnsi="宋体" w:eastAsia="宋体" w:cs="宋体"/>
                <w:b/>
                <w:snapToGrid w:val="0"/>
                <w:kern w:val="0"/>
                <w:sz w:val="24"/>
                <w:szCs w:val="24"/>
                <w:highlight w:val="yellow"/>
              </w:rPr>
              <w:t>招标人名称：</w:t>
            </w:r>
            <w:r>
              <w:rPr>
                <w:rFonts w:hint="eastAsia" w:ascii="宋体" w:hAnsi="宋体" w:eastAsia="宋体" w:cs="宋体"/>
                <w:sz w:val="24"/>
                <w:szCs w:val="24"/>
                <w:highlight w:val="yellow"/>
                <w:u w:val="single"/>
              </w:rPr>
              <w:t>中国重汽集团济南商用车有限公司</w:t>
            </w:r>
            <w:r>
              <w:rPr>
                <w:rFonts w:hint="eastAsia" w:ascii="宋体" w:hAnsi="宋体" w:eastAsia="宋体" w:cs="宋体"/>
                <w:bCs/>
                <w:snapToGrid w:val="0"/>
                <w:kern w:val="0"/>
                <w:sz w:val="24"/>
                <w:szCs w:val="24"/>
                <w:highlight w:val="yellow"/>
              </w:rPr>
              <w:t xml:space="preserve"> </w:t>
            </w:r>
          </w:p>
          <w:p w14:paraId="184DF44E">
            <w:pPr>
              <w:ind w:firstLine="482" w:firstLineChars="200"/>
              <w:rPr>
                <w:rFonts w:hint="eastAsia" w:ascii="宋体" w:hAnsi="宋体" w:eastAsia="宋体" w:cs="宋体"/>
                <w:sz w:val="24"/>
                <w:szCs w:val="24"/>
                <w:highlight w:val="yellow"/>
                <w:u w:val="single"/>
              </w:rPr>
            </w:pPr>
            <w:r>
              <w:rPr>
                <w:rFonts w:hint="eastAsia" w:ascii="宋体" w:hAnsi="宋体" w:eastAsia="宋体" w:cs="宋体"/>
                <w:b/>
                <w:snapToGrid w:val="0"/>
                <w:kern w:val="0"/>
                <w:sz w:val="24"/>
                <w:szCs w:val="24"/>
                <w:highlight w:val="yellow"/>
              </w:rPr>
              <w:t>招标人地址：</w:t>
            </w:r>
            <w:r>
              <w:rPr>
                <w:rFonts w:hint="eastAsia" w:ascii="宋体" w:hAnsi="宋体" w:eastAsia="宋体" w:cs="宋体"/>
                <w:sz w:val="24"/>
                <w:szCs w:val="24"/>
                <w:highlight w:val="yellow"/>
                <w:u w:val="single"/>
              </w:rPr>
              <w:t xml:space="preserve">济南市章丘区圣井街道重汽工业园5号门 </w:t>
            </w:r>
          </w:p>
          <w:p w14:paraId="15CDB140">
            <w:pPr>
              <w:ind w:firstLine="482" w:firstLineChars="200"/>
              <w:rPr>
                <w:rFonts w:hint="eastAsia" w:ascii="宋体" w:hAnsi="宋体" w:eastAsia="宋体" w:cs="宋体"/>
                <w:bCs/>
                <w:snapToGrid w:val="0"/>
                <w:kern w:val="0"/>
                <w:sz w:val="24"/>
                <w:szCs w:val="24"/>
                <w:highlight w:val="yellow"/>
                <w:lang w:eastAsia="zh-CN"/>
              </w:rPr>
            </w:pPr>
            <w:r>
              <w:rPr>
                <w:rFonts w:hint="eastAsia" w:ascii="宋体" w:hAnsi="宋体" w:eastAsia="宋体" w:cs="宋体"/>
                <w:b/>
                <w:snapToGrid w:val="0"/>
                <w:kern w:val="0"/>
                <w:sz w:val="24"/>
                <w:szCs w:val="24"/>
                <w:highlight w:val="yellow"/>
              </w:rPr>
              <w:t>商务联系人：</w:t>
            </w:r>
            <w:r>
              <w:rPr>
                <w:rFonts w:hint="eastAsia" w:ascii="宋体" w:hAnsi="宋体" w:eastAsia="宋体" w:cs="宋体"/>
                <w:bCs/>
                <w:snapToGrid w:val="0"/>
                <w:kern w:val="0"/>
                <w:sz w:val="24"/>
                <w:szCs w:val="24"/>
                <w:highlight w:val="yellow"/>
                <w:lang w:eastAsia="zh-CN"/>
              </w:rPr>
              <w:t>高老师</w:t>
            </w:r>
          </w:p>
          <w:p w14:paraId="43D52DED">
            <w:pPr>
              <w:ind w:firstLine="482" w:firstLineChars="200"/>
              <w:rPr>
                <w:rFonts w:hint="eastAsia"/>
                <w:highlight w:val="yellow"/>
              </w:rPr>
            </w:pPr>
            <w:r>
              <w:rPr>
                <w:rFonts w:hint="eastAsia" w:ascii="宋体" w:hAnsi="宋体" w:eastAsia="宋体" w:cs="宋体"/>
                <w:b/>
                <w:snapToGrid w:val="0"/>
                <w:kern w:val="0"/>
                <w:sz w:val="24"/>
                <w:szCs w:val="24"/>
                <w:highlight w:val="yellow"/>
              </w:rPr>
              <w:t>电话：</w:t>
            </w:r>
            <w:r>
              <w:rPr>
                <w:rFonts w:hint="eastAsia"/>
                <w:szCs w:val="21"/>
                <w:highlight w:val="yellow"/>
              </w:rPr>
              <w:t>13335150390</w:t>
            </w:r>
          </w:p>
          <w:p w14:paraId="57E49118">
            <w:pPr>
              <w:ind w:firstLine="482" w:firstLineChars="200"/>
              <w:rPr>
                <w:rFonts w:hint="eastAsia" w:ascii="宋体" w:hAnsi="宋体" w:eastAsia="宋体" w:cs="宋体"/>
                <w:bCs/>
                <w:snapToGrid w:val="0"/>
                <w:kern w:val="0"/>
                <w:sz w:val="24"/>
                <w:szCs w:val="24"/>
                <w:highlight w:val="yellow"/>
              </w:rPr>
            </w:pPr>
            <w:r>
              <w:rPr>
                <w:rFonts w:hint="eastAsia" w:ascii="宋体" w:hAnsi="宋体" w:eastAsia="宋体" w:cs="宋体"/>
                <w:b/>
                <w:snapToGrid w:val="0"/>
                <w:kern w:val="0"/>
                <w:sz w:val="24"/>
                <w:szCs w:val="24"/>
                <w:highlight w:val="yellow"/>
              </w:rPr>
              <w:t>邮箱：</w:t>
            </w:r>
            <w:r>
              <w:rPr>
                <w:rFonts w:hint="eastAsia" w:ascii="宋体" w:hAnsi="宋体"/>
                <w:szCs w:val="21"/>
                <w:highlight w:val="yellow"/>
              </w:rPr>
              <w:t xml:space="preserve"> gaofeng2@sinotruk.com</w:t>
            </w:r>
          </w:p>
        </w:tc>
      </w:tr>
      <w:tr w14:paraId="21B161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250F8F05">
            <w:pPr>
              <w:jc w:val="center"/>
              <w:rPr>
                <w:rFonts w:hint="eastAsia" w:ascii="宋体" w:hAnsi="宋体" w:eastAsia="宋体" w:cs="宋体"/>
                <w:sz w:val="24"/>
                <w:szCs w:val="24"/>
              </w:rPr>
            </w:pPr>
            <w:r>
              <w:rPr>
                <w:rFonts w:hint="eastAsia" w:ascii="宋体" w:hAnsi="宋体" w:eastAsia="宋体" w:cs="宋体"/>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24F2897D">
            <w:pPr>
              <w:ind w:firstLine="482" w:firstLineChars="200"/>
              <w:rPr>
                <w:rFonts w:hint="eastAsia" w:ascii="宋体" w:hAnsi="宋体" w:eastAsia="宋体" w:cs="宋体"/>
                <w:sz w:val="24"/>
                <w:szCs w:val="24"/>
              </w:rPr>
            </w:pPr>
            <w:r>
              <w:rPr>
                <w:rFonts w:hint="eastAsia" w:ascii="宋体" w:hAnsi="宋体" w:eastAsia="宋体" w:cs="宋体"/>
                <w:b/>
                <w:bCs/>
                <w:sz w:val="24"/>
                <w:szCs w:val="24"/>
              </w:rPr>
              <w:t>资金来源：</w:t>
            </w:r>
            <w:r>
              <w:rPr>
                <w:rFonts w:hint="eastAsia" w:ascii="宋体" w:hAnsi="宋体" w:eastAsia="宋体" w:cs="宋体"/>
                <w:kern w:val="0"/>
                <w:sz w:val="24"/>
                <w:szCs w:val="24"/>
              </w:rPr>
              <w:t>企业自筹，已落实。</w:t>
            </w:r>
          </w:p>
        </w:tc>
      </w:tr>
      <w:tr w14:paraId="573F0BC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27661C1B">
            <w:pPr>
              <w:jc w:val="center"/>
              <w:rPr>
                <w:rFonts w:hint="eastAsia" w:ascii="宋体" w:hAnsi="宋体" w:eastAsia="宋体" w:cs="宋体"/>
                <w:sz w:val="24"/>
                <w:szCs w:val="24"/>
              </w:rPr>
            </w:pPr>
            <w:r>
              <w:rPr>
                <w:rFonts w:hint="eastAsia" w:ascii="宋体" w:hAnsi="宋体" w:eastAsia="宋体" w:cs="宋体"/>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77F2709A">
            <w:pPr>
              <w:ind w:firstLine="482" w:firstLineChars="200"/>
              <w:rPr>
                <w:rFonts w:hint="eastAsia" w:ascii="宋体" w:hAnsi="宋体" w:eastAsia="宋体" w:cs="Times New Roman"/>
                <w:color w:val="000000"/>
                <w:sz w:val="24"/>
                <w:szCs w:val="24"/>
              </w:rPr>
            </w:pPr>
            <w:r>
              <w:rPr>
                <w:rFonts w:hint="eastAsia" w:ascii="宋体" w:hAnsi="宋体" w:eastAsia="宋体" w:cs="宋体"/>
                <w:b/>
                <w:bCs/>
                <w:sz w:val="24"/>
                <w:szCs w:val="24"/>
              </w:rPr>
              <w:t>报价：</w:t>
            </w:r>
            <w:r>
              <w:rPr>
                <w:rFonts w:hint="eastAsia" w:ascii="宋体" w:hAnsi="宋体" w:eastAsia="宋体" w:cs="宋体"/>
                <w:sz w:val="24"/>
                <w:szCs w:val="24"/>
              </w:rPr>
              <w:t>如需要，由</w:t>
            </w:r>
            <w:r>
              <w:rPr>
                <w:rFonts w:hint="eastAsia" w:ascii="宋体" w:hAnsi="宋体" w:eastAsia="宋体" w:cs="Times New Roman"/>
                <w:color w:val="000000"/>
                <w:sz w:val="24"/>
                <w:szCs w:val="24"/>
              </w:rPr>
              <w:t>投标人自行勘察现场，进行合理报价。投标总报价应包括设备费、原厂服务费及相关配件、随设备资料、保险、税费、运杂、安装调试、与其他专业配合、配合办理政府验收手续（不限质监验收、消防验收、环评及职业卫生评价、安全评价等）及可预见的风险以及其它不可预见等全部费用。</w:t>
            </w:r>
          </w:p>
          <w:p w14:paraId="05F5DC02">
            <w:pPr>
              <w:ind w:firstLine="482" w:firstLineChars="200"/>
              <w:rPr>
                <w:rFonts w:eastAsia="宋体"/>
              </w:rPr>
            </w:pPr>
            <w:r>
              <w:rPr>
                <w:rFonts w:hint="eastAsia" w:ascii="宋体" w:hAnsi="宋体" w:eastAsia="宋体" w:cs="Times New Roman"/>
                <w:b/>
                <w:bCs/>
                <w:color w:val="000000"/>
                <w:sz w:val="24"/>
                <w:szCs w:val="24"/>
              </w:rPr>
              <w:t>报价货币：</w:t>
            </w:r>
            <w:r>
              <w:rPr>
                <w:rFonts w:hint="eastAsia" w:ascii="宋体" w:hAnsi="宋体" w:eastAsia="宋体" w:cs="Times New Roman"/>
                <w:color w:val="000000"/>
                <w:sz w:val="24"/>
                <w:szCs w:val="24"/>
              </w:rPr>
              <w:t>人民币（</w:t>
            </w:r>
            <w:r>
              <w:rPr>
                <w:rFonts w:hint="eastAsia" w:ascii="宋体" w:hAnsi="宋体" w:eastAsia="宋体" w:cs="Times New Roman"/>
                <w:b/>
                <w:bCs/>
                <w:color w:val="000000"/>
                <w:sz w:val="24"/>
                <w:szCs w:val="24"/>
              </w:rPr>
              <w:t>应同时报含税价和不含税价，写明税率</w:t>
            </w:r>
            <w:r>
              <w:rPr>
                <w:rFonts w:hint="eastAsia" w:ascii="宋体" w:hAnsi="宋体" w:eastAsia="宋体" w:cs="Times New Roman"/>
                <w:color w:val="000000"/>
                <w:sz w:val="24"/>
                <w:szCs w:val="24"/>
              </w:rPr>
              <w:t>）。</w:t>
            </w:r>
          </w:p>
        </w:tc>
      </w:tr>
      <w:tr w14:paraId="2C337AF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7" w:hRule="atLeast"/>
        </w:trPr>
        <w:tc>
          <w:tcPr>
            <w:tcW w:w="595" w:type="dxa"/>
            <w:tcBorders>
              <w:top w:val="single" w:color="auto" w:sz="2" w:space="0"/>
              <w:left w:val="single" w:color="auto" w:sz="2" w:space="0"/>
              <w:bottom w:val="single" w:color="auto" w:sz="2" w:space="0"/>
              <w:right w:val="single" w:color="auto" w:sz="2" w:space="0"/>
            </w:tcBorders>
            <w:vAlign w:val="center"/>
          </w:tcPr>
          <w:p w14:paraId="0BE052F3">
            <w:pPr>
              <w:jc w:val="center"/>
              <w:rPr>
                <w:rFonts w:hint="eastAsia" w:ascii="宋体" w:hAnsi="宋体" w:eastAsia="宋体" w:cs="宋体"/>
                <w:sz w:val="24"/>
                <w:szCs w:val="24"/>
              </w:rPr>
            </w:pPr>
            <w:r>
              <w:rPr>
                <w:rFonts w:hint="eastAsia" w:ascii="宋体" w:hAnsi="宋体" w:eastAsia="宋体" w:cs="宋体"/>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4EEADE66">
            <w:pPr>
              <w:pStyle w:val="17"/>
              <w:ind w:firstLine="482" w:firstLineChars="200"/>
              <w:rPr>
                <w:rFonts w:hint="eastAsia" w:hAnsi="宋体" w:eastAsia="宋体" w:cs="宋体"/>
                <w:b/>
                <w:bCs/>
                <w:color w:val="FF0000"/>
                <w:sz w:val="24"/>
                <w:szCs w:val="24"/>
              </w:rPr>
            </w:pPr>
            <w:r>
              <w:rPr>
                <w:rFonts w:hint="eastAsia" w:hAnsi="宋体" w:eastAsia="宋体" w:cs="宋体"/>
                <w:b/>
                <w:bCs/>
                <w:color w:val="000000"/>
                <w:sz w:val="24"/>
                <w:szCs w:val="24"/>
              </w:rPr>
              <w:t>投标人条件：</w:t>
            </w:r>
          </w:p>
          <w:p w14:paraId="44D4E305">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1.拟标投人必须是在中华人民共和国境内注册的独立法人机构，具有独立承担民事责任能力；注册资金不少于100万人民币（或等值其他货币）；公司成立三年以上（以营业执照成立日期到开标当日满三年为准），且经营范围满足招标人需求；并在人员、设备、资金等方面具有承担本项目的能力；</w:t>
            </w:r>
          </w:p>
          <w:p w14:paraId="4C0B5583">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2.拟投标人应提供营业执照副本原件和扫描件（需盖章）；</w:t>
            </w:r>
          </w:p>
          <w:p w14:paraId="5A5A9344">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3.拟投标人应提供法定代表人资格证明文件；</w:t>
            </w:r>
          </w:p>
          <w:p w14:paraId="0F44E5D5">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4.拟投标人在国家市场监督管理总局的《国家企业信用信息公示系统》中查询不存在不良记录；</w:t>
            </w:r>
          </w:p>
          <w:p w14:paraId="5FED6064">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5.拟投标人不存在严重违规或被列入招标人“黑名单”的声明；</w:t>
            </w:r>
          </w:p>
          <w:p w14:paraId="6609D0F5">
            <w:pPr>
              <w:pStyle w:val="17"/>
              <w:ind w:firstLine="480" w:firstLineChars="200"/>
              <w:rPr>
                <w:rFonts w:hint="eastAsia" w:hAnsi="宋体" w:eastAsia="宋体" w:cs="宋体"/>
                <w:color w:val="000000"/>
                <w:sz w:val="24"/>
                <w:szCs w:val="24"/>
                <w:highlight w:val="none"/>
                <w:lang w:eastAsia="zh-CN"/>
              </w:rPr>
            </w:pPr>
            <w:r>
              <w:rPr>
                <w:rFonts w:hint="eastAsia" w:hAnsi="宋体" w:eastAsia="宋体" w:cs="宋体"/>
                <w:color w:val="000000"/>
                <w:sz w:val="24"/>
                <w:szCs w:val="24"/>
              </w:rPr>
              <w:t>6.拟投标人202</w:t>
            </w:r>
            <w:r>
              <w:rPr>
                <w:rFonts w:hint="eastAsia" w:hAnsi="宋体" w:eastAsia="宋体" w:cs="宋体"/>
                <w:color w:val="000000"/>
                <w:sz w:val="24"/>
                <w:szCs w:val="24"/>
                <w:lang w:val="en-US" w:eastAsia="zh-CN"/>
              </w:rPr>
              <w:t>3</w:t>
            </w:r>
            <w:r>
              <w:rPr>
                <w:rFonts w:hint="eastAsia" w:hAnsi="宋体" w:eastAsia="宋体" w:cs="宋体"/>
                <w:color w:val="000000"/>
                <w:sz w:val="24"/>
                <w:szCs w:val="24"/>
              </w:rPr>
              <w:t>年1月1日至今经第三方会计师事务所审计且出具无保留意见的财务审计报告，并加盖公章，包括但不限于报告页、经审计的资产负债表、利润表、现金流量表及报表附注，且未显示异常；</w:t>
            </w:r>
            <w:r>
              <w:rPr>
                <w:rFonts w:hint="eastAsia" w:hAnsi="宋体" w:eastAsia="宋体" w:cs="宋体"/>
                <w:color w:val="000000"/>
                <w:sz w:val="24"/>
                <w:szCs w:val="24"/>
                <w:highlight w:val="none"/>
              </w:rPr>
              <w:t>如投标人公司没有经审计的财务报告，可提供加盖公章的近三年财务报表，包括但不限于资产负债表、利润表、现金流量表。应提供中文版本的审计报告或财务报表</w:t>
            </w:r>
            <w:r>
              <w:rPr>
                <w:rFonts w:hint="eastAsia" w:hAnsi="宋体" w:eastAsia="宋体" w:cs="宋体"/>
                <w:color w:val="000000"/>
                <w:sz w:val="24"/>
                <w:szCs w:val="24"/>
                <w:highlight w:val="none"/>
                <w:lang w:eastAsia="zh-CN"/>
              </w:rPr>
              <w:t>。</w:t>
            </w:r>
          </w:p>
          <w:p w14:paraId="0D0A7085">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7.拟投标人有与本次招标内容相同或类似项目业绩，且近3年内无因服务不当而造成重大事故；</w:t>
            </w:r>
          </w:p>
          <w:p w14:paraId="3E562A9C">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8.拟投标人近三年内在经营活动中无与本项目有关的违法及重大违规情况；</w:t>
            </w:r>
          </w:p>
          <w:p w14:paraId="02EAE542">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9.拟投标人须认可招标人的工作指令，包括节、假日能正常开展工作的要求；</w:t>
            </w:r>
          </w:p>
          <w:p w14:paraId="0FC11408">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10.拟投标人最近半年纳税正常；</w:t>
            </w:r>
          </w:p>
          <w:p w14:paraId="47C3C4B8">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11.拟投标人信用证明材料（征信中心出具的信用报告）未显示异常；</w:t>
            </w:r>
          </w:p>
          <w:p w14:paraId="5DC030E1">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12.拟投标人的直接或间接股东、法定代表人、董事、监事、高管非重汽员工及其亲属；</w:t>
            </w:r>
          </w:p>
          <w:p w14:paraId="222C066C">
            <w:pPr>
              <w:pStyle w:val="17"/>
              <w:ind w:firstLine="480" w:firstLineChars="200"/>
              <w:rPr>
                <w:rFonts w:hint="eastAsia" w:hAnsi="宋体" w:eastAsia="宋体" w:cs="宋体"/>
                <w:color w:val="000000"/>
                <w:sz w:val="24"/>
                <w:szCs w:val="24"/>
                <w:highlight w:val="none"/>
              </w:rPr>
            </w:pPr>
            <w:r>
              <w:rPr>
                <w:rFonts w:hint="eastAsia" w:hAnsi="宋体" w:eastAsia="宋体" w:cs="宋体"/>
                <w:color w:val="000000"/>
                <w:sz w:val="24"/>
                <w:szCs w:val="24"/>
                <w:highlight w:val="none"/>
              </w:rPr>
              <w:t>13.不允许代理商投标。</w:t>
            </w:r>
          </w:p>
          <w:p w14:paraId="155A5F12">
            <w:pPr>
              <w:pStyle w:val="17"/>
              <w:ind w:firstLine="480" w:firstLineChars="200"/>
              <w:rPr>
                <w:rFonts w:hint="eastAsia" w:hAnsi="宋体" w:eastAsia="宋体" w:cs="宋体"/>
                <w:color w:val="000000"/>
                <w:sz w:val="24"/>
                <w:szCs w:val="24"/>
              </w:rPr>
            </w:pPr>
            <w:r>
              <w:rPr>
                <w:rFonts w:hint="eastAsia" w:hAnsi="宋体" w:eastAsia="宋体" w:cs="宋体"/>
                <w:color w:val="000000"/>
                <w:sz w:val="24"/>
                <w:szCs w:val="24"/>
              </w:rPr>
              <w:t>14.本项目不接受联合体投标，拟投标人必须是最终投标单位和签订合同单位，不得以任何理由将已中标项目以任何形式分包或转包给其他单位。</w:t>
            </w:r>
          </w:p>
        </w:tc>
      </w:tr>
      <w:tr w14:paraId="113F8E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34924616">
            <w:pPr>
              <w:jc w:val="center"/>
              <w:rPr>
                <w:rFonts w:hint="eastAsia" w:ascii="宋体" w:hAnsi="宋体" w:eastAsia="宋体" w:cs="宋体"/>
                <w:b/>
                <w:bCs/>
                <w:sz w:val="24"/>
                <w:szCs w:val="24"/>
              </w:rPr>
            </w:pPr>
            <w:r>
              <w:rPr>
                <w:rFonts w:hint="eastAsia" w:ascii="宋体" w:hAnsi="宋体" w:eastAsia="宋体" w:cs="宋体"/>
                <w:b/>
                <w:bCs/>
                <w:sz w:val="24"/>
                <w:szCs w:val="24"/>
              </w:rPr>
              <w:t>2.招标文件的答疑、澄清、修改、应标及投标报名</w:t>
            </w:r>
          </w:p>
        </w:tc>
      </w:tr>
      <w:tr w14:paraId="5091DBD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1CBF54E4">
            <w:pPr>
              <w:jc w:val="center"/>
              <w:rPr>
                <w:rFonts w:hint="eastAsia" w:ascii="宋体" w:hAnsi="宋体" w:eastAsia="宋体" w:cs="宋体"/>
                <w:sz w:val="24"/>
                <w:szCs w:val="24"/>
              </w:rPr>
            </w:pPr>
            <w:r>
              <w:rPr>
                <w:rFonts w:hint="eastAsia" w:ascii="宋体" w:hAnsi="宋体" w:eastAsia="宋体" w:cs="宋体"/>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463D537C">
            <w:pPr>
              <w:ind w:firstLine="482" w:firstLineChars="200"/>
              <w:rPr>
                <w:rFonts w:hint="eastAsia" w:ascii="宋体" w:hAnsi="宋体" w:eastAsia="宋体" w:cs="宋体"/>
                <w:sz w:val="24"/>
                <w:szCs w:val="24"/>
              </w:rPr>
            </w:pPr>
            <w:r>
              <w:rPr>
                <w:rFonts w:hint="eastAsia" w:ascii="宋体" w:hAnsi="宋体" w:eastAsia="宋体" w:cs="宋体"/>
                <w:b/>
                <w:bCs/>
                <w:sz w:val="24"/>
                <w:szCs w:val="24"/>
              </w:rPr>
              <w:t>发标时间：</w:t>
            </w:r>
            <w:r>
              <w:rPr>
                <w:rFonts w:hint="eastAsia" w:ascii="宋体" w:hAnsi="宋体" w:eastAsia="宋体" w:cs="宋体"/>
                <w:bCs/>
                <w:sz w:val="24"/>
                <w:szCs w:val="24"/>
                <w:highlight w:val="yellow"/>
              </w:rPr>
              <w:t>2026年</w:t>
            </w:r>
            <w:r>
              <w:rPr>
                <w:rFonts w:hint="eastAsia" w:ascii="宋体" w:hAnsi="宋体" w:eastAsia="宋体" w:cs="宋体"/>
                <w:bCs/>
                <w:sz w:val="24"/>
                <w:szCs w:val="24"/>
                <w:highlight w:val="yellow"/>
                <w:u w:val="single"/>
                <w:lang w:val="en-US" w:eastAsia="zh-CN"/>
              </w:rPr>
              <w:t xml:space="preserve"> 9 </w:t>
            </w:r>
            <w:r>
              <w:rPr>
                <w:rFonts w:hint="eastAsia" w:ascii="宋体" w:hAnsi="宋体" w:eastAsia="宋体" w:cs="宋体"/>
                <w:bCs/>
                <w:sz w:val="24"/>
                <w:szCs w:val="24"/>
                <w:highlight w:val="yellow"/>
              </w:rPr>
              <w:t>月</w:t>
            </w:r>
            <w:r>
              <w:rPr>
                <w:rFonts w:hint="eastAsia" w:ascii="宋体" w:hAnsi="宋体" w:eastAsia="宋体" w:cs="宋体"/>
                <w:bCs/>
                <w:sz w:val="24"/>
                <w:szCs w:val="24"/>
                <w:highlight w:val="yellow"/>
                <w:u w:val="single"/>
                <w:lang w:val="en-US" w:eastAsia="zh-CN"/>
              </w:rPr>
              <w:t xml:space="preserve"> 22 </w:t>
            </w:r>
            <w:r>
              <w:rPr>
                <w:rFonts w:hint="eastAsia" w:ascii="宋体" w:hAnsi="宋体" w:eastAsia="宋体" w:cs="宋体"/>
                <w:bCs/>
                <w:sz w:val="24"/>
                <w:szCs w:val="24"/>
                <w:highlight w:val="yellow"/>
              </w:rPr>
              <w:t>日;</w:t>
            </w:r>
          </w:p>
        </w:tc>
      </w:tr>
      <w:tr w14:paraId="6C7A728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49E33CA3">
            <w:pPr>
              <w:snapToGrid w:val="0"/>
              <w:ind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3291946E">
            <w:pPr>
              <w:ind w:firstLine="482" w:firstLineChars="200"/>
              <w:rPr>
                <w:rFonts w:hint="eastAsia" w:ascii="宋体" w:hAnsi="宋体" w:eastAsia="宋体" w:cs="宋体"/>
                <w:sz w:val="24"/>
                <w:szCs w:val="24"/>
              </w:rPr>
            </w:pPr>
            <w:r>
              <w:rPr>
                <w:rFonts w:hint="eastAsia" w:ascii="宋体" w:hAnsi="宋体" w:eastAsia="宋体" w:cs="宋体"/>
                <w:b/>
                <w:sz w:val="24"/>
                <w:szCs w:val="24"/>
              </w:rPr>
              <w:t>发标方式：</w:t>
            </w:r>
            <w:r>
              <w:rPr>
                <w:rFonts w:ascii="宋体" w:hAnsi="宋体" w:eastAsia="宋体" w:cs="宋体"/>
                <w:sz w:val="24"/>
                <w:szCs w:val="24"/>
              </w:rPr>
              <w:t>中国重汽官网</w:t>
            </w:r>
            <w:r>
              <w:rPr>
                <w:rFonts w:hint="eastAsia" w:ascii="宋体" w:hAnsi="宋体" w:eastAsia="宋体" w:cs="宋体"/>
                <w:sz w:val="24"/>
                <w:szCs w:val="24"/>
              </w:rPr>
              <w:t>、山东省阳光采购服务平台、中国招标投标公共服务平台等公开媒体</w:t>
            </w:r>
            <w:r>
              <w:rPr>
                <w:rFonts w:ascii="宋体" w:hAnsi="宋体" w:eastAsia="宋体" w:cs="宋体"/>
                <w:color w:val="000000"/>
                <w:sz w:val="24"/>
                <w:szCs w:val="24"/>
              </w:rPr>
              <w:t>公布</w:t>
            </w:r>
            <w:r>
              <w:rPr>
                <w:rFonts w:hint="eastAsia" w:ascii="宋体" w:hAnsi="宋体" w:eastAsia="宋体" w:cs="Times New Roman"/>
                <w:color w:val="000000"/>
                <w:sz w:val="24"/>
                <w:szCs w:val="24"/>
              </w:rPr>
              <w:t>。</w:t>
            </w:r>
          </w:p>
        </w:tc>
      </w:tr>
      <w:tr w14:paraId="08C9AE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3717069E">
            <w:pPr>
              <w:snapToGrid w:val="0"/>
              <w:ind w:firstLine="480" w:firstLineChars="200"/>
              <w:rPr>
                <w:rFonts w:hint="eastAsia" w:ascii="宋体" w:hAnsi="宋体" w:eastAsia="宋体" w:cs="宋体"/>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39D96C7E">
            <w:pPr>
              <w:ind w:firstLine="480" w:firstLineChars="200"/>
              <w:jc w:val="left"/>
              <w:rPr>
                <w:rFonts w:hint="eastAsia" w:ascii="宋体" w:hAnsi="宋体" w:eastAsia="宋体" w:cs="宋体"/>
                <w:b/>
                <w:bCs/>
                <w:sz w:val="24"/>
                <w:szCs w:val="24"/>
              </w:rPr>
            </w:pPr>
            <w:r>
              <w:rPr>
                <w:rFonts w:hint="eastAsia" w:ascii="宋体" w:hAnsi="宋体" w:eastAsia="宋体" w:cs="宋体"/>
                <w:sz w:val="24"/>
                <w:szCs w:val="24"/>
              </w:rPr>
              <w:t>如果投标人对招标文件商务部分、技术部分有疑问，请各投标人在本答疑环节提出。</w:t>
            </w:r>
          </w:p>
          <w:p w14:paraId="3F9DE1D9">
            <w:pPr>
              <w:ind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提交疑问时间：</w:t>
            </w:r>
            <w:r>
              <w:rPr>
                <w:rFonts w:hint="eastAsia" w:ascii="宋体" w:hAnsi="宋体" w:eastAsia="宋体" w:cs="宋体"/>
                <w:bCs/>
                <w:sz w:val="24"/>
                <w:szCs w:val="24"/>
                <w:highlight w:val="yellow"/>
              </w:rPr>
              <w:t>2026年</w:t>
            </w:r>
            <w:r>
              <w:rPr>
                <w:rFonts w:hint="eastAsia" w:ascii="宋体" w:hAnsi="宋体" w:eastAsia="宋体" w:cs="宋体"/>
                <w:bCs/>
                <w:sz w:val="24"/>
                <w:szCs w:val="24"/>
                <w:highlight w:val="yellow"/>
                <w:u w:val="single"/>
                <w:lang w:val="en-US" w:eastAsia="zh-CN"/>
              </w:rPr>
              <w:t xml:space="preserve"> 9 </w:t>
            </w:r>
            <w:r>
              <w:rPr>
                <w:rFonts w:hint="eastAsia" w:ascii="宋体" w:hAnsi="宋体" w:eastAsia="宋体" w:cs="宋体"/>
                <w:bCs/>
                <w:sz w:val="24"/>
                <w:szCs w:val="24"/>
                <w:highlight w:val="yellow"/>
              </w:rPr>
              <w:t>月</w:t>
            </w:r>
            <w:r>
              <w:rPr>
                <w:rFonts w:hint="eastAsia" w:ascii="宋体" w:hAnsi="宋体" w:eastAsia="宋体" w:cs="宋体"/>
                <w:bCs/>
                <w:sz w:val="24"/>
                <w:szCs w:val="24"/>
                <w:highlight w:val="yellow"/>
                <w:u w:val="single"/>
                <w:lang w:val="en-US" w:eastAsia="zh-CN"/>
              </w:rPr>
              <w:t xml:space="preserve">  24  </w:t>
            </w:r>
            <w:r>
              <w:rPr>
                <w:rFonts w:hint="eastAsia" w:ascii="宋体" w:hAnsi="宋体" w:eastAsia="宋体" w:cs="宋体"/>
                <w:bCs/>
                <w:sz w:val="24"/>
                <w:szCs w:val="24"/>
                <w:highlight w:val="yellow"/>
              </w:rPr>
              <w:t>日</w:t>
            </w:r>
            <w:r>
              <w:rPr>
                <w:rFonts w:hint="eastAsia" w:ascii="宋体" w:hAnsi="宋体" w:eastAsia="宋体" w:cs="宋体"/>
                <w:bCs/>
                <w:sz w:val="24"/>
                <w:szCs w:val="24"/>
                <w:highlight w:val="yellow"/>
                <w:u w:val="single"/>
                <w:lang w:val="en-US" w:eastAsia="zh-CN"/>
              </w:rPr>
              <w:t>19</w:t>
            </w:r>
            <w:r>
              <w:rPr>
                <w:rFonts w:hint="eastAsia" w:ascii="宋体" w:hAnsi="宋体" w:eastAsia="宋体" w:cs="宋体"/>
                <w:bCs/>
                <w:sz w:val="24"/>
                <w:szCs w:val="24"/>
                <w:highlight w:val="yellow"/>
                <w:u w:val="single"/>
              </w:rPr>
              <w:t>:00</w:t>
            </w:r>
            <w:r>
              <w:rPr>
                <w:rFonts w:hint="eastAsia" w:ascii="宋体" w:hAnsi="宋体" w:eastAsia="宋体" w:cs="宋体"/>
                <w:bCs/>
                <w:sz w:val="24"/>
                <w:szCs w:val="24"/>
                <w:highlight w:val="yellow"/>
              </w:rPr>
              <w:t>前；</w:t>
            </w:r>
          </w:p>
          <w:p w14:paraId="7A39DF62">
            <w:pPr>
              <w:ind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rPr>
              <w:t>提交疑问方式</w:t>
            </w:r>
            <w:r>
              <w:rPr>
                <w:rFonts w:hint="eastAsia" w:ascii="宋体" w:hAnsi="宋体" w:eastAsia="宋体" w:cs="宋体"/>
                <w:sz w:val="24"/>
                <w:szCs w:val="24"/>
              </w:rPr>
              <w:t>：将答疑问题以word文件格式发送至联系人邮件内，并电话联系工作人员查收，</w:t>
            </w:r>
            <w:r>
              <w:rPr>
                <w:rFonts w:hint="eastAsia" w:ascii="宋体" w:hAnsi="宋体" w:eastAsia="宋体" w:cs="宋体"/>
                <w:b/>
                <w:bCs/>
                <w:sz w:val="24"/>
                <w:szCs w:val="24"/>
              </w:rPr>
              <w:t>邮件名格式为：XXX公司（五个字以内公司简称）XX项目答疑文件。</w:t>
            </w:r>
          </w:p>
          <w:p w14:paraId="4FFA01D9">
            <w:pPr>
              <w:ind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同时必须在邮件中以文字方式提供投标人全称、投标授权人姓名、联系方式（固定电话、手机、电子邮箱），并提供附件2</w:t>
            </w:r>
            <w:r>
              <w:rPr>
                <w:rFonts w:hint="eastAsia" w:ascii="Times New Roman" w:hAnsi="Times New Roman" w:eastAsia="宋体" w:cs="Times New Roman"/>
                <w:b/>
                <w:bCs/>
                <w:color w:val="000000"/>
                <w:sz w:val="24"/>
                <w:szCs w:val="24"/>
              </w:rPr>
              <w:t>法定代表人授权委托书</w:t>
            </w:r>
            <w:r>
              <w:rPr>
                <w:rFonts w:hint="eastAsia" w:ascii="宋体" w:hAnsi="宋体" w:eastAsia="宋体" w:cs="宋体"/>
                <w:b/>
                <w:bCs/>
                <w:sz w:val="24"/>
                <w:szCs w:val="24"/>
              </w:rPr>
              <w:t>。</w:t>
            </w:r>
          </w:p>
        </w:tc>
      </w:tr>
      <w:tr w14:paraId="104B00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B88696F">
            <w:pPr>
              <w:jc w:val="center"/>
              <w:rPr>
                <w:rFonts w:hint="eastAsia" w:ascii="宋体" w:hAnsi="宋体" w:eastAsia="宋体" w:cs="宋体"/>
                <w:sz w:val="24"/>
                <w:szCs w:val="24"/>
              </w:rPr>
            </w:pPr>
            <w:r>
              <w:rPr>
                <w:rFonts w:hint="eastAsia" w:ascii="宋体" w:hAnsi="宋体" w:eastAsia="宋体" w:cs="宋体"/>
                <w:sz w:val="24"/>
                <w:szCs w:val="24"/>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31C2403">
            <w:pPr>
              <w:shd w:val="clear" w:color="auto" w:fill="FFFFFF" w:themeFill="background1"/>
              <w:ind w:firstLine="480" w:firstLineChars="200"/>
              <w:rPr>
                <w:rFonts w:hint="eastAsia" w:ascii="宋体" w:hAnsi="宋体" w:eastAsia="宋体" w:cs="宋体"/>
                <w:sz w:val="24"/>
                <w:szCs w:val="24"/>
              </w:rPr>
            </w:pPr>
            <w:r>
              <w:rPr>
                <w:rFonts w:hint="eastAsia" w:ascii="宋体" w:hAnsi="宋体" w:eastAsia="宋体" w:cs="宋体"/>
                <w:sz w:val="24"/>
                <w:szCs w:val="24"/>
              </w:rPr>
              <w:t>领取答疑、澄清和修改文件时间：</w:t>
            </w:r>
            <w:r>
              <w:rPr>
                <w:rFonts w:hint="eastAsia" w:ascii="宋体" w:hAnsi="宋体" w:eastAsia="宋体" w:cs="宋体"/>
                <w:sz w:val="24"/>
                <w:szCs w:val="24"/>
                <w:highlight w:val="yellow"/>
              </w:rPr>
              <w:t>2026年</w:t>
            </w:r>
            <w:r>
              <w:rPr>
                <w:rFonts w:hint="eastAsia" w:ascii="宋体" w:hAnsi="宋体" w:eastAsia="宋体" w:cs="宋体"/>
                <w:bCs/>
                <w:sz w:val="24"/>
                <w:szCs w:val="24"/>
                <w:highlight w:val="yellow"/>
                <w:u w:val="single"/>
                <w:lang w:val="en-US" w:eastAsia="zh-CN"/>
              </w:rPr>
              <w:t xml:space="preserve"> 9 </w:t>
            </w:r>
            <w:r>
              <w:rPr>
                <w:rFonts w:hint="eastAsia" w:ascii="宋体" w:hAnsi="宋体" w:eastAsia="宋体" w:cs="宋体"/>
                <w:sz w:val="24"/>
                <w:szCs w:val="24"/>
                <w:highlight w:val="yellow"/>
              </w:rPr>
              <w:t>月</w:t>
            </w:r>
            <w:r>
              <w:rPr>
                <w:rFonts w:hint="eastAsia" w:ascii="宋体" w:hAnsi="宋体" w:eastAsia="宋体" w:cs="宋体"/>
                <w:bCs/>
                <w:sz w:val="24"/>
                <w:szCs w:val="24"/>
                <w:highlight w:val="yellow"/>
                <w:u w:val="single"/>
                <w:lang w:val="en-US" w:eastAsia="zh-CN"/>
              </w:rPr>
              <w:t xml:space="preserve"> 28  </w:t>
            </w:r>
            <w:r>
              <w:rPr>
                <w:rFonts w:hint="eastAsia" w:ascii="宋体" w:hAnsi="宋体" w:eastAsia="宋体" w:cs="宋体"/>
                <w:sz w:val="24"/>
                <w:szCs w:val="24"/>
                <w:highlight w:val="yellow"/>
              </w:rPr>
              <w:t>日17:00</w:t>
            </w:r>
            <w:r>
              <w:rPr>
                <w:rFonts w:hint="eastAsia" w:ascii="宋体" w:hAnsi="宋体" w:eastAsia="宋体" w:cs="宋体"/>
                <w:sz w:val="24"/>
                <w:szCs w:val="24"/>
              </w:rPr>
              <w:t>前；</w:t>
            </w:r>
          </w:p>
          <w:p w14:paraId="35A6E880">
            <w:pPr>
              <w:shd w:val="clear" w:color="auto" w:fill="FFFFFF" w:themeFill="background1"/>
              <w:ind w:firstLine="480" w:firstLineChars="200"/>
              <w:rPr>
                <w:rFonts w:hint="eastAsia" w:ascii="宋体" w:hAnsi="宋体" w:eastAsia="宋体" w:cs="宋体"/>
                <w:sz w:val="24"/>
                <w:szCs w:val="24"/>
              </w:rPr>
            </w:pPr>
            <w:r>
              <w:rPr>
                <w:rFonts w:hint="eastAsia" w:ascii="宋体" w:hAnsi="宋体" w:eastAsia="宋体" w:cs="宋体"/>
                <w:sz w:val="24"/>
                <w:szCs w:val="24"/>
              </w:rPr>
              <w:t>答疑、澄清和修改文件方式：招标人将以电子邮件的方式将招标文件的答疑澄清文件发送至答疑文件提交时登记的电子邮箱。</w:t>
            </w:r>
          </w:p>
        </w:tc>
      </w:tr>
      <w:tr w14:paraId="438A27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580387FC">
            <w:pPr>
              <w:jc w:val="center"/>
              <w:rPr>
                <w:rFonts w:hint="eastAsia" w:ascii="宋体" w:hAnsi="宋体" w:eastAsia="宋体" w:cs="宋体"/>
                <w:b/>
                <w:bCs/>
                <w:sz w:val="24"/>
                <w:szCs w:val="24"/>
                <w:highlight w:val="green"/>
              </w:rPr>
            </w:pPr>
            <w:r>
              <w:rPr>
                <w:rFonts w:hint="eastAsia" w:ascii="宋体" w:hAnsi="宋体" w:eastAsia="宋体" w:cs="宋体"/>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6DA52E43">
            <w:pPr>
              <w:pStyle w:val="113"/>
              <w:spacing w:line="240" w:lineRule="auto"/>
              <w:ind w:firstLine="482"/>
              <w:rPr>
                <w:rFonts w:hint="eastAsia" w:eastAsia="宋体" w:cs="宋体"/>
                <w:b/>
                <w:bCs/>
              </w:rPr>
            </w:pPr>
            <w:r>
              <w:rPr>
                <w:rFonts w:hint="eastAsia" w:eastAsia="宋体" w:cs="宋体"/>
                <w:b/>
                <w:bCs/>
              </w:rPr>
              <w:t>报名方式：</w:t>
            </w:r>
            <w:r>
              <w:rPr>
                <w:rFonts w:hint="eastAsia" w:eastAsia="宋体" w:cs="宋体"/>
              </w:rPr>
              <w:t>拟投标人根据招标人在中国重汽官网等公开媒体上发布的招标信息，</w:t>
            </w:r>
            <w:r>
              <w:rPr>
                <w:rFonts w:hint="eastAsia" w:hAnsi="Courier New" w:eastAsia="宋体" w:cs="Times New Roman"/>
              </w:rPr>
              <w:t>在“中国重汽e采通”平台报名</w:t>
            </w:r>
            <w:r>
              <w:rPr>
                <w:rFonts w:hint="eastAsia" w:eastAsia="宋体" w:cs="宋体"/>
              </w:rPr>
              <w:t>。</w:t>
            </w:r>
            <w:r>
              <w:rPr>
                <w:rFonts w:hint="eastAsia" w:eastAsia="宋体" w:cs="Times New Roman"/>
                <w:b/>
                <w:bCs/>
              </w:rPr>
              <w:t>按照中国重汽e采通“SRM非生产供应商注册手册”（附件15）进行注册</w:t>
            </w:r>
            <w:r>
              <w:rPr>
                <w:rFonts w:hint="eastAsia" w:eastAsia="宋体" w:cs="Times New Roman"/>
              </w:rPr>
              <w:t>，注册完毕后按照</w:t>
            </w:r>
            <w:r>
              <w:rPr>
                <w:rFonts w:hint="eastAsia" w:eastAsia="宋体" w:cs="宋体"/>
                <w:b/>
              </w:rPr>
              <w:t>“SRM系统供应商用户手册（附件16）”，</w:t>
            </w:r>
            <w:r>
              <w:rPr>
                <w:rFonts w:hint="eastAsia" w:eastAsia="宋体" w:cs="Times New Roman"/>
              </w:rPr>
              <w:t>登录</w:t>
            </w:r>
            <w:r>
              <w:rPr>
                <w:rFonts w:hint="eastAsia" w:eastAsia="宋体" w:cs="宋体"/>
                <w:b/>
              </w:rPr>
              <w:t>重汽e采通平台</w:t>
            </w:r>
            <w:r>
              <w:rPr>
                <w:rFonts w:hint="eastAsia" w:eastAsia="宋体" w:cs="Times New Roman"/>
              </w:rPr>
              <w:t>后进入“供应商应标”，选择对应的项目，点击“</w:t>
            </w:r>
            <w:r>
              <w:rPr>
                <w:rFonts w:hint="eastAsia" w:eastAsia="宋体" w:cs="Times New Roman"/>
                <w:b/>
                <w:bCs/>
              </w:rPr>
              <w:t>应标</w:t>
            </w:r>
            <w:r>
              <w:rPr>
                <w:rFonts w:hint="eastAsia" w:eastAsia="宋体" w:cs="Times New Roman"/>
              </w:rPr>
              <w:t>”</w:t>
            </w:r>
            <w:r>
              <w:rPr>
                <w:rFonts w:hint="eastAsia" w:eastAsia="宋体" w:cs="Times New Roman"/>
                <w:b/>
                <w:bCs/>
              </w:rPr>
              <w:t>后按照招标文件第三部分投标文件组成资格证明文件中的1.1</w:t>
            </w:r>
            <w:r>
              <w:rPr>
                <w:rFonts w:eastAsia="宋体" w:cs="Times New Roman"/>
                <w:b/>
                <w:bCs/>
              </w:rPr>
              <w:t>-</w:t>
            </w:r>
            <w:r>
              <w:rPr>
                <w:rFonts w:hint="eastAsia" w:eastAsia="宋体" w:cs="Times New Roman"/>
                <w:b/>
                <w:bCs/>
              </w:rPr>
              <w:t>1.13准备资料并</w:t>
            </w:r>
            <w:r>
              <w:rPr>
                <w:rFonts w:hint="eastAsia" w:eastAsia="宋体" w:cs="Times New Roman"/>
              </w:rPr>
              <w:t>上传，资质审查通过即为报名成功</w:t>
            </w:r>
            <w:r>
              <w:rPr>
                <w:rFonts w:hint="eastAsia" w:hAnsi="Courier New" w:eastAsia="宋体" w:cs="Times New Roman"/>
              </w:rPr>
              <w:t>；公示期间请尽快报名</w:t>
            </w:r>
            <w:r>
              <w:rPr>
                <w:rFonts w:hint="eastAsia" w:eastAsia="宋体" w:cs="宋体"/>
              </w:rPr>
              <w:t>。</w:t>
            </w:r>
          </w:p>
        </w:tc>
      </w:tr>
      <w:tr w14:paraId="7DB747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2BA20331">
            <w:pPr>
              <w:jc w:val="left"/>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535DEA69">
            <w:pPr>
              <w:pStyle w:val="113"/>
              <w:spacing w:line="240" w:lineRule="auto"/>
              <w:ind w:firstLine="482"/>
              <w:rPr>
                <w:rFonts w:hint="eastAsia" w:eastAsia="宋体" w:cs="宋体"/>
                <w:highlight w:val="yellow"/>
              </w:rPr>
            </w:pPr>
            <w:r>
              <w:rPr>
                <w:rFonts w:hint="eastAsia" w:eastAsia="宋体" w:cs="宋体"/>
                <w:b/>
                <w:bCs/>
              </w:rPr>
              <w:t>应标截止时间：</w:t>
            </w:r>
            <w:r>
              <w:rPr>
                <w:rFonts w:hint="eastAsia" w:eastAsia="宋体" w:cs="宋体"/>
                <w:highlight w:val="yellow"/>
              </w:rPr>
              <w:t>2026年</w:t>
            </w:r>
            <w:r>
              <w:rPr>
                <w:rFonts w:hint="eastAsia" w:eastAsia="宋体" w:cs="宋体"/>
                <w:highlight w:val="yellow"/>
                <w:u w:val="single"/>
                <w:lang w:val="en-US" w:eastAsia="zh-CN"/>
              </w:rPr>
              <w:t>9</w:t>
            </w:r>
            <w:r>
              <w:rPr>
                <w:rFonts w:hint="eastAsia" w:eastAsia="宋体" w:cs="宋体"/>
                <w:bCs/>
                <w:highlight w:val="yellow"/>
                <w:u w:val="single"/>
                <w:lang w:val="en-US" w:eastAsia="zh-CN"/>
              </w:rPr>
              <w:t xml:space="preserve"> </w:t>
            </w:r>
            <w:r>
              <w:rPr>
                <w:rFonts w:hint="eastAsia" w:eastAsia="宋体" w:cs="宋体"/>
                <w:highlight w:val="yellow"/>
              </w:rPr>
              <w:t>月</w:t>
            </w:r>
            <w:r>
              <w:rPr>
                <w:rFonts w:hint="eastAsia" w:eastAsia="宋体" w:cs="宋体"/>
                <w:bCs/>
                <w:highlight w:val="yellow"/>
                <w:u w:val="single"/>
                <w:lang w:val="en-US" w:eastAsia="zh-CN"/>
              </w:rPr>
              <w:t xml:space="preserve"> 30  </w:t>
            </w:r>
            <w:r>
              <w:rPr>
                <w:rFonts w:hint="eastAsia" w:eastAsia="宋体" w:cs="宋体"/>
                <w:highlight w:val="yellow"/>
              </w:rPr>
              <w:t>日</w:t>
            </w:r>
            <w:r>
              <w:rPr>
                <w:rFonts w:hint="eastAsia" w:eastAsia="宋体" w:cs="宋体"/>
                <w:highlight w:val="yellow"/>
                <w:lang w:val="en-US" w:eastAsia="zh-CN"/>
              </w:rPr>
              <w:t>21</w:t>
            </w:r>
            <w:r>
              <w:rPr>
                <w:rFonts w:hint="eastAsia" w:eastAsia="宋体" w:cs="宋体"/>
                <w:highlight w:val="yellow"/>
              </w:rPr>
              <w:t>时00分00秒</w:t>
            </w:r>
          </w:p>
          <w:p w14:paraId="520FEFD3">
            <w:pPr>
              <w:pStyle w:val="113"/>
              <w:spacing w:line="240" w:lineRule="auto"/>
              <w:ind w:firstLine="482"/>
              <w:rPr>
                <w:rFonts w:hint="eastAsia" w:eastAsia="宋体" w:cs="宋体"/>
                <w:highlight w:val="yellow"/>
              </w:rPr>
            </w:pPr>
            <w:r>
              <w:rPr>
                <w:rFonts w:hint="eastAsia" w:eastAsia="宋体" w:cs="宋体"/>
                <w:b/>
                <w:bCs/>
              </w:rPr>
              <w:t>注：请务必在应标截止时间前完成注册及应标操作，注册审核需2-4日，应标截止时间精确到秒，逾期将无法应标。请自行掌握时间，避免无法应标。</w:t>
            </w:r>
          </w:p>
        </w:tc>
      </w:tr>
      <w:tr w14:paraId="7D56A1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2403D91">
            <w:pPr>
              <w:jc w:val="center"/>
              <w:rPr>
                <w:rFonts w:hint="eastAsia" w:ascii="宋体" w:hAnsi="宋体" w:eastAsia="宋体" w:cs="宋体"/>
                <w:b/>
                <w:bCs/>
                <w:sz w:val="24"/>
                <w:szCs w:val="24"/>
              </w:rPr>
            </w:pPr>
            <w:r>
              <w:rPr>
                <w:rFonts w:hint="eastAsia" w:ascii="宋体" w:hAnsi="宋体" w:eastAsia="宋体" w:cs="宋体"/>
                <w:b/>
                <w:bCs/>
                <w:sz w:val="24"/>
                <w:szCs w:val="24"/>
              </w:rPr>
              <w:t>3.投标文件的组成、编制及投递</w:t>
            </w:r>
          </w:p>
        </w:tc>
      </w:tr>
      <w:tr w14:paraId="404427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6E782D1F">
            <w:pPr>
              <w:jc w:val="center"/>
              <w:rPr>
                <w:rFonts w:hint="eastAsia" w:ascii="宋体" w:hAnsi="宋体" w:eastAsia="宋体" w:cs="宋体"/>
                <w:sz w:val="24"/>
                <w:szCs w:val="24"/>
              </w:rPr>
            </w:pPr>
            <w:r>
              <w:rPr>
                <w:rFonts w:hint="eastAsia" w:ascii="宋体" w:hAnsi="宋体" w:eastAsia="宋体" w:cs="宋体"/>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722D4470">
            <w:pPr>
              <w:ind w:firstLine="480" w:firstLineChars="200"/>
              <w:rPr>
                <w:rFonts w:hint="eastAsia" w:ascii="宋体" w:hAnsi="宋体" w:eastAsia="宋体" w:cs="宋体"/>
                <w:bCs/>
                <w:sz w:val="24"/>
                <w:szCs w:val="24"/>
              </w:rPr>
            </w:pPr>
            <w:r>
              <w:rPr>
                <w:rFonts w:hint="eastAsia" w:eastAsia="宋体" w:cs="宋体"/>
                <w:bCs/>
                <w:sz w:val="24"/>
                <w:szCs w:val="24"/>
              </w:rPr>
              <w:t>本项目投标文件由</w:t>
            </w:r>
            <w:r>
              <w:rPr>
                <w:rFonts w:hint="eastAsia" w:eastAsia="宋体" w:cs="宋体"/>
                <w:b/>
                <w:sz w:val="24"/>
                <w:szCs w:val="24"/>
              </w:rPr>
              <w:t>《投标文件（资质标）》、《投标文件（技术标）》、《投标文件（商务标）》（开标一览表）</w:t>
            </w:r>
            <w:r>
              <w:rPr>
                <w:rFonts w:hint="eastAsia" w:eastAsia="宋体" w:cs="宋体"/>
                <w:bCs/>
                <w:sz w:val="24"/>
                <w:szCs w:val="24"/>
              </w:rPr>
              <w:t>文件组成，共计3个文件</w:t>
            </w:r>
            <w:r>
              <w:rPr>
                <w:rFonts w:hint="eastAsia" w:ascii="宋体" w:hAnsi="宋体" w:eastAsia="宋体" w:cs="宋体"/>
                <w:bCs/>
                <w:sz w:val="24"/>
                <w:szCs w:val="24"/>
              </w:rPr>
              <w:t>。</w:t>
            </w:r>
          </w:p>
          <w:p w14:paraId="2BC51B8A">
            <w:pPr>
              <w:ind w:firstLine="482" w:firstLineChars="200"/>
              <w:rPr>
                <w:rFonts w:hint="eastAsia" w:ascii="宋体" w:hAnsi="宋体" w:eastAsia="宋体" w:cs="宋体"/>
                <w:b/>
                <w:sz w:val="24"/>
                <w:szCs w:val="24"/>
              </w:rPr>
            </w:pPr>
            <w:r>
              <w:rPr>
                <w:rFonts w:hint="eastAsia" w:eastAsia="宋体" w:cs="宋体"/>
                <w:b/>
                <w:sz w:val="24"/>
                <w:szCs w:val="24"/>
              </w:rPr>
              <w:t>《投标文件（资质标）》</w:t>
            </w:r>
            <w:r>
              <w:rPr>
                <w:rFonts w:hint="eastAsia" w:ascii="宋体" w:hAnsi="宋体" w:eastAsia="宋体" w:cs="宋体"/>
                <w:bCs/>
                <w:sz w:val="24"/>
                <w:szCs w:val="24"/>
              </w:rPr>
              <w:t>一个文件（里面是全部资质投标书），</w:t>
            </w:r>
            <w:r>
              <w:rPr>
                <w:rFonts w:hint="eastAsia" w:eastAsia="宋体" w:cs="宋体"/>
                <w:b/>
                <w:sz w:val="24"/>
                <w:szCs w:val="24"/>
              </w:rPr>
              <w:t>投标文件（技术标）》</w:t>
            </w:r>
            <w:r>
              <w:rPr>
                <w:rFonts w:hint="eastAsia" w:ascii="宋体" w:hAnsi="宋体" w:eastAsia="宋体" w:cs="宋体"/>
                <w:bCs/>
                <w:sz w:val="24"/>
                <w:szCs w:val="24"/>
              </w:rPr>
              <w:t>一个文件（里面是全部技术投标书），</w:t>
            </w:r>
            <w:r>
              <w:rPr>
                <w:rFonts w:hint="eastAsia" w:eastAsia="宋体" w:cs="宋体"/>
                <w:b/>
                <w:sz w:val="24"/>
                <w:szCs w:val="24"/>
              </w:rPr>
              <w:t>《投标文件（商务标）》（开标一览表）</w:t>
            </w:r>
            <w:r>
              <w:rPr>
                <w:rFonts w:hint="eastAsia" w:ascii="宋体" w:hAnsi="宋体" w:eastAsia="宋体" w:cs="宋体"/>
                <w:bCs/>
                <w:sz w:val="24"/>
                <w:szCs w:val="24"/>
              </w:rPr>
              <w:t>一个文件（里面是全部商务投标书），</w:t>
            </w:r>
            <w:r>
              <w:rPr>
                <w:rFonts w:hint="eastAsia" w:ascii="宋体" w:hAnsi="宋体" w:eastAsia="宋体" w:cs="宋体"/>
                <w:b/>
                <w:sz w:val="24"/>
                <w:szCs w:val="24"/>
              </w:rPr>
              <w:t>具体组成等详细要求见招标文件第三部分投标文件编制第三条。</w:t>
            </w:r>
          </w:p>
          <w:p w14:paraId="7500766A">
            <w:pPr>
              <w:ind w:firstLine="480" w:firstLineChars="200"/>
              <w:rPr>
                <w:rFonts w:hint="default" w:ascii="宋体" w:hAnsi="宋体" w:eastAsia="宋体" w:cs="宋体"/>
                <w:sz w:val="24"/>
                <w:szCs w:val="24"/>
                <w:lang w:val="en-US" w:eastAsia="zh-CN"/>
              </w:rPr>
            </w:pPr>
            <w:r>
              <w:rPr>
                <w:rFonts w:hint="eastAsia" w:ascii="宋体" w:hAnsi="宋体" w:eastAsia="宋体" w:cs="宋体"/>
                <w:bCs/>
                <w:color w:val="000000"/>
                <w:sz w:val="24"/>
                <w:szCs w:val="24"/>
              </w:rPr>
              <w:t>注意不按此要求提供投标文件的，投标文件做无效标处理。</w:t>
            </w:r>
            <w:r>
              <w:rPr>
                <w:rFonts w:hint="eastAsia" w:ascii="宋体" w:hAnsi="宋体" w:eastAsia="宋体" w:cs="宋体"/>
                <w:bCs/>
                <w:color w:val="000000"/>
                <w:sz w:val="24"/>
                <w:szCs w:val="24"/>
                <w:lang w:val="en-US" w:eastAsia="zh-CN"/>
              </w:rPr>
              <w:t>如线上开标不需要投递纸质文件。</w:t>
            </w:r>
          </w:p>
        </w:tc>
      </w:tr>
      <w:tr w14:paraId="064CC3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44A17174">
            <w:pPr>
              <w:jc w:val="center"/>
              <w:rPr>
                <w:rFonts w:hint="eastAsia" w:ascii="宋体" w:hAnsi="宋体" w:eastAsia="宋体" w:cs="宋体"/>
                <w:sz w:val="24"/>
                <w:szCs w:val="24"/>
              </w:rPr>
            </w:pPr>
            <w:r>
              <w:rPr>
                <w:rFonts w:hint="eastAsia" w:ascii="宋体" w:hAnsi="宋体" w:eastAsia="宋体" w:cs="宋体"/>
                <w:sz w:val="24"/>
                <w:szCs w:val="24"/>
              </w:rPr>
              <w:t>3.2</w:t>
            </w:r>
          </w:p>
        </w:tc>
        <w:tc>
          <w:tcPr>
            <w:tcW w:w="8363" w:type="dxa"/>
            <w:tcBorders>
              <w:top w:val="single" w:color="auto" w:sz="2" w:space="0"/>
              <w:left w:val="single" w:color="auto" w:sz="2" w:space="0"/>
              <w:bottom w:val="single" w:color="auto" w:sz="2" w:space="0"/>
              <w:right w:val="single" w:color="auto" w:sz="2" w:space="0"/>
            </w:tcBorders>
            <w:vAlign w:val="center"/>
          </w:tcPr>
          <w:p w14:paraId="40252226">
            <w:pPr>
              <w:ind w:firstLine="482" w:firstLineChars="200"/>
              <w:rPr>
                <w:rFonts w:hint="eastAsia" w:eastAsia="宋体" w:cs="宋体" w:asciiTheme="minorHAnsi" w:hAnsiTheme="minorHAnsi"/>
                <w:bCs/>
                <w:sz w:val="24"/>
                <w:szCs w:val="24"/>
                <w:lang w:val="en-US" w:eastAsia="zh-CN"/>
              </w:rPr>
            </w:pPr>
            <w:r>
              <w:rPr>
                <w:rFonts w:hint="eastAsia" w:eastAsia="宋体" w:cs="宋体"/>
                <w:b/>
                <w:sz w:val="24"/>
                <w:szCs w:val="24"/>
              </w:rPr>
              <w:t>投标方式：在中国重汽e采通平台应标成功后，进入“供应商投标”环节，投递盖章扫描版电子标书（包含资质标书、技术标书、商务标书），</w:t>
            </w:r>
            <w:r>
              <w:rPr>
                <w:rFonts w:ascii="宋体" w:hAnsi="宋体" w:eastAsia="宋体" w:cs="宋体"/>
                <w:sz w:val="24"/>
                <w:szCs w:val="24"/>
              </w:rPr>
              <w:t>若逾期未</w:t>
            </w:r>
            <w:r>
              <w:rPr>
                <w:rFonts w:hint="eastAsia" w:ascii="宋体" w:hAnsi="宋体" w:eastAsia="宋体" w:cs="宋体"/>
                <w:sz w:val="24"/>
                <w:szCs w:val="24"/>
              </w:rPr>
              <w:t>在中国</w:t>
            </w:r>
            <w:r>
              <w:rPr>
                <w:rFonts w:ascii="宋体" w:hAnsi="宋体" w:eastAsia="宋体" w:cs="宋体"/>
                <w:sz w:val="24"/>
                <w:szCs w:val="24"/>
              </w:rPr>
              <w:t>重汽e采通</w:t>
            </w:r>
            <w:r>
              <w:rPr>
                <w:rFonts w:hint="eastAsia" w:ascii="宋体" w:hAnsi="宋体" w:eastAsia="宋体" w:cs="宋体"/>
                <w:sz w:val="24"/>
                <w:szCs w:val="24"/>
              </w:rPr>
              <w:t>平台</w:t>
            </w:r>
            <w:r>
              <w:rPr>
                <w:rFonts w:ascii="宋体" w:hAnsi="宋体" w:eastAsia="宋体" w:cs="宋体"/>
                <w:sz w:val="24"/>
                <w:szCs w:val="24"/>
              </w:rPr>
              <w:t>上传</w:t>
            </w:r>
            <w:r>
              <w:rPr>
                <w:rFonts w:hint="eastAsia" w:ascii="宋体" w:hAnsi="宋体" w:eastAsia="宋体" w:cs="宋体"/>
                <w:sz w:val="24"/>
                <w:szCs w:val="24"/>
              </w:rPr>
              <w:t>电子</w:t>
            </w:r>
            <w:r>
              <w:rPr>
                <w:rFonts w:ascii="宋体" w:hAnsi="宋体" w:eastAsia="宋体" w:cs="宋体"/>
                <w:sz w:val="24"/>
                <w:szCs w:val="24"/>
              </w:rPr>
              <w:t>标书，即便递交了纸版投标文件，一律视为无效投标</w:t>
            </w:r>
            <w:r>
              <w:rPr>
                <w:rFonts w:hint="eastAsia" w:eastAsia="宋体" w:cs="宋体"/>
                <w:b/>
                <w:sz w:val="24"/>
                <w:szCs w:val="24"/>
              </w:rPr>
              <w:t>。</w:t>
            </w:r>
          </w:p>
        </w:tc>
      </w:tr>
      <w:tr w14:paraId="12BB1B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5178CC5B">
            <w:pPr>
              <w:jc w:val="center"/>
              <w:rPr>
                <w:rFonts w:hint="eastAsia" w:ascii="宋体" w:hAnsi="宋体" w:eastAsia="宋体" w:cs="宋体"/>
                <w:sz w:val="24"/>
                <w:szCs w:val="24"/>
              </w:rPr>
            </w:pPr>
            <w:r>
              <w:rPr>
                <w:rFonts w:hint="eastAsia" w:ascii="宋体" w:hAnsi="宋体" w:eastAsia="宋体" w:cs="宋体"/>
                <w:sz w:val="24"/>
                <w:szCs w:val="24"/>
              </w:rPr>
              <w:t>3.5</w:t>
            </w:r>
          </w:p>
        </w:tc>
        <w:tc>
          <w:tcPr>
            <w:tcW w:w="8363" w:type="dxa"/>
            <w:tcBorders>
              <w:top w:val="single" w:color="auto" w:sz="2" w:space="0"/>
              <w:left w:val="single" w:color="auto" w:sz="2" w:space="0"/>
              <w:bottom w:val="single" w:color="auto" w:sz="2" w:space="0"/>
              <w:right w:val="single" w:color="auto" w:sz="2" w:space="0"/>
            </w:tcBorders>
            <w:vAlign w:val="center"/>
          </w:tcPr>
          <w:p w14:paraId="5CFB9852">
            <w:pPr>
              <w:pStyle w:val="17"/>
              <w:ind w:firstLine="482" w:firstLineChars="200"/>
              <w:rPr>
                <w:rFonts w:hint="eastAsia" w:hAnsi="宋体" w:eastAsia="宋体" w:cs="宋体"/>
                <w:sz w:val="24"/>
                <w:szCs w:val="24"/>
                <w:highlight w:val="yellow"/>
              </w:rPr>
            </w:pPr>
            <w:r>
              <w:rPr>
                <w:rFonts w:hint="eastAsia" w:hAnsi="宋体" w:eastAsia="宋体" w:cs="宋体"/>
                <w:b/>
                <w:bCs/>
                <w:sz w:val="24"/>
                <w:szCs w:val="24"/>
              </w:rPr>
              <w:t>投标文件递交截止时间：</w:t>
            </w:r>
            <w:r>
              <w:rPr>
                <w:rFonts w:hint="eastAsia" w:hAnsi="宋体" w:eastAsia="宋体" w:cs="宋体"/>
                <w:sz w:val="24"/>
                <w:szCs w:val="24"/>
                <w:highlight w:val="yellow"/>
                <w:u w:val="single"/>
              </w:rPr>
              <w:t>2026</w:t>
            </w:r>
            <w:r>
              <w:rPr>
                <w:rFonts w:hint="eastAsia" w:hAnsi="宋体" w:eastAsia="宋体" w:cs="宋体"/>
                <w:sz w:val="24"/>
                <w:szCs w:val="24"/>
                <w:highlight w:val="yellow"/>
              </w:rPr>
              <w:t>年</w:t>
            </w:r>
            <w:r>
              <w:rPr>
                <w:rFonts w:hint="eastAsia" w:hAnsi="宋体" w:eastAsia="宋体" w:cs="宋体"/>
                <w:bCs/>
                <w:sz w:val="24"/>
                <w:szCs w:val="24"/>
                <w:highlight w:val="yellow"/>
                <w:u w:val="single"/>
                <w:lang w:val="en-US" w:eastAsia="zh-CN"/>
              </w:rPr>
              <w:t xml:space="preserve"> 10 </w:t>
            </w:r>
            <w:r>
              <w:rPr>
                <w:rFonts w:hint="eastAsia" w:hAnsi="宋体" w:eastAsia="宋体" w:cs="宋体"/>
                <w:sz w:val="24"/>
                <w:szCs w:val="24"/>
                <w:highlight w:val="yellow"/>
              </w:rPr>
              <w:t>月</w:t>
            </w:r>
            <w:r>
              <w:rPr>
                <w:rFonts w:hint="eastAsia" w:hAnsi="宋体" w:eastAsia="宋体" w:cs="宋体"/>
                <w:bCs/>
                <w:sz w:val="24"/>
                <w:szCs w:val="24"/>
                <w:highlight w:val="yellow"/>
                <w:u w:val="single"/>
                <w:lang w:val="en-US" w:eastAsia="zh-CN"/>
              </w:rPr>
              <w:t xml:space="preserve"> 11  </w:t>
            </w:r>
            <w:r>
              <w:rPr>
                <w:rFonts w:hint="eastAsia" w:hAnsi="宋体" w:eastAsia="宋体" w:cs="宋体"/>
                <w:sz w:val="24"/>
                <w:szCs w:val="24"/>
                <w:highlight w:val="yellow"/>
              </w:rPr>
              <w:t>日</w:t>
            </w:r>
            <w:r>
              <w:rPr>
                <w:rFonts w:hint="eastAsia" w:hAnsi="宋体" w:eastAsia="宋体" w:cs="宋体"/>
                <w:kern w:val="0"/>
                <w:sz w:val="24"/>
                <w:szCs w:val="24"/>
                <w:highlight w:val="yellow"/>
              </w:rPr>
              <w:t>上午9</w:t>
            </w:r>
            <w:r>
              <w:rPr>
                <w:rFonts w:hint="eastAsia" w:hAnsi="宋体" w:eastAsia="宋体" w:cs="宋体"/>
                <w:sz w:val="24"/>
                <w:szCs w:val="24"/>
                <w:highlight w:val="yellow"/>
              </w:rPr>
              <w:t>:00:00（北京时间）</w:t>
            </w:r>
          </w:p>
          <w:p w14:paraId="740DF3CA">
            <w:pPr>
              <w:pStyle w:val="17"/>
              <w:ind w:firstLine="482" w:firstLineChars="200"/>
              <w:rPr>
                <w:rFonts w:hint="eastAsia" w:hAnsi="宋体" w:eastAsia="宋体" w:cs="宋体"/>
                <w:sz w:val="24"/>
                <w:szCs w:val="24"/>
                <w:highlight w:val="yellow"/>
              </w:rPr>
            </w:pPr>
            <w:r>
              <w:rPr>
                <w:rFonts w:hint="eastAsia" w:hAnsi="宋体" w:eastAsia="宋体" w:cs="宋体"/>
                <w:b/>
                <w:bCs/>
                <w:sz w:val="24"/>
                <w:szCs w:val="24"/>
              </w:rPr>
              <w:t>注：请务必在投标文件递交截止时间前完成投标操作，截止时间精确到秒，逾期将无法投标。请自行掌握时间，避免无法投标</w:t>
            </w:r>
            <w:r>
              <w:rPr>
                <w:rFonts w:hint="eastAsia" w:eastAsia="宋体" w:cs="宋体"/>
                <w:b/>
                <w:bCs/>
                <w:sz w:val="24"/>
                <w:szCs w:val="28"/>
              </w:rPr>
              <w:t>。</w:t>
            </w:r>
          </w:p>
        </w:tc>
      </w:tr>
      <w:tr w14:paraId="7BA2A3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6C680073">
            <w:pPr>
              <w:jc w:val="center"/>
              <w:rPr>
                <w:rFonts w:hint="eastAsia" w:ascii="宋体" w:hAnsi="宋体" w:eastAsia="宋体" w:cs="宋体"/>
                <w:sz w:val="24"/>
                <w:szCs w:val="24"/>
              </w:rPr>
            </w:pPr>
            <w:r>
              <w:rPr>
                <w:rFonts w:hint="eastAsia" w:ascii="宋体" w:hAnsi="宋体" w:eastAsia="宋体" w:cs="宋体"/>
                <w:sz w:val="24"/>
                <w:szCs w:val="24"/>
              </w:rPr>
              <w:t>3.6</w:t>
            </w:r>
          </w:p>
        </w:tc>
        <w:tc>
          <w:tcPr>
            <w:tcW w:w="8363" w:type="dxa"/>
            <w:tcBorders>
              <w:top w:val="single" w:color="auto" w:sz="2" w:space="0"/>
              <w:left w:val="single" w:color="auto" w:sz="2" w:space="0"/>
              <w:bottom w:val="single" w:color="auto" w:sz="2" w:space="0"/>
              <w:right w:val="single" w:color="auto" w:sz="2" w:space="0"/>
            </w:tcBorders>
            <w:vAlign w:val="center"/>
          </w:tcPr>
          <w:p w14:paraId="0456A167">
            <w:pPr>
              <w:ind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投标文件有效期：</w:t>
            </w:r>
            <w:r>
              <w:rPr>
                <w:rFonts w:hint="eastAsia" w:ascii="宋体" w:hAnsi="宋体" w:eastAsia="宋体" w:cs="宋体"/>
                <w:sz w:val="24"/>
                <w:szCs w:val="24"/>
              </w:rPr>
              <w:t>自开标之日起90个日历日。</w:t>
            </w:r>
          </w:p>
        </w:tc>
      </w:tr>
      <w:tr w14:paraId="54171B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307B737F">
            <w:pPr>
              <w:jc w:val="center"/>
              <w:rPr>
                <w:rFonts w:hint="eastAsia" w:ascii="宋体" w:hAnsi="宋体" w:eastAsia="宋体" w:cs="宋体"/>
                <w:b/>
                <w:bCs/>
                <w:sz w:val="24"/>
                <w:szCs w:val="24"/>
              </w:rPr>
            </w:pPr>
            <w:r>
              <w:rPr>
                <w:rFonts w:hint="eastAsia" w:ascii="宋体" w:hAnsi="宋体" w:eastAsia="宋体" w:cs="宋体"/>
                <w:b/>
                <w:bCs/>
                <w:sz w:val="24"/>
                <w:szCs w:val="24"/>
              </w:rPr>
              <w:t>4.投标保证金及投标有效期</w:t>
            </w:r>
          </w:p>
        </w:tc>
      </w:tr>
      <w:tr w14:paraId="1ECCA5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186375E9">
            <w:pPr>
              <w:jc w:val="center"/>
              <w:rPr>
                <w:rFonts w:hint="eastAsia" w:ascii="宋体" w:hAnsi="宋体" w:eastAsia="宋体" w:cs="宋体"/>
                <w:sz w:val="24"/>
                <w:szCs w:val="24"/>
              </w:rPr>
            </w:pPr>
            <w:r>
              <w:rPr>
                <w:rFonts w:hint="eastAsia" w:ascii="宋体" w:hAnsi="宋体" w:eastAsia="宋体" w:cs="宋体"/>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123A70C7">
            <w:pPr>
              <w:ind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投标保证金的缴纳形式：</w:t>
            </w:r>
            <w:r>
              <w:rPr>
                <w:rFonts w:hint="eastAsia" w:ascii="宋体" w:hAnsi="宋体" w:eastAsia="宋体" w:cs="宋体"/>
                <w:sz w:val="24"/>
                <w:szCs w:val="24"/>
              </w:rPr>
              <w:t>电汇或网银</w:t>
            </w:r>
          </w:p>
        </w:tc>
      </w:tr>
      <w:tr w14:paraId="0FD810F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90" w:hRule="atLeast"/>
        </w:trPr>
        <w:tc>
          <w:tcPr>
            <w:tcW w:w="595" w:type="dxa"/>
            <w:tcBorders>
              <w:top w:val="single" w:color="auto" w:sz="2" w:space="0"/>
              <w:left w:val="single" w:color="auto" w:sz="2" w:space="0"/>
              <w:bottom w:val="single" w:color="auto" w:sz="2" w:space="0"/>
              <w:right w:val="single" w:color="auto" w:sz="2" w:space="0"/>
            </w:tcBorders>
            <w:vAlign w:val="center"/>
          </w:tcPr>
          <w:p w14:paraId="33AD44F6">
            <w:pPr>
              <w:jc w:val="center"/>
              <w:rPr>
                <w:rFonts w:hint="eastAsia" w:ascii="宋体" w:hAnsi="宋体" w:eastAsia="宋体" w:cs="宋体"/>
                <w:sz w:val="24"/>
                <w:szCs w:val="24"/>
                <w:highlight w:val="cyan"/>
              </w:rPr>
            </w:pPr>
            <w:r>
              <w:rPr>
                <w:rFonts w:hint="eastAsia" w:ascii="宋体" w:hAnsi="宋体" w:eastAsia="宋体" w:cs="宋体"/>
                <w:sz w:val="24"/>
                <w:szCs w:val="24"/>
              </w:rPr>
              <w:t>4.2</w:t>
            </w:r>
          </w:p>
        </w:tc>
        <w:tc>
          <w:tcPr>
            <w:tcW w:w="8363" w:type="dxa"/>
            <w:tcBorders>
              <w:top w:val="single" w:color="auto" w:sz="2" w:space="0"/>
              <w:left w:val="single" w:color="auto" w:sz="2" w:space="0"/>
              <w:bottom w:val="single" w:color="auto" w:sz="2" w:space="0"/>
              <w:right w:val="single" w:color="auto" w:sz="2" w:space="0"/>
            </w:tcBorders>
            <w:vAlign w:val="center"/>
          </w:tcPr>
          <w:p w14:paraId="157B9485">
            <w:pPr>
              <w:tabs>
                <w:tab w:val="left" w:pos="932"/>
              </w:tabs>
              <w:ind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投标保证金的金额：</w:t>
            </w:r>
            <w:r>
              <w:rPr>
                <w:rFonts w:hint="eastAsia" w:ascii="宋体" w:hAnsi="宋体" w:eastAsia="宋体" w:cs="宋体"/>
                <w:sz w:val="24"/>
                <w:szCs w:val="24"/>
              </w:rPr>
              <w:t>人民币5000.00元</w:t>
            </w:r>
          </w:p>
          <w:p w14:paraId="6F8C08DC">
            <w:pPr>
              <w:tabs>
                <w:tab w:val="left" w:pos="932"/>
              </w:tabs>
              <w:ind w:firstLine="482" w:firstLineChars="200"/>
              <w:rPr>
                <w:rFonts w:hint="eastAsia" w:ascii="宋体" w:hAnsi="宋体" w:eastAsia="宋体" w:cs="宋体"/>
                <w:color w:val="000000"/>
                <w:kern w:val="0"/>
                <w:sz w:val="24"/>
                <w:szCs w:val="24"/>
                <w:highlight w:val="yellow"/>
              </w:rPr>
            </w:pPr>
            <w:r>
              <w:rPr>
                <w:rFonts w:hint="eastAsia" w:ascii="宋体" w:hAnsi="宋体" w:eastAsia="宋体" w:cs="宋体"/>
                <w:b/>
                <w:bCs/>
                <w:color w:val="000000"/>
                <w:kern w:val="0"/>
                <w:sz w:val="24"/>
                <w:szCs w:val="24"/>
                <w:highlight w:val="yellow"/>
              </w:rPr>
              <w:t>开户名称：</w:t>
            </w:r>
            <w:r>
              <w:rPr>
                <w:rFonts w:hint="eastAsia" w:ascii="宋体" w:hAnsi="宋体" w:eastAsia="宋体" w:cs="宋体"/>
                <w:color w:val="000000"/>
                <w:kern w:val="0"/>
                <w:sz w:val="24"/>
                <w:szCs w:val="24"/>
              </w:rPr>
              <w:t>中国重汽集团济南商用车有限公司</w:t>
            </w:r>
          </w:p>
          <w:p w14:paraId="15683900">
            <w:pPr>
              <w:tabs>
                <w:tab w:val="left" w:pos="932"/>
              </w:tabs>
              <w:ind w:firstLine="482" w:firstLineChars="200"/>
              <w:rPr>
                <w:rFonts w:hint="eastAsia" w:ascii="宋体" w:hAnsi="宋体" w:eastAsia="宋体" w:cs="宋体"/>
                <w:color w:val="000000"/>
                <w:kern w:val="0"/>
                <w:sz w:val="24"/>
                <w:szCs w:val="24"/>
                <w:highlight w:val="yellow"/>
              </w:rPr>
            </w:pPr>
            <w:r>
              <w:rPr>
                <w:rFonts w:hint="eastAsia" w:ascii="宋体" w:hAnsi="宋体" w:eastAsia="宋体" w:cs="宋体"/>
                <w:b/>
                <w:bCs/>
                <w:color w:val="000000"/>
                <w:kern w:val="0"/>
                <w:sz w:val="24"/>
                <w:szCs w:val="24"/>
                <w:highlight w:val="yellow"/>
              </w:rPr>
              <w:t>开户银行：</w:t>
            </w:r>
            <w:r>
              <w:rPr>
                <w:rFonts w:hint="eastAsia" w:ascii="宋体" w:hAnsi="宋体" w:eastAsia="宋体" w:cs="宋体"/>
                <w:color w:val="000000"/>
                <w:kern w:val="0"/>
                <w:sz w:val="24"/>
                <w:szCs w:val="24"/>
                <w:highlight w:val="yellow"/>
              </w:rPr>
              <w:t>中国银行股份有限公司章丘支行</w:t>
            </w:r>
          </w:p>
          <w:p w14:paraId="646A37A3">
            <w:pPr>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highlight w:val="yellow"/>
              </w:rPr>
              <w:t>银行帐号：</w:t>
            </w:r>
            <w:r>
              <w:rPr>
                <w:rFonts w:hint="eastAsia" w:ascii="宋体" w:hAnsi="宋体" w:eastAsia="宋体" w:cs="宋体"/>
                <w:color w:val="000000"/>
                <w:kern w:val="0"/>
                <w:sz w:val="24"/>
                <w:szCs w:val="24"/>
                <w:highlight w:val="yellow"/>
              </w:rPr>
              <w:t>226005574527</w:t>
            </w:r>
          </w:p>
          <w:p w14:paraId="020779C5">
            <w:pPr>
              <w:ind w:firstLine="482" w:firstLineChars="200"/>
              <w:rPr>
                <w:rFonts w:hint="eastAsia" w:ascii="宋体" w:hAnsi="宋体" w:eastAsia="宋体" w:cs="宋体"/>
                <w:sz w:val="24"/>
                <w:szCs w:val="24"/>
                <w:highlight w:val="yellow"/>
              </w:rPr>
            </w:pPr>
            <w:r>
              <w:rPr>
                <w:rFonts w:hint="eastAsia" w:ascii="宋体" w:hAnsi="宋体" w:eastAsia="宋体" w:cs="宋体"/>
                <w:b/>
                <w:bCs/>
                <w:color w:val="000000"/>
                <w:kern w:val="0"/>
                <w:sz w:val="24"/>
                <w:szCs w:val="24"/>
                <w:highlight w:val="yellow"/>
              </w:rPr>
              <w:t>联行号：</w:t>
            </w:r>
            <w:r>
              <w:rPr>
                <w:rFonts w:hint="eastAsia" w:ascii="宋体" w:hAnsi="宋体" w:eastAsia="宋体" w:cs="宋体"/>
                <w:color w:val="auto"/>
                <w:kern w:val="0"/>
                <w:sz w:val="24"/>
                <w:szCs w:val="24"/>
                <w:highlight w:val="yellow"/>
              </w:rPr>
              <w:t>104451040689</w:t>
            </w:r>
          </w:p>
          <w:p w14:paraId="65097378">
            <w:pPr>
              <w:ind w:firstLine="480" w:firstLineChars="200"/>
              <w:rPr>
                <w:rFonts w:hint="eastAsia" w:ascii="宋体" w:hAnsi="宋体" w:eastAsia="宋体" w:cs="宋体"/>
                <w:sz w:val="24"/>
                <w:szCs w:val="24"/>
                <w:highlight w:val="yellow"/>
              </w:rPr>
            </w:pPr>
            <w:r>
              <w:rPr>
                <w:rFonts w:hint="eastAsia" w:ascii="宋体" w:hAnsi="宋体" w:eastAsia="宋体" w:cs="宋体"/>
                <w:sz w:val="24"/>
                <w:szCs w:val="24"/>
                <w:highlight w:val="yellow"/>
              </w:rPr>
              <w:t>投标保证金应从投标人的基本账户转出至上述账户并到账，</w:t>
            </w:r>
            <w:r>
              <w:rPr>
                <w:rFonts w:hint="eastAsia" w:ascii="宋体" w:hAnsi="宋体" w:eastAsia="宋体" w:cs="宋体"/>
                <w:sz w:val="24"/>
                <w:szCs w:val="24"/>
                <w:highlight w:val="yellow"/>
                <w:lang w:val="en-US" w:eastAsia="zh-CN"/>
              </w:rPr>
              <w:t>并将银行回单上传至资质标中，</w:t>
            </w:r>
            <w:r>
              <w:rPr>
                <w:rFonts w:hint="eastAsia" w:ascii="宋体" w:hAnsi="宋体" w:eastAsia="宋体" w:cs="宋体"/>
                <w:sz w:val="24"/>
                <w:szCs w:val="24"/>
                <w:highlight w:val="yellow"/>
              </w:rPr>
              <w:t>否则视为无效投标。</w:t>
            </w:r>
          </w:p>
          <w:p w14:paraId="5BF393DF">
            <w:pPr>
              <w:ind w:firstLine="480" w:firstLineChars="200"/>
              <w:rPr>
                <w:rFonts w:hint="eastAsia" w:ascii="宋体" w:hAnsi="宋体" w:eastAsia="宋体" w:cs="宋体"/>
                <w:sz w:val="24"/>
                <w:szCs w:val="24"/>
                <w:highlight w:val="cyan"/>
              </w:rPr>
            </w:pPr>
            <w:r>
              <w:rPr>
                <w:rFonts w:hint="eastAsia" w:eastAsia="宋体" w:cs="Times New Roman"/>
                <w:sz w:val="24"/>
                <w:szCs w:val="28"/>
                <w:highlight w:val="yellow"/>
              </w:rPr>
              <w:t>转账附言：</w:t>
            </w:r>
            <w:r>
              <w:rPr>
                <w:rFonts w:hint="eastAsia" w:eastAsia="宋体" w:cs="Times New Roman"/>
                <w:color w:val="FF0000"/>
                <w:sz w:val="24"/>
                <w:szCs w:val="28"/>
                <w:highlight w:val="yellow"/>
              </w:rPr>
              <w:t>公司名称+项目名称+投标保证金</w:t>
            </w:r>
            <w:r>
              <w:rPr>
                <w:rFonts w:hint="eastAsia" w:eastAsia="宋体" w:cs="Times New Roman"/>
                <w:sz w:val="24"/>
                <w:szCs w:val="28"/>
                <w:highlight w:val="yellow"/>
              </w:rPr>
              <w:t>。</w:t>
            </w:r>
          </w:p>
        </w:tc>
      </w:tr>
      <w:tr w14:paraId="1383D5F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7CBC8287">
            <w:pPr>
              <w:jc w:val="center"/>
              <w:rPr>
                <w:rFonts w:hint="eastAsia" w:ascii="宋体" w:hAnsi="宋体" w:eastAsia="宋体" w:cs="宋体"/>
                <w:sz w:val="24"/>
                <w:szCs w:val="24"/>
              </w:rPr>
            </w:pPr>
            <w:r>
              <w:rPr>
                <w:rFonts w:hint="eastAsia" w:ascii="宋体" w:hAnsi="宋体" w:eastAsia="宋体" w:cs="宋体"/>
                <w:sz w:val="24"/>
                <w:szCs w:val="24"/>
              </w:rPr>
              <w:t>4.3</w:t>
            </w:r>
          </w:p>
        </w:tc>
        <w:tc>
          <w:tcPr>
            <w:tcW w:w="8363" w:type="dxa"/>
            <w:tcBorders>
              <w:top w:val="single" w:color="auto" w:sz="2" w:space="0"/>
              <w:left w:val="single" w:color="auto" w:sz="2" w:space="0"/>
              <w:bottom w:val="single" w:color="auto" w:sz="2" w:space="0"/>
              <w:right w:val="single" w:color="auto" w:sz="2" w:space="0"/>
            </w:tcBorders>
            <w:vAlign w:val="center"/>
          </w:tcPr>
          <w:p w14:paraId="6F2B60E5">
            <w:pPr>
              <w:pStyle w:val="36"/>
              <w:spacing w:after="0" w:line="240" w:lineRule="auto"/>
              <w:ind w:left="0" w:leftChars="0" w:firstLine="482"/>
              <w:rPr>
                <w:rFonts w:hint="eastAsia" w:ascii="宋体" w:hAnsi="宋体" w:cs="宋体"/>
                <w:sz w:val="24"/>
                <w:szCs w:val="24"/>
              </w:rPr>
            </w:pPr>
            <w:r>
              <w:rPr>
                <w:rFonts w:hint="eastAsia" w:ascii="宋体" w:hAnsi="宋体" w:cs="宋体"/>
                <w:b/>
                <w:bCs/>
                <w:sz w:val="24"/>
                <w:szCs w:val="24"/>
              </w:rPr>
              <w:t>保证金缴纳截止时间：</w:t>
            </w:r>
            <w:r>
              <w:rPr>
                <w:rFonts w:hint="eastAsia" w:ascii="宋体" w:hAnsi="宋体" w:cs="宋体"/>
                <w:sz w:val="24"/>
                <w:szCs w:val="24"/>
                <w:highlight w:val="yellow"/>
              </w:rPr>
              <w:t>（同应标截止时间）</w:t>
            </w:r>
          </w:p>
          <w:p w14:paraId="7FBC919F">
            <w:pPr>
              <w:pStyle w:val="36"/>
              <w:spacing w:after="0" w:line="240" w:lineRule="auto"/>
              <w:ind w:left="0" w:leftChars="0" w:firstLine="480"/>
              <w:rPr>
                <w:rFonts w:hint="eastAsia" w:ascii="宋体" w:hAnsi="宋体" w:cs="宋体"/>
                <w:sz w:val="24"/>
                <w:szCs w:val="24"/>
              </w:rPr>
            </w:pPr>
            <w:r>
              <w:rPr>
                <w:rFonts w:hint="eastAsia" w:ascii="宋体" w:hAnsi="宋体" w:cs="宋体"/>
                <w:sz w:val="24"/>
                <w:szCs w:val="24"/>
              </w:rPr>
              <w:t>供应商应充分考虑银行信息交换时间，由此带来的保证金不能按时到帐的责任由供应商自行承担。</w:t>
            </w:r>
          </w:p>
        </w:tc>
      </w:tr>
      <w:tr w14:paraId="33ABF5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060EE56F">
            <w:pPr>
              <w:jc w:val="center"/>
              <w:rPr>
                <w:rFonts w:hint="eastAsia" w:ascii="宋体" w:hAnsi="宋体" w:eastAsia="宋体" w:cs="宋体"/>
                <w:sz w:val="24"/>
                <w:szCs w:val="24"/>
              </w:rPr>
            </w:pPr>
            <w:r>
              <w:rPr>
                <w:rFonts w:hint="eastAsia" w:ascii="宋体" w:hAnsi="宋体" w:eastAsia="宋体" w:cs="宋体"/>
                <w:sz w:val="24"/>
                <w:szCs w:val="24"/>
              </w:rPr>
              <w:t>4.4</w:t>
            </w:r>
          </w:p>
        </w:tc>
        <w:tc>
          <w:tcPr>
            <w:tcW w:w="8363" w:type="dxa"/>
            <w:tcBorders>
              <w:top w:val="single" w:color="auto" w:sz="2" w:space="0"/>
              <w:left w:val="single" w:color="auto" w:sz="2" w:space="0"/>
              <w:bottom w:val="single" w:color="auto" w:sz="2" w:space="0"/>
              <w:right w:val="single" w:color="auto" w:sz="2" w:space="0"/>
            </w:tcBorders>
            <w:vAlign w:val="center"/>
          </w:tcPr>
          <w:p w14:paraId="12303046">
            <w:pPr>
              <w:spacing w:beforeLines="0" w:afterLines="0"/>
              <w:ind w:firstLine="480" w:firstLineChars="200"/>
              <w:jc w:val="left"/>
              <w:rPr>
                <w:rFonts w:hint="eastAsia" w:ascii="宋体" w:hAnsi="宋体" w:cs="宋体"/>
                <w:sz w:val="24"/>
                <w:szCs w:val="24"/>
              </w:rPr>
            </w:pPr>
            <w:r>
              <w:rPr>
                <w:rFonts w:hint="eastAsia" w:ascii="宋体" w:hAnsi="宋体" w:cs="宋体"/>
                <w:sz w:val="24"/>
                <w:szCs w:val="24"/>
              </w:rPr>
              <w:t>对于没有中标的投标人，投标保证金将于招标人内部完成中标人评审并确认最终中标人后在30工作日内予以原路返还（无息）；对于中标方，投标保证金将在签订合同后30个工作日内原路返还（无息）、或根据合同中的约定将投标保证金转为履约保证金。</w:t>
            </w:r>
          </w:p>
        </w:tc>
      </w:tr>
      <w:tr w14:paraId="292B9E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33E1855">
            <w:pPr>
              <w:jc w:val="center"/>
              <w:rPr>
                <w:rFonts w:hint="eastAsia" w:ascii="宋体" w:hAnsi="宋体" w:eastAsia="宋体" w:cs="宋体"/>
                <w:b/>
                <w:bCs/>
                <w:sz w:val="24"/>
                <w:szCs w:val="24"/>
              </w:rPr>
            </w:pPr>
            <w:r>
              <w:rPr>
                <w:rFonts w:hint="eastAsia" w:ascii="宋体" w:hAnsi="宋体" w:eastAsia="宋体" w:cs="宋体"/>
                <w:b/>
                <w:bCs/>
                <w:sz w:val="24"/>
                <w:szCs w:val="24"/>
              </w:rPr>
              <w:t>5.开评标</w:t>
            </w:r>
          </w:p>
        </w:tc>
      </w:tr>
      <w:tr w14:paraId="3250D9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3" w:hRule="atLeast"/>
        </w:trPr>
        <w:tc>
          <w:tcPr>
            <w:tcW w:w="595" w:type="dxa"/>
            <w:tcBorders>
              <w:top w:val="single" w:color="auto" w:sz="2" w:space="0"/>
              <w:left w:val="single" w:color="auto" w:sz="2" w:space="0"/>
              <w:bottom w:val="single" w:color="auto" w:sz="2" w:space="0"/>
              <w:right w:val="single" w:color="auto" w:sz="2" w:space="0"/>
            </w:tcBorders>
            <w:vAlign w:val="center"/>
          </w:tcPr>
          <w:p w14:paraId="5E51BD23">
            <w:pPr>
              <w:jc w:val="center"/>
              <w:rPr>
                <w:rFonts w:hint="eastAsia" w:ascii="宋体" w:hAnsi="宋体" w:eastAsia="宋体" w:cs="宋体"/>
                <w:sz w:val="24"/>
                <w:szCs w:val="24"/>
              </w:rPr>
            </w:pPr>
            <w:r>
              <w:rPr>
                <w:rFonts w:hint="eastAsia" w:ascii="宋体" w:hAnsi="宋体" w:eastAsia="宋体" w:cs="宋体"/>
                <w:sz w:val="24"/>
                <w:szCs w:val="24"/>
              </w:rPr>
              <w:t>5.1</w:t>
            </w:r>
          </w:p>
        </w:tc>
        <w:tc>
          <w:tcPr>
            <w:tcW w:w="8363" w:type="dxa"/>
            <w:tcBorders>
              <w:top w:val="single" w:color="auto" w:sz="2" w:space="0"/>
              <w:left w:val="single" w:color="auto" w:sz="2" w:space="0"/>
              <w:bottom w:val="single" w:color="auto" w:sz="2" w:space="0"/>
              <w:right w:val="single" w:color="auto" w:sz="2" w:space="0"/>
            </w:tcBorders>
            <w:vAlign w:val="center"/>
          </w:tcPr>
          <w:p w14:paraId="449D731B">
            <w:pPr>
              <w:ind w:firstLine="482" w:firstLineChars="200"/>
              <w:rPr>
                <w:rFonts w:hint="eastAsia" w:ascii="宋体" w:hAnsi="宋体" w:eastAsia="宋体" w:cs="宋体"/>
                <w:sz w:val="24"/>
                <w:szCs w:val="24"/>
              </w:rPr>
            </w:pPr>
            <w:r>
              <w:rPr>
                <w:rFonts w:hint="eastAsia" w:ascii="宋体" w:hAnsi="宋体" w:eastAsia="宋体" w:cs="宋体"/>
                <w:b/>
                <w:bCs/>
                <w:sz w:val="24"/>
                <w:szCs w:val="24"/>
              </w:rPr>
              <w:t>开标时间：</w:t>
            </w:r>
            <w:r>
              <w:rPr>
                <w:rFonts w:hint="eastAsia" w:ascii="宋体" w:hAnsi="宋体" w:cs="宋体"/>
                <w:sz w:val="24"/>
                <w:szCs w:val="24"/>
                <w:highlight w:val="yellow"/>
              </w:rPr>
              <w:t>20</w:t>
            </w:r>
            <w:r>
              <w:rPr>
                <w:rFonts w:ascii="宋体" w:hAnsi="宋体" w:cs="宋体"/>
                <w:sz w:val="24"/>
                <w:szCs w:val="24"/>
                <w:highlight w:val="yellow"/>
              </w:rPr>
              <w:t>2</w:t>
            </w:r>
            <w:r>
              <w:rPr>
                <w:rFonts w:hint="eastAsia" w:ascii="宋体" w:hAnsi="宋体" w:cs="宋体"/>
                <w:sz w:val="24"/>
                <w:szCs w:val="24"/>
                <w:highlight w:val="yellow"/>
              </w:rPr>
              <w:t>6年</w:t>
            </w:r>
            <w:r>
              <w:rPr>
                <w:rFonts w:hint="eastAsia" w:ascii="宋体" w:hAnsi="宋体" w:eastAsia="宋体" w:cs="宋体"/>
                <w:bCs/>
                <w:sz w:val="24"/>
                <w:szCs w:val="24"/>
                <w:highlight w:val="yellow"/>
                <w:u w:val="single"/>
                <w:lang w:val="en-US" w:eastAsia="zh-CN"/>
              </w:rPr>
              <w:t xml:space="preserve"> 10 </w:t>
            </w:r>
            <w:r>
              <w:rPr>
                <w:rFonts w:hint="eastAsia" w:ascii="宋体" w:hAnsi="宋体" w:cs="宋体"/>
                <w:sz w:val="24"/>
                <w:szCs w:val="24"/>
                <w:highlight w:val="yellow"/>
              </w:rPr>
              <w:t>月</w:t>
            </w:r>
            <w:r>
              <w:rPr>
                <w:rFonts w:hint="eastAsia" w:ascii="宋体" w:hAnsi="宋体" w:cs="宋体"/>
                <w:sz w:val="24"/>
                <w:szCs w:val="24"/>
                <w:highlight w:val="yellow"/>
                <w:u w:val="single"/>
                <w:lang w:val="en-US" w:eastAsia="zh-CN"/>
              </w:rPr>
              <w:t xml:space="preserve"> 11</w:t>
            </w:r>
            <w:r>
              <w:rPr>
                <w:rFonts w:hint="eastAsia" w:ascii="宋体" w:hAnsi="宋体" w:eastAsia="宋体" w:cs="宋体"/>
                <w:bCs/>
                <w:sz w:val="24"/>
                <w:szCs w:val="24"/>
                <w:highlight w:val="yellow"/>
                <w:u w:val="single"/>
                <w:lang w:val="en-US" w:eastAsia="zh-CN"/>
              </w:rPr>
              <w:t xml:space="preserve">  </w:t>
            </w:r>
            <w:r>
              <w:rPr>
                <w:rFonts w:hint="eastAsia" w:ascii="宋体" w:hAnsi="宋体" w:cs="宋体"/>
                <w:sz w:val="24"/>
                <w:szCs w:val="24"/>
                <w:highlight w:val="yellow"/>
              </w:rPr>
              <w:t>日9:</w:t>
            </w:r>
            <w:r>
              <w:rPr>
                <w:rFonts w:hint="eastAsia" w:ascii="宋体" w:hAnsi="宋体" w:cs="宋体"/>
                <w:sz w:val="24"/>
                <w:szCs w:val="24"/>
                <w:highlight w:val="yellow"/>
                <w:lang w:val="en-US" w:eastAsia="zh-CN"/>
              </w:rPr>
              <w:t>3</w:t>
            </w:r>
            <w:r>
              <w:rPr>
                <w:rFonts w:hint="eastAsia" w:ascii="宋体" w:hAnsi="宋体" w:cs="宋体"/>
                <w:sz w:val="24"/>
                <w:szCs w:val="24"/>
                <w:highlight w:val="yellow"/>
              </w:rPr>
              <w:t>0:00</w:t>
            </w:r>
            <w:r>
              <w:rPr>
                <w:rFonts w:hint="eastAsia" w:ascii="宋体" w:hAnsi="宋体" w:cs="宋体"/>
                <w:sz w:val="24"/>
                <w:szCs w:val="24"/>
                <w:highlight w:val="yellow"/>
                <w:lang w:eastAsia="zh-CN"/>
              </w:rPr>
              <w:t>（</w:t>
            </w:r>
            <w:r>
              <w:rPr>
                <w:rFonts w:hint="eastAsia" w:ascii="宋体" w:hAnsi="宋体" w:cs="宋体"/>
                <w:sz w:val="24"/>
                <w:szCs w:val="24"/>
                <w:highlight w:val="yellow"/>
                <w:lang w:val="en-US" w:eastAsia="zh-CN"/>
              </w:rPr>
              <w:t>暂定</w:t>
            </w:r>
            <w:r>
              <w:rPr>
                <w:rFonts w:hint="eastAsia" w:ascii="宋体" w:hAnsi="宋体" w:cs="宋体"/>
                <w:sz w:val="24"/>
                <w:szCs w:val="24"/>
                <w:highlight w:val="yellow"/>
                <w:lang w:eastAsia="zh-CN"/>
              </w:rPr>
              <w:t>）</w:t>
            </w:r>
            <w:r>
              <w:rPr>
                <w:rFonts w:hint="eastAsia" w:ascii="宋体" w:hAnsi="宋体" w:eastAsia="宋体" w:cs="宋体"/>
                <w:kern w:val="0"/>
                <w:sz w:val="24"/>
                <w:szCs w:val="24"/>
                <w:highlight w:val="yellow"/>
              </w:rPr>
              <w:t>。</w:t>
            </w:r>
          </w:p>
          <w:p w14:paraId="4DA9D282">
            <w:pPr>
              <w:ind w:firstLine="482" w:firstLineChars="200"/>
              <w:rPr>
                <w:rFonts w:hint="eastAsia" w:ascii="宋体" w:hAnsi="宋体" w:eastAsia="宋体" w:cs="宋体"/>
                <w:sz w:val="24"/>
                <w:szCs w:val="24"/>
                <w:lang w:eastAsia="zh-CN"/>
              </w:rPr>
            </w:pPr>
            <w:r>
              <w:rPr>
                <w:rFonts w:hint="eastAsia" w:ascii="宋体" w:hAnsi="宋体" w:eastAsia="宋体" w:cs="宋体"/>
                <w:b/>
                <w:bCs/>
                <w:sz w:val="24"/>
                <w:szCs w:val="24"/>
              </w:rPr>
              <w:t>开标地点：</w:t>
            </w:r>
            <w:r>
              <w:rPr>
                <w:rFonts w:hint="eastAsia" w:ascii="宋体" w:hAnsi="宋体" w:eastAsia="宋体" w:cs="宋体"/>
                <w:sz w:val="24"/>
                <w:szCs w:val="24"/>
                <w:highlight w:val="yellow"/>
                <w:lang w:val="en-US" w:eastAsia="zh-CN"/>
              </w:rPr>
              <w:t>线上</w:t>
            </w:r>
          </w:p>
        </w:tc>
      </w:tr>
      <w:tr w14:paraId="2F0D604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3C67EF25">
            <w:pPr>
              <w:jc w:val="center"/>
              <w:rPr>
                <w:rFonts w:hint="eastAsia" w:ascii="宋体" w:hAnsi="宋体" w:eastAsia="宋体" w:cs="宋体"/>
                <w:sz w:val="24"/>
                <w:szCs w:val="24"/>
              </w:rPr>
            </w:pPr>
            <w:r>
              <w:rPr>
                <w:rFonts w:hint="eastAsia" w:ascii="宋体" w:hAnsi="宋体" w:eastAsia="宋体" w:cs="宋体"/>
                <w:sz w:val="24"/>
                <w:szCs w:val="24"/>
              </w:rPr>
              <w:t>5.2</w:t>
            </w:r>
          </w:p>
        </w:tc>
        <w:tc>
          <w:tcPr>
            <w:tcW w:w="8363" w:type="dxa"/>
            <w:tcBorders>
              <w:top w:val="single" w:color="auto" w:sz="2" w:space="0"/>
              <w:left w:val="single" w:color="auto" w:sz="2" w:space="0"/>
              <w:bottom w:val="single" w:color="auto" w:sz="2" w:space="0"/>
              <w:right w:val="single" w:color="auto" w:sz="2" w:space="0"/>
            </w:tcBorders>
            <w:vAlign w:val="center"/>
          </w:tcPr>
          <w:p w14:paraId="5AC4417A">
            <w:pPr>
              <w:pStyle w:val="10"/>
              <w:ind w:firstLine="482" w:firstLineChars="200"/>
              <w:rPr>
                <w:rFonts w:hint="eastAsia" w:ascii="宋体" w:hAnsi="宋体" w:eastAsia="宋体" w:cs="宋体"/>
                <w:sz w:val="24"/>
                <w:szCs w:val="24"/>
              </w:rPr>
            </w:pPr>
            <w:r>
              <w:rPr>
                <w:rFonts w:hint="eastAsia" w:ascii="宋体" w:hAnsi="宋体" w:eastAsia="宋体" w:cs="宋体"/>
                <w:b/>
                <w:bCs/>
                <w:sz w:val="24"/>
                <w:szCs w:val="24"/>
              </w:rPr>
              <w:t>评标方法：资质标审核→唱标→技术标评审→商务标评审。</w:t>
            </w:r>
            <w:r>
              <w:rPr>
                <w:rFonts w:hint="eastAsia" w:ascii="宋体" w:hAnsi="宋体" w:eastAsia="宋体" w:cs="宋体"/>
                <w:sz w:val="24"/>
                <w:szCs w:val="24"/>
              </w:rPr>
              <w:t>具体详见“第二部分投标须知第六条：评标原则”</w:t>
            </w:r>
          </w:p>
        </w:tc>
      </w:tr>
      <w:tr w14:paraId="75424D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2F04D5DA">
            <w:pPr>
              <w:jc w:val="center"/>
              <w:rPr>
                <w:rFonts w:hint="eastAsia" w:ascii="宋体" w:hAnsi="宋体" w:eastAsia="宋体" w:cs="宋体"/>
                <w:sz w:val="24"/>
                <w:szCs w:val="24"/>
              </w:rPr>
            </w:pPr>
            <w:r>
              <w:rPr>
                <w:rFonts w:hint="eastAsia" w:ascii="宋体" w:hAnsi="宋体" w:eastAsia="宋体" w:cs="宋体"/>
                <w:b/>
                <w:bCs/>
                <w:sz w:val="24"/>
                <w:szCs w:val="24"/>
              </w:rPr>
              <w:t>6.合同签订</w:t>
            </w:r>
          </w:p>
        </w:tc>
      </w:tr>
      <w:tr w14:paraId="6A6B27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3AF83334">
            <w:pPr>
              <w:jc w:val="center"/>
              <w:rPr>
                <w:rFonts w:hint="eastAsia" w:ascii="宋体" w:hAnsi="宋体" w:eastAsia="宋体" w:cs="宋体"/>
                <w:sz w:val="24"/>
                <w:szCs w:val="24"/>
              </w:rPr>
            </w:pPr>
            <w:r>
              <w:rPr>
                <w:rFonts w:hint="eastAsia" w:ascii="宋体" w:hAnsi="宋体" w:eastAsia="宋体" w:cs="宋体"/>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74DD0B3A">
            <w:pPr>
              <w:ind w:firstLine="480" w:firstLineChars="200"/>
              <w:rPr>
                <w:rFonts w:hint="eastAsia" w:ascii="宋体" w:hAnsi="宋体" w:eastAsia="宋体" w:cs="宋体"/>
                <w:sz w:val="24"/>
                <w:szCs w:val="24"/>
              </w:rPr>
            </w:pPr>
            <w:r>
              <w:rPr>
                <w:rFonts w:hint="eastAsia" w:ascii="宋体" w:hAnsi="宋体" w:eastAsia="宋体" w:cs="宋体"/>
                <w:sz w:val="24"/>
                <w:szCs w:val="24"/>
              </w:rPr>
              <w:t>见第二部分投标须知第七条。</w:t>
            </w:r>
          </w:p>
        </w:tc>
      </w:tr>
      <w:tr w14:paraId="3D608AF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5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0980C8A">
            <w:pPr>
              <w:jc w:val="center"/>
              <w:rPr>
                <w:rFonts w:hint="eastAsia" w:ascii="宋体" w:hAnsi="宋体" w:eastAsia="宋体" w:cs="宋体"/>
                <w:b/>
                <w:bCs/>
                <w:sz w:val="24"/>
                <w:szCs w:val="24"/>
              </w:rPr>
            </w:pPr>
            <w:r>
              <w:rPr>
                <w:rFonts w:hint="eastAsia" w:ascii="宋体" w:hAnsi="宋体" w:eastAsia="宋体" w:cs="宋体"/>
                <w:b/>
                <w:bCs/>
                <w:sz w:val="24"/>
                <w:szCs w:val="24"/>
              </w:rPr>
              <w:t>7.交货期及付款方式</w:t>
            </w:r>
          </w:p>
        </w:tc>
      </w:tr>
      <w:tr w14:paraId="13A389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8" w:hRule="atLeast"/>
        </w:trPr>
        <w:tc>
          <w:tcPr>
            <w:tcW w:w="595" w:type="dxa"/>
            <w:tcBorders>
              <w:top w:val="single" w:color="auto" w:sz="2" w:space="0"/>
              <w:left w:val="single" w:color="auto" w:sz="2" w:space="0"/>
              <w:bottom w:val="single" w:color="auto" w:sz="2" w:space="0"/>
              <w:right w:val="single" w:color="auto" w:sz="2" w:space="0"/>
            </w:tcBorders>
            <w:vAlign w:val="center"/>
          </w:tcPr>
          <w:p w14:paraId="49FDB471">
            <w:pPr>
              <w:jc w:val="center"/>
              <w:rPr>
                <w:rFonts w:hint="eastAsia" w:ascii="宋体" w:hAnsi="宋体" w:eastAsia="宋体" w:cs="宋体"/>
                <w:sz w:val="24"/>
                <w:szCs w:val="24"/>
              </w:rPr>
            </w:pPr>
            <w:r>
              <w:rPr>
                <w:rFonts w:hint="eastAsia" w:ascii="宋体" w:hAnsi="宋体" w:eastAsia="宋体" w:cs="宋体"/>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2FAD46F2">
            <w:pPr>
              <w:pStyle w:val="17"/>
              <w:ind w:firstLine="482" w:firstLineChars="200"/>
              <w:rPr>
                <w:rFonts w:hint="eastAsia" w:hAnsi="宋体" w:eastAsia="宋体" w:cs="宋体"/>
                <w:b/>
                <w:bCs/>
                <w:color w:val="000000"/>
                <w:sz w:val="24"/>
                <w:szCs w:val="24"/>
              </w:rPr>
            </w:pPr>
            <w:r>
              <w:rPr>
                <w:rFonts w:hint="eastAsia" w:hAnsi="宋体" w:eastAsia="宋体" w:cs="宋体"/>
                <w:b/>
                <w:bCs/>
                <w:color w:val="000000"/>
                <w:sz w:val="24"/>
                <w:szCs w:val="24"/>
              </w:rPr>
              <w:t>交货期：</w:t>
            </w:r>
          </w:p>
          <w:p w14:paraId="268C579E">
            <w:pPr>
              <w:pStyle w:val="17"/>
              <w:ind w:left="479" w:leftChars="228"/>
              <w:rPr>
                <w:rFonts w:hint="eastAsia" w:hAnsi="宋体" w:eastAsia="宋体" w:cs="宋体"/>
                <w:sz w:val="24"/>
                <w:szCs w:val="24"/>
              </w:rPr>
            </w:pPr>
            <w:r>
              <w:rPr>
                <w:rFonts w:hAnsi="宋体" w:eastAsia="宋体" w:cs="宋体"/>
                <w:sz w:val="24"/>
                <w:szCs w:val="24"/>
              </w:rPr>
              <w:t>自中标通知书下发之日起，</w:t>
            </w:r>
            <w:r>
              <w:rPr>
                <w:rFonts w:hint="eastAsia" w:hAnsi="宋体" w:eastAsia="宋体" w:cs="宋体"/>
                <w:sz w:val="24"/>
                <w:szCs w:val="24"/>
                <w:lang w:val="en-US" w:eastAsia="zh-CN"/>
              </w:rPr>
              <w:t>15个日历日内</w:t>
            </w:r>
            <w:r>
              <w:rPr>
                <w:rFonts w:hAnsi="宋体" w:eastAsia="宋体" w:cs="宋体"/>
                <w:sz w:val="24"/>
                <w:szCs w:val="24"/>
              </w:rPr>
              <w:t>交货至供货地点。</w:t>
            </w:r>
          </w:p>
          <w:p w14:paraId="3760050A">
            <w:pPr>
              <w:pStyle w:val="17"/>
              <w:ind w:left="479" w:leftChars="228"/>
              <w:rPr>
                <w:rFonts w:hint="eastAsia" w:hAnsi="宋体" w:eastAsia="宋体" w:cs="宋体"/>
                <w:sz w:val="24"/>
                <w:szCs w:val="24"/>
              </w:rPr>
            </w:pPr>
            <w:r>
              <w:rPr>
                <w:rFonts w:hint="eastAsia" w:hAnsi="宋体" w:eastAsia="宋体" w:cs="宋体"/>
                <w:sz w:val="24"/>
                <w:szCs w:val="24"/>
              </w:rPr>
              <w:t>设备到货后</w:t>
            </w:r>
            <w:r>
              <w:rPr>
                <w:rFonts w:hAnsi="宋体" w:eastAsia="宋体" w:cs="宋体"/>
                <w:sz w:val="24"/>
                <w:szCs w:val="24"/>
              </w:rPr>
              <w:t>，</w:t>
            </w:r>
            <w:r>
              <w:rPr>
                <w:rFonts w:hint="eastAsia" w:hAnsi="宋体" w:eastAsia="宋体" w:cs="宋体"/>
                <w:sz w:val="24"/>
                <w:szCs w:val="24"/>
                <w:lang w:val="en-US" w:eastAsia="zh-CN"/>
              </w:rPr>
              <w:t>15</w:t>
            </w:r>
            <w:r>
              <w:rPr>
                <w:rFonts w:hAnsi="宋体" w:eastAsia="宋体" w:cs="宋体"/>
                <w:sz w:val="24"/>
                <w:szCs w:val="24"/>
              </w:rPr>
              <w:t>个日历日之内安装调试完毕，并投入使用。</w:t>
            </w:r>
          </w:p>
          <w:p w14:paraId="38C84D02">
            <w:pPr>
              <w:pStyle w:val="11"/>
              <w:rPr>
                <w:rFonts w:hint="eastAsia" w:hAnsi="宋体" w:eastAsia="宋体" w:cs="宋体"/>
                <w:color w:val="000000"/>
                <w:sz w:val="24"/>
                <w:szCs w:val="24"/>
              </w:rPr>
            </w:pPr>
            <w:r>
              <w:rPr>
                <w:rFonts w:hint="eastAsia" w:eastAsia="宋体" w:cs="宋体"/>
                <w:color w:val="auto"/>
                <w:sz w:val="24"/>
                <w:szCs w:val="24"/>
              </w:rPr>
              <w:t>安装调试工期超过规定时间的，投标人应当随标书提供详细的工期计划。</w:t>
            </w:r>
          </w:p>
        </w:tc>
      </w:tr>
      <w:tr w14:paraId="154BD7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50E0F335">
            <w:pPr>
              <w:jc w:val="center"/>
              <w:rPr>
                <w:rFonts w:hint="eastAsia" w:ascii="宋体" w:hAnsi="宋体" w:eastAsia="宋体" w:cs="宋体"/>
                <w:sz w:val="24"/>
                <w:szCs w:val="24"/>
              </w:rPr>
            </w:pPr>
            <w:r>
              <w:rPr>
                <w:rFonts w:hint="eastAsia" w:ascii="宋体" w:hAnsi="宋体" w:eastAsia="宋体" w:cs="宋体"/>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7CBB17F4">
            <w:pPr>
              <w:pStyle w:val="17"/>
              <w:ind w:firstLine="482" w:firstLineChars="200"/>
              <w:rPr>
                <w:rFonts w:hint="eastAsia" w:hAnsi="宋体" w:eastAsia="宋体" w:cs="宋体"/>
                <w:color w:val="000000"/>
                <w:sz w:val="24"/>
                <w:szCs w:val="24"/>
              </w:rPr>
            </w:pPr>
            <w:r>
              <w:rPr>
                <w:rFonts w:hint="eastAsia" w:hAnsi="宋体" w:eastAsia="宋体" w:cs="宋体"/>
                <w:b/>
                <w:bCs/>
                <w:color w:val="000000"/>
                <w:sz w:val="24"/>
                <w:szCs w:val="24"/>
              </w:rPr>
              <w:t>交货方式：</w:t>
            </w:r>
            <w:r>
              <w:rPr>
                <w:rFonts w:hint="eastAsia" w:hAnsi="宋体" w:eastAsia="宋体" w:cs="宋体"/>
                <w:color w:val="000000"/>
                <w:sz w:val="24"/>
                <w:szCs w:val="24"/>
              </w:rPr>
              <w:t>交钥匙方式；</w:t>
            </w:r>
          </w:p>
          <w:p w14:paraId="5FB0DF7F">
            <w:pPr>
              <w:pStyle w:val="17"/>
              <w:ind w:firstLine="482" w:firstLineChars="200"/>
              <w:rPr>
                <w:rFonts w:hint="eastAsia" w:hAnsi="宋体" w:eastAsia="宋体" w:cs="宋体"/>
                <w:color w:val="000000"/>
                <w:sz w:val="24"/>
                <w:szCs w:val="24"/>
              </w:rPr>
            </w:pPr>
            <w:r>
              <w:rPr>
                <w:rFonts w:hint="eastAsia" w:hAnsi="宋体" w:eastAsia="宋体" w:cs="宋体"/>
                <w:b/>
                <w:bCs/>
                <w:color w:val="000000"/>
                <w:sz w:val="24"/>
                <w:szCs w:val="24"/>
              </w:rPr>
              <w:t>交货地点：</w:t>
            </w:r>
            <w:r>
              <w:rPr>
                <w:rFonts w:hint="eastAsia" w:hAnsi="宋体" w:eastAsia="宋体" w:cs="宋体"/>
                <w:color w:val="000000"/>
                <w:sz w:val="24"/>
                <w:szCs w:val="24"/>
              </w:rPr>
              <w:t>中国重汽济南商用车制造公司</w:t>
            </w:r>
            <w:r>
              <w:rPr>
                <w:rFonts w:hint="eastAsia" w:hAnsi="宋体" w:eastAsia="宋体" w:cs="宋体"/>
                <w:color w:val="000000"/>
                <w:sz w:val="24"/>
                <w:szCs w:val="24"/>
                <w:lang w:val="en-US" w:eastAsia="zh-CN"/>
              </w:rPr>
              <w:t>焊二</w:t>
            </w:r>
            <w:r>
              <w:rPr>
                <w:rFonts w:hint="eastAsia" w:hAnsi="宋体" w:eastAsia="宋体" w:cs="宋体"/>
                <w:color w:val="000000"/>
                <w:sz w:val="24"/>
                <w:szCs w:val="24"/>
              </w:rPr>
              <w:t>车间</w:t>
            </w:r>
          </w:p>
        </w:tc>
      </w:tr>
      <w:tr w14:paraId="4AC5B3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7786FF43">
            <w:pPr>
              <w:jc w:val="center"/>
              <w:rPr>
                <w:rFonts w:hint="eastAsia" w:ascii="宋体" w:hAnsi="宋体" w:eastAsia="宋体" w:cs="宋体"/>
                <w:sz w:val="24"/>
                <w:szCs w:val="24"/>
              </w:rPr>
            </w:pPr>
            <w:r>
              <w:rPr>
                <w:rFonts w:hint="eastAsia" w:ascii="宋体" w:hAnsi="宋体" w:eastAsia="宋体" w:cs="宋体"/>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788D7522">
            <w:pPr>
              <w:pStyle w:val="10"/>
              <w:ind w:firstLine="482" w:firstLineChars="200"/>
              <w:rPr>
                <w:rFonts w:hint="eastAsia" w:ascii="宋体" w:hAnsi="宋体" w:eastAsia="宋体" w:cs="宋体"/>
                <w:b/>
                <w:sz w:val="24"/>
                <w:szCs w:val="24"/>
              </w:rPr>
            </w:pPr>
            <w:r>
              <w:rPr>
                <w:rFonts w:hint="eastAsia" w:ascii="宋体" w:hAnsi="宋体" w:eastAsia="宋体" w:cs="宋体"/>
                <w:b/>
                <w:sz w:val="24"/>
                <w:szCs w:val="24"/>
              </w:rPr>
              <w:t>质保期：</w:t>
            </w:r>
            <w:r>
              <w:rPr>
                <w:rFonts w:hint="eastAsia" w:ascii="宋体" w:hAnsi="宋体" w:eastAsia="宋体" w:cs="宋体"/>
                <w:b w:val="0"/>
                <w:bCs/>
                <w:sz w:val="24"/>
                <w:szCs w:val="24"/>
                <w:highlight w:val="yellow"/>
              </w:rPr>
              <w:t>质保期均自终验收签字生效之日起</w:t>
            </w:r>
            <w:r>
              <w:rPr>
                <w:rFonts w:hint="eastAsia" w:ascii="宋体" w:hAnsi="宋体" w:eastAsia="宋体" w:cs="宋体"/>
                <w:b w:val="0"/>
                <w:bCs/>
                <w:color w:val="0000FF"/>
                <w:sz w:val="24"/>
                <w:szCs w:val="24"/>
                <w:highlight w:val="yellow"/>
              </w:rPr>
              <w:t>12</w:t>
            </w:r>
            <w:r>
              <w:rPr>
                <w:rFonts w:hint="eastAsia" w:ascii="宋体" w:hAnsi="宋体" w:eastAsia="宋体" w:cs="宋体"/>
                <w:b w:val="0"/>
                <w:bCs/>
                <w:sz w:val="24"/>
                <w:szCs w:val="24"/>
                <w:highlight w:val="yellow"/>
              </w:rPr>
              <w:t>个月。</w:t>
            </w:r>
          </w:p>
          <w:p w14:paraId="138FCEC2">
            <w:pPr>
              <w:pStyle w:val="10"/>
              <w:ind w:firstLine="480" w:firstLineChars="200"/>
              <w:rPr>
                <w:rFonts w:hint="eastAsia" w:ascii="宋体" w:hAnsi="宋体" w:eastAsia="宋体" w:cs="宋体"/>
                <w:sz w:val="24"/>
                <w:szCs w:val="24"/>
              </w:rPr>
            </w:pPr>
            <w:r>
              <w:rPr>
                <w:rFonts w:hint="eastAsia" w:ascii="宋体" w:hAnsi="宋体" w:eastAsia="宋体" w:cs="宋体"/>
                <w:sz w:val="24"/>
                <w:szCs w:val="24"/>
              </w:rPr>
              <w:t>（投标人可在满足上述最短质保期基础上竞报）</w:t>
            </w:r>
          </w:p>
        </w:tc>
      </w:tr>
      <w:tr w14:paraId="23B95CF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478FC185">
            <w:pPr>
              <w:jc w:val="center"/>
              <w:rPr>
                <w:rFonts w:hint="eastAsia" w:ascii="宋体" w:hAnsi="宋体" w:eastAsia="宋体" w:cs="宋体"/>
                <w:kern w:val="0"/>
                <w:sz w:val="24"/>
                <w:szCs w:val="24"/>
              </w:rPr>
            </w:pPr>
            <w:r>
              <w:rPr>
                <w:rFonts w:hint="eastAsia" w:ascii="宋体" w:hAnsi="宋体" w:eastAsia="宋体" w:cs="宋体"/>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256180C3">
            <w:pPr>
              <w:pStyle w:val="17"/>
              <w:ind w:firstLine="482" w:firstLineChars="200"/>
              <w:rPr>
                <w:rFonts w:hint="eastAsia" w:hAnsi="宋体" w:eastAsia="宋体" w:cs="宋体"/>
                <w:color w:val="000000" w:themeColor="text1"/>
                <w:sz w:val="24"/>
                <w:szCs w:val="24"/>
                <w:highlight w:val="yellow"/>
                <w14:textFill>
                  <w14:solidFill>
                    <w14:schemeClr w14:val="tx1"/>
                  </w14:solidFill>
                </w14:textFill>
              </w:rPr>
            </w:pPr>
            <w:r>
              <w:rPr>
                <w:rFonts w:hint="eastAsia" w:hAnsi="宋体" w:eastAsia="宋体" w:cs="宋体"/>
                <w:b/>
                <w:bCs/>
                <w:color w:val="000000" w:themeColor="text1"/>
                <w:sz w:val="24"/>
                <w:szCs w:val="24"/>
                <w14:textFill>
                  <w14:solidFill>
                    <w14:schemeClr w14:val="tx1"/>
                  </w14:solidFill>
                </w14:textFill>
              </w:rPr>
              <w:t>付款方式：</w:t>
            </w:r>
            <w:r>
              <w:rPr>
                <w:rFonts w:hint="eastAsia" w:hAnsi="宋体" w:eastAsia="宋体" w:cs="宋体"/>
                <w:b/>
                <w:bCs/>
                <w:color w:val="000000" w:themeColor="text1"/>
                <w:sz w:val="24"/>
                <w:szCs w:val="24"/>
                <w:u w:val="single"/>
                <w14:textFill>
                  <w14:solidFill>
                    <w14:schemeClr w14:val="tx1"/>
                  </w14:solidFill>
                </w14:textFill>
              </w:rPr>
              <w:t>半年期商业汇票（包括银行承兑汇票和商业承兑汇票）</w:t>
            </w:r>
            <w:r>
              <w:rPr>
                <w:rFonts w:hint="eastAsia" w:hAnsi="宋体" w:eastAsia="宋体" w:cs="宋体"/>
                <w:color w:val="000000" w:themeColor="text1"/>
                <w:sz w:val="24"/>
                <w:szCs w:val="24"/>
                <w14:textFill>
                  <w14:solidFill>
                    <w14:schemeClr w14:val="tx1"/>
                  </w14:solidFill>
                </w14:textFill>
              </w:rPr>
              <w:t>：</w:t>
            </w:r>
          </w:p>
          <w:p w14:paraId="31FAC16E">
            <w:pPr>
              <w:pStyle w:val="36"/>
              <w:numPr>
                <w:ilvl w:val="0"/>
                <w:numId w:val="2"/>
              </w:numPr>
              <w:spacing w:after="0" w:line="240" w:lineRule="auto"/>
              <w:ind w:left="0" w:leftChars="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合同签订、到货初步检查合格后，</w:t>
            </w:r>
            <w:r>
              <w:rPr>
                <w:rFonts w:hint="eastAsia" w:ascii="宋体" w:hAnsi="宋体" w:cs="宋体"/>
                <w:color w:val="000000" w:themeColor="text1"/>
                <w:sz w:val="24"/>
                <w:szCs w:val="24"/>
                <w14:textFill>
                  <w14:solidFill>
                    <w14:schemeClr w14:val="tx1"/>
                  </w14:solidFill>
                </w14:textFill>
              </w:rPr>
              <w:t>买方收到合同全额增值税专用发票及完整报账材料后提交报账流程，财务审核通过后支付金额为合同含税总价款</w:t>
            </w:r>
            <w:r>
              <w:rPr>
                <w:rFonts w:hint="eastAsia" w:ascii="宋体" w:hAnsi="宋体" w:cs="宋体"/>
                <w:color w:val="000000" w:themeColor="text1"/>
                <w:sz w:val="24"/>
                <w:szCs w:val="24"/>
                <w:lang w:val="en-US" w:eastAsia="zh-CN"/>
                <w14:textFill>
                  <w14:solidFill>
                    <w14:schemeClr w14:val="tx1"/>
                  </w14:solidFill>
                </w14:textFill>
              </w:rPr>
              <w:t>60</w:t>
            </w:r>
            <w:r>
              <w:rPr>
                <w:rFonts w:hint="eastAsia" w:ascii="宋体" w:hAnsi="宋体" w:cs="宋体"/>
                <w:color w:val="000000" w:themeColor="text1"/>
                <w:sz w:val="24"/>
                <w:szCs w:val="24"/>
                <w14:textFill>
                  <w14:solidFill>
                    <w14:schemeClr w14:val="tx1"/>
                  </w14:solidFill>
                </w14:textFill>
              </w:rPr>
              <w:t>%，付款条件为发票挂账后30天到期</w:t>
            </w:r>
            <w:r>
              <w:rPr>
                <w:rFonts w:hint="eastAsia" w:ascii="宋体" w:hAnsi="宋体" w:cs="宋体"/>
                <w:color w:val="000000" w:themeColor="text1"/>
                <w:sz w:val="24"/>
                <w:szCs w:val="24"/>
                <w:lang w:eastAsia="zh-CN"/>
                <w14:textFill>
                  <w14:solidFill>
                    <w14:schemeClr w14:val="tx1"/>
                  </w14:solidFill>
                </w14:textFill>
              </w:rPr>
              <w:t>；</w:t>
            </w:r>
          </w:p>
          <w:p w14:paraId="3FFC05C8">
            <w:pPr>
              <w:pStyle w:val="36"/>
              <w:numPr>
                <w:ilvl w:val="0"/>
                <w:numId w:val="2"/>
              </w:numPr>
              <w:spacing w:after="0" w:line="240" w:lineRule="auto"/>
              <w:ind w:left="0" w:leftChars="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设备安装调试</w:t>
            </w:r>
            <w:r>
              <w:rPr>
                <w:rFonts w:hint="eastAsia" w:ascii="宋体" w:hAnsi="宋体" w:cs="宋体"/>
                <w:color w:val="000000" w:themeColor="text1"/>
                <w:sz w:val="24"/>
                <w:szCs w:val="24"/>
                <w14:textFill>
                  <w14:solidFill>
                    <w14:schemeClr w14:val="tx1"/>
                  </w14:solidFill>
                </w14:textFill>
              </w:rPr>
              <w:t>验收合格后，买方收到合同全额增值税专用发票及完整报账材料后提交报账流程，财务审核通过后支付金额为合同含税总价款</w:t>
            </w:r>
            <w:r>
              <w:rPr>
                <w:rFonts w:hint="eastAsia" w:ascii="宋体" w:hAnsi="宋体" w:cs="宋体"/>
                <w:color w:val="000000" w:themeColor="text1"/>
                <w:sz w:val="24"/>
                <w:szCs w:val="24"/>
                <w:lang w:val="en-US" w:eastAsia="zh-CN"/>
                <w14:textFill>
                  <w14:solidFill>
                    <w14:schemeClr w14:val="tx1"/>
                  </w14:solidFill>
                </w14:textFill>
              </w:rPr>
              <w:t>3</w:t>
            </w:r>
            <w:r>
              <w:rPr>
                <w:rFonts w:hint="eastAsia" w:ascii="宋体" w:hAnsi="宋体" w:cs="宋体"/>
                <w:color w:val="000000" w:themeColor="text1"/>
                <w:sz w:val="24"/>
                <w:szCs w:val="24"/>
                <w14:textFill>
                  <w14:solidFill>
                    <w14:schemeClr w14:val="tx1"/>
                  </w14:solidFill>
                </w14:textFill>
              </w:rPr>
              <w:t>0%，付款条件为发票挂账后30天到期</w:t>
            </w:r>
            <w:r>
              <w:rPr>
                <w:rFonts w:hint="eastAsia" w:ascii="宋体" w:hAnsi="宋体" w:cs="宋体"/>
                <w:color w:val="000000" w:themeColor="text1"/>
                <w:sz w:val="24"/>
                <w:szCs w:val="24"/>
                <w:lang w:eastAsia="zh-CN"/>
                <w14:textFill>
                  <w14:solidFill>
                    <w14:schemeClr w14:val="tx1"/>
                  </w14:solidFill>
                </w14:textFill>
              </w:rPr>
              <w:t>；</w:t>
            </w:r>
          </w:p>
          <w:p w14:paraId="16F9C347">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480" w:firstLineChars="200"/>
              <w:textAlignment w:val="auto"/>
              <w:rPr>
                <w:rFonts w:hint="default"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合同含税总价款的10%，作为本合同约定设备的质量保证金，质量保证金在质量保证期内不计利息。待合同设备验收合格后</w:t>
            </w:r>
            <w:r>
              <w:rPr>
                <w:rFonts w:hint="eastAsia" w:ascii="宋体" w:hAnsi="宋体" w:eastAsia="宋体" w:cs="宋体"/>
                <w:color w:val="0000FF"/>
                <w:kern w:val="2"/>
                <w:sz w:val="24"/>
                <w:szCs w:val="24"/>
                <w:lang w:val="en-US" w:eastAsia="zh-CN" w:bidi="ar-SA"/>
              </w:rPr>
              <w:t>12</w:t>
            </w:r>
            <w:r>
              <w:rPr>
                <w:rFonts w:hint="eastAsia" w:ascii="宋体" w:hAnsi="宋体" w:eastAsia="宋体" w:cs="宋体"/>
                <w:color w:val="000000" w:themeColor="text1"/>
                <w:kern w:val="2"/>
                <w:sz w:val="24"/>
                <w:szCs w:val="24"/>
                <w:lang w:val="en-US" w:eastAsia="zh-CN" w:bidi="ar-SA"/>
                <w14:textFill>
                  <w14:solidFill>
                    <w14:schemeClr w14:val="tx1"/>
                  </w14:solidFill>
                </w14:textFill>
              </w:rPr>
              <w:t>个月，卖方向买方提交质量保证金的收款凭证及设备使用单位的使用情况说明，经买方财务审核无误后支付，付款条件为发票挂账后立即到期。如有质量问题，质量保证金予以相应扣除。</w:t>
            </w:r>
          </w:p>
        </w:tc>
      </w:tr>
      <w:tr w14:paraId="5BD7DA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3A880F98">
            <w:pPr>
              <w:jc w:val="center"/>
              <w:rPr>
                <w:rFonts w:hint="eastAsia" w:ascii="宋体" w:hAnsi="宋体" w:eastAsia="宋体" w:cs="宋体"/>
                <w:kern w:val="0"/>
                <w:sz w:val="24"/>
                <w:szCs w:val="24"/>
              </w:rPr>
            </w:pPr>
            <w:r>
              <w:rPr>
                <w:rFonts w:hint="eastAsia" w:ascii="宋体" w:hAnsi="宋体" w:eastAsia="宋体" w:cs="宋体"/>
                <w:kern w:val="0"/>
                <w:sz w:val="24"/>
                <w:szCs w:val="24"/>
              </w:rPr>
              <w:t>7.5</w:t>
            </w:r>
          </w:p>
        </w:tc>
        <w:tc>
          <w:tcPr>
            <w:tcW w:w="8363" w:type="dxa"/>
            <w:tcBorders>
              <w:top w:val="single" w:color="auto" w:sz="2" w:space="0"/>
              <w:left w:val="single" w:color="auto" w:sz="4" w:space="0"/>
              <w:bottom w:val="single" w:color="auto" w:sz="2" w:space="0"/>
              <w:right w:val="single" w:color="auto" w:sz="2" w:space="0"/>
            </w:tcBorders>
            <w:vAlign w:val="center"/>
          </w:tcPr>
          <w:p w14:paraId="066E58E6">
            <w:pPr>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增值税专用发票开票信息：</w:t>
            </w:r>
          </w:p>
          <w:p w14:paraId="2A5DC3AB">
            <w:pPr>
              <w:ind w:firstLine="480" w:firstLineChars="200"/>
              <w:rPr>
                <w:rFonts w:hint="eastAsia" w:ascii="宋体" w:hAnsi="宋体" w:cs="宋体"/>
                <w:bCs/>
                <w:sz w:val="24"/>
                <w:szCs w:val="24"/>
              </w:rPr>
            </w:pPr>
            <w:r>
              <w:rPr>
                <w:rFonts w:hint="eastAsia" w:ascii="宋体" w:hAnsi="宋体" w:eastAsia="宋体" w:cs="宋体"/>
                <w:sz w:val="24"/>
                <w:szCs w:val="24"/>
                <w:lang w:bidi="ar"/>
              </w:rPr>
              <w:t>见最终合同签订信息</w:t>
            </w:r>
          </w:p>
        </w:tc>
      </w:tr>
      <w:tr w14:paraId="2839439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0A3ED17">
            <w:pPr>
              <w:pStyle w:val="10"/>
              <w:jc w:val="center"/>
              <w:rPr>
                <w:rFonts w:hint="eastAsia" w:ascii="宋体" w:hAnsi="宋体" w:eastAsia="宋体" w:cs="宋体"/>
                <w:sz w:val="24"/>
                <w:szCs w:val="24"/>
              </w:rPr>
            </w:pPr>
            <w:r>
              <w:rPr>
                <w:rFonts w:hint="eastAsia" w:ascii="宋体" w:hAnsi="宋体" w:eastAsia="宋体" w:cs="宋体"/>
                <w:b/>
                <w:bCs/>
                <w:sz w:val="24"/>
                <w:szCs w:val="24"/>
              </w:rPr>
              <w:t>8.其它</w:t>
            </w:r>
          </w:p>
        </w:tc>
      </w:tr>
      <w:tr w14:paraId="0E065C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1715EFDA">
            <w:pPr>
              <w:jc w:val="center"/>
              <w:rPr>
                <w:rFonts w:hint="eastAsia" w:ascii="宋体" w:hAnsi="宋体" w:eastAsia="宋体" w:cs="宋体"/>
                <w:sz w:val="24"/>
                <w:szCs w:val="24"/>
              </w:rPr>
            </w:pPr>
            <w:r>
              <w:rPr>
                <w:rFonts w:hint="eastAsia" w:ascii="宋体" w:hAnsi="宋体" w:eastAsia="宋体" w:cs="宋体"/>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6BAA32C7">
            <w:pPr>
              <w:pStyle w:val="10"/>
              <w:ind w:firstLine="480" w:firstLineChars="200"/>
              <w:rPr>
                <w:rFonts w:hint="eastAsia" w:ascii="宋体" w:hAnsi="宋体" w:eastAsia="宋体" w:cs="宋体"/>
                <w:sz w:val="24"/>
                <w:szCs w:val="24"/>
              </w:rPr>
            </w:pPr>
            <w:r>
              <w:rPr>
                <w:rFonts w:hint="eastAsia" w:ascii="宋体" w:hAnsi="宋体" w:eastAsia="宋体" w:cs="宋体"/>
                <w:sz w:val="24"/>
                <w:szCs w:val="24"/>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18F1E2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622DC7C9">
            <w:pPr>
              <w:jc w:val="center"/>
              <w:rPr>
                <w:rFonts w:hint="eastAsia" w:ascii="宋体" w:hAnsi="宋体" w:eastAsia="宋体" w:cs="宋体"/>
                <w:sz w:val="24"/>
                <w:szCs w:val="24"/>
              </w:rPr>
            </w:pPr>
            <w:r>
              <w:rPr>
                <w:rFonts w:hint="eastAsia" w:ascii="宋体" w:hAnsi="宋体" w:eastAsia="宋体" w:cs="宋体"/>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289BE8D0">
            <w:pPr>
              <w:ind w:firstLine="480" w:firstLineChars="200"/>
              <w:rPr>
                <w:rFonts w:hint="eastAsia" w:ascii="宋体" w:hAnsi="宋体" w:eastAsia="宋体" w:cs="宋体"/>
                <w:sz w:val="24"/>
                <w:szCs w:val="24"/>
              </w:rPr>
            </w:pPr>
            <w:r>
              <w:rPr>
                <w:rFonts w:hint="eastAsia" w:ascii="宋体" w:hAnsi="宋体" w:eastAsia="宋体" w:cs="宋体"/>
                <w:sz w:val="24"/>
                <w:szCs w:val="24"/>
              </w:rPr>
              <w:t>中标人负责为招标人免费培训操作及维修人员，培训内容包括：基本原理、操作使用、安全操作注意事项以及维修保养等内容，直至达到买方使用需求。</w:t>
            </w:r>
          </w:p>
        </w:tc>
      </w:tr>
      <w:tr w14:paraId="1A9C22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61EACA10">
            <w:pPr>
              <w:jc w:val="center"/>
              <w:rPr>
                <w:rFonts w:hint="eastAsia" w:ascii="宋体" w:hAnsi="宋体" w:eastAsia="宋体" w:cs="宋体"/>
                <w:sz w:val="24"/>
                <w:szCs w:val="24"/>
              </w:rPr>
            </w:pPr>
            <w:r>
              <w:rPr>
                <w:rFonts w:hint="eastAsia" w:ascii="宋体" w:hAnsi="宋体" w:eastAsia="宋体" w:cs="宋体"/>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7C412C74">
            <w:pPr>
              <w:pStyle w:val="10"/>
              <w:ind w:firstLine="480" w:firstLineChars="200"/>
              <w:rPr>
                <w:rFonts w:hint="eastAsia" w:ascii="宋体" w:hAnsi="宋体" w:eastAsia="宋体" w:cs="宋体"/>
                <w:sz w:val="24"/>
                <w:szCs w:val="24"/>
              </w:rPr>
            </w:pPr>
            <w:r>
              <w:rPr>
                <w:rFonts w:hint="eastAsia" w:ascii="宋体" w:hAnsi="宋体" w:eastAsia="宋体" w:cs="宋体"/>
                <w:sz w:val="24"/>
                <w:szCs w:val="24"/>
              </w:rPr>
              <w:t>中标方应在合同签订后</w:t>
            </w:r>
            <w:r>
              <w:rPr>
                <w:rFonts w:hint="eastAsia" w:ascii="宋体" w:hAnsi="宋体" w:eastAsia="宋体" w:cs="宋体"/>
                <w:sz w:val="24"/>
                <w:szCs w:val="24"/>
                <w:lang w:val="en-US" w:eastAsia="zh-CN"/>
              </w:rPr>
              <w:t>5</w:t>
            </w:r>
            <w:r>
              <w:rPr>
                <w:rFonts w:hint="eastAsia" w:ascii="宋体" w:hAnsi="宋体" w:eastAsia="宋体" w:cs="宋体"/>
                <w:sz w:val="24"/>
                <w:szCs w:val="24"/>
              </w:rPr>
              <w:t>日内需根据设计</w:t>
            </w:r>
            <w:r>
              <w:rPr>
                <w:rStyle w:val="43"/>
                <w:rFonts w:hint="eastAsia" w:ascii="宋体" w:hAnsi="宋体" w:eastAsia="宋体" w:cs="宋体"/>
                <w:sz w:val="24"/>
                <w:szCs w:val="24"/>
              </w:rPr>
              <w:t>提资</w:t>
            </w:r>
            <w:r>
              <w:rPr>
                <w:rFonts w:hint="eastAsia" w:ascii="宋体" w:hAnsi="宋体" w:eastAsia="宋体" w:cs="宋体"/>
                <w:sz w:val="24"/>
                <w:szCs w:val="24"/>
              </w:rPr>
              <w:t>要求提供详细的</w:t>
            </w:r>
            <w:r>
              <w:rPr>
                <w:rStyle w:val="43"/>
                <w:rFonts w:hint="eastAsia" w:ascii="宋体" w:hAnsi="宋体" w:eastAsia="宋体" w:cs="宋体"/>
                <w:sz w:val="24"/>
                <w:szCs w:val="24"/>
              </w:rPr>
              <w:t>设备</w:t>
            </w:r>
            <w:r>
              <w:rPr>
                <w:rFonts w:hint="eastAsia" w:ascii="宋体" w:hAnsi="宋体" w:eastAsia="宋体" w:cs="宋体"/>
                <w:sz w:val="24"/>
                <w:szCs w:val="24"/>
                <w:lang w:val="en-US" w:eastAsia="zh-CN"/>
              </w:rPr>
              <w:t>明细</w:t>
            </w:r>
            <w:r>
              <w:rPr>
                <w:rStyle w:val="43"/>
                <w:rFonts w:hint="eastAsia" w:ascii="宋体" w:hAnsi="宋体" w:eastAsia="宋体" w:cs="宋体"/>
                <w:sz w:val="24"/>
                <w:szCs w:val="24"/>
              </w:rPr>
              <w:t>,设备</w:t>
            </w:r>
            <w:r>
              <w:rPr>
                <w:rFonts w:hint="eastAsia" w:ascii="宋体" w:hAnsi="宋体" w:eastAsia="宋体" w:cs="宋体"/>
                <w:sz w:val="24"/>
                <w:szCs w:val="24"/>
              </w:rPr>
              <w:t>参数,接口信息,规格,技术需</w:t>
            </w:r>
            <w:r>
              <w:rPr>
                <w:rFonts w:hint="eastAsia" w:ascii="宋体" w:hAnsi="宋体" w:eastAsia="宋体" w:cs="宋体"/>
                <w:sz w:val="24"/>
                <w:szCs w:val="24"/>
                <w:lang w:val="en-US" w:eastAsia="zh-CN"/>
              </w:rPr>
              <w:t>求</w:t>
            </w:r>
            <w:r>
              <w:rPr>
                <w:rFonts w:hint="eastAsia" w:ascii="宋体" w:hAnsi="宋体" w:eastAsia="宋体" w:cs="宋体"/>
                <w:sz w:val="24"/>
                <w:szCs w:val="24"/>
              </w:rPr>
              <w:t>等资料，提交给买方。对于提资不准确不全面、不符合招标文件技术要求、提资变更导致的损失由卖方承担，并承担违约责任。</w:t>
            </w:r>
          </w:p>
        </w:tc>
      </w:tr>
      <w:tr w14:paraId="56F45B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339AC385">
            <w:pPr>
              <w:jc w:val="center"/>
              <w:rPr>
                <w:rFonts w:hint="eastAsia" w:ascii="宋体" w:hAnsi="宋体" w:eastAsia="宋体" w:cs="宋体"/>
                <w:sz w:val="24"/>
                <w:szCs w:val="24"/>
              </w:rPr>
            </w:pPr>
            <w:r>
              <w:rPr>
                <w:rFonts w:hint="eastAsia" w:ascii="宋体" w:hAnsi="宋体" w:eastAsia="宋体" w:cs="宋体"/>
                <w:sz w:val="24"/>
                <w:szCs w:val="24"/>
              </w:rPr>
              <w:t>8.4</w:t>
            </w:r>
          </w:p>
        </w:tc>
        <w:tc>
          <w:tcPr>
            <w:tcW w:w="8363" w:type="dxa"/>
            <w:tcBorders>
              <w:top w:val="single" w:color="auto" w:sz="2" w:space="0"/>
              <w:left w:val="single" w:color="auto" w:sz="4" w:space="0"/>
              <w:bottom w:val="single" w:color="auto" w:sz="2" w:space="0"/>
              <w:right w:val="single" w:color="auto" w:sz="2" w:space="0"/>
            </w:tcBorders>
            <w:vAlign w:val="center"/>
          </w:tcPr>
          <w:p w14:paraId="19FE24DB">
            <w:pPr>
              <w:pStyle w:val="10"/>
              <w:ind w:firstLine="480" w:firstLineChars="200"/>
              <w:rPr>
                <w:rFonts w:hint="eastAsia" w:ascii="宋体" w:hAnsi="宋体" w:eastAsia="宋体" w:cs="宋体"/>
                <w:sz w:val="24"/>
                <w:szCs w:val="24"/>
              </w:rPr>
            </w:pPr>
            <w:r>
              <w:rPr>
                <w:rFonts w:ascii="宋体" w:hAnsi="宋体" w:eastAsia="宋体" w:cs="宋体"/>
                <w:sz w:val="24"/>
                <w:szCs w:val="24"/>
              </w:rPr>
              <w:t>1.中标人自行负责进场设备材料物资的看护责任，若现场发生的丢失损坏，不得以此向招标人索赔工期和费用。</w:t>
            </w:r>
          </w:p>
        </w:tc>
      </w:tr>
      <w:bookmarkEnd w:id="3"/>
    </w:tbl>
    <w:p w14:paraId="12159A68">
      <w:pPr>
        <w:pStyle w:val="17"/>
        <w:numPr>
          <w:ilvl w:val="0"/>
          <w:numId w:val="1"/>
        </w:numPr>
        <w:jc w:val="center"/>
        <w:outlineLvl w:val="0"/>
        <w:rPr>
          <w:rFonts w:ascii="Calibri" w:hAnsi="Calibri" w:eastAsia="宋体" w:cs="Times New Roman"/>
          <w:b/>
          <w:bCs/>
          <w:kern w:val="44"/>
          <w:sz w:val="36"/>
          <w:szCs w:val="44"/>
        </w:rPr>
        <w:sectPr>
          <w:headerReference r:id="rId7" w:type="default"/>
          <w:footerReference r:id="rId8" w:type="default"/>
          <w:pgSz w:w="11907" w:h="16840"/>
          <w:pgMar w:top="1304" w:right="1418" w:bottom="1304" w:left="1418" w:header="724" w:footer="851" w:gutter="0"/>
          <w:pgNumType w:fmt="decimal"/>
          <w:cols w:space="720" w:num="1"/>
          <w:docGrid w:linePitch="290" w:charSpace="-3931"/>
        </w:sectPr>
      </w:pPr>
    </w:p>
    <w:p w14:paraId="7D5ECD1A">
      <w:pPr>
        <w:pStyle w:val="17"/>
        <w:jc w:val="center"/>
        <w:outlineLvl w:val="0"/>
        <w:rPr>
          <w:rFonts w:ascii="Calibri" w:hAnsi="Calibri" w:eastAsia="宋体" w:cs="Times New Roman"/>
          <w:b/>
          <w:bCs/>
          <w:kern w:val="44"/>
          <w:sz w:val="36"/>
          <w:szCs w:val="44"/>
        </w:rPr>
      </w:pPr>
      <w:bookmarkStart w:id="4" w:name="_Toc15609"/>
      <w:r>
        <w:rPr>
          <w:rFonts w:hint="eastAsia" w:ascii="Calibri" w:hAnsi="Calibri" w:eastAsia="宋体" w:cs="Times New Roman"/>
          <w:b/>
          <w:bCs/>
          <w:kern w:val="44"/>
          <w:sz w:val="36"/>
          <w:szCs w:val="44"/>
        </w:rPr>
        <w:t>第二部分 投标须知</w:t>
      </w:r>
      <w:bookmarkEnd w:id="4"/>
    </w:p>
    <w:p w14:paraId="5521BA8F">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一、项目名称</w:t>
      </w:r>
    </w:p>
    <w:p w14:paraId="11CFCE67">
      <w:pPr>
        <w:spacing w:line="360" w:lineRule="auto"/>
        <w:ind w:left="1679" w:leftChars="228" w:hanging="1200" w:hangingChars="500"/>
        <w:rPr>
          <w:rFonts w:hint="eastAsia" w:ascii="宋体" w:hAnsi="宋体" w:eastAsia="宋体" w:cs="宋体"/>
          <w:color w:val="000000"/>
          <w:sz w:val="24"/>
          <w:szCs w:val="24"/>
          <w:u w:val="single"/>
        </w:rPr>
      </w:pPr>
      <w:r>
        <w:rPr>
          <w:rFonts w:hint="eastAsia" w:ascii="宋体" w:hAnsi="宋体" w:eastAsia="宋体" w:cs="宋体"/>
          <w:color w:val="000000"/>
          <w:sz w:val="24"/>
          <w:szCs w:val="24"/>
        </w:rPr>
        <w:t>项目名称：</w:t>
      </w:r>
      <w:bookmarkStart w:id="5" w:name="OLE_LINK1"/>
      <w:r>
        <w:rPr>
          <w:rFonts w:hint="eastAsia" w:ascii="宋体" w:hAnsi="宋体" w:eastAsia="宋体" w:cs="宋体"/>
          <w:color w:val="000000"/>
          <w:sz w:val="24"/>
          <w:szCs w:val="24"/>
        </w:rPr>
        <w:t>见《投标须知前附表》。</w:t>
      </w:r>
    </w:p>
    <w:bookmarkEnd w:id="5"/>
    <w:p w14:paraId="03F6D1ED">
      <w:pPr>
        <w:keepNext/>
        <w:keepLines/>
        <w:numPr>
          <w:ilvl w:val="0"/>
          <w:numId w:val="3"/>
        </w:numPr>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招标内容及形式</w:t>
      </w:r>
    </w:p>
    <w:p w14:paraId="274B3995">
      <w:pPr>
        <w:pStyle w:val="17"/>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见《投标须知前附表》。</w:t>
      </w:r>
    </w:p>
    <w:p w14:paraId="0EC79D97">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对于本项目需着重介绍的注意事项已经通过以下带颜色文档进行标记。</w:t>
      </w:r>
    </w:p>
    <w:p w14:paraId="0DD7712A">
      <w:pPr>
        <w:spacing w:line="360" w:lineRule="auto"/>
        <w:ind w:firstLine="482" w:firstLineChars="200"/>
        <w:rPr>
          <w:rFonts w:hint="eastAsia"/>
        </w:rPr>
      </w:pPr>
      <w:r>
        <w:rPr>
          <w:rFonts w:hint="eastAsia" w:ascii="宋体" w:hAnsi="宋体" w:eastAsia="宋体" w:cs="宋体"/>
          <w:b/>
          <w:color w:val="000000"/>
          <w:sz w:val="24"/>
          <w:szCs w:val="24"/>
        </w:rPr>
        <w:t>具体要求详见《技术标书》。</w:t>
      </w:r>
    </w:p>
    <w:p w14:paraId="719DC71D">
      <w:pPr>
        <w:keepNext/>
        <w:keepLines/>
        <w:numPr>
          <w:ilvl w:val="0"/>
          <w:numId w:val="3"/>
        </w:numPr>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交货及付款</w:t>
      </w:r>
      <w:r>
        <w:rPr>
          <w:rFonts w:hint="eastAsia" w:ascii="宋体" w:hAnsi="宋体" w:eastAsia="宋体" w:cs="宋体"/>
          <w:b/>
          <w:bCs/>
          <w:sz w:val="24"/>
          <w:szCs w:val="24"/>
        </w:rPr>
        <w:tab/>
      </w:r>
    </w:p>
    <w:p w14:paraId="36237BAF">
      <w:pPr>
        <w:pStyle w:val="17"/>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交货期、交货地点、交货方式、付款方式及比例见《投标须知前附表》第7条。</w:t>
      </w:r>
    </w:p>
    <w:p w14:paraId="4D4B1A15">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四、投标说明</w:t>
      </w:r>
    </w:p>
    <w:p w14:paraId="4DFF2D5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1.报名方式</w:t>
      </w:r>
    </w:p>
    <w:p w14:paraId="084C779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投标人根据招标人在中国重汽官网等公开媒体上发布的招标信息，在“中国重汽e采通”平台报名。按照中国重汽e采通“SRM非生产供应商注册手册（附件15）”进行注册，</w:t>
      </w:r>
      <w:r>
        <w:rPr>
          <w:rFonts w:hint="eastAsia" w:eastAsia="宋体" w:cs="Times New Roman"/>
          <w:color w:val="000000"/>
          <w:sz w:val="24"/>
          <w:szCs w:val="24"/>
        </w:rPr>
        <w:t>注册完毕后按照</w:t>
      </w:r>
      <w:r>
        <w:rPr>
          <w:rFonts w:hint="eastAsia" w:ascii="宋体" w:hAnsi="宋体" w:eastAsia="宋体" w:cs="宋体"/>
          <w:b/>
          <w:color w:val="000000"/>
          <w:sz w:val="24"/>
          <w:szCs w:val="24"/>
        </w:rPr>
        <w:t>“SRM系统供应商用户手册（附件16）”登录系统，</w:t>
      </w:r>
      <w:r>
        <w:rPr>
          <w:rFonts w:hint="eastAsia" w:ascii="宋体" w:hAnsi="宋体" w:eastAsia="宋体" w:cs="宋体"/>
          <w:color w:val="000000"/>
          <w:sz w:val="24"/>
          <w:szCs w:val="24"/>
        </w:rPr>
        <w:t>进入“供应商应标”，选择对应的项目，点击“应标”后按照招标文件第三部分投标文件组成资格证明文件中的1.1-1.13准备资料并上传，资质审查通过即为报名成功，公示期间请尽快报名。</w:t>
      </w:r>
    </w:p>
    <w:p w14:paraId="71F7EC4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投标保证金缴纳的时候，</w:t>
      </w:r>
      <w:r>
        <w:rPr>
          <w:rFonts w:hint="eastAsia" w:ascii="宋体" w:hAnsi="宋体" w:eastAsia="宋体" w:cs="宋体"/>
          <w:b/>
          <w:bCs/>
          <w:color w:val="000000"/>
          <w:sz w:val="24"/>
          <w:szCs w:val="24"/>
        </w:rPr>
        <w:t>务必备注所投标的项目名称</w:t>
      </w:r>
      <w:r>
        <w:rPr>
          <w:rFonts w:hint="eastAsia" w:ascii="宋体" w:hAnsi="宋体" w:eastAsia="宋体" w:cs="宋体"/>
          <w:color w:val="000000"/>
          <w:sz w:val="24"/>
          <w:szCs w:val="24"/>
        </w:rPr>
        <w:t>。</w:t>
      </w:r>
    </w:p>
    <w:p w14:paraId="026551F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不按要求报名的，或因未提供相关信息导致后期无法退回保证金的，需投标人承担责任。</w:t>
      </w:r>
    </w:p>
    <w:p w14:paraId="1CA4E2FC">
      <w:pPr>
        <w:keepNext/>
        <w:keepLines/>
        <w:numPr>
          <w:ilvl w:val="0"/>
          <w:numId w:val="4"/>
        </w:numPr>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投标条件</w:t>
      </w:r>
    </w:p>
    <w:p w14:paraId="7AB63C8F">
      <w:pPr>
        <w:pStyle w:val="17"/>
        <w:spacing w:line="360" w:lineRule="auto"/>
        <w:ind w:firstLine="480"/>
        <w:rPr>
          <w:rFonts w:hint="eastAsia" w:hAnsi="宋体" w:eastAsia="宋体" w:cs="宋体"/>
          <w:b/>
          <w:color w:val="000000"/>
          <w:sz w:val="24"/>
          <w:szCs w:val="24"/>
        </w:rPr>
      </w:pPr>
      <w:r>
        <w:rPr>
          <w:rFonts w:hint="eastAsia" w:hAnsi="宋体" w:eastAsia="宋体" w:cs="宋体"/>
          <w:b/>
          <w:bCs/>
          <w:color w:val="000000"/>
          <w:sz w:val="24"/>
          <w:szCs w:val="24"/>
        </w:rPr>
        <w:t>对于中国境内投标人，投标条件详见招标文件“第一部分投标须知前附表1.6”。</w:t>
      </w:r>
    </w:p>
    <w:p w14:paraId="172C5663">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3.报价</w:t>
      </w:r>
    </w:p>
    <w:p w14:paraId="5EE106CF">
      <w:pPr>
        <w:pStyle w:val="17"/>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3.1</w:t>
      </w:r>
      <w:r>
        <w:rPr>
          <w:rFonts w:hint="eastAsia" w:hAnsi="宋体" w:eastAsia="宋体" w:cs="宋体"/>
          <w:sz w:val="24"/>
          <w:szCs w:val="24"/>
        </w:rPr>
        <w:t>本次招投标为</w:t>
      </w:r>
      <w:r>
        <w:rPr>
          <w:rFonts w:hint="eastAsia" w:hAnsi="宋体" w:eastAsia="宋体" w:cs="宋体"/>
          <w:color w:val="000000"/>
          <w:sz w:val="24"/>
          <w:szCs w:val="24"/>
        </w:rPr>
        <w:t>公开招标</w:t>
      </w:r>
      <w:r>
        <w:rPr>
          <w:rFonts w:hint="eastAsia" w:hAnsi="宋体" w:eastAsia="宋体" w:cs="宋体"/>
          <w:b/>
          <w:sz w:val="24"/>
          <w:szCs w:val="24"/>
        </w:rPr>
        <w:t>；</w:t>
      </w:r>
      <w:r>
        <w:rPr>
          <w:rFonts w:hint="eastAsia" w:hAnsi="宋体" w:eastAsia="宋体" w:cs="宋体"/>
          <w:color w:val="000000"/>
          <w:sz w:val="24"/>
          <w:szCs w:val="24"/>
        </w:rPr>
        <w:t>评标流程以及规则详见本部分第六条评标原则。</w:t>
      </w:r>
    </w:p>
    <w:p w14:paraId="57E2BCDB">
      <w:pP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投标人自行勘察现场，进行合理报价。投标总报价应包括设备费、原厂服务费及相关配件、随设备资料、保险、税费、运杂、安装调试、与其他专业配合及可预见的风险以及其它不可预见等全部费用。</w:t>
      </w:r>
    </w:p>
    <w:p w14:paraId="7EE5542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w:t>
      </w:r>
      <w:r>
        <w:rPr>
          <w:rFonts w:hint="eastAsia" w:ascii="宋体" w:hAnsi="宋体" w:eastAsia="宋体" w:cs="宋体"/>
          <w:b/>
          <w:bCs/>
          <w:color w:val="000000"/>
          <w:sz w:val="24"/>
          <w:szCs w:val="24"/>
        </w:rPr>
        <w:t>所有设备的报价货币单位为：</w:t>
      </w:r>
      <w:r>
        <w:rPr>
          <w:rFonts w:hint="eastAsia" w:ascii="宋体" w:hAnsi="宋体" w:eastAsia="宋体" w:cs="宋体"/>
          <w:b/>
          <w:bCs/>
          <w:color w:val="000000"/>
          <w:sz w:val="24"/>
          <w:szCs w:val="24"/>
          <w:u w:val="single"/>
        </w:rPr>
        <w:t xml:space="preserve">         </w:t>
      </w:r>
      <w:r>
        <w:rPr>
          <w:rFonts w:hint="eastAsia" w:ascii="宋体" w:hAnsi="宋体" w:eastAsia="宋体" w:cs="宋体"/>
          <w:b/>
          <w:bCs/>
          <w:color w:val="000000"/>
          <w:sz w:val="24"/>
          <w:szCs w:val="24"/>
        </w:rPr>
        <w:t>元【人民币（应同时报含税价和不含税价并写明税率）】。</w:t>
      </w:r>
    </w:p>
    <w:p w14:paraId="5B3025D3">
      <w:pPr>
        <w:keepNext/>
        <w:keepLines/>
        <w:spacing w:line="360" w:lineRule="auto"/>
        <w:ind w:firstLine="482" w:firstLineChars="200"/>
        <w:outlineLvl w:val="2"/>
        <w:rPr>
          <w:rFonts w:hint="eastAsia" w:ascii="宋体" w:hAnsi="宋体" w:eastAsia="宋体" w:cs="宋体"/>
          <w:sz w:val="24"/>
          <w:szCs w:val="24"/>
        </w:rPr>
      </w:pPr>
      <w:r>
        <w:rPr>
          <w:rFonts w:hint="eastAsia" w:ascii="宋体" w:hAnsi="宋体" w:eastAsia="宋体" w:cs="宋体"/>
          <w:b/>
          <w:bCs/>
          <w:color w:val="000000"/>
          <w:sz w:val="24"/>
          <w:szCs w:val="24"/>
        </w:rPr>
        <w:t>4.设备要求：</w:t>
      </w:r>
    </w:p>
    <w:p w14:paraId="58EBE55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4.1投标设备技术参数和总体要求按《技术标书》执行；</w:t>
      </w:r>
    </w:p>
    <w:p w14:paraId="16592B8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4.2设备制造完毕经出厂检验合格后方能发货；</w:t>
      </w:r>
    </w:p>
    <w:p w14:paraId="0A92863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4.3设备包装按国家或部颁标准执行；</w:t>
      </w:r>
    </w:p>
    <w:p w14:paraId="6283EEF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4.4设备交货要求直接发货至合同指定地点，否则买方有权拒绝接受货物；</w:t>
      </w:r>
    </w:p>
    <w:p w14:paraId="28B0409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4.5投标企业按技术规范书提报设备详细技术资料；</w:t>
      </w:r>
    </w:p>
    <w:p w14:paraId="54FF3160">
      <w:pPr>
        <w:pStyle w:val="17"/>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5B2E778A">
      <w:pPr>
        <w:pStyle w:val="17"/>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4.7设备设施颜色严格执行我公司企业标准《设备设施颜色标识》（Q/ZZ30070</w:t>
      </w:r>
    </w:p>
    <w:p w14:paraId="03B4A1DE">
      <w:pPr>
        <w:pStyle w:val="17"/>
        <w:spacing w:line="360" w:lineRule="auto"/>
        <w:rPr>
          <w:rFonts w:hint="eastAsia" w:hAnsi="宋体" w:eastAsia="宋体" w:cs="宋体"/>
          <w:color w:val="000000"/>
          <w:sz w:val="24"/>
          <w:szCs w:val="24"/>
        </w:rPr>
      </w:pPr>
      <w:r>
        <w:rPr>
          <w:rFonts w:hint="eastAsia" w:hAnsi="宋体" w:eastAsia="宋体" w:cs="宋体"/>
          <w:color w:val="000000"/>
          <w:sz w:val="24"/>
          <w:szCs w:val="24"/>
        </w:rPr>
        <w:t>—2020）。</w:t>
      </w:r>
    </w:p>
    <w:p w14:paraId="6E12061D">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5.其他要求</w:t>
      </w:r>
    </w:p>
    <w:p w14:paraId="3D990B4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包装、运输、检验、交付、安装、调试、培训、结算、质保及售后服务等，按《技术标书》要求，在标书中列示说明，最终以合同约定为准。</w:t>
      </w:r>
    </w:p>
    <w:p w14:paraId="323EFC96">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6.询标</w:t>
      </w:r>
    </w:p>
    <w:p w14:paraId="28C3336C">
      <w:pPr>
        <w:keepNext/>
        <w:keepLines/>
        <w:spacing w:line="360" w:lineRule="auto"/>
        <w:ind w:firstLine="480" w:firstLineChars="200"/>
        <w:rPr>
          <w:rFonts w:hint="eastAsia" w:ascii="宋体" w:hAnsi="宋体" w:eastAsia="宋体" w:cs="宋体"/>
          <w:b/>
          <w:bCs/>
          <w:color w:val="000000"/>
          <w:sz w:val="24"/>
          <w:szCs w:val="24"/>
        </w:rPr>
      </w:pPr>
      <w:r>
        <w:rPr>
          <w:rFonts w:hint="eastAsia" w:ascii="宋体" w:hAnsi="宋体" w:eastAsia="宋体" w:cs="宋体"/>
          <w:color w:val="000000"/>
          <w:sz w:val="24"/>
          <w:szCs w:val="24"/>
        </w:rPr>
        <w:t>凡对本次招标提出的询问，均以招标人的书面答复为准。</w:t>
      </w:r>
    </w:p>
    <w:p w14:paraId="7AD59D79">
      <w:pPr>
        <w:keepNext/>
        <w:keepLines/>
        <w:spacing w:line="360" w:lineRule="auto"/>
        <w:outlineLvl w:val="1"/>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五、议程安排</w:t>
      </w:r>
    </w:p>
    <w:p w14:paraId="4E5D0832">
      <w:pPr>
        <w:keepNext/>
        <w:keepLines/>
        <w:spacing w:line="360" w:lineRule="auto"/>
        <w:ind w:firstLine="482" w:firstLineChars="200"/>
        <w:outlineLvl w:val="2"/>
        <w:rPr>
          <w:rFonts w:hint="eastAsia" w:ascii="宋体" w:hAnsi="宋体" w:eastAsia="宋体" w:cs="宋体"/>
          <w:color w:val="000000"/>
          <w:sz w:val="24"/>
          <w:szCs w:val="24"/>
        </w:rPr>
      </w:pPr>
      <w:r>
        <w:rPr>
          <w:rFonts w:hint="eastAsia" w:ascii="宋体" w:hAnsi="宋体" w:eastAsia="宋体" w:cs="宋体"/>
          <w:b/>
          <w:bCs/>
          <w:color w:val="000000"/>
          <w:sz w:val="24"/>
          <w:szCs w:val="24"/>
        </w:rPr>
        <w:t>1.发标时间</w:t>
      </w:r>
    </w:p>
    <w:p w14:paraId="76D036B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见《投标须知前附表》2.1。</w:t>
      </w:r>
    </w:p>
    <w:p w14:paraId="3622861D">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2.发标方式</w:t>
      </w:r>
    </w:p>
    <w:p w14:paraId="792F13B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rPr>
        <w:t>中国重汽官网、山东省阳光采购服务平台、中国招标投标公共服务平台等公开媒体</w:t>
      </w:r>
      <w:r>
        <w:rPr>
          <w:rFonts w:hint="eastAsia" w:ascii="宋体" w:hAnsi="宋体" w:eastAsia="宋体" w:cs="宋体"/>
          <w:color w:val="000000"/>
          <w:sz w:val="24"/>
          <w:szCs w:val="24"/>
        </w:rPr>
        <w:t>公布。</w:t>
      </w:r>
    </w:p>
    <w:p w14:paraId="5C1B22F1">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3.答疑</w:t>
      </w:r>
    </w:p>
    <w:p w14:paraId="09D1C03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见《投标须知前附表》第二条，逾期不受理。</w:t>
      </w:r>
    </w:p>
    <w:p w14:paraId="51958F2C">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4.投标报名</w:t>
      </w:r>
    </w:p>
    <w:p w14:paraId="7AA3AED5">
      <w:pPr>
        <w:keepNext/>
        <w:keepLines/>
        <w:spacing w:line="360" w:lineRule="auto"/>
        <w:ind w:firstLine="482"/>
        <w:rPr>
          <w:rFonts w:hint="eastAsia" w:ascii="宋体" w:hAnsi="宋体" w:eastAsia="宋体" w:cs="宋体"/>
          <w:sz w:val="24"/>
          <w:szCs w:val="24"/>
        </w:rPr>
      </w:pPr>
      <w:r>
        <w:rPr>
          <w:rFonts w:hint="eastAsia" w:ascii="宋体" w:hAnsi="宋体" w:eastAsia="宋体" w:cs="宋体"/>
          <w:sz w:val="24"/>
          <w:szCs w:val="24"/>
        </w:rPr>
        <w:t>4.1投标人在报名参与本项目的同时，应提供项目投标保证金。投标保证金应在规定的时间前将投标保证金从投标人单位基本帐户转出并到账，否则按否决投标处理；未按规定提交保证金的投标人，其投标文件按否决投标处理。（保证金具体金额及缴纳截止时间见《投标须知前附表》4.2和4.3）。</w:t>
      </w:r>
    </w:p>
    <w:p w14:paraId="02653B62">
      <w:pPr>
        <w:pStyle w:val="113"/>
        <w:ind w:firstLine="480"/>
        <w:rPr>
          <w:rFonts w:hint="eastAsia" w:eastAsia="宋体" w:cs="宋体"/>
        </w:rPr>
      </w:pPr>
      <w:r>
        <w:rPr>
          <w:rFonts w:hint="eastAsia" w:eastAsia="宋体" w:cs="宋体"/>
        </w:rPr>
        <w:t>4.2招标人银行账户信息如下：见《投标须知前附表》4.2。</w:t>
      </w:r>
    </w:p>
    <w:p w14:paraId="35F69229">
      <w:pPr>
        <w:pStyle w:val="113"/>
        <w:ind w:firstLine="480"/>
        <w:rPr>
          <w:rFonts w:hint="eastAsia" w:eastAsia="宋体" w:cs="宋体"/>
        </w:rPr>
      </w:pPr>
      <w:r>
        <w:rPr>
          <w:rFonts w:hint="eastAsia" w:eastAsia="宋体" w:cs="宋体"/>
        </w:rPr>
        <w:t>转账附言：</w:t>
      </w:r>
      <w:r>
        <w:rPr>
          <w:rFonts w:hint="eastAsia" w:eastAsia="宋体" w:cs="宋体"/>
          <w:b/>
          <w:bCs/>
          <w:color w:val="FF0000"/>
        </w:rPr>
        <w:t>公司名称+项目名称+投标保证金</w:t>
      </w:r>
      <w:r>
        <w:rPr>
          <w:rFonts w:hint="eastAsia" w:eastAsia="宋体" w:cs="宋体"/>
          <w:color w:val="FF0000"/>
        </w:rPr>
        <w:t>；</w:t>
      </w:r>
    </w:p>
    <w:p w14:paraId="54E19131">
      <w:pPr>
        <w:pStyle w:val="113"/>
        <w:ind w:firstLine="480"/>
        <w:rPr>
          <w:rFonts w:hint="eastAsia" w:eastAsia="宋体" w:cs="宋体"/>
        </w:rPr>
      </w:pPr>
      <w:r>
        <w:rPr>
          <w:rFonts w:hint="eastAsia" w:eastAsia="宋体" w:cs="宋体"/>
        </w:rPr>
        <w:t>对于没有中标的投标人，投标保证金将于招标人内部完成中标人评审并确认最终中标人后在30工作日内予以原路返还（无息）；对于中标方，投标保证金将在签订合同后30个工作日内原路返还（无息）；</w:t>
      </w:r>
    </w:p>
    <w:p w14:paraId="716760FF">
      <w:pPr>
        <w:pStyle w:val="113"/>
        <w:ind w:firstLine="480"/>
        <w:rPr>
          <w:rFonts w:hint="eastAsia" w:eastAsia="宋体" w:cs="宋体"/>
        </w:rPr>
      </w:pPr>
      <w:r>
        <w:rPr>
          <w:rFonts w:hint="eastAsia" w:eastAsia="宋体" w:cs="宋体"/>
        </w:rPr>
        <w:t>4.3说明</w:t>
      </w:r>
    </w:p>
    <w:p w14:paraId="16A69B9B">
      <w:pPr>
        <w:pStyle w:val="113"/>
        <w:ind w:firstLine="480"/>
        <w:rPr>
          <w:rFonts w:hint="eastAsia" w:eastAsia="宋体" w:cs="宋体"/>
          <w:b/>
          <w:bCs/>
        </w:rPr>
      </w:pPr>
      <w:r>
        <w:rPr>
          <w:rFonts w:hint="eastAsia" w:eastAsia="宋体" w:cs="宋体"/>
        </w:rPr>
        <w:t xml:space="preserve">4.3.1 </w:t>
      </w:r>
      <w:r>
        <w:rPr>
          <w:rFonts w:hint="eastAsia" w:eastAsia="宋体" w:cs="宋体"/>
          <w:color w:val="auto"/>
        </w:rPr>
        <w:t>投标人在向招标人出示《投标保证金缴纳凭证》后方可进行投标</w:t>
      </w:r>
      <w:r>
        <w:rPr>
          <w:rFonts w:hint="eastAsia" w:eastAsia="宋体" w:cs="宋体"/>
          <w:color w:val="auto"/>
          <w:lang w:eastAsia="zh-CN"/>
        </w:rPr>
        <w:t>，</w:t>
      </w:r>
      <w:r>
        <w:rPr>
          <w:rFonts w:hint="eastAsia" w:eastAsia="宋体" w:cs="宋体"/>
          <w:b/>
          <w:bCs/>
          <w:color w:val="1D41D5"/>
          <w:lang w:val="en-US" w:eastAsia="zh-CN"/>
        </w:rPr>
        <w:t>建议以</w:t>
      </w:r>
      <w:r>
        <w:rPr>
          <w:rFonts w:hint="eastAsia" w:eastAsia="宋体" w:cs="宋体"/>
          <w:b/>
          <w:bCs/>
          <w:color w:val="0000FF"/>
          <w:lang w:val="en-US" w:eastAsia="zh-CN"/>
        </w:rPr>
        <w:t>邮件方式发送至1.3的邮箱地址，</w:t>
      </w:r>
      <w:r>
        <w:rPr>
          <w:rFonts w:hint="eastAsia" w:eastAsia="宋体" w:cs="宋体"/>
          <w:color w:val="auto"/>
          <w:lang w:val="en-US" w:eastAsia="zh-CN"/>
        </w:rPr>
        <w:t>让招标人提前确认投标人资格</w:t>
      </w:r>
      <w:r>
        <w:rPr>
          <w:rFonts w:hint="eastAsia" w:eastAsia="宋体" w:cs="宋体"/>
          <w:color w:val="auto"/>
        </w:rPr>
        <w:t>；</w:t>
      </w:r>
    </w:p>
    <w:p w14:paraId="2ACA5D8C">
      <w:pPr>
        <w:pStyle w:val="113"/>
        <w:ind w:firstLine="480"/>
        <w:rPr>
          <w:rFonts w:hint="eastAsia" w:eastAsia="宋体" w:cs="宋体"/>
        </w:rPr>
      </w:pPr>
      <w:r>
        <w:rPr>
          <w:rFonts w:hint="eastAsia" w:eastAsia="宋体" w:cs="宋体"/>
        </w:rPr>
        <w:t>4.3.2 发生以下情况时，招标人有权没收保证金：</w:t>
      </w:r>
    </w:p>
    <w:p w14:paraId="29EFB105">
      <w:pPr>
        <w:pStyle w:val="113"/>
        <w:ind w:firstLine="480"/>
        <w:rPr>
          <w:rFonts w:hint="eastAsia" w:eastAsia="宋体" w:cs="宋体"/>
        </w:rPr>
      </w:pPr>
      <w:r>
        <w:rPr>
          <w:rFonts w:hint="eastAsia" w:eastAsia="宋体" w:cs="宋体"/>
        </w:rPr>
        <w:t>4.3.2.1 截至开标前3天，投标人无正当理由且未以书面形式递交说明而在投标截止日不来投标的；</w:t>
      </w:r>
    </w:p>
    <w:p w14:paraId="0BC4591F">
      <w:pPr>
        <w:pStyle w:val="113"/>
        <w:ind w:firstLine="480"/>
        <w:rPr>
          <w:rFonts w:hint="eastAsia" w:eastAsia="宋体" w:cs="宋体"/>
        </w:rPr>
      </w:pPr>
      <w:r>
        <w:rPr>
          <w:rFonts w:hint="eastAsia" w:eastAsia="宋体" w:cs="宋体"/>
        </w:rPr>
        <w:t>4.3.2.2 投标人递送投标文件后，无正当理由放弃投标的；</w:t>
      </w:r>
    </w:p>
    <w:p w14:paraId="0987F4DC">
      <w:pPr>
        <w:pStyle w:val="113"/>
        <w:ind w:firstLine="480"/>
        <w:rPr>
          <w:rFonts w:hint="eastAsia" w:eastAsia="宋体" w:cs="宋体"/>
        </w:rPr>
      </w:pPr>
      <w:r>
        <w:rPr>
          <w:rFonts w:hint="eastAsia" w:eastAsia="宋体" w:cs="宋体"/>
        </w:rPr>
        <w:t>4.3.2.3若为视频开标，招标过程中澄清函等资料原件未按要求提交的；</w:t>
      </w:r>
    </w:p>
    <w:p w14:paraId="047F2434">
      <w:pPr>
        <w:pStyle w:val="113"/>
        <w:ind w:firstLine="480"/>
        <w:rPr>
          <w:rFonts w:hint="eastAsia" w:eastAsia="宋体" w:cs="宋体"/>
        </w:rPr>
      </w:pPr>
      <w:r>
        <w:rPr>
          <w:rFonts w:hint="eastAsia" w:eastAsia="宋体" w:cs="宋体"/>
        </w:rPr>
        <w:t>4.3.2.4自中标通知书发出之日起30日内，中标人无正当理由不签订合同的；</w:t>
      </w:r>
    </w:p>
    <w:p w14:paraId="7C2E5F00">
      <w:pPr>
        <w:pStyle w:val="113"/>
        <w:ind w:firstLine="480"/>
        <w:rPr>
          <w:rFonts w:hint="eastAsia" w:eastAsia="宋体" w:cs="宋体"/>
        </w:rPr>
      </w:pPr>
      <w:r>
        <w:rPr>
          <w:rFonts w:hint="eastAsia" w:eastAsia="宋体" w:cs="宋体"/>
        </w:rPr>
        <w:t>4.3.2.5投标人在投标过程中被查实有串标、围标、陪标等违规违纪行为的；</w:t>
      </w:r>
    </w:p>
    <w:p w14:paraId="54606B58">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4.3.2.6投标人有违约违规行为或被投诉、举报的，在调查处理期间，保证金暂不退还，待调查处理结束后按有关规定处理。</w:t>
      </w:r>
    </w:p>
    <w:p w14:paraId="7F8380F7">
      <w:pPr>
        <w:pStyle w:val="113"/>
        <w:ind w:firstLine="480"/>
        <w:rPr>
          <w:rFonts w:hint="eastAsia" w:eastAsia="宋体" w:cs="宋体"/>
        </w:rPr>
      </w:pPr>
      <w:r>
        <w:rPr>
          <w:rFonts w:hint="eastAsia" w:eastAsia="宋体" w:cs="宋体"/>
        </w:rPr>
        <w:t>4.4投标报名截止时间</w:t>
      </w:r>
    </w:p>
    <w:p w14:paraId="337A5A97">
      <w:pPr>
        <w:pStyle w:val="113"/>
        <w:ind w:firstLine="480"/>
        <w:rPr>
          <w:rFonts w:hint="eastAsia" w:eastAsia="宋体" w:cs="宋体"/>
        </w:rPr>
      </w:pPr>
      <w:r>
        <w:rPr>
          <w:rFonts w:hint="eastAsia" w:eastAsia="宋体" w:cs="宋体"/>
        </w:rPr>
        <w:t>报名方式：见《投标须知前附表》2.3。</w:t>
      </w:r>
    </w:p>
    <w:p w14:paraId="59D8BC15">
      <w:pPr>
        <w:pStyle w:val="113"/>
        <w:ind w:firstLine="480"/>
        <w:rPr>
          <w:rFonts w:hint="eastAsia" w:eastAsia="宋体" w:cs="宋体"/>
        </w:rPr>
      </w:pPr>
      <w:r>
        <w:rPr>
          <w:rFonts w:hint="eastAsia" w:eastAsia="宋体" w:cs="宋体"/>
        </w:rPr>
        <w:t>报名提交资料：均为盖章电子扫描版，用“</w:t>
      </w:r>
      <w:r>
        <w:rPr>
          <w:rFonts w:hint="eastAsia" w:eastAsia="宋体" w:cs="宋体"/>
          <w:b/>
          <w:bCs/>
        </w:rPr>
        <w:t>公司名称+文件名称</w:t>
      </w:r>
      <w:r>
        <w:rPr>
          <w:rFonts w:hint="eastAsia" w:eastAsia="宋体" w:cs="宋体"/>
        </w:rPr>
        <w:t>”命名</w:t>
      </w:r>
      <w:r>
        <w:rPr>
          <w:rFonts w:hint="eastAsia" w:eastAsia="宋体" w:cs="宋体"/>
          <w:lang w:eastAsia="zh-CN"/>
        </w:rPr>
        <w:t>，</w:t>
      </w:r>
      <w:r>
        <w:rPr>
          <w:rFonts w:hint="eastAsia" w:eastAsia="宋体" w:cs="宋体"/>
          <w:lang w:val="en-US" w:eastAsia="zh-CN"/>
        </w:rPr>
        <w:t>如XX公司资质标，XX公司技术标，XX公司商务标</w:t>
      </w:r>
      <w:r>
        <w:rPr>
          <w:rFonts w:hint="eastAsia" w:eastAsia="宋体" w:cs="宋体"/>
        </w:rPr>
        <w:t>。</w:t>
      </w:r>
    </w:p>
    <w:p w14:paraId="3E252394">
      <w:pPr>
        <w:numPr>
          <w:ilvl w:val="0"/>
          <w:numId w:val="5"/>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如果是授权委托人投标，</w:t>
      </w:r>
      <w:r>
        <w:rPr>
          <w:rFonts w:hint="eastAsia" w:ascii="宋体" w:hAnsi="宋体" w:eastAsia="宋体" w:cs="宋体"/>
          <w:color w:val="000000"/>
          <w:sz w:val="24"/>
          <w:szCs w:val="24"/>
        </w:rPr>
        <w:t>要提交营业执照副本、法人授权委托书（含法人及授权人身份信息证明、授权代表联系方式）。</w:t>
      </w:r>
    </w:p>
    <w:p w14:paraId="26F935D3">
      <w:pPr>
        <w:numPr>
          <w:ilvl w:val="0"/>
          <w:numId w:val="5"/>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如果是法人参加投标</w:t>
      </w:r>
      <w:r>
        <w:rPr>
          <w:rFonts w:hint="eastAsia" w:ascii="宋体" w:hAnsi="宋体" w:eastAsia="宋体" w:cs="宋体"/>
          <w:color w:val="000000"/>
          <w:sz w:val="24"/>
          <w:szCs w:val="24"/>
        </w:rPr>
        <w:t>，要提交营业执照副本、法人代表证明文件。</w:t>
      </w:r>
    </w:p>
    <w:p w14:paraId="2CAC49AB">
      <w:pPr>
        <w:numPr>
          <w:ilvl w:val="0"/>
          <w:numId w:val="5"/>
        </w:numPr>
        <w:spacing w:line="360" w:lineRule="auto"/>
        <w:rPr>
          <w:rFonts w:hint="eastAsia" w:ascii="宋体" w:hAnsi="宋体" w:eastAsia="宋体" w:cs="宋体"/>
          <w:color w:val="000000"/>
          <w:sz w:val="24"/>
          <w:szCs w:val="24"/>
        </w:rPr>
      </w:pPr>
      <w:r>
        <w:rPr>
          <w:rFonts w:hint="eastAsia" w:ascii="宋体" w:hAnsi="宋体" w:eastAsia="宋体" w:cs="宋体"/>
          <w:b/>
          <w:color w:val="000000"/>
          <w:sz w:val="24"/>
          <w:szCs w:val="24"/>
        </w:rPr>
        <w:t>如果是代理商投标</w:t>
      </w:r>
      <w:r>
        <w:rPr>
          <w:rFonts w:hint="eastAsia" w:ascii="宋体" w:hAnsi="宋体" w:eastAsia="宋体" w:cs="宋体"/>
          <w:color w:val="000000"/>
          <w:sz w:val="24"/>
          <w:szCs w:val="24"/>
        </w:rPr>
        <w:t>，除上述a)b)中要求的资料，要另外携带生产商的授权书、原厂售后服务承诺书。</w:t>
      </w:r>
    </w:p>
    <w:p w14:paraId="16BDF50E">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5.开标时间</w:t>
      </w:r>
    </w:p>
    <w:p w14:paraId="5CEA6C8B">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见《投标须知前附表》5.1，若有变动另行通知。</w:t>
      </w:r>
    </w:p>
    <w:p w14:paraId="0EB237B2">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6.开标方式</w:t>
      </w:r>
    </w:p>
    <w:p w14:paraId="038276CF">
      <w:pPr>
        <w:spacing w:line="360" w:lineRule="auto"/>
        <w:ind w:firstLine="480" w:firstLineChars="200"/>
        <w:rPr>
          <w:rFonts w:hint="eastAsia" w:ascii="宋体" w:hAnsi="宋体" w:eastAsia="宋体" w:cs="宋体"/>
          <w:color w:val="000000"/>
          <w:sz w:val="24"/>
          <w:szCs w:val="24"/>
          <w:highlight w:val="yellow"/>
        </w:rPr>
      </w:pPr>
      <w:r>
        <w:rPr>
          <w:rFonts w:hint="eastAsia" w:ascii="宋体" w:hAnsi="宋体" w:eastAsia="宋体" w:cs="宋体"/>
          <w:color w:val="000000"/>
          <w:sz w:val="24"/>
          <w:szCs w:val="24"/>
          <w:highlight w:val="yellow"/>
          <w:lang w:val="en-US" w:eastAsia="zh-CN"/>
        </w:rPr>
        <w:t>线上开标，</w:t>
      </w:r>
      <w:r>
        <w:rPr>
          <w:rFonts w:hint="eastAsia" w:ascii="宋体" w:hAnsi="宋体" w:eastAsia="宋体" w:cs="宋体"/>
          <w:color w:val="000000"/>
          <w:sz w:val="24"/>
          <w:szCs w:val="24"/>
          <w:highlight w:val="yellow"/>
        </w:rPr>
        <w:t>由招标人创建视频链接，并在报名结束后统一通知。</w:t>
      </w:r>
    </w:p>
    <w:p w14:paraId="22324DE2">
      <w:pPr>
        <w:spacing w:line="360" w:lineRule="auto"/>
        <w:jc w:val="left"/>
        <w:outlineLvl w:val="1"/>
        <w:rPr>
          <w:rFonts w:hint="eastAsia" w:ascii="宋体" w:hAnsi="宋体" w:eastAsia="宋体" w:cs="宋体"/>
          <w:b/>
          <w:sz w:val="24"/>
          <w:szCs w:val="24"/>
        </w:rPr>
      </w:pPr>
      <w:bookmarkStart w:id="6" w:name="_Toc33285487"/>
      <w:bookmarkStart w:id="7" w:name="_Toc33266914"/>
      <w:bookmarkStart w:id="8" w:name="_Toc33267001"/>
      <w:bookmarkStart w:id="9" w:name="_Toc33266627"/>
      <w:bookmarkStart w:id="10" w:name="_Toc33265653"/>
      <w:bookmarkStart w:id="11" w:name="_Toc33266950"/>
      <w:bookmarkStart w:id="12" w:name="_Toc33265752"/>
      <w:r>
        <w:rPr>
          <w:rFonts w:hint="eastAsia" w:ascii="宋体" w:hAnsi="宋体" w:eastAsia="宋体" w:cs="宋体"/>
          <w:b/>
          <w:sz w:val="24"/>
          <w:szCs w:val="24"/>
        </w:rPr>
        <w:t>六、评价原则</w:t>
      </w:r>
      <w:bookmarkEnd w:id="6"/>
      <w:bookmarkEnd w:id="7"/>
      <w:bookmarkEnd w:id="8"/>
      <w:bookmarkEnd w:id="9"/>
      <w:bookmarkEnd w:id="10"/>
      <w:bookmarkEnd w:id="11"/>
      <w:bookmarkEnd w:id="12"/>
      <w:bookmarkStart w:id="13" w:name="_Toc395116633"/>
    </w:p>
    <w:bookmarkEnd w:id="13"/>
    <w:p w14:paraId="4FDF3CEC">
      <w:pPr>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1.评标</w:t>
      </w:r>
    </w:p>
    <w:p w14:paraId="5344B19E">
      <w:pPr>
        <w:adjustRightInd w:val="0"/>
        <w:snapToGrid w:val="0"/>
        <w:spacing w:line="360" w:lineRule="auto"/>
        <w:ind w:firstLine="480" w:firstLineChars="200"/>
        <w:rPr>
          <w:rFonts w:hint="eastAsia" w:ascii="宋体" w:hAnsi="宋体" w:eastAsia="宋体" w:cs="宋体"/>
          <w:b/>
          <w:color w:val="000000"/>
          <w:sz w:val="24"/>
          <w:szCs w:val="24"/>
        </w:rPr>
      </w:pPr>
      <w:bookmarkStart w:id="14" w:name="_Toc395116634"/>
      <w:bookmarkStart w:id="15" w:name="_Toc33267002"/>
      <w:bookmarkStart w:id="16" w:name="_Toc33266628"/>
      <w:bookmarkStart w:id="17" w:name="_Toc33266915"/>
      <w:bookmarkStart w:id="18" w:name="_Toc33285489"/>
      <w:bookmarkStart w:id="19" w:name="_Toc33265654"/>
      <w:bookmarkStart w:id="20" w:name="_Toc33266951"/>
      <w:bookmarkStart w:id="21" w:name="_Toc33265753"/>
      <w:r>
        <w:rPr>
          <w:rFonts w:hint="eastAsia" w:ascii="宋体" w:hAnsi="宋体" w:eastAsia="宋体" w:cs="宋体"/>
          <w:sz w:val="24"/>
          <w:szCs w:val="24"/>
        </w:rPr>
        <w:t>本次招标采用</w:t>
      </w:r>
      <w:r>
        <w:rPr>
          <w:rFonts w:hint="eastAsia" w:ascii="宋体" w:hAnsi="宋体" w:eastAsia="宋体" w:cs="宋体"/>
          <w:b/>
          <w:bCs/>
          <w:sz w:val="24"/>
          <w:szCs w:val="24"/>
          <w:lang w:val="en-US" w:eastAsia="zh-CN"/>
        </w:rPr>
        <w:t>低价中标原则</w:t>
      </w:r>
      <w:r>
        <w:rPr>
          <w:rFonts w:hint="eastAsia" w:ascii="宋体" w:hAnsi="宋体" w:eastAsia="宋体" w:cs="宋体"/>
          <w:sz w:val="24"/>
          <w:szCs w:val="24"/>
        </w:rPr>
        <w:t>。</w:t>
      </w:r>
      <w:r>
        <w:rPr>
          <w:rFonts w:hint="eastAsia" w:ascii="宋体" w:hAnsi="宋体" w:eastAsia="宋体" w:cs="宋体"/>
          <w:color w:val="000000"/>
          <w:sz w:val="24"/>
          <w:szCs w:val="24"/>
        </w:rPr>
        <w:t>本着公平、公正、公开的原则，在通过技术标综合评审后入围的前提下确定中标人</w:t>
      </w:r>
      <w:r>
        <w:rPr>
          <w:rFonts w:hint="eastAsia" w:ascii="宋体" w:hAnsi="宋体" w:eastAsia="宋体" w:cs="宋体"/>
          <w:b/>
          <w:color w:val="000000"/>
          <w:sz w:val="24"/>
          <w:szCs w:val="24"/>
        </w:rPr>
        <w:t>，对未中标单位不做任何解释。</w:t>
      </w:r>
    </w:p>
    <w:bookmarkEnd w:id="14"/>
    <w:bookmarkEnd w:id="15"/>
    <w:bookmarkEnd w:id="16"/>
    <w:bookmarkEnd w:id="17"/>
    <w:bookmarkEnd w:id="18"/>
    <w:bookmarkEnd w:id="19"/>
    <w:bookmarkEnd w:id="20"/>
    <w:bookmarkEnd w:id="21"/>
    <w:p w14:paraId="1D1719D6">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评标流程：</w:t>
      </w:r>
    </w:p>
    <w:p w14:paraId="648181D0">
      <w:pPr>
        <w:pStyle w:val="17"/>
        <w:spacing w:line="360" w:lineRule="auto"/>
        <w:ind w:firstLine="482" w:firstLineChars="200"/>
        <w:rPr>
          <w:rFonts w:hint="eastAsia" w:hAnsi="宋体" w:eastAsia="宋体" w:cs="宋体"/>
          <w:sz w:val="24"/>
          <w:szCs w:val="24"/>
        </w:rPr>
      </w:pPr>
      <w:r>
        <w:rPr>
          <w:rFonts w:hint="eastAsia" w:hAnsi="宋体" w:eastAsia="宋体" w:cs="宋体"/>
          <w:b/>
          <w:color w:val="000000"/>
          <w:sz w:val="24"/>
          <w:szCs w:val="24"/>
        </w:rPr>
        <w:t>投标文件包含《投标文件（资质标）》、《投标文件（技术标）》、《投标文件（商务标）》（开标一览表），共计三个文件。</w:t>
      </w:r>
    </w:p>
    <w:p w14:paraId="2F6EE0D9">
      <w:pPr>
        <w:numPr>
          <w:ilvl w:val="0"/>
          <w:numId w:val="6"/>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w:t>
      </w:r>
      <w:r>
        <w:rPr>
          <w:rFonts w:hint="eastAsia" w:ascii="宋体" w:hAnsi="宋体" w:eastAsia="宋体" w:cs="宋体"/>
          <w:b w:val="0"/>
          <w:bCs/>
          <w:color w:val="000000"/>
          <w:sz w:val="24"/>
          <w:szCs w:val="24"/>
        </w:rPr>
        <w:t>在“中国重汽e采通”应标报名时，按照第三部分第三条投标文件组成资格证明文件中的1.1-1.12准备资料，上传完毕后，等待审核；</w:t>
      </w:r>
    </w:p>
    <w:p w14:paraId="7892F6C3">
      <w:pPr>
        <w:numPr>
          <w:ilvl w:val="0"/>
          <w:numId w:val="7"/>
        </w:numPr>
        <w:spacing w:line="360" w:lineRule="auto"/>
        <w:rPr>
          <w:rFonts w:hint="eastAsia" w:ascii="宋体" w:hAnsi="宋体" w:eastAsia="宋体" w:cs="宋体"/>
          <w:b w:val="0"/>
          <w:bCs/>
          <w:color w:val="000000"/>
          <w:sz w:val="24"/>
          <w:szCs w:val="24"/>
        </w:rPr>
      </w:pPr>
      <w:r>
        <w:rPr>
          <w:rFonts w:hint="eastAsia" w:ascii="宋体" w:hAnsi="宋体" w:eastAsia="宋体" w:cs="宋体"/>
          <w:b/>
          <w:color w:val="000000"/>
          <w:sz w:val="24"/>
          <w:szCs w:val="24"/>
        </w:rPr>
        <w:t>通过应标资格审查的单位进入投标环节</w:t>
      </w:r>
      <w:r>
        <w:rPr>
          <w:rFonts w:hint="eastAsia" w:ascii="宋体" w:hAnsi="宋体" w:eastAsia="宋体" w:cs="宋体"/>
          <w:b w:val="0"/>
          <w:bCs/>
          <w:color w:val="000000"/>
          <w:sz w:val="24"/>
          <w:szCs w:val="24"/>
        </w:rPr>
        <w:t>，按照“SRM系统供应商用户手册（附件16）”，在重汽e采通平台投递电子标书（包含资质标、技术标、商务标）；没有通过应标资质审查的单位不能进入投标环节；</w:t>
      </w:r>
    </w:p>
    <w:p w14:paraId="3F33EAF8">
      <w:pPr>
        <w:numPr>
          <w:ilvl w:val="0"/>
          <w:numId w:val="6"/>
        </w:numPr>
        <w:spacing w:line="360" w:lineRule="auto"/>
        <w:rPr>
          <w:rFonts w:hint="eastAsia" w:ascii="宋体" w:hAnsi="宋体" w:eastAsia="宋体" w:cs="宋体"/>
          <w:b/>
          <w:color w:val="000000"/>
          <w:sz w:val="24"/>
          <w:szCs w:val="24"/>
        </w:rPr>
      </w:pPr>
      <w:r>
        <w:rPr>
          <w:rFonts w:hint="eastAsia" w:ascii="宋体" w:hAnsi="宋体" w:eastAsia="宋体" w:cs="宋体"/>
          <w:b/>
          <w:sz w:val="24"/>
          <w:szCs w:val="24"/>
        </w:rPr>
        <w:t>资质标评审：</w:t>
      </w:r>
      <w:r>
        <w:rPr>
          <w:rFonts w:hint="eastAsia" w:ascii="宋体" w:hAnsi="宋体" w:eastAsia="宋体" w:cs="宋体"/>
          <w:b w:val="0"/>
          <w:bCs/>
          <w:sz w:val="24"/>
          <w:szCs w:val="24"/>
        </w:rPr>
        <w:t>资质标审核通过的单位，可以进入</w:t>
      </w:r>
      <w:r>
        <w:rPr>
          <w:rFonts w:hint="eastAsia" w:ascii="宋体" w:hAnsi="宋体" w:eastAsia="宋体" w:cs="宋体"/>
          <w:b w:val="0"/>
          <w:bCs/>
          <w:color w:val="000000"/>
          <w:sz w:val="24"/>
          <w:szCs w:val="24"/>
        </w:rPr>
        <w:t>公开唱标环节；</w:t>
      </w:r>
    </w:p>
    <w:p w14:paraId="16EA87C0">
      <w:pPr>
        <w:numPr>
          <w:ilvl w:val="0"/>
          <w:numId w:val="8"/>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公开唱标：</w:t>
      </w:r>
      <w:r>
        <w:rPr>
          <w:rFonts w:hint="eastAsia" w:ascii="宋体" w:hAnsi="宋体" w:eastAsia="宋体" w:cs="宋体"/>
          <w:b w:val="0"/>
          <w:bCs/>
          <w:color w:val="000000"/>
          <w:sz w:val="24"/>
          <w:szCs w:val="24"/>
        </w:rPr>
        <w:t>公示资质标入围单位的开标价格及商务条款响应情况</w:t>
      </w:r>
      <w:r>
        <w:rPr>
          <w:rFonts w:hint="eastAsia" w:ascii="宋体" w:hAnsi="宋体" w:eastAsia="宋体" w:cs="宋体"/>
          <w:b w:val="0"/>
          <w:bCs/>
          <w:sz w:val="24"/>
          <w:szCs w:val="24"/>
        </w:rPr>
        <w:t>；</w:t>
      </w:r>
    </w:p>
    <w:p w14:paraId="04B9603C">
      <w:pPr>
        <w:numPr>
          <w:ilvl w:val="0"/>
          <w:numId w:val="9"/>
        </w:numPr>
        <w:spacing w:line="360" w:lineRule="auto"/>
        <w:rPr>
          <w:rFonts w:hint="eastAsia" w:ascii="宋体" w:hAnsi="宋体" w:eastAsia="宋体" w:cs="宋体"/>
          <w:b w:val="0"/>
          <w:bCs/>
          <w:sz w:val="24"/>
          <w:szCs w:val="24"/>
        </w:rPr>
      </w:pPr>
      <w:r>
        <w:rPr>
          <w:rFonts w:hint="eastAsia" w:ascii="宋体" w:hAnsi="宋体" w:eastAsia="宋体" w:cs="宋体"/>
          <w:b/>
          <w:color w:val="000000"/>
          <w:sz w:val="24"/>
          <w:szCs w:val="24"/>
        </w:rPr>
        <w:t>技术标评审</w:t>
      </w:r>
      <w:r>
        <w:rPr>
          <w:rFonts w:hint="eastAsia" w:ascii="宋体" w:hAnsi="宋体" w:eastAsia="宋体" w:cs="宋体"/>
          <w:b/>
          <w:sz w:val="24"/>
          <w:szCs w:val="24"/>
        </w:rPr>
        <w:t>：</w:t>
      </w:r>
      <w:r>
        <w:rPr>
          <w:rFonts w:hint="eastAsia" w:ascii="宋体" w:hAnsi="宋体" w:eastAsia="宋体" w:cs="宋体"/>
          <w:b w:val="0"/>
          <w:bCs/>
          <w:sz w:val="24"/>
          <w:szCs w:val="24"/>
        </w:rPr>
        <w:t>技术标评标专家组，通过重汽e采通，对各投标人的《投标文件（技术标）》进行综合评审；评审期间产生的技术澄清均由投标人在重汽e采通平台内完成提交；评审合格的单位进入商务标评审环节，评审不合格的单位被淘汰</w:t>
      </w:r>
    </w:p>
    <w:p w14:paraId="3C90A184">
      <w:pPr>
        <w:numPr>
          <w:ilvl w:val="0"/>
          <w:numId w:val="9"/>
        </w:numPr>
        <w:spacing w:line="360" w:lineRule="auto"/>
        <w:rPr>
          <w:rFonts w:hint="eastAsia" w:ascii="宋体" w:hAnsi="宋体" w:eastAsia="宋体" w:cs="宋体"/>
          <w:b w:val="0"/>
          <w:bCs/>
          <w:sz w:val="24"/>
          <w:szCs w:val="24"/>
        </w:rPr>
      </w:pPr>
      <w:r>
        <w:rPr>
          <w:rFonts w:hint="eastAsia" w:ascii="宋体" w:hAnsi="宋体" w:eastAsia="宋体" w:cs="宋体"/>
          <w:b/>
          <w:sz w:val="24"/>
          <w:szCs w:val="24"/>
        </w:rPr>
        <w:t>商务标评审：</w:t>
      </w:r>
      <w:r>
        <w:rPr>
          <w:rFonts w:hint="eastAsia" w:ascii="宋体" w:hAnsi="宋体" w:eastAsia="宋体" w:cs="宋体"/>
          <w:b w:val="0"/>
          <w:bCs/>
          <w:sz w:val="24"/>
          <w:szCs w:val="24"/>
        </w:rPr>
        <w:t>商务条款相应确认→价格澄清→商务标评审；评审期间产生的商务价格澄清均由投标人在重汽e采通平台限时内完成提交；</w:t>
      </w:r>
    </w:p>
    <w:p w14:paraId="0BD9BFA3">
      <w:pPr>
        <w:numPr>
          <w:ilvl w:val="255"/>
          <w:numId w:val="0"/>
        </w:num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注意：</w:t>
      </w:r>
      <w:r>
        <w:rPr>
          <w:rFonts w:hint="eastAsia" w:ascii="宋体" w:hAnsi="宋体" w:eastAsia="宋体" w:cs="宋体"/>
          <w:b w:val="0"/>
          <w:bCs/>
          <w:sz w:val="24"/>
          <w:szCs w:val="24"/>
        </w:rPr>
        <w:t>投标人均需要自带笔记本电脑在重汽e采通进行自主投标和提交澄清函；投标和提交澄清函均有时间限制，超时未提交的按无效处理。</w:t>
      </w:r>
    </w:p>
    <w:p w14:paraId="44B15FBF">
      <w:pPr>
        <w:numPr>
          <w:ilvl w:val="0"/>
          <w:numId w:val="10"/>
        </w:numPr>
        <w:spacing w:line="360" w:lineRule="auto"/>
        <w:rPr>
          <w:rFonts w:hint="eastAsia" w:ascii="宋体" w:hAnsi="宋体" w:eastAsia="宋体" w:cs="宋体"/>
          <w:b/>
          <w:sz w:val="24"/>
          <w:szCs w:val="24"/>
        </w:rPr>
      </w:pPr>
      <w:r>
        <w:rPr>
          <w:rFonts w:hint="eastAsia" w:ascii="宋体" w:hAnsi="宋体" w:eastAsia="宋体" w:cs="宋体"/>
          <w:b/>
          <w:sz w:val="24"/>
          <w:szCs w:val="24"/>
        </w:rPr>
        <w:t>中标人确定：技术标入围后，</w:t>
      </w:r>
      <w:r>
        <w:rPr>
          <w:rFonts w:hint="eastAsia" w:ascii="宋体" w:hAnsi="宋体" w:eastAsia="宋体" w:cs="宋体"/>
          <w:b/>
          <w:sz w:val="24"/>
          <w:szCs w:val="24"/>
          <w:lang w:val="en-US" w:eastAsia="zh-CN"/>
        </w:rPr>
        <w:t>采用综合评标法</w:t>
      </w:r>
      <w:r>
        <w:rPr>
          <w:rFonts w:hint="eastAsia" w:ascii="宋体" w:hAnsi="宋体" w:eastAsia="宋体" w:cs="宋体"/>
          <w:b/>
          <w:sz w:val="24"/>
          <w:szCs w:val="24"/>
        </w:rPr>
        <w:t>中标。</w:t>
      </w:r>
    </w:p>
    <w:p w14:paraId="3F35D24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r>
        <w:rPr>
          <w:rFonts w:hint="eastAsia" w:ascii="宋体" w:hAnsi="宋体" w:eastAsia="宋体" w:cs="宋体"/>
          <w:color w:val="000000"/>
          <w:sz w:val="24"/>
          <w:szCs w:val="24"/>
        </w:rPr>
        <w:t>。</w:t>
      </w:r>
    </w:p>
    <w:p w14:paraId="18E10375">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七、合同签订</w:t>
      </w:r>
    </w:p>
    <w:p w14:paraId="048C430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1.招标人根据评标工作小组的评标结果确定中标人，在重汽e采通平台公布中标结果，并发送中标通知。</w:t>
      </w:r>
    </w:p>
    <w:p w14:paraId="6A7FB19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14:paraId="7380FAF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3.中标人应当按照合同约定的履约责任，在保证质量的前提下完成中标项目，不得将中标项目转包或分包给他人，否则视为违约，招标人有权解除合同。</w:t>
      </w:r>
    </w:p>
    <w:p w14:paraId="2A05CDFA">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4.中标人由于履行义务的能力或信用有严重缺陷，招标人有权取消其中标资格，招标人将从中标候选单位中依序重新确定中标人，或重新组织招标；</w:t>
      </w:r>
    </w:p>
    <w:p w14:paraId="36502C65">
      <w:pPr>
        <w:spacing w:line="36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5.合同以双方最终签署的版本为准。</w:t>
      </w:r>
    </w:p>
    <w:p w14:paraId="30BEB18F">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八、废标及终止招标</w:t>
      </w:r>
    </w:p>
    <w:p w14:paraId="6ED57A4C">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38BBE8CA">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（1）投标人提供的有关资格、资质证明文件不合格、不真实或提供虚假投标材料；</w:t>
      </w:r>
    </w:p>
    <w:p w14:paraId="0972F770">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14:paraId="40D65D9A">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14:paraId="3226D41E">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14:paraId="1D6DB659">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14:paraId="5CA15707">
      <w:pPr>
        <w:pStyle w:val="17"/>
        <w:spacing w:line="360" w:lineRule="auto"/>
        <w:rPr>
          <w:rFonts w:hint="eastAsia" w:hAnsi="宋体" w:eastAsia="宋体" w:cs="宋体"/>
          <w:sz w:val="24"/>
          <w:szCs w:val="24"/>
        </w:rPr>
      </w:pPr>
      <w:r>
        <w:rPr>
          <w:rFonts w:hint="eastAsia" w:hAnsi="宋体" w:eastAsia="宋体" w:cs="宋体"/>
          <w:color w:val="000000"/>
          <w:sz w:val="24"/>
          <w:szCs w:val="24"/>
        </w:rPr>
        <w:t xml:space="preserve">    （6）投标人被举报、检举，并经招标人查实无误的；</w:t>
      </w:r>
    </w:p>
    <w:p w14:paraId="65177D00">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14:paraId="225A7F69">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14:paraId="53E7600E">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（9）有效投标不足三家</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单一来源除外</w:t>
      </w:r>
      <w:r>
        <w:rPr>
          <w:rFonts w:hint="eastAsia" w:ascii="宋体" w:hAnsi="宋体" w:eastAsia="宋体" w:cs="宋体"/>
          <w:sz w:val="24"/>
          <w:szCs w:val="24"/>
          <w:lang w:eastAsia="zh-CN"/>
        </w:rPr>
        <w:t>）</w:t>
      </w:r>
      <w:r>
        <w:rPr>
          <w:rFonts w:hint="eastAsia" w:ascii="宋体" w:hAnsi="宋体" w:eastAsia="宋体" w:cs="宋体"/>
          <w:sz w:val="24"/>
          <w:szCs w:val="24"/>
        </w:rPr>
        <w:t>；</w:t>
      </w:r>
    </w:p>
    <w:p w14:paraId="7CDD6CE6">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14:paraId="50B4EC86">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1）未按照招标人规定的时间内在中国重汽e采通完成投标的；</w:t>
      </w:r>
    </w:p>
    <w:p w14:paraId="749EC4B4">
      <w:pPr>
        <w:pStyle w:val="17"/>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（12）不同投标人的投标文件异常一致；</w:t>
      </w:r>
    </w:p>
    <w:p w14:paraId="641998A6">
      <w:pPr>
        <w:pStyle w:val="17"/>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（13）投标报价呈规律性差异的；</w:t>
      </w:r>
    </w:p>
    <w:p w14:paraId="782ABFD8">
      <w:pPr>
        <w:pStyle w:val="17"/>
        <w:spacing w:line="360" w:lineRule="auto"/>
        <w:ind w:firstLine="480" w:firstLineChars="200"/>
        <w:rPr>
          <w:rFonts w:hint="eastAsia" w:ascii="宋体" w:hAnsi="宋体" w:eastAsia="宋体" w:cs="宋体"/>
          <w:color w:val="000000"/>
          <w:sz w:val="24"/>
          <w:szCs w:val="24"/>
        </w:rPr>
      </w:pPr>
      <w:r>
        <w:rPr>
          <w:rFonts w:hint="eastAsia" w:hAnsi="宋体" w:eastAsia="宋体" w:cs="宋体"/>
          <w:color w:val="000000"/>
          <w:sz w:val="24"/>
          <w:szCs w:val="24"/>
        </w:rPr>
        <w:t>（14）</w:t>
      </w:r>
      <w:r>
        <w:rPr>
          <w:rFonts w:hint="eastAsia" w:ascii="宋体" w:hAnsi="宋体" w:eastAsia="宋体" w:cs="宋体"/>
          <w:color w:val="000000"/>
          <w:sz w:val="24"/>
          <w:szCs w:val="24"/>
        </w:rPr>
        <w:t>法律、法规规定的其他情况。</w:t>
      </w:r>
    </w:p>
    <w:p w14:paraId="095802E1">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2.出现下列情形之一，招标人有权否决所有投标人的投标，并终止招标。</w:t>
      </w:r>
    </w:p>
    <w:p w14:paraId="605A1080">
      <w:pP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（1）符合条件的投标人或者对招标文件做实质响应的投标人不足三家的；</w:t>
      </w:r>
    </w:p>
    <w:p w14:paraId="05EA9ED1">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14:paraId="15B6184F">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14:paraId="7CC0A584">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bookmarkStart w:id="22" w:name="OLE_LINK27"/>
      <w:bookmarkStart w:id="23" w:name="OLE_LINK29"/>
      <w:bookmarkStart w:id="24" w:name="OLE_LINK26"/>
      <w:bookmarkStart w:id="25" w:name="OLE_LINK25"/>
      <w:bookmarkStart w:id="26" w:name="OLE_LINK28"/>
      <w:r>
        <w:rPr>
          <w:rFonts w:hint="eastAsia" w:ascii="宋体" w:hAnsi="宋体" w:eastAsia="宋体" w:cs="宋体"/>
          <w:bCs/>
          <w:sz w:val="24"/>
          <w:szCs w:val="24"/>
        </w:rPr>
        <w:t>；</w:t>
      </w:r>
      <w:bookmarkEnd w:id="22"/>
      <w:bookmarkEnd w:id="23"/>
      <w:bookmarkEnd w:id="24"/>
      <w:bookmarkEnd w:id="25"/>
      <w:bookmarkEnd w:id="26"/>
    </w:p>
    <w:p w14:paraId="65133C22">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14:paraId="55F0EBC5">
      <w:pPr>
        <w:pStyle w:val="17"/>
        <w:spacing w:line="360" w:lineRule="auto"/>
        <w:ind w:firstLine="480" w:firstLineChars="200"/>
        <w:rPr>
          <w:rFonts w:hint="eastAsia" w:hAnsi="宋体" w:eastAsia="宋体" w:cs="宋体"/>
          <w:bCs/>
          <w:sz w:val="24"/>
          <w:szCs w:val="24"/>
        </w:rPr>
      </w:pPr>
      <w:r>
        <w:rPr>
          <w:rFonts w:hint="eastAsia" w:hAnsi="宋体" w:eastAsia="宋体" w:cs="宋体"/>
          <w:bCs/>
          <w:sz w:val="24"/>
          <w:szCs w:val="24"/>
        </w:rPr>
        <w:t>（6）招标人认为其他应终止招标的情形。</w:t>
      </w:r>
    </w:p>
    <w:p w14:paraId="33C4C1C5">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B2DD27E">
      <w:pPr>
        <w:spacing w:line="360" w:lineRule="auto"/>
        <w:ind w:right="2" w:firstLine="482" w:firstLineChars="200"/>
        <w:outlineLvl w:val="1"/>
        <w:rPr>
          <w:rFonts w:hint="eastAsia" w:ascii="宋体" w:hAnsi="宋体" w:eastAsia="宋体" w:cs="宋体"/>
          <w:b/>
          <w:color w:val="000000"/>
          <w:sz w:val="24"/>
          <w:szCs w:val="24"/>
        </w:rPr>
      </w:pPr>
      <w:r>
        <w:rPr>
          <w:rFonts w:hint="eastAsia" w:ascii="宋体" w:hAnsi="宋体" w:eastAsia="宋体" w:cs="宋体"/>
          <w:b/>
          <w:bCs/>
          <w:sz w:val="24"/>
          <w:szCs w:val="24"/>
        </w:rPr>
        <w:t>九、本次招标最终解释权</w:t>
      </w:r>
      <w:r>
        <w:rPr>
          <w:rFonts w:hint="eastAsia" w:ascii="宋体" w:hAnsi="宋体" w:eastAsia="宋体" w:cs="宋体"/>
          <w:b/>
          <w:color w:val="000000"/>
          <w:sz w:val="24"/>
          <w:szCs w:val="24"/>
        </w:rPr>
        <w:t>归中国重汽集团济南商用车有限公司。</w:t>
      </w:r>
    </w:p>
    <w:p w14:paraId="6FCB9B3C">
      <w:pPr>
        <w:pStyle w:val="17"/>
        <w:spacing w:line="360" w:lineRule="auto"/>
        <w:jc w:val="center"/>
        <w:rPr>
          <w:rFonts w:hint="eastAsia" w:hAnsi="宋体" w:eastAsia="宋体" w:cs="宋体"/>
          <w:b/>
          <w:bCs/>
          <w:kern w:val="44"/>
          <w:sz w:val="24"/>
          <w:szCs w:val="24"/>
        </w:rPr>
        <w:sectPr>
          <w:footerReference r:id="rId9" w:type="default"/>
          <w:pgSz w:w="11907" w:h="16840"/>
          <w:pgMar w:top="1304" w:right="1418" w:bottom="1304" w:left="1418" w:header="724" w:footer="851" w:gutter="0"/>
          <w:pgNumType w:fmt="decimal"/>
          <w:cols w:space="720" w:num="1"/>
          <w:docGrid w:linePitch="290" w:charSpace="-3931"/>
        </w:sectPr>
      </w:pPr>
    </w:p>
    <w:p w14:paraId="5BFEC9E0">
      <w:pPr>
        <w:pStyle w:val="17"/>
        <w:numPr>
          <w:ilvl w:val="255"/>
          <w:numId w:val="0"/>
        </w:numPr>
        <w:jc w:val="center"/>
        <w:outlineLvl w:val="0"/>
        <w:rPr>
          <w:rFonts w:ascii="Calibri" w:hAnsi="Calibri" w:eastAsia="宋体" w:cs="Times New Roman"/>
          <w:b/>
          <w:bCs/>
          <w:kern w:val="44"/>
          <w:sz w:val="36"/>
          <w:szCs w:val="44"/>
        </w:rPr>
      </w:pPr>
      <w:bookmarkStart w:id="27" w:name="_Toc22879"/>
      <w:r>
        <w:rPr>
          <w:rFonts w:hint="eastAsia" w:ascii="Calibri" w:hAnsi="Calibri" w:eastAsia="宋体" w:cs="Times New Roman"/>
          <w:b/>
          <w:bCs/>
          <w:kern w:val="44"/>
          <w:sz w:val="36"/>
          <w:szCs w:val="44"/>
        </w:rPr>
        <w:t>第三部分 投标文件编制</w:t>
      </w:r>
      <w:bookmarkEnd w:id="27"/>
    </w:p>
    <w:p w14:paraId="264FBEBB">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一、投标文件的编制</w:t>
      </w:r>
    </w:p>
    <w:p w14:paraId="338D3D4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1.投标人应认真阅读招标文件的所有内容，按招标文件的要求提供投标文件，并保证提供的全部资料的真实性，以使其投标对招标文件作出实质性响应，否则，其投标将被拒绝。</w:t>
      </w:r>
    </w:p>
    <w:p w14:paraId="646F486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2.投标文件和与投标有关的所有文件均应使用中文。</w:t>
      </w:r>
    </w:p>
    <w:p w14:paraId="5DAD9D0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3.除投标文件的技术规格中另有规定外，投标文件中所使用的计量单位应为中华人民共和国法定计量单位。</w:t>
      </w:r>
    </w:p>
    <w:p w14:paraId="2617B52C">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二、投标文件资料</w:t>
      </w:r>
    </w:p>
    <w:p w14:paraId="4F23C07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1.投标人所投标设备详细技术资料清单，在标书中列示说明；</w:t>
      </w:r>
    </w:p>
    <w:p w14:paraId="7CE7F13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2.投标人完整的技术支持与售后服务实施方案，在标书中列示说明，包含但不限于以下内容：</w:t>
      </w:r>
    </w:p>
    <w:p w14:paraId="2911BEC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A、除享受由本品牌生产厂家提供的正规的全球或全国联保三包服务之外，还能获得由本品牌生产厂家或经销商提供的何种免费支持、免费服务或其他对招标人有利的服务项目。</w:t>
      </w:r>
    </w:p>
    <w:p w14:paraId="19C4E5D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B、售后服务机构或网点（名称、地址、联系人、电话）。</w:t>
      </w:r>
    </w:p>
    <w:p w14:paraId="2641B8BC">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C、针对本项目的技术服务团队情况（人员数量、姓名、电话、专业资质等）。</w:t>
      </w:r>
    </w:p>
    <w:p w14:paraId="1260016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D、日常维护保养及故障排除措施保证。</w:t>
      </w:r>
    </w:p>
    <w:p w14:paraId="0CC293ED">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000000"/>
          <w:sz w:val="24"/>
          <w:szCs w:val="24"/>
        </w:rPr>
        <w:t>3.投标人关于包装、运输、检验、交付、安装、调试、培训等方案，均需在投标文件中列示说明。</w:t>
      </w:r>
    </w:p>
    <w:p w14:paraId="4A4E4336">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三、投标文件的组成</w:t>
      </w:r>
    </w:p>
    <w:p w14:paraId="41EEA9B7">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sz w:val="24"/>
          <w:szCs w:val="24"/>
        </w:rPr>
        <w:t>本项目投标文件分为</w:t>
      </w:r>
      <w:r>
        <w:rPr>
          <w:rFonts w:hint="eastAsia" w:ascii="宋体" w:hAnsi="宋体" w:eastAsia="宋体" w:cs="宋体"/>
          <w:b/>
          <w:sz w:val="24"/>
          <w:szCs w:val="24"/>
        </w:rPr>
        <w:t>纸质版</w:t>
      </w:r>
      <w:r>
        <w:rPr>
          <w:rFonts w:hint="eastAsia" w:ascii="宋体" w:hAnsi="宋体" w:eastAsia="宋体" w:cs="宋体"/>
          <w:bCs/>
          <w:sz w:val="24"/>
          <w:szCs w:val="24"/>
        </w:rPr>
        <w:t>投标文件和</w:t>
      </w:r>
      <w:r>
        <w:rPr>
          <w:rFonts w:hint="eastAsia" w:ascii="宋体" w:hAnsi="宋体" w:eastAsia="宋体" w:cs="宋体"/>
          <w:b/>
          <w:sz w:val="24"/>
          <w:szCs w:val="24"/>
        </w:rPr>
        <w:t>电子版</w:t>
      </w:r>
      <w:r>
        <w:rPr>
          <w:rFonts w:hint="eastAsia" w:ascii="宋体" w:hAnsi="宋体" w:eastAsia="宋体" w:cs="宋体"/>
          <w:bCs/>
          <w:sz w:val="24"/>
          <w:szCs w:val="24"/>
        </w:rPr>
        <w:t>投标文件，均由</w:t>
      </w:r>
      <w:r>
        <w:rPr>
          <w:rFonts w:hint="eastAsia" w:ascii="宋体" w:hAnsi="宋体" w:eastAsia="宋体" w:cs="宋体"/>
          <w:b/>
          <w:sz w:val="24"/>
          <w:szCs w:val="24"/>
        </w:rPr>
        <w:t>《投标文件（资质标）》、《投标文件（技术标）》、《投标文件（商务标）》（开标一览表）</w:t>
      </w:r>
      <w:r>
        <w:rPr>
          <w:rFonts w:hint="eastAsia" w:ascii="宋体" w:hAnsi="宋体" w:eastAsia="宋体" w:cs="宋体"/>
          <w:bCs/>
          <w:sz w:val="24"/>
          <w:szCs w:val="24"/>
        </w:rPr>
        <w:t>文件组成，共计3</w:t>
      </w:r>
      <w:r>
        <w:rPr>
          <w:rFonts w:hint="eastAsia" w:ascii="宋体" w:hAnsi="宋体" w:eastAsia="宋体" w:cs="宋体"/>
          <w:bCs/>
          <w:color w:val="000000"/>
          <w:sz w:val="24"/>
          <w:szCs w:val="24"/>
        </w:rPr>
        <w:t>个文件。</w:t>
      </w:r>
    </w:p>
    <w:p w14:paraId="3C2E818D">
      <w:pPr>
        <w:spacing w:line="360" w:lineRule="auto"/>
        <w:ind w:firstLine="482" w:firstLineChars="200"/>
        <w:rPr>
          <w:rFonts w:hint="eastAsia" w:ascii="宋体" w:hAnsi="宋体" w:eastAsia="宋体" w:cs="宋体"/>
          <w:bCs/>
          <w:color w:val="000000"/>
          <w:sz w:val="24"/>
          <w:szCs w:val="24"/>
        </w:rPr>
      </w:pPr>
      <w:r>
        <w:rPr>
          <w:rFonts w:hint="eastAsia" w:ascii="宋体" w:hAnsi="宋体" w:eastAsia="宋体" w:cs="宋体"/>
          <w:b/>
          <w:color w:val="000000"/>
          <w:sz w:val="24"/>
          <w:szCs w:val="24"/>
        </w:rPr>
        <w:t>投标文件的份数要求及投递方式</w:t>
      </w:r>
      <w:r>
        <w:rPr>
          <w:rFonts w:hint="eastAsia" w:ascii="宋体" w:hAnsi="宋体" w:eastAsia="宋体" w:cs="宋体"/>
          <w:bCs/>
          <w:color w:val="000000"/>
          <w:sz w:val="24"/>
          <w:szCs w:val="24"/>
        </w:rPr>
        <w:t>，见《投标须知前附表》第3条。</w:t>
      </w:r>
    </w:p>
    <w:p w14:paraId="1D502531">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详见附件格式1—13，其余未尽事宜请按各单位习惯制定即可。</w:t>
      </w:r>
    </w:p>
    <w:p w14:paraId="28AF2944">
      <w:pPr>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sz w:val="24"/>
          <w:szCs w:val="24"/>
        </w:rPr>
        <w:t>1.《投标文件（资质标）》包括</w:t>
      </w:r>
      <w:r>
        <w:rPr>
          <w:rFonts w:hint="eastAsia" w:ascii="宋体" w:hAnsi="宋体" w:eastAsia="宋体" w:cs="宋体"/>
          <w:color w:val="000000"/>
          <w:sz w:val="24"/>
          <w:szCs w:val="24"/>
        </w:rPr>
        <w:t>：</w:t>
      </w:r>
    </w:p>
    <w:p w14:paraId="1F7C038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1.1营业执照副本复印件（需加盖公章）；</w:t>
      </w:r>
    </w:p>
    <w:p w14:paraId="430A6C2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1.2投标函（附件1）；</w:t>
      </w:r>
    </w:p>
    <w:p w14:paraId="5645D12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w:t>
      </w:r>
      <w:r>
        <w:rPr>
          <w:rFonts w:hint="eastAsia" w:ascii="宋体" w:hAnsi="宋体" w:eastAsia="宋体" w:cs="宋体"/>
          <w:b w:val="0"/>
          <w:bCs/>
          <w:color w:val="000000"/>
          <w:sz w:val="24"/>
          <w:szCs w:val="24"/>
        </w:rPr>
        <w:t>和</w:t>
      </w:r>
      <w:r>
        <w:rPr>
          <w:rFonts w:hint="eastAsia" w:ascii="宋体" w:hAnsi="宋体" w:eastAsia="宋体" w:cs="宋体"/>
          <w:sz w:val="24"/>
          <w:szCs w:val="24"/>
        </w:rPr>
        <w:t>被授权人</w:t>
      </w:r>
      <w:r>
        <w:rPr>
          <w:rFonts w:hint="eastAsia" w:ascii="宋体" w:hAnsi="宋体" w:eastAsia="宋体" w:cs="宋体"/>
          <w:kern w:val="0"/>
          <w:sz w:val="24"/>
          <w:szCs w:val="24"/>
          <w:lang w:bidi="en-US"/>
        </w:rPr>
        <w:t>近6个月及以上在授权单位的社保缴纳证明</w:t>
      </w:r>
      <w:r>
        <w:rPr>
          <w:rFonts w:hint="eastAsia" w:ascii="宋体" w:hAnsi="宋体" w:eastAsia="宋体" w:cs="宋体"/>
          <w:b/>
          <w:color w:val="000000"/>
          <w:sz w:val="24"/>
          <w:szCs w:val="24"/>
        </w:rPr>
        <w:t>；</w:t>
      </w:r>
    </w:p>
    <w:p w14:paraId="4CFDD709">
      <w:pPr>
        <w:spacing w:line="360" w:lineRule="auto"/>
        <w:ind w:firstLine="480" w:firstLineChars="200"/>
        <w:rPr>
          <w:rFonts w:hint="eastAsia" w:ascii="宋体" w:hAnsi="宋体" w:eastAsia="宋体" w:cs="宋体"/>
          <w:b/>
          <w:color w:val="000000"/>
          <w:sz w:val="24"/>
          <w:szCs w:val="24"/>
          <w:highlight w:val="yellow"/>
        </w:rPr>
      </w:pPr>
      <w:r>
        <w:rPr>
          <w:rFonts w:hint="eastAsia" w:ascii="宋体" w:hAnsi="宋体" w:eastAsia="宋体" w:cs="宋体"/>
          <w:color w:val="000000"/>
          <w:sz w:val="24"/>
          <w:szCs w:val="24"/>
        </w:rPr>
        <w:t>1.4近三年经第三方机构审计的财务报表（报告页、资产负债表、损益表、现金流量表）复印件（需加盖公章），必须连续，同时填写投标人基本情况表（附件3）</w:t>
      </w:r>
      <w:r>
        <w:rPr>
          <w:rFonts w:hint="eastAsia" w:ascii="宋体" w:hAnsi="宋体" w:eastAsia="宋体" w:cs="宋体"/>
          <w:b/>
          <w:color w:val="000000"/>
          <w:sz w:val="24"/>
          <w:szCs w:val="24"/>
        </w:rPr>
        <w:t>；</w:t>
      </w:r>
    </w:p>
    <w:p w14:paraId="268D93B0">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rPr>
        <w:t>1.5近三</w:t>
      </w:r>
      <w:r>
        <w:rPr>
          <w:rFonts w:hint="eastAsia" w:ascii="宋体" w:hAnsi="宋体" w:eastAsia="宋体" w:cs="宋体"/>
          <w:color w:val="000000"/>
          <w:sz w:val="24"/>
          <w:szCs w:val="24"/>
          <w:highlight w:val="none"/>
        </w:rPr>
        <w:t>年内在经营活动中</w:t>
      </w:r>
      <w:r>
        <w:rPr>
          <w:rFonts w:hint="eastAsia" w:hAnsi="宋体" w:eastAsia="宋体" w:cs="宋体"/>
          <w:color w:val="000000"/>
          <w:sz w:val="24"/>
          <w:szCs w:val="24"/>
          <w:highlight w:val="none"/>
        </w:rPr>
        <w:t>无与本项目有关的违法及重大违规</w:t>
      </w:r>
      <w:r>
        <w:rPr>
          <w:rFonts w:hint="eastAsia" w:ascii="宋体" w:hAnsi="宋体" w:eastAsia="宋体" w:cs="宋体"/>
          <w:color w:val="000000"/>
          <w:sz w:val="24"/>
          <w:szCs w:val="24"/>
          <w:highlight w:val="none"/>
        </w:rPr>
        <w:t>行为的声明；</w:t>
      </w:r>
    </w:p>
    <w:p w14:paraId="19B584D5">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1.6投标人在国家企业信用信息公示系统中无与本项目有关的行政处罚、经营异常和失信信息的声明；（附投标当日系统内相关截图）</w:t>
      </w:r>
    </w:p>
    <w:p w14:paraId="70E93081">
      <w:pPr>
        <w:spacing w:line="360" w:lineRule="auto"/>
        <w:ind w:firstLine="480" w:firstLineChars="200"/>
        <w:rPr>
          <w:rFonts w:hint="eastAsia"/>
          <w:highlight w:val="none"/>
        </w:rPr>
      </w:pPr>
      <w:r>
        <w:rPr>
          <w:rFonts w:hint="eastAsia" w:ascii="宋体" w:hAnsi="宋体" w:eastAsia="宋体" w:cs="宋体"/>
          <w:color w:val="000000"/>
          <w:sz w:val="24"/>
          <w:szCs w:val="24"/>
          <w:highlight w:val="none"/>
        </w:rPr>
        <w:t>1.7</w:t>
      </w:r>
      <w:r>
        <w:rPr>
          <w:rFonts w:ascii="宋体" w:hAnsi="宋体" w:eastAsia="宋体" w:cs="宋体"/>
          <w:sz w:val="24"/>
          <w:szCs w:val="24"/>
          <w:highlight w:val="none"/>
        </w:rPr>
        <w:t>企业对外担保说明（写明贵单位对外有无对外担保和质押业务，需加盖公章）</w:t>
      </w:r>
      <w:r>
        <w:rPr>
          <w:rFonts w:hint="eastAsia" w:ascii="宋体" w:hAnsi="宋体" w:eastAsia="宋体" w:cs="宋体"/>
          <w:color w:val="000000"/>
          <w:sz w:val="24"/>
          <w:szCs w:val="24"/>
          <w:highlight w:val="none"/>
        </w:rPr>
        <w:t>；</w:t>
      </w:r>
    </w:p>
    <w:p w14:paraId="528106E1">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1.8企业信用证明材料（征信中心出具的信用报告）；</w:t>
      </w:r>
    </w:p>
    <w:p w14:paraId="7E4FAD41">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1.9代理商投标要携带生产商的授权书、原厂售后服务承诺书，根据实际情况提供即可，无格式限制</w:t>
      </w:r>
      <w:r>
        <w:rPr>
          <w:rFonts w:hint="eastAsia" w:hAnsi="宋体" w:eastAsia="宋体" w:cs="宋体"/>
          <w:color w:val="000000"/>
          <w:sz w:val="24"/>
          <w:szCs w:val="24"/>
          <w:highlight w:val="none"/>
        </w:rPr>
        <w:t>（包括所代理品牌针对项目的唯一授权书）</w:t>
      </w:r>
      <w:r>
        <w:rPr>
          <w:rFonts w:hint="eastAsia" w:ascii="宋体" w:hAnsi="宋体" w:eastAsia="宋体" w:cs="宋体"/>
          <w:color w:val="000000"/>
          <w:sz w:val="24"/>
          <w:szCs w:val="24"/>
          <w:highlight w:val="none"/>
        </w:rPr>
        <w:t>；</w:t>
      </w:r>
    </w:p>
    <w:p w14:paraId="0E2C21F3">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1.10企业最近半年的完税证明，并附</w:t>
      </w:r>
      <w:r>
        <w:rPr>
          <w:rFonts w:ascii="宋体" w:hAnsi="宋体" w:eastAsia="宋体" w:cs="宋体"/>
          <w:sz w:val="24"/>
          <w:szCs w:val="24"/>
          <w:highlight w:val="none"/>
        </w:rPr>
        <w:t>年度纳税信用评价信息（可从电子税务局查询截图，需加盖公章）</w:t>
      </w:r>
      <w:r>
        <w:rPr>
          <w:rFonts w:hint="eastAsia" w:ascii="宋体" w:hAnsi="宋体" w:eastAsia="宋体" w:cs="宋体"/>
          <w:color w:val="000000"/>
          <w:sz w:val="24"/>
          <w:szCs w:val="24"/>
          <w:highlight w:val="none"/>
        </w:rPr>
        <w:t>；</w:t>
      </w:r>
    </w:p>
    <w:p w14:paraId="03070718">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1.11保密承诺函（附件4）；</w:t>
      </w:r>
    </w:p>
    <w:p w14:paraId="02E46F09">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1.12 </w:t>
      </w:r>
      <w:r>
        <w:rPr>
          <w:rFonts w:hint="eastAsia" w:ascii="宋体" w:hAnsi="宋体" w:eastAsia="宋体" w:cs="宋体"/>
          <w:color w:val="000000"/>
          <w:sz w:val="24"/>
          <w:szCs w:val="24"/>
          <w:highlight w:val="none"/>
          <w:lang w:val="en-US" w:eastAsia="zh-CN"/>
        </w:rPr>
        <w:t>2023</w:t>
      </w:r>
      <w:r>
        <w:rPr>
          <w:rFonts w:hint="eastAsia" w:ascii="宋体" w:hAnsi="宋体" w:eastAsia="宋体" w:cs="宋体"/>
          <w:color w:val="000000"/>
          <w:sz w:val="24"/>
          <w:szCs w:val="24"/>
          <w:highlight w:val="none"/>
        </w:rPr>
        <w:t>年1月1日至今，企业近三年同类项目业绩证明，</w:t>
      </w:r>
      <w:r>
        <w:rPr>
          <w:rFonts w:ascii="宋体" w:hAnsi="宋体" w:eastAsia="宋体" w:cs="宋体"/>
          <w:sz w:val="24"/>
          <w:szCs w:val="24"/>
          <w:highlight w:val="none"/>
        </w:rPr>
        <w:t>须提供</w:t>
      </w:r>
      <w:r>
        <w:rPr>
          <w:rFonts w:hint="eastAsia" w:hAnsi="宋体" w:eastAsia="宋体" w:cs="宋体"/>
          <w:b/>
          <w:bCs/>
          <w:color w:val="000000"/>
          <w:kern w:val="0"/>
          <w:sz w:val="24"/>
          <w:szCs w:val="24"/>
          <w:highlight w:val="none"/>
        </w:rPr>
        <w:t>用户清单</w:t>
      </w:r>
      <w:r>
        <w:rPr>
          <w:rFonts w:ascii="宋体" w:hAnsi="宋体" w:eastAsia="宋体" w:cs="宋体"/>
          <w:sz w:val="24"/>
          <w:szCs w:val="24"/>
          <w:highlight w:val="none"/>
        </w:rPr>
        <w:t>、采购合同</w:t>
      </w:r>
      <w:r>
        <w:rPr>
          <w:rFonts w:hint="eastAsia" w:ascii="宋体" w:hAnsi="宋体" w:eastAsia="宋体" w:cs="宋体"/>
          <w:sz w:val="24"/>
          <w:szCs w:val="24"/>
          <w:highlight w:val="none"/>
        </w:rPr>
        <w:t>复印件</w:t>
      </w:r>
      <w:r>
        <w:rPr>
          <w:rFonts w:hint="eastAsia" w:ascii="宋体" w:hAnsi="宋体" w:eastAsia="宋体" w:cs="宋体"/>
          <w:color w:val="000000"/>
          <w:sz w:val="24"/>
          <w:szCs w:val="24"/>
          <w:highlight w:val="none"/>
        </w:rPr>
        <w:t>；</w:t>
      </w:r>
    </w:p>
    <w:p w14:paraId="68B4A9FD">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1.13投标保证金缴纳凭证，同时正文描述付款账号、户名、开户行名称、开户行行号、保证金金额。</w:t>
      </w:r>
    </w:p>
    <w:p w14:paraId="15F94495">
      <w:pPr>
        <w:spacing w:line="360" w:lineRule="auto"/>
        <w:ind w:firstLine="482" w:firstLineChars="200"/>
        <w:rPr>
          <w:rFonts w:hint="eastAsia" w:ascii="宋体" w:hAnsi="宋体" w:eastAsia="宋体" w:cs="宋体"/>
          <w:b/>
          <w:bCs/>
          <w:sz w:val="24"/>
          <w:szCs w:val="24"/>
          <w:highlight w:val="none"/>
        </w:rPr>
      </w:pPr>
      <w:bookmarkStart w:id="28" w:name="_Toc212369515"/>
      <w:r>
        <w:rPr>
          <w:rFonts w:hint="eastAsia" w:ascii="宋体" w:hAnsi="宋体" w:eastAsia="宋体" w:cs="宋体"/>
          <w:b/>
          <w:bCs/>
          <w:sz w:val="24"/>
          <w:szCs w:val="24"/>
          <w:highlight w:val="none"/>
        </w:rPr>
        <w:t>2.</w:t>
      </w:r>
      <w:r>
        <w:rPr>
          <w:rFonts w:hint="eastAsia" w:ascii="宋体" w:hAnsi="宋体" w:eastAsia="宋体" w:cs="宋体"/>
          <w:b/>
          <w:sz w:val="24"/>
          <w:szCs w:val="24"/>
          <w:highlight w:val="none"/>
        </w:rPr>
        <w:t>《投标文件（技术标）》</w:t>
      </w:r>
      <w:r>
        <w:rPr>
          <w:rFonts w:hint="eastAsia" w:ascii="宋体" w:hAnsi="宋体" w:eastAsia="宋体" w:cs="宋体"/>
          <w:b/>
          <w:bCs/>
          <w:sz w:val="24"/>
          <w:szCs w:val="24"/>
          <w:highlight w:val="none"/>
        </w:rPr>
        <w:t>：</w:t>
      </w:r>
      <w:bookmarkEnd w:id="28"/>
    </w:p>
    <w:p w14:paraId="2035D5A6">
      <w:pPr>
        <w:spacing w:line="360" w:lineRule="auto"/>
        <w:ind w:firstLine="480" w:firstLineChars="200"/>
        <w:rPr>
          <w:rFonts w:hint="eastAsia" w:ascii="宋体" w:hAnsi="宋体" w:eastAsia="宋体" w:cs="宋体"/>
          <w:b/>
          <w:color w:val="000000"/>
          <w:sz w:val="24"/>
          <w:szCs w:val="24"/>
          <w:highlight w:val="none"/>
        </w:rPr>
      </w:pPr>
      <w:r>
        <w:rPr>
          <w:rFonts w:hint="eastAsia" w:ascii="宋体" w:hAnsi="宋体" w:eastAsia="宋体" w:cs="宋体"/>
          <w:color w:val="000000"/>
          <w:sz w:val="24"/>
          <w:szCs w:val="24"/>
          <w:highlight w:val="none"/>
        </w:rPr>
        <w:t>2.1技术规格偏离表（附件5-1），</w:t>
      </w:r>
      <w:r>
        <w:rPr>
          <w:rFonts w:hint="eastAsia" w:ascii="宋体" w:hAnsi="宋体" w:eastAsia="宋体" w:cs="宋体"/>
          <w:b/>
          <w:color w:val="000000"/>
          <w:sz w:val="24"/>
          <w:szCs w:val="24"/>
          <w:highlight w:val="none"/>
        </w:rPr>
        <w:t>必须先进行两列要求一一对照，不允许直接写无偏离；</w:t>
      </w:r>
    </w:p>
    <w:p w14:paraId="5725B66C">
      <w:pPr>
        <w:spacing w:line="360" w:lineRule="auto"/>
        <w:ind w:firstLine="480" w:firstLineChars="200"/>
        <w:rPr>
          <w:rFonts w:hint="eastAsia" w:hAnsi="宋体" w:eastAsia="宋体" w:cs="宋体"/>
          <w:b/>
          <w:color w:val="000000"/>
          <w:sz w:val="24"/>
          <w:szCs w:val="24"/>
          <w:highlight w:val="none"/>
        </w:rPr>
      </w:pPr>
      <w:r>
        <w:rPr>
          <w:rFonts w:hint="eastAsia" w:ascii="宋体" w:hAnsi="宋体" w:eastAsia="宋体" w:cs="宋体"/>
          <w:bCs/>
          <w:color w:val="000000"/>
          <w:sz w:val="24"/>
          <w:szCs w:val="24"/>
          <w:highlight w:val="none"/>
        </w:rPr>
        <w:t>2.2</w:t>
      </w:r>
      <w:r>
        <w:rPr>
          <w:rFonts w:hint="eastAsia" w:hAnsi="宋体" w:eastAsia="宋体" w:cs="宋体"/>
          <w:color w:val="000000"/>
          <w:sz w:val="24"/>
          <w:szCs w:val="24"/>
          <w:highlight w:val="none"/>
        </w:rPr>
        <w:t>设备分项配置表（附件5-2），列明项目设备分项配置规格型号、品牌等信息（要求分项明细与附表9-1完全对应），但</w:t>
      </w:r>
      <w:r>
        <w:rPr>
          <w:rFonts w:hint="eastAsia" w:ascii="宋体" w:hAnsi="宋体" w:eastAsia="宋体" w:cs="宋体"/>
          <w:b/>
          <w:color w:val="000000"/>
          <w:sz w:val="24"/>
          <w:szCs w:val="24"/>
          <w:highlight w:val="none"/>
        </w:rPr>
        <w:t>注意：</w:t>
      </w:r>
      <w:r>
        <w:rPr>
          <w:rFonts w:hint="eastAsia" w:hAnsi="宋体" w:eastAsia="宋体" w:cs="宋体"/>
          <w:b/>
          <w:color w:val="000000"/>
          <w:sz w:val="24"/>
          <w:szCs w:val="24"/>
          <w:highlight w:val="none"/>
        </w:rPr>
        <w:t>此表在技术标书中，禁止出现任何分项价格及项目总价；</w:t>
      </w:r>
    </w:p>
    <w:p w14:paraId="726AC20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2.3供货期及保证措施；</w:t>
      </w:r>
    </w:p>
    <w:p w14:paraId="08BBAA3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2.4</w:t>
      </w:r>
      <w:r>
        <w:rPr>
          <w:rFonts w:hint="eastAsia" w:ascii="宋体" w:hAnsi="宋体" w:eastAsia="宋体" w:cs="宋体"/>
          <w:color w:val="000000"/>
          <w:sz w:val="24"/>
          <w:szCs w:val="24"/>
        </w:rPr>
        <w:t>产品的技术服务和售后服务内容及措施；</w:t>
      </w:r>
    </w:p>
    <w:p w14:paraId="6AC5CD2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2.5</w:t>
      </w:r>
      <w:r>
        <w:rPr>
          <w:rFonts w:hint="eastAsia" w:ascii="宋体" w:hAnsi="宋体" w:eastAsia="宋体" w:cs="宋体"/>
          <w:color w:val="000000"/>
          <w:sz w:val="24"/>
          <w:szCs w:val="24"/>
        </w:rPr>
        <w:t>交货进度及计划；</w:t>
      </w:r>
    </w:p>
    <w:p w14:paraId="53A1CBEF">
      <w:pPr>
        <w:spacing w:line="360" w:lineRule="auto"/>
        <w:ind w:firstLine="480" w:firstLineChars="200"/>
        <w:rPr>
          <w:rFonts w:hint="eastAsia" w:ascii="宋体" w:hAnsi="宋体" w:eastAsia="宋体" w:cs="宋体"/>
          <w:color w:val="000000"/>
          <w:sz w:val="24"/>
          <w:szCs w:val="24"/>
        </w:rPr>
      </w:pPr>
      <w:bookmarkStart w:id="29" w:name="_Toc536542319"/>
      <w:r>
        <w:rPr>
          <w:rFonts w:hint="eastAsia" w:ascii="宋体" w:hAnsi="宋体" w:eastAsia="宋体" w:cs="宋体"/>
          <w:color w:val="000000"/>
          <w:sz w:val="24"/>
          <w:szCs w:val="24"/>
          <w:lang w:val="en-US" w:eastAsia="zh-CN"/>
        </w:rPr>
        <w:t>2.6</w:t>
      </w:r>
      <w:r>
        <w:rPr>
          <w:rFonts w:hint="eastAsia" w:ascii="宋体" w:hAnsi="宋体" w:eastAsia="宋体" w:cs="宋体"/>
          <w:color w:val="000000"/>
          <w:sz w:val="24"/>
          <w:szCs w:val="24"/>
        </w:rPr>
        <w:t>投标产品技术支持材料</w:t>
      </w:r>
      <w:bookmarkEnd w:id="29"/>
      <w:r>
        <w:rPr>
          <w:rFonts w:hint="eastAsia" w:ascii="宋体" w:hAnsi="宋体" w:eastAsia="宋体" w:cs="宋体"/>
          <w:color w:val="000000"/>
          <w:sz w:val="24"/>
          <w:szCs w:val="24"/>
        </w:rPr>
        <w:t>；</w:t>
      </w:r>
    </w:p>
    <w:p w14:paraId="4C98A72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2.7</w:t>
      </w:r>
      <w:r>
        <w:rPr>
          <w:rFonts w:hint="eastAsia" w:ascii="宋体" w:hAnsi="宋体" w:eastAsia="宋体" w:cs="宋体"/>
          <w:color w:val="000000"/>
          <w:sz w:val="24"/>
          <w:szCs w:val="24"/>
        </w:rPr>
        <w:t>设备质量承诺函（附件7）；</w:t>
      </w:r>
    </w:p>
    <w:p w14:paraId="14EB840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2.8</w:t>
      </w:r>
      <w:r>
        <w:rPr>
          <w:rFonts w:hint="eastAsia" w:ascii="宋体" w:hAnsi="宋体" w:eastAsia="宋体" w:cs="宋体"/>
          <w:color w:val="000000"/>
          <w:sz w:val="24"/>
          <w:szCs w:val="24"/>
        </w:rPr>
        <w:t>投标人需提交的其它资料。</w:t>
      </w:r>
    </w:p>
    <w:p w14:paraId="1A0EA127">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3.</w:t>
      </w:r>
      <w:r>
        <w:rPr>
          <w:rFonts w:hint="eastAsia" w:ascii="宋体" w:hAnsi="宋体" w:eastAsia="宋体" w:cs="宋体"/>
          <w:b/>
          <w:sz w:val="24"/>
          <w:szCs w:val="24"/>
        </w:rPr>
        <w:t>《投标文件（商务标）》（开标一览表）</w:t>
      </w:r>
      <w:r>
        <w:rPr>
          <w:rFonts w:hint="eastAsia" w:ascii="宋体" w:hAnsi="宋体" w:eastAsia="宋体" w:cs="宋体"/>
          <w:b/>
          <w:bCs/>
          <w:sz w:val="24"/>
          <w:szCs w:val="24"/>
        </w:rPr>
        <w:t>：</w:t>
      </w:r>
    </w:p>
    <w:p w14:paraId="2853D89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3.1开标一览表（附件8）；</w:t>
      </w:r>
    </w:p>
    <w:p w14:paraId="5D78F5E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3.2投标报价明细表（附件9-1至9-5）</w:t>
      </w:r>
      <w:r>
        <w:rPr>
          <w:rFonts w:hint="eastAsia" w:ascii="宋体" w:hAnsi="宋体" w:eastAsia="宋体" w:cs="宋体"/>
          <w:b/>
          <w:color w:val="000000"/>
          <w:sz w:val="24"/>
          <w:szCs w:val="24"/>
        </w:rPr>
        <w:t>；</w:t>
      </w:r>
    </w:p>
    <w:p w14:paraId="6F25230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3.3商务条款偏离表（附件10）</w:t>
      </w:r>
      <w:bookmarkStart w:id="30" w:name="OLE_LINK18"/>
      <w:bookmarkStart w:id="31" w:name="OLE_LINK19"/>
      <w:r>
        <w:rPr>
          <w:rFonts w:hint="eastAsia" w:ascii="宋体" w:hAnsi="宋体" w:eastAsia="宋体" w:cs="宋体"/>
          <w:b/>
          <w:color w:val="000000"/>
          <w:sz w:val="24"/>
          <w:szCs w:val="24"/>
        </w:rPr>
        <w:t>；</w:t>
      </w:r>
      <w:bookmarkEnd w:id="30"/>
      <w:bookmarkEnd w:id="31"/>
      <w:r>
        <w:rPr>
          <w:rFonts w:hint="eastAsia" w:ascii="宋体" w:hAnsi="宋体" w:eastAsia="宋体" w:cs="宋体"/>
          <w:color w:val="000000"/>
          <w:sz w:val="24"/>
          <w:szCs w:val="24"/>
        </w:rPr>
        <w:t xml:space="preserve"> </w:t>
      </w:r>
    </w:p>
    <w:p w14:paraId="1F1A5B90">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3.4投标人承诺（附件11）</w:t>
      </w:r>
      <w:r>
        <w:rPr>
          <w:rFonts w:hint="eastAsia" w:ascii="宋体" w:hAnsi="宋体" w:eastAsia="宋体" w:cs="宋体"/>
          <w:b/>
          <w:color w:val="000000"/>
          <w:sz w:val="24"/>
          <w:szCs w:val="24"/>
        </w:rPr>
        <w:t>；</w:t>
      </w:r>
    </w:p>
    <w:p w14:paraId="466EE833">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3.5服务承诺函（附件12），</w:t>
      </w:r>
      <w:r>
        <w:rPr>
          <w:rFonts w:hint="eastAsia" w:ascii="宋体" w:hAnsi="宋体" w:eastAsia="宋体" w:cs="宋体"/>
          <w:b/>
          <w:color w:val="000000"/>
          <w:sz w:val="24"/>
          <w:szCs w:val="24"/>
        </w:rPr>
        <w:t>需写明质保期以外服务费用情况</w:t>
      </w:r>
      <w:r>
        <w:rPr>
          <w:rFonts w:hint="eastAsia" w:ascii="宋体" w:hAnsi="宋体" w:eastAsia="宋体" w:cs="宋体"/>
          <w:color w:val="000000"/>
          <w:sz w:val="24"/>
          <w:szCs w:val="24"/>
        </w:rPr>
        <w:t>；</w:t>
      </w:r>
    </w:p>
    <w:p w14:paraId="7AE7BF9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3.6按招标文件投标人须知和技术规格书中要求提供的有关文件。</w:t>
      </w:r>
    </w:p>
    <w:p w14:paraId="095B092A">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四、投标文件格式</w:t>
      </w:r>
    </w:p>
    <w:p w14:paraId="1DCC428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详见第六部分投标文件附件格式1—13，其余未尽事宜请按各单位习惯制定即可。</w:t>
      </w:r>
    </w:p>
    <w:p w14:paraId="607E595F">
      <w:pPr>
        <w:pStyle w:val="17"/>
        <w:jc w:val="center"/>
        <w:rPr>
          <w:rFonts w:ascii="Calibri" w:hAnsi="Calibri" w:eastAsia="宋体" w:cs="Times New Roman"/>
          <w:b/>
          <w:bCs/>
          <w:kern w:val="44"/>
          <w:sz w:val="36"/>
          <w:szCs w:val="44"/>
        </w:rPr>
        <w:sectPr>
          <w:pgSz w:w="11907" w:h="16840"/>
          <w:pgMar w:top="1304" w:right="1418" w:bottom="1304" w:left="1418" w:header="724" w:footer="851" w:gutter="0"/>
          <w:pgNumType w:fmt="decimal"/>
          <w:cols w:space="720" w:num="1"/>
          <w:docGrid w:linePitch="290" w:charSpace="-3931"/>
        </w:sectPr>
      </w:pPr>
    </w:p>
    <w:bookmarkEnd w:id="0"/>
    <w:bookmarkEnd w:id="1"/>
    <w:p w14:paraId="269AC545">
      <w:pPr>
        <w:rPr>
          <w:rFonts w:ascii="宋体" w:hAnsi="Courier New" w:eastAsia="等线" w:cs="Times New Roman"/>
          <w:szCs w:val="21"/>
        </w:rPr>
      </w:pPr>
      <w:r>
        <w:rPr>
          <w:rFonts w:hint="eastAsia" w:ascii="宋体" w:hAnsi="Courier New" w:eastAsia="等线" w:cs="Times New Roman"/>
          <w:szCs w:val="21"/>
        </w:rPr>
        <w:t xml:space="preserve"> </w:t>
      </w:r>
    </w:p>
    <w:p w14:paraId="09E5A37F">
      <w:pPr>
        <w:spacing w:line="360" w:lineRule="auto"/>
        <w:jc w:val="center"/>
        <w:outlineLvl w:val="0"/>
        <w:rPr>
          <w:rFonts w:hint="eastAsia" w:ascii="宋体" w:hAnsi="Calibri" w:eastAsia="宋体" w:cs="Times New Roman"/>
          <w:b/>
          <w:sz w:val="36"/>
          <w:szCs w:val="36"/>
          <w:lang w:eastAsia="zh-CN"/>
        </w:rPr>
      </w:pPr>
      <w:bookmarkStart w:id="32" w:name="_Toc28859"/>
      <w:bookmarkEnd w:id="32"/>
      <w:r>
        <w:rPr>
          <w:rFonts w:hint="eastAsia" w:ascii="宋体" w:hAnsi="宋体" w:eastAsia="宋体" w:cs="Times New Roman"/>
          <w:b/>
          <w:sz w:val="36"/>
          <w:szCs w:val="36"/>
        </w:rPr>
        <w:t>第五部分 设备采购合同</w:t>
      </w:r>
      <w:r>
        <w:rPr>
          <w:rFonts w:hint="eastAsia" w:ascii="宋体" w:hAnsi="宋体" w:eastAsia="宋体" w:cs="Times New Roman"/>
          <w:b/>
          <w:sz w:val="36"/>
          <w:szCs w:val="36"/>
          <w:lang w:eastAsia="zh-CN"/>
        </w:rPr>
        <w:t>（</w:t>
      </w:r>
      <w:r>
        <w:rPr>
          <w:rFonts w:hint="eastAsia" w:ascii="宋体" w:hAnsi="宋体" w:eastAsia="宋体" w:cs="Times New Roman"/>
          <w:b/>
          <w:sz w:val="36"/>
          <w:szCs w:val="36"/>
          <w:lang w:val="en-US" w:eastAsia="zh-CN"/>
        </w:rPr>
        <w:t>以正式签订为准</w:t>
      </w:r>
      <w:r>
        <w:rPr>
          <w:rFonts w:hint="eastAsia" w:ascii="宋体" w:hAnsi="宋体" w:eastAsia="宋体" w:cs="Times New Roman"/>
          <w:b/>
          <w:sz w:val="36"/>
          <w:szCs w:val="36"/>
          <w:lang w:eastAsia="zh-CN"/>
        </w:rPr>
        <w:t>）</w:t>
      </w:r>
    </w:p>
    <w:p w14:paraId="56C165C1">
      <w:pPr>
        <w:adjustRightInd w:val="0"/>
        <w:snapToGrid w:val="0"/>
        <w:spacing w:line="360" w:lineRule="auto"/>
        <w:jc w:val="left"/>
        <w:rPr>
          <w:rFonts w:hint="eastAsia" w:ascii="宋体" w:hAnsi="宋体" w:eastAsia="等线" w:cs="Times New Roman"/>
          <w:sz w:val="20"/>
          <w:szCs w:val="20"/>
        </w:rPr>
      </w:pPr>
      <w:r>
        <w:rPr>
          <w:rFonts w:hint="eastAsia" w:ascii="宋体" w:hAnsi="宋体" w:eastAsia="等线" w:cs="Times New Roman"/>
          <w:sz w:val="20"/>
          <w:szCs w:val="20"/>
        </w:rPr>
        <w:t xml:space="preserve">                                        </w:t>
      </w:r>
    </w:p>
    <w:p w14:paraId="70956A31">
      <w:pPr>
        <w:spacing w:line="360" w:lineRule="auto"/>
        <w:jc w:val="center"/>
        <w:rPr>
          <w:rFonts w:hint="eastAsia" w:ascii="方正小标宋简体" w:hAnsi="方正小标宋简体" w:eastAsia="方正小标宋简体" w:cs="方正小标宋简体"/>
          <w:w w:val="90"/>
          <w:sz w:val="56"/>
          <w:szCs w:val="56"/>
        </w:rPr>
      </w:pPr>
      <w:bookmarkStart w:id="33" w:name="_Toc15340"/>
      <w:bookmarkEnd w:id="33"/>
    </w:p>
    <w:p w14:paraId="093D2B4C">
      <w:pPr>
        <w:spacing w:line="360" w:lineRule="auto"/>
        <w:jc w:val="center"/>
        <w:rPr>
          <w:rFonts w:hint="eastAsia" w:ascii="方正小标宋简体" w:hAnsi="方正小标宋简体" w:eastAsia="方正小标宋简体" w:cs="方正小标宋简体"/>
          <w:w w:val="90"/>
          <w:sz w:val="56"/>
          <w:szCs w:val="56"/>
        </w:rPr>
      </w:pPr>
    </w:p>
    <w:p w14:paraId="6B3F9387">
      <w:pPr>
        <w:spacing w:line="360" w:lineRule="auto"/>
        <w:jc w:val="center"/>
        <w:rPr>
          <w:rFonts w:ascii="方正小标宋简体" w:hAnsi="方正小标宋简体" w:eastAsia="方正小标宋简体" w:cs="方正小标宋简体"/>
          <w:i/>
          <w:iCs/>
          <w:w w:val="90"/>
          <w:sz w:val="56"/>
          <w:szCs w:val="56"/>
        </w:rPr>
      </w:pPr>
      <w:r>
        <w:rPr>
          <w:rFonts w:hint="eastAsia" w:ascii="方正小标宋简体" w:hAnsi="方正小标宋简体" w:eastAsia="方正小标宋简体" w:cs="方正小标宋简体"/>
          <w:i/>
          <w:iCs/>
          <w:w w:val="90"/>
          <w:sz w:val="56"/>
          <w:szCs w:val="56"/>
        </w:rPr>
        <w:t>设备采购合同</w:t>
      </w:r>
    </w:p>
    <w:p w14:paraId="629944DA">
      <w:pPr>
        <w:spacing w:line="360" w:lineRule="auto"/>
        <w:jc w:val="center"/>
        <w:rPr>
          <w:rFonts w:ascii="方正小标宋简体" w:hAnsi="方正小标宋简体" w:eastAsia="方正小标宋简体" w:cs="方正小标宋简体"/>
          <w:i/>
          <w:iCs/>
          <w:w w:val="90"/>
          <w:sz w:val="56"/>
          <w:szCs w:val="56"/>
        </w:rPr>
      </w:pPr>
    </w:p>
    <w:p w14:paraId="32326DE7">
      <w:pPr>
        <w:spacing w:line="360" w:lineRule="auto"/>
        <w:jc w:val="center"/>
        <w:rPr>
          <w:rFonts w:ascii="仿宋_GB2312" w:hAnsi="仿宋_GB2312" w:eastAsia="仿宋_GB2312" w:cs="仿宋_GB2312"/>
          <w:bCs/>
          <w:i/>
          <w:iCs/>
          <w:sz w:val="24"/>
          <w:szCs w:val="24"/>
        </w:rPr>
      </w:pPr>
    </w:p>
    <w:p w14:paraId="6ED8B0F3">
      <w:pPr>
        <w:spacing w:line="360" w:lineRule="auto"/>
        <w:jc w:val="center"/>
        <w:rPr>
          <w:rFonts w:ascii="仿宋_GB2312" w:hAnsi="仿宋_GB2312" w:eastAsia="仿宋_GB2312" w:cs="仿宋_GB2312"/>
          <w:bCs/>
          <w:i/>
          <w:iCs/>
          <w:sz w:val="24"/>
          <w:szCs w:val="24"/>
        </w:rPr>
      </w:pPr>
    </w:p>
    <w:p w14:paraId="251344F9">
      <w:pPr>
        <w:spacing w:line="360" w:lineRule="auto"/>
        <w:ind w:firstLine="2160" w:firstLineChars="900"/>
        <w:jc w:val="left"/>
        <w:rPr>
          <w:rFonts w:ascii="仿宋_GB2312" w:hAnsi="仿宋_GB2312" w:eastAsia="仿宋_GB2312" w:cs="仿宋_GB2312"/>
          <w:bCs/>
          <w:i/>
          <w:iCs/>
          <w:sz w:val="24"/>
          <w:szCs w:val="24"/>
        </w:rPr>
      </w:pPr>
      <w:r>
        <w:rPr>
          <w:rFonts w:hint="eastAsia" w:ascii="仿宋_GB2312" w:hAnsi="仿宋_GB2312" w:eastAsia="仿宋_GB2312" w:cs="仿宋_GB2312"/>
          <w:bCs/>
          <w:i/>
          <w:iCs/>
          <w:sz w:val="24"/>
          <w:szCs w:val="24"/>
        </w:rPr>
        <w:t xml:space="preserve">合同项目名称： </w:t>
      </w:r>
      <w:r>
        <w:rPr>
          <w:rFonts w:hint="eastAsia" w:ascii="仿宋_GB2312" w:hAnsi="仿宋_GB2312" w:eastAsia="仿宋_GB2312" w:cs="仿宋_GB2312"/>
          <w:b/>
          <w:i/>
          <w:iCs/>
          <w:sz w:val="24"/>
          <w:szCs w:val="24"/>
          <w:u w:val="single"/>
        </w:rPr>
        <w:t>合同项目名称</w:t>
      </w:r>
    </w:p>
    <w:p w14:paraId="6AD3A606">
      <w:pPr>
        <w:spacing w:line="360" w:lineRule="auto"/>
        <w:ind w:firstLine="2160" w:firstLineChars="900"/>
        <w:jc w:val="left"/>
        <w:rPr>
          <w:rFonts w:ascii="仿宋_GB2312" w:hAnsi="仿宋_GB2312" w:eastAsia="仿宋_GB2312" w:cs="仿宋_GB2312"/>
          <w:bCs/>
          <w:i/>
          <w:iCs/>
          <w:sz w:val="24"/>
          <w:szCs w:val="24"/>
        </w:rPr>
      </w:pPr>
    </w:p>
    <w:p w14:paraId="1E24D5D1">
      <w:pPr>
        <w:spacing w:line="360" w:lineRule="auto"/>
        <w:ind w:firstLine="2160" w:firstLineChars="900"/>
        <w:jc w:val="left"/>
        <w:rPr>
          <w:rFonts w:ascii="仿宋_GB2312" w:hAnsi="仿宋_GB2312" w:eastAsia="仿宋_GB2312" w:cs="仿宋_GB2312"/>
          <w:b/>
          <w:i/>
          <w:iCs/>
          <w:sz w:val="24"/>
          <w:szCs w:val="24"/>
          <w:u w:val="single"/>
        </w:rPr>
      </w:pPr>
      <w:r>
        <w:rPr>
          <w:rFonts w:hint="eastAsia" w:ascii="仿宋_GB2312" w:hAnsi="仿宋_GB2312" w:eastAsia="仿宋_GB2312" w:cs="仿宋_GB2312"/>
          <w:bCs/>
          <w:i/>
          <w:iCs/>
          <w:sz w:val="24"/>
          <w:szCs w:val="24"/>
        </w:rPr>
        <w:t>甲方（买方）：</w:t>
      </w:r>
      <w:r>
        <w:rPr>
          <w:rFonts w:hint="eastAsia" w:ascii="仿宋_GB2312" w:hAnsi="仿宋_GB2312" w:eastAsia="仿宋_GB2312" w:cs="仿宋_GB2312"/>
          <w:b/>
          <w:i/>
          <w:iCs/>
          <w:sz w:val="24"/>
          <w:szCs w:val="24"/>
          <w:u w:val="single"/>
        </w:rPr>
        <w:t>中国重汽集团济南商用车有限公司</w:t>
      </w:r>
    </w:p>
    <w:p w14:paraId="18B5B42A">
      <w:pPr>
        <w:spacing w:line="360" w:lineRule="auto"/>
        <w:ind w:firstLine="2168" w:firstLineChars="900"/>
        <w:jc w:val="left"/>
        <w:rPr>
          <w:rFonts w:ascii="仿宋_GB2312" w:hAnsi="仿宋_GB2312" w:eastAsia="仿宋_GB2312" w:cs="仿宋_GB2312"/>
          <w:b/>
          <w:i/>
          <w:iCs/>
          <w:sz w:val="24"/>
          <w:szCs w:val="24"/>
          <w:u w:val="single"/>
        </w:rPr>
      </w:pPr>
    </w:p>
    <w:p w14:paraId="172331D4">
      <w:pPr>
        <w:spacing w:line="360" w:lineRule="auto"/>
        <w:ind w:firstLine="2160" w:firstLineChars="900"/>
        <w:jc w:val="left"/>
        <w:rPr>
          <w:rFonts w:hint="default" w:ascii="仿宋_GB2312" w:hAnsi="仿宋_GB2312" w:eastAsia="仿宋_GB2312" w:cs="仿宋_GB2312"/>
          <w:b/>
          <w:i/>
          <w:iCs/>
          <w:sz w:val="24"/>
          <w:szCs w:val="24"/>
          <w:u w:val="single"/>
          <w:lang w:val="en-US" w:eastAsia="zh-CN"/>
        </w:rPr>
      </w:pPr>
      <w:r>
        <w:rPr>
          <w:rFonts w:hint="eastAsia" w:ascii="仿宋_GB2312" w:hAnsi="仿宋_GB2312" w:eastAsia="仿宋_GB2312" w:cs="仿宋_GB2312"/>
          <w:bCs/>
          <w:i/>
          <w:iCs/>
          <w:sz w:val="24"/>
          <w:szCs w:val="24"/>
        </w:rPr>
        <w:t>乙方（卖方）：</w:t>
      </w:r>
      <w:r>
        <w:rPr>
          <w:rFonts w:hint="eastAsia" w:ascii="仿宋_GB2312" w:hAnsi="仿宋_GB2312" w:eastAsia="仿宋_GB2312" w:cs="仿宋_GB2312"/>
          <w:b/>
          <w:i/>
          <w:iCs/>
          <w:sz w:val="24"/>
          <w:szCs w:val="24"/>
          <w:u w:val="single"/>
          <w:lang w:val="en-US" w:eastAsia="zh-CN"/>
        </w:rPr>
        <w:t>乙方公司名称</w:t>
      </w:r>
    </w:p>
    <w:p w14:paraId="0DAB3839">
      <w:pPr>
        <w:spacing w:line="360" w:lineRule="auto"/>
        <w:ind w:firstLine="2168" w:firstLineChars="900"/>
        <w:jc w:val="center"/>
        <w:rPr>
          <w:rFonts w:ascii="仿宋_GB2312" w:hAnsi="仿宋_GB2312" w:eastAsia="仿宋_GB2312" w:cs="仿宋_GB2312"/>
          <w:b/>
          <w:i/>
          <w:iCs/>
          <w:sz w:val="24"/>
          <w:szCs w:val="24"/>
          <w:u w:val="single"/>
        </w:rPr>
      </w:pPr>
    </w:p>
    <w:p w14:paraId="0DA6EC36">
      <w:pPr>
        <w:spacing w:line="360" w:lineRule="auto"/>
        <w:ind w:firstLine="2168" w:firstLineChars="900"/>
        <w:jc w:val="center"/>
        <w:rPr>
          <w:rFonts w:ascii="仿宋_GB2312" w:hAnsi="仿宋_GB2312" w:eastAsia="仿宋_GB2312" w:cs="仿宋_GB2312"/>
          <w:b/>
          <w:i/>
          <w:iCs/>
          <w:sz w:val="24"/>
          <w:szCs w:val="24"/>
          <w:u w:val="single"/>
        </w:rPr>
      </w:pPr>
    </w:p>
    <w:p w14:paraId="14D495D5">
      <w:pPr>
        <w:spacing w:line="360" w:lineRule="auto"/>
        <w:ind w:firstLine="2160" w:firstLineChars="900"/>
        <w:jc w:val="left"/>
        <w:rPr>
          <w:rFonts w:ascii="仿宋_GB2312" w:hAnsi="仿宋_GB2312" w:eastAsia="仿宋_GB2312" w:cs="仿宋_GB2312"/>
          <w:b/>
          <w:i/>
          <w:iCs/>
          <w:sz w:val="24"/>
          <w:szCs w:val="24"/>
          <w:u w:val="single"/>
        </w:rPr>
      </w:pPr>
      <w:r>
        <w:rPr>
          <w:rFonts w:hint="eastAsia" w:ascii="仿宋_GB2312" w:hAnsi="仿宋_GB2312" w:eastAsia="仿宋_GB2312" w:cs="仿宋_GB2312"/>
          <w:bCs/>
          <w:i/>
          <w:iCs/>
          <w:sz w:val="24"/>
          <w:szCs w:val="24"/>
        </w:rPr>
        <w:t>合同签订地点：</w:t>
      </w:r>
      <w:r>
        <w:rPr>
          <w:rFonts w:hint="eastAsia" w:ascii="仿宋_GB2312" w:hAnsi="仿宋_GB2312" w:eastAsia="仿宋_GB2312" w:cs="仿宋_GB2312"/>
          <w:b/>
          <w:i/>
          <w:iCs/>
          <w:sz w:val="24"/>
          <w:szCs w:val="24"/>
          <w:u w:val="single"/>
        </w:rPr>
        <w:t>山东省济南市高新区/章丘区</w:t>
      </w:r>
    </w:p>
    <w:p w14:paraId="01CEB8FC">
      <w:pPr>
        <w:spacing w:line="360" w:lineRule="auto"/>
        <w:ind w:firstLine="2160" w:firstLineChars="900"/>
        <w:jc w:val="left"/>
        <w:rPr>
          <w:rFonts w:ascii="仿宋_GB2312" w:hAnsi="仿宋_GB2312" w:eastAsia="仿宋_GB2312" w:cs="仿宋_GB2312"/>
          <w:bCs/>
          <w:i/>
          <w:iCs/>
          <w:sz w:val="24"/>
          <w:szCs w:val="24"/>
        </w:rPr>
      </w:pPr>
    </w:p>
    <w:p w14:paraId="7A41A683">
      <w:pPr>
        <w:spacing w:line="360" w:lineRule="auto"/>
        <w:ind w:firstLine="2160" w:firstLineChars="900"/>
        <w:jc w:val="left"/>
        <w:rPr>
          <w:rFonts w:hint="default" w:ascii="仿宋_GB2312" w:hAnsi="仿宋_GB2312" w:eastAsia="仿宋_GB2312" w:cs="仿宋_GB2312"/>
          <w:b/>
          <w:i/>
          <w:iCs/>
          <w:sz w:val="24"/>
          <w:szCs w:val="24"/>
          <w:u w:val="single"/>
          <w:lang w:val="en-US" w:eastAsia="zh-CN"/>
        </w:rPr>
        <w:sectPr>
          <w:headerReference r:id="rId10" w:type="default"/>
          <w:footerReference r:id="rId11" w:type="default"/>
          <w:pgSz w:w="11907" w:h="16840"/>
          <w:pgMar w:top="1304" w:right="1418" w:bottom="1304" w:left="1418" w:header="724" w:footer="851" w:gutter="0"/>
          <w:pgNumType w:start="1"/>
          <w:cols w:space="720" w:num="1"/>
          <w:docGrid w:linePitch="290" w:charSpace="-3931"/>
        </w:sectPr>
      </w:pPr>
      <w:r>
        <w:rPr>
          <w:rFonts w:hint="eastAsia" w:ascii="仿宋_GB2312" w:hAnsi="仿宋_GB2312" w:eastAsia="仿宋_GB2312" w:cs="仿宋_GB2312"/>
          <w:bCs/>
          <w:i/>
          <w:iCs/>
          <w:sz w:val="24"/>
          <w:szCs w:val="24"/>
        </w:rPr>
        <w:t>合同签订时间：</w:t>
      </w:r>
      <w:r>
        <w:rPr>
          <w:rFonts w:hint="eastAsia" w:ascii="仿宋_GB2312" w:hAnsi="仿宋_GB2312" w:eastAsia="仿宋_GB2312" w:cs="仿宋_GB2312"/>
          <w:b/>
          <w:i/>
          <w:iCs/>
          <w:sz w:val="24"/>
          <w:szCs w:val="24"/>
          <w:u w:val="single"/>
        </w:rPr>
        <w:t>20</w:t>
      </w:r>
      <w:r>
        <w:rPr>
          <w:rFonts w:hint="eastAsia" w:ascii="仿宋_GB2312" w:hAnsi="仿宋_GB2312" w:eastAsia="仿宋_GB2312" w:cs="仿宋_GB2312"/>
          <w:b/>
          <w:i/>
          <w:iCs/>
          <w:sz w:val="24"/>
          <w:szCs w:val="24"/>
          <w:u w:val="single"/>
          <w:lang w:val="en-US" w:eastAsia="zh-CN"/>
        </w:rPr>
        <w:t>26年3月</w:t>
      </w:r>
    </w:p>
    <w:p w14:paraId="7A2B77BA">
      <w:pPr>
        <w:spacing w:line="360" w:lineRule="auto"/>
        <w:jc w:val="center"/>
        <w:rPr>
          <w:rFonts w:ascii="方正小标宋简体" w:hAnsi="方正小标宋简体" w:eastAsia="方正小标宋简体" w:cs="方正小标宋简体"/>
          <w:i/>
          <w:iCs/>
          <w:w w:val="90"/>
          <w:sz w:val="44"/>
          <w:szCs w:val="44"/>
        </w:rPr>
      </w:pPr>
      <w:r>
        <w:rPr>
          <w:rFonts w:hint="eastAsia" w:ascii="方正小标宋简体" w:hAnsi="方正小标宋简体" w:eastAsia="方正小标宋简体" w:cs="方正小标宋简体"/>
          <w:i/>
          <w:iCs/>
          <w:w w:val="90"/>
          <w:sz w:val="44"/>
          <w:szCs w:val="44"/>
        </w:rPr>
        <w:t>设备采购合同</w:t>
      </w:r>
    </w:p>
    <w:p w14:paraId="6D8624EE">
      <w:pPr>
        <w:spacing w:line="360" w:lineRule="auto"/>
        <w:jc w:val="center"/>
        <w:rPr>
          <w:rFonts w:ascii="方正小标宋简体" w:hAnsi="方正小标宋简体" w:eastAsia="方正小标宋简体" w:cs="方正小标宋简体"/>
          <w:i/>
          <w:iCs/>
          <w:w w:val="90"/>
          <w:sz w:val="44"/>
          <w:szCs w:val="44"/>
        </w:rPr>
      </w:pPr>
      <w:r>
        <w:rPr>
          <w:rFonts w:hint="eastAsia" w:ascii="方正小标宋简体" w:hAnsi="方正小标宋简体" w:eastAsia="方正小标宋简体" w:cs="方正小标宋简体"/>
          <w:i/>
          <w:iCs/>
          <w:w w:val="90"/>
          <w:sz w:val="44"/>
          <w:szCs w:val="44"/>
        </w:rPr>
        <w:t>专用条款</w:t>
      </w:r>
    </w:p>
    <w:p w14:paraId="3DE5073B">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鉴于，买方向卖方购买</w:t>
      </w:r>
      <w:r>
        <w:rPr>
          <w:rFonts w:hint="eastAsia" w:ascii="仿宋_GB2312" w:hAnsi="仿宋_GB2312" w:eastAsia="仿宋_GB2312" w:cs="仿宋_GB2312"/>
          <w:b/>
          <w:bCs/>
          <w:i/>
          <w:iCs/>
          <w:sz w:val="24"/>
          <w:szCs w:val="24"/>
          <w:u w:val="single"/>
        </w:rPr>
        <w:t>设备名称概括</w:t>
      </w:r>
      <w:r>
        <w:rPr>
          <w:rFonts w:hint="eastAsia" w:ascii="仿宋_GB2312" w:hAnsi="仿宋_GB2312" w:eastAsia="仿宋_GB2312" w:cs="仿宋_GB2312"/>
          <w:i/>
          <w:iCs/>
          <w:sz w:val="24"/>
          <w:szCs w:val="24"/>
          <w:u w:val="single"/>
        </w:rPr>
        <w:t>等</w:t>
      </w:r>
      <w:r>
        <w:rPr>
          <w:rFonts w:hint="eastAsia" w:ascii="仿宋_GB2312" w:hAnsi="仿宋_GB2312" w:eastAsia="仿宋_GB2312" w:cs="仿宋_GB2312"/>
          <w:i/>
          <w:iCs/>
          <w:sz w:val="24"/>
          <w:szCs w:val="24"/>
        </w:rPr>
        <w:t>，就该设备的设计、制造、运输、定点卸货、安装或指导安装、调试、验收、培训及售后服务等有关问题，在自愿协商的基础上达成本合同。</w:t>
      </w:r>
    </w:p>
    <w:p w14:paraId="2108928E">
      <w:pPr>
        <w:pStyle w:val="2"/>
        <w:tabs>
          <w:tab w:val="right" w:leader="dot" w:pos="9061"/>
        </w:tabs>
        <w:ind w:left="0" w:firstLine="480" w:firstLineChars="200"/>
        <w:jc w:val="both"/>
        <w:rPr>
          <w:rFonts w:ascii="黑体" w:hAnsi="黑体" w:eastAsia="黑体" w:cs="黑体"/>
          <w:b w:val="0"/>
          <w:i/>
          <w:iCs/>
          <w:sz w:val="24"/>
          <w:szCs w:val="24"/>
        </w:rPr>
      </w:pPr>
      <w:r>
        <w:rPr>
          <w:rFonts w:hint="eastAsia" w:ascii="黑体" w:hAnsi="黑体" w:eastAsia="黑体" w:cs="黑体"/>
          <w:b w:val="0"/>
          <w:i/>
          <w:iCs/>
          <w:sz w:val="24"/>
          <w:szCs w:val="24"/>
        </w:rPr>
        <w:t>1.合同设备标的</w:t>
      </w:r>
    </w:p>
    <w:p w14:paraId="733484C4">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1.1合同总价：为共同完成</w:t>
      </w:r>
      <w:r>
        <w:rPr>
          <w:rFonts w:hint="eastAsia" w:ascii="仿宋_GB2312" w:hAnsi="仿宋_GB2312" w:eastAsia="仿宋_GB2312" w:cs="仿宋_GB2312"/>
          <w:b/>
          <w:bCs/>
          <w:i/>
          <w:iCs/>
          <w:sz w:val="24"/>
          <w:szCs w:val="24"/>
          <w:u w:val="single"/>
        </w:rPr>
        <w:t>合同项目名称</w:t>
      </w:r>
      <w:r>
        <w:rPr>
          <w:rFonts w:hint="eastAsia" w:ascii="仿宋_GB2312" w:hAnsi="仿宋_GB2312" w:eastAsia="仿宋_GB2312" w:cs="仿宋_GB2312"/>
          <w:i/>
          <w:iCs/>
          <w:sz w:val="24"/>
          <w:szCs w:val="24"/>
        </w:rPr>
        <w:t>，买方向卖方购买设备一宗，详见附件《设备清单明细表》，本合同不含税总价为</w:t>
      </w:r>
      <w:r>
        <w:rPr>
          <w:rFonts w:hint="eastAsia" w:ascii="仿宋_GB2312" w:hAnsi="仿宋_GB2312" w:eastAsia="仿宋_GB2312" w:cs="仿宋_GB2312"/>
          <w:b/>
          <w:bCs/>
          <w:i/>
          <w:iCs/>
          <w:sz w:val="24"/>
          <w:szCs w:val="24"/>
          <w:u w:val="single"/>
          <w:lang w:val="en-US" w:eastAsia="zh-CN"/>
        </w:rPr>
        <w:t xml:space="preserve">   </w:t>
      </w:r>
      <w:r>
        <w:rPr>
          <w:rFonts w:hint="eastAsia" w:ascii="仿宋_GB2312" w:hAnsi="仿宋_GB2312" w:eastAsia="仿宋_GB2312" w:cs="仿宋_GB2312"/>
          <w:i/>
          <w:iCs/>
          <w:sz w:val="24"/>
          <w:szCs w:val="24"/>
        </w:rPr>
        <w:t>元，税额</w:t>
      </w:r>
      <w:r>
        <w:rPr>
          <w:rFonts w:hint="eastAsia" w:ascii="仿宋_GB2312" w:hAnsi="仿宋_GB2312" w:eastAsia="仿宋_GB2312" w:cs="仿宋_GB2312"/>
          <w:b/>
          <w:bCs/>
          <w:i/>
          <w:iCs/>
          <w:sz w:val="24"/>
          <w:szCs w:val="24"/>
          <w:u w:val="single"/>
          <w:lang w:val="en-US" w:eastAsia="zh-CN"/>
        </w:rPr>
        <w:t xml:space="preserve">     </w:t>
      </w:r>
      <w:r>
        <w:rPr>
          <w:rFonts w:hint="eastAsia" w:ascii="仿宋_GB2312" w:hAnsi="仿宋_GB2312" w:eastAsia="仿宋_GB2312" w:cs="仿宋_GB2312"/>
          <w:i/>
          <w:iCs/>
          <w:sz w:val="24"/>
          <w:szCs w:val="24"/>
        </w:rPr>
        <w:t>元，含税总价</w:t>
      </w:r>
      <w:r>
        <w:rPr>
          <w:rFonts w:hint="eastAsia" w:ascii="仿宋_GB2312" w:hAnsi="仿宋_GB2312" w:eastAsia="仿宋_GB2312" w:cs="仿宋_GB2312"/>
          <w:b/>
          <w:bCs/>
          <w:i/>
          <w:iCs/>
          <w:sz w:val="24"/>
          <w:szCs w:val="24"/>
          <w:u w:val="single"/>
          <w:lang w:val="en-US" w:eastAsia="zh-CN"/>
        </w:rPr>
        <w:t xml:space="preserve">    </w:t>
      </w:r>
      <w:r>
        <w:rPr>
          <w:rFonts w:hint="eastAsia" w:ascii="仿宋_GB2312" w:hAnsi="仿宋_GB2312" w:eastAsia="仿宋_GB2312" w:cs="仿宋_GB2312"/>
          <w:i/>
          <w:iCs/>
          <w:sz w:val="24"/>
          <w:szCs w:val="24"/>
        </w:rPr>
        <w:t>元（大写：</w:t>
      </w:r>
      <w:r>
        <w:rPr>
          <w:rFonts w:hint="eastAsia" w:ascii="仿宋_GB2312" w:hAnsi="仿宋_GB2312" w:eastAsia="仿宋_GB2312" w:cs="仿宋_GB2312"/>
          <w:b/>
          <w:bCs/>
          <w:i/>
          <w:iCs/>
          <w:sz w:val="24"/>
          <w:szCs w:val="24"/>
          <w:u w:val="single"/>
          <w:lang w:val="en-US" w:eastAsia="zh-CN"/>
        </w:rPr>
        <w:t>XX</w:t>
      </w:r>
      <w:r>
        <w:rPr>
          <w:rFonts w:hint="eastAsia" w:ascii="仿宋_GB2312" w:hAnsi="仿宋_GB2312" w:eastAsia="仿宋_GB2312" w:cs="仿宋_GB2312"/>
          <w:b/>
          <w:bCs/>
          <w:i/>
          <w:iCs/>
          <w:sz w:val="24"/>
          <w:szCs w:val="24"/>
          <w:u w:val="single"/>
        </w:rPr>
        <w:t>元整</w:t>
      </w:r>
      <w:r>
        <w:rPr>
          <w:rFonts w:hint="eastAsia" w:ascii="仿宋_GB2312" w:hAnsi="仿宋_GB2312" w:eastAsia="仿宋_GB2312" w:cs="仿宋_GB2312"/>
          <w:i/>
          <w:iCs/>
          <w:sz w:val="24"/>
          <w:szCs w:val="24"/>
        </w:rPr>
        <w:t>）。</w:t>
      </w:r>
    </w:p>
    <w:p w14:paraId="6971DF7C">
      <w:pPr>
        <w:spacing w:line="360" w:lineRule="auto"/>
        <w:ind w:firstLine="480" w:firstLineChars="200"/>
        <w:rPr>
          <w:rFonts w:ascii="方正小标宋简体" w:hAnsi="宋体" w:eastAsia="仿宋_GB2312"/>
          <w:i/>
          <w:iCs/>
          <w:sz w:val="24"/>
          <w:szCs w:val="24"/>
          <w:u w:val="thick"/>
        </w:rPr>
      </w:pPr>
      <w:r>
        <w:rPr>
          <w:rFonts w:hint="eastAsia" w:ascii="仿宋_GB2312" w:eastAsia="仿宋_GB2312" w:hAnsiTheme="minorEastAsia" w:cstheme="minorEastAsia"/>
          <w:i/>
          <w:iCs/>
          <w:sz w:val="24"/>
          <w:szCs w:val="24"/>
        </w:rPr>
        <w:t>1.2交货方式</w:t>
      </w:r>
      <w:r>
        <w:rPr>
          <w:rFonts w:hint="eastAsia" w:ascii="仿宋_GB2312" w:eastAsia="仿宋_GB2312" w:hAnsiTheme="minorEastAsia" w:cstheme="minorEastAsia"/>
          <w:bCs/>
          <w:i/>
          <w:iCs/>
          <w:sz w:val="24"/>
          <w:szCs w:val="24"/>
        </w:rPr>
        <w:t>：</w:t>
      </w:r>
      <w:r>
        <w:rPr>
          <w:rFonts w:hint="eastAsia" w:ascii="仿宋_GB2312" w:hAnsi="宋体" w:eastAsia="仿宋_GB2312"/>
          <w:b/>
          <w:bCs/>
          <w:i/>
          <w:iCs/>
          <w:sz w:val="24"/>
          <w:szCs w:val="24"/>
          <w:u w:val="single"/>
        </w:rPr>
        <w:t>交钥匙方式。</w:t>
      </w:r>
    </w:p>
    <w:p w14:paraId="4A2C39DE">
      <w:pPr>
        <w:spacing w:line="360" w:lineRule="auto"/>
        <w:ind w:firstLine="480" w:firstLineChars="200"/>
        <w:rPr>
          <w:rFonts w:ascii="仿宋_GB2312" w:eastAsia="仿宋_GB2312" w:hAnsiTheme="minorEastAsia" w:cstheme="minorEastAsia"/>
          <w:i/>
          <w:iCs/>
          <w:sz w:val="24"/>
          <w:szCs w:val="24"/>
        </w:rPr>
      </w:pPr>
      <w:r>
        <w:rPr>
          <w:rFonts w:hint="eastAsia" w:ascii="仿宋_GB2312" w:eastAsia="仿宋_GB2312" w:hAnsiTheme="minorEastAsia" w:cstheme="minorEastAsia"/>
          <w:i/>
          <w:iCs/>
          <w:sz w:val="24"/>
          <w:szCs w:val="24"/>
        </w:rPr>
        <w:t>1.3交货地点：</w:t>
      </w:r>
      <w:r>
        <w:rPr>
          <w:rFonts w:hint="eastAsia" w:ascii="仿宋_GB2312" w:eastAsia="仿宋_GB2312" w:hAnsiTheme="minorEastAsia" w:cstheme="minorEastAsia"/>
          <w:b/>
          <w:bCs/>
          <w:i/>
          <w:iCs/>
          <w:sz w:val="24"/>
          <w:szCs w:val="24"/>
          <w:u w:val="single"/>
        </w:rPr>
        <w:t>交货详细地址信息，除列明省市县/区外，应填写至不致产生歧义的具体位置指向。</w:t>
      </w:r>
      <w:r>
        <w:rPr>
          <w:rFonts w:hint="eastAsia" w:ascii="仿宋_GB2312" w:eastAsia="仿宋_GB2312" w:hAnsiTheme="minorEastAsia" w:cstheme="minorEastAsia"/>
          <w:i/>
          <w:iCs/>
          <w:sz w:val="24"/>
          <w:szCs w:val="24"/>
        </w:rPr>
        <w:t xml:space="preserve">    </w:t>
      </w:r>
    </w:p>
    <w:p w14:paraId="241F0720">
      <w:pPr>
        <w:spacing w:line="360" w:lineRule="auto"/>
        <w:ind w:firstLine="480" w:firstLineChars="200"/>
        <w:rPr>
          <w:rFonts w:ascii="方正小标宋简体" w:hAnsi="宋体" w:eastAsia="仿宋_GB2312"/>
          <w:i/>
          <w:iCs/>
          <w:sz w:val="24"/>
          <w:szCs w:val="24"/>
          <w:u w:val="thick"/>
        </w:rPr>
      </w:pPr>
      <w:r>
        <w:rPr>
          <w:rFonts w:hint="eastAsia" w:ascii="仿宋_GB2312" w:eastAsia="仿宋_GB2312" w:hAnsiTheme="minorEastAsia" w:cstheme="minorEastAsia"/>
          <w:i/>
          <w:iCs/>
          <w:sz w:val="24"/>
          <w:szCs w:val="24"/>
        </w:rPr>
        <w:t>1.4到货时间：</w:t>
      </w:r>
      <w:r>
        <w:rPr>
          <w:rFonts w:hint="eastAsia" w:ascii="仿宋_GB2312" w:eastAsia="仿宋_GB2312" w:hAnsiTheme="minorEastAsia" w:cstheme="minorEastAsia"/>
          <w:b/>
          <w:bCs/>
          <w:i/>
          <w:iCs/>
          <w:sz w:val="24"/>
          <w:szCs w:val="24"/>
          <w:u w:val="single"/>
          <w:lang w:val="en-US" w:eastAsia="zh-CN"/>
        </w:rPr>
        <w:t xml:space="preserve">    </w:t>
      </w:r>
      <w:r>
        <w:rPr>
          <w:rFonts w:hint="eastAsia" w:ascii="仿宋_GB2312" w:eastAsia="仿宋_GB2312" w:hAnsiTheme="minorEastAsia" w:cstheme="minorEastAsia"/>
          <w:b/>
          <w:bCs/>
          <w:i/>
          <w:iCs/>
          <w:sz w:val="24"/>
          <w:szCs w:val="24"/>
          <w:u w:val="single"/>
        </w:rPr>
        <w:t>。</w:t>
      </w:r>
    </w:p>
    <w:p w14:paraId="62602406">
      <w:pPr>
        <w:pStyle w:val="10"/>
        <w:spacing w:after="0" w:line="360" w:lineRule="auto"/>
        <w:ind w:firstLine="480" w:firstLineChars="200"/>
        <w:rPr>
          <w:rFonts w:ascii="仿宋_GB2312" w:eastAsia="仿宋_GB2312" w:hAnsiTheme="minorEastAsia" w:cstheme="minorEastAsia"/>
          <w:i/>
          <w:iCs/>
          <w:kern w:val="2"/>
          <w:sz w:val="24"/>
          <w:szCs w:val="24"/>
        </w:rPr>
      </w:pPr>
      <w:r>
        <w:rPr>
          <w:rFonts w:hint="eastAsia" w:ascii="仿宋_GB2312" w:eastAsia="仿宋_GB2312" w:hAnsiTheme="minorEastAsia" w:cstheme="minorEastAsia"/>
          <w:i/>
          <w:iCs/>
          <w:kern w:val="2"/>
          <w:sz w:val="24"/>
          <w:szCs w:val="24"/>
        </w:rPr>
        <w:t>1.5</w:t>
      </w:r>
      <w:r>
        <w:rPr>
          <w:rFonts w:ascii="仿宋_GB2312" w:eastAsia="仿宋_GB2312" w:hAnsiTheme="minorEastAsia" w:cstheme="minorEastAsia"/>
          <w:i/>
          <w:iCs/>
          <w:kern w:val="2"/>
          <w:sz w:val="24"/>
          <w:szCs w:val="24"/>
        </w:rPr>
        <w:t xml:space="preserve"> </w:t>
      </w:r>
      <w:r>
        <w:rPr>
          <w:rFonts w:hint="eastAsia" w:ascii="仿宋_GB2312" w:eastAsia="仿宋_GB2312" w:hAnsiTheme="minorEastAsia" w:cstheme="minorEastAsia"/>
          <w:i/>
          <w:iCs/>
          <w:kern w:val="2"/>
          <w:sz w:val="24"/>
          <w:szCs w:val="24"/>
        </w:rPr>
        <w:t>安装调试时长：</w:t>
      </w:r>
      <w:r>
        <w:rPr>
          <w:rFonts w:ascii="仿宋_GB2312" w:eastAsia="仿宋_GB2312" w:hAnsiTheme="minorEastAsia" w:cstheme="minorEastAsia"/>
          <w:i/>
          <w:iCs/>
          <w:kern w:val="2"/>
          <w:sz w:val="24"/>
          <w:szCs w:val="24"/>
        </w:rPr>
        <w:t>卖方须在到货后</w:t>
      </w:r>
      <w:r>
        <w:rPr>
          <w:rFonts w:hint="eastAsia" w:ascii="仿宋_GB2312" w:eastAsia="仿宋_GB2312" w:hAnsiTheme="minorEastAsia" w:cstheme="minorEastAsia"/>
          <w:b/>
          <w:bCs/>
          <w:i/>
          <w:iCs/>
          <w:sz w:val="24"/>
          <w:szCs w:val="24"/>
          <w:u w:val="single"/>
          <w:lang w:val="en-US" w:eastAsia="zh-CN"/>
        </w:rPr>
        <w:t xml:space="preserve">  </w:t>
      </w:r>
      <w:r>
        <w:rPr>
          <w:rFonts w:hint="eastAsia" w:ascii="仿宋_GB2312" w:eastAsia="仿宋_GB2312" w:hAnsiTheme="minorEastAsia" w:cstheme="minorEastAsia"/>
          <w:i/>
          <w:iCs/>
          <w:sz w:val="24"/>
          <w:szCs w:val="24"/>
        </w:rPr>
        <w:t>个日历日</w:t>
      </w:r>
      <w:r>
        <w:rPr>
          <w:rFonts w:hint="eastAsia" w:ascii="仿宋_GB2312" w:eastAsia="仿宋_GB2312" w:hAnsiTheme="minorEastAsia" w:cstheme="minorEastAsia"/>
          <w:i/>
          <w:iCs/>
          <w:kern w:val="2"/>
          <w:sz w:val="24"/>
          <w:szCs w:val="24"/>
        </w:rPr>
        <w:t>内完成设备安装，安装完成后</w:t>
      </w:r>
      <w:r>
        <w:rPr>
          <w:rFonts w:hint="eastAsia" w:ascii="仿宋_GB2312" w:eastAsia="仿宋_GB2312" w:hAnsiTheme="minorEastAsia" w:cstheme="minorEastAsia"/>
          <w:b/>
          <w:bCs/>
          <w:i/>
          <w:iCs/>
          <w:sz w:val="24"/>
          <w:szCs w:val="24"/>
          <w:u w:val="single"/>
          <w:lang w:val="en-US" w:eastAsia="zh-CN"/>
        </w:rPr>
        <w:t xml:space="preserve">  </w:t>
      </w:r>
      <w:r>
        <w:rPr>
          <w:rFonts w:hint="eastAsia" w:ascii="仿宋_GB2312" w:eastAsia="仿宋_GB2312" w:hAnsiTheme="minorEastAsia" w:cstheme="minorEastAsia"/>
          <w:i/>
          <w:iCs/>
          <w:kern w:val="2"/>
          <w:sz w:val="24"/>
          <w:szCs w:val="24"/>
        </w:rPr>
        <w:t>日历日内完成设备调试。</w:t>
      </w:r>
    </w:p>
    <w:p w14:paraId="7780C823">
      <w:pPr>
        <w:spacing w:line="360" w:lineRule="auto"/>
        <w:ind w:firstLine="480" w:firstLineChars="200"/>
        <w:rPr>
          <w:rFonts w:ascii="仿宋_GB2312" w:eastAsia="仿宋_GB2312" w:hAnsiTheme="minorEastAsia" w:cstheme="minorEastAsia"/>
          <w:i/>
          <w:iCs/>
          <w:sz w:val="24"/>
          <w:szCs w:val="24"/>
        </w:rPr>
      </w:pPr>
      <w:r>
        <w:rPr>
          <w:rFonts w:hint="eastAsia" w:ascii="仿宋_GB2312" w:eastAsia="仿宋_GB2312" w:hAnsiTheme="minorEastAsia" w:cstheme="minorEastAsia"/>
          <w:i/>
          <w:iCs/>
          <w:sz w:val="24"/>
          <w:szCs w:val="24"/>
        </w:rPr>
        <w:t>1.6调试消耗产品数量：</w:t>
      </w:r>
      <w:r>
        <w:rPr>
          <w:rFonts w:ascii="仿宋_GB2312" w:eastAsia="仿宋_GB2312" w:hAnsiTheme="minorEastAsia" w:cstheme="minorEastAsia"/>
          <w:i/>
          <w:iCs/>
          <w:sz w:val="24"/>
          <w:szCs w:val="24"/>
        </w:rPr>
        <w:t>若设备安装、调试过程中需使用买方产品的，买方提供调试所用产品数量</w:t>
      </w:r>
      <w:r>
        <w:rPr>
          <w:rFonts w:hint="eastAsia" w:ascii="仿宋_GB2312" w:eastAsia="仿宋_GB2312" w:hAnsiTheme="minorEastAsia" w:cstheme="minorEastAsia"/>
          <w:b/>
          <w:bCs/>
          <w:i/>
          <w:iCs/>
          <w:sz w:val="24"/>
          <w:szCs w:val="24"/>
          <w:u w:val="single"/>
          <w:lang w:val="en-US" w:eastAsia="zh-CN"/>
        </w:rPr>
        <w:t xml:space="preserve">  </w:t>
      </w:r>
      <w:r>
        <w:rPr>
          <w:rFonts w:ascii="仿宋_GB2312" w:eastAsia="仿宋_GB2312" w:hAnsiTheme="minorEastAsia" w:cstheme="minorEastAsia"/>
          <w:i/>
          <w:iCs/>
          <w:sz w:val="24"/>
          <w:szCs w:val="24"/>
        </w:rPr>
        <w:t>件，超出此数量部分由卖方提供，由此产生的相关费用由卖方承担。</w:t>
      </w:r>
    </w:p>
    <w:p w14:paraId="4FAFEADA">
      <w:pPr>
        <w:spacing w:line="360" w:lineRule="auto"/>
        <w:ind w:firstLine="480" w:firstLineChars="200"/>
        <w:rPr>
          <w:rFonts w:ascii="仿宋_GB2312" w:hAnsi="黑体" w:eastAsia="仿宋_GB2312" w:cstheme="minorEastAsia"/>
          <w:i/>
          <w:iCs/>
          <w:sz w:val="24"/>
          <w:szCs w:val="24"/>
        </w:rPr>
      </w:pPr>
      <w:r>
        <w:rPr>
          <w:rFonts w:hint="eastAsia" w:ascii="仿宋_GB2312" w:hAnsi="黑体" w:eastAsia="仿宋_GB2312" w:cstheme="minorEastAsia"/>
          <w:i/>
          <w:iCs/>
          <w:sz w:val="24"/>
          <w:szCs w:val="24"/>
        </w:rPr>
        <w:t>1.7设备质量保证期：自最终验收报告签署之日（存在分批次到货安装调试情形的，以验收报告签署日期最晚者为准）起</w:t>
      </w:r>
      <w:r>
        <w:rPr>
          <w:rFonts w:hint="eastAsia" w:ascii="仿宋_GB2312" w:eastAsia="仿宋_GB2312" w:hAnsiTheme="minorEastAsia" w:cstheme="minorEastAsia"/>
          <w:b/>
          <w:bCs/>
          <w:i/>
          <w:iCs/>
          <w:sz w:val="24"/>
          <w:szCs w:val="24"/>
          <w:u w:val="single"/>
          <w:lang w:val="en-US" w:eastAsia="zh-CN"/>
        </w:rPr>
        <w:t xml:space="preserve">   </w:t>
      </w:r>
      <w:r>
        <w:rPr>
          <w:rFonts w:hint="eastAsia" w:ascii="仿宋_GB2312" w:eastAsia="仿宋_GB2312" w:hAnsiTheme="minorEastAsia" w:cstheme="minorEastAsia"/>
          <w:i/>
          <w:iCs/>
          <w:sz w:val="24"/>
          <w:szCs w:val="24"/>
        </w:rPr>
        <w:t>个月</w:t>
      </w:r>
      <w:r>
        <w:rPr>
          <w:rFonts w:hint="eastAsia" w:ascii="仿宋_GB2312" w:hAnsi="黑体" w:eastAsia="仿宋_GB2312" w:cstheme="minorEastAsia"/>
          <w:i/>
          <w:iCs/>
          <w:sz w:val="24"/>
          <w:szCs w:val="24"/>
        </w:rPr>
        <w:t>。</w:t>
      </w:r>
    </w:p>
    <w:p w14:paraId="6C2D4347">
      <w:pPr>
        <w:pStyle w:val="2"/>
        <w:tabs>
          <w:tab w:val="right" w:leader="dot" w:pos="9061"/>
        </w:tabs>
        <w:ind w:left="0" w:firstLine="480" w:firstLineChars="200"/>
        <w:jc w:val="both"/>
        <w:rPr>
          <w:rFonts w:ascii="黑体" w:hAnsi="黑体" w:eastAsia="黑体" w:cs="黑体"/>
          <w:b w:val="0"/>
          <w:i/>
          <w:iCs/>
          <w:sz w:val="24"/>
          <w:szCs w:val="24"/>
        </w:rPr>
      </w:pPr>
      <w:r>
        <w:rPr>
          <w:rFonts w:hint="eastAsia" w:ascii="黑体" w:hAnsi="黑体" w:eastAsia="黑体" w:cs="黑体"/>
          <w:b w:val="0"/>
          <w:i/>
          <w:iCs/>
          <w:sz w:val="24"/>
          <w:szCs w:val="24"/>
        </w:rPr>
        <w:t>2.结算付款约定</w:t>
      </w:r>
    </w:p>
    <w:p w14:paraId="730C21A3">
      <w:pPr>
        <w:spacing w:line="360" w:lineRule="auto"/>
        <w:ind w:firstLine="480" w:firstLineChars="200"/>
        <w:rPr>
          <w:rFonts w:ascii="仿宋_GB2312" w:hAnsi="黑体" w:eastAsia="仿宋_GB2312" w:cstheme="minorEastAsia"/>
          <w:b/>
          <w:bCs/>
          <w:i/>
          <w:iCs/>
          <w:sz w:val="24"/>
          <w:szCs w:val="24"/>
          <w:u w:val="single"/>
        </w:rPr>
      </w:pPr>
      <w:r>
        <w:rPr>
          <w:rFonts w:hint="eastAsia" w:ascii="仿宋_GB2312" w:hAnsi="黑体" w:eastAsia="仿宋_GB2312" w:cstheme="minorEastAsia"/>
          <w:i/>
          <w:iCs/>
          <w:sz w:val="24"/>
          <w:szCs w:val="24"/>
        </w:rPr>
        <w:t>2.1结算方式：</w:t>
      </w:r>
      <w:r>
        <w:rPr>
          <w:rFonts w:hint="eastAsia" w:ascii="仿宋_GB2312" w:hAnsi="黑体" w:eastAsia="仿宋_GB2312" w:cstheme="minorEastAsia"/>
          <w:b/>
          <w:bCs/>
          <w:i/>
          <w:iCs/>
          <w:sz w:val="24"/>
          <w:szCs w:val="24"/>
          <w:u w:val="single"/>
        </w:rPr>
        <w:t>半年期商业汇票（包括银行承兑汇票和商业承兑汇票）。</w:t>
      </w:r>
    </w:p>
    <w:p w14:paraId="07483229">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2.2结算币种：本合同使用</w:t>
      </w:r>
      <w:r>
        <w:rPr>
          <w:rFonts w:hint="eastAsia" w:ascii="仿宋_GB2312" w:hAnsi="仿宋_GB2312" w:eastAsia="仿宋_GB2312" w:cs="仿宋_GB2312"/>
          <w:b/>
          <w:bCs/>
          <w:i/>
          <w:iCs/>
          <w:sz w:val="24"/>
          <w:szCs w:val="24"/>
          <w:u w:val="single"/>
        </w:rPr>
        <w:t>人民币</w:t>
      </w:r>
      <w:r>
        <w:rPr>
          <w:rFonts w:hint="eastAsia" w:ascii="仿宋_GB2312" w:hAnsi="仿宋_GB2312" w:eastAsia="仿宋_GB2312" w:cs="仿宋_GB2312"/>
          <w:i/>
          <w:iCs/>
          <w:sz w:val="24"/>
          <w:szCs w:val="24"/>
        </w:rPr>
        <w:t>进行结算。</w:t>
      </w:r>
    </w:p>
    <w:p w14:paraId="26C76571">
      <w:pPr>
        <w:spacing w:line="360" w:lineRule="auto"/>
        <w:ind w:firstLine="480" w:firstLineChars="200"/>
        <w:rPr>
          <w:rFonts w:ascii="仿宋_GB2312" w:hAnsi="黑体" w:eastAsia="仿宋_GB2312" w:cstheme="minorEastAsia"/>
          <w:i/>
          <w:iCs/>
          <w:sz w:val="24"/>
          <w:szCs w:val="24"/>
        </w:rPr>
      </w:pPr>
      <w:r>
        <w:rPr>
          <w:rFonts w:hint="eastAsia" w:ascii="仿宋_GB2312" w:hAnsi="黑体" w:eastAsia="仿宋_GB2312" w:cstheme="minorEastAsia"/>
          <w:i/>
          <w:iCs/>
          <w:sz w:val="24"/>
          <w:szCs w:val="24"/>
        </w:rPr>
        <w:t>2.3合同价款支付：</w:t>
      </w:r>
    </w:p>
    <w:p w14:paraId="1C65E14A">
      <w:pPr>
        <w:spacing w:line="360" w:lineRule="auto"/>
        <w:ind w:firstLine="480" w:firstLineChars="200"/>
        <w:rPr>
          <w:rFonts w:hint="eastAsia" w:ascii="仿宋_GB2312" w:hAnsi="黑体" w:eastAsia="仿宋_GB2312" w:cstheme="minorEastAsia"/>
          <w:i/>
          <w:iCs/>
          <w:sz w:val="24"/>
          <w:szCs w:val="24"/>
        </w:rPr>
      </w:pPr>
      <w:r>
        <w:rPr>
          <w:rFonts w:hint="eastAsia" w:ascii="仿宋_GB2312" w:hAnsi="黑体" w:eastAsia="仿宋_GB2312" w:cstheme="minorEastAsia"/>
          <w:i/>
          <w:iCs/>
          <w:sz w:val="24"/>
          <w:szCs w:val="24"/>
        </w:rPr>
        <w:t>2.3.</w:t>
      </w:r>
      <w:r>
        <w:rPr>
          <w:rFonts w:hint="eastAsia" w:ascii="仿宋_GB2312" w:hAnsi="黑体" w:eastAsia="仿宋_GB2312" w:cstheme="minorEastAsia"/>
          <w:i/>
          <w:iCs/>
          <w:sz w:val="24"/>
          <w:szCs w:val="24"/>
          <w:lang w:val="en-US" w:eastAsia="zh-CN"/>
        </w:rPr>
        <w:t>1</w:t>
      </w:r>
      <w:r>
        <w:rPr>
          <w:rFonts w:hint="eastAsia" w:ascii="仿宋_GB2312" w:hAnsi="黑体" w:eastAsia="仿宋_GB2312" w:cstheme="minorEastAsia"/>
          <w:b/>
          <w:bCs/>
          <w:i/>
          <w:iCs/>
          <w:sz w:val="24"/>
          <w:szCs w:val="24"/>
          <w:u w:val="single"/>
          <w:lang w:val="en-US" w:eastAsia="zh-CN"/>
        </w:rPr>
        <w:t>合同签订，到货初步检查</w:t>
      </w:r>
      <w:r>
        <w:rPr>
          <w:rFonts w:hint="eastAsia" w:ascii="仿宋_GB2312" w:hAnsi="黑体" w:eastAsia="仿宋_GB2312" w:cstheme="minorEastAsia"/>
          <w:b/>
          <w:bCs/>
          <w:i/>
          <w:iCs/>
          <w:sz w:val="24"/>
          <w:szCs w:val="24"/>
          <w:u w:val="single"/>
        </w:rPr>
        <w:t>无质量问题</w:t>
      </w:r>
      <w:r>
        <w:rPr>
          <w:rFonts w:hint="eastAsia" w:ascii="仿宋_GB2312" w:hAnsi="黑体" w:eastAsia="仿宋_GB2312" w:cstheme="minorEastAsia"/>
          <w:b/>
          <w:bCs/>
          <w:i/>
          <w:iCs/>
          <w:sz w:val="24"/>
          <w:szCs w:val="24"/>
          <w:u w:val="single"/>
          <w:lang w:eastAsia="zh-CN"/>
        </w:rPr>
        <w:t>，</w:t>
      </w:r>
      <w:r>
        <w:rPr>
          <w:rFonts w:hint="eastAsia" w:ascii="仿宋_GB2312" w:hAnsi="黑体" w:eastAsia="仿宋_GB2312" w:cstheme="minorEastAsia"/>
          <w:i/>
          <w:iCs/>
          <w:sz w:val="24"/>
          <w:szCs w:val="24"/>
        </w:rPr>
        <w:t>买方收到合同全额增值税专用发票及完整报账材料后</w:t>
      </w:r>
      <w:r>
        <w:rPr>
          <w:rFonts w:ascii="仿宋_GB2312" w:hAnsi="黑体" w:eastAsia="仿宋_GB2312" w:cstheme="minorEastAsia"/>
          <w:i/>
          <w:iCs/>
          <w:sz w:val="24"/>
          <w:szCs w:val="24"/>
        </w:rPr>
        <w:t>提交报账流程，财务审核通过</w:t>
      </w:r>
      <w:r>
        <w:rPr>
          <w:rFonts w:hint="eastAsia" w:ascii="仿宋_GB2312" w:hAnsi="黑体" w:eastAsia="仿宋_GB2312" w:cstheme="minorEastAsia"/>
          <w:i/>
          <w:iCs/>
          <w:sz w:val="24"/>
          <w:szCs w:val="24"/>
        </w:rPr>
        <w:t>后支付金额为合同含税</w:t>
      </w:r>
      <w:r>
        <w:rPr>
          <w:rFonts w:hint="eastAsia" w:ascii="仿宋_GB2312" w:hAnsi="黑体" w:eastAsia="仿宋_GB2312" w:cstheme="minorEastAsia"/>
          <w:sz w:val="24"/>
          <w:szCs w:val="24"/>
        </w:rPr>
        <w:t>总价款</w:t>
      </w:r>
      <w:r>
        <w:rPr>
          <w:rFonts w:hint="eastAsia" w:ascii="仿宋_GB2312" w:hAnsi="黑体" w:eastAsia="仿宋_GB2312" w:cstheme="minorEastAsia"/>
          <w:sz w:val="24"/>
          <w:szCs w:val="24"/>
          <w:lang w:val="en-US" w:eastAsia="zh-CN"/>
        </w:rPr>
        <w:t xml:space="preserve"> </w:t>
      </w:r>
      <w:r>
        <w:rPr>
          <w:rFonts w:hint="eastAsia" w:ascii="仿宋_GB2312" w:hAnsi="黑体" w:eastAsia="仿宋_GB2312" w:cstheme="minorEastAsia"/>
          <w:b/>
          <w:bCs/>
          <w:sz w:val="24"/>
          <w:szCs w:val="24"/>
          <w:u w:val="single"/>
          <w:lang w:val="en-US" w:eastAsia="zh-CN"/>
        </w:rPr>
        <w:t>60</w:t>
      </w:r>
      <w:r>
        <w:rPr>
          <w:rFonts w:hint="eastAsia" w:ascii="仿宋_GB2312" w:hAnsi="黑体" w:eastAsia="仿宋_GB2312" w:cstheme="minorEastAsia"/>
          <w:i/>
          <w:iCs/>
          <w:sz w:val="24"/>
          <w:szCs w:val="24"/>
        </w:rPr>
        <w:t>%</w:t>
      </w:r>
      <w:r>
        <w:rPr>
          <w:rFonts w:hint="eastAsia" w:ascii="仿宋_GB2312" w:hAnsi="黑体" w:eastAsia="仿宋_GB2312" w:cstheme="minorEastAsia"/>
          <w:i/>
          <w:iCs/>
          <w:sz w:val="24"/>
          <w:szCs w:val="24"/>
          <w:lang w:val="en-US" w:eastAsia="zh-CN"/>
        </w:rPr>
        <w:t xml:space="preserve"> </w:t>
      </w:r>
      <w:r>
        <w:rPr>
          <w:rFonts w:hint="eastAsia" w:ascii="仿宋_GB2312" w:hAnsi="黑体" w:eastAsia="仿宋_GB2312" w:cstheme="minorEastAsia"/>
          <w:i/>
          <w:iCs/>
          <w:sz w:val="24"/>
          <w:szCs w:val="24"/>
        </w:rPr>
        <w:t>即</w:t>
      </w:r>
      <w:r>
        <w:rPr>
          <w:rFonts w:hint="eastAsia" w:ascii="仿宋_GB2312" w:hAnsi="黑体" w:eastAsia="仿宋_GB2312" w:cstheme="minorEastAsia"/>
          <w:b/>
          <w:bCs/>
          <w:i/>
          <w:iCs/>
          <w:sz w:val="24"/>
          <w:szCs w:val="24"/>
          <w:u w:val="single"/>
          <w:lang w:val="en-US" w:eastAsia="zh-CN"/>
        </w:rPr>
        <w:t xml:space="preserve">                 </w:t>
      </w:r>
      <w:r>
        <w:rPr>
          <w:rFonts w:hint="eastAsia" w:ascii="仿宋_GB2312" w:hAnsi="黑体" w:eastAsia="仿宋_GB2312" w:cstheme="minorEastAsia"/>
          <w:i/>
          <w:iCs/>
          <w:sz w:val="24"/>
          <w:szCs w:val="24"/>
        </w:rPr>
        <w:t>元</w:t>
      </w:r>
      <w:r>
        <w:rPr>
          <w:rFonts w:ascii="仿宋_GB2312" w:hAnsi="黑体" w:eastAsia="仿宋_GB2312" w:cstheme="minorEastAsia"/>
          <w:i/>
          <w:iCs/>
          <w:sz w:val="24"/>
          <w:szCs w:val="24"/>
        </w:rPr>
        <w:t>，付款条件为发票挂账后财务付款条件：</w:t>
      </w:r>
      <w:r>
        <w:rPr>
          <w:rFonts w:ascii="仿宋_GB2312" w:hAnsi="黑体" w:eastAsia="仿宋_GB2312" w:cstheme="minorEastAsia"/>
          <w:b/>
          <w:bCs/>
          <w:i/>
          <w:iCs/>
          <w:sz w:val="24"/>
          <w:szCs w:val="24"/>
          <w:u w:val="single"/>
        </w:rPr>
        <w:t>30天到期</w:t>
      </w:r>
      <w:r>
        <w:rPr>
          <w:rFonts w:hint="eastAsia" w:ascii="仿宋_GB2312" w:hAnsi="黑体" w:eastAsia="仿宋_GB2312" w:cstheme="minorEastAsia"/>
          <w:b/>
          <w:bCs/>
          <w:i/>
          <w:iCs/>
          <w:sz w:val="24"/>
          <w:szCs w:val="24"/>
          <w:u w:val="single"/>
        </w:rPr>
        <w:t>。</w:t>
      </w:r>
    </w:p>
    <w:p w14:paraId="2A3D4EE8">
      <w:pPr>
        <w:spacing w:line="360" w:lineRule="auto"/>
        <w:ind w:firstLine="480" w:firstLineChars="200"/>
        <w:rPr>
          <w:rFonts w:hint="eastAsia" w:ascii="仿宋_GB2312" w:hAnsi="黑体" w:eastAsia="仿宋_GB2312" w:cstheme="minorEastAsia"/>
          <w:i/>
          <w:iCs/>
          <w:sz w:val="24"/>
          <w:szCs w:val="24"/>
        </w:rPr>
      </w:pPr>
      <w:r>
        <w:rPr>
          <w:rFonts w:hint="eastAsia" w:ascii="仿宋_GB2312" w:hAnsi="黑体" w:eastAsia="仿宋_GB2312" w:cstheme="minorEastAsia"/>
          <w:i/>
          <w:iCs/>
          <w:sz w:val="24"/>
          <w:szCs w:val="24"/>
        </w:rPr>
        <w:t>2.3.</w:t>
      </w:r>
      <w:r>
        <w:rPr>
          <w:rFonts w:hint="eastAsia" w:ascii="仿宋_GB2312" w:hAnsi="黑体" w:eastAsia="仿宋_GB2312" w:cstheme="minorEastAsia"/>
          <w:i/>
          <w:iCs/>
          <w:sz w:val="24"/>
          <w:szCs w:val="24"/>
          <w:lang w:val="en-US" w:eastAsia="zh-CN"/>
        </w:rPr>
        <w:t>2</w:t>
      </w:r>
      <w:r>
        <w:rPr>
          <w:rFonts w:hint="eastAsia" w:ascii="仿宋_GB2312" w:hAnsi="黑体" w:eastAsia="仿宋_GB2312" w:cstheme="minorEastAsia"/>
          <w:b/>
          <w:bCs/>
          <w:i/>
          <w:iCs/>
          <w:sz w:val="24"/>
          <w:szCs w:val="24"/>
          <w:u w:val="single"/>
        </w:rPr>
        <w:t>经安装、调试最终验收合格后</w:t>
      </w:r>
      <w:r>
        <w:rPr>
          <w:rFonts w:hint="eastAsia" w:ascii="仿宋_GB2312" w:hAnsi="黑体" w:eastAsia="仿宋_GB2312" w:cstheme="minorEastAsia"/>
          <w:b/>
          <w:bCs/>
          <w:i/>
          <w:iCs/>
          <w:sz w:val="24"/>
          <w:szCs w:val="24"/>
          <w:u w:val="single"/>
          <w:lang w:eastAsia="zh-CN"/>
        </w:rPr>
        <w:t>，</w:t>
      </w:r>
      <w:r>
        <w:rPr>
          <w:rFonts w:hint="eastAsia" w:ascii="仿宋_GB2312" w:hAnsi="黑体" w:eastAsia="仿宋_GB2312" w:cstheme="minorEastAsia"/>
          <w:i/>
          <w:iCs/>
          <w:sz w:val="24"/>
          <w:szCs w:val="24"/>
        </w:rPr>
        <w:t>买方收到合同全额增值税专用发票及完整报账材料后</w:t>
      </w:r>
      <w:r>
        <w:rPr>
          <w:rFonts w:ascii="仿宋_GB2312" w:hAnsi="黑体" w:eastAsia="仿宋_GB2312" w:cstheme="minorEastAsia"/>
          <w:i/>
          <w:iCs/>
          <w:sz w:val="24"/>
          <w:szCs w:val="24"/>
        </w:rPr>
        <w:t>提交报账流程，财务审核通过</w:t>
      </w:r>
      <w:r>
        <w:rPr>
          <w:rFonts w:hint="eastAsia" w:ascii="仿宋_GB2312" w:hAnsi="黑体" w:eastAsia="仿宋_GB2312" w:cstheme="minorEastAsia"/>
          <w:i/>
          <w:iCs/>
          <w:sz w:val="24"/>
          <w:szCs w:val="24"/>
        </w:rPr>
        <w:t>后支付金额为合同含税</w:t>
      </w:r>
      <w:r>
        <w:rPr>
          <w:rFonts w:hint="eastAsia" w:ascii="仿宋_GB2312" w:hAnsi="黑体" w:eastAsia="仿宋_GB2312" w:cstheme="minorEastAsia"/>
          <w:sz w:val="24"/>
          <w:szCs w:val="24"/>
        </w:rPr>
        <w:t>总价款</w:t>
      </w:r>
      <w:r>
        <w:rPr>
          <w:rFonts w:hint="eastAsia" w:ascii="仿宋_GB2312" w:hAnsi="黑体" w:eastAsia="仿宋_GB2312" w:cstheme="minorEastAsia"/>
          <w:b/>
          <w:bCs/>
          <w:sz w:val="24"/>
          <w:szCs w:val="24"/>
          <w:u w:val="single"/>
          <w:lang w:val="en-US" w:eastAsia="zh-CN"/>
        </w:rPr>
        <w:t>30</w:t>
      </w:r>
      <w:r>
        <w:rPr>
          <w:rFonts w:hint="eastAsia" w:ascii="仿宋_GB2312" w:hAnsi="黑体" w:eastAsia="仿宋_GB2312" w:cstheme="minorEastAsia"/>
          <w:i/>
          <w:iCs/>
          <w:sz w:val="24"/>
          <w:szCs w:val="24"/>
        </w:rPr>
        <w:t>%即</w:t>
      </w:r>
      <w:r>
        <w:rPr>
          <w:rFonts w:hint="eastAsia" w:ascii="仿宋_GB2312" w:hAnsi="黑体" w:eastAsia="仿宋_GB2312" w:cstheme="minorEastAsia"/>
          <w:b/>
          <w:bCs/>
          <w:i/>
          <w:iCs/>
          <w:sz w:val="24"/>
          <w:szCs w:val="24"/>
          <w:u w:val="single"/>
          <w:lang w:val="en-US" w:eastAsia="zh-CN"/>
        </w:rPr>
        <w:t xml:space="preserve">   </w:t>
      </w:r>
      <w:r>
        <w:rPr>
          <w:rFonts w:hint="eastAsia" w:ascii="仿宋_GB2312" w:hAnsi="黑体" w:eastAsia="仿宋_GB2312" w:cstheme="minorEastAsia"/>
          <w:i/>
          <w:iCs/>
          <w:sz w:val="24"/>
          <w:szCs w:val="24"/>
        </w:rPr>
        <w:t>元</w:t>
      </w:r>
      <w:r>
        <w:rPr>
          <w:rFonts w:ascii="仿宋_GB2312" w:hAnsi="黑体" w:eastAsia="仿宋_GB2312" w:cstheme="minorEastAsia"/>
          <w:i/>
          <w:iCs/>
          <w:sz w:val="24"/>
          <w:szCs w:val="24"/>
        </w:rPr>
        <w:t>，付款条件为发票挂账后财务付款条件：</w:t>
      </w:r>
      <w:r>
        <w:rPr>
          <w:rFonts w:ascii="仿宋_GB2312" w:hAnsi="黑体" w:eastAsia="仿宋_GB2312" w:cstheme="minorEastAsia"/>
          <w:b/>
          <w:bCs/>
          <w:i/>
          <w:iCs/>
          <w:sz w:val="24"/>
          <w:szCs w:val="24"/>
          <w:u w:val="single"/>
        </w:rPr>
        <w:t>30天到期</w:t>
      </w:r>
      <w:r>
        <w:rPr>
          <w:rFonts w:hint="eastAsia" w:ascii="仿宋_GB2312" w:hAnsi="黑体" w:eastAsia="仿宋_GB2312" w:cstheme="minorEastAsia"/>
          <w:i/>
          <w:iCs/>
          <w:sz w:val="24"/>
          <w:szCs w:val="24"/>
        </w:rPr>
        <w:t>。</w:t>
      </w:r>
    </w:p>
    <w:p w14:paraId="6C613D32">
      <w:pPr>
        <w:spacing w:line="360" w:lineRule="auto"/>
        <w:ind w:firstLine="480" w:firstLineChars="200"/>
        <w:rPr>
          <w:rFonts w:ascii="仿宋_GB2312" w:hAnsi="黑体" w:eastAsia="仿宋_GB2312" w:cstheme="minorEastAsia"/>
          <w:i/>
          <w:iCs/>
          <w:sz w:val="24"/>
          <w:szCs w:val="24"/>
        </w:rPr>
      </w:pPr>
      <w:r>
        <w:rPr>
          <w:rFonts w:hint="eastAsia" w:ascii="仿宋_GB2312" w:hAnsi="黑体" w:eastAsia="仿宋_GB2312" w:cstheme="minorEastAsia"/>
          <w:i/>
          <w:iCs/>
          <w:sz w:val="24"/>
          <w:szCs w:val="24"/>
        </w:rPr>
        <w:t>2.3.</w:t>
      </w:r>
      <w:r>
        <w:rPr>
          <w:rFonts w:hint="eastAsia" w:ascii="仿宋_GB2312" w:hAnsi="黑体" w:eastAsia="仿宋_GB2312" w:cstheme="minorEastAsia"/>
          <w:i/>
          <w:iCs/>
          <w:sz w:val="24"/>
          <w:szCs w:val="24"/>
          <w:lang w:val="en-US" w:eastAsia="zh-CN"/>
        </w:rPr>
        <w:t>3</w:t>
      </w:r>
      <w:r>
        <w:rPr>
          <w:rFonts w:hint="eastAsia" w:ascii="仿宋_GB2312" w:hAnsi="黑体" w:eastAsia="仿宋_GB2312" w:cstheme="minorEastAsia"/>
          <w:i/>
          <w:iCs/>
          <w:sz w:val="24"/>
          <w:szCs w:val="24"/>
        </w:rPr>
        <w:t>合同含税总价款的</w:t>
      </w:r>
      <w:r>
        <w:rPr>
          <w:rFonts w:hint="eastAsia" w:ascii="仿宋_GB2312" w:hAnsi="黑体" w:eastAsia="仿宋_GB2312" w:cstheme="minorEastAsia"/>
          <w:b/>
          <w:bCs/>
          <w:i/>
          <w:iCs/>
          <w:sz w:val="24"/>
          <w:szCs w:val="24"/>
          <w:u w:val="single"/>
          <w:lang w:val="en-US" w:eastAsia="zh-CN"/>
        </w:rPr>
        <w:t xml:space="preserve"> 10  </w:t>
      </w:r>
      <w:r>
        <w:rPr>
          <w:rFonts w:hint="eastAsia" w:ascii="仿宋_GB2312" w:hAnsi="黑体" w:eastAsia="仿宋_GB2312" w:cstheme="minorEastAsia"/>
          <w:i/>
          <w:iCs/>
          <w:sz w:val="24"/>
          <w:szCs w:val="24"/>
        </w:rPr>
        <w:t>%即</w:t>
      </w:r>
      <w:r>
        <w:rPr>
          <w:rFonts w:hint="eastAsia" w:ascii="仿宋_GB2312" w:hAnsi="黑体" w:eastAsia="仿宋_GB2312" w:cstheme="minorEastAsia"/>
          <w:b/>
          <w:bCs/>
          <w:i/>
          <w:iCs/>
          <w:sz w:val="24"/>
          <w:szCs w:val="24"/>
          <w:u w:val="single"/>
          <w:lang w:val="en-US" w:eastAsia="zh-CN"/>
        </w:rPr>
        <w:t xml:space="preserve">      </w:t>
      </w:r>
      <w:r>
        <w:rPr>
          <w:rFonts w:hint="eastAsia" w:ascii="仿宋_GB2312" w:hAnsi="黑体" w:eastAsia="仿宋_GB2312" w:cstheme="minorEastAsia"/>
          <w:i/>
          <w:iCs/>
          <w:sz w:val="24"/>
          <w:szCs w:val="24"/>
        </w:rPr>
        <w:t>元作为本合同约定设备的质量保证金，质量保证金在质量保证期内不计利息。待合同设备验收合格后</w:t>
      </w:r>
      <w:r>
        <w:rPr>
          <w:rFonts w:hint="eastAsia" w:ascii="仿宋_GB2312" w:hAnsi="黑体" w:eastAsia="仿宋_GB2312" w:cstheme="minorEastAsia"/>
          <w:i/>
          <w:iCs/>
          <w:sz w:val="24"/>
          <w:szCs w:val="24"/>
          <w:u w:val="single"/>
          <w:lang w:val="en-US" w:eastAsia="zh-CN"/>
        </w:rPr>
        <w:t>12</w:t>
      </w:r>
      <w:r>
        <w:rPr>
          <w:rFonts w:hint="eastAsia" w:ascii="仿宋_GB2312" w:hAnsi="黑体" w:eastAsia="仿宋_GB2312" w:cstheme="minorEastAsia"/>
          <w:i/>
          <w:iCs/>
          <w:sz w:val="24"/>
          <w:szCs w:val="24"/>
        </w:rPr>
        <w:t>个月，卖方向买方提交质量保证金的收款凭证及设备使用单位的使用情况说明，经买方财务审核无误后支付，</w:t>
      </w:r>
      <w:r>
        <w:rPr>
          <w:rFonts w:ascii="仿宋_GB2312" w:hAnsi="黑体" w:eastAsia="仿宋_GB2312" w:cstheme="minorEastAsia"/>
          <w:i/>
          <w:iCs/>
          <w:sz w:val="24"/>
          <w:szCs w:val="24"/>
        </w:rPr>
        <w:t>付款条件为发票挂账后财务付款条件：</w:t>
      </w:r>
      <w:r>
        <w:rPr>
          <w:rFonts w:hint="eastAsia" w:ascii="仿宋_GB2312" w:hAnsi="黑体" w:eastAsia="仿宋_GB2312" w:cstheme="minorEastAsia"/>
          <w:b/>
          <w:bCs/>
          <w:i/>
          <w:iCs/>
          <w:sz w:val="24"/>
          <w:szCs w:val="24"/>
          <w:u w:val="single"/>
          <w:lang w:val="en-US" w:eastAsia="zh-CN"/>
        </w:rPr>
        <w:t>SAP</w:t>
      </w:r>
      <w:r>
        <w:rPr>
          <w:rFonts w:hint="eastAsia" w:ascii="仿宋_GB2312" w:hAnsi="黑体" w:eastAsia="仿宋_GB2312" w:cstheme="minorEastAsia"/>
          <w:b/>
          <w:bCs/>
          <w:i/>
          <w:iCs/>
          <w:sz w:val="24"/>
          <w:szCs w:val="24"/>
          <w:u w:val="single"/>
        </w:rPr>
        <w:t>付款条件：立即执行</w:t>
      </w:r>
      <w:r>
        <w:rPr>
          <w:rFonts w:hint="eastAsia" w:ascii="仿宋_GB2312" w:hAnsi="黑体" w:eastAsia="仿宋_GB2312" w:cstheme="minorEastAsia"/>
          <w:i/>
          <w:iCs/>
          <w:sz w:val="24"/>
          <w:szCs w:val="24"/>
        </w:rPr>
        <w:t>。如有质量问题，质量保证金予以相应扣除。</w:t>
      </w:r>
    </w:p>
    <w:p w14:paraId="22636DFB">
      <w:pPr>
        <w:spacing w:line="360" w:lineRule="auto"/>
        <w:ind w:firstLine="432" w:firstLineChars="200"/>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2.4甲乙双方基本信息</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1"/>
        <w:gridCol w:w="3905"/>
        <w:gridCol w:w="3691"/>
      </w:tblGrid>
      <w:tr w14:paraId="2DA56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690" w:type="dxa"/>
            <w:vAlign w:val="bottom"/>
          </w:tcPr>
          <w:p w14:paraId="1879CEF4">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信息名目</w:t>
            </w:r>
          </w:p>
        </w:tc>
        <w:tc>
          <w:tcPr>
            <w:tcW w:w="3905" w:type="dxa"/>
            <w:vAlign w:val="bottom"/>
          </w:tcPr>
          <w:p w14:paraId="76526523">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甲方基本信息</w:t>
            </w:r>
          </w:p>
        </w:tc>
        <w:tc>
          <w:tcPr>
            <w:tcW w:w="3691" w:type="dxa"/>
            <w:vAlign w:val="bottom"/>
          </w:tcPr>
          <w:p w14:paraId="4E48DD47">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乙方基本信息</w:t>
            </w:r>
          </w:p>
        </w:tc>
      </w:tr>
      <w:tr w14:paraId="1FC92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71BD4DEE">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企业名称</w:t>
            </w:r>
          </w:p>
        </w:tc>
        <w:tc>
          <w:tcPr>
            <w:tcW w:w="3905" w:type="dxa"/>
            <w:vAlign w:val="bottom"/>
          </w:tcPr>
          <w:p w14:paraId="65F09542">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中国重汽集团济南商用车有限公司</w:t>
            </w:r>
          </w:p>
        </w:tc>
        <w:tc>
          <w:tcPr>
            <w:tcW w:w="3691" w:type="dxa"/>
            <w:vAlign w:val="bottom"/>
          </w:tcPr>
          <w:p w14:paraId="6EA6A019">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lang w:val="en-US" w:eastAsia="zh-CN"/>
              </w:rPr>
              <w:t xml:space="preserve"> 乙方公司名称</w:t>
            </w:r>
          </w:p>
        </w:tc>
      </w:tr>
      <w:tr w14:paraId="560AE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21A28C6B">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注册地址</w:t>
            </w:r>
          </w:p>
        </w:tc>
        <w:tc>
          <w:tcPr>
            <w:tcW w:w="3905" w:type="dxa"/>
            <w:vAlign w:val="bottom"/>
          </w:tcPr>
          <w:p w14:paraId="07541A10">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甲方注册地址，营业执照住所地</w:t>
            </w:r>
          </w:p>
        </w:tc>
        <w:tc>
          <w:tcPr>
            <w:tcW w:w="3691" w:type="dxa"/>
            <w:vAlign w:val="bottom"/>
          </w:tcPr>
          <w:p w14:paraId="129421A9">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乙方注册地址营业执照住所地</w:t>
            </w:r>
          </w:p>
        </w:tc>
      </w:tr>
      <w:tr w14:paraId="4755A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7E498C83">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通讯地址</w:t>
            </w:r>
          </w:p>
        </w:tc>
        <w:tc>
          <w:tcPr>
            <w:tcW w:w="3905" w:type="dxa"/>
            <w:vAlign w:val="bottom"/>
          </w:tcPr>
          <w:p w14:paraId="6732891F">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甲方通讯地址，实际联系地址</w:t>
            </w:r>
          </w:p>
        </w:tc>
        <w:tc>
          <w:tcPr>
            <w:tcW w:w="3691" w:type="dxa"/>
            <w:vAlign w:val="bottom"/>
          </w:tcPr>
          <w:p w14:paraId="3630A4EF">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乙方通讯地址联系地址</w:t>
            </w:r>
          </w:p>
        </w:tc>
      </w:tr>
      <w:tr w14:paraId="6DA48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550D6E62">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法定代表人</w:t>
            </w:r>
          </w:p>
        </w:tc>
        <w:tc>
          <w:tcPr>
            <w:tcW w:w="3905" w:type="dxa"/>
            <w:vAlign w:val="bottom"/>
          </w:tcPr>
          <w:p w14:paraId="541CCF04">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姓名</w:t>
            </w:r>
          </w:p>
        </w:tc>
        <w:tc>
          <w:tcPr>
            <w:tcW w:w="3691" w:type="dxa"/>
            <w:vAlign w:val="bottom"/>
          </w:tcPr>
          <w:p w14:paraId="46FE6927">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lang w:val="en-US" w:eastAsia="zh-CN"/>
              </w:rPr>
              <w:t>姓</w:t>
            </w:r>
            <w:r>
              <w:rPr>
                <w:rFonts w:hint="eastAsia" w:ascii="仿宋_GB2312" w:hAnsi="仿宋_GB2312" w:eastAsia="仿宋_GB2312" w:cs="仿宋_GB2312"/>
                <w:b/>
                <w:bCs/>
                <w:i/>
                <w:iCs/>
                <w:w w:val="90"/>
                <w:sz w:val="24"/>
                <w:szCs w:val="24"/>
                <w:u w:val="single"/>
              </w:rPr>
              <w:t>名</w:t>
            </w:r>
          </w:p>
        </w:tc>
      </w:tr>
      <w:tr w14:paraId="38C0D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0AAC6102">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授权代表</w:t>
            </w:r>
          </w:p>
        </w:tc>
        <w:tc>
          <w:tcPr>
            <w:tcW w:w="3905" w:type="dxa"/>
            <w:vAlign w:val="bottom"/>
          </w:tcPr>
          <w:p w14:paraId="75845655">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甲方授权代表姓名</w:t>
            </w:r>
          </w:p>
        </w:tc>
        <w:tc>
          <w:tcPr>
            <w:tcW w:w="3691" w:type="dxa"/>
            <w:vAlign w:val="bottom"/>
          </w:tcPr>
          <w:p w14:paraId="58AF3AEE">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乙方授权代表姓名</w:t>
            </w:r>
          </w:p>
        </w:tc>
      </w:tr>
      <w:tr w14:paraId="41AFA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5CE91126">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联系电话</w:t>
            </w:r>
          </w:p>
        </w:tc>
        <w:tc>
          <w:tcPr>
            <w:tcW w:w="3905" w:type="dxa"/>
            <w:vAlign w:val="bottom"/>
          </w:tcPr>
          <w:p w14:paraId="35016B69">
            <w:pPr>
              <w:spacing w:after="200" w:line="360" w:lineRule="auto"/>
              <w:jc w:val="center"/>
              <w:rPr>
                <w:rFonts w:hint="default" w:ascii="仿宋_GB2312" w:hAnsi="仿宋_GB2312" w:eastAsia="仿宋_GB2312" w:cs="仿宋_GB2312"/>
                <w:i/>
                <w:iCs/>
                <w:w w:val="90"/>
                <w:sz w:val="24"/>
                <w:szCs w:val="24"/>
                <w:lang w:val="en-US" w:eastAsia="zh-CN"/>
              </w:rPr>
            </w:pPr>
            <w:r>
              <w:rPr>
                <w:rFonts w:hint="eastAsia" w:ascii="仿宋_GB2312" w:hAnsi="仿宋_GB2312" w:eastAsia="仿宋_GB2312" w:cs="仿宋_GB2312"/>
                <w:b/>
                <w:bCs/>
                <w:i/>
                <w:iCs/>
                <w:w w:val="90"/>
                <w:sz w:val="24"/>
                <w:szCs w:val="24"/>
                <w:u w:val="single"/>
                <w:lang w:val="en-US" w:eastAsia="zh-CN"/>
              </w:rPr>
              <w:t>甲方电话号码</w:t>
            </w:r>
          </w:p>
        </w:tc>
        <w:tc>
          <w:tcPr>
            <w:tcW w:w="3691" w:type="dxa"/>
            <w:vAlign w:val="bottom"/>
          </w:tcPr>
          <w:p w14:paraId="066EBC45">
            <w:pPr>
              <w:spacing w:after="200" w:line="360" w:lineRule="auto"/>
              <w:jc w:val="center"/>
              <w:rPr>
                <w:rFonts w:hint="default" w:ascii="仿宋_GB2312" w:hAnsi="仿宋_GB2312" w:eastAsia="仿宋_GB2312" w:cs="仿宋_GB2312"/>
                <w:i/>
                <w:iCs/>
                <w:w w:val="90"/>
                <w:sz w:val="24"/>
                <w:szCs w:val="24"/>
                <w:lang w:val="en-US" w:eastAsia="zh-CN"/>
              </w:rPr>
            </w:pPr>
            <w:r>
              <w:rPr>
                <w:rFonts w:hint="eastAsia" w:ascii="仿宋_GB2312" w:hAnsi="仿宋_GB2312" w:eastAsia="仿宋_GB2312" w:cs="仿宋_GB2312"/>
                <w:b/>
                <w:bCs/>
                <w:i/>
                <w:iCs/>
                <w:w w:val="90"/>
                <w:sz w:val="24"/>
                <w:szCs w:val="24"/>
                <w:u w:val="single"/>
                <w:lang w:val="en-US" w:eastAsia="zh-CN"/>
              </w:rPr>
              <w:t>乙方电话号码</w:t>
            </w:r>
          </w:p>
        </w:tc>
      </w:tr>
      <w:tr w14:paraId="39DCF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03ADEE00">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联系邮箱</w:t>
            </w:r>
          </w:p>
        </w:tc>
        <w:tc>
          <w:tcPr>
            <w:tcW w:w="3905" w:type="dxa"/>
            <w:vAlign w:val="bottom"/>
          </w:tcPr>
          <w:p w14:paraId="3645FA0C">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甲方授权代表联系邮箱（非必填）</w:t>
            </w:r>
          </w:p>
        </w:tc>
        <w:tc>
          <w:tcPr>
            <w:tcW w:w="3691" w:type="dxa"/>
            <w:vAlign w:val="bottom"/>
          </w:tcPr>
          <w:p w14:paraId="527E04B9">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乙方授权代表联系邮箱（非必填）</w:t>
            </w:r>
          </w:p>
        </w:tc>
      </w:tr>
      <w:tr w14:paraId="7D165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11A467F4">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开户银行</w:t>
            </w:r>
          </w:p>
        </w:tc>
        <w:tc>
          <w:tcPr>
            <w:tcW w:w="3905" w:type="dxa"/>
            <w:vAlign w:val="bottom"/>
          </w:tcPr>
          <w:p w14:paraId="733F82EE">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甲方开户银行规范全称（非必填）</w:t>
            </w:r>
          </w:p>
        </w:tc>
        <w:tc>
          <w:tcPr>
            <w:tcW w:w="3691" w:type="dxa"/>
            <w:vAlign w:val="bottom"/>
          </w:tcPr>
          <w:p w14:paraId="3D6CD180">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乙方开户银行规范全称</w:t>
            </w:r>
          </w:p>
        </w:tc>
      </w:tr>
      <w:tr w14:paraId="31E92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76A4887F">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开户行联行号</w:t>
            </w:r>
          </w:p>
        </w:tc>
        <w:tc>
          <w:tcPr>
            <w:tcW w:w="3905" w:type="dxa"/>
            <w:vAlign w:val="bottom"/>
          </w:tcPr>
          <w:p w14:paraId="5A462647">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甲方开户银行联行号（非必填）</w:t>
            </w:r>
          </w:p>
        </w:tc>
        <w:tc>
          <w:tcPr>
            <w:tcW w:w="3691" w:type="dxa"/>
            <w:vAlign w:val="bottom"/>
          </w:tcPr>
          <w:p w14:paraId="12D9611E">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lang w:val="en-US" w:eastAsia="zh-CN"/>
              </w:rPr>
              <w:t>乙</w:t>
            </w:r>
            <w:r>
              <w:rPr>
                <w:rFonts w:hint="eastAsia" w:ascii="仿宋_GB2312" w:hAnsi="仿宋_GB2312" w:eastAsia="仿宋_GB2312" w:cs="仿宋_GB2312"/>
                <w:b/>
                <w:bCs/>
                <w:i/>
                <w:iCs/>
                <w:w w:val="90"/>
                <w:sz w:val="24"/>
                <w:szCs w:val="24"/>
                <w:u w:val="single"/>
              </w:rPr>
              <w:t>方开户银行联行号</w:t>
            </w:r>
          </w:p>
        </w:tc>
      </w:tr>
      <w:tr w14:paraId="59FE4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2F09ED51">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开户账号</w:t>
            </w:r>
          </w:p>
        </w:tc>
        <w:tc>
          <w:tcPr>
            <w:tcW w:w="3905" w:type="dxa"/>
            <w:vAlign w:val="bottom"/>
          </w:tcPr>
          <w:p w14:paraId="12257A67">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甲方银行账号（非必填）</w:t>
            </w:r>
          </w:p>
        </w:tc>
        <w:tc>
          <w:tcPr>
            <w:tcW w:w="3691" w:type="dxa"/>
            <w:vAlign w:val="bottom"/>
          </w:tcPr>
          <w:p w14:paraId="52A694AE">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lang w:val="en-US" w:eastAsia="zh-CN"/>
              </w:rPr>
              <w:t>乙</w:t>
            </w:r>
            <w:r>
              <w:rPr>
                <w:rFonts w:hint="eastAsia" w:ascii="仿宋_GB2312" w:hAnsi="仿宋_GB2312" w:eastAsia="仿宋_GB2312" w:cs="仿宋_GB2312"/>
                <w:b/>
                <w:bCs/>
                <w:i/>
                <w:iCs/>
                <w:w w:val="90"/>
                <w:sz w:val="24"/>
                <w:szCs w:val="24"/>
                <w:u w:val="single"/>
              </w:rPr>
              <w:t>方银行账号</w:t>
            </w:r>
          </w:p>
        </w:tc>
      </w:tr>
      <w:tr w14:paraId="56D64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90" w:type="dxa"/>
            <w:vAlign w:val="bottom"/>
          </w:tcPr>
          <w:p w14:paraId="0DE81F7A">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其他信息</w:t>
            </w:r>
          </w:p>
        </w:tc>
        <w:tc>
          <w:tcPr>
            <w:tcW w:w="3905" w:type="dxa"/>
            <w:vAlign w:val="bottom"/>
          </w:tcPr>
          <w:p w14:paraId="1E0CBE0C">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甲方其他需列明企业信息（非必填）</w:t>
            </w:r>
          </w:p>
        </w:tc>
        <w:tc>
          <w:tcPr>
            <w:tcW w:w="3691" w:type="dxa"/>
            <w:vAlign w:val="bottom"/>
          </w:tcPr>
          <w:p w14:paraId="6CE7285C">
            <w:pPr>
              <w:spacing w:after="200" w:line="360" w:lineRule="auto"/>
              <w:jc w:val="center"/>
              <w:rPr>
                <w:rFonts w:ascii="仿宋_GB2312" w:hAnsi="仿宋_GB2312" w:eastAsia="仿宋_GB2312" w:cs="仿宋_GB2312"/>
                <w:i/>
                <w:iCs/>
                <w:w w:val="90"/>
                <w:sz w:val="24"/>
                <w:szCs w:val="24"/>
              </w:rPr>
            </w:pPr>
            <w:r>
              <w:rPr>
                <w:rFonts w:hint="eastAsia" w:ascii="仿宋_GB2312" w:hAnsi="仿宋_GB2312" w:eastAsia="仿宋_GB2312" w:cs="仿宋_GB2312"/>
                <w:b/>
                <w:bCs/>
                <w:i/>
                <w:iCs/>
                <w:w w:val="90"/>
                <w:sz w:val="24"/>
                <w:szCs w:val="24"/>
                <w:u w:val="single"/>
              </w:rPr>
              <w:t>乙方其他需列明企业信息（非必填）</w:t>
            </w:r>
          </w:p>
        </w:tc>
      </w:tr>
    </w:tbl>
    <w:p w14:paraId="4786CCCC">
      <w:pPr>
        <w:spacing w:line="360" w:lineRule="auto"/>
        <w:ind w:firstLine="432" w:firstLineChars="200"/>
        <w:rPr>
          <w:rFonts w:ascii="仿宋_GB2312" w:hAnsi="仿宋_GB2312" w:eastAsia="仿宋_GB2312" w:cs="仿宋_GB2312"/>
          <w:i/>
          <w:iCs/>
          <w:w w:val="90"/>
          <w:sz w:val="24"/>
          <w:szCs w:val="24"/>
        </w:rPr>
      </w:pPr>
      <w:r>
        <w:rPr>
          <w:rFonts w:hint="eastAsia" w:ascii="仿宋_GB2312" w:hAnsi="仿宋_GB2312" w:eastAsia="仿宋_GB2312" w:cs="仿宋_GB2312"/>
          <w:i/>
          <w:iCs/>
          <w:w w:val="90"/>
          <w:sz w:val="24"/>
          <w:szCs w:val="24"/>
        </w:rPr>
        <w:t>合同履行过程中，如甲乙双方基本信息发生变更，应及时以书面形式告知对方并就付款账户信息变更签署相关补充协议。</w:t>
      </w:r>
    </w:p>
    <w:p w14:paraId="02067A61">
      <w:pPr>
        <w:tabs>
          <w:tab w:val="left" w:pos="0"/>
          <w:tab w:val="left" w:pos="9060"/>
        </w:tabs>
        <w:spacing w:line="360" w:lineRule="auto"/>
        <w:ind w:firstLine="480"/>
        <w:rPr>
          <w:rFonts w:eastAsia="Calibri"/>
          <w:i/>
          <w:iCs/>
          <w:sz w:val="36"/>
        </w:rPr>
      </w:pPr>
      <w:r>
        <w:rPr>
          <w:rFonts w:ascii="黑体" w:hAnsi="黑体" w:eastAsia="黑体"/>
          <w:i/>
          <w:iCs/>
          <w:sz w:val="24"/>
        </w:rPr>
        <w:t>3.生效条款</w:t>
      </w:r>
    </w:p>
    <w:p w14:paraId="73661A43">
      <w:pPr>
        <w:spacing w:line="360" w:lineRule="auto"/>
        <w:ind w:firstLine="480"/>
        <w:rPr>
          <w:i/>
          <w:iCs/>
        </w:rPr>
      </w:pPr>
      <w:r>
        <w:rPr>
          <w:rFonts w:ascii="仿宋_GB2312" w:hAnsi="仿宋_GB2312" w:eastAsia="仿宋_GB2312"/>
          <w:i/>
          <w:iCs/>
          <w:sz w:val="24"/>
        </w:rPr>
        <w:t>3.1本合同经双方签署后生效。</w:t>
      </w:r>
    </w:p>
    <w:p w14:paraId="34688ADF">
      <w:pPr>
        <w:spacing w:line="360" w:lineRule="auto"/>
        <w:ind w:firstLine="480"/>
        <w:rPr>
          <w:i/>
          <w:iCs/>
        </w:rPr>
      </w:pPr>
      <w:r>
        <w:rPr>
          <w:rFonts w:ascii="仿宋_GB2312" w:hAnsi="仿宋_GB2312" w:eastAsia="仿宋_GB2312"/>
          <w:i/>
          <w:iCs/>
          <w:sz w:val="24"/>
        </w:rPr>
        <w:t>3.2本合同一式四份，甲乙双方各执两份，具有同等法律效力。</w:t>
      </w:r>
    </w:p>
    <w:p w14:paraId="65A65B4C">
      <w:pPr>
        <w:spacing w:line="360" w:lineRule="auto"/>
        <w:ind w:firstLine="480"/>
        <w:rPr>
          <w:rFonts w:ascii="仿宋_GB2312" w:hAnsi="仿宋_GB2312" w:eastAsia="仿宋_GB2312"/>
          <w:i/>
          <w:iCs/>
          <w:sz w:val="24"/>
        </w:rPr>
      </w:pPr>
      <w:r>
        <w:rPr>
          <w:rFonts w:hint="eastAsia" w:ascii="仿宋_GB2312" w:hAnsi="仿宋_GB2312" w:eastAsia="仿宋_GB2312"/>
          <w:i/>
          <w:iCs/>
          <w:sz w:val="24"/>
          <w:lang w:val="en-US" w:eastAsia="zh-CN"/>
        </w:rPr>
        <w:t>4.</w:t>
      </w:r>
      <w:r>
        <w:rPr>
          <w:rFonts w:ascii="仿宋_GB2312" w:hAnsi="仿宋_GB2312" w:eastAsia="仿宋_GB2312"/>
          <w:i/>
          <w:iCs/>
          <w:sz w:val="24"/>
        </w:rPr>
        <w:t>特殊约定</w:t>
      </w:r>
    </w:p>
    <w:p w14:paraId="0FE8DDBA">
      <w:pPr>
        <w:numPr>
          <w:ilvl w:val="0"/>
          <w:numId w:val="0"/>
        </w:numPr>
        <w:ind w:leftChars="0" w:firstLine="3564" w:firstLineChars="900"/>
        <w:jc w:val="both"/>
        <w:rPr>
          <w:rFonts w:hint="eastAsia" w:ascii="方正小标宋简体" w:hAnsi="方正小标宋简体" w:eastAsia="方正小标宋简体" w:cs="方正小标宋简体"/>
          <w:i/>
          <w:iCs/>
          <w:w w:val="90"/>
          <w:sz w:val="44"/>
          <w:szCs w:val="44"/>
        </w:rPr>
      </w:pPr>
    </w:p>
    <w:p w14:paraId="0EEAB4E3">
      <w:pPr>
        <w:numPr>
          <w:ilvl w:val="0"/>
          <w:numId w:val="0"/>
        </w:numPr>
        <w:ind w:leftChars="0" w:firstLine="3564" w:firstLineChars="900"/>
        <w:jc w:val="both"/>
        <w:rPr>
          <w:rFonts w:ascii="方正小标宋简体" w:hAnsi="方正小标宋简体" w:eastAsia="方正小标宋简体" w:cs="方正小标宋简体"/>
          <w:i/>
          <w:iCs/>
          <w:w w:val="90"/>
          <w:sz w:val="44"/>
          <w:szCs w:val="44"/>
        </w:rPr>
      </w:pPr>
      <w:r>
        <w:rPr>
          <w:rFonts w:hint="eastAsia" w:ascii="方正小标宋简体" w:hAnsi="方正小标宋简体" w:eastAsia="方正小标宋简体" w:cs="方正小标宋简体"/>
          <w:i/>
          <w:iCs/>
          <w:w w:val="90"/>
          <w:sz w:val="44"/>
          <w:szCs w:val="44"/>
        </w:rPr>
        <w:t>设备采购合同</w:t>
      </w:r>
    </w:p>
    <w:p w14:paraId="5EB4A445">
      <w:pPr>
        <w:spacing w:line="360" w:lineRule="auto"/>
        <w:jc w:val="center"/>
        <w:rPr>
          <w:rFonts w:ascii="方正小标宋简体" w:hAnsi="方正小标宋简体" w:eastAsia="方正小标宋简体" w:cs="方正小标宋简体"/>
          <w:i/>
          <w:iCs/>
          <w:w w:val="90"/>
          <w:sz w:val="44"/>
          <w:szCs w:val="44"/>
        </w:rPr>
      </w:pPr>
      <w:r>
        <w:rPr>
          <w:rFonts w:hint="eastAsia" w:ascii="方正小标宋简体" w:hAnsi="方正小标宋简体" w:eastAsia="方正小标宋简体" w:cs="方正小标宋简体"/>
          <w:i/>
          <w:iCs/>
          <w:w w:val="90"/>
          <w:sz w:val="44"/>
          <w:szCs w:val="44"/>
        </w:rPr>
        <w:t>通用条款</w:t>
      </w:r>
    </w:p>
    <w:p w14:paraId="274EA07C">
      <w:pPr>
        <w:pStyle w:val="2"/>
        <w:tabs>
          <w:tab w:val="right" w:leader="dot" w:pos="9061"/>
        </w:tabs>
        <w:ind w:left="0" w:firstLine="480" w:firstLineChars="200"/>
        <w:jc w:val="both"/>
        <w:rPr>
          <w:rFonts w:ascii="黑体" w:hAnsi="黑体" w:eastAsia="黑体" w:cs="黑体"/>
          <w:b w:val="0"/>
          <w:i/>
          <w:iCs/>
          <w:sz w:val="24"/>
          <w:szCs w:val="24"/>
        </w:rPr>
      </w:pPr>
      <w:bookmarkStart w:id="34" w:name="_Toc17619"/>
      <w:bookmarkStart w:id="35" w:name="_Toc16330018"/>
      <w:bookmarkStart w:id="36" w:name="_Toc11823"/>
      <w:bookmarkStart w:id="37" w:name="_Toc11930"/>
      <w:r>
        <w:rPr>
          <w:rFonts w:hint="eastAsia" w:ascii="黑体" w:hAnsi="黑体" w:eastAsia="黑体" w:cs="黑体"/>
          <w:b w:val="0"/>
          <w:i/>
          <w:iCs/>
          <w:sz w:val="24"/>
          <w:szCs w:val="24"/>
        </w:rPr>
        <w:t>1 合同设备</w:t>
      </w:r>
      <w:bookmarkEnd w:id="34"/>
      <w:bookmarkEnd w:id="35"/>
      <w:bookmarkEnd w:id="36"/>
      <w:bookmarkEnd w:id="37"/>
    </w:p>
    <w:p w14:paraId="4562BE35">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1.1</w:t>
      </w:r>
      <w:bookmarkStart w:id="38" w:name="_Toc22800"/>
      <w:bookmarkStart w:id="39" w:name="_Toc32510"/>
      <w:bookmarkStart w:id="40" w:name="_Toc29026"/>
      <w:r>
        <w:rPr>
          <w:rFonts w:hint="eastAsia" w:ascii="仿宋_GB2312" w:hAnsi="仿宋_GB2312" w:eastAsia="仿宋_GB2312" w:cs="仿宋_GB2312"/>
          <w:i/>
          <w:iCs/>
          <w:sz w:val="24"/>
          <w:szCs w:val="24"/>
        </w:rPr>
        <w:t>本合同约定设备的技术规格详见附件二《技术协议书》。</w:t>
      </w:r>
    </w:p>
    <w:p w14:paraId="77C7C61C">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1.2本合同约定设备的技术规格及性能标准应与《技术协议书》中规定的相应标准一致。若《技术协议书》无相应规定或未签署《技术协议书》，设备的技术规格及性能标准则应符合相应的国家标准、其原产地国家有关部门最新颁布的相应正式标准、买方招标文件及卖方一切书面承诺中要求的技术标准。</w:t>
      </w:r>
    </w:p>
    <w:p w14:paraId="5C66D7A9">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1.3在设备所有权转移到买方之前，有关设备的保险由卖方负责办理并承担保险费用。</w:t>
      </w:r>
    </w:p>
    <w:p w14:paraId="794C30EB">
      <w:pPr>
        <w:pStyle w:val="2"/>
        <w:tabs>
          <w:tab w:val="right" w:leader="dot" w:pos="9061"/>
        </w:tabs>
        <w:ind w:left="0" w:firstLine="480" w:firstLineChars="200"/>
        <w:jc w:val="both"/>
        <w:rPr>
          <w:rFonts w:ascii="黑体" w:hAnsi="黑体" w:eastAsia="黑体" w:cs="黑体"/>
          <w:b w:val="0"/>
          <w:i/>
          <w:iCs/>
          <w:sz w:val="24"/>
          <w:szCs w:val="24"/>
        </w:rPr>
      </w:pPr>
      <w:bookmarkStart w:id="41" w:name="_Toc16330019"/>
      <w:r>
        <w:rPr>
          <w:rFonts w:hint="eastAsia" w:ascii="黑体" w:hAnsi="黑体" w:eastAsia="黑体" w:cs="黑体"/>
          <w:b w:val="0"/>
          <w:i/>
          <w:iCs/>
          <w:sz w:val="24"/>
          <w:szCs w:val="24"/>
        </w:rPr>
        <w:t>2 包装</w:t>
      </w:r>
      <w:bookmarkEnd w:id="38"/>
      <w:bookmarkEnd w:id="39"/>
      <w:bookmarkEnd w:id="40"/>
      <w:bookmarkEnd w:id="41"/>
    </w:p>
    <w:p w14:paraId="4B5F7A3B">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7A270068">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2.2每件包装应附有详细的装箱单和质量证书各两套，一套在包装箱里，一套在包装箱外。</w:t>
      </w:r>
    </w:p>
    <w:p w14:paraId="27AABDD1">
      <w:pPr>
        <w:pStyle w:val="2"/>
        <w:tabs>
          <w:tab w:val="right" w:leader="dot" w:pos="9061"/>
        </w:tabs>
        <w:ind w:left="0" w:firstLine="480" w:firstLineChars="200"/>
        <w:jc w:val="both"/>
        <w:rPr>
          <w:rFonts w:ascii="黑体" w:hAnsi="黑体" w:eastAsia="黑体" w:cs="黑体"/>
          <w:b w:val="0"/>
          <w:i/>
          <w:iCs/>
          <w:sz w:val="24"/>
          <w:szCs w:val="24"/>
        </w:rPr>
      </w:pPr>
      <w:bookmarkStart w:id="42" w:name="_Toc27453"/>
      <w:bookmarkStart w:id="43" w:name="_Toc16330020"/>
      <w:bookmarkStart w:id="44" w:name="_Toc2833"/>
      <w:bookmarkStart w:id="45" w:name="_Toc27144"/>
      <w:r>
        <w:rPr>
          <w:rFonts w:hint="eastAsia" w:ascii="黑体" w:hAnsi="黑体" w:eastAsia="黑体" w:cs="黑体"/>
          <w:b w:val="0"/>
          <w:i/>
          <w:iCs/>
          <w:sz w:val="24"/>
          <w:szCs w:val="24"/>
        </w:rPr>
        <w:t>3 运输标记</w:t>
      </w:r>
      <w:bookmarkEnd w:id="42"/>
      <w:bookmarkEnd w:id="43"/>
      <w:bookmarkEnd w:id="44"/>
      <w:bookmarkEnd w:id="45"/>
    </w:p>
    <w:p w14:paraId="474ECCBC">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3.1卖方应在每一包装箱邻近的四个侧面用不易褪色的油漆以醒目的中文印刷字体标明以下各项：</w:t>
      </w:r>
    </w:p>
    <w:p w14:paraId="7D7DB806">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3.1.1收货人</w:t>
      </w:r>
    </w:p>
    <w:p w14:paraId="07EAACE9">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3.1.2合同号</w:t>
      </w:r>
    </w:p>
    <w:p w14:paraId="4B67830B">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3.1.3发货标记（唛头）</w:t>
      </w:r>
    </w:p>
    <w:p w14:paraId="0260FF81">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3.1.4设备的名称、品目号、箱号</w:t>
      </w:r>
    </w:p>
    <w:p w14:paraId="750D45E9">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3.1.5毛重/净重（公斤）</w:t>
      </w:r>
    </w:p>
    <w:p w14:paraId="7E88DAAA">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3.1.6尺寸（长×宽×高，以厘米计）</w:t>
      </w:r>
    </w:p>
    <w:p w14:paraId="7EE710A3">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3BC4B317">
      <w:pPr>
        <w:pStyle w:val="2"/>
        <w:tabs>
          <w:tab w:val="right" w:leader="dot" w:pos="9061"/>
        </w:tabs>
        <w:ind w:left="0" w:firstLine="480" w:firstLineChars="200"/>
        <w:jc w:val="both"/>
        <w:rPr>
          <w:rFonts w:ascii="黑体" w:hAnsi="黑体" w:eastAsia="黑体" w:cs="黑体"/>
          <w:b w:val="0"/>
          <w:i/>
          <w:iCs/>
          <w:sz w:val="24"/>
          <w:szCs w:val="24"/>
        </w:rPr>
      </w:pPr>
      <w:bookmarkStart w:id="46" w:name="_Toc16330021"/>
      <w:bookmarkStart w:id="47" w:name="_Toc10630"/>
      <w:bookmarkStart w:id="48" w:name="_Toc7431"/>
      <w:bookmarkStart w:id="49" w:name="_Toc16133"/>
      <w:r>
        <w:rPr>
          <w:rFonts w:hint="eastAsia" w:ascii="黑体" w:hAnsi="黑体" w:eastAsia="黑体" w:cs="黑体"/>
          <w:b w:val="0"/>
          <w:i/>
          <w:iCs/>
          <w:sz w:val="24"/>
          <w:szCs w:val="24"/>
        </w:rPr>
        <w:t>4 检验</w:t>
      </w:r>
      <w:bookmarkEnd w:id="46"/>
      <w:bookmarkEnd w:id="47"/>
      <w:bookmarkEnd w:id="48"/>
      <w:bookmarkEnd w:id="49"/>
    </w:p>
    <w:p w14:paraId="02A1ADB7">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36FEA2A1">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4.2国家强制检验检测的设备，需要经过国家有关部门进行检验检测，卖方保证提供的设备通过其检验并承担费用。</w:t>
      </w:r>
    </w:p>
    <w:p w14:paraId="36A9FA73">
      <w:pPr>
        <w:pStyle w:val="2"/>
        <w:tabs>
          <w:tab w:val="right" w:leader="dot" w:pos="9061"/>
        </w:tabs>
        <w:ind w:left="0" w:firstLine="480" w:firstLineChars="200"/>
        <w:jc w:val="both"/>
        <w:rPr>
          <w:rFonts w:ascii="黑体" w:hAnsi="黑体" w:eastAsia="黑体" w:cs="黑体"/>
          <w:b w:val="0"/>
          <w:i/>
          <w:iCs/>
          <w:sz w:val="24"/>
          <w:szCs w:val="24"/>
        </w:rPr>
      </w:pPr>
      <w:bookmarkStart w:id="50" w:name="_Toc16330022"/>
      <w:bookmarkStart w:id="51" w:name="_Toc11217"/>
      <w:bookmarkStart w:id="52" w:name="_Toc24467"/>
      <w:bookmarkStart w:id="53" w:name="_Toc19850"/>
      <w:r>
        <w:rPr>
          <w:rFonts w:hint="eastAsia" w:ascii="黑体" w:hAnsi="黑体" w:eastAsia="黑体" w:cs="黑体"/>
          <w:b w:val="0"/>
          <w:i/>
          <w:iCs/>
          <w:sz w:val="24"/>
          <w:szCs w:val="24"/>
        </w:rPr>
        <w:t>5 权利担保</w:t>
      </w:r>
      <w:bookmarkEnd w:id="50"/>
      <w:bookmarkEnd w:id="51"/>
      <w:bookmarkEnd w:id="52"/>
      <w:bookmarkEnd w:id="53"/>
    </w:p>
    <w:p w14:paraId="6899791A">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5.1卖方所交付的设备，必须是第三方不能提出任何权利或要求的设备，卖方应担保设备不存在订立本合同时不为买方所知的第三方的权利（包括但不限于抵押权、留置权等）或行政、司法查封。</w:t>
      </w:r>
    </w:p>
    <w:p w14:paraId="5C90AF8F">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5.2卖方应保证第三方对其提交的设备不得以侵权或其他类似理由提出合法要求，如侵犯知识产权等。</w:t>
      </w:r>
    </w:p>
    <w:p w14:paraId="746AD59C">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5.3任何第三方如果提出侵权指控，卖方应与第三方交涉，并承担由此引起的一切法律责任和费用以及给买方所造成的损失。</w:t>
      </w:r>
    </w:p>
    <w:p w14:paraId="1A74A67B">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5.4买方应在已知道第三方的权利或要求后的一段合理时间内，将此权利或要求的性质通知卖方。</w:t>
      </w:r>
    </w:p>
    <w:p w14:paraId="125E0F07">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0F237D7C">
      <w:pPr>
        <w:pStyle w:val="2"/>
        <w:tabs>
          <w:tab w:val="right" w:leader="dot" w:pos="9061"/>
        </w:tabs>
        <w:ind w:left="0" w:firstLine="480" w:firstLineChars="200"/>
        <w:jc w:val="both"/>
        <w:rPr>
          <w:rFonts w:ascii="黑体" w:hAnsi="黑体" w:eastAsia="黑体" w:cs="黑体"/>
          <w:b w:val="0"/>
          <w:i/>
          <w:iCs/>
          <w:sz w:val="24"/>
          <w:szCs w:val="24"/>
        </w:rPr>
      </w:pPr>
      <w:bookmarkStart w:id="54" w:name="_Toc11759"/>
      <w:bookmarkStart w:id="55" w:name="_Toc14809"/>
      <w:bookmarkStart w:id="56" w:name="_Toc16330023"/>
      <w:bookmarkStart w:id="57" w:name="_Toc27500"/>
      <w:r>
        <w:rPr>
          <w:rFonts w:hint="eastAsia" w:ascii="黑体" w:hAnsi="黑体" w:eastAsia="黑体" w:cs="黑体"/>
          <w:b w:val="0"/>
          <w:i/>
          <w:iCs/>
          <w:sz w:val="24"/>
          <w:szCs w:val="24"/>
        </w:rPr>
        <w:t>6 交货</w:t>
      </w:r>
      <w:bookmarkEnd w:id="54"/>
      <w:bookmarkEnd w:id="55"/>
      <w:bookmarkEnd w:id="56"/>
      <w:bookmarkEnd w:id="57"/>
    </w:p>
    <w:p w14:paraId="0B8D39BD">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77FD63DC">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6.2卖方应在设备装运完成后当天以传真、邮件等的形式通知买方合同号、设备名称、数量、毛重、体积（立方米）、发票金额、启运日期、预计到达日期。</w:t>
      </w:r>
    </w:p>
    <w:p w14:paraId="64A153C9">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5562BE65">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6.4交货方式的释义</w:t>
      </w:r>
    </w:p>
    <w:p w14:paraId="15FBC7F8">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6.4.1交钥匙方式：卖方负责合同设备的设计、制造、运输、定点卸货、安装、调试、培训及售后服务等所有内容，直至买方验收合格并交付使用。</w:t>
      </w:r>
    </w:p>
    <w:p w14:paraId="696310FF">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6.4.2指定地点交货：卖方依照合同约定将合同设备卸载至约定地点，经买方根据合同所约定的数量、型号及配置等内容逐一确认无误后，双方完成交付手续，同时卖方应指导协助买方进行安装调试等工作。</w:t>
      </w:r>
    </w:p>
    <w:p w14:paraId="64FC57AD">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6.4.3自提：买方依照合同约定到卖方所在地提取合同设备，经买方根据合同所约定的数量、型号及配置等内容逐一确认无误后，双方完成交付手续。</w:t>
      </w:r>
    </w:p>
    <w:p w14:paraId="288CE221">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6.5到货后，买卖双方代表办理移交手续，此时的移交不代表卖方合同设备所有权的转移，合同设备的保管责任仍然由卖方承担。移交内容包括：合同设备、硬件、软件、图纸、资料、质量证明文件等。</w:t>
      </w:r>
    </w:p>
    <w:p w14:paraId="77C08805">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6.6卖方在交付设备前需通知买方。</w:t>
      </w:r>
    </w:p>
    <w:p w14:paraId="5615FA42">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6.7风险的转移：</w:t>
      </w:r>
    </w:p>
    <w:p w14:paraId="74B9B316">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568F32E8">
      <w:pPr>
        <w:pStyle w:val="2"/>
        <w:tabs>
          <w:tab w:val="right" w:leader="dot" w:pos="9061"/>
        </w:tabs>
        <w:ind w:left="0" w:firstLine="480" w:firstLineChars="200"/>
        <w:jc w:val="both"/>
        <w:rPr>
          <w:rFonts w:ascii="黑体" w:hAnsi="黑体" w:eastAsia="黑体" w:cs="黑体"/>
          <w:b w:val="0"/>
          <w:i/>
          <w:iCs/>
          <w:sz w:val="24"/>
          <w:szCs w:val="24"/>
        </w:rPr>
      </w:pPr>
      <w:bookmarkStart w:id="58" w:name="_Toc25510"/>
      <w:bookmarkStart w:id="59" w:name="_Toc8024"/>
      <w:bookmarkStart w:id="60" w:name="_Toc2984"/>
      <w:bookmarkStart w:id="61" w:name="_Toc16330024"/>
      <w:r>
        <w:rPr>
          <w:rFonts w:hint="eastAsia" w:ascii="黑体" w:hAnsi="黑体" w:eastAsia="黑体" w:cs="黑体"/>
          <w:b w:val="0"/>
          <w:i/>
          <w:iCs/>
          <w:sz w:val="24"/>
          <w:szCs w:val="24"/>
        </w:rPr>
        <w:t>7 安装、调试</w:t>
      </w:r>
      <w:bookmarkEnd w:id="58"/>
      <w:bookmarkEnd w:id="59"/>
      <w:bookmarkEnd w:id="60"/>
      <w:bookmarkEnd w:id="61"/>
    </w:p>
    <w:p w14:paraId="1B40B789">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7.1 卖方应自带用以安装、调试过程中所需的各种工具、仪器、仪表及易损件。在安装、调试过程中，卖方应自负其工作人员的食宿、交通等费用。</w:t>
      </w:r>
    </w:p>
    <w:p w14:paraId="0A1B0DB7">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7.2在安装、调试过程中，安装场地及施工人员安全，由卖方负责。由于安装、调试等原因造成买方或他人人身损害或财产损失的，由卖方承担赔偿责任。</w:t>
      </w:r>
    </w:p>
    <w:p w14:paraId="19DD6D76">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7.3</w:t>
      </w:r>
      <w:r>
        <w:rPr>
          <w:rFonts w:hint="eastAsia" w:ascii="仿宋_GB2312" w:hAnsi="仿宋_GB2312" w:eastAsia="仿宋_GB2312" w:cs="仿宋_GB2312"/>
          <w:bCs/>
          <w:i/>
          <w:iCs/>
          <w:sz w:val="24"/>
          <w:szCs w:val="24"/>
        </w:rPr>
        <w:t xml:space="preserve"> </w:t>
      </w:r>
      <w:r>
        <w:rPr>
          <w:rFonts w:hint="eastAsia" w:ascii="仿宋_GB2312" w:hAnsi="仿宋_GB2312" w:eastAsia="仿宋_GB2312" w:cs="仿宋_GB2312"/>
          <w:i/>
          <w:iCs/>
          <w:sz w:val="24"/>
          <w:szCs w:val="24"/>
        </w:rPr>
        <w:t>卖方须对安装、调试过程中造成的买方或他人人身损害或财产损失承担赔偿责任。</w:t>
      </w:r>
    </w:p>
    <w:p w14:paraId="36B103B2">
      <w:pPr>
        <w:pStyle w:val="2"/>
        <w:tabs>
          <w:tab w:val="right" w:leader="dot" w:pos="9061"/>
        </w:tabs>
        <w:ind w:left="0" w:firstLine="480" w:firstLineChars="200"/>
        <w:jc w:val="both"/>
        <w:rPr>
          <w:rFonts w:ascii="黑体" w:hAnsi="黑体" w:eastAsia="黑体" w:cs="黑体"/>
          <w:b w:val="0"/>
          <w:i/>
          <w:iCs/>
          <w:sz w:val="24"/>
          <w:szCs w:val="24"/>
        </w:rPr>
      </w:pPr>
      <w:bookmarkStart w:id="62" w:name="_Toc16330025"/>
      <w:bookmarkStart w:id="63" w:name="_Toc6350"/>
      <w:bookmarkStart w:id="64" w:name="_Toc14260"/>
      <w:bookmarkStart w:id="65" w:name="_Toc14098"/>
      <w:r>
        <w:rPr>
          <w:rFonts w:hint="eastAsia" w:ascii="黑体" w:hAnsi="黑体" w:eastAsia="黑体" w:cs="黑体"/>
          <w:b w:val="0"/>
          <w:i/>
          <w:iCs/>
          <w:sz w:val="24"/>
          <w:szCs w:val="24"/>
        </w:rPr>
        <w:t>8 价款与支付</w:t>
      </w:r>
      <w:bookmarkEnd w:id="62"/>
      <w:bookmarkEnd w:id="63"/>
      <w:bookmarkEnd w:id="64"/>
      <w:bookmarkEnd w:id="65"/>
    </w:p>
    <w:p w14:paraId="47BED374">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8.1合同价格以不含税价格为准。若因国家税收法律法规或政策调整对本合同业务的税目、税率等产生影响，双方确定本合同约定的各项业务的不含税价格不做调整，各项业务的含税价格依法依规进行调整。</w:t>
      </w:r>
    </w:p>
    <w:p w14:paraId="46255C42">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8.2本合同约定的含税总价包括但不限于全部（全新）产品价、备品备件价、专用工具价、运杂费（包括现场卸车费）、设计、制造、安装（或指导安装）、调试、验收、培训、技术及售后服务费、技术资料费等所有费用的总和。</w:t>
      </w:r>
    </w:p>
    <w:p w14:paraId="1EF36402">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8.3双方约定的付款条件执行中，满足付款条件后甲方在30日内完成付款不被视为付款延迟；若甲方在满足付款条件30日后尚未完成付款的，付款延迟违约计算从满足付款条件第31日起开始计算。</w:t>
      </w:r>
    </w:p>
    <w:p w14:paraId="3B2E4561">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8.4乙方结算时，必须使用合法有效并经甲方认可的增值税专用发票，否则不予结算。因发票违规给甲方造成的增值税、所得税等损失，由乙方承担相关责任，包括但不限于税款、滞纳金、罚款及其它相关损失。</w:t>
      </w:r>
    </w:p>
    <w:p w14:paraId="1A491100">
      <w:pPr>
        <w:pStyle w:val="2"/>
        <w:tabs>
          <w:tab w:val="right" w:leader="dot" w:pos="9061"/>
        </w:tabs>
        <w:ind w:left="0" w:firstLine="480" w:firstLineChars="200"/>
        <w:jc w:val="both"/>
        <w:rPr>
          <w:rFonts w:ascii="黑体" w:hAnsi="黑体" w:eastAsia="黑体" w:cs="黑体"/>
          <w:b w:val="0"/>
          <w:i/>
          <w:iCs/>
          <w:sz w:val="24"/>
          <w:szCs w:val="24"/>
        </w:rPr>
      </w:pPr>
      <w:bookmarkStart w:id="66" w:name="_Toc24085"/>
      <w:bookmarkStart w:id="67" w:name="_Toc25708"/>
      <w:bookmarkStart w:id="68" w:name="_Toc6726"/>
      <w:bookmarkStart w:id="69" w:name="_Toc16330026"/>
      <w:r>
        <w:rPr>
          <w:rFonts w:hint="eastAsia" w:ascii="黑体" w:hAnsi="黑体" w:eastAsia="黑体" w:cs="黑体"/>
          <w:b w:val="0"/>
          <w:i/>
          <w:iCs/>
          <w:sz w:val="24"/>
          <w:szCs w:val="24"/>
        </w:rPr>
        <w:t>9 质量保证及售后服务</w:t>
      </w:r>
      <w:bookmarkEnd w:id="66"/>
      <w:bookmarkEnd w:id="67"/>
      <w:bookmarkEnd w:id="68"/>
      <w:bookmarkEnd w:id="69"/>
    </w:p>
    <w:p w14:paraId="0F7CF9F7">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62EC2DFE">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9.2卖方承诺其提供的设备不存在任何产品缺陷，否则因卖方提供的设备存在产品缺陷而给买方造成的一切后果和损失由卖方承担。</w:t>
      </w:r>
    </w:p>
    <w:p w14:paraId="0399CFB6">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182C5993">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9.4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093FC4AF">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9.5卖方负责在买方指定的地点免费为买方培训操作及维修人员，培训内容包括：基本原理、操作使用、安全操作注意事项以及维修保养等内容。</w:t>
      </w:r>
    </w:p>
    <w:p w14:paraId="1361409B">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9.6质量保证期满后，卖方保证向买方提供及时的、质优的、价格优惠的技术服务和备品备件供应。</w:t>
      </w:r>
    </w:p>
    <w:p w14:paraId="5AFF22F3">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9.7质量保证期满后，如出现质量问题，卖方也应及时修复和更换，且只收取成本费，费用由买方承担，卖方对设备质量问题所负的责任直到设备使用寿命周期结束。</w:t>
      </w:r>
    </w:p>
    <w:p w14:paraId="48BF9232">
      <w:pPr>
        <w:pStyle w:val="2"/>
        <w:tabs>
          <w:tab w:val="right" w:leader="dot" w:pos="9061"/>
        </w:tabs>
        <w:ind w:left="0" w:firstLine="480" w:firstLineChars="200"/>
        <w:jc w:val="both"/>
        <w:rPr>
          <w:rFonts w:ascii="黑体" w:hAnsi="黑体" w:eastAsia="黑体" w:cs="黑体"/>
          <w:b w:val="0"/>
          <w:i/>
          <w:iCs/>
          <w:sz w:val="24"/>
          <w:szCs w:val="24"/>
        </w:rPr>
      </w:pPr>
      <w:bookmarkStart w:id="70" w:name="_Toc12927"/>
      <w:bookmarkStart w:id="71" w:name="_Toc15570"/>
      <w:bookmarkStart w:id="72" w:name="_Toc16330027"/>
      <w:bookmarkStart w:id="73" w:name="_Toc10359"/>
      <w:r>
        <w:rPr>
          <w:rFonts w:hint="eastAsia" w:ascii="黑体" w:hAnsi="黑体" w:eastAsia="黑体" w:cs="黑体"/>
          <w:b w:val="0"/>
          <w:i/>
          <w:iCs/>
          <w:sz w:val="24"/>
          <w:szCs w:val="24"/>
        </w:rPr>
        <w:t>10法定责任</w:t>
      </w:r>
      <w:bookmarkEnd w:id="70"/>
      <w:bookmarkEnd w:id="71"/>
      <w:bookmarkEnd w:id="72"/>
      <w:bookmarkEnd w:id="73"/>
      <w:r>
        <w:rPr>
          <w:rFonts w:hint="eastAsia" w:ascii="黑体" w:hAnsi="黑体" w:eastAsia="黑体" w:cs="黑体"/>
          <w:b w:val="0"/>
          <w:i/>
          <w:iCs/>
          <w:sz w:val="24"/>
          <w:szCs w:val="24"/>
        </w:rPr>
        <w:t>及合规责任</w:t>
      </w:r>
    </w:p>
    <w:p w14:paraId="7EFF9D60">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10.1卖方需遵从国家有关的法律、法规，缴纳有关的法定费用和税项。若卖方未按期交纳法定费用、税项，则卖方须补偿买方由此造成的所有费用及损失。</w:t>
      </w:r>
    </w:p>
    <w:p w14:paraId="74E3C1FA">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10.2除非本合同中另有规定或买方同意，卖方不得全部或部分转让本合同项下的权利义务。</w:t>
      </w:r>
    </w:p>
    <w:p w14:paraId="4DF8B9BC">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10.3买卖双方同意在履行本合同期间双方之间交换、披露、传递或通信的所有工业和商业信息，任何附加文件或相关文件，应该被视为商业秘密，双方应该按照此处规定仅用于本合同的签订和履行。</w:t>
      </w:r>
    </w:p>
    <w:p w14:paraId="423C6883">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10.4除对方预先书面同意外，任何一方在本合同签订和履行期间或本合同终止后不得向第三方披露在本合同履行过程中知悉的与对方有关的任何商业秘密。</w:t>
      </w:r>
    </w:p>
    <w:p w14:paraId="51F92218">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10.5卖方保证截至本合同签署之日，卖方及其子公司和关联公司未被列入任何国家或者地区的政府机构或者相关国际组织等发布的限制、制裁或反制清单，未隐瞒任何阻碍及可能阻碍此次交易的相关信息。如在本合同签署后发生上述情形，卖方应当在获知被列入清单后24小时之内以书面形式通知买方。</w:t>
      </w:r>
    </w:p>
    <w:p w14:paraId="5291A4DF">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10.6卖方已经充分了解并确保会严格遵守开展业务所需适用国家或者地区的出口管制、经济制裁和反制裁相关法律法规（简称“出口管制与制裁法律法规”）。卖方确认不存在任何因违反所需适用国家或者地区出口管制与制裁法律或其他因卖方原因导致本合同无法履行或者延迟履行的情形。如果卖方在本合同履行过程中发生或者预见到可能发生该等情形，应当及时以书面形式告知买方。如由于卖方未履行前述义务或其他可归责于卖方的原因导致延迟履行供货或无法按照本合同约定履行供货义务，卖方应承担违约责任，并承担买方因此受到的全部损失。</w:t>
      </w:r>
    </w:p>
    <w:p w14:paraId="5201B8D3">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10.7如本合同项下卖方所销售或者提供的任何产品、零部件、软件、技术和服务（以下统称“物项”）有可能受任何国家或者地区出口管制与制裁法律法规管辖，卖方承诺遵守全部所需适用的有关规定，并确保向买方提供该等物项的合法性与合规性。对于受到出口管制管辖的物项，卖方应当书面告知买方受控物项的全部管制信息，包括但不限于原产国、发运国、ECCN、USML编码等方面的特殊限制、物项管控要求等。</w:t>
      </w:r>
    </w:p>
    <w:p w14:paraId="39ACEEF3">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10.8如因卖方不遵守销售物项所需适用国家或地区的出口管制与制裁法律法规及监管政策而使买方遭受任何损失、费用、索赔、处罚、诉讼因由、损害、责任和费用（包括但不限于律师费，所有诉讼和/或和解费用以及法院费用），卖方应当就此承担全部赔偿责任。买方有权视情况暂停或终止其对相关合同的履行。在该等情况下，买方不构成对相关合同的违约、且不免除卖方履行合同的义务。</w:t>
      </w:r>
    </w:p>
    <w:p w14:paraId="6E8E1EEB">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10.9出于项目合作目的，买方已经或将要向卖方提供有关项目的保密信息。“保密信息”指买方现在或将来向卖方提供的与本协议有关的任何信息和数据，包括但不限于任何类型的经营信息、技术信息、商务信息、人力资源管理信息及财务信息等，无论该等信息以何种形式提供，如纸质文件、录音、录像、照片、磁（光）盘、数据电文（包括电传、电报、传真、电子数据交换、电子邮件、电子文档）或其他，也无论该信息是以口头还是书面方式、是否标识为保密、也无论该等信息储存于何种载体（包括电子信息）。卖方承诺：</w:t>
      </w:r>
    </w:p>
    <w:p w14:paraId="7134AADD">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1）卖方仅能将买方提供的保密信息用于本协议所约定的项目并承担保密义务。</w:t>
      </w:r>
    </w:p>
    <w:p w14:paraId="7A1A1ACE">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2）卖方将采取有效措施使用买方提供的保密信息，只将该等保密信息提供给本方负责决策或实施合作事项的具体参与人员，卖方及其相关人员不得以任何方式或形式散布、披露或传播给该范围以外的人（包括卖方关联机构），也不得允许任何保密信息被泄漏、被披露、被交流。</w:t>
      </w:r>
    </w:p>
    <w:p w14:paraId="3F56E901">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3）如果卖方为项目需要，而不得不向该第三方披露保密信息，则卖方应事先从买方得到书面同意。卖方应在披露保密信息之前，按照与本协议相同的保护程度与该第三方签署一份保密协议。若上述第三方（包括其股东、高管、雇员）发生泄密，卖方应与该第三方承担连带责任。</w:t>
      </w:r>
    </w:p>
    <w:p w14:paraId="1DA3488F">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 xml:space="preserve">4）如卖方得悉买方的任何保密信息遭侵犯或疑似侵权，卖方应立即通知买方。如果买方决定就侵权行为进行起诉，或以其他方式停止或阻止该实际或可能发生的侵权行为，卖方尽最大限度予以协助。 </w:t>
      </w:r>
    </w:p>
    <w:p w14:paraId="6B8F6C5F">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5）卖方不得在世界任何地方就保密信息进行升级、变更和/或改进，亦不得直接或间接提交或促使提交专利或著作权或其它权利的申请，也不得以其名义取得或促使以其他人名义取得任何专利或其它权利注册。</w:t>
      </w:r>
    </w:p>
    <w:p w14:paraId="545A8BFA">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 xml:space="preserve">6）卖方应遵从买方不时发出的有关使用、处理和保管保密信息的任何指令或政策，并按照买方的要求将本协议项下保密信息的使用情况向买方汇报。 </w:t>
      </w:r>
    </w:p>
    <w:p w14:paraId="52223517">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7）卖方不得为第三方利益使用保密信息，不得非为实现双方合作目的使用保密信息，不得对保密信息采取任何反向工程、反向编译或反向分解等行为。</w:t>
      </w:r>
    </w:p>
    <w:p w14:paraId="7582D52D">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8）双方合作期间形成的与本协议有关的任何信息和数据受本协议约束。</w:t>
      </w:r>
    </w:p>
    <w:p w14:paraId="0D2D6FEF">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10.10卖方在双方合作期间严格承诺遵循中国国家法律法规和政策规章的要求，确保数据合规，始终遵循数据搜集、存储、使用、处理、传输的合法性原则、正当性和必要性原则、透明度原则、安全性原则和数据主体权利保障原则，确保合同签约履约过程中所涉及到的所有个人隐私、个人信息与敏感信息、企业商业数据、大数据分析结果、公共数据等均得到尊重和保护。卖方承诺：</w:t>
      </w:r>
    </w:p>
    <w:p w14:paraId="3E2CD8D0">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数据收集必须基于合法授权，卖方需向数据主体明确告知数据用途，并获得明确同意；卖方处理数据应当符合法律、法规和强制性标准的规定，不得从事危害国家安全、公共利益的数据处理活动，不得非法收集、使用、加工、传输、买卖、提供、公开他人个人信息，不得通过误导、欺诈、胁迫等方式处理个人信息。‌</w:t>
      </w:r>
    </w:p>
    <w:p w14:paraId="46C6EC14">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2）卖方在存储数据时需采取严格的安全措施，通过加密、访问控制等措施确保数据的完整性和机密性；在使用和传输数据时，卖方需确保数据使用符合收集时的声明，不得超出必要范围；跨境数据传输时，需符合法律规定的合规要求。卖方需确保数据的收集、存储、使用、传输和销毁等过程符合法律要求，防止数据泄露、滥用和侵犯个人隐私，遵守相关的法律法规、行业准则和道德规范，以保护数据主体的合法权益。‌</w:t>
      </w:r>
    </w:p>
    <w:p w14:paraId="5DCE0DBD">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3）如需要数据共享时需取得买方的书面同意并确保各方在使用数据时符合合规要求；当数据不再需要时，卖方需采取适当的措施彻底销毁数据，防止其被恢复和滥用。</w:t>
      </w:r>
    </w:p>
    <w:p w14:paraId="16AB832B">
      <w:pPr>
        <w:pStyle w:val="2"/>
        <w:tabs>
          <w:tab w:val="right" w:leader="dot" w:pos="9061"/>
        </w:tabs>
        <w:ind w:left="0" w:firstLine="480" w:firstLineChars="200"/>
        <w:jc w:val="both"/>
        <w:rPr>
          <w:rFonts w:ascii="黑体" w:hAnsi="黑体" w:eastAsia="黑体" w:cs="黑体"/>
          <w:b w:val="0"/>
          <w:i/>
          <w:iCs/>
          <w:sz w:val="24"/>
          <w:szCs w:val="24"/>
        </w:rPr>
      </w:pPr>
      <w:bookmarkStart w:id="74" w:name="_Toc27314"/>
      <w:bookmarkStart w:id="75" w:name="_Toc30381"/>
      <w:bookmarkStart w:id="76" w:name="_Toc16330028"/>
      <w:bookmarkStart w:id="77" w:name="_Toc9708"/>
      <w:r>
        <w:rPr>
          <w:rFonts w:hint="eastAsia" w:ascii="黑体" w:hAnsi="黑体" w:eastAsia="黑体" w:cs="黑体"/>
          <w:b w:val="0"/>
          <w:i/>
          <w:iCs/>
          <w:sz w:val="24"/>
          <w:szCs w:val="24"/>
        </w:rPr>
        <w:t>11 违约责任</w:t>
      </w:r>
      <w:bookmarkEnd w:id="74"/>
      <w:bookmarkEnd w:id="75"/>
      <w:bookmarkEnd w:id="76"/>
      <w:bookmarkEnd w:id="77"/>
    </w:p>
    <w:p w14:paraId="03A85D60">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11.1卖方应承担提供的设备与本合同约定不符的一切责任，买方有权在检验、安装、调试、验收测试期限内、质量保证期内等任何时间提出索赔，买方有权按下述一种或多种方法要求卖方赔偿：</w:t>
      </w:r>
    </w:p>
    <w:p w14:paraId="4C419652">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2B625C01">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11.1.2根据设备的瑕疵和受损程度以及买方遭受损失的金额，经买方同意降低设备价格。</w:t>
      </w:r>
    </w:p>
    <w:p w14:paraId="3CA57E22">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11.1.3更换有缺陷的零件、部件、设备或修理缺陷部分，以达到本合同规定的规格、质量和性能，卖方承担一切费用和风险并负担买方遭受的一切损失，同时卖方应相应延长被修理或更换设备的质量保证期。</w:t>
      </w:r>
    </w:p>
    <w:p w14:paraId="0362D648">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11.2如果买方就卖方的设备质量问题提出索赔通知后10日内卖方未能予以答复，该索赔视为已被卖方接受。若卖方未能在买方提出索赔通知后10日内或买方同意的更长一些的时间内，按买方同意的上述任何一种方式处理索赔事宜，买方将从货款中扣回索赔金额，同时保留进一步要求赔偿的权利。</w:t>
      </w:r>
    </w:p>
    <w:p w14:paraId="2753A924">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11.3如果卖方未能按期到货，卖方应向买方支付违约金，违约金比率为每迟交壹日，按合同总价的10‰计算，如违约金金额超过合同总价款的20%，买方有权就卖方违约而解除本合同，且卖方仍须支付上述违约金，并赔偿由此给买方造成的一切损失。</w:t>
      </w:r>
      <w:r>
        <w:rPr>
          <w:rFonts w:hint="eastAsia" w:ascii="仿宋_GB2312" w:hAnsi="仿宋_GB2312" w:eastAsia="仿宋_GB2312" w:cs="仿宋_GB2312"/>
          <w:i/>
          <w:iCs/>
          <w:sz w:val="24"/>
          <w:szCs w:val="24"/>
        </w:rPr>
        <w:br w:type="textWrapping"/>
      </w:r>
      <w:r>
        <w:rPr>
          <w:rFonts w:hint="eastAsia" w:ascii="仿宋_GB2312" w:hAnsi="仿宋_GB2312" w:eastAsia="仿宋_GB2312" w:cs="仿宋_GB2312"/>
          <w:i/>
          <w:iCs/>
          <w:sz w:val="24"/>
          <w:szCs w:val="24"/>
        </w:rPr>
        <w:t xml:space="preserve">   11.4如卖方未按合同专用条款1.4、1.5条履行义务，从逾期之日起卖方每天按合同总价款的10‰支付给买方违约金，如违约金金额超过合同总价款的20%或者设备未能通过最终验收，买方有权就卖方违约而解除本合同，且卖方仍须支付上述违约金，并返还买方支付的设备款，并赔偿由此给买方造成的一切损失。</w:t>
      </w:r>
    </w:p>
    <w:p w14:paraId="2D61B750">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11.5买方延期付款时（有正当拒付理由者除外），每日按延付金额的3‰向卖方偿付延期付款违约金，但违约金总额不超过延付金额的50‰。</w:t>
      </w:r>
    </w:p>
    <w:p w14:paraId="5D5CA3C0">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11.6如卖方违反合同通用条款9.4条，则买方有权视情况扣除部分或全部质量保证金作为卖方的违约金，并且卖方应赔偿因此给买方造成的一切损失。卖方不能及时到现场履行质量维修义务，每延迟一天应承担合同价款20‰的违约金（合同额不足10万元按照2000元/天计取），且不免除维修的责任。违约金在质保金中扣除。</w:t>
      </w:r>
    </w:p>
    <w:p w14:paraId="780600A6">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11.7因发票违规给买方造成的增值税、所得税等损失，由卖方承担相关责任，包括但不限于税款、滞纳金、罚款及其它相关损失。</w:t>
      </w:r>
    </w:p>
    <w:p w14:paraId="0C5C6B62">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11.8如果卖方违反本合同的上述约定或其他约定（包括本合同及所有附件）的，除应按本合同约定赔偿损失及违约金外，还应赔偿包括但不限于买方因此支出的或预计支付的诉讼费、保全申请费、保全保险费、鉴定费、评估费、司法审计费、拍卖费、律师费等一切费用</w:t>
      </w:r>
    </w:p>
    <w:p w14:paraId="674325F0">
      <w:pPr>
        <w:pStyle w:val="2"/>
        <w:tabs>
          <w:tab w:val="right" w:leader="dot" w:pos="9061"/>
        </w:tabs>
        <w:ind w:left="0" w:firstLine="480" w:firstLineChars="200"/>
        <w:jc w:val="both"/>
        <w:rPr>
          <w:rFonts w:ascii="黑体" w:hAnsi="黑体" w:eastAsia="黑体" w:cs="黑体"/>
          <w:b w:val="0"/>
          <w:i/>
          <w:iCs/>
          <w:sz w:val="24"/>
          <w:szCs w:val="24"/>
        </w:rPr>
      </w:pPr>
      <w:bookmarkStart w:id="78" w:name="_Toc31554"/>
      <w:bookmarkStart w:id="79" w:name="_Toc1827"/>
      <w:bookmarkStart w:id="80" w:name="_Toc9172"/>
      <w:bookmarkStart w:id="81" w:name="_Toc16330029"/>
      <w:r>
        <w:rPr>
          <w:rFonts w:hint="eastAsia" w:ascii="黑体" w:hAnsi="黑体" w:eastAsia="黑体" w:cs="黑体"/>
          <w:b w:val="0"/>
          <w:i/>
          <w:iCs/>
          <w:sz w:val="24"/>
          <w:szCs w:val="24"/>
        </w:rPr>
        <w:t>12 合同的终止与解除</w:t>
      </w:r>
      <w:bookmarkEnd w:id="78"/>
      <w:bookmarkEnd w:id="79"/>
      <w:bookmarkEnd w:id="80"/>
      <w:bookmarkEnd w:id="81"/>
    </w:p>
    <w:p w14:paraId="7EB3EA0B">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12.1本合同订立后，卖方由于履行义务的能力或信用有严重缺陷，买方可以终止履行本合同，要求卖方返还已支付的款项并不承担违约责任。</w:t>
      </w:r>
    </w:p>
    <w:p w14:paraId="54E8A03A">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12.2经双方协商一致，可以解除本合同。</w:t>
      </w:r>
    </w:p>
    <w:p w14:paraId="7BDEEA91">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12.3有下列情形之一的，买方可以解除本合同：</w:t>
      </w:r>
    </w:p>
    <w:p w14:paraId="26246DF3">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12.3.1卖方明确表示或者以自己的行为表明不履行交货、安装、调试、培训等主要义务的，或足以影响买方使用设备的行为的；</w:t>
      </w:r>
    </w:p>
    <w:p w14:paraId="4DBEE332">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12.3.2卖方所交付的设备不符合本合同约定的质量要求或屡次验收不合格或达不到验收标准的；</w:t>
      </w:r>
    </w:p>
    <w:p w14:paraId="7C56B943">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12.3.3卖方发生本合同约定的解除情形的；</w:t>
      </w:r>
    </w:p>
    <w:p w14:paraId="387C0F11">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12.3.4卖方有其他违约行为。</w:t>
      </w:r>
    </w:p>
    <w:p w14:paraId="63638F78">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12.4卖方分批交付设备的，卖方对其中一批设备不交付或者交付不符合约定，致使该批设备不能实现本合同目的的，买方可以就该批设备解除合同。</w:t>
      </w:r>
    </w:p>
    <w:p w14:paraId="0F25D547">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12.5卖方不交付其中一批设备或者交付不符合约定，致使今后其他各批设备的交付不能实现本合同目的的，买方可以就该批以及今后其他各批设备解除合同。</w:t>
      </w:r>
    </w:p>
    <w:p w14:paraId="431BC980">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12.6买方如果就其中一批设备解除合同，该批设备与其他各批设备相互依存的，可以就已经交付和未交付的各批设备解除合同。</w:t>
      </w:r>
    </w:p>
    <w:p w14:paraId="3CE6B4B5">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12.7因为卖方违约导致买方解除合同的，卖方应赔偿买方因此所遭受的一切损失。</w:t>
      </w:r>
    </w:p>
    <w:p w14:paraId="31718342">
      <w:pPr>
        <w:pStyle w:val="2"/>
        <w:tabs>
          <w:tab w:val="right" w:leader="dot" w:pos="9061"/>
        </w:tabs>
        <w:ind w:left="0" w:firstLine="480" w:firstLineChars="200"/>
        <w:jc w:val="both"/>
        <w:rPr>
          <w:rFonts w:ascii="黑体" w:hAnsi="黑体" w:eastAsia="黑体" w:cs="黑体"/>
          <w:b w:val="0"/>
          <w:i/>
          <w:iCs/>
          <w:sz w:val="24"/>
          <w:szCs w:val="24"/>
        </w:rPr>
      </w:pPr>
      <w:bookmarkStart w:id="82" w:name="_Toc13671"/>
      <w:bookmarkStart w:id="83" w:name="_Toc16330030"/>
      <w:bookmarkStart w:id="84" w:name="_Toc8620"/>
      <w:bookmarkStart w:id="85" w:name="_Toc31945"/>
      <w:r>
        <w:rPr>
          <w:rFonts w:hint="eastAsia" w:ascii="黑体" w:hAnsi="黑体" w:eastAsia="黑体" w:cs="黑体"/>
          <w:b w:val="0"/>
          <w:i/>
          <w:iCs/>
          <w:sz w:val="24"/>
          <w:szCs w:val="24"/>
        </w:rPr>
        <w:t>13 不可抗力</w:t>
      </w:r>
      <w:bookmarkEnd w:id="82"/>
      <w:bookmarkEnd w:id="83"/>
      <w:bookmarkEnd w:id="84"/>
      <w:bookmarkEnd w:id="85"/>
    </w:p>
    <w:p w14:paraId="2107C123">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51DA2370">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13.2各方应该通过协商决定是否终止本合同，或推迟全部或部分本合同的履行或免除对方全部或部分相关履行义务。</w:t>
      </w:r>
    </w:p>
    <w:p w14:paraId="28117F54">
      <w:pPr>
        <w:pStyle w:val="2"/>
        <w:tabs>
          <w:tab w:val="right" w:leader="dot" w:pos="9061"/>
        </w:tabs>
        <w:ind w:left="0" w:firstLine="480" w:firstLineChars="200"/>
        <w:jc w:val="both"/>
        <w:rPr>
          <w:rFonts w:ascii="黑体" w:hAnsi="黑体" w:eastAsia="黑体" w:cs="黑体"/>
          <w:b w:val="0"/>
          <w:i/>
          <w:iCs/>
          <w:sz w:val="24"/>
          <w:szCs w:val="24"/>
        </w:rPr>
      </w:pPr>
      <w:bookmarkStart w:id="86" w:name="_Toc30389"/>
      <w:bookmarkStart w:id="87" w:name="_Toc31243"/>
      <w:bookmarkStart w:id="88" w:name="_Toc637"/>
      <w:bookmarkStart w:id="89" w:name="_Toc16330031"/>
      <w:r>
        <w:rPr>
          <w:rFonts w:hint="eastAsia" w:ascii="黑体" w:hAnsi="黑体" w:eastAsia="黑体" w:cs="黑体"/>
          <w:b w:val="0"/>
          <w:i/>
          <w:iCs/>
          <w:sz w:val="24"/>
          <w:szCs w:val="24"/>
        </w:rPr>
        <w:t>14 通讯</w:t>
      </w:r>
      <w:bookmarkEnd w:id="86"/>
      <w:bookmarkEnd w:id="87"/>
      <w:bookmarkEnd w:id="88"/>
      <w:bookmarkEnd w:id="89"/>
    </w:p>
    <w:p w14:paraId="38DB44C1">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14.1通讯地址：</w:t>
      </w:r>
    </w:p>
    <w:p w14:paraId="1D1ACC86">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本合同下的任何通讯按照本合同双方提供的信息，以书信、传真、电子通讯方式或电话作出。</w:t>
      </w:r>
    </w:p>
    <w:p w14:paraId="2B9482B8">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14.2生效</w:t>
      </w:r>
    </w:p>
    <w:p w14:paraId="321AF513">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14.2.1书信。书信为送达时生效；</w:t>
      </w:r>
    </w:p>
    <w:p w14:paraId="5F5526C5">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14.2.2传真。发送人取得成功传输的信息时生效；</w:t>
      </w:r>
    </w:p>
    <w:p w14:paraId="16EF752D">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14.2.3电子邮件。电子邮件于发送之时生效，前提是寄件者于该邮件发送后24小时内没有收到发送失败通知；</w:t>
      </w:r>
    </w:p>
    <w:p w14:paraId="2D2A769E">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14.2.4电话。电话于打出时生效，以电话作出的任何通讯必须以书信、传真或电子邮件确认，如果没有发送或者接收该确认不会使原有通讯失效。</w:t>
      </w:r>
    </w:p>
    <w:p w14:paraId="25698719">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14.3书面法律证据。根据本合同以书信、传真或电子邮件方式送达任何订约方的任何通讯，将作为书面法律证据。</w:t>
      </w:r>
    </w:p>
    <w:p w14:paraId="5C5024C1">
      <w:pPr>
        <w:pStyle w:val="2"/>
        <w:tabs>
          <w:tab w:val="right" w:leader="dot" w:pos="9061"/>
        </w:tabs>
        <w:ind w:left="0" w:firstLine="480" w:firstLineChars="200"/>
        <w:jc w:val="both"/>
        <w:rPr>
          <w:rFonts w:ascii="黑体" w:hAnsi="黑体" w:eastAsia="黑体" w:cs="黑体"/>
          <w:b w:val="0"/>
          <w:i/>
          <w:iCs/>
          <w:sz w:val="24"/>
          <w:szCs w:val="24"/>
        </w:rPr>
      </w:pPr>
      <w:bookmarkStart w:id="90" w:name="_Toc16330032"/>
      <w:bookmarkStart w:id="91" w:name="_Toc9915"/>
      <w:bookmarkStart w:id="92" w:name="_Toc11290"/>
      <w:bookmarkStart w:id="93" w:name="_Toc12984"/>
      <w:r>
        <w:rPr>
          <w:rFonts w:hint="eastAsia" w:ascii="黑体" w:hAnsi="黑体" w:eastAsia="黑体" w:cs="黑体"/>
          <w:b w:val="0"/>
          <w:i/>
          <w:iCs/>
          <w:sz w:val="24"/>
          <w:szCs w:val="24"/>
        </w:rPr>
        <w:t>15 适用法律及争议解决</w:t>
      </w:r>
      <w:bookmarkEnd w:id="90"/>
      <w:bookmarkEnd w:id="91"/>
      <w:bookmarkEnd w:id="92"/>
      <w:bookmarkEnd w:id="93"/>
    </w:p>
    <w:p w14:paraId="321725DE">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15.1本合同条款的效力和解释适用中华人民共和国法律。</w:t>
      </w:r>
    </w:p>
    <w:p w14:paraId="7612B396">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15.2双方同意将本着诚信的态度协商解决本合同履行过程中产生的任何争议。如果争议事项不能通过双方协商解决，本合同双方同意采用向买方所在地人民法院提起诉讼的方式解决。</w:t>
      </w:r>
    </w:p>
    <w:p w14:paraId="25A00539">
      <w:pPr>
        <w:pStyle w:val="2"/>
        <w:tabs>
          <w:tab w:val="right" w:leader="dot" w:pos="9061"/>
        </w:tabs>
        <w:ind w:left="0" w:firstLine="480" w:firstLineChars="200"/>
        <w:jc w:val="both"/>
        <w:rPr>
          <w:rFonts w:ascii="黑体" w:hAnsi="黑体" w:eastAsia="黑体" w:cs="黑体"/>
          <w:b w:val="0"/>
          <w:i/>
          <w:iCs/>
          <w:sz w:val="24"/>
          <w:szCs w:val="24"/>
        </w:rPr>
      </w:pPr>
      <w:bookmarkStart w:id="94" w:name="_Toc23906"/>
      <w:bookmarkStart w:id="95" w:name="_Toc16330033"/>
      <w:bookmarkStart w:id="96" w:name="_Toc23765"/>
      <w:bookmarkStart w:id="97" w:name="_Toc18207"/>
      <w:r>
        <w:rPr>
          <w:rFonts w:hint="eastAsia" w:ascii="黑体" w:hAnsi="黑体" w:eastAsia="黑体" w:cs="黑体"/>
          <w:b w:val="0"/>
          <w:i/>
          <w:iCs/>
          <w:sz w:val="24"/>
          <w:szCs w:val="24"/>
        </w:rPr>
        <w:t>16 附件</w:t>
      </w:r>
      <w:bookmarkEnd w:id="94"/>
      <w:bookmarkEnd w:id="95"/>
      <w:bookmarkEnd w:id="96"/>
      <w:bookmarkEnd w:id="97"/>
    </w:p>
    <w:p w14:paraId="3E20BE88">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本合同及其附件构成双方关于本合同标的之全部协议，包括但不限于下列文件：</w:t>
      </w:r>
    </w:p>
    <w:p w14:paraId="1797E028">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16.1技术协议书；</w:t>
      </w:r>
    </w:p>
    <w:p w14:paraId="4662557D">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16.2合同设备一览表；</w:t>
      </w:r>
    </w:p>
    <w:p w14:paraId="31C6C474">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16.3卖方中标的设备投标书以及一切书面承诺；</w:t>
      </w:r>
    </w:p>
    <w:p w14:paraId="474F971C">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16.4招标文件。</w:t>
      </w:r>
    </w:p>
    <w:p w14:paraId="5757EDAE">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上述附件内容与本合同约定有冲突的，以本合同约定为准。</w:t>
      </w:r>
    </w:p>
    <w:p w14:paraId="524D32BC">
      <w:pPr>
        <w:pStyle w:val="2"/>
        <w:tabs>
          <w:tab w:val="right" w:leader="dot" w:pos="9061"/>
        </w:tabs>
        <w:ind w:left="0" w:firstLine="480" w:firstLineChars="200"/>
        <w:jc w:val="both"/>
        <w:rPr>
          <w:rFonts w:ascii="黑体" w:hAnsi="黑体" w:eastAsia="黑体" w:cs="黑体"/>
          <w:b w:val="0"/>
          <w:i/>
          <w:iCs/>
          <w:sz w:val="24"/>
          <w:szCs w:val="24"/>
        </w:rPr>
      </w:pPr>
      <w:bookmarkStart w:id="98" w:name="_Toc31331"/>
      <w:bookmarkStart w:id="99" w:name="_Toc27202"/>
      <w:bookmarkStart w:id="100" w:name="_Toc17656"/>
      <w:bookmarkStart w:id="101" w:name="_Toc16330034"/>
      <w:r>
        <w:rPr>
          <w:rFonts w:hint="eastAsia" w:ascii="黑体" w:hAnsi="黑体" w:eastAsia="黑体" w:cs="黑体"/>
          <w:b w:val="0"/>
          <w:i/>
          <w:iCs/>
          <w:sz w:val="24"/>
          <w:szCs w:val="24"/>
        </w:rPr>
        <w:t>17 其他规定</w:t>
      </w:r>
      <w:bookmarkEnd w:id="98"/>
      <w:bookmarkEnd w:id="99"/>
      <w:bookmarkEnd w:id="100"/>
      <w:bookmarkEnd w:id="101"/>
    </w:p>
    <w:p w14:paraId="0F79543A">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17.1本合同及其附件构成了双方就本合同所含交易而达成的全部合同，并取代双方先前与该等交易有关的全部口头和书面合同。</w:t>
      </w:r>
    </w:p>
    <w:p w14:paraId="0C9BB55B">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17.2如果本合同的任何条款和条件在任何时间成为非法、无效或不可强制执行的，则其他条款不应受其影响。</w:t>
      </w:r>
    </w:p>
    <w:p w14:paraId="66088F64">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17.3除非另有规定，一方未行使或迟延行使本合同项下的权利、权力或特权并不构成放弃这些权利、权力和特权，而单一或部分行使这些权利、权力和特权并不排斥行使任何其他权利、权力和特权。</w:t>
      </w:r>
    </w:p>
    <w:p w14:paraId="543EF164">
      <w:pPr>
        <w:spacing w:line="360" w:lineRule="auto"/>
        <w:ind w:firstLine="480" w:firstLineChars="200"/>
        <w:rPr>
          <w:rFonts w:ascii="仿宋_GB2312" w:hAnsi="仿宋_GB2312" w:eastAsia="仿宋_GB2312" w:cs="仿宋_GB2312"/>
          <w:i/>
          <w:iCs/>
          <w:sz w:val="24"/>
          <w:szCs w:val="24"/>
        </w:rPr>
      </w:pPr>
      <w:bookmarkStart w:id="102" w:name="_Toc19077"/>
      <w:bookmarkStart w:id="103" w:name="_Toc17952"/>
      <w:bookmarkStart w:id="104" w:name="_Toc29136"/>
      <w:bookmarkStart w:id="105" w:name="_Toc16330035"/>
      <w:r>
        <w:rPr>
          <w:rFonts w:hint="eastAsia" w:ascii="仿宋_GB2312" w:hAnsi="仿宋_GB2312" w:eastAsia="仿宋_GB2312" w:cs="仿宋_GB2312"/>
          <w:i/>
          <w:iCs/>
          <w:sz w:val="24"/>
          <w:szCs w:val="24"/>
        </w:rPr>
        <w:t>17.4监造，在合同设备的制造过程中，买方有权派出代表对合同设备制造过程中的关键工序进行质量监督，卖方有配合买方监造的义务。</w:t>
      </w:r>
    </w:p>
    <w:p w14:paraId="2AA06AD5">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585350FD">
      <w:pPr>
        <w:pStyle w:val="2"/>
        <w:tabs>
          <w:tab w:val="right" w:leader="dot" w:pos="9061"/>
        </w:tabs>
        <w:ind w:left="0" w:firstLine="480" w:firstLineChars="200"/>
        <w:jc w:val="both"/>
        <w:rPr>
          <w:rFonts w:ascii="黑体" w:hAnsi="黑体" w:eastAsia="黑体" w:cs="黑体"/>
          <w:b w:val="0"/>
          <w:i/>
          <w:iCs/>
          <w:sz w:val="24"/>
          <w:szCs w:val="24"/>
        </w:rPr>
      </w:pPr>
      <w:r>
        <w:rPr>
          <w:rFonts w:hint="eastAsia" w:ascii="黑体" w:hAnsi="黑体" w:eastAsia="黑体" w:cs="黑体"/>
          <w:b w:val="0"/>
          <w:i/>
          <w:iCs/>
          <w:sz w:val="24"/>
          <w:szCs w:val="24"/>
        </w:rPr>
        <w:t>18 签署事项</w:t>
      </w:r>
      <w:bookmarkEnd w:id="102"/>
      <w:bookmarkEnd w:id="103"/>
      <w:bookmarkEnd w:id="104"/>
      <w:bookmarkEnd w:id="105"/>
    </w:p>
    <w:p w14:paraId="37226D5E">
      <w:pPr>
        <w:spacing w:line="360" w:lineRule="auto"/>
        <w:ind w:firstLine="480" w:firstLineChars="200"/>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本合同或协议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w:t>
      </w:r>
      <w:r>
        <w:rPr>
          <w:rFonts w:ascii="仿宋_GB2312" w:hAnsi="仿宋_GB2312" w:eastAsia="仿宋_GB2312"/>
          <w:i/>
          <w:iCs/>
          <w:sz w:val="24"/>
        </w:rPr>
        <w:t>如各方签章时间不一致的，以最后签章的时间为准。本合同所有的手写涂改、一方擅自增加、删改、篡改部分无效（个人手写签名除外）。</w:t>
      </w:r>
      <w:r>
        <w:rPr>
          <w:i/>
          <w:iCs/>
        </w:rPr>
        <w:br w:type="textWrapping"/>
      </w:r>
      <w:r>
        <w:rPr>
          <w:rFonts w:hint="eastAsia" w:ascii="仿宋_GB2312" w:hAnsi="仿宋_GB2312" w:eastAsia="仿宋_GB2312" w:cs="仿宋_GB2312"/>
          <w:i/>
          <w:iCs/>
          <w:sz w:val="24"/>
          <w:szCs w:val="24"/>
        </w:rPr>
        <w:t xml:space="preserve">    </w:t>
      </w:r>
      <w:r>
        <w:rPr>
          <w:rFonts w:hint="eastAsia" w:ascii="仿宋_GB2312" w:hAnsi="仿宋_GB2312" w:eastAsia="仿宋_GB2312" w:cs="仿宋_GB2312"/>
          <w:i/>
          <w:iCs/>
          <w:sz w:val="24"/>
          <w:szCs w:val="24"/>
        </w:rPr>
        <w:br w:type="textWrapping"/>
      </w:r>
      <w:r>
        <w:rPr>
          <w:rFonts w:hint="eastAsia" w:ascii="仿宋_GB2312" w:hAnsi="仿宋_GB2312" w:eastAsia="仿宋_GB2312" w:cs="仿宋_GB2312"/>
          <w:i/>
          <w:iCs/>
          <w:sz w:val="24"/>
          <w:szCs w:val="24"/>
        </w:rPr>
        <w:t xml:space="preserve">    若一方不使用电子签约，此情形下各方认可并同意电子签章与在纸质合同上手写签名或者盖章具有同等的法律效力，一方在合同上使用电子签章，另一方将已完成电子签章的合同打印纸质合同后，再于合同签署处加盖实物印章、手写签名视为双方签署完毕。</w:t>
      </w:r>
    </w:p>
    <w:p w14:paraId="0A1A7D98">
      <w:pPr>
        <w:widowControl/>
        <w:adjustRightInd w:val="0"/>
        <w:snapToGrid w:val="0"/>
        <w:spacing w:line="360" w:lineRule="auto"/>
        <w:ind w:firstLine="480" w:firstLineChars="200"/>
        <w:jc w:val="left"/>
        <w:rPr>
          <w:rFonts w:hint="eastAsia" w:ascii="仿宋_GB2312" w:hAnsi="宋体" w:eastAsia="仿宋_GB2312"/>
          <w:i/>
          <w:iCs/>
          <w:snapToGrid w:val="0"/>
          <w:kern w:val="0"/>
          <w:sz w:val="24"/>
          <w:szCs w:val="24"/>
          <w:lang w:eastAsia="zh-Hans"/>
        </w:rPr>
      </w:pPr>
    </w:p>
    <w:p w14:paraId="3E0D8F01">
      <w:pPr>
        <w:widowControl/>
        <w:adjustRightInd w:val="0"/>
        <w:snapToGrid w:val="0"/>
        <w:spacing w:line="360" w:lineRule="auto"/>
        <w:ind w:firstLine="480" w:firstLineChars="200"/>
        <w:jc w:val="left"/>
        <w:rPr>
          <w:rFonts w:ascii="仿宋_GB2312" w:hAnsi="宋体" w:eastAsia="仿宋_GB2312"/>
          <w:b/>
          <w:bCs/>
          <w:i/>
          <w:iCs/>
          <w:snapToGrid w:val="0"/>
          <w:kern w:val="0"/>
          <w:sz w:val="24"/>
          <w:szCs w:val="24"/>
          <w:u w:val="single"/>
        </w:rPr>
      </w:pPr>
      <w:r>
        <w:rPr>
          <w:rFonts w:hint="eastAsia" w:ascii="仿宋_GB2312" w:hAnsi="宋体" w:eastAsia="仿宋_GB2312"/>
          <w:i/>
          <w:iCs/>
          <w:snapToGrid w:val="0"/>
          <w:kern w:val="0"/>
          <w:sz w:val="24"/>
          <w:szCs w:val="24"/>
          <w:lang w:eastAsia="zh-Hans"/>
        </w:rPr>
        <w:t>甲方</w:t>
      </w:r>
      <w:r>
        <w:rPr>
          <w:rFonts w:hint="eastAsia" w:ascii="仿宋_GB2312" w:hAnsi="宋体" w:eastAsia="仿宋_GB2312"/>
          <w:i/>
          <w:iCs/>
          <w:snapToGrid w:val="0"/>
          <w:kern w:val="0"/>
          <w:sz w:val="24"/>
          <w:szCs w:val="24"/>
        </w:rPr>
        <w:t>（盖章）</w:t>
      </w:r>
    </w:p>
    <w:p w14:paraId="47A60699">
      <w:pPr>
        <w:widowControl/>
        <w:adjustRightInd w:val="0"/>
        <w:snapToGrid w:val="0"/>
        <w:spacing w:line="360" w:lineRule="auto"/>
        <w:ind w:firstLine="480" w:firstLineChars="200"/>
        <w:jc w:val="left"/>
        <w:rPr>
          <w:rFonts w:ascii="仿宋_GB2312" w:hAnsi="宋体" w:eastAsia="仿宋_GB2312"/>
          <w:i/>
          <w:iCs/>
          <w:snapToGrid w:val="0"/>
          <w:kern w:val="0"/>
          <w:sz w:val="24"/>
          <w:szCs w:val="24"/>
        </w:rPr>
      </w:pPr>
    </w:p>
    <w:p w14:paraId="739ED04A">
      <w:pPr>
        <w:widowControl/>
        <w:adjustRightInd w:val="0"/>
        <w:snapToGrid w:val="0"/>
        <w:spacing w:line="360" w:lineRule="auto"/>
        <w:ind w:firstLine="480" w:firstLineChars="200"/>
        <w:jc w:val="left"/>
        <w:rPr>
          <w:rFonts w:ascii="仿宋_GB2312" w:hAnsi="宋体" w:eastAsia="仿宋_GB2312"/>
          <w:i/>
          <w:iCs/>
          <w:snapToGrid w:val="0"/>
          <w:color w:val="000000"/>
          <w:kern w:val="0"/>
          <w:sz w:val="24"/>
          <w:szCs w:val="24"/>
          <w:lang w:eastAsia="zh-Hans"/>
        </w:rPr>
      </w:pPr>
      <w:r>
        <w:rPr>
          <w:rFonts w:hint="eastAsia" w:ascii="仿宋_GB2312" w:hAnsi="宋体" w:eastAsia="仿宋_GB2312"/>
          <w:i/>
          <w:iCs/>
          <w:snapToGrid w:val="0"/>
          <w:color w:val="000000"/>
          <w:kern w:val="0"/>
          <w:sz w:val="24"/>
          <w:szCs w:val="24"/>
        </w:rPr>
        <w:t>甲方代表</w:t>
      </w:r>
      <w:r>
        <w:rPr>
          <w:rFonts w:hint="eastAsia" w:ascii="仿宋_GB2312" w:hAnsi="宋体" w:eastAsia="仿宋_GB2312"/>
          <w:i/>
          <w:iCs/>
          <w:snapToGrid w:val="0"/>
          <w:color w:val="000000"/>
          <w:kern w:val="0"/>
          <w:sz w:val="24"/>
          <w:szCs w:val="24"/>
          <w:lang w:eastAsia="zh-Hans"/>
        </w:rPr>
        <w:t xml:space="preserve">（签字）：         </w:t>
      </w:r>
      <w:r>
        <w:rPr>
          <w:rFonts w:hint="eastAsia" w:ascii="仿宋_GB2312" w:hAnsi="宋体" w:eastAsia="仿宋_GB2312"/>
          <w:i/>
          <w:iCs/>
          <w:snapToGrid w:val="0"/>
          <w:kern w:val="0"/>
          <w:sz w:val="24"/>
          <w:szCs w:val="24"/>
          <w:lang w:eastAsia="zh-Hans"/>
        </w:rPr>
        <w:t xml:space="preserve">       </w:t>
      </w:r>
      <w:r>
        <w:rPr>
          <w:rFonts w:hint="eastAsia" w:ascii="仿宋_GB2312" w:hAnsi="宋体" w:eastAsia="仿宋_GB2312"/>
          <w:i/>
          <w:iCs/>
          <w:snapToGrid w:val="0"/>
          <w:color w:val="000000"/>
          <w:kern w:val="0"/>
          <w:sz w:val="24"/>
          <w:szCs w:val="24"/>
          <w:lang w:eastAsia="zh-Hans"/>
        </w:rPr>
        <w:t xml:space="preserve"> </w:t>
      </w:r>
    </w:p>
    <w:p w14:paraId="12CFB0D5">
      <w:pPr>
        <w:widowControl/>
        <w:adjustRightInd w:val="0"/>
        <w:snapToGrid w:val="0"/>
        <w:spacing w:line="360" w:lineRule="auto"/>
        <w:ind w:firstLine="480" w:firstLineChars="200"/>
        <w:jc w:val="left"/>
        <w:rPr>
          <w:rFonts w:ascii="仿宋_GB2312" w:hAnsi="宋体" w:eastAsia="仿宋_GB2312"/>
          <w:i/>
          <w:iCs/>
          <w:snapToGrid w:val="0"/>
          <w:kern w:val="0"/>
          <w:sz w:val="24"/>
          <w:szCs w:val="24"/>
          <w:lang w:eastAsia="zh-Hans"/>
        </w:rPr>
      </w:pPr>
      <w:r>
        <w:rPr>
          <w:rFonts w:hint="eastAsia" w:ascii="仿宋_GB2312" w:hAnsi="宋体" w:eastAsia="仿宋_GB2312"/>
          <w:i/>
          <w:iCs/>
          <w:snapToGrid w:val="0"/>
          <w:color w:val="000000"/>
          <w:kern w:val="0"/>
          <w:sz w:val="24"/>
          <w:szCs w:val="24"/>
          <w:lang w:eastAsia="zh-Hans"/>
        </w:rPr>
        <w:t xml:space="preserve">                        </w:t>
      </w:r>
      <w:r>
        <w:rPr>
          <w:rFonts w:hint="eastAsia" w:ascii="仿宋_GB2312" w:hAnsi="宋体" w:eastAsia="仿宋_GB2312"/>
          <w:i/>
          <w:iCs/>
          <w:snapToGrid w:val="0"/>
          <w:kern w:val="0"/>
          <w:sz w:val="24"/>
          <w:szCs w:val="24"/>
          <w:lang w:eastAsia="zh-Hans"/>
        </w:rPr>
        <w:t xml:space="preserve">        </w:t>
      </w:r>
    </w:p>
    <w:p w14:paraId="2A53F4C0">
      <w:pPr>
        <w:widowControl/>
        <w:adjustRightInd w:val="0"/>
        <w:snapToGrid w:val="0"/>
        <w:spacing w:line="360" w:lineRule="auto"/>
        <w:ind w:firstLine="480" w:firstLineChars="200"/>
        <w:jc w:val="left"/>
        <w:rPr>
          <w:rFonts w:ascii="仿宋_GB2312" w:hAnsi="宋体" w:eastAsia="仿宋_GB2312"/>
          <w:i/>
          <w:iCs/>
          <w:snapToGrid w:val="0"/>
          <w:kern w:val="0"/>
          <w:sz w:val="24"/>
          <w:szCs w:val="24"/>
          <w:lang w:eastAsia="zh-Hans"/>
        </w:rPr>
      </w:pPr>
    </w:p>
    <w:p w14:paraId="5DC01EC5">
      <w:pPr>
        <w:widowControl/>
        <w:adjustRightInd w:val="0"/>
        <w:snapToGrid w:val="0"/>
        <w:spacing w:line="360" w:lineRule="auto"/>
        <w:ind w:firstLine="480" w:firstLineChars="200"/>
        <w:jc w:val="left"/>
        <w:rPr>
          <w:rFonts w:ascii="仿宋_GB2312" w:hAnsi="宋体" w:eastAsia="仿宋_GB2312"/>
          <w:i/>
          <w:iCs/>
          <w:snapToGrid w:val="0"/>
          <w:kern w:val="0"/>
          <w:sz w:val="24"/>
          <w:szCs w:val="24"/>
        </w:rPr>
      </w:pPr>
    </w:p>
    <w:p w14:paraId="5F30A3F6">
      <w:pPr>
        <w:widowControl/>
        <w:adjustRightInd w:val="0"/>
        <w:snapToGrid w:val="0"/>
        <w:spacing w:line="360" w:lineRule="auto"/>
        <w:ind w:firstLine="480" w:firstLineChars="200"/>
        <w:jc w:val="left"/>
        <w:rPr>
          <w:rFonts w:ascii="仿宋_GB2312" w:hAnsi="仿宋_GB2312" w:eastAsia="仿宋_GB2312" w:cs="仿宋_GB2312"/>
          <w:b/>
          <w:bCs/>
          <w:i/>
          <w:iCs/>
          <w:sz w:val="24"/>
          <w:szCs w:val="24"/>
          <w:u w:val="single"/>
        </w:rPr>
      </w:pPr>
      <w:r>
        <w:rPr>
          <w:rFonts w:hint="eastAsia" w:ascii="仿宋_GB2312" w:hAnsi="宋体" w:eastAsia="仿宋_GB2312"/>
          <w:i/>
          <w:iCs/>
          <w:snapToGrid w:val="0"/>
          <w:kern w:val="0"/>
          <w:sz w:val="24"/>
          <w:szCs w:val="24"/>
        </w:rPr>
        <w:t>乙</w:t>
      </w:r>
      <w:r>
        <w:rPr>
          <w:rFonts w:hint="eastAsia" w:ascii="仿宋_GB2312" w:hAnsi="宋体" w:eastAsia="仿宋_GB2312"/>
          <w:i/>
          <w:iCs/>
          <w:snapToGrid w:val="0"/>
          <w:kern w:val="0"/>
          <w:sz w:val="24"/>
          <w:szCs w:val="24"/>
          <w:lang w:eastAsia="zh-Hans"/>
        </w:rPr>
        <w:t>方</w:t>
      </w:r>
      <w:r>
        <w:rPr>
          <w:rFonts w:hint="eastAsia" w:ascii="仿宋_GB2312" w:hAnsi="宋体" w:eastAsia="仿宋_GB2312"/>
          <w:i/>
          <w:iCs/>
          <w:snapToGrid w:val="0"/>
          <w:kern w:val="0"/>
          <w:sz w:val="24"/>
          <w:szCs w:val="24"/>
        </w:rPr>
        <w:t>（盖章）</w:t>
      </w:r>
      <w:r>
        <w:rPr>
          <w:rFonts w:hint="eastAsia" w:ascii="仿宋_GB2312" w:hAnsi="宋体" w:eastAsia="仿宋_GB2312"/>
          <w:i/>
          <w:iCs/>
          <w:snapToGrid w:val="0"/>
          <w:kern w:val="0"/>
          <w:sz w:val="24"/>
          <w:szCs w:val="24"/>
          <w:lang w:eastAsia="zh-Hans"/>
        </w:rPr>
        <w:t>：</w:t>
      </w:r>
    </w:p>
    <w:p w14:paraId="1DF7AB18">
      <w:pPr>
        <w:widowControl/>
        <w:adjustRightInd w:val="0"/>
        <w:snapToGrid w:val="0"/>
        <w:spacing w:line="360" w:lineRule="auto"/>
        <w:ind w:firstLine="482" w:firstLineChars="200"/>
        <w:jc w:val="left"/>
        <w:rPr>
          <w:rFonts w:ascii="仿宋_GB2312" w:hAnsi="仿宋_GB2312" w:eastAsia="仿宋_GB2312" w:cs="仿宋_GB2312"/>
          <w:b/>
          <w:i/>
          <w:iCs/>
          <w:sz w:val="24"/>
          <w:szCs w:val="24"/>
          <w:u w:val="single"/>
        </w:rPr>
      </w:pPr>
    </w:p>
    <w:p w14:paraId="70686CA2">
      <w:pPr>
        <w:widowControl/>
        <w:adjustRightInd w:val="0"/>
        <w:snapToGrid w:val="0"/>
        <w:spacing w:line="360" w:lineRule="auto"/>
        <w:ind w:firstLine="480" w:firstLineChars="200"/>
        <w:jc w:val="left"/>
        <w:rPr>
          <w:rFonts w:hint="eastAsia" w:ascii="仿宋_GB2312" w:hAnsi="等线" w:eastAsia="仿宋_GB2312" w:cs="Times New Roman"/>
          <w:i/>
          <w:iCs/>
          <w:sz w:val="24"/>
          <w:szCs w:val="24"/>
        </w:rPr>
      </w:pPr>
      <w:r>
        <w:rPr>
          <w:rFonts w:hint="eastAsia" w:ascii="仿宋_GB2312" w:hAnsi="宋体" w:eastAsia="仿宋_GB2312"/>
          <w:i/>
          <w:iCs/>
          <w:snapToGrid w:val="0"/>
          <w:color w:val="000000"/>
          <w:kern w:val="0"/>
          <w:sz w:val="24"/>
          <w:szCs w:val="24"/>
        </w:rPr>
        <w:t>乙方代表</w:t>
      </w:r>
      <w:r>
        <w:rPr>
          <w:rFonts w:hint="eastAsia" w:ascii="仿宋_GB2312" w:hAnsi="宋体" w:eastAsia="仿宋_GB2312"/>
          <w:i/>
          <w:iCs/>
          <w:snapToGrid w:val="0"/>
          <w:color w:val="000000"/>
          <w:kern w:val="0"/>
          <w:sz w:val="24"/>
          <w:szCs w:val="24"/>
          <w:lang w:eastAsia="zh-Hans"/>
        </w:rPr>
        <w:t xml:space="preserve">（签字）：   </w:t>
      </w:r>
      <w:r>
        <w:rPr>
          <w:rFonts w:hint="eastAsia" w:ascii="仿宋_GB2312" w:hAnsi="等线" w:eastAsia="仿宋_GB2312" w:cs="Times New Roman"/>
          <w:i/>
          <w:iCs/>
          <w:sz w:val="24"/>
          <w:szCs w:val="24"/>
        </w:rPr>
        <w:t xml:space="preserve"> </w:t>
      </w:r>
    </w:p>
    <w:p w14:paraId="36F9DFCA">
      <w:pPr>
        <w:rPr>
          <w:rFonts w:hint="eastAsia" w:ascii="仿宋_GB2312" w:hAnsi="等线" w:eastAsia="仿宋_GB2312" w:cs="Times New Roman"/>
          <w:i/>
          <w:iCs/>
          <w:sz w:val="24"/>
          <w:szCs w:val="24"/>
        </w:rPr>
      </w:pPr>
      <w:bookmarkStart w:id="106" w:name="_Toc10272"/>
      <w:bookmarkEnd w:id="106"/>
      <w:bookmarkStart w:id="107" w:name="_Toc16330036"/>
      <w:bookmarkEnd w:id="107"/>
      <w:bookmarkStart w:id="108" w:name="_Toc28611"/>
      <w:bookmarkEnd w:id="108"/>
      <w:bookmarkStart w:id="109" w:name="_Toc15689"/>
      <w:r>
        <w:rPr>
          <w:rFonts w:hint="eastAsia" w:ascii="仿宋_GB2312" w:hAnsi="等线" w:eastAsia="仿宋_GB2312" w:cs="Times New Roman"/>
          <w:i/>
          <w:iCs/>
          <w:sz w:val="24"/>
          <w:szCs w:val="24"/>
        </w:rPr>
        <w:t xml:space="preserve"> </w:t>
      </w:r>
      <w:bookmarkEnd w:id="109"/>
    </w:p>
    <w:p w14:paraId="5342587E">
      <w:pPr>
        <w:rPr>
          <w:rFonts w:hint="eastAsia" w:ascii="等线" w:hAnsi="等线" w:eastAsia="等线" w:cs="Times New Roman"/>
          <w:i/>
          <w:iCs/>
          <w:sz w:val="24"/>
          <w:szCs w:val="24"/>
        </w:rPr>
      </w:pPr>
      <w:r>
        <w:rPr>
          <w:rFonts w:hint="eastAsia" w:ascii="等线" w:hAnsi="等线" w:eastAsia="等线" w:cs="Times New Roman"/>
          <w:i/>
          <w:iCs/>
          <w:sz w:val="24"/>
          <w:szCs w:val="24"/>
        </w:rPr>
        <w:t xml:space="preserve"> </w:t>
      </w:r>
    </w:p>
    <w:p w14:paraId="30A3C0DC">
      <w:pPr>
        <w:rPr>
          <w:rFonts w:hint="eastAsia" w:ascii="等线" w:hAnsi="等线" w:eastAsia="等线" w:cs="Times New Roman"/>
          <w:i/>
          <w:iCs/>
          <w:sz w:val="24"/>
          <w:szCs w:val="24"/>
        </w:rPr>
      </w:pPr>
      <w:r>
        <w:rPr>
          <w:rFonts w:hint="eastAsia" w:ascii="等线" w:hAnsi="等线" w:eastAsia="等线" w:cs="Times New Roman"/>
          <w:i/>
          <w:iCs/>
          <w:sz w:val="24"/>
          <w:szCs w:val="24"/>
        </w:rPr>
        <w:t xml:space="preserve"> </w:t>
      </w:r>
    </w:p>
    <w:p w14:paraId="5C35CDC3">
      <w:pPr>
        <w:rPr>
          <w:rFonts w:hint="eastAsia" w:ascii="等线" w:hAnsi="等线" w:eastAsia="等线" w:cs="Times New Roman"/>
          <w:i/>
          <w:iCs/>
          <w:sz w:val="24"/>
          <w:szCs w:val="24"/>
        </w:rPr>
      </w:pPr>
      <w:r>
        <w:rPr>
          <w:rFonts w:hint="eastAsia" w:ascii="等线" w:hAnsi="等线" w:eastAsia="等线" w:cs="Times New Roman"/>
          <w:i/>
          <w:iCs/>
          <w:sz w:val="24"/>
          <w:szCs w:val="24"/>
        </w:rPr>
        <w:t xml:space="preserve"> </w:t>
      </w:r>
    </w:p>
    <w:p w14:paraId="71A24A83">
      <w:pPr>
        <w:rPr>
          <w:rFonts w:hint="eastAsia" w:ascii="等线" w:hAnsi="等线" w:eastAsia="等线" w:cs="Times New Roman"/>
          <w:i/>
          <w:iCs/>
          <w:sz w:val="24"/>
          <w:szCs w:val="24"/>
        </w:rPr>
        <w:sectPr>
          <w:footerReference r:id="rId12" w:type="default"/>
          <w:pgSz w:w="11906" w:h="16838"/>
          <w:pgMar w:top="1588" w:right="1418" w:bottom="1134" w:left="1418" w:header="851" w:footer="992" w:gutter="0"/>
          <w:pgNumType w:fmt="decimal"/>
          <w:cols w:space="720" w:num="1"/>
          <w:titlePg/>
          <w:docGrid w:type="lines" w:linePitch="312" w:charSpace="0"/>
        </w:sectPr>
      </w:pPr>
      <w:r>
        <w:rPr>
          <w:rFonts w:hint="eastAsia" w:ascii="等线" w:hAnsi="等线" w:eastAsia="等线" w:cs="Times New Roman"/>
          <w:i/>
          <w:iCs/>
          <w:sz w:val="24"/>
          <w:szCs w:val="24"/>
        </w:rPr>
        <w:t xml:space="preserve"> </w:t>
      </w:r>
    </w:p>
    <w:p w14:paraId="540820F9">
      <w:pPr>
        <w:widowControl/>
        <w:spacing w:line="300" w:lineRule="auto"/>
        <w:ind w:firstLine="643" w:firstLineChars="200"/>
        <w:jc w:val="center"/>
        <w:outlineLvl w:val="2"/>
        <w:rPr>
          <w:rFonts w:ascii="方正小标宋简体" w:hAnsi="方正小标宋简体" w:eastAsia="方正小标宋简体" w:cs="方正小标宋简体"/>
          <w:b/>
          <w:bCs/>
          <w:i/>
          <w:iCs/>
          <w:kern w:val="0"/>
          <w:sz w:val="32"/>
          <w:szCs w:val="32"/>
        </w:rPr>
      </w:pPr>
      <w:bookmarkStart w:id="110" w:name="_Toc14581"/>
      <w:bookmarkEnd w:id="110"/>
      <w:bookmarkStart w:id="111" w:name="_Toc29691"/>
      <w:bookmarkEnd w:id="111"/>
      <w:r>
        <w:rPr>
          <w:rFonts w:hint="eastAsia" w:ascii="方正小标宋简体" w:hAnsi="方正小标宋简体" w:eastAsia="方正小标宋简体" w:cs="方正小标宋简体"/>
          <w:b/>
          <w:bCs/>
          <w:i/>
          <w:iCs/>
          <w:kern w:val="0"/>
          <w:sz w:val="32"/>
          <w:szCs w:val="32"/>
        </w:rPr>
        <w:t xml:space="preserve">附件二 </w:t>
      </w:r>
      <w:r>
        <w:rPr>
          <w:rFonts w:ascii="方正小标宋简体" w:hAnsi="方正小标宋简体" w:eastAsia="方正小标宋简体" w:cs="方正小标宋简体"/>
          <w:b/>
          <w:bCs/>
          <w:i/>
          <w:iCs/>
          <w:kern w:val="0"/>
          <w:sz w:val="32"/>
          <w:szCs w:val="32"/>
        </w:rPr>
        <w:t xml:space="preserve"> 固定资产</w:t>
      </w:r>
      <w:r>
        <w:rPr>
          <w:rFonts w:hint="eastAsia" w:ascii="方正小标宋简体" w:hAnsi="方正小标宋简体" w:eastAsia="方正小标宋简体" w:cs="方正小标宋简体"/>
          <w:b/>
          <w:bCs/>
          <w:i/>
          <w:iCs/>
          <w:kern w:val="0"/>
          <w:sz w:val="32"/>
          <w:szCs w:val="32"/>
        </w:rPr>
        <w:t>设备</w:t>
      </w:r>
      <w:r>
        <w:rPr>
          <w:rFonts w:ascii="方正小标宋简体" w:hAnsi="方正小标宋简体" w:eastAsia="方正小标宋简体" w:cs="方正小标宋简体"/>
          <w:b/>
          <w:bCs/>
          <w:i/>
          <w:iCs/>
          <w:kern w:val="0"/>
          <w:sz w:val="32"/>
          <w:szCs w:val="32"/>
        </w:rPr>
        <w:t>项目偏差索赔细则</w:t>
      </w:r>
    </w:p>
    <w:p w14:paraId="572D0005">
      <w:pPr>
        <w:spacing w:line="300" w:lineRule="auto"/>
        <w:ind w:firstLine="480" w:firstLineChars="200"/>
        <w:rPr>
          <w:rFonts w:ascii="仿宋_GB2312" w:eastAsia="仿宋_GB2312"/>
          <w:i/>
          <w:iCs/>
          <w:sz w:val="24"/>
          <w:szCs w:val="24"/>
        </w:rPr>
      </w:pPr>
      <w:r>
        <w:rPr>
          <w:rFonts w:hint="eastAsia" w:ascii="仿宋_GB2312" w:hAnsi="仿宋_GB2312" w:eastAsia="仿宋_GB2312" w:cs="仿宋_GB2312"/>
          <w:i/>
          <w:iCs/>
          <w:kern w:val="0"/>
          <w:sz w:val="24"/>
          <w:szCs w:val="24"/>
          <w:lang w:bidi="ar"/>
        </w:rPr>
        <w:t>为规范固定资产项目实施过程中，因卖方原因导致设备各项重要技术指标、项目进度出现偏差，造成项目延期交付或无法通过验收等情况，经协商一致，就索赔扣款事宜订立本细则，双方共同遵守。</w:t>
      </w:r>
    </w:p>
    <w:p w14:paraId="6F3BEC66">
      <w:pPr>
        <w:spacing w:line="300" w:lineRule="auto"/>
        <w:ind w:firstLine="482" w:firstLineChars="200"/>
        <w:rPr>
          <w:rFonts w:ascii="仿宋_GB2312" w:hAnsi="仿宋_GB2312" w:eastAsia="仿宋_GB2312" w:cs="仿宋_GB2312"/>
          <w:b/>
          <w:bCs/>
          <w:i/>
          <w:iCs/>
          <w:kern w:val="0"/>
          <w:sz w:val="24"/>
          <w:szCs w:val="24"/>
        </w:rPr>
      </w:pPr>
      <w:r>
        <w:rPr>
          <w:rFonts w:hint="eastAsia" w:ascii="仿宋_GB2312" w:hAnsi="仿宋_GB2312" w:eastAsia="仿宋_GB2312" w:cs="仿宋_GB2312"/>
          <w:b/>
          <w:bCs/>
          <w:i/>
          <w:iCs/>
          <w:kern w:val="0"/>
          <w:sz w:val="24"/>
          <w:szCs w:val="24"/>
        </w:rPr>
        <w:t>一、固定资产投资项目偏差及索赔细则</w:t>
      </w:r>
    </w:p>
    <w:p w14:paraId="6F7CD551">
      <w:pPr>
        <w:spacing w:line="300" w:lineRule="auto"/>
        <w:ind w:firstLine="482" w:firstLineChars="200"/>
        <w:rPr>
          <w:rFonts w:ascii="仿宋_GB2312" w:hAnsi="仿宋_GB2312" w:eastAsia="仿宋_GB2312" w:cs="仿宋_GB2312"/>
          <w:b/>
          <w:bCs/>
          <w:i/>
          <w:iCs/>
          <w:kern w:val="0"/>
          <w:sz w:val="24"/>
          <w:szCs w:val="24"/>
        </w:rPr>
      </w:pPr>
      <w:r>
        <w:rPr>
          <w:rFonts w:hint="eastAsia" w:ascii="仿宋_GB2312" w:hAnsi="仿宋_GB2312" w:eastAsia="仿宋_GB2312" w:cs="仿宋_GB2312"/>
          <w:b/>
          <w:bCs/>
          <w:i/>
          <w:iCs/>
          <w:kern w:val="0"/>
          <w:sz w:val="24"/>
          <w:szCs w:val="24"/>
        </w:rPr>
        <w:t>（一）非标设备、产线等生产类固定资产投资项目</w:t>
      </w:r>
    </w:p>
    <w:p w14:paraId="5D1017F9">
      <w:pPr>
        <w:widowControl/>
        <w:spacing w:line="300" w:lineRule="auto"/>
        <w:ind w:firstLine="482" w:firstLineChars="200"/>
        <w:jc w:val="left"/>
        <w:outlineLvl w:val="2"/>
        <w:rPr>
          <w:rFonts w:ascii="仿宋_GB2312" w:hAnsi="仿宋_GB2312" w:eastAsia="仿宋_GB2312" w:cs="仿宋_GB2312"/>
          <w:b/>
          <w:bCs/>
          <w:i/>
          <w:iCs/>
          <w:kern w:val="0"/>
          <w:sz w:val="24"/>
          <w:szCs w:val="24"/>
        </w:rPr>
      </w:pPr>
      <w:r>
        <w:rPr>
          <w:rFonts w:hint="eastAsia" w:ascii="仿宋_GB2312" w:hAnsi="仿宋_GB2312" w:eastAsia="仿宋_GB2312" w:cs="仿宋_GB2312"/>
          <w:b/>
          <w:bCs/>
          <w:i/>
          <w:iCs/>
          <w:kern w:val="0"/>
          <w:sz w:val="24"/>
          <w:szCs w:val="24"/>
        </w:rPr>
        <w:t>1、产能节拍偏差</w:t>
      </w:r>
    </w:p>
    <w:p w14:paraId="7D1A0D74">
      <w:pPr>
        <w:widowControl/>
        <w:spacing w:line="300" w:lineRule="auto"/>
        <w:ind w:firstLine="482" w:firstLineChars="200"/>
        <w:jc w:val="left"/>
        <w:rPr>
          <w:rFonts w:ascii="仿宋_GB2312" w:hAnsi="仿宋_GB2312" w:eastAsia="仿宋_GB2312" w:cs="仿宋_GB2312"/>
          <w:i/>
          <w:iCs/>
          <w:sz w:val="24"/>
          <w:szCs w:val="24"/>
        </w:rPr>
      </w:pPr>
      <w:r>
        <w:rPr>
          <w:rFonts w:hint="eastAsia" w:ascii="仿宋_GB2312" w:hAnsi="仿宋_GB2312" w:eastAsia="仿宋_GB2312" w:cs="仿宋_GB2312"/>
          <w:b/>
          <w:bCs/>
          <w:i/>
          <w:iCs/>
          <w:sz w:val="24"/>
          <w:szCs w:val="24"/>
        </w:rPr>
        <w:t>1.1基准值</w:t>
      </w:r>
      <w:r>
        <w:rPr>
          <w:rFonts w:hint="eastAsia" w:ascii="仿宋_GB2312" w:hAnsi="仿宋_GB2312" w:eastAsia="仿宋_GB2312" w:cs="仿宋_GB2312"/>
          <w:i/>
          <w:iCs/>
          <w:sz w:val="24"/>
          <w:szCs w:val="24"/>
        </w:rPr>
        <w:t>：</w:t>
      </w:r>
    </w:p>
    <w:p w14:paraId="25776E07">
      <w:pPr>
        <w:widowControl/>
        <w:spacing w:line="300" w:lineRule="auto"/>
        <w:ind w:firstLine="480" w:firstLineChars="200"/>
        <w:jc w:val="left"/>
        <w:rPr>
          <w:rFonts w:ascii="仿宋_GB2312" w:hAnsi="仿宋_GB2312" w:eastAsia="仿宋_GB2312" w:cs="仿宋_GB2312"/>
          <w:i/>
          <w:iCs/>
          <w:kern w:val="0"/>
          <w:sz w:val="24"/>
          <w:szCs w:val="24"/>
          <w:lang w:bidi="ar"/>
        </w:rPr>
      </w:pPr>
      <w:r>
        <w:rPr>
          <w:rFonts w:hint="eastAsia" w:ascii="仿宋_GB2312" w:hAnsi="仿宋_GB2312" w:eastAsia="仿宋_GB2312" w:cs="仿宋_GB2312"/>
          <w:i/>
          <w:iCs/>
          <w:kern w:val="0"/>
          <w:sz w:val="24"/>
          <w:szCs w:val="24"/>
          <w:lang w:bidi="ar"/>
        </w:rPr>
        <w:t>产能节拍是指特定时间段内，生产线或生产工序必须完成一个单位产品所需要的时间间隔，以合同/技术协议内的节拍时间（秒/件）为准。</w:t>
      </w:r>
    </w:p>
    <w:p w14:paraId="0D6C40F6">
      <w:pPr>
        <w:widowControl/>
        <w:spacing w:line="300" w:lineRule="auto"/>
        <w:ind w:firstLine="482" w:firstLineChars="200"/>
        <w:jc w:val="left"/>
        <w:rPr>
          <w:rFonts w:ascii="仿宋_GB2312" w:hAnsi="仿宋_GB2312" w:eastAsia="仿宋_GB2312" w:cs="仿宋_GB2312"/>
          <w:i/>
          <w:iCs/>
          <w:sz w:val="24"/>
          <w:szCs w:val="24"/>
        </w:rPr>
      </w:pPr>
      <w:r>
        <w:rPr>
          <w:rFonts w:hint="eastAsia" w:ascii="仿宋_GB2312" w:hAnsi="仿宋_GB2312" w:eastAsia="仿宋_GB2312" w:cs="仿宋_GB2312"/>
          <w:b/>
          <w:bCs/>
          <w:i/>
          <w:iCs/>
          <w:sz w:val="24"/>
          <w:szCs w:val="24"/>
        </w:rPr>
        <w:t>1.2节拍偏差率核算公式</w:t>
      </w:r>
      <w:r>
        <w:rPr>
          <w:rFonts w:hint="eastAsia" w:ascii="仿宋_GB2312" w:hAnsi="仿宋_GB2312" w:eastAsia="仿宋_GB2312" w:cs="仿宋_GB2312"/>
          <w:i/>
          <w:iCs/>
          <w:sz w:val="24"/>
          <w:szCs w:val="24"/>
        </w:rPr>
        <w:t>：</w:t>
      </w:r>
    </w:p>
    <w:p w14:paraId="024E25F3">
      <w:pPr>
        <w:widowControl/>
        <w:spacing w:line="300" w:lineRule="auto"/>
        <w:ind w:firstLine="480" w:firstLineChars="200"/>
        <w:jc w:val="left"/>
        <w:rPr>
          <w:rFonts w:ascii="仿宋_GB2312" w:hAnsi="仿宋_GB2312" w:eastAsia="仿宋_GB2312" w:cs="仿宋_GB2312"/>
          <w:i/>
          <w:iCs/>
          <w:kern w:val="0"/>
          <w:sz w:val="24"/>
          <w:szCs w:val="24"/>
          <w:lang w:bidi="ar"/>
        </w:rPr>
      </w:pPr>
      <w:r>
        <w:rPr>
          <w:rFonts w:hint="eastAsia" w:ascii="仿宋_GB2312" w:hAnsi="仿宋_GB2312" w:eastAsia="仿宋_GB2312" w:cs="仿宋_GB2312"/>
          <w:i/>
          <w:iCs/>
          <w:kern w:val="0"/>
          <w:sz w:val="24"/>
          <w:szCs w:val="24"/>
          <w:lang w:bidi="ar"/>
        </w:rPr>
        <w:t>节拍偏差率=（实际节拍-约定节拍）÷约定节拍×100%</w:t>
      </w:r>
    </w:p>
    <w:p w14:paraId="64AFBF10">
      <w:pPr>
        <w:widowControl/>
        <w:spacing w:line="300" w:lineRule="auto"/>
        <w:ind w:firstLine="482" w:firstLineChars="200"/>
        <w:jc w:val="left"/>
        <w:rPr>
          <w:rFonts w:ascii="仿宋_GB2312" w:hAnsi="仿宋_GB2312" w:eastAsia="仿宋_GB2312" w:cs="仿宋_GB2312"/>
          <w:i/>
          <w:iCs/>
          <w:sz w:val="24"/>
          <w:szCs w:val="24"/>
        </w:rPr>
      </w:pPr>
      <w:r>
        <w:rPr>
          <w:rFonts w:hint="eastAsia" w:ascii="仿宋_GB2312" w:hAnsi="仿宋_GB2312" w:eastAsia="仿宋_GB2312" w:cs="仿宋_GB2312"/>
          <w:b/>
          <w:bCs/>
          <w:i/>
          <w:iCs/>
          <w:sz w:val="24"/>
          <w:szCs w:val="24"/>
        </w:rPr>
        <w:t>1.3扣款规则</w:t>
      </w:r>
      <w:r>
        <w:rPr>
          <w:rFonts w:hint="eastAsia" w:ascii="仿宋_GB2312" w:hAnsi="仿宋_GB2312" w:eastAsia="仿宋_GB2312" w:cs="仿宋_GB2312"/>
          <w:i/>
          <w:iCs/>
          <w:sz w:val="24"/>
          <w:szCs w:val="24"/>
        </w:rPr>
        <w:t>：</w:t>
      </w:r>
    </w:p>
    <w:p w14:paraId="0B77307E">
      <w:pPr>
        <w:widowControl/>
        <w:spacing w:line="300" w:lineRule="auto"/>
        <w:ind w:firstLine="480" w:firstLineChars="200"/>
        <w:jc w:val="left"/>
        <w:rPr>
          <w:rFonts w:ascii="仿宋_GB2312" w:hAnsi="仿宋_GB2312" w:eastAsia="仿宋_GB2312" w:cs="仿宋_GB2312"/>
          <w:i/>
          <w:iCs/>
          <w:kern w:val="0"/>
          <w:sz w:val="24"/>
          <w:szCs w:val="24"/>
          <w:lang w:bidi="ar"/>
        </w:rPr>
      </w:pPr>
      <w:r>
        <w:rPr>
          <w:rFonts w:hint="eastAsia" w:ascii="仿宋_GB2312" w:hAnsi="仿宋_GB2312" w:eastAsia="仿宋_GB2312" w:cs="仿宋_GB2312"/>
          <w:i/>
          <w:iCs/>
          <w:kern w:val="0"/>
          <w:sz w:val="24"/>
          <w:szCs w:val="24"/>
          <w:lang w:bidi="ar"/>
        </w:rPr>
        <w:t>节拍偏差率≤3%：视为允许偏差，不扣款；</w:t>
      </w:r>
    </w:p>
    <w:p w14:paraId="5ABA2995">
      <w:pPr>
        <w:widowControl/>
        <w:spacing w:line="300" w:lineRule="auto"/>
        <w:ind w:firstLine="480" w:firstLineChars="200"/>
        <w:jc w:val="left"/>
        <w:rPr>
          <w:rFonts w:ascii="仿宋_GB2312" w:hAnsi="仿宋_GB2312" w:eastAsia="仿宋_GB2312" w:cs="仿宋_GB2312"/>
          <w:i/>
          <w:iCs/>
          <w:kern w:val="0"/>
          <w:sz w:val="24"/>
          <w:szCs w:val="24"/>
          <w:lang w:bidi="ar"/>
        </w:rPr>
      </w:pPr>
      <w:r>
        <w:rPr>
          <w:rFonts w:hint="eastAsia" w:ascii="仿宋_GB2312" w:hAnsi="仿宋_GB2312" w:eastAsia="仿宋_GB2312" w:cs="仿宋_GB2312"/>
          <w:i/>
          <w:iCs/>
          <w:kern w:val="0"/>
          <w:sz w:val="24"/>
          <w:szCs w:val="24"/>
          <w:lang w:bidi="ar"/>
        </w:rPr>
        <w:t>节拍偏差率3%＜偏差率≤10%：偏差每超出1%，扣减设备合同价款的1%；</w:t>
      </w:r>
    </w:p>
    <w:p w14:paraId="6E91E689">
      <w:pPr>
        <w:widowControl/>
        <w:spacing w:line="300" w:lineRule="auto"/>
        <w:ind w:firstLine="480" w:firstLineChars="200"/>
        <w:jc w:val="left"/>
        <w:rPr>
          <w:rFonts w:ascii="仿宋_GB2312" w:hAnsi="仿宋_GB2312" w:eastAsia="仿宋_GB2312" w:cs="仿宋_GB2312"/>
          <w:i/>
          <w:iCs/>
          <w:kern w:val="0"/>
          <w:sz w:val="24"/>
          <w:szCs w:val="24"/>
          <w:lang w:bidi="ar"/>
        </w:rPr>
      </w:pPr>
      <w:r>
        <w:rPr>
          <w:rFonts w:hint="eastAsia" w:ascii="仿宋_GB2312" w:hAnsi="仿宋_GB2312" w:eastAsia="仿宋_GB2312" w:cs="仿宋_GB2312"/>
          <w:i/>
          <w:iCs/>
          <w:kern w:val="0"/>
          <w:sz w:val="24"/>
          <w:szCs w:val="24"/>
          <w:lang w:bidi="ar"/>
        </w:rPr>
        <w:t>节拍偏差率10%＜偏差率≤30%：属重大偏差，偏差每超出1%，扣减设备合同价款的1%；买方有权全部或部分不予验收付款，买方视情况选择解除合同或继续执行合同；</w:t>
      </w:r>
    </w:p>
    <w:p w14:paraId="554C8305">
      <w:pPr>
        <w:widowControl/>
        <w:spacing w:line="300" w:lineRule="auto"/>
        <w:ind w:firstLine="480" w:firstLineChars="200"/>
        <w:jc w:val="left"/>
        <w:rPr>
          <w:rFonts w:ascii="仿宋_GB2312" w:hAnsi="仿宋_GB2312" w:eastAsia="仿宋_GB2312" w:cs="仿宋_GB2312"/>
          <w:i/>
          <w:iCs/>
          <w:kern w:val="0"/>
          <w:sz w:val="24"/>
          <w:szCs w:val="24"/>
          <w:lang w:bidi="ar"/>
        </w:rPr>
      </w:pPr>
      <w:r>
        <w:rPr>
          <w:rFonts w:hint="eastAsia" w:ascii="仿宋_GB2312" w:hAnsi="仿宋_GB2312" w:eastAsia="仿宋_GB2312" w:cs="仿宋_GB2312"/>
          <w:i/>
          <w:iCs/>
          <w:kern w:val="0"/>
          <w:sz w:val="24"/>
          <w:szCs w:val="24"/>
          <w:lang w:bidi="ar"/>
        </w:rPr>
        <w:t>节拍偏差率＞30%：属根本违约，买方有权不予验收、不予付款，并有权单方解除合同。</w:t>
      </w:r>
    </w:p>
    <w:p w14:paraId="4E34EBC9">
      <w:pPr>
        <w:widowControl/>
        <w:spacing w:line="300" w:lineRule="auto"/>
        <w:ind w:firstLine="480" w:firstLineChars="200"/>
        <w:jc w:val="left"/>
        <w:rPr>
          <w:rFonts w:ascii="仿宋_GB2312" w:hAnsi="仿宋_GB2312" w:eastAsia="仿宋_GB2312" w:cs="仿宋_GB2312"/>
          <w:i/>
          <w:iCs/>
          <w:kern w:val="0"/>
          <w:sz w:val="24"/>
          <w:szCs w:val="24"/>
          <w:lang w:bidi="ar"/>
        </w:rPr>
      </w:pPr>
      <w:r>
        <w:rPr>
          <w:rFonts w:hint="eastAsia" w:ascii="仿宋_GB2312" w:hAnsi="仿宋_GB2312" w:eastAsia="仿宋_GB2312" w:cs="仿宋_GB2312"/>
          <w:i/>
          <w:iCs/>
          <w:kern w:val="0"/>
          <w:sz w:val="24"/>
          <w:szCs w:val="24"/>
          <w:lang w:bidi="ar"/>
        </w:rPr>
        <w:t>当项目涉及多个产品需进行节拍验收时，参照双方在合同内约定的各个产品节拍偏离扣款基数；如无明确约定，按扣款比例=(节拍超差产品数量/需验收节拍产品数量)*100%进行折算。</w:t>
      </w:r>
    </w:p>
    <w:p w14:paraId="239D11F5">
      <w:pPr>
        <w:widowControl/>
        <w:spacing w:line="300" w:lineRule="auto"/>
        <w:ind w:firstLine="482" w:firstLineChars="200"/>
        <w:jc w:val="left"/>
        <w:outlineLvl w:val="2"/>
        <w:rPr>
          <w:rFonts w:ascii="仿宋_GB2312" w:hAnsi="仿宋_GB2312" w:eastAsia="仿宋_GB2312" w:cs="仿宋_GB2312"/>
          <w:b/>
          <w:bCs/>
          <w:i/>
          <w:iCs/>
          <w:kern w:val="0"/>
          <w:sz w:val="24"/>
          <w:szCs w:val="24"/>
        </w:rPr>
      </w:pPr>
      <w:r>
        <w:rPr>
          <w:rFonts w:hint="eastAsia" w:ascii="仿宋_GB2312" w:hAnsi="仿宋_GB2312" w:eastAsia="仿宋_GB2312" w:cs="仿宋_GB2312"/>
          <w:b/>
          <w:bCs/>
          <w:i/>
          <w:iCs/>
          <w:kern w:val="0"/>
          <w:sz w:val="24"/>
          <w:szCs w:val="24"/>
        </w:rPr>
        <w:t>2、自动化率偏差</w:t>
      </w:r>
    </w:p>
    <w:p w14:paraId="1CA0DA12">
      <w:pPr>
        <w:widowControl/>
        <w:spacing w:line="300" w:lineRule="auto"/>
        <w:ind w:firstLine="482" w:firstLineChars="200"/>
        <w:jc w:val="left"/>
        <w:rPr>
          <w:rFonts w:ascii="仿宋_GB2312" w:hAnsi="仿宋_GB2312" w:eastAsia="仿宋_GB2312" w:cs="仿宋_GB2312"/>
          <w:i/>
          <w:iCs/>
          <w:sz w:val="24"/>
          <w:szCs w:val="24"/>
        </w:rPr>
      </w:pPr>
      <w:r>
        <w:rPr>
          <w:rFonts w:hint="eastAsia" w:ascii="仿宋_GB2312" w:hAnsi="仿宋_GB2312" w:eastAsia="仿宋_GB2312" w:cs="仿宋_GB2312"/>
          <w:b/>
          <w:bCs/>
          <w:i/>
          <w:iCs/>
          <w:sz w:val="24"/>
          <w:szCs w:val="24"/>
        </w:rPr>
        <w:t>2.1基准值</w:t>
      </w:r>
      <w:r>
        <w:rPr>
          <w:rFonts w:hint="eastAsia" w:ascii="仿宋_GB2312" w:hAnsi="仿宋_GB2312" w:eastAsia="仿宋_GB2312" w:cs="仿宋_GB2312"/>
          <w:i/>
          <w:iCs/>
          <w:sz w:val="24"/>
          <w:szCs w:val="24"/>
        </w:rPr>
        <w:t>：</w:t>
      </w:r>
    </w:p>
    <w:p w14:paraId="5A7EBBF3">
      <w:pPr>
        <w:widowControl/>
        <w:spacing w:line="300" w:lineRule="auto"/>
        <w:ind w:firstLine="480" w:firstLineChars="200"/>
        <w:jc w:val="left"/>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自动化率是指设备在完成其预定功能时不需要人工干预的程度，以合同</w:t>
      </w:r>
      <w:r>
        <w:rPr>
          <w:rFonts w:hint="eastAsia" w:ascii="仿宋_GB2312" w:hAnsi="仿宋_GB2312" w:eastAsia="仿宋_GB2312" w:cs="仿宋_GB2312"/>
          <w:i/>
          <w:iCs/>
          <w:kern w:val="0"/>
          <w:sz w:val="24"/>
          <w:szCs w:val="24"/>
          <w:lang w:bidi="ar"/>
        </w:rPr>
        <w:t>/技术协议</w:t>
      </w:r>
      <w:r>
        <w:rPr>
          <w:rFonts w:hint="eastAsia" w:ascii="仿宋_GB2312" w:hAnsi="仿宋_GB2312" w:eastAsia="仿宋_GB2312" w:cs="仿宋_GB2312"/>
          <w:i/>
          <w:iCs/>
          <w:sz w:val="24"/>
          <w:szCs w:val="24"/>
        </w:rPr>
        <w:t>约定的</w:t>
      </w:r>
      <w:r>
        <w:rPr>
          <w:rFonts w:hint="eastAsia" w:ascii="仿宋_GB2312" w:hAnsi="仿宋_GB2312" w:eastAsia="仿宋_GB2312" w:cs="仿宋_GB2312"/>
          <w:b/>
          <w:i/>
          <w:iCs/>
          <w:sz w:val="24"/>
          <w:szCs w:val="24"/>
        </w:rPr>
        <w:t>自动化率</w:t>
      </w:r>
      <w:r>
        <w:rPr>
          <w:rFonts w:hint="eastAsia" w:ascii="仿宋_GB2312" w:hAnsi="仿宋_GB2312" w:eastAsia="仿宋_GB2312" w:cs="仿宋_GB2312"/>
          <w:i/>
          <w:iCs/>
          <w:sz w:val="24"/>
          <w:szCs w:val="24"/>
        </w:rPr>
        <w:t>为准，按Q/ZZ 30096《产线自动化率核算规范》内规定的计算方法进行核算。</w:t>
      </w:r>
    </w:p>
    <w:p w14:paraId="036AF795">
      <w:pPr>
        <w:widowControl/>
        <w:spacing w:line="300" w:lineRule="auto"/>
        <w:ind w:firstLine="482" w:firstLineChars="200"/>
        <w:jc w:val="left"/>
        <w:rPr>
          <w:rFonts w:ascii="仿宋_GB2312" w:hAnsi="仿宋_GB2312" w:eastAsia="仿宋_GB2312" w:cs="仿宋_GB2312"/>
          <w:i/>
          <w:iCs/>
          <w:sz w:val="24"/>
          <w:szCs w:val="24"/>
        </w:rPr>
      </w:pPr>
      <w:r>
        <w:rPr>
          <w:rFonts w:hint="eastAsia" w:ascii="仿宋_GB2312" w:hAnsi="仿宋_GB2312" w:eastAsia="仿宋_GB2312" w:cs="仿宋_GB2312"/>
          <w:b/>
          <w:bCs/>
          <w:i/>
          <w:iCs/>
          <w:sz w:val="24"/>
          <w:szCs w:val="24"/>
        </w:rPr>
        <w:t>2.2自动化率偏差核算公式</w:t>
      </w:r>
      <w:r>
        <w:rPr>
          <w:rFonts w:hint="eastAsia" w:ascii="仿宋_GB2312" w:hAnsi="仿宋_GB2312" w:eastAsia="仿宋_GB2312" w:cs="仿宋_GB2312"/>
          <w:i/>
          <w:iCs/>
          <w:sz w:val="24"/>
          <w:szCs w:val="24"/>
        </w:rPr>
        <w:t>：</w:t>
      </w:r>
    </w:p>
    <w:p w14:paraId="345A233B">
      <w:pPr>
        <w:widowControl/>
        <w:spacing w:line="300" w:lineRule="auto"/>
        <w:ind w:firstLine="480" w:firstLineChars="200"/>
        <w:jc w:val="left"/>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自动化率偏差=约定自动化率-实际达成自动化率</w:t>
      </w:r>
    </w:p>
    <w:p w14:paraId="0FCDB1BE">
      <w:pPr>
        <w:widowControl/>
        <w:spacing w:line="300" w:lineRule="auto"/>
        <w:ind w:firstLine="482" w:firstLineChars="200"/>
        <w:jc w:val="left"/>
        <w:rPr>
          <w:rFonts w:ascii="仿宋_GB2312" w:hAnsi="仿宋_GB2312" w:eastAsia="仿宋_GB2312" w:cs="仿宋_GB2312"/>
          <w:i/>
          <w:iCs/>
          <w:sz w:val="24"/>
          <w:szCs w:val="24"/>
        </w:rPr>
      </w:pPr>
      <w:r>
        <w:rPr>
          <w:rFonts w:hint="eastAsia" w:ascii="仿宋_GB2312" w:hAnsi="仿宋_GB2312" w:eastAsia="仿宋_GB2312" w:cs="仿宋_GB2312"/>
          <w:b/>
          <w:bCs/>
          <w:i/>
          <w:iCs/>
          <w:sz w:val="24"/>
          <w:szCs w:val="24"/>
        </w:rPr>
        <w:t>2.3扣款规则</w:t>
      </w:r>
      <w:r>
        <w:rPr>
          <w:rFonts w:hint="eastAsia" w:ascii="仿宋_GB2312" w:hAnsi="仿宋_GB2312" w:eastAsia="仿宋_GB2312" w:cs="仿宋_GB2312"/>
          <w:i/>
          <w:iCs/>
          <w:sz w:val="24"/>
          <w:szCs w:val="24"/>
        </w:rPr>
        <w:t>：</w:t>
      </w:r>
    </w:p>
    <w:p w14:paraId="185B3318">
      <w:pPr>
        <w:widowControl/>
        <w:spacing w:line="300" w:lineRule="auto"/>
        <w:ind w:firstLine="480" w:firstLineChars="200"/>
        <w:jc w:val="left"/>
        <w:rPr>
          <w:rFonts w:ascii="仿宋_GB2312" w:hAnsi="仿宋_GB2312" w:eastAsia="仿宋_GB2312" w:cs="仿宋_GB2312"/>
          <w:i/>
          <w:iCs/>
          <w:kern w:val="0"/>
          <w:sz w:val="24"/>
          <w:szCs w:val="24"/>
          <w:lang w:bidi="ar"/>
        </w:rPr>
      </w:pPr>
      <w:r>
        <w:rPr>
          <w:rFonts w:hint="eastAsia" w:ascii="仿宋_GB2312" w:hAnsi="仿宋_GB2312" w:eastAsia="仿宋_GB2312" w:cs="仿宋_GB2312"/>
          <w:i/>
          <w:iCs/>
          <w:kern w:val="0"/>
          <w:sz w:val="24"/>
          <w:szCs w:val="24"/>
          <w:lang w:bidi="ar"/>
        </w:rPr>
        <w:t>自动化率偏差率＜【5】%：视为允许偏差，不扣款；</w:t>
      </w:r>
    </w:p>
    <w:p w14:paraId="1B65BF3A">
      <w:pPr>
        <w:widowControl/>
        <w:spacing w:line="300" w:lineRule="auto"/>
        <w:ind w:firstLine="480" w:firstLineChars="200"/>
        <w:jc w:val="left"/>
        <w:rPr>
          <w:rFonts w:ascii="仿宋_GB2312" w:hAnsi="仿宋_GB2312" w:eastAsia="仿宋_GB2312" w:cs="仿宋_GB2312"/>
          <w:i/>
          <w:iCs/>
          <w:kern w:val="0"/>
          <w:sz w:val="24"/>
          <w:szCs w:val="24"/>
          <w:lang w:bidi="ar"/>
        </w:rPr>
      </w:pPr>
      <w:r>
        <w:rPr>
          <w:rFonts w:hint="eastAsia" w:ascii="仿宋_GB2312" w:hAnsi="仿宋_GB2312" w:eastAsia="仿宋_GB2312" w:cs="仿宋_GB2312"/>
          <w:i/>
          <w:iCs/>
          <w:kern w:val="0"/>
          <w:sz w:val="24"/>
          <w:szCs w:val="24"/>
          <w:lang w:bidi="ar"/>
        </w:rPr>
        <w:t>【5】%≤自动化率偏差率＜【15】%：偏差每高1%，扣减对应合同价款的0.5%；</w:t>
      </w:r>
    </w:p>
    <w:p w14:paraId="39781B9A">
      <w:pPr>
        <w:widowControl/>
        <w:spacing w:line="300" w:lineRule="auto"/>
        <w:ind w:firstLine="480" w:firstLineChars="200"/>
        <w:jc w:val="left"/>
        <w:rPr>
          <w:rFonts w:ascii="仿宋_GB2312" w:hAnsi="仿宋_GB2312" w:eastAsia="仿宋_GB2312" w:cs="仿宋_GB2312"/>
          <w:i/>
          <w:iCs/>
          <w:sz w:val="24"/>
          <w:szCs w:val="24"/>
        </w:rPr>
      </w:pPr>
      <w:r>
        <w:rPr>
          <w:rFonts w:hint="eastAsia" w:ascii="仿宋_GB2312" w:hAnsi="仿宋_GB2312" w:eastAsia="仿宋_GB2312" w:cs="仿宋_GB2312"/>
          <w:i/>
          <w:iCs/>
          <w:kern w:val="0"/>
          <w:sz w:val="24"/>
          <w:szCs w:val="24"/>
          <w:lang w:bidi="ar"/>
        </w:rPr>
        <w:t>自动化率偏差率≥【15】%：视为重大偏差，买方有权选择以下任一种扣款方式：①按照额外增加的人工及设备使用年限核算扣款，人工成本按买方实际支出执行扣款，扣款不高于合同总价款的30%；②买方有权全部或部分不予验收付款，并单方解除合同。</w:t>
      </w:r>
    </w:p>
    <w:p w14:paraId="4EC93A24">
      <w:pPr>
        <w:widowControl/>
        <w:spacing w:line="300" w:lineRule="auto"/>
        <w:ind w:firstLine="482" w:firstLineChars="200"/>
        <w:jc w:val="left"/>
        <w:rPr>
          <w:rFonts w:ascii="仿宋_GB2312" w:hAnsi="仿宋_GB2312" w:eastAsia="仿宋_GB2312" w:cs="仿宋_GB2312"/>
          <w:b/>
          <w:bCs/>
          <w:i/>
          <w:iCs/>
          <w:sz w:val="24"/>
          <w:szCs w:val="24"/>
        </w:rPr>
      </w:pPr>
      <w:r>
        <w:rPr>
          <w:rFonts w:hint="eastAsia" w:ascii="仿宋_GB2312" w:hAnsi="仿宋_GB2312" w:eastAsia="仿宋_GB2312" w:cs="仿宋_GB2312"/>
          <w:b/>
          <w:bCs/>
          <w:i/>
          <w:iCs/>
          <w:sz w:val="24"/>
          <w:szCs w:val="24"/>
        </w:rPr>
        <w:t>3、功能及性能偏差</w:t>
      </w:r>
    </w:p>
    <w:p w14:paraId="64DA5A9E">
      <w:pPr>
        <w:widowControl/>
        <w:spacing w:line="300" w:lineRule="auto"/>
        <w:ind w:firstLine="482" w:firstLineChars="200"/>
        <w:jc w:val="left"/>
        <w:rPr>
          <w:rFonts w:ascii="仿宋_GB2312" w:hAnsi="仿宋_GB2312" w:eastAsia="仿宋_GB2312" w:cs="仿宋_GB2312"/>
          <w:b/>
          <w:bCs/>
          <w:i/>
          <w:iCs/>
          <w:sz w:val="24"/>
          <w:szCs w:val="24"/>
        </w:rPr>
      </w:pPr>
      <w:r>
        <w:rPr>
          <w:rFonts w:hint="eastAsia" w:ascii="仿宋_GB2312" w:hAnsi="仿宋_GB2312" w:eastAsia="仿宋_GB2312" w:cs="仿宋_GB2312"/>
          <w:b/>
          <w:bCs/>
          <w:i/>
          <w:iCs/>
          <w:sz w:val="24"/>
          <w:szCs w:val="24"/>
        </w:rPr>
        <w:t>3.1核心功能/主要参数不达标（根本违约）</w:t>
      </w:r>
    </w:p>
    <w:p w14:paraId="7DC66FC2">
      <w:pPr>
        <w:widowControl/>
        <w:spacing w:line="300" w:lineRule="auto"/>
        <w:ind w:firstLine="480" w:firstLineChars="200"/>
        <w:jc w:val="left"/>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设备主要功能、核心性能指标、关键技术参数未达到合同及附件《技术协议》约定标准或国家、行业标准，导致项目无法实现核心产能、工艺要求不满足、整体验收不合格的，视为卖方根本违约。</w:t>
      </w:r>
    </w:p>
    <w:p w14:paraId="5474F6B5">
      <w:pPr>
        <w:widowControl/>
        <w:spacing w:line="300" w:lineRule="auto"/>
        <w:ind w:firstLine="480" w:firstLineChars="200"/>
        <w:jc w:val="left"/>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买方有权单方解除合同、无条件全额退货退款，卖方应在买方通知后7个工作日内全额退还买方已支付的全部款项，并承担设备往返运输、拆装、检测、仓储等全部相关费用；同时卖方应按合同总金额的20%向买方支付违约金，违约金不足以弥补买方工期延误、停产损失、第三方索赔等全部实际损失的，卖方应就差额部分另行足额赔偿。</w:t>
      </w:r>
    </w:p>
    <w:p w14:paraId="7ECA1535">
      <w:pPr>
        <w:widowControl/>
        <w:spacing w:line="300" w:lineRule="auto"/>
        <w:ind w:firstLine="480" w:firstLineChars="200"/>
        <w:jc w:val="left"/>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对于创新性强、技术难度大的挑战性项目，如存在部分关键指标不达标但经买方认定不影响产品、产线使用的，买方可选择让步接收，卖方提供不高于合同总金额的20%的折扣作为对买方让步接收的补偿。</w:t>
      </w:r>
    </w:p>
    <w:p w14:paraId="6920FB5E">
      <w:pPr>
        <w:widowControl/>
        <w:spacing w:line="300" w:lineRule="auto"/>
        <w:ind w:firstLine="482" w:firstLineChars="200"/>
        <w:jc w:val="left"/>
        <w:rPr>
          <w:rFonts w:ascii="仿宋_GB2312" w:hAnsi="仿宋_GB2312" w:eastAsia="仿宋_GB2312" w:cs="仿宋_GB2312"/>
          <w:b/>
          <w:bCs/>
          <w:i/>
          <w:iCs/>
          <w:sz w:val="24"/>
          <w:szCs w:val="24"/>
        </w:rPr>
      </w:pPr>
      <w:r>
        <w:rPr>
          <w:rFonts w:hint="eastAsia" w:ascii="仿宋_GB2312" w:hAnsi="仿宋_GB2312" w:eastAsia="仿宋_GB2312" w:cs="仿宋_GB2312"/>
          <w:b/>
          <w:bCs/>
          <w:i/>
          <w:iCs/>
          <w:sz w:val="24"/>
          <w:szCs w:val="24"/>
        </w:rPr>
        <w:t>3.2辅助指标/配置不符（非根本违约）</w:t>
      </w:r>
    </w:p>
    <w:p w14:paraId="0BE37956">
      <w:pPr>
        <w:widowControl/>
        <w:spacing w:line="300" w:lineRule="auto"/>
        <w:ind w:firstLine="480" w:firstLineChars="200"/>
        <w:jc w:val="left"/>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设备主要功能及核心参数均达标、可实现项目核心用途，但辅助性能指标、选配模块、附件配置、软件功能、外观尺寸等与合同约定不符，仅影响辅助性能或使用体验、不影响项目整体运行的，卖方应无偿补齐缺失配件、将不符项整改至约定标准，由此产生的全部费用由卖方自行承担；若卖方无法整改到位，双方应在30个工作日内按实际交付状态重新核定合同价款，签订书面补充协议并按调整后价格执行结算。买方有权全部或部分不予验收及付款。</w:t>
      </w:r>
    </w:p>
    <w:p w14:paraId="4119F9FF">
      <w:pPr>
        <w:widowControl/>
        <w:spacing w:line="300" w:lineRule="auto"/>
        <w:ind w:firstLine="482" w:firstLineChars="200"/>
        <w:jc w:val="left"/>
        <w:outlineLvl w:val="1"/>
        <w:rPr>
          <w:rFonts w:ascii="仿宋_GB2312" w:hAnsi="仿宋_GB2312" w:eastAsia="仿宋_GB2312" w:cs="仿宋_GB2312"/>
          <w:b/>
          <w:bCs/>
          <w:i/>
          <w:iCs/>
          <w:kern w:val="0"/>
          <w:sz w:val="24"/>
          <w:szCs w:val="24"/>
        </w:rPr>
      </w:pPr>
      <w:r>
        <w:rPr>
          <w:rFonts w:hint="eastAsia" w:ascii="仿宋_GB2312" w:hAnsi="仿宋_GB2312" w:eastAsia="仿宋_GB2312" w:cs="仿宋_GB2312"/>
          <w:b/>
          <w:bCs/>
          <w:i/>
          <w:iCs/>
          <w:kern w:val="0"/>
          <w:sz w:val="24"/>
          <w:szCs w:val="24"/>
        </w:rPr>
        <w:t>4、交付期偏差</w:t>
      </w:r>
    </w:p>
    <w:p w14:paraId="10048EDF">
      <w:pPr>
        <w:widowControl/>
        <w:spacing w:line="300" w:lineRule="auto"/>
        <w:ind w:firstLine="482" w:firstLineChars="200"/>
        <w:jc w:val="left"/>
        <w:rPr>
          <w:rFonts w:ascii="仿宋_GB2312" w:hAnsi="仿宋_GB2312" w:eastAsia="仿宋_GB2312" w:cs="仿宋_GB2312"/>
          <w:i/>
          <w:iCs/>
          <w:sz w:val="24"/>
          <w:szCs w:val="24"/>
        </w:rPr>
      </w:pPr>
      <w:r>
        <w:rPr>
          <w:rFonts w:hint="eastAsia" w:ascii="仿宋_GB2312" w:hAnsi="仿宋_GB2312" w:eastAsia="仿宋_GB2312" w:cs="仿宋_GB2312"/>
          <w:b/>
          <w:bCs/>
          <w:i/>
          <w:iCs/>
          <w:sz w:val="24"/>
          <w:szCs w:val="24"/>
        </w:rPr>
        <w:t>4.1交付期偏差：</w:t>
      </w:r>
      <w:r>
        <w:rPr>
          <w:rFonts w:hint="eastAsia" w:ascii="仿宋_GB2312" w:hAnsi="仿宋_GB2312" w:eastAsia="仿宋_GB2312" w:cs="仿宋_GB2312"/>
          <w:i/>
          <w:iCs/>
          <w:sz w:val="24"/>
          <w:szCs w:val="24"/>
        </w:rPr>
        <w:t>指设备到货、安装调试等过程周期超出合同约定的时间。</w:t>
      </w:r>
    </w:p>
    <w:p w14:paraId="6B387CFA">
      <w:pPr>
        <w:widowControl/>
        <w:spacing w:line="300" w:lineRule="auto"/>
        <w:ind w:firstLine="482" w:firstLineChars="200"/>
        <w:jc w:val="left"/>
        <w:rPr>
          <w:rFonts w:ascii="仿宋_GB2312" w:hAnsi="仿宋_GB2312" w:eastAsia="仿宋_GB2312" w:cs="仿宋_GB2312"/>
          <w:i/>
          <w:iCs/>
          <w:sz w:val="24"/>
          <w:szCs w:val="24"/>
        </w:rPr>
      </w:pPr>
      <w:r>
        <w:rPr>
          <w:rFonts w:hint="eastAsia" w:ascii="仿宋_GB2312" w:hAnsi="仿宋_GB2312" w:eastAsia="仿宋_GB2312" w:cs="仿宋_GB2312"/>
          <w:b/>
          <w:bCs/>
          <w:i/>
          <w:iCs/>
          <w:sz w:val="24"/>
          <w:szCs w:val="24"/>
        </w:rPr>
        <w:t>4.2扣款规则：</w:t>
      </w:r>
      <w:r>
        <w:rPr>
          <w:rFonts w:hint="eastAsia" w:ascii="仿宋_GB2312" w:hAnsi="仿宋_GB2312" w:eastAsia="仿宋_GB2312" w:cs="仿宋_GB2312"/>
          <w:i/>
          <w:iCs/>
          <w:sz w:val="24"/>
          <w:szCs w:val="24"/>
        </w:rPr>
        <w:t>到货或安装调试每迟1个工作日，扣减设备合同价款的1%作为违约金，如违约金超过合同总价款的20%或因卖方原因设备未能通过最终验收，买方有权就卖方违约而解除合同，且卖方仍须支付上述违约金，返还买方已支付的设备款（如有），并赔偿由此给买方造成的一切损失。</w:t>
      </w:r>
    </w:p>
    <w:p w14:paraId="40D1CD9F">
      <w:pPr>
        <w:spacing w:line="300" w:lineRule="auto"/>
        <w:ind w:firstLine="482" w:firstLineChars="200"/>
        <w:rPr>
          <w:rFonts w:ascii="仿宋_GB2312" w:hAnsi="仿宋_GB2312" w:eastAsia="仿宋_GB2312" w:cs="仿宋_GB2312"/>
          <w:b/>
          <w:bCs/>
          <w:i/>
          <w:iCs/>
          <w:kern w:val="0"/>
          <w:sz w:val="24"/>
          <w:szCs w:val="24"/>
        </w:rPr>
      </w:pPr>
      <w:r>
        <w:rPr>
          <w:rFonts w:hint="eastAsia" w:ascii="仿宋_GB2312" w:hAnsi="仿宋_GB2312" w:eastAsia="仿宋_GB2312" w:cs="仿宋_GB2312"/>
          <w:b/>
          <w:bCs/>
          <w:i/>
          <w:iCs/>
          <w:kern w:val="0"/>
          <w:sz w:val="24"/>
          <w:szCs w:val="24"/>
        </w:rPr>
        <w:t>（二）研发、检测类固定资产投资项目</w:t>
      </w:r>
    </w:p>
    <w:p w14:paraId="1AB80D29">
      <w:pPr>
        <w:widowControl/>
        <w:spacing w:line="300" w:lineRule="auto"/>
        <w:ind w:firstLine="482" w:firstLineChars="200"/>
        <w:jc w:val="left"/>
        <w:rPr>
          <w:rFonts w:ascii="仿宋_GB2312" w:hAnsi="仿宋_GB2312" w:eastAsia="仿宋_GB2312" w:cs="仿宋_GB2312"/>
          <w:b/>
          <w:bCs/>
          <w:i/>
          <w:iCs/>
          <w:sz w:val="24"/>
          <w:szCs w:val="24"/>
        </w:rPr>
      </w:pPr>
      <w:r>
        <w:rPr>
          <w:rFonts w:hint="eastAsia" w:ascii="仿宋_GB2312" w:hAnsi="仿宋_GB2312" w:eastAsia="仿宋_GB2312" w:cs="仿宋_GB2312"/>
          <w:b/>
          <w:bCs/>
          <w:i/>
          <w:iCs/>
          <w:sz w:val="24"/>
          <w:szCs w:val="24"/>
        </w:rPr>
        <w:t>1、功能及性能偏差</w:t>
      </w:r>
    </w:p>
    <w:p w14:paraId="5856C0AC">
      <w:pPr>
        <w:widowControl/>
        <w:spacing w:line="300" w:lineRule="auto"/>
        <w:ind w:firstLine="482" w:firstLineChars="200"/>
        <w:jc w:val="left"/>
        <w:rPr>
          <w:rFonts w:ascii="仿宋_GB2312" w:hAnsi="仿宋_GB2312" w:eastAsia="仿宋_GB2312" w:cs="仿宋_GB2312"/>
          <w:b/>
          <w:bCs/>
          <w:i/>
          <w:iCs/>
          <w:sz w:val="24"/>
          <w:szCs w:val="24"/>
        </w:rPr>
      </w:pPr>
      <w:r>
        <w:rPr>
          <w:rFonts w:hint="eastAsia" w:ascii="仿宋_GB2312" w:hAnsi="仿宋_GB2312" w:eastAsia="仿宋_GB2312" w:cs="仿宋_GB2312"/>
          <w:b/>
          <w:bCs/>
          <w:i/>
          <w:iCs/>
          <w:sz w:val="24"/>
          <w:szCs w:val="24"/>
        </w:rPr>
        <w:t>1.1核心功能/主要参数不达标（根本违约）</w:t>
      </w:r>
    </w:p>
    <w:p w14:paraId="77282B59">
      <w:pPr>
        <w:widowControl/>
        <w:spacing w:line="300" w:lineRule="auto"/>
        <w:ind w:firstLine="480" w:firstLineChars="200"/>
        <w:jc w:val="left"/>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设备主要功能、核心性能指标、关键技术参数未达到合同及附件《技术协议》约定标准或国家、行业标准，导致项目无法实现核心功能、工艺要求不满足、整体验收不合格的，视为卖方根本违约。</w:t>
      </w:r>
    </w:p>
    <w:p w14:paraId="7B5179CE">
      <w:pPr>
        <w:widowControl/>
        <w:spacing w:line="300" w:lineRule="auto"/>
        <w:ind w:firstLine="480" w:firstLineChars="200"/>
        <w:jc w:val="left"/>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买方有权单方解除合同、无条件全额退货退款，卖方应在买方通知后7个工作日内全额退还买方已支付的全部款项，并承担设备往返运输、拆装、检测、仓储等全部相关费用；同时卖方应按合同总金额的20%向买方支付违约金，违约金不足以弥补买方工期延误、停产损失、第三方索赔等全部实际损失的，卖方应就差额部分另行足额赔偿。</w:t>
      </w:r>
    </w:p>
    <w:p w14:paraId="5694235B">
      <w:pPr>
        <w:widowControl/>
        <w:spacing w:line="300" w:lineRule="auto"/>
        <w:ind w:firstLine="480" w:firstLineChars="200"/>
        <w:jc w:val="left"/>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对于创新性强、技术难度大的挑战性项目，如存在部分次要指标不达标但经买方认定不影响使用的，买方可选择让步接收，卖方提供不高于合同总金额的20%的折扣作为对买方让步接收的补偿。</w:t>
      </w:r>
    </w:p>
    <w:p w14:paraId="5F5B356A">
      <w:pPr>
        <w:widowControl/>
        <w:spacing w:line="300" w:lineRule="auto"/>
        <w:ind w:left="-363" w:firstLine="723" w:firstLineChars="300"/>
        <w:jc w:val="left"/>
        <w:rPr>
          <w:rFonts w:ascii="仿宋_GB2312" w:hAnsi="仿宋_GB2312" w:eastAsia="仿宋_GB2312" w:cs="仿宋_GB2312"/>
          <w:b/>
          <w:bCs/>
          <w:i/>
          <w:iCs/>
          <w:sz w:val="24"/>
          <w:szCs w:val="24"/>
        </w:rPr>
      </w:pPr>
      <w:r>
        <w:rPr>
          <w:rFonts w:hint="eastAsia" w:ascii="仿宋_GB2312" w:hAnsi="仿宋_GB2312" w:eastAsia="仿宋_GB2312" w:cs="仿宋_GB2312"/>
          <w:b/>
          <w:bCs/>
          <w:i/>
          <w:iCs/>
          <w:sz w:val="24"/>
          <w:szCs w:val="24"/>
        </w:rPr>
        <w:t>1.2辅助指标/配置不符（非根本违约）</w:t>
      </w:r>
    </w:p>
    <w:p w14:paraId="7BCA01BA">
      <w:pPr>
        <w:widowControl/>
        <w:spacing w:line="300" w:lineRule="auto"/>
        <w:ind w:firstLine="480" w:firstLineChars="200"/>
        <w:jc w:val="left"/>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设备主要功能及核心参数均达标、可实现项目核心用途，但辅助性能指标、选配模块、附件配置、软件功能、外观尺寸等与合同约定不符，仅影响辅助性能或使用体验、不影响项目整体运行的，卖方应无偿补齐缺失配件、将不符项整改至约定标准，由此产生的全部费用由卖方自行承担；若卖方无法整改到位，双方应在30个工作日内按实际交付状态重新核定合同价款，签订书面补充协议并按调整后价格执行结算。买方有权全部或部分不予验收及付款。</w:t>
      </w:r>
    </w:p>
    <w:p w14:paraId="5CF9E90D">
      <w:pPr>
        <w:widowControl/>
        <w:spacing w:line="300" w:lineRule="auto"/>
        <w:ind w:left="-363" w:firstLine="843" w:firstLineChars="350"/>
        <w:jc w:val="left"/>
        <w:rPr>
          <w:rFonts w:ascii="仿宋_GB2312" w:hAnsi="仿宋_GB2312" w:eastAsia="仿宋_GB2312" w:cs="仿宋_GB2312"/>
          <w:i/>
          <w:iCs/>
          <w:sz w:val="24"/>
          <w:szCs w:val="24"/>
        </w:rPr>
      </w:pPr>
      <w:r>
        <w:rPr>
          <w:rFonts w:hint="eastAsia" w:ascii="仿宋_GB2312" w:hAnsi="仿宋_GB2312" w:eastAsia="仿宋_GB2312" w:cs="仿宋_GB2312"/>
          <w:b/>
          <w:bCs/>
          <w:i/>
          <w:iCs/>
          <w:sz w:val="24"/>
          <w:szCs w:val="24"/>
        </w:rPr>
        <w:t>2、交付期偏差</w:t>
      </w:r>
    </w:p>
    <w:p w14:paraId="3EF7C3D1">
      <w:pPr>
        <w:widowControl/>
        <w:spacing w:line="300" w:lineRule="auto"/>
        <w:ind w:firstLine="482" w:firstLineChars="200"/>
        <w:jc w:val="left"/>
        <w:rPr>
          <w:rFonts w:ascii="仿宋_GB2312" w:hAnsi="仿宋_GB2312" w:eastAsia="仿宋_GB2312" w:cs="仿宋_GB2312"/>
          <w:i/>
          <w:iCs/>
          <w:sz w:val="24"/>
          <w:szCs w:val="24"/>
        </w:rPr>
      </w:pPr>
      <w:r>
        <w:rPr>
          <w:rFonts w:hint="eastAsia" w:ascii="仿宋_GB2312" w:hAnsi="仿宋_GB2312" w:eastAsia="仿宋_GB2312" w:cs="仿宋_GB2312"/>
          <w:b/>
          <w:bCs/>
          <w:i/>
          <w:iCs/>
          <w:sz w:val="24"/>
          <w:szCs w:val="24"/>
        </w:rPr>
        <w:t>2.1交付期偏差：</w:t>
      </w:r>
      <w:r>
        <w:rPr>
          <w:rFonts w:hint="eastAsia" w:ascii="仿宋_GB2312" w:hAnsi="仿宋_GB2312" w:eastAsia="仿宋_GB2312" w:cs="仿宋_GB2312"/>
          <w:i/>
          <w:iCs/>
          <w:sz w:val="24"/>
          <w:szCs w:val="24"/>
        </w:rPr>
        <w:t>指设备到货、安装调试等过程，因卖方自身原因造成周期超出合同约定的时间。</w:t>
      </w:r>
    </w:p>
    <w:p w14:paraId="22150D39">
      <w:pPr>
        <w:widowControl/>
        <w:spacing w:line="300" w:lineRule="auto"/>
        <w:ind w:firstLine="482" w:firstLineChars="200"/>
        <w:jc w:val="left"/>
        <w:rPr>
          <w:rFonts w:ascii="仿宋_GB2312" w:hAnsi="仿宋_GB2312" w:eastAsia="仿宋_GB2312" w:cs="仿宋_GB2312"/>
          <w:i/>
          <w:iCs/>
          <w:sz w:val="24"/>
          <w:szCs w:val="24"/>
        </w:rPr>
      </w:pPr>
      <w:r>
        <w:rPr>
          <w:rFonts w:hint="eastAsia" w:ascii="仿宋_GB2312" w:hAnsi="仿宋_GB2312" w:eastAsia="仿宋_GB2312" w:cs="仿宋_GB2312"/>
          <w:b/>
          <w:bCs/>
          <w:i/>
          <w:iCs/>
          <w:sz w:val="24"/>
          <w:szCs w:val="24"/>
        </w:rPr>
        <w:t>2.2扣款规则：</w:t>
      </w:r>
      <w:r>
        <w:rPr>
          <w:rFonts w:hint="eastAsia" w:ascii="仿宋_GB2312" w:hAnsi="仿宋_GB2312" w:eastAsia="仿宋_GB2312" w:cs="仿宋_GB2312"/>
          <w:i/>
          <w:iCs/>
          <w:sz w:val="24"/>
          <w:szCs w:val="24"/>
        </w:rPr>
        <w:t>交付期每迟1个工作日，扣减设备合同价款的0.5%，如扣款额超过合同总价款的20%，买方有权就卖方违约而解除合同，且卖方仍须支付上述违约金，并赔偿由此给买方造成的一切损失。</w:t>
      </w:r>
    </w:p>
    <w:p w14:paraId="79A9EE06">
      <w:pPr>
        <w:widowControl/>
        <w:spacing w:line="300" w:lineRule="auto"/>
        <w:ind w:firstLine="482" w:firstLineChars="200"/>
        <w:jc w:val="left"/>
        <w:rPr>
          <w:rFonts w:ascii="仿宋_GB2312" w:hAnsi="仿宋_GB2312" w:eastAsia="仿宋_GB2312" w:cs="仿宋_GB2312"/>
          <w:i/>
          <w:iCs/>
          <w:sz w:val="24"/>
          <w:szCs w:val="24"/>
        </w:rPr>
      </w:pPr>
      <w:r>
        <w:rPr>
          <w:rFonts w:hint="eastAsia" w:ascii="仿宋_GB2312" w:hAnsi="仿宋_GB2312" w:eastAsia="仿宋_GB2312" w:cs="仿宋_GB2312"/>
          <w:b/>
          <w:bCs/>
          <w:i/>
          <w:iCs/>
          <w:sz w:val="24"/>
          <w:szCs w:val="24"/>
        </w:rPr>
        <w:t>2.3</w:t>
      </w:r>
      <w:r>
        <w:rPr>
          <w:rFonts w:hint="eastAsia" w:ascii="仿宋_GB2312" w:hAnsi="仿宋_GB2312" w:eastAsia="仿宋_GB2312" w:cs="仿宋_GB2312"/>
          <w:i/>
          <w:iCs/>
          <w:sz w:val="24"/>
          <w:szCs w:val="24"/>
        </w:rPr>
        <w:t>针对研发、检测类试验设备特殊卖方（技术垄断、进口）的超期情况，第一次卖方需提前两个月提出书面延期申请并附最新交货期，经买方研判后出具考核结论；第二次超期时，买方按上述扣款规则进行考核。</w:t>
      </w:r>
    </w:p>
    <w:p w14:paraId="68F7FB0B">
      <w:pPr>
        <w:widowControl/>
        <w:spacing w:line="300" w:lineRule="auto"/>
        <w:ind w:firstLine="482" w:firstLineChars="200"/>
        <w:jc w:val="left"/>
        <w:outlineLvl w:val="1"/>
        <w:rPr>
          <w:rFonts w:ascii="仿宋_GB2312" w:hAnsi="仿宋_GB2312" w:eastAsia="仿宋_GB2312" w:cs="仿宋_GB2312"/>
          <w:b/>
          <w:bCs/>
          <w:i/>
          <w:iCs/>
          <w:kern w:val="0"/>
          <w:sz w:val="24"/>
          <w:szCs w:val="24"/>
        </w:rPr>
      </w:pPr>
      <w:r>
        <w:rPr>
          <w:rFonts w:hint="eastAsia" w:ascii="仿宋_GB2312" w:hAnsi="仿宋_GB2312" w:eastAsia="仿宋_GB2312" w:cs="仿宋_GB2312"/>
          <w:b/>
          <w:bCs/>
          <w:i/>
          <w:iCs/>
          <w:kern w:val="0"/>
          <w:sz w:val="24"/>
          <w:szCs w:val="24"/>
        </w:rPr>
        <w:t>二、考核与执行流程</w:t>
      </w:r>
    </w:p>
    <w:p w14:paraId="4DA6A370">
      <w:pPr>
        <w:widowControl/>
        <w:spacing w:line="300" w:lineRule="auto"/>
        <w:ind w:firstLine="480" w:firstLineChars="200"/>
        <w:jc w:val="left"/>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1、卖方同意，在买方就索赔扣款及违约金通知卖方后，买方有权直接从</w:t>
      </w:r>
      <w:r>
        <w:rPr>
          <w:rFonts w:hint="eastAsia" w:ascii="仿宋_GB2312" w:hAnsi="仿宋_GB2312" w:eastAsia="仿宋_GB2312" w:cs="仿宋_GB2312"/>
          <w:b/>
          <w:i/>
          <w:iCs/>
          <w:sz w:val="24"/>
          <w:szCs w:val="24"/>
        </w:rPr>
        <w:t>项目尾款、履约保证金或质保金</w:t>
      </w:r>
      <w:r>
        <w:rPr>
          <w:rFonts w:hint="eastAsia" w:ascii="仿宋_GB2312" w:hAnsi="仿宋_GB2312" w:eastAsia="仿宋_GB2312" w:cs="仿宋_GB2312"/>
          <w:i/>
          <w:iCs/>
          <w:sz w:val="24"/>
          <w:szCs w:val="24"/>
        </w:rPr>
        <w:t>中优先抵扣相应款项。若抵扣后仍不足以覆盖索赔扣款及违约金金额，卖方应就剩余部分另行向买方支付。</w:t>
      </w:r>
    </w:p>
    <w:p w14:paraId="3FE0BDF0">
      <w:pPr>
        <w:widowControl/>
        <w:spacing w:line="300" w:lineRule="auto"/>
        <w:ind w:firstLine="480" w:firstLineChars="200"/>
        <w:jc w:val="left"/>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2、针对同一问题同时触发的多项索赔，不重复扣款，按照索赔金额较高的标准执行，但不同阶段重复发生的不在此限。所有索赔金额不超过合同总金额的30%。</w:t>
      </w:r>
    </w:p>
    <w:p w14:paraId="6F8F8FB9">
      <w:pPr>
        <w:widowControl/>
        <w:spacing w:line="300" w:lineRule="auto"/>
        <w:ind w:firstLine="482" w:firstLineChars="200"/>
        <w:jc w:val="left"/>
        <w:outlineLvl w:val="1"/>
        <w:rPr>
          <w:rFonts w:ascii="仿宋_GB2312" w:hAnsi="仿宋_GB2312" w:eastAsia="仿宋_GB2312" w:cs="仿宋_GB2312"/>
          <w:b/>
          <w:bCs/>
          <w:i/>
          <w:iCs/>
          <w:kern w:val="0"/>
          <w:sz w:val="24"/>
          <w:szCs w:val="24"/>
        </w:rPr>
      </w:pPr>
      <w:r>
        <w:rPr>
          <w:rFonts w:hint="eastAsia" w:ascii="仿宋_GB2312" w:hAnsi="仿宋_GB2312" w:eastAsia="仿宋_GB2312" w:cs="仿宋_GB2312"/>
          <w:b/>
          <w:bCs/>
          <w:i/>
          <w:iCs/>
          <w:kern w:val="0"/>
          <w:sz w:val="24"/>
          <w:szCs w:val="24"/>
        </w:rPr>
        <w:t>三、附则</w:t>
      </w:r>
    </w:p>
    <w:p w14:paraId="5F7160AD">
      <w:pPr>
        <w:widowControl/>
        <w:spacing w:line="300" w:lineRule="auto"/>
        <w:ind w:firstLine="480" w:firstLineChars="200"/>
        <w:jc w:val="left"/>
        <w:rPr>
          <w:rFonts w:ascii="仿宋_GB2312" w:hAnsi="仿宋_GB2312" w:eastAsia="仿宋_GB2312" w:cs="仿宋_GB2312"/>
          <w:i/>
          <w:iCs/>
          <w:sz w:val="24"/>
          <w:szCs w:val="24"/>
        </w:rPr>
      </w:pPr>
      <w:r>
        <w:rPr>
          <w:rFonts w:hint="eastAsia" w:ascii="仿宋_GB2312" w:hAnsi="仿宋_GB2312" w:eastAsia="仿宋_GB2312" w:cs="仿宋_GB2312"/>
          <w:i/>
          <w:iCs/>
          <w:sz w:val="24"/>
          <w:szCs w:val="24"/>
        </w:rPr>
        <w:t>本细则作为主合同</w:t>
      </w:r>
      <w:r>
        <w:rPr>
          <w:rFonts w:hint="eastAsia" w:ascii="仿宋_GB2312" w:hAnsi="仿宋_GB2312" w:eastAsia="仿宋_GB2312" w:cs="仿宋_GB2312"/>
          <w:b/>
          <w:i/>
          <w:iCs/>
          <w:sz w:val="24"/>
          <w:szCs w:val="24"/>
        </w:rPr>
        <w:t>有效组成部分</w:t>
      </w:r>
      <w:r>
        <w:rPr>
          <w:rFonts w:hint="eastAsia" w:ascii="仿宋_GB2312" w:hAnsi="仿宋_GB2312" w:eastAsia="仿宋_GB2312" w:cs="仿宋_GB2312"/>
          <w:i/>
          <w:iCs/>
          <w:sz w:val="24"/>
          <w:szCs w:val="24"/>
        </w:rPr>
        <w:t>，与合同、技术协议具有同等法律效力；如本细则内容与合同、技术协议约定有冲突的，以本细则为准。</w:t>
      </w:r>
    </w:p>
    <w:p w14:paraId="16C4BE27">
      <w:pPr>
        <w:widowControl/>
        <w:adjustRightInd w:val="0"/>
        <w:snapToGrid w:val="0"/>
        <w:spacing w:line="360" w:lineRule="auto"/>
        <w:ind w:firstLine="480" w:firstLineChars="200"/>
        <w:jc w:val="left"/>
        <w:rPr>
          <w:rFonts w:ascii="仿宋_GB2312" w:hAnsi="仿宋_GB2312" w:eastAsia="仿宋_GB2312" w:cs="仿宋_GB2312"/>
          <w:i/>
          <w:iCs/>
          <w:snapToGrid w:val="0"/>
          <w:color w:val="000000"/>
          <w:kern w:val="0"/>
          <w:sz w:val="24"/>
          <w:szCs w:val="24"/>
          <w:lang w:eastAsia="zh-Hans"/>
        </w:rPr>
      </w:pPr>
    </w:p>
    <w:p w14:paraId="46718F06">
      <w:pPr>
        <w:widowControl/>
        <w:adjustRightInd w:val="0"/>
        <w:snapToGrid w:val="0"/>
        <w:spacing w:line="360" w:lineRule="auto"/>
        <w:ind w:firstLine="480" w:firstLineChars="200"/>
        <w:jc w:val="left"/>
        <w:rPr>
          <w:rFonts w:ascii="仿宋_GB2312" w:hAnsi="仿宋_GB2312" w:eastAsia="仿宋_GB2312" w:cs="仿宋_GB2312"/>
          <w:i/>
          <w:iCs/>
          <w:snapToGrid w:val="0"/>
          <w:color w:val="000000"/>
          <w:kern w:val="0"/>
          <w:sz w:val="24"/>
          <w:szCs w:val="24"/>
          <w:lang w:eastAsia="zh-Hans"/>
        </w:rPr>
      </w:pPr>
    </w:p>
    <w:p w14:paraId="21F53A37">
      <w:pPr>
        <w:widowControl/>
        <w:adjustRightInd w:val="0"/>
        <w:snapToGrid w:val="0"/>
        <w:spacing w:line="360" w:lineRule="auto"/>
        <w:ind w:firstLine="480" w:firstLineChars="200"/>
        <w:jc w:val="left"/>
        <w:rPr>
          <w:rFonts w:ascii="仿宋_GB2312" w:hAnsi="仿宋_GB2312" w:eastAsia="仿宋_GB2312" w:cs="仿宋_GB2312"/>
          <w:i/>
          <w:iCs/>
          <w:snapToGrid w:val="0"/>
          <w:color w:val="000000"/>
          <w:kern w:val="0"/>
          <w:sz w:val="24"/>
          <w:szCs w:val="24"/>
          <w:lang w:eastAsia="zh-Hans"/>
        </w:rPr>
      </w:pPr>
    </w:p>
    <w:p w14:paraId="2D6CC58C">
      <w:pPr>
        <w:rPr>
          <w:rFonts w:ascii="黑体" w:hAnsi="黑体" w:eastAsia="黑体" w:cstheme="minorEastAsia"/>
          <w:i/>
          <w:iCs/>
          <w:sz w:val="28"/>
          <w:szCs w:val="28"/>
        </w:rPr>
      </w:pPr>
      <w:r>
        <w:rPr>
          <w:rFonts w:ascii="黑体" w:hAnsi="黑体" w:eastAsia="黑体" w:cstheme="minorEastAsia"/>
          <w:i/>
          <w:iCs/>
          <w:sz w:val="28"/>
          <w:szCs w:val="28"/>
        </w:rPr>
        <w:t>附件</w:t>
      </w:r>
      <w:r>
        <w:rPr>
          <w:rFonts w:hint="eastAsia" w:ascii="黑体" w:hAnsi="黑体" w:eastAsia="黑体" w:cstheme="minorEastAsia"/>
          <w:i/>
          <w:iCs/>
          <w:sz w:val="28"/>
          <w:szCs w:val="28"/>
        </w:rPr>
        <w:t>三</w:t>
      </w:r>
      <w:r>
        <w:rPr>
          <w:rFonts w:ascii="黑体" w:hAnsi="黑体" w:eastAsia="黑体" w:cstheme="minorEastAsia"/>
          <w:i/>
          <w:iCs/>
          <w:sz w:val="28"/>
          <w:szCs w:val="28"/>
        </w:rPr>
        <w:t xml:space="preserve"> 技术协议书【作为附件另附】</w:t>
      </w:r>
    </w:p>
    <w:p w14:paraId="7121C8D5">
      <w:pPr>
        <w:keepNext/>
        <w:keepLines/>
        <w:jc w:val="center"/>
        <w:outlineLvl w:val="0"/>
        <w:rPr>
          <w:rFonts w:ascii="Calibri" w:hAnsi="Calibri" w:eastAsia="宋体" w:cs="Times New Roman"/>
          <w:b/>
          <w:bCs/>
          <w:kern w:val="44"/>
          <w:sz w:val="36"/>
          <w:szCs w:val="36"/>
        </w:rPr>
      </w:pPr>
      <w:r>
        <w:rPr>
          <w:rFonts w:hint="eastAsia" w:ascii="宋体" w:hAnsi="宋体" w:eastAsia="宋体" w:cs="Times New Roman"/>
          <w:b/>
          <w:bCs/>
          <w:kern w:val="44"/>
          <w:sz w:val="36"/>
          <w:szCs w:val="36"/>
        </w:rPr>
        <w:t>第六部分</w:t>
      </w:r>
      <w:r>
        <w:rPr>
          <w:rFonts w:ascii="Calibri" w:hAnsi="Calibri" w:eastAsia="宋体" w:cs="Times New Roman"/>
          <w:b/>
          <w:bCs/>
          <w:kern w:val="44"/>
          <w:sz w:val="36"/>
          <w:szCs w:val="36"/>
        </w:rPr>
        <w:t xml:space="preserve"> </w:t>
      </w:r>
      <w:r>
        <w:rPr>
          <w:rFonts w:hint="eastAsia" w:ascii="宋体" w:hAnsi="宋体" w:eastAsia="宋体" w:cs="Times New Roman"/>
          <w:b/>
          <w:bCs/>
          <w:kern w:val="44"/>
          <w:sz w:val="36"/>
          <w:szCs w:val="36"/>
        </w:rPr>
        <w:t>投标文件附件</w:t>
      </w:r>
    </w:p>
    <w:p w14:paraId="4414CF24">
      <w:pPr>
        <w:keepNext/>
        <w:keepLines/>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 xml:space="preserve"> </w:t>
      </w:r>
    </w:p>
    <w:p w14:paraId="12C4A677">
      <w:pP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 xml:space="preserve"> </w:t>
      </w:r>
    </w:p>
    <w:p w14:paraId="0A41C1C3">
      <w:pPr>
        <w:spacing w:line="420" w:lineRule="exact"/>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说明：</w:t>
      </w:r>
    </w:p>
    <w:p w14:paraId="411894F1">
      <w:pPr>
        <w:spacing w:line="420" w:lineRule="exact"/>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1.投标人须认真填写和提交本部分中的附件文件；</w:t>
      </w:r>
    </w:p>
    <w:p w14:paraId="15B2472B">
      <w:pPr>
        <w:spacing w:line="420" w:lineRule="exact"/>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2.对附件文件中所要求的内容应给予明确的答复；</w:t>
      </w:r>
    </w:p>
    <w:p w14:paraId="0D57FA12">
      <w:pPr>
        <w:spacing w:line="420" w:lineRule="exact"/>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3.附件文件的签字人应保证其对一切问题的答复、所做的声明及出具的资格资质文件、资料等具有真实性和准确性；</w:t>
      </w:r>
    </w:p>
    <w:p w14:paraId="2F185E99">
      <w:pPr>
        <w:spacing w:line="420" w:lineRule="exact"/>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4.招标人将对投标人提交的文件、资料等内容予以保密，但不退还；</w:t>
      </w:r>
    </w:p>
    <w:p w14:paraId="738EC313">
      <w:pPr>
        <w:spacing w:line="420" w:lineRule="exact"/>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5.所有附件文件应以中文书写，作为投标文件的组成部分。</w:t>
      </w:r>
    </w:p>
    <w:p w14:paraId="415AE906">
      <w:pPr>
        <w:widowControl/>
        <w:jc w:val="left"/>
        <w:rPr>
          <w:rFonts w:ascii="Times New Roman" w:hAnsi="Times New Roman" w:eastAsia="宋体" w:cs="Times New Roman"/>
          <w:b/>
          <w:bCs/>
          <w:color w:val="000000"/>
          <w:sz w:val="24"/>
          <w:szCs w:val="24"/>
        </w:rPr>
        <w:sectPr>
          <w:pgSz w:w="11906" w:h="16838"/>
          <w:pgMar w:top="1588" w:right="1418" w:bottom="1134" w:left="1418" w:header="851" w:footer="992" w:gutter="0"/>
          <w:pgNumType w:fmt="decimal"/>
          <w:cols w:space="720" w:num="1"/>
          <w:titlePg/>
          <w:docGrid w:type="lines" w:linePitch="312" w:charSpace="0"/>
        </w:sectPr>
      </w:pPr>
    </w:p>
    <w:p w14:paraId="3F560315">
      <w:pPr>
        <w:keepNext/>
        <w:keepLines/>
        <w:outlineLvl w:val="2"/>
        <w:rPr>
          <w:rFonts w:ascii="Times New Roman" w:hAnsi="Times New Roman" w:eastAsia="宋体" w:cs="Times New Roman"/>
          <w:b/>
          <w:bCs/>
          <w:color w:val="000000"/>
          <w:sz w:val="24"/>
          <w:szCs w:val="24"/>
        </w:rPr>
      </w:pPr>
      <w:r>
        <w:rPr>
          <w:rFonts w:hint="eastAsia" w:ascii="宋体" w:hAnsi="宋体"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112" w:name="_Toc353881012"/>
      <w:bookmarkEnd w:id="112"/>
      <w:bookmarkStart w:id="113" w:name="_Toc25811"/>
      <w:bookmarkEnd w:id="113"/>
      <w:bookmarkStart w:id="114" w:name="_Toc639004"/>
      <w:bookmarkEnd w:id="114"/>
      <w:bookmarkStart w:id="115" w:name="_Toc212369550"/>
      <w:r>
        <w:rPr>
          <w:rFonts w:ascii="Times New Roman" w:hAnsi="Times New Roman" w:eastAsia="宋体" w:cs="Times New Roman"/>
          <w:b/>
          <w:bCs/>
          <w:color w:val="000000"/>
          <w:sz w:val="24"/>
          <w:szCs w:val="24"/>
        </w:rPr>
        <w:t xml:space="preserve"> </w:t>
      </w:r>
      <w:bookmarkEnd w:id="115"/>
      <w:r>
        <w:rPr>
          <w:rFonts w:hint="eastAsia" w:ascii="宋体" w:hAnsi="宋体" w:eastAsia="宋体" w:cs="Times New Roman"/>
          <w:b/>
          <w:bCs/>
          <w:color w:val="000000"/>
          <w:sz w:val="24"/>
          <w:szCs w:val="24"/>
        </w:rPr>
        <w:t>投标函</w:t>
      </w:r>
    </w:p>
    <w:p w14:paraId="0D26B7D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致：中国重汽集团济南商用车有限公司：</w:t>
      </w:r>
    </w:p>
    <w:p w14:paraId="408F410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Times New Roman"/>
          <w:color w:val="000000"/>
          <w:sz w:val="24"/>
          <w:szCs w:val="24"/>
          <w:u w:val="single"/>
        </w:rPr>
        <w:t xml:space="preserve">                         </w:t>
      </w:r>
      <w:r>
        <w:rPr>
          <w:rFonts w:hint="eastAsia" w:ascii="宋体" w:hAnsi="宋体" w:eastAsia="宋体" w:cs="Times New Roman"/>
          <w:bCs/>
          <w:color w:val="000000"/>
          <w:kern w:val="0"/>
          <w:sz w:val="24"/>
          <w:szCs w:val="24"/>
        </w:rPr>
        <w:t>招标公告</w:t>
      </w:r>
      <w:r>
        <w:rPr>
          <w:rFonts w:hint="eastAsia" w:ascii="宋体" w:hAnsi="宋体" w:eastAsia="宋体" w:cs="Times New Roman"/>
          <w:color w:val="000000"/>
          <w:sz w:val="24"/>
          <w:szCs w:val="24"/>
        </w:rPr>
        <w:t>，</w:t>
      </w:r>
      <w:r>
        <w:rPr>
          <w:rFonts w:hint="eastAsia"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 法人代表人为</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 xml:space="preserve"> 提交纸质投标文件：资质证明文件、商务文件和技术文件正本</w:t>
      </w:r>
      <w:r>
        <w:rPr>
          <w:rFonts w:hint="eastAsia" w:ascii="宋体" w:hAnsi="宋体" w:eastAsia="宋体" w:cs="Times New Roman"/>
          <w:color w:val="000000"/>
          <w:sz w:val="24"/>
          <w:szCs w:val="24"/>
          <w:highlight w:val="yellow"/>
        </w:rPr>
        <w:t>一</w:t>
      </w:r>
      <w:r>
        <w:rPr>
          <w:rFonts w:hint="eastAsia" w:ascii="宋体" w:hAnsi="宋体" w:eastAsia="宋体" w:cs="Times New Roman"/>
          <w:color w:val="000000"/>
          <w:sz w:val="24"/>
          <w:szCs w:val="24"/>
        </w:rPr>
        <w:t>份</w:t>
      </w:r>
      <w:r>
        <w:rPr>
          <w:rFonts w:hint="eastAsia" w:ascii="宋体" w:hAnsi="宋体" w:eastAsia="宋体" w:cs="Times New Roman"/>
          <w:color w:val="000000"/>
          <w:sz w:val="24"/>
          <w:szCs w:val="24"/>
          <w:lang w:eastAsia="zh-CN"/>
        </w:rPr>
        <w:t>（</w:t>
      </w:r>
      <w:r>
        <w:rPr>
          <w:rFonts w:hint="eastAsia" w:ascii="宋体" w:hAnsi="宋体" w:eastAsia="宋体" w:cs="Times New Roman"/>
          <w:color w:val="000000"/>
          <w:sz w:val="24"/>
          <w:szCs w:val="24"/>
          <w:lang w:val="en-US" w:eastAsia="zh-CN"/>
        </w:rPr>
        <w:t>线上招标不用</w:t>
      </w:r>
      <w:r>
        <w:rPr>
          <w:rFonts w:hint="eastAsia" w:ascii="宋体" w:hAnsi="宋体" w:eastAsia="宋体" w:cs="Times New Roman"/>
          <w:color w:val="000000"/>
          <w:sz w:val="24"/>
          <w:szCs w:val="24"/>
          <w:lang w:eastAsia="zh-CN"/>
        </w:rPr>
        <w:t>）</w:t>
      </w:r>
      <w:r>
        <w:rPr>
          <w:rFonts w:hint="eastAsia" w:ascii="宋体" w:hAnsi="宋体" w:eastAsia="宋体" w:cs="Times New Roman"/>
          <w:color w:val="000000"/>
          <w:sz w:val="24"/>
          <w:szCs w:val="24"/>
        </w:rPr>
        <w:t>；电子版投标文件一份。</w:t>
      </w:r>
    </w:p>
    <w:p w14:paraId="05A79A7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3531A1C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1.投标人已详细审查全部“招标文件”，包括修改文件（如有的话）以及全部参考资料和有关附件，已经了解我方对于招标文件、采购过程、采购结果有依法进行询问、质疑、投诉的权利及相关渠道和要求。</w:t>
      </w:r>
    </w:p>
    <w:p w14:paraId="60C95753">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2.投标人在投标之前已经与贵方进行了充分的沟通，完全理解并接受招标文件的各项规定和要求，对招标文件的合理性、合法性不再有异议。</w:t>
      </w:r>
    </w:p>
    <w:p w14:paraId="748C7F8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3.本投标有效期自开标日起</w:t>
      </w:r>
      <w:r>
        <w:rPr>
          <w:rFonts w:hint="eastAsia"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725C3DE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4.如中标，本投标文件至本项目合同履行完毕止均保持有效，本投标人将按“招标文件”及政府采购法律、法规的规定履行合同责任和义务。</w:t>
      </w:r>
    </w:p>
    <w:p w14:paraId="3614387D">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5.投标人同意按照贵方要求提供与投标有关的一切数据或资料。</w:t>
      </w:r>
    </w:p>
    <w:p w14:paraId="7C3E00C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6.与本投标有关的一切正式往来信函请寄：</w:t>
      </w:r>
    </w:p>
    <w:p w14:paraId="70C4340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地址：                             </w:t>
      </w:r>
    </w:p>
    <w:p w14:paraId="64F625E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邮编：        </w:t>
      </w:r>
    </w:p>
    <w:p w14:paraId="53AB2E86">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电话：        传真：                   </w:t>
      </w:r>
    </w:p>
    <w:p w14:paraId="6F94139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 xml:space="preserve">职务：          </w:t>
      </w:r>
    </w:p>
    <w:p w14:paraId="51E115A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开户银行：                   </w:t>
      </w:r>
    </w:p>
    <w:p w14:paraId="7E4B586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银行帐号：                   </w:t>
      </w:r>
    </w:p>
    <w:p w14:paraId="20B859DF">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hint="eastAsia" w:ascii="宋体" w:hAnsi="宋体" w:eastAsia="宋体" w:cs="Times New Roman"/>
          <w:color w:val="000000"/>
          <w:sz w:val="24"/>
          <w:szCs w:val="24"/>
        </w:rPr>
        <w:t xml:space="preserve">: </w:t>
      </w:r>
    </w:p>
    <w:p w14:paraId="215013D8">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1BDA7DC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日期：     年      月      日</w:t>
      </w:r>
    </w:p>
    <w:p w14:paraId="109293B4">
      <w:pPr>
        <w:rPr>
          <w:rFonts w:ascii="黑体" w:hAnsi="Calibri" w:eastAsia="黑体" w:cs="Times New Roman"/>
          <w:color w:val="000000"/>
          <w:sz w:val="24"/>
          <w:szCs w:val="24"/>
        </w:rPr>
      </w:pPr>
      <w:r>
        <w:rPr>
          <w:rFonts w:hint="eastAsia" w:ascii="黑体" w:hAnsi="Calibri" w:eastAsia="黑体" w:cs="Times New Roman"/>
          <w:color w:val="000000"/>
          <w:sz w:val="24"/>
          <w:szCs w:val="24"/>
        </w:rPr>
        <w:t xml:space="preserve"> </w:t>
      </w:r>
    </w:p>
    <w:p w14:paraId="7AD79CB9">
      <w:pPr>
        <w:rPr>
          <w:rFonts w:ascii="黑体" w:hAnsi="Calibri" w:eastAsia="黑体" w:cs="Times New Roman"/>
          <w:color w:val="000000"/>
          <w:sz w:val="24"/>
          <w:szCs w:val="24"/>
        </w:rPr>
      </w:pPr>
      <w:r>
        <w:rPr>
          <w:rFonts w:hint="eastAsia" w:ascii="黑体" w:hAnsi="Calibri" w:eastAsia="黑体" w:cs="Times New Roman"/>
          <w:color w:val="000000"/>
          <w:sz w:val="24"/>
          <w:szCs w:val="24"/>
        </w:rPr>
        <w:t xml:space="preserve"> </w:t>
      </w:r>
    </w:p>
    <w:p w14:paraId="123FAAF3">
      <w:pPr>
        <w:rPr>
          <w:rFonts w:ascii="黑体" w:hAnsi="Calibri" w:eastAsia="黑体" w:cs="Times New Roman"/>
          <w:color w:val="000000"/>
          <w:sz w:val="24"/>
          <w:szCs w:val="24"/>
        </w:rPr>
      </w:pPr>
      <w:r>
        <w:rPr>
          <w:rFonts w:hint="eastAsia" w:ascii="黑体" w:hAnsi="Calibri" w:eastAsia="黑体" w:cs="Times New Roman"/>
          <w:color w:val="000000"/>
          <w:sz w:val="24"/>
          <w:szCs w:val="24"/>
        </w:rPr>
        <w:t xml:space="preserve"> </w:t>
      </w:r>
    </w:p>
    <w:p w14:paraId="2922BC29">
      <w:pPr>
        <w:rPr>
          <w:rFonts w:ascii="黑体" w:hAnsi="Calibri" w:eastAsia="黑体" w:cs="Times New Roman"/>
          <w:color w:val="000000"/>
          <w:sz w:val="24"/>
          <w:szCs w:val="24"/>
        </w:rPr>
      </w:pPr>
      <w:r>
        <w:rPr>
          <w:rFonts w:hint="eastAsia" w:ascii="黑体" w:hAnsi="Calibri" w:eastAsia="黑体" w:cs="Times New Roman"/>
          <w:color w:val="000000"/>
          <w:sz w:val="24"/>
          <w:szCs w:val="24"/>
        </w:rPr>
        <w:t xml:space="preserve"> </w:t>
      </w:r>
    </w:p>
    <w:p w14:paraId="52722C65">
      <w:pPr>
        <w:rPr>
          <w:rFonts w:ascii="黑体" w:hAnsi="Calibri" w:eastAsia="黑体" w:cs="Times New Roman"/>
          <w:color w:val="000000"/>
          <w:sz w:val="24"/>
          <w:szCs w:val="24"/>
        </w:rPr>
      </w:pPr>
      <w:r>
        <w:rPr>
          <w:rFonts w:hint="eastAsia" w:ascii="黑体" w:hAnsi="Calibri" w:eastAsia="黑体" w:cs="Times New Roman"/>
          <w:color w:val="000000"/>
          <w:sz w:val="24"/>
          <w:szCs w:val="24"/>
        </w:rPr>
        <w:t xml:space="preserve"> </w:t>
      </w:r>
    </w:p>
    <w:p w14:paraId="78DDFA24">
      <w:pPr>
        <w:rPr>
          <w:rFonts w:ascii="黑体" w:hAnsi="Calibri" w:eastAsia="黑体" w:cs="Times New Roman"/>
          <w:color w:val="000000"/>
          <w:sz w:val="24"/>
          <w:szCs w:val="24"/>
        </w:rPr>
      </w:pPr>
      <w:r>
        <w:rPr>
          <w:rFonts w:hint="eastAsia" w:ascii="黑体" w:hAnsi="Calibri" w:eastAsia="黑体" w:cs="Times New Roman"/>
          <w:color w:val="000000"/>
          <w:sz w:val="24"/>
          <w:szCs w:val="24"/>
        </w:rPr>
        <w:t xml:space="preserve"> </w:t>
      </w:r>
    </w:p>
    <w:p w14:paraId="3A0387F2">
      <w:pPr>
        <w:rPr>
          <w:rFonts w:ascii="黑体" w:hAnsi="Calibri" w:eastAsia="黑体" w:cs="Times New Roman"/>
          <w:color w:val="000000"/>
          <w:sz w:val="24"/>
          <w:szCs w:val="24"/>
        </w:rPr>
      </w:pPr>
      <w:r>
        <w:rPr>
          <w:rFonts w:hint="eastAsia" w:ascii="黑体" w:hAnsi="Calibri" w:eastAsia="黑体" w:cs="Times New Roman"/>
          <w:color w:val="000000"/>
          <w:sz w:val="24"/>
          <w:szCs w:val="24"/>
        </w:rPr>
        <w:t xml:space="preserve"> </w:t>
      </w:r>
    </w:p>
    <w:p w14:paraId="0CD2F168">
      <w:pPr>
        <w:keepNext/>
        <w:keepLines/>
        <w:outlineLvl w:val="2"/>
        <w:rPr>
          <w:rFonts w:ascii="Times New Roman" w:hAnsi="Times New Roman" w:eastAsia="宋体" w:cs="Times New Roman"/>
          <w:b/>
          <w:bCs/>
          <w:color w:val="000000"/>
          <w:sz w:val="24"/>
          <w:szCs w:val="24"/>
        </w:rPr>
      </w:pPr>
      <w:r>
        <w:rPr>
          <w:rFonts w:hint="eastAsia" w:ascii="宋体" w:hAnsi="宋体"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宋体" w:hAnsi="宋体" w:eastAsia="宋体" w:cs="Times New Roman"/>
          <w:b/>
          <w:bCs/>
          <w:color w:val="000000"/>
          <w:sz w:val="24"/>
          <w:szCs w:val="24"/>
        </w:rPr>
        <w:t>法定代表人授权委托书</w:t>
      </w:r>
    </w:p>
    <w:p w14:paraId="1398C725">
      <w:pPr>
        <w:adjustRightInd w:val="0"/>
        <w:snapToGrid w:val="0"/>
        <w:spacing w:before="93" w:beforeLines="30" w:line="240" w:lineRule="exact"/>
        <w:jc w:val="center"/>
        <w:rPr>
          <w:rFonts w:ascii="宋体" w:hAnsi="Calibri" w:eastAsia="宋体" w:cs="Times New Roman"/>
          <w:sz w:val="24"/>
          <w:szCs w:val="24"/>
        </w:rPr>
      </w:pPr>
      <w:r>
        <w:rPr>
          <w:rFonts w:hint="eastAsia" w:ascii="宋体" w:hAnsi="Calibri" w:eastAsia="宋体" w:cs="Times New Roman"/>
          <w:sz w:val="24"/>
          <w:szCs w:val="24"/>
        </w:rPr>
        <w:t xml:space="preserve"> </w:t>
      </w:r>
    </w:p>
    <w:p w14:paraId="6ADFEFD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hint="eastAsia" w:ascii="宋体" w:hAnsi="宋体" w:eastAsia="宋体" w:cs="Times New Roman"/>
          <w:color w:val="000000"/>
          <w:sz w:val="24"/>
          <w:szCs w:val="24"/>
          <w:u w:val="single"/>
          <w:lang w:val="en-US" w:eastAsia="zh-CN"/>
        </w:rPr>
        <w:t>项目</w:t>
      </w:r>
      <w:r>
        <w:rPr>
          <w:rFonts w:hint="eastAsia" w:ascii="宋体" w:hAnsi="宋体" w:eastAsia="宋体" w:cs="Times New Roman"/>
          <w:color w:val="000000"/>
          <w:sz w:val="24"/>
          <w:szCs w:val="24"/>
          <w:lang w:eastAsia="zh-CN"/>
        </w:rPr>
        <w:t>　　　　　　　　　　　</w:t>
      </w:r>
      <w:r>
        <w:rPr>
          <w:rFonts w:hint="eastAsia" w:ascii="宋体" w:hAnsi="宋体" w:eastAsia="宋体" w:cs="Times New Roman"/>
          <w:b/>
          <w:bCs/>
          <w:color w:val="000000"/>
          <w:sz w:val="24"/>
          <w:szCs w:val="24"/>
          <w:u w:val="single"/>
        </w:rPr>
        <w:t xml:space="preserve"> </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 xml:space="preserve">     </w:t>
      </w:r>
      <w:r>
        <w:rPr>
          <w:rFonts w:hint="eastAsia" w:ascii="宋体" w:hAnsi="宋体" w:eastAsia="宋体" w:cs="Times New Roman"/>
          <w:color w:val="000000"/>
          <w:sz w:val="24"/>
          <w:szCs w:val="24"/>
          <w:highlight w:val="yellow"/>
          <w:u w:val="single"/>
          <w:lang w:eastAsia="zh-CN"/>
        </w:rPr>
        <w:t>　　　　　　　　　　　　　　　　</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3576385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7"/>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097FA1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left w:val="single" w:color="auto" w:sz="4" w:space="0"/>
              <w:bottom w:val="single" w:color="auto" w:sz="4" w:space="0"/>
              <w:right w:val="single" w:color="auto" w:sz="4" w:space="0"/>
            </w:tcBorders>
            <w:vAlign w:val="center"/>
          </w:tcPr>
          <w:p w14:paraId="62F85048">
            <w:pPr>
              <w:adjustRightInd w:val="0"/>
              <w:snapToGrid w:val="0"/>
              <w:spacing w:before="93" w:beforeLines="30" w:line="312" w:lineRule="auto"/>
              <w:jc w:val="center"/>
              <w:rPr>
                <w:rFonts w:ascii="宋体" w:hAnsi="Calibri" w:eastAsia="宋体" w:cs="Times New Roman"/>
                <w:sz w:val="24"/>
                <w:szCs w:val="24"/>
              </w:rPr>
            </w:pPr>
            <w:r>
              <w:rPr>
                <w:rFonts w:hint="eastAsia" w:ascii="宋体" w:hAnsi="宋体" w:eastAsia="宋体" w:cs="Times New Roman"/>
                <w:sz w:val="24"/>
                <w:szCs w:val="24"/>
              </w:rPr>
              <w:t>附法人身份证明复印件（</w:t>
            </w:r>
            <w:r>
              <w:rPr>
                <w:rFonts w:hint="eastAsia" w:ascii="宋体" w:hAnsi="宋体" w:eastAsia="宋体" w:cs="Times New Roman"/>
                <w:color w:val="000000"/>
                <w:sz w:val="24"/>
                <w:szCs w:val="24"/>
              </w:rPr>
              <w:t>正反面）</w:t>
            </w:r>
          </w:p>
          <w:p w14:paraId="6E865519">
            <w:pPr>
              <w:adjustRightInd w:val="0"/>
              <w:snapToGrid w:val="0"/>
              <w:spacing w:before="93" w:beforeLines="30" w:line="312" w:lineRule="auto"/>
              <w:jc w:val="center"/>
              <w:rPr>
                <w:rFonts w:ascii="宋体" w:hAnsi="Calibri" w:eastAsia="宋体" w:cs="Times New Roman"/>
                <w:sz w:val="24"/>
                <w:szCs w:val="24"/>
              </w:rPr>
            </w:pPr>
            <w:r>
              <w:rPr>
                <w:rFonts w:hint="eastAsia" w:ascii="宋体" w:hAnsi="宋体" w:eastAsia="宋体" w:cs="Times New Roman"/>
                <w:sz w:val="24"/>
                <w:szCs w:val="24"/>
              </w:rPr>
              <w:t>附授权代理人身份证明复印件（正反面）</w:t>
            </w:r>
          </w:p>
        </w:tc>
      </w:tr>
    </w:tbl>
    <w:p w14:paraId="24239125">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全权代表姓名：            性别：          年龄：</w:t>
      </w:r>
    </w:p>
    <w:p w14:paraId="7E459E4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单位：                    部门：          职务：</w:t>
      </w:r>
    </w:p>
    <w:p w14:paraId="195920F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法定代表人签字或盖章                          </w:t>
      </w:r>
    </w:p>
    <w:p w14:paraId="6F51FC75">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被授权人签字  </w:t>
      </w:r>
    </w:p>
    <w:p w14:paraId="34AEDE1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hint="eastAsia" w:ascii="宋体" w:hAnsi="宋体" w:eastAsia="宋体" w:cs="Times New Roman"/>
          <w:color w:val="000000"/>
          <w:sz w:val="24"/>
          <w:szCs w:val="24"/>
          <w:u w:val="single"/>
        </w:rPr>
        <w:t xml:space="preserve">                （须为移动电话）</w:t>
      </w:r>
      <w:r>
        <w:rPr>
          <w:rFonts w:hint="eastAsia" w:ascii="宋体" w:hAnsi="宋体" w:eastAsia="宋体" w:cs="Times New Roman"/>
          <w:color w:val="000000"/>
          <w:sz w:val="24"/>
          <w:szCs w:val="24"/>
        </w:rPr>
        <w:t xml:space="preserve">    </w:t>
      </w:r>
    </w:p>
    <w:p w14:paraId="6CE5465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投标人名称（公章）                       </w:t>
      </w:r>
    </w:p>
    <w:p w14:paraId="18C6C6D0">
      <w:pPr>
        <w:spacing w:line="460" w:lineRule="exact"/>
        <w:ind w:firstLine="5520" w:firstLineChars="2300"/>
        <w:rPr>
          <w:rFonts w:ascii="宋体" w:hAnsi="Calibri" w:eastAsia="宋体" w:cs="Times New Roman"/>
          <w:sz w:val="24"/>
          <w:szCs w:val="24"/>
          <w:u w:val="single"/>
        </w:rPr>
      </w:pP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p w14:paraId="184FADE9">
      <w:pPr>
        <w:rPr>
          <w:rFonts w:ascii="Calibri" w:hAnsi="Calibri" w:eastAsia="黑体" w:cs="Times New Roman"/>
          <w:b/>
          <w:bCs/>
          <w:color w:val="000000"/>
          <w:sz w:val="28"/>
          <w:szCs w:val="28"/>
        </w:rPr>
      </w:pPr>
      <w:r>
        <w:rPr>
          <w:rFonts w:ascii="Calibri" w:hAnsi="Calibri" w:eastAsia="黑体" w:cs="Times New Roman"/>
          <w:b/>
          <w:bCs/>
          <w:color w:val="000000"/>
          <w:sz w:val="28"/>
          <w:szCs w:val="28"/>
        </w:rPr>
        <w:t xml:space="preserve"> </w:t>
      </w:r>
    </w:p>
    <w:p w14:paraId="738BB65B">
      <w:pPr>
        <w:widowControl/>
        <w:jc w:val="left"/>
        <w:rPr>
          <w:rFonts w:ascii="Calibri" w:hAnsi="Calibri" w:eastAsia="黑体" w:cs="Times New Roman"/>
          <w:b/>
          <w:bCs/>
          <w:color w:val="000000"/>
          <w:sz w:val="28"/>
          <w:szCs w:val="28"/>
        </w:rPr>
        <w:sectPr>
          <w:pgSz w:w="11906" w:h="16838"/>
          <w:pgMar w:top="1588" w:right="1418" w:bottom="1134" w:left="1418" w:header="851" w:footer="992" w:gutter="0"/>
          <w:pgNumType w:fmt="decimal"/>
          <w:cols w:space="720" w:num="1"/>
          <w:titlePg/>
          <w:docGrid w:type="lines" w:linePitch="312" w:charSpace="0"/>
        </w:sectPr>
      </w:pPr>
    </w:p>
    <w:p w14:paraId="5941E7D0">
      <w:pPr>
        <w:keepNext/>
        <w:keepLines/>
        <w:outlineLvl w:val="2"/>
        <w:rPr>
          <w:rFonts w:hint="eastAsia" w:ascii="宋体" w:hAnsi="宋体" w:eastAsia="宋体" w:cs="Times New Roman"/>
          <w:spacing w:val="-9"/>
          <w:sz w:val="24"/>
          <w:szCs w:val="24"/>
        </w:rPr>
      </w:pPr>
      <w:r>
        <w:rPr>
          <w:rFonts w:hint="eastAsia" w:ascii="宋体" w:hAnsi="宋体" w:eastAsia="宋体" w:cs="Times New Roman"/>
          <w:spacing w:val="-17"/>
          <w:sz w:val="24"/>
          <w:szCs w:val="24"/>
        </w:rPr>
        <w:t>附</w:t>
      </w:r>
      <w:r>
        <w:rPr>
          <w:rFonts w:hint="eastAsia" w:ascii="宋体" w:hAnsi="宋体" w:eastAsia="宋体" w:cs="Times New Roman"/>
          <w:spacing w:val="-14"/>
          <w:sz w:val="24"/>
          <w:szCs w:val="24"/>
        </w:rPr>
        <w:t>件</w:t>
      </w:r>
      <w:r>
        <w:rPr>
          <w:rFonts w:hint="eastAsia" w:ascii="宋体" w:hAnsi="宋体" w:eastAsia="宋体" w:cs="Times New Roman"/>
          <w:spacing w:val="-17"/>
          <w:sz w:val="24"/>
          <w:szCs w:val="24"/>
        </w:rPr>
        <w:t xml:space="preserve">3 </w:t>
      </w:r>
      <w:r>
        <w:rPr>
          <w:rFonts w:hint="eastAsia" w:ascii="宋体" w:hAnsi="宋体" w:eastAsia="宋体" w:cs="Times New Roman"/>
          <w:spacing w:val="15"/>
          <w:position w:val="3"/>
          <w:sz w:val="24"/>
          <w:szCs w:val="24"/>
        </w:rPr>
        <w:t>投</w:t>
      </w:r>
      <w:r>
        <w:rPr>
          <w:rFonts w:hint="eastAsia" w:ascii="宋体" w:hAnsi="宋体" w:eastAsia="宋体" w:cs="Times New Roman"/>
          <w:spacing w:val="8"/>
          <w:position w:val="3"/>
          <w:sz w:val="24"/>
          <w:szCs w:val="24"/>
        </w:rPr>
        <w:t>标人基本情况及</w:t>
      </w:r>
      <w:r>
        <w:rPr>
          <w:rFonts w:hint="eastAsia" w:ascii="宋体" w:hAnsi="宋体" w:eastAsia="宋体" w:cs="Times New Roman"/>
          <w:spacing w:val="8"/>
          <w:sz w:val="24"/>
          <w:szCs w:val="24"/>
        </w:rPr>
        <w:t>资产情况汇总</w:t>
      </w:r>
      <w:r>
        <w:rPr>
          <w:rFonts w:hint="eastAsia" w:ascii="宋体" w:hAnsi="宋体" w:eastAsia="宋体" w:cs="Times New Roman"/>
          <w:spacing w:val="7"/>
          <w:sz w:val="24"/>
          <w:szCs w:val="24"/>
        </w:rPr>
        <w:t>表</w:t>
      </w:r>
    </w:p>
    <w:p w14:paraId="4768F634">
      <w:pPr>
        <w:keepNext/>
        <w:keepLines/>
        <w:outlineLvl w:val="3"/>
        <w:rPr>
          <w:rFonts w:ascii="Times New Roman" w:hAnsi="Times New Roman" w:eastAsia="宋体" w:cs="Times New Roman"/>
          <w:b/>
          <w:bCs/>
          <w:color w:val="000000"/>
          <w:sz w:val="24"/>
          <w:szCs w:val="24"/>
        </w:rPr>
      </w:pPr>
      <w:r>
        <w:rPr>
          <w:rFonts w:hint="eastAsia" w:ascii="宋体" w:hAnsi="宋体" w:eastAsia="宋体" w:cs="Times New Roman"/>
          <w:spacing w:val="-9"/>
          <w:sz w:val="24"/>
          <w:szCs w:val="24"/>
        </w:rPr>
        <w:t>表</w:t>
      </w:r>
      <w:r>
        <w:rPr>
          <w:rFonts w:hint="eastAsia" w:ascii="宋体" w:hAnsi="宋体" w:eastAsia="宋体" w:cs="Times New Roman"/>
          <w:spacing w:val="-7"/>
          <w:sz w:val="24"/>
          <w:szCs w:val="24"/>
        </w:rPr>
        <w:t xml:space="preserve"> 1 </w:t>
      </w:r>
      <w:r>
        <w:rPr>
          <w:rFonts w:hint="eastAsia" w:ascii="宋体" w:hAnsi="宋体" w:eastAsia="宋体" w:cs="Times New Roman"/>
          <w:b/>
          <w:bCs/>
          <w:color w:val="000000"/>
          <w:sz w:val="24"/>
          <w:szCs w:val="24"/>
        </w:rPr>
        <w:t>投标人基本情况表</w:t>
      </w:r>
      <w:r>
        <w:rPr>
          <w:rFonts w:hint="eastAsia" w:ascii="Times New Roman" w:hAnsi="Times New Roman" w:eastAsia="宋体" w:cs="Times New Roman"/>
          <w:b/>
          <w:bCs/>
          <w:color w:val="000000"/>
          <w:sz w:val="24"/>
          <w:szCs w:val="24"/>
        </w:rPr>
        <w:t>(</w:t>
      </w:r>
      <w:r>
        <w:rPr>
          <w:rFonts w:hint="eastAsia" w:ascii="宋体" w:hAnsi="宋体" w:eastAsia="宋体" w:cs="Times New Roman"/>
          <w:b/>
          <w:bCs/>
          <w:color w:val="000000"/>
          <w:sz w:val="24"/>
          <w:szCs w:val="24"/>
        </w:rPr>
        <w:t>格式</w:t>
      </w:r>
      <w:r>
        <w:rPr>
          <w:rFonts w:hint="eastAsia" w:ascii="Times New Roman" w:hAnsi="Times New Roman" w:eastAsia="宋体" w:cs="Times New Roman"/>
          <w:b/>
          <w:bCs/>
          <w:color w:val="000000"/>
          <w:sz w:val="24"/>
          <w:szCs w:val="24"/>
        </w:rPr>
        <w:t>)</w:t>
      </w:r>
    </w:p>
    <w:tbl>
      <w:tblPr>
        <w:tblStyle w:val="145"/>
        <w:tblW w:w="9456" w:type="dxa"/>
        <w:tblInd w:w="1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21D72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Borders>
              <w:top w:val="single" w:color="000000" w:sz="4" w:space="0"/>
              <w:left w:val="single" w:color="000000" w:sz="4" w:space="0"/>
              <w:bottom w:val="single" w:color="000000" w:sz="4" w:space="0"/>
              <w:right w:val="single" w:color="000000" w:sz="4" w:space="0"/>
            </w:tcBorders>
          </w:tcPr>
          <w:p w14:paraId="1C85D7D4">
            <w:pPr>
              <w:spacing w:before="114"/>
              <w:ind w:left="720"/>
              <w:rPr>
                <w:rFonts w:hint="eastAsia" w:ascii="宋体" w:hAnsi="宋体" w:eastAsia="宋体" w:cs="Times New Roman"/>
                <w:szCs w:val="21"/>
              </w:rPr>
            </w:pPr>
            <w:r>
              <w:rPr>
                <w:rFonts w:hint="eastAsia" w:ascii="宋体" w:hAnsi="宋体" w:eastAsia="宋体" w:cs="Times New Roman"/>
                <w:szCs w:val="21"/>
              </w:rPr>
              <w:t xml:space="preserve">企业名称 </w:t>
            </w:r>
          </w:p>
        </w:tc>
        <w:tc>
          <w:tcPr>
            <w:tcW w:w="4680" w:type="dxa"/>
            <w:gridSpan w:val="4"/>
            <w:tcBorders>
              <w:top w:val="single" w:color="000000" w:sz="4" w:space="0"/>
              <w:left w:val="single" w:color="000000" w:sz="4" w:space="0"/>
              <w:bottom w:val="single" w:color="000000" w:sz="4" w:space="0"/>
              <w:right w:val="single" w:color="000000" w:sz="4" w:space="0"/>
            </w:tcBorders>
            <w:vAlign w:val="center"/>
          </w:tcPr>
          <w:p w14:paraId="06CCFA93">
            <w:pPr>
              <w:widowControl/>
              <w:jc w:val="center"/>
              <w:textAlignment w:val="center"/>
              <w:rPr>
                <w:rFonts w:hint="eastAsia" w:ascii="宋体" w:hAnsi="宋体" w:eastAsia="宋体" w:cs="Times New Roman"/>
                <w:color w:val="000000"/>
                <w:szCs w:val="21"/>
              </w:rPr>
            </w:pPr>
          </w:p>
        </w:tc>
        <w:tc>
          <w:tcPr>
            <w:tcW w:w="1310" w:type="dxa"/>
            <w:tcBorders>
              <w:top w:val="single" w:color="000000" w:sz="4" w:space="0"/>
              <w:left w:val="single" w:color="000000" w:sz="4" w:space="0"/>
              <w:bottom w:val="single" w:color="000000" w:sz="4" w:space="0"/>
              <w:right w:val="single" w:color="000000" w:sz="4" w:space="0"/>
            </w:tcBorders>
          </w:tcPr>
          <w:p w14:paraId="33DDEC11">
            <w:pPr>
              <w:spacing w:before="106"/>
              <w:ind w:left="154" w:right="26"/>
              <w:jc w:val="center"/>
              <w:rPr>
                <w:rFonts w:hint="eastAsia" w:ascii="宋体" w:hAnsi="宋体" w:eastAsia="宋体" w:cs="Times New Roman"/>
                <w:color w:val="000000"/>
                <w:szCs w:val="21"/>
              </w:rPr>
            </w:pPr>
            <w:r>
              <w:rPr>
                <w:rFonts w:hint="eastAsia" w:ascii="宋体" w:hAnsi="宋体" w:eastAsia="宋体" w:cs="Times New Roman"/>
                <w:color w:val="000000"/>
                <w:szCs w:val="21"/>
              </w:rPr>
              <w:t xml:space="preserve">联系人 </w:t>
            </w:r>
          </w:p>
        </w:tc>
        <w:tc>
          <w:tcPr>
            <w:tcW w:w="1510" w:type="dxa"/>
            <w:tcBorders>
              <w:top w:val="single" w:color="000000" w:sz="4" w:space="0"/>
              <w:left w:val="single" w:color="000000" w:sz="4" w:space="0"/>
              <w:bottom w:val="single" w:color="000000" w:sz="4" w:space="0"/>
              <w:right w:val="single" w:color="000000" w:sz="4" w:space="0"/>
            </w:tcBorders>
            <w:vAlign w:val="center"/>
          </w:tcPr>
          <w:p w14:paraId="052ACB02">
            <w:pPr>
              <w:widowControl/>
              <w:jc w:val="center"/>
              <w:textAlignment w:val="center"/>
              <w:rPr>
                <w:rFonts w:hint="eastAsia" w:ascii="宋体" w:hAnsi="宋体" w:eastAsia="宋体" w:cs="Times New Roman"/>
                <w:color w:val="000000"/>
                <w:szCs w:val="21"/>
              </w:rPr>
            </w:pPr>
          </w:p>
        </w:tc>
      </w:tr>
      <w:tr w14:paraId="6B865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Borders>
              <w:top w:val="single" w:color="000000" w:sz="4" w:space="0"/>
              <w:left w:val="single" w:color="000000" w:sz="4" w:space="0"/>
              <w:bottom w:val="single" w:color="000000" w:sz="4" w:space="0"/>
              <w:right w:val="single" w:color="000000" w:sz="4" w:space="0"/>
            </w:tcBorders>
          </w:tcPr>
          <w:p w14:paraId="60DA541B">
            <w:pPr>
              <w:spacing w:before="114"/>
              <w:ind w:left="720"/>
              <w:rPr>
                <w:rFonts w:hint="eastAsia" w:ascii="宋体" w:hAnsi="宋体" w:eastAsia="宋体" w:cs="Times New Roman"/>
                <w:szCs w:val="21"/>
              </w:rPr>
            </w:pPr>
            <w:r>
              <w:rPr>
                <w:rFonts w:hint="eastAsia" w:ascii="宋体" w:hAnsi="宋体" w:eastAsia="宋体" w:cs="Times New Roman"/>
                <w:szCs w:val="21"/>
              </w:rPr>
              <w:t xml:space="preserve">企业地址 </w:t>
            </w:r>
          </w:p>
        </w:tc>
        <w:tc>
          <w:tcPr>
            <w:tcW w:w="4680" w:type="dxa"/>
            <w:gridSpan w:val="4"/>
            <w:tcBorders>
              <w:top w:val="single" w:color="000000" w:sz="4" w:space="0"/>
              <w:left w:val="single" w:color="000000" w:sz="4" w:space="0"/>
              <w:bottom w:val="single" w:color="000000" w:sz="4" w:space="0"/>
              <w:right w:val="single" w:color="000000" w:sz="4" w:space="0"/>
            </w:tcBorders>
            <w:vAlign w:val="center"/>
          </w:tcPr>
          <w:p w14:paraId="11EDAC00">
            <w:pPr>
              <w:widowControl/>
              <w:jc w:val="center"/>
              <w:textAlignment w:val="center"/>
              <w:rPr>
                <w:rFonts w:hint="eastAsia" w:ascii="宋体" w:hAnsi="宋体" w:eastAsia="宋体" w:cs="Times New Roman"/>
                <w:color w:val="000000"/>
                <w:szCs w:val="21"/>
              </w:rPr>
            </w:pPr>
          </w:p>
        </w:tc>
        <w:tc>
          <w:tcPr>
            <w:tcW w:w="1310" w:type="dxa"/>
            <w:tcBorders>
              <w:top w:val="single" w:color="000000" w:sz="4" w:space="0"/>
              <w:left w:val="single" w:color="000000" w:sz="4" w:space="0"/>
              <w:bottom w:val="single" w:color="000000" w:sz="4" w:space="0"/>
              <w:right w:val="single" w:color="000000" w:sz="4" w:space="0"/>
            </w:tcBorders>
          </w:tcPr>
          <w:p w14:paraId="10D38C6B">
            <w:pPr>
              <w:spacing w:before="106"/>
              <w:ind w:left="154" w:right="26"/>
              <w:jc w:val="center"/>
              <w:rPr>
                <w:rFonts w:hint="eastAsia" w:ascii="宋体" w:hAnsi="宋体" w:eastAsia="宋体" w:cs="Times New Roman"/>
                <w:color w:val="000000"/>
                <w:szCs w:val="21"/>
              </w:rPr>
            </w:pPr>
            <w:r>
              <w:rPr>
                <w:rFonts w:hint="eastAsia" w:ascii="宋体" w:hAnsi="宋体" w:eastAsia="宋体" w:cs="Times New Roman"/>
                <w:color w:val="000000"/>
                <w:szCs w:val="21"/>
              </w:rPr>
              <w:t xml:space="preserve">联系人电话 </w:t>
            </w:r>
          </w:p>
        </w:tc>
        <w:tc>
          <w:tcPr>
            <w:tcW w:w="1510" w:type="dxa"/>
            <w:tcBorders>
              <w:top w:val="single" w:color="000000" w:sz="4" w:space="0"/>
              <w:left w:val="single" w:color="000000" w:sz="4" w:space="0"/>
              <w:bottom w:val="single" w:color="000000" w:sz="4" w:space="0"/>
              <w:right w:val="single" w:color="000000" w:sz="4" w:space="0"/>
            </w:tcBorders>
            <w:vAlign w:val="center"/>
          </w:tcPr>
          <w:p w14:paraId="794A781A">
            <w:pPr>
              <w:widowControl/>
              <w:jc w:val="center"/>
              <w:textAlignment w:val="center"/>
              <w:rPr>
                <w:rFonts w:hint="eastAsia" w:ascii="宋体" w:hAnsi="宋体" w:eastAsia="宋体" w:cs="Times New Roman"/>
                <w:color w:val="000000"/>
                <w:szCs w:val="21"/>
              </w:rPr>
            </w:pPr>
          </w:p>
        </w:tc>
      </w:tr>
      <w:tr w14:paraId="27AF1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Borders>
              <w:top w:val="single" w:color="000000" w:sz="4" w:space="0"/>
              <w:left w:val="single" w:color="000000" w:sz="4" w:space="0"/>
              <w:bottom w:val="single" w:color="000000" w:sz="4" w:space="0"/>
              <w:right w:val="single" w:color="000000" w:sz="4" w:space="0"/>
            </w:tcBorders>
          </w:tcPr>
          <w:p w14:paraId="6546724E">
            <w:pPr>
              <w:spacing w:before="111"/>
              <w:ind w:left="720"/>
              <w:rPr>
                <w:rFonts w:hint="eastAsia" w:ascii="宋体" w:hAnsi="宋体" w:eastAsia="宋体" w:cs="Times New Roman"/>
                <w:szCs w:val="21"/>
              </w:rPr>
            </w:pPr>
            <w:r>
              <w:rPr>
                <w:rFonts w:hint="eastAsia" w:ascii="宋体" w:hAnsi="宋体" w:eastAsia="宋体" w:cs="Times New Roman"/>
                <w:szCs w:val="21"/>
              </w:rPr>
              <w:t xml:space="preserve">企业性质 </w:t>
            </w:r>
          </w:p>
        </w:tc>
        <w:tc>
          <w:tcPr>
            <w:tcW w:w="4680" w:type="dxa"/>
            <w:gridSpan w:val="4"/>
            <w:tcBorders>
              <w:top w:val="single" w:color="000000" w:sz="4" w:space="0"/>
              <w:left w:val="single" w:color="000000" w:sz="4" w:space="0"/>
              <w:bottom w:val="single" w:color="000000" w:sz="4" w:space="0"/>
              <w:right w:val="single" w:color="000000" w:sz="4" w:space="0"/>
            </w:tcBorders>
            <w:vAlign w:val="center"/>
          </w:tcPr>
          <w:p w14:paraId="33E7D5CD">
            <w:pPr>
              <w:widowControl/>
              <w:jc w:val="center"/>
              <w:textAlignment w:val="center"/>
              <w:rPr>
                <w:rFonts w:hint="eastAsia" w:ascii="宋体" w:hAnsi="宋体" w:eastAsia="宋体" w:cs="Times New Roman"/>
                <w:color w:val="000000"/>
                <w:szCs w:val="21"/>
              </w:rPr>
            </w:pPr>
          </w:p>
        </w:tc>
        <w:tc>
          <w:tcPr>
            <w:tcW w:w="1310" w:type="dxa"/>
            <w:tcBorders>
              <w:top w:val="single" w:color="000000" w:sz="4" w:space="0"/>
              <w:left w:val="single" w:color="000000" w:sz="4" w:space="0"/>
              <w:bottom w:val="single" w:color="000000" w:sz="4" w:space="0"/>
              <w:right w:val="single" w:color="000000" w:sz="4" w:space="0"/>
            </w:tcBorders>
          </w:tcPr>
          <w:p w14:paraId="1F462E90">
            <w:pPr>
              <w:spacing w:before="103"/>
              <w:ind w:left="154" w:right="26"/>
              <w:jc w:val="center"/>
              <w:rPr>
                <w:rFonts w:hint="eastAsia" w:ascii="宋体" w:hAnsi="宋体" w:eastAsia="宋体" w:cs="Times New Roman"/>
                <w:color w:val="000000"/>
                <w:szCs w:val="21"/>
              </w:rPr>
            </w:pPr>
            <w:r>
              <w:rPr>
                <w:rFonts w:hint="eastAsia" w:ascii="宋体" w:hAnsi="宋体" w:eastAsia="宋体" w:cs="Times New Roman"/>
                <w:color w:val="000000"/>
                <w:szCs w:val="21"/>
              </w:rPr>
              <w:t xml:space="preserve">注册时间 </w:t>
            </w:r>
          </w:p>
        </w:tc>
        <w:tc>
          <w:tcPr>
            <w:tcW w:w="1510" w:type="dxa"/>
            <w:tcBorders>
              <w:top w:val="single" w:color="000000" w:sz="4" w:space="0"/>
              <w:left w:val="single" w:color="000000" w:sz="4" w:space="0"/>
              <w:bottom w:val="single" w:color="000000" w:sz="4" w:space="0"/>
              <w:right w:val="single" w:color="000000" w:sz="4" w:space="0"/>
            </w:tcBorders>
            <w:vAlign w:val="center"/>
          </w:tcPr>
          <w:p w14:paraId="0749DD67">
            <w:pPr>
              <w:widowControl/>
              <w:jc w:val="center"/>
              <w:textAlignment w:val="center"/>
              <w:rPr>
                <w:rFonts w:hint="eastAsia" w:ascii="宋体" w:hAnsi="宋体" w:eastAsia="宋体" w:cs="Times New Roman"/>
                <w:color w:val="000000"/>
                <w:szCs w:val="21"/>
              </w:rPr>
            </w:pPr>
          </w:p>
        </w:tc>
      </w:tr>
      <w:tr w14:paraId="63277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Borders>
              <w:top w:val="single" w:color="000000" w:sz="4" w:space="0"/>
              <w:left w:val="single" w:color="000000" w:sz="4" w:space="0"/>
              <w:bottom w:val="single" w:color="000000" w:sz="4" w:space="0"/>
              <w:right w:val="single" w:color="000000" w:sz="4" w:space="0"/>
            </w:tcBorders>
          </w:tcPr>
          <w:p w14:paraId="039EDDDD">
            <w:pPr>
              <w:spacing w:before="111"/>
              <w:ind w:left="509"/>
              <w:rPr>
                <w:rFonts w:hint="eastAsia" w:ascii="宋体" w:hAnsi="宋体" w:eastAsia="宋体" w:cs="Times New Roman"/>
                <w:szCs w:val="21"/>
                <w:highlight w:val="yellow"/>
              </w:rPr>
            </w:pPr>
            <w:r>
              <w:rPr>
                <w:rFonts w:hint="eastAsia" w:ascii="宋体" w:hAnsi="宋体" w:eastAsia="宋体" w:cs="Times New Roman"/>
                <w:szCs w:val="21"/>
              </w:rPr>
              <w:t xml:space="preserve">企业法人代表  </w:t>
            </w:r>
          </w:p>
        </w:tc>
        <w:tc>
          <w:tcPr>
            <w:tcW w:w="4680" w:type="dxa"/>
            <w:gridSpan w:val="4"/>
            <w:tcBorders>
              <w:top w:val="single" w:color="000000" w:sz="4" w:space="0"/>
              <w:left w:val="single" w:color="000000" w:sz="4" w:space="0"/>
              <w:bottom w:val="single" w:color="000000" w:sz="4" w:space="0"/>
              <w:right w:val="single" w:color="000000" w:sz="4" w:space="0"/>
            </w:tcBorders>
          </w:tcPr>
          <w:p w14:paraId="319FA988">
            <w:pPr>
              <w:widowControl/>
              <w:shd w:val="clear" w:color="auto" w:fill="FFFFFF"/>
              <w:spacing w:line="450" w:lineRule="atLeast"/>
              <w:jc w:val="left"/>
              <w:rPr>
                <w:rFonts w:hint="eastAsia" w:ascii="宋体" w:hAnsi="宋体" w:eastAsia="宋体" w:cs="Times New Roman"/>
                <w:b/>
                <w:bCs/>
                <w:color w:val="000000"/>
                <w:sz w:val="32"/>
                <w:szCs w:val="32"/>
              </w:rPr>
            </w:pPr>
          </w:p>
        </w:tc>
        <w:tc>
          <w:tcPr>
            <w:tcW w:w="1310" w:type="dxa"/>
            <w:tcBorders>
              <w:top w:val="single" w:color="000000" w:sz="4" w:space="0"/>
              <w:left w:val="single" w:color="000000" w:sz="4" w:space="0"/>
              <w:bottom w:val="single" w:color="000000" w:sz="4" w:space="0"/>
              <w:right w:val="single" w:color="000000" w:sz="4" w:space="0"/>
            </w:tcBorders>
          </w:tcPr>
          <w:p w14:paraId="0AA4CDEC">
            <w:pPr>
              <w:spacing w:before="103"/>
              <w:ind w:right="26"/>
              <w:jc w:val="center"/>
              <w:rPr>
                <w:rFonts w:hint="eastAsia" w:ascii="宋体" w:hAnsi="宋体" w:eastAsia="宋体" w:cs="Times New Roman"/>
                <w:color w:val="000000"/>
                <w:szCs w:val="21"/>
              </w:rPr>
            </w:pPr>
            <w:r>
              <w:rPr>
                <w:rFonts w:hint="eastAsia" w:ascii="宋体" w:hAnsi="宋体" w:eastAsia="宋体" w:cs="Times New Roman"/>
                <w:color w:val="000000"/>
                <w:szCs w:val="21"/>
              </w:rPr>
              <w:t>企业资质</w:t>
            </w:r>
          </w:p>
        </w:tc>
        <w:tc>
          <w:tcPr>
            <w:tcW w:w="1510" w:type="dxa"/>
            <w:tcBorders>
              <w:top w:val="single" w:color="000000" w:sz="4" w:space="0"/>
              <w:left w:val="single" w:color="000000" w:sz="4" w:space="0"/>
              <w:bottom w:val="single" w:color="000000" w:sz="4" w:space="0"/>
              <w:right w:val="single" w:color="000000" w:sz="4" w:space="0"/>
            </w:tcBorders>
            <w:vAlign w:val="center"/>
          </w:tcPr>
          <w:p w14:paraId="4661508B">
            <w:pPr>
              <w:widowControl/>
              <w:jc w:val="center"/>
              <w:textAlignment w:val="center"/>
              <w:rPr>
                <w:rFonts w:hint="eastAsia" w:ascii="宋体" w:hAnsi="宋体" w:eastAsia="宋体" w:cs="Times New Roman"/>
                <w:color w:val="000000"/>
                <w:szCs w:val="21"/>
              </w:rPr>
            </w:pPr>
          </w:p>
        </w:tc>
      </w:tr>
      <w:tr w14:paraId="2BDA20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Borders>
              <w:top w:val="single" w:color="000000" w:sz="4" w:space="0"/>
              <w:left w:val="single" w:color="000000" w:sz="4" w:space="0"/>
              <w:bottom w:val="single" w:color="000000" w:sz="4" w:space="0"/>
              <w:right w:val="single" w:color="000000" w:sz="4" w:space="0"/>
            </w:tcBorders>
          </w:tcPr>
          <w:p w14:paraId="16B7E6BD">
            <w:pPr>
              <w:spacing w:before="114"/>
              <w:ind w:left="720"/>
              <w:rPr>
                <w:rFonts w:hint="eastAsia" w:ascii="宋体" w:hAnsi="宋体" w:eastAsia="宋体" w:cs="Times New Roman"/>
                <w:szCs w:val="21"/>
              </w:rPr>
            </w:pPr>
            <w:r>
              <w:rPr>
                <w:rFonts w:hint="eastAsia" w:ascii="宋体" w:hAnsi="宋体" w:eastAsia="宋体" w:cs="Times New Roman"/>
                <w:szCs w:val="21"/>
              </w:rPr>
              <w:t xml:space="preserve">品牌区分 </w:t>
            </w:r>
          </w:p>
        </w:tc>
        <w:tc>
          <w:tcPr>
            <w:tcW w:w="7500" w:type="dxa"/>
            <w:gridSpan w:val="6"/>
            <w:tcBorders>
              <w:top w:val="single" w:color="000000" w:sz="4" w:space="0"/>
              <w:left w:val="single" w:color="000000" w:sz="4" w:space="0"/>
              <w:bottom w:val="single" w:color="000000" w:sz="4" w:space="0"/>
              <w:right w:val="single" w:color="000000" w:sz="4" w:space="0"/>
            </w:tcBorders>
          </w:tcPr>
          <w:p w14:paraId="41730BAE">
            <w:pPr>
              <w:spacing w:before="106"/>
              <w:ind w:left="401"/>
              <w:rPr>
                <w:rFonts w:hint="eastAsia" w:ascii="宋体" w:hAnsi="宋体" w:eastAsia="宋体" w:cs="Times New Roman"/>
                <w:szCs w:val="21"/>
              </w:rPr>
            </w:pPr>
            <w:r>
              <w:rPr>
                <w:rFonts w:hint="eastAsia" w:ascii="宋体" w:hAnsi="宋体" w:eastAsia="宋体" w:cs="Times New Roman"/>
                <w:szCs w:val="21"/>
              </w:rPr>
              <w:t xml:space="preserve"> </w:t>
            </w:r>
            <w:r>
              <w:rPr>
                <w:rFonts w:ascii="Wingdings 2" w:hAnsi="Wingdings 2" w:eastAsia="宋体" w:cs="Times New Roman"/>
                <w:szCs w:val="21"/>
              </w:rPr>
              <w:t>£</w:t>
            </w:r>
            <w:r>
              <w:rPr>
                <w:rFonts w:hint="eastAsia" w:ascii="宋体" w:hAnsi="宋体" w:eastAsia="宋体" w:cs="Times New Roman"/>
                <w:szCs w:val="21"/>
              </w:rPr>
              <w:t xml:space="preserve">自产 </w:t>
            </w:r>
            <w:r>
              <w:rPr>
                <w:rFonts w:ascii="Wingdings 2" w:hAnsi="Wingdings 2" w:eastAsia="宋体" w:cs="Times New Roman"/>
                <w:szCs w:val="21"/>
              </w:rPr>
              <w:t>£</w:t>
            </w:r>
            <w:r>
              <w:rPr>
                <w:rFonts w:hint="eastAsia" w:ascii="宋体" w:hAnsi="宋体" w:eastAsia="宋体" w:cs="Times New Roman"/>
                <w:szCs w:val="21"/>
              </w:rPr>
              <w:t xml:space="preserve">总代理 </w:t>
            </w:r>
            <w:r>
              <w:rPr>
                <w:rFonts w:ascii="Wingdings 2" w:hAnsi="Wingdings 2" w:eastAsia="宋体" w:cs="Times New Roman"/>
                <w:szCs w:val="21"/>
              </w:rPr>
              <w:t>£</w:t>
            </w:r>
            <w:r>
              <w:rPr>
                <w:rFonts w:hint="eastAsia" w:ascii="宋体" w:hAnsi="宋体" w:eastAsia="宋体" w:cs="Times New Roman"/>
                <w:szCs w:val="21"/>
              </w:rPr>
              <w:t xml:space="preserve">代理  </w:t>
            </w:r>
            <w:r>
              <w:rPr>
                <w:rFonts w:ascii="Wingdings 2" w:hAnsi="Wingdings 2" w:eastAsia="宋体" w:cs="Times New Roman"/>
                <w:szCs w:val="21"/>
              </w:rPr>
              <w:t>£</w:t>
            </w:r>
            <w:r>
              <w:rPr>
                <w:rFonts w:hint="eastAsia" w:ascii="宋体" w:hAnsi="宋体" w:eastAsia="宋体" w:cs="Times New Roman"/>
                <w:szCs w:val="21"/>
              </w:rPr>
              <w:t xml:space="preserve">经销 </w:t>
            </w:r>
          </w:p>
        </w:tc>
      </w:tr>
      <w:tr w14:paraId="38377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Borders>
              <w:top w:val="single" w:color="000000" w:sz="4" w:space="0"/>
              <w:left w:val="single" w:color="000000" w:sz="4" w:space="0"/>
              <w:bottom w:val="single" w:color="000000" w:sz="4" w:space="0"/>
              <w:right w:val="single" w:color="000000" w:sz="4" w:space="0"/>
            </w:tcBorders>
          </w:tcPr>
          <w:p w14:paraId="433A2320">
            <w:pPr>
              <w:spacing w:before="178"/>
              <w:ind w:left="720"/>
              <w:rPr>
                <w:rFonts w:hint="eastAsia" w:ascii="宋体" w:hAnsi="宋体" w:eastAsia="宋体" w:cs="Times New Roman"/>
                <w:szCs w:val="21"/>
              </w:rPr>
            </w:pPr>
            <w:r>
              <w:rPr>
                <w:rFonts w:hint="eastAsia" w:ascii="宋体" w:hAnsi="宋体" w:eastAsia="宋体" w:cs="Times New Roman"/>
                <w:szCs w:val="21"/>
              </w:rPr>
              <w:t xml:space="preserve">品牌名称 </w:t>
            </w:r>
          </w:p>
        </w:tc>
        <w:tc>
          <w:tcPr>
            <w:tcW w:w="3583" w:type="dxa"/>
            <w:gridSpan w:val="3"/>
            <w:tcBorders>
              <w:top w:val="single" w:color="000000" w:sz="4" w:space="0"/>
              <w:left w:val="single" w:color="000000" w:sz="4" w:space="0"/>
              <w:bottom w:val="single" w:color="000000" w:sz="4" w:space="0"/>
              <w:right w:val="single" w:color="000000" w:sz="4" w:space="0"/>
            </w:tcBorders>
            <w:vAlign w:val="center"/>
          </w:tcPr>
          <w:p w14:paraId="3F9B1505">
            <w:pPr>
              <w:widowControl/>
              <w:rPr>
                <w:rFonts w:hint="eastAsia" w:ascii="宋体" w:hAnsi="宋体" w:eastAsia="仿宋_GB2312" w:cs="Times New Roman"/>
                <w:kern w:val="0"/>
                <w:szCs w:val="21"/>
              </w:rPr>
            </w:pPr>
          </w:p>
        </w:tc>
        <w:tc>
          <w:tcPr>
            <w:tcW w:w="1097" w:type="dxa"/>
            <w:tcBorders>
              <w:top w:val="single" w:color="000000" w:sz="4" w:space="0"/>
              <w:left w:val="single" w:color="000000" w:sz="4" w:space="0"/>
              <w:bottom w:val="single" w:color="000000" w:sz="4" w:space="0"/>
              <w:right w:val="single" w:color="000000" w:sz="4" w:space="0"/>
            </w:tcBorders>
          </w:tcPr>
          <w:p w14:paraId="6AB2DC07">
            <w:pPr>
              <w:spacing w:before="15"/>
              <w:ind w:left="279"/>
              <w:rPr>
                <w:rFonts w:hint="eastAsia" w:ascii="宋体" w:hAnsi="宋体" w:eastAsia="宋体" w:cs="Times New Roman"/>
                <w:szCs w:val="21"/>
              </w:rPr>
            </w:pPr>
            <w:r>
              <w:rPr>
                <w:rFonts w:hint="eastAsia" w:ascii="宋体" w:hAnsi="宋体" w:eastAsia="宋体" w:cs="Times New Roman"/>
                <w:spacing w:val="-2"/>
                <w:szCs w:val="21"/>
              </w:rPr>
              <w:t>质量</w:t>
            </w:r>
            <w:r>
              <w:rPr>
                <w:rFonts w:hint="eastAsia" w:ascii="宋体" w:hAnsi="宋体" w:eastAsia="宋体" w:cs="Times New Roman"/>
                <w:szCs w:val="21"/>
              </w:rPr>
              <w:t xml:space="preserve"> </w:t>
            </w:r>
          </w:p>
          <w:p w14:paraId="5AC0D2E6">
            <w:pPr>
              <w:spacing w:before="30" w:line="277" w:lineRule="exact"/>
              <w:ind w:left="279"/>
              <w:rPr>
                <w:rFonts w:hint="eastAsia" w:ascii="宋体" w:hAnsi="宋体" w:eastAsia="宋体" w:cs="Times New Roman"/>
                <w:szCs w:val="21"/>
              </w:rPr>
            </w:pPr>
            <w:r>
              <w:rPr>
                <w:rFonts w:hint="eastAsia" w:ascii="宋体" w:hAnsi="宋体" w:eastAsia="宋体" w:cs="Times New Roman"/>
                <w:szCs w:val="21"/>
              </w:rPr>
              <w:t>体系</w:t>
            </w:r>
          </w:p>
        </w:tc>
        <w:tc>
          <w:tcPr>
            <w:tcW w:w="2820" w:type="dxa"/>
            <w:gridSpan w:val="2"/>
            <w:tcBorders>
              <w:top w:val="single" w:color="000000" w:sz="4" w:space="0"/>
              <w:left w:val="single" w:color="000000" w:sz="4" w:space="0"/>
              <w:bottom w:val="single" w:color="000000" w:sz="4" w:space="0"/>
              <w:right w:val="single" w:color="000000" w:sz="4" w:space="0"/>
            </w:tcBorders>
          </w:tcPr>
          <w:p w14:paraId="5A396251">
            <w:pPr>
              <w:spacing w:before="158"/>
              <w:jc w:val="center"/>
              <w:rPr>
                <w:rFonts w:hint="eastAsia" w:ascii="宋体" w:hAnsi="宋体" w:eastAsia="宋体" w:cs="Times New Roman"/>
                <w:sz w:val="24"/>
                <w:szCs w:val="24"/>
              </w:rPr>
            </w:pPr>
            <w:r>
              <w:rPr>
                <w:rFonts w:hint="eastAsia" w:ascii="宋体" w:hAnsi="宋体" w:eastAsia="宋体" w:cs="Times New Roman"/>
                <w:kern w:val="0"/>
                <w:szCs w:val="21"/>
              </w:rPr>
              <w:t>/</w:t>
            </w:r>
          </w:p>
        </w:tc>
      </w:tr>
      <w:tr w14:paraId="2C1F39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Borders>
              <w:top w:val="single" w:color="000000" w:sz="4" w:space="0"/>
              <w:left w:val="single" w:color="000000" w:sz="4" w:space="0"/>
              <w:bottom w:val="single" w:color="000000" w:sz="4" w:space="0"/>
              <w:right w:val="single" w:color="000000" w:sz="4" w:space="0"/>
            </w:tcBorders>
          </w:tcPr>
          <w:p w14:paraId="5BA3AC18">
            <w:pPr>
              <w:spacing w:before="149"/>
              <w:ind w:left="3345" w:right="3223"/>
              <w:jc w:val="center"/>
              <w:rPr>
                <w:rFonts w:hint="eastAsia" w:ascii="宋体" w:hAnsi="宋体" w:eastAsia="宋体" w:cs="Times New Roman"/>
                <w:szCs w:val="21"/>
              </w:rPr>
            </w:pPr>
            <w:r>
              <w:rPr>
                <w:rFonts w:hint="eastAsia" w:ascii="宋体" w:hAnsi="宋体" w:eastAsia="宋体" w:cs="Times New Roman"/>
                <w:szCs w:val="21"/>
              </w:rPr>
              <w:t>单位概况</w:t>
            </w:r>
          </w:p>
        </w:tc>
      </w:tr>
      <w:tr w14:paraId="5EBA4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16811DFB">
            <w:pPr>
              <w:widowControl/>
              <w:jc w:val="center"/>
              <w:textAlignment w:val="center"/>
              <w:rPr>
                <w:rFonts w:hint="eastAsia" w:ascii="宋体" w:hAnsi="宋体" w:eastAsia="宋体" w:cs="Times New Roman"/>
                <w:szCs w:val="21"/>
              </w:rPr>
            </w:pPr>
            <w:r>
              <w:rPr>
                <w:rFonts w:hint="eastAsia" w:ascii="宋体" w:hAnsi="宋体" w:eastAsia="宋体" w:cs="Times New Roman"/>
                <w:spacing w:val="-2"/>
                <w:szCs w:val="21"/>
              </w:rPr>
              <w:t>参保职工总人</w:t>
            </w:r>
            <w:r>
              <w:rPr>
                <w:rFonts w:hint="eastAsia" w:ascii="宋体" w:hAnsi="宋体" w:eastAsia="宋体" w:cs="Times New Roman"/>
                <w:spacing w:val="-1"/>
                <w:szCs w:val="21"/>
              </w:rPr>
              <w:t>数</w:t>
            </w:r>
          </w:p>
        </w:tc>
        <w:tc>
          <w:tcPr>
            <w:tcW w:w="990" w:type="dxa"/>
            <w:tcBorders>
              <w:top w:val="single" w:color="000000" w:sz="4" w:space="0"/>
              <w:left w:val="single" w:color="000000" w:sz="4" w:space="0"/>
              <w:bottom w:val="single" w:color="000000" w:sz="4" w:space="0"/>
              <w:right w:val="single" w:color="000000" w:sz="4" w:space="0"/>
            </w:tcBorders>
            <w:vAlign w:val="center"/>
          </w:tcPr>
          <w:p w14:paraId="273EB555">
            <w:pPr>
              <w:widowControl/>
              <w:textAlignment w:val="center"/>
              <w:rPr>
                <w:rFonts w:hint="eastAsia" w:ascii="宋体" w:hAnsi="宋体" w:eastAsia="宋体" w:cs="Times New Roman"/>
                <w:szCs w:val="21"/>
              </w:rPr>
            </w:pPr>
          </w:p>
        </w:tc>
        <w:tc>
          <w:tcPr>
            <w:tcW w:w="1530" w:type="dxa"/>
            <w:tcBorders>
              <w:top w:val="single" w:color="000000" w:sz="4" w:space="0"/>
              <w:left w:val="single" w:color="000000" w:sz="4" w:space="0"/>
              <w:bottom w:val="single" w:color="000000" w:sz="4" w:space="0"/>
              <w:right w:val="single" w:color="000000" w:sz="4" w:space="0"/>
            </w:tcBorders>
            <w:vAlign w:val="center"/>
          </w:tcPr>
          <w:p w14:paraId="521069D8">
            <w:pPr>
              <w:widowControl/>
              <w:jc w:val="center"/>
              <w:textAlignment w:val="center"/>
              <w:rPr>
                <w:rFonts w:hint="eastAsia" w:ascii="宋体" w:hAnsi="宋体" w:eastAsia="宋体" w:cs="Times New Roman"/>
                <w:szCs w:val="21"/>
              </w:rPr>
            </w:pPr>
            <w:r>
              <w:rPr>
                <w:rFonts w:hint="eastAsia" w:ascii="宋体" w:hAnsi="宋体" w:eastAsia="宋体" w:cs="Times New Roman"/>
                <w:spacing w:val="-2"/>
                <w:szCs w:val="21"/>
              </w:rPr>
              <w:t>工程技术人</w:t>
            </w:r>
            <w:r>
              <w:rPr>
                <w:rFonts w:hint="eastAsia" w:ascii="宋体" w:hAnsi="宋体" w:eastAsia="宋体" w:cs="Times New Roman"/>
                <w:spacing w:val="-1"/>
                <w:szCs w:val="21"/>
              </w:rPr>
              <w:t>员</w:t>
            </w:r>
          </w:p>
        </w:tc>
        <w:tc>
          <w:tcPr>
            <w:tcW w:w="1063" w:type="dxa"/>
            <w:tcBorders>
              <w:top w:val="single" w:color="000000" w:sz="4" w:space="0"/>
              <w:left w:val="single" w:color="000000" w:sz="4" w:space="0"/>
              <w:bottom w:val="single" w:color="000000" w:sz="4" w:space="0"/>
              <w:right w:val="single" w:color="000000" w:sz="4" w:space="0"/>
            </w:tcBorders>
            <w:vAlign w:val="center"/>
          </w:tcPr>
          <w:p w14:paraId="02EB2913">
            <w:pPr>
              <w:widowControl/>
              <w:jc w:val="center"/>
              <w:textAlignment w:val="center"/>
              <w:rPr>
                <w:rFonts w:hint="eastAsia" w:ascii="宋体" w:hAnsi="宋体" w:eastAsia="宋体" w:cs="Times New Roman"/>
                <w:szCs w:val="21"/>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79FEEE04">
            <w:pPr>
              <w:widowControl/>
              <w:textAlignment w:val="center"/>
              <w:rPr>
                <w:rFonts w:hint="eastAsia" w:ascii="宋体" w:hAnsi="宋体" w:eastAsia="宋体" w:cs="Times New Roman"/>
                <w:szCs w:val="21"/>
              </w:rPr>
            </w:pPr>
            <w:r>
              <w:rPr>
                <w:rFonts w:hint="eastAsia" w:ascii="宋体" w:hAnsi="宋体" w:eastAsia="宋体" w:cs="Times New Roman"/>
                <w:spacing w:val="-3"/>
                <w:szCs w:val="21"/>
              </w:rPr>
              <w:t>生</w:t>
            </w:r>
            <w:r>
              <w:rPr>
                <w:rFonts w:hint="eastAsia" w:ascii="宋体" w:hAnsi="宋体" w:eastAsia="宋体" w:cs="Times New Roman"/>
                <w:spacing w:val="-2"/>
                <w:szCs w:val="21"/>
              </w:rPr>
              <w:t>产、销售人员</w:t>
            </w:r>
          </w:p>
        </w:tc>
        <w:tc>
          <w:tcPr>
            <w:tcW w:w="2820" w:type="dxa"/>
            <w:gridSpan w:val="2"/>
            <w:tcBorders>
              <w:top w:val="single" w:color="000000" w:sz="4" w:space="0"/>
              <w:left w:val="single" w:color="000000" w:sz="4" w:space="0"/>
              <w:bottom w:val="single" w:color="000000" w:sz="4" w:space="0"/>
              <w:right w:val="single" w:color="000000" w:sz="4" w:space="0"/>
            </w:tcBorders>
            <w:vAlign w:val="center"/>
          </w:tcPr>
          <w:p w14:paraId="36FF2C97">
            <w:pPr>
              <w:widowControl/>
              <w:jc w:val="center"/>
              <w:textAlignment w:val="center"/>
              <w:rPr>
                <w:rFonts w:hint="eastAsia" w:ascii="宋体" w:hAnsi="宋体" w:eastAsia="宋体" w:cs="Times New Roman"/>
                <w:szCs w:val="21"/>
              </w:rPr>
            </w:pPr>
          </w:p>
        </w:tc>
      </w:tr>
      <w:tr w14:paraId="0E36B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4951564B">
            <w:pPr>
              <w:widowControl/>
              <w:jc w:val="center"/>
              <w:textAlignment w:val="center"/>
              <w:rPr>
                <w:rFonts w:hint="eastAsia" w:ascii="宋体" w:hAnsi="宋体" w:eastAsia="宋体" w:cs="Times New Roman"/>
                <w:szCs w:val="21"/>
              </w:rPr>
            </w:pPr>
            <w:r>
              <w:rPr>
                <w:rFonts w:hint="eastAsia" w:ascii="宋体" w:hAnsi="宋体" w:eastAsia="宋体" w:cs="Times New Roman"/>
                <w:kern w:val="0"/>
                <w:szCs w:val="21"/>
              </w:rPr>
              <w:t>企业优势、关键产品特点</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7204A821">
            <w:pPr>
              <w:widowControl/>
              <w:jc w:val="left"/>
              <w:rPr>
                <w:rFonts w:hint="eastAsia" w:ascii="宋体" w:hAnsi="宋体" w:eastAsia="宋体" w:cs="Times New Roman"/>
                <w:szCs w:val="21"/>
              </w:rPr>
            </w:pPr>
          </w:p>
        </w:tc>
      </w:tr>
      <w:tr w14:paraId="63DDE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2EFF921B">
            <w:pPr>
              <w:widowControl/>
              <w:jc w:val="center"/>
              <w:textAlignment w:val="center"/>
              <w:rPr>
                <w:rFonts w:hint="eastAsia" w:ascii="宋体" w:hAnsi="宋体" w:eastAsia="宋体" w:cs="Times New Roman"/>
                <w:szCs w:val="21"/>
              </w:rPr>
            </w:pPr>
            <w:r>
              <w:rPr>
                <w:rFonts w:hint="eastAsia" w:ascii="宋体" w:hAnsi="宋体" w:eastAsia="宋体" w:cs="Times New Roman"/>
                <w:color w:val="000000"/>
                <w:kern w:val="0"/>
                <w:szCs w:val="21"/>
              </w:rPr>
              <w:t>企业行业水平及行业口碑</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0EE6D05E">
            <w:pPr>
              <w:widowControl/>
              <w:jc w:val="left"/>
              <w:rPr>
                <w:rFonts w:hint="eastAsia" w:ascii="宋体" w:hAnsi="宋体" w:eastAsia="宋体" w:cs="Times New Roman"/>
                <w:szCs w:val="21"/>
              </w:rPr>
            </w:pPr>
          </w:p>
        </w:tc>
      </w:tr>
      <w:tr w14:paraId="17998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3961C195">
            <w:pPr>
              <w:widowControl/>
              <w:jc w:val="center"/>
              <w:textAlignment w:val="center"/>
              <w:rPr>
                <w:rFonts w:hint="eastAsia" w:ascii="宋体" w:hAnsi="宋体" w:eastAsia="宋体" w:cs="Times New Roman"/>
                <w:szCs w:val="21"/>
              </w:rPr>
            </w:pPr>
            <w:r>
              <w:rPr>
                <w:rFonts w:hint="eastAsia" w:ascii="宋体" w:hAnsi="宋体" w:eastAsia="宋体" w:cs="Times New Roman"/>
                <w:spacing w:val="-10"/>
                <w:szCs w:val="21"/>
              </w:rPr>
              <w:t>公</w:t>
            </w:r>
            <w:r>
              <w:rPr>
                <w:rFonts w:hint="eastAsia" w:ascii="宋体" w:hAnsi="宋体" w:eastAsia="宋体" w:cs="Times New Roman"/>
                <w:spacing w:val="-7"/>
                <w:szCs w:val="21"/>
              </w:rPr>
              <w:t>司</w:t>
            </w:r>
            <w:r>
              <w:rPr>
                <w:rFonts w:hint="eastAsia" w:ascii="宋体" w:hAnsi="宋体" w:eastAsia="宋体" w:cs="Times New Roman"/>
                <w:spacing w:val="-5"/>
                <w:szCs w:val="21"/>
              </w:rPr>
              <w:t>现有主要研发、</w:t>
            </w:r>
            <w:r>
              <w:rPr>
                <w:rFonts w:hint="eastAsia" w:ascii="宋体" w:hAnsi="宋体" w:eastAsia="宋体" w:cs="Times New Roman"/>
                <w:szCs w:val="21"/>
              </w:rPr>
              <w:t xml:space="preserve"> </w:t>
            </w:r>
            <w:r>
              <w:rPr>
                <w:rFonts w:hint="eastAsia" w:ascii="宋体" w:hAnsi="宋体" w:eastAsia="宋体" w:cs="Times New Roman"/>
                <w:spacing w:val="-4"/>
                <w:szCs w:val="21"/>
              </w:rPr>
              <w:t>实</w:t>
            </w:r>
            <w:r>
              <w:rPr>
                <w:rFonts w:hint="eastAsia" w:ascii="宋体" w:hAnsi="宋体" w:eastAsia="宋体" w:cs="Times New Roman"/>
                <w:spacing w:val="-2"/>
                <w:szCs w:val="21"/>
              </w:rPr>
              <w:t>验、生产设备</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71639DC8">
            <w:pPr>
              <w:widowControl/>
              <w:jc w:val="left"/>
              <w:rPr>
                <w:rFonts w:hint="eastAsia" w:ascii="宋体" w:hAnsi="宋体" w:eastAsia="宋体" w:cs="Times New Roman"/>
                <w:szCs w:val="21"/>
              </w:rPr>
            </w:pPr>
          </w:p>
        </w:tc>
      </w:tr>
      <w:tr w14:paraId="013D12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5D10C5E1">
            <w:pPr>
              <w:widowControl/>
              <w:jc w:val="center"/>
              <w:textAlignment w:val="center"/>
              <w:rPr>
                <w:rFonts w:hint="eastAsia" w:ascii="宋体" w:hAnsi="宋体" w:eastAsia="宋体" w:cs="Times New Roman"/>
                <w:szCs w:val="21"/>
              </w:rPr>
            </w:pPr>
            <w:r>
              <w:rPr>
                <w:rFonts w:hint="eastAsia" w:ascii="宋体" w:hAnsi="宋体" w:eastAsia="宋体" w:cs="Times New Roman"/>
                <w:kern w:val="0"/>
                <w:szCs w:val="21"/>
              </w:rPr>
              <w:t>近三或五年企业类似业绩及履约情况</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5ABA38AD">
            <w:pPr>
              <w:widowControl/>
              <w:jc w:val="left"/>
              <w:rPr>
                <w:rFonts w:hint="eastAsia" w:ascii="宋体" w:hAnsi="宋体" w:eastAsia="宋体" w:cs="Times New Roman"/>
                <w:szCs w:val="21"/>
              </w:rPr>
            </w:pPr>
          </w:p>
        </w:tc>
      </w:tr>
      <w:tr w14:paraId="3C756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29C806B0">
            <w:pPr>
              <w:widowControl/>
              <w:jc w:val="center"/>
              <w:textAlignment w:val="center"/>
              <w:rPr>
                <w:rFonts w:hint="eastAsia" w:ascii="宋体" w:hAnsi="宋体" w:eastAsia="宋体" w:cs="Times New Roman"/>
                <w:szCs w:val="21"/>
              </w:rPr>
            </w:pPr>
            <w:r>
              <w:rPr>
                <w:rFonts w:hint="eastAsia" w:ascii="宋体" w:hAnsi="宋体" w:eastAsia="宋体" w:cs="Times New Roman"/>
                <w:kern w:val="0"/>
                <w:szCs w:val="21"/>
              </w:rPr>
              <w:t>售后服务及质量</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59E95503">
            <w:pPr>
              <w:widowControl/>
              <w:jc w:val="left"/>
              <w:rPr>
                <w:rFonts w:hint="eastAsia" w:ascii="宋体" w:hAnsi="宋体" w:eastAsia="宋体" w:cs="Times New Roman"/>
                <w:szCs w:val="21"/>
              </w:rPr>
            </w:pPr>
          </w:p>
        </w:tc>
      </w:tr>
      <w:tr w14:paraId="0C905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00B6394D">
            <w:pPr>
              <w:widowControl/>
              <w:textAlignment w:val="center"/>
              <w:rPr>
                <w:rFonts w:hint="eastAsia" w:ascii="宋体" w:hAnsi="宋体" w:eastAsia="宋体" w:cs="Times New Roman"/>
                <w:kern w:val="0"/>
                <w:szCs w:val="21"/>
              </w:rPr>
            </w:pPr>
            <w:r>
              <w:rPr>
                <w:rFonts w:hint="eastAsia" w:ascii="宋体" w:hAnsi="宋体" w:eastAsia="宋体" w:cs="Times New Roman"/>
                <w:spacing w:val="-4"/>
                <w:szCs w:val="21"/>
              </w:rPr>
              <w:t>对本项目在设计、制造、进度、财务等方面采取的组织措施和相</w:t>
            </w:r>
            <w:r>
              <w:rPr>
                <w:rFonts w:hint="eastAsia" w:ascii="宋体" w:hAnsi="宋体" w:eastAsia="宋体" w:cs="Times New Roman"/>
                <w:spacing w:val="-2"/>
                <w:szCs w:val="21"/>
              </w:rPr>
              <w:t>关</w:t>
            </w:r>
            <w:r>
              <w:rPr>
                <w:rFonts w:hint="eastAsia" w:ascii="宋体" w:hAnsi="宋体" w:eastAsia="宋体" w:cs="Times New Roman"/>
                <w:spacing w:val="-3"/>
                <w:szCs w:val="21"/>
              </w:rPr>
              <w:t>人</w:t>
            </w:r>
            <w:r>
              <w:rPr>
                <w:rFonts w:hint="eastAsia" w:ascii="宋体" w:hAnsi="宋体" w:eastAsia="宋体" w:cs="Times New Roman"/>
                <w:spacing w:val="-2"/>
                <w:szCs w:val="21"/>
              </w:rPr>
              <w:t>员简介</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033D7F26">
            <w:pPr>
              <w:widowControl/>
              <w:jc w:val="left"/>
              <w:rPr>
                <w:rFonts w:hint="eastAsia" w:ascii="宋体" w:hAnsi="宋体" w:eastAsia="宋体" w:cs="Times New Roman"/>
                <w:kern w:val="0"/>
                <w:szCs w:val="21"/>
              </w:rPr>
            </w:pPr>
          </w:p>
        </w:tc>
      </w:tr>
    </w:tbl>
    <w:p w14:paraId="6119034E">
      <w:pP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br w:type="page"/>
      </w:r>
    </w:p>
    <w:p w14:paraId="6773AA4D">
      <w:pPr>
        <w:outlineLvl w:val="3"/>
        <w:rPr>
          <w:rFonts w:ascii="Times New Roman" w:hAnsi="Times New Roman" w:eastAsia="宋体" w:cs="Times New Roman"/>
          <w:b/>
          <w:bCs/>
          <w:color w:val="000000"/>
          <w:sz w:val="24"/>
          <w:szCs w:val="24"/>
        </w:rPr>
      </w:pPr>
      <w:r>
        <w:rPr>
          <w:rFonts w:hint="eastAsia" w:ascii="宋体" w:hAnsi="宋体" w:eastAsia="宋体" w:cs="Times New Roman"/>
          <w:spacing w:val="-9"/>
          <w:sz w:val="24"/>
          <w:szCs w:val="24"/>
        </w:rPr>
        <w:t>表</w:t>
      </w:r>
      <w:r>
        <w:rPr>
          <w:rFonts w:hint="eastAsia" w:ascii="宋体" w:hAnsi="宋体" w:eastAsia="宋体" w:cs="Times New Roman"/>
          <w:spacing w:val="-7"/>
          <w:sz w:val="24"/>
          <w:szCs w:val="24"/>
        </w:rPr>
        <w:t xml:space="preserve"> 2 </w:t>
      </w:r>
      <w:r>
        <w:rPr>
          <w:rFonts w:hint="eastAsia" w:ascii="宋体" w:hAnsi="宋体" w:eastAsia="宋体" w:cs="Times New Roman"/>
          <w:b/>
          <w:bCs/>
          <w:color w:val="000000"/>
          <w:sz w:val="24"/>
          <w:szCs w:val="24"/>
        </w:rPr>
        <w:t>资产情况汇总表</w:t>
      </w:r>
    </w:p>
    <w:p w14:paraId="530B2326">
      <w:pP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 xml:space="preserve"> </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5F72D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tcBorders>
              <w:top w:val="single" w:color="auto" w:sz="4" w:space="0"/>
              <w:left w:val="single" w:color="auto" w:sz="4" w:space="0"/>
              <w:bottom w:val="single" w:color="auto" w:sz="4" w:space="0"/>
              <w:right w:val="single" w:color="auto" w:sz="4" w:space="0"/>
            </w:tcBorders>
            <w:vAlign w:val="center"/>
          </w:tcPr>
          <w:p w14:paraId="2CAF94A3">
            <w:pPr>
              <w:spacing w:line="440" w:lineRule="exact"/>
              <w:jc w:val="center"/>
              <w:rPr>
                <w:rFonts w:hint="eastAsia" w:ascii="宋体" w:hAnsi="宋体" w:eastAsia="等线" w:cs="Times New Roman"/>
                <w:szCs w:val="21"/>
              </w:rPr>
            </w:pP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公司资产情况汇总表</w:t>
            </w:r>
          </w:p>
        </w:tc>
      </w:tr>
      <w:tr w14:paraId="64099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146CFD37">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注册资金（万元）</w:t>
            </w:r>
          </w:p>
        </w:tc>
        <w:tc>
          <w:tcPr>
            <w:tcW w:w="3865" w:type="dxa"/>
            <w:gridSpan w:val="3"/>
            <w:tcBorders>
              <w:top w:val="single" w:color="auto" w:sz="4" w:space="0"/>
              <w:left w:val="single" w:color="auto" w:sz="4" w:space="0"/>
              <w:bottom w:val="single" w:color="auto" w:sz="4" w:space="0"/>
              <w:right w:val="single" w:color="auto" w:sz="4" w:space="0"/>
            </w:tcBorders>
          </w:tcPr>
          <w:p w14:paraId="7B3DD63E">
            <w:pPr>
              <w:spacing w:line="440" w:lineRule="exact"/>
              <w:jc w:val="center"/>
              <w:rPr>
                <w:rFonts w:hint="eastAsia" w:ascii="宋体" w:hAnsi="宋体" w:eastAsia="等线" w:cs="Times New Roman"/>
                <w:color w:val="000000"/>
                <w:sz w:val="24"/>
                <w:szCs w:val="24"/>
              </w:rPr>
            </w:pPr>
          </w:p>
        </w:tc>
      </w:tr>
      <w:tr w14:paraId="3C52B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305F1B90">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实收资金（万元）</w:t>
            </w:r>
          </w:p>
        </w:tc>
        <w:tc>
          <w:tcPr>
            <w:tcW w:w="3865" w:type="dxa"/>
            <w:gridSpan w:val="3"/>
            <w:tcBorders>
              <w:top w:val="single" w:color="auto" w:sz="4" w:space="0"/>
              <w:left w:val="single" w:color="auto" w:sz="4" w:space="0"/>
              <w:bottom w:val="single" w:color="auto" w:sz="4" w:space="0"/>
              <w:right w:val="single" w:color="auto" w:sz="4" w:space="0"/>
            </w:tcBorders>
          </w:tcPr>
          <w:p w14:paraId="00BC9E85">
            <w:pPr>
              <w:spacing w:line="440" w:lineRule="exact"/>
              <w:jc w:val="center"/>
              <w:rPr>
                <w:rFonts w:hint="eastAsia" w:ascii="宋体" w:hAnsi="宋体" w:eastAsia="等线" w:cs="Times New Roman"/>
                <w:color w:val="000000"/>
                <w:sz w:val="24"/>
                <w:szCs w:val="24"/>
              </w:rPr>
            </w:pPr>
          </w:p>
        </w:tc>
      </w:tr>
      <w:tr w14:paraId="67C9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39E35C61">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年度资产情况</w:t>
            </w:r>
          </w:p>
        </w:tc>
        <w:tc>
          <w:tcPr>
            <w:tcW w:w="1287" w:type="dxa"/>
            <w:tcBorders>
              <w:top w:val="single" w:color="auto" w:sz="4" w:space="0"/>
              <w:left w:val="single" w:color="auto" w:sz="4" w:space="0"/>
              <w:bottom w:val="single" w:color="auto" w:sz="4" w:space="0"/>
              <w:right w:val="single" w:color="auto" w:sz="4" w:space="0"/>
            </w:tcBorders>
            <w:vAlign w:val="center"/>
          </w:tcPr>
          <w:p w14:paraId="140F583C">
            <w:pPr>
              <w:spacing w:line="440" w:lineRule="exact"/>
              <w:jc w:val="center"/>
              <w:rPr>
                <w:rFonts w:hint="default" w:ascii="宋体" w:hAnsi="宋体" w:eastAsia="等线" w:cs="Times New Roman"/>
                <w:color w:val="000000"/>
                <w:sz w:val="24"/>
                <w:szCs w:val="24"/>
                <w:lang w:val="en-US" w:eastAsia="zh-CN"/>
              </w:rPr>
            </w:pPr>
            <w:r>
              <w:rPr>
                <w:rFonts w:hint="eastAsia" w:ascii="宋体" w:hAnsi="宋体" w:eastAsia="宋体" w:cs="Times New Roman"/>
                <w:color w:val="000000"/>
                <w:sz w:val="24"/>
                <w:szCs w:val="24"/>
                <w:lang w:val="en-US" w:eastAsia="zh-CN"/>
              </w:rPr>
              <w:t>2023年</w:t>
            </w:r>
          </w:p>
        </w:tc>
        <w:tc>
          <w:tcPr>
            <w:tcW w:w="1288" w:type="dxa"/>
            <w:tcBorders>
              <w:top w:val="single" w:color="auto" w:sz="4" w:space="0"/>
              <w:left w:val="single" w:color="auto" w:sz="4" w:space="0"/>
              <w:bottom w:val="single" w:color="auto" w:sz="4" w:space="0"/>
              <w:right w:val="single" w:color="auto" w:sz="4" w:space="0"/>
            </w:tcBorders>
            <w:vAlign w:val="center"/>
          </w:tcPr>
          <w:p w14:paraId="2C85D5E2">
            <w:pPr>
              <w:spacing w:line="440" w:lineRule="exact"/>
              <w:jc w:val="center"/>
              <w:rPr>
                <w:rFonts w:hint="default" w:ascii="宋体" w:hAnsi="宋体" w:eastAsia="等线" w:cs="Times New Roman"/>
                <w:color w:val="000000"/>
                <w:sz w:val="24"/>
                <w:szCs w:val="24"/>
                <w:lang w:val="en-US" w:eastAsia="zh-CN"/>
              </w:rPr>
            </w:pPr>
            <w:r>
              <w:rPr>
                <w:rFonts w:hint="eastAsia" w:ascii="宋体" w:hAnsi="宋体" w:eastAsia="宋体" w:cs="Times New Roman"/>
                <w:color w:val="000000"/>
                <w:sz w:val="24"/>
                <w:szCs w:val="24"/>
                <w:lang w:val="en-US" w:eastAsia="zh-CN"/>
              </w:rPr>
              <w:t>2024年</w:t>
            </w:r>
          </w:p>
        </w:tc>
        <w:tc>
          <w:tcPr>
            <w:tcW w:w="1288" w:type="dxa"/>
            <w:tcBorders>
              <w:top w:val="single" w:color="auto" w:sz="4" w:space="0"/>
              <w:left w:val="single" w:color="auto" w:sz="4" w:space="0"/>
              <w:bottom w:val="single" w:color="auto" w:sz="4" w:space="0"/>
              <w:right w:val="single" w:color="auto" w:sz="4" w:space="0"/>
            </w:tcBorders>
            <w:vAlign w:val="center"/>
          </w:tcPr>
          <w:p w14:paraId="2573E351">
            <w:pPr>
              <w:spacing w:line="440" w:lineRule="exact"/>
              <w:jc w:val="center"/>
              <w:rPr>
                <w:rFonts w:hint="default" w:ascii="宋体" w:hAnsi="宋体" w:eastAsia="等线" w:cs="Times New Roman"/>
                <w:color w:val="000000"/>
                <w:sz w:val="24"/>
                <w:szCs w:val="24"/>
                <w:lang w:val="en-US" w:eastAsia="zh-CN"/>
              </w:rPr>
            </w:pPr>
            <w:r>
              <w:rPr>
                <w:rFonts w:hint="eastAsia" w:ascii="宋体" w:hAnsi="宋体" w:eastAsia="宋体" w:cs="Times New Roman"/>
                <w:color w:val="000000"/>
                <w:sz w:val="24"/>
                <w:szCs w:val="24"/>
                <w:lang w:val="en-US" w:eastAsia="zh-CN"/>
              </w:rPr>
              <w:t>2025年</w:t>
            </w:r>
          </w:p>
        </w:tc>
      </w:tr>
      <w:tr w14:paraId="14DE8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03469929">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流动资产（万元）</w:t>
            </w:r>
          </w:p>
        </w:tc>
        <w:tc>
          <w:tcPr>
            <w:tcW w:w="1287" w:type="dxa"/>
            <w:tcBorders>
              <w:top w:val="single" w:color="auto" w:sz="4" w:space="0"/>
              <w:left w:val="single" w:color="auto" w:sz="4" w:space="0"/>
              <w:bottom w:val="single" w:color="auto" w:sz="4" w:space="0"/>
              <w:right w:val="single" w:color="auto" w:sz="4" w:space="0"/>
            </w:tcBorders>
          </w:tcPr>
          <w:p w14:paraId="31AEA173">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0AE95DD4">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7D3AC659">
            <w:pPr>
              <w:spacing w:line="440" w:lineRule="exact"/>
              <w:jc w:val="center"/>
              <w:rPr>
                <w:rFonts w:hint="eastAsia" w:ascii="宋体" w:hAnsi="宋体" w:eastAsia="等线" w:cs="Times New Roman"/>
                <w:color w:val="000000"/>
                <w:sz w:val="24"/>
                <w:szCs w:val="24"/>
              </w:rPr>
            </w:pPr>
          </w:p>
        </w:tc>
      </w:tr>
      <w:tr w14:paraId="7A982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3BC2A40E">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非流动资产（万元）</w:t>
            </w:r>
          </w:p>
        </w:tc>
        <w:tc>
          <w:tcPr>
            <w:tcW w:w="1287" w:type="dxa"/>
            <w:tcBorders>
              <w:top w:val="single" w:color="auto" w:sz="4" w:space="0"/>
              <w:left w:val="single" w:color="auto" w:sz="4" w:space="0"/>
              <w:bottom w:val="single" w:color="auto" w:sz="4" w:space="0"/>
              <w:right w:val="single" w:color="auto" w:sz="4" w:space="0"/>
            </w:tcBorders>
          </w:tcPr>
          <w:p w14:paraId="4712D94C">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2A2E3DB2">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07A53B2A">
            <w:pPr>
              <w:spacing w:line="440" w:lineRule="exact"/>
              <w:jc w:val="center"/>
              <w:rPr>
                <w:rFonts w:hint="eastAsia" w:ascii="宋体" w:hAnsi="宋体" w:eastAsia="等线" w:cs="Times New Roman"/>
                <w:color w:val="000000"/>
                <w:sz w:val="24"/>
                <w:szCs w:val="24"/>
              </w:rPr>
            </w:pPr>
          </w:p>
        </w:tc>
      </w:tr>
      <w:tr w14:paraId="23084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7FECE4DE">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营业收入（万元）</w:t>
            </w:r>
          </w:p>
        </w:tc>
        <w:tc>
          <w:tcPr>
            <w:tcW w:w="1287" w:type="dxa"/>
            <w:tcBorders>
              <w:top w:val="single" w:color="auto" w:sz="4" w:space="0"/>
              <w:left w:val="single" w:color="auto" w:sz="4" w:space="0"/>
              <w:bottom w:val="single" w:color="auto" w:sz="4" w:space="0"/>
              <w:right w:val="single" w:color="auto" w:sz="4" w:space="0"/>
            </w:tcBorders>
          </w:tcPr>
          <w:p w14:paraId="0A153C97">
            <w:pPr>
              <w:spacing w:line="440" w:lineRule="exact"/>
              <w:jc w:val="center"/>
              <w:rPr>
                <w:rFonts w:hint="eastAsia" w:ascii="宋体" w:hAnsi="宋体" w:eastAsia="等线" w:cs="Times New Roman"/>
                <w:color w:val="000000"/>
                <w:sz w:val="24"/>
                <w:szCs w:val="24"/>
                <w:highlight w:val="yellow"/>
              </w:rPr>
            </w:pPr>
          </w:p>
        </w:tc>
        <w:tc>
          <w:tcPr>
            <w:tcW w:w="1288" w:type="dxa"/>
            <w:tcBorders>
              <w:top w:val="single" w:color="auto" w:sz="4" w:space="0"/>
              <w:left w:val="single" w:color="auto" w:sz="4" w:space="0"/>
              <w:bottom w:val="single" w:color="auto" w:sz="4" w:space="0"/>
              <w:right w:val="single" w:color="auto" w:sz="4" w:space="0"/>
            </w:tcBorders>
          </w:tcPr>
          <w:p w14:paraId="4EFFB5C1">
            <w:pPr>
              <w:spacing w:line="440" w:lineRule="exact"/>
              <w:jc w:val="center"/>
              <w:rPr>
                <w:rFonts w:hint="eastAsia" w:ascii="宋体" w:hAnsi="宋体" w:eastAsia="等线" w:cs="Times New Roman"/>
                <w:color w:val="000000"/>
                <w:sz w:val="24"/>
                <w:szCs w:val="24"/>
                <w:highlight w:val="yellow"/>
              </w:rPr>
            </w:pPr>
          </w:p>
        </w:tc>
        <w:tc>
          <w:tcPr>
            <w:tcW w:w="1288" w:type="dxa"/>
            <w:tcBorders>
              <w:top w:val="single" w:color="auto" w:sz="4" w:space="0"/>
              <w:left w:val="single" w:color="auto" w:sz="4" w:space="0"/>
              <w:bottom w:val="single" w:color="auto" w:sz="4" w:space="0"/>
              <w:right w:val="single" w:color="auto" w:sz="4" w:space="0"/>
            </w:tcBorders>
          </w:tcPr>
          <w:p w14:paraId="75F6BDFF">
            <w:pPr>
              <w:spacing w:line="440" w:lineRule="exact"/>
              <w:jc w:val="center"/>
              <w:rPr>
                <w:rFonts w:hint="eastAsia" w:ascii="宋体" w:hAnsi="宋体" w:eastAsia="等线" w:cs="Times New Roman"/>
                <w:color w:val="000000"/>
                <w:sz w:val="24"/>
                <w:szCs w:val="24"/>
                <w:highlight w:val="yellow"/>
              </w:rPr>
            </w:pPr>
          </w:p>
        </w:tc>
      </w:tr>
      <w:tr w14:paraId="0CC33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695D32CE">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年底资产总值（万元）</w:t>
            </w:r>
          </w:p>
        </w:tc>
        <w:tc>
          <w:tcPr>
            <w:tcW w:w="1287" w:type="dxa"/>
            <w:tcBorders>
              <w:top w:val="single" w:color="auto" w:sz="4" w:space="0"/>
              <w:left w:val="single" w:color="auto" w:sz="4" w:space="0"/>
              <w:bottom w:val="single" w:color="auto" w:sz="4" w:space="0"/>
              <w:right w:val="single" w:color="auto" w:sz="4" w:space="0"/>
            </w:tcBorders>
          </w:tcPr>
          <w:p w14:paraId="44FE7A68">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5670949A">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441C5A16">
            <w:pPr>
              <w:spacing w:line="440" w:lineRule="exact"/>
              <w:jc w:val="center"/>
              <w:rPr>
                <w:rFonts w:hint="eastAsia" w:ascii="宋体" w:hAnsi="宋体" w:eastAsia="等线" w:cs="Times New Roman"/>
                <w:color w:val="000000"/>
                <w:sz w:val="24"/>
                <w:szCs w:val="24"/>
              </w:rPr>
            </w:pPr>
          </w:p>
        </w:tc>
      </w:tr>
      <w:tr w14:paraId="01CCE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561E3CB8">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年底负债总值（万元）</w:t>
            </w:r>
          </w:p>
        </w:tc>
        <w:tc>
          <w:tcPr>
            <w:tcW w:w="1287" w:type="dxa"/>
            <w:tcBorders>
              <w:top w:val="single" w:color="auto" w:sz="4" w:space="0"/>
              <w:left w:val="single" w:color="auto" w:sz="4" w:space="0"/>
              <w:bottom w:val="single" w:color="auto" w:sz="4" w:space="0"/>
              <w:right w:val="single" w:color="auto" w:sz="4" w:space="0"/>
            </w:tcBorders>
          </w:tcPr>
          <w:p w14:paraId="6B753A26">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0AA5F0B2">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02892F95">
            <w:pPr>
              <w:spacing w:line="440" w:lineRule="exact"/>
              <w:jc w:val="center"/>
              <w:rPr>
                <w:rFonts w:hint="eastAsia" w:ascii="宋体" w:hAnsi="宋体" w:eastAsia="等线" w:cs="Times New Roman"/>
                <w:color w:val="000000"/>
                <w:sz w:val="24"/>
                <w:szCs w:val="24"/>
              </w:rPr>
            </w:pPr>
          </w:p>
        </w:tc>
      </w:tr>
      <w:tr w14:paraId="02D63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54230942">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资产负债率（  %）</w:t>
            </w:r>
          </w:p>
        </w:tc>
        <w:tc>
          <w:tcPr>
            <w:tcW w:w="1287" w:type="dxa"/>
            <w:tcBorders>
              <w:top w:val="single" w:color="auto" w:sz="4" w:space="0"/>
              <w:left w:val="single" w:color="auto" w:sz="4" w:space="0"/>
              <w:bottom w:val="single" w:color="auto" w:sz="4" w:space="0"/>
              <w:right w:val="single" w:color="auto" w:sz="4" w:space="0"/>
            </w:tcBorders>
          </w:tcPr>
          <w:p w14:paraId="1A45C124">
            <w:pPr>
              <w:spacing w:line="440" w:lineRule="exact"/>
              <w:jc w:val="center"/>
              <w:rPr>
                <w:rFonts w:hint="eastAsia" w:ascii="宋体" w:hAnsi="宋体" w:eastAsia="等线" w:cs="Times New Roman"/>
                <w:color w:val="000000"/>
                <w:sz w:val="24"/>
                <w:szCs w:val="24"/>
                <w:highlight w:val="yellow"/>
              </w:rPr>
            </w:pPr>
          </w:p>
        </w:tc>
        <w:tc>
          <w:tcPr>
            <w:tcW w:w="1288" w:type="dxa"/>
            <w:tcBorders>
              <w:top w:val="single" w:color="auto" w:sz="4" w:space="0"/>
              <w:left w:val="single" w:color="auto" w:sz="4" w:space="0"/>
              <w:bottom w:val="single" w:color="auto" w:sz="4" w:space="0"/>
              <w:right w:val="single" w:color="auto" w:sz="4" w:space="0"/>
            </w:tcBorders>
          </w:tcPr>
          <w:p w14:paraId="00C413B2">
            <w:pPr>
              <w:spacing w:line="440" w:lineRule="exact"/>
              <w:jc w:val="center"/>
              <w:rPr>
                <w:rFonts w:hint="eastAsia" w:ascii="宋体" w:hAnsi="宋体" w:eastAsia="等线" w:cs="Times New Roman"/>
                <w:color w:val="000000"/>
                <w:sz w:val="24"/>
                <w:szCs w:val="24"/>
                <w:highlight w:val="yellow"/>
              </w:rPr>
            </w:pPr>
          </w:p>
        </w:tc>
        <w:tc>
          <w:tcPr>
            <w:tcW w:w="1288" w:type="dxa"/>
            <w:tcBorders>
              <w:top w:val="single" w:color="auto" w:sz="4" w:space="0"/>
              <w:left w:val="single" w:color="auto" w:sz="4" w:space="0"/>
              <w:bottom w:val="single" w:color="auto" w:sz="4" w:space="0"/>
              <w:right w:val="single" w:color="auto" w:sz="4" w:space="0"/>
            </w:tcBorders>
          </w:tcPr>
          <w:p w14:paraId="6587CE93">
            <w:pPr>
              <w:spacing w:line="440" w:lineRule="exact"/>
              <w:jc w:val="center"/>
              <w:rPr>
                <w:rFonts w:hint="eastAsia" w:ascii="宋体" w:hAnsi="宋体" w:eastAsia="等线" w:cs="Times New Roman"/>
                <w:color w:val="000000"/>
                <w:sz w:val="24"/>
                <w:szCs w:val="24"/>
                <w:highlight w:val="yellow"/>
              </w:rPr>
            </w:pPr>
          </w:p>
        </w:tc>
      </w:tr>
      <w:tr w14:paraId="23E74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553911FC">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净利润（万元）</w:t>
            </w:r>
          </w:p>
        </w:tc>
        <w:tc>
          <w:tcPr>
            <w:tcW w:w="1287" w:type="dxa"/>
            <w:tcBorders>
              <w:top w:val="single" w:color="auto" w:sz="4" w:space="0"/>
              <w:left w:val="single" w:color="auto" w:sz="4" w:space="0"/>
              <w:bottom w:val="single" w:color="auto" w:sz="4" w:space="0"/>
              <w:right w:val="single" w:color="auto" w:sz="4" w:space="0"/>
            </w:tcBorders>
          </w:tcPr>
          <w:p w14:paraId="3F63281F">
            <w:pPr>
              <w:spacing w:line="440" w:lineRule="exact"/>
              <w:jc w:val="center"/>
              <w:rPr>
                <w:rFonts w:hint="eastAsia" w:ascii="宋体" w:hAnsi="宋体" w:eastAsia="等线" w:cs="Times New Roman"/>
                <w:color w:val="000000"/>
                <w:sz w:val="24"/>
                <w:szCs w:val="24"/>
                <w:highlight w:val="yellow"/>
              </w:rPr>
            </w:pPr>
          </w:p>
        </w:tc>
        <w:tc>
          <w:tcPr>
            <w:tcW w:w="1288" w:type="dxa"/>
            <w:tcBorders>
              <w:top w:val="single" w:color="auto" w:sz="4" w:space="0"/>
              <w:left w:val="single" w:color="auto" w:sz="4" w:space="0"/>
              <w:bottom w:val="single" w:color="auto" w:sz="4" w:space="0"/>
              <w:right w:val="single" w:color="auto" w:sz="4" w:space="0"/>
            </w:tcBorders>
          </w:tcPr>
          <w:p w14:paraId="1700F70E">
            <w:pPr>
              <w:spacing w:line="440" w:lineRule="exact"/>
              <w:jc w:val="center"/>
              <w:rPr>
                <w:rFonts w:hint="eastAsia" w:ascii="宋体" w:hAnsi="宋体" w:eastAsia="等线" w:cs="Times New Roman"/>
                <w:color w:val="000000"/>
                <w:sz w:val="24"/>
                <w:szCs w:val="24"/>
                <w:highlight w:val="yellow"/>
              </w:rPr>
            </w:pPr>
          </w:p>
        </w:tc>
        <w:tc>
          <w:tcPr>
            <w:tcW w:w="1288" w:type="dxa"/>
            <w:tcBorders>
              <w:top w:val="single" w:color="auto" w:sz="4" w:space="0"/>
              <w:left w:val="single" w:color="auto" w:sz="4" w:space="0"/>
              <w:bottom w:val="single" w:color="auto" w:sz="4" w:space="0"/>
              <w:right w:val="single" w:color="auto" w:sz="4" w:space="0"/>
            </w:tcBorders>
          </w:tcPr>
          <w:p w14:paraId="123AE0C6">
            <w:pPr>
              <w:spacing w:line="440" w:lineRule="exact"/>
              <w:jc w:val="center"/>
              <w:rPr>
                <w:rFonts w:hint="eastAsia" w:ascii="宋体" w:hAnsi="宋体" w:eastAsia="等线" w:cs="Times New Roman"/>
                <w:color w:val="000000"/>
                <w:sz w:val="24"/>
                <w:szCs w:val="24"/>
                <w:highlight w:val="yellow"/>
              </w:rPr>
            </w:pPr>
          </w:p>
        </w:tc>
      </w:tr>
      <w:tr w14:paraId="70DB6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132DA818">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未分配利润（万元）</w:t>
            </w:r>
          </w:p>
        </w:tc>
        <w:tc>
          <w:tcPr>
            <w:tcW w:w="1287" w:type="dxa"/>
            <w:tcBorders>
              <w:top w:val="single" w:color="auto" w:sz="4" w:space="0"/>
              <w:left w:val="single" w:color="auto" w:sz="4" w:space="0"/>
              <w:bottom w:val="single" w:color="auto" w:sz="4" w:space="0"/>
              <w:right w:val="single" w:color="auto" w:sz="4" w:space="0"/>
            </w:tcBorders>
          </w:tcPr>
          <w:p w14:paraId="6173DB90">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5C7F4A5E">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0C1A0266">
            <w:pPr>
              <w:spacing w:line="440" w:lineRule="exact"/>
              <w:jc w:val="center"/>
              <w:rPr>
                <w:rFonts w:hint="eastAsia" w:ascii="宋体" w:hAnsi="宋体" w:eastAsia="等线" w:cs="Times New Roman"/>
                <w:color w:val="000000"/>
                <w:sz w:val="24"/>
                <w:szCs w:val="24"/>
              </w:rPr>
            </w:pPr>
          </w:p>
        </w:tc>
      </w:tr>
      <w:tr w14:paraId="4F859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3982CD7F">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营运资金</w:t>
            </w:r>
          </w:p>
        </w:tc>
        <w:tc>
          <w:tcPr>
            <w:tcW w:w="1287" w:type="dxa"/>
            <w:tcBorders>
              <w:top w:val="single" w:color="auto" w:sz="4" w:space="0"/>
              <w:left w:val="single" w:color="auto" w:sz="4" w:space="0"/>
              <w:bottom w:val="single" w:color="auto" w:sz="4" w:space="0"/>
              <w:right w:val="single" w:color="auto" w:sz="4" w:space="0"/>
            </w:tcBorders>
          </w:tcPr>
          <w:p w14:paraId="61E6B3D0">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62A8F7C5">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4A556724">
            <w:pPr>
              <w:spacing w:line="440" w:lineRule="exact"/>
              <w:jc w:val="center"/>
              <w:rPr>
                <w:rFonts w:hint="eastAsia" w:ascii="宋体" w:hAnsi="宋体" w:eastAsia="等线" w:cs="Times New Roman"/>
                <w:color w:val="000000"/>
                <w:sz w:val="24"/>
                <w:szCs w:val="24"/>
              </w:rPr>
            </w:pPr>
          </w:p>
        </w:tc>
      </w:tr>
      <w:tr w14:paraId="38C71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7F104B1A">
            <w:pPr>
              <w:spacing w:line="440" w:lineRule="exact"/>
              <w:jc w:val="center"/>
              <w:rPr>
                <w:rFonts w:hint="eastAsia" w:ascii="宋体" w:hAnsi="宋体" w:eastAsia="等线" w:cs="Times New Roman"/>
                <w:color w:val="000000"/>
                <w:sz w:val="24"/>
                <w:szCs w:val="24"/>
              </w:rPr>
            </w:pPr>
            <w:r>
              <w:rPr>
                <w:rFonts w:hint="eastAsia" w:ascii="宋体" w:hAnsi="宋体" w:eastAsia="宋体" w:cs="Times New Roman"/>
                <w:color w:val="000000"/>
                <w:sz w:val="24"/>
                <w:szCs w:val="24"/>
              </w:rPr>
              <w:t>（本年营业收入-上年营业收入）÷上年营业收入</w:t>
            </w:r>
          </w:p>
        </w:tc>
        <w:tc>
          <w:tcPr>
            <w:tcW w:w="1287" w:type="dxa"/>
            <w:tcBorders>
              <w:top w:val="single" w:color="auto" w:sz="4" w:space="0"/>
              <w:left w:val="single" w:color="auto" w:sz="4" w:space="0"/>
              <w:bottom w:val="single" w:color="auto" w:sz="4" w:space="0"/>
              <w:right w:val="single" w:color="auto" w:sz="4" w:space="0"/>
            </w:tcBorders>
          </w:tcPr>
          <w:p w14:paraId="547EE081">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307C7131">
            <w:pPr>
              <w:spacing w:line="440" w:lineRule="exact"/>
              <w:jc w:val="center"/>
              <w:rPr>
                <w:rFonts w:hint="eastAsia" w:ascii="宋体" w:hAnsi="宋体" w:eastAsia="等线" w:cs="Times New Roman"/>
                <w:color w:val="000000"/>
                <w:sz w:val="24"/>
                <w:szCs w:val="24"/>
              </w:rPr>
            </w:pPr>
          </w:p>
        </w:tc>
        <w:tc>
          <w:tcPr>
            <w:tcW w:w="1288" w:type="dxa"/>
            <w:tcBorders>
              <w:top w:val="single" w:color="auto" w:sz="4" w:space="0"/>
              <w:left w:val="single" w:color="auto" w:sz="4" w:space="0"/>
              <w:bottom w:val="single" w:color="auto" w:sz="4" w:space="0"/>
              <w:right w:val="single" w:color="auto" w:sz="4" w:space="0"/>
            </w:tcBorders>
          </w:tcPr>
          <w:p w14:paraId="39CE8B98">
            <w:pPr>
              <w:spacing w:line="440" w:lineRule="exact"/>
              <w:jc w:val="center"/>
              <w:rPr>
                <w:rFonts w:hint="eastAsia" w:ascii="宋体" w:hAnsi="宋体" w:eastAsia="等线" w:cs="Times New Roman"/>
                <w:color w:val="000000"/>
                <w:sz w:val="24"/>
                <w:szCs w:val="24"/>
              </w:rPr>
            </w:pPr>
          </w:p>
        </w:tc>
      </w:tr>
    </w:tbl>
    <w:p w14:paraId="72793369">
      <w:pPr>
        <w:spacing w:line="660" w:lineRule="exact"/>
        <w:ind w:firstLine="240" w:firstLineChars="100"/>
        <w:rPr>
          <w:rFonts w:ascii="宋体" w:hAnsi="Calibri" w:eastAsia="宋体" w:cs="Times New Roman"/>
          <w:sz w:val="24"/>
          <w:szCs w:val="24"/>
        </w:rPr>
      </w:pPr>
      <w:r>
        <w:rPr>
          <w:rFonts w:hint="eastAsia" w:ascii="宋体" w:hAnsi="宋体" w:eastAsia="宋体" w:cs="Times New Roman"/>
          <w:sz w:val="24"/>
          <w:szCs w:val="24"/>
        </w:rPr>
        <w:t>投标人：（盖章）</w:t>
      </w:r>
    </w:p>
    <w:p w14:paraId="46C0EF0D">
      <w:pPr>
        <w:spacing w:line="660" w:lineRule="exact"/>
        <w:ind w:firstLine="240" w:firstLineChars="100"/>
        <w:rPr>
          <w:rFonts w:ascii="宋体" w:hAnsi="Calibri" w:eastAsia="宋体" w:cs="Times New Roman"/>
          <w:sz w:val="24"/>
          <w:szCs w:val="24"/>
        </w:rPr>
      </w:pPr>
      <w:r>
        <w:rPr>
          <w:rFonts w:hint="eastAsia" w:ascii="宋体" w:hAnsi="宋体" w:eastAsia="宋体" w:cs="Times New Roman"/>
          <w:sz w:val="24"/>
          <w:szCs w:val="24"/>
        </w:rPr>
        <w:t>法定代表人（委托代理人）：（签字）</w:t>
      </w:r>
    </w:p>
    <w:p w14:paraId="2317710B">
      <w:pPr>
        <w:spacing w:line="660" w:lineRule="exact"/>
        <w:ind w:firstLine="240" w:firstLineChars="100"/>
        <w:rPr>
          <w:rFonts w:ascii="宋体" w:hAnsi="Calibri" w:eastAsia="宋体" w:cs="Times New Roman"/>
          <w:sz w:val="24"/>
          <w:szCs w:val="24"/>
        </w:rPr>
      </w:pPr>
      <w:r>
        <w:rPr>
          <w:rFonts w:hint="eastAsia" w:ascii="宋体" w:hAnsi="宋体" w:eastAsia="宋体" w:cs="Times New Roman"/>
          <w:sz w:val="24"/>
          <w:szCs w:val="24"/>
        </w:rPr>
        <w:t>日  期：</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p w14:paraId="7AA8E0BD">
      <w:pPr>
        <w:widowControl/>
        <w:jc w:val="left"/>
        <w:rPr>
          <w:rFonts w:ascii="宋体" w:hAnsi="Calibri" w:eastAsia="宋体" w:cs="宋体"/>
          <w:b/>
          <w:bCs/>
          <w:color w:val="000000"/>
          <w:sz w:val="28"/>
          <w:szCs w:val="28"/>
        </w:rPr>
      </w:pPr>
    </w:p>
    <w:p w14:paraId="79BCF5E8">
      <w:pPr>
        <w:widowControl/>
        <w:jc w:val="left"/>
        <w:rPr>
          <w:rFonts w:hint="eastAsia" w:ascii="宋体" w:hAnsi="Calibri" w:eastAsia="宋体" w:cs="宋体"/>
          <w:b/>
          <w:bCs/>
          <w:color w:val="000000"/>
          <w:sz w:val="28"/>
          <w:szCs w:val="28"/>
          <w:lang w:val="en-US" w:eastAsia="zh-CN"/>
        </w:rPr>
        <w:sectPr>
          <w:pgSz w:w="11906" w:h="16838"/>
          <w:pgMar w:top="1588" w:right="1418" w:bottom="1134" w:left="1418" w:header="851" w:footer="992" w:gutter="0"/>
          <w:pgNumType w:fmt="decimal"/>
          <w:cols w:space="720" w:num="1"/>
          <w:titlePg/>
          <w:docGrid w:type="lines" w:linePitch="312" w:charSpace="0"/>
        </w:sectPr>
      </w:pPr>
    </w:p>
    <w:p w14:paraId="17BB3942">
      <w:pPr>
        <w:keepNext/>
        <w:keepLines/>
        <w:outlineLvl w:val="2"/>
        <w:rPr>
          <w:rFonts w:ascii="Times New Roman" w:hAnsi="Times New Roman" w:eastAsia="宋体" w:cs="Times New Roman"/>
          <w:b/>
          <w:bCs/>
          <w:color w:val="000000"/>
          <w:sz w:val="24"/>
          <w:szCs w:val="24"/>
        </w:rPr>
      </w:pPr>
      <w:r>
        <w:rPr>
          <w:rFonts w:hint="eastAsia" w:ascii="宋体" w:hAnsi="宋体" w:eastAsia="宋体" w:cs="Times New Roman"/>
          <w:b/>
          <w:bCs/>
          <w:color w:val="000000"/>
          <w:sz w:val="24"/>
          <w:szCs w:val="24"/>
        </w:rPr>
        <w:t>附件</w:t>
      </w:r>
      <w:r>
        <w:rPr>
          <w:rFonts w:hint="eastAsia" w:ascii="Times New Roman" w:hAnsi="Times New Roman" w:eastAsia="宋体" w:cs="Times New Roman"/>
          <w:b/>
          <w:bCs/>
          <w:color w:val="000000"/>
          <w:sz w:val="24"/>
          <w:szCs w:val="24"/>
        </w:rPr>
        <w:t>4</w:t>
      </w:r>
      <w:r>
        <w:rPr>
          <w:rFonts w:ascii="Times New Roman" w:hAnsi="Times New Roman" w:eastAsia="宋体" w:cs="Times New Roman"/>
          <w:b/>
          <w:bCs/>
          <w:color w:val="000000"/>
          <w:sz w:val="24"/>
          <w:szCs w:val="24"/>
        </w:rPr>
        <w:t xml:space="preserve"> </w:t>
      </w:r>
      <w:r>
        <w:rPr>
          <w:rFonts w:hint="eastAsia" w:ascii="宋体" w:hAnsi="宋体" w:eastAsia="宋体" w:cs="Times New Roman"/>
          <w:b/>
          <w:bCs/>
          <w:color w:val="000000"/>
          <w:sz w:val="24"/>
          <w:szCs w:val="24"/>
        </w:rPr>
        <w:t>保密承诺函</w:t>
      </w:r>
    </w:p>
    <w:p w14:paraId="3BBB6343">
      <w:pPr>
        <w:spacing w:line="240" w:lineRule="exact"/>
        <w:jc w:val="center"/>
        <w:rPr>
          <w:rFonts w:ascii="宋体" w:hAnsi="Calibri" w:eastAsia="宋体" w:cs="Times New Roman"/>
          <w:b/>
          <w:bCs/>
          <w:sz w:val="36"/>
          <w:szCs w:val="36"/>
        </w:rPr>
      </w:pPr>
      <w:r>
        <w:rPr>
          <w:rFonts w:hint="eastAsia" w:ascii="宋体" w:hAnsi="Calibri" w:eastAsia="宋体" w:cs="Times New Roman"/>
          <w:b/>
          <w:bCs/>
          <w:sz w:val="36"/>
          <w:szCs w:val="36"/>
        </w:rPr>
        <w:t xml:space="preserve"> </w:t>
      </w:r>
    </w:p>
    <w:p w14:paraId="2EB50870">
      <w:pPr>
        <w:spacing w:line="360" w:lineRule="auto"/>
        <w:rPr>
          <w:rFonts w:ascii="宋体" w:hAnsi="Calibri" w:eastAsia="宋体" w:cs="Times New Roman"/>
          <w:sz w:val="24"/>
          <w:szCs w:val="24"/>
        </w:rPr>
      </w:pPr>
      <w:r>
        <w:rPr>
          <w:rFonts w:hint="eastAsia" w:ascii="宋体" w:hAnsi="宋体" w:eastAsia="宋体" w:cs="Times New Roman"/>
          <w:sz w:val="24"/>
          <w:szCs w:val="24"/>
        </w:rPr>
        <w:t>项目名称：</w:t>
      </w:r>
      <w:r>
        <w:rPr>
          <w:rFonts w:hint="eastAsia" w:ascii="宋体" w:hAnsi="宋体" w:eastAsia="宋体" w:cs="Times New Roman"/>
          <w:color w:val="000000"/>
          <w:sz w:val="24"/>
          <w:szCs w:val="24"/>
          <w:u w:val="single"/>
        </w:rPr>
        <w:t xml:space="preserve">                                                                </w:t>
      </w:r>
    </w:p>
    <w:p w14:paraId="65C0F6A7">
      <w:pPr>
        <w:spacing w:line="360" w:lineRule="auto"/>
        <w:rPr>
          <w:rFonts w:ascii="宋体" w:hAnsi="Calibri" w:eastAsia="宋体" w:cs="Times New Roman"/>
          <w:b/>
          <w:bCs/>
          <w:sz w:val="24"/>
          <w:szCs w:val="24"/>
        </w:rPr>
      </w:pPr>
      <w:r>
        <w:rPr>
          <w:rFonts w:hint="eastAsia" w:ascii="宋体" w:hAnsi="宋体" w:eastAsia="宋体" w:cs="Times New Roman"/>
          <w:b/>
          <w:bCs/>
          <w:sz w:val="24"/>
          <w:szCs w:val="24"/>
        </w:rPr>
        <w:t>中国重汽集团济南商用车有限公司：</w:t>
      </w:r>
    </w:p>
    <w:p w14:paraId="349E1C43">
      <w:pPr>
        <w:spacing w:line="360" w:lineRule="auto"/>
        <w:ind w:firstLine="480"/>
        <w:rPr>
          <w:rFonts w:ascii="宋体" w:hAnsi="Calibri" w:eastAsia="宋体" w:cs="Times New Roman"/>
          <w:sz w:val="24"/>
          <w:szCs w:val="24"/>
        </w:rPr>
      </w:pPr>
      <w:r>
        <w:rPr>
          <w:rFonts w:hint="eastAsia" w:ascii="宋体" w:hAnsi="宋体" w:eastAsia="宋体" w:cs="Times New Roman"/>
          <w:sz w:val="24"/>
          <w:szCs w:val="24"/>
        </w:rPr>
        <w:t>我代表（投标人名称）对招标人的商业秘密作如下承诺：</w:t>
      </w:r>
    </w:p>
    <w:p w14:paraId="6CB63C0E">
      <w:pPr>
        <w:spacing w:line="360" w:lineRule="auto"/>
        <w:ind w:left="479" w:leftChars="228"/>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无论是否中标、是否签署合同，对获得的招标人商业秘密（包括但不限于产品和/或装备的技术文件、汽车产品数模、数据、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14:paraId="7AA1B366">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511D73CC">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73DEFDA0">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55E93064">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43F94204">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65B6012E">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49AF1B5E">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6AE1583F">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0A15C320">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3F2ECE5C">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66481C1D">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245BB000">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641C24EE">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0B134036">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39D3E95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469F123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3F77470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  期：       年    月    日</w:t>
      </w:r>
    </w:p>
    <w:p w14:paraId="5A186CFE">
      <w:pPr>
        <w:widowControl/>
        <w:spacing w:line="360" w:lineRule="auto"/>
        <w:jc w:val="left"/>
        <w:rPr>
          <w:rFonts w:ascii="宋体" w:hAnsi="Calibri" w:eastAsia="宋体" w:cs="宋体"/>
          <w:b/>
          <w:bCs/>
          <w:color w:val="000000"/>
          <w:sz w:val="28"/>
          <w:szCs w:val="28"/>
        </w:rPr>
        <w:sectPr>
          <w:pgSz w:w="11906" w:h="16838"/>
          <w:pgMar w:top="1588" w:right="1418" w:bottom="1134" w:left="1418" w:header="851" w:footer="992" w:gutter="0"/>
          <w:pgNumType w:fmt="decimal"/>
          <w:cols w:space="720" w:num="1"/>
          <w:titlePg/>
          <w:docGrid w:type="lines" w:linePitch="312" w:charSpace="0"/>
        </w:sectPr>
      </w:pPr>
    </w:p>
    <w:p w14:paraId="6C874A5A">
      <w:pPr>
        <w:keepNext/>
        <w:keepLines/>
        <w:ind w:firstLine="482" w:firstLineChars="200"/>
        <w:outlineLvl w:val="2"/>
        <w:rPr>
          <w:rFonts w:ascii="Times New Roman" w:hAnsi="Times New Roman" w:eastAsia="宋体" w:cs="Times New Roman"/>
          <w:b/>
          <w:bCs/>
          <w:color w:val="000000"/>
          <w:sz w:val="24"/>
          <w:szCs w:val="24"/>
        </w:rPr>
      </w:pPr>
      <w:r>
        <w:rPr>
          <w:rFonts w:hint="eastAsia" w:ascii="宋体" w:hAnsi="宋体" w:eastAsia="宋体" w:cs="Times New Roman"/>
          <w:b/>
          <w:bCs/>
          <w:color w:val="000000"/>
          <w:sz w:val="24"/>
          <w:szCs w:val="24"/>
        </w:rPr>
        <w:t>附件</w:t>
      </w:r>
      <w:r>
        <w:rPr>
          <w:rFonts w:hint="eastAsia" w:ascii="Times New Roman" w:hAnsi="Times New Roman" w:eastAsia="宋体" w:cs="Times New Roman"/>
          <w:b/>
          <w:bCs/>
          <w:color w:val="000000"/>
          <w:sz w:val="24"/>
          <w:szCs w:val="24"/>
        </w:rPr>
        <w:t>5</w:t>
      </w:r>
      <w:r>
        <w:rPr>
          <w:rFonts w:ascii="Times New Roman" w:hAnsi="Times New Roman" w:eastAsia="宋体" w:cs="宋体"/>
          <w:b/>
          <w:bCs/>
          <w:color w:val="000000"/>
          <w:sz w:val="24"/>
          <w:szCs w:val="24"/>
        </w:rPr>
        <w:t xml:space="preserve"> </w:t>
      </w:r>
      <w:r>
        <w:rPr>
          <w:rFonts w:hint="eastAsia" w:ascii="宋体" w:hAnsi="宋体" w:eastAsia="宋体" w:cs="Times New Roman"/>
          <w:b/>
          <w:bCs/>
          <w:color w:val="000000"/>
          <w:sz w:val="24"/>
          <w:szCs w:val="24"/>
        </w:rPr>
        <w:t>技术规格偏离表</w:t>
      </w:r>
    </w:p>
    <w:p w14:paraId="6CF5587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 </w:t>
      </w:r>
    </w:p>
    <w:p w14:paraId="2844C00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 xml:space="preserve">                                                          </w:t>
      </w:r>
    </w:p>
    <w:tbl>
      <w:tblPr>
        <w:tblStyle w:val="37"/>
        <w:tblW w:w="8407" w:type="dxa"/>
        <w:tblInd w:w="6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5"/>
        <w:gridCol w:w="3190"/>
        <w:gridCol w:w="2540"/>
        <w:gridCol w:w="1292"/>
      </w:tblGrid>
      <w:tr w14:paraId="6F3B6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Borders>
              <w:top w:val="single" w:color="auto" w:sz="4" w:space="0"/>
              <w:left w:val="single" w:color="auto" w:sz="4" w:space="0"/>
              <w:bottom w:val="single" w:color="auto" w:sz="4" w:space="0"/>
              <w:right w:val="single" w:color="auto" w:sz="4" w:space="0"/>
            </w:tcBorders>
            <w:vAlign w:val="center"/>
          </w:tcPr>
          <w:p w14:paraId="47785223">
            <w:pPr>
              <w:jc w:val="center"/>
              <w:rPr>
                <w:rFonts w:ascii="Times New Roman" w:hAnsi="Times New Roman" w:eastAsia="宋体" w:cs="Times New Roman"/>
                <w:b/>
                <w:szCs w:val="21"/>
              </w:rPr>
            </w:pPr>
            <w:r>
              <w:rPr>
                <w:rFonts w:hint="eastAsia" w:ascii="宋体" w:hAnsi="宋体" w:eastAsia="宋体" w:cs="Times New Roman"/>
                <w:b/>
                <w:szCs w:val="21"/>
              </w:rPr>
              <w:t>序号</w:t>
            </w:r>
          </w:p>
        </w:tc>
        <w:tc>
          <w:tcPr>
            <w:tcW w:w="3190" w:type="dxa"/>
            <w:tcBorders>
              <w:top w:val="single" w:color="auto" w:sz="4" w:space="0"/>
              <w:left w:val="single" w:color="auto" w:sz="4" w:space="0"/>
              <w:bottom w:val="single" w:color="auto" w:sz="4" w:space="0"/>
              <w:right w:val="single" w:color="auto" w:sz="4" w:space="0"/>
            </w:tcBorders>
            <w:vAlign w:val="center"/>
          </w:tcPr>
          <w:p w14:paraId="74379C0F">
            <w:pPr>
              <w:jc w:val="center"/>
              <w:rPr>
                <w:rFonts w:ascii="Times New Roman" w:hAnsi="Times New Roman" w:eastAsia="宋体" w:cs="Times New Roman"/>
                <w:b/>
                <w:szCs w:val="21"/>
              </w:rPr>
            </w:pPr>
            <w:r>
              <w:rPr>
                <w:rFonts w:hint="eastAsia" w:ascii="宋体" w:hAnsi="宋体" w:eastAsia="宋体" w:cs="Times New Roman"/>
                <w:b/>
                <w:szCs w:val="21"/>
              </w:rPr>
              <w:t>招标要求</w:t>
            </w:r>
          </w:p>
        </w:tc>
        <w:tc>
          <w:tcPr>
            <w:tcW w:w="2540" w:type="dxa"/>
            <w:tcBorders>
              <w:top w:val="single" w:color="auto" w:sz="4" w:space="0"/>
              <w:left w:val="single" w:color="auto" w:sz="4" w:space="0"/>
              <w:bottom w:val="single" w:color="auto" w:sz="4" w:space="0"/>
              <w:right w:val="single" w:color="auto" w:sz="4" w:space="0"/>
            </w:tcBorders>
            <w:vAlign w:val="center"/>
          </w:tcPr>
          <w:p w14:paraId="357A1814">
            <w:pPr>
              <w:jc w:val="center"/>
              <w:rPr>
                <w:rFonts w:ascii="Times New Roman" w:hAnsi="Times New Roman" w:eastAsia="宋体" w:cs="Times New Roman"/>
                <w:b/>
                <w:szCs w:val="21"/>
              </w:rPr>
            </w:pPr>
            <w:r>
              <w:rPr>
                <w:rFonts w:hint="eastAsia" w:ascii="宋体" w:hAnsi="宋体" w:eastAsia="宋体" w:cs="Times New Roman"/>
                <w:b/>
                <w:szCs w:val="21"/>
              </w:rPr>
              <w:t>响应规格</w:t>
            </w:r>
          </w:p>
        </w:tc>
        <w:tc>
          <w:tcPr>
            <w:tcW w:w="1292" w:type="dxa"/>
            <w:tcBorders>
              <w:top w:val="single" w:color="auto" w:sz="4" w:space="0"/>
              <w:left w:val="single" w:color="auto" w:sz="4" w:space="0"/>
              <w:bottom w:val="single" w:color="auto" w:sz="4" w:space="0"/>
              <w:right w:val="single" w:color="auto" w:sz="4" w:space="0"/>
            </w:tcBorders>
            <w:vAlign w:val="center"/>
          </w:tcPr>
          <w:p w14:paraId="34A8FB4E">
            <w:pPr>
              <w:jc w:val="center"/>
              <w:rPr>
                <w:rFonts w:ascii="Times New Roman" w:hAnsi="Times New Roman" w:eastAsia="宋体" w:cs="Times New Roman"/>
                <w:b/>
                <w:szCs w:val="21"/>
              </w:rPr>
            </w:pPr>
            <w:r>
              <w:rPr>
                <w:rFonts w:hint="eastAsia" w:ascii="宋体" w:hAnsi="宋体" w:eastAsia="宋体" w:cs="Times New Roman"/>
                <w:b/>
                <w:szCs w:val="21"/>
              </w:rPr>
              <w:t>是否偏离</w:t>
            </w:r>
          </w:p>
        </w:tc>
      </w:tr>
      <w:tr w14:paraId="6D545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Borders>
              <w:top w:val="single" w:color="auto" w:sz="4" w:space="0"/>
              <w:left w:val="single" w:color="auto" w:sz="4" w:space="0"/>
              <w:bottom w:val="single" w:color="auto" w:sz="4" w:space="0"/>
              <w:right w:val="single" w:color="auto" w:sz="4" w:space="0"/>
            </w:tcBorders>
          </w:tcPr>
          <w:p w14:paraId="562703FA">
            <w:pPr>
              <w:jc w:val="center"/>
              <w:rPr>
                <w:rFonts w:ascii="Times New Roman" w:hAnsi="Times New Roman" w:eastAsia="宋体" w:cs="Times New Roman"/>
                <w:b/>
                <w:sz w:val="24"/>
                <w:szCs w:val="24"/>
              </w:rPr>
            </w:pPr>
          </w:p>
        </w:tc>
        <w:tc>
          <w:tcPr>
            <w:tcW w:w="3190" w:type="dxa"/>
            <w:tcBorders>
              <w:top w:val="single" w:color="auto" w:sz="4" w:space="0"/>
              <w:left w:val="single" w:color="auto" w:sz="4" w:space="0"/>
              <w:bottom w:val="single" w:color="auto" w:sz="4" w:space="0"/>
              <w:right w:val="single" w:color="auto" w:sz="4" w:space="0"/>
            </w:tcBorders>
          </w:tcPr>
          <w:p w14:paraId="432855B2">
            <w:pPr>
              <w:jc w:val="center"/>
              <w:rPr>
                <w:rFonts w:ascii="Times New Roman" w:hAnsi="Times New Roman" w:eastAsia="宋体" w:cs="Times New Roman"/>
                <w:b/>
                <w:sz w:val="24"/>
                <w:szCs w:val="24"/>
              </w:rPr>
            </w:pPr>
          </w:p>
        </w:tc>
        <w:tc>
          <w:tcPr>
            <w:tcW w:w="2540" w:type="dxa"/>
            <w:tcBorders>
              <w:top w:val="single" w:color="auto" w:sz="4" w:space="0"/>
              <w:left w:val="single" w:color="auto" w:sz="4" w:space="0"/>
              <w:bottom w:val="single" w:color="auto" w:sz="4" w:space="0"/>
              <w:right w:val="single" w:color="auto" w:sz="4" w:space="0"/>
            </w:tcBorders>
          </w:tcPr>
          <w:p w14:paraId="146FFCDB">
            <w:pPr>
              <w:jc w:val="center"/>
              <w:rPr>
                <w:rFonts w:ascii="Times New Roman" w:hAnsi="Times New Roman" w:eastAsia="宋体" w:cs="Times New Roman"/>
                <w:b/>
                <w:sz w:val="24"/>
                <w:szCs w:val="24"/>
              </w:rPr>
            </w:pPr>
          </w:p>
        </w:tc>
        <w:tc>
          <w:tcPr>
            <w:tcW w:w="1292" w:type="dxa"/>
            <w:tcBorders>
              <w:top w:val="single" w:color="auto" w:sz="4" w:space="0"/>
              <w:left w:val="single" w:color="auto" w:sz="4" w:space="0"/>
              <w:bottom w:val="single" w:color="auto" w:sz="4" w:space="0"/>
              <w:right w:val="single" w:color="auto" w:sz="4" w:space="0"/>
            </w:tcBorders>
          </w:tcPr>
          <w:p w14:paraId="3D57A7C9">
            <w:pPr>
              <w:jc w:val="center"/>
              <w:rPr>
                <w:rFonts w:ascii="Times New Roman" w:hAnsi="Times New Roman" w:eastAsia="宋体" w:cs="Times New Roman"/>
                <w:b/>
                <w:sz w:val="24"/>
                <w:szCs w:val="24"/>
              </w:rPr>
            </w:pPr>
          </w:p>
        </w:tc>
      </w:tr>
      <w:tr w14:paraId="233DA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Borders>
              <w:top w:val="single" w:color="auto" w:sz="4" w:space="0"/>
              <w:left w:val="single" w:color="auto" w:sz="4" w:space="0"/>
              <w:bottom w:val="single" w:color="auto" w:sz="4" w:space="0"/>
              <w:right w:val="single" w:color="auto" w:sz="4" w:space="0"/>
            </w:tcBorders>
          </w:tcPr>
          <w:p w14:paraId="298188AE">
            <w:pPr>
              <w:jc w:val="center"/>
              <w:rPr>
                <w:rFonts w:ascii="Times New Roman" w:hAnsi="Times New Roman" w:eastAsia="宋体" w:cs="Times New Roman"/>
                <w:b/>
                <w:sz w:val="24"/>
                <w:szCs w:val="24"/>
              </w:rPr>
            </w:pPr>
          </w:p>
        </w:tc>
        <w:tc>
          <w:tcPr>
            <w:tcW w:w="3190" w:type="dxa"/>
            <w:tcBorders>
              <w:top w:val="single" w:color="auto" w:sz="4" w:space="0"/>
              <w:left w:val="single" w:color="auto" w:sz="4" w:space="0"/>
              <w:bottom w:val="single" w:color="auto" w:sz="4" w:space="0"/>
              <w:right w:val="single" w:color="auto" w:sz="4" w:space="0"/>
            </w:tcBorders>
          </w:tcPr>
          <w:p w14:paraId="14E26BE5">
            <w:pPr>
              <w:jc w:val="center"/>
              <w:rPr>
                <w:rFonts w:ascii="Times New Roman" w:hAnsi="Times New Roman" w:eastAsia="宋体" w:cs="Times New Roman"/>
                <w:b/>
                <w:sz w:val="24"/>
                <w:szCs w:val="24"/>
              </w:rPr>
            </w:pPr>
          </w:p>
        </w:tc>
        <w:tc>
          <w:tcPr>
            <w:tcW w:w="2540" w:type="dxa"/>
            <w:tcBorders>
              <w:top w:val="single" w:color="auto" w:sz="4" w:space="0"/>
              <w:left w:val="single" w:color="auto" w:sz="4" w:space="0"/>
              <w:bottom w:val="single" w:color="auto" w:sz="4" w:space="0"/>
              <w:right w:val="single" w:color="auto" w:sz="4" w:space="0"/>
            </w:tcBorders>
          </w:tcPr>
          <w:p w14:paraId="5B3B52DE">
            <w:pPr>
              <w:jc w:val="center"/>
              <w:rPr>
                <w:rFonts w:ascii="Times New Roman" w:hAnsi="Times New Roman" w:eastAsia="宋体" w:cs="Times New Roman"/>
                <w:b/>
                <w:sz w:val="24"/>
                <w:szCs w:val="24"/>
              </w:rPr>
            </w:pPr>
          </w:p>
        </w:tc>
        <w:tc>
          <w:tcPr>
            <w:tcW w:w="1292" w:type="dxa"/>
            <w:tcBorders>
              <w:top w:val="single" w:color="auto" w:sz="4" w:space="0"/>
              <w:left w:val="single" w:color="auto" w:sz="4" w:space="0"/>
              <w:bottom w:val="single" w:color="auto" w:sz="4" w:space="0"/>
              <w:right w:val="single" w:color="auto" w:sz="4" w:space="0"/>
            </w:tcBorders>
          </w:tcPr>
          <w:p w14:paraId="749ACB15">
            <w:pPr>
              <w:jc w:val="center"/>
              <w:rPr>
                <w:rFonts w:ascii="Times New Roman" w:hAnsi="Times New Roman" w:eastAsia="宋体" w:cs="Times New Roman"/>
                <w:b/>
                <w:sz w:val="24"/>
                <w:szCs w:val="24"/>
              </w:rPr>
            </w:pPr>
          </w:p>
        </w:tc>
      </w:tr>
      <w:tr w14:paraId="63EAA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Borders>
              <w:top w:val="single" w:color="auto" w:sz="4" w:space="0"/>
              <w:left w:val="single" w:color="auto" w:sz="4" w:space="0"/>
              <w:bottom w:val="single" w:color="auto" w:sz="4" w:space="0"/>
              <w:right w:val="single" w:color="auto" w:sz="4" w:space="0"/>
            </w:tcBorders>
          </w:tcPr>
          <w:p w14:paraId="3C2CB397">
            <w:pPr>
              <w:jc w:val="center"/>
              <w:rPr>
                <w:rFonts w:ascii="Times New Roman" w:hAnsi="Times New Roman" w:eastAsia="宋体" w:cs="Times New Roman"/>
                <w:b/>
                <w:sz w:val="24"/>
                <w:szCs w:val="24"/>
              </w:rPr>
            </w:pPr>
          </w:p>
        </w:tc>
        <w:tc>
          <w:tcPr>
            <w:tcW w:w="3190" w:type="dxa"/>
            <w:tcBorders>
              <w:top w:val="single" w:color="auto" w:sz="4" w:space="0"/>
              <w:left w:val="single" w:color="auto" w:sz="4" w:space="0"/>
              <w:bottom w:val="single" w:color="auto" w:sz="4" w:space="0"/>
              <w:right w:val="single" w:color="auto" w:sz="4" w:space="0"/>
            </w:tcBorders>
          </w:tcPr>
          <w:p w14:paraId="4BB7D3C6">
            <w:pPr>
              <w:jc w:val="center"/>
              <w:rPr>
                <w:rFonts w:ascii="Times New Roman" w:hAnsi="Times New Roman" w:eastAsia="宋体" w:cs="Times New Roman"/>
                <w:b/>
                <w:sz w:val="24"/>
                <w:szCs w:val="24"/>
              </w:rPr>
            </w:pPr>
          </w:p>
        </w:tc>
        <w:tc>
          <w:tcPr>
            <w:tcW w:w="2540" w:type="dxa"/>
            <w:tcBorders>
              <w:top w:val="single" w:color="auto" w:sz="4" w:space="0"/>
              <w:left w:val="single" w:color="auto" w:sz="4" w:space="0"/>
              <w:bottom w:val="single" w:color="auto" w:sz="4" w:space="0"/>
              <w:right w:val="single" w:color="auto" w:sz="4" w:space="0"/>
            </w:tcBorders>
          </w:tcPr>
          <w:p w14:paraId="3EC3835E">
            <w:pPr>
              <w:jc w:val="center"/>
              <w:rPr>
                <w:rFonts w:ascii="Times New Roman" w:hAnsi="Times New Roman" w:eastAsia="宋体" w:cs="Times New Roman"/>
                <w:b/>
                <w:sz w:val="24"/>
                <w:szCs w:val="24"/>
              </w:rPr>
            </w:pPr>
          </w:p>
        </w:tc>
        <w:tc>
          <w:tcPr>
            <w:tcW w:w="1292" w:type="dxa"/>
            <w:tcBorders>
              <w:top w:val="single" w:color="auto" w:sz="4" w:space="0"/>
              <w:left w:val="single" w:color="auto" w:sz="4" w:space="0"/>
              <w:bottom w:val="single" w:color="auto" w:sz="4" w:space="0"/>
              <w:right w:val="single" w:color="auto" w:sz="4" w:space="0"/>
            </w:tcBorders>
          </w:tcPr>
          <w:p w14:paraId="39A283EB">
            <w:pPr>
              <w:jc w:val="center"/>
              <w:rPr>
                <w:rFonts w:ascii="Times New Roman" w:hAnsi="Times New Roman" w:eastAsia="宋体" w:cs="Times New Roman"/>
                <w:b/>
                <w:sz w:val="24"/>
                <w:szCs w:val="24"/>
              </w:rPr>
            </w:pPr>
          </w:p>
        </w:tc>
      </w:tr>
      <w:tr w14:paraId="0C737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385" w:type="dxa"/>
            <w:tcBorders>
              <w:top w:val="single" w:color="auto" w:sz="4" w:space="0"/>
              <w:left w:val="single" w:color="auto" w:sz="4" w:space="0"/>
              <w:bottom w:val="single" w:color="auto" w:sz="4" w:space="0"/>
              <w:right w:val="single" w:color="auto" w:sz="4" w:space="0"/>
            </w:tcBorders>
          </w:tcPr>
          <w:p w14:paraId="17A74D31">
            <w:pPr>
              <w:jc w:val="center"/>
              <w:rPr>
                <w:rFonts w:ascii="Times New Roman" w:hAnsi="Times New Roman" w:eastAsia="宋体" w:cs="Times New Roman"/>
                <w:b/>
                <w:sz w:val="24"/>
                <w:szCs w:val="24"/>
              </w:rPr>
            </w:pPr>
          </w:p>
        </w:tc>
        <w:tc>
          <w:tcPr>
            <w:tcW w:w="3190" w:type="dxa"/>
            <w:tcBorders>
              <w:top w:val="single" w:color="auto" w:sz="4" w:space="0"/>
              <w:left w:val="single" w:color="auto" w:sz="4" w:space="0"/>
              <w:bottom w:val="single" w:color="auto" w:sz="4" w:space="0"/>
              <w:right w:val="single" w:color="auto" w:sz="4" w:space="0"/>
            </w:tcBorders>
          </w:tcPr>
          <w:p w14:paraId="0A1B6DAD">
            <w:pPr>
              <w:jc w:val="center"/>
              <w:rPr>
                <w:rFonts w:ascii="Times New Roman" w:hAnsi="Times New Roman" w:eastAsia="宋体" w:cs="Times New Roman"/>
                <w:b/>
                <w:sz w:val="24"/>
                <w:szCs w:val="24"/>
              </w:rPr>
            </w:pPr>
          </w:p>
        </w:tc>
        <w:tc>
          <w:tcPr>
            <w:tcW w:w="2540" w:type="dxa"/>
            <w:tcBorders>
              <w:top w:val="single" w:color="auto" w:sz="4" w:space="0"/>
              <w:left w:val="single" w:color="auto" w:sz="4" w:space="0"/>
              <w:bottom w:val="single" w:color="auto" w:sz="4" w:space="0"/>
              <w:right w:val="single" w:color="auto" w:sz="4" w:space="0"/>
            </w:tcBorders>
          </w:tcPr>
          <w:p w14:paraId="1F62BA74">
            <w:pPr>
              <w:jc w:val="center"/>
              <w:rPr>
                <w:rFonts w:ascii="Times New Roman" w:hAnsi="Times New Roman" w:eastAsia="宋体" w:cs="Times New Roman"/>
                <w:b/>
                <w:sz w:val="24"/>
                <w:szCs w:val="24"/>
              </w:rPr>
            </w:pPr>
          </w:p>
        </w:tc>
        <w:tc>
          <w:tcPr>
            <w:tcW w:w="1292" w:type="dxa"/>
            <w:tcBorders>
              <w:top w:val="single" w:color="auto" w:sz="4" w:space="0"/>
              <w:left w:val="single" w:color="auto" w:sz="4" w:space="0"/>
              <w:bottom w:val="single" w:color="auto" w:sz="4" w:space="0"/>
              <w:right w:val="single" w:color="auto" w:sz="4" w:space="0"/>
            </w:tcBorders>
          </w:tcPr>
          <w:p w14:paraId="33D175FC">
            <w:pPr>
              <w:jc w:val="center"/>
              <w:rPr>
                <w:rFonts w:ascii="Times New Roman" w:hAnsi="Times New Roman" w:eastAsia="宋体" w:cs="Times New Roman"/>
                <w:b/>
                <w:sz w:val="24"/>
                <w:szCs w:val="24"/>
              </w:rPr>
            </w:pPr>
          </w:p>
        </w:tc>
      </w:tr>
      <w:tr w14:paraId="7786C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Borders>
              <w:top w:val="single" w:color="auto" w:sz="4" w:space="0"/>
              <w:left w:val="single" w:color="auto" w:sz="4" w:space="0"/>
              <w:bottom w:val="single" w:color="auto" w:sz="4" w:space="0"/>
              <w:right w:val="single" w:color="auto" w:sz="4" w:space="0"/>
            </w:tcBorders>
          </w:tcPr>
          <w:p w14:paraId="60892718">
            <w:pPr>
              <w:jc w:val="center"/>
              <w:rPr>
                <w:rFonts w:ascii="Times New Roman" w:hAnsi="Times New Roman" w:eastAsia="宋体" w:cs="Times New Roman"/>
                <w:b/>
                <w:sz w:val="24"/>
                <w:szCs w:val="24"/>
              </w:rPr>
            </w:pPr>
          </w:p>
        </w:tc>
        <w:tc>
          <w:tcPr>
            <w:tcW w:w="3190" w:type="dxa"/>
            <w:tcBorders>
              <w:top w:val="single" w:color="auto" w:sz="4" w:space="0"/>
              <w:left w:val="single" w:color="auto" w:sz="4" w:space="0"/>
              <w:bottom w:val="single" w:color="auto" w:sz="4" w:space="0"/>
              <w:right w:val="single" w:color="auto" w:sz="4" w:space="0"/>
            </w:tcBorders>
          </w:tcPr>
          <w:p w14:paraId="11950E2B">
            <w:pPr>
              <w:jc w:val="center"/>
              <w:rPr>
                <w:rFonts w:ascii="Times New Roman" w:hAnsi="Times New Roman" w:eastAsia="宋体" w:cs="Times New Roman"/>
                <w:b/>
                <w:sz w:val="24"/>
                <w:szCs w:val="24"/>
              </w:rPr>
            </w:pPr>
          </w:p>
        </w:tc>
        <w:tc>
          <w:tcPr>
            <w:tcW w:w="2540" w:type="dxa"/>
            <w:tcBorders>
              <w:top w:val="single" w:color="auto" w:sz="4" w:space="0"/>
              <w:left w:val="single" w:color="auto" w:sz="4" w:space="0"/>
              <w:bottom w:val="single" w:color="auto" w:sz="4" w:space="0"/>
              <w:right w:val="single" w:color="auto" w:sz="4" w:space="0"/>
            </w:tcBorders>
          </w:tcPr>
          <w:p w14:paraId="1F08EE1B">
            <w:pPr>
              <w:jc w:val="center"/>
              <w:rPr>
                <w:rFonts w:ascii="Times New Roman" w:hAnsi="Times New Roman" w:eastAsia="宋体" w:cs="Times New Roman"/>
                <w:b/>
                <w:sz w:val="24"/>
                <w:szCs w:val="24"/>
              </w:rPr>
            </w:pPr>
          </w:p>
        </w:tc>
        <w:tc>
          <w:tcPr>
            <w:tcW w:w="1292" w:type="dxa"/>
            <w:tcBorders>
              <w:top w:val="single" w:color="auto" w:sz="4" w:space="0"/>
              <w:left w:val="single" w:color="auto" w:sz="4" w:space="0"/>
              <w:bottom w:val="single" w:color="auto" w:sz="4" w:space="0"/>
              <w:right w:val="single" w:color="auto" w:sz="4" w:space="0"/>
            </w:tcBorders>
          </w:tcPr>
          <w:p w14:paraId="203A6B23">
            <w:pPr>
              <w:jc w:val="center"/>
              <w:rPr>
                <w:rFonts w:ascii="Times New Roman" w:hAnsi="Times New Roman" w:eastAsia="宋体" w:cs="Times New Roman"/>
                <w:b/>
                <w:sz w:val="24"/>
                <w:szCs w:val="24"/>
              </w:rPr>
            </w:pPr>
          </w:p>
        </w:tc>
      </w:tr>
      <w:tr w14:paraId="0CE96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Borders>
              <w:top w:val="single" w:color="auto" w:sz="4" w:space="0"/>
              <w:left w:val="single" w:color="auto" w:sz="4" w:space="0"/>
              <w:bottom w:val="single" w:color="auto" w:sz="4" w:space="0"/>
              <w:right w:val="single" w:color="auto" w:sz="4" w:space="0"/>
            </w:tcBorders>
          </w:tcPr>
          <w:p w14:paraId="2C9A0800">
            <w:pPr>
              <w:jc w:val="center"/>
              <w:rPr>
                <w:rFonts w:ascii="Times New Roman" w:hAnsi="Times New Roman" w:eastAsia="宋体" w:cs="Times New Roman"/>
                <w:b/>
                <w:sz w:val="24"/>
                <w:szCs w:val="24"/>
              </w:rPr>
            </w:pPr>
          </w:p>
        </w:tc>
        <w:tc>
          <w:tcPr>
            <w:tcW w:w="3190" w:type="dxa"/>
            <w:tcBorders>
              <w:top w:val="single" w:color="auto" w:sz="4" w:space="0"/>
              <w:left w:val="single" w:color="auto" w:sz="4" w:space="0"/>
              <w:bottom w:val="single" w:color="auto" w:sz="4" w:space="0"/>
              <w:right w:val="single" w:color="auto" w:sz="4" w:space="0"/>
            </w:tcBorders>
          </w:tcPr>
          <w:p w14:paraId="2B99D042">
            <w:pPr>
              <w:jc w:val="center"/>
              <w:rPr>
                <w:rFonts w:ascii="Times New Roman" w:hAnsi="Times New Roman" w:eastAsia="宋体" w:cs="Times New Roman"/>
                <w:b/>
                <w:sz w:val="24"/>
                <w:szCs w:val="24"/>
              </w:rPr>
            </w:pPr>
          </w:p>
        </w:tc>
        <w:tc>
          <w:tcPr>
            <w:tcW w:w="2540" w:type="dxa"/>
            <w:tcBorders>
              <w:top w:val="single" w:color="auto" w:sz="4" w:space="0"/>
              <w:left w:val="single" w:color="auto" w:sz="4" w:space="0"/>
              <w:bottom w:val="single" w:color="auto" w:sz="4" w:space="0"/>
              <w:right w:val="single" w:color="auto" w:sz="4" w:space="0"/>
            </w:tcBorders>
          </w:tcPr>
          <w:p w14:paraId="3CE5294A">
            <w:pPr>
              <w:jc w:val="center"/>
              <w:rPr>
                <w:rFonts w:ascii="Times New Roman" w:hAnsi="Times New Roman" w:eastAsia="宋体" w:cs="Times New Roman"/>
                <w:b/>
                <w:sz w:val="24"/>
                <w:szCs w:val="24"/>
              </w:rPr>
            </w:pPr>
          </w:p>
        </w:tc>
        <w:tc>
          <w:tcPr>
            <w:tcW w:w="1292" w:type="dxa"/>
            <w:tcBorders>
              <w:top w:val="single" w:color="auto" w:sz="4" w:space="0"/>
              <w:left w:val="single" w:color="auto" w:sz="4" w:space="0"/>
              <w:bottom w:val="single" w:color="auto" w:sz="4" w:space="0"/>
              <w:right w:val="single" w:color="auto" w:sz="4" w:space="0"/>
            </w:tcBorders>
          </w:tcPr>
          <w:p w14:paraId="468889DB">
            <w:pPr>
              <w:jc w:val="center"/>
              <w:rPr>
                <w:rFonts w:ascii="Times New Roman" w:hAnsi="Times New Roman" w:eastAsia="宋体" w:cs="Times New Roman"/>
                <w:b/>
                <w:sz w:val="24"/>
                <w:szCs w:val="24"/>
              </w:rPr>
            </w:pPr>
          </w:p>
        </w:tc>
      </w:tr>
      <w:tr w14:paraId="422E8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Borders>
              <w:top w:val="single" w:color="auto" w:sz="4" w:space="0"/>
              <w:left w:val="single" w:color="auto" w:sz="4" w:space="0"/>
              <w:bottom w:val="single" w:color="auto" w:sz="4" w:space="0"/>
              <w:right w:val="single" w:color="auto" w:sz="4" w:space="0"/>
            </w:tcBorders>
          </w:tcPr>
          <w:p w14:paraId="00BED7FB">
            <w:pPr>
              <w:jc w:val="center"/>
              <w:rPr>
                <w:rFonts w:ascii="Times New Roman" w:hAnsi="Times New Roman" w:eastAsia="宋体" w:cs="Times New Roman"/>
                <w:b/>
                <w:sz w:val="24"/>
                <w:szCs w:val="24"/>
              </w:rPr>
            </w:pPr>
          </w:p>
        </w:tc>
        <w:tc>
          <w:tcPr>
            <w:tcW w:w="3190" w:type="dxa"/>
            <w:tcBorders>
              <w:top w:val="single" w:color="auto" w:sz="4" w:space="0"/>
              <w:left w:val="single" w:color="auto" w:sz="4" w:space="0"/>
              <w:bottom w:val="single" w:color="auto" w:sz="4" w:space="0"/>
              <w:right w:val="single" w:color="auto" w:sz="4" w:space="0"/>
            </w:tcBorders>
          </w:tcPr>
          <w:p w14:paraId="066B5B5A">
            <w:pPr>
              <w:jc w:val="center"/>
              <w:rPr>
                <w:rFonts w:ascii="Times New Roman" w:hAnsi="Times New Roman" w:eastAsia="宋体" w:cs="Times New Roman"/>
                <w:b/>
                <w:sz w:val="24"/>
                <w:szCs w:val="24"/>
              </w:rPr>
            </w:pPr>
          </w:p>
        </w:tc>
        <w:tc>
          <w:tcPr>
            <w:tcW w:w="2540" w:type="dxa"/>
            <w:tcBorders>
              <w:top w:val="single" w:color="auto" w:sz="4" w:space="0"/>
              <w:left w:val="single" w:color="auto" w:sz="4" w:space="0"/>
              <w:bottom w:val="single" w:color="auto" w:sz="4" w:space="0"/>
              <w:right w:val="single" w:color="auto" w:sz="4" w:space="0"/>
            </w:tcBorders>
          </w:tcPr>
          <w:p w14:paraId="069C3203">
            <w:pPr>
              <w:jc w:val="center"/>
              <w:rPr>
                <w:rFonts w:ascii="Times New Roman" w:hAnsi="Times New Roman" w:eastAsia="宋体" w:cs="Times New Roman"/>
                <w:b/>
                <w:sz w:val="24"/>
                <w:szCs w:val="24"/>
              </w:rPr>
            </w:pPr>
          </w:p>
        </w:tc>
        <w:tc>
          <w:tcPr>
            <w:tcW w:w="1292" w:type="dxa"/>
            <w:tcBorders>
              <w:top w:val="single" w:color="auto" w:sz="4" w:space="0"/>
              <w:left w:val="single" w:color="auto" w:sz="4" w:space="0"/>
              <w:bottom w:val="single" w:color="auto" w:sz="4" w:space="0"/>
              <w:right w:val="single" w:color="auto" w:sz="4" w:space="0"/>
            </w:tcBorders>
          </w:tcPr>
          <w:p w14:paraId="5D71CE14">
            <w:pPr>
              <w:jc w:val="center"/>
              <w:rPr>
                <w:rFonts w:ascii="Times New Roman" w:hAnsi="Times New Roman" w:eastAsia="宋体" w:cs="Times New Roman"/>
                <w:b/>
                <w:sz w:val="24"/>
                <w:szCs w:val="24"/>
              </w:rPr>
            </w:pPr>
          </w:p>
        </w:tc>
      </w:tr>
      <w:tr w14:paraId="70C1E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Borders>
              <w:top w:val="single" w:color="auto" w:sz="4" w:space="0"/>
              <w:left w:val="single" w:color="auto" w:sz="4" w:space="0"/>
              <w:bottom w:val="single" w:color="auto" w:sz="4" w:space="0"/>
              <w:right w:val="single" w:color="auto" w:sz="4" w:space="0"/>
            </w:tcBorders>
          </w:tcPr>
          <w:p w14:paraId="0A6BF1A5">
            <w:pPr>
              <w:jc w:val="center"/>
              <w:rPr>
                <w:rFonts w:ascii="Times New Roman" w:hAnsi="Times New Roman" w:eastAsia="宋体" w:cs="Times New Roman"/>
                <w:b/>
                <w:sz w:val="24"/>
                <w:szCs w:val="24"/>
              </w:rPr>
            </w:pPr>
          </w:p>
        </w:tc>
        <w:tc>
          <w:tcPr>
            <w:tcW w:w="3190" w:type="dxa"/>
            <w:tcBorders>
              <w:top w:val="single" w:color="auto" w:sz="4" w:space="0"/>
              <w:left w:val="single" w:color="auto" w:sz="4" w:space="0"/>
              <w:bottom w:val="single" w:color="auto" w:sz="4" w:space="0"/>
              <w:right w:val="single" w:color="auto" w:sz="4" w:space="0"/>
            </w:tcBorders>
          </w:tcPr>
          <w:p w14:paraId="4C8C8F91">
            <w:pPr>
              <w:jc w:val="center"/>
              <w:rPr>
                <w:rFonts w:ascii="Times New Roman" w:hAnsi="Times New Roman" w:eastAsia="宋体" w:cs="Times New Roman"/>
                <w:b/>
                <w:sz w:val="24"/>
                <w:szCs w:val="24"/>
              </w:rPr>
            </w:pPr>
          </w:p>
        </w:tc>
        <w:tc>
          <w:tcPr>
            <w:tcW w:w="2540" w:type="dxa"/>
            <w:tcBorders>
              <w:top w:val="single" w:color="auto" w:sz="4" w:space="0"/>
              <w:left w:val="single" w:color="auto" w:sz="4" w:space="0"/>
              <w:bottom w:val="single" w:color="auto" w:sz="4" w:space="0"/>
              <w:right w:val="single" w:color="auto" w:sz="4" w:space="0"/>
            </w:tcBorders>
          </w:tcPr>
          <w:p w14:paraId="235C4465">
            <w:pPr>
              <w:jc w:val="center"/>
              <w:rPr>
                <w:rFonts w:ascii="Times New Roman" w:hAnsi="Times New Roman" w:eastAsia="宋体" w:cs="Times New Roman"/>
                <w:b/>
                <w:sz w:val="24"/>
                <w:szCs w:val="24"/>
              </w:rPr>
            </w:pPr>
          </w:p>
        </w:tc>
        <w:tc>
          <w:tcPr>
            <w:tcW w:w="1292" w:type="dxa"/>
            <w:tcBorders>
              <w:top w:val="single" w:color="auto" w:sz="4" w:space="0"/>
              <w:left w:val="single" w:color="auto" w:sz="4" w:space="0"/>
              <w:bottom w:val="single" w:color="auto" w:sz="4" w:space="0"/>
              <w:right w:val="single" w:color="auto" w:sz="4" w:space="0"/>
            </w:tcBorders>
          </w:tcPr>
          <w:p w14:paraId="4BB6DB6D">
            <w:pPr>
              <w:jc w:val="center"/>
              <w:rPr>
                <w:rFonts w:ascii="Times New Roman" w:hAnsi="Times New Roman" w:eastAsia="宋体" w:cs="Times New Roman"/>
                <w:b/>
                <w:sz w:val="24"/>
                <w:szCs w:val="24"/>
              </w:rPr>
            </w:pPr>
          </w:p>
        </w:tc>
      </w:tr>
      <w:tr w14:paraId="38F5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Borders>
              <w:top w:val="single" w:color="auto" w:sz="4" w:space="0"/>
              <w:left w:val="single" w:color="auto" w:sz="4" w:space="0"/>
              <w:bottom w:val="single" w:color="auto" w:sz="4" w:space="0"/>
              <w:right w:val="single" w:color="auto" w:sz="4" w:space="0"/>
            </w:tcBorders>
          </w:tcPr>
          <w:p w14:paraId="0E07EEBD">
            <w:pPr>
              <w:jc w:val="center"/>
              <w:rPr>
                <w:rFonts w:ascii="Times New Roman" w:hAnsi="Times New Roman" w:eastAsia="宋体" w:cs="Times New Roman"/>
                <w:b/>
                <w:sz w:val="24"/>
                <w:szCs w:val="24"/>
              </w:rPr>
            </w:pPr>
          </w:p>
        </w:tc>
        <w:tc>
          <w:tcPr>
            <w:tcW w:w="3190" w:type="dxa"/>
            <w:tcBorders>
              <w:top w:val="single" w:color="auto" w:sz="4" w:space="0"/>
              <w:left w:val="single" w:color="auto" w:sz="4" w:space="0"/>
              <w:bottom w:val="single" w:color="auto" w:sz="4" w:space="0"/>
              <w:right w:val="single" w:color="auto" w:sz="4" w:space="0"/>
            </w:tcBorders>
          </w:tcPr>
          <w:p w14:paraId="2F08E3A4">
            <w:pPr>
              <w:jc w:val="center"/>
              <w:rPr>
                <w:rFonts w:ascii="Times New Roman" w:hAnsi="Times New Roman" w:eastAsia="宋体" w:cs="Times New Roman"/>
                <w:b/>
                <w:sz w:val="24"/>
                <w:szCs w:val="24"/>
              </w:rPr>
            </w:pPr>
          </w:p>
        </w:tc>
        <w:tc>
          <w:tcPr>
            <w:tcW w:w="2540" w:type="dxa"/>
            <w:tcBorders>
              <w:top w:val="single" w:color="auto" w:sz="4" w:space="0"/>
              <w:left w:val="single" w:color="auto" w:sz="4" w:space="0"/>
              <w:bottom w:val="single" w:color="auto" w:sz="4" w:space="0"/>
              <w:right w:val="single" w:color="auto" w:sz="4" w:space="0"/>
            </w:tcBorders>
          </w:tcPr>
          <w:p w14:paraId="579D43FF">
            <w:pPr>
              <w:jc w:val="center"/>
              <w:rPr>
                <w:rFonts w:ascii="Times New Roman" w:hAnsi="Times New Roman" w:eastAsia="宋体" w:cs="Times New Roman"/>
                <w:b/>
                <w:sz w:val="24"/>
                <w:szCs w:val="24"/>
              </w:rPr>
            </w:pPr>
          </w:p>
        </w:tc>
        <w:tc>
          <w:tcPr>
            <w:tcW w:w="1292" w:type="dxa"/>
            <w:tcBorders>
              <w:top w:val="single" w:color="auto" w:sz="4" w:space="0"/>
              <w:left w:val="single" w:color="auto" w:sz="4" w:space="0"/>
              <w:bottom w:val="single" w:color="auto" w:sz="4" w:space="0"/>
              <w:right w:val="single" w:color="auto" w:sz="4" w:space="0"/>
            </w:tcBorders>
          </w:tcPr>
          <w:p w14:paraId="47FC9EBD">
            <w:pPr>
              <w:jc w:val="center"/>
              <w:rPr>
                <w:rFonts w:ascii="Times New Roman" w:hAnsi="Times New Roman" w:eastAsia="宋体" w:cs="Times New Roman"/>
                <w:b/>
                <w:sz w:val="24"/>
                <w:szCs w:val="24"/>
              </w:rPr>
            </w:pPr>
          </w:p>
        </w:tc>
      </w:tr>
      <w:tr w14:paraId="1E9FC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Borders>
              <w:top w:val="single" w:color="auto" w:sz="4" w:space="0"/>
              <w:left w:val="single" w:color="auto" w:sz="4" w:space="0"/>
              <w:bottom w:val="single" w:color="auto" w:sz="4" w:space="0"/>
              <w:right w:val="single" w:color="auto" w:sz="4" w:space="0"/>
            </w:tcBorders>
          </w:tcPr>
          <w:p w14:paraId="03380071">
            <w:pPr>
              <w:jc w:val="center"/>
              <w:rPr>
                <w:rFonts w:ascii="Times New Roman" w:hAnsi="Times New Roman" w:eastAsia="宋体" w:cs="Times New Roman"/>
                <w:b/>
                <w:sz w:val="24"/>
                <w:szCs w:val="24"/>
              </w:rPr>
            </w:pPr>
          </w:p>
        </w:tc>
        <w:tc>
          <w:tcPr>
            <w:tcW w:w="3190" w:type="dxa"/>
            <w:tcBorders>
              <w:top w:val="single" w:color="auto" w:sz="4" w:space="0"/>
              <w:left w:val="single" w:color="auto" w:sz="4" w:space="0"/>
              <w:bottom w:val="single" w:color="auto" w:sz="4" w:space="0"/>
              <w:right w:val="single" w:color="auto" w:sz="4" w:space="0"/>
            </w:tcBorders>
          </w:tcPr>
          <w:p w14:paraId="30D5C3B3">
            <w:pPr>
              <w:jc w:val="center"/>
              <w:rPr>
                <w:rFonts w:ascii="Times New Roman" w:hAnsi="Times New Roman" w:eastAsia="宋体" w:cs="Times New Roman"/>
                <w:b/>
                <w:sz w:val="24"/>
                <w:szCs w:val="24"/>
              </w:rPr>
            </w:pPr>
          </w:p>
        </w:tc>
        <w:tc>
          <w:tcPr>
            <w:tcW w:w="2540" w:type="dxa"/>
            <w:tcBorders>
              <w:top w:val="single" w:color="auto" w:sz="4" w:space="0"/>
              <w:left w:val="single" w:color="auto" w:sz="4" w:space="0"/>
              <w:bottom w:val="single" w:color="auto" w:sz="4" w:space="0"/>
              <w:right w:val="single" w:color="auto" w:sz="4" w:space="0"/>
            </w:tcBorders>
          </w:tcPr>
          <w:p w14:paraId="6D746B7D">
            <w:pPr>
              <w:jc w:val="center"/>
              <w:rPr>
                <w:rFonts w:ascii="Times New Roman" w:hAnsi="Times New Roman" w:eastAsia="宋体" w:cs="Times New Roman"/>
                <w:b/>
                <w:sz w:val="24"/>
                <w:szCs w:val="24"/>
              </w:rPr>
            </w:pPr>
          </w:p>
        </w:tc>
        <w:tc>
          <w:tcPr>
            <w:tcW w:w="1292" w:type="dxa"/>
            <w:tcBorders>
              <w:top w:val="single" w:color="auto" w:sz="4" w:space="0"/>
              <w:left w:val="single" w:color="auto" w:sz="4" w:space="0"/>
              <w:bottom w:val="single" w:color="auto" w:sz="4" w:space="0"/>
              <w:right w:val="single" w:color="auto" w:sz="4" w:space="0"/>
            </w:tcBorders>
          </w:tcPr>
          <w:p w14:paraId="69EF4F0B">
            <w:pPr>
              <w:jc w:val="center"/>
              <w:rPr>
                <w:rFonts w:ascii="Times New Roman" w:hAnsi="Times New Roman" w:eastAsia="宋体" w:cs="Times New Roman"/>
                <w:b/>
                <w:sz w:val="24"/>
                <w:szCs w:val="24"/>
              </w:rPr>
            </w:pPr>
          </w:p>
        </w:tc>
      </w:tr>
      <w:tr w14:paraId="0CF8F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Borders>
              <w:top w:val="single" w:color="auto" w:sz="4" w:space="0"/>
              <w:left w:val="single" w:color="auto" w:sz="4" w:space="0"/>
              <w:bottom w:val="single" w:color="auto" w:sz="4" w:space="0"/>
              <w:right w:val="single" w:color="auto" w:sz="4" w:space="0"/>
            </w:tcBorders>
          </w:tcPr>
          <w:p w14:paraId="6251702E">
            <w:pPr>
              <w:jc w:val="center"/>
              <w:rPr>
                <w:rFonts w:ascii="Times New Roman" w:hAnsi="Times New Roman" w:eastAsia="宋体" w:cs="Times New Roman"/>
                <w:b/>
                <w:sz w:val="24"/>
                <w:szCs w:val="24"/>
              </w:rPr>
            </w:pPr>
          </w:p>
        </w:tc>
        <w:tc>
          <w:tcPr>
            <w:tcW w:w="3190" w:type="dxa"/>
            <w:tcBorders>
              <w:top w:val="single" w:color="auto" w:sz="4" w:space="0"/>
              <w:left w:val="single" w:color="auto" w:sz="4" w:space="0"/>
              <w:bottom w:val="single" w:color="auto" w:sz="4" w:space="0"/>
              <w:right w:val="single" w:color="auto" w:sz="4" w:space="0"/>
            </w:tcBorders>
          </w:tcPr>
          <w:p w14:paraId="268BE1FC">
            <w:pPr>
              <w:jc w:val="center"/>
              <w:rPr>
                <w:rFonts w:ascii="Times New Roman" w:hAnsi="Times New Roman" w:eastAsia="宋体" w:cs="Times New Roman"/>
                <w:b/>
                <w:sz w:val="24"/>
                <w:szCs w:val="24"/>
              </w:rPr>
            </w:pPr>
          </w:p>
        </w:tc>
        <w:tc>
          <w:tcPr>
            <w:tcW w:w="2540" w:type="dxa"/>
            <w:tcBorders>
              <w:top w:val="single" w:color="auto" w:sz="4" w:space="0"/>
              <w:left w:val="single" w:color="auto" w:sz="4" w:space="0"/>
              <w:bottom w:val="single" w:color="auto" w:sz="4" w:space="0"/>
              <w:right w:val="single" w:color="auto" w:sz="4" w:space="0"/>
            </w:tcBorders>
          </w:tcPr>
          <w:p w14:paraId="0F3CEDF5">
            <w:pPr>
              <w:jc w:val="center"/>
              <w:rPr>
                <w:rFonts w:ascii="Times New Roman" w:hAnsi="Times New Roman" w:eastAsia="宋体" w:cs="Times New Roman"/>
                <w:b/>
                <w:sz w:val="24"/>
                <w:szCs w:val="24"/>
              </w:rPr>
            </w:pPr>
          </w:p>
        </w:tc>
        <w:tc>
          <w:tcPr>
            <w:tcW w:w="1292" w:type="dxa"/>
            <w:tcBorders>
              <w:top w:val="single" w:color="auto" w:sz="4" w:space="0"/>
              <w:left w:val="single" w:color="auto" w:sz="4" w:space="0"/>
              <w:bottom w:val="single" w:color="auto" w:sz="4" w:space="0"/>
              <w:right w:val="single" w:color="auto" w:sz="4" w:space="0"/>
            </w:tcBorders>
          </w:tcPr>
          <w:p w14:paraId="783CE24C">
            <w:pPr>
              <w:jc w:val="center"/>
              <w:rPr>
                <w:rFonts w:ascii="Times New Roman" w:hAnsi="Times New Roman" w:eastAsia="宋体" w:cs="Times New Roman"/>
                <w:b/>
                <w:sz w:val="24"/>
                <w:szCs w:val="24"/>
              </w:rPr>
            </w:pPr>
          </w:p>
        </w:tc>
      </w:tr>
      <w:tr w14:paraId="62A1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Borders>
              <w:top w:val="single" w:color="auto" w:sz="4" w:space="0"/>
              <w:left w:val="single" w:color="auto" w:sz="4" w:space="0"/>
              <w:bottom w:val="single" w:color="auto" w:sz="4" w:space="0"/>
              <w:right w:val="single" w:color="auto" w:sz="4" w:space="0"/>
            </w:tcBorders>
          </w:tcPr>
          <w:p w14:paraId="1B864775">
            <w:pPr>
              <w:jc w:val="center"/>
              <w:rPr>
                <w:rFonts w:ascii="Times New Roman" w:hAnsi="Times New Roman" w:eastAsia="宋体" w:cs="Times New Roman"/>
                <w:b/>
                <w:sz w:val="24"/>
                <w:szCs w:val="24"/>
              </w:rPr>
            </w:pPr>
          </w:p>
        </w:tc>
        <w:tc>
          <w:tcPr>
            <w:tcW w:w="3190" w:type="dxa"/>
            <w:tcBorders>
              <w:top w:val="single" w:color="auto" w:sz="4" w:space="0"/>
              <w:left w:val="single" w:color="auto" w:sz="4" w:space="0"/>
              <w:bottom w:val="single" w:color="auto" w:sz="4" w:space="0"/>
              <w:right w:val="single" w:color="auto" w:sz="4" w:space="0"/>
            </w:tcBorders>
          </w:tcPr>
          <w:p w14:paraId="3BF01993">
            <w:pPr>
              <w:jc w:val="center"/>
              <w:rPr>
                <w:rFonts w:ascii="Times New Roman" w:hAnsi="Times New Roman" w:eastAsia="宋体" w:cs="Times New Roman"/>
                <w:b/>
                <w:sz w:val="24"/>
                <w:szCs w:val="24"/>
              </w:rPr>
            </w:pPr>
          </w:p>
        </w:tc>
        <w:tc>
          <w:tcPr>
            <w:tcW w:w="2540" w:type="dxa"/>
            <w:tcBorders>
              <w:top w:val="single" w:color="auto" w:sz="4" w:space="0"/>
              <w:left w:val="single" w:color="auto" w:sz="4" w:space="0"/>
              <w:bottom w:val="single" w:color="auto" w:sz="4" w:space="0"/>
              <w:right w:val="single" w:color="auto" w:sz="4" w:space="0"/>
            </w:tcBorders>
          </w:tcPr>
          <w:p w14:paraId="3BC8BCAE">
            <w:pPr>
              <w:jc w:val="center"/>
              <w:rPr>
                <w:rFonts w:ascii="Times New Roman" w:hAnsi="Times New Roman" w:eastAsia="宋体" w:cs="Times New Roman"/>
                <w:b/>
                <w:sz w:val="24"/>
                <w:szCs w:val="24"/>
              </w:rPr>
            </w:pPr>
          </w:p>
        </w:tc>
        <w:tc>
          <w:tcPr>
            <w:tcW w:w="1292" w:type="dxa"/>
            <w:tcBorders>
              <w:top w:val="single" w:color="auto" w:sz="4" w:space="0"/>
              <w:left w:val="single" w:color="auto" w:sz="4" w:space="0"/>
              <w:bottom w:val="single" w:color="auto" w:sz="4" w:space="0"/>
              <w:right w:val="single" w:color="auto" w:sz="4" w:space="0"/>
            </w:tcBorders>
          </w:tcPr>
          <w:p w14:paraId="29CA3577">
            <w:pPr>
              <w:jc w:val="center"/>
              <w:rPr>
                <w:rFonts w:ascii="Times New Roman" w:hAnsi="Times New Roman" w:eastAsia="宋体" w:cs="Times New Roman"/>
                <w:b/>
                <w:sz w:val="24"/>
                <w:szCs w:val="24"/>
              </w:rPr>
            </w:pPr>
          </w:p>
        </w:tc>
      </w:tr>
    </w:tbl>
    <w:p w14:paraId="54A9FEA9">
      <w:pPr>
        <w:spacing w:line="660" w:lineRule="exact"/>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 xml:space="preserve"> </w:t>
      </w:r>
    </w:p>
    <w:p w14:paraId="3C4AE86C">
      <w:pPr>
        <w:spacing w:line="660" w:lineRule="exact"/>
        <w:ind w:firstLine="480" w:firstLineChars="200"/>
        <w:rPr>
          <w:rFonts w:ascii="宋体" w:hAnsi="Calibri" w:eastAsia="宋体" w:cs="Times New Roman"/>
          <w:sz w:val="24"/>
          <w:szCs w:val="24"/>
        </w:rPr>
      </w:pPr>
      <w:r>
        <w:rPr>
          <w:rFonts w:hint="eastAsia" w:ascii="宋体" w:hAnsi="宋体" w:eastAsia="宋体" w:cs="Times New Roman"/>
          <w:sz w:val="24"/>
          <w:szCs w:val="24"/>
        </w:rPr>
        <w:t>投标人：（盖章）</w:t>
      </w:r>
    </w:p>
    <w:p w14:paraId="4192D8F9">
      <w:pPr>
        <w:spacing w:line="660" w:lineRule="exact"/>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法定代表人（委托代理人）：（签字）</w:t>
      </w:r>
    </w:p>
    <w:p w14:paraId="7DE1E989">
      <w:pPr>
        <w:spacing w:line="360" w:lineRule="auto"/>
        <w:jc w:val="left"/>
        <w:rPr>
          <w:rFonts w:hint="eastAsia" w:ascii="宋体" w:hAnsi="宋体" w:eastAsia="宋体" w:cs="Times New Roman"/>
          <w:b/>
          <w:caps/>
          <w:color w:val="FF0000"/>
          <w:sz w:val="24"/>
          <w:szCs w:val="24"/>
        </w:rPr>
      </w:pPr>
      <w:r>
        <w:rPr>
          <w:rFonts w:hint="eastAsia" w:ascii="宋体" w:hAnsi="宋体" w:eastAsia="宋体" w:cs="Times New Roman"/>
          <w:b/>
          <w:caps/>
          <w:color w:val="FF0000"/>
          <w:sz w:val="24"/>
          <w:szCs w:val="24"/>
        </w:rPr>
        <w:t xml:space="preserve"> </w:t>
      </w:r>
    </w:p>
    <w:p w14:paraId="1840A203">
      <w:pPr>
        <w:spacing w:line="660" w:lineRule="exact"/>
        <w:ind w:firstLine="480" w:firstLineChars="200"/>
        <w:rPr>
          <w:rFonts w:ascii="宋体" w:hAnsi="Calibri" w:eastAsia="宋体" w:cs="Times New Roman"/>
          <w:sz w:val="24"/>
          <w:szCs w:val="24"/>
        </w:rPr>
      </w:pPr>
      <w:r>
        <w:rPr>
          <w:rFonts w:hint="eastAsia" w:ascii="宋体" w:hAnsi="宋体" w:eastAsia="宋体" w:cs="Times New Roman"/>
          <w:sz w:val="24"/>
          <w:szCs w:val="24"/>
        </w:rPr>
        <w:t>日  期：</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p w14:paraId="6AD5398F">
      <w:pPr>
        <w:widowControl/>
        <w:jc w:val="left"/>
        <w:rPr>
          <w:rFonts w:hint="eastAsia" w:ascii="等线" w:hAnsi="等线" w:eastAsia="等线" w:cs="Times New Roman"/>
          <w:szCs w:val="21"/>
        </w:rPr>
        <w:sectPr>
          <w:pgSz w:w="11906" w:h="16838"/>
          <w:pgMar w:top="1588" w:right="1418" w:bottom="1134" w:left="1418" w:header="851" w:footer="992" w:gutter="0"/>
          <w:pgNumType w:fmt="decimal"/>
          <w:cols w:space="720" w:num="1"/>
          <w:titlePg/>
          <w:docGrid w:type="lines" w:linePitch="312" w:charSpace="0"/>
        </w:sectPr>
      </w:pPr>
    </w:p>
    <w:p w14:paraId="7DDE91B6">
      <w:pPr>
        <w:keepNext/>
        <w:keepLines/>
        <w:outlineLvl w:val="2"/>
        <w:rPr>
          <w:rFonts w:ascii="Times New Roman" w:hAnsi="Times New Roman" w:eastAsia="宋体" w:cs="Times New Roman"/>
          <w:b/>
          <w:bCs/>
          <w:color w:val="000000"/>
          <w:sz w:val="24"/>
          <w:szCs w:val="24"/>
        </w:rPr>
      </w:pPr>
      <w:r>
        <w:rPr>
          <w:rFonts w:hint="eastAsia" w:ascii="宋体" w:hAnsi="宋体" w:eastAsia="宋体" w:cs="Times New Roman"/>
          <w:b/>
          <w:bCs/>
          <w:color w:val="000000"/>
          <w:sz w:val="24"/>
          <w:szCs w:val="24"/>
        </w:rPr>
        <w:t>附件</w:t>
      </w:r>
      <w:r>
        <w:rPr>
          <w:rFonts w:hint="eastAsia" w:ascii="Times New Roman" w:hAnsi="Times New Roman" w:eastAsia="宋体" w:cs="Times New Roman"/>
          <w:b/>
          <w:bCs/>
          <w:color w:val="000000"/>
          <w:sz w:val="24"/>
          <w:szCs w:val="24"/>
        </w:rPr>
        <w:t>6</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2023</w:t>
      </w:r>
      <w:r>
        <w:rPr>
          <w:rFonts w:hint="eastAsia" w:ascii="宋体" w:hAnsi="宋体" w:eastAsia="宋体" w:cs="Times New Roman"/>
          <w:b/>
          <w:bCs/>
          <w:color w:val="000000"/>
          <w:sz w:val="24"/>
          <w:szCs w:val="24"/>
        </w:rPr>
        <w:t>年</w:t>
      </w:r>
      <w:r>
        <w:rPr>
          <w:rFonts w:hint="eastAsia" w:ascii="Times New Roman" w:hAnsi="Times New Roman" w:eastAsia="宋体" w:cs="Times New Roman"/>
          <w:b/>
          <w:bCs/>
          <w:color w:val="000000"/>
          <w:sz w:val="24"/>
          <w:szCs w:val="24"/>
        </w:rPr>
        <w:t>1</w:t>
      </w:r>
      <w:r>
        <w:rPr>
          <w:rFonts w:hint="eastAsia" w:ascii="宋体" w:hAnsi="宋体" w:eastAsia="宋体" w:cs="Times New Roman"/>
          <w:b/>
          <w:bCs/>
          <w:color w:val="000000"/>
          <w:sz w:val="24"/>
          <w:szCs w:val="24"/>
        </w:rPr>
        <w:t>月</w:t>
      </w:r>
      <w:r>
        <w:rPr>
          <w:rFonts w:hint="eastAsia" w:ascii="Times New Roman" w:hAnsi="Times New Roman" w:eastAsia="宋体" w:cs="Times New Roman"/>
          <w:b/>
          <w:bCs/>
          <w:color w:val="000000"/>
          <w:sz w:val="24"/>
          <w:szCs w:val="24"/>
        </w:rPr>
        <w:t>1</w:t>
      </w:r>
      <w:r>
        <w:rPr>
          <w:rFonts w:hint="eastAsia" w:ascii="宋体" w:hAnsi="宋体" w:eastAsia="宋体" w:cs="Times New Roman"/>
          <w:b/>
          <w:bCs/>
          <w:color w:val="000000"/>
          <w:sz w:val="24"/>
          <w:szCs w:val="24"/>
        </w:rPr>
        <w:t>日以来同类项目业绩一览表</w:t>
      </w:r>
    </w:p>
    <w:p w14:paraId="4D981735">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 xml:space="preserve">                                                             </w:t>
      </w:r>
    </w:p>
    <w:tbl>
      <w:tblPr>
        <w:tblStyle w:val="37"/>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2A908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vAlign w:val="center"/>
          </w:tcPr>
          <w:p w14:paraId="49F57282">
            <w:pPr>
              <w:ind w:left="420" w:hanging="420"/>
              <w:jc w:val="center"/>
              <w:rPr>
                <w:rFonts w:ascii="宋体" w:hAnsi="Times New Roman" w:eastAsia="宋体" w:cs="Times New Roman"/>
                <w:b/>
                <w:szCs w:val="21"/>
              </w:rPr>
            </w:pPr>
            <w:r>
              <w:rPr>
                <w:rFonts w:hint="eastAsia" w:ascii="宋体" w:hAnsi="宋体" w:eastAsia="宋体" w:cs="Times New Roman"/>
                <w:b/>
                <w:szCs w:val="21"/>
              </w:rPr>
              <w:t>序号</w:t>
            </w:r>
          </w:p>
        </w:tc>
        <w:tc>
          <w:tcPr>
            <w:tcW w:w="2082" w:type="dxa"/>
            <w:tcBorders>
              <w:top w:val="single" w:color="auto" w:sz="4" w:space="0"/>
              <w:left w:val="single" w:color="auto" w:sz="4" w:space="0"/>
              <w:bottom w:val="single" w:color="auto" w:sz="4" w:space="0"/>
              <w:right w:val="single" w:color="auto" w:sz="4" w:space="0"/>
            </w:tcBorders>
            <w:vAlign w:val="center"/>
          </w:tcPr>
          <w:p w14:paraId="743FC3B9">
            <w:pPr>
              <w:ind w:left="420" w:hanging="420"/>
              <w:jc w:val="center"/>
              <w:rPr>
                <w:rFonts w:ascii="宋体" w:hAnsi="Times New Roman" w:eastAsia="宋体" w:cs="Times New Roman"/>
                <w:b/>
                <w:szCs w:val="21"/>
              </w:rPr>
            </w:pPr>
            <w:r>
              <w:rPr>
                <w:rFonts w:hint="eastAsia" w:ascii="宋体" w:hAnsi="宋体" w:eastAsia="宋体" w:cs="Times New Roman"/>
                <w:b/>
                <w:szCs w:val="21"/>
              </w:rPr>
              <w:t>采购单位</w:t>
            </w:r>
          </w:p>
        </w:tc>
        <w:tc>
          <w:tcPr>
            <w:tcW w:w="1355" w:type="dxa"/>
            <w:tcBorders>
              <w:top w:val="single" w:color="auto" w:sz="4" w:space="0"/>
              <w:left w:val="single" w:color="auto" w:sz="4" w:space="0"/>
              <w:bottom w:val="single" w:color="auto" w:sz="4" w:space="0"/>
              <w:right w:val="single" w:color="auto" w:sz="4" w:space="0"/>
            </w:tcBorders>
            <w:vAlign w:val="center"/>
          </w:tcPr>
          <w:p w14:paraId="1578CF3B">
            <w:pPr>
              <w:ind w:left="420" w:hanging="420"/>
              <w:jc w:val="center"/>
              <w:rPr>
                <w:rFonts w:ascii="宋体" w:hAnsi="Times New Roman" w:eastAsia="宋体" w:cs="Times New Roman"/>
                <w:b/>
                <w:szCs w:val="21"/>
              </w:rPr>
            </w:pPr>
            <w:r>
              <w:rPr>
                <w:rFonts w:hint="eastAsia" w:ascii="宋体" w:hAnsi="宋体" w:eastAsia="宋体" w:cs="Times New Roman"/>
                <w:b/>
                <w:szCs w:val="21"/>
              </w:rPr>
              <w:t>项目名称</w:t>
            </w:r>
          </w:p>
          <w:p w14:paraId="092F8056">
            <w:pPr>
              <w:ind w:left="420" w:hanging="420"/>
              <w:jc w:val="center"/>
              <w:rPr>
                <w:rFonts w:ascii="宋体" w:hAnsi="Times New Roman" w:eastAsia="宋体" w:cs="Times New Roman"/>
                <w:b/>
                <w:szCs w:val="21"/>
              </w:rPr>
            </w:pPr>
            <w:r>
              <w:rPr>
                <w:rFonts w:hint="eastAsia" w:ascii="宋体" w:hAnsi="宋体" w:eastAsia="宋体" w:cs="Times New Roman"/>
                <w:b/>
                <w:szCs w:val="21"/>
              </w:rPr>
              <w:t>（万元）</w:t>
            </w:r>
          </w:p>
        </w:tc>
        <w:tc>
          <w:tcPr>
            <w:tcW w:w="826" w:type="dxa"/>
            <w:tcBorders>
              <w:top w:val="single" w:color="auto" w:sz="4" w:space="0"/>
              <w:left w:val="single" w:color="auto" w:sz="4" w:space="0"/>
              <w:bottom w:val="single" w:color="auto" w:sz="4" w:space="0"/>
              <w:right w:val="single" w:color="auto" w:sz="4" w:space="0"/>
            </w:tcBorders>
            <w:vAlign w:val="center"/>
          </w:tcPr>
          <w:p w14:paraId="3A040223">
            <w:pPr>
              <w:jc w:val="center"/>
              <w:rPr>
                <w:rFonts w:ascii="宋体" w:hAnsi="Times New Roman" w:eastAsia="宋体" w:cs="Times New Roman"/>
                <w:b/>
                <w:szCs w:val="21"/>
              </w:rPr>
            </w:pPr>
            <w:r>
              <w:rPr>
                <w:rFonts w:hint="eastAsia" w:ascii="宋体" w:hAnsi="宋体" w:eastAsia="宋体" w:cs="Times New Roman"/>
                <w:b/>
                <w:szCs w:val="21"/>
              </w:rPr>
              <w:t>数量</w:t>
            </w:r>
          </w:p>
        </w:tc>
        <w:tc>
          <w:tcPr>
            <w:tcW w:w="1320" w:type="dxa"/>
            <w:tcBorders>
              <w:top w:val="single" w:color="auto" w:sz="4" w:space="0"/>
              <w:left w:val="single" w:color="auto" w:sz="4" w:space="0"/>
              <w:bottom w:val="single" w:color="auto" w:sz="4" w:space="0"/>
              <w:right w:val="single" w:color="auto" w:sz="4" w:space="0"/>
            </w:tcBorders>
            <w:vAlign w:val="center"/>
          </w:tcPr>
          <w:p w14:paraId="5FD83522">
            <w:pPr>
              <w:jc w:val="center"/>
              <w:rPr>
                <w:rFonts w:ascii="宋体" w:hAnsi="Times New Roman" w:eastAsia="宋体" w:cs="Times New Roman"/>
                <w:b/>
                <w:szCs w:val="21"/>
              </w:rPr>
            </w:pPr>
            <w:r>
              <w:rPr>
                <w:rFonts w:hint="eastAsia" w:ascii="宋体" w:hAnsi="宋体" w:eastAsia="宋体" w:cs="Times New Roman"/>
                <w:b/>
                <w:szCs w:val="21"/>
              </w:rPr>
              <w:t>合同金额</w:t>
            </w:r>
          </w:p>
        </w:tc>
        <w:tc>
          <w:tcPr>
            <w:tcW w:w="1023" w:type="dxa"/>
            <w:tcBorders>
              <w:top w:val="single" w:color="auto" w:sz="4" w:space="0"/>
              <w:left w:val="single" w:color="auto" w:sz="4" w:space="0"/>
              <w:bottom w:val="single" w:color="auto" w:sz="4" w:space="0"/>
              <w:right w:val="single" w:color="auto" w:sz="4" w:space="0"/>
            </w:tcBorders>
            <w:vAlign w:val="center"/>
          </w:tcPr>
          <w:p w14:paraId="157A49EF">
            <w:pPr>
              <w:jc w:val="center"/>
              <w:rPr>
                <w:rFonts w:ascii="宋体" w:hAnsi="Times New Roman" w:eastAsia="宋体" w:cs="Times New Roman"/>
                <w:b/>
                <w:szCs w:val="21"/>
              </w:rPr>
            </w:pPr>
            <w:r>
              <w:rPr>
                <w:rFonts w:hint="eastAsia" w:ascii="宋体" w:hAnsi="宋体" w:eastAsia="宋体" w:cs="Times New Roman"/>
                <w:b/>
                <w:szCs w:val="21"/>
              </w:rPr>
              <w:t>合同签订时间</w:t>
            </w:r>
          </w:p>
        </w:tc>
        <w:tc>
          <w:tcPr>
            <w:tcW w:w="1590" w:type="dxa"/>
            <w:tcBorders>
              <w:top w:val="single" w:color="auto" w:sz="4" w:space="0"/>
              <w:left w:val="single" w:color="auto" w:sz="4" w:space="0"/>
              <w:bottom w:val="single" w:color="auto" w:sz="4" w:space="0"/>
              <w:right w:val="single" w:color="auto" w:sz="4" w:space="0"/>
            </w:tcBorders>
            <w:vAlign w:val="center"/>
          </w:tcPr>
          <w:p w14:paraId="573944E4">
            <w:pPr>
              <w:ind w:left="420" w:hanging="420"/>
              <w:jc w:val="center"/>
              <w:rPr>
                <w:rFonts w:ascii="宋体" w:hAnsi="Times New Roman" w:eastAsia="宋体" w:cs="Times New Roman"/>
                <w:b/>
                <w:szCs w:val="21"/>
              </w:rPr>
            </w:pPr>
            <w:r>
              <w:rPr>
                <w:rFonts w:hint="eastAsia" w:ascii="宋体" w:hAnsi="宋体" w:eastAsia="宋体" w:cs="Times New Roman"/>
                <w:b/>
                <w:szCs w:val="21"/>
              </w:rPr>
              <w:t>联系人及</w:t>
            </w:r>
          </w:p>
          <w:p w14:paraId="6EF7A5CA">
            <w:pPr>
              <w:ind w:left="420" w:hanging="420"/>
              <w:jc w:val="center"/>
              <w:rPr>
                <w:rFonts w:ascii="宋体" w:hAnsi="Times New Roman" w:eastAsia="宋体" w:cs="Times New Roman"/>
                <w:b/>
                <w:szCs w:val="21"/>
              </w:rPr>
            </w:pPr>
            <w:r>
              <w:rPr>
                <w:rFonts w:hint="eastAsia" w:ascii="宋体" w:hAnsi="宋体" w:eastAsia="宋体" w:cs="Times New Roman"/>
                <w:b/>
                <w:szCs w:val="21"/>
              </w:rPr>
              <w:t>联系电话</w:t>
            </w:r>
          </w:p>
        </w:tc>
      </w:tr>
      <w:tr w14:paraId="05C30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48D669F0">
            <w:pPr>
              <w:ind w:left="420" w:hanging="420"/>
              <w:rPr>
                <w:rFonts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5CD24141">
            <w:pPr>
              <w:ind w:left="420" w:hanging="420"/>
              <w:rPr>
                <w:rFonts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4731391C">
            <w:pPr>
              <w:ind w:left="420" w:hanging="420"/>
              <w:rPr>
                <w:rFonts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05AC1C4B">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2F36612E">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59186E3A">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5A0EA327">
            <w:pPr>
              <w:ind w:left="420" w:hanging="420"/>
              <w:rPr>
                <w:rFonts w:ascii="宋体" w:hAnsi="Times New Roman" w:eastAsia="宋体" w:cs="Times New Roman"/>
                <w:b/>
                <w:szCs w:val="21"/>
              </w:rPr>
            </w:pPr>
          </w:p>
        </w:tc>
      </w:tr>
      <w:tr w14:paraId="19616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467C1555">
            <w:pPr>
              <w:ind w:left="420" w:hanging="420"/>
              <w:rPr>
                <w:rFonts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3A922518">
            <w:pPr>
              <w:ind w:left="420" w:hanging="420"/>
              <w:rPr>
                <w:rFonts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66ADD69D">
            <w:pPr>
              <w:ind w:left="420" w:hanging="420"/>
              <w:rPr>
                <w:rFonts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6ED4D059">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41BCBCF2">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466AE2B0">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39EBB109">
            <w:pPr>
              <w:ind w:left="420" w:hanging="420"/>
              <w:rPr>
                <w:rFonts w:ascii="宋体" w:hAnsi="Times New Roman" w:eastAsia="宋体" w:cs="Times New Roman"/>
                <w:b/>
                <w:szCs w:val="21"/>
              </w:rPr>
            </w:pPr>
          </w:p>
        </w:tc>
      </w:tr>
      <w:tr w14:paraId="5FF9A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2D9C1F4C">
            <w:pPr>
              <w:ind w:left="420" w:hanging="420"/>
              <w:rPr>
                <w:rFonts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2E63A98B">
            <w:pPr>
              <w:ind w:left="420" w:hanging="420"/>
              <w:rPr>
                <w:rFonts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70F7EDF4">
            <w:pPr>
              <w:ind w:left="420" w:hanging="420"/>
              <w:rPr>
                <w:rFonts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2F954591">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7DA104BC">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2CF7DFF5">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6EFF29C7">
            <w:pPr>
              <w:ind w:left="420" w:hanging="420"/>
              <w:rPr>
                <w:rFonts w:ascii="宋体" w:hAnsi="Times New Roman" w:eastAsia="宋体" w:cs="Times New Roman"/>
                <w:b/>
                <w:szCs w:val="21"/>
              </w:rPr>
            </w:pPr>
          </w:p>
        </w:tc>
      </w:tr>
      <w:tr w14:paraId="0B67E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6E54CDC7">
            <w:pPr>
              <w:ind w:left="420" w:hanging="420"/>
              <w:rPr>
                <w:rFonts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262442F6">
            <w:pPr>
              <w:ind w:left="420" w:hanging="420"/>
              <w:rPr>
                <w:rFonts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76E6CBDA">
            <w:pPr>
              <w:ind w:left="420" w:hanging="420"/>
              <w:rPr>
                <w:rFonts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11E783CE">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422C2B32">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2B9A5893">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73EB511D">
            <w:pPr>
              <w:ind w:left="420" w:hanging="420"/>
              <w:rPr>
                <w:rFonts w:ascii="宋体" w:hAnsi="Times New Roman" w:eastAsia="宋体" w:cs="Times New Roman"/>
                <w:b/>
                <w:szCs w:val="21"/>
              </w:rPr>
            </w:pPr>
          </w:p>
        </w:tc>
      </w:tr>
      <w:tr w14:paraId="3B075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60DB7116">
            <w:pPr>
              <w:ind w:left="420" w:hanging="420"/>
              <w:rPr>
                <w:rFonts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18B5BA11">
            <w:pPr>
              <w:ind w:left="420" w:hanging="420"/>
              <w:rPr>
                <w:rFonts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013E6D29">
            <w:pPr>
              <w:ind w:left="420" w:hanging="420"/>
              <w:rPr>
                <w:rFonts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57640599">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4976D01A">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2657FAA3">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6844CA39">
            <w:pPr>
              <w:ind w:left="420" w:hanging="420"/>
              <w:rPr>
                <w:rFonts w:ascii="宋体" w:hAnsi="Times New Roman" w:eastAsia="宋体" w:cs="Times New Roman"/>
                <w:b/>
                <w:szCs w:val="21"/>
              </w:rPr>
            </w:pPr>
          </w:p>
        </w:tc>
      </w:tr>
      <w:tr w14:paraId="7EB54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746C5874">
            <w:pPr>
              <w:ind w:left="420" w:hanging="420"/>
              <w:rPr>
                <w:rFonts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1BB6F8F6">
            <w:pPr>
              <w:ind w:left="420" w:hanging="420"/>
              <w:rPr>
                <w:rFonts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1ACBE342">
            <w:pPr>
              <w:ind w:left="420" w:hanging="420"/>
              <w:rPr>
                <w:rFonts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1C98142A">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04C935E3">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5BC5EEFF">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37770EFC">
            <w:pPr>
              <w:ind w:left="420" w:hanging="420"/>
              <w:rPr>
                <w:rFonts w:ascii="宋体" w:hAnsi="Times New Roman" w:eastAsia="宋体" w:cs="Times New Roman"/>
                <w:b/>
                <w:szCs w:val="21"/>
              </w:rPr>
            </w:pPr>
          </w:p>
        </w:tc>
      </w:tr>
      <w:tr w14:paraId="3D448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72661361">
            <w:pPr>
              <w:ind w:left="420" w:hanging="420"/>
              <w:rPr>
                <w:rFonts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2A8BE044">
            <w:pPr>
              <w:ind w:left="420" w:hanging="420"/>
              <w:rPr>
                <w:rFonts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050CE192">
            <w:pPr>
              <w:ind w:left="420" w:hanging="420"/>
              <w:rPr>
                <w:rFonts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67452805">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1A7638CD">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3CDC512E">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353A71CD">
            <w:pPr>
              <w:ind w:left="420" w:hanging="420"/>
              <w:rPr>
                <w:rFonts w:ascii="宋体" w:hAnsi="Times New Roman" w:eastAsia="宋体" w:cs="Times New Roman"/>
                <w:b/>
                <w:szCs w:val="21"/>
              </w:rPr>
            </w:pPr>
          </w:p>
        </w:tc>
      </w:tr>
      <w:tr w14:paraId="6BE00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13F45A95">
            <w:pPr>
              <w:ind w:left="420" w:hanging="420"/>
              <w:rPr>
                <w:rFonts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059998E6">
            <w:pPr>
              <w:ind w:left="420" w:hanging="420"/>
              <w:rPr>
                <w:rFonts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09CEC15E">
            <w:pPr>
              <w:ind w:left="420" w:hanging="420"/>
              <w:rPr>
                <w:rFonts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799BA9A9">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2BFD162F">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795BDB63">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43A361C5">
            <w:pPr>
              <w:ind w:left="420" w:hanging="420"/>
              <w:rPr>
                <w:rFonts w:ascii="宋体" w:hAnsi="Times New Roman" w:eastAsia="宋体" w:cs="Times New Roman"/>
                <w:b/>
                <w:szCs w:val="21"/>
              </w:rPr>
            </w:pPr>
          </w:p>
        </w:tc>
      </w:tr>
      <w:tr w14:paraId="28A9E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58D855AD">
            <w:pPr>
              <w:ind w:left="420" w:hanging="420"/>
              <w:rPr>
                <w:rFonts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5FB6697D">
            <w:pPr>
              <w:ind w:left="420" w:hanging="420"/>
              <w:rPr>
                <w:rFonts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295886C7">
            <w:pPr>
              <w:ind w:left="420" w:hanging="420"/>
              <w:rPr>
                <w:rFonts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2DED2625">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00516483">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58DA8678">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21637B7B">
            <w:pPr>
              <w:ind w:left="420" w:hanging="420"/>
              <w:rPr>
                <w:rFonts w:ascii="宋体" w:hAnsi="Times New Roman" w:eastAsia="宋体" w:cs="Times New Roman"/>
                <w:b/>
                <w:szCs w:val="21"/>
              </w:rPr>
            </w:pPr>
          </w:p>
        </w:tc>
      </w:tr>
      <w:tr w14:paraId="7CD6B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447D1397">
            <w:pPr>
              <w:ind w:left="420" w:hanging="420"/>
              <w:rPr>
                <w:rFonts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4FD7C6BA">
            <w:pPr>
              <w:ind w:left="420" w:hanging="420"/>
              <w:rPr>
                <w:rFonts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1EF6FFD6">
            <w:pPr>
              <w:ind w:left="420" w:hanging="420"/>
              <w:rPr>
                <w:rFonts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38C5246D">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6822309C">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273B5C13">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0A8339A8">
            <w:pPr>
              <w:ind w:left="420" w:hanging="420"/>
              <w:rPr>
                <w:rFonts w:ascii="宋体" w:hAnsi="Times New Roman" w:eastAsia="宋体" w:cs="Times New Roman"/>
                <w:b/>
                <w:szCs w:val="21"/>
              </w:rPr>
            </w:pPr>
          </w:p>
        </w:tc>
      </w:tr>
      <w:tr w14:paraId="636F7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075FD823">
            <w:pPr>
              <w:ind w:left="420" w:hanging="420"/>
              <w:rPr>
                <w:rFonts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6D3C4877">
            <w:pPr>
              <w:ind w:left="420" w:hanging="420"/>
              <w:rPr>
                <w:rFonts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12FADDC6">
            <w:pPr>
              <w:ind w:left="420" w:hanging="420"/>
              <w:rPr>
                <w:rFonts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1122A817">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65428B82">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2B657210">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54880154">
            <w:pPr>
              <w:ind w:left="420" w:hanging="420"/>
              <w:rPr>
                <w:rFonts w:ascii="宋体" w:hAnsi="Times New Roman" w:eastAsia="宋体" w:cs="Times New Roman"/>
                <w:b/>
                <w:szCs w:val="21"/>
              </w:rPr>
            </w:pPr>
          </w:p>
        </w:tc>
      </w:tr>
      <w:tr w14:paraId="5DA2D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66A8895C">
            <w:pPr>
              <w:ind w:left="420" w:hanging="420"/>
              <w:rPr>
                <w:rFonts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002AA804">
            <w:pPr>
              <w:ind w:left="420" w:hanging="420"/>
              <w:rPr>
                <w:rFonts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0F5C52D3">
            <w:pPr>
              <w:ind w:left="420" w:hanging="420"/>
              <w:rPr>
                <w:rFonts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1AF52FF1">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7D953713">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64133F61">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2428A041">
            <w:pPr>
              <w:ind w:left="420" w:hanging="420"/>
              <w:rPr>
                <w:rFonts w:ascii="宋体" w:hAnsi="Times New Roman" w:eastAsia="宋体" w:cs="Times New Roman"/>
                <w:b/>
                <w:szCs w:val="21"/>
              </w:rPr>
            </w:pPr>
          </w:p>
        </w:tc>
      </w:tr>
      <w:tr w14:paraId="26ACB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Borders>
              <w:top w:val="single" w:color="auto" w:sz="4" w:space="0"/>
              <w:left w:val="single" w:color="auto" w:sz="4" w:space="0"/>
              <w:bottom w:val="single" w:color="auto" w:sz="4" w:space="0"/>
              <w:right w:val="single" w:color="auto" w:sz="4" w:space="0"/>
            </w:tcBorders>
          </w:tcPr>
          <w:p w14:paraId="785706F2">
            <w:pPr>
              <w:ind w:left="420" w:hanging="420"/>
              <w:rPr>
                <w:rFonts w:ascii="宋体" w:hAnsi="Times New Roman" w:eastAsia="宋体" w:cs="Times New Roman"/>
                <w:b/>
                <w:szCs w:val="21"/>
              </w:rPr>
            </w:pPr>
            <w:r>
              <w:rPr>
                <w:rFonts w:hint="eastAsia" w:ascii="宋体" w:hAnsi="宋体" w:eastAsia="宋体" w:cs="Times New Roman"/>
                <w:sz w:val="24"/>
                <w:szCs w:val="24"/>
                <w:highlight w:val="red"/>
              </w:rPr>
              <w:t>2023年1月1日至今所有业绩合同总额汇总（必填）</w:t>
            </w:r>
          </w:p>
        </w:tc>
        <w:tc>
          <w:tcPr>
            <w:tcW w:w="826" w:type="dxa"/>
            <w:tcBorders>
              <w:top w:val="single" w:color="auto" w:sz="4" w:space="0"/>
              <w:left w:val="single" w:color="auto" w:sz="4" w:space="0"/>
              <w:bottom w:val="single" w:color="auto" w:sz="4" w:space="0"/>
              <w:right w:val="single" w:color="auto" w:sz="4" w:space="0"/>
            </w:tcBorders>
          </w:tcPr>
          <w:p w14:paraId="528DA6BC">
            <w:pPr>
              <w:ind w:left="420" w:hanging="420"/>
              <w:rPr>
                <w:rFonts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75BA7D88">
            <w:pPr>
              <w:ind w:left="420" w:hanging="420"/>
              <w:rPr>
                <w:rFonts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154938FD">
            <w:pPr>
              <w:ind w:left="420" w:hanging="420"/>
              <w:rPr>
                <w:rFonts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6487D60D">
            <w:pPr>
              <w:ind w:left="420" w:hanging="420"/>
              <w:rPr>
                <w:rFonts w:ascii="宋体" w:hAnsi="Times New Roman" w:eastAsia="宋体" w:cs="Times New Roman"/>
                <w:b/>
                <w:szCs w:val="21"/>
              </w:rPr>
            </w:pPr>
          </w:p>
        </w:tc>
      </w:tr>
    </w:tbl>
    <w:p w14:paraId="2AA2BE31">
      <w:pPr>
        <w:spacing w:line="240" w:lineRule="atLeast"/>
        <w:rPr>
          <w:rFonts w:ascii="宋体" w:hAnsi="Calibri" w:eastAsia="宋体" w:cs="Times New Roman"/>
          <w:sz w:val="24"/>
          <w:szCs w:val="24"/>
        </w:rPr>
      </w:pPr>
      <w:r>
        <w:rPr>
          <w:rFonts w:hint="eastAsia" w:ascii="宋体" w:hAnsi="宋体" w:eastAsia="宋体" w:cs="Times New Roman"/>
          <w:sz w:val="24"/>
          <w:szCs w:val="24"/>
        </w:rPr>
        <w:t>注：</w:t>
      </w:r>
      <w:r>
        <w:rPr>
          <w:rFonts w:hint="eastAsia" w:ascii="宋体" w:hAnsi="宋体" w:eastAsia="宋体" w:cs="Times New Roman"/>
          <w:kern w:val="0"/>
          <w:sz w:val="24"/>
          <w:szCs w:val="24"/>
        </w:rPr>
        <w:t>提供</w:t>
      </w:r>
      <w:r>
        <w:rPr>
          <w:rFonts w:hint="eastAsia" w:ascii="宋体" w:hAnsi="宋体" w:eastAsia="宋体" w:cs="Times New Roman"/>
          <w:kern w:val="0"/>
          <w:sz w:val="24"/>
          <w:szCs w:val="24"/>
          <w:lang w:val="en-US" w:eastAsia="zh-CN"/>
        </w:rPr>
        <w:t>2023</w:t>
      </w:r>
      <w:r>
        <w:rPr>
          <w:rFonts w:hint="eastAsia" w:ascii="宋体" w:hAnsi="宋体" w:eastAsia="宋体" w:cs="Times New Roman"/>
          <w:kern w:val="0"/>
          <w:sz w:val="24"/>
          <w:szCs w:val="24"/>
        </w:rPr>
        <w:t>年1月1日以来同类产品的制造销售业绩（用户名单、联系方式）</w:t>
      </w:r>
      <w:r>
        <w:rPr>
          <w:rFonts w:hint="eastAsia" w:ascii="宋体" w:hAnsi="宋体" w:eastAsia="宋体" w:cs="Times New Roman"/>
          <w:sz w:val="24"/>
          <w:szCs w:val="24"/>
        </w:rPr>
        <w:t>，并附合同复印件。</w:t>
      </w:r>
      <w:r>
        <w:rPr>
          <w:rFonts w:hint="eastAsia" w:ascii="宋体" w:hAnsi="宋体" w:eastAsia="宋体" w:cs="Times New Roman"/>
          <w:kern w:val="0"/>
          <w:sz w:val="24"/>
          <w:szCs w:val="24"/>
        </w:rPr>
        <w:t>该同类项目业绩一览表</w:t>
      </w:r>
      <w:r>
        <w:rPr>
          <w:rFonts w:hint="eastAsia" w:ascii="宋体" w:hAnsi="宋体" w:eastAsia="宋体" w:cs="Times New Roman"/>
          <w:b/>
          <w:bCs/>
          <w:kern w:val="0"/>
          <w:sz w:val="24"/>
          <w:szCs w:val="24"/>
        </w:rPr>
        <w:t>必须如实填写，应全尽全</w:t>
      </w:r>
      <w:r>
        <w:rPr>
          <w:rFonts w:hint="eastAsia" w:ascii="宋体" w:hAnsi="宋体" w:eastAsia="宋体" w:cs="Times New Roman"/>
          <w:kern w:val="0"/>
          <w:sz w:val="24"/>
          <w:szCs w:val="24"/>
        </w:rPr>
        <w:t>；一览表最终的所有业绩</w:t>
      </w:r>
      <w:r>
        <w:rPr>
          <w:rFonts w:hint="eastAsia" w:ascii="宋体" w:hAnsi="宋体" w:eastAsia="宋体" w:cs="Times New Roman"/>
          <w:b/>
          <w:bCs/>
          <w:kern w:val="0"/>
          <w:sz w:val="24"/>
          <w:szCs w:val="24"/>
        </w:rPr>
        <w:t>合同总额汇总必填</w:t>
      </w:r>
      <w:r>
        <w:rPr>
          <w:rFonts w:hint="eastAsia" w:ascii="宋体" w:hAnsi="宋体" w:eastAsia="宋体" w:cs="Times New Roman"/>
          <w:kern w:val="0"/>
          <w:sz w:val="24"/>
          <w:szCs w:val="24"/>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4"/>
        </w:rPr>
        <w:t>。</w:t>
      </w:r>
    </w:p>
    <w:p w14:paraId="25A88807">
      <w:pPr>
        <w:spacing w:line="660" w:lineRule="exact"/>
        <w:rPr>
          <w:rFonts w:ascii="宋体" w:hAnsi="Calibri" w:eastAsia="宋体" w:cs="Times New Roman"/>
          <w:sz w:val="24"/>
          <w:szCs w:val="24"/>
        </w:rPr>
      </w:pPr>
      <w:r>
        <w:rPr>
          <w:rFonts w:hint="eastAsia" w:ascii="宋体" w:hAnsi="宋体" w:eastAsia="宋体" w:cs="Times New Roman"/>
          <w:sz w:val="24"/>
          <w:szCs w:val="24"/>
        </w:rPr>
        <w:t>投标人：（盖章）</w:t>
      </w:r>
    </w:p>
    <w:p w14:paraId="13E69182">
      <w:pPr>
        <w:spacing w:line="660" w:lineRule="exact"/>
        <w:rPr>
          <w:rFonts w:ascii="宋体" w:hAnsi="Calibri" w:eastAsia="宋体" w:cs="Times New Roman"/>
          <w:sz w:val="24"/>
          <w:szCs w:val="24"/>
        </w:rPr>
      </w:pPr>
      <w:r>
        <w:rPr>
          <w:rFonts w:hint="eastAsia" w:ascii="宋体" w:hAnsi="宋体" w:eastAsia="宋体" w:cs="Times New Roman"/>
          <w:sz w:val="24"/>
          <w:szCs w:val="24"/>
        </w:rPr>
        <w:t>法定代表人（委托代理人）：（签字）</w:t>
      </w:r>
    </w:p>
    <w:p w14:paraId="5543E380">
      <w:pPr>
        <w:spacing w:line="660" w:lineRule="exact"/>
        <w:rPr>
          <w:rFonts w:ascii="宋体" w:hAnsi="Calibri" w:eastAsia="宋体" w:cs="Times New Roman"/>
          <w:sz w:val="24"/>
          <w:szCs w:val="24"/>
        </w:rPr>
      </w:pPr>
      <w:r>
        <w:rPr>
          <w:rFonts w:hint="eastAsia" w:ascii="宋体" w:hAnsi="宋体" w:eastAsia="宋体" w:cs="Times New Roman"/>
          <w:sz w:val="24"/>
          <w:szCs w:val="24"/>
        </w:rPr>
        <w:t>日  期：</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p w14:paraId="4BB97417">
      <w:pPr>
        <w:rPr>
          <w:rFonts w:ascii="宋体" w:hAnsi="Calibri" w:eastAsia="宋体" w:cs="Times New Roman"/>
          <w:b/>
          <w:bCs/>
          <w:color w:val="000000"/>
          <w:sz w:val="28"/>
          <w:szCs w:val="28"/>
        </w:rPr>
      </w:pPr>
      <w:r>
        <w:rPr>
          <w:rFonts w:hint="eastAsia" w:ascii="宋体" w:hAnsi="Calibri" w:eastAsia="宋体" w:cs="Times New Roman"/>
          <w:b/>
          <w:bCs/>
          <w:color w:val="000000"/>
          <w:sz w:val="28"/>
          <w:szCs w:val="28"/>
        </w:rPr>
        <w:t xml:space="preserve"> </w:t>
      </w:r>
    </w:p>
    <w:p w14:paraId="7CA08689">
      <w:pPr>
        <w:widowControl/>
        <w:jc w:val="left"/>
        <w:rPr>
          <w:rFonts w:ascii="宋体" w:hAnsi="Calibri" w:eastAsia="宋体" w:cs="宋体"/>
          <w:b/>
          <w:bCs/>
          <w:color w:val="000000"/>
          <w:sz w:val="28"/>
          <w:szCs w:val="28"/>
        </w:rPr>
        <w:sectPr>
          <w:pgSz w:w="11906" w:h="16838"/>
          <w:pgMar w:top="1588" w:right="1418" w:bottom="1134" w:left="1418" w:header="851" w:footer="992" w:gutter="0"/>
          <w:pgNumType w:fmt="decimal"/>
          <w:cols w:space="720" w:num="1"/>
          <w:titlePg/>
          <w:docGrid w:type="lines" w:linePitch="312" w:charSpace="0"/>
        </w:sectPr>
      </w:pPr>
    </w:p>
    <w:p w14:paraId="0593FFD0">
      <w:pPr>
        <w:keepNext/>
        <w:keepLines/>
        <w:outlineLvl w:val="2"/>
        <w:rPr>
          <w:rFonts w:ascii="Times New Roman" w:hAnsi="Times New Roman" w:eastAsia="宋体" w:cs="Times New Roman"/>
          <w:b/>
          <w:bCs/>
          <w:color w:val="000000"/>
          <w:sz w:val="24"/>
          <w:szCs w:val="24"/>
        </w:rPr>
      </w:pPr>
      <w:r>
        <w:rPr>
          <w:rFonts w:hint="eastAsia" w:ascii="宋体" w:hAnsi="宋体" w:eastAsia="宋体" w:cs="Times New Roman"/>
          <w:b/>
          <w:bCs/>
          <w:color w:val="000000"/>
          <w:sz w:val="24"/>
          <w:szCs w:val="24"/>
        </w:rPr>
        <w:t>附件</w:t>
      </w:r>
      <w:r>
        <w:rPr>
          <w:rFonts w:hint="eastAsia" w:ascii="Times New Roman" w:hAnsi="Times New Roman" w:eastAsia="宋体" w:cs="Times New Roman"/>
          <w:b/>
          <w:bCs/>
          <w:color w:val="000000"/>
          <w:sz w:val="24"/>
          <w:szCs w:val="24"/>
        </w:rPr>
        <w:t>7</w:t>
      </w:r>
      <w:r>
        <w:rPr>
          <w:rFonts w:ascii="Times New Roman" w:hAnsi="Times New Roman" w:eastAsia="宋体" w:cs="Times New Roman"/>
          <w:b/>
          <w:bCs/>
          <w:color w:val="000000"/>
          <w:sz w:val="24"/>
          <w:szCs w:val="24"/>
        </w:rPr>
        <w:t xml:space="preserve"> </w:t>
      </w:r>
      <w:r>
        <w:rPr>
          <w:rFonts w:hint="eastAsia" w:ascii="宋体" w:hAnsi="宋体" w:eastAsia="宋体" w:cs="Times New Roman"/>
          <w:b/>
          <w:bCs/>
          <w:color w:val="000000"/>
          <w:sz w:val="24"/>
          <w:szCs w:val="24"/>
        </w:rPr>
        <w:t>设备质量承诺函</w:t>
      </w:r>
    </w:p>
    <w:p w14:paraId="654F4A5E">
      <w:pPr>
        <w:spacing w:line="240" w:lineRule="exact"/>
        <w:rPr>
          <w:rFonts w:hint="eastAsia" w:ascii="宋体" w:hAnsi="宋体" w:eastAsia="宋体" w:cs="Times New Roman"/>
          <w:szCs w:val="21"/>
        </w:rPr>
      </w:pPr>
      <w:r>
        <w:rPr>
          <w:rFonts w:hint="eastAsia" w:ascii="宋体" w:hAnsi="宋体" w:eastAsia="宋体" w:cs="Times New Roman"/>
          <w:szCs w:val="21"/>
        </w:rPr>
        <w:t xml:space="preserve">                                               </w:t>
      </w:r>
    </w:p>
    <w:p w14:paraId="574317B6">
      <w:pPr>
        <w:spacing w:line="360" w:lineRule="auto"/>
        <w:rPr>
          <w:rFonts w:hint="eastAsia" w:ascii="宋体" w:hAnsi="宋体" w:eastAsia="宋体" w:cs="Times New Roman"/>
          <w:sz w:val="24"/>
          <w:szCs w:val="24"/>
          <w:u w:val="single"/>
        </w:rPr>
      </w:pPr>
      <w:r>
        <w:rPr>
          <w:rFonts w:hint="eastAsia" w:ascii="宋体" w:hAnsi="宋体" w:eastAsia="宋体" w:cs="Times New Roman"/>
          <w:sz w:val="24"/>
          <w:szCs w:val="24"/>
        </w:rPr>
        <w:t xml:space="preserve">项目名称: </w:t>
      </w:r>
      <w:r>
        <w:rPr>
          <w:rFonts w:hint="eastAsia" w:ascii="宋体" w:hAnsi="宋体" w:eastAsia="宋体" w:cs="Times New Roman"/>
          <w:color w:val="000000"/>
          <w:sz w:val="24"/>
          <w:szCs w:val="24"/>
          <w:u w:val="single"/>
        </w:rPr>
        <w:t xml:space="preserve">                                                    </w:t>
      </w:r>
    </w:p>
    <w:p w14:paraId="49CC6449">
      <w:pPr>
        <w:spacing w:line="360" w:lineRule="auto"/>
        <w:rPr>
          <w:rFonts w:ascii="宋体" w:hAnsi="Calibri" w:eastAsia="宋体" w:cs="Times New Roman"/>
          <w:b/>
          <w:bCs/>
          <w:sz w:val="24"/>
          <w:szCs w:val="24"/>
        </w:rPr>
      </w:pPr>
      <w:r>
        <w:rPr>
          <w:rFonts w:hint="eastAsia" w:ascii="宋体" w:hAnsi="宋体" w:eastAsia="宋体" w:cs="Times New Roman"/>
          <w:b/>
          <w:bCs/>
          <w:sz w:val="24"/>
          <w:szCs w:val="24"/>
        </w:rPr>
        <w:t>中国重汽集团济南商用车有限公司：</w:t>
      </w:r>
    </w:p>
    <w:p w14:paraId="005FCECF">
      <w:pPr>
        <w:spacing w:line="360" w:lineRule="auto"/>
        <w:ind w:firstLine="480" w:firstLineChars="200"/>
        <w:rPr>
          <w:rFonts w:ascii="宋体" w:hAnsi="Calibri" w:eastAsia="宋体" w:cs="Times New Roman"/>
          <w:sz w:val="24"/>
          <w:szCs w:val="24"/>
        </w:rPr>
      </w:pPr>
      <w:r>
        <w:rPr>
          <w:rFonts w:hint="eastAsia" w:ascii="宋体" w:hAnsi="宋体" w:eastAsia="宋体" w:cs="Times New Roman"/>
          <w:sz w:val="24"/>
          <w:szCs w:val="24"/>
        </w:rPr>
        <w:t>我代表(投标人名称)为保证中标产品的质量特作如下承诺：</w:t>
      </w:r>
    </w:p>
    <w:p w14:paraId="554C94F6">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4B49D07C">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65CD2805">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6CF793B9">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4B537880">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65FEE7FF">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1A99C0EF">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3DE979E4">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16453AAD">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66A02886">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2B629218">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3AE37AC4">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4F387345">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507865EA">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64096699">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61E5291F">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64143512">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57AD99A1">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37FD6F78">
      <w:pPr>
        <w:spacing w:line="360" w:lineRule="auto"/>
        <w:ind w:left="480"/>
        <w:rPr>
          <w:rFonts w:hint="eastAsia" w:ascii="宋体" w:hAnsi="宋体" w:eastAsia="宋体" w:cs="Times New Roman"/>
          <w:sz w:val="24"/>
          <w:szCs w:val="24"/>
        </w:rPr>
      </w:pPr>
      <w:r>
        <w:rPr>
          <w:rFonts w:hint="eastAsia" w:ascii="宋体" w:hAnsi="宋体" w:eastAsia="宋体" w:cs="Times New Roman"/>
          <w:sz w:val="24"/>
          <w:szCs w:val="24"/>
        </w:rPr>
        <w:t xml:space="preserve">                           </w:t>
      </w:r>
    </w:p>
    <w:p w14:paraId="321471AF">
      <w:pPr>
        <w:spacing w:line="660" w:lineRule="exact"/>
        <w:rPr>
          <w:rFonts w:ascii="宋体" w:hAnsi="Calibri" w:eastAsia="宋体" w:cs="Times New Roman"/>
          <w:sz w:val="24"/>
          <w:szCs w:val="24"/>
        </w:rPr>
      </w:pPr>
      <w:r>
        <w:rPr>
          <w:rFonts w:hint="eastAsia" w:ascii="宋体" w:hAnsi="宋体" w:eastAsia="宋体" w:cs="Times New Roman"/>
          <w:sz w:val="24"/>
          <w:szCs w:val="24"/>
        </w:rPr>
        <w:t>投标人：（盖章）</w:t>
      </w:r>
    </w:p>
    <w:p w14:paraId="003DC332">
      <w:pPr>
        <w:spacing w:line="660" w:lineRule="exact"/>
        <w:rPr>
          <w:rFonts w:ascii="宋体" w:hAnsi="Calibri" w:eastAsia="宋体" w:cs="Times New Roman"/>
          <w:sz w:val="24"/>
          <w:szCs w:val="24"/>
        </w:rPr>
      </w:pPr>
      <w:r>
        <w:rPr>
          <w:rFonts w:hint="eastAsia" w:ascii="宋体" w:hAnsi="宋体" w:eastAsia="宋体" w:cs="Times New Roman"/>
          <w:sz w:val="24"/>
          <w:szCs w:val="24"/>
        </w:rPr>
        <w:t>法定代表人（委托代理人）：（签字）</w:t>
      </w:r>
    </w:p>
    <w:p w14:paraId="6FC2F48F">
      <w:pPr>
        <w:spacing w:line="660" w:lineRule="exact"/>
        <w:rPr>
          <w:rFonts w:ascii="宋体" w:hAnsi="Calibri" w:eastAsia="宋体" w:cs="Times New Roman"/>
          <w:sz w:val="24"/>
          <w:szCs w:val="24"/>
        </w:rPr>
      </w:pPr>
      <w:r>
        <w:rPr>
          <w:rFonts w:hint="eastAsia" w:ascii="宋体" w:hAnsi="宋体" w:eastAsia="宋体" w:cs="Times New Roman"/>
          <w:sz w:val="24"/>
          <w:szCs w:val="24"/>
        </w:rPr>
        <w:t>日  期：</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p w14:paraId="0BA34057">
      <w:pPr>
        <w:widowControl/>
        <w:jc w:val="left"/>
        <w:rPr>
          <w:rFonts w:ascii="宋体" w:hAnsi="Calibri" w:eastAsia="宋体" w:cs="宋体"/>
          <w:b/>
          <w:bCs/>
          <w:color w:val="000000"/>
          <w:sz w:val="28"/>
          <w:szCs w:val="28"/>
        </w:rPr>
        <w:sectPr>
          <w:pgSz w:w="11906" w:h="16838"/>
          <w:pgMar w:top="1588" w:right="1418" w:bottom="1134" w:left="1418" w:header="851" w:footer="992" w:gutter="0"/>
          <w:pgNumType w:fmt="decimal"/>
          <w:cols w:space="720" w:num="1"/>
          <w:titlePg/>
          <w:docGrid w:type="lines" w:linePitch="312" w:charSpace="0"/>
        </w:sectPr>
      </w:pPr>
    </w:p>
    <w:p w14:paraId="77EACF95">
      <w:pPr>
        <w:keepNext/>
        <w:keepLines/>
        <w:outlineLvl w:val="2"/>
        <w:rPr>
          <w:rFonts w:ascii="Times New Roman" w:hAnsi="Times New Roman" w:eastAsia="宋体" w:cs="Times New Roman"/>
          <w:b/>
          <w:bCs/>
          <w:color w:val="000000"/>
          <w:sz w:val="24"/>
          <w:szCs w:val="24"/>
        </w:rPr>
      </w:pPr>
      <w:r>
        <w:rPr>
          <w:rFonts w:hint="eastAsia" w:ascii="宋体" w:hAnsi="宋体" w:eastAsia="宋体" w:cs="Times New Roman"/>
          <w:b/>
          <w:bCs/>
          <w:color w:val="000000"/>
          <w:sz w:val="24"/>
          <w:szCs w:val="24"/>
        </w:rPr>
        <w:t>附件</w:t>
      </w:r>
      <w:r>
        <w:rPr>
          <w:rFonts w:hint="eastAsia" w:ascii="Times New Roman" w:hAnsi="Times New Roman" w:eastAsia="宋体" w:cs="Times New Roman"/>
          <w:b/>
          <w:bCs/>
          <w:color w:val="000000"/>
          <w:sz w:val="24"/>
          <w:szCs w:val="24"/>
        </w:rPr>
        <w:t>8</w:t>
      </w:r>
      <w:r>
        <w:rPr>
          <w:rFonts w:ascii="Times New Roman" w:hAnsi="Times New Roman" w:eastAsia="宋体" w:cs="Times New Roman"/>
          <w:b/>
          <w:bCs/>
          <w:color w:val="000000"/>
          <w:sz w:val="24"/>
          <w:szCs w:val="24"/>
        </w:rPr>
        <w:t xml:space="preserve"> </w:t>
      </w:r>
      <w:r>
        <w:rPr>
          <w:rFonts w:hint="eastAsia" w:ascii="宋体" w:hAnsi="宋体" w:eastAsia="宋体" w:cs="Times New Roman"/>
          <w:b/>
          <w:bCs/>
          <w:color w:val="000000"/>
          <w:sz w:val="24"/>
          <w:szCs w:val="24"/>
        </w:rPr>
        <w:t>开标一览表</w:t>
      </w:r>
    </w:p>
    <w:p w14:paraId="6EC444FD">
      <w:pPr>
        <w:spacing w:line="360" w:lineRule="auto"/>
        <w:ind w:firstLine="482" w:firstLineChars="200"/>
        <w:rPr>
          <w:rFonts w:hint="eastAsia" w:ascii="宋体" w:hAnsi="宋体" w:eastAsia="宋体" w:cs="Times New Roman"/>
          <w:b/>
          <w:color w:val="000000"/>
          <w:sz w:val="24"/>
          <w:szCs w:val="24"/>
        </w:rPr>
      </w:pPr>
      <w:r>
        <w:rPr>
          <w:rFonts w:hint="eastAsia" w:ascii="宋体" w:hAnsi="宋体" w:eastAsia="宋体" w:cs="Times New Roman"/>
          <w:b/>
          <w:color w:val="000000"/>
          <w:sz w:val="24"/>
          <w:szCs w:val="24"/>
        </w:rPr>
        <w:t>《开标一览表》单独封存，以备唱标使用</w:t>
      </w:r>
    </w:p>
    <w:p w14:paraId="5433838F">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 xml:space="preserve">                                                        </w:t>
      </w:r>
    </w:p>
    <w:tbl>
      <w:tblPr>
        <w:tblStyle w:val="37"/>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2AC69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tcBorders>
              <w:top w:val="single" w:color="auto" w:sz="4" w:space="0"/>
              <w:left w:val="single" w:color="auto" w:sz="4" w:space="0"/>
              <w:bottom w:val="single" w:color="auto" w:sz="4" w:space="0"/>
              <w:right w:val="single" w:color="auto" w:sz="4" w:space="0"/>
            </w:tcBorders>
            <w:vAlign w:val="center"/>
          </w:tcPr>
          <w:p w14:paraId="41B7C747">
            <w:pPr>
              <w:jc w:val="center"/>
              <w:rPr>
                <w:rFonts w:ascii="Times New Roman" w:hAnsi="Times New Roman" w:eastAsia="宋体" w:cs="Times New Roman"/>
                <w:b/>
                <w:szCs w:val="21"/>
              </w:rPr>
            </w:pPr>
            <w:r>
              <w:rPr>
                <w:rFonts w:hint="eastAsia" w:ascii="宋体" w:hAnsi="宋体" w:eastAsia="宋体" w:cs="Times New Roman"/>
                <w:b/>
                <w:szCs w:val="21"/>
              </w:rPr>
              <w:t>序号</w:t>
            </w:r>
          </w:p>
        </w:tc>
        <w:tc>
          <w:tcPr>
            <w:tcW w:w="1518" w:type="dxa"/>
            <w:tcBorders>
              <w:top w:val="single" w:color="auto" w:sz="4" w:space="0"/>
              <w:left w:val="single" w:color="auto" w:sz="4" w:space="0"/>
              <w:bottom w:val="single" w:color="auto" w:sz="4" w:space="0"/>
              <w:right w:val="single" w:color="auto" w:sz="4" w:space="0"/>
            </w:tcBorders>
            <w:vAlign w:val="center"/>
          </w:tcPr>
          <w:p w14:paraId="1E197077">
            <w:pPr>
              <w:jc w:val="center"/>
              <w:rPr>
                <w:rFonts w:ascii="Times New Roman" w:hAnsi="Times New Roman" w:eastAsia="宋体" w:cs="Times New Roman"/>
                <w:b/>
                <w:szCs w:val="21"/>
              </w:rPr>
            </w:pPr>
            <w:r>
              <w:rPr>
                <w:rFonts w:hint="eastAsia" w:ascii="宋体" w:hAnsi="宋体" w:eastAsia="宋体" w:cs="Times New Roman"/>
                <w:b/>
                <w:szCs w:val="21"/>
              </w:rPr>
              <w:t>货物名称</w:t>
            </w:r>
          </w:p>
        </w:tc>
        <w:tc>
          <w:tcPr>
            <w:tcW w:w="848" w:type="dxa"/>
            <w:tcBorders>
              <w:top w:val="single" w:color="auto" w:sz="4" w:space="0"/>
              <w:left w:val="single" w:color="auto" w:sz="4" w:space="0"/>
              <w:bottom w:val="single" w:color="auto" w:sz="4" w:space="0"/>
              <w:right w:val="single" w:color="auto" w:sz="4" w:space="0"/>
            </w:tcBorders>
            <w:vAlign w:val="center"/>
          </w:tcPr>
          <w:p w14:paraId="55092915">
            <w:pPr>
              <w:jc w:val="center"/>
              <w:rPr>
                <w:rFonts w:ascii="Times New Roman" w:hAnsi="Times New Roman" w:eastAsia="宋体" w:cs="Times New Roman"/>
                <w:b/>
                <w:szCs w:val="21"/>
              </w:rPr>
            </w:pPr>
            <w:r>
              <w:rPr>
                <w:rFonts w:hint="eastAsia" w:ascii="宋体" w:hAnsi="宋体" w:eastAsia="宋体" w:cs="Times New Roman"/>
                <w:b/>
                <w:szCs w:val="21"/>
              </w:rPr>
              <w:t>数量</w:t>
            </w:r>
          </w:p>
        </w:tc>
        <w:tc>
          <w:tcPr>
            <w:tcW w:w="2270" w:type="dxa"/>
            <w:tcBorders>
              <w:top w:val="single" w:color="auto" w:sz="4" w:space="0"/>
              <w:left w:val="single" w:color="auto" w:sz="4" w:space="0"/>
              <w:bottom w:val="single" w:color="auto" w:sz="4" w:space="0"/>
              <w:right w:val="single" w:color="auto" w:sz="4" w:space="0"/>
            </w:tcBorders>
            <w:vAlign w:val="center"/>
          </w:tcPr>
          <w:p w14:paraId="6909F566">
            <w:pPr>
              <w:jc w:val="center"/>
              <w:rPr>
                <w:rFonts w:ascii="Times New Roman" w:hAnsi="Times New Roman" w:eastAsia="宋体" w:cs="Times New Roman"/>
                <w:b/>
                <w:szCs w:val="21"/>
              </w:rPr>
            </w:pPr>
            <w:r>
              <w:rPr>
                <w:rFonts w:hint="eastAsia" w:ascii="宋体" w:hAnsi="宋体" w:eastAsia="宋体" w:cs="Times New Roman"/>
                <w:b/>
                <w:szCs w:val="21"/>
              </w:rPr>
              <w:t>投标总价</w:t>
            </w:r>
            <w:r>
              <w:rPr>
                <w:rFonts w:hint="eastAsia" w:ascii="等线" w:hAnsi="等线" w:eastAsia="等线" w:cs="Times New Roman"/>
                <w:b/>
                <w:szCs w:val="21"/>
              </w:rPr>
              <w:t>（元）</w:t>
            </w:r>
          </w:p>
        </w:tc>
        <w:tc>
          <w:tcPr>
            <w:tcW w:w="1100" w:type="dxa"/>
            <w:tcBorders>
              <w:top w:val="single" w:color="auto" w:sz="4" w:space="0"/>
              <w:left w:val="single" w:color="auto" w:sz="4" w:space="0"/>
              <w:bottom w:val="single" w:color="auto" w:sz="4" w:space="0"/>
              <w:right w:val="single" w:color="auto" w:sz="4" w:space="0"/>
            </w:tcBorders>
            <w:vAlign w:val="center"/>
          </w:tcPr>
          <w:p w14:paraId="6D299145">
            <w:pPr>
              <w:jc w:val="center"/>
              <w:rPr>
                <w:rFonts w:ascii="Times New Roman" w:hAnsi="Times New Roman" w:eastAsia="宋体" w:cs="Times New Roman"/>
                <w:b/>
                <w:szCs w:val="21"/>
              </w:rPr>
            </w:pPr>
            <w:r>
              <w:rPr>
                <w:rFonts w:hint="eastAsia" w:ascii="宋体" w:hAnsi="宋体" w:eastAsia="宋体" w:cs="Times New Roman"/>
                <w:b/>
                <w:szCs w:val="21"/>
              </w:rPr>
              <w:t>质保期</w:t>
            </w:r>
          </w:p>
        </w:tc>
        <w:tc>
          <w:tcPr>
            <w:tcW w:w="1243" w:type="dxa"/>
            <w:tcBorders>
              <w:top w:val="single" w:color="auto" w:sz="4" w:space="0"/>
              <w:left w:val="single" w:color="auto" w:sz="4" w:space="0"/>
              <w:bottom w:val="single" w:color="auto" w:sz="4" w:space="0"/>
              <w:right w:val="single" w:color="auto" w:sz="4" w:space="0"/>
            </w:tcBorders>
            <w:vAlign w:val="center"/>
          </w:tcPr>
          <w:p w14:paraId="1446E249">
            <w:pPr>
              <w:jc w:val="center"/>
              <w:rPr>
                <w:rFonts w:ascii="Times New Roman" w:hAnsi="Times New Roman" w:eastAsia="宋体" w:cs="Times New Roman"/>
                <w:b/>
                <w:szCs w:val="21"/>
              </w:rPr>
            </w:pPr>
            <w:r>
              <w:rPr>
                <w:rFonts w:hint="eastAsia" w:ascii="宋体" w:hAnsi="宋体" w:eastAsia="宋体" w:cs="Times New Roman"/>
                <w:b/>
                <w:szCs w:val="21"/>
              </w:rPr>
              <w:t>交货及安装</w:t>
            </w:r>
          </w:p>
          <w:p w14:paraId="3C19E02F">
            <w:pPr>
              <w:jc w:val="center"/>
              <w:rPr>
                <w:rFonts w:ascii="Times New Roman" w:hAnsi="Times New Roman" w:eastAsia="宋体" w:cs="Times New Roman"/>
                <w:b/>
                <w:szCs w:val="21"/>
              </w:rPr>
            </w:pPr>
            <w:r>
              <w:rPr>
                <w:rFonts w:hint="eastAsia" w:ascii="宋体" w:hAnsi="宋体" w:eastAsia="宋体" w:cs="Times New Roman"/>
                <w:b/>
                <w:szCs w:val="21"/>
              </w:rPr>
              <w:t>时间</w:t>
            </w:r>
          </w:p>
        </w:tc>
        <w:tc>
          <w:tcPr>
            <w:tcW w:w="705" w:type="dxa"/>
            <w:tcBorders>
              <w:top w:val="single" w:color="auto" w:sz="4" w:space="0"/>
              <w:left w:val="single" w:color="auto" w:sz="4" w:space="0"/>
              <w:bottom w:val="single" w:color="auto" w:sz="4" w:space="0"/>
              <w:right w:val="single" w:color="auto" w:sz="4" w:space="0"/>
            </w:tcBorders>
            <w:vAlign w:val="center"/>
          </w:tcPr>
          <w:p w14:paraId="32078E59">
            <w:pPr>
              <w:jc w:val="center"/>
              <w:rPr>
                <w:rFonts w:ascii="Times New Roman" w:hAnsi="Times New Roman" w:eastAsia="宋体" w:cs="Times New Roman"/>
                <w:b/>
                <w:szCs w:val="21"/>
              </w:rPr>
            </w:pPr>
            <w:r>
              <w:rPr>
                <w:rFonts w:hint="eastAsia" w:ascii="等线" w:hAnsi="等线" w:eastAsia="等线" w:cs="Times New Roman"/>
                <w:b/>
                <w:szCs w:val="21"/>
              </w:rPr>
              <w:t>付款方式及比例如何响应</w:t>
            </w:r>
          </w:p>
        </w:tc>
        <w:tc>
          <w:tcPr>
            <w:tcW w:w="699" w:type="dxa"/>
            <w:tcBorders>
              <w:top w:val="single" w:color="auto" w:sz="4" w:space="0"/>
              <w:left w:val="single" w:color="auto" w:sz="4" w:space="0"/>
              <w:bottom w:val="single" w:color="auto" w:sz="4" w:space="0"/>
              <w:right w:val="single" w:color="auto" w:sz="4" w:space="0"/>
            </w:tcBorders>
            <w:vAlign w:val="center"/>
          </w:tcPr>
          <w:p w14:paraId="28AAA177">
            <w:pPr>
              <w:jc w:val="center"/>
              <w:rPr>
                <w:rFonts w:hint="eastAsia" w:ascii="等线" w:hAnsi="等线" w:eastAsia="等线" w:cs="Times New Roman"/>
                <w:b/>
                <w:szCs w:val="21"/>
              </w:rPr>
            </w:pPr>
            <w:r>
              <w:rPr>
                <w:rFonts w:hint="eastAsia" w:ascii="等线" w:hAnsi="等线" w:eastAsia="等线" w:cs="Times New Roman"/>
                <w:b/>
                <w:szCs w:val="21"/>
              </w:rPr>
              <w:t>付款方式及比例是否偏离</w:t>
            </w:r>
          </w:p>
        </w:tc>
      </w:tr>
      <w:tr w14:paraId="7AD75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4" w:hRule="atLeast"/>
          <w:jc w:val="center"/>
        </w:trPr>
        <w:tc>
          <w:tcPr>
            <w:tcW w:w="677" w:type="dxa"/>
            <w:tcBorders>
              <w:top w:val="single" w:color="auto" w:sz="4" w:space="0"/>
              <w:left w:val="single" w:color="auto" w:sz="4" w:space="0"/>
              <w:bottom w:val="single" w:color="auto" w:sz="4" w:space="0"/>
              <w:right w:val="single" w:color="auto" w:sz="4" w:space="0"/>
            </w:tcBorders>
            <w:vAlign w:val="center"/>
          </w:tcPr>
          <w:p w14:paraId="025CD2D4">
            <w:pPr>
              <w:jc w:val="center"/>
              <w:rPr>
                <w:rFonts w:ascii="Times New Roman" w:hAnsi="Times New Roman" w:eastAsia="宋体" w:cs="Times New Roman"/>
                <w:b/>
                <w:szCs w:val="21"/>
              </w:rPr>
            </w:pPr>
            <w:r>
              <w:rPr>
                <w:rFonts w:ascii="Times New Roman" w:hAnsi="Times New Roman" w:eastAsia="宋体" w:cs="Times New Roman"/>
                <w:b/>
                <w:szCs w:val="21"/>
              </w:rPr>
              <w:t>1</w:t>
            </w:r>
          </w:p>
        </w:tc>
        <w:tc>
          <w:tcPr>
            <w:tcW w:w="1518" w:type="dxa"/>
            <w:tcBorders>
              <w:top w:val="single" w:color="auto" w:sz="4" w:space="0"/>
              <w:left w:val="single" w:color="auto" w:sz="4" w:space="0"/>
              <w:bottom w:val="single" w:color="auto" w:sz="4" w:space="0"/>
              <w:right w:val="single" w:color="auto" w:sz="4" w:space="0"/>
            </w:tcBorders>
            <w:vAlign w:val="center"/>
          </w:tcPr>
          <w:p w14:paraId="477ED4EA">
            <w:pPr>
              <w:jc w:val="center"/>
              <w:rPr>
                <w:rFonts w:ascii="Times New Roman" w:hAnsi="Times New Roman" w:eastAsia="宋体" w:cs="Times New Roman"/>
                <w:b/>
                <w:szCs w:val="21"/>
              </w:rPr>
            </w:pPr>
          </w:p>
        </w:tc>
        <w:tc>
          <w:tcPr>
            <w:tcW w:w="848" w:type="dxa"/>
            <w:tcBorders>
              <w:top w:val="single" w:color="auto" w:sz="4" w:space="0"/>
              <w:left w:val="single" w:color="auto" w:sz="4" w:space="0"/>
              <w:bottom w:val="single" w:color="auto" w:sz="4" w:space="0"/>
              <w:right w:val="single" w:color="auto" w:sz="4" w:space="0"/>
            </w:tcBorders>
            <w:vAlign w:val="center"/>
          </w:tcPr>
          <w:p w14:paraId="29F91B66">
            <w:pPr>
              <w:jc w:val="center"/>
              <w:rPr>
                <w:rFonts w:ascii="Times New Roman" w:hAnsi="Times New Roman" w:eastAsia="宋体" w:cs="Times New Roman"/>
                <w:b/>
                <w:szCs w:val="21"/>
              </w:rPr>
            </w:pPr>
          </w:p>
        </w:tc>
        <w:tc>
          <w:tcPr>
            <w:tcW w:w="2270" w:type="dxa"/>
            <w:tcBorders>
              <w:top w:val="single" w:color="auto" w:sz="4" w:space="0"/>
              <w:left w:val="single" w:color="auto" w:sz="4" w:space="0"/>
              <w:bottom w:val="single" w:color="auto" w:sz="4" w:space="0"/>
              <w:right w:val="single" w:color="auto" w:sz="4" w:space="0"/>
            </w:tcBorders>
            <w:vAlign w:val="center"/>
          </w:tcPr>
          <w:p w14:paraId="3612DAA6">
            <w:pPr>
              <w:jc w:val="left"/>
              <w:rPr>
                <w:rFonts w:hint="eastAsia" w:ascii="等线" w:hAnsi="等线" w:eastAsia="等线" w:cs="Times New Roman"/>
                <w:b/>
                <w:szCs w:val="21"/>
              </w:rPr>
            </w:pPr>
            <w:r>
              <w:rPr>
                <w:rFonts w:hint="eastAsia" w:ascii="等线" w:hAnsi="等线" w:eastAsia="等线" w:cs="Times New Roman"/>
                <w:b/>
                <w:szCs w:val="21"/>
              </w:rPr>
              <w:t>不含税价：</w:t>
            </w:r>
          </w:p>
          <w:p w14:paraId="7865EB47">
            <w:pPr>
              <w:jc w:val="left"/>
              <w:rPr>
                <w:rFonts w:hint="eastAsia" w:ascii="等线" w:hAnsi="等线" w:eastAsia="等线" w:cs="Times New Roman"/>
                <w:b/>
                <w:szCs w:val="21"/>
              </w:rPr>
            </w:pPr>
            <w:r>
              <w:rPr>
                <w:rFonts w:hint="eastAsia" w:ascii="等线" w:hAnsi="等线" w:eastAsia="等线" w:cs="Times New Roman"/>
                <w:b/>
                <w:szCs w:val="21"/>
              </w:rPr>
              <w:t>含税价格：</w:t>
            </w:r>
          </w:p>
          <w:p w14:paraId="1A4AC563">
            <w:pPr>
              <w:jc w:val="left"/>
              <w:rPr>
                <w:rFonts w:ascii="Times New Roman" w:hAnsi="Times New Roman" w:eastAsia="宋体" w:cs="Times New Roman"/>
                <w:b/>
                <w:szCs w:val="21"/>
              </w:rPr>
            </w:pPr>
            <w:r>
              <w:rPr>
                <w:rFonts w:hint="eastAsia" w:ascii="等线" w:hAnsi="等线" w:eastAsia="等线" w:cs="Times New Roman"/>
                <w:b/>
                <w:szCs w:val="21"/>
              </w:rPr>
              <w:t>税率：</w:t>
            </w:r>
          </w:p>
        </w:tc>
        <w:tc>
          <w:tcPr>
            <w:tcW w:w="1100" w:type="dxa"/>
            <w:tcBorders>
              <w:top w:val="single" w:color="auto" w:sz="4" w:space="0"/>
              <w:left w:val="single" w:color="auto" w:sz="4" w:space="0"/>
              <w:bottom w:val="single" w:color="auto" w:sz="4" w:space="0"/>
              <w:right w:val="single" w:color="auto" w:sz="4" w:space="0"/>
            </w:tcBorders>
            <w:vAlign w:val="center"/>
          </w:tcPr>
          <w:p w14:paraId="7CC36653">
            <w:pPr>
              <w:jc w:val="center"/>
              <w:rPr>
                <w:rFonts w:ascii="Times New Roman" w:hAnsi="Times New Roman" w:eastAsia="宋体" w:cs="Times New Roman"/>
                <w:b/>
                <w:szCs w:val="21"/>
              </w:rPr>
            </w:pPr>
          </w:p>
        </w:tc>
        <w:tc>
          <w:tcPr>
            <w:tcW w:w="1243" w:type="dxa"/>
            <w:tcBorders>
              <w:top w:val="single" w:color="auto" w:sz="4" w:space="0"/>
              <w:left w:val="single" w:color="auto" w:sz="4" w:space="0"/>
              <w:bottom w:val="single" w:color="auto" w:sz="4" w:space="0"/>
              <w:right w:val="single" w:color="auto" w:sz="4" w:space="0"/>
            </w:tcBorders>
            <w:vAlign w:val="center"/>
          </w:tcPr>
          <w:p w14:paraId="3B1F8278">
            <w:pPr>
              <w:jc w:val="center"/>
              <w:rPr>
                <w:rFonts w:ascii="Times New Roman" w:hAnsi="Times New Roman" w:eastAsia="宋体" w:cs="Times New Roman"/>
                <w:b/>
                <w:szCs w:val="21"/>
              </w:rPr>
            </w:pPr>
          </w:p>
        </w:tc>
        <w:tc>
          <w:tcPr>
            <w:tcW w:w="705" w:type="dxa"/>
            <w:tcBorders>
              <w:top w:val="single" w:color="auto" w:sz="4" w:space="0"/>
              <w:left w:val="single" w:color="auto" w:sz="4" w:space="0"/>
              <w:bottom w:val="single" w:color="auto" w:sz="4" w:space="0"/>
              <w:right w:val="single" w:color="auto" w:sz="4" w:space="0"/>
            </w:tcBorders>
            <w:vAlign w:val="center"/>
          </w:tcPr>
          <w:p w14:paraId="2FFB2992">
            <w:pPr>
              <w:jc w:val="center"/>
              <w:rPr>
                <w:rFonts w:ascii="Times New Roman" w:hAnsi="Times New Roman" w:eastAsia="宋体" w:cs="Times New Roman"/>
                <w:b/>
                <w:szCs w:val="21"/>
              </w:rPr>
            </w:pPr>
          </w:p>
        </w:tc>
        <w:tc>
          <w:tcPr>
            <w:tcW w:w="699" w:type="dxa"/>
            <w:tcBorders>
              <w:top w:val="single" w:color="auto" w:sz="4" w:space="0"/>
              <w:left w:val="single" w:color="auto" w:sz="4" w:space="0"/>
              <w:bottom w:val="single" w:color="auto" w:sz="4" w:space="0"/>
              <w:right w:val="single" w:color="auto" w:sz="4" w:space="0"/>
            </w:tcBorders>
            <w:vAlign w:val="center"/>
          </w:tcPr>
          <w:p w14:paraId="43DD281D">
            <w:pPr>
              <w:jc w:val="center"/>
              <w:rPr>
                <w:rFonts w:ascii="Times New Roman" w:hAnsi="Times New Roman" w:eastAsia="宋体" w:cs="Times New Roman"/>
                <w:b/>
                <w:szCs w:val="21"/>
              </w:rPr>
            </w:pPr>
          </w:p>
        </w:tc>
      </w:tr>
      <w:tr w14:paraId="3D4EF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atLeast"/>
          <w:jc w:val="center"/>
        </w:trPr>
        <w:tc>
          <w:tcPr>
            <w:tcW w:w="3043" w:type="dxa"/>
            <w:gridSpan w:val="3"/>
            <w:tcBorders>
              <w:top w:val="single" w:color="auto" w:sz="4" w:space="0"/>
              <w:left w:val="single" w:color="auto" w:sz="4" w:space="0"/>
              <w:bottom w:val="single" w:color="auto" w:sz="4" w:space="0"/>
              <w:right w:val="single" w:color="auto" w:sz="4" w:space="0"/>
            </w:tcBorders>
            <w:vAlign w:val="center"/>
          </w:tcPr>
          <w:p w14:paraId="3D8D7B7C">
            <w:pPr>
              <w:jc w:val="center"/>
              <w:rPr>
                <w:rFonts w:ascii="Times New Roman" w:hAnsi="Times New Roman" w:eastAsia="宋体" w:cs="Times New Roman"/>
                <w:b/>
                <w:szCs w:val="21"/>
              </w:rPr>
            </w:pPr>
            <w:r>
              <w:rPr>
                <w:rFonts w:hint="eastAsia" w:ascii="宋体" w:hAnsi="宋体" w:eastAsia="宋体" w:cs="Times New Roman"/>
                <w:b/>
                <w:szCs w:val="21"/>
              </w:rPr>
              <w:t>投标总价</w:t>
            </w:r>
            <w:r>
              <w:rPr>
                <w:rFonts w:hint="eastAsia" w:ascii="等线" w:hAnsi="等线" w:eastAsia="等线" w:cs="Times New Roman"/>
                <w:b/>
                <w:szCs w:val="21"/>
              </w:rPr>
              <w:t>（元，含税）大写</w:t>
            </w:r>
          </w:p>
        </w:tc>
        <w:tc>
          <w:tcPr>
            <w:tcW w:w="6017" w:type="dxa"/>
            <w:gridSpan w:val="5"/>
            <w:tcBorders>
              <w:top w:val="single" w:color="auto" w:sz="4" w:space="0"/>
              <w:left w:val="single" w:color="auto" w:sz="4" w:space="0"/>
              <w:bottom w:val="single" w:color="auto" w:sz="4" w:space="0"/>
              <w:right w:val="single" w:color="auto" w:sz="4" w:space="0"/>
            </w:tcBorders>
            <w:vAlign w:val="center"/>
          </w:tcPr>
          <w:p w14:paraId="2EBE1268">
            <w:pPr>
              <w:jc w:val="center"/>
              <w:rPr>
                <w:rFonts w:ascii="Times New Roman" w:hAnsi="Times New Roman" w:eastAsia="宋体" w:cs="Times New Roman"/>
                <w:b/>
                <w:szCs w:val="21"/>
              </w:rPr>
            </w:pPr>
          </w:p>
        </w:tc>
      </w:tr>
    </w:tbl>
    <w:p w14:paraId="67D87EFD">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2FEA9DA2">
      <w:pPr>
        <w:spacing w:line="520" w:lineRule="exact"/>
        <w:rPr>
          <w:rFonts w:ascii="宋体" w:hAnsi="Calibri" w:eastAsia="宋体" w:cs="Times New Roman"/>
          <w:b/>
          <w:bCs/>
          <w:szCs w:val="21"/>
        </w:rPr>
      </w:pPr>
      <w:r>
        <w:rPr>
          <w:rFonts w:hint="eastAsia" w:ascii="宋体" w:hAnsi="宋体" w:eastAsia="宋体" w:cs="Times New Roman"/>
          <w:b/>
          <w:bCs/>
          <w:szCs w:val="21"/>
        </w:rPr>
        <w:t>1.此表中的报价必须与相应的报价明细表中的报价一致。</w:t>
      </w:r>
    </w:p>
    <w:p w14:paraId="646847A8">
      <w:pPr>
        <w:spacing w:line="300" w:lineRule="auto"/>
        <w:rPr>
          <w:rFonts w:ascii="宋体" w:hAnsi="Calibri" w:eastAsia="宋体" w:cs="Times New Roman"/>
          <w:b/>
          <w:bCs/>
          <w:szCs w:val="21"/>
        </w:rPr>
      </w:pPr>
      <w:r>
        <w:rPr>
          <w:rFonts w:hint="eastAsia" w:ascii="宋体" w:hAnsi="宋体" w:eastAsia="宋体" w:cs="Times New Roman"/>
          <w:b/>
          <w:bCs/>
          <w:szCs w:val="21"/>
        </w:rPr>
        <w:t>2.此表在投递标书时请单独密封两份，否则不予唱标。</w:t>
      </w:r>
    </w:p>
    <w:p w14:paraId="4F0BA311">
      <w:pPr>
        <w:spacing w:line="300" w:lineRule="auto"/>
        <w:rPr>
          <w:rFonts w:hint="eastAsia" w:ascii="宋体" w:hAnsi="宋体" w:eastAsia="宋体" w:cs="Times New Roman"/>
          <w:b/>
          <w:szCs w:val="21"/>
        </w:rPr>
      </w:pPr>
      <w:r>
        <w:rPr>
          <w:rFonts w:hint="eastAsia" w:ascii="宋体" w:hAnsi="宋体" w:eastAsia="宋体" w:cs="Times New Roman"/>
          <w:b/>
          <w:szCs w:val="21"/>
        </w:rPr>
        <w:t>3.需写明含税价、不含税价格、税率。</w:t>
      </w:r>
    </w:p>
    <w:p w14:paraId="272A4264">
      <w:pPr>
        <w:rPr>
          <w:rFonts w:hint="eastAsia" w:ascii="宋体" w:hAnsi="宋体" w:eastAsia="宋体" w:cs="Times New Roman"/>
          <w:b/>
          <w:bCs/>
          <w:szCs w:val="21"/>
          <w:highlight w:val="yellow"/>
        </w:rPr>
      </w:pPr>
      <w:r>
        <w:rPr>
          <w:rFonts w:hint="eastAsia" w:ascii="宋体" w:hAnsi="宋体" w:eastAsia="宋体" w:cs="Times New Roman"/>
          <w:b/>
          <w:szCs w:val="21"/>
          <w:highlight w:val="yellow"/>
        </w:rPr>
        <w:t>4.</w:t>
      </w:r>
      <w:r>
        <w:rPr>
          <w:rFonts w:hint="eastAsia" w:ascii="宋体" w:hAnsi="宋体" w:eastAsia="宋体" w:cs="Times New Roman"/>
          <w:b/>
          <w:bCs/>
          <w:szCs w:val="21"/>
          <w:highlight w:val="yellow"/>
        </w:rPr>
        <w:t>投标总价大写为必填项，如发生大小写不一致，以大写为准。</w:t>
      </w:r>
    </w:p>
    <w:p w14:paraId="5C40E7A1">
      <w:pPr>
        <w:rPr>
          <w:rFonts w:hint="eastAsia" w:ascii="宋体" w:hAnsi="宋体" w:eastAsia="宋体" w:cs="Times New Roman"/>
          <w:b/>
          <w:bCs/>
          <w:szCs w:val="21"/>
          <w:highlight w:val="yellow"/>
        </w:rPr>
      </w:pPr>
      <w:r>
        <w:rPr>
          <w:rFonts w:hint="eastAsia" w:ascii="宋体" w:hAnsi="宋体" w:eastAsia="宋体" w:cs="Times New Roman"/>
          <w:b/>
          <w:bCs/>
          <w:szCs w:val="21"/>
          <w:highlight w:val="yellow"/>
        </w:rPr>
        <w:t>5.投标总价包括设备费、调试费、备品备件、特殊工具、运杂费、装卸费、技术服务费、保险费及增值税和其它税费。</w:t>
      </w:r>
    </w:p>
    <w:p w14:paraId="26830E14">
      <w:pPr>
        <w:spacing w:line="660" w:lineRule="exact"/>
        <w:rPr>
          <w:rFonts w:ascii="宋体" w:hAnsi="Calibri" w:eastAsia="宋体" w:cs="Times New Roman"/>
          <w:sz w:val="24"/>
          <w:szCs w:val="24"/>
        </w:rPr>
      </w:pPr>
      <w:r>
        <w:rPr>
          <w:rFonts w:hint="eastAsia" w:ascii="宋体" w:hAnsi="宋体" w:eastAsia="宋体" w:cs="Times New Roman"/>
          <w:sz w:val="24"/>
          <w:szCs w:val="24"/>
        </w:rPr>
        <w:t>投标人：（盖章）</w:t>
      </w:r>
    </w:p>
    <w:p w14:paraId="2BE46ECE">
      <w:pPr>
        <w:spacing w:line="660" w:lineRule="exact"/>
        <w:rPr>
          <w:rFonts w:ascii="宋体" w:hAnsi="Calibri" w:eastAsia="宋体" w:cs="Times New Roman"/>
          <w:sz w:val="24"/>
          <w:szCs w:val="24"/>
        </w:rPr>
      </w:pPr>
      <w:r>
        <w:rPr>
          <w:rFonts w:hint="eastAsia" w:ascii="宋体" w:hAnsi="宋体" w:eastAsia="宋体" w:cs="Times New Roman"/>
          <w:sz w:val="24"/>
          <w:szCs w:val="24"/>
        </w:rPr>
        <w:t>法定代表人（委托代理人）：（签字）</w:t>
      </w:r>
    </w:p>
    <w:p w14:paraId="2C454731">
      <w:pPr>
        <w:spacing w:line="660" w:lineRule="exact"/>
        <w:rPr>
          <w:rFonts w:ascii="宋体" w:hAnsi="Calibri" w:eastAsia="宋体" w:cs="Times New Roman"/>
          <w:sz w:val="24"/>
          <w:szCs w:val="24"/>
        </w:rPr>
      </w:pPr>
      <w:r>
        <w:rPr>
          <w:rFonts w:hint="eastAsia" w:ascii="宋体" w:hAnsi="宋体" w:eastAsia="宋体" w:cs="Times New Roman"/>
          <w:sz w:val="24"/>
          <w:szCs w:val="24"/>
        </w:rPr>
        <w:t>日  期：</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p w14:paraId="47B33907">
      <w:pPr>
        <w:ind w:firstLine="480"/>
        <w:rPr>
          <w:rFonts w:ascii="宋体" w:hAnsi="Calibri" w:eastAsia="宋体" w:cs="Times New Roman"/>
          <w:color w:val="000000"/>
          <w:sz w:val="24"/>
          <w:szCs w:val="24"/>
        </w:rPr>
      </w:pPr>
      <w:r>
        <w:rPr>
          <w:rFonts w:hint="eastAsia" w:ascii="宋体" w:hAnsi="Calibri" w:eastAsia="宋体" w:cs="Times New Roman"/>
          <w:color w:val="000000"/>
          <w:sz w:val="24"/>
          <w:szCs w:val="24"/>
        </w:rPr>
        <w:t xml:space="preserve"> </w:t>
      </w:r>
    </w:p>
    <w:p w14:paraId="6CC30777">
      <w:pPr>
        <w:widowControl/>
        <w:jc w:val="left"/>
        <w:rPr>
          <w:rFonts w:ascii="宋体" w:hAnsi="Courier New" w:eastAsia="等线" w:cs="Times New Roman"/>
          <w:szCs w:val="21"/>
        </w:rPr>
        <w:sectPr>
          <w:pgSz w:w="11906" w:h="16838"/>
          <w:pgMar w:top="1588" w:right="1418" w:bottom="1134" w:left="1418" w:header="851" w:footer="992" w:gutter="0"/>
          <w:pgNumType w:fmt="decimal"/>
          <w:cols w:space="720" w:num="1"/>
          <w:titlePg/>
          <w:docGrid w:type="lines" w:linePitch="312" w:charSpace="0"/>
        </w:sectPr>
      </w:pPr>
    </w:p>
    <w:p w14:paraId="25604C02">
      <w:pPr>
        <w:rPr>
          <w:rFonts w:hint="eastAsia" w:ascii="宋体" w:hAnsi="宋体" w:eastAsia="等线" w:cs="宋体"/>
          <w:color w:val="000000"/>
          <w:sz w:val="24"/>
          <w:szCs w:val="24"/>
        </w:rPr>
      </w:pPr>
      <w:r>
        <w:rPr>
          <w:rFonts w:hint="eastAsia" w:ascii="宋体" w:hAnsi="宋体" w:eastAsia="等线" w:cs="宋体"/>
          <w:color w:val="000000"/>
          <w:sz w:val="24"/>
          <w:szCs w:val="24"/>
        </w:rPr>
        <w:t xml:space="preserve"> </w:t>
      </w:r>
    </w:p>
    <w:p w14:paraId="011CE856">
      <w:pPr>
        <w:keepNext/>
        <w:keepLines/>
        <w:spacing w:before="260" w:after="260" w:line="415" w:lineRule="auto"/>
        <w:jc w:val="left"/>
        <w:outlineLvl w:val="2"/>
        <w:rPr>
          <w:rFonts w:hint="eastAsia" w:ascii="宋体" w:hAnsi="宋体" w:eastAsia="宋体" w:cs="Times New Roman"/>
          <w:b/>
          <w:bCs/>
          <w:spacing w:val="8"/>
          <w:sz w:val="24"/>
          <w:szCs w:val="24"/>
        </w:rPr>
      </w:pPr>
      <w:r>
        <w:rPr>
          <w:rFonts w:hint="eastAsia" w:ascii="宋体" w:hAnsi="宋体" w:eastAsia="宋体" w:cs="Times New Roman"/>
          <w:b/>
          <w:bCs/>
          <w:color w:val="000000"/>
          <w:sz w:val="24"/>
          <w:szCs w:val="24"/>
        </w:rPr>
        <w:t xml:space="preserve">附件9 </w:t>
      </w:r>
      <w:r>
        <w:rPr>
          <w:rFonts w:hint="eastAsia" w:ascii="宋体" w:hAnsi="宋体" w:eastAsia="宋体" w:cs="Times New Roman"/>
          <w:b/>
          <w:bCs/>
          <w:spacing w:val="13"/>
          <w:sz w:val="24"/>
          <w:szCs w:val="24"/>
        </w:rPr>
        <w:t>设</w:t>
      </w:r>
      <w:r>
        <w:rPr>
          <w:rFonts w:hint="eastAsia" w:ascii="宋体" w:hAnsi="宋体" w:eastAsia="宋体" w:cs="Times New Roman"/>
          <w:b/>
          <w:bCs/>
          <w:spacing w:val="8"/>
          <w:sz w:val="24"/>
          <w:szCs w:val="24"/>
        </w:rPr>
        <w:t>备分项报价表</w:t>
      </w:r>
    </w:p>
    <w:p w14:paraId="0244CB2C">
      <w:pPr>
        <w:keepNext/>
        <w:keepLines/>
        <w:spacing w:line="400" w:lineRule="exact"/>
        <w:jc w:val="center"/>
        <w:rPr>
          <w:rFonts w:hint="eastAsia" w:ascii="宋体" w:hAnsi="宋体" w:eastAsia="宋体" w:cs="Times New Roman"/>
          <w:b/>
          <w:bCs/>
          <w:sz w:val="24"/>
          <w:szCs w:val="24"/>
        </w:rPr>
      </w:pPr>
      <w:r>
        <w:rPr>
          <w:rFonts w:hint="eastAsia" w:ascii="宋体" w:hAnsi="宋体" w:eastAsia="宋体" w:cs="Times New Roman"/>
          <w:spacing w:val="13"/>
          <w:sz w:val="24"/>
          <w:szCs w:val="24"/>
        </w:rPr>
        <w:t>设</w:t>
      </w:r>
      <w:r>
        <w:rPr>
          <w:rFonts w:hint="eastAsia" w:ascii="宋体" w:hAnsi="宋体" w:eastAsia="宋体" w:cs="Times New Roman"/>
          <w:spacing w:val="8"/>
          <w:sz w:val="24"/>
          <w:szCs w:val="24"/>
        </w:rPr>
        <w:t>备分项报价表</w:t>
      </w:r>
    </w:p>
    <w:p w14:paraId="16C55929">
      <w:pPr>
        <w:spacing w:before="52"/>
        <w:ind w:left="9"/>
        <w:jc w:val="right"/>
        <w:rPr>
          <w:rFonts w:hint="eastAsia" w:ascii="宋体" w:hAnsi="宋体" w:eastAsia="宋体" w:cs="Times New Roman"/>
          <w:szCs w:val="21"/>
        </w:rPr>
      </w:pPr>
      <w:r>
        <w:rPr>
          <w:rFonts w:hint="eastAsia" w:ascii="宋体" w:hAnsi="宋体" w:eastAsia="宋体" w:cs="Times New Roman"/>
          <w:spacing w:val="-1"/>
          <w:szCs w:val="21"/>
        </w:rPr>
        <w:t xml:space="preserve">                                                                </w:t>
      </w:r>
      <w:r>
        <w:rPr>
          <w:rFonts w:hint="eastAsia" w:ascii="宋体" w:hAnsi="宋体" w:eastAsia="宋体" w:cs="Times New Roman"/>
          <w:szCs w:val="21"/>
        </w:rPr>
        <w:t xml:space="preserve">                                           第   页 共  页</w:t>
      </w: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837"/>
        <w:gridCol w:w="1882"/>
        <w:gridCol w:w="874"/>
        <w:gridCol w:w="1829"/>
        <w:gridCol w:w="2370"/>
        <w:gridCol w:w="1565"/>
        <w:gridCol w:w="1313"/>
        <w:gridCol w:w="1313"/>
      </w:tblGrid>
      <w:tr w14:paraId="74DA9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2" w:type="pct"/>
            <w:vMerge w:val="restart"/>
            <w:vAlign w:val="center"/>
          </w:tcPr>
          <w:p w14:paraId="28E034A2">
            <w:pPr>
              <w:widowControl/>
              <w:jc w:val="center"/>
              <w:textAlignment w:val="center"/>
              <w:rPr>
                <w:rFonts w:hint="eastAsia" w:ascii="宋体" w:hAnsi="宋体" w:eastAsia="宋体" w:cs="Times New Roman"/>
                <w:color w:val="000000"/>
                <w:sz w:val="20"/>
                <w:szCs w:val="20"/>
              </w:rPr>
            </w:pPr>
            <w:r>
              <w:rPr>
                <w:rFonts w:hint="eastAsia" w:ascii="宋体" w:hAnsi="宋体" w:eastAsia="宋体" w:cs="Times New Roman"/>
                <w:color w:val="000000"/>
                <w:kern w:val="0"/>
                <w:sz w:val="20"/>
                <w:szCs w:val="20"/>
              </w:rPr>
              <w:t>序号</w:t>
            </w:r>
          </w:p>
        </w:tc>
        <w:tc>
          <w:tcPr>
            <w:tcW w:w="662" w:type="pct"/>
            <w:vMerge w:val="restart"/>
            <w:vAlign w:val="center"/>
          </w:tcPr>
          <w:p w14:paraId="011E95E1">
            <w:pPr>
              <w:widowControl/>
              <w:jc w:val="center"/>
              <w:textAlignment w:val="center"/>
              <w:rPr>
                <w:rFonts w:hint="eastAsia" w:ascii="宋体" w:hAnsi="宋体" w:eastAsia="宋体" w:cs="Times New Roman"/>
                <w:color w:val="000000"/>
                <w:sz w:val="20"/>
                <w:szCs w:val="20"/>
              </w:rPr>
            </w:pPr>
            <w:r>
              <w:rPr>
                <w:rFonts w:hint="eastAsia" w:ascii="宋体" w:hAnsi="宋体" w:eastAsia="宋体" w:cs="Times New Roman"/>
                <w:color w:val="000000"/>
                <w:kern w:val="0"/>
                <w:sz w:val="20"/>
                <w:szCs w:val="20"/>
              </w:rPr>
              <w:t>图号</w:t>
            </w:r>
          </w:p>
        </w:tc>
        <w:tc>
          <w:tcPr>
            <w:tcW w:w="678" w:type="pct"/>
            <w:vMerge w:val="restart"/>
            <w:vAlign w:val="center"/>
          </w:tcPr>
          <w:p w14:paraId="05B02E92">
            <w:pPr>
              <w:widowControl/>
              <w:jc w:val="center"/>
              <w:textAlignment w:val="center"/>
              <w:rPr>
                <w:rFonts w:hint="eastAsia" w:ascii="宋体" w:hAnsi="宋体" w:eastAsia="宋体" w:cs="Times New Roman"/>
                <w:color w:val="000000"/>
                <w:sz w:val="20"/>
                <w:szCs w:val="20"/>
              </w:rPr>
            </w:pPr>
            <w:r>
              <w:rPr>
                <w:rFonts w:hint="eastAsia" w:ascii="宋体" w:hAnsi="宋体" w:eastAsia="宋体" w:cs="Times New Roman"/>
                <w:color w:val="000000"/>
                <w:kern w:val="0"/>
                <w:sz w:val="20"/>
                <w:szCs w:val="20"/>
              </w:rPr>
              <w:t>物料</w:t>
            </w:r>
            <w:r>
              <w:rPr>
                <w:rFonts w:hint="eastAsia" w:ascii="宋体" w:hAnsi="宋体" w:eastAsia="宋体" w:cs="Times New Roman"/>
                <w:color w:val="000000"/>
                <w:kern w:val="0"/>
                <w:sz w:val="20"/>
                <w:szCs w:val="20"/>
              </w:rPr>
              <w:br w:type="textWrapping"/>
            </w:r>
            <w:r>
              <w:rPr>
                <w:rFonts w:hint="eastAsia" w:ascii="宋体" w:hAnsi="宋体" w:eastAsia="宋体" w:cs="Times New Roman"/>
                <w:color w:val="000000"/>
                <w:kern w:val="0"/>
                <w:sz w:val="20"/>
                <w:szCs w:val="20"/>
              </w:rPr>
              <w:t>名称</w:t>
            </w:r>
          </w:p>
        </w:tc>
        <w:tc>
          <w:tcPr>
            <w:tcW w:w="315" w:type="pct"/>
            <w:vMerge w:val="restart"/>
            <w:vAlign w:val="center"/>
          </w:tcPr>
          <w:p w14:paraId="5D7CE7DD">
            <w:pPr>
              <w:widowControl/>
              <w:jc w:val="center"/>
              <w:textAlignment w:val="center"/>
              <w:rPr>
                <w:rFonts w:hint="eastAsia" w:ascii="宋体" w:hAnsi="宋体" w:eastAsia="宋体" w:cs="Times New Roman"/>
                <w:color w:val="000000"/>
                <w:sz w:val="20"/>
                <w:szCs w:val="20"/>
              </w:rPr>
            </w:pPr>
            <w:r>
              <w:rPr>
                <w:rFonts w:hint="eastAsia" w:ascii="宋体" w:hAnsi="宋体" w:eastAsia="宋体" w:cs="Times New Roman"/>
                <w:color w:val="000000"/>
                <w:kern w:val="0"/>
                <w:sz w:val="20"/>
                <w:szCs w:val="20"/>
              </w:rPr>
              <w:t>模具</w:t>
            </w:r>
            <w:r>
              <w:rPr>
                <w:rFonts w:hint="eastAsia" w:ascii="宋体" w:hAnsi="宋体" w:eastAsia="宋体" w:cs="Times New Roman"/>
                <w:color w:val="000000"/>
                <w:kern w:val="0"/>
                <w:sz w:val="20"/>
                <w:szCs w:val="20"/>
              </w:rPr>
              <w:br w:type="textWrapping"/>
            </w:r>
            <w:r>
              <w:rPr>
                <w:rFonts w:hint="eastAsia" w:ascii="宋体" w:hAnsi="宋体" w:eastAsia="宋体" w:cs="Times New Roman"/>
                <w:color w:val="000000"/>
                <w:kern w:val="0"/>
                <w:sz w:val="20"/>
                <w:szCs w:val="20"/>
              </w:rPr>
              <w:t>类型</w:t>
            </w:r>
          </w:p>
        </w:tc>
        <w:tc>
          <w:tcPr>
            <w:tcW w:w="659" w:type="pct"/>
            <w:vMerge w:val="restart"/>
            <w:vAlign w:val="center"/>
          </w:tcPr>
          <w:p w14:paraId="06538CBB">
            <w:pPr>
              <w:widowControl/>
              <w:jc w:val="center"/>
              <w:textAlignment w:val="center"/>
              <w:rPr>
                <w:rFonts w:hint="eastAsia" w:ascii="宋体" w:hAnsi="宋体" w:eastAsia="宋体" w:cs="Times New Roman"/>
                <w:color w:val="000000"/>
                <w:sz w:val="20"/>
                <w:szCs w:val="20"/>
              </w:rPr>
            </w:pPr>
            <w:r>
              <w:rPr>
                <w:rFonts w:hint="eastAsia" w:ascii="宋体" w:hAnsi="宋体" w:eastAsia="宋体" w:cs="Times New Roman"/>
                <w:color w:val="000000"/>
                <w:kern w:val="0"/>
                <w:sz w:val="20"/>
                <w:szCs w:val="20"/>
              </w:rPr>
              <w:t>内容</w:t>
            </w:r>
          </w:p>
        </w:tc>
        <w:tc>
          <w:tcPr>
            <w:tcW w:w="854" w:type="pct"/>
            <w:vMerge w:val="restart"/>
            <w:vAlign w:val="center"/>
          </w:tcPr>
          <w:p w14:paraId="5875F01B">
            <w:pPr>
              <w:widowControl/>
              <w:jc w:val="center"/>
              <w:textAlignment w:val="center"/>
              <w:rPr>
                <w:rFonts w:hint="eastAsia" w:ascii="宋体" w:hAnsi="宋体" w:eastAsia="宋体" w:cs="Times New Roman"/>
                <w:color w:val="000000"/>
                <w:sz w:val="20"/>
                <w:szCs w:val="20"/>
              </w:rPr>
            </w:pPr>
            <w:r>
              <w:rPr>
                <w:rFonts w:hint="eastAsia" w:ascii="宋体" w:hAnsi="宋体" w:eastAsia="宋体" w:cs="Times New Roman"/>
                <w:color w:val="000000"/>
                <w:kern w:val="0"/>
                <w:sz w:val="20"/>
                <w:szCs w:val="20"/>
              </w:rPr>
              <w:t>模具</w:t>
            </w:r>
            <w:r>
              <w:rPr>
                <w:rFonts w:hint="eastAsia" w:ascii="宋体" w:hAnsi="宋体" w:eastAsia="宋体" w:cs="Times New Roman"/>
                <w:color w:val="000000"/>
                <w:kern w:val="0"/>
                <w:sz w:val="20"/>
                <w:szCs w:val="20"/>
              </w:rPr>
              <w:br w:type="textWrapping"/>
            </w:r>
            <w:r>
              <w:rPr>
                <w:rFonts w:hint="eastAsia" w:ascii="宋体" w:hAnsi="宋体" w:eastAsia="宋体" w:cs="Times New Roman"/>
                <w:color w:val="000000"/>
                <w:kern w:val="0"/>
                <w:sz w:val="20"/>
                <w:szCs w:val="20"/>
              </w:rPr>
              <w:t>数量</w:t>
            </w:r>
          </w:p>
        </w:tc>
        <w:tc>
          <w:tcPr>
            <w:tcW w:w="564" w:type="pct"/>
            <w:vMerge w:val="restart"/>
            <w:vAlign w:val="center"/>
          </w:tcPr>
          <w:p w14:paraId="365EA9E7">
            <w:pPr>
              <w:widowControl/>
              <w:jc w:val="center"/>
              <w:textAlignment w:val="center"/>
              <w:rPr>
                <w:rFonts w:hint="eastAsia" w:ascii="宋体" w:hAnsi="宋体" w:eastAsia="宋体" w:cs="Times New Roman"/>
                <w:color w:val="000000"/>
                <w:sz w:val="20"/>
                <w:szCs w:val="20"/>
              </w:rPr>
            </w:pPr>
            <w:r>
              <w:rPr>
                <w:rFonts w:hint="eastAsia" w:ascii="宋体" w:hAnsi="宋体" w:eastAsia="宋体" w:cs="Times New Roman"/>
                <w:color w:val="000000"/>
                <w:kern w:val="0"/>
                <w:sz w:val="20"/>
                <w:szCs w:val="20"/>
              </w:rPr>
              <w:t>单位</w:t>
            </w:r>
          </w:p>
        </w:tc>
        <w:tc>
          <w:tcPr>
            <w:tcW w:w="473" w:type="pct"/>
            <w:vMerge w:val="restart"/>
            <w:vAlign w:val="center"/>
          </w:tcPr>
          <w:p w14:paraId="195A6FA7">
            <w:pPr>
              <w:widowControl/>
              <w:jc w:val="center"/>
              <w:textAlignment w:val="center"/>
              <w:rPr>
                <w:rFonts w:hint="eastAsia" w:ascii="宋体" w:hAnsi="宋体" w:eastAsia="宋体" w:cs="Times New Roman"/>
                <w:color w:val="000000"/>
                <w:sz w:val="20"/>
                <w:szCs w:val="20"/>
              </w:rPr>
            </w:pPr>
            <w:r>
              <w:rPr>
                <w:rFonts w:hint="eastAsia" w:ascii="宋体" w:hAnsi="宋体" w:eastAsia="宋体" w:cs="Times New Roman"/>
                <w:color w:val="000000"/>
                <w:kern w:val="0"/>
                <w:sz w:val="20"/>
                <w:szCs w:val="20"/>
              </w:rPr>
              <w:t>单价（万元/套，未税）</w:t>
            </w:r>
          </w:p>
        </w:tc>
        <w:tc>
          <w:tcPr>
            <w:tcW w:w="473" w:type="pct"/>
            <w:vMerge w:val="restart"/>
            <w:vAlign w:val="center"/>
          </w:tcPr>
          <w:p w14:paraId="703A589D">
            <w:pPr>
              <w:widowControl/>
              <w:jc w:val="center"/>
              <w:textAlignment w:val="center"/>
              <w:rPr>
                <w:rFonts w:hint="eastAsia" w:ascii="宋体" w:hAnsi="宋体" w:eastAsia="宋体" w:cs="Times New Roman"/>
                <w:color w:val="000000"/>
                <w:sz w:val="20"/>
                <w:szCs w:val="20"/>
              </w:rPr>
            </w:pPr>
            <w:r>
              <w:rPr>
                <w:rFonts w:hint="eastAsia" w:ascii="宋体" w:hAnsi="宋体" w:eastAsia="宋体" w:cs="Times New Roman"/>
                <w:color w:val="000000"/>
                <w:kern w:val="0"/>
                <w:sz w:val="20"/>
                <w:szCs w:val="20"/>
              </w:rPr>
              <w:t>总报价</w:t>
            </w:r>
            <w:r>
              <w:rPr>
                <w:rFonts w:hint="eastAsia" w:ascii="宋体" w:hAnsi="宋体" w:eastAsia="宋体" w:cs="Times New Roman"/>
                <w:color w:val="000000"/>
                <w:kern w:val="0"/>
                <w:sz w:val="20"/>
                <w:szCs w:val="20"/>
              </w:rPr>
              <w:br w:type="textWrapping"/>
            </w:r>
            <w:r>
              <w:rPr>
                <w:rFonts w:hint="eastAsia" w:ascii="宋体" w:hAnsi="宋体" w:eastAsia="宋体" w:cs="Times New Roman"/>
                <w:color w:val="000000"/>
                <w:kern w:val="0"/>
                <w:sz w:val="20"/>
                <w:szCs w:val="20"/>
              </w:rPr>
              <w:t>（万元，未税）</w:t>
            </w:r>
          </w:p>
        </w:tc>
      </w:tr>
      <w:tr w14:paraId="66C83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322" w:type="pct"/>
            <w:vMerge w:val="continue"/>
            <w:vAlign w:val="center"/>
          </w:tcPr>
          <w:p w14:paraId="795D2195">
            <w:pPr>
              <w:widowControl/>
              <w:jc w:val="left"/>
              <w:rPr>
                <w:rFonts w:hint="eastAsia" w:ascii="宋体" w:hAnsi="宋体" w:eastAsia="宋体" w:cs="Times New Roman"/>
                <w:color w:val="000000"/>
                <w:sz w:val="20"/>
                <w:szCs w:val="20"/>
              </w:rPr>
            </w:pPr>
          </w:p>
        </w:tc>
        <w:tc>
          <w:tcPr>
            <w:tcW w:w="662" w:type="pct"/>
            <w:vMerge w:val="continue"/>
            <w:vAlign w:val="center"/>
          </w:tcPr>
          <w:p w14:paraId="23126C40">
            <w:pPr>
              <w:widowControl/>
              <w:jc w:val="left"/>
              <w:rPr>
                <w:rFonts w:hint="eastAsia" w:ascii="宋体" w:hAnsi="宋体" w:eastAsia="宋体" w:cs="Times New Roman"/>
                <w:color w:val="000000"/>
                <w:sz w:val="20"/>
                <w:szCs w:val="20"/>
              </w:rPr>
            </w:pPr>
          </w:p>
        </w:tc>
        <w:tc>
          <w:tcPr>
            <w:tcW w:w="678" w:type="pct"/>
            <w:vMerge w:val="continue"/>
            <w:vAlign w:val="center"/>
          </w:tcPr>
          <w:p w14:paraId="2340690D">
            <w:pPr>
              <w:widowControl/>
              <w:jc w:val="left"/>
              <w:rPr>
                <w:rFonts w:hint="eastAsia" w:ascii="宋体" w:hAnsi="宋体" w:eastAsia="宋体" w:cs="Times New Roman"/>
                <w:color w:val="000000"/>
                <w:sz w:val="20"/>
                <w:szCs w:val="20"/>
              </w:rPr>
            </w:pPr>
          </w:p>
        </w:tc>
        <w:tc>
          <w:tcPr>
            <w:tcW w:w="315" w:type="pct"/>
            <w:vMerge w:val="continue"/>
            <w:vAlign w:val="center"/>
          </w:tcPr>
          <w:p w14:paraId="16D34F34">
            <w:pPr>
              <w:widowControl/>
              <w:jc w:val="left"/>
              <w:rPr>
                <w:rFonts w:hint="eastAsia" w:ascii="宋体" w:hAnsi="宋体" w:eastAsia="宋体" w:cs="Times New Roman"/>
                <w:color w:val="000000"/>
                <w:sz w:val="20"/>
                <w:szCs w:val="20"/>
              </w:rPr>
            </w:pPr>
          </w:p>
        </w:tc>
        <w:tc>
          <w:tcPr>
            <w:tcW w:w="659" w:type="pct"/>
            <w:vMerge w:val="continue"/>
            <w:vAlign w:val="center"/>
          </w:tcPr>
          <w:p w14:paraId="321175DF">
            <w:pPr>
              <w:widowControl/>
              <w:jc w:val="left"/>
              <w:rPr>
                <w:rFonts w:hint="eastAsia" w:ascii="宋体" w:hAnsi="宋体" w:eastAsia="宋体" w:cs="Times New Roman"/>
                <w:color w:val="000000"/>
                <w:sz w:val="20"/>
                <w:szCs w:val="20"/>
              </w:rPr>
            </w:pPr>
          </w:p>
        </w:tc>
        <w:tc>
          <w:tcPr>
            <w:tcW w:w="854" w:type="pct"/>
            <w:vMerge w:val="continue"/>
            <w:vAlign w:val="center"/>
          </w:tcPr>
          <w:p w14:paraId="2C7D8F1C">
            <w:pPr>
              <w:widowControl/>
              <w:jc w:val="left"/>
              <w:rPr>
                <w:rFonts w:hint="eastAsia" w:ascii="宋体" w:hAnsi="宋体" w:eastAsia="宋体" w:cs="Times New Roman"/>
                <w:color w:val="000000"/>
                <w:sz w:val="20"/>
                <w:szCs w:val="20"/>
              </w:rPr>
            </w:pPr>
          </w:p>
        </w:tc>
        <w:tc>
          <w:tcPr>
            <w:tcW w:w="564" w:type="pct"/>
            <w:vMerge w:val="continue"/>
            <w:vAlign w:val="center"/>
          </w:tcPr>
          <w:p w14:paraId="612FC4F7">
            <w:pPr>
              <w:widowControl/>
              <w:jc w:val="left"/>
              <w:rPr>
                <w:rFonts w:hint="eastAsia" w:ascii="宋体" w:hAnsi="宋体" w:eastAsia="宋体" w:cs="Times New Roman"/>
                <w:color w:val="000000"/>
                <w:sz w:val="20"/>
                <w:szCs w:val="20"/>
              </w:rPr>
            </w:pPr>
          </w:p>
        </w:tc>
        <w:tc>
          <w:tcPr>
            <w:tcW w:w="473" w:type="pct"/>
            <w:vMerge w:val="continue"/>
            <w:vAlign w:val="center"/>
          </w:tcPr>
          <w:p w14:paraId="19FBEE9C">
            <w:pPr>
              <w:widowControl/>
              <w:jc w:val="left"/>
              <w:rPr>
                <w:rFonts w:hint="eastAsia" w:ascii="宋体" w:hAnsi="宋体" w:eastAsia="宋体" w:cs="Times New Roman"/>
                <w:color w:val="000000"/>
                <w:sz w:val="20"/>
                <w:szCs w:val="20"/>
              </w:rPr>
            </w:pPr>
          </w:p>
        </w:tc>
        <w:tc>
          <w:tcPr>
            <w:tcW w:w="473" w:type="pct"/>
            <w:vMerge w:val="continue"/>
            <w:vAlign w:val="center"/>
          </w:tcPr>
          <w:p w14:paraId="2889CA39">
            <w:pPr>
              <w:widowControl/>
              <w:jc w:val="left"/>
              <w:rPr>
                <w:rFonts w:hint="eastAsia" w:ascii="宋体" w:hAnsi="宋体" w:eastAsia="宋体" w:cs="Times New Roman"/>
                <w:color w:val="000000"/>
                <w:sz w:val="20"/>
                <w:szCs w:val="20"/>
              </w:rPr>
            </w:pPr>
          </w:p>
        </w:tc>
      </w:tr>
      <w:tr w14:paraId="2C19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322" w:type="pct"/>
            <w:vAlign w:val="center"/>
          </w:tcPr>
          <w:p w14:paraId="070483E4">
            <w:pPr>
              <w:widowControl/>
              <w:jc w:val="center"/>
              <w:textAlignment w:val="center"/>
              <w:rPr>
                <w:rFonts w:hint="eastAsia" w:ascii="宋体" w:hAnsi="宋体" w:eastAsia="宋体" w:cs="Times New Roman"/>
                <w:color w:val="000000"/>
                <w:sz w:val="20"/>
                <w:szCs w:val="20"/>
              </w:rPr>
            </w:pPr>
            <w:r>
              <w:rPr>
                <w:rFonts w:hint="eastAsia" w:ascii="宋体" w:hAnsi="宋体" w:eastAsia="宋体" w:cs="Times New Roman"/>
                <w:color w:val="000000"/>
                <w:kern w:val="0"/>
                <w:sz w:val="20"/>
                <w:szCs w:val="20"/>
              </w:rPr>
              <w:t>1</w:t>
            </w:r>
          </w:p>
        </w:tc>
        <w:tc>
          <w:tcPr>
            <w:tcW w:w="662" w:type="pct"/>
            <w:vAlign w:val="center"/>
          </w:tcPr>
          <w:p w14:paraId="225D915B">
            <w:pPr>
              <w:pStyle w:val="146"/>
              <w:rPr>
                <w:rFonts w:hint="eastAsia" w:ascii="宋体" w:hAnsi="宋体" w:eastAsia="宋体" w:cs="宋体"/>
                <w:sz w:val="16"/>
                <w:szCs w:val="16"/>
                <w:lang w:bidi="ar"/>
              </w:rPr>
            </w:pPr>
          </w:p>
        </w:tc>
        <w:tc>
          <w:tcPr>
            <w:tcW w:w="678" w:type="pct"/>
            <w:vAlign w:val="center"/>
          </w:tcPr>
          <w:p w14:paraId="7445798E">
            <w:pPr>
              <w:pStyle w:val="146"/>
              <w:rPr>
                <w:rFonts w:hint="eastAsia" w:ascii="宋体" w:hAnsi="宋体" w:eastAsia="宋体" w:cs="宋体"/>
                <w:sz w:val="16"/>
                <w:szCs w:val="16"/>
                <w:lang w:bidi="ar"/>
              </w:rPr>
            </w:pPr>
          </w:p>
        </w:tc>
        <w:tc>
          <w:tcPr>
            <w:tcW w:w="315" w:type="pct"/>
            <w:vAlign w:val="center"/>
          </w:tcPr>
          <w:p w14:paraId="6FE1B280">
            <w:pPr>
              <w:widowControl/>
              <w:jc w:val="center"/>
              <w:textAlignment w:val="center"/>
              <w:rPr>
                <w:rFonts w:hint="eastAsia" w:ascii="宋体" w:hAnsi="宋体" w:eastAsia="宋体" w:cs="Times New Roman"/>
                <w:color w:val="000000"/>
                <w:sz w:val="20"/>
                <w:szCs w:val="20"/>
              </w:rPr>
            </w:pPr>
          </w:p>
        </w:tc>
        <w:tc>
          <w:tcPr>
            <w:tcW w:w="659" w:type="pct"/>
            <w:vAlign w:val="center"/>
          </w:tcPr>
          <w:p w14:paraId="21D82B20">
            <w:pPr>
              <w:widowControl/>
              <w:jc w:val="center"/>
              <w:textAlignment w:val="center"/>
              <w:rPr>
                <w:rFonts w:hint="eastAsia" w:ascii="宋体" w:hAnsi="宋体" w:eastAsia="宋体" w:cs="Times New Roman"/>
                <w:color w:val="000000"/>
                <w:sz w:val="20"/>
                <w:szCs w:val="20"/>
              </w:rPr>
            </w:pPr>
          </w:p>
        </w:tc>
        <w:tc>
          <w:tcPr>
            <w:tcW w:w="854" w:type="pct"/>
            <w:vAlign w:val="center"/>
          </w:tcPr>
          <w:p w14:paraId="155C8670">
            <w:pPr>
              <w:widowControl/>
              <w:jc w:val="center"/>
              <w:textAlignment w:val="center"/>
              <w:rPr>
                <w:rFonts w:hint="eastAsia" w:ascii="宋体" w:hAnsi="宋体" w:eastAsia="宋体" w:cs="Times New Roman"/>
                <w:color w:val="000000"/>
                <w:sz w:val="20"/>
                <w:szCs w:val="20"/>
              </w:rPr>
            </w:pPr>
          </w:p>
        </w:tc>
        <w:tc>
          <w:tcPr>
            <w:tcW w:w="564" w:type="pct"/>
            <w:vAlign w:val="center"/>
          </w:tcPr>
          <w:p w14:paraId="7E1791B3">
            <w:pPr>
              <w:jc w:val="center"/>
              <w:rPr>
                <w:rFonts w:hint="eastAsia" w:ascii="宋体" w:hAnsi="宋体" w:eastAsia="宋体" w:cs="Times New Roman"/>
                <w:color w:val="000000"/>
                <w:sz w:val="20"/>
                <w:szCs w:val="20"/>
              </w:rPr>
            </w:pPr>
          </w:p>
        </w:tc>
        <w:tc>
          <w:tcPr>
            <w:tcW w:w="473" w:type="pct"/>
            <w:vAlign w:val="center"/>
          </w:tcPr>
          <w:p w14:paraId="5DEA3139">
            <w:pPr>
              <w:jc w:val="center"/>
              <w:rPr>
                <w:rFonts w:hint="eastAsia" w:ascii="宋体" w:hAnsi="宋体" w:eastAsia="宋体" w:cs="Times New Roman"/>
                <w:color w:val="000000"/>
                <w:sz w:val="20"/>
                <w:szCs w:val="20"/>
              </w:rPr>
            </w:pPr>
          </w:p>
        </w:tc>
        <w:tc>
          <w:tcPr>
            <w:tcW w:w="473" w:type="pct"/>
            <w:vAlign w:val="center"/>
          </w:tcPr>
          <w:p w14:paraId="5533602F">
            <w:pPr>
              <w:jc w:val="center"/>
              <w:rPr>
                <w:rFonts w:hint="eastAsia" w:ascii="宋体" w:hAnsi="宋体" w:eastAsia="宋体" w:cs="Times New Roman"/>
                <w:color w:val="000000"/>
                <w:sz w:val="20"/>
                <w:szCs w:val="20"/>
              </w:rPr>
            </w:pPr>
          </w:p>
        </w:tc>
      </w:tr>
      <w:tr w14:paraId="545F5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322" w:type="pct"/>
            <w:vAlign w:val="center"/>
          </w:tcPr>
          <w:p w14:paraId="6B0DFEB1">
            <w:pPr>
              <w:widowControl/>
              <w:jc w:val="center"/>
              <w:textAlignment w:val="center"/>
              <w:rPr>
                <w:rFonts w:hint="eastAsia" w:ascii="宋体" w:hAnsi="宋体" w:eastAsia="宋体" w:cs="Times New Roman"/>
                <w:color w:val="000000"/>
                <w:sz w:val="20"/>
                <w:szCs w:val="20"/>
              </w:rPr>
            </w:pPr>
            <w:r>
              <w:rPr>
                <w:rFonts w:hint="eastAsia" w:ascii="宋体" w:hAnsi="宋体" w:eastAsia="宋体" w:cs="Times New Roman"/>
                <w:color w:val="000000"/>
                <w:kern w:val="0"/>
                <w:sz w:val="20"/>
                <w:szCs w:val="20"/>
              </w:rPr>
              <w:t>2</w:t>
            </w:r>
          </w:p>
        </w:tc>
        <w:tc>
          <w:tcPr>
            <w:tcW w:w="662" w:type="pct"/>
            <w:vAlign w:val="center"/>
          </w:tcPr>
          <w:p w14:paraId="5F703F98">
            <w:pPr>
              <w:pStyle w:val="146"/>
              <w:rPr>
                <w:rFonts w:hint="eastAsia" w:ascii="宋体" w:hAnsi="宋体" w:eastAsia="宋体" w:cs="宋体"/>
                <w:sz w:val="16"/>
                <w:szCs w:val="16"/>
                <w:lang w:bidi="ar"/>
              </w:rPr>
            </w:pPr>
          </w:p>
        </w:tc>
        <w:tc>
          <w:tcPr>
            <w:tcW w:w="678" w:type="pct"/>
            <w:vAlign w:val="center"/>
          </w:tcPr>
          <w:p w14:paraId="1620C331">
            <w:pPr>
              <w:pStyle w:val="146"/>
              <w:rPr>
                <w:rFonts w:hint="eastAsia" w:ascii="宋体" w:hAnsi="宋体" w:eastAsia="宋体" w:cs="宋体"/>
                <w:sz w:val="16"/>
                <w:szCs w:val="16"/>
                <w:lang w:bidi="ar"/>
              </w:rPr>
            </w:pPr>
          </w:p>
        </w:tc>
        <w:tc>
          <w:tcPr>
            <w:tcW w:w="315" w:type="pct"/>
            <w:vAlign w:val="center"/>
          </w:tcPr>
          <w:p w14:paraId="34968719">
            <w:pPr>
              <w:widowControl/>
              <w:jc w:val="center"/>
              <w:textAlignment w:val="center"/>
              <w:rPr>
                <w:rFonts w:hint="eastAsia" w:ascii="宋体" w:hAnsi="宋体" w:eastAsia="宋体" w:cs="Times New Roman"/>
                <w:color w:val="000000"/>
                <w:sz w:val="20"/>
                <w:szCs w:val="20"/>
              </w:rPr>
            </w:pPr>
          </w:p>
        </w:tc>
        <w:tc>
          <w:tcPr>
            <w:tcW w:w="659" w:type="pct"/>
          </w:tcPr>
          <w:p w14:paraId="6ABE837F">
            <w:pPr>
              <w:jc w:val="center"/>
              <w:rPr>
                <w:rFonts w:hint="eastAsia"/>
              </w:rPr>
            </w:pPr>
          </w:p>
        </w:tc>
        <w:tc>
          <w:tcPr>
            <w:tcW w:w="854" w:type="pct"/>
            <w:vAlign w:val="center"/>
          </w:tcPr>
          <w:p w14:paraId="4EE74CAB">
            <w:pPr>
              <w:widowControl/>
              <w:jc w:val="center"/>
              <w:textAlignment w:val="center"/>
              <w:rPr>
                <w:rFonts w:hint="eastAsia" w:ascii="宋体" w:hAnsi="宋体" w:eastAsia="宋体" w:cs="Times New Roman"/>
                <w:color w:val="000000"/>
                <w:sz w:val="20"/>
                <w:szCs w:val="20"/>
              </w:rPr>
            </w:pPr>
          </w:p>
        </w:tc>
        <w:tc>
          <w:tcPr>
            <w:tcW w:w="564" w:type="pct"/>
          </w:tcPr>
          <w:p w14:paraId="60655E68">
            <w:pPr>
              <w:jc w:val="center"/>
              <w:rPr>
                <w:rFonts w:hint="eastAsia"/>
              </w:rPr>
            </w:pPr>
          </w:p>
        </w:tc>
        <w:tc>
          <w:tcPr>
            <w:tcW w:w="473" w:type="pct"/>
            <w:vAlign w:val="center"/>
          </w:tcPr>
          <w:p w14:paraId="76BDB9E4">
            <w:pPr>
              <w:jc w:val="center"/>
              <w:rPr>
                <w:rFonts w:hint="eastAsia" w:ascii="宋体" w:hAnsi="宋体" w:eastAsia="宋体" w:cs="Times New Roman"/>
                <w:color w:val="000000"/>
                <w:sz w:val="20"/>
                <w:szCs w:val="20"/>
              </w:rPr>
            </w:pPr>
          </w:p>
        </w:tc>
        <w:tc>
          <w:tcPr>
            <w:tcW w:w="473" w:type="pct"/>
            <w:vAlign w:val="center"/>
          </w:tcPr>
          <w:p w14:paraId="43A8F4E4">
            <w:pPr>
              <w:jc w:val="center"/>
              <w:rPr>
                <w:rFonts w:hint="eastAsia" w:ascii="宋体" w:hAnsi="宋体" w:eastAsia="宋体" w:cs="Times New Roman"/>
                <w:color w:val="000000"/>
                <w:sz w:val="20"/>
                <w:szCs w:val="20"/>
              </w:rPr>
            </w:pPr>
          </w:p>
        </w:tc>
      </w:tr>
      <w:tr w14:paraId="2A867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322" w:type="pct"/>
            <w:vAlign w:val="center"/>
          </w:tcPr>
          <w:p w14:paraId="3B4099C2">
            <w:pPr>
              <w:widowControl/>
              <w:jc w:val="center"/>
              <w:textAlignment w:val="center"/>
              <w:rPr>
                <w:rFonts w:hint="eastAsia" w:ascii="宋体" w:hAnsi="宋体" w:eastAsia="宋体" w:cs="Times New Roman"/>
                <w:color w:val="000000"/>
                <w:kern w:val="0"/>
                <w:sz w:val="20"/>
                <w:szCs w:val="20"/>
              </w:rPr>
            </w:pPr>
            <w:r>
              <w:rPr>
                <w:rFonts w:hint="eastAsia" w:ascii="宋体" w:hAnsi="宋体" w:eastAsia="宋体" w:cs="Times New Roman"/>
                <w:color w:val="000000"/>
                <w:kern w:val="0"/>
                <w:sz w:val="20"/>
                <w:szCs w:val="20"/>
              </w:rPr>
              <w:t>3</w:t>
            </w:r>
          </w:p>
        </w:tc>
        <w:tc>
          <w:tcPr>
            <w:tcW w:w="662" w:type="pct"/>
            <w:vAlign w:val="center"/>
          </w:tcPr>
          <w:p w14:paraId="6DCB9B97">
            <w:pPr>
              <w:pStyle w:val="146"/>
              <w:rPr>
                <w:rFonts w:hint="eastAsia" w:ascii="宋体" w:hAnsi="宋体" w:eastAsia="宋体" w:cs="宋体"/>
                <w:sz w:val="16"/>
                <w:szCs w:val="16"/>
                <w:lang w:bidi="ar"/>
              </w:rPr>
            </w:pPr>
          </w:p>
        </w:tc>
        <w:tc>
          <w:tcPr>
            <w:tcW w:w="678" w:type="pct"/>
            <w:vAlign w:val="center"/>
          </w:tcPr>
          <w:p w14:paraId="131350AC">
            <w:pPr>
              <w:pStyle w:val="146"/>
              <w:rPr>
                <w:rFonts w:hint="eastAsia" w:ascii="宋体" w:hAnsi="宋体" w:eastAsia="宋体" w:cs="宋体"/>
                <w:sz w:val="16"/>
                <w:szCs w:val="16"/>
                <w:lang w:bidi="ar"/>
              </w:rPr>
            </w:pPr>
          </w:p>
        </w:tc>
        <w:tc>
          <w:tcPr>
            <w:tcW w:w="315" w:type="pct"/>
            <w:vAlign w:val="center"/>
          </w:tcPr>
          <w:p w14:paraId="5BE9F526">
            <w:pPr>
              <w:widowControl/>
              <w:jc w:val="center"/>
              <w:textAlignment w:val="center"/>
              <w:rPr>
                <w:rFonts w:hint="eastAsia" w:ascii="宋体" w:hAnsi="宋体" w:eastAsia="宋体" w:cs="Times New Roman"/>
                <w:color w:val="000000"/>
                <w:kern w:val="0"/>
                <w:sz w:val="20"/>
                <w:szCs w:val="20"/>
              </w:rPr>
            </w:pPr>
          </w:p>
        </w:tc>
        <w:tc>
          <w:tcPr>
            <w:tcW w:w="659" w:type="pct"/>
          </w:tcPr>
          <w:p w14:paraId="571A1089">
            <w:pPr>
              <w:jc w:val="center"/>
              <w:rPr>
                <w:rFonts w:hint="eastAsia"/>
              </w:rPr>
            </w:pPr>
          </w:p>
        </w:tc>
        <w:tc>
          <w:tcPr>
            <w:tcW w:w="854" w:type="pct"/>
            <w:vAlign w:val="center"/>
          </w:tcPr>
          <w:p w14:paraId="7377D66D">
            <w:pPr>
              <w:widowControl/>
              <w:jc w:val="center"/>
              <w:textAlignment w:val="center"/>
              <w:rPr>
                <w:rFonts w:hint="eastAsia" w:ascii="宋体" w:hAnsi="宋体" w:eastAsia="宋体" w:cs="Times New Roman"/>
                <w:color w:val="000000"/>
                <w:kern w:val="0"/>
                <w:sz w:val="20"/>
                <w:szCs w:val="20"/>
              </w:rPr>
            </w:pPr>
          </w:p>
        </w:tc>
        <w:tc>
          <w:tcPr>
            <w:tcW w:w="564" w:type="pct"/>
          </w:tcPr>
          <w:p w14:paraId="5344AAAF">
            <w:pPr>
              <w:jc w:val="center"/>
              <w:rPr>
                <w:rFonts w:hint="eastAsia"/>
              </w:rPr>
            </w:pPr>
          </w:p>
        </w:tc>
        <w:tc>
          <w:tcPr>
            <w:tcW w:w="473" w:type="pct"/>
            <w:vAlign w:val="center"/>
          </w:tcPr>
          <w:p w14:paraId="29876F66">
            <w:pPr>
              <w:jc w:val="center"/>
              <w:rPr>
                <w:rFonts w:hint="eastAsia" w:ascii="宋体" w:hAnsi="宋体" w:eastAsia="宋体" w:cs="Times New Roman"/>
                <w:color w:val="000000"/>
                <w:sz w:val="20"/>
                <w:szCs w:val="20"/>
              </w:rPr>
            </w:pPr>
          </w:p>
        </w:tc>
        <w:tc>
          <w:tcPr>
            <w:tcW w:w="473" w:type="pct"/>
            <w:vAlign w:val="center"/>
          </w:tcPr>
          <w:p w14:paraId="20F57833">
            <w:pPr>
              <w:jc w:val="center"/>
              <w:rPr>
                <w:rFonts w:hint="eastAsia" w:ascii="宋体" w:hAnsi="宋体" w:eastAsia="宋体" w:cs="Times New Roman"/>
                <w:color w:val="000000"/>
                <w:sz w:val="20"/>
                <w:szCs w:val="20"/>
              </w:rPr>
            </w:pPr>
          </w:p>
        </w:tc>
      </w:tr>
      <w:tr w14:paraId="1A5FD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322" w:type="pct"/>
            <w:vAlign w:val="center"/>
          </w:tcPr>
          <w:p w14:paraId="316CD4FE">
            <w:pPr>
              <w:widowControl/>
              <w:jc w:val="center"/>
              <w:textAlignment w:val="center"/>
              <w:rPr>
                <w:rFonts w:hint="eastAsia" w:ascii="宋体" w:hAnsi="宋体" w:eastAsia="宋体" w:cs="Times New Roman"/>
                <w:color w:val="000000"/>
                <w:sz w:val="20"/>
                <w:szCs w:val="20"/>
              </w:rPr>
            </w:pPr>
            <w:r>
              <w:rPr>
                <w:rFonts w:hint="eastAsia" w:ascii="宋体" w:hAnsi="宋体" w:eastAsia="宋体" w:cs="Times New Roman"/>
                <w:color w:val="000000"/>
                <w:kern w:val="0"/>
                <w:sz w:val="20"/>
                <w:szCs w:val="20"/>
              </w:rPr>
              <w:t>4</w:t>
            </w:r>
          </w:p>
        </w:tc>
        <w:tc>
          <w:tcPr>
            <w:tcW w:w="662" w:type="pct"/>
            <w:vAlign w:val="center"/>
          </w:tcPr>
          <w:p w14:paraId="3A46B99C">
            <w:pPr>
              <w:pStyle w:val="146"/>
              <w:rPr>
                <w:rFonts w:hint="eastAsia" w:ascii="宋体" w:hAnsi="宋体" w:eastAsia="宋体" w:cs="宋体"/>
                <w:sz w:val="16"/>
                <w:szCs w:val="16"/>
                <w:lang w:bidi="ar"/>
              </w:rPr>
            </w:pPr>
          </w:p>
        </w:tc>
        <w:tc>
          <w:tcPr>
            <w:tcW w:w="678" w:type="pct"/>
            <w:vAlign w:val="center"/>
          </w:tcPr>
          <w:p w14:paraId="4F4D83E5">
            <w:pPr>
              <w:pStyle w:val="146"/>
              <w:rPr>
                <w:rFonts w:hint="eastAsia" w:ascii="宋体" w:hAnsi="宋体" w:eastAsia="宋体" w:cs="宋体"/>
                <w:sz w:val="16"/>
                <w:szCs w:val="16"/>
                <w:lang w:bidi="ar"/>
              </w:rPr>
            </w:pPr>
          </w:p>
        </w:tc>
        <w:tc>
          <w:tcPr>
            <w:tcW w:w="315" w:type="pct"/>
            <w:vAlign w:val="center"/>
          </w:tcPr>
          <w:p w14:paraId="5772CA21">
            <w:pPr>
              <w:widowControl/>
              <w:jc w:val="center"/>
              <w:textAlignment w:val="center"/>
              <w:rPr>
                <w:rFonts w:hint="eastAsia" w:ascii="宋体" w:hAnsi="宋体" w:eastAsia="宋体" w:cs="Times New Roman"/>
                <w:color w:val="000000"/>
                <w:sz w:val="20"/>
                <w:szCs w:val="20"/>
              </w:rPr>
            </w:pPr>
          </w:p>
        </w:tc>
        <w:tc>
          <w:tcPr>
            <w:tcW w:w="659" w:type="pct"/>
          </w:tcPr>
          <w:p w14:paraId="4E72ABF6">
            <w:pPr>
              <w:jc w:val="center"/>
              <w:rPr>
                <w:rFonts w:hint="eastAsia"/>
              </w:rPr>
            </w:pPr>
          </w:p>
        </w:tc>
        <w:tc>
          <w:tcPr>
            <w:tcW w:w="854" w:type="pct"/>
            <w:vAlign w:val="center"/>
          </w:tcPr>
          <w:p w14:paraId="4F85DED4">
            <w:pPr>
              <w:widowControl/>
              <w:jc w:val="center"/>
              <w:textAlignment w:val="center"/>
              <w:rPr>
                <w:rFonts w:hint="eastAsia" w:ascii="宋体" w:hAnsi="宋体" w:eastAsia="宋体" w:cs="Times New Roman"/>
                <w:color w:val="000000"/>
                <w:sz w:val="20"/>
                <w:szCs w:val="20"/>
              </w:rPr>
            </w:pPr>
          </w:p>
        </w:tc>
        <w:tc>
          <w:tcPr>
            <w:tcW w:w="564" w:type="pct"/>
          </w:tcPr>
          <w:p w14:paraId="6AF8C7C3">
            <w:pPr>
              <w:jc w:val="center"/>
              <w:rPr>
                <w:rFonts w:hint="eastAsia"/>
              </w:rPr>
            </w:pPr>
          </w:p>
        </w:tc>
        <w:tc>
          <w:tcPr>
            <w:tcW w:w="473" w:type="pct"/>
            <w:vAlign w:val="center"/>
          </w:tcPr>
          <w:p w14:paraId="41C03B31">
            <w:pPr>
              <w:jc w:val="center"/>
              <w:rPr>
                <w:rFonts w:hint="eastAsia" w:ascii="宋体" w:hAnsi="宋体" w:eastAsia="宋体" w:cs="Times New Roman"/>
                <w:color w:val="000000"/>
                <w:sz w:val="20"/>
                <w:szCs w:val="20"/>
              </w:rPr>
            </w:pPr>
          </w:p>
        </w:tc>
        <w:tc>
          <w:tcPr>
            <w:tcW w:w="473" w:type="pct"/>
            <w:vAlign w:val="center"/>
          </w:tcPr>
          <w:p w14:paraId="1F25EA61">
            <w:pPr>
              <w:jc w:val="center"/>
              <w:rPr>
                <w:rFonts w:hint="eastAsia" w:ascii="宋体" w:hAnsi="宋体" w:eastAsia="宋体" w:cs="Times New Roman"/>
                <w:color w:val="000000"/>
                <w:sz w:val="20"/>
                <w:szCs w:val="20"/>
              </w:rPr>
            </w:pPr>
          </w:p>
        </w:tc>
      </w:tr>
      <w:tr w14:paraId="7767B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322" w:type="pct"/>
            <w:vAlign w:val="center"/>
          </w:tcPr>
          <w:p w14:paraId="73E6E11A">
            <w:pPr>
              <w:widowControl/>
              <w:jc w:val="center"/>
              <w:textAlignment w:val="center"/>
              <w:rPr>
                <w:rFonts w:hint="eastAsia" w:ascii="宋体" w:hAnsi="宋体" w:eastAsia="宋体" w:cs="Times New Roman"/>
                <w:color w:val="000000"/>
                <w:kern w:val="0"/>
                <w:sz w:val="20"/>
                <w:szCs w:val="20"/>
              </w:rPr>
            </w:pPr>
            <w:r>
              <w:rPr>
                <w:rFonts w:hint="eastAsia" w:ascii="宋体" w:hAnsi="宋体" w:eastAsia="宋体" w:cs="Times New Roman"/>
                <w:color w:val="000000"/>
                <w:kern w:val="0"/>
                <w:sz w:val="20"/>
                <w:szCs w:val="20"/>
              </w:rPr>
              <w:t>5</w:t>
            </w:r>
          </w:p>
        </w:tc>
        <w:tc>
          <w:tcPr>
            <w:tcW w:w="662" w:type="pct"/>
            <w:vAlign w:val="center"/>
          </w:tcPr>
          <w:p w14:paraId="01B751E2">
            <w:pPr>
              <w:widowControl/>
              <w:jc w:val="center"/>
              <w:textAlignment w:val="center"/>
              <w:rPr>
                <w:rFonts w:hint="eastAsia" w:ascii="宋体" w:hAnsi="宋体" w:eastAsia="宋体" w:cs="Times New Roman"/>
                <w:color w:val="000000"/>
                <w:kern w:val="0"/>
                <w:sz w:val="20"/>
                <w:szCs w:val="20"/>
              </w:rPr>
            </w:pPr>
          </w:p>
        </w:tc>
        <w:tc>
          <w:tcPr>
            <w:tcW w:w="678" w:type="pct"/>
            <w:vAlign w:val="center"/>
          </w:tcPr>
          <w:p w14:paraId="7E852863">
            <w:pPr>
              <w:pStyle w:val="127"/>
              <w:ind w:firstLine="0" w:firstLineChars="0"/>
              <w:jc w:val="center"/>
              <w:rPr>
                <w:rFonts w:hint="eastAsia" w:ascii="宋体" w:hAnsi="宋体" w:cs="宋体"/>
                <w:color w:val="000000"/>
                <w:kern w:val="0"/>
                <w:sz w:val="16"/>
                <w:szCs w:val="16"/>
                <w:lang w:bidi="ar"/>
              </w:rPr>
            </w:pPr>
          </w:p>
        </w:tc>
        <w:tc>
          <w:tcPr>
            <w:tcW w:w="315" w:type="pct"/>
            <w:vAlign w:val="center"/>
          </w:tcPr>
          <w:p w14:paraId="3529FA45">
            <w:pPr>
              <w:widowControl/>
              <w:jc w:val="center"/>
              <w:textAlignment w:val="center"/>
              <w:rPr>
                <w:rFonts w:hint="eastAsia" w:ascii="宋体" w:hAnsi="宋体" w:eastAsia="宋体" w:cs="Times New Roman"/>
                <w:color w:val="000000"/>
                <w:kern w:val="0"/>
                <w:sz w:val="20"/>
                <w:szCs w:val="20"/>
              </w:rPr>
            </w:pPr>
          </w:p>
        </w:tc>
        <w:tc>
          <w:tcPr>
            <w:tcW w:w="659" w:type="pct"/>
            <w:vAlign w:val="center"/>
          </w:tcPr>
          <w:p w14:paraId="2E667FD1">
            <w:pPr>
              <w:widowControl/>
              <w:jc w:val="center"/>
              <w:textAlignment w:val="center"/>
              <w:rPr>
                <w:rFonts w:hint="eastAsia" w:ascii="宋体" w:hAnsi="宋体" w:eastAsia="宋体" w:cs="Times New Roman"/>
                <w:color w:val="000000"/>
                <w:sz w:val="20"/>
                <w:szCs w:val="20"/>
              </w:rPr>
            </w:pPr>
          </w:p>
        </w:tc>
        <w:tc>
          <w:tcPr>
            <w:tcW w:w="854" w:type="pct"/>
            <w:vAlign w:val="center"/>
          </w:tcPr>
          <w:p w14:paraId="4A7CBAE0">
            <w:pPr>
              <w:widowControl/>
              <w:jc w:val="center"/>
              <w:textAlignment w:val="center"/>
              <w:rPr>
                <w:rFonts w:hint="eastAsia" w:ascii="宋体" w:hAnsi="宋体" w:eastAsia="宋体" w:cs="Times New Roman"/>
                <w:color w:val="000000"/>
                <w:kern w:val="0"/>
                <w:sz w:val="20"/>
                <w:szCs w:val="20"/>
              </w:rPr>
            </w:pPr>
          </w:p>
        </w:tc>
        <w:tc>
          <w:tcPr>
            <w:tcW w:w="564" w:type="pct"/>
            <w:vAlign w:val="center"/>
          </w:tcPr>
          <w:p w14:paraId="165F2DA3">
            <w:pPr>
              <w:jc w:val="center"/>
              <w:rPr>
                <w:rFonts w:hint="eastAsia" w:ascii="宋体" w:hAnsi="宋体" w:eastAsia="宋体" w:cs="Times New Roman"/>
                <w:color w:val="000000"/>
                <w:sz w:val="20"/>
                <w:szCs w:val="20"/>
              </w:rPr>
            </w:pPr>
          </w:p>
        </w:tc>
        <w:tc>
          <w:tcPr>
            <w:tcW w:w="473" w:type="pct"/>
            <w:vAlign w:val="center"/>
          </w:tcPr>
          <w:p w14:paraId="6C96C241">
            <w:pPr>
              <w:jc w:val="center"/>
              <w:rPr>
                <w:rFonts w:hint="eastAsia" w:ascii="宋体" w:hAnsi="宋体" w:eastAsia="宋体" w:cs="Times New Roman"/>
                <w:color w:val="000000"/>
                <w:sz w:val="20"/>
                <w:szCs w:val="20"/>
              </w:rPr>
            </w:pPr>
          </w:p>
        </w:tc>
        <w:tc>
          <w:tcPr>
            <w:tcW w:w="473" w:type="pct"/>
            <w:vAlign w:val="center"/>
          </w:tcPr>
          <w:p w14:paraId="10C28C73">
            <w:pPr>
              <w:jc w:val="center"/>
              <w:rPr>
                <w:rFonts w:hint="eastAsia" w:ascii="宋体" w:hAnsi="宋体" w:eastAsia="宋体" w:cs="Times New Roman"/>
                <w:color w:val="000000"/>
                <w:sz w:val="20"/>
                <w:szCs w:val="20"/>
              </w:rPr>
            </w:pPr>
          </w:p>
        </w:tc>
      </w:tr>
      <w:tr w14:paraId="056E5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322" w:type="pct"/>
            <w:vAlign w:val="center"/>
          </w:tcPr>
          <w:p w14:paraId="2E53EC79">
            <w:pPr>
              <w:widowControl/>
              <w:jc w:val="center"/>
              <w:textAlignment w:val="center"/>
              <w:rPr>
                <w:rFonts w:hint="eastAsia" w:ascii="宋体" w:hAnsi="宋体" w:eastAsia="宋体" w:cs="Times New Roman"/>
                <w:color w:val="000000"/>
                <w:kern w:val="0"/>
                <w:sz w:val="20"/>
                <w:szCs w:val="20"/>
              </w:rPr>
            </w:pPr>
            <w:r>
              <w:rPr>
                <w:rFonts w:hint="eastAsia" w:ascii="宋体" w:hAnsi="宋体" w:eastAsia="宋体" w:cs="Times New Roman"/>
                <w:color w:val="000000"/>
                <w:kern w:val="0"/>
                <w:sz w:val="20"/>
                <w:szCs w:val="20"/>
              </w:rPr>
              <w:t>6</w:t>
            </w:r>
          </w:p>
        </w:tc>
        <w:tc>
          <w:tcPr>
            <w:tcW w:w="662" w:type="pct"/>
            <w:vAlign w:val="center"/>
          </w:tcPr>
          <w:p w14:paraId="5E25FFC7">
            <w:pPr>
              <w:widowControl/>
              <w:jc w:val="center"/>
              <w:textAlignment w:val="center"/>
              <w:rPr>
                <w:rFonts w:hint="eastAsia" w:ascii="宋体" w:hAnsi="宋体" w:eastAsia="宋体" w:cs="Times New Roman"/>
                <w:color w:val="000000"/>
                <w:kern w:val="0"/>
                <w:sz w:val="20"/>
                <w:szCs w:val="20"/>
              </w:rPr>
            </w:pPr>
          </w:p>
        </w:tc>
        <w:tc>
          <w:tcPr>
            <w:tcW w:w="678" w:type="pct"/>
            <w:vAlign w:val="center"/>
          </w:tcPr>
          <w:p w14:paraId="5C655FE8">
            <w:pPr>
              <w:widowControl/>
              <w:jc w:val="center"/>
              <w:textAlignment w:val="center"/>
              <w:rPr>
                <w:rFonts w:hint="eastAsia" w:ascii="宋体" w:hAnsi="宋体" w:cs="宋体"/>
                <w:color w:val="000000"/>
                <w:kern w:val="0"/>
                <w:sz w:val="16"/>
                <w:szCs w:val="16"/>
                <w:lang w:bidi="ar"/>
              </w:rPr>
            </w:pPr>
          </w:p>
        </w:tc>
        <w:tc>
          <w:tcPr>
            <w:tcW w:w="315" w:type="pct"/>
            <w:vAlign w:val="center"/>
          </w:tcPr>
          <w:p w14:paraId="03B98C65">
            <w:pPr>
              <w:widowControl/>
              <w:jc w:val="center"/>
              <w:textAlignment w:val="center"/>
              <w:rPr>
                <w:rFonts w:hint="eastAsia" w:ascii="宋体" w:hAnsi="宋体" w:eastAsia="宋体" w:cs="Times New Roman"/>
                <w:color w:val="000000"/>
                <w:kern w:val="0"/>
                <w:sz w:val="20"/>
                <w:szCs w:val="20"/>
              </w:rPr>
            </w:pPr>
          </w:p>
        </w:tc>
        <w:tc>
          <w:tcPr>
            <w:tcW w:w="659" w:type="pct"/>
            <w:vAlign w:val="center"/>
          </w:tcPr>
          <w:p w14:paraId="35A6768A">
            <w:pPr>
              <w:widowControl/>
              <w:jc w:val="center"/>
              <w:textAlignment w:val="center"/>
              <w:rPr>
                <w:rFonts w:hint="eastAsia" w:ascii="宋体" w:hAnsi="宋体" w:eastAsia="宋体" w:cs="Times New Roman"/>
                <w:color w:val="000000"/>
                <w:sz w:val="20"/>
                <w:szCs w:val="20"/>
              </w:rPr>
            </w:pPr>
          </w:p>
        </w:tc>
        <w:tc>
          <w:tcPr>
            <w:tcW w:w="854" w:type="pct"/>
            <w:vAlign w:val="center"/>
          </w:tcPr>
          <w:p w14:paraId="24531418">
            <w:pPr>
              <w:widowControl/>
              <w:jc w:val="center"/>
              <w:textAlignment w:val="center"/>
              <w:rPr>
                <w:rFonts w:hint="eastAsia" w:ascii="宋体" w:hAnsi="宋体" w:eastAsia="宋体" w:cs="Times New Roman"/>
                <w:color w:val="000000"/>
                <w:kern w:val="0"/>
                <w:sz w:val="20"/>
                <w:szCs w:val="20"/>
              </w:rPr>
            </w:pPr>
          </w:p>
        </w:tc>
        <w:tc>
          <w:tcPr>
            <w:tcW w:w="564" w:type="pct"/>
            <w:vAlign w:val="center"/>
          </w:tcPr>
          <w:p w14:paraId="08CC61CB">
            <w:pPr>
              <w:jc w:val="center"/>
              <w:rPr>
                <w:rFonts w:hint="eastAsia" w:ascii="宋体" w:hAnsi="宋体" w:eastAsia="宋体" w:cs="Times New Roman"/>
                <w:color w:val="000000"/>
                <w:sz w:val="20"/>
                <w:szCs w:val="20"/>
              </w:rPr>
            </w:pPr>
          </w:p>
        </w:tc>
        <w:tc>
          <w:tcPr>
            <w:tcW w:w="473" w:type="pct"/>
            <w:vAlign w:val="center"/>
          </w:tcPr>
          <w:p w14:paraId="7FF86AE7">
            <w:pPr>
              <w:jc w:val="center"/>
              <w:rPr>
                <w:rFonts w:hint="eastAsia" w:ascii="宋体" w:hAnsi="宋体" w:eastAsia="宋体" w:cs="Times New Roman"/>
                <w:color w:val="000000"/>
                <w:sz w:val="20"/>
                <w:szCs w:val="20"/>
              </w:rPr>
            </w:pPr>
          </w:p>
        </w:tc>
        <w:tc>
          <w:tcPr>
            <w:tcW w:w="473" w:type="pct"/>
            <w:vAlign w:val="center"/>
          </w:tcPr>
          <w:p w14:paraId="04B63C03">
            <w:pPr>
              <w:jc w:val="center"/>
              <w:rPr>
                <w:rFonts w:hint="eastAsia" w:ascii="宋体" w:hAnsi="宋体" w:eastAsia="宋体" w:cs="Times New Roman"/>
                <w:color w:val="000000"/>
                <w:sz w:val="20"/>
                <w:szCs w:val="20"/>
              </w:rPr>
            </w:pPr>
          </w:p>
        </w:tc>
      </w:tr>
      <w:tr w14:paraId="1098A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322" w:type="pct"/>
            <w:vAlign w:val="center"/>
          </w:tcPr>
          <w:p w14:paraId="3FC51F68">
            <w:pPr>
              <w:widowControl/>
              <w:jc w:val="center"/>
              <w:textAlignment w:val="center"/>
              <w:rPr>
                <w:rFonts w:hint="eastAsia" w:ascii="宋体" w:hAnsi="宋体" w:eastAsia="宋体" w:cs="Times New Roman"/>
                <w:color w:val="000000"/>
                <w:kern w:val="0"/>
                <w:sz w:val="20"/>
                <w:szCs w:val="20"/>
              </w:rPr>
            </w:pPr>
            <w:r>
              <w:rPr>
                <w:rFonts w:hint="eastAsia" w:ascii="宋体" w:hAnsi="宋体" w:eastAsia="宋体" w:cs="Times New Roman"/>
                <w:color w:val="000000"/>
                <w:kern w:val="0"/>
                <w:sz w:val="20"/>
                <w:szCs w:val="20"/>
              </w:rPr>
              <w:t>7</w:t>
            </w:r>
          </w:p>
        </w:tc>
        <w:tc>
          <w:tcPr>
            <w:tcW w:w="662" w:type="pct"/>
            <w:vAlign w:val="center"/>
          </w:tcPr>
          <w:p w14:paraId="7E49A789">
            <w:pPr>
              <w:widowControl/>
              <w:jc w:val="center"/>
              <w:textAlignment w:val="center"/>
              <w:rPr>
                <w:rFonts w:hint="eastAsia" w:ascii="宋体" w:hAnsi="宋体" w:eastAsia="宋体" w:cs="Times New Roman"/>
                <w:color w:val="000000"/>
                <w:kern w:val="0"/>
                <w:sz w:val="20"/>
                <w:szCs w:val="20"/>
              </w:rPr>
            </w:pPr>
          </w:p>
        </w:tc>
        <w:tc>
          <w:tcPr>
            <w:tcW w:w="678" w:type="pct"/>
            <w:vAlign w:val="center"/>
          </w:tcPr>
          <w:p w14:paraId="57F8C4B6">
            <w:pPr>
              <w:widowControl/>
              <w:jc w:val="center"/>
              <w:textAlignment w:val="center"/>
              <w:rPr>
                <w:rFonts w:hint="eastAsia" w:ascii="宋体" w:hAnsi="宋体" w:cs="宋体"/>
                <w:color w:val="000000"/>
                <w:kern w:val="0"/>
                <w:sz w:val="16"/>
                <w:szCs w:val="16"/>
                <w:lang w:bidi="ar"/>
              </w:rPr>
            </w:pPr>
          </w:p>
        </w:tc>
        <w:tc>
          <w:tcPr>
            <w:tcW w:w="315" w:type="pct"/>
            <w:vAlign w:val="center"/>
          </w:tcPr>
          <w:p w14:paraId="636C08D5">
            <w:pPr>
              <w:widowControl/>
              <w:jc w:val="center"/>
              <w:textAlignment w:val="center"/>
              <w:rPr>
                <w:rFonts w:hint="eastAsia" w:ascii="宋体" w:hAnsi="宋体" w:eastAsia="宋体" w:cs="Times New Roman"/>
                <w:color w:val="000000"/>
                <w:kern w:val="0"/>
                <w:sz w:val="20"/>
                <w:szCs w:val="20"/>
              </w:rPr>
            </w:pPr>
          </w:p>
        </w:tc>
        <w:tc>
          <w:tcPr>
            <w:tcW w:w="659" w:type="pct"/>
            <w:vAlign w:val="center"/>
          </w:tcPr>
          <w:p w14:paraId="0EC0DE6E">
            <w:pPr>
              <w:widowControl/>
              <w:jc w:val="center"/>
              <w:textAlignment w:val="center"/>
              <w:rPr>
                <w:rFonts w:hint="eastAsia" w:ascii="宋体" w:hAnsi="宋体" w:eastAsia="宋体" w:cs="Times New Roman"/>
                <w:color w:val="000000"/>
                <w:sz w:val="20"/>
                <w:szCs w:val="20"/>
              </w:rPr>
            </w:pPr>
          </w:p>
        </w:tc>
        <w:tc>
          <w:tcPr>
            <w:tcW w:w="854" w:type="pct"/>
            <w:vAlign w:val="center"/>
          </w:tcPr>
          <w:p w14:paraId="12C74BD3">
            <w:pPr>
              <w:widowControl/>
              <w:jc w:val="center"/>
              <w:textAlignment w:val="center"/>
              <w:rPr>
                <w:rFonts w:hint="eastAsia" w:ascii="宋体" w:hAnsi="宋体" w:eastAsia="宋体" w:cs="Times New Roman"/>
                <w:color w:val="000000"/>
                <w:kern w:val="0"/>
                <w:sz w:val="20"/>
                <w:szCs w:val="20"/>
              </w:rPr>
            </w:pPr>
          </w:p>
        </w:tc>
        <w:tc>
          <w:tcPr>
            <w:tcW w:w="564" w:type="pct"/>
            <w:vAlign w:val="center"/>
          </w:tcPr>
          <w:p w14:paraId="4E7FDA07">
            <w:pPr>
              <w:jc w:val="center"/>
              <w:rPr>
                <w:rFonts w:hint="eastAsia" w:ascii="宋体" w:hAnsi="宋体" w:eastAsia="宋体" w:cs="Times New Roman"/>
                <w:color w:val="000000"/>
                <w:sz w:val="20"/>
                <w:szCs w:val="20"/>
              </w:rPr>
            </w:pPr>
          </w:p>
        </w:tc>
        <w:tc>
          <w:tcPr>
            <w:tcW w:w="473" w:type="pct"/>
            <w:vAlign w:val="center"/>
          </w:tcPr>
          <w:p w14:paraId="53BA95C4">
            <w:pPr>
              <w:jc w:val="center"/>
              <w:rPr>
                <w:rFonts w:hint="eastAsia" w:ascii="宋体" w:hAnsi="宋体" w:eastAsia="宋体" w:cs="Times New Roman"/>
                <w:color w:val="000000"/>
                <w:sz w:val="20"/>
                <w:szCs w:val="20"/>
              </w:rPr>
            </w:pPr>
          </w:p>
        </w:tc>
        <w:tc>
          <w:tcPr>
            <w:tcW w:w="473" w:type="pct"/>
            <w:vAlign w:val="center"/>
          </w:tcPr>
          <w:p w14:paraId="0B299B9E">
            <w:pPr>
              <w:jc w:val="center"/>
              <w:rPr>
                <w:rFonts w:hint="eastAsia" w:ascii="宋体" w:hAnsi="宋体" w:eastAsia="宋体" w:cs="Times New Roman"/>
                <w:color w:val="000000"/>
                <w:sz w:val="20"/>
                <w:szCs w:val="20"/>
              </w:rPr>
            </w:pPr>
          </w:p>
        </w:tc>
      </w:tr>
    </w:tbl>
    <w:p w14:paraId="1F473A9D">
      <w:pPr>
        <w:spacing w:before="52"/>
        <w:ind w:left="9"/>
        <w:jc w:val="right"/>
        <w:rPr>
          <w:rFonts w:hint="eastAsia" w:ascii="宋体" w:hAnsi="宋体" w:eastAsia="宋体" w:cs="Times New Roman"/>
          <w:szCs w:val="21"/>
        </w:rPr>
      </w:pPr>
      <w:r>
        <w:rPr>
          <w:rFonts w:hint="eastAsia" w:ascii="宋体" w:hAnsi="宋体" w:eastAsia="宋体" w:cs="Times New Roman"/>
          <w:szCs w:val="21"/>
        </w:rPr>
        <w:t xml:space="preserve"> </w:t>
      </w:r>
    </w:p>
    <w:p w14:paraId="0AF68253">
      <w:pPr>
        <w:spacing w:before="58"/>
        <w:ind w:left="8"/>
        <w:rPr>
          <w:rFonts w:hint="eastAsia" w:ascii="宋体" w:hAnsi="宋体" w:eastAsia="宋体" w:cs="Times New Roman"/>
          <w:szCs w:val="21"/>
        </w:rPr>
      </w:pPr>
      <w:r>
        <w:rPr>
          <w:rFonts w:hint="eastAsia" w:ascii="宋体" w:hAnsi="宋体" w:eastAsia="宋体" w:cs="Times New Roman"/>
          <w:spacing w:val="-8"/>
          <w:szCs w:val="21"/>
        </w:rPr>
        <w:t>注： 1.以上</w:t>
      </w:r>
      <w:r>
        <w:rPr>
          <w:rFonts w:hint="eastAsia" w:ascii="宋体" w:hAnsi="宋体" w:eastAsia="宋体" w:cs="Times New Roman"/>
          <w:spacing w:val="-5"/>
          <w:szCs w:val="21"/>
        </w:rPr>
        <w:t>是</w:t>
      </w:r>
      <w:r>
        <w:rPr>
          <w:rFonts w:hint="eastAsia" w:ascii="宋体" w:hAnsi="宋体" w:eastAsia="宋体" w:cs="Times New Roman"/>
          <w:spacing w:val="-4"/>
          <w:szCs w:val="21"/>
        </w:rPr>
        <w:t>各单体设备分项报价应包括的内容， 但不限于此，表中“总价合计”构成主机价格的一部分。</w:t>
      </w:r>
    </w:p>
    <w:p w14:paraId="6446B2C4">
      <w:pPr>
        <w:spacing w:before="78"/>
        <w:ind w:left="431"/>
        <w:rPr>
          <w:rFonts w:hint="eastAsia" w:ascii="宋体" w:hAnsi="宋体" w:eastAsia="宋体" w:cs="Times New Roman"/>
          <w:szCs w:val="21"/>
        </w:rPr>
      </w:pPr>
      <w:r>
        <w:rPr>
          <w:rFonts w:hint="eastAsia" w:ascii="宋体" w:hAnsi="宋体" w:eastAsia="宋体" w:cs="Times New Roman"/>
          <w:spacing w:val="-6"/>
          <w:szCs w:val="21"/>
        </w:rPr>
        <w:t>2.如果按单</w:t>
      </w:r>
      <w:r>
        <w:rPr>
          <w:rFonts w:hint="eastAsia" w:ascii="宋体" w:hAnsi="宋体" w:eastAsia="宋体" w:cs="Times New Roman"/>
          <w:spacing w:val="-5"/>
          <w:szCs w:val="21"/>
        </w:rPr>
        <w:t>价</w:t>
      </w:r>
      <w:r>
        <w:rPr>
          <w:rFonts w:hint="eastAsia" w:ascii="宋体" w:hAnsi="宋体" w:eastAsia="宋体" w:cs="Times New Roman"/>
          <w:spacing w:val="-3"/>
          <w:szCs w:val="21"/>
        </w:rPr>
        <w:t>计算的结果与总价不一致，以单价为准修正总价。</w:t>
      </w:r>
    </w:p>
    <w:p w14:paraId="3DADCC44">
      <w:pPr>
        <w:spacing w:before="85"/>
        <w:ind w:left="432"/>
        <w:rPr>
          <w:rFonts w:hint="eastAsia" w:ascii="等线" w:hAnsi="等线" w:eastAsia="等线" w:cs="Times New Roman"/>
          <w:szCs w:val="21"/>
        </w:rPr>
      </w:pPr>
      <w:r>
        <w:rPr>
          <w:rFonts w:hint="eastAsia" w:ascii="宋体" w:hAnsi="宋体" w:eastAsia="宋体" w:cs="Times New Roman"/>
          <w:spacing w:val="-4"/>
          <w:szCs w:val="21"/>
        </w:rPr>
        <w:t>3.此分项报价，仅是为</w:t>
      </w:r>
      <w:r>
        <w:rPr>
          <w:rFonts w:hint="eastAsia" w:ascii="宋体" w:hAnsi="宋体" w:eastAsia="宋体" w:cs="Times New Roman"/>
          <w:spacing w:val="-2"/>
          <w:szCs w:val="21"/>
        </w:rPr>
        <w:t>了方便招标人对投标文件进行分析比较，不作为限制订立合同的条件</w:t>
      </w:r>
      <w:r>
        <w:rPr>
          <w:rFonts w:hint="eastAsia" w:ascii="宋体" w:hAnsi="宋体" w:eastAsia="宋体" w:cs="Times New Roman"/>
          <w:spacing w:val="-2"/>
          <w:sz w:val="24"/>
          <w:szCs w:val="24"/>
        </w:rPr>
        <w:t>。</w:t>
      </w:r>
    </w:p>
    <w:p w14:paraId="4F06FF33">
      <w:pPr>
        <w:spacing w:before="78"/>
        <w:ind w:left="431"/>
        <w:rPr>
          <w:rFonts w:hint="eastAsia" w:ascii="宋体" w:hAnsi="宋体" w:eastAsia="宋体" w:cs="Times New Roman"/>
          <w:spacing w:val="-6"/>
          <w:szCs w:val="21"/>
        </w:rPr>
      </w:pPr>
      <w:r>
        <w:rPr>
          <w:rFonts w:hint="eastAsia" w:ascii="宋体" w:hAnsi="宋体" w:eastAsia="宋体" w:cs="Times New Roman"/>
          <w:spacing w:val="-6"/>
          <w:szCs w:val="21"/>
        </w:rPr>
        <w:t>4.如上表中的有关费用投标人免费提供，请注明“免费”字样。</w:t>
      </w:r>
    </w:p>
    <w:p w14:paraId="1A314C5E">
      <w:pPr>
        <w:spacing w:before="78"/>
        <w:ind w:left="431"/>
        <w:rPr>
          <w:rFonts w:hint="eastAsia" w:ascii="宋体" w:hAnsi="宋体" w:eastAsia="宋体" w:cs="Times New Roman"/>
          <w:spacing w:val="-6"/>
          <w:szCs w:val="21"/>
        </w:rPr>
      </w:pPr>
      <w:r>
        <w:rPr>
          <w:rFonts w:hint="eastAsia" w:ascii="宋体" w:hAnsi="宋体" w:eastAsia="宋体" w:cs="Times New Roman"/>
          <w:spacing w:val="-6"/>
          <w:szCs w:val="21"/>
        </w:rPr>
        <w:t>5.该明细表所有信息均为必填项，不得删减，价格部分不得合并，可细化可增加。</w:t>
      </w:r>
    </w:p>
    <w:p w14:paraId="5293CC74">
      <w:pPr>
        <w:spacing w:before="78"/>
        <w:ind w:left="431"/>
        <w:rPr>
          <w:rFonts w:hint="eastAsia" w:ascii="宋体" w:hAnsi="宋体" w:eastAsia="宋体" w:cs="Times New Roman"/>
          <w:spacing w:val="-6"/>
          <w:szCs w:val="21"/>
        </w:rPr>
      </w:pPr>
      <w:r>
        <w:rPr>
          <w:rFonts w:hint="eastAsia" w:ascii="宋体" w:hAnsi="宋体" w:eastAsia="宋体" w:cs="Times New Roman"/>
          <w:spacing w:val="-6"/>
          <w:szCs w:val="21"/>
        </w:rPr>
        <w:t>6.因填写不规范造成废标及终止招标的，责任由投标人自负。</w:t>
      </w:r>
    </w:p>
    <w:p w14:paraId="22E917C3">
      <w:pPr>
        <w:spacing w:before="78"/>
        <w:ind w:left="431"/>
        <w:rPr>
          <w:rFonts w:hint="eastAsia" w:ascii="宋体" w:hAnsi="宋体" w:eastAsia="宋体" w:cs="Times New Roman"/>
          <w:spacing w:val="-6"/>
          <w:szCs w:val="21"/>
        </w:rPr>
      </w:pPr>
    </w:p>
    <w:p w14:paraId="743C95B5">
      <w:pPr>
        <w:spacing w:before="78"/>
        <w:ind w:left="431"/>
        <w:rPr>
          <w:rFonts w:hint="eastAsia" w:ascii="宋体" w:hAnsi="宋体" w:eastAsia="宋体" w:cs="Times New Roman"/>
          <w:spacing w:val="-4"/>
          <w:sz w:val="24"/>
          <w:szCs w:val="24"/>
        </w:rPr>
      </w:pPr>
      <w:r>
        <w:rPr>
          <w:rFonts w:hint="eastAsia" w:ascii="宋体" w:hAnsi="宋体" w:eastAsia="宋体" w:cs="Times New Roman"/>
          <w:spacing w:val="-4"/>
          <w:sz w:val="24"/>
          <w:szCs w:val="24"/>
        </w:rPr>
        <w:t>投标人(章)：</w:t>
      </w:r>
    </w:p>
    <w:p w14:paraId="715EB4C4">
      <w:pPr>
        <w:pStyle w:val="11"/>
        <w:rPr>
          <w:rFonts w:hint="eastAsia"/>
        </w:rPr>
      </w:pPr>
    </w:p>
    <w:p w14:paraId="5EF517CF">
      <w:pPr>
        <w:spacing w:before="40"/>
        <w:ind w:firstLine="420"/>
        <w:rPr>
          <w:rFonts w:hint="eastAsia" w:ascii="宋体" w:hAnsi="宋体" w:eastAsia="宋体" w:cs="宋体"/>
          <w:sz w:val="24"/>
          <w:szCs w:val="24"/>
        </w:rPr>
      </w:pPr>
      <w:r>
        <w:rPr>
          <w:rFonts w:hint="eastAsia" w:ascii="宋体" w:hAnsi="宋体" w:eastAsia="宋体" w:cs="Times New Roman"/>
          <w:spacing w:val="-2"/>
          <w:sz w:val="24"/>
          <w:szCs w:val="24"/>
        </w:rPr>
        <w:t>授权代表(签字)：</w:t>
      </w:r>
      <w:r>
        <w:rPr>
          <w:rFonts w:hint="eastAsia" w:ascii="宋体" w:hAnsi="宋体" w:eastAsia="宋体" w:cs="Times New Roman"/>
          <w:spacing w:val="4"/>
          <w:sz w:val="24"/>
          <w:szCs w:val="24"/>
        </w:rPr>
        <w:t xml:space="preserve"> </w:t>
      </w:r>
      <w:r>
        <w:rPr>
          <w:rFonts w:hint="eastAsia" w:ascii="宋体" w:hAnsi="宋体" w:eastAsia="宋体" w:cs="Times New Roman"/>
          <w:spacing w:val="3"/>
          <w:sz w:val="24"/>
          <w:szCs w:val="24"/>
        </w:rPr>
        <w:t xml:space="preserve">                         </w:t>
      </w:r>
      <w:r>
        <w:rPr>
          <w:rFonts w:hint="eastAsia" w:ascii="宋体" w:hAnsi="宋体" w:eastAsia="宋体" w:cs="Times New Roman"/>
          <w:spacing w:val="-2"/>
          <w:sz w:val="24"/>
          <w:szCs w:val="24"/>
        </w:rPr>
        <w:t>年    月    日</w:t>
      </w:r>
    </w:p>
    <w:p w14:paraId="77FB6033">
      <w:pPr>
        <w:pStyle w:val="11"/>
        <w:rPr>
          <w:rFonts w:hint="eastAsia"/>
        </w:rPr>
      </w:pPr>
    </w:p>
    <w:p w14:paraId="5ABA65BA">
      <w:pPr>
        <w:widowControl/>
        <w:jc w:val="left"/>
        <w:rPr>
          <w:rFonts w:hint="eastAsia" w:ascii="宋体" w:hAnsi="宋体" w:eastAsia="宋体" w:cs="宋体"/>
          <w:spacing w:val="-2"/>
          <w:szCs w:val="21"/>
        </w:rPr>
        <w:sectPr>
          <w:pgSz w:w="16841" w:h="11907"/>
          <w:pgMar w:top="400" w:right="1699" w:bottom="1168" w:left="1481" w:header="0" w:footer="990" w:gutter="0"/>
          <w:pgNumType w:fmt="decimal"/>
          <w:cols w:space="720" w:num="1"/>
        </w:sectPr>
      </w:pPr>
    </w:p>
    <w:p w14:paraId="10BF45FB">
      <w:pPr>
        <w:keepNext/>
        <w:keepLines/>
        <w:outlineLvl w:val="2"/>
        <w:rPr>
          <w:rFonts w:ascii="Times New Roman" w:hAnsi="Times New Roman" w:eastAsia="宋体" w:cs="Times New Roman"/>
          <w:b/>
          <w:bCs/>
          <w:color w:val="000000"/>
          <w:sz w:val="24"/>
          <w:szCs w:val="24"/>
        </w:rPr>
      </w:pPr>
      <w:r>
        <w:rPr>
          <w:rFonts w:hint="eastAsia" w:ascii="宋体" w:hAnsi="宋体" w:eastAsia="宋体" w:cs="Times New Roman"/>
          <w:b/>
          <w:bCs/>
          <w:color w:val="000000"/>
          <w:sz w:val="24"/>
          <w:szCs w:val="24"/>
        </w:rPr>
        <w:t>附件</w:t>
      </w:r>
      <w:r>
        <w:rPr>
          <w:rFonts w:hint="eastAsia" w:ascii="Times New Roman" w:hAnsi="Times New Roman" w:eastAsia="宋体" w:cs="Times New Roman"/>
          <w:b/>
          <w:bCs/>
          <w:color w:val="000000"/>
          <w:sz w:val="24"/>
          <w:szCs w:val="24"/>
        </w:rPr>
        <w:t>10</w:t>
      </w:r>
      <w:r>
        <w:rPr>
          <w:rFonts w:ascii="Times New Roman" w:hAnsi="Times New Roman" w:eastAsia="宋体" w:cs="Times New Roman"/>
          <w:b/>
          <w:bCs/>
          <w:color w:val="000000"/>
          <w:sz w:val="24"/>
          <w:szCs w:val="24"/>
        </w:rPr>
        <w:t xml:space="preserve"> </w:t>
      </w:r>
      <w:r>
        <w:rPr>
          <w:rFonts w:hint="eastAsia" w:ascii="宋体" w:hAnsi="宋体" w:eastAsia="宋体" w:cs="Times New Roman"/>
          <w:b/>
          <w:bCs/>
          <w:color w:val="000000"/>
          <w:sz w:val="24"/>
          <w:szCs w:val="24"/>
        </w:rPr>
        <w:t>商务条款偏离表</w:t>
      </w:r>
    </w:p>
    <w:p w14:paraId="154EDF27">
      <w:pPr>
        <w:rPr>
          <w:rFonts w:ascii="Calibri" w:hAnsi="Calibri" w:eastAsia="宋体" w:cs="Times New Roman"/>
          <w:szCs w:val="21"/>
        </w:rPr>
      </w:pPr>
      <w:r>
        <w:rPr>
          <w:rFonts w:ascii="Calibri" w:hAnsi="Calibri" w:eastAsia="宋体" w:cs="Times New Roman"/>
          <w:szCs w:val="21"/>
        </w:rPr>
        <w:t xml:space="preserve"> </w:t>
      </w:r>
    </w:p>
    <w:tbl>
      <w:tblPr>
        <w:tblStyle w:val="37"/>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5DAC3B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left w:val="single" w:color="auto" w:sz="4" w:space="0"/>
              <w:bottom w:val="single" w:color="auto" w:sz="4" w:space="0"/>
              <w:right w:val="single" w:color="auto" w:sz="4" w:space="0"/>
            </w:tcBorders>
            <w:vAlign w:val="center"/>
          </w:tcPr>
          <w:p w14:paraId="225368ED">
            <w:pPr>
              <w:jc w:val="center"/>
              <w:rPr>
                <w:rFonts w:ascii="Times New Roman" w:hAnsi="Times New Roman" w:eastAsia="宋体" w:cs="Times New Roman"/>
                <w:b/>
                <w:szCs w:val="21"/>
              </w:rPr>
            </w:pPr>
            <w:r>
              <w:rPr>
                <w:rFonts w:hint="eastAsia" w:ascii="宋体" w:hAnsi="宋体" w:eastAsia="宋体" w:cs="Times New Roman"/>
                <w:b/>
                <w:szCs w:val="21"/>
              </w:rPr>
              <w:t>项目</w:t>
            </w:r>
          </w:p>
        </w:tc>
        <w:tc>
          <w:tcPr>
            <w:tcW w:w="2875" w:type="dxa"/>
            <w:tcBorders>
              <w:top w:val="single" w:color="auto" w:sz="4" w:space="0"/>
              <w:left w:val="nil"/>
              <w:bottom w:val="single" w:color="auto" w:sz="4" w:space="0"/>
              <w:right w:val="single" w:color="auto" w:sz="4" w:space="0"/>
            </w:tcBorders>
            <w:vAlign w:val="center"/>
          </w:tcPr>
          <w:p w14:paraId="7AAD0F69">
            <w:pPr>
              <w:jc w:val="center"/>
              <w:rPr>
                <w:rFonts w:ascii="Times New Roman" w:hAnsi="Times New Roman" w:eastAsia="宋体" w:cs="Times New Roman"/>
                <w:b/>
                <w:szCs w:val="21"/>
              </w:rPr>
            </w:pPr>
            <w:r>
              <w:rPr>
                <w:rFonts w:hint="eastAsia" w:ascii="宋体" w:hAnsi="宋体" w:eastAsia="宋体" w:cs="Times New Roman"/>
                <w:b/>
                <w:szCs w:val="21"/>
              </w:rPr>
              <w:t>招标文件要求</w:t>
            </w:r>
          </w:p>
        </w:tc>
        <w:tc>
          <w:tcPr>
            <w:tcW w:w="2885" w:type="dxa"/>
            <w:tcBorders>
              <w:top w:val="single" w:color="auto" w:sz="4" w:space="0"/>
              <w:left w:val="nil"/>
              <w:bottom w:val="single" w:color="auto" w:sz="4" w:space="0"/>
              <w:right w:val="single" w:color="auto" w:sz="4" w:space="0"/>
            </w:tcBorders>
            <w:vAlign w:val="center"/>
          </w:tcPr>
          <w:p w14:paraId="6A7C7D72">
            <w:pPr>
              <w:jc w:val="center"/>
              <w:rPr>
                <w:rFonts w:ascii="Times New Roman" w:hAnsi="Times New Roman" w:eastAsia="宋体" w:cs="Times New Roman"/>
                <w:b/>
                <w:szCs w:val="21"/>
              </w:rPr>
            </w:pPr>
            <w:r>
              <w:rPr>
                <w:rFonts w:hint="eastAsia" w:ascii="宋体" w:hAnsi="宋体" w:eastAsia="宋体" w:cs="Times New Roman"/>
                <w:b/>
                <w:szCs w:val="21"/>
              </w:rPr>
              <w:t>响应规格</w:t>
            </w:r>
          </w:p>
        </w:tc>
        <w:tc>
          <w:tcPr>
            <w:tcW w:w="1645" w:type="dxa"/>
            <w:tcBorders>
              <w:top w:val="single" w:color="auto" w:sz="4" w:space="0"/>
              <w:left w:val="nil"/>
              <w:bottom w:val="single" w:color="auto" w:sz="4" w:space="0"/>
              <w:right w:val="single" w:color="auto" w:sz="4" w:space="0"/>
            </w:tcBorders>
            <w:vAlign w:val="center"/>
          </w:tcPr>
          <w:p w14:paraId="61F37420">
            <w:pPr>
              <w:jc w:val="center"/>
              <w:rPr>
                <w:rFonts w:ascii="Times New Roman" w:hAnsi="Times New Roman" w:eastAsia="宋体" w:cs="Times New Roman"/>
                <w:b/>
                <w:szCs w:val="21"/>
              </w:rPr>
            </w:pPr>
            <w:r>
              <w:rPr>
                <w:rFonts w:hint="eastAsia" w:ascii="宋体" w:hAnsi="宋体" w:eastAsia="宋体" w:cs="Times New Roman"/>
                <w:b/>
                <w:szCs w:val="21"/>
              </w:rPr>
              <w:t>是否偏离</w:t>
            </w:r>
          </w:p>
          <w:p w14:paraId="7C8A801C">
            <w:pPr>
              <w:jc w:val="center"/>
              <w:rPr>
                <w:rFonts w:ascii="Times New Roman" w:hAnsi="Times New Roman" w:eastAsia="宋体" w:cs="Times New Roman"/>
                <w:b/>
                <w:szCs w:val="21"/>
              </w:rPr>
            </w:pPr>
            <w:r>
              <w:rPr>
                <w:rFonts w:hint="eastAsia" w:ascii="宋体" w:hAnsi="宋体" w:eastAsia="宋体" w:cs="Times New Roman"/>
                <w:b/>
                <w:szCs w:val="21"/>
              </w:rPr>
              <w:t>（提供说明）</w:t>
            </w:r>
          </w:p>
        </w:tc>
      </w:tr>
      <w:tr w14:paraId="761A23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left w:val="single" w:color="auto" w:sz="4" w:space="0"/>
              <w:bottom w:val="single" w:color="auto" w:sz="4" w:space="0"/>
              <w:right w:val="single" w:color="auto" w:sz="4" w:space="0"/>
            </w:tcBorders>
            <w:vAlign w:val="center"/>
          </w:tcPr>
          <w:p w14:paraId="3DBCFCBD">
            <w:pPr>
              <w:jc w:val="center"/>
              <w:rPr>
                <w:rFonts w:ascii="Times New Roman" w:hAnsi="Times New Roman" w:eastAsia="宋体" w:cs="Times New Roman"/>
                <w:b/>
                <w:szCs w:val="21"/>
              </w:rPr>
            </w:pPr>
            <w:r>
              <w:rPr>
                <w:rFonts w:hint="eastAsia" w:ascii="宋体" w:hAnsi="宋体" w:eastAsia="宋体" w:cs="Times New Roman"/>
                <w:b/>
                <w:szCs w:val="21"/>
              </w:rPr>
              <w:t>质保期</w:t>
            </w:r>
          </w:p>
        </w:tc>
        <w:tc>
          <w:tcPr>
            <w:tcW w:w="2875" w:type="dxa"/>
            <w:tcBorders>
              <w:top w:val="single" w:color="auto" w:sz="4" w:space="0"/>
              <w:left w:val="nil"/>
              <w:bottom w:val="single" w:color="auto" w:sz="4" w:space="0"/>
              <w:right w:val="single" w:color="auto" w:sz="4" w:space="0"/>
            </w:tcBorders>
            <w:vAlign w:val="center"/>
          </w:tcPr>
          <w:p w14:paraId="380FBF30">
            <w:pPr>
              <w:jc w:val="center"/>
              <w:rPr>
                <w:rFonts w:ascii="Times New Roman" w:hAnsi="Times New Roman" w:eastAsia="宋体" w:cs="Times New Roman"/>
                <w:b/>
                <w:szCs w:val="21"/>
              </w:rPr>
            </w:pPr>
          </w:p>
        </w:tc>
        <w:tc>
          <w:tcPr>
            <w:tcW w:w="2885" w:type="dxa"/>
            <w:tcBorders>
              <w:top w:val="single" w:color="auto" w:sz="4" w:space="0"/>
              <w:left w:val="nil"/>
              <w:bottom w:val="single" w:color="auto" w:sz="4" w:space="0"/>
              <w:right w:val="single" w:color="auto" w:sz="4" w:space="0"/>
            </w:tcBorders>
            <w:vAlign w:val="center"/>
          </w:tcPr>
          <w:p w14:paraId="0C8D0225">
            <w:pPr>
              <w:jc w:val="center"/>
              <w:rPr>
                <w:rFonts w:ascii="Times New Roman" w:hAnsi="Times New Roman" w:eastAsia="宋体" w:cs="Times New Roman"/>
                <w:b/>
                <w:szCs w:val="21"/>
              </w:rPr>
            </w:pPr>
          </w:p>
        </w:tc>
        <w:tc>
          <w:tcPr>
            <w:tcW w:w="1645" w:type="dxa"/>
            <w:tcBorders>
              <w:top w:val="single" w:color="auto" w:sz="4" w:space="0"/>
              <w:left w:val="nil"/>
              <w:bottom w:val="single" w:color="auto" w:sz="4" w:space="0"/>
              <w:right w:val="single" w:color="auto" w:sz="4" w:space="0"/>
            </w:tcBorders>
            <w:vAlign w:val="center"/>
          </w:tcPr>
          <w:p w14:paraId="6911E994">
            <w:pPr>
              <w:jc w:val="center"/>
              <w:rPr>
                <w:rFonts w:ascii="Times New Roman" w:hAnsi="Times New Roman" w:eastAsia="宋体" w:cs="Times New Roman"/>
                <w:b/>
                <w:szCs w:val="21"/>
              </w:rPr>
            </w:pPr>
          </w:p>
        </w:tc>
      </w:tr>
      <w:tr w14:paraId="0D086F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left w:val="single" w:color="auto" w:sz="4" w:space="0"/>
              <w:bottom w:val="single" w:color="auto" w:sz="4" w:space="0"/>
              <w:right w:val="single" w:color="auto" w:sz="4" w:space="0"/>
            </w:tcBorders>
            <w:vAlign w:val="center"/>
          </w:tcPr>
          <w:p w14:paraId="7C9C0844">
            <w:pPr>
              <w:jc w:val="center"/>
              <w:rPr>
                <w:rFonts w:ascii="Times New Roman" w:hAnsi="Times New Roman" w:eastAsia="宋体" w:cs="Times New Roman"/>
                <w:b/>
                <w:szCs w:val="21"/>
              </w:rPr>
            </w:pPr>
            <w:r>
              <w:rPr>
                <w:rFonts w:hint="eastAsia" w:ascii="宋体" w:hAnsi="宋体" w:eastAsia="宋体" w:cs="Times New Roman"/>
                <w:b/>
                <w:szCs w:val="21"/>
              </w:rPr>
              <w:t>交货时间及地点</w:t>
            </w:r>
          </w:p>
        </w:tc>
        <w:tc>
          <w:tcPr>
            <w:tcW w:w="2875" w:type="dxa"/>
            <w:tcBorders>
              <w:top w:val="single" w:color="auto" w:sz="4" w:space="0"/>
              <w:left w:val="nil"/>
              <w:bottom w:val="single" w:color="auto" w:sz="4" w:space="0"/>
              <w:right w:val="single" w:color="auto" w:sz="4" w:space="0"/>
            </w:tcBorders>
            <w:vAlign w:val="center"/>
          </w:tcPr>
          <w:p w14:paraId="09A3DFB7">
            <w:pPr>
              <w:jc w:val="center"/>
              <w:rPr>
                <w:rFonts w:ascii="Times New Roman" w:hAnsi="Times New Roman" w:eastAsia="宋体" w:cs="Times New Roman"/>
                <w:b/>
                <w:szCs w:val="21"/>
              </w:rPr>
            </w:pPr>
          </w:p>
        </w:tc>
        <w:tc>
          <w:tcPr>
            <w:tcW w:w="2885" w:type="dxa"/>
            <w:tcBorders>
              <w:top w:val="single" w:color="auto" w:sz="4" w:space="0"/>
              <w:left w:val="nil"/>
              <w:bottom w:val="single" w:color="auto" w:sz="4" w:space="0"/>
              <w:right w:val="single" w:color="auto" w:sz="4" w:space="0"/>
            </w:tcBorders>
            <w:vAlign w:val="center"/>
          </w:tcPr>
          <w:p w14:paraId="25DFA24F">
            <w:pPr>
              <w:jc w:val="center"/>
              <w:rPr>
                <w:rFonts w:ascii="Times New Roman" w:hAnsi="Times New Roman" w:eastAsia="宋体" w:cs="Times New Roman"/>
                <w:b/>
                <w:szCs w:val="21"/>
              </w:rPr>
            </w:pPr>
          </w:p>
        </w:tc>
        <w:tc>
          <w:tcPr>
            <w:tcW w:w="1645" w:type="dxa"/>
            <w:tcBorders>
              <w:top w:val="single" w:color="auto" w:sz="4" w:space="0"/>
              <w:left w:val="nil"/>
              <w:bottom w:val="single" w:color="auto" w:sz="4" w:space="0"/>
              <w:right w:val="single" w:color="auto" w:sz="4" w:space="0"/>
            </w:tcBorders>
            <w:vAlign w:val="center"/>
          </w:tcPr>
          <w:p w14:paraId="747C0B0F">
            <w:pPr>
              <w:jc w:val="center"/>
              <w:rPr>
                <w:rFonts w:ascii="Times New Roman" w:hAnsi="Times New Roman" w:eastAsia="宋体" w:cs="Times New Roman"/>
                <w:b/>
                <w:szCs w:val="21"/>
              </w:rPr>
            </w:pPr>
          </w:p>
        </w:tc>
      </w:tr>
      <w:tr w14:paraId="67765D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left w:val="single" w:color="auto" w:sz="4" w:space="0"/>
              <w:bottom w:val="single" w:color="auto" w:sz="4" w:space="0"/>
              <w:right w:val="single" w:color="auto" w:sz="4" w:space="0"/>
            </w:tcBorders>
            <w:vAlign w:val="center"/>
          </w:tcPr>
          <w:p w14:paraId="740624BA">
            <w:pPr>
              <w:jc w:val="center"/>
              <w:rPr>
                <w:rFonts w:ascii="Times New Roman" w:hAnsi="Times New Roman" w:eastAsia="宋体" w:cs="Times New Roman"/>
                <w:b/>
                <w:szCs w:val="21"/>
              </w:rPr>
            </w:pPr>
            <w:r>
              <w:rPr>
                <w:rFonts w:hint="eastAsia" w:ascii="宋体" w:hAnsi="宋体" w:eastAsia="宋体" w:cs="Times New Roman"/>
                <w:b/>
                <w:szCs w:val="21"/>
              </w:rPr>
              <w:t>付款条件</w:t>
            </w:r>
          </w:p>
        </w:tc>
        <w:tc>
          <w:tcPr>
            <w:tcW w:w="2875" w:type="dxa"/>
            <w:tcBorders>
              <w:top w:val="single" w:color="auto" w:sz="4" w:space="0"/>
              <w:left w:val="nil"/>
              <w:bottom w:val="single" w:color="auto" w:sz="4" w:space="0"/>
              <w:right w:val="single" w:color="auto" w:sz="4" w:space="0"/>
            </w:tcBorders>
          </w:tcPr>
          <w:p w14:paraId="4A3FF5B9">
            <w:pPr>
              <w:jc w:val="center"/>
              <w:rPr>
                <w:rFonts w:ascii="Times New Roman" w:hAnsi="Times New Roman" w:eastAsia="宋体" w:cs="Times New Roman"/>
                <w:b/>
                <w:szCs w:val="21"/>
              </w:rPr>
            </w:pPr>
          </w:p>
        </w:tc>
        <w:tc>
          <w:tcPr>
            <w:tcW w:w="2885" w:type="dxa"/>
            <w:tcBorders>
              <w:top w:val="single" w:color="auto" w:sz="4" w:space="0"/>
              <w:left w:val="nil"/>
              <w:bottom w:val="single" w:color="auto" w:sz="4" w:space="0"/>
              <w:right w:val="single" w:color="auto" w:sz="4" w:space="0"/>
            </w:tcBorders>
          </w:tcPr>
          <w:p w14:paraId="4E3BB5D9">
            <w:pPr>
              <w:jc w:val="center"/>
              <w:rPr>
                <w:rFonts w:ascii="Times New Roman" w:hAnsi="Times New Roman" w:eastAsia="宋体" w:cs="Times New Roman"/>
                <w:b/>
                <w:szCs w:val="21"/>
              </w:rPr>
            </w:pPr>
          </w:p>
        </w:tc>
        <w:tc>
          <w:tcPr>
            <w:tcW w:w="1645" w:type="dxa"/>
            <w:tcBorders>
              <w:top w:val="single" w:color="auto" w:sz="4" w:space="0"/>
              <w:left w:val="nil"/>
              <w:bottom w:val="single" w:color="auto" w:sz="4" w:space="0"/>
              <w:right w:val="single" w:color="auto" w:sz="4" w:space="0"/>
            </w:tcBorders>
            <w:vAlign w:val="center"/>
          </w:tcPr>
          <w:p w14:paraId="3A1537BB">
            <w:pPr>
              <w:jc w:val="center"/>
              <w:rPr>
                <w:rFonts w:ascii="Times New Roman" w:hAnsi="Times New Roman" w:eastAsia="宋体" w:cs="Times New Roman"/>
                <w:b/>
                <w:szCs w:val="21"/>
              </w:rPr>
            </w:pPr>
          </w:p>
        </w:tc>
      </w:tr>
      <w:tr w14:paraId="1F7EEB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left w:val="single" w:color="auto" w:sz="4" w:space="0"/>
              <w:bottom w:val="single" w:color="auto" w:sz="4" w:space="0"/>
              <w:right w:val="single" w:color="auto" w:sz="4" w:space="0"/>
            </w:tcBorders>
            <w:vAlign w:val="center"/>
          </w:tcPr>
          <w:p w14:paraId="2787BDB0">
            <w:pPr>
              <w:jc w:val="center"/>
              <w:rPr>
                <w:rFonts w:ascii="Times New Roman" w:hAnsi="Times New Roman" w:eastAsia="宋体" w:cs="Times New Roman"/>
                <w:b/>
                <w:szCs w:val="21"/>
              </w:rPr>
            </w:pPr>
            <w:r>
              <w:rPr>
                <w:rFonts w:hint="eastAsia" w:ascii="宋体" w:hAnsi="宋体" w:eastAsia="宋体" w:cs="Times New Roman"/>
                <w:b/>
                <w:szCs w:val="21"/>
              </w:rPr>
              <w:t>售后技术服务要求</w:t>
            </w:r>
          </w:p>
        </w:tc>
        <w:tc>
          <w:tcPr>
            <w:tcW w:w="2875" w:type="dxa"/>
            <w:tcBorders>
              <w:top w:val="single" w:color="auto" w:sz="4" w:space="0"/>
              <w:left w:val="nil"/>
              <w:bottom w:val="single" w:color="auto" w:sz="4" w:space="0"/>
              <w:right w:val="single" w:color="auto" w:sz="4" w:space="0"/>
            </w:tcBorders>
            <w:vAlign w:val="center"/>
          </w:tcPr>
          <w:p w14:paraId="392A9F21">
            <w:pPr>
              <w:jc w:val="center"/>
              <w:rPr>
                <w:rFonts w:ascii="Times New Roman" w:hAnsi="Times New Roman" w:eastAsia="宋体" w:cs="Times New Roman"/>
                <w:b/>
                <w:szCs w:val="21"/>
              </w:rPr>
            </w:pPr>
          </w:p>
        </w:tc>
        <w:tc>
          <w:tcPr>
            <w:tcW w:w="2885" w:type="dxa"/>
            <w:tcBorders>
              <w:top w:val="single" w:color="auto" w:sz="4" w:space="0"/>
              <w:left w:val="nil"/>
              <w:bottom w:val="single" w:color="auto" w:sz="4" w:space="0"/>
              <w:right w:val="single" w:color="auto" w:sz="4" w:space="0"/>
            </w:tcBorders>
            <w:vAlign w:val="center"/>
          </w:tcPr>
          <w:p w14:paraId="7D213766">
            <w:pPr>
              <w:jc w:val="center"/>
              <w:rPr>
                <w:rFonts w:ascii="Times New Roman" w:hAnsi="Times New Roman" w:eastAsia="宋体" w:cs="Times New Roman"/>
                <w:b/>
                <w:szCs w:val="21"/>
              </w:rPr>
            </w:pPr>
          </w:p>
        </w:tc>
        <w:tc>
          <w:tcPr>
            <w:tcW w:w="1645" w:type="dxa"/>
            <w:tcBorders>
              <w:top w:val="single" w:color="auto" w:sz="4" w:space="0"/>
              <w:left w:val="nil"/>
              <w:bottom w:val="single" w:color="auto" w:sz="4" w:space="0"/>
              <w:right w:val="single" w:color="auto" w:sz="4" w:space="0"/>
            </w:tcBorders>
            <w:vAlign w:val="center"/>
          </w:tcPr>
          <w:p w14:paraId="0973BDA2">
            <w:pPr>
              <w:jc w:val="center"/>
              <w:rPr>
                <w:rFonts w:ascii="Times New Roman" w:hAnsi="Times New Roman" w:eastAsia="宋体" w:cs="Times New Roman"/>
                <w:b/>
                <w:szCs w:val="21"/>
              </w:rPr>
            </w:pPr>
          </w:p>
          <w:p w14:paraId="3D01D85C">
            <w:pPr>
              <w:jc w:val="center"/>
              <w:rPr>
                <w:rFonts w:ascii="Times New Roman" w:hAnsi="Times New Roman" w:eastAsia="宋体" w:cs="Times New Roman"/>
                <w:b/>
                <w:szCs w:val="21"/>
              </w:rPr>
            </w:pPr>
          </w:p>
          <w:p w14:paraId="35C93786">
            <w:pPr>
              <w:jc w:val="center"/>
              <w:rPr>
                <w:rFonts w:ascii="Times New Roman" w:hAnsi="Times New Roman" w:eastAsia="宋体" w:cs="Times New Roman"/>
                <w:b/>
                <w:szCs w:val="21"/>
              </w:rPr>
            </w:pPr>
          </w:p>
          <w:p w14:paraId="5930BDBD">
            <w:pPr>
              <w:jc w:val="center"/>
              <w:rPr>
                <w:rFonts w:ascii="Times New Roman" w:hAnsi="Times New Roman" w:eastAsia="宋体" w:cs="Times New Roman"/>
                <w:b/>
                <w:szCs w:val="21"/>
              </w:rPr>
            </w:pPr>
          </w:p>
          <w:p w14:paraId="543ED681">
            <w:pPr>
              <w:jc w:val="center"/>
              <w:rPr>
                <w:rFonts w:ascii="Times New Roman" w:hAnsi="Times New Roman" w:eastAsia="宋体" w:cs="Times New Roman"/>
                <w:b/>
                <w:szCs w:val="21"/>
              </w:rPr>
            </w:pPr>
          </w:p>
          <w:p w14:paraId="2B27E7C6">
            <w:pPr>
              <w:jc w:val="center"/>
              <w:rPr>
                <w:rFonts w:ascii="Times New Roman" w:hAnsi="Times New Roman" w:eastAsia="宋体" w:cs="Times New Roman"/>
                <w:b/>
                <w:szCs w:val="21"/>
              </w:rPr>
            </w:pPr>
          </w:p>
          <w:p w14:paraId="65CA6C32">
            <w:pPr>
              <w:jc w:val="center"/>
              <w:rPr>
                <w:rFonts w:ascii="Times New Roman" w:hAnsi="Times New Roman" w:eastAsia="宋体" w:cs="Times New Roman"/>
                <w:b/>
                <w:szCs w:val="21"/>
              </w:rPr>
            </w:pPr>
          </w:p>
          <w:p w14:paraId="3DF24874">
            <w:pPr>
              <w:jc w:val="center"/>
              <w:rPr>
                <w:rFonts w:ascii="Times New Roman" w:hAnsi="Times New Roman" w:eastAsia="宋体" w:cs="Times New Roman"/>
                <w:b/>
                <w:szCs w:val="21"/>
              </w:rPr>
            </w:pPr>
          </w:p>
          <w:p w14:paraId="6303AB1F">
            <w:pPr>
              <w:jc w:val="center"/>
              <w:rPr>
                <w:rFonts w:ascii="Times New Roman" w:hAnsi="Times New Roman" w:eastAsia="宋体" w:cs="Times New Roman"/>
                <w:b/>
                <w:szCs w:val="21"/>
              </w:rPr>
            </w:pPr>
          </w:p>
          <w:p w14:paraId="59DBBD62">
            <w:pPr>
              <w:jc w:val="center"/>
              <w:rPr>
                <w:rFonts w:ascii="Times New Roman" w:hAnsi="Times New Roman" w:eastAsia="宋体" w:cs="Times New Roman"/>
                <w:b/>
                <w:szCs w:val="21"/>
              </w:rPr>
            </w:pPr>
          </w:p>
          <w:p w14:paraId="6AB387B5">
            <w:pPr>
              <w:jc w:val="center"/>
              <w:rPr>
                <w:rFonts w:ascii="Times New Roman" w:hAnsi="Times New Roman" w:eastAsia="宋体" w:cs="Times New Roman"/>
                <w:b/>
                <w:szCs w:val="21"/>
              </w:rPr>
            </w:pPr>
          </w:p>
          <w:p w14:paraId="63B8560A">
            <w:pPr>
              <w:jc w:val="center"/>
              <w:rPr>
                <w:rFonts w:ascii="Times New Roman" w:hAnsi="Times New Roman" w:eastAsia="宋体" w:cs="Times New Roman"/>
                <w:b/>
                <w:szCs w:val="21"/>
              </w:rPr>
            </w:pPr>
          </w:p>
          <w:p w14:paraId="6E9DE3A5">
            <w:pPr>
              <w:jc w:val="center"/>
              <w:rPr>
                <w:rFonts w:ascii="Times New Roman" w:hAnsi="Times New Roman" w:eastAsia="宋体" w:cs="Times New Roman"/>
                <w:b/>
                <w:szCs w:val="21"/>
              </w:rPr>
            </w:pPr>
          </w:p>
          <w:p w14:paraId="46D16CE8">
            <w:pPr>
              <w:jc w:val="center"/>
              <w:rPr>
                <w:rFonts w:ascii="Times New Roman" w:hAnsi="Times New Roman" w:eastAsia="宋体" w:cs="Times New Roman"/>
                <w:b/>
                <w:szCs w:val="21"/>
              </w:rPr>
            </w:pPr>
          </w:p>
          <w:p w14:paraId="36C9C4FE">
            <w:pPr>
              <w:jc w:val="center"/>
              <w:rPr>
                <w:rFonts w:ascii="Times New Roman" w:hAnsi="Times New Roman" w:eastAsia="宋体" w:cs="Times New Roman"/>
                <w:b/>
                <w:szCs w:val="21"/>
              </w:rPr>
            </w:pPr>
          </w:p>
          <w:p w14:paraId="17EFF841">
            <w:pPr>
              <w:jc w:val="center"/>
              <w:rPr>
                <w:rFonts w:ascii="Times New Roman" w:hAnsi="Times New Roman" w:eastAsia="宋体" w:cs="Times New Roman"/>
                <w:b/>
                <w:szCs w:val="21"/>
              </w:rPr>
            </w:pPr>
          </w:p>
          <w:p w14:paraId="4E419A87">
            <w:pPr>
              <w:jc w:val="center"/>
              <w:rPr>
                <w:rFonts w:ascii="Times New Roman" w:hAnsi="Times New Roman" w:eastAsia="宋体" w:cs="Times New Roman"/>
                <w:b/>
                <w:szCs w:val="21"/>
              </w:rPr>
            </w:pPr>
          </w:p>
        </w:tc>
      </w:tr>
      <w:tr w14:paraId="38C626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left w:val="single" w:color="auto" w:sz="4" w:space="0"/>
              <w:bottom w:val="single" w:color="auto" w:sz="4" w:space="0"/>
              <w:right w:val="single" w:color="auto" w:sz="4" w:space="0"/>
            </w:tcBorders>
            <w:vAlign w:val="center"/>
          </w:tcPr>
          <w:p w14:paraId="4B23999A">
            <w:pPr>
              <w:jc w:val="center"/>
              <w:rPr>
                <w:rFonts w:ascii="Times New Roman" w:hAnsi="Times New Roman" w:eastAsia="宋体" w:cs="Times New Roman"/>
                <w:b/>
                <w:szCs w:val="21"/>
              </w:rPr>
            </w:pPr>
            <w:r>
              <w:rPr>
                <w:rFonts w:hint="eastAsia" w:ascii="宋体" w:hAnsi="宋体" w:eastAsia="宋体" w:cs="Times New Roman"/>
                <w:b/>
                <w:szCs w:val="21"/>
              </w:rPr>
              <w:t>备品备件及耗材等要求</w:t>
            </w:r>
          </w:p>
        </w:tc>
        <w:tc>
          <w:tcPr>
            <w:tcW w:w="2875" w:type="dxa"/>
            <w:tcBorders>
              <w:top w:val="single" w:color="auto" w:sz="4" w:space="0"/>
              <w:left w:val="nil"/>
              <w:bottom w:val="single" w:color="auto" w:sz="4" w:space="0"/>
              <w:right w:val="single" w:color="auto" w:sz="4" w:space="0"/>
            </w:tcBorders>
            <w:vAlign w:val="center"/>
          </w:tcPr>
          <w:p w14:paraId="361B4454">
            <w:pPr>
              <w:jc w:val="center"/>
              <w:rPr>
                <w:rFonts w:ascii="Times New Roman" w:hAnsi="Times New Roman" w:eastAsia="宋体" w:cs="Times New Roman"/>
                <w:b/>
                <w:szCs w:val="21"/>
              </w:rPr>
            </w:pPr>
          </w:p>
        </w:tc>
        <w:tc>
          <w:tcPr>
            <w:tcW w:w="2885" w:type="dxa"/>
            <w:tcBorders>
              <w:top w:val="single" w:color="auto" w:sz="4" w:space="0"/>
              <w:left w:val="nil"/>
              <w:bottom w:val="single" w:color="auto" w:sz="4" w:space="0"/>
              <w:right w:val="single" w:color="auto" w:sz="4" w:space="0"/>
            </w:tcBorders>
            <w:vAlign w:val="center"/>
          </w:tcPr>
          <w:p w14:paraId="2EACE322">
            <w:pPr>
              <w:jc w:val="center"/>
              <w:rPr>
                <w:rFonts w:ascii="Times New Roman" w:hAnsi="Times New Roman" w:eastAsia="宋体" w:cs="Times New Roman"/>
                <w:b/>
                <w:szCs w:val="21"/>
              </w:rPr>
            </w:pPr>
          </w:p>
        </w:tc>
        <w:tc>
          <w:tcPr>
            <w:tcW w:w="1645" w:type="dxa"/>
            <w:tcBorders>
              <w:top w:val="single" w:color="auto" w:sz="4" w:space="0"/>
              <w:left w:val="nil"/>
              <w:bottom w:val="single" w:color="auto" w:sz="4" w:space="0"/>
              <w:right w:val="single" w:color="auto" w:sz="4" w:space="0"/>
            </w:tcBorders>
            <w:vAlign w:val="center"/>
          </w:tcPr>
          <w:p w14:paraId="78D7F519">
            <w:pPr>
              <w:jc w:val="center"/>
              <w:rPr>
                <w:rFonts w:ascii="Times New Roman" w:hAnsi="Times New Roman" w:eastAsia="宋体" w:cs="Times New Roman"/>
                <w:b/>
                <w:szCs w:val="21"/>
              </w:rPr>
            </w:pPr>
          </w:p>
        </w:tc>
      </w:tr>
    </w:tbl>
    <w:p w14:paraId="4DA03896">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                   授权代表签字：            日期：</w:t>
      </w:r>
    </w:p>
    <w:p w14:paraId="1F2C1D6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4B3CED60">
      <w:pPr>
        <w:rPr>
          <w:rFonts w:ascii="宋体" w:hAnsi="Calibri" w:eastAsia="宋体" w:cs="Times New Roman"/>
          <w:szCs w:val="21"/>
        </w:rPr>
      </w:pPr>
      <w:r>
        <w:rPr>
          <w:rFonts w:hint="eastAsia" w:ascii="宋体" w:hAnsi="Calibri" w:eastAsia="宋体" w:cs="Times New Roman"/>
          <w:szCs w:val="21"/>
        </w:rPr>
        <w:t xml:space="preserve"> </w:t>
      </w:r>
    </w:p>
    <w:p w14:paraId="724867A8">
      <w:pPr>
        <w:widowControl/>
        <w:jc w:val="left"/>
        <w:rPr>
          <w:rFonts w:ascii="宋体" w:hAnsi="Calibri" w:eastAsia="宋体" w:cs="宋体"/>
          <w:b/>
          <w:bCs/>
          <w:color w:val="000000"/>
          <w:sz w:val="28"/>
          <w:szCs w:val="28"/>
        </w:rPr>
        <w:sectPr>
          <w:pgSz w:w="11906" w:h="16838"/>
          <w:pgMar w:top="1588" w:right="1418" w:bottom="1134" w:left="1418" w:header="851" w:footer="992" w:gutter="0"/>
          <w:pgNumType w:fmt="decimal"/>
          <w:cols w:space="720" w:num="1"/>
          <w:titlePg/>
          <w:docGrid w:type="lines" w:linePitch="312" w:charSpace="0"/>
        </w:sectPr>
      </w:pPr>
    </w:p>
    <w:p w14:paraId="6B0465ED">
      <w:pPr>
        <w:spacing w:before="110"/>
        <w:ind w:left="29"/>
        <w:outlineLvl w:val="2"/>
        <w:rPr>
          <w:rFonts w:hint="eastAsia" w:ascii="宋体" w:hAnsi="宋体" w:eastAsia="宋体" w:cs="Times New Roman"/>
          <w:sz w:val="24"/>
          <w:szCs w:val="24"/>
        </w:rPr>
      </w:pPr>
      <w:r>
        <w:rPr>
          <w:rFonts w:hint="eastAsia" w:ascii="宋体" w:hAnsi="宋体" w:eastAsia="宋体" w:cs="Times New Roman"/>
          <w:b/>
          <w:bCs/>
          <w:color w:val="000000"/>
          <w:sz w:val="24"/>
          <w:szCs w:val="24"/>
        </w:rPr>
        <w:t>附件</w:t>
      </w:r>
      <w:r>
        <w:rPr>
          <w:rFonts w:hint="eastAsia" w:ascii="Times New Roman" w:hAnsi="Times New Roman" w:eastAsia="宋体" w:cs="Times New Roman"/>
          <w:b/>
          <w:bCs/>
          <w:color w:val="000000"/>
          <w:sz w:val="24"/>
          <w:szCs w:val="24"/>
        </w:rPr>
        <w:t xml:space="preserve">11 </w:t>
      </w:r>
      <w:r>
        <w:rPr>
          <w:rFonts w:hint="eastAsia" w:ascii="宋体" w:hAnsi="宋体" w:eastAsia="宋体" w:cs="Times New Roman"/>
          <w:b/>
          <w:bCs/>
          <w:color w:val="000000"/>
          <w:sz w:val="24"/>
          <w:szCs w:val="24"/>
        </w:rPr>
        <w:t>投标人承诺</w:t>
      </w:r>
    </w:p>
    <w:p w14:paraId="19EE3A7D">
      <w:pPr>
        <w:spacing w:line="271" w:lineRule="auto"/>
        <w:rPr>
          <w:rFonts w:hint="eastAsia" w:ascii="Arial" w:hAnsi="等线" w:eastAsia="等线" w:cs="Times New Roman"/>
          <w:szCs w:val="21"/>
        </w:rPr>
      </w:pPr>
      <w:r>
        <w:rPr>
          <w:rFonts w:ascii="Arial" w:hAnsi="等线" w:eastAsia="等线" w:cs="Times New Roman"/>
          <w:szCs w:val="21"/>
        </w:rPr>
        <w:t xml:space="preserve"> </w:t>
      </w:r>
    </w:p>
    <w:p w14:paraId="42F8AF30">
      <w:pPr>
        <w:spacing w:before="75"/>
        <w:ind w:left="134"/>
        <w:rPr>
          <w:rFonts w:hint="eastAsia" w:ascii="宋体" w:hAnsi="宋体" w:eastAsia="宋体" w:cs="Times New Roman"/>
          <w:sz w:val="24"/>
          <w:szCs w:val="24"/>
        </w:rPr>
      </w:pPr>
      <w:r>
        <w:rPr>
          <w:rFonts w:hint="eastAsia" w:ascii="宋体" w:hAnsi="宋体" w:eastAsia="宋体" w:cs="Times New Roman"/>
          <w:spacing w:val="-10"/>
          <w:sz w:val="24"/>
          <w:szCs w:val="24"/>
        </w:rPr>
        <w:t>项</w:t>
      </w:r>
      <w:r>
        <w:rPr>
          <w:rFonts w:hint="eastAsia" w:ascii="宋体" w:hAnsi="宋体" w:eastAsia="宋体" w:cs="Times New Roman"/>
          <w:spacing w:val="-9"/>
          <w:sz w:val="24"/>
          <w:szCs w:val="24"/>
        </w:rPr>
        <w:t>目</w:t>
      </w:r>
      <w:r>
        <w:rPr>
          <w:rFonts w:hint="eastAsia" w:ascii="宋体" w:hAnsi="宋体" w:eastAsia="宋体" w:cs="Times New Roman"/>
          <w:spacing w:val="-5"/>
          <w:sz w:val="24"/>
          <w:szCs w:val="24"/>
        </w:rPr>
        <w:t>名称：</w:t>
      </w:r>
      <w:r>
        <w:rPr>
          <w:rFonts w:hint="eastAsia" w:ascii="宋体" w:hAnsi="宋体" w:eastAsia="宋体" w:cs="Times New Roman"/>
          <w:sz w:val="24"/>
          <w:szCs w:val="24"/>
          <w:u w:val="single"/>
        </w:rPr>
        <w:t xml:space="preserve">                                </w:t>
      </w:r>
    </w:p>
    <w:p w14:paraId="051581AA">
      <w:pPr>
        <w:spacing w:before="306"/>
        <w:ind w:left="205"/>
        <w:rPr>
          <w:rFonts w:hint="eastAsia" w:ascii="宋体" w:hAnsi="宋体" w:eastAsia="宋体" w:cs="Times New Roman"/>
          <w:sz w:val="24"/>
          <w:szCs w:val="24"/>
        </w:rPr>
      </w:pPr>
      <w:r>
        <w:rPr>
          <w:rFonts w:hint="eastAsia" w:ascii="宋体" w:hAnsi="宋体" w:eastAsia="宋体" w:cs="Times New Roman"/>
          <w:spacing w:val="-4"/>
          <w:sz w:val="24"/>
          <w:szCs w:val="24"/>
        </w:rPr>
        <w:t xml:space="preserve">日期： </w:t>
      </w:r>
      <w:r>
        <w:rPr>
          <w:rFonts w:hint="eastAsia" w:ascii="宋体" w:hAnsi="宋体" w:eastAsia="宋体" w:cs="Times New Roman"/>
          <w:spacing w:val="-2"/>
          <w:sz w:val="24"/>
          <w:szCs w:val="24"/>
        </w:rPr>
        <w:t xml:space="preserve">   年   月   日</w:t>
      </w:r>
    </w:p>
    <w:p w14:paraId="751976CA">
      <w:pPr>
        <w:rPr>
          <w:rFonts w:hint="eastAsia" w:ascii="等线" w:hAnsi="等线" w:eastAsia="等线" w:cs="Times New Roman"/>
          <w:szCs w:val="21"/>
        </w:rPr>
      </w:pPr>
      <w:r>
        <w:rPr>
          <w:rFonts w:hint="eastAsia" w:ascii="等线" w:hAnsi="等线" w:eastAsia="等线" w:cs="Times New Roman"/>
          <w:szCs w:val="21"/>
        </w:rPr>
        <w:t xml:space="preserve"> </w:t>
      </w:r>
    </w:p>
    <w:p w14:paraId="24FE5A14">
      <w:pPr>
        <w:spacing w:line="109" w:lineRule="exact"/>
        <w:rPr>
          <w:rFonts w:hint="eastAsia" w:ascii="等线" w:hAnsi="等线" w:eastAsia="等线" w:cs="Times New Roman"/>
          <w:szCs w:val="21"/>
        </w:rPr>
      </w:pPr>
      <w:r>
        <w:rPr>
          <w:rFonts w:hint="eastAsia" w:ascii="等线" w:hAnsi="等线" w:eastAsia="等线" w:cs="Times New Roman"/>
          <w:szCs w:val="21"/>
        </w:rPr>
        <w:t xml:space="preserve"> </w:t>
      </w:r>
    </w:p>
    <w:tbl>
      <w:tblPr>
        <w:tblStyle w:val="145"/>
        <w:tblW w:w="9289" w:type="dxa"/>
        <w:tblInd w:w="11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683AEB89">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86" w:hRule="atLeast"/>
        </w:trPr>
        <w:tc>
          <w:tcPr>
            <w:tcW w:w="9289" w:type="dxa"/>
            <w:tcBorders>
              <w:top w:val="single" w:color="000000" w:sz="2" w:space="0"/>
              <w:left w:val="single" w:color="000000" w:sz="2" w:space="0"/>
              <w:bottom w:val="single" w:color="000000" w:sz="2" w:space="0"/>
              <w:right w:val="single" w:color="000000" w:sz="2" w:space="0"/>
            </w:tcBorders>
          </w:tcPr>
          <w:p w14:paraId="546BA4D4">
            <w:pPr>
              <w:spacing w:before="52"/>
              <w:ind w:left="128"/>
              <w:rPr>
                <w:rFonts w:hint="eastAsia" w:ascii="宋体" w:hAnsi="宋体" w:eastAsia="宋体" w:cs="Times New Roman"/>
                <w:sz w:val="24"/>
                <w:szCs w:val="24"/>
              </w:rPr>
            </w:pPr>
            <w:r>
              <w:rPr>
                <w:rFonts w:hint="eastAsia" w:ascii="宋体" w:hAnsi="宋体" w:eastAsia="宋体" w:cs="Times New Roman"/>
                <w:spacing w:val="5"/>
                <w:sz w:val="24"/>
                <w:szCs w:val="24"/>
              </w:rPr>
              <w:t>投</w:t>
            </w:r>
            <w:r>
              <w:rPr>
                <w:rFonts w:hint="eastAsia" w:ascii="宋体" w:hAnsi="宋体" w:eastAsia="宋体" w:cs="Times New Roman"/>
                <w:spacing w:val="3"/>
                <w:sz w:val="24"/>
                <w:szCs w:val="24"/>
              </w:rPr>
              <w:t>标人承诺：</w:t>
            </w:r>
          </w:p>
          <w:p w14:paraId="5FA7B31B">
            <w:pPr>
              <w:spacing w:before="48" w:line="388" w:lineRule="auto"/>
              <w:ind w:left="125" w:right="115" w:firstLine="491"/>
              <w:rPr>
                <w:rFonts w:hint="eastAsia" w:ascii="宋体" w:hAnsi="宋体" w:eastAsia="宋体" w:cs="Times New Roman"/>
                <w:sz w:val="23"/>
                <w:szCs w:val="23"/>
              </w:rPr>
            </w:pPr>
            <w:r>
              <w:rPr>
                <w:rFonts w:hint="eastAsia" w:ascii="宋体" w:hAnsi="宋体" w:eastAsia="宋体" w:cs="Times New Roman"/>
                <w:spacing w:val="38"/>
                <w:sz w:val="24"/>
                <w:szCs w:val="24"/>
              </w:rPr>
              <w:t>我</w:t>
            </w:r>
            <w:r>
              <w:rPr>
                <w:rFonts w:hint="eastAsia" w:ascii="宋体" w:hAnsi="宋体" w:eastAsia="宋体" w:cs="Times New Roman"/>
                <w:spacing w:val="21"/>
                <w:sz w:val="24"/>
                <w:szCs w:val="24"/>
              </w:rPr>
              <w:t>公司承诺遵守贵公司由于招标人公司政策变化引起的随时终止项目的要求并</w:t>
            </w:r>
            <w:r>
              <w:rPr>
                <w:rFonts w:hint="eastAsia" w:ascii="宋体" w:hAnsi="宋体" w:eastAsia="宋体" w:cs="Times New Roman"/>
                <w:spacing w:val="12"/>
                <w:sz w:val="24"/>
                <w:szCs w:val="24"/>
              </w:rPr>
              <w:t>承</w:t>
            </w:r>
            <w:r>
              <w:rPr>
                <w:rFonts w:hint="eastAsia" w:ascii="宋体" w:hAnsi="宋体" w:eastAsia="宋体" w:cs="Times New Roman"/>
                <w:spacing w:val="6"/>
                <w:sz w:val="24"/>
                <w:szCs w:val="24"/>
              </w:rPr>
              <w:t>担由此带来的一切损失</w:t>
            </w:r>
            <w:r>
              <w:rPr>
                <w:rFonts w:hint="eastAsia" w:ascii="宋体" w:hAnsi="宋体" w:eastAsia="宋体" w:cs="Times New Roman"/>
                <w:spacing w:val="6"/>
                <w:sz w:val="23"/>
                <w:szCs w:val="23"/>
              </w:rPr>
              <w:t>。</w:t>
            </w:r>
          </w:p>
        </w:tc>
      </w:tr>
    </w:tbl>
    <w:p w14:paraId="32B7C23B">
      <w:pPr>
        <w:keepNext/>
        <w:keepLines/>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 xml:space="preserve"> </w:t>
      </w:r>
    </w:p>
    <w:p w14:paraId="62EF04CC">
      <w:pPr>
        <w:spacing w:before="75"/>
        <w:ind w:left="135"/>
        <w:rPr>
          <w:rFonts w:hint="eastAsia" w:ascii="宋体" w:hAnsi="宋体" w:eastAsia="宋体" w:cs="Times New Roman"/>
          <w:spacing w:val="-2"/>
          <w:sz w:val="24"/>
          <w:szCs w:val="24"/>
        </w:rPr>
      </w:pPr>
      <w:r>
        <w:rPr>
          <w:rFonts w:hint="eastAsia" w:ascii="宋体" w:hAnsi="宋体" w:eastAsia="宋体" w:cs="Times New Roman"/>
          <w:spacing w:val="-2"/>
          <w:sz w:val="24"/>
          <w:szCs w:val="24"/>
        </w:rPr>
        <w:t xml:space="preserve"> </w:t>
      </w:r>
    </w:p>
    <w:p w14:paraId="35A77279">
      <w:pPr>
        <w:spacing w:before="75"/>
        <w:ind w:left="135"/>
        <w:rPr>
          <w:rFonts w:hint="eastAsia" w:ascii="宋体" w:hAnsi="宋体" w:eastAsia="宋体" w:cs="Times New Roman"/>
          <w:spacing w:val="-2"/>
          <w:sz w:val="24"/>
          <w:szCs w:val="24"/>
        </w:rPr>
      </w:pPr>
      <w:r>
        <w:rPr>
          <w:rFonts w:hint="eastAsia" w:ascii="宋体" w:hAnsi="宋体" w:eastAsia="宋体" w:cs="Times New Roman"/>
          <w:spacing w:val="-2"/>
          <w:sz w:val="24"/>
          <w:szCs w:val="24"/>
        </w:rPr>
        <w:t xml:space="preserve"> </w:t>
      </w:r>
    </w:p>
    <w:p w14:paraId="5CA697B6">
      <w:pPr>
        <w:spacing w:before="75"/>
        <w:ind w:left="135"/>
        <w:rPr>
          <w:rFonts w:hint="eastAsia" w:ascii="等线" w:hAnsi="等线" w:eastAsia="等线" w:cs="Times New Roman"/>
          <w:szCs w:val="21"/>
        </w:rPr>
      </w:pPr>
      <w:r>
        <w:rPr>
          <w:rFonts w:hint="eastAsia" w:ascii="宋体" w:hAnsi="宋体" w:eastAsia="宋体" w:cs="Times New Roman"/>
          <w:spacing w:val="-2"/>
          <w:sz w:val="24"/>
          <w:szCs w:val="24"/>
        </w:rPr>
        <w:t>投标人名称 (盖章)：                法定代表人或授权代表(签字</w:t>
      </w:r>
      <w:r>
        <w:rPr>
          <w:rFonts w:hint="eastAsia" w:ascii="宋体" w:hAnsi="宋体" w:eastAsia="宋体" w:cs="Times New Roman"/>
          <w:sz w:val="24"/>
          <w:szCs w:val="24"/>
        </w:rPr>
        <w:t>)：</w:t>
      </w:r>
    </w:p>
    <w:p w14:paraId="7D66FAA0">
      <w:pPr>
        <w:widowControl/>
        <w:jc w:val="left"/>
        <w:rPr>
          <w:rFonts w:hint="eastAsia" w:ascii="等线" w:hAnsi="等线" w:eastAsia="宋体" w:cs="Times New Roman"/>
          <w:sz w:val="24"/>
          <w:szCs w:val="24"/>
        </w:rPr>
        <w:sectPr>
          <w:pgSz w:w="11906" w:h="16839"/>
          <w:pgMar w:top="1431" w:right="1417" w:bottom="1179" w:left="1304" w:header="850" w:footer="992" w:gutter="0"/>
          <w:pgNumType w:fmt="decimal"/>
          <w:cols w:space="720" w:num="1"/>
        </w:sectPr>
      </w:pPr>
    </w:p>
    <w:p w14:paraId="158C7189">
      <w:pPr>
        <w:keepNext/>
        <w:keepLines/>
        <w:outlineLvl w:val="2"/>
        <w:rPr>
          <w:rFonts w:ascii="Times New Roman" w:hAnsi="Times New Roman" w:eastAsia="宋体" w:cs="Times New Roman"/>
          <w:b/>
          <w:bCs/>
          <w:color w:val="000000"/>
          <w:sz w:val="24"/>
          <w:szCs w:val="24"/>
        </w:rPr>
      </w:pPr>
      <w:r>
        <w:rPr>
          <w:rFonts w:hint="eastAsia" w:ascii="宋体" w:hAnsi="宋体" w:eastAsia="宋体" w:cs="Times New Roman"/>
          <w:b/>
          <w:bCs/>
          <w:color w:val="000000"/>
          <w:sz w:val="24"/>
          <w:szCs w:val="24"/>
        </w:rPr>
        <w:t>附件</w:t>
      </w:r>
      <w:r>
        <w:rPr>
          <w:rFonts w:hint="eastAsia" w:ascii="Times New Roman" w:hAnsi="Times New Roman" w:eastAsia="宋体" w:cs="Times New Roman"/>
          <w:b/>
          <w:bCs/>
          <w:color w:val="000000"/>
          <w:sz w:val="24"/>
          <w:szCs w:val="24"/>
        </w:rPr>
        <w:t>12</w:t>
      </w:r>
      <w:r>
        <w:rPr>
          <w:rFonts w:ascii="Times New Roman" w:hAnsi="Times New Roman" w:eastAsia="宋体" w:cs="Times New Roman"/>
          <w:b/>
          <w:bCs/>
          <w:color w:val="000000"/>
          <w:sz w:val="24"/>
          <w:szCs w:val="24"/>
        </w:rPr>
        <w:t xml:space="preserve"> </w:t>
      </w:r>
      <w:r>
        <w:rPr>
          <w:rFonts w:hint="eastAsia" w:ascii="宋体" w:hAnsi="宋体" w:eastAsia="宋体" w:cs="Times New Roman"/>
          <w:b/>
          <w:bCs/>
          <w:color w:val="000000"/>
          <w:sz w:val="24"/>
          <w:szCs w:val="24"/>
        </w:rPr>
        <w:t>服务承诺函</w:t>
      </w:r>
    </w:p>
    <w:p w14:paraId="61DE8F86">
      <w:pPr>
        <w:spacing w:line="240" w:lineRule="exact"/>
        <w:jc w:val="center"/>
        <w:rPr>
          <w:rFonts w:ascii="宋体" w:hAnsi="Calibri" w:eastAsia="宋体" w:cs="Times New Roman"/>
          <w:b/>
          <w:bCs/>
          <w:sz w:val="36"/>
          <w:szCs w:val="36"/>
        </w:rPr>
      </w:pPr>
      <w:r>
        <w:rPr>
          <w:rFonts w:hint="eastAsia" w:ascii="宋体" w:hAnsi="Calibri" w:eastAsia="宋体" w:cs="Times New Roman"/>
          <w:b/>
          <w:bCs/>
          <w:sz w:val="36"/>
          <w:szCs w:val="36"/>
        </w:rPr>
        <w:t xml:space="preserve"> </w:t>
      </w:r>
    </w:p>
    <w:p w14:paraId="7CBD6589">
      <w:pPr>
        <w:spacing w:line="360" w:lineRule="auto"/>
        <w:rPr>
          <w:rFonts w:ascii="宋体" w:hAnsi="Calibri" w:eastAsia="宋体" w:cs="Times New Roman"/>
          <w:sz w:val="24"/>
          <w:szCs w:val="24"/>
        </w:rPr>
      </w:pPr>
      <w:r>
        <w:rPr>
          <w:rFonts w:hint="eastAsia" w:ascii="宋体" w:hAnsi="宋体" w:eastAsia="宋体" w:cs="Times New Roman"/>
          <w:sz w:val="24"/>
          <w:szCs w:val="24"/>
        </w:rPr>
        <w:t>项目名称：</w:t>
      </w:r>
      <w:r>
        <w:rPr>
          <w:rFonts w:hint="eastAsia" w:ascii="宋体" w:hAnsi="宋体" w:eastAsia="宋体" w:cs="Times New Roman"/>
          <w:sz w:val="24"/>
          <w:szCs w:val="24"/>
          <w:u w:val="single"/>
        </w:rPr>
        <w:t xml:space="preserve">                                           </w:t>
      </w:r>
    </w:p>
    <w:p w14:paraId="4BADF956">
      <w:pPr>
        <w:spacing w:line="360" w:lineRule="auto"/>
        <w:rPr>
          <w:rFonts w:ascii="宋体" w:hAnsi="Calibri" w:eastAsia="宋体" w:cs="Times New Roman"/>
          <w:b/>
          <w:bCs/>
          <w:sz w:val="24"/>
          <w:szCs w:val="24"/>
        </w:rPr>
      </w:pPr>
      <w:r>
        <w:rPr>
          <w:rFonts w:hint="eastAsia" w:ascii="宋体" w:hAnsi="宋体" w:eastAsia="宋体" w:cs="Times New Roman"/>
          <w:b/>
          <w:bCs/>
          <w:sz w:val="24"/>
          <w:szCs w:val="24"/>
        </w:rPr>
        <w:t>中国重汽集团济南商用车有限公司：</w:t>
      </w:r>
    </w:p>
    <w:p w14:paraId="2FB16677">
      <w:pPr>
        <w:spacing w:line="360" w:lineRule="auto"/>
        <w:ind w:firstLine="480"/>
        <w:rPr>
          <w:rFonts w:ascii="宋体" w:hAnsi="Calibri" w:eastAsia="宋体" w:cs="Times New Roman"/>
          <w:sz w:val="24"/>
          <w:szCs w:val="24"/>
        </w:rPr>
      </w:pPr>
      <w:r>
        <w:rPr>
          <w:rFonts w:hint="eastAsia" w:ascii="宋体" w:hAnsi="宋体" w:eastAsia="宋体" w:cs="Times New Roman"/>
          <w:sz w:val="24"/>
          <w:szCs w:val="24"/>
        </w:rPr>
        <w:t>我代表（投标人名称）对中标合同产品的服务作如下承诺：</w:t>
      </w:r>
    </w:p>
    <w:p w14:paraId="074FDA42">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5379D3EF">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54A5B57E">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0797FA78">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1D68BA53">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32FF1E73">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61394279">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521BCEED">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0FF854F3">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03D9C5B9">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3863858E">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25E10410">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4269FFF0">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622F671B">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3D63E506">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18BA31F7">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351F3DB4">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7F820586">
      <w:pPr>
        <w:spacing w:line="360" w:lineRule="auto"/>
        <w:ind w:firstLine="480" w:firstLineChars="200"/>
        <w:rPr>
          <w:rFonts w:hint="eastAsia" w:ascii="宋体" w:hAnsi="宋体" w:eastAsia="宋体" w:cs="Times New Roman"/>
          <w:sz w:val="24"/>
          <w:szCs w:val="24"/>
          <w:u w:val="single"/>
        </w:rPr>
      </w:pPr>
      <w:r>
        <w:rPr>
          <w:rFonts w:hint="eastAsia" w:ascii="宋体" w:hAnsi="宋体" w:eastAsia="宋体" w:cs="Times New Roman"/>
          <w:sz w:val="24"/>
          <w:szCs w:val="24"/>
          <w:u w:val="single"/>
        </w:rPr>
        <w:t xml:space="preserve"> </w:t>
      </w:r>
    </w:p>
    <w:p w14:paraId="5DE3EDEF">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3EE6479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13CAE31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  期：       年    月    日</w:t>
      </w:r>
    </w:p>
    <w:p w14:paraId="5F80498F">
      <w:pPr>
        <w:rPr>
          <w:rFonts w:ascii="宋体" w:hAnsi="Calibri" w:eastAsia="宋体" w:cs="Times New Roman"/>
          <w:b/>
          <w:bCs/>
          <w:color w:val="000000"/>
          <w:sz w:val="28"/>
          <w:szCs w:val="28"/>
        </w:rPr>
      </w:pPr>
      <w:r>
        <w:rPr>
          <w:rFonts w:hint="eastAsia" w:ascii="宋体" w:hAnsi="Calibri" w:eastAsia="宋体" w:cs="Times New Roman"/>
          <w:b/>
          <w:bCs/>
          <w:color w:val="000000"/>
          <w:sz w:val="28"/>
          <w:szCs w:val="28"/>
        </w:rPr>
        <w:t xml:space="preserve"> </w:t>
      </w:r>
    </w:p>
    <w:p w14:paraId="58A9E703">
      <w:pPr>
        <w:rPr>
          <w:rFonts w:ascii="宋体" w:hAnsi="Calibri" w:eastAsia="宋体" w:cs="Times New Roman"/>
          <w:b/>
          <w:bCs/>
          <w:color w:val="000000"/>
          <w:sz w:val="28"/>
          <w:szCs w:val="28"/>
        </w:rPr>
      </w:pPr>
      <w:r>
        <w:rPr>
          <w:rFonts w:hint="eastAsia" w:ascii="宋体" w:hAnsi="Calibri" w:eastAsia="宋体" w:cs="Times New Roman"/>
          <w:b/>
          <w:bCs/>
          <w:color w:val="000000"/>
          <w:sz w:val="28"/>
          <w:szCs w:val="28"/>
        </w:rPr>
        <w:t xml:space="preserve"> </w:t>
      </w:r>
    </w:p>
    <w:p w14:paraId="380BC7C4">
      <w:pPr>
        <w:rPr>
          <w:rFonts w:ascii="宋体" w:hAnsi="Calibri" w:eastAsia="宋体" w:cs="Times New Roman"/>
          <w:b/>
          <w:bCs/>
          <w:color w:val="000000"/>
          <w:sz w:val="28"/>
          <w:szCs w:val="28"/>
        </w:rPr>
      </w:pPr>
      <w:r>
        <w:rPr>
          <w:rFonts w:hint="eastAsia" w:ascii="宋体" w:hAnsi="Calibri" w:eastAsia="宋体" w:cs="Times New Roman"/>
          <w:b/>
          <w:bCs/>
          <w:color w:val="000000"/>
          <w:sz w:val="28"/>
          <w:szCs w:val="28"/>
        </w:rPr>
        <w:t xml:space="preserve"> </w:t>
      </w:r>
    </w:p>
    <w:p w14:paraId="413C3872">
      <w:pPr>
        <w:rPr>
          <w:rFonts w:hint="eastAsia" w:ascii="宋体" w:hAnsi="宋体" w:eastAsia="宋体" w:cs="Times New Roman"/>
          <w:color w:val="000000"/>
          <w:sz w:val="24"/>
          <w:szCs w:val="24"/>
        </w:rPr>
        <w:sectPr>
          <w:pgSz w:w="11906" w:h="16838"/>
          <w:pgMar w:top="1588" w:right="1418" w:bottom="1134" w:left="1418" w:header="851" w:footer="992" w:gutter="0"/>
          <w:pgNumType w:fmt="decimal"/>
          <w:cols w:space="720" w:num="1"/>
          <w:titlePg/>
          <w:docGrid w:type="lines" w:linePitch="312" w:charSpace="0"/>
        </w:sectPr>
      </w:pPr>
      <w:r>
        <w:rPr>
          <w:rFonts w:ascii="Calibri" w:hAnsi="Calibri" w:eastAsia="宋体" w:cs="Times New Roman"/>
          <w:szCs w:val="21"/>
        </w:rPr>
        <w:br w:type="page"/>
      </w:r>
    </w:p>
    <w:p w14:paraId="1248B73A">
      <w:pPr>
        <w:outlineLvl w:val="2"/>
        <w:rPr>
          <w:rFonts w:ascii="Times New Roman" w:hAnsi="Times New Roman" w:eastAsia="宋体" w:cs="Times New Roman"/>
          <w:b/>
          <w:bCs/>
          <w:color w:val="000000"/>
          <w:sz w:val="24"/>
          <w:szCs w:val="24"/>
        </w:rPr>
      </w:pPr>
      <w:r>
        <w:rPr>
          <w:rFonts w:hint="eastAsia" w:ascii="宋体" w:hAnsi="宋体" w:eastAsia="宋体" w:cs="Times New Roman"/>
          <w:b/>
          <w:bCs/>
          <w:color w:val="000000"/>
          <w:sz w:val="24"/>
          <w:szCs w:val="24"/>
        </w:rPr>
        <w:t>附件</w:t>
      </w:r>
      <w:r>
        <w:rPr>
          <w:rFonts w:hint="eastAsia" w:ascii="Times New Roman" w:hAnsi="Times New Roman" w:eastAsia="宋体" w:cs="Times New Roman"/>
          <w:b/>
          <w:bCs/>
          <w:color w:val="000000"/>
          <w:sz w:val="24"/>
          <w:szCs w:val="24"/>
        </w:rPr>
        <w:t>14</w:t>
      </w:r>
      <w:r>
        <w:rPr>
          <w:rFonts w:hint="eastAsia" w:ascii="宋体" w:hAnsi="宋体" w:eastAsia="宋体" w:cs="Times New Roman"/>
          <w:b/>
          <w:bCs/>
          <w:color w:val="000000"/>
          <w:sz w:val="24"/>
          <w:szCs w:val="24"/>
        </w:rPr>
        <w:t>技术标评分标准</w:t>
      </w:r>
    </w:p>
    <w:p w14:paraId="21DAB7F8">
      <w:pPr>
        <w:jc w:val="center"/>
        <w:outlineLvl w:val="2"/>
        <w:rPr>
          <w:rFonts w:hint="eastAsia" w:ascii="宋体" w:hAnsi="宋体" w:eastAsia="宋体" w:cs="Times New Roman"/>
          <w:b/>
          <w:bCs/>
          <w:sz w:val="28"/>
          <w:szCs w:val="28"/>
        </w:rPr>
      </w:pPr>
      <w:r>
        <w:rPr>
          <w:rFonts w:hint="eastAsia" w:ascii="宋体" w:hAnsi="宋体" w:eastAsia="宋体" w:cs="Times New Roman"/>
          <w:b/>
          <w:bCs/>
          <w:sz w:val="28"/>
          <w:szCs w:val="28"/>
        </w:rPr>
        <w:t>技术标评审表（100分）</w:t>
      </w:r>
    </w:p>
    <w:tbl>
      <w:tblPr>
        <w:tblStyle w:val="37"/>
        <w:tblW w:w="14129" w:type="dxa"/>
        <w:tblInd w:w="93" w:type="dxa"/>
        <w:tblLayout w:type="autofit"/>
        <w:tblCellMar>
          <w:top w:w="0" w:type="dxa"/>
          <w:left w:w="108" w:type="dxa"/>
          <w:bottom w:w="0" w:type="dxa"/>
          <w:right w:w="108" w:type="dxa"/>
        </w:tblCellMar>
      </w:tblPr>
      <w:tblGrid>
        <w:gridCol w:w="812"/>
        <w:gridCol w:w="650"/>
        <w:gridCol w:w="2126"/>
        <w:gridCol w:w="1080"/>
        <w:gridCol w:w="9461"/>
      </w:tblGrid>
      <w:tr w14:paraId="5DE8D8B2">
        <w:trPr>
          <w:trHeight w:val="539" w:hRule="atLeast"/>
        </w:trPr>
        <w:tc>
          <w:tcPr>
            <w:tcW w:w="812" w:type="dxa"/>
            <w:tcBorders>
              <w:top w:val="single" w:color="000000" w:sz="8" w:space="0"/>
              <w:left w:val="single" w:color="000000" w:sz="8" w:space="0"/>
              <w:bottom w:val="single" w:color="000000" w:sz="4" w:space="0"/>
              <w:right w:val="single" w:color="000000" w:sz="4" w:space="0"/>
            </w:tcBorders>
            <w:vAlign w:val="center"/>
          </w:tcPr>
          <w:p w14:paraId="50EA96EA">
            <w:pPr>
              <w:widowControl/>
              <w:jc w:val="center"/>
              <w:textAlignment w:val="center"/>
              <w:rPr>
                <w:rFonts w:hint="eastAsia" w:ascii="宋体" w:hAnsi="宋体" w:eastAsia="宋体" w:cs="Times New Roman"/>
                <w:b/>
                <w:bCs/>
                <w:color w:val="000000"/>
                <w:szCs w:val="21"/>
              </w:rPr>
            </w:pPr>
            <w:r>
              <w:rPr>
                <w:rFonts w:ascii="宋体" w:hAnsi="宋体" w:eastAsia="宋体" w:cs="Times New Roman"/>
                <w:b/>
                <w:bCs/>
                <w:color w:val="000000"/>
                <w:szCs w:val="21"/>
              </w:rPr>
              <w:t>评价类型</w:t>
            </w:r>
          </w:p>
        </w:tc>
        <w:tc>
          <w:tcPr>
            <w:tcW w:w="650" w:type="dxa"/>
            <w:tcBorders>
              <w:top w:val="single" w:color="000000" w:sz="8" w:space="0"/>
              <w:left w:val="nil"/>
              <w:bottom w:val="single" w:color="000000" w:sz="4" w:space="0"/>
              <w:right w:val="single" w:color="000000" w:sz="4" w:space="0"/>
            </w:tcBorders>
            <w:vAlign w:val="center"/>
          </w:tcPr>
          <w:p w14:paraId="30D69AF6">
            <w:pPr>
              <w:widowControl/>
              <w:jc w:val="center"/>
              <w:textAlignment w:val="center"/>
              <w:rPr>
                <w:rFonts w:hint="eastAsia" w:ascii="宋体" w:hAnsi="宋体" w:eastAsia="宋体" w:cs="Times New Roman"/>
                <w:b/>
                <w:bCs/>
                <w:color w:val="000000"/>
                <w:szCs w:val="21"/>
              </w:rPr>
            </w:pPr>
            <w:r>
              <w:rPr>
                <w:rFonts w:ascii="宋体" w:hAnsi="宋体" w:eastAsia="宋体" w:cs="Times New Roman"/>
                <w:b/>
                <w:bCs/>
                <w:color w:val="000000"/>
                <w:szCs w:val="21"/>
              </w:rPr>
              <w:t>序号</w:t>
            </w:r>
          </w:p>
        </w:tc>
        <w:tc>
          <w:tcPr>
            <w:tcW w:w="2126" w:type="dxa"/>
            <w:tcBorders>
              <w:top w:val="single" w:color="000000" w:sz="8" w:space="0"/>
              <w:left w:val="nil"/>
              <w:bottom w:val="single" w:color="000000" w:sz="4" w:space="0"/>
              <w:right w:val="single" w:color="000000" w:sz="4" w:space="0"/>
            </w:tcBorders>
            <w:vAlign w:val="center"/>
          </w:tcPr>
          <w:p w14:paraId="2F893016">
            <w:pPr>
              <w:widowControl/>
              <w:jc w:val="center"/>
              <w:textAlignment w:val="center"/>
              <w:rPr>
                <w:rFonts w:hint="eastAsia" w:ascii="宋体" w:hAnsi="宋体" w:eastAsia="宋体" w:cs="Times New Roman"/>
                <w:b/>
                <w:bCs/>
                <w:color w:val="000000"/>
                <w:szCs w:val="21"/>
              </w:rPr>
            </w:pPr>
            <w:r>
              <w:rPr>
                <w:rFonts w:ascii="宋体" w:hAnsi="宋体" w:eastAsia="宋体" w:cs="Times New Roman"/>
                <w:b/>
                <w:bCs/>
                <w:color w:val="000000"/>
                <w:spacing w:val="39"/>
                <w:kern w:val="0"/>
                <w:szCs w:val="21"/>
              </w:rPr>
              <w:t xml:space="preserve">内   </w:t>
            </w:r>
            <w:r>
              <w:rPr>
                <w:rFonts w:ascii="宋体" w:hAnsi="宋体" w:eastAsia="宋体" w:cs="Times New Roman"/>
                <w:b/>
                <w:bCs/>
                <w:color w:val="000000"/>
                <w:spacing w:val="1"/>
                <w:kern w:val="0"/>
                <w:szCs w:val="21"/>
              </w:rPr>
              <w:t>容</w:t>
            </w:r>
          </w:p>
        </w:tc>
        <w:tc>
          <w:tcPr>
            <w:tcW w:w="1080" w:type="dxa"/>
            <w:tcBorders>
              <w:top w:val="single" w:color="000000" w:sz="8" w:space="0"/>
              <w:left w:val="nil"/>
              <w:bottom w:val="single" w:color="000000" w:sz="4" w:space="0"/>
              <w:right w:val="single" w:color="000000" w:sz="4" w:space="0"/>
            </w:tcBorders>
            <w:vAlign w:val="center"/>
          </w:tcPr>
          <w:p w14:paraId="1475D7A4">
            <w:pPr>
              <w:widowControl/>
              <w:jc w:val="center"/>
              <w:textAlignment w:val="center"/>
              <w:rPr>
                <w:rFonts w:hint="eastAsia" w:ascii="宋体" w:hAnsi="宋体" w:eastAsia="宋体" w:cs="Times New Roman"/>
                <w:b/>
                <w:bCs/>
                <w:color w:val="000000"/>
                <w:szCs w:val="21"/>
              </w:rPr>
            </w:pPr>
            <w:r>
              <w:rPr>
                <w:rFonts w:ascii="宋体" w:hAnsi="宋体" w:eastAsia="宋体" w:cs="Times New Roman"/>
                <w:b/>
                <w:bCs/>
                <w:color w:val="000000"/>
                <w:szCs w:val="21"/>
              </w:rPr>
              <w:t>标准分</w:t>
            </w:r>
          </w:p>
        </w:tc>
        <w:tc>
          <w:tcPr>
            <w:tcW w:w="9461" w:type="dxa"/>
            <w:tcBorders>
              <w:top w:val="single" w:color="000000" w:sz="8" w:space="0"/>
              <w:left w:val="nil"/>
              <w:bottom w:val="single" w:color="000000" w:sz="4" w:space="0"/>
              <w:right w:val="single" w:color="000000" w:sz="8" w:space="0"/>
            </w:tcBorders>
            <w:vAlign w:val="center"/>
          </w:tcPr>
          <w:p w14:paraId="7165D8EC">
            <w:pPr>
              <w:widowControl/>
              <w:jc w:val="center"/>
              <w:textAlignment w:val="center"/>
              <w:rPr>
                <w:rFonts w:hint="eastAsia" w:ascii="宋体" w:hAnsi="宋体" w:eastAsia="宋体" w:cs="Times New Roman"/>
                <w:b/>
                <w:bCs/>
                <w:color w:val="000000"/>
                <w:szCs w:val="21"/>
              </w:rPr>
            </w:pPr>
            <w:r>
              <w:rPr>
                <w:rFonts w:ascii="宋体" w:hAnsi="宋体" w:eastAsia="宋体" w:cs="Times New Roman"/>
                <w:b/>
                <w:bCs/>
                <w:color w:val="000000"/>
                <w:szCs w:val="21"/>
              </w:rPr>
              <w:t>评分标准</w:t>
            </w:r>
          </w:p>
        </w:tc>
      </w:tr>
      <w:tr w14:paraId="448EFAC8">
        <w:tblPrEx>
          <w:tblCellMar>
            <w:top w:w="0" w:type="dxa"/>
            <w:left w:w="108" w:type="dxa"/>
            <w:bottom w:w="0" w:type="dxa"/>
            <w:right w:w="108" w:type="dxa"/>
          </w:tblCellMar>
        </w:tblPrEx>
        <w:trPr>
          <w:trHeight w:val="1023" w:hRule="atLeast"/>
        </w:trPr>
        <w:tc>
          <w:tcPr>
            <w:tcW w:w="812" w:type="dxa"/>
            <w:vMerge w:val="restart"/>
            <w:tcBorders>
              <w:top w:val="nil"/>
              <w:left w:val="single" w:color="000000" w:sz="8" w:space="0"/>
              <w:bottom w:val="single" w:color="000000" w:sz="4" w:space="0"/>
              <w:right w:val="single" w:color="000000" w:sz="4" w:space="0"/>
            </w:tcBorders>
            <w:vAlign w:val="center"/>
          </w:tcPr>
          <w:p w14:paraId="68607F0E">
            <w:pPr>
              <w:widowControl/>
              <w:jc w:val="center"/>
              <w:textAlignment w:val="center"/>
              <w:rPr>
                <w:rFonts w:hint="eastAsia" w:ascii="宋体" w:hAnsi="宋体" w:eastAsia="宋体" w:cs="Times New Roman"/>
                <w:color w:val="000000"/>
                <w:szCs w:val="21"/>
              </w:rPr>
            </w:pPr>
            <w:r>
              <w:rPr>
                <w:rFonts w:hint="eastAsia" w:ascii="宋体" w:hAnsi="宋体" w:eastAsia="宋体" w:cs="Times New Roman"/>
                <w:color w:val="000000"/>
                <w:kern w:val="0"/>
                <w:szCs w:val="21"/>
              </w:rPr>
              <w:t>技术100分</w:t>
            </w:r>
          </w:p>
        </w:tc>
        <w:tc>
          <w:tcPr>
            <w:tcW w:w="650" w:type="dxa"/>
            <w:tcBorders>
              <w:top w:val="single" w:color="000000" w:sz="4" w:space="0"/>
              <w:left w:val="nil"/>
              <w:bottom w:val="single" w:color="000000" w:sz="4" w:space="0"/>
              <w:right w:val="single" w:color="000000" w:sz="4" w:space="0"/>
            </w:tcBorders>
            <w:vAlign w:val="center"/>
          </w:tcPr>
          <w:p w14:paraId="75F75EA6">
            <w:pPr>
              <w:widowControl/>
              <w:jc w:val="center"/>
              <w:textAlignment w:val="center"/>
              <w:rPr>
                <w:rFonts w:hint="eastAsia" w:ascii="宋体" w:hAnsi="宋体" w:eastAsia="宋体" w:cs="Times New Roman"/>
                <w:color w:val="000000"/>
                <w:szCs w:val="21"/>
              </w:rPr>
            </w:pPr>
            <w:r>
              <w:rPr>
                <w:rFonts w:hint="eastAsia" w:ascii="宋体" w:hAnsi="宋体" w:eastAsia="宋体" w:cs="Times New Roman"/>
                <w:color w:val="000000"/>
                <w:kern w:val="0"/>
                <w:szCs w:val="21"/>
              </w:rPr>
              <w:t>1</w:t>
            </w:r>
          </w:p>
        </w:tc>
        <w:tc>
          <w:tcPr>
            <w:tcW w:w="2126" w:type="dxa"/>
            <w:tcBorders>
              <w:top w:val="single" w:color="000000" w:sz="4" w:space="0"/>
              <w:left w:val="nil"/>
              <w:bottom w:val="single" w:color="000000" w:sz="4" w:space="0"/>
              <w:right w:val="single" w:color="000000" w:sz="4" w:space="0"/>
            </w:tcBorders>
            <w:vAlign w:val="center"/>
          </w:tcPr>
          <w:p w14:paraId="7973B915">
            <w:pPr>
              <w:widowControl/>
              <w:jc w:val="center"/>
              <w:textAlignment w:val="center"/>
              <w:rPr>
                <w:rFonts w:hint="eastAsia" w:ascii="宋体" w:hAnsi="宋体" w:eastAsia="宋体" w:cs="Times New Roman"/>
                <w:color w:val="000000"/>
                <w:kern w:val="0"/>
                <w:szCs w:val="21"/>
              </w:rPr>
            </w:pPr>
            <w:r>
              <w:rPr>
                <w:rFonts w:hint="eastAsia" w:ascii="宋体" w:hAnsi="宋体" w:eastAsia="宋体" w:cs="Times New Roman"/>
                <w:color w:val="000000"/>
                <w:kern w:val="0"/>
                <w:szCs w:val="21"/>
              </w:rPr>
              <w:t>技术方案</w:t>
            </w:r>
          </w:p>
        </w:tc>
        <w:tc>
          <w:tcPr>
            <w:tcW w:w="1080" w:type="dxa"/>
            <w:tcBorders>
              <w:top w:val="single" w:color="000000" w:sz="4" w:space="0"/>
              <w:left w:val="nil"/>
              <w:bottom w:val="single" w:color="000000" w:sz="4" w:space="0"/>
              <w:right w:val="single" w:color="000000" w:sz="4" w:space="0"/>
            </w:tcBorders>
            <w:vAlign w:val="center"/>
          </w:tcPr>
          <w:p w14:paraId="13080220">
            <w:pPr>
              <w:widowControl/>
              <w:jc w:val="center"/>
              <w:textAlignment w:val="center"/>
              <w:rPr>
                <w:rFonts w:hint="eastAsia" w:ascii="宋体" w:hAnsi="宋体" w:eastAsia="宋体" w:cs="Times New Roman"/>
                <w:color w:val="000000"/>
                <w:szCs w:val="21"/>
              </w:rPr>
            </w:pPr>
            <w:r>
              <w:rPr>
                <w:rFonts w:hint="eastAsia" w:ascii="宋体" w:hAnsi="宋体" w:eastAsia="宋体" w:cs="Times New Roman"/>
                <w:color w:val="000000"/>
                <w:kern w:val="0"/>
                <w:szCs w:val="21"/>
              </w:rPr>
              <w:t>40</w:t>
            </w:r>
          </w:p>
        </w:tc>
        <w:tc>
          <w:tcPr>
            <w:tcW w:w="9461" w:type="dxa"/>
            <w:tcBorders>
              <w:top w:val="single" w:color="000000" w:sz="4" w:space="0"/>
              <w:left w:val="nil"/>
              <w:bottom w:val="single" w:color="000000" w:sz="4" w:space="0"/>
              <w:right w:val="single" w:color="000000" w:sz="8" w:space="0"/>
            </w:tcBorders>
            <w:vAlign w:val="center"/>
          </w:tcPr>
          <w:p w14:paraId="7E2E95EE">
            <w:pPr>
              <w:widowControl/>
              <w:jc w:val="left"/>
              <w:rPr>
                <w:rFonts w:hint="eastAsia" w:ascii="宋体" w:hAnsi="宋体" w:eastAsia="宋体" w:cs="Times New Roman"/>
                <w:color w:val="000000"/>
                <w:kern w:val="0"/>
                <w:szCs w:val="21"/>
              </w:rPr>
            </w:pPr>
            <w:r>
              <w:rPr>
                <w:rFonts w:hint="eastAsia" w:ascii="宋体" w:hAnsi="宋体" w:eastAsia="宋体" w:cs="Times New Roman"/>
                <w:color w:val="000000"/>
                <w:kern w:val="0"/>
                <w:szCs w:val="21"/>
              </w:rPr>
              <w:t>所报产品的技术方案先进，装备制造能力、生产设备、加工工艺先进，各系统完善、性能可靠，设备主要核心部件具备自身技术优势，技术参数优于招标文件要求，视情况优得35-40分，良得21-30分，一般得1-20分。</w:t>
            </w:r>
          </w:p>
        </w:tc>
      </w:tr>
      <w:tr w14:paraId="08952392">
        <w:tblPrEx>
          <w:tblCellMar>
            <w:top w:w="0" w:type="dxa"/>
            <w:left w:w="108" w:type="dxa"/>
            <w:bottom w:w="0" w:type="dxa"/>
            <w:right w:w="108" w:type="dxa"/>
          </w:tblCellMar>
        </w:tblPrEx>
        <w:trPr>
          <w:trHeight w:val="452" w:hRule="atLeast"/>
        </w:trPr>
        <w:tc>
          <w:tcPr>
            <w:tcW w:w="0" w:type="auto"/>
            <w:vMerge w:val="continue"/>
            <w:tcBorders>
              <w:top w:val="nil"/>
              <w:left w:val="single" w:color="000000" w:sz="8" w:space="0"/>
              <w:bottom w:val="single" w:color="000000" w:sz="4" w:space="0"/>
              <w:right w:val="single" w:color="000000" w:sz="4" w:space="0"/>
            </w:tcBorders>
            <w:vAlign w:val="center"/>
          </w:tcPr>
          <w:p w14:paraId="203CF6D7">
            <w:pPr>
              <w:widowControl/>
              <w:jc w:val="left"/>
              <w:rPr>
                <w:rFonts w:hint="eastAsia" w:ascii="宋体" w:hAnsi="宋体" w:eastAsia="宋体" w:cs="Times New Roman"/>
                <w:color w:val="000000"/>
                <w:szCs w:val="21"/>
              </w:rPr>
            </w:pPr>
          </w:p>
        </w:tc>
        <w:tc>
          <w:tcPr>
            <w:tcW w:w="650" w:type="dxa"/>
            <w:tcBorders>
              <w:top w:val="single" w:color="000000" w:sz="4" w:space="0"/>
              <w:left w:val="nil"/>
              <w:bottom w:val="single" w:color="000000" w:sz="4" w:space="0"/>
              <w:right w:val="single" w:color="000000" w:sz="4" w:space="0"/>
            </w:tcBorders>
            <w:vAlign w:val="center"/>
          </w:tcPr>
          <w:p w14:paraId="630C295E">
            <w:pPr>
              <w:widowControl/>
              <w:jc w:val="center"/>
              <w:textAlignment w:val="center"/>
              <w:rPr>
                <w:rFonts w:hint="eastAsia" w:ascii="宋体" w:hAnsi="宋体" w:eastAsia="宋体" w:cs="Times New Roman"/>
                <w:color w:val="000000"/>
                <w:szCs w:val="21"/>
              </w:rPr>
            </w:pPr>
            <w:r>
              <w:rPr>
                <w:rFonts w:hint="eastAsia" w:ascii="宋体" w:hAnsi="宋体" w:eastAsia="宋体" w:cs="Times New Roman"/>
                <w:color w:val="000000"/>
                <w:kern w:val="0"/>
                <w:szCs w:val="21"/>
              </w:rPr>
              <w:t>2</w:t>
            </w:r>
          </w:p>
        </w:tc>
        <w:tc>
          <w:tcPr>
            <w:tcW w:w="2126" w:type="dxa"/>
            <w:tcBorders>
              <w:top w:val="single" w:color="000000" w:sz="4" w:space="0"/>
              <w:left w:val="nil"/>
              <w:bottom w:val="single" w:color="000000" w:sz="4" w:space="0"/>
              <w:right w:val="single" w:color="000000" w:sz="4" w:space="0"/>
            </w:tcBorders>
            <w:vAlign w:val="center"/>
          </w:tcPr>
          <w:p w14:paraId="6CDFD4FF">
            <w:pPr>
              <w:widowControl/>
              <w:jc w:val="center"/>
              <w:textAlignment w:val="center"/>
              <w:rPr>
                <w:rFonts w:hint="eastAsia" w:ascii="宋体" w:hAnsi="宋体" w:eastAsia="宋体" w:cs="Times New Roman"/>
                <w:color w:val="000000"/>
                <w:kern w:val="0"/>
                <w:szCs w:val="21"/>
              </w:rPr>
            </w:pPr>
            <w:r>
              <w:rPr>
                <w:rFonts w:hint="eastAsia" w:ascii="宋体" w:hAnsi="宋体" w:eastAsia="宋体" w:cs="Times New Roman"/>
                <w:color w:val="000000"/>
                <w:kern w:val="0"/>
                <w:szCs w:val="21"/>
              </w:rPr>
              <w:t>项目组织及人员</w:t>
            </w:r>
          </w:p>
        </w:tc>
        <w:tc>
          <w:tcPr>
            <w:tcW w:w="1080" w:type="dxa"/>
            <w:tcBorders>
              <w:top w:val="single" w:color="000000" w:sz="4" w:space="0"/>
              <w:left w:val="nil"/>
              <w:bottom w:val="single" w:color="000000" w:sz="4" w:space="0"/>
              <w:right w:val="single" w:color="000000" w:sz="4" w:space="0"/>
            </w:tcBorders>
            <w:vAlign w:val="center"/>
          </w:tcPr>
          <w:p w14:paraId="1C39878E">
            <w:pPr>
              <w:widowControl/>
              <w:jc w:val="center"/>
              <w:textAlignment w:val="center"/>
              <w:rPr>
                <w:rFonts w:hint="eastAsia" w:ascii="宋体" w:hAnsi="宋体" w:eastAsia="宋体" w:cs="Times New Roman"/>
                <w:color w:val="000000"/>
                <w:szCs w:val="21"/>
              </w:rPr>
            </w:pPr>
            <w:r>
              <w:rPr>
                <w:rFonts w:hint="eastAsia" w:ascii="宋体" w:hAnsi="宋体" w:eastAsia="宋体" w:cs="Times New Roman"/>
                <w:color w:val="000000"/>
                <w:kern w:val="0"/>
                <w:szCs w:val="21"/>
              </w:rPr>
              <w:t>10</w:t>
            </w:r>
          </w:p>
        </w:tc>
        <w:tc>
          <w:tcPr>
            <w:tcW w:w="9461" w:type="dxa"/>
            <w:tcBorders>
              <w:top w:val="single" w:color="000000" w:sz="4" w:space="0"/>
              <w:left w:val="nil"/>
              <w:bottom w:val="single" w:color="000000" w:sz="4" w:space="0"/>
              <w:right w:val="single" w:color="000000" w:sz="8" w:space="0"/>
            </w:tcBorders>
            <w:vAlign w:val="center"/>
          </w:tcPr>
          <w:p w14:paraId="7F060906">
            <w:pPr>
              <w:widowControl/>
              <w:jc w:val="left"/>
              <w:rPr>
                <w:rFonts w:hint="eastAsia" w:ascii="宋体" w:hAnsi="宋体" w:eastAsia="宋体" w:cs="Times New Roman"/>
                <w:color w:val="000000"/>
                <w:kern w:val="0"/>
                <w:szCs w:val="21"/>
              </w:rPr>
            </w:pPr>
            <w:r>
              <w:rPr>
                <w:rFonts w:hint="eastAsia" w:ascii="宋体" w:hAnsi="宋体" w:eastAsia="宋体" w:cs="Times New Roman"/>
                <w:color w:val="000000"/>
                <w:kern w:val="0"/>
                <w:szCs w:val="21"/>
              </w:rPr>
              <w:t>成立专项小组且职责明确，全流程项目人员经验丰富。根据方案进行综合评审，优得8-10分；良得5-7分；一般得1-4分。</w:t>
            </w:r>
          </w:p>
        </w:tc>
      </w:tr>
      <w:tr w14:paraId="72334044">
        <w:tblPrEx>
          <w:tblCellMar>
            <w:top w:w="0" w:type="dxa"/>
            <w:left w:w="108" w:type="dxa"/>
            <w:bottom w:w="0" w:type="dxa"/>
            <w:right w:w="108" w:type="dxa"/>
          </w:tblCellMar>
        </w:tblPrEx>
        <w:trPr>
          <w:trHeight w:val="776" w:hRule="atLeast"/>
        </w:trPr>
        <w:tc>
          <w:tcPr>
            <w:tcW w:w="0" w:type="auto"/>
            <w:vMerge w:val="continue"/>
            <w:tcBorders>
              <w:top w:val="nil"/>
              <w:left w:val="single" w:color="000000" w:sz="8" w:space="0"/>
              <w:bottom w:val="single" w:color="000000" w:sz="4" w:space="0"/>
              <w:right w:val="single" w:color="000000" w:sz="4" w:space="0"/>
            </w:tcBorders>
            <w:vAlign w:val="center"/>
          </w:tcPr>
          <w:p w14:paraId="1E1CC839">
            <w:pPr>
              <w:widowControl/>
              <w:jc w:val="left"/>
              <w:rPr>
                <w:rFonts w:hint="eastAsia" w:ascii="宋体" w:hAnsi="宋体" w:eastAsia="宋体" w:cs="Times New Roman"/>
                <w:color w:val="000000"/>
                <w:szCs w:val="21"/>
              </w:rPr>
            </w:pPr>
          </w:p>
        </w:tc>
        <w:tc>
          <w:tcPr>
            <w:tcW w:w="650" w:type="dxa"/>
            <w:tcBorders>
              <w:top w:val="single" w:color="000000" w:sz="4" w:space="0"/>
              <w:left w:val="nil"/>
              <w:bottom w:val="single" w:color="000000" w:sz="4" w:space="0"/>
              <w:right w:val="single" w:color="000000" w:sz="4" w:space="0"/>
            </w:tcBorders>
            <w:vAlign w:val="center"/>
          </w:tcPr>
          <w:p w14:paraId="1999F25D">
            <w:pPr>
              <w:widowControl/>
              <w:jc w:val="center"/>
              <w:textAlignment w:val="center"/>
              <w:rPr>
                <w:rFonts w:hint="eastAsia" w:ascii="宋体" w:hAnsi="宋体" w:eastAsia="宋体" w:cs="Times New Roman"/>
                <w:color w:val="000000"/>
                <w:szCs w:val="21"/>
              </w:rPr>
            </w:pPr>
            <w:r>
              <w:rPr>
                <w:rFonts w:hint="eastAsia" w:ascii="宋体" w:hAnsi="宋体" w:eastAsia="宋体" w:cs="Times New Roman"/>
                <w:color w:val="000000"/>
                <w:kern w:val="0"/>
                <w:szCs w:val="21"/>
              </w:rPr>
              <w:t>3</w:t>
            </w:r>
          </w:p>
        </w:tc>
        <w:tc>
          <w:tcPr>
            <w:tcW w:w="2126" w:type="dxa"/>
            <w:tcBorders>
              <w:top w:val="single" w:color="000000" w:sz="4" w:space="0"/>
              <w:left w:val="nil"/>
              <w:bottom w:val="single" w:color="000000" w:sz="4" w:space="0"/>
              <w:right w:val="single" w:color="000000" w:sz="4" w:space="0"/>
            </w:tcBorders>
            <w:vAlign w:val="center"/>
          </w:tcPr>
          <w:p w14:paraId="5612CA78">
            <w:pPr>
              <w:widowControl/>
              <w:jc w:val="center"/>
              <w:textAlignment w:val="center"/>
              <w:rPr>
                <w:rFonts w:hint="eastAsia" w:ascii="宋体" w:hAnsi="宋体" w:eastAsia="宋体" w:cs="Times New Roman"/>
                <w:color w:val="000000"/>
                <w:kern w:val="0"/>
                <w:szCs w:val="21"/>
              </w:rPr>
            </w:pPr>
            <w:r>
              <w:rPr>
                <w:rFonts w:hint="eastAsia" w:ascii="宋体" w:hAnsi="宋体" w:eastAsia="宋体" w:cs="Times New Roman"/>
                <w:color w:val="000000"/>
                <w:kern w:val="0"/>
                <w:szCs w:val="21"/>
              </w:rPr>
              <w:t>供货周期</w:t>
            </w:r>
          </w:p>
        </w:tc>
        <w:tc>
          <w:tcPr>
            <w:tcW w:w="1080" w:type="dxa"/>
            <w:tcBorders>
              <w:top w:val="single" w:color="000000" w:sz="4" w:space="0"/>
              <w:left w:val="nil"/>
              <w:bottom w:val="single" w:color="000000" w:sz="4" w:space="0"/>
              <w:right w:val="single" w:color="000000" w:sz="4" w:space="0"/>
            </w:tcBorders>
            <w:vAlign w:val="center"/>
          </w:tcPr>
          <w:p w14:paraId="02664AF6">
            <w:pPr>
              <w:widowControl/>
              <w:jc w:val="center"/>
              <w:textAlignment w:val="center"/>
              <w:rPr>
                <w:rFonts w:hint="eastAsia" w:ascii="宋体" w:hAnsi="宋体" w:eastAsia="宋体" w:cs="Times New Roman"/>
                <w:color w:val="000000"/>
                <w:szCs w:val="21"/>
              </w:rPr>
            </w:pPr>
            <w:r>
              <w:rPr>
                <w:rFonts w:hint="eastAsia" w:ascii="宋体" w:hAnsi="宋体" w:eastAsia="宋体" w:cs="Times New Roman"/>
                <w:color w:val="000000"/>
                <w:kern w:val="0"/>
                <w:szCs w:val="21"/>
              </w:rPr>
              <w:t>20</w:t>
            </w:r>
          </w:p>
        </w:tc>
        <w:tc>
          <w:tcPr>
            <w:tcW w:w="9461" w:type="dxa"/>
            <w:tcBorders>
              <w:top w:val="single" w:color="000000" w:sz="4" w:space="0"/>
              <w:left w:val="nil"/>
              <w:bottom w:val="single" w:color="000000" w:sz="4" w:space="0"/>
              <w:right w:val="single" w:color="000000" w:sz="8" w:space="0"/>
            </w:tcBorders>
            <w:vAlign w:val="center"/>
          </w:tcPr>
          <w:p w14:paraId="78233FD2">
            <w:pPr>
              <w:widowControl/>
              <w:jc w:val="left"/>
              <w:rPr>
                <w:rFonts w:hint="eastAsia" w:ascii="宋体" w:hAnsi="宋体" w:eastAsia="宋体" w:cs="Times New Roman"/>
                <w:color w:val="000000"/>
                <w:kern w:val="0"/>
                <w:szCs w:val="21"/>
              </w:rPr>
            </w:pPr>
            <w:r>
              <w:rPr>
                <w:rFonts w:hint="eastAsia" w:ascii="宋体" w:hAnsi="宋体" w:eastAsia="宋体" w:cs="Times New Roman"/>
                <w:color w:val="000000"/>
                <w:kern w:val="0"/>
                <w:szCs w:val="21"/>
              </w:rPr>
              <w:t>响应供货期和现场停工期基本要求，有详细可行的行动计划能保证项目进度，有风险管理措施；加工、制作方案合理、完善、切实可行能确保安全；能满足交货期者视情况得15-20分；剩余投标方得1-14分。</w:t>
            </w:r>
          </w:p>
        </w:tc>
      </w:tr>
      <w:tr w14:paraId="092EE0DD">
        <w:tblPrEx>
          <w:tblCellMar>
            <w:top w:w="0" w:type="dxa"/>
            <w:left w:w="108" w:type="dxa"/>
            <w:bottom w:w="0" w:type="dxa"/>
            <w:right w:w="108" w:type="dxa"/>
          </w:tblCellMar>
        </w:tblPrEx>
        <w:trPr>
          <w:trHeight w:val="510" w:hRule="atLeast"/>
        </w:trPr>
        <w:tc>
          <w:tcPr>
            <w:tcW w:w="0" w:type="auto"/>
            <w:vMerge w:val="continue"/>
            <w:tcBorders>
              <w:top w:val="nil"/>
              <w:left w:val="single" w:color="000000" w:sz="8" w:space="0"/>
              <w:bottom w:val="single" w:color="000000" w:sz="4" w:space="0"/>
              <w:right w:val="single" w:color="000000" w:sz="4" w:space="0"/>
            </w:tcBorders>
            <w:vAlign w:val="center"/>
          </w:tcPr>
          <w:p w14:paraId="379E3737">
            <w:pPr>
              <w:widowControl/>
              <w:jc w:val="left"/>
              <w:rPr>
                <w:rFonts w:hint="eastAsia" w:ascii="宋体" w:hAnsi="宋体" w:eastAsia="宋体" w:cs="Times New Roman"/>
                <w:color w:val="000000"/>
                <w:szCs w:val="21"/>
              </w:rPr>
            </w:pPr>
          </w:p>
        </w:tc>
        <w:tc>
          <w:tcPr>
            <w:tcW w:w="650" w:type="dxa"/>
            <w:tcBorders>
              <w:top w:val="single" w:color="000000" w:sz="4" w:space="0"/>
              <w:left w:val="nil"/>
              <w:bottom w:val="single" w:color="000000" w:sz="4" w:space="0"/>
              <w:right w:val="single" w:color="000000" w:sz="4" w:space="0"/>
            </w:tcBorders>
            <w:vAlign w:val="center"/>
          </w:tcPr>
          <w:p w14:paraId="51304EB1">
            <w:pPr>
              <w:widowControl/>
              <w:jc w:val="center"/>
              <w:textAlignment w:val="center"/>
              <w:rPr>
                <w:rFonts w:hint="eastAsia" w:ascii="宋体" w:hAnsi="宋体" w:eastAsia="宋体" w:cs="Times New Roman"/>
                <w:color w:val="000000"/>
                <w:szCs w:val="21"/>
              </w:rPr>
            </w:pPr>
            <w:r>
              <w:rPr>
                <w:rFonts w:hint="eastAsia" w:ascii="宋体" w:hAnsi="宋体" w:eastAsia="宋体" w:cs="Times New Roman"/>
                <w:color w:val="000000"/>
                <w:kern w:val="0"/>
                <w:szCs w:val="21"/>
              </w:rPr>
              <w:t>4</w:t>
            </w:r>
          </w:p>
        </w:tc>
        <w:tc>
          <w:tcPr>
            <w:tcW w:w="2126" w:type="dxa"/>
            <w:tcBorders>
              <w:top w:val="single" w:color="000000" w:sz="4" w:space="0"/>
              <w:left w:val="nil"/>
              <w:bottom w:val="single" w:color="000000" w:sz="4" w:space="0"/>
              <w:right w:val="single" w:color="000000" w:sz="4" w:space="0"/>
            </w:tcBorders>
            <w:vAlign w:val="center"/>
          </w:tcPr>
          <w:p w14:paraId="3B673705">
            <w:pPr>
              <w:widowControl/>
              <w:jc w:val="center"/>
              <w:textAlignment w:val="center"/>
              <w:rPr>
                <w:rFonts w:hint="eastAsia" w:ascii="宋体" w:hAnsi="宋体" w:eastAsia="宋体" w:cs="Times New Roman"/>
                <w:color w:val="000000"/>
                <w:kern w:val="0"/>
                <w:szCs w:val="21"/>
              </w:rPr>
            </w:pPr>
            <w:r>
              <w:rPr>
                <w:rFonts w:hint="eastAsia" w:ascii="宋体" w:hAnsi="宋体" w:eastAsia="宋体" w:cs="Times New Roman"/>
                <w:color w:val="000000"/>
                <w:kern w:val="0"/>
                <w:szCs w:val="21"/>
              </w:rPr>
              <w:t>类似业绩</w:t>
            </w:r>
          </w:p>
        </w:tc>
        <w:tc>
          <w:tcPr>
            <w:tcW w:w="1080" w:type="dxa"/>
            <w:tcBorders>
              <w:top w:val="single" w:color="000000" w:sz="4" w:space="0"/>
              <w:left w:val="nil"/>
              <w:bottom w:val="single" w:color="000000" w:sz="4" w:space="0"/>
              <w:right w:val="single" w:color="000000" w:sz="4" w:space="0"/>
            </w:tcBorders>
            <w:vAlign w:val="center"/>
          </w:tcPr>
          <w:p w14:paraId="35E0A95D">
            <w:pPr>
              <w:widowControl/>
              <w:jc w:val="center"/>
              <w:textAlignment w:val="center"/>
              <w:rPr>
                <w:rFonts w:hint="eastAsia" w:ascii="宋体" w:hAnsi="宋体" w:eastAsia="宋体" w:cs="Times New Roman"/>
                <w:color w:val="000000"/>
                <w:szCs w:val="21"/>
              </w:rPr>
            </w:pPr>
            <w:r>
              <w:rPr>
                <w:rFonts w:hint="eastAsia" w:ascii="宋体" w:hAnsi="宋体" w:eastAsia="宋体" w:cs="Times New Roman"/>
                <w:color w:val="000000"/>
                <w:kern w:val="0"/>
                <w:szCs w:val="21"/>
              </w:rPr>
              <w:t>10</w:t>
            </w:r>
          </w:p>
        </w:tc>
        <w:tc>
          <w:tcPr>
            <w:tcW w:w="9461" w:type="dxa"/>
            <w:tcBorders>
              <w:top w:val="single" w:color="000000" w:sz="4" w:space="0"/>
              <w:left w:val="nil"/>
              <w:bottom w:val="single" w:color="000000" w:sz="4" w:space="0"/>
              <w:right w:val="single" w:color="000000" w:sz="8" w:space="0"/>
            </w:tcBorders>
            <w:vAlign w:val="center"/>
          </w:tcPr>
          <w:p w14:paraId="77D27F39">
            <w:pPr>
              <w:widowControl/>
              <w:jc w:val="left"/>
              <w:rPr>
                <w:rFonts w:hint="eastAsia" w:ascii="宋体" w:hAnsi="宋体" w:eastAsia="宋体" w:cs="Times New Roman"/>
                <w:color w:val="000000"/>
                <w:kern w:val="0"/>
                <w:szCs w:val="21"/>
              </w:rPr>
            </w:pPr>
            <w:r>
              <w:rPr>
                <w:rFonts w:hint="eastAsia" w:ascii="宋体" w:hAnsi="宋体" w:eastAsia="宋体" w:cs="Times New Roman"/>
                <w:color w:val="000000"/>
                <w:kern w:val="0"/>
                <w:szCs w:val="21"/>
              </w:rPr>
              <w:t>近三年国内或国外知名品牌商用车或乘用车供货经历和经验或其他大型供货经历，提供1份投标同类产品开发合同证明材料，得2分，最高得10分。</w:t>
            </w:r>
          </w:p>
        </w:tc>
      </w:tr>
      <w:tr w14:paraId="3AB01CA3">
        <w:tblPrEx>
          <w:tblCellMar>
            <w:top w:w="0" w:type="dxa"/>
            <w:left w:w="108" w:type="dxa"/>
            <w:bottom w:w="0" w:type="dxa"/>
            <w:right w:w="108" w:type="dxa"/>
          </w:tblCellMar>
        </w:tblPrEx>
        <w:trPr>
          <w:trHeight w:val="510" w:hRule="atLeast"/>
        </w:trPr>
        <w:tc>
          <w:tcPr>
            <w:tcW w:w="0" w:type="auto"/>
            <w:vMerge w:val="continue"/>
            <w:tcBorders>
              <w:top w:val="nil"/>
              <w:left w:val="single" w:color="000000" w:sz="8" w:space="0"/>
              <w:bottom w:val="single" w:color="000000" w:sz="4" w:space="0"/>
              <w:right w:val="single" w:color="000000" w:sz="4" w:space="0"/>
            </w:tcBorders>
            <w:vAlign w:val="center"/>
          </w:tcPr>
          <w:p w14:paraId="57B08A19">
            <w:pPr>
              <w:widowControl/>
              <w:jc w:val="left"/>
              <w:rPr>
                <w:rFonts w:hint="eastAsia" w:ascii="宋体" w:hAnsi="宋体" w:eastAsia="宋体" w:cs="Times New Roman"/>
                <w:color w:val="000000"/>
                <w:szCs w:val="21"/>
              </w:rPr>
            </w:pPr>
          </w:p>
        </w:tc>
        <w:tc>
          <w:tcPr>
            <w:tcW w:w="650" w:type="dxa"/>
            <w:tcBorders>
              <w:top w:val="single" w:color="000000" w:sz="4" w:space="0"/>
              <w:left w:val="nil"/>
              <w:bottom w:val="single" w:color="000000" w:sz="4" w:space="0"/>
              <w:right w:val="single" w:color="000000" w:sz="4" w:space="0"/>
            </w:tcBorders>
            <w:vAlign w:val="center"/>
          </w:tcPr>
          <w:p w14:paraId="1E1FC597">
            <w:pPr>
              <w:widowControl/>
              <w:jc w:val="center"/>
              <w:textAlignment w:val="center"/>
              <w:rPr>
                <w:rFonts w:hint="eastAsia" w:ascii="宋体" w:hAnsi="宋体" w:eastAsia="宋体" w:cs="Times New Roman"/>
                <w:color w:val="000000"/>
                <w:szCs w:val="21"/>
              </w:rPr>
            </w:pPr>
            <w:r>
              <w:rPr>
                <w:rFonts w:hint="eastAsia" w:ascii="宋体" w:hAnsi="宋体" w:eastAsia="宋体" w:cs="Times New Roman"/>
                <w:color w:val="000000"/>
                <w:kern w:val="0"/>
                <w:szCs w:val="21"/>
              </w:rPr>
              <w:t>5</w:t>
            </w:r>
          </w:p>
        </w:tc>
        <w:tc>
          <w:tcPr>
            <w:tcW w:w="2126" w:type="dxa"/>
            <w:tcBorders>
              <w:top w:val="single" w:color="000000" w:sz="4" w:space="0"/>
              <w:left w:val="nil"/>
              <w:bottom w:val="single" w:color="000000" w:sz="4" w:space="0"/>
              <w:right w:val="single" w:color="000000" w:sz="4" w:space="0"/>
            </w:tcBorders>
            <w:vAlign w:val="center"/>
          </w:tcPr>
          <w:p w14:paraId="5C7BAAB7">
            <w:pPr>
              <w:widowControl/>
              <w:jc w:val="center"/>
              <w:rPr>
                <w:rFonts w:hint="eastAsia" w:ascii="宋体" w:hAnsi="宋体" w:eastAsia="宋体" w:cs="Times New Roman"/>
                <w:color w:val="000000"/>
                <w:kern w:val="0"/>
                <w:szCs w:val="21"/>
              </w:rPr>
            </w:pPr>
            <w:r>
              <w:rPr>
                <w:rFonts w:hint="eastAsia" w:ascii="宋体" w:hAnsi="宋体" w:eastAsia="宋体" w:cs="Times New Roman"/>
                <w:color w:val="000000"/>
                <w:kern w:val="0"/>
                <w:szCs w:val="21"/>
              </w:rPr>
              <w:t>质量保障</w:t>
            </w:r>
          </w:p>
        </w:tc>
        <w:tc>
          <w:tcPr>
            <w:tcW w:w="1080" w:type="dxa"/>
            <w:tcBorders>
              <w:top w:val="single" w:color="000000" w:sz="4" w:space="0"/>
              <w:left w:val="nil"/>
              <w:bottom w:val="single" w:color="000000" w:sz="4" w:space="0"/>
              <w:right w:val="single" w:color="000000" w:sz="4" w:space="0"/>
            </w:tcBorders>
            <w:vAlign w:val="center"/>
          </w:tcPr>
          <w:p w14:paraId="66C4759A">
            <w:pPr>
              <w:widowControl/>
              <w:jc w:val="center"/>
              <w:textAlignment w:val="center"/>
              <w:rPr>
                <w:rFonts w:hint="eastAsia" w:ascii="宋体" w:hAnsi="宋体" w:eastAsia="宋体" w:cs="Times New Roman"/>
                <w:color w:val="000000"/>
                <w:szCs w:val="21"/>
              </w:rPr>
            </w:pPr>
            <w:r>
              <w:rPr>
                <w:rFonts w:hint="eastAsia" w:ascii="宋体" w:hAnsi="宋体" w:eastAsia="宋体" w:cs="Times New Roman"/>
                <w:color w:val="000000"/>
                <w:kern w:val="0"/>
                <w:szCs w:val="21"/>
              </w:rPr>
              <w:t>10</w:t>
            </w:r>
          </w:p>
        </w:tc>
        <w:tc>
          <w:tcPr>
            <w:tcW w:w="9461" w:type="dxa"/>
            <w:tcBorders>
              <w:top w:val="single" w:color="000000" w:sz="4" w:space="0"/>
              <w:left w:val="nil"/>
              <w:bottom w:val="single" w:color="000000" w:sz="4" w:space="0"/>
              <w:right w:val="single" w:color="000000" w:sz="8" w:space="0"/>
            </w:tcBorders>
            <w:vAlign w:val="center"/>
          </w:tcPr>
          <w:p w14:paraId="6E55F508">
            <w:pPr>
              <w:widowControl/>
              <w:jc w:val="left"/>
              <w:rPr>
                <w:rFonts w:hint="eastAsia" w:ascii="宋体" w:hAnsi="宋体" w:eastAsia="宋体" w:cs="Times New Roman"/>
                <w:color w:val="000000"/>
                <w:kern w:val="0"/>
                <w:szCs w:val="21"/>
              </w:rPr>
            </w:pPr>
            <w:r>
              <w:rPr>
                <w:rFonts w:hint="eastAsia" w:ascii="宋体" w:hAnsi="宋体" w:eastAsia="宋体" w:cs="Times New Roman"/>
                <w:color w:val="000000"/>
                <w:kern w:val="0"/>
                <w:szCs w:val="21"/>
              </w:rPr>
              <w:t>具有良好的质量管理体系和完备的检测体系，保证提供的产品质量、性能稳定可靠。根据提供的证明资料进行综合评审，优得10分，良得5-9分，一般得1-4分。</w:t>
            </w:r>
          </w:p>
        </w:tc>
      </w:tr>
    </w:tbl>
    <w:p w14:paraId="6211E59C">
      <w:pPr>
        <w:spacing w:line="360" w:lineRule="auto"/>
        <w:ind w:firstLine="482" w:firstLineChars="200"/>
        <w:rPr>
          <w:rFonts w:hint="eastAsia" w:ascii="宋体" w:hAnsi="宋体" w:eastAsia="宋体" w:cs="Times New Roman"/>
          <w:color w:val="000000"/>
          <w:sz w:val="24"/>
          <w:szCs w:val="24"/>
        </w:rPr>
      </w:pPr>
      <w:r>
        <w:rPr>
          <w:rFonts w:hint="eastAsia" w:ascii="宋体" w:hAnsi="宋体" w:eastAsia="宋体" w:cs="Times New Roman"/>
          <w:b/>
          <w:bCs/>
          <w:color w:val="000000"/>
          <w:sz w:val="24"/>
          <w:szCs w:val="24"/>
        </w:rPr>
        <w:t>技术标80分及以上推荐入围商务标阶段</w:t>
      </w:r>
      <w:r>
        <w:rPr>
          <w:rFonts w:hint="eastAsia" w:ascii="宋体" w:hAnsi="宋体" w:eastAsia="宋体" w:cs="Times New Roman"/>
          <w:color w:val="000000"/>
          <w:sz w:val="24"/>
          <w:szCs w:val="24"/>
        </w:rPr>
        <w:t>，评标过程中必须确保推荐的入围候选中标人，在功能、质量、先进性、业绩等方面均符合招标标准要求。</w:t>
      </w:r>
    </w:p>
    <w:p w14:paraId="33D45030">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评标方法</w:t>
      </w:r>
    </w:p>
    <w:p w14:paraId="7F011B7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a、若技术标评审出现总分并列时，比较产品技术与服务承诺部分综合得分，此分项得分高者排序在前；若产品技术与服务承诺综合得分仍相同，则由全体评委成员无记名投票，得票高者排序在前。</w:t>
      </w:r>
    </w:p>
    <w:p w14:paraId="7E36C4C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b、评委打分超过得分界限或未按本方法赋分时，该评委的打分按废票处理。</w:t>
      </w:r>
    </w:p>
    <w:p w14:paraId="2E48FDDF">
      <w:pPr>
        <w:keepNext/>
        <w:keepLines/>
        <w:spacing w:line="360" w:lineRule="auto"/>
        <w:ind w:firstLine="480" w:firstLineChars="200"/>
        <w:outlineLvl w:val="1"/>
        <w:rPr>
          <w:rFonts w:hint="eastAsia"/>
        </w:rPr>
        <w:sectPr>
          <w:pgSz w:w="16838" w:h="11906" w:orient="landscape"/>
          <w:pgMar w:top="1418" w:right="1588" w:bottom="1418" w:left="1134" w:header="851" w:footer="992" w:gutter="0"/>
          <w:pgNumType w:fmt="decimal"/>
          <w:cols w:space="720" w:num="1"/>
          <w:titlePg/>
          <w:docGrid w:type="lines" w:linePitch="312" w:charSpace="0"/>
        </w:sectPr>
      </w:pPr>
      <w:r>
        <w:rPr>
          <w:rFonts w:hint="eastAsia" w:ascii="宋体" w:hAnsi="宋体" w:eastAsia="宋体" w:cs="Times New Roman"/>
          <w:color w:val="000000"/>
          <w:sz w:val="24"/>
          <w:szCs w:val="24"/>
        </w:rPr>
        <w:t>c、评标过程中，若出现本办法以外的特殊情况时，将暂停评标，有关情况处理意见待招标工作小组确认后，再行评定。</w:t>
      </w:r>
    </w:p>
    <w:p w14:paraId="64F96D6E">
      <w:pPr>
        <w:rPr>
          <w:rFonts w:hint="eastAsia" w:ascii="宋体" w:hAnsi="宋体" w:eastAsia="宋体" w:cs="Times New Roman"/>
          <w:b/>
          <w:bCs/>
          <w:color w:val="000000"/>
          <w:sz w:val="24"/>
          <w:szCs w:val="24"/>
        </w:rPr>
      </w:pPr>
      <w:r>
        <w:rPr>
          <w:rFonts w:hint="eastAsia" w:ascii="宋体" w:hAnsi="宋体" w:eastAsia="宋体" w:cs="Times New Roman"/>
          <w:b/>
          <w:bCs/>
          <w:color w:val="000000"/>
          <w:sz w:val="24"/>
          <w:szCs w:val="24"/>
        </w:rPr>
        <w:t>附件</w:t>
      </w:r>
      <w:r>
        <w:rPr>
          <w:rFonts w:hint="eastAsia" w:ascii="等线" w:hAnsi="等线" w:eastAsia="等线" w:cs="Times New Roman"/>
          <w:b/>
          <w:bCs/>
          <w:color w:val="000000"/>
          <w:sz w:val="24"/>
          <w:szCs w:val="24"/>
        </w:rPr>
        <w:t>15</w:t>
      </w:r>
      <w:r>
        <w:rPr>
          <w:rFonts w:hint="eastAsia" w:ascii="宋体" w:hAnsi="宋体" w:eastAsia="宋体" w:cs="Times New Roman"/>
          <w:b/>
          <w:bCs/>
          <w:color w:val="000000"/>
          <w:sz w:val="24"/>
          <w:szCs w:val="24"/>
        </w:rPr>
        <w:t xml:space="preserve"> SRM非生产供应商注册操作手册</w:t>
      </w:r>
    </w:p>
    <w:p w14:paraId="4DA18CB2">
      <w:pPr>
        <w:rPr>
          <w:rFonts w:ascii="宋体" w:hAnsi="Courier New" w:eastAsia="宋体" w:cs="Times New Roman"/>
          <w:szCs w:val="21"/>
        </w:rPr>
      </w:pPr>
      <w:r>
        <w:rPr>
          <w:rFonts w:hint="eastAsia" w:ascii="宋体" w:hAnsi="Courier New" w:eastAsia="宋体" w:cs="Times New Roman"/>
          <w:szCs w:val="21"/>
        </w:rPr>
        <w:t xml:space="preserve"> </w:t>
      </w:r>
    </w:p>
    <w:p w14:paraId="3B1DB842">
      <w:pPr>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浏览器中输入地址;</w:t>
      </w:r>
    </w:p>
    <w:p w14:paraId="68CA5788">
      <w:pPr>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https://ecaitong.sinotruk.com:8012/#/login</w:t>
      </w:r>
    </w:p>
    <w:p w14:paraId="4AF00FC3">
      <w:pPr>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1.点击立即注册</w:t>
      </w:r>
    </w:p>
    <w:p w14:paraId="2A61C6E3">
      <w:pPr>
        <w:snapToGrid w:val="0"/>
        <w:spacing w:line="312" w:lineRule="auto"/>
        <w:rPr>
          <w:rFonts w:hint="eastAsia" w:ascii="等线" w:hAnsi="等线" w:eastAsia="等线" w:cs="Times New Roman"/>
          <w:szCs w:val="21"/>
        </w:rPr>
      </w:pPr>
      <w:r>
        <w:rPr>
          <w:rFonts w:hint="eastAsia" w:ascii="等线" w:hAnsi="等线" w:eastAsia="等线" w:cs="Times New Roman"/>
          <w:szCs w:val="21"/>
        </w:rPr>
        <w:drawing>
          <wp:inline distT="0" distB="0" distL="0" distR="0">
            <wp:extent cx="5762625" cy="2933700"/>
            <wp:effectExtent l="0" t="0" r="9525" b="0"/>
            <wp:docPr id="2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762625" cy="2933700"/>
                    </a:xfrm>
                    <a:prstGeom prst="rect">
                      <a:avLst/>
                    </a:prstGeom>
                    <a:noFill/>
                    <a:ln>
                      <a:noFill/>
                    </a:ln>
                  </pic:spPr>
                </pic:pic>
              </a:graphicData>
            </a:graphic>
          </wp:inline>
        </w:drawing>
      </w:r>
      <w:r>
        <w:rPr>
          <w:rFonts w:hint="eastAsia" w:ascii="等线" w:hAnsi="等线" w:eastAsia="等线" w:cs="Times New Roman"/>
          <w:szCs w:val="21"/>
        </w:rPr>
        <w:t xml:space="preserve"> </w:t>
      </w:r>
    </w:p>
    <w:p w14:paraId="0867C74C">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2.填写手机号码（没有注册过的）</w:t>
      </w:r>
    </w:p>
    <w:p w14:paraId="30CFF673">
      <w:pPr>
        <w:snapToGrid w:val="0"/>
        <w:spacing w:line="312" w:lineRule="auto"/>
        <w:rPr>
          <w:rFonts w:hint="eastAsia" w:ascii="等线" w:hAnsi="等线" w:eastAsia="等线" w:cs="Times New Roman"/>
          <w:szCs w:val="21"/>
        </w:rPr>
      </w:pPr>
      <w:r>
        <w:rPr>
          <w:rFonts w:hint="eastAsia" w:ascii="等线" w:hAnsi="等线" w:eastAsia="等线" w:cs="Times New Roman"/>
          <w:szCs w:val="21"/>
        </w:rPr>
        <w:drawing>
          <wp:inline distT="0" distB="0" distL="0" distR="0">
            <wp:extent cx="5762625" cy="2771775"/>
            <wp:effectExtent l="0" t="0" r="9525" b="9525"/>
            <wp:docPr id="3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762625" cy="2771775"/>
                    </a:xfrm>
                    <a:prstGeom prst="rect">
                      <a:avLst/>
                    </a:prstGeom>
                    <a:noFill/>
                    <a:ln>
                      <a:noFill/>
                    </a:ln>
                  </pic:spPr>
                </pic:pic>
              </a:graphicData>
            </a:graphic>
          </wp:inline>
        </w:drawing>
      </w:r>
      <w:r>
        <w:rPr>
          <w:rFonts w:hint="eastAsia" w:ascii="等线" w:hAnsi="等线" w:eastAsia="等线" w:cs="Times New Roman"/>
          <w:szCs w:val="21"/>
        </w:rPr>
        <w:t xml:space="preserve"> </w:t>
      </w:r>
    </w:p>
    <w:p w14:paraId="61E8D972">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3.注册成功登录这个手机号码的账号进入系统，点击供应商注册</w:t>
      </w:r>
    </w:p>
    <w:p w14:paraId="7A9B0533">
      <w:pPr>
        <w:snapToGrid w:val="0"/>
        <w:spacing w:line="312" w:lineRule="auto"/>
        <w:rPr>
          <w:rFonts w:hint="eastAsia" w:ascii="等线" w:hAnsi="等线" w:eastAsia="等线" w:cs="Times New Roman"/>
          <w:szCs w:val="21"/>
        </w:rPr>
      </w:pPr>
      <w:r>
        <w:rPr>
          <w:rFonts w:hint="eastAsia" w:ascii="等线" w:hAnsi="等线" w:eastAsia="等线" w:cs="Times New Roman"/>
          <w:szCs w:val="21"/>
        </w:rPr>
        <w:drawing>
          <wp:inline distT="0" distB="0" distL="0" distR="0">
            <wp:extent cx="5762625" cy="2876550"/>
            <wp:effectExtent l="0" t="0" r="9525" b="0"/>
            <wp:docPr id="3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5762625" cy="2876550"/>
                    </a:xfrm>
                    <a:prstGeom prst="rect">
                      <a:avLst/>
                    </a:prstGeom>
                    <a:noFill/>
                    <a:ln>
                      <a:noFill/>
                    </a:ln>
                  </pic:spPr>
                </pic:pic>
              </a:graphicData>
            </a:graphic>
          </wp:inline>
        </w:drawing>
      </w:r>
      <w:r>
        <w:rPr>
          <w:rFonts w:hint="eastAsia" w:ascii="等线" w:hAnsi="等线" w:eastAsia="等线" w:cs="Times New Roman"/>
          <w:szCs w:val="21"/>
        </w:rPr>
        <w:t xml:space="preserve"> </w:t>
      </w:r>
    </w:p>
    <w:p w14:paraId="7AF78999">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4.点击新增</w:t>
      </w:r>
    </w:p>
    <w:p w14:paraId="624590CD">
      <w:pPr>
        <w:snapToGrid w:val="0"/>
        <w:spacing w:line="312" w:lineRule="auto"/>
        <w:rPr>
          <w:rFonts w:hint="eastAsia" w:ascii="等线" w:hAnsi="等线" w:eastAsia="等线" w:cs="Times New Roman"/>
          <w:szCs w:val="21"/>
        </w:rPr>
      </w:pPr>
      <w:r>
        <w:rPr>
          <w:rFonts w:hint="eastAsia" w:ascii="等线" w:hAnsi="等线" w:eastAsia="等线" w:cs="Times New Roman"/>
          <w:szCs w:val="21"/>
        </w:rPr>
        <w:drawing>
          <wp:inline distT="0" distB="0" distL="0" distR="0">
            <wp:extent cx="5762625" cy="2857500"/>
            <wp:effectExtent l="0" t="0" r="9525" b="0"/>
            <wp:docPr id="3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762625" cy="2857500"/>
                    </a:xfrm>
                    <a:prstGeom prst="rect">
                      <a:avLst/>
                    </a:prstGeom>
                    <a:noFill/>
                    <a:ln>
                      <a:noFill/>
                    </a:ln>
                  </pic:spPr>
                </pic:pic>
              </a:graphicData>
            </a:graphic>
          </wp:inline>
        </w:drawing>
      </w:r>
      <w:r>
        <w:rPr>
          <w:rFonts w:hint="eastAsia" w:ascii="等线" w:hAnsi="等线" w:eastAsia="等线" w:cs="Times New Roman"/>
          <w:szCs w:val="21"/>
        </w:rPr>
        <w:t xml:space="preserve"> </w:t>
      </w:r>
    </w:p>
    <w:p w14:paraId="09089A7B">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5</w:t>
      </w:r>
      <w:r>
        <w:rPr>
          <w:rFonts w:hint="eastAsia" w:ascii="宋体" w:hAnsi="宋体" w:eastAsia="宋体" w:cs="Times New Roman"/>
          <w:color w:val="000000"/>
          <w:sz w:val="24"/>
          <w:szCs w:val="24"/>
        </w:rPr>
        <w:t>.按要求填写所有信息，注意非生产类要填写合作单位，最后提交审批</w:t>
      </w:r>
    </w:p>
    <w:p w14:paraId="022FC60C">
      <w:pPr>
        <w:rPr>
          <w:rFonts w:hint="eastAsia" w:ascii="宋体" w:hAnsi="宋体" w:eastAsia="宋体" w:cs="Times New Roman"/>
          <w:b/>
          <w:bCs/>
          <w:szCs w:val="21"/>
        </w:rPr>
      </w:pPr>
      <w:r>
        <w:rPr>
          <w:rFonts w:hint="eastAsia" w:ascii="宋体" w:hAnsi="宋体" w:eastAsia="宋体" w:cs="Times New Roman"/>
          <w:b/>
          <w:bCs/>
          <w:szCs w:val="21"/>
        </w:rPr>
        <w:t>审批通过后，注意记录本单位的“供应商代码”，代码用于登录系统后应标。登录信息如下：</w:t>
      </w:r>
    </w:p>
    <w:p w14:paraId="7878FD18">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用 户 名：gys+供应商代码</w:t>
      </w:r>
    </w:p>
    <w:p w14:paraId="71D67262">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初始密码：</w:t>
      </w:r>
      <w:r>
        <w:rPr>
          <w:rFonts w:hint="eastAsia" w:ascii="宋体" w:hAnsi="宋体" w:eastAsia="宋体" w:cs="Times New Roman"/>
          <w:color w:val="000000"/>
          <w:sz w:val="24"/>
          <w:szCs w:val="24"/>
          <w:highlight w:val="yellow"/>
        </w:rPr>
        <w:t>scm@2022（注册成功后，请立即修改密码）</w:t>
      </w:r>
    </w:p>
    <w:p w14:paraId="38E54DD1">
      <w:pPr>
        <w:rPr>
          <w:rFonts w:ascii="宋体" w:hAnsi="Courier New" w:eastAsia="等线" w:cs="Times New Roman"/>
          <w:szCs w:val="21"/>
        </w:rPr>
      </w:pPr>
      <w:r>
        <w:rPr>
          <w:rFonts w:hint="eastAsia" w:ascii="宋体" w:hAnsi="Courier New" w:eastAsia="等线" w:cs="Times New Roman"/>
          <w:szCs w:val="21"/>
        </w:rPr>
        <w:t xml:space="preserve"> </w:t>
      </w:r>
    </w:p>
    <w:p w14:paraId="5AAAFD1A">
      <w:pPr>
        <w:rPr>
          <w:rFonts w:hint="eastAsia" w:ascii="等线" w:hAnsi="等线" w:eastAsia="等线" w:cs="Times New Roman"/>
          <w:szCs w:val="21"/>
        </w:rPr>
      </w:pPr>
      <w:r>
        <w:rPr>
          <w:rFonts w:hint="eastAsia" w:ascii="等线" w:hAnsi="等线" w:eastAsia="等线" w:cs="Times New Roman"/>
          <w:szCs w:val="21"/>
        </w:rPr>
        <w:drawing>
          <wp:inline distT="0" distB="0" distL="0" distR="0">
            <wp:extent cx="5762625" cy="2809875"/>
            <wp:effectExtent l="0" t="0" r="9525" b="9525"/>
            <wp:docPr id="3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762625" cy="2809875"/>
                    </a:xfrm>
                    <a:prstGeom prst="rect">
                      <a:avLst/>
                    </a:prstGeom>
                    <a:noFill/>
                    <a:ln>
                      <a:noFill/>
                    </a:ln>
                  </pic:spPr>
                </pic:pic>
              </a:graphicData>
            </a:graphic>
          </wp:inline>
        </w:drawing>
      </w:r>
      <w:r>
        <w:rPr>
          <w:rFonts w:hint="eastAsia" w:ascii="等线" w:hAnsi="等线" w:eastAsia="等线" w:cs="Times New Roman"/>
          <w:szCs w:val="21"/>
        </w:rPr>
        <w:t xml:space="preserve"> </w:t>
      </w:r>
    </w:p>
    <w:p w14:paraId="007EC2DA">
      <w:pPr>
        <w:rPr>
          <w:rFonts w:ascii="宋体" w:hAnsi="Courier New" w:eastAsia="等线" w:cs="Times New Roman"/>
          <w:szCs w:val="21"/>
        </w:rPr>
      </w:pPr>
      <w:r>
        <w:rPr>
          <w:rFonts w:ascii="宋体" w:hAnsi="Courier New" w:eastAsia="等线" w:cs="Times New Roman"/>
          <w:szCs w:val="21"/>
        </w:rPr>
        <w:drawing>
          <wp:inline distT="0" distB="0" distL="0" distR="0">
            <wp:extent cx="5762625" cy="2828925"/>
            <wp:effectExtent l="0" t="0" r="9525" b="9525"/>
            <wp:docPr id="82320816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08160" name="图片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762625" cy="2828925"/>
                    </a:xfrm>
                    <a:prstGeom prst="rect">
                      <a:avLst/>
                    </a:prstGeom>
                    <a:noFill/>
                    <a:ln>
                      <a:noFill/>
                    </a:ln>
                  </pic:spPr>
                </pic:pic>
              </a:graphicData>
            </a:graphic>
          </wp:inline>
        </w:drawing>
      </w:r>
      <w:r>
        <w:rPr>
          <w:rFonts w:hint="eastAsia" w:ascii="宋体" w:hAnsi="Courier New" w:eastAsia="等线" w:cs="Times New Roman"/>
          <w:szCs w:val="21"/>
        </w:rPr>
        <w:t xml:space="preserve"> </w:t>
      </w:r>
    </w:p>
    <w:p w14:paraId="77335261">
      <w:pPr>
        <w:rPr>
          <w:rFonts w:ascii="宋体" w:hAnsi="Courier New" w:eastAsia="等线" w:cs="Times New Roman"/>
          <w:szCs w:val="21"/>
        </w:rPr>
      </w:pPr>
      <w:r>
        <w:rPr>
          <w:rFonts w:hint="eastAsia" w:ascii="宋体" w:hAnsi="Courier New" w:eastAsia="等线" w:cs="Times New Roman"/>
          <w:szCs w:val="21"/>
        </w:rPr>
        <w:t xml:space="preserve"> </w:t>
      </w:r>
    </w:p>
    <w:p w14:paraId="387EF578">
      <w:pPr>
        <w:rPr>
          <w:rFonts w:hint="eastAsia" w:ascii="宋体" w:hAnsi="宋体" w:eastAsia="宋体" w:cs="Times New Roman"/>
          <w:b/>
          <w:bCs/>
          <w:color w:val="000000"/>
          <w:sz w:val="24"/>
          <w:szCs w:val="24"/>
          <w:highlight w:val="yellow"/>
        </w:rPr>
      </w:pPr>
      <w:r>
        <w:rPr>
          <w:rFonts w:hint="eastAsia" w:ascii="宋体" w:hAnsi="宋体" w:eastAsia="宋体" w:cs="Times New Roman"/>
          <w:b/>
          <w:bCs/>
          <w:color w:val="000000"/>
          <w:sz w:val="24"/>
          <w:szCs w:val="24"/>
          <w:highlight w:val="yellow"/>
        </w:rPr>
        <w:t>注：</w:t>
      </w:r>
    </w:p>
    <w:p w14:paraId="3722BFF7">
      <w:pPr>
        <w:rPr>
          <w:rFonts w:hint="eastAsia" w:ascii="宋体" w:hAnsi="宋体" w:eastAsia="宋体" w:cs="Times New Roman"/>
          <w:b/>
          <w:bCs/>
          <w:color w:val="000000"/>
          <w:sz w:val="24"/>
          <w:szCs w:val="24"/>
          <w:highlight w:val="yellow"/>
        </w:rPr>
      </w:pPr>
      <w:r>
        <w:rPr>
          <w:rFonts w:hint="eastAsia" w:ascii="宋体" w:hAnsi="宋体" w:eastAsia="宋体" w:cs="Times New Roman"/>
          <w:b/>
          <w:bCs/>
          <w:color w:val="000000"/>
          <w:sz w:val="24"/>
          <w:szCs w:val="24"/>
          <w:highlight w:val="yellow"/>
        </w:rPr>
        <w:t>1.“项目名称”和“采购形式编号”见投标须知前附表1.1；</w:t>
      </w:r>
    </w:p>
    <w:p w14:paraId="30197A74">
      <w:pPr>
        <w:rPr>
          <w:rFonts w:ascii="宋体" w:hAnsi="Courier New" w:eastAsia="等线" w:cs="Times New Roman"/>
          <w:szCs w:val="21"/>
        </w:rPr>
      </w:pPr>
      <w:r>
        <w:rPr>
          <w:rFonts w:hint="eastAsia" w:ascii="宋体" w:hAnsi="宋体" w:eastAsia="宋体" w:cs="Times New Roman"/>
          <w:b/>
          <w:bCs/>
          <w:color w:val="000000"/>
          <w:sz w:val="24"/>
          <w:szCs w:val="24"/>
          <w:highlight w:val="yellow"/>
        </w:rPr>
        <w:t>2.配套能力“供货类别”填“研发试验类”，业务主管部门为“产品试验检测中心”。</w:t>
      </w:r>
    </w:p>
    <w:p w14:paraId="3B720334">
      <w:pPr>
        <w:widowControl/>
        <w:jc w:val="left"/>
        <w:rPr>
          <w:rFonts w:ascii="宋体" w:hAnsi="Courier New" w:eastAsia="宋体" w:cs="Times New Roman"/>
          <w:szCs w:val="21"/>
        </w:rPr>
        <w:sectPr>
          <w:pgSz w:w="11906" w:h="16838"/>
          <w:pgMar w:top="1588" w:right="1418" w:bottom="1134" w:left="1418" w:header="851" w:footer="992" w:gutter="0"/>
          <w:pgNumType w:fmt="decimal"/>
          <w:cols w:space="720" w:num="1"/>
          <w:titlePg/>
          <w:docGrid w:type="lines" w:linePitch="312" w:charSpace="0"/>
        </w:sectPr>
      </w:pPr>
    </w:p>
    <w:p w14:paraId="5E4ED245">
      <w:pPr>
        <w:outlineLvl w:val="2"/>
        <w:rPr>
          <w:rFonts w:hint="eastAsia" w:ascii="宋体" w:hAnsi="宋体" w:eastAsia="宋体" w:cs="Times New Roman"/>
          <w:b/>
          <w:color w:val="000000"/>
          <w:sz w:val="24"/>
          <w:szCs w:val="24"/>
        </w:rPr>
      </w:pPr>
      <w:r>
        <w:rPr>
          <w:rFonts w:hint="eastAsia" w:ascii="宋体" w:hAnsi="宋体" w:eastAsia="宋体" w:cs="Times New Roman"/>
          <w:b/>
          <w:bCs/>
          <w:color w:val="000000"/>
          <w:sz w:val="24"/>
          <w:szCs w:val="24"/>
        </w:rPr>
        <w:t xml:space="preserve">附件16 </w:t>
      </w:r>
      <w:r>
        <w:rPr>
          <w:rFonts w:hint="eastAsia" w:ascii="宋体" w:hAnsi="宋体" w:eastAsia="宋体" w:cs="Times New Roman"/>
          <w:b/>
          <w:color w:val="000000"/>
          <w:sz w:val="24"/>
          <w:szCs w:val="24"/>
        </w:rPr>
        <w:t>SRM系统供应商用户手册</w:t>
      </w:r>
    </w:p>
    <w:p w14:paraId="3413FC4C">
      <w:pPr>
        <w:spacing w:line="360" w:lineRule="auto"/>
        <w:rPr>
          <w:rFonts w:hint="eastAsia" w:ascii="宋体" w:hAnsi="宋体" w:eastAsia="等线" w:cs="Times New Roman"/>
          <w:color w:val="1F4F88"/>
          <w:szCs w:val="21"/>
        </w:rPr>
      </w:pPr>
      <w:r>
        <w:rPr>
          <w:rFonts w:hint="eastAsia" w:ascii="宋体" w:hAnsi="宋体" w:eastAsia="宋体" w:cs="Times New Roman"/>
          <w:color w:val="000000"/>
          <w:sz w:val="24"/>
          <w:szCs w:val="24"/>
        </w:rPr>
        <w:t>系统网址：</w:t>
      </w:r>
      <w:r>
        <w:rPr>
          <w:rFonts w:hint="eastAsia" w:ascii="宋体" w:hAnsi="宋体" w:eastAsia="宋体" w:cs="Times New Roman"/>
          <w:color w:val="1F4F88"/>
          <w:sz w:val="24"/>
          <w:szCs w:val="24"/>
        </w:rPr>
        <w:t>http://ecaitong.sinotruk.com:8012/（以下内容可能非最新版本，仅供参考，请登录系统网址后，点检查看最新版供应商手册）</w:t>
      </w:r>
    </w:p>
    <w:p w14:paraId="29D9E6BF">
      <w:pPr>
        <w:spacing w:line="360" w:lineRule="auto"/>
        <w:rPr>
          <w:rFonts w:hint="eastAsia" w:ascii="等线" w:hAnsi="等线" w:eastAsia="等线" w:cs="Times New Roman"/>
          <w:szCs w:val="21"/>
        </w:rPr>
      </w:pPr>
      <w:r>
        <w:rPr>
          <w:rFonts w:hint="eastAsia" w:ascii="等线" w:hAnsi="等线" w:eastAsia="等线" w:cs="Times New Roman"/>
          <w:szCs w:val="21"/>
        </w:rPr>
        <w:drawing>
          <wp:inline distT="0" distB="0" distL="0" distR="0">
            <wp:extent cx="2171700" cy="342900"/>
            <wp:effectExtent l="0" t="0" r="0" b="0"/>
            <wp:docPr id="3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171700" cy="342900"/>
                    </a:xfrm>
                    <a:prstGeom prst="rect">
                      <a:avLst/>
                    </a:prstGeom>
                    <a:noFill/>
                    <a:ln>
                      <a:noFill/>
                    </a:ln>
                  </pic:spPr>
                </pic:pic>
              </a:graphicData>
            </a:graphic>
          </wp:inline>
        </w:drawing>
      </w:r>
      <w:r>
        <w:rPr>
          <w:rFonts w:hint="eastAsia" w:ascii="等线" w:hAnsi="等线" w:eastAsia="等线" w:cs="Times New Roman"/>
          <w:szCs w:val="21"/>
        </w:rPr>
        <w:drawing>
          <wp:inline distT="0" distB="0" distL="0" distR="0">
            <wp:extent cx="4067175" cy="4876800"/>
            <wp:effectExtent l="0" t="0" r="9525" b="0"/>
            <wp:docPr id="3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4067175" cy="4876800"/>
                    </a:xfrm>
                    <a:prstGeom prst="rect">
                      <a:avLst/>
                    </a:prstGeom>
                    <a:noFill/>
                    <a:ln>
                      <a:noFill/>
                    </a:ln>
                  </pic:spPr>
                </pic:pic>
              </a:graphicData>
            </a:graphic>
          </wp:inline>
        </w:drawing>
      </w:r>
      <w:r>
        <w:rPr>
          <w:rFonts w:hint="eastAsia" w:ascii="宋体" w:hAnsi="宋体" w:eastAsia="宋体" w:cs="Times New Roman"/>
          <w:sz w:val="24"/>
          <w:szCs w:val="24"/>
        </w:rPr>
        <w:t xml:space="preserve"> </w:t>
      </w:r>
    </w:p>
    <w:p w14:paraId="33BE147F">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用 户 名：gys+供应商代码（</w:t>
      </w:r>
      <w:r>
        <w:rPr>
          <w:rFonts w:hint="eastAsia" w:ascii="宋体" w:hAnsi="宋体" w:eastAsia="宋体" w:cs="Times New Roman"/>
          <w:color w:val="FF0000"/>
          <w:sz w:val="24"/>
          <w:szCs w:val="24"/>
        </w:rPr>
        <w:t>注意：注册完毕后，用户名不要用手机号登录</w:t>
      </w:r>
      <w:r>
        <w:rPr>
          <w:rFonts w:hint="eastAsia" w:ascii="宋体" w:hAnsi="宋体" w:eastAsia="宋体" w:cs="Times New Roman"/>
          <w:color w:val="000000"/>
          <w:sz w:val="24"/>
          <w:szCs w:val="24"/>
        </w:rPr>
        <w:t>）</w:t>
      </w:r>
    </w:p>
    <w:p w14:paraId="5896611F">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初始密码：</w:t>
      </w:r>
      <w:r>
        <w:rPr>
          <w:rFonts w:hint="eastAsia" w:ascii="宋体" w:hAnsi="宋体" w:eastAsia="宋体" w:cs="Times New Roman"/>
          <w:color w:val="000000"/>
          <w:sz w:val="24"/>
          <w:szCs w:val="24"/>
          <w:highlight w:val="yellow"/>
        </w:rPr>
        <w:t>scm@2022（或注册成功后，新密码）</w:t>
      </w:r>
    </w:p>
    <w:p w14:paraId="712F245E">
      <w:pPr>
        <w:spacing w:line="360" w:lineRule="auto"/>
        <w:rPr>
          <w:rFonts w:hint="eastAsia" w:ascii="宋体" w:hAnsi="宋体" w:eastAsia="宋体" w:cs="Times New Roman"/>
          <w:b/>
          <w:bCs/>
          <w:color w:val="000000"/>
          <w:sz w:val="24"/>
          <w:szCs w:val="24"/>
        </w:rPr>
      </w:pPr>
      <w:r>
        <w:rPr>
          <w:rFonts w:hint="eastAsia" w:ascii="宋体" w:hAnsi="宋体" w:eastAsia="宋体" w:cs="Times New Roman"/>
          <w:b/>
          <w:bCs/>
          <w:color w:val="000000"/>
          <w:sz w:val="24"/>
          <w:szCs w:val="24"/>
        </w:rPr>
        <w:t>1.供应商应标</w:t>
      </w:r>
    </w:p>
    <w:p w14:paraId="0220E763">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路径：招投标中心-非生产类招投标-供应商应标</w:t>
      </w:r>
    </w:p>
    <w:p w14:paraId="791DC113">
      <w:pPr>
        <w:spacing w:line="360" w:lineRule="auto"/>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点击应标，上传文件之后点击提交。</w:t>
      </w:r>
    </w:p>
    <w:p w14:paraId="5CBB517D">
      <w:pPr>
        <w:rPr>
          <w:rFonts w:hint="eastAsia" w:ascii="等线" w:hAnsi="等线" w:eastAsia="等线" w:cs="Times New Roman"/>
          <w:szCs w:val="21"/>
        </w:rPr>
      </w:pPr>
      <w:r>
        <w:rPr>
          <w:rFonts w:hint="eastAsia" w:ascii="等线" w:hAnsi="等线" w:eastAsia="等线" w:cs="Times New Roman"/>
          <w:szCs w:val="21"/>
        </w:rPr>
        <w:drawing>
          <wp:inline distT="0" distB="0" distL="0" distR="0">
            <wp:extent cx="5762625" cy="2276475"/>
            <wp:effectExtent l="0" t="0" r="9525" b="9525"/>
            <wp:docPr id="3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762625" cy="2276475"/>
                    </a:xfrm>
                    <a:prstGeom prst="rect">
                      <a:avLst/>
                    </a:prstGeom>
                    <a:noFill/>
                    <a:ln>
                      <a:noFill/>
                    </a:ln>
                  </pic:spPr>
                </pic:pic>
              </a:graphicData>
            </a:graphic>
          </wp:inline>
        </w:drawing>
      </w:r>
      <w:r>
        <w:rPr>
          <w:rFonts w:hint="eastAsia" w:ascii="等线" w:hAnsi="等线" w:eastAsia="等线" w:cs="Times New Roman"/>
          <w:szCs w:val="21"/>
        </w:rPr>
        <w:t xml:space="preserve"> </w:t>
      </w:r>
    </w:p>
    <w:p w14:paraId="769CAFE0">
      <w:pPr>
        <w:rPr>
          <w:rFonts w:hint="eastAsia" w:ascii="等线" w:hAnsi="等线" w:eastAsia="等线" w:cs="Times New Roman"/>
          <w:szCs w:val="21"/>
        </w:rPr>
      </w:pPr>
      <w:r>
        <w:rPr>
          <w:rFonts w:hint="eastAsia" w:ascii="等线" w:hAnsi="等线" w:eastAsia="等线" w:cs="Times New Roman"/>
          <w:szCs w:val="21"/>
        </w:rPr>
        <w:t xml:space="preserve"> </w:t>
      </w:r>
    </w:p>
    <w:p w14:paraId="5258937C">
      <w:pPr>
        <w:spacing w:line="360" w:lineRule="auto"/>
        <w:rPr>
          <w:rFonts w:hint="eastAsia" w:ascii="宋体" w:hAnsi="宋体" w:eastAsia="宋体" w:cs="Times New Roman"/>
          <w:b/>
          <w:bCs/>
          <w:color w:val="000000"/>
          <w:sz w:val="24"/>
          <w:szCs w:val="24"/>
        </w:rPr>
      </w:pPr>
      <w:r>
        <w:rPr>
          <w:rFonts w:hint="eastAsia" w:ascii="宋体" w:hAnsi="宋体" w:eastAsia="宋体" w:cs="Times New Roman"/>
          <w:b/>
          <w:bCs/>
          <w:color w:val="000000"/>
          <w:sz w:val="24"/>
          <w:szCs w:val="24"/>
        </w:rPr>
        <w:t>2.供应商投标</w:t>
      </w:r>
    </w:p>
    <w:p w14:paraId="7C0EA772">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路径：招投标中心-非生产类招投标-供应商投标</w:t>
      </w:r>
    </w:p>
    <w:p w14:paraId="7AF80A75">
      <w:pPr>
        <w:rPr>
          <w:rFonts w:hint="eastAsia" w:ascii="宋体" w:hAnsi="宋体" w:eastAsia="宋体" w:cs="Times New Roman"/>
          <w:color w:val="000000"/>
          <w:szCs w:val="21"/>
        </w:rPr>
      </w:pPr>
      <w:r>
        <w:rPr>
          <w:rFonts w:hint="eastAsia" w:ascii="等线" w:hAnsi="等线" w:eastAsia="等线" w:cs="Times New Roman"/>
          <w:szCs w:val="21"/>
        </w:rPr>
        <w:drawing>
          <wp:inline distT="0" distB="0" distL="0" distR="0">
            <wp:extent cx="5762625" cy="2133600"/>
            <wp:effectExtent l="0" t="0" r="9525" b="0"/>
            <wp:docPr id="3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762625" cy="2133600"/>
                    </a:xfrm>
                    <a:prstGeom prst="rect">
                      <a:avLst/>
                    </a:prstGeom>
                    <a:noFill/>
                    <a:ln>
                      <a:noFill/>
                    </a:ln>
                  </pic:spPr>
                </pic:pic>
              </a:graphicData>
            </a:graphic>
          </wp:inline>
        </w:drawing>
      </w:r>
      <w:r>
        <w:rPr>
          <w:rFonts w:hint="eastAsia" w:ascii="宋体" w:hAnsi="宋体" w:eastAsia="宋体" w:cs="Times New Roman"/>
          <w:color w:val="000000"/>
          <w:szCs w:val="21"/>
        </w:rPr>
        <w:t xml:space="preserve"> </w:t>
      </w:r>
    </w:p>
    <w:p w14:paraId="58607CA5">
      <w:pPr>
        <w:spacing w:line="360" w:lineRule="auto"/>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点击投标按钮，进入详情页，输入投标报价并上传相应的附件。</w:t>
      </w:r>
    </w:p>
    <w:p w14:paraId="7ACEA71E">
      <w:pPr>
        <w:rPr>
          <w:rFonts w:hint="eastAsia" w:ascii="等线" w:hAnsi="等线" w:eastAsia="等线" w:cs="Times New Roman"/>
          <w:b/>
          <w:bCs/>
          <w:szCs w:val="21"/>
          <w:highlight w:val="yellow"/>
        </w:rPr>
      </w:pPr>
      <w:r>
        <w:rPr>
          <w:rFonts w:hint="eastAsia" w:ascii="宋体" w:hAnsi="宋体" w:eastAsia="宋体" w:cs="Times New Roman"/>
          <w:b/>
          <w:bCs/>
          <w:color w:val="000000"/>
          <w:sz w:val="24"/>
          <w:szCs w:val="24"/>
          <w:highlight w:val="yellow"/>
        </w:rPr>
        <w:t>注意：系统内的投标报价单位为“万元”，如开标现场发现填错报价，即直接淘汰。</w:t>
      </w:r>
    </w:p>
    <w:p w14:paraId="2F329FEC">
      <w:pPr>
        <w:rPr>
          <w:rFonts w:ascii="宋体" w:hAnsi="Courier New" w:eastAsia="等线" w:cs="Times New Roman"/>
          <w:szCs w:val="21"/>
        </w:rPr>
      </w:pPr>
      <w:r>
        <w:rPr>
          <w:rFonts w:hint="eastAsia" w:ascii="宋体" w:hAnsi="Courier New" w:eastAsia="等线" w:cs="Times New Roman"/>
          <w:szCs w:val="21"/>
        </w:rPr>
        <w:t xml:space="preserve"> </w:t>
      </w:r>
    </w:p>
    <w:p w14:paraId="499CFB6A">
      <w:pPr>
        <w:keepNext/>
        <w:keepLines/>
        <w:spacing w:before="280" w:after="290" w:line="372" w:lineRule="auto"/>
        <w:ind w:left="425" w:hanging="425"/>
        <w:outlineLvl w:val="3"/>
        <w:rPr>
          <w:rFonts w:ascii="Arial" w:hAnsi="Arial" w:eastAsia="黑体" w:cs="Arial"/>
          <w:b/>
          <w:color w:val="000000"/>
          <w:sz w:val="28"/>
          <w:szCs w:val="28"/>
        </w:rPr>
      </w:pPr>
      <w:r>
        <w:rPr>
          <w:rFonts w:ascii="Arial" w:hAnsi="Arial" w:eastAsia="黑体" w:cs="Times New Roman"/>
          <w:b/>
          <w:bCs/>
          <w:sz w:val="28"/>
          <w:szCs w:val="28"/>
        </w:rPr>
        <w:drawing>
          <wp:inline distT="0" distB="0" distL="0" distR="0">
            <wp:extent cx="5495925" cy="2676525"/>
            <wp:effectExtent l="0" t="0" r="9525" b="9525"/>
            <wp:docPr id="3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495925" cy="2676525"/>
                    </a:xfrm>
                    <a:prstGeom prst="rect">
                      <a:avLst/>
                    </a:prstGeom>
                    <a:noFill/>
                    <a:ln>
                      <a:noFill/>
                    </a:ln>
                  </pic:spPr>
                </pic:pic>
              </a:graphicData>
            </a:graphic>
          </wp:inline>
        </w:drawing>
      </w:r>
      <w:r>
        <w:rPr>
          <w:rFonts w:ascii="Arial" w:hAnsi="Arial" w:eastAsia="黑体" w:cs="Arial"/>
          <w:b/>
          <w:color w:val="000000"/>
          <w:sz w:val="28"/>
          <w:szCs w:val="28"/>
        </w:rPr>
        <w:t xml:space="preserve"> </w:t>
      </w:r>
    </w:p>
    <w:p w14:paraId="7DF25B14">
      <w:pPr>
        <w:spacing w:line="360" w:lineRule="auto"/>
        <w:rPr>
          <w:rFonts w:hint="eastAsia" w:ascii="宋体" w:hAnsi="宋体" w:eastAsia="宋体" w:cs="Times New Roman"/>
          <w:b/>
          <w:bCs/>
          <w:color w:val="000000"/>
          <w:sz w:val="24"/>
          <w:szCs w:val="24"/>
        </w:rPr>
      </w:pPr>
      <w:r>
        <w:rPr>
          <w:rFonts w:hint="eastAsia" w:ascii="宋体" w:hAnsi="宋体" w:eastAsia="宋体" w:cs="Times New Roman"/>
          <w:b/>
          <w:bCs/>
          <w:color w:val="000000"/>
          <w:sz w:val="24"/>
          <w:szCs w:val="24"/>
        </w:rPr>
        <w:t>3.供应商技术标澄清函</w:t>
      </w:r>
    </w:p>
    <w:p w14:paraId="1C30EEFA">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路径：招投标中心-非生产类招投标-供应商技术标澄清函</w:t>
      </w:r>
    </w:p>
    <w:p w14:paraId="095DF8C4">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点击编辑按钮进入系统，编辑技术标澄清函最后填写</w:t>
      </w:r>
      <w:r>
        <w:rPr>
          <w:rFonts w:hint="eastAsia" w:ascii="宋体" w:hAnsi="宋体" w:eastAsia="宋体" w:cs="Times New Roman"/>
          <w:color w:val="000000"/>
          <w:sz w:val="24"/>
          <w:szCs w:val="24"/>
          <w:highlight w:val="yellow"/>
        </w:rPr>
        <w:t>授权代表姓名及电话</w:t>
      </w:r>
      <w:r>
        <w:rPr>
          <w:rFonts w:hint="eastAsia" w:ascii="宋体" w:hAnsi="宋体" w:eastAsia="宋体" w:cs="Times New Roman"/>
          <w:color w:val="000000"/>
          <w:sz w:val="24"/>
          <w:szCs w:val="24"/>
        </w:rPr>
        <w:t>。</w:t>
      </w:r>
    </w:p>
    <w:p w14:paraId="16DA31E8">
      <w:pPr>
        <w:spacing w:line="360" w:lineRule="auto"/>
        <w:rPr>
          <w:rFonts w:ascii="Arial" w:hAnsi="Arial" w:eastAsia="等线" w:cs="Arial"/>
          <w:color w:val="000000"/>
          <w:sz w:val="28"/>
          <w:szCs w:val="28"/>
        </w:rPr>
      </w:pPr>
      <w:r>
        <w:rPr>
          <w:rFonts w:hint="eastAsia" w:ascii="宋体" w:hAnsi="宋体" w:eastAsia="宋体" w:cs="Times New Roman"/>
          <w:color w:val="000000"/>
          <w:sz w:val="24"/>
          <w:szCs w:val="24"/>
        </w:rPr>
        <w:t>开标之后所有投标的供应商都可编辑提交，技术标入围之后 都不可编辑</w:t>
      </w:r>
      <w:r>
        <w:rPr>
          <w:rFonts w:hint="eastAsia" w:ascii="等线" w:hAnsi="等线" w:eastAsia="等线" w:cs="Times New Roman"/>
          <w:szCs w:val="21"/>
        </w:rPr>
        <w:drawing>
          <wp:inline distT="0" distB="0" distL="0" distR="0">
            <wp:extent cx="5495925" cy="2000250"/>
            <wp:effectExtent l="0" t="0" r="9525" b="0"/>
            <wp:docPr id="4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495925" cy="2000250"/>
                    </a:xfrm>
                    <a:prstGeom prst="rect">
                      <a:avLst/>
                    </a:prstGeom>
                    <a:noFill/>
                    <a:ln>
                      <a:noFill/>
                    </a:ln>
                  </pic:spPr>
                </pic:pic>
              </a:graphicData>
            </a:graphic>
          </wp:inline>
        </w:drawing>
      </w:r>
    </w:p>
    <w:p w14:paraId="13365596">
      <w:pPr>
        <w:spacing w:line="360" w:lineRule="auto"/>
        <w:rPr>
          <w:rFonts w:hint="eastAsia" w:ascii="宋体" w:hAnsi="宋体" w:eastAsia="宋体" w:cs="Times New Roman"/>
          <w:b/>
          <w:bCs/>
          <w:color w:val="000000"/>
          <w:sz w:val="24"/>
          <w:szCs w:val="24"/>
        </w:rPr>
      </w:pPr>
      <w:r>
        <w:rPr>
          <w:rFonts w:hint="eastAsia" w:ascii="宋体" w:hAnsi="宋体" w:eastAsia="宋体" w:cs="Times New Roman"/>
          <w:b/>
          <w:bCs/>
          <w:color w:val="000000"/>
          <w:sz w:val="24"/>
          <w:szCs w:val="24"/>
        </w:rPr>
        <w:t>4.供应商报价</w:t>
      </w:r>
    </w:p>
    <w:p w14:paraId="589D47F6">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路径：招投标中心-非生产类招投标-供应商报价</w:t>
      </w:r>
    </w:p>
    <w:p w14:paraId="567110C2">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点击报价按钮进入报价详情界面，请在此轮报价起止时间内报价，否则无法报价。</w:t>
      </w:r>
    </w:p>
    <w:p w14:paraId="1CEB18F1">
      <w:pPr>
        <w:spacing w:line="360" w:lineRule="auto"/>
        <w:rPr>
          <w:rFonts w:hint="eastAsia" w:ascii="宋体" w:hAnsi="宋体" w:eastAsia="宋体" w:cs="Times New Roman"/>
          <w:b/>
          <w:bCs/>
          <w:color w:val="000000"/>
          <w:sz w:val="24"/>
          <w:szCs w:val="24"/>
        </w:rPr>
      </w:pPr>
      <w:r>
        <w:rPr>
          <w:rFonts w:hint="eastAsia" w:ascii="宋体" w:hAnsi="宋体" w:eastAsia="宋体" w:cs="Times New Roman"/>
          <w:b/>
          <w:bCs/>
          <w:color w:val="000000"/>
          <w:sz w:val="24"/>
          <w:szCs w:val="24"/>
        </w:rPr>
        <w:t>5.供应商澄清报价</w:t>
      </w:r>
    </w:p>
    <w:p w14:paraId="38E7D0B9">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路径：招投标中心-非生产类招投标-供应商澄清报价</w:t>
      </w:r>
    </w:p>
    <w:p w14:paraId="60222CD2">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招标发起人接收建议价的同时会给供应商发送澄清报价，供应商在此界面进行澄清报价，点击编辑按钮进入澄清报价详细界面，输入价格并填写商务澄清内容（</w:t>
      </w:r>
      <w:r>
        <w:rPr>
          <w:rFonts w:hint="eastAsia" w:ascii="宋体" w:hAnsi="宋体" w:eastAsia="宋体" w:cs="Times New Roman"/>
          <w:color w:val="000000"/>
          <w:sz w:val="24"/>
          <w:szCs w:val="24"/>
          <w:highlight w:val="yellow"/>
        </w:rPr>
        <w:t>最后填写授权代表姓名、电话）</w:t>
      </w:r>
      <w:r>
        <w:rPr>
          <w:rFonts w:hint="eastAsia" w:ascii="宋体" w:hAnsi="宋体" w:eastAsia="宋体" w:cs="Times New Roman"/>
          <w:color w:val="000000"/>
          <w:sz w:val="24"/>
          <w:szCs w:val="24"/>
        </w:rPr>
        <w:t>，之后点击提交。</w:t>
      </w:r>
    </w:p>
    <w:p w14:paraId="34851D6C">
      <w:pPr>
        <w:keepNext/>
        <w:keepLines/>
        <w:spacing w:before="280" w:after="290" w:line="372" w:lineRule="auto"/>
        <w:ind w:left="425" w:hanging="425"/>
        <w:outlineLvl w:val="3"/>
        <w:rPr>
          <w:rFonts w:ascii="Arial" w:hAnsi="Arial" w:eastAsia="黑体" w:cs="Arial"/>
          <w:b/>
          <w:color w:val="000000"/>
          <w:sz w:val="28"/>
          <w:szCs w:val="28"/>
        </w:rPr>
      </w:pPr>
      <w:r>
        <w:rPr>
          <w:rFonts w:ascii="Arial" w:hAnsi="Arial" w:eastAsia="黑体" w:cs="Times New Roman"/>
          <w:b/>
          <w:bCs/>
          <w:sz w:val="28"/>
          <w:szCs w:val="28"/>
        </w:rPr>
        <w:drawing>
          <wp:inline distT="0" distB="0" distL="0" distR="0">
            <wp:extent cx="5495925" cy="2552700"/>
            <wp:effectExtent l="0" t="0" r="9525" b="0"/>
            <wp:docPr id="4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495925" cy="2552700"/>
                    </a:xfrm>
                    <a:prstGeom prst="rect">
                      <a:avLst/>
                    </a:prstGeom>
                    <a:noFill/>
                    <a:ln>
                      <a:noFill/>
                    </a:ln>
                  </pic:spPr>
                </pic:pic>
              </a:graphicData>
            </a:graphic>
          </wp:inline>
        </w:drawing>
      </w:r>
      <w:r>
        <w:rPr>
          <w:rFonts w:ascii="Arial" w:hAnsi="Arial" w:eastAsia="黑体" w:cs="Arial"/>
          <w:b/>
          <w:color w:val="000000"/>
          <w:sz w:val="28"/>
          <w:szCs w:val="28"/>
        </w:rPr>
        <w:t xml:space="preserve"> </w:t>
      </w:r>
    </w:p>
    <w:p w14:paraId="56364BA1">
      <w:pPr>
        <w:spacing w:line="360" w:lineRule="auto"/>
        <w:rPr>
          <w:rFonts w:hint="eastAsia" w:ascii="宋体" w:hAnsi="宋体" w:eastAsia="宋体" w:cs="Times New Roman"/>
          <w:b/>
          <w:bCs/>
          <w:color w:val="000000"/>
          <w:sz w:val="24"/>
          <w:szCs w:val="24"/>
        </w:rPr>
      </w:pPr>
      <w:r>
        <w:rPr>
          <w:rFonts w:hint="eastAsia" w:ascii="宋体" w:hAnsi="宋体" w:eastAsia="宋体" w:cs="Times New Roman"/>
          <w:b/>
          <w:bCs/>
          <w:color w:val="000000"/>
          <w:sz w:val="24"/>
          <w:szCs w:val="24"/>
        </w:rPr>
        <w:t>6.供应商查看中标通知</w:t>
      </w:r>
    </w:p>
    <w:p w14:paraId="4E4E59D4">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路径：招投标中心-非生产类招投标-中标项目</w:t>
      </w:r>
    </w:p>
    <w:p w14:paraId="3AAA10BD">
      <w:pPr>
        <w:spacing w:line="360" w:lineRule="auto"/>
        <w:rPr>
          <w:rFonts w:hint="eastAsia" w:ascii="宋体" w:hAnsi="宋体" w:eastAsia="宋体" w:cs="Times New Roman"/>
          <w:sz w:val="24"/>
          <w:szCs w:val="24"/>
        </w:rPr>
      </w:pPr>
      <w:r>
        <w:rPr>
          <w:rFonts w:hint="eastAsia" w:ascii="宋体" w:hAnsi="宋体" w:eastAsia="宋体" w:cs="Times New Roman"/>
          <w:color w:val="000000"/>
          <w:sz w:val="24"/>
          <w:szCs w:val="24"/>
        </w:rPr>
        <w:t>点击查看进入查看中标项目详情</w:t>
      </w:r>
    </w:p>
    <w:p w14:paraId="342E4B62">
      <w:pPr>
        <w:rPr>
          <w:rFonts w:hint="eastAsia" w:ascii="等线" w:hAnsi="等线" w:eastAsia="等线" w:cs="Times New Roman"/>
          <w:szCs w:val="21"/>
        </w:rPr>
      </w:pPr>
      <w:r>
        <w:rPr>
          <w:rFonts w:hint="eastAsia" w:ascii="等线" w:hAnsi="等线" w:eastAsia="等线" w:cs="Times New Roman"/>
          <w:szCs w:val="21"/>
        </w:rPr>
        <w:drawing>
          <wp:inline distT="0" distB="0" distL="0" distR="0">
            <wp:extent cx="5762625" cy="1962150"/>
            <wp:effectExtent l="0" t="0" r="9525" b="0"/>
            <wp:docPr id="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5762625" cy="1962150"/>
                    </a:xfrm>
                    <a:prstGeom prst="rect">
                      <a:avLst/>
                    </a:prstGeom>
                    <a:noFill/>
                    <a:ln>
                      <a:noFill/>
                    </a:ln>
                  </pic:spPr>
                </pic:pic>
              </a:graphicData>
            </a:graphic>
          </wp:inline>
        </w:drawing>
      </w:r>
      <w:r>
        <w:rPr>
          <w:rFonts w:hint="eastAsia" w:ascii="等线" w:hAnsi="等线" w:eastAsia="等线" w:cs="Times New Roman"/>
          <w:szCs w:val="21"/>
        </w:rPr>
        <w:t xml:space="preserve"> </w:t>
      </w:r>
    </w:p>
    <w:p w14:paraId="43169A31">
      <w:pPr>
        <w:spacing w:line="360" w:lineRule="auto"/>
        <w:ind w:right="-48" w:rightChars="-23"/>
        <w:jc w:val="center"/>
        <w:rPr>
          <w:rFonts w:hint="eastAsia" w:ascii="文鼎大标宋简" w:hAnsi="华文中宋" w:eastAsia="文鼎大标宋简"/>
          <w:b/>
          <w:color w:val="000000"/>
          <w:spacing w:val="4"/>
          <w:w w:val="90"/>
          <w:sz w:val="50"/>
          <w:szCs w:val="50"/>
        </w:rPr>
      </w:pPr>
      <w:bookmarkStart w:id="116" w:name="_Hlk193199808"/>
      <w:bookmarkEnd w:id="116"/>
    </w:p>
    <w:p w14:paraId="6389B602">
      <w:pPr>
        <w:spacing w:line="360" w:lineRule="auto"/>
        <w:ind w:right="-48" w:rightChars="-23"/>
        <w:jc w:val="center"/>
        <w:rPr>
          <w:rFonts w:hint="eastAsia" w:ascii="文鼎大标宋简" w:hAnsi="华文中宋" w:eastAsia="文鼎大标宋简"/>
          <w:b/>
          <w:color w:val="000000"/>
          <w:spacing w:val="4"/>
          <w:w w:val="90"/>
          <w:sz w:val="50"/>
          <w:szCs w:val="50"/>
        </w:rPr>
      </w:pPr>
    </w:p>
    <w:p w14:paraId="28065472">
      <w:pPr>
        <w:spacing w:line="360" w:lineRule="auto"/>
        <w:ind w:right="-48" w:rightChars="-23"/>
        <w:jc w:val="center"/>
        <w:rPr>
          <w:rFonts w:hint="eastAsia" w:ascii="文鼎大标宋简" w:hAnsi="华文中宋" w:eastAsia="文鼎大标宋简"/>
          <w:b/>
          <w:color w:val="000000"/>
          <w:spacing w:val="4"/>
          <w:w w:val="90"/>
          <w:sz w:val="50"/>
          <w:szCs w:val="50"/>
        </w:rPr>
      </w:pPr>
      <w:r>
        <w:rPr>
          <w:rFonts w:hint="eastAsia" w:ascii="文鼎大标宋简" w:hAnsi="华文中宋" w:eastAsia="文鼎大标宋简"/>
          <w:b/>
          <w:color w:val="000000"/>
          <w:spacing w:val="4"/>
          <w:w w:val="90"/>
          <w:sz w:val="50"/>
          <w:szCs w:val="50"/>
        </w:rPr>
        <w:t>中国重汽集团济南商用车有限公司</w:t>
      </w:r>
      <w:bookmarkStart w:id="172" w:name="_GoBack"/>
      <w:bookmarkEnd w:id="172"/>
    </w:p>
    <w:p w14:paraId="15E253DC">
      <w:pPr>
        <w:snapToGrid w:val="0"/>
        <w:jc w:val="center"/>
        <w:rPr>
          <w:rFonts w:cs="Arial"/>
          <w:sz w:val="50"/>
          <w:szCs w:val="50"/>
          <w:highlight w:val="yellow"/>
        </w:rPr>
      </w:pPr>
    </w:p>
    <w:p w14:paraId="26B7EC79">
      <w:pPr>
        <w:spacing w:line="360" w:lineRule="auto"/>
        <w:ind w:right="-48" w:rightChars="-23"/>
        <w:jc w:val="center"/>
        <w:rPr>
          <w:rFonts w:hint="eastAsia" w:ascii="文鼎大标宋简" w:hAnsi="华文中宋" w:eastAsia="文鼎大标宋简"/>
          <w:b/>
          <w:spacing w:val="4"/>
          <w:w w:val="90"/>
          <w:sz w:val="27"/>
          <w:szCs w:val="27"/>
        </w:rPr>
      </w:pPr>
    </w:p>
    <w:p w14:paraId="78F7B7B8">
      <w:pPr>
        <w:spacing w:line="360" w:lineRule="auto"/>
        <w:ind w:right="-48" w:rightChars="-23"/>
        <w:jc w:val="center"/>
        <w:rPr>
          <w:rFonts w:hint="eastAsia" w:ascii="文鼎大标宋简" w:hAnsi="华文中宋" w:eastAsia="文鼎大标宋简"/>
          <w:b/>
          <w:spacing w:val="4"/>
          <w:w w:val="90"/>
          <w:sz w:val="27"/>
          <w:szCs w:val="27"/>
        </w:rPr>
      </w:pPr>
    </w:p>
    <w:p w14:paraId="61F30E3A">
      <w:pPr>
        <w:jc w:val="center"/>
        <w:rPr>
          <w:rFonts w:hint="default" w:ascii="文鼎大标宋简" w:hAnsi="华文中宋" w:eastAsia="文鼎大标宋简"/>
          <w:b/>
          <w:spacing w:val="4"/>
          <w:w w:val="90"/>
          <w:sz w:val="50"/>
          <w:szCs w:val="50"/>
          <w:lang w:val="en-US"/>
        </w:rPr>
      </w:pPr>
      <w:r>
        <w:rPr>
          <w:rFonts w:hint="eastAsia" w:ascii="黑体" w:hAnsi="宋体" w:eastAsia="黑体"/>
          <w:sz w:val="44"/>
          <w:szCs w:val="44"/>
          <w:lang w:val="en-US" w:eastAsia="zh-CN"/>
        </w:rPr>
        <w:t>双悬臂测量机电脑及软件升级项目</w:t>
      </w:r>
    </w:p>
    <w:p w14:paraId="74AA02C3">
      <w:pPr>
        <w:spacing w:line="360" w:lineRule="auto"/>
        <w:jc w:val="center"/>
        <w:rPr>
          <w:rFonts w:hint="default" w:ascii="黑体" w:eastAsia="黑体"/>
          <w:sz w:val="46"/>
          <w:szCs w:val="46"/>
          <w:lang w:val="en-US" w:eastAsia="zh-CN"/>
        </w:rPr>
      </w:pPr>
      <w:r>
        <w:rPr>
          <w:rFonts w:hint="eastAsia" w:ascii="宋体" w:hAnsi="宋体" w:eastAsia="黑体"/>
          <w:b/>
          <w:sz w:val="96"/>
          <w:szCs w:val="96"/>
          <w:lang w:val="en-US" w:eastAsia="zh-CN"/>
        </w:rPr>
        <w:t>技术标书</w:t>
      </w:r>
    </w:p>
    <w:p w14:paraId="3938FA29">
      <w:pPr>
        <w:spacing w:line="360" w:lineRule="auto"/>
        <w:ind w:firstLine="540" w:firstLineChars="200"/>
        <w:rPr>
          <w:rFonts w:hint="eastAsia" w:ascii="黑体" w:hAnsi="黑体" w:eastAsia="黑体" w:cs="Arial"/>
          <w:sz w:val="27"/>
          <w:szCs w:val="27"/>
        </w:rPr>
      </w:pPr>
      <w:r>
        <w:rPr>
          <w:rFonts w:hint="eastAsia" w:ascii="黑体" w:hAnsi="黑体" w:eastAsia="黑体" w:cs="Arial"/>
          <w:sz w:val="27"/>
          <w:szCs w:val="27"/>
        </w:rPr>
        <w:t>项目编号：</w:t>
      </w:r>
      <w:r>
        <w:rPr>
          <w:rFonts w:hint="eastAsia" w:ascii="Helvetica" w:hAnsi="Helvetica" w:eastAsia="Helvetica" w:cs="Helvetica"/>
          <w:i w:val="0"/>
          <w:iCs w:val="0"/>
          <w:caps w:val="0"/>
          <w:color w:val="FF0000"/>
          <w:spacing w:val="0"/>
          <w:sz w:val="22"/>
          <w:szCs w:val="22"/>
          <w:shd w:val="clear" w:fill="FFFFFF"/>
        </w:rPr>
        <w:t>ZBGL2026090151</w:t>
      </w:r>
    </w:p>
    <w:p w14:paraId="59E1D288">
      <w:pPr>
        <w:spacing w:line="360" w:lineRule="auto"/>
        <w:jc w:val="center"/>
        <w:rPr>
          <w:rFonts w:ascii="黑体" w:eastAsia="黑体"/>
          <w:b/>
          <w:sz w:val="27"/>
          <w:szCs w:val="27"/>
        </w:rPr>
      </w:pPr>
    </w:p>
    <w:p w14:paraId="47568ADD">
      <w:pPr>
        <w:spacing w:before="240"/>
        <w:jc w:val="center"/>
        <w:rPr>
          <w:sz w:val="20"/>
          <w:szCs w:val="20"/>
        </w:rPr>
      </w:pPr>
    </w:p>
    <w:p w14:paraId="5E1A29DC">
      <w:pPr>
        <w:adjustRightInd w:val="0"/>
        <w:snapToGrid w:val="0"/>
        <w:jc w:val="center"/>
        <w:rPr>
          <w:rFonts w:hint="eastAsia" w:ascii="宋体" w:hAnsi="宋体" w:eastAsia="宋体"/>
          <w:sz w:val="54"/>
          <w:szCs w:val="54"/>
        </w:rPr>
      </w:pPr>
    </w:p>
    <w:p w14:paraId="2CC4B424">
      <w:pPr>
        <w:spacing w:line="360" w:lineRule="auto"/>
        <w:ind w:firstLine="560" w:firstLineChars="200"/>
        <w:rPr>
          <w:rFonts w:ascii="黑体" w:eastAsia="黑体"/>
          <w:sz w:val="28"/>
        </w:rPr>
      </w:pPr>
      <w:r>
        <w:rPr>
          <w:rFonts w:hint="eastAsia" w:ascii="黑体" w:eastAsia="黑体"/>
          <w:sz w:val="28"/>
        </w:rPr>
        <w:t>招 标 人：中国重汽集团济南商用车有限公司</w:t>
      </w:r>
    </w:p>
    <w:p w14:paraId="113F8D0B">
      <w:pPr>
        <w:spacing w:line="360" w:lineRule="auto"/>
        <w:ind w:firstLine="560" w:firstLineChars="200"/>
        <w:jc w:val="center"/>
        <w:rPr>
          <w:rFonts w:ascii="黑体" w:eastAsia="黑体"/>
          <w:sz w:val="28"/>
        </w:rPr>
      </w:pPr>
      <w:r>
        <w:rPr>
          <w:rFonts w:hint="eastAsia" w:ascii="黑体" w:eastAsia="黑体"/>
          <w:sz w:val="28"/>
        </w:rPr>
        <w:t>20</w:t>
      </w:r>
      <w:r>
        <w:rPr>
          <w:rFonts w:ascii="黑体" w:eastAsia="黑体"/>
          <w:sz w:val="28"/>
        </w:rPr>
        <w:t>2</w:t>
      </w:r>
      <w:r>
        <w:rPr>
          <w:rFonts w:hint="eastAsia" w:ascii="黑体" w:eastAsia="黑体"/>
          <w:sz w:val="28"/>
        </w:rPr>
        <w:t>6年</w:t>
      </w:r>
      <w:r>
        <w:rPr>
          <w:rFonts w:hint="eastAsia" w:ascii="黑体" w:eastAsia="黑体"/>
          <w:sz w:val="28"/>
          <w:lang w:val="en-US" w:eastAsia="zh-CN"/>
        </w:rPr>
        <w:t>9</w:t>
      </w:r>
      <w:r>
        <w:rPr>
          <w:rFonts w:hint="eastAsia" w:ascii="黑体" w:eastAsia="黑体"/>
          <w:sz w:val="28"/>
        </w:rPr>
        <w:t>月</w:t>
      </w:r>
    </w:p>
    <w:p w14:paraId="4E1288CE">
      <w:pPr>
        <w:widowControl/>
        <w:ind w:firstLine="720" w:firstLineChars="200"/>
        <w:jc w:val="left"/>
        <w:rPr>
          <w:rFonts w:hint="eastAsia" w:ascii="微软雅黑" w:hAnsi="微软雅黑" w:cs="微软雅黑"/>
          <w:b/>
          <w:bCs/>
          <w:sz w:val="36"/>
          <w:szCs w:val="36"/>
        </w:rPr>
      </w:pPr>
      <w:r>
        <w:rPr>
          <w:rFonts w:hint="eastAsia" w:ascii="微软雅黑" w:hAnsi="微软雅黑" w:cs="微软雅黑"/>
          <w:b/>
          <w:bCs/>
          <w:sz w:val="36"/>
          <w:szCs w:val="36"/>
        </w:rPr>
        <w:br w:type="page"/>
      </w:r>
    </w:p>
    <w:sdt>
      <w:sdtPr>
        <w:rPr>
          <w:rFonts w:ascii="Arial" w:hAnsi="Arial" w:eastAsia="微软雅黑"/>
          <w:b w:val="0"/>
          <w:bCs w:val="0"/>
          <w:color w:val="auto"/>
          <w:kern w:val="2"/>
          <w:sz w:val="21"/>
          <w:szCs w:val="24"/>
          <w:lang w:val="zh-CN"/>
        </w:rPr>
        <w:id w:val="-983316240"/>
        <w:docPartObj>
          <w:docPartGallery w:val="Table of Contents"/>
          <w:docPartUnique/>
        </w:docPartObj>
      </w:sdtPr>
      <w:sdtEndPr>
        <w:rPr>
          <w:rFonts w:ascii="Arial" w:hAnsi="Arial" w:eastAsia="微软雅黑"/>
          <w:b w:val="0"/>
          <w:bCs w:val="0"/>
          <w:color w:val="auto"/>
          <w:kern w:val="2"/>
          <w:sz w:val="21"/>
          <w:szCs w:val="24"/>
          <w:lang w:val="zh-CN"/>
        </w:rPr>
      </w:sdtEndPr>
      <w:sdtContent>
        <w:p w14:paraId="38172E50">
          <w:pPr>
            <w:pStyle w:val="125"/>
            <w:tabs>
              <w:tab w:val="left" w:pos="2400"/>
            </w:tabs>
            <w:ind w:firstLine="420" w:firstLineChars="200"/>
          </w:pPr>
          <w:r>
            <w:rPr>
              <w:lang w:val="zh-CN"/>
            </w:rPr>
            <w:t>目录</w:t>
          </w:r>
        </w:p>
        <w:p w14:paraId="5F8DED15">
          <w:pPr>
            <w:pStyle w:val="24"/>
            <w:tabs>
              <w:tab w:val="right" w:leader="dot" w:pos="8306"/>
            </w:tabs>
          </w:pPr>
          <w:r>
            <w:fldChar w:fldCharType="begin"/>
          </w:r>
          <w:r>
            <w:instrText xml:space="preserve"> TOC \o "1-3" \h \z \u </w:instrText>
          </w:r>
          <w:r>
            <w:fldChar w:fldCharType="separate"/>
          </w:r>
          <w:r>
            <w:fldChar w:fldCharType="begin"/>
          </w:r>
          <w:r>
            <w:instrText xml:space="preserve"> HYPERLINK \l "_Toc13061" </w:instrText>
          </w:r>
          <w:r>
            <w:fldChar w:fldCharType="separate"/>
          </w:r>
          <w:r>
            <w:rPr>
              <w:rFonts w:hint="eastAsia"/>
            </w:rPr>
            <w:t>1、总则</w:t>
          </w:r>
          <w:r>
            <w:tab/>
          </w:r>
          <w:r>
            <w:fldChar w:fldCharType="begin"/>
          </w:r>
          <w:r>
            <w:instrText xml:space="preserve"> PAGEREF _Toc13061 \h </w:instrText>
          </w:r>
          <w:r>
            <w:fldChar w:fldCharType="separate"/>
          </w:r>
          <w:r>
            <w:t>4</w:t>
          </w:r>
          <w:r>
            <w:fldChar w:fldCharType="end"/>
          </w:r>
          <w:r>
            <w:fldChar w:fldCharType="end"/>
          </w:r>
        </w:p>
        <w:p w14:paraId="78EB0D50">
          <w:pPr>
            <w:pStyle w:val="24"/>
            <w:tabs>
              <w:tab w:val="right" w:leader="dot" w:pos="8306"/>
            </w:tabs>
          </w:pPr>
          <w:r>
            <w:fldChar w:fldCharType="begin"/>
          </w:r>
          <w:r>
            <w:instrText xml:space="preserve"> HYPERLINK \l "_Toc1339" </w:instrText>
          </w:r>
          <w:r>
            <w:fldChar w:fldCharType="separate"/>
          </w:r>
          <w:r>
            <w:rPr>
              <w:rFonts w:hint="eastAsia" w:ascii="Arial" w:hAnsi="Arial"/>
            </w:rPr>
            <w:t>2、项目要求</w:t>
          </w:r>
          <w:r>
            <w:tab/>
          </w:r>
          <w:r>
            <w:fldChar w:fldCharType="begin"/>
          </w:r>
          <w:r>
            <w:instrText xml:space="preserve"> PAGEREF _Toc1339 \h </w:instrText>
          </w:r>
          <w:r>
            <w:fldChar w:fldCharType="separate"/>
          </w:r>
          <w:r>
            <w:t>5</w:t>
          </w:r>
          <w:r>
            <w:fldChar w:fldCharType="end"/>
          </w:r>
          <w:r>
            <w:fldChar w:fldCharType="end"/>
          </w:r>
        </w:p>
        <w:p w14:paraId="349B356D">
          <w:pPr>
            <w:pStyle w:val="30"/>
            <w:tabs>
              <w:tab w:val="right" w:leader="dot" w:pos="8306"/>
            </w:tabs>
          </w:pPr>
          <w:r>
            <w:fldChar w:fldCharType="begin"/>
          </w:r>
          <w:r>
            <w:instrText xml:space="preserve"> HYPERLINK \l "_Toc10174" </w:instrText>
          </w:r>
          <w:r>
            <w:fldChar w:fldCharType="separate"/>
          </w:r>
          <w:r>
            <w:rPr>
              <w:rFonts w:hint="eastAsia" w:ascii="Arial" w:hAnsi="Arial"/>
            </w:rPr>
            <w:t>2.1</w:t>
          </w:r>
          <w:r>
            <w:rPr>
              <w:rFonts w:hint="eastAsia"/>
            </w:rPr>
            <w:t>项目概况</w:t>
          </w:r>
          <w:r>
            <w:tab/>
          </w:r>
          <w:r>
            <w:fldChar w:fldCharType="begin"/>
          </w:r>
          <w:r>
            <w:instrText xml:space="preserve"> PAGEREF _Toc10174 \h </w:instrText>
          </w:r>
          <w:r>
            <w:fldChar w:fldCharType="separate"/>
          </w:r>
          <w:r>
            <w:t>5</w:t>
          </w:r>
          <w:r>
            <w:fldChar w:fldCharType="end"/>
          </w:r>
          <w:r>
            <w:fldChar w:fldCharType="end"/>
          </w:r>
        </w:p>
        <w:p w14:paraId="20905950">
          <w:pPr>
            <w:pStyle w:val="30"/>
            <w:tabs>
              <w:tab w:val="right" w:leader="dot" w:pos="8306"/>
            </w:tabs>
          </w:pPr>
          <w:r>
            <w:fldChar w:fldCharType="begin"/>
          </w:r>
          <w:r>
            <w:instrText xml:space="preserve"> HYPERLINK \l "_Toc4595" </w:instrText>
          </w:r>
          <w:r>
            <w:fldChar w:fldCharType="separate"/>
          </w:r>
          <w:r>
            <w:rPr>
              <w:rFonts w:hint="eastAsia" w:ascii="Arial" w:hAnsi="Arial"/>
            </w:rPr>
            <w:t>2.2项目地点</w:t>
          </w:r>
          <w:r>
            <w:tab/>
          </w:r>
          <w:r>
            <w:fldChar w:fldCharType="begin"/>
          </w:r>
          <w:r>
            <w:instrText xml:space="preserve"> PAGEREF _Toc4595 \h </w:instrText>
          </w:r>
          <w:r>
            <w:fldChar w:fldCharType="separate"/>
          </w:r>
          <w:r>
            <w:t>5</w:t>
          </w:r>
          <w:r>
            <w:fldChar w:fldCharType="end"/>
          </w:r>
          <w:r>
            <w:fldChar w:fldCharType="end"/>
          </w:r>
        </w:p>
        <w:p w14:paraId="3E4B8CF1">
          <w:pPr>
            <w:pStyle w:val="30"/>
            <w:tabs>
              <w:tab w:val="right" w:leader="dot" w:pos="8306"/>
            </w:tabs>
          </w:pPr>
          <w:r>
            <w:fldChar w:fldCharType="begin"/>
          </w:r>
          <w:r>
            <w:instrText xml:space="preserve"> HYPERLINK \l "_Toc18053" </w:instrText>
          </w:r>
          <w:r>
            <w:fldChar w:fldCharType="separate"/>
          </w:r>
          <w:r>
            <w:rPr>
              <w:rFonts w:hint="eastAsia" w:ascii="Arial" w:hAnsi="Arial"/>
            </w:rPr>
            <w:t>2.3公用动力及气候资料</w:t>
          </w:r>
          <w:r>
            <w:tab/>
          </w:r>
          <w:r>
            <w:fldChar w:fldCharType="begin"/>
          </w:r>
          <w:r>
            <w:instrText xml:space="preserve"> PAGEREF _Toc18053 \h </w:instrText>
          </w:r>
          <w:r>
            <w:fldChar w:fldCharType="separate"/>
          </w:r>
          <w:r>
            <w:t>5</w:t>
          </w:r>
          <w:r>
            <w:fldChar w:fldCharType="end"/>
          </w:r>
          <w:r>
            <w:fldChar w:fldCharType="end"/>
          </w:r>
        </w:p>
        <w:p w14:paraId="343E0C48">
          <w:pPr>
            <w:pStyle w:val="24"/>
            <w:tabs>
              <w:tab w:val="right" w:leader="dot" w:pos="8306"/>
            </w:tabs>
          </w:pPr>
          <w:r>
            <w:fldChar w:fldCharType="begin"/>
          </w:r>
          <w:r>
            <w:instrText xml:space="preserve"> HYPERLINK \l "_Toc21994" </w:instrText>
          </w:r>
          <w:r>
            <w:fldChar w:fldCharType="separate"/>
          </w:r>
          <w:r>
            <w:rPr>
              <w:rFonts w:hint="eastAsia" w:ascii="Arial" w:hAnsi="Arial"/>
            </w:rPr>
            <w:t>3、技术要求</w:t>
          </w:r>
          <w:r>
            <w:tab/>
          </w:r>
          <w:r>
            <w:fldChar w:fldCharType="begin"/>
          </w:r>
          <w:r>
            <w:instrText xml:space="preserve"> PAGEREF _Toc21994 \h </w:instrText>
          </w:r>
          <w:r>
            <w:fldChar w:fldCharType="separate"/>
          </w:r>
          <w:r>
            <w:t>5</w:t>
          </w:r>
          <w:r>
            <w:fldChar w:fldCharType="end"/>
          </w:r>
          <w:r>
            <w:fldChar w:fldCharType="end"/>
          </w:r>
        </w:p>
        <w:p w14:paraId="5562D340">
          <w:pPr>
            <w:pStyle w:val="30"/>
            <w:tabs>
              <w:tab w:val="right" w:leader="dot" w:pos="8306"/>
            </w:tabs>
          </w:pPr>
          <w:r>
            <w:fldChar w:fldCharType="begin"/>
          </w:r>
          <w:r>
            <w:instrText xml:space="preserve"> HYPERLINK \l "_Toc19548" </w:instrText>
          </w:r>
          <w:r>
            <w:fldChar w:fldCharType="separate"/>
          </w:r>
          <w:r>
            <w:rPr>
              <w:rFonts w:hint="eastAsia" w:ascii="Arial" w:hAnsi="Arial"/>
            </w:rPr>
            <w:t>3.1基本要求</w:t>
          </w:r>
          <w:r>
            <w:tab/>
          </w:r>
          <w:r>
            <w:fldChar w:fldCharType="begin"/>
          </w:r>
          <w:r>
            <w:instrText xml:space="preserve"> PAGEREF _Toc19548 \h </w:instrText>
          </w:r>
          <w:r>
            <w:fldChar w:fldCharType="separate"/>
          </w:r>
          <w:r>
            <w:t>5</w:t>
          </w:r>
          <w:r>
            <w:fldChar w:fldCharType="end"/>
          </w:r>
          <w:r>
            <w:fldChar w:fldCharType="end"/>
          </w:r>
        </w:p>
        <w:p w14:paraId="3129D0B7">
          <w:pPr>
            <w:pStyle w:val="30"/>
            <w:tabs>
              <w:tab w:val="right" w:leader="dot" w:pos="8306"/>
            </w:tabs>
          </w:pPr>
          <w:r>
            <w:fldChar w:fldCharType="begin"/>
          </w:r>
          <w:r>
            <w:instrText xml:space="preserve"> HYPERLINK \l "_Toc14163" </w:instrText>
          </w:r>
          <w:r>
            <w:fldChar w:fldCharType="separate"/>
          </w:r>
          <w:r>
            <w:rPr>
              <w:rFonts w:hint="eastAsia" w:ascii="Arial" w:hAnsi="Arial"/>
            </w:rPr>
            <w:t>3.2执行标准</w:t>
          </w:r>
          <w:r>
            <w:tab/>
          </w:r>
          <w:r>
            <w:fldChar w:fldCharType="begin"/>
          </w:r>
          <w:r>
            <w:instrText xml:space="preserve"> PAGEREF _Toc14163 \h </w:instrText>
          </w:r>
          <w:r>
            <w:fldChar w:fldCharType="separate"/>
          </w:r>
          <w:r>
            <w:t>6</w:t>
          </w:r>
          <w:r>
            <w:fldChar w:fldCharType="end"/>
          </w:r>
          <w:r>
            <w:fldChar w:fldCharType="end"/>
          </w:r>
        </w:p>
        <w:p w14:paraId="0894A672">
          <w:pPr>
            <w:pStyle w:val="30"/>
            <w:tabs>
              <w:tab w:val="right" w:leader="dot" w:pos="8306"/>
            </w:tabs>
          </w:pPr>
          <w:r>
            <w:fldChar w:fldCharType="begin"/>
          </w:r>
          <w:r>
            <w:instrText xml:space="preserve"> HYPERLINK \l "_Toc5881" </w:instrText>
          </w:r>
          <w:r>
            <w:fldChar w:fldCharType="separate"/>
          </w:r>
          <w:r>
            <w:rPr>
              <w:rFonts w:hint="eastAsia" w:ascii="Arial" w:hAnsi="Arial"/>
            </w:rPr>
            <w:t>3.3技术规范和技术要求</w:t>
          </w:r>
          <w:r>
            <w:tab/>
          </w:r>
          <w:r>
            <w:fldChar w:fldCharType="begin"/>
          </w:r>
          <w:r>
            <w:instrText xml:space="preserve"> PAGEREF _Toc5881 \h </w:instrText>
          </w:r>
          <w:r>
            <w:fldChar w:fldCharType="separate"/>
          </w:r>
          <w:r>
            <w:t>6</w:t>
          </w:r>
          <w:r>
            <w:fldChar w:fldCharType="end"/>
          </w:r>
          <w:r>
            <w:fldChar w:fldCharType="end"/>
          </w:r>
        </w:p>
        <w:p w14:paraId="590D6233">
          <w:pPr>
            <w:pStyle w:val="16"/>
            <w:tabs>
              <w:tab w:val="right" w:leader="dot" w:pos="8306"/>
            </w:tabs>
          </w:pPr>
          <w:r>
            <w:fldChar w:fldCharType="begin"/>
          </w:r>
          <w:r>
            <w:instrText xml:space="preserve"> HYPERLINK \l "_Toc13334" </w:instrText>
          </w:r>
          <w:r>
            <w:fldChar w:fldCharType="separate"/>
          </w:r>
          <w:r>
            <w:rPr>
              <w:rFonts w:hint="eastAsia" w:ascii="Arial" w:hAnsi="Arial"/>
            </w:rPr>
            <w:t>3.3.1</w:t>
          </w:r>
          <w:r>
            <w:rPr>
              <w:rFonts w:hint="eastAsia"/>
            </w:rPr>
            <w:t>台式计算机</w:t>
          </w:r>
          <w:r>
            <w:tab/>
          </w:r>
          <w:r>
            <w:fldChar w:fldCharType="begin"/>
          </w:r>
          <w:r>
            <w:instrText xml:space="preserve"> PAGEREF _Toc13334 \h </w:instrText>
          </w:r>
          <w:r>
            <w:fldChar w:fldCharType="separate"/>
          </w:r>
          <w:r>
            <w:t>6</w:t>
          </w:r>
          <w:r>
            <w:fldChar w:fldCharType="end"/>
          </w:r>
          <w:r>
            <w:fldChar w:fldCharType="end"/>
          </w:r>
        </w:p>
        <w:p w14:paraId="40C097FB">
          <w:pPr>
            <w:pStyle w:val="16"/>
            <w:tabs>
              <w:tab w:val="right" w:leader="dot" w:pos="8306"/>
            </w:tabs>
          </w:pPr>
          <w:r>
            <w:fldChar w:fldCharType="begin"/>
          </w:r>
          <w:r>
            <w:instrText xml:space="preserve"> HYPERLINK \l "_Toc3975" </w:instrText>
          </w:r>
          <w:r>
            <w:fldChar w:fldCharType="separate"/>
          </w:r>
          <w:r>
            <w:rPr>
              <w:rFonts w:hint="eastAsia" w:ascii="Arial" w:hAnsi="Arial"/>
            </w:rPr>
            <w:t>3.3.2 总体要求</w:t>
          </w:r>
          <w:r>
            <w:tab/>
          </w:r>
          <w:r>
            <w:fldChar w:fldCharType="begin"/>
          </w:r>
          <w:r>
            <w:instrText xml:space="preserve"> PAGEREF _Toc3975 \h </w:instrText>
          </w:r>
          <w:r>
            <w:fldChar w:fldCharType="separate"/>
          </w:r>
          <w:r>
            <w:t>7</w:t>
          </w:r>
          <w:r>
            <w:fldChar w:fldCharType="end"/>
          </w:r>
          <w:r>
            <w:fldChar w:fldCharType="end"/>
          </w:r>
        </w:p>
        <w:p w14:paraId="1F4F8C4A">
          <w:pPr>
            <w:pStyle w:val="16"/>
            <w:tabs>
              <w:tab w:val="right" w:leader="dot" w:pos="8306"/>
            </w:tabs>
          </w:pPr>
          <w:r>
            <w:fldChar w:fldCharType="begin"/>
          </w:r>
          <w:r>
            <w:instrText xml:space="preserve"> HYPERLINK \l "_Toc28679" </w:instrText>
          </w:r>
          <w:r>
            <w:fldChar w:fldCharType="separate"/>
          </w:r>
          <w:r>
            <w:rPr>
              <w:rFonts w:hint="eastAsia" w:ascii="Arial" w:hAnsi="Arial"/>
            </w:rPr>
            <w:t>3.3.3 其他配件（包括但不限于以下所列出的各项）</w:t>
          </w:r>
          <w:r>
            <w:tab/>
          </w:r>
          <w:r>
            <w:fldChar w:fldCharType="begin"/>
          </w:r>
          <w:r>
            <w:instrText xml:space="preserve"> PAGEREF _Toc28679 \h </w:instrText>
          </w:r>
          <w:r>
            <w:fldChar w:fldCharType="separate"/>
          </w:r>
          <w:r>
            <w:t>7</w:t>
          </w:r>
          <w:r>
            <w:fldChar w:fldCharType="end"/>
          </w:r>
          <w:r>
            <w:fldChar w:fldCharType="end"/>
          </w:r>
        </w:p>
        <w:p w14:paraId="07F23D57">
          <w:pPr>
            <w:pStyle w:val="16"/>
            <w:tabs>
              <w:tab w:val="right" w:leader="dot" w:pos="8306"/>
            </w:tabs>
          </w:pPr>
          <w:r>
            <w:fldChar w:fldCharType="begin"/>
          </w:r>
          <w:r>
            <w:instrText xml:space="preserve"> HYPERLINK \l "_Toc5241" </w:instrText>
          </w:r>
          <w:r>
            <w:fldChar w:fldCharType="separate"/>
          </w:r>
          <w:r>
            <w:rPr>
              <w:rFonts w:hint="eastAsia" w:ascii="Arial" w:hAnsi="Arial"/>
            </w:rPr>
            <w:t>3.3.4 分析检测软件</w:t>
          </w:r>
          <w:r>
            <w:tab/>
          </w:r>
          <w:r>
            <w:fldChar w:fldCharType="begin"/>
          </w:r>
          <w:r>
            <w:instrText xml:space="preserve"> PAGEREF _Toc5241 \h </w:instrText>
          </w:r>
          <w:r>
            <w:fldChar w:fldCharType="separate"/>
          </w:r>
          <w:r>
            <w:t>7</w:t>
          </w:r>
          <w:r>
            <w:fldChar w:fldCharType="end"/>
          </w:r>
          <w:r>
            <w:fldChar w:fldCharType="end"/>
          </w:r>
        </w:p>
        <w:p w14:paraId="449DE31F">
          <w:pPr>
            <w:pStyle w:val="16"/>
            <w:tabs>
              <w:tab w:val="right" w:leader="dot" w:pos="8306"/>
            </w:tabs>
          </w:pPr>
          <w:r>
            <w:fldChar w:fldCharType="begin"/>
          </w:r>
          <w:r>
            <w:instrText xml:space="preserve"> HYPERLINK \l "_Toc14849" </w:instrText>
          </w:r>
          <w:r>
            <w:fldChar w:fldCharType="separate"/>
          </w:r>
          <w:r>
            <w:rPr>
              <w:rFonts w:hint="eastAsia" w:ascii="Arial" w:hAnsi="Arial"/>
            </w:rPr>
            <w:t>3.3.5其他要求</w:t>
          </w:r>
          <w:r>
            <w:tab/>
          </w:r>
          <w:r>
            <w:fldChar w:fldCharType="begin"/>
          </w:r>
          <w:r>
            <w:instrText xml:space="preserve"> PAGEREF _Toc14849 \h </w:instrText>
          </w:r>
          <w:r>
            <w:fldChar w:fldCharType="separate"/>
          </w:r>
          <w:r>
            <w:t>8</w:t>
          </w:r>
          <w:r>
            <w:fldChar w:fldCharType="end"/>
          </w:r>
          <w:r>
            <w:fldChar w:fldCharType="end"/>
          </w:r>
        </w:p>
        <w:p w14:paraId="34A17753">
          <w:pPr>
            <w:pStyle w:val="30"/>
            <w:tabs>
              <w:tab w:val="right" w:leader="dot" w:pos="8306"/>
            </w:tabs>
          </w:pPr>
          <w:r>
            <w:fldChar w:fldCharType="begin"/>
          </w:r>
          <w:r>
            <w:instrText xml:space="preserve"> HYPERLINK \l "_Toc8901" </w:instrText>
          </w:r>
          <w:r>
            <w:fldChar w:fldCharType="separate"/>
          </w:r>
          <w:r>
            <w:rPr>
              <w:rFonts w:hint="eastAsia" w:ascii="Arial" w:hAnsi="Arial"/>
            </w:rPr>
            <w:t>3.5执行标准</w:t>
          </w:r>
          <w:r>
            <w:tab/>
          </w:r>
          <w:r>
            <w:fldChar w:fldCharType="begin"/>
          </w:r>
          <w:r>
            <w:instrText xml:space="preserve"> PAGEREF _Toc8901 \h </w:instrText>
          </w:r>
          <w:r>
            <w:fldChar w:fldCharType="separate"/>
          </w:r>
          <w:r>
            <w:t>8</w:t>
          </w:r>
          <w:r>
            <w:fldChar w:fldCharType="end"/>
          </w:r>
          <w:r>
            <w:fldChar w:fldCharType="end"/>
          </w:r>
        </w:p>
        <w:p w14:paraId="1923E8F5">
          <w:pPr>
            <w:pStyle w:val="24"/>
            <w:tabs>
              <w:tab w:val="right" w:leader="dot" w:pos="8306"/>
            </w:tabs>
          </w:pPr>
          <w:r>
            <w:fldChar w:fldCharType="begin"/>
          </w:r>
          <w:r>
            <w:instrText xml:space="preserve"> HYPERLINK \l "_Toc26258" </w:instrText>
          </w:r>
          <w:r>
            <w:fldChar w:fldCharType="separate"/>
          </w:r>
          <w:r>
            <w:rPr>
              <w:rFonts w:hint="eastAsia"/>
            </w:rPr>
            <w:t>4、供货范围及供货方式</w:t>
          </w:r>
          <w:r>
            <w:tab/>
          </w:r>
          <w:r>
            <w:fldChar w:fldCharType="begin"/>
          </w:r>
          <w:r>
            <w:instrText xml:space="preserve"> PAGEREF _Toc26258 \h </w:instrText>
          </w:r>
          <w:r>
            <w:fldChar w:fldCharType="separate"/>
          </w:r>
          <w:r>
            <w:t>9</w:t>
          </w:r>
          <w:r>
            <w:fldChar w:fldCharType="end"/>
          </w:r>
          <w:r>
            <w:fldChar w:fldCharType="end"/>
          </w:r>
        </w:p>
        <w:p w14:paraId="00284799">
          <w:pPr>
            <w:pStyle w:val="30"/>
            <w:tabs>
              <w:tab w:val="right" w:leader="dot" w:pos="8306"/>
            </w:tabs>
          </w:pPr>
          <w:r>
            <w:fldChar w:fldCharType="begin"/>
          </w:r>
          <w:r>
            <w:instrText xml:space="preserve"> HYPERLINK \l "_Toc16974" </w:instrText>
          </w:r>
          <w:r>
            <w:fldChar w:fldCharType="separate"/>
          </w:r>
          <w:r>
            <w:rPr>
              <w:rFonts w:hint="eastAsia" w:ascii="Arial" w:hAnsi="Arial"/>
            </w:rPr>
            <w:t>4.1供货范围</w:t>
          </w:r>
          <w:r>
            <w:tab/>
          </w:r>
          <w:r>
            <w:fldChar w:fldCharType="begin"/>
          </w:r>
          <w:r>
            <w:instrText xml:space="preserve"> PAGEREF _Toc16974 \h </w:instrText>
          </w:r>
          <w:r>
            <w:fldChar w:fldCharType="separate"/>
          </w:r>
          <w:r>
            <w:t>9</w:t>
          </w:r>
          <w:r>
            <w:fldChar w:fldCharType="end"/>
          </w:r>
          <w:r>
            <w:fldChar w:fldCharType="end"/>
          </w:r>
        </w:p>
        <w:p w14:paraId="56F2C6ED">
          <w:pPr>
            <w:pStyle w:val="16"/>
            <w:tabs>
              <w:tab w:val="right" w:leader="dot" w:pos="8306"/>
            </w:tabs>
          </w:pPr>
          <w:r>
            <w:fldChar w:fldCharType="begin"/>
          </w:r>
          <w:r>
            <w:instrText xml:space="preserve"> HYPERLINK \l "_Toc5474" </w:instrText>
          </w:r>
          <w:r>
            <w:fldChar w:fldCharType="separate"/>
          </w:r>
          <w:r>
            <w:rPr>
              <w:rFonts w:hint="eastAsia" w:ascii="Arial" w:hAnsi="Arial"/>
            </w:rPr>
            <w:t>4.1.1主要货物一般供货范围界定</w:t>
          </w:r>
          <w:r>
            <w:tab/>
          </w:r>
          <w:r>
            <w:fldChar w:fldCharType="begin"/>
          </w:r>
          <w:r>
            <w:instrText xml:space="preserve"> PAGEREF _Toc5474 \h </w:instrText>
          </w:r>
          <w:r>
            <w:fldChar w:fldCharType="separate"/>
          </w:r>
          <w:r>
            <w:t>9</w:t>
          </w:r>
          <w:r>
            <w:fldChar w:fldCharType="end"/>
          </w:r>
          <w:r>
            <w:fldChar w:fldCharType="end"/>
          </w:r>
        </w:p>
        <w:p w14:paraId="76946A4D">
          <w:pPr>
            <w:pStyle w:val="16"/>
            <w:tabs>
              <w:tab w:val="right" w:leader="dot" w:pos="8306"/>
            </w:tabs>
          </w:pPr>
          <w:r>
            <w:fldChar w:fldCharType="begin"/>
          </w:r>
          <w:r>
            <w:instrText xml:space="preserve"> HYPERLINK \l "_Toc5698" </w:instrText>
          </w:r>
          <w:r>
            <w:fldChar w:fldCharType="separate"/>
          </w:r>
          <w:r>
            <w:rPr>
              <w:rFonts w:hint="eastAsia" w:ascii="Arial" w:hAnsi="Arial"/>
            </w:rPr>
            <w:t>4.1.2备品备件、易损件和专用耗材供货范围</w:t>
          </w:r>
          <w:r>
            <w:tab/>
          </w:r>
          <w:r>
            <w:fldChar w:fldCharType="begin"/>
          </w:r>
          <w:r>
            <w:instrText xml:space="preserve"> PAGEREF _Toc5698 \h </w:instrText>
          </w:r>
          <w:r>
            <w:fldChar w:fldCharType="separate"/>
          </w:r>
          <w:r>
            <w:t>10</w:t>
          </w:r>
          <w:r>
            <w:fldChar w:fldCharType="end"/>
          </w:r>
          <w:r>
            <w:fldChar w:fldCharType="end"/>
          </w:r>
        </w:p>
        <w:p w14:paraId="0F171B26">
          <w:pPr>
            <w:pStyle w:val="16"/>
            <w:tabs>
              <w:tab w:val="right" w:leader="dot" w:pos="8306"/>
            </w:tabs>
          </w:pPr>
          <w:r>
            <w:fldChar w:fldCharType="begin"/>
          </w:r>
          <w:r>
            <w:instrText xml:space="preserve"> HYPERLINK \l "_Toc24186" </w:instrText>
          </w:r>
          <w:r>
            <w:fldChar w:fldCharType="separate"/>
          </w:r>
          <w:r>
            <w:rPr>
              <w:rFonts w:hint="eastAsia" w:ascii="Arial" w:hAnsi="Arial"/>
            </w:rPr>
            <w:t>4.1.3技术资料供货范围</w:t>
          </w:r>
          <w:r>
            <w:tab/>
          </w:r>
          <w:r>
            <w:fldChar w:fldCharType="begin"/>
          </w:r>
          <w:r>
            <w:instrText xml:space="preserve"> PAGEREF _Toc24186 \h </w:instrText>
          </w:r>
          <w:r>
            <w:fldChar w:fldCharType="separate"/>
          </w:r>
          <w:r>
            <w:t>10</w:t>
          </w:r>
          <w:r>
            <w:fldChar w:fldCharType="end"/>
          </w:r>
          <w:r>
            <w:fldChar w:fldCharType="end"/>
          </w:r>
        </w:p>
        <w:p w14:paraId="25A41D26">
          <w:pPr>
            <w:pStyle w:val="30"/>
            <w:tabs>
              <w:tab w:val="right" w:leader="dot" w:pos="8306"/>
            </w:tabs>
          </w:pPr>
          <w:r>
            <w:fldChar w:fldCharType="begin"/>
          </w:r>
          <w:r>
            <w:instrText xml:space="preserve"> HYPERLINK \l "_Toc14772" </w:instrText>
          </w:r>
          <w:r>
            <w:fldChar w:fldCharType="separate"/>
          </w:r>
          <w:r>
            <w:rPr>
              <w:rFonts w:hint="eastAsia" w:ascii="Arial" w:hAnsi="Arial"/>
            </w:rPr>
            <w:t>4.2供货方式</w:t>
          </w:r>
          <w:r>
            <w:tab/>
          </w:r>
          <w:r>
            <w:fldChar w:fldCharType="begin"/>
          </w:r>
          <w:r>
            <w:instrText xml:space="preserve"> PAGEREF _Toc14772 \h </w:instrText>
          </w:r>
          <w:r>
            <w:fldChar w:fldCharType="separate"/>
          </w:r>
          <w:r>
            <w:t>11</w:t>
          </w:r>
          <w:r>
            <w:fldChar w:fldCharType="end"/>
          </w:r>
          <w:r>
            <w:fldChar w:fldCharType="end"/>
          </w:r>
        </w:p>
        <w:p w14:paraId="0E8A9B05">
          <w:pPr>
            <w:pStyle w:val="16"/>
            <w:tabs>
              <w:tab w:val="right" w:leader="dot" w:pos="8306"/>
            </w:tabs>
          </w:pPr>
          <w:r>
            <w:fldChar w:fldCharType="begin"/>
          </w:r>
          <w:r>
            <w:instrText xml:space="preserve"> HYPERLINK \l "_Toc3860" </w:instrText>
          </w:r>
          <w:r>
            <w:fldChar w:fldCharType="separate"/>
          </w:r>
          <w:r>
            <w:rPr>
              <w:rFonts w:hint="eastAsia" w:ascii="Arial" w:hAnsi="Arial"/>
            </w:rPr>
            <w:t>4.2.1</w:t>
          </w:r>
          <w:r>
            <w:rPr>
              <w:rFonts w:hint="eastAsia"/>
            </w:rPr>
            <w:t>供货地点：</w:t>
          </w:r>
          <w:r>
            <w:tab/>
          </w:r>
          <w:r>
            <w:fldChar w:fldCharType="begin"/>
          </w:r>
          <w:r>
            <w:instrText xml:space="preserve"> PAGEREF _Toc3860 \h </w:instrText>
          </w:r>
          <w:r>
            <w:fldChar w:fldCharType="separate"/>
          </w:r>
          <w:r>
            <w:t>11</w:t>
          </w:r>
          <w:r>
            <w:fldChar w:fldCharType="end"/>
          </w:r>
          <w:r>
            <w:fldChar w:fldCharType="end"/>
          </w:r>
        </w:p>
        <w:p w14:paraId="7C114537">
          <w:pPr>
            <w:pStyle w:val="16"/>
            <w:tabs>
              <w:tab w:val="right" w:leader="dot" w:pos="8306"/>
            </w:tabs>
          </w:pPr>
          <w:r>
            <w:fldChar w:fldCharType="begin"/>
          </w:r>
          <w:r>
            <w:instrText xml:space="preserve"> HYPERLINK \l "_Toc4539" </w:instrText>
          </w:r>
          <w:r>
            <w:fldChar w:fldCharType="separate"/>
          </w:r>
          <w:r>
            <w:rPr>
              <w:rFonts w:hint="eastAsia" w:ascii="Arial" w:hAnsi="Arial"/>
            </w:rPr>
            <w:t>4.2.2供货时间</w:t>
          </w:r>
          <w:r>
            <w:tab/>
          </w:r>
          <w:r>
            <w:fldChar w:fldCharType="begin"/>
          </w:r>
          <w:r>
            <w:instrText xml:space="preserve"> PAGEREF _Toc4539 \h </w:instrText>
          </w:r>
          <w:r>
            <w:fldChar w:fldCharType="separate"/>
          </w:r>
          <w:r>
            <w:t>11</w:t>
          </w:r>
          <w:r>
            <w:fldChar w:fldCharType="end"/>
          </w:r>
          <w:r>
            <w:fldChar w:fldCharType="end"/>
          </w:r>
        </w:p>
        <w:p w14:paraId="2130D6B7">
          <w:pPr>
            <w:pStyle w:val="16"/>
            <w:tabs>
              <w:tab w:val="right" w:leader="dot" w:pos="8306"/>
            </w:tabs>
          </w:pPr>
          <w:r>
            <w:fldChar w:fldCharType="begin"/>
          </w:r>
          <w:r>
            <w:instrText xml:space="preserve"> HYPERLINK \l "_Toc6559" </w:instrText>
          </w:r>
          <w:r>
            <w:fldChar w:fldCharType="separate"/>
          </w:r>
          <w:r>
            <w:rPr>
              <w:rFonts w:hint="eastAsia" w:ascii="Arial" w:hAnsi="Arial"/>
            </w:rPr>
            <w:t>4.2.3质保期及质保要求</w:t>
          </w:r>
          <w:r>
            <w:tab/>
          </w:r>
          <w:r>
            <w:fldChar w:fldCharType="begin"/>
          </w:r>
          <w:r>
            <w:instrText xml:space="preserve"> PAGEREF _Toc6559 \h </w:instrText>
          </w:r>
          <w:r>
            <w:fldChar w:fldCharType="separate"/>
          </w:r>
          <w:r>
            <w:t>11</w:t>
          </w:r>
          <w:r>
            <w:fldChar w:fldCharType="end"/>
          </w:r>
          <w:r>
            <w:fldChar w:fldCharType="end"/>
          </w:r>
        </w:p>
        <w:p w14:paraId="45E7D637">
          <w:pPr>
            <w:pStyle w:val="16"/>
            <w:tabs>
              <w:tab w:val="right" w:leader="dot" w:pos="8306"/>
            </w:tabs>
          </w:pPr>
          <w:r>
            <w:fldChar w:fldCharType="begin"/>
          </w:r>
          <w:r>
            <w:instrText xml:space="preserve"> HYPERLINK \l "_Toc18910" </w:instrText>
          </w:r>
          <w:r>
            <w:fldChar w:fldCharType="separate"/>
          </w:r>
          <w:r>
            <w:rPr>
              <w:rFonts w:hint="eastAsia" w:ascii="Arial" w:hAnsi="Arial"/>
            </w:rPr>
            <w:t>4.2.4包装</w:t>
          </w:r>
          <w:r>
            <w:tab/>
          </w:r>
          <w:r>
            <w:fldChar w:fldCharType="begin"/>
          </w:r>
          <w:r>
            <w:instrText xml:space="preserve"> PAGEREF _Toc18910 \h </w:instrText>
          </w:r>
          <w:r>
            <w:fldChar w:fldCharType="separate"/>
          </w:r>
          <w:r>
            <w:t>12</w:t>
          </w:r>
          <w:r>
            <w:fldChar w:fldCharType="end"/>
          </w:r>
          <w:r>
            <w:fldChar w:fldCharType="end"/>
          </w:r>
        </w:p>
        <w:p w14:paraId="29918831">
          <w:pPr>
            <w:pStyle w:val="16"/>
            <w:tabs>
              <w:tab w:val="right" w:leader="dot" w:pos="8306"/>
            </w:tabs>
          </w:pPr>
          <w:r>
            <w:fldChar w:fldCharType="begin"/>
          </w:r>
          <w:r>
            <w:instrText xml:space="preserve"> HYPERLINK \l "_Toc15120" </w:instrText>
          </w:r>
          <w:r>
            <w:fldChar w:fldCharType="separate"/>
          </w:r>
          <w:r>
            <w:rPr>
              <w:rFonts w:hint="eastAsia" w:ascii="Arial" w:hAnsi="Arial"/>
            </w:rPr>
            <w:t>4.2.5运输</w:t>
          </w:r>
          <w:r>
            <w:tab/>
          </w:r>
          <w:r>
            <w:fldChar w:fldCharType="begin"/>
          </w:r>
          <w:r>
            <w:instrText xml:space="preserve"> PAGEREF _Toc15120 \h </w:instrText>
          </w:r>
          <w:r>
            <w:fldChar w:fldCharType="separate"/>
          </w:r>
          <w:r>
            <w:t>12</w:t>
          </w:r>
          <w:r>
            <w:fldChar w:fldCharType="end"/>
          </w:r>
          <w:r>
            <w:fldChar w:fldCharType="end"/>
          </w:r>
        </w:p>
        <w:p w14:paraId="19F17C87">
          <w:pPr>
            <w:pStyle w:val="24"/>
            <w:tabs>
              <w:tab w:val="right" w:leader="dot" w:pos="8306"/>
            </w:tabs>
          </w:pPr>
          <w:r>
            <w:fldChar w:fldCharType="begin"/>
          </w:r>
          <w:r>
            <w:instrText xml:space="preserve"> HYPERLINK \l "_Toc5274" </w:instrText>
          </w:r>
          <w:r>
            <w:fldChar w:fldCharType="separate"/>
          </w:r>
          <w:r>
            <w:rPr>
              <w:rFonts w:hint="eastAsia"/>
            </w:rPr>
            <w:t>5、售中售后服务</w:t>
          </w:r>
          <w:r>
            <w:tab/>
          </w:r>
          <w:r>
            <w:fldChar w:fldCharType="begin"/>
          </w:r>
          <w:r>
            <w:instrText xml:space="preserve"> PAGEREF _Toc5274 \h </w:instrText>
          </w:r>
          <w:r>
            <w:fldChar w:fldCharType="separate"/>
          </w:r>
          <w:r>
            <w:t>13</w:t>
          </w:r>
          <w:r>
            <w:fldChar w:fldCharType="end"/>
          </w:r>
          <w:r>
            <w:fldChar w:fldCharType="end"/>
          </w:r>
        </w:p>
        <w:p w14:paraId="7BF2B44C">
          <w:pPr>
            <w:pStyle w:val="30"/>
            <w:tabs>
              <w:tab w:val="right" w:leader="dot" w:pos="8306"/>
            </w:tabs>
          </w:pPr>
          <w:r>
            <w:fldChar w:fldCharType="begin"/>
          </w:r>
          <w:r>
            <w:instrText xml:space="preserve"> HYPERLINK \l "_Toc10186" </w:instrText>
          </w:r>
          <w:r>
            <w:fldChar w:fldCharType="separate"/>
          </w:r>
          <w:r>
            <w:rPr>
              <w:rFonts w:hint="eastAsia"/>
            </w:rPr>
            <w:t>5.1技术及培训服务</w:t>
          </w:r>
          <w:r>
            <w:tab/>
          </w:r>
          <w:r>
            <w:fldChar w:fldCharType="begin"/>
          </w:r>
          <w:r>
            <w:instrText xml:space="preserve"> PAGEREF _Toc10186 \h </w:instrText>
          </w:r>
          <w:r>
            <w:fldChar w:fldCharType="separate"/>
          </w:r>
          <w:r>
            <w:t>13</w:t>
          </w:r>
          <w:r>
            <w:fldChar w:fldCharType="end"/>
          </w:r>
          <w:r>
            <w:fldChar w:fldCharType="end"/>
          </w:r>
        </w:p>
        <w:p w14:paraId="0FB9F6DE">
          <w:pPr>
            <w:pStyle w:val="30"/>
            <w:tabs>
              <w:tab w:val="right" w:leader="dot" w:pos="8306"/>
            </w:tabs>
          </w:pPr>
          <w:r>
            <w:fldChar w:fldCharType="begin"/>
          </w:r>
          <w:r>
            <w:instrText xml:space="preserve"> HYPERLINK \l "_Toc22843" </w:instrText>
          </w:r>
          <w:r>
            <w:fldChar w:fldCharType="separate"/>
          </w:r>
          <w:r>
            <w:rPr>
              <w:rFonts w:hint="eastAsia" w:ascii="Arial" w:hAnsi="Arial"/>
            </w:rPr>
            <w:t>5.2安装调试及验收服务</w:t>
          </w:r>
          <w:r>
            <w:tab/>
          </w:r>
          <w:r>
            <w:fldChar w:fldCharType="begin"/>
          </w:r>
          <w:r>
            <w:instrText xml:space="preserve"> PAGEREF _Toc22843 \h </w:instrText>
          </w:r>
          <w:r>
            <w:fldChar w:fldCharType="separate"/>
          </w:r>
          <w:r>
            <w:t>13</w:t>
          </w:r>
          <w:r>
            <w:fldChar w:fldCharType="end"/>
          </w:r>
          <w:r>
            <w:fldChar w:fldCharType="end"/>
          </w:r>
        </w:p>
        <w:p w14:paraId="1428499C">
          <w:pPr>
            <w:pStyle w:val="30"/>
            <w:tabs>
              <w:tab w:val="right" w:leader="dot" w:pos="8306"/>
            </w:tabs>
          </w:pPr>
          <w:r>
            <w:fldChar w:fldCharType="begin"/>
          </w:r>
          <w:r>
            <w:instrText xml:space="preserve"> HYPERLINK \l "_Toc25753" </w:instrText>
          </w:r>
          <w:r>
            <w:fldChar w:fldCharType="separate"/>
          </w:r>
          <w:r>
            <w:rPr>
              <w:rFonts w:hint="eastAsia" w:ascii="Arial" w:hAnsi="Arial"/>
            </w:rPr>
            <w:t>5.3售后服务</w:t>
          </w:r>
          <w:r>
            <w:tab/>
          </w:r>
          <w:r>
            <w:fldChar w:fldCharType="begin"/>
          </w:r>
          <w:r>
            <w:instrText xml:space="preserve"> PAGEREF _Toc25753 \h </w:instrText>
          </w:r>
          <w:r>
            <w:fldChar w:fldCharType="separate"/>
          </w:r>
          <w:r>
            <w:t>14</w:t>
          </w:r>
          <w:r>
            <w:fldChar w:fldCharType="end"/>
          </w:r>
          <w:r>
            <w:fldChar w:fldCharType="end"/>
          </w:r>
        </w:p>
        <w:p w14:paraId="0BD00C63">
          <w:pPr>
            <w:pStyle w:val="30"/>
            <w:tabs>
              <w:tab w:val="right" w:leader="dot" w:pos="8306"/>
            </w:tabs>
          </w:pPr>
          <w:r>
            <w:fldChar w:fldCharType="begin"/>
          </w:r>
          <w:r>
            <w:instrText xml:space="preserve"> HYPERLINK \l "_Toc355" </w:instrText>
          </w:r>
          <w:r>
            <w:fldChar w:fldCharType="separate"/>
          </w:r>
          <w:r>
            <w:rPr>
              <w:rFonts w:hint="eastAsia" w:ascii="Arial" w:hAnsi="Arial"/>
            </w:rPr>
            <w:t>5.4其它服务</w:t>
          </w:r>
          <w:r>
            <w:tab/>
          </w:r>
          <w:r>
            <w:fldChar w:fldCharType="begin"/>
          </w:r>
          <w:r>
            <w:instrText xml:space="preserve"> PAGEREF _Toc355 \h </w:instrText>
          </w:r>
          <w:r>
            <w:fldChar w:fldCharType="separate"/>
          </w:r>
          <w:r>
            <w:t>14</w:t>
          </w:r>
          <w:r>
            <w:fldChar w:fldCharType="end"/>
          </w:r>
          <w:r>
            <w:fldChar w:fldCharType="end"/>
          </w:r>
        </w:p>
        <w:p w14:paraId="183334F2">
          <w:pPr>
            <w:pStyle w:val="24"/>
            <w:tabs>
              <w:tab w:val="right" w:leader="dot" w:pos="8306"/>
            </w:tabs>
          </w:pPr>
          <w:r>
            <w:fldChar w:fldCharType="begin"/>
          </w:r>
          <w:r>
            <w:instrText xml:space="preserve"> HYPERLINK \l "_Toc21641" </w:instrText>
          </w:r>
          <w:r>
            <w:fldChar w:fldCharType="separate"/>
          </w:r>
          <w:r>
            <w:rPr>
              <w:rFonts w:hint="eastAsia"/>
            </w:rPr>
            <w:t>6、预验收和终验收</w:t>
          </w:r>
          <w:r>
            <w:tab/>
          </w:r>
          <w:r>
            <w:fldChar w:fldCharType="begin"/>
          </w:r>
          <w:r>
            <w:instrText xml:space="preserve"> PAGEREF _Toc21641 \h </w:instrText>
          </w:r>
          <w:r>
            <w:fldChar w:fldCharType="separate"/>
          </w:r>
          <w:r>
            <w:t>15</w:t>
          </w:r>
          <w:r>
            <w:fldChar w:fldCharType="end"/>
          </w:r>
          <w:r>
            <w:fldChar w:fldCharType="end"/>
          </w:r>
        </w:p>
        <w:p w14:paraId="77594923">
          <w:pPr>
            <w:pStyle w:val="30"/>
            <w:tabs>
              <w:tab w:val="right" w:leader="dot" w:pos="8306"/>
            </w:tabs>
          </w:pPr>
          <w:r>
            <w:fldChar w:fldCharType="begin"/>
          </w:r>
          <w:r>
            <w:instrText xml:space="preserve"> HYPERLINK \l "_Toc27640" </w:instrText>
          </w:r>
          <w:r>
            <w:fldChar w:fldCharType="separate"/>
          </w:r>
          <w:r>
            <w:rPr>
              <w:rFonts w:hint="eastAsia"/>
            </w:rPr>
            <w:t>6.1验收的一般约定</w:t>
          </w:r>
          <w:r>
            <w:tab/>
          </w:r>
          <w:r>
            <w:fldChar w:fldCharType="begin"/>
          </w:r>
          <w:r>
            <w:instrText xml:space="preserve"> PAGEREF _Toc27640 \h </w:instrText>
          </w:r>
          <w:r>
            <w:fldChar w:fldCharType="separate"/>
          </w:r>
          <w:r>
            <w:t>15</w:t>
          </w:r>
          <w:r>
            <w:fldChar w:fldCharType="end"/>
          </w:r>
          <w:r>
            <w:fldChar w:fldCharType="end"/>
          </w:r>
        </w:p>
        <w:p w14:paraId="50E406AC">
          <w:pPr>
            <w:pStyle w:val="30"/>
            <w:tabs>
              <w:tab w:val="right" w:leader="dot" w:pos="8306"/>
            </w:tabs>
          </w:pPr>
          <w:r>
            <w:fldChar w:fldCharType="begin"/>
          </w:r>
          <w:r>
            <w:instrText xml:space="preserve"> HYPERLINK \l "_Toc2742" </w:instrText>
          </w:r>
          <w:r>
            <w:fldChar w:fldCharType="separate"/>
          </w:r>
          <w:r>
            <w:rPr>
              <w:rFonts w:hint="eastAsia" w:ascii="Arial" w:hAnsi="Arial"/>
            </w:rPr>
            <w:t>6.2检验</w:t>
          </w:r>
          <w:r>
            <w:tab/>
          </w:r>
          <w:r>
            <w:fldChar w:fldCharType="begin"/>
          </w:r>
          <w:r>
            <w:instrText xml:space="preserve"> PAGEREF _Toc2742 \h </w:instrText>
          </w:r>
          <w:r>
            <w:fldChar w:fldCharType="separate"/>
          </w:r>
          <w:r>
            <w:t>15</w:t>
          </w:r>
          <w:r>
            <w:fldChar w:fldCharType="end"/>
          </w:r>
          <w:r>
            <w:fldChar w:fldCharType="end"/>
          </w:r>
        </w:p>
        <w:p w14:paraId="1CD50D99">
          <w:pPr>
            <w:pStyle w:val="30"/>
            <w:tabs>
              <w:tab w:val="right" w:leader="dot" w:pos="8306"/>
            </w:tabs>
          </w:pPr>
          <w:r>
            <w:fldChar w:fldCharType="begin"/>
          </w:r>
          <w:r>
            <w:instrText xml:space="preserve"> HYPERLINK \l "_Toc30798" </w:instrText>
          </w:r>
          <w:r>
            <w:fldChar w:fldCharType="separate"/>
          </w:r>
          <w:r>
            <w:rPr>
              <w:rFonts w:hint="eastAsia" w:ascii="Arial" w:hAnsi="Arial"/>
            </w:rPr>
            <w:t>6.3验收基本条件</w:t>
          </w:r>
          <w:r>
            <w:tab/>
          </w:r>
          <w:r>
            <w:fldChar w:fldCharType="begin"/>
          </w:r>
          <w:r>
            <w:instrText xml:space="preserve"> PAGEREF _Toc30798 \h </w:instrText>
          </w:r>
          <w:r>
            <w:fldChar w:fldCharType="separate"/>
          </w:r>
          <w:r>
            <w:t>15</w:t>
          </w:r>
          <w:r>
            <w:fldChar w:fldCharType="end"/>
          </w:r>
          <w:r>
            <w:fldChar w:fldCharType="end"/>
          </w:r>
        </w:p>
        <w:p w14:paraId="73485127">
          <w:pPr>
            <w:pStyle w:val="24"/>
            <w:tabs>
              <w:tab w:val="right" w:leader="dot" w:pos="8306"/>
            </w:tabs>
          </w:pPr>
          <w:r>
            <w:fldChar w:fldCharType="begin"/>
          </w:r>
          <w:r>
            <w:instrText xml:space="preserve"> HYPERLINK \l "_Toc10043" </w:instrText>
          </w:r>
          <w:r>
            <w:fldChar w:fldCharType="separate"/>
          </w:r>
          <w:r>
            <w:rPr>
              <w:rFonts w:hint="eastAsia"/>
            </w:rPr>
            <w:t>7、投标技术文件一般要求</w:t>
          </w:r>
          <w:r>
            <w:tab/>
          </w:r>
          <w:r>
            <w:fldChar w:fldCharType="begin"/>
          </w:r>
          <w:r>
            <w:instrText xml:space="preserve"> PAGEREF _Toc10043 \h </w:instrText>
          </w:r>
          <w:r>
            <w:fldChar w:fldCharType="separate"/>
          </w:r>
          <w:r>
            <w:t>17</w:t>
          </w:r>
          <w:r>
            <w:fldChar w:fldCharType="end"/>
          </w:r>
          <w:r>
            <w:fldChar w:fldCharType="end"/>
          </w:r>
        </w:p>
        <w:p w14:paraId="6A76008F">
          <w:pPr>
            <w:pStyle w:val="30"/>
            <w:tabs>
              <w:tab w:val="right" w:leader="dot" w:pos="8306"/>
            </w:tabs>
          </w:pPr>
          <w:r>
            <w:fldChar w:fldCharType="begin"/>
          </w:r>
          <w:r>
            <w:instrText xml:space="preserve"> HYPERLINK \l "_Toc29638" </w:instrText>
          </w:r>
          <w:r>
            <w:fldChar w:fldCharType="separate"/>
          </w:r>
          <w:r>
            <w:rPr>
              <w:rFonts w:hint="eastAsia"/>
            </w:rPr>
            <w:t>7.1技术文件一般内容要求</w:t>
          </w:r>
          <w:r>
            <w:tab/>
          </w:r>
          <w:r>
            <w:fldChar w:fldCharType="begin"/>
          </w:r>
          <w:r>
            <w:instrText xml:space="preserve"> PAGEREF _Toc29638 \h </w:instrText>
          </w:r>
          <w:r>
            <w:fldChar w:fldCharType="separate"/>
          </w:r>
          <w:r>
            <w:t>17</w:t>
          </w:r>
          <w:r>
            <w:fldChar w:fldCharType="end"/>
          </w:r>
          <w:r>
            <w:fldChar w:fldCharType="end"/>
          </w:r>
        </w:p>
        <w:p w14:paraId="31FC0D16">
          <w:pPr>
            <w:pStyle w:val="30"/>
            <w:tabs>
              <w:tab w:val="right" w:leader="dot" w:pos="8306"/>
            </w:tabs>
          </w:pPr>
          <w:r>
            <w:fldChar w:fldCharType="begin"/>
          </w:r>
          <w:r>
            <w:instrText xml:space="preserve"> HYPERLINK \l "_Toc229" </w:instrText>
          </w:r>
          <w:r>
            <w:fldChar w:fldCharType="separate"/>
          </w:r>
          <w:r>
            <w:rPr>
              <w:rFonts w:hint="eastAsia" w:ascii="Arial" w:hAnsi="Arial"/>
            </w:rPr>
            <w:t>7.2技术文件中设备报价格式要求</w:t>
          </w:r>
          <w:r>
            <w:tab/>
          </w:r>
          <w:r>
            <w:fldChar w:fldCharType="begin"/>
          </w:r>
          <w:r>
            <w:instrText xml:space="preserve"> PAGEREF _Toc229 \h </w:instrText>
          </w:r>
          <w:r>
            <w:fldChar w:fldCharType="separate"/>
          </w:r>
          <w:r>
            <w:t>18</w:t>
          </w:r>
          <w:r>
            <w:fldChar w:fldCharType="end"/>
          </w:r>
          <w:r>
            <w:fldChar w:fldCharType="end"/>
          </w:r>
        </w:p>
        <w:p w14:paraId="2BBFC3E8">
          <w:pPr>
            <w:pStyle w:val="30"/>
            <w:tabs>
              <w:tab w:val="right" w:leader="dot" w:pos="8306"/>
            </w:tabs>
          </w:pPr>
          <w:r>
            <w:fldChar w:fldCharType="begin"/>
          </w:r>
          <w:r>
            <w:instrText xml:space="preserve"> HYPERLINK \l "_Toc17718" </w:instrText>
          </w:r>
          <w:r>
            <w:fldChar w:fldCharType="separate"/>
          </w:r>
          <w:r>
            <w:rPr>
              <w:rFonts w:hint="eastAsia" w:ascii="Arial" w:hAnsi="Arial"/>
            </w:rPr>
            <w:t>7.3验收标准及内容要求</w:t>
          </w:r>
          <w:r>
            <w:tab/>
          </w:r>
          <w:r>
            <w:fldChar w:fldCharType="begin"/>
          </w:r>
          <w:r>
            <w:instrText xml:space="preserve"> PAGEREF _Toc17718 \h </w:instrText>
          </w:r>
          <w:r>
            <w:fldChar w:fldCharType="separate"/>
          </w:r>
          <w:r>
            <w:t>18</w:t>
          </w:r>
          <w:r>
            <w:fldChar w:fldCharType="end"/>
          </w:r>
          <w:r>
            <w:fldChar w:fldCharType="end"/>
          </w:r>
        </w:p>
        <w:p w14:paraId="2B8E2BD5">
          <w:pPr>
            <w:pStyle w:val="24"/>
            <w:tabs>
              <w:tab w:val="right" w:leader="dot" w:pos="8306"/>
            </w:tabs>
          </w:pPr>
          <w:r>
            <w:fldChar w:fldCharType="begin"/>
          </w:r>
          <w:r>
            <w:instrText xml:space="preserve"> HYPERLINK \l "_Toc10599" </w:instrText>
          </w:r>
          <w:r>
            <w:fldChar w:fldCharType="separate"/>
          </w:r>
          <w:r>
            <w:rPr>
              <w:rFonts w:hint="eastAsia"/>
            </w:rPr>
            <w:t>8、其它要求及说明</w:t>
          </w:r>
          <w:r>
            <w:tab/>
          </w:r>
          <w:r>
            <w:fldChar w:fldCharType="begin"/>
          </w:r>
          <w:r>
            <w:instrText xml:space="preserve"> PAGEREF _Toc10599 \h </w:instrText>
          </w:r>
          <w:r>
            <w:fldChar w:fldCharType="separate"/>
          </w:r>
          <w:r>
            <w:t>19</w:t>
          </w:r>
          <w:r>
            <w:fldChar w:fldCharType="end"/>
          </w:r>
          <w:r>
            <w:fldChar w:fldCharType="end"/>
          </w:r>
        </w:p>
        <w:p w14:paraId="588CF67B">
          <w:pPr>
            <w:pStyle w:val="30"/>
            <w:tabs>
              <w:tab w:val="right" w:leader="dot" w:pos="8306"/>
            </w:tabs>
          </w:pPr>
          <w:r>
            <w:fldChar w:fldCharType="begin"/>
          </w:r>
          <w:r>
            <w:instrText xml:space="preserve"> HYPERLINK \l "_Toc19677" </w:instrText>
          </w:r>
          <w:r>
            <w:fldChar w:fldCharType="separate"/>
          </w:r>
          <w:r>
            <w:rPr>
              <w:rFonts w:hint="eastAsia" w:ascii="Arial" w:hAnsi="Arial"/>
            </w:rPr>
            <w:t>8.1</w:t>
          </w:r>
          <w:r>
            <w:rPr>
              <w:rFonts w:hint="eastAsia"/>
            </w:rPr>
            <w:t>要求</w:t>
          </w:r>
          <w:r>
            <w:tab/>
          </w:r>
          <w:r>
            <w:fldChar w:fldCharType="begin"/>
          </w:r>
          <w:r>
            <w:instrText xml:space="preserve"> PAGEREF _Toc19677 \h </w:instrText>
          </w:r>
          <w:r>
            <w:fldChar w:fldCharType="separate"/>
          </w:r>
          <w:r>
            <w:t>19</w:t>
          </w:r>
          <w:r>
            <w:fldChar w:fldCharType="end"/>
          </w:r>
          <w:r>
            <w:fldChar w:fldCharType="end"/>
          </w:r>
        </w:p>
        <w:p w14:paraId="41D73B34">
          <w:pPr>
            <w:pStyle w:val="30"/>
            <w:tabs>
              <w:tab w:val="right" w:leader="dot" w:pos="8306"/>
            </w:tabs>
          </w:pPr>
          <w:r>
            <w:fldChar w:fldCharType="begin"/>
          </w:r>
          <w:r>
            <w:instrText xml:space="preserve"> HYPERLINK \l "_Toc2062" </w:instrText>
          </w:r>
          <w:r>
            <w:fldChar w:fldCharType="separate"/>
          </w:r>
          <w:r>
            <w:rPr>
              <w:rFonts w:hint="eastAsia" w:ascii="Arial" w:hAnsi="Arial"/>
            </w:rPr>
            <w:t>8.2说明</w:t>
          </w:r>
          <w:r>
            <w:tab/>
          </w:r>
          <w:r>
            <w:fldChar w:fldCharType="begin"/>
          </w:r>
          <w:r>
            <w:instrText xml:space="preserve"> PAGEREF _Toc2062 \h </w:instrText>
          </w:r>
          <w:r>
            <w:fldChar w:fldCharType="separate"/>
          </w:r>
          <w:r>
            <w:t>20</w:t>
          </w:r>
          <w:r>
            <w:fldChar w:fldCharType="end"/>
          </w:r>
          <w:r>
            <w:fldChar w:fldCharType="end"/>
          </w:r>
        </w:p>
        <w:p w14:paraId="7B84A55D">
          <w:pPr>
            <w:ind w:firstLine="420" w:firstLineChars="200"/>
          </w:pPr>
          <w:r>
            <w:rPr>
              <w:bCs/>
              <w:lang w:val="zh-CN"/>
            </w:rPr>
            <w:fldChar w:fldCharType="end"/>
          </w:r>
        </w:p>
      </w:sdtContent>
    </w:sdt>
    <w:p w14:paraId="71DF1E1A">
      <w:pPr>
        <w:widowControl/>
        <w:jc w:val="left"/>
      </w:pPr>
      <w:bookmarkStart w:id="117" w:name="_Toc7543466"/>
      <w:bookmarkStart w:id="118" w:name="_Toc13061"/>
      <w:r>
        <w:rPr>
          <w:rFonts w:hint="eastAsia"/>
        </w:rPr>
        <w:t>1、总则</w:t>
      </w:r>
      <w:bookmarkEnd w:id="117"/>
      <w:bookmarkEnd w:id="118"/>
    </w:p>
    <w:p w14:paraId="1792B698">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中国重汽集团济南商用车有限公司（以下简称买方）委托投标方承接“</w:t>
      </w:r>
      <w:r>
        <w:rPr>
          <w:rFonts w:hint="eastAsia" w:ascii="宋体" w:hAnsi="宋体" w:eastAsia="宋体"/>
          <w:sz w:val="23"/>
          <w:szCs w:val="23"/>
          <w:lang w:val="en-US" w:eastAsia="zh-CN"/>
        </w:rPr>
        <w:t>双悬臂</w:t>
      </w:r>
      <w:r>
        <w:rPr>
          <w:rFonts w:hint="eastAsia" w:ascii="宋体" w:hAnsi="宋体" w:eastAsia="宋体"/>
          <w:sz w:val="23"/>
          <w:szCs w:val="23"/>
        </w:rPr>
        <w:t>三坐标仪测量软件升级项目”的采购、安装、调试、培训及质保服务等项目全过程工作。</w:t>
      </w:r>
    </w:p>
    <w:p w14:paraId="7273B577">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1.1该工程为交钥匙工程,投标方须对全部工程的完备性和安全可靠性负责，投标方承担的工作内容包含但不限于文件中的内容，对文件中没有载明，但实际证明是确保本项目投产运行、确保通过各方验收所必须的设计、采购、施工及相关服务等内容，所产生的相关费用由投标方承担。</w:t>
      </w:r>
    </w:p>
    <w:p w14:paraId="5C0584AC">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1.2本技术部分并未对一切技术细节做出规定,也未充分引述有关标准和规范的条文,投标方应提供符合本技术部分和工业标准的优质产品。</w:t>
      </w:r>
    </w:p>
    <w:p w14:paraId="5ABFB0CB">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1.3本工程的技术规格及技术标准，必须采用相关产品的国家标准及行业标准，当相关标准互相冲突时，以高一级的标准为准，所有这些采用的标准必须是有关机构发布的最新版本的标准。</w:t>
      </w:r>
    </w:p>
    <w:p w14:paraId="06EE54AF">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1.4本工程必须符合国家相关的环保与安全标准。</w:t>
      </w:r>
    </w:p>
    <w:p w14:paraId="19201638">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1.5投标方不得以任何型式转包该项目。</w:t>
      </w:r>
    </w:p>
    <w:p w14:paraId="7F010F13">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1.6投标方因项目开发需要将项目中的部分内容分包，最终的分包商必须得到买方的认可，且只能是一次分包。</w:t>
      </w:r>
    </w:p>
    <w:p w14:paraId="77B77E98">
      <w:pPr>
        <w:pStyle w:val="2"/>
        <w:numPr>
          <w:ilvl w:val="0"/>
          <w:numId w:val="0"/>
        </w:numPr>
        <w:jc w:val="center"/>
        <w:rPr>
          <w:sz w:val="29"/>
          <w:szCs w:val="29"/>
        </w:rPr>
      </w:pPr>
      <w:r>
        <w:br w:type="page"/>
      </w:r>
      <w:bookmarkStart w:id="119" w:name="_Toc7543467"/>
      <w:bookmarkStart w:id="120" w:name="_Toc1339"/>
      <w:r>
        <w:rPr>
          <w:rFonts w:hint="eastAsia"/>
        </w:rPr>
        <w:t>2、项目要求</w:t>
      </w:r>
      <w:bookmarkEnd w:id="119"/>
      <w:bookmarkEnd w:id="120"/>
    </w:p>
    <w:p w14:paraId="55808674">
      <w:pPr>
        <w:pStyle w:val="3"/>
        <w:numPr>
          <w:ilvl w:val="1"/>
          <w:numId w:val="0"/>
        </w:numPr>
        <w:tabs>
          <w:tab w:val="left" w:pos="4111"/>
        </w:tabs>
      </w:pPr>
      <w:bookmarkStart w:id="121" w:name="_Toc10174"/>
      <w:bookmarkStart w:id="122" w:name="_Toc7543470"/>
      <w:r>
        <w:rPr>
          <w:rFonts w:hint="eastAsia"/>
        </w:rPr>
        <w:t>2.1项目概况</w:t>
      </w:r>
      <w:bookmarkEnd w:id="121"/>
      <w:bookmarkEnd w:id="122"/>
    </w:p>
    <w:p w14:paraId="3EB2E615">
      <w:pPr>
        <w:spacing w:line="440" w:lineRule="exact"/>
        <w:ind w:firstLine="460" w:firstLineChars="200"/>
        <w:jc w:val="left"/>
        <w:rPr>
          <w:rFonts w:hint="eastAsia" w:ascii="宋体" w:hAnsi="宋体" w:eastAsia="宋体"/>
          <w:color w:val="auto"/>
          <w:sz w:val="23"/>
          <w:szCs w:val="23"/>
        </w:rPr>
      </w:pPr>
      <w:r>
        <w:rPr>
          <w:rFonts w:hint="eastAsia" w:ascii="宋体" w:hAnsi="宋体" w:eastAsia="宋体"/>
          <w:color w:val="auto"/>
          <w:sz w:val="23"/>
          <w:szCs w:val="23"/>
        </w:rPr>
        <w:t>本项目为中国重汽集团济南商用车有限公司</w:t>
      </w:r>
      <w:r>
        <w:rPr>
          <w:rFonts w:hint="eastAsia" w:ascii="宋体" w:hAnsi="宋体" w:eastAsia="宋体"/>
          <w:color w:val="auto"/>
          <w:sz w:val="23"/>
          <w:szCs w:val="23"/>
          <w:lang w:val="en-US" w:eastAsia="zh-CN"/>
        </w:rPr>
        <w:t>双悬臂</w:t>
      </w:r>
      <w:r>
        <w:rPr>
          <w:rFonts w:hint="eastAsia" w:ascii="宋体" w:hAnsi="宋体" w:eastAsia="宋体"/>
          <w:color w:val="auto"/>
          <w:sz w:val="23"/>
          <w:szCs w:val="23"/>
        </w:rPr>
        <w:t>三坐标</w:t>
      </w:r>
      <w:r>
        <w:rPr>
          <w:rFonts w:hint="eastAsia" w:ascii="宋体" w:hAnsi="宋体" w:eastAsia="宋体"/>
          <w:color w:val="auto"/>
          <w:sz w:val="23"/>
          <w:szCs w:val="23"/>
          <w:lang w:val="en-US" w:eastAsia="zh-CN"/>
        </w:rPr>
        <w:t>测量机</w:t>
      </w:r>
      <w:r>
        <w:rPr>
          <w:rFonts w:hint="eastAsia" w:ascii="宋体" w:hAnsi="宋体" w:eastAsia="宋体"/>
          <w:color w:val="auto"/>
          <w:sz w:val="23"/>
          <w:szCs w:val="23"/>
        </w:rPr>
        <w:t>测量软件</w:t>
      </w:r>
      <w:r>
        <w:rPr>
          <w:rFonts w:hint="eastAsia" w:ascii="宋体" w:hAnsi="宋体" w:eastAsia="宋体"/>
          <w:color w:val="auto"/>
          <w:sz w:val="23"/>
          <w:szCs w:val="23"/>
          <w:lang w:val="en-US" w:eastAsia="zh-CN"/>
        </w:rPr>
        <w:t>系统及主机</w:t>
      </w:r>
      <w:r>
        <w:rPr>
          <w:rFonts w:hint="eastAsia" w:ascii="宋体" w:hAnsi="宋体" w:eastAsia="宋体"/>
          <w:color w:val="auto"/>
          <w:sz w:val="23"/>
          <w:szCs w:val="23"/>
        </w:rPr>
        <w:t>升级项目。</w:t>
      </w:r>
    </w:p>
    <w:p w14:paraId="3A040FA2">
      <w:pPr>
        <w:pStyle w:val="3"/>
        <w:numPr>
          <w:ilvl w:val="1"/>
          <w:numId w:val="0"/>
        </w:numPr>
        <w:tabs>
          <w:tab w:val="left" w:pos="4111"/>
        </w:tabs>
      </w:pPr>
      <w:bookmarkStart w:id="123" w:name="_Toc7543471"/>
      <w:bookmarkStart w:id="124" w:name="_Toc4595"/>
      <w:r>
        <w:rPr>
          <w:rFonts w:hint="eastAsia"/>
        </w:rPr>
        <w:t>2.2</w:t>
      </w:r>
      <w:bookmarkEnd w:id="123"/>
      <w:r>
        <w:rPr>
          <w:rFonts w:hint="eastAsia"/>
        </w:rPr>
        <w:t>项目地点</w:t>
      </w:r>
      <w:bookmarkEnd w:id="124"/>
    </w:p>
    <w:p w14:paraId="48D89B09">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本项目设备安装于中国重汽集团济南商用车有限公司车身部焊装二车间。</w:t>
      </w:r>
    </w:p>
    <w:p w14:paraId="38C0724D">
      <w:pPr>
        <w:pStyle w:val="3"/>
        <w:numPr>
          <w:ilvl w:val="1"/>
          <w:numId w:val="0"/>
        </w:numPr>
        <w:tabs>
          <w:tab w:val="left" w:pos="4111"/>
        </w:tabs>
      </w:pPr>
      <w:bookmarkStart w:id="125" w:name="_Toc7543472"/>
      <w:bookmarkStart w:id="126" w:name="_Toc18053"/>
      <w:r>
        <w:rPr>
          <w:rFonts w:hint="eastAsia"/>
        </w:rPr>
        <w:t>2.3公用动力及气候资料</w:t>
      </w:r>
      <w:bookmarkEnd w:id="125"/>
      <w:bookmarkEnd w:id="126"/>
    </w:p>
    <w:p w14:paraId="4D8044D3">
      <w:pPr>
        <w:spacing w:line="440" w:lineRule="exact"/>
        <w:jc w:val="left"/>
        <w:rPr>
          <w:rFonts w:hint="eastAsia" w:ascii="宋体" w:hAnsi="宋体" w:eastAsia="宋体"/>
          <w:sz w:val="23"/>
          <w:szCs w:val="23"/>
        </w:rPr>
      </w:pPr>
      <w:bookmarkStart w:id="127" w:name="_Toc7543473"/>
      <w:r>
        <w:rPr>
          <w:rFonts w:hint="eastAsia" w:ascii="宋体" w:hAnsi="宋体" w:eastAsia="宋体"/>
          <w:sz w:val="23"/>
          <w:szCs w:val="23"/>
        </w:rPr>
        <w:t>使用地点区域自然环境：</w:t>
      </w:r>
    </w:p>
    <w:p w14:paraId="50051F5F">
      <w:pPr>
        <w:pStyle w:val="127"/>
        <w:widowControl/>
        <w:numPr>
          <w:ilvl w:val="0"/>
          <w:numId w:val="11"/>
        </w:numPr>
        <w:spacing w:line="440" w:lineRule="exact"/>
        <w:ind w:firstLineChars="0"/>
        <w:contextualSpacing/>
        <w:jc w:val="left"/>
        <w:rPr>
          <w:rFonts w:ascii="Times New Roman" w:hAnsi="Times New Roman" w:eastAsia="宋体" w:cs="Times New Roman"/>
          <w:sz w:val="23"/>
          <w:szCs w:val="23"/>
        </w:rPr>
      </w:pPr>
      <w:r>
        <w:rPr>
          <w:rFonts w:hint="eastAsia" w:ascii="宋体" w:hAnsi="宋体" w:eastAsia="宋体" w:cs="Times New Roman"/>
          <w:sz w:val="23"/>
          <w:szCs w:val="23"/>
        </w:rPr>
        <w:t>三相交流电：</w:t>
      </w:r>
      <w:r>
        <w:rPr>
          <w:rFonts w:ascii="Times New Roman" w:hAnsi="Times New Roman" w:eastAsia="宋体" w:cs="Times New Roman"/>
          <w:sz w:val="23"/>
          <w:szCs w:val="23"/>
        </w:rPr>
        <w:t>380V±15%</w:t>
      </w:r>
      <w:r>
        <w:rPr>
          <w:rFonts w:ascii="Times New Roman" w:hAnsi="宋体" w:eastAsia="宋体" w:cs="Times New Roman"/>
          <w:sz w:val="23"/>
          <w:szCs w:val="23"/>
        </w:rPr>
        <w:t>，</w:t>
      </w:r>
      <w:r>
        <w:rPr>
          <w:rFonts w:ascii="Times New Roman" w:hAnsi="Times New Roman" w:eastAsia="宋体" w:cs="Times New Roman"/>
          <w:sz w:val="23"/>
          <w:szCs w:val="23"/>
        </w:rPr>
        <w:t>50Hz±1%</w:t>
      </w:r>
    </w:p>
    <w:p w14:paraId="6F916F61">
      <w:pPr>
        <w:pStyle w:val="127"/>
        <w:widowControl/>
        <w:numPr>
          <w:ilvl w:val="0"/>
          <w:numId w:val="11"/>
        </w:numPr>
        <w:spacing w:line="440" w:lineRule="exact"/>
        <w:ind w:firstLineChars="0"/>
        <w:contextualSpacing/>
        <w:jc w:val="left"/>
        <w:rPr>
          <w:rFonts w:ascii="Times New Roman" w:hAnsi="Times New Roman" w:eastAsia="宋体" w:cs="Times New Roman"/>
          <w:sz w:val="23"/>
          <w:szCs w:val="23"/>
        </w:rPr>
      </w:pPr>
      <w:r>
        <w:rPr>
          <w:rFonts w:hint="eastAsia" w:ascii="宋体" w:hAnsi="宋体" w:eastAsia="宋体" w:cs="Times New Roman"/>
          <w:sz w:val="23"/>
          <w:szCs w:val="23"/>
        </w:rPr>
        <w:t>单相交流电：</w:t>
      </w:r>
      <w:r>
        <w:rPr>
          <w:rFonts w:hint="eastAsia" w:ascii="Times New Roman" w:hAnsi="Times New Roman" w:eastAsia="宋体" w:cs="Times New Roman"/>
          <w:sz w:val="23"/>
          <w:szCs w:val="23"/>
        </w:rPr>
        <w:t>220V</w:t>
      </w:r>
      <w:r>
        <w:rPr>
          <w:rFonts w:ascii="Times New Roman" w:hAnsi="Times New Roman" w:eastAsia="宋体" w:cs="Times New Roman"/>
          <w:sz w:val="23"/>
          <w:szCs w:val="23"/>
        </w:rPr>
        <w:t>±1</w:t>
      </w:r>
      <w:r>
        <w:rPr>
          <w:rFonts w:hint="eastAsia" w:ascii="Times New Roman" w:hAnsi="Times New Roman" w:eastAsia="宋体" w:cs="Times New Roman"/>
          <w:sz w:val="23"/>
          <w:szCs w:val="23"/>
        </w:rPr>
        <w:t>5</w:t>
      </w:r>
      <w:r>
        <w:rPr>
          <w:rFonts w:ascii="Times New Roman" w:hAnsi="Times New Roman" w:eastAsia="宋体" w:cs="Times New Roman"/>
          <w:sz w:val="23"/>
          <w:szCs w:val="23"/>
        </w:rPr>
        <w:t>%，50Hz±</w:t>
      </w:r>
      <w:r>
        <w:rPr>
          <w:rFonts w:hint="eastAsia" w:ascii="Times New Roman" w:hAnsi="Times New Roman" w:eastAsia="宋体" w:cs="Times New Roman"/>
          <w:sz w:val="23"/>
          <w:szCs w:val="23"/>
        </w:rPr>
        <w:t>1</w:t>
      </w:r>
      <w:r>
        <w:rPr>
          <w:rFonts w:ascii="Times New Roman" w:hAnsi="Times New Roman" w:eastAsia="宋体" w:cs="Times New Roman"/>
          <w:sz w:val="23"/>
          <w:szCs w:val="23"/>
        </w:rPr>
        <w:t>%</w:t>
      </w:r>
    </w:p>
    <w:p w14:paraId="396ABD59">
      <w:pPr>
        <w:pStyle w:val="127"/>
        <w:widowControl/>
        <w:numPr>
          <w:ilvl w:val="0"/>
          <w:numId w:val="11"/>
        </w:numPr>
        <w:spacing w:line="440" w:lineRule="exact"/>
        <w:ind w:firstLineChars="0"/>
        <w:contextualSpacing/>
        <w:jc w:val="left"/>
        <w:rPr>
          <w:rFonts w:ascii="Times New Roman" w:hAnsi="Times New Roman" w:eastAsia="宋体" w:cs="Times New Roman"/>
          <w:sz w:val="23"/>
          <w:szCs w:val="23"/>
        </w:rPr>
      </w:pPr>
      <w:r>
        <w:rPr>
          <w:rFonts w:ascii="宋体" w:hAnsi="宋体" w:eastAsia="宋体" w:cs="Times New Roman"/>
          <w:sz w:val="23"/>
          <w:szCs w:val="23"/>
        </w:rPr>
        <w:t>压缩空气压力：</w:t>
      </w:r>
      <w:r>
        <w:rPr>
          <w:rFonts w:ascii="Times New Roman" w:hAnsi="Times New Roman" w:eastAsia="宋体" w:cs="Times New Roman"/>
          <w:sz w:val="23"/>
          <w:szCs w:val="23"/>
        </w:rPr>
        <w:t>0.4~0.</w:t>
      </w:r>
      <w:r>
        <w:rPr>
          <w:rFonts w:hint="eastAsia" w:ascii="Times New Roman" w:hAnsi="Times New Roman" w:eastAsia="宋体" w:cs="Times New Roman"/>
          <w:sz w:val="23"/>
          <w:szCs w:val="23"/>
        </w:rPr>
        <w:t>7</w:t>
      </w:r>
      <w:r>
        <w:rPr>
          <w:rFonts w:ascii="Times New Roman" w:hAnsi="Times New Roman" w:eastAsia="宋体" w:cs="Times New Roman"/>
          <w:sz w:val="23"/>
          <w:szCs w:val="23"/>
        </w:rPr>
        <w:t>Mpa</w:t>
      </w:r>
    </w:p>
    <w:p w14:paraId="4EEEC264">
      <w:pPr>
        <w:pStyle w:val="127"/>
        <w:widowControl/>
        <w:numPr>
          <w:ilvl w:val="0"/>
          <w:numId w:val="11"/>
        </w:numPr>
        <w:spacing w:line="440" w:lineRule="exact"/>
        <w:ind w:firstLineChars="0"/>
        <w:contextualSpacing/>
        <w:jc w:val="left"/>
        <w:rPr>
          <w:rFonts w:ascii="Times New Roman" w:hAnsi="Times New Roman" w:eastAsia="宋体" w:cs="Times New Roman"/>
          <w:sz w:val="23"/>
          <w:szCs w:val="23"/>
        </w:rPr>
      </w:pPr>
      <w:r>
        <w:rPr>
          <w:rFonts w:hint="eastAsia" w:ascii="宋体" w:hAnsi="宋体" w:eastAsia="宋体" w:cs="Times New Roman"/>
          <w:sz w:val="23"/>
          <w:szCs w:val="23"/>
        </w:rPr>
        <w:t>冷却水温度：</w:t>
      </w:r>
      <w:r>
        <w:rPr>
          <w:rFonts w:hint="eastAsia" w:ascii="Times New Roman" w:hAnsi="Times New Roman" w:eastAsia="宋体" w:cs="Times New Roman"/>
          <w:sz w:val="23"/>
          <w:szCs w:val="23"/>
        </w:rPr>
        <w:t>＜3</w:t>
      </w:r>
      <w:r>
        <w:rPr>
          <w:rFonts w:ascii="Times New Roman" w:hAnsi="Times New Roman" w:eastAsia="宋体" w:cs="Times New Roman"/>
          <w:sz w:val="23"/>
          <w:szCs w:val="23"/>
        </w:rPr>
        <w:t>2</w:t>
      </w:r>
      <w:r>
        <w:rPr>
          <w:rFonts w:hint="eastAsia" w:ascii="Times New Roman" w:hAnsi="Times New Roman" w:eastAsia="宋体" w:cs="Times New Roman"/>
          <w:sz w:val="23"/>
          <w:szCs w:val="23"/>
        </w:rPr>
        <w:t>℃</w:t>
      </w:r>
    </w:p>
    <w:p w14:paraId="38A465F9">
      <w:pPr>
        <w:pStyle w:val="127"/>
        <w:widowControl/>
        <w:numPr>
          <w:ilvl w:val="0"/>
          <w:numId w:val="11"/>
        </w:numPr>
        <w:spacing w:line="440" w:lineRule="exact"/>
        <w:ind w:firstLineChars="0"/>
        <w:contextualSpacing/>
        <w:jc w:val="left"/>
        <w:rPr>
          <w:rFonts w:ascii="Times New Roman" w:hAnsi="Times New Roman" w:eastAsia="宋体" w:cs="Times New Roman"/>
          <w:sz w:val="23"/>
          <w:szCs w:val="23"/>
        </w:rPr>
      </w:pPr>
      <w:r>
        <w:rPr>
          <w:rFonts w:hint="eastAsia" w:ascii="宋体" w:hAnsi="宋体" w:eastAsia="宋体" w:cs="Times New Roman"/>
          <w:sz w:val="23"/>
          <w:szCs w:val="23"/>
        </w:rPr>
        <w:t>冷却水压力：入口压力</w:t>
      </w:r>
      <w:r>
        <w:rPr>
          <w:rFonts w:ascii="Times New Roman" w:hAnsi="Times New Roman" w:eastAsia="宋体" w:cs="Times New Roman"/>
          <w:sz w:val="23"/>
          <w:szCs w:val="23"/>
        </w:rPr>
        <w:t>0.3-0.4MPa</w:t>
      </w:r>
    </w:p>
    <w:p w14:paraId="09C8AF1B">
      <w:pPr>
        <w:pStyle w:val="127"/>
        <w:widowControl/>
        <w:numPr>
          <w:ilvl w:val="0"/>
          <w:numId w:val="11"/>
        </w:numPr>
        <w:spacing w:line="440" w:lineRule="exact"/>
        <w:ind w:firstLineChars="0"/>
        <w:contextualSpacing/>
        <w:jc w:val="left"/>
        <w:rPr>
          <w:rFonts w:hint="eastAsia" w:ascii="宋体" w:hAnsi="宋体" w:eastAsia="宋体" w:cs="Times New Roman"/>
          <w:sz w:val="23"/>
          <w:szCs w:val="23"/>
        </w:rPr>
      </w:pPr>
      <w:r>
        <w:rPr>
          <w:rFonts w:hint="eastAsia" w:ascii="宋体" w:hAnsi="宋体" w:eastAsia="宋体" w:cs="Times New Roman"/>
          <w:sz w:val="23"/>
          <w:szCs w:val="23"/>
        </w:rPr>
        <w:t>海拔高度：4000m以下</w:t>
      </w:r>
    </w:p>
    <w:p w14:paraId="3CCB689A">
      <w:pPr>
        <w:pStyle w:val="127"/>
        <w:widowControl/>
        <w:numPr>
          <w:ilvl w:val="0"/>
          <w:numId w:val="11"/>
        </w:numPr>
        <w:spacing w:line="440" w:lineRule="exact"/>
        <w:ind w:firstLineChars="0"/>
        <w:contextualSpacing/>
        <w:jc w:val="left"/>
        <w:rPr>
          <w:rFonts w:hint="eastAsia" w:ascii="宋体" w:hAnsi="宋体" w:eastAsia="宋体" w:cs="Times New Roman"/>
          <w:sz w:val="23"/>
          <w:szCs w:val="23"/>
        </w:rPr>
      </w:pPr>
      <w:r>
        <w:rPr>
          <w:rFonts w:hint="eastAsia" w:ascii="宋体" w:hAnsi="宋体" w:eastAsia="宋体" w:cs="Times New Roman"/>
          <w:sz w:val="23"/>
          <w:szCs w:val="23"/>
        </w:rPr>
        <w:t>环境温度：极端最低温度-12℃、极端最高温度45℃。</w:t>
      </w:r>
    </w:p>
    <w:p w14:paraId="536D59A4">
      <w:pPr>
        <w:pStyle w:val="127"/>
        <w:widowControl/>
        <w:numPr>
          <w:ilvl w:val="0"/>
          <w:numId w:val="11"/>
        </w:numPr>
        <w:spacing w:line="440" w:lineRule="exact"/>
        <w:ind w:firstLineChars="0"/>
        <w:contextualSpacing/>
        <w:jc w:val="left"/>
        <w:rPr>
          <w:rFonts w:hint="eastAsia" w:ascii="宋体" w:hAnsi="宋体" w:eastAsia="宋体" w:cs="Times New Roman"/>
          <w:sz w:val="23"/>
          <w:szCs w:val="23"/>
        </w:rPr>
      </w:pPr>
      <w:r>
        <w:rPr>
          <w:rFonts w:hint="eastAsia" w:ascii="宋体" w:hAnsi="宋体" w:eastAsia="宋体" w:cs="Times New Roman"/>
          <w:sz w:val="23"/>
          <w:szCs w:val="23"/>
        </w:rPr>
        <w:t>相对湿度：最大95%、最小15%。</w:t>
      </w:r>
    </w:p>
    <w:p w14:paraId="2D0871DA">
      <w:pPr>
        <w:pStyle w:val="3"/>
        <w:numPr>
          <w:ilvl w:val="1"/>
          <w:numId w:val="0"/>
        </w:numPr>
      </w:pPr>
      <w:bookmarkStart w:id="128" w:name="_Toc7543476"/>
      <w:bookmarkStart w:id="129" w:name="_Toc193805379"/>
      <w:r>
        <w:rPr>
          <w:rFonts w:hint="eastAsia"/>
        </w:rPr>
        <w:t>2.4时间计划</w:t>
      </w:r>
      <w:bookmarkEnd w:id="128"/>
      <w:bookmarkEnd w:id="129"/>
    </w:p>
    <w:p w14:paraId="3804769D">
      <w:pPr>
        <w:widowControl/>
        <w:spacing w:line="440" w:lineRule="exact"/>
        <w:ind w:firstLine="460" w:firstLineChars="200"/>
        <w:contextualSpacing/>
        <w:jc w:val="left"/>
        <w:rPr>
          <w:rFonts w:ascii="Times New Roman" w:hAnsi="Times New Roman" w:eastAsia="宋体"/>
          <w:sz w:val="23"/>
          <w:szCs w:val="23"/>
        </w:rPr>
      </w:pPr>
      <w:r>
        <w:rPr>
          <w:rFonts w:hint="eastAsia" w:ascii="Times New Roman" w:hAnsi="Times New Roman" w:eastAsia="宋体"/>
          <w:sz w:val="23"/>
          <w:szCs w:val="23"/>
        </w:rPr>
        <w:t>2.4.1项目关键节点如下表所示，投标方必须满足整个项目时间计划，按照节点完成本项目。</w:t>
      </w:r>
    </w:p>
    <w:tbl>
      <w:tblPr>
        <w:tblStyle w:val="37"/>
        <w:tblW w:w="907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3559"/>
        <w:gridCol w:w="2253"/>
        <w:gridCol w:w="2409"/>
      </w:tblGrid>
      <w:tr w14:paraId="1DC01B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851" w:type="dxa"/>
          </w:tcPr>
          <w:p w14:paraId="1E472447">
            <w:pPr>
              <w:jc w:val="center"/>
              <w:rPr>
                <w:sz w:val="20"/>
                <w:szCs w:val="20"/>
              </w:rPr>
            </w:pPr>
            <w:r>
              <w:rPr>
                <w:rFonts w:hint="eastAsia"/>
                <w:sz w:val="20"/>
                <w:szCs w:val="20"/>
              </w:rPr>
              <w:t>NO.</w:t>
            </w:r>
          </w:p>
        </w:tc>
        <w:tc>
          <w:tcPr>
            <w:tcW w:w="3559" w:type="dxa"/>
            <w:vAlign w:val="center"/>
          </w:tcPr>
          <w:p w14:paraId="2A4776F6">
            <w:pPr>
              <w:jc w:val="center"/>
              <w:rPr>
                <w:sz w:val="20"/>
                <w:szCs w:val="20"/>
              </w:rPr>
            </w:pPr>
            <w:r>
              <w:rPr>
                <w:sz w:val="20"/>
                <w:szCs w:val="20"/>
              </w:rPr>
              <w:t>任务名称</w:t>
            </w:r>
          </w:p>
        </w:tc>
        <w:tc>
          <w:tcPr>
            <w:tcW w:w="2253" w:type="dxa"/>
            <w:vAlign w:val="center"/>
          </w:tcPr>
          <w:p w14:paraId="12AB7391">
            <w:pPr>
              <w:jc w:val="center"/>
              <w:rPr>
                <w:sz w:val="20"/>
                <w:szCs w:val="20"/>
              </w:rPr>
            </w:pPr>
            <w:r>
              <w:rPr>
                <w:rFonts w:hint="eastAsia"/>
                <w:sz w:val="20"/>
                <w:szCs w:val="20"/>
              </w:rPr>
              <w:t>计划完成</w:t>
            </w:r>
            <w:r>
              <w:rPr>
                <w:sz w:val="20"/>
                <w:szCs w:val="20"/>
              </w:rPr>
              <w:t>时间</w:t>
            </w:r>
          </w:p>
        </w:tc>
        <w:tc>
          <w:tcPr>
            <w:tcW w:w="2409" w:type="dxa"/>
            <w:vAlign w:val="center"/>
          </w:tcPr>
          <w:p w14:paraId="567D3DFE">
            <w:pPr>
              <w:ind w:firstLine="200" w:firstLineChars="100"/>
              <w:jc w:val="center"/>
              <w:rPr>
                <w:sz w:val="20"/>
                <w:szCs w:val="20"/>
              </w:rPr>
            </w:pPr>
            <w:r>
              <w:rPr>
                <w:sz w:val="20"/>
                <w:szCs w:val="20"/>
              </w:rPr>
              <w:t>备注</w:t>
            </w:r>
          </w:p>
        </w:tc>
      </w:tr>
      <w:tr w14:paraId="229D5A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851" w:type="dxa"/>
            <w:vAlign w:val="center"/>
          </w:tcPr>
          <w:p w14:paraId="6DEEE297">
            <w:pPr>
              <w:jc w:val="center"/>
              <w:rPr>
                <w:sz w:val="20"/>
                <w:szCs w:val="20"/>
              </w:rPr>
            </w:pPr>
            <w:r>
              <w:rPr>
                <w:rFonts w:hint="eastAsia"/>
                <w:sz w:val="20"/>
                <w:szCs w:val="20"/>
              </w:rPr>
              <w:t>1</w:t>
            </w:r>
          </w:p>
        </w:tc>
        <w:tc>
          <w:tcPr>
            <w:tcW w:w="3559" w:type="dxa"/>
            <w:vAlign w:val="center"/>
          </w:tcPr>
          <w:p w14:paraId="0077B54B">
            <w:pPr>
              <w:jc w:val="center"/>
              <w:rPr>
                <w:sz w:val="20"/>
                <w:szCs w:val="20"/>
              </w:rPr>
            </w:pPr>
            <w:r>
              <w:rPr>
                <w:rFonts w:hint="eastAsia"/>
                <w:sz w:val="20"/>
                <w:szCs w:val="20"/>
              </w:rPr>
              <w:t>合同签订</w:t>
            </w:r>
          </w:p>
        </w:tc>
        <w:tc>
          <w:tcPr>
            <w:tcW w:w="2253" w:type="dxa"/>
            <w:vAlign w:val="center"/>
          </w:tcPr>
          <w:p w14:paraId="0B72AA3C">
            <w:pPr>
              <w:jc w:val="center"/>
              <w:rPr>
                <w:rFonts w:hint="default" w:eastAsia="微软雅黑"/>
                <w:sz w:val="20"/>
                <w:szCs w:val="20"/>
                <w:highlight w:val="yellow"/>
                <w:lang w:val="en-US" w:eastAsia="zh-CN"/>
              </w:rPr>
            </w:pPr>
            <w:r>
              <w:rPr>
                <w:sz w:val="20"/>
                <w:szCs w:val="20"/>
                <w:highlight w:val="yellow"/>
              </w:rPr>
              <w:t>202</w:t>
            </w:r>
            <w:r>
              <w:rPr>
                <w:rFonts w:hint="eastAsia"/>
                <w:sz w:val="20"/>
                <w:szCs w:val="20"/>
                <w:highlight w:val="yellow"/>
              </w:rPr>
              <w:t>6</w:t>
            </w:r>
            <w:r>
              <w:rPr>
                <w:sz w:val="20"/>
                <w:szCs w:val="20"/>
                <w:highlight w:val="yellow"/>
              </w:rPr>
              <w:t>.</w:t>
            </w:r>
            <w:r>
              <w:rPr>
                <w:rFonts w:hint="eastAsia"/>
                <w:sz w:val="20"/>
                <w:szCs w:val="20"/>
                <w:highlight w:val="yellow"/>
                <w:lang w:val="en-US" w:eastAsia="zh-CN"/>
              </w:rPr>
              <w:t>10</w:t>
            </w:r>
          </w:p>
        </w:tc>
        <w:tc>
          <w:tcPr>
            <w:tcW w:w="2409" w:type="dxa"/>
            <w:vAlign w:val="center"/>
          </w:tcPr>
          <w:p w14:paraId="48F964D0">
            <w:pPr>
              <w:rPr>
                <w:sz w:val="20"/>
                <w:szCs w:val="20"/>
              </w:rPr>
            </w:pPr>
          </w:p>
        </w:tc>
      </w:tr>
      <w:tr w14:paraId="4732D6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851" w:type="dxa"/>
            <w:vAlign w:val="center"/>
          </w:tcPr>
          <w:p w14:paraId="09A82420">
            <w:pPr>
              <w:jc w:val="center"/>
              <w:rPr>
                <w:sz w:val="20"/>
                <w:szCs w:val="20"/>
              </w:rPr>
            </w:pPr>
            <w:r>
              <w:rPr>
                <w:rFonts w:hint="eastAsia"/>
                <w:sz w:val="20"/>
                <w:szCs w:val="20"/>
              </w:rPr>
              <w:t>2</w:t>
            </w:r>
          </w:p>
        </w:tc>
        <w:tc>
          <w:tcPr>
            <w:tcW w:w="3559" w:type="dxa"/>
            <w:vAlign w:val="center"/>
          </w:tcPr>
          <w:p w14:paraId="127EA2FD">
            <w:pPr>
              <w:jc w:val="center"/>
              <w:rPr>
                <w:sz w:val="20"/>
                <w:szCs w:val="20"/>
              </w:rPr>
            </w:pPr>
            <w:r>
              <w:rPr>
                <w:rFonts w:hint="eastAsia"/>
                <w:sz w:val="20"/>
                <w:szCs w:val="20"/>
              </w:rPr>
              <w:t>设备制造及到货</w:t>
            </w:r>
          </w:p>
        </w:tc>
        <w:tc>
          <w:tcPr>
            <w:tcW w:w="2253" w:type="dxa"/>
            <w:vAlign w:val="center"/>
          </w:tcPr>
          <w:p w14:paraId="1F3F82B4">
            <w:pPr>
              <w:jc w:val="center"/>
              <w:rPr>
                <w:rFonts w:hint="default" w:eastAsia="微软雅黑"/>
                <w:sz w:val="20"/>
                <w:szCs w:val="20"/>
                <w:highlight w:val="yellow"/>
                <w:lang w:val="en-US" w:eastAsia="zh-CN"/>
              </w:rPr>
            </w:pPr>
            <w:r>
              <w:rPr>
                <w:rFonts w:hint="eastAsia"/>
                <w:sz w:val="20"/>
                <w:szCs w:val="20"/>
                <w:highlight w:val="yellow"/>
              </w:rPr>
              <w:t>20</w:t>
            </w:r>
            <w:r>
              <w:rPr>
                <w:sz w:val="20"/>
                <w:szCs w:val="20"/>
                <w:highlight w:val="yellow"/>
              </w:rPr>
              <w:t>2</w:t>
            </w:r>
            <w:r>
              <w:rPr>
                <w:rFonts w:hint="eastAsia"/>
                <w:sz w:val="20"/>
                <w:szCs w:val="20"/>
                <w:highlight w:val="yellow"/>
              </w:rPr>
              <w:t>5.</w:t>
            </w:r>
            <w:r>
              <w:rPr>
                <w:rFonts w:hint="eastAsia"/>
                <w:sz w:val="20"/>
                <w:szCs w:val="20"/>
                <w:highlight w:val="yellow"/>
                <w:lang w:val="en-US" w:eastAsia="zh-CN"/>
              </w:rPr>
              <w:t>10</w:t>
            </w:r>
          </w:p>
        </w:tc>
        <w:tc>
          <w:tcPr>
            <w:tcW w:w="2409" w:type="dxa"/>
            <w:vAlign w:val="center"/>
          </w:tcPr>
          <w:p w14:paraId="6285EF1B">
            <w:pPr>
              <w:rPr>
                <w:sz w:val="20"/>
                <w:szCs w:val="20"/>
              </w:rPr>
            </w:pPr>
          </w:p>
        </w:tc>
      </w:tr>
      <w:tr w14:paraId="52BE64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851" w:type="dxa"/>
            <w:vAlign w:val="center"/>
          </w:tcPr>
          <w:p w14:paraId="044C3728">
            <w:pPr>
              <w:jc w:val="center"/>
              <w:rPr>
                <w:sz w:val="20"/>
                <w:szCs w:val="20"/>
              </w:rPr>
            </w:pPr>
            <w:r>
              <w:rPr>
                <w:rFonts w:hint="eastAsia"/>
                <w:sz w:val="20"/>
                <w:szCs w:val="20"/>
              </w:rPr>
              <w:t>3</w:t>
            </w:r>
          </w:p>
        </w:tc>
        <w:tc>
          <w:tcPr>
            <w:tcW w:w="3559" w:type="dxa"/>
            <w:vAlign w:val="center"/>
          </w:tcPr>
          <w:p w14:paraId="7AECA43D">
            <w:pPr>
              <w:jc w:val="center"/>
              <w:rPr>
                <w:sz w:val="20"/>
                <w:szCs w:val="20"/>
              </w:rPr>
            </w:pPr>
            <w:r>
              <w:rPr>
                <w:rFonts w:hint="eastAsia"/>
                <w:sz w:val="20"/>
                <w:szCs w:val="20"/>
              </w:rPr>
              <w:t>现场安装调试</w:t>
            </w:r>
          </w:p>
        </w:tc>
        <w:tc>
          <w:tcPr>
            <w:tcW w:w="2253" w:type="dxa"/>
            <w:vAlign w:val="center"/>
          </w:tcPr>
          <w:p w14:paraId="6365A687">
            <w:pPr>
              <w:jc w:val="center"/>
              <w:rPr>
                <w:rFonts w:hint="eastAsia" w:eastAsia="微软雅黑"/>
                <w:sz w:val="20"/>
                <w:szCs w:val="20"/>
                <w:highlight w:val="yellow"/>
                <w:lang w:eastAsia="zh-CN"/>
              </w:rPr>
            </w:pPr>
            <w:r>
              <w:rPr>
                <w:rFonts w:hint="eastAsia"/>
                <w:sz w:val="20"/>
                <w:szCs w:val="20"/>
                <w:highlight w:val="yellow"/>
              </w:rPr>
              <w:t>20</w:t>
            </w:r>
            <w:r>
              <w:rPr>
                <w:sz w:val="20"/>
                <w:szCs w:val="20"/>
                <w:highlight w:val="yellow"/>
              </w:rPr>
              <w:t>2</w:t>
            </w:r>
            <w:r>
              <w:rPr>
                <w:rFonts w:hint="eastAsia"/>
                <w:sz w:val="20"/>
                <w:szCs w:val="20"/>
                <w:highlight w:val="yellow"/>
              </w:rPr>
              <w:t>5</w:t>
            </w:r>
            <w:r>
              <w:rPr>
                <w:sz w:val="20"/>
                <w:szCs w:val="20"/>
                <w:highlight w:val="yellow"/>
              </w:rPr>
              <w:t>.</w:t>
            </w:r>
            <w:r>
              <w:rPr>
                <w:rFonts w:hint="eastAsia"/>
                <w:sz w:val="20"/>
                <w:szCs w:val="20"/>
                <w:highlight w:val="yellow"/>
              </w:rPr>
              <w:t>1</w:t>
            </w:r>
            <w:r>
              <w:rPr>
                <w:rFonts w:hint="eastAsia"/>
                <w:sz w:val="20"/>
                <w:szCs w:val="20"/>
                <w:highlight w:val="yellow"/>
                <w:lang w:val="en-US" w:eastAsia="zh-CN"/>
              </w:rPr>
              <w:t>1</w:t>
            </w:r>
          </w:p>
        </w:tc>
        <w:tc>
          <w:tcPr>
            <w:tcW w:w="2409" w:type="dxa"/>
            <w:vAlign w:val="center"/>
          </w:tcPr>
          <w:p w14:paraId="4DB27850">
            <w:pPr>
              <w:rPr>
                <w:sz w:val="20"/>
                <w:szCs w:val="20"/>
              </w:rPr>
            </w:pPr>
          </w:p>
        </w:tc>
      </w:tr>
      <w:tr w14:paraId="07BEB0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851" w:type="dxa"/>
            <w:vAlign w:val="center"/>
          </w:tcPr>
          <w:p w14:paraId="6D2D570C">
            <w:pPr>
              <w:jc w:val="center"/>
              <w:rPr>
                <w:sz w:val="20"/>
                <w:szCs w:val="20"/>
              </w:rPr>
            </w:pPr>
            <w:r>
              <w:rPr>
                <w:rFonts w:hint="eastAsia"/>
                <w:sz w:val="20"/>
                <w:szCs w:val="20"/>
              </w:rPr>
              <w:t>4</w:t>
            </w:r>
          </w:p>
        </w:tc>
        <w:tc>
          <w:tcPr>
            <w:tcW w:w="3559" w:type="dxa"/>
            <w:vAlign w:val="center"/>
          </w:tcPr>
          <w:p w14:paraId="7F715400">
            <w:pPr>
              <w:jc w:val="cente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验收</w:t>
            </w:r>
          </w:p>
        </w:tc>
        <w:tc>
          <w:tcPr>
            <w:tcW w:w="2253" w:type="dxa"/>
            <w:vAlign w:val="center"/>
          </w:tcPr>
          <w:p w14:paraId="39B092E4">
            <w:pPr>
              <w:jc w:val="cente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20</w:t>
            </w:r>
            <w:r>
              <w:rPr>
                <w:color w:val="000000" w:themeColor="text1"/>
                <w:sz w:val="20"/>
                <w:szCs w:val="20"/>
                <w14:textFill>
                  <w14:solidFill>
                    <w14:schemeClr w14:val="tx1"/>
                  </w14:solidFill>
                </w14:textFill>
              </w:rPr>
              <w:t>2</w:t>
            </w:r>
            <w:r>
              <w:rPr>
                <w:rFonts w:hint="eastAsia"/>
                <w:color w:val="000000" w:themeColor="text1"/>
                <w:sz w:val="20"/>
                <w:szCs w:val="20"/>
                <w14:textFill>
                  <w14:solidFill>
                    <w14:schemeClr w14:val="tx1"/>
                  </w14:solidFill>
                </w14:textFill>
              </w:rPr>
              <w:t>6</w:t>
            </w:r>
            <w:r>
              <w:rPr>
                <w:color w:val="000000" w:themeColor="text1"/>
                <w:sz w:val="20"/>
                <w:szCs w:val="20"/>
                <w14:textFill>
                  <w14:solidFill>
                    <w14:schemeClr w14:val="tx1"/>
                  </w14:solidFill>
                </w14:textFill>
              </w:rPr>
              <w:t>.</w:t>
            </w:r>
            <w:r>
              <w:rPr>
                <w:rFonts w:hint="eastAsia"/>
                <w:color w:val="000000" w:themeColor="text1"/>
                <w:sz w:val="20"/>
                <w:szCs w:val="20"/>
                <w14:textFill>
                  <w14:solidFill>
                    <w14:schemeClr w14:val="tx1"/>
                  </w14:solidFill>
                </w14:textFill>
              </w:rPr>
              <w:t>11</w:t>
            </w:r>
          </w:p>
        </w:tc>
        <w:tc>
          <w:tcPr>
            <w:tcW w:w="2409" w:type="dxa"/>
            <w:vAlign w:val="center"/>
          </w:tcPr>
          <w:p w14:paraId="45FFF74A">
            <w:pPr>
              <w:rPr>
                <w:color w:val="FF0000"/>
                <w:sz w:val="20"/>
                <w:szCs w:val="20"/>
              </w:rPr>
            </w:pPr>
          </w:p>
        </w:tc>
      </w:tr>
      <w:bookmarkEnd w:id="127"/>
    </w:tbl>
    <w:p w14:paraId="2A67D38F">
      <w:pPr>
        <w:pStyle w:val="3"/>
        <w:numPr>
          <w:ilvl w:val="1"/>
          <w:numId w:val="0"/>
        </w:numPr>
      </w:pPr>
      <w:bookmarkStart w:id="130" w:name="_Toc193805380"/>
      <w:bookmarkStart w:id="131" w:name="_Toc7543477"/>
      <w:bookmarkStart w:id="132" w:name="_Toc7543484"/>
      <w:bookmarkStart w:id="133" w:name="_Toc21994"/>
      <w:r>
        <w:rPr>
          <w:rFonts w:hint="eastAsia"/>
        </w:rPr>
        <w:t>2.5供货范围</w:t>
      </w:r>
      <w:bookmarkEnd w:id="130"/>
      <w:bookmarkEnd w:id="131"/>
    </w:p>
    <w:p w14:paraId="6C2BCC9E">
      <w:pPr>
        <w:widowControl/>
        <w:overflowPunct w:val="0"/>
        <w:autoSpaceDE w:val="0"/>
        <w:autoSpaceDN w:val="0"/>
        <w:adjustRightInd w:val="0"/>
        <w:spacing w:before="4" w:after="4" w:line="440" w:lineRule="exact"/>
        <w:ind w:firstLine="462" w:firstLineChars="200"/>
        <w:jc w:val="left"/>
        <w:textAlignment w:val="baseline"/>
        <w:rPr>
          <w:rFonts w:ascii="Times New Roman" w:hAnsi="Times New Roman" w:eastAsia="宋体"/>
          <w:b/>
          <w:sz w:val="23"/>
          <w:szCs w:val="23"/>
        </w:rPr>
      </w:pPr>
      <w:r>
        <w:rPr>
          <w:rFonts w:hint="eastAsia" w:ascii="Times New Roman" w:hAnsi="Times New Roman" w:eastAsia="宋体"/>
          <w:b/>
          <w:sz w:val="23"/>
          <w:szCs w:val="23"/>
        </w:rPr>
        <w:t>2.5.1供货范围</w:t>
      </w:r>
    </w:p>
    <w:p w14:paraId="6755C806">
      <w:pPr>
        <w:spacing w:line="440" w:lineRule="exact"/>
        <w:ind w:firstLine="460" w:firstLineChars="200"/>
        <w:jc w:val="left"/>
        <w:rPr>
          <w:rFonts w:ascii="Times New Roman" w:hAnsi="Times New Roman" w:eastAsia="宋体"/>
          <w:sz w:val="23"/>
          <w:szCs w:val="23"/>
        </w:rPr>
      </w:pPr>
      <w:r>
        <w:rPr>
          <w:rFonts w:hint="eastAsia" w:ascii="Times New Roman" w:hAnsi="Times New Roman" w:eastAsia="宋体"/>
          <w:sz w:val="23"/>
          <w:szCs w:val="23"/>
        </w:rPr>
        <w:t>本项目内容如下表所示：</w:t>
      </w:r>
    </w:p>
    <w:tbl>
      <w:tblPr>
        <w:tblStyle w:val="38"/>
        <w:tblW w:w="0" w:type="auto"/>
        <w:tblInd w:w="357"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2034"/>
        <w:gridCol w:w="855"/>
        <w:gridCol w:w="4337"/>
      </w:tblGrid>
      <w:tr w14:paraId="455EE2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trPr>
        <w:tc>
          <w:tcPr>
            <w:tcW w:w="723" w:type="dxa"/>
            <w:vAlign w:val="center"/>
          </w:tcPr>
          <w:p w14:paraId="60E78D7B">
            <w:pPr>
              <w:jc w:val="center"/>
              <w:rPr>
                <w:b/>
                <w:bCs/>
                <w:sz w:val="20"/>
                <w:szCs w:val="20"/>
              </w:rPr>
            </w:pPr>
            <w:r>
              <w:rPr>
                <w:rFonts w:hint="eastAsia"/>
                <w:b/>
                <w:bCs/>
                <w:sz w:val="20"/>
                <w:szCs w:val="20"/>
              </w:rPr>
              <w:t>No.</w:t>
            </w:r>
          </w:p>
        </w:tc>
        <w:tc>
          <w:tcPr>
            <w:tcW w:w="2034" w:type="dxa"/>
            <w:vAlign w:val="center"/>
          </w:tcPr>
          <w:p w14:paraId="2E2B98D4">
            <w:pPr>
              <w:jc w:val="center"/>
              <w:rPr>
                <w:b/>
                <w:bCs/>
                <w:sz w:val="20"/>
                <w:szCs w:val="20"/>
              </w:rPr>
            </w:pPr>
            <w:r>
              <w:rPr>
                <w:rFonts w:hint="eastAsia"/>
                <w:b/>
                <w:bCs/>
                <w:sz w:val="20"/>
                <w:szCs w:val="20"/>
              </w:rPr>
              <w:t>项目内容</w:t>
            </w:r>
          </w:p>
        </w:tc>
        <w:tc>
          <w:tcPr>
            <w:tcW w:w="855" w:type="dxa"/>
            <w:vAlign w:val="center"/>
          </w:tcPr>
          <w:p w14:paraId="5992BB21">
            <w:pPr>
              <w:jc w:val="center"/>
              <w:rPr>
                <w:b/>
                <w:bCs/>
                <w:sz w:val="20"/>
                <w:szCs w:val="20"/>
              </w:rPr>
            </w:pPr>
            <w:r>
              <w:rPr>
                <w:rFonts w:hint="eastAsia"/>
                <w:b/>
                <w:bCs/>
                <w:sz w:val="20"/>
                <w:szCs w:val="20"/>
              </w:rPr>
              <w:t>数量</w:t>
            </w:r>
          </w:p>
        </w:tc>
        <w:tc>
          <w:tcPr>
            <w:tcW w:w="4337" w:type="dxa"/>
            <w:vAlign w:val="center"/>
          </w:tcPr>
          <w:p w14:paraId="6D21D114">
            <w:pPr>
              <w:jc w:val="center"/>
              <w:rPr>
                <w:b/>
                <w:bCs/>
                <w:sz w:val="20"/>
                <w:szCs w:val="20"/>
              </w:rPr>
            </w:pPr>
            <w:r>
              <w:rPr>
                <w:rFonts w:hint="eastAsia"/>
                <w:b/>
                <w:bCs/>
                <w:sz w:val="20"/>
                <w:szCs w:val="20"/>
              </w:rPr>
              <w:t>备注</w:t>
            </w:r>
          </w:p>
        </w:tc>
      </w:tr>
      <w:tr w14:paraId="0DC24C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723" w:type="dxa"/>
            <w:vAlign w:val="center"/>
          </w:tcPr>
          <w:p w14:paraId="641B9AED">
            <w:pPr>
              <w:jc w:val="center"/>
              <w:rPr>
                <w:sz w:val="20"/>
                <w:szCs w:val="20"/>
              </w:rPr>
            </w:pPr>
            <w:r>
              <w:rPr>
                <w:rFonts w:hint="eastAsia"/>
                <w:sz w:val="20"/>
                <w:szCs w:val="20"/>
              </w:rPr>
              <w:t>1</w:t>
            </w:r>
          </w:p>
        </w:tc>
        <w:tc>
          <w:tcPr>
            <w:tcW w:w="2034" w:type="dxa"/>
            <w:vAlign w:val="center"/>
          </w:tcPr>
          <w:p w14:paraId="12136DD6">
            <w:pPr>
              <w:jc w:val="center"/>
              <w:rPr>
                <w:rFonts w:hint="eastAsia" w:eastAsia="微软雅黑"/>
                <w:sz w:val="20"/>
                <w:szCs w:val="20"/>
                <w:lang w:val="en-US" w:eastAsia="zh-CN"/>
              </w:rPr>
            </w:pPr>
            <w:r>
              <w:rPr>
                <w:rFonts w:hint="eastAsia"/>
                <w:sz w:val="20"/>
                <w:szCs w:val="20"/>
                <w:lang w:val="en-US" w:eastAsia="zh-CN"/>
              </w:rPr>
              <w:t>测量</w:t>
            </w:r>
            <w:r>
              <w:rPr>
                <w:rFonts w:hint="eastAsia"/>
                <w:sz w:val="20"/>
                <w:szCs w:val="20"/>
              </w:rPr>
              <w:t>软件升级</w:t>
            </w:r>
          </w:p>
        </w:tc>
        <w:tc>
          <w:tcPr>
            <w:tcW w:w="855" w:type="dxa"/>
            <w:vAlign w:val="center"/>
          </w:tcPr>
          <w:p w14:paraId="0E696843">
            <w:pPr>
              <w:jc w:val="center"/>
              <w:rPr>
                <w:sz w:val="20"/>
                <w:szCs w:val="20"/>
              </w:rPr>
            </w:pPr>
            <w:r>
              <w:rPr>
                <w:rFonts w:hint="eastAsia"/>
                <w:sz w:val="20"/>
                <w:szCs w:val="20"/>
              </w:rPr>
              <w:t>1</w:t>
            </w:r>
          </w:p>
        </w:tc>
        <w:tc>
          <w:tcPr>
            <w:tcW w:w="4337" w:type="dxa"/>
            <w:vAlign w:val="center"/>
          </w:tcPr>
          <w:p w14:paraId="7CD18AAF">
            <w:pPr>
              <w:jc w:val="left"/>
              <w:rPr>
                <w:rFonts w:hint="eastAsia" w:eastAsia="微软雅黑"/>
                <w:sz w:val="20"/>
                <w:szCs w:val="20"/>
                <w:lang w:val="en-US" w:eastAsia="zh-CN"/>
              </w:rPr>
            </w:pPr>
            <w:r>
              <w:rPr>
                <w:rFonts w:hint="eastAsia"/>
                <w:sz w:val="20"/>
                <w:szCs w:val="20"/>
              </w:rPr>
              <w:t>包含</w:t>
            </w:r>
            <w:r>
              <w:rPr>
                <w:rFonts w:hint="eastAsia"/>
                <w:sz w:val="20"/>
                <w:szCs w:val="20"/>
                <w:lang w:val="en-US" w:eastAsia="zh-CN"/>
              </w:rPr>
              <w:t>CAPPS-DMIS或Rational-DIMS正版</w:t>
            </w:r>
            <w:r>
              <w:rPr>
                <w:rFonts w:hint="eastAsia"/>
                <w:sz w:val="20"/>
                <w:szCs w:val="20"/>
              </w:rPr>
              <w:t>软</w:t>
            </w:r>
            <w:r>
              <w:rPr>
                <w:rFonts w:hint="eastAsia"/>
                <w:sz w:val="20"/>
                <w:szCs w:val="20"/>
                <w:lang w:val="en-US" w:eastAsia="zh-CN"/>
              </w:rPr>
              <w:t>件授权</w:t>
            </w:r>
            <w:r>
              <w:rPr>
                <w:rFonts w:hint="eastAsia"/>
                <w:color w:val="auto"/>
                <w:sz w:val="20"/>
                <w:szCs w:val="20"/>
                <w:lang w:val="en-US" w:eastAsia="zh-CN"/>
              </w:rPr>
              <w:t>2</w:t>
            </w:r>
            <w:r>
              <w:rPr>
                <w:rFonts w:hint="eastAsia"/>
                <w:sz w:val="20"/>
                <w:szCs w:val="20"/>
                <w:lang w:val="en-US" w:eastAsia="zh-CN"/>
              </w:rPr>
              <w:t>套（主从机），</w:t>
            </w:r>
            <w:r>
              <w:rPr>
                <w:rFonts w:hint="eastAsia"/>
                <w:sz w:val="20"/>
                <w:szCs w:val="20"/>
              </w:rPr>
              <w:t>配套</w:t>
            </w:r>
            <w:r>
              <w:rPr>
                <w:rFonts w:hint="eastAsia"/>
                <w:color w:val="auto"/>
                <w:sz w:val="20"/>
                <w:szCs w:val="20"/>
                <w:lang w:val="en-US" w:eastAsia="zh-CN"/>
              </w:rPr>
              <w:t>2台全新</w:t>
            </w:r>
            <w:r>
              <w:rPr>
                <w:rFonts w:hint="eastAsia"/>
                <w:sz w:val="20"/>
                <w:szCs w:val="20"/>
                <w:lang w:val="en-US" w:eastAsia="zh-CN"/>
              </w:rPr>
              <w:t>台式电脑主机</w:t>
            </w:r>
            <w:r>
              <w:rPr>
                <w:rFonts w:hint="eastAsia"/>
                <w:sz w:val="20"/>
                <w:szCs w:val="20"/>
                <w:lang w:eastAsia="zh-CN"/>
              </w:rPr>
              <w:t>。</w:t>
            </w:r>
          </w:p>
        </w:tc>
      </w:tr>
      <w:tr w14:paraId="2F7E04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23" w:type="dxa"/>
            <w:vAlign w:val="center"/>
          </w:tcPr>
          <w:p w14:paraId="5A7B8982">
            <w:pPr>
              <w:jc w:val="center"/>
              <w:rPr>
                <w:rFonts w:hint="eastAsia" w:eastAsia="微软雅黑"/>
                <w:sz w:val="20"/>
                <w:szCs w:val="20"/>
                <w:lang w:val="en-US" w:eastAsia="zh-CN"/>
              </w:rPr>
            </w:pPr>
            <w:r>
              <w:rPr>
                <w:rFonts w:hint="eastAsia"/>
                <w:sz w:val="20"/>
                <w:szCs w:val="20"/>
                <w:lang w:val="en-US" w:eastAsia="zh-CN"/>
              </w:rPr>
              <w:t>2</w:t>
            </w:r>
          </w:p>
        </w:tc>
        <w:tc>
          <w:tcPr>
            <w:tcW w:w="2034" w:type="dxa"/>
            <w:vAlign w:val="center"/>
          </w:tcPr>
          <w:p w14:paraId="1ACD3BFB">
            <w:pPr>
              <w:jc w:val="center"/>
              <w:rPr>
                <w:rFonts w:hint="eastAsia" w:eastAsia="微软雅黑"/>
                <w:sz w:val="20"/>
                <w:szCs w:val="20"/>
                <w:lang w:val="en-US" w:eastAsia="zh-CN"/>
              </w:rPr>
            </w:pPr>
            <w:r>
              <w:rPr>
                <w:rFonts w:hint="eastAsia"/>
                <w:sz w:val="20"/>
                <w:szCs w:val="20"/>
                <w:lang w:val="en-US" w:eastAsia="zh-CN"/>
              </w:rPr>
              <w:t>双悬臂工控机</w:t>
            </w:r>
          </w:p>
        </w:tc>
        <w:tc>
          <w:tcPr>
            <w:tcW w:w="855" w:type="dxa"/>
            <w:vAlign w:val="center"/>
          </w:tcPr>
          <w:p w14:paraId="6C6EAE0B">
            <w:pPr>
              <w:jc w:val="center"/>
              <w:rPr>
                <w:rFonts w:hint="eastAsia" w:eastAsia="微软雅黑"/>
                <w:sz w:val="20"/>
                <w:szCs w:val="20"/>
                <w:lang w:val="en-US" w:eastAsia="zh-CN"/>
              </w:rPr>
            </w:pPr>
            <w:r>
              <w:rPr>
                <w:rFonts w:hint="eastAsia"/>
                <w:sz w:val="20"/>
                <w:szCs w:val="20"/>
                <w:lang w:val="en-US" w:eastAsia="zh-CN"/>
              </w:rPr>
              <w:t>2</w:t>
            </w:r>
          </w:p>
        </w:tc>
        <w:tc>
          <w:tcPr>
            <w:tcW w:w="4337" w:type="dxa"/>
            <w:vAlign w:val="center"/>
          </w:tcPr>
          <w:p w14:paraId="53F9EFD8">
            <w:pPr>
              <w:jc w:val="left"/>
              <w:rPr>
                <w:rFonts w:hint="default" w:eastAsia="微软雅黑"/>
                <w:sz w:val="20"/>
                <w:szCs w:val="20"/>
                <w:lang w:val="en-US" w:eastAsia="zh-CN"/>
              </w:rPr>
            </w:pPr>
            <w:r>
              <w:rPr>
                <w:rFonts w:hint="eastAsia"/>
                <w:sz w:val="20"/>
                <w:szCs w:val="20"/>
                <w:lang w:val="en-US" w:eastAsia="zh-CN"/>
              </w:rPr>
              <w:t>配置要求见3.3.1</w:t>
            </w:r>
          </w:p>
        </w:tc>
      </w:tr>
    </w:tbl>
    <w:p w14:paraId="71F1CDF0">
      <w:pPr>
        <w:spacing w:line="440" w:lineRule="exact"/>
        <w:ind w:firstLine="460" w:firstLineChars="200"/>
        <w:jc w:val="left"/>
        <w:rPr>
          <w:rFonts w:ascii="Times New Roman" w:hAnsi="Times New Roman" w:eastAsia="宋体"/>
          <w:sz w:val="23"/>
          <w:szCs w:val="23"/>
        </w:rPr>
      </w:pPr>
      <w:r>
        <w:rPr>
          <w:rFonts w:hint="eastAsia" w:ascii="Times New Roman" w:hAnsi="Times New Roman" w:eastAsia="宋体"/>
          <w:sz w:val="23"/>
          <w:szCs w:val="23"/>
        </w:rPr>
        <w:t>备注：表中列举了投标方的主要供货范围，表中内容不可能完全列举，应与本技术任务书的要求综合考虑，投标方应当明确理解与接受，如有疑问，与招标方以书面形式达成一致。如果投标方未提出异议，则投标方有义务无条件完成本项目任务目标，由此增加的工作范围及相关费用属于投标方的范围，招标方不再为此支付额外费用。</w:t>
      </w:r>
    </w:p>
    <w:p w14:paraId="64765DBB">
      <w:pPr>
        <w:widowControl/>
        <w:overflowPunct w:val="0"/>
        <w:autoSpaceDE w:val="0"/>
        <w:autoSpaceDN w:val="0"/>
        <w:adjustRightInd w:val="0"/>
        <w:spacing w:before="4" w:after="4" w:line="440" w:lineRule="exact"/>
        <w:ind w:firstLine="462" w:firstLineChars="200"/>
        <w:jc w:val="left"/>
        <w:textAlignment w:val="baseline"/>
        <w:rPr>
          <w:rFonts w:hint="eastAsia" w:ascii="宋体" w:hAnsi="宋体" w:eastAsia="宋体"/>
          <w:b/>
          <w:sz w:val="23"/>
          <w:szCs w:val="23"/>
        </w:rPr>
      </w:pPr>
      <w:r>
        <w:rPr>
          <w:rFonts w:hint="eastAsia" w:ascii="宋体" w:hAnsi="宋体" w:eastAsia="宋体"/>
          <w:b/>
          <w:sz w:val="23"/>
          <w:szCs w:val="23"/>
        </w:rPr>
        <w:t>2.5.2投标方职责</w:t>
      </w:r>
    </w:p>
    <w:p w14:paraId="6E2F5F4C">
      <w:pPr>
        <w:spacing w:line="440" w:lineRule="exact"/>
        <w:ind w:firstLine="460" w:firstLineChars="200"/>
        <w:jc w:val="left"/>
        <w:rPr>
          <w:rFonts w:ascii="Times New Roman" w:hAnsi="Times New Roman" w:eastAsia="宋体"/>
          <w:sz w:val="23"/>
          <w:szCs w:val="23"/>
        </w:rPr>
      </w:pPr>
      <w:r>
        <w:rPr>
          <w:rFonts w:hint="eastAsia" w:ascii="Times New Roman" w:hAnsi="Times New Roman" w:eastAsia="宋体"/>
          <w:sz w:val="23"/>
          <w:szCs w:val="23"/>
        </w:rPr>
        <w:t>本项目为总包“交钥匙工程”。投标方应根据招标方提供的产品数据、安全要求、技术要求、质量要求、基础方案等信息，完成生产线的设计、采购、集成、运输、安装、调试、终验收、售后保障等全部工作，并对项目的最终成功交付负全部责任。</w:t>
      </w:r>
    </w:p>
    <w:p w14:paraId="14B4B02E">
      <w:pPr>
        <w:pStyle w:val="3"/>
        <w:numPr>
          <w:ilvl w:val="1"/>
          <w:numId w:val="0"/>
        </w:numPr>
      </w:pPr>
      <w:bookmarkStart w:id="134" w:name="_Toc7543480"/>
      <w:bookmarkStart w:id="135" w:name="_Toc193805381"/>
      <w:r>
        <w:rPr>
          <w:rFonts w:hint="eastAsia"/>
        </w:rPr>
        <w:t>2.6关键设备及部件品牌选用要求</w:t>
      </w:r>
      <w:bookmarkEnd w:id="134"/>
      <w:bookmarkEnd w:id="135"/>
    </w:p>
    <w:p w14:paraId="501C2BFC">
      <w:pPr>
        <w:widowControl/>
        <w:spacing w:line="440" w:lineRule="exact"/>
        <w:ind w:firstLine="460" w:firstLineChars="200"/>
        <w:contextualSpacing/>
        <w:jc w:val="left"/>
        <w:rPr>
          <w:rFonts w:hint="eastAsia" w:ascii="宋体" w:hAnsi="宋体" w:eastAsia="宋体"/>
          <w:sz w:val="23"/>
          <w:szCs w:val="23"/>
        </w:rPr>
      </w:pPr>
      <w:r>
        <w:rPr>
          <w:rFonts w:hint="eastAsia" w:ascii="宋体" w:hAnsi="宋体" w:eastAsia="宋体"/>
          <w:sz w:val="23"/>
          <w:szCs w:val="23"/>
        </w:rPr>
        <w:t>2.6.1在投标方设备选型时，机械和电气元件尽可能选用同型号或种类的产品，以便减少备品备件种类。</w:t>
      </w:r>
    </w:p>
    <w:p w14:paraId="63D05569">
      <w:pPr>
        <w:widowControl/>
        <w:spacing w:line="440" w:lineRule="exact"/>
        <w:ind w:firstLine="460" w:firstLineChars="200"/>
        <w:contextualSpacing/>
        <w:jc w:val="left"/>
        <w:rPr>
          <w:rFonts w:hint="eastAsia" w:ascii="宋体" w:hAnsi="宋体" w:eastAsia="宋体"/>
          <w:sz w:val="23"/>
          <w:szCs w:val="23"/>
        </w:rPr>
      </w:pPr>
      <w:r>
        <w:rPr>
          <w:rFonts w:hint="eastAsia" w:ascii="宋体" w:hAnsi="宋体" w:eastAsia="宋体"/>
          <w:sz w:val="23"/>
          <w:szCs w:val="23"/>
        </w:rPr>
        <w:t>2.6.2对于设备的品牌和材料，本协议未明确指定的，首先由投标方提出建议，最终经招标方评审通过并书面确认后实施。</w:t>
      </w:r>
    </w:p>
    <w:p w14:paraId="4A698871">
      <w:pPr>
        <w:widowControl/>
        <w:spacing w:line="440" w:lineRule="exact"/>
        <w:ind w:firstLine="460" w:firstLineChars="200"/>
        <w:contextualSpacing/>
        <w:jc w:val="left"/>
        <w:rPr>
          <w:rFonts w:hint="eastAsia" w:ascii="宋体" w:hAnsi="宋体" w:eastAsia="宋体"/>
          <w:sz w:val="23"/>
          <w:szCs w:val="23"/>
        </w:rPr>
      </w:pPr>
      <w:r>
        <w:rPr>
          <w:rFonts w:hint="eastAsia" w:ascii="宋体" w:hAnsi="宋体" w:eastAsia="宋体"/>
          <w:sz w:val="23"/>
          <w:szCs w:val="23"/>
        </w:rPr>
        <w:t>2.6.3所有设备品牌的使用需招标方书面确认。</w:t>
      </w:r>
    </w:p>
    <w:p w14:paraId="2F956542">
      <w:pPr>
        <w:widowControl/>
        <w:spacing w:line="440" w:lineRule="exact"/>
        <w:ind w:firstLine="460" w:firstLineChars="200"/>
        <w:contextualSpacing/>
        <w:jc w:val="left"/>
        <w:rPr>
          <w:rFonts w:hint="eastAsia" w:ascii="宋体" w:hAnsi="宋体" w:eastAsia="宋体"/>
          <w:sz w:val="23"/>
          <w:szCs w:val="23"/>
        </w:rPr>
      </w:pPr>
      <w:r>
        <w:rPr>
          <w:rFonts w:hint="eastAsia" w:ascii="宋体" w:hAnsi="宋体" w:eastAsia="宋体"/>
          <w:sz w:val="23"/>
          <w:szCs w:val="23"/>
        </w:rPr>
        <w:t>2.6.4本项目所选设备均需满足国家一级能耗要求。</w:t>
      </w:r>
    </w:p>
    <w:p w14:paraId="115A6DC5">
      <w:pPr>
        <w:widowControl/>
        <w:spacing w:line="440" w:lineRule="exact"/>
        <w:ind w:firstLine="460" w:firstLineChars="200"/>
        <w:contextualSpacing/>
        <w:jc w:val="left"/>
        <w:rPr>
          <w:rFonts w:hint="eastAsia" w:ascii="宋体" w:hAnsi="宋体" w:eastAsia="宋体"/>
          <w:sz w:val="23"/>
          <w:szCs w:val="23"/>
        </w:rPr>
      </w:pPr>
      <w:r>
        <w:rPr>
          <w:rFonts w:hint="eastAsia" w:ascii="宋体" w:hAnsi="宋体" w:eastAsia="宋体"/>
          <w:sz w:val="23"/>
          <w:szCs w:val="23"/>
        </w:rPr>
        <w:t>2.6.5招标方推荐设备品牌选择清单如下表所示：</w:t>
      </w:r>
    </w:p>
    <w:p w14:paraId="71A28265">
      <w:pPr>
        <w:widowControl/>
        <w:spacing w:line="440" w:lineRule="exact"/>
        <w:ind w:firstLine="460" w:firstLineChars="200"/>
        <w:contextualSpacing/>
        <w:jc w:val="left"/>
        <w:rPr>
          <w:rFonts w:hint="eastAsia" w:ascii="宋体" w:hAnsi="宋体" w:eastAsia="宋体"/>
          <w:sz w:val="23"/>
          <w:szCs w:val="23"/>
        </w:rPr>
      </w:pPr>
    </w:p>
    <w:tbl>
      <w:tblPr>
        <w:tblStyle w:val="38"/>
        <w:tblW w:w="918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2512"/>
        <w:gridCol w:w="3037"/>
        <w:gridCol w:w="2829"/>
        <w:gridCol w:w="74"/>
      </w:tblGrid>
      <w:tr w14:paraId="74BB11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74" w:type="dxa"/>
          <w:jc w:val="center"/>
        </w:trPr>
        <w:tc>
          <w:tcPr>
            <w:tcW w:w="9106" w:type="dxa"/>
            <w:gridSpan w:val="4"/>
            <w:tcBorders>
              <w:top w:val="single" w:color="auto" w:sz="12" w:space="0"/>
            </w:tcBorders>
          </w:tcPr>
          <w:p w14:paraId="5531DB68">
            <w:pPr>
              <w:rPr>
                <w:b/>
                <w:sz w:val="20"/>
                <w:szCs w:val="20"/>
              </w:rPr>
            </w:pPr>
            <w:r>
              <w:rPr>
                <w:rFonts w:hint="eastAsia"/>
                <w:b/>
                <w:sz w:val="20"/>
                <w:szCs w:val="20"/>
              </w:rPr>
              <w:t>机械类</w:t>
            </w:r>
          </w:p>
        </w:tc>
      </w:tr>
      <w:tr w14:paraId="7BCAEF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tcBorders>
              <w:top w:val="single" w:color="auto" w:sz="12" w:space="0"/>
              <w:bottom w:val="single" w:color="auto" w:sz="12" w:space="0"/>
            </w:tcBorders>
            <w:vAlign w:val="center"/>
          </w:tcPr>
          <w:p w14:paraId="479B4AD8">
            <w:pPr>
              <w:jc w:val="center"/>
              <w:rPr>
                <w:b/>
                <w:sz w:val="20"/>
                <w:szCs w:val="20"/>
              </w:rPr>
            </w:pPr>
            <w:bookmarkStart w:id="136" w:name="_Hlk58654653"/>
            <w:r>
              <w:rPr>
                <w:rFonts w:hint="eastAsia"/>
                <w:b/>
                <w:sz w:val="20"/>
                <w:szCs w:val="20"/>
              </w:rPr>
              <w:t>NO.</w:t>
            </w:r>
          </w:p>
        </w:tc>
        <w:tc>
          <w:tcPr>
            <w:tcW w:w="2512" w:type="dxa"/>
            <w:tcBorders>
              <w:top w:val="single" w:color="auto" w:sz="12" w:space="0"/>
              <w:bottom w:val="single" w:color="auto" w:sz="12" w:space="0"/>
            </w:tcBorders>
            <w:vAlign w:val="center"/>
          </w:tcPr>
          <w:p w14:paraId="2B931750">
            <w:pPr>
              <w:jc w:val="center"/>
              <w:rPr>
                <w:b/>
                <w:sz w:val="20"/>
                <w:szCs w:val="20"/>
              </w:rPr>
            </w:pPr>
            <w:r>
              <w:rPr>
                <w:rFonts w:hint="eastAsia"/>
                <w:b/>
                <w:sz w:val="20"/>
                <w:szCs w:val="20"/>
              </w:rPr>
              <w:t>设备名称</w:t>
            </w:r>
          </w:p>
        </w:tc>
        <w:tc>
          <w:tcPr>
            <w:tcW w:w="3037" w:type="dxa"/>
            <w:tcBorders>
              <w:top w:val="single" w:color="auto" w:sz="12" w:space="0"/>
              <w:bottom w:val="single" w:color="auto" w:sz="12" w:space="0"/>
            </w:tcBorders>
            <w:vAlign w:val="center"/>
          </w:tcPr>
          <w:p w14:paraId="44F21F8B">
            <w:pPr>
              <w:jc w:val="center"/>
              <w:rPr>
                <w:b/>
                <w:sz w:val="20"/>
                <w:szCs w:val="20"/>
              </w:rPr>
            </w:pPr>
            <w:r>
              <w:rPr>
                <w:rFonts w:hint="eastAsia"/>
                <w:b/>
                <w:sz w:val="20"/>
                <w:szCs w:val="20"/>
              </w:rPr>
              <w:t>推荐品牌</w:t>
            </w:r>
          </w:p>
        </w:tc>
        <w:tc>
          <w:tcPr>
            <w:tcW w:w="2903" w:type="dxa"/>
            <w:gridSpan w:val="2"/>
            <w:tcBorders>
              <w:top w:val="single" w:color="auto" w:sz="12" w:space="0"/>
            </w:tcBorders>
            <w:vAlign w:val="center"/>
          </w:tcPr>
          <w:p w14:paraId="17B0FC47">
            <w:pPr>
              <w:jc w:val="center"/>
              <w:rPr>
                <w:b/>
                <w:sz w:val="20"/>
                <w:szCs w:val="20"/>
              </w:rPr>
            </w:pPr>
            <w:r>
              <w:rPr>
                <w:rFonts w:hint="eastAsia"/>
                <w:b/>
                <w:sz w:val="20"/>
                <w:szCs w:val="20"/>
              </w:rPr>
              <w:t>说明</w:t>
            </w:r>
          </w:p>
        </w:tc>
      </w:tr>
      <w:bookmarkEnd w:id="136"/>
      <w:tr w14:paraId="5F0060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tcBorders>
              <w:top w:val="single" w:color="auto" w:sz="12" w:space="0"/>
            </w:tcBorders>
            <w:vAlign w:val="center"/>
          </w:tcPr>
          <w:p w14:paraId="3340EB6F">
            <w:pPr>
              <w:widowControl/>
              <w:contextualSpacing/>
              <w:jc w:val="center"/>
              <w:rPr>
                <w:sz w:val="17"/>
                <w:szCs w:val="17"/>
              </w:rPr>
            </w:pPr>
            <w:r>
              <w:rPr>
                <w:rFonts w:hint="eastAsia"/>
                <w:sz w:val="17"/>
                <w:szCs w:val="17"/>
              </w:rPr>
              <w:t>1</w:t>
            </w:r>
          </w:p>
        </w:tc>
        <w:tc>
          <w:tcPr>
            <w:tcW w:w="2512" w:type="dxa"/>
            <w:tcBorders>
              <w:top w:val="single" w:color="auto" w:sz="12" w:space="0"/>
            </w:tcBorders>
            <w:vAlign w:val="center"/>
          </w:tcPr>
          <w:p w14:paraId="5C94DFF5">
            <w:pPr>
              <w:rPr>
                <w:sz w:val="17"/>
                <w:szCs w:val="17"/>
              </w:rPr>
            </w:pPr>
            <w:r>
              <w:rPr>
                <w:rFonts w:hint="eastAsia"/>
                <w:sz w:val="17"/>
                <w:szCs w:val="17"/>
              </w:rPr>
              <w:t>双悬臂软件</w:t>
            </w:r>
          </w:p>
        </w:tc>
        <w:tc>
          <w:tcPr>
            <w:tcW w:w="3037" w:type="dxa"/>
            <w:tcBorders>
              <w:top w:val="single" w:color="auto" w:sz="12" w:space="0"/>
            </w:tcBorders>
            <w:vAlign w:val="center"/>
          </w:tcPr>
          <w:p w14:paraId="5660A3A7">
            <w:pPr>
              <w:rPr>
                <w:rFonts w:hint="default" w:eastAsia="微软雅黑"/>
                <w:sz w:val="17"/>
                <w:szCs w:val="17"/>
                <w:lang w:val="en-US" w:eastAsia="zh-CN"/>
              </w:rPr>
            </w:pPr>
            <w:r>
              <w:rPr>
                <w:rFonts w:hint="eastAsia"/>
                <w:sz w:val="18"/>
                <w:szCs w:val="18"/>
              </w:rPr>
              <w:t>RationalDMIS</w:t>
            </w:r>
            <w:r>
              <w:rPr>
                <w:rFonts w:hint="eastAsia"/>
                <w:sz w:val="18"/>
                <w:szCs w:val="18"/>
                <w:lang w:eastAsia="zh-CN"/>
              </w:rPr>
              <w:t>、</w:t>
            </w:r>
            <w:r>
              <w:rPr>
                <w:rFonts w:hint="eastAsia"/>
                <w:sz w:val="18"/>
                <w:szCs w:val="18"/>
                <w:lang w:val="en-US" w:eastAsia="zh-CN"/>
              </w:rPr>
              <w:t>CAPPS</w:t>
            </w:r>
            <w:r>
              <w:rPr>
                <w:rFonts w:hint="eastAsia"/>
                <w:sz w:val="18"/>
                <w:szCs w:val="18"/>
              </w:rPr>
              <w:t>DMIS</w:t>
            </w:r>
          </w:p>
        </w:tc>
        <w:tc>
          <w:tcPr>
            <w:tcW w:w="2903" w:type="dxa"/>
            <w:gridSpan w:val="2"/>
            <w:tcBorders>
              <w:top w:val="single" w:color="auto" w:sz="12" w:space="0"/>
            </w:tcBorders>
            <w:vAlign w:val="center"/>
          </w:tcPr>
          <w:p w14:paraId="54731BDA">
            <w:pPr>
              <w:jc w:val="center"/>
              <w:rPr>
                <w:rFonts w:hint="default" w:eastAsia="微软雅黑"/>
                <w:sz w:val="17"/>
                <w:szCs w:val="17"/>
                <w:lang w:val="en-US" w:eastAsia="zh-CN"/>
              </w:rPr>
            </w:pPr>
            <w:r>
              <w:rPr>
                <w:rFonts w:hint="eastAsia"/>
                <w:sz w:val="17"/>
                <w:szCs w:val="17"/>
                <w:lang w:val="en-US" w:eastAsia="zh-CN"/>
              </w:rPr>
              <w:t>设备原装软件为CAPPS</w:t>
            </w:r>
          </w:p>
        </w:tc>
      </w:tr>
      <w:tr w14:paraId="1F677C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vAlign w:val="center"/>
          </w:tcPr>
          <w:p w14:paraId="2C7EF99B">
            <w:pPr>
              <w:widowControl/>
              <w:contextualSpacing/>
              <w:jc w:val="center"/>
              <w:rPr>
                <w:sz w:val="17"/>
                <w:szCs w:val="17"/>
              </w:rPr>
            </w:pPr>
            <w:r>
              <w:rPr>
                <w:rFonts w:hint="eastAsia"/>
                <w:sz w:val="17"/>
                <w:szCs w:val="17"/>
              </w:rPr>
              <w:t>2</w:t>
            </w:r>
          </w:p>
        </w:tc>
        <w:tc>
          <w:tcPr>
            <w:tcW w:w="2512" w:type="dxa"/>
            <w:vAlign w:val="center"/>
          </w:tcPr>
          <w:p w14:paraId="1E3A6CE7">
            <w:pPr>
              <w:rPr>
                <w:rFonts w:hint="default" w:eastAsia="微软雅黑"/>
                <w:sz w:val="17"/>
                <w:szCs w:val="17"/>
                <w:lang w:val="en-US" w:eastAsia="zh-CN"/>
              </w:rPr>
            </w:pPr>
            <w:r>
              <w:rPr>
                <w:rFonts w:hint="eastAsia"/>
                <w:sz w:val="17"/>
                <w:szCs w:val="17"/>
                <w:lang w:val="en-US" w:eastAsia="zh-CN"/>
              </w:rPr>
              <w:t>台式机主机</w:t>
            </w:r>
          </w:p>
        </w:tc>
        <w:tc>
          <w:tcPr>
            <w:tcW w:w="3037" w:type="dxa"/>
            <w:vAlign w:val="center"/>
          </w:tcPr>
          <w:p w14:paraId="4270993C">
            <w:pPr>
              <w:jc w:val="left"/>
              <w:rPr>
                <w:rFonts w:hint="default" w:eastAsia="微软雅黑"/>
                <w:sz w:val="17"/>
                <w:szCs w:val="17"/>
                <w:lang w:val="en-US" w:eastAsia="zh-CN"/>
              </w:rPr>
            </w:pPr>
            <w:r>
              <w:rPr>
                <w:rFonts w:hint="eastAsia"/>
                <w:sz w:val="17"/>
                <w:szCs w:val="17"/>
                <w:lang w:val="en-US" w:eastAsia="zh-CN"/>
              </w:rPr>
              <w:t>惠普、宏碁、联想、戴尔</w:t>
            </w:r>
            <w:r>
              <w:rPr>
                <w:rFonts w:hint="eastAsia"/>
                <w:sz w:val="17"/>
                <w:szCs w:val="17"/>
              </w:rPr>
              <w:t>及同等品牌</w:t>
            </w:r>
          </w:p>
        </w:tc>
        <w:tc>
          <w:tcPr>
            <w:tcW w:w="2903" w:type="dxa"/>
            <w:gridSpan w:val="2"/>
            <w:vAlign w:val="center"/>
          </w:tcPr>
          <w:p w14:paraId="74B358ED">
            <w:pPr>
              <w:adjustRightInd w:val="0"/>
              <w:snapToGrid w:val="0"/>
              <w:rPr>
                <w:sz w:val="17"/>
                <w:szCs w:val="17"/>
              </w:rPr>
            </w:pPr>
          </w:p>
        </w:tc>
      </w:tr>
    </w:tbl>
    <w:p w14:paraId="0CAC7BF5">
      <w:pPr>
        <w:spacing w:line="440" w:lineRule="exact"/>
        <w:ind w:firstLine="460" w:firstLineChars="200"/>
        <w:jc w:val="left"/>
        <w:rPr>
          <w:rFonts w:ascii="Times New Roman" w:hAnsi="Times New Roman" w:eastAsia="宋体"/>
          <w:sz w:val="23"/>
          <w:szCs w:val="23"/>
        </w:rPr>
      </w:pPr>
    </w:p>
    <w:p w14:paraId="4B0897DD">
      <w:pPr>
        <w:pStyle w:val="2"/>
        <w:numPr>
          <w:ilvl w:val="0"/>
          <w:numId w:val="0"/>
        </w:numPr>
        <w:jc w:val="center"/>
      </w:pPr>
      <w:r>
        <w:rPr>
          <w:rFonts w:hint="eastAsia"/>
        </w:rPr>
        <w:t>3、</w:t>
      </w:r>
      <w:bookmarkEnd w:id="132"/>
      <w:r>
        <w:rPr>
          <w:rFonts w:hint="eastAsia"/>
        </w:rPr>
        <w:t>技术要求</w:t>
      </w:r>
      <w:bookmarkEnd w:id="133"/>
    </w:p>
    <w:p w14:paraId="4DC033F3">
      <w:pPr>
        <w:pStyle w:val="3"/>
        <w:numPr>
          <w:ilvl w:val="1"/>
          <w:numId w:val="0"/>
        </w:numPr>
        <w:tabs>
          <w:tab w:val="left" w:pos="4111"/>
        </w:tabs>
      </w:pPr>
      <w:bookmarkStart w:id="137" w:name="_Toc19548"/>
      <w:r>
        <w:rPr>
          <w:rFonts w:hint="eastAsia"/>
        </w:rPr>
        <w:t>3.1基本要求</w:t>
      </w:r>
      <w:bookmarkEnd w:id="137"/>
    </w:p>
    <w:p w14:paraId="55246B29">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1、投标方所供的设备，必须符合中国最新版的法律、法规和相关标准、规范的要求，符合项目所在地政府有关特殊要求。</w:t>
      </w:r>
    </w:p>
    <w:p w14:paraId="4DBEF5BE">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2、投标方所供设备涉及的专利权技术以及知识产权保护的其它技术等，应保证招标方不因此受到任何侵权指控以及实际损失。</w:t>
      </w:r>
    </w:p>
    <w:p w14:paraId="17C614C0">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3、投标方应保证所供设备的先进性、可靠性、经济性和实用性，并为全新设备。</w:t>
      </w:r>
    </w:p>
    <w:p w14:paraId="30709E5C">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4、投标方应满足招标方提出的各项技术要求，必要时应当免费提供技术承诺或担保。</w:t>
      </w:r>
    </w:p>
    <w:p w14:paraId="4B80DAD8">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5、投标方应保证所供设备为中国公布的非淘汰设备，并为中国指定或规定的主管部门认可的环保型和节能型设备。</w:t>
      </w:r>
    </w:p>
    <w:p w14:paraId="53699E43">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6、投标方应保证所供设备的完整性和成套性，能保证设备的正常运行、使用。</w:t>
      </w:r>
    </w:p>
    <w:p w14:paraId="26C5E75A">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7、投标方应对招标方采购的设备所涉及的技术、产能等信息负有保密义务，招标方拥有追究投标方泄密责任的权利；招标方如有需要，投标方应无条件签署保密协议。</w:t>
      </w:r>
    </w:p>
    <w:p w14:paraId="2DBFA79A">
      <w:pPr>
        <w:pStyle w:val="3"/>
        <w:numPr>
          <w:ilvl w:val="1"/>
          <w:numId w:val="0"/>
        </w:numPr>
        <w:tabs>
          <w:tab w:val="left" w:pos="4111"/>
        </w:tabs>
      </w:pPr>
      <w:bookmarkStart w:id="138" w:name="_Toc14163"/>
      <w:r>
        <w:rPr>
          <w:rFonts w:hint="eastAsia"/>
        </w:rPr>
        <w:t>3.2执行标准</w:t>
      </w:r>
      <w:bookmarkEnd w:id="138"/>
    </w:p>
    <w:p w14:paraId="3E3BAF92">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1、招标方此处所列标准仅为涉及的主要标准，而且不保证其为最新版执行标准；投标方应当在投标文件中认真予以填写、补充和修改完善。</w:t>
      </w:r>
    </w:p>
    <w:p w14:paraId="399B960C">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2、投标方需要执行的标准，应当以所供设备通过招标方将来组织的最终验收之日开始执行的最新标准。</w:t>
      </w:r>
    </w:p>
    <w:p w14:paraId="2952E3E0">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3、采购设备的产品质量、技术标准如在招投标文件中无相应说明，则按中华人民共和国有关部门颁发的最新的国标或专业（部）标准执行及相应的国际标准。没有国家或专业（部）标准的，按企业标准执行。但当标准不统一时，原则上按照最严格标准执行。</w:t>
      </w:r>
    </w:p>
    <w:p w14:paraId="1BC9BBD2">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4、如果有采用国际标准的货物，其执行标准由投标方提供、招标方确认。</w:t>
      </w:r>
    </w:p>
    <w:p w14:paraId="1EB70F32">
      <w:pPr>
        <w:pStyle w:val="3"/>
        <w:numPr>
          <w:ilvl w:val="1"/>
          <w:numId w:val="0"/>
        </w:numPr>
        <w:tabs>
          <w:tab w:val="left" w:pos="4111"/>
        </w:tabs>
      </w:pPr>
      <w:bookmarkStart w:id="139" w:name="_Toc5881"/>
      <w:r>
        <w:rPr>
          <w:rFonts w:hint="eastAsia"/>
        </w:rPr>
        <w:t>3.3技术规范和技术要求</w:t>
      </w:r>
      <w:bookmarkEnd w:id="139"/>
    </w:p>
    <w:p w14:paraId="409CDCF8">
      <w:pPr>
        <w:widowControl/>
        <w:overflowPunct w:val="0"/>
        <w:autoSpaceDE w:val="0"/>
        <w:autoSpaceDN w:val="0"/>
        <w:adjustRightInd w:val="0"/>
        <w:spacing w:before="4" w:after="4" w:line="440" w:lineRule="exact"/>
        <w:ind w:firstLine="462" w:firstLineChars="200"/>
        <w:jc w:val="left"/>
        <w:textAlignment w:val="baseline"/>
        <w:rPr>
          <w:rFonts w:hint="default" w:ascii="宋体" w:hAnsi="宋体" w:eastAsia="宋体"/>
          <w:b/>
          <w:bCs/>
          <w:sz w:val="23"/>
          <w:szCs w:val="23"/>
          <w:lang w:val="en-US" w:eastAsia="zh-CN"/>
        </w:rPr>
      </w:pPr>
      <w:bookmarkStart w:id="140" w:name="_Toc13334"/>
      <w:r>
        <w:rPr>
          <w:rFonts w:hint="eastAsia" w:ascii="宋体" w:hAnsi="宋体" w:eastAsia="宋体"/>
          <w:b/>
          <w:bCs/>
          <w:sz w:val="23"/>
          <w:szCs w:val="23"/>
        </w:rPr>
        <w:t>3.3.1</w:t>
      </w:r>
      <w:r>
        <w:rPr>
          <w:rFonts w:hint="eastAsia" w:ascii="宋体" w:hAnsi="宋体" w:eastAsia="宋体"/>
          <w:b/>
          <w:bCs/>
          <w:sz w:val="23"/>
          <w:szCs w:val="23"/>
          <w:lang w:val="en-US" w:eastAsia="zh-CN"/>
        </w:rPr>
        <w:t xml:space="preserve"> 双悬臂工控机即台式</w:t>
      </w:r>
      <w:bookmarkEnd w:id="140"/>
      <w:r>
        <w:rPr>
          <w:rFonts w:hint="eastAsia" w:ascii="宋体" w:hAnsi="宋体" w:eastAsia="宋体"/>
          <w:b/>
          <w:bCs/>
          <w:sz w:val="23"/>
          <w:szCs w:val="23"/>
          <w:lang w:val="en-US" w:eastAsia="zh-CN"/>
        </w:rPr>
        <w:t>工作站配置要求</w:t>
      </w:r>
    </w:p>
    <w:p w14:paraId="4410C962">
      <w:pPr>
        <w:spacing w:line="440" w:lineRule="exact"/>
        <w:ind w:firstLine="460" w:firstLineChars="200"/>
        <w:jc w:val="left"/>
        <w:rPr>
          <w:rFonts w:ascii="Times New Roman" w:hAnsi="Times New Roman" w:eastAsia="宋体"/>
          <w:sz w:val="23"/>
          <w:szCs w:val="23"/>
        </w:rPr>
      </w:pPr>
      <w:r>
        <w:rPr>
          <w:rFonts w:hint="eastAsia" w:ascii="Times New Roman" w:hAnsi="Times New Roman" w:eastAsia="宋体"/>
          <w:sz w:val="23"/>
          <w:szCs w:val="23"/>
        </w:rPr>
        <w:t>1、采用最新正版Windows10或以上系统，能够流畅运行厂家所提供的软件；</w:t>
      </w:r>
    </w:p>
    <w:p w14:paraId="47E7D6BB">
      <w:pPr>
        <w:spacing w:line="440" w:lineRule="exact"/>
        <w:ind w:firstLine="460" w:firstLineChars="200"/>
        <w:jc w:val="left"/>
        <w:rPr>
          <w:rFonts w:hint="eastAsia" w:ascii="Times New Roman" w:hAnsi="Times New Roman" w:eastAsia="宋体"/>
          <w:sz w:val="23"/>
          <w:szCs w:val="23"/>
        </w:rPr>
      </w:pPr>
      <w:r>
        <w:rPr>
          <w:rFonts w:hint="eastAsia" w:ascii="Times New Roman" w:hAnsi="Times New Roman" w:eastAsia="宋体"/>
          <w:sz w:val="23"/>
          <w:szCs w:val="23"/>
        </w:rPr>
        <w:t>2、能打开零件数超过10000件的三维数模并流畅运行；</w:t>
      </w:r>
    </w:p>
    <w:p w14:paraId="02B80D49">
      <w:pPr>
        <w:spacing w:line="440" w:lineRule="exact"/>
        <w:ind w:firstLine="460" w:firstLineChars="200"/>
        <w:jc w:val="left"/>
        <w:rPr>
          <w:rFonts w:hint="eastAsia" w:ascii="Times New Roman" w:hAnsi="Times New Roman" w:eastAsia="宋体"/>
          <w:sz w:val="23"/>
          <w:szCs w:val="23"/>
          <w:lang w:eastAsia="zh-CN"/>
        </w:rPr>
      </w:pPr>
      <w:r>
        <w:rPr>
          <w:rFonts w:hint="eastAsia" w:ascii="Times New Roman" w:hAnsi="Times New Roman" w:eastAsia="宋体"/>
          <w:sz w:val="23"/>
          <w:szCs w:val="23"/>
          <w:lang w:val="en-US" w:eastAsia="zh-CN"/>
        </w:rPr>
        <w:t>3、更新</w:t>
      </w:r>
      <w:r>
        <w:rPr>
          <w:rFonts w:hint="eastAsia" w:ascii="Times New Roman" w:hAnsi="Times New Roman" w:eastAsia="宋体"/>
          <w:sz w:val="23"/>
          <w:szCs w:val="23"/>
        </w:rPr>
        <w:t>的电脑能匹配好加密狗</w:t>
      </w:r>
      <w:r>
        <w:rPr>
          <w:rFonts w:hint="eastAsia" w:ascii="Times New Roman" w:hAnsi="Times New Roman" w:eastAsia="宋体"/>
          <w:sz w:val="23"/>
          <w:szCs w:val="23"/>
          <w:lang w:eastAsia="zh-CN"/>
        </w:rPr>
        <w:t>，</w:t>
      </w:r>
      <w:r>
        <w:rPr>
          <w:rFonts w:hint="eastAsia" w:ascii="Times New Roman" w:hAnsi="Times New Roman" w:eastAsia="宋体"/>
          <w:sz w:val="23"/>
          <w:szCs w:val="23"/>
        </w:rPr>
        <w:t>正常使用</w:t>
      </w:r>
      <w:r>
        <w:rPr>
          <w:rFonts w:hint="eastAsia" w:ascii="Times New Roman" w:hAnsi="Times New Roman" w:eastAsia="宋体"/>
          <w:sz w:val="23"/>
          <w:szCs w:val="23"/>
          <w:lang w:eastAsia="zh-CN"/>
        </w:rPr>
        <w:t>；</w:t>
      </w:r>
    </w:p>
    <w:p w14:paraId="3299A27C">
      <w:pPr>
        <w:spacing w:line="440" w:lineRule="exact"/>
        <w:ind w:firstLine="460" w:firstLineChars="200"/>
        <w:jc w:val="left"/>
        <w:rPr>
          <w:rFonts w:ascii="Times New Roman" w:hAnsi="Times New Roman" w:eastAsia="宋体"/>
          <w:sz w:val="23"/>
          <w:szCs w:val="23"/>
        </w:rPr>
      </w:pPr>
      <w:r>
        <w:rPr>
          <w:rFonts w:hint="eastAsia" w:ascii="Times New Roman" w:hAnsi="Times New Roman" w:eastAsia="宋体"/>
          <w:sz w:val="23"/>
          <w:szCs w:val="23"/>
          <w:lang w:val="en-US" w:eastAsia="zh-CN"/>
        </w:rPr>
        <w:t>4</w:t>
      </w:r>
      <w:r>
        <w:rPr>
          <w:rFonts w:hint="eastAsia" w:ascii="Times New Roman" w:hAnsi="Times New Roman" w:eastAsia="宋体"/>
          <w:sz w:val="23"/>
          <w:szCs w:val="23"/>
        </w:rPr>
        <w:t>、硬件要求：</w:t>
      </w:r>
    </w:p>
    <w:p w14:paraId="17A0D2D7">
      <w:pPr>
        <w:spacing w:line="440" w:lineRule="exact"/>
        <w:ind w:firstLine="460" w:firstLineChars="200"/>
        <w:jc w:val="left"/>
        <w:rPr>
          <w:rFonts w:ascii="Times New Roman" w:hAnsi="Times New Roman" w:eastAsia="宋体"/>
          <w:sz w:val="23"/>
          <w:szCs w:val="23"/>
        </w:rPr>
      </w:pPr>
      <w:r>
        <w:rPr>
          <w:rFonts w:hint="eastAsia" w:ascii="Times New Roman" w:hAnsi="Times New Roman" w:eastAsia="宋体"/>
          <w:sz w:val="23"/>
          <w:szCs w:val="23"/>
        </w:rPr>
        <w:t>（1）硬盘：固态储存</w:t>
      </w:r>
      <w:r>
        <w:rPr>
          <w:rFonts w:hint="eastAsia" w:ascii="Times New Roman" w:hAnsi="Times New Roman" w:eastAsia="宋体"/>
          <w:sz w:val="23"/>
          <w:szCs w:val="23"/>
          <w:lang w:val="en-US" w:eastAsia="zh-CN"/>
        </w:rPr>
        <w:t>不低于512G，整体</w:t>
      </w:r>
      <w:r>
        <w:rPr>
          <w:rFonts w:hint="eastAsia" w:ascii="Times New Roman" w:hAnsi="Times New Roman" w:eastAsia="宋体"/>
          <w:sz w:val="23"/>
          <w:szCs w:val="23"/>
        </w:rPr>
        <w:t>空间不低于1T</w:t>
      </w:r>
    </w:p>
    <w:p w14:paraId="4C45CF21">
      <w:pPr>
        <w:spacing w:line="440" w:lineRule="exact"/>
        <w:ind w:firstLine="460" w:firstLineChars="200"/>
        <w:jc w:val="left"/>
        <w:rPr>
          <w:rFonts w:ascii="Times New Roman" w:hAnsi="Times New Roman" w:eastAsia="宋体"/>
          <w:sz w:val="23"/>
          <w:szCs w:val="23"/>
        </w:rPr>
      </w:pPr>
      <w:r>
        <w:rPr>
          <w:rFonts w:hint="eastAsia" w:ascii="Times New Roman" w:hAnsi="Times New Roman" w:eastAsia="宋体"/>
          <w:sz w:val="23"/>
          <w:szCs w:val="23"/>
        </w:rPr>
        <w:t>（2）运行内存：不小于16G</w:t>
      </w:r>
    </w:p>
    <w:p w14:paraId="06C1F84E">
      <w:pPr>
        <w:spacing w:line="440" w:lineRule="exact"/>
        <w:ind w:firstLine="460" w:firstLineChars="200"/>
        <w:jc w:val="left"/>
        <w:rPr>
          <w:rFonts w:ascii="Times New Roman" w:hAnsi="Times New Roman" w:eastAsia="宋体"/>
          <w:sz w:val="23"/>
          <w:szCs w:val="23"/>
        </w:rPr>
      </w:pPr>
      <w:r>
        <w:rPr>
          <w:rFonts w:hint="eastAsia" w:ascii="Times New Roman" w:hAnsi="Times New Roman" w:eastAsia="宋体"/>
          <w:sz w:val="23"/>
          <w:szCs w:val="23"/>
        </w:rPr>
        <w:t>（3）CPU：不低于6核12线程，主频不低于2.5GHz，不低于Inter i5-12400</w:t>
      </w:r>
    </w:p>
    <w:p w14:paraId="1B9D71D9">
      <w:pPr>
        <w:spacing w:line="440" w:lineRule="exact"/>
        <w:ind w:firstLine="460" w:firstLineChars="200"/>
        <w:jc w:val="left"/>
        <w:rPr>
          <w:rFonts w:hint="default" w:ascii="Times New Roman" w:hAnsi="Times New Roman" w:eastAsia="宋体"/>
          <w:sz w:val="23"/>
          <w:szCs w:val="23"/>
          <w:lang w:val="en-US" w:eastAsia="zh-CN"/>
        </w:rPr>
      </w:pPr>
      <w:r>
        <w:rPr>
          <w:rFonts w:hint="eastAsia" w:ascii="Times New Roman" w:hAnsi="Times New Roman" w:eastAsia="宋体"/>
          <w:sz w:val="23"/>
          <w:szCs w:val="23"/>
        </w:rPr>
        <w:t>（4）显卡：</w:t>
      </w:r>
      <w:r>
        <w:rPr>
          <w:rFonts w:hint="eastAsia" w:ascii="Times New Roman" w:hAnsi="Times New Roman" w:eastAsia="宋体"/>
          <w:sz w:val="23"/>
          <w:szCs w:val="23"/>
          <w:lang w:val="en-US" w:eastAsia="zh-CN"/>
        </w:rPr>
        <w:t>独立显卡，</w:t>
      </w:r>
      <w:r>
        <w:rPr>
          <w:rFonts w:hint="eastAsia" w:ascii="Times New Roman" w:hAnsi="Times New Roman" w:eastAsia="宋体"/>
          <w:sz w:val="23"/>
          <w:szCs w:val="23"/>
        </w:rPr>
        <w:t>不低于</w:t>
      </w:r>
      <w:r>
        <w:rPr>
          <w:rFonts w:hint="eastAsia" w:ascii="Times New Roman" w:hAnsi="Times New Roman" w:eastAsia="宋体"/>
          <w:sz w:val="23"/>
          <w:szCs w:val="23"/>
          <w:lang w:val="en-US" w:eastAsia="zh-CN"/>
        </w:rPr>
        <w:t>4G显存</w:t>
      </w:r>
    </w:p>
    <w:p w14:paraId="33A13C29">
      <w:pPr>
        <w:spacing w:line="440" w:lineRule="exact"/>
        <w:ind w:firstLine="460" w:firstLineChars="200"/>
        <w:jc w:val="left"/>
        <w:rPr>
          <w:rFonts w:hint="eastAsia" w:ascii="Times New Roman" w:hAnsi="Times New Roman" w:eastAsia="宋体"/>
          <w:sz w:val="23"/>
          <w:szCs w:val="23"/>
          <w:lang w:eastAsia="zh-CN"/>
        </w:rPr>
      </w:pPr>
      <w:r>
        <w:rPr>
          <w:rFonts w:hint="eastAsia" w:ascii="Times New Roman" w:hAnsi="Times New Roman" w:eastAsia="宋体"/>
          <w:sz w:val="23"/>
          <w:szCs w:val="23"/>
        </w:rPr>
        <w:t>（5）USB2.0/3.0标准接口</w:t>
      </w:r>
    </w:p>
    <w:p w14:paraId="49875C5F">
      <w:pPr>
        <w:widowControl/>
        <w:overflowPunct w:val="0"/>
        <w:autoSpaceDE w:val="0"/>
        <w:autoSpaceDN w:val="0"/>
        <w:adjustRightInd w:val="0"/>
        <w:spacing w:before="4" w:after="4" w:line="440" w:lineRule="exact"/>
        <w:ind w:firstLine="462" w:firstLineChars="200"/>
        <w:jc w:val="left"/>
        <w:textAlignment w:val="baseline"/>
        <w:rPr>
          <w:rFonts w:hint="eastAsia" w:ascii="宋体" w:hAnsi="宋体" w:eastAsia="宋体"/>
          <w:b/>
          <w:sz w:val="23"/>
          <w:szCs w:val="23"/>
        </w:rPr>
      </w:pPr>
      <w:bookmarkStart w:id="141" w:name="_Toc3975"/>
      <w:r>
        <w:rPr>
          <w:rFonts w:hint="eastAsia" w:ascii="宋体" w:hAnsi="宋体" w:eastAsia="宋体"/>
          <w:b/>
          <w:sz w:val="23"/>
          <w:szCs w:val="23"/>
        </w:rPr>
        <w:t>3.3.2 总体要求</w:t>
      </w:r>
    </w:p>
    <w:bookmarkEnd w:id="141"/>
    <w:p w14:paraId="0AF01F83">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1、要求设备开机后测量软件可连续72小时持续运行不出现闪退、卡顿等基本故障。</w:t>
      </w:r>
    </w:p>
    <w:p w14:paraId="5659F779">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2、符合现场安装尺寸，如不符合需厂家额外提供安装平台或电脑桌等其他配件。</w:t>
      </w:r>
    </w:p>
    <w:p w14:paraId="01C5011A">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3、升级后的双悬臂软硬件需兼容匹配可正常运行，设备调试完成后厂家需提供设备信息资料。</w:t>
      </w:r>
    </w:p>
    <w:p w14:paraId="242B00E8">
      <w:pPr>
        <w:widowControl/>
        <w:overflowPunct w:val="0"/>
        <w:autoSpaceDE w:val="0"/>
        <w:autoSpaceDN w:val="0"/>
        <w:adjustRightInd w:val="0"/>
        <w:spacing w:before="4" w:after="4" w:line="440" w:lineRule="exact"/>
        <w:ind w:firstLine="462" w:firstLineChars="200"/>
        <w:jc w:val="left"/>
        <w:textAlignment w:val="baseline"/>
        <w:rPr>
          <w:rFonts w:hint="eastAsia" w:ascii="宋体" w:hAnsi="宋体" w:eastAsia="宋体"/>
          <w:b/>
          <w:sz w:val="23"/>
          <w:szCs w:val="23"/>
        </w:rPr>
      </w:pPr>
      <w:bookmarkStart w:id="142" w:name="_Toc5241"/>
      <w:r>
        <w:rPr>
          <w:rFonts w:hint="eastAsia" w:ascii="宋体" w:hAnsi="宋体" w:eastAsia="宋体"/>
          <w:b/>
          <w:sz w:val="23"/>
          <w:szCs w:val="23"/>
        </w:rPr>
        <w:t>3.3.3 分析检测软件</w:t>
      </w:r>
    </w:p>
    <w:bookmarkEnd w:id="142"/>
    <w:p w14:paraId="3A6647CF">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1、能检测点、直线、平面、圆、圆柱、圆锥、球、圆环、槽等简单几何元素；</w:t>
      </w:r>
    </w:p>
    <w:p w14:paraId="2018E696">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2、能自动进行机械零部件的尺寸公差、形状公差（直线度、平面度、圆度、圆柱度、轮廓度等）、位置公差（平行度、垂直度、倾斜度、位置度、同心度、同轴度、对称度、跳动量）测量；</w:t>
      </w:r>
    </w:p>
    <w:p w14:paraId="32EF45FC">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3、几何元素组合计算相交、对称、投影、距离、角度等；</w:t>
      </w:r>
    </w:p>
    <w:p w14:paraId="052125D7">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 xml:space="preserve">4、位置公差分析功能：可对同心度、位置度、同轴度、对称度、角度进行测量。在对位置度进行评价时能够根据需要选择输出独立原则、最大实体、最小实体三种条件下的结果。在对位置公差评价时基准可以自由定义； </w:t>
      </w:r>
    </w:p>
    <w:p w14:paraId="60410019">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5、形位公差的评定方法及分析符合最新国家标准，编程语言支持DMIS格式；</w:t>
      </w:r>
    </w:p>
    <w:p w14:paraId="6D0FD3AD">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6、坐标系转换功能：可进行坐标系平移、旋转，直角坐标与极坐标可相互转换及测量单位的公英制转换；</w:t>
      </w:r>
    </w:p>
    <w:p w14:paraId="22BF223E">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7、创建坐标系方法应包括以下三种：包括3-2-1、迭代法、最佳拟合法，包含基于孔位等元素的最佳拟合；</w:t>
      </w:r>
    </w:p>
    <w:p w14:paraId="731EDE8F">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8、内置智能化功能，自动识别被测量元素，可进行倾斜角度、空间角度的圆、圆柱、锥等形状的测量；</w:t>
      </w:r>
    </w:p>
    <w:p w14:paraId="3D591EC4">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9、具有完整的测量功能，对于孔、槽、棱点、角度点、曲线、曲面具有专门的测量方案；</w:t>
      </w:r>
    </w:p>
    <w:p w14:paraId="0C5294F3">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10、操作系统应具有人性化的操作方法、直观的操作界面、智能化的特征自动识别，能个性化定制检测报告，软件应易学、高效、实用，适合于各种测量需求；</w:t>
      </w:r>
    </w:p>
    <w:p w14:paraId="4B50F48D">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11、理论CAD数模读入，需能够读入各种CAD文件，实现基于CAD数模的比对测量，配置CATIA V5直读接口；具备CATIA格式、IGES、STEP、STL数据格式的输入/输出及数据转换功能；</w:t>
      </w:r>
    </w:p>
    <w:p w14:paraId="61B0421D">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12、具有2D和3D视图图形显示功能，可以显示测头测针的模拟运行，可以自动用CAD数模与测量值比对，以图形方式绘制偏差及公差，能够自动显示被测量元素的坐标数值；</w:t>
      </w:r>
    </w:p>
    <w:p w14:paraId="6EA142BF">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13、测量结果可以用图文方式在线记录、编辑并打印，报告格式可根据用户需要动态调整，测量结果能够以Excel、HTML、CSV、TXT、PDF等格式输出，对于由多点组成的元素在输出报告时能够同时对组成该元素的多个点坐标值进行输出；</w:t>
      </w:r>
    </w:p>
    <w:p w14:paraId="3E9A46AE">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14、软件带有自动检测的功能，在测量时软件能够自动识别所有的测头；</w:t>
      </w:r>
    </w:p>
    <w:p w14:paraId="713405EA">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15、软件同时具备接触式测量与扫描测量分析功能；</w:t>
      </w:r>
    </w:p>
    <w:p w14:paraId="1FA6A5BE">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16、测量软件需要至少提供中英文版本。软件需通过国际组织认证；</w:t>
      </w:r>
    </w:p>
    <w:p w14:paraId="2C28231C">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17、所提供的测量软件均为正版授权的最新版本。</w:t>
      </w:r>
    </w:p>
    <w:p w14:paraId="0081B163">
      <w:pPr>
        <w:pStyle w:val="2"/>
        <w:numPr>
          <w:ilvl w:val="0"/>
          <w:numId w:val="0"/>
        </w:numPr>
        <w:jc w:val="center"/>
      </w:pPr>
      <w:bookmarkStart w:id="143" w:name="_Toc137705869"/>
      <w:bookmarkStart w:id="144" w:name="_Toc26258"/>
      <w:bookmarkStart w:id="145" w:name="_Toc7543514"/>
      <w:r>
        <w:rPr>
          <w:rFonts w:hint="eastAsia"/>
        </w:rPr>
        <w:t>4、供货范围及供货方式</w:t>
      </w:r>
      <w:bookmarkEnd w:id="143"/>
      <w:bookmarkEnd w:id="144"/>
    </w:p>
    <w:p w14:paraId="53390680">
      <w:pPr>
        <w:pStyle w:val="3"/>
        <w:numPr>
          <w:ilvl w:val="1"/>
          <w:numId w:val="0"/>
        </w:numPr>
        <w:tabs>
          <w:tab w:val="left" w:pos="4111"/>
        </w:tabs>
      </w:pPr>
      <w:bookmarkStart w:id="146" w:name="_Toc137705870"/>
      <w:bookmarkStart w:id="147" w:name="_Toc16974"/>
      <w:r>
        <w:rPr>
          <w:rFonts w:hint="eastAsia"/>
        </w:rPr>
        <w:t>4.1供货范围</w:t>
      </w:r>
      <w:bookmarkEnd w:id="146"/>
      <w:bookmarkEnd w:id="147"/>
    </w:p>
    <w:p w14:paraId="7E307B35">
      <w:pPr>
        <w:spacing w:line="440" w:lineRule="exact"/>
        <w:jc w:val="left"/>
        <w:rPr>
          <w:rStyle w:val="49"/>
        </w:rPr>
      </w:pPr>
      <w:bookmarkStart w:id="148" w:name="_Toc5474"/>
      <w:r>
        <w:rPr>
          <w:rStyle w:val="49"/>
          <w:rFonts w:hint="eastAsia"/>
        </w:rPr>
        <w:t>4.1.1主要货物一般供货范围界定</w:t>
      </w:r>
    </w:p>
    <w:bookmarkEnd w:id="148"/>
    <w:p w14:paraId="1A54277E">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1、供货范围包括本技术标书“采购货物概况” 所列及所要求的设备。</w:t>
      </w:r>
    </w:p>
    <w:p w14:paraId="3BF02CE6">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2、供货范围包括为保证设备正常安装、调试和验收完成及以前所必需的整套配件、附件及材料、油料、控制软件及程序或指令等。</w:t>
      </w:r>
    </w:p>
    <w:p w14:paraId="06B731E5">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如果终验收完成后，投标方有需要收回的配件、附件、材料、油料等，应当在投标文件的技术偏离条款中，予以详细说明；否则视同包括在供货范围之内。</w:t>
      </w:r>
    </w:p>
    <w:p w14:paraId="7F2AD346">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3、供货范围包括货物维护维修所必需的专用工具。</w:t>
      </w:r>
    </w:p>
    <w:p w14:paraId="60881941">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4、供货范围包括设备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w:t>
      </w:r>
    </w:p>
    <w:p w14:paraId="14907510">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如投标方难以提供或无优势提供以及属于选用配置的，则应当在投标文件的技术偏离条款中，予以详细说明并注明投标报价未包含该部分的货值。</w:t>
      </w:r>
    </w:p>
    <w:p w14:paraId="3357AE4C">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5、供货范围包括为保证设备自身正常运行所必需的、满足使用地点环境条件的通风、冷却、降温等必需设施。</w:t>
      </w:r>
    </w:p>
    <w:p w14:paraId="07ED980A">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6、以“交钥匙”方式采购的设备，在满足技术标书本节上述要求之外，供货范围还包括如下界定（货物）：</w:t>
      </w:r>
    </w:p>
    <w:p w14:paraId="3E55775C">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6.1招标方只提设备所需的厂房以及砼基础；只提供符合本技术标书中“采购货物概况”和“使用环境”章节所列明品质的电力、自来水、压缩空气、蒸汽、天然气管线至系统接口，如：系统电力接口的接线端，水、气、汽等外围管线端联接法兰外端面。</w:t>
      </w:r>
    </w:p>
    <w:p w14:paraId="2FB89C72">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6.2  供货范围包括设备正常运行所必需的全套连线设备、材料等。如货物端联接法兰外端面之内的、电气系统接口压线板（插座等）之内的设备、材料、联接螺栓、垫片等。</w:t>
      </w:r>
    </w:p>
    <w:p w14:paraId="3892F230">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6.3  供货范围包括设备正常运行、使用所需要的过桥、护栏、防护网、盖板等辅助设施。</w:t>
      </w:r>
    </w:p>
    <w:p w14:paraId="48A758D7">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6.3  供货范围包括招标文件中无明确具体要求而投标方认为必须具备的其它货物。但是，在投标文件报价明细中，该部分货物单独报价（该报价含运杂费及税费等其它费用，而且不再作为其它报价涉及的其它费用的计算基数）。</w:t>
      </w:r>
    </w:p>
    <w:p w14:paraId="262076F0">
      <w:pPr>
        <w:spacing w:line="440" w:lineRule="exact"/>
        <w:jc w:val="left"/>
        <w:rPr>
          <w:rStyle w:val="49"/>
        </w:rPr>
      </w:pPr>
      <w:bookmarkStart w:id="149" w:name="_Toc5698"/>
      <w:r>
        <w:rPr>
          <w:rStyle w:val="49"/>
          <w:rFonts w:hint="eastAsia"/>
        </w:rPr>
        <w:t>4.1.2备品备件、易损件和专用耗材供货范围</w:t>
      </w:r>
    </w:p>
    <w:bookmarkEnd w:id="149"/>
    <w:p w14:paraId="757A3185">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备品备件、易损件和专用耗材是招标方为保证设备质保期之后正常运行一年所自备自用的备品备件、易损件和专用耗材。质保期之内正常需要的备品备件、易损件和专用耗材全部包括在供货范围之内而不属于本条款界定的范围。</w:t>
      </w:r>
    </w:p>
    <w:p w14:paraId="14CA2CCE">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2、供货范围包括易损件和专用耗材的制造图纸及其技术要求等资料。</w:t>
      </w:r>
    </w:p>
    <w:p w14:paraId="150E0CC8">
      <w:pPr>
        <w:spacing w:line="440" w:lineRule="exact"/>
        <w:jc w:val="left"/>
        <w:rPr>
          <w:rStyle w:val="49"/>
        </w:rPr>
      </w:pPr>
      <w:bookmarkStart w:id="150" w:name="_Toc24186"/>
      <w:r>
        <w:rPr>
          <w:rStyle w:val="49"/>
          <w:rFonts w:hint="eastAsia"/>
        </w:rPr>
        <w:t>4.1.3技术资料供货范围</w:t>
      </w:r>
    </w:p>
    <w:bookmarkEnd w:id="150"/>
    <w:p w14:paraId="0DFF23B5">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技术资料供货范围包括：</w:t>
      </w:r>
    </w:p>
    <w:p w14:paraId="4D6044F2">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1、在合同签订后30个日历日内，提供设备基础及相关的设计、制作所需的纸质及电子版资料；电子版文件应当能够使用常用版本软件可以阅读甚至使用，进口货物、设备应有中外文对照。</w:t>
      </w:r>
    </w:p>
    <w:p w14:paraId="183FBB71">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2、在预验收前，提供设备各部分的功能描述文件、图片、影像等资料（进口、设备应有中外文对照）。</w:t>
      </w:r>
    </w:p>
    <w:p w14:paraId="1F672696">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lang w:val="en-US" w:eastAsia="zh-CN"/>
        </w:rPr>
        <w:t>3</w:t>
      </w:r>
      <w:r>
        <w:rPr>
          <w:rFonts w:hint="eastAsia" w:ascii="宋体" w:hAnsi="宋体" w:eastAsia="宋体"/>
          <w:sz w:val="23"/>
          <w:szCs w:val="23"/>
        </w:rPr>
        <w:t>、在终验收后的第一笔货款支付日之前，提供包括设备的备品备件、易损件和专用耗材的图纸及技术参数、技术要求等资料。</w:t>
      </w:r>
    </w:p>
    <w:p w14:paraId="32102DE9">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lang w:val="en-US" w:eastAsia="zh-CN"/>
        </w:rPr>
        <w:t>4</w:t>
      </w:r>
      <w:r>
        <w:rPr>
          <w:rFonts w:hint="eastAsia" w:ascii="宋体" w:hAnsi="宋体" w:eastAsia="宋体"/>
          <w:sz w:val="23"/>
          <w:szCs w:val="23"/>
        </w:rPr>
        <w:t>、在终验收后的第一笔货款支付日之前，提供关于采购货物的操作维护手册、保养维修手册、安全注意事项等的使用说明书、仪器仪表检定和使用维修说明书、合格证、产品样本等技术资料（含图片和影像等资料）；对于进口设备，应有中外文资料说明。</w:t>
      </w:r>
    </w:p>
    <w:p w14:paraId="6A455A52">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lang w:val="en-US" w:eastAsia="zh-CN"/>
        </w:rPr>
        <w:t>5</w:t>
      </w:r>
      <w:r>
        <w:rPr>
          <w:rFonts w:hint="eastAsia" w:ascii="宋体" w:hAnsi="宋体" w:eastAsia="宋体"/>
          <w:sz w:val="23"/>
          <w:szCs w:val="23"/>
        </w:rPr>
        <w:t>、本条款所列的技术资料、图片、影像等，投标方应各提供3套，其中1套为电子版光（软）盘；每份技术文件应装有目录清单。</w:t>
      </w:r>
    </w:p>
    <w:p w14:paraId="7AF71C8F">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lang w:val="en-US" w:eastAsia="zh-CN"/>
        </w:rPr>
        <w:t>6</w:t>
      </w:r>
      <w:r>
        <w:rPr>
          <w:rFonts w:hint="eastAsia" w:ascii="宋体" w:hAnsi="宋体" w:eastAsia="宋体"/>
          <w:sz w:val="23"/>
          <w:szCs w:val="23"/>
        </w:rPr>
        <w:t>、本条款所列要求，如招标方认为投标方提供的资料不能满足要求时，有权要求投标方免费补充或增加。</w:t>
      </w:r>
    </w:p>
    <w:p w14:paraId="3C1B5DB6">
      <w:pPr>
        <w:pStyle w:val="3"/>
        <w:numPr>
          <w:ilvl w:val="1"/>
          <w:numId w:val="0"/>
        </w:numPr>
        <w:tabs>
          <w:tab w:val="left" w:pos="4111"/>
        </w:tabs>
      </w:pPr>
      <w:bookmarkStart w:id="151" w:name="_Toc14772"/>
      <w:bookmarkStart w:id="152" w:name="_Toc137705871"/>
      <w:r>
        <w:rPr>
          <w:rFonts w:hint="eastAsia"/>
        </w:rPr>
        <w:t>4.2供货方式</w:t>
      </w:r>
      <w:bookmarkEnd w:id="151"/>
      <w:bookmarkEnd w:id="152"/>
    </w:p>
    <w:p w14:paraId="2DBEE6B0">
      <w:pPr>
        <w:spacing w:line="440" w:lineRule="exact"/>
        <w:jc w:val="left"/>
        <w:rPr>
          <w:rStyle w:val="49"/>
        </w:rPr>
      </w:pPr>
      <w:bookmarkStart w:id="153" w:name="_Toc3860"/>
      <w:r>
        <w:rPr>
          <w:rStyle w:val="49"/>
          <w:rFonts w:hint="eastAsia"/>
        </w:rPr>
        <w:t>4.2.1供货地点：</w:t>
      </w:r>
    </w:p>
    <w:bookmarkEnd w:id="153"/>
    <w:p w14:paraId="5887D240">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山东省济南市章丘区世纪大道7777号（济南商用车有限公司）。</w:t>
      </w:r>
    </w:p>
    <w:p w14:paraId="683C6D3F">
      <w:pPr>
        <w:spacing w:line="440" w:lineRule="exact"/>
        <w:jc w:val="left"/>
        <w:rPr>
          <w:rStyle w:val="49"/>
        </w:rPr>
      </w:pPr>
      <w:bookmarkStart w:id="154" w:name="_Toc6559"/>
      <w:r>
        <w:rPr>
          <w:rStyle w:val="49"/>
          <w:rFonts w:hint="eastAsia"/>
        </w:rPr>
        <w:t>4.2.2质保期及质保要求</w:t>
      </w:r>
    </w:p>
    <w:bookmarkEnd w:id="154"/>
    <w:p w14:paraId="52FA84B3">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1、全部供货范围内的设备、材料、零配件和工器具等，除合同特别约定外，其质保期均自终验收签字生效之日起12个月。</w:t>
      </w:r>
    </w:p>
    <w:p w14:paraId="2124A1F7">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投标货物或涉及的关键总成和零件</w:t>
      </w:r>
      <w:r>
        <w:rPr>
          <w:rFonts w:hint="eastAsia" w:ascii="宋体" w:hAnsi="宋体" w:eastAsia="宋体"/>
          <w:sz w:val="23"/>
          <w:szCs w:val="23"/>
          <w:lang w:val="en-US" w:eastAsia="zh-CN"/>
        </w:rPr>
        <w:t>如</w:t>
      </w:r>
      <w:r>
        <w:rPr>
          <w:rFonts w:hint="eastAsia" w:ascii="宋体" w:hAnsi="宋体" w:eastAsia="宋体"/>
          <w:color w:val="auto"/>
          <w:sz w:val="23"/>
          <w:szCs w:val="23"/>
          <w:lang w:val="en-US" w:eastAsia="zh-CN"/>
        </w:rPr>
        <w:t>（主板、CPU、屏幕、硬盘、内存、独显、电源，笔记本整机）</w:t>
      </w:r>
      <w:r>
        <w:rPr>
          <w:rFonts w:hint="eastAsia" w:ascii="宋体" w:hAnsi="宋体" w:eastAsia="宋体"/>
          <w:sz w:val="23"/>
          <w:szCs w:val="23"/>
        </w:rPr>
        <w:t>，如果有更长时间质保期，允许更改并说明，此将有利于投标方。</w:t>
      </w:r>
    </w:p>
    <w:p w14:paraId="6C315C4C">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设计使用寿命短于质保期的易损件除外，但属于易损件的，应当有明确说明。</w:t>
      </w:r>
    </w:p>
    <w:p w14:paraId="3DE1360B">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2、质保期之内，如果设备出现设备、总成、关键零部件或者多处一般零部件的更换或维修行为，则质保期自更换或维修行为结束、设备重新正常运行使用之日起重新计算。</w:t>
      </w:r>
    </w:p>
    <w:p w14:paraId="4C3DD290">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3、质保期内免费提供零部件和及时有效的服务。质保期内因货物本身缺陷造成的各种故障，投标方应负责免费维修和服务。</w:t>
      </w:r>
    </w:p>
    <w:p w14:paraId="7074CDEF">
      <w:pPr>
        <w:spacing w:line="440" w:lineRule="exact"/>
        <w:ind w:firstLine="460" w:firstLineChars="200"/>
        <w:jc w:val="left"/>
        <w:rPr>
          <w:rFonts w:hint="eastAsia" w:ascii="宋体" w:hAnsi="宋体"/>
        </w:rPr>
      </w:pPr>
      <w:r>
        <w:rPr>
          <w:rFonts w:hint="eastAsia" w:ascii="宋体" w:hAnsi="宋体" w:eastAsia="宋体"/>
          <w:sz w:val="23"/>
          <w:szCs w:val="23"/>
        </w:rPr>
        <w:t>4、质保期终止之日起一年内重复出现的质保期之内出现的故障，仍属质保范围而且应当免费。</w:t>
      </w:r>
    </w:p>
    <w:p w14:paraId="256BA60F">
      <w:pPr>
        <w:spacing w:line="440" w:lineRule="exact"/>
        <w:jc w:val="left"/>
        <w:rPr>
          <w:rStyle w:val="49"/>
        </w:rPr>
      </w:pPr>
      <w:bookmarkStart w:id="155" w:name="_Toc18910"/>
      <w:r>
        <w:rPr>
          <w:rStyle w:val="49"/>
          <w:rFonts w:hint="eastAsia"/>
        </w:rPr>
        <w:t>4.2.3包装</w:t>
      </w:r>
    </w:p>
    <w:bookmarkEnd w:id="155"/>
    <w:p w14:paraId="5466B921">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1、所提供设备的包装，应遵照国家标准和有关包装、包皮的技术条件，或按照最好的商业惯例进行包装。</w:t>
      </w:r>
    </w:p>
    <w:p w14:paraId="6774FC82">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2、包装应能满足所需要采取的运输方式（船运、汽运或铁路运输）、多次吊装卸装、卸货以及长期露天堆放要求，应能防止雨淋、受潮、生锈、腐蚀、受振、受磁以及机械和化学因素等引起的损坏。</w:t>
      </w:r>
    </w:p>
    <w:p w14:paraId="06EFD7F7">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3、所提供设备的包装，应能防止其一般性被窃或受外力破坏；一般不得采用有大缝隙的板条包装。</w:t>
      </w:r>
    </w:p>
    <w:p w14:paraId="2131817D">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4、应对包装件做必要的加固和固定，以防止运输可能造成的损坏。</w:t>
      </w:r>
    </w:p>
    <w:p w14:paraId="6318CD20">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5、每个包装件应有装箱单，并至少标明名称、型号规格、数量、净重和毛重、投标方（或供货商）名称和制造日期等相关内容。</w:t>
      </w:r>
    </w:p>
    <w:p w14:paraId="71FB3D04">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6、每个包装箱应有明显标志，并具有中文书写的合同号、装运标志、发货和到货地点名称、发货人和收货人名称、设备名称和项目号、箱号和外型尺寸等内容。</w:t>
      </w:r>
    </w:p>
    <w:p w14:paraId="53F07BC3">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7、应按照不同的装运要求在包装箱上标明“小心轻放”、“箭头向上”、“防潮”、“防磁”、“不准平放”等标志，以及其它适用的国标通用标志。</w:t>
      </w:r>
    </w:p>
    <w:p w14:paraId="37055485">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8、包装箱应连续编号，不应出现重复编号。</w:t>
      </w:r>
    </w:p>
    <w:p w14:paraId="0906FD94">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9、在不受到外界破坏情况下，包装应保证自交货日起一年内货物（或设备）完好无损。</w:t>
      </w:r>
    </w:p>
    <w:p w14:paraId="3A78DA98">
      <w:pPr>
        <w:spacing w:line="440" w:lineRule="exact"/>
        <w:jc w:val="left"/>
        <w:rPr>
          <w:rStyle w:val="49"/>
        </w:rPr>
      </w:pPr>
      <w:bookmarkStart w:id="156" w:name="_Toc15120"/>
      <w:r>
        <w:rPr>
          <w:rStyle w:val="49"/>
          <w:rFonts w:hint="eastAsia"/>
        </w:rPr>
        <w:t>4.2.4运输</w:t>
      </w:r>
    </w:p>
    <w:bookmarkEnd w:id="156"/>
    <w:p w14:paraId="523178D4">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1、应负责将设备运到目的地，并必须做到设备在任何运输过程中不受损坏和遗失。</w:t>
      </w:r>
    </w:p>
    <w:p w14:paraId="4297BF5D">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2、同批设备应统一包装、编号运输。</w:t>
      </w:r>
    </w:p>
    <w:p w14:paraId="4711C3B8">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3、一般情况下，经由铁路、公路运输的包装件尺寸和重量不应超过国家所规定的尺寸限制。特殊情况应予以说明。</w:t>
      </w:r>
    </w:p>
    <w:p w14:paraId="42C87148">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4、在每批设备发出后，应立即通知招标方；通知中应指明：合同号、货运单号、件数、重量和设备发出日期等相关内容。</w:t>
      </w:r>
    </w:p>
    <w:p w14:paraId="2DF619A8">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5、设备运抵交货地点后，应负责货物（或设备）的卸货、搬运、保管等事宜；或按照合同约定。</w:t>
      </w:r>
    </w:p>
    <w:bookmarkEnd w:id="145"/>
    <w:p w14:paraId="026135DE">
      <w:pPr>
        <w:pStyle w:val="2"/>
        <w:numPr>
          <w:ilvl w:val="0"/>
          <w:numId w:val="0"/>
        </w:numPr>
        <w:jc w:val="center"/>
      </w:pPr>
      <w:bookmarkStart w:id="157" w:name="_Toc5274"/>
      <w:bookmarkStart w:id="158" w:name="_Toc137705872"/>
      <w:bookmarkStart w:id="159" w:name="_Toc7543522"/>
      <w:r>
        <w:rPr>
          <w:rFonts w:hint="eastAsia"/>
        </w:rPr>
        <w:t>5、售中售后服务</w:t>
      </w:r>
      <w:bookmarkEnd w:id="157"/>
      <w:bookmarkEnd w:id="158"/>
    </w:p>
    <w:p w14:paraId="6021CF0B">
      <w:pPr>
        <w:pStyle w:val="3"/>
        <w:numPr>
          <w:ilvl w:val="1"/>
          <w:numId w:val="0"/>
        </w:numPr>
        <w:tabs>
          <w:tab w:val="left" w:pos="4111"/>
        </w:tabs>
      </w:pPr>
      <w:bookmarkStart w:id="160" w:name="_Toc10186"/>
      <w:r>
        <w:rPr>
          <w:rFonts w:hint="eastAsia"/>
        </w:rPr>
        <w:t>5.1技术及培训服务</w:t>
      </w:r>
      <w:bookmarkEnd w:id="160"/>
    </w:p>
    <w:p w14:paraId="7BE562A6">
      <w:pPr>
        <w:spacing w:line="440" w:lineRule="exact"/>
        <w:ind w:firstLine="460" w:firstLineChars="200"/>
        <w:jc w:val="left"/>
        <w:rPr>
          <w:rFonts w:ascii="宋体" w:hAnsi="宋体" w:eastAsia="宋体"/>
          <w:sz w:val="23"/>
          <w:szCs w:val="23"/>
        </w:rPr>
      </w:pPr>
      <w:bookmarkStart w:id="161" w:name="_Toc22843"/>
      <w:r>
        <w:rPr>
          <w:rFonts w:hint="eastAsia" w:ascii="宋体" w:hAnsi="宋体" w:eastAsia="宋体"/>
          <w:sz w:val="23"/>
          <w:szCs w:val="23"/>
        </w:rPr>
        <w:t>1.卖方承担设备安装、调试、验收及培训等工作。</w:t>
      </w:r>
    </w:p>
    <w:p w14:paraId="2A066C7F">
      <w:pPr>
        <w:spacing w:line="440" w:lineRule="exact"/>
        <w:ind w:firstLine="460" w:firstLineChars="200"/>
        <w:jc w:val="left"/>
        <w:rPr>
          <w:rFonts w:ascii="宋体" w:hAnsi="宋体" w:eastAsia="宋体"/>
          <w:sz w:val="23"/>
          <w:szCs w:val="23"/>
        </w:rPr>
      </w:pPr>
      <w:r>
        <w:rPr>
          <w:rFonts w:hint="eastAsia" w:ascii="宋体" w:hAnsi="宋体" w:eastAsia="宋体"/>
          <w:sz w:val="23"/>
          <w:szCs w:val="23"/>
        </w:rPr>
        <w:t>2.培训具体分为入门培训、应用培训两部分（两名为基准）。</w:t>
      </w:r>
    </w:p>
    <w:p w14:paraId="537D1715">
      <w:pPr>
        <w:spacing w:line="440" w:lineRule="exact"/>
        <w:ind w:firstLine="460" w:firstLineChars="200"/>
        <w:jc w:val="left"/>
        <w:rPr>
          <w:rFonts w:ascii="宋体" w:hAnsi="宋体" w:eastAsia="宋体"/>
          <w:sz w:val="23"/>
          <w:szCs w:val="23"/>
        </w:rPr>
      </w:pPr>
      <w:r>
        <w:rPr>
          <w:rFonts w:ascii="宋体" w:hAnsi="宋体" w:eastAsia="宋体"/>
          <w:sz w:val="23"/>
          <w:szCs w:val="23"/>
        </w:rPr>
        <w:t>2.1</w:t>
      </w:r>
      <w:r>
        <w:rPr>
          <w:rFonts w:hint="eastAsia" w:ascii="宋体" w:hAnsi="宋体" w:eastAsia="宋体"/>
          <w:sz w:val="23"/>
          <w:szCs w:val="23"/>
        </w:rPr>
        <w:t>入门培训</w:t>
      </w:r>
    </w:p>
    <w:p w14:paraId="00EB5D65">
      <w:pPr>
        <w:spacing w:line="440" w:lineRule="exact"/>
        <w:ind w:firstLine="460" w:firstLineChars="200"/>
        <w:jc w:val="left"/>
        <w:rPr>
          <w:rFonts w:ascii="宋体" w:hAnsi="宋体" w:eastAsia="宋体"/>
          <w:sz w:val="23"/>
          <w:szCs w:val="23"/>
        </w:rPr>
      </w:pPr>
      <w:r>
        <w:rPr>
          <w:rFonts w:hint="eastAsia" w:ascii="宋体" w:hAnsi="宋体" w:eastAsia="宋体"/>
          <w:sz w:val="23"/>
          <w:szCs w:val="23"/>
        </w:rPr>
        <w:t>（1）培训内容：操作规程、基本原理、设备管理,设备的基本结构、工作原理等内容；</w:t>
      </w:r>
    </w:p>
    <w:p w14:paraId="606A9A38">
      <w:pPr>
        <w:spacing w:line="440" w:lineRule="exact"/>
        <w:ind w:firstLine="460" w:firstLineChars="200"/>
        <w:jc w:val="left"/>
        <w:rPr>
          <w:rFonts w:ascii="宋体" w:hAnsi="宋体" w:eastAsia="宋体"/>
          <w:sz w:val="23"/>
          <w:szCs w:val="23"/>
        </w:rPr>
      </w:pPr>
      <w:r>
        <w:rPr>
          <w:rFonts w:hint="eastAsia" w:ascii="宋体" w:hAnsi="宋体" w:eastAsia="宋体"/>
          <w:sz w:val="23"/>
          <w:szCs w:val="23"/>
        </w:rPr>
        <w:t>（2）培训时间地点：客户现场；</w:t>
      </w:r>
    </w:p>
    <w:p w14:paraId="74AB4ED4">
      <w:pPr>
        <w:spacing w:line="440" w:lineRule="exact"/>
        <w:ind w:firstLine="460" w:firstLineChars="200"/>
        <w:jc w:val="left"/>
        <w:rPr>
          <w:rFonts w:ascii="宋体" w:hAnsi="宋体" w:eastAsia="宋体"/>
          <w:sz w:val="23"/>
          <w:szCs w:val="23"/>
        </w:rPr>
      </w:pPr>
      <w:r>
        <w:rPr>
          <w:rFonts w:ascii="宋体" w:hAnsi="宋体" w:eastAsia="宋体"/>
          <w:sz w:val="23"/>
          <w:szCs w:val="23"/>
        </w:rPr>
        <w:t>2.2</w:t>
      </w:r>
      <w:r>
        <w:rPr>
          <w:rFonts w:hint="eastAsia" w:ascii="宋体" w:hAnsi="宋体" w:eastAsia="宋体"/>
          <w:sz w:val="23"/>
          <w:szCs w:val="23"/>
        </w:rPr>
        <w:t>应用培训</w:t>
      </w:r>
    </w:p>
    <w:p w14:paraId="6AFC0350">
      <w:pPr>
        <w:spacing w:line="440" w:lineRule="exact"/>
        <w:ind w:firstLine="460" w:firstLineChars="200"/>
        <w:jc w:val="left"/>
        <w:rPr>
          <w:rFonts w:ascii="宋体" w:hAnsi="宋体" w:eastAsia="宋体"/>
          <w:sz w:val="23"/>
          <w:szCs w:val="23"/>
        </w:rPr>
      </w:pPr>
      <w:r>
        <w:rPr>
          <w:rFonts w:hint="eastAsia" w:ascii="宋体" w:hAnsi="宋体" w:eastAsia="宋体"/>
          <w:sz w:val="23"/>
          <w:szCs w:val="23"/>
        </w:rPr>
        <w:t>（1）培训内容：设备实际操作、维护等专业岗位操作技能，包含手动自动测量、编程、程序修改等；</w:t>
      </w:r>
    </w:p>
    <w:p w14:paraId="61180E45">
      <w:pPr>
        <w:spacing w:line="440" w:lineRule="exact"/>
        <w:ind w:firstLine="460" w:firstLineChars="200"/>
        <w:jc w:val="left"/>
        <w:rPr>
          <w:rFonts w:ascii="宋体" w:hAnsi="宋体" w:eastAsia="宋体"/>
          <w:sz w:val="23"/>
          <w:szCs w:val="23"/>
        </w:rPr>
      </w:pPr>
      <w:r>
        <w:rPr>
          <w:rFonts w:hint="eastAsia" w:ascii="宋体" w:hAnsi="宋体" w:eastAsia="宋体"/>
          <w:sz w:val="23"/>
          <w:szCs w:val="23"/>
        </w:rPr>
        <w:t>（2）培训时间和地点：客户现场；</w:t>
      </w:r>
    </w:p>
    <w:p w14:paraId="72E850CB">
      <w:pPr>
        <w:spacing w:line="440" w:lineRule="exact"/>
        <w:ind w:firstLine="460" w:firstLineChars="200"/>
        <w:jc w:val="left"/>
        <w:rPr>
          <w:rFonts w:ascii="宋体" w:hAnsi="宋体" w:eastAsia="宋体"/>
          <w:sz w:val="23"/>
          <w:szCs w:val="23"/>
        </w:rPr>
      </w:pPr>
      <w:r>
        <w:rPr>
          <w:rFonts w:hint="eastAsia" w:ascii="宋体" w:hAnsi="宋体" w:eastAsia="宋体"/>
          <w:sz w:val="23"/>
          <w:szCs w:val="23"/>
        </w:rPr>
        <w:t>3.培训效果：经过培训的操作人员会熟练操作设备（包括软件，硬件），并能排查常见故障，具备包括软件的备份、安装、常用参数设置等技能，经过培训的维修人员必须会进行设备软、硬件的常规保养及基本维修和基本故障诊断，包括设备运行参数的设置、修正、系统软件恢复等。</w:t>
      </w:r>
    </w:p>
    <w:p w14:paraId="557072E2">
      <w:pPr>
        <w:spacing w:line="440" w:lineRule="exact"/>
        <w:ind w:firstLine="460" w:firstLineChars="200"/>
        <w:jc w:val="left"/>
        <w:rPr>
          <w:rFonts w:ascii="宋体" w:hAnsi="宋体" w:eastAsia="宋体"/>
          <w:sz w:val="23"/>
          <w:szCs w:val="23"/>
        </w:rPr>
      </w:pPr>
      <w:r>
        <w:rPr>
          <w:rFonts w:hint="eastAsia" w:ascii="宋体" w:hAnsi="宋体" w:eastAsia="宋体"/>
          <w:sz w:val="23"/>
          <w:szCs w:val="23"/>
        </w:rPr>
        <w:t>4.培训两周前免费提供使用手册等，设备安装后提供现场指导，卖方安排的培训人员在培训期间听从买方安排包括必要的测量支持；培训费用包含在报价中。</w:t>
      </w:r>
    </w:p>
    <w:p w14:paraId="68C01E57">
      <w:pPr>
        <w:pStyle w:val="3"/>
        <w:numPr>
          <w:ilvl w:val="1"/>
          <w:numId w:val="0"/>
        </w:numPr>
        <w:tabs>
          <w:tab w:val="left" w:pos="4111"/>
        </w:tabs>
      </w:pPr>
      <w:r>
        <w:rPr>
          <w:rFonts w:hint="eastAsia"/>
        </w:rPr>
        <w:t>5.2安装调试及验收服务</w:t>
      </w:r>
      <w:bookmarkEnd w:id="161"/>
    </w:p>
    <w:p w14:paraId="18247D2B">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指导安装调试或负责安装调试以及协助验收，投标方均应在投标文件中明确其收费额或免费约定，否则视同免费；安装调试及验收服务均应按照合同约定或协议、通知及时组织并完成。因投标方原因造成的延期，所发生的费用全部由投标方承担。</w:t>
      </w:r>
    </w:p>
    <w:p w14:paraId="4739A605">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2、若投标方提供的设备涉及到外购外协货物、而且该货物的技术质量等较为关键时，应保证能得到供应商的技术支持，并免费为招标方提供安装使用现场的指导与培训。</w:t>
      </w:r>
    </w:p>
    <w:p w14:paraId="6352A45A">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3、招标方将积极协助投标方达到设备的各项技术指标和性能要求。投标方在招标方现场进行的货物的安装、调试和试运行，招标方有权参与，投标方应无条件向招标方提供现场记录和试运行数据及报告。</w:t>
      </w:r>
    </w:p>
    <w:p w14:paraId="1595DD20">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4、在投标方所提供设备需要得到招标方建设项目所在地政府或行业主管部门的查验、试验、验收时，投标方应当免费完成或协助招标方完成所需要的工作、材料和服务等。协助完成的，应当在投标文件报价内容中予以说明，否则视同免费。</w:t>
      </w:r>
    </w:p>
    <w:p w14:paraId="68524F3B">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5、投标方应当向招标方提供货物试验、验收的有关标准、规范和方法，同时提供货物涉及并使用的软件合法性证明。</w:t>
      </w:r>
    </w:p>
    <w:p w14:paraId="688A48CD">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6、服务缺陷视同货物缺陷和履约延期。</w:t>
      </w:r>
    </w:p>
    <w:p w14:paraId="240E676B">
      <w:pPr>
        <w:pStyle w:val="3"/>
        <w:numPr>
          <w:ilvl w:val="1"/>
          <w:numId w:val="0"/>
        </w:numPr>
        <w:tabs>
          <w:tab w:val="left" w:pos="4111"/>
        </w:tabs>
      </w:pPr>
      <w:bookmarkStart w:id="162" w:name="_Toc25753"/>
      <w:r>
        <w:rPr>
          <w:rFonts w:hint="eastAsia"/>
        </w:rPr>
        <w:t>5.3售后服务</w:t>
      </w:r>
      <w:bookmarkEnd w:id="162"/>
    </w:p>
    <w:p w14:paraId="27191B13">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1、投标方提供的设备涉及的所有售后服务均由投标方负责。如果发生问题并且收到通知，投标方应当在2小时内予以答复。</w:t>
      </w:r>
    </w:p>
    <w:p w14:paraId="41331740">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2、如发现所提供的设备存在问题，需要投标方解决或配合解决时：在质保期之内，应在接到通知后</w:t>
      </w:r>
      <w:r>
        <w:rPr>
          <w:rFonts w:hint="eastAsia" w:ascii="宋体" w:hAnsi="宋体" w:eastAsia="宋体"/>
          <w:color w:val="auto"/>
          <w:sz w:val="23"/>
          <w:szCs w:val="23"/>
        </w:rPr>
        <w:t>12</w:t>
      </w:r>
      <w:r>
        <w:rPr>
          <w:rFonts w:hint="eastAsia" w:ascii="宋体" w:hAnsi="宋体" w:eastAsia="宋体"/>
          <w:sz w:val="23"/>
          <w:szCs w:val="23"/>
        </w:rPr>
        <w:t>时内派有关人员到达现场；在质保期之外，应在接到通知后  24小时内派有关人员到达现场。</w:t>
      </w:r>
    </w:p>
    <w:p w14:paraId="6D082354">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3、投标方派往招标方使用现场的人员，应具有较高的业务素质；现场解决问题时，不得无故拖延或推迟，应为招标方提供最佳的服务。</w:t>
      </w:r>
    </w:p>
    <w:p w14:paraId="0ACD7230">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4、投标方在中国境内必须设有直属售后服务机构（办事处或分公司）及常用备件库，具备能在中国境内长期提供培训和维修的条件。此直属的服务机构必须能够做二级以上的高级维修，以保证快速反应时间，而不用把设备发回到原产地进行维修。</w:t>
      </w:r>
    </w:p>
    <w:p w14:paraId="06499F53">
      <w:pPr>
        <w:pStyle w:val="3"/>
        <w:numPr>
          <w:ilvl w:val="1"/>
          <w:numId w:val="0"/>
        </w:numPr>
        <w:tabs>
          <w:tab w:val="left" w:pos="4111"/>
        </w:tabs>
      </w:pPr>
      <w:bookmarkStart w:id="163" w:name="_Toc355"/>
      <w:r>
        <w:rPr>
          <w:rFonts w:hint="eastAsia"/>
        </w:rPr>
        <w:t>5.4其它服务</w:t>
      </w:r>
      <w:bookmarkEnd w:id="163"/>
    </w:p>
    <w:p w14:paraId="77A7E82B">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1、若投标方所提供设备有需要进口的，投标方一般应自行、自费办理；必要时，买卖双方共同办理。</w:t>
      </w:r>
    </w:p>
    <w:p w14:paraId="17DC4D28">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2、除招标文件、投标文件、答疑文件、技术协议、合同等约定之外，投标方应免费负责必要的或强制性的设备的检验、试验、化验等直接费用。</w:t>
      </w:r>
    </w:p>
    <w:p w14:paraId="1BFDE63F">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3、本章节条款所列“免费”，并非指定不可收费，而是指招标文件、投标文件、答疑文件、技术交流文件、技术协议书和合同等范围之外，投标方不可另行收取的费用。</w:t>
      </w:r>
    </w:p>
    <w:p w14:paraId="5B348A09">
      <w:pPr>
        <w:pStyle w:val="2"/>
        <w:numPr>
          <w:ilvl w:val="0"/>
          <w:numId w:val="0"/>
        </w:numPr>
        <w:jc w:val="center"/>
      </w:pPr>
      <w:bookmarkStart w:id="164" w:name="_Toc21641"/>
      <w:bookmarkStart w:id="165" w:name="_Toc137705873"/>
      <w:r>
        <w:rPr>
          <w:rFonts w:hint="eastAsia"/>
        </w:rPr>
        <w:t>6、预验收和终验收</w:t>
      </w:r>
      <w:bookmarkEnd w:id="164"/>
      <w:bookmarkEnd w:id="165"/>
    </w:p>
    <w:p w14:paraId="56A66875">
      <w:pPr>
        <w:pStyle w:val="3"/>
        <w:numPr>
          <w:ilvl w:val="1"/>
          <w:numId w:val="0"/>
        </w:numPr>
        <w:tabs>
          <w:tab w:val="left" w:pos="4111"/>
        </w:tabs>
      </w:pPr>
      <w:bookmarkStart w:id="166" w:name="_Toc27640"/>
      <w:r>
        <w:rPr>
          <w:rFonts w:hint="eastAsia"/>
        </w:rPr>
        <w:t>6.1验收的一般约定</w:t>
      </w:r>
      <w:bookmarkEnd w:id="166"/>
    </w:p>
    <w:p w14:paraId="303D9185">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1、验收标准一般以技术协议书和合同规定验收。</w:t>
      </w:r>
    </w:p>
    <w:p w14:paraId="493C8296">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2、如果验收过程中，发现招标文件、投标文件、答疑文件、技术交流文件等与技术协议书、合同存在差异，原则上以涉及条款中对招标方最有利条款为验收依据。</w:t>
      </w:r>
    </w:p>
    <w:p w14:paraId="6F591E6E">
      <w:pPr>
        <w:pStyle w:val="3"/>
        <w:numPr>
          <w:ilvl w:val="1"/>
          <w:numId w:val="0"/>
        </w:numPr>
        <w:tabs>
          <w:tab w:val="left" w:pos="4111"/>
        </w:tabs>
      </w:pPr>
      <w:bookmarkStart w:id="167" w:name="_Toc2742"/>
      <w:r>
        <w:rPr>
          <w:rFonts w:hint="eastAsia"/>
        </w:rPr>
        <w:t>6.2检验</w:t>
      </w:r>
      <w:bookmarkEnd w:id="167"/>
    </w:p>
    <w:p w14:paraId="36E902D4">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1、国产货物的检验由买卖双方按照合同要求或在制造现场进行。</w:t>
      </w:r>
    </w:p>
    <w:p w14:paraId="71178AA1">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2、进口货物的检验，投标方需要按照下述要求进行：</w:t>
      </w:r>
    </w:p>
    <w:p w14:paraId="5D40FE39">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2.1  进口货物发货前，应对货物的质量、型号、规格、性能和数量/重量作精密、全面的检验，并出具证明书，证明所供货物符合合同规定。</w:t>
      </w:r>
    </w:p>
    <w:p w14:paraId="2085C636">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2.2  应依据合同规定的要求，提供买卖双方达成一致的货物的验收标准和装箱单，作为招标方检验的依据。</w:t>
      </w:r>
    </w:p>
    <w:p w14:paraId="1A06D181">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2.3  进口货物到达目的地后，招标方有权申请中国商品检验检疫局进行检验，如发现货物的品质及规格与合同或发票不符，除招标方的责任外，招标方有权在货物到达卸货目的地后180个日历日内，根据中国商品检验检疫局出具的证明书向投标方提出索赔，因索赔所发生的一切费用(包括检验检疫费等)均由投标方承担。</w:t>
      </w:r>
    </w:p>
    <w:p w14:paraId="57F68294">
      <w:pPr>
        <w:pStyle w:val="3"/>
        <w:numPr>
          <w:ilvl w:val="1"/>
          <w:numId w:val="0"/>
        </w:numPr>
        <w:tabs>
          <w:tab w:val="left" w:pos="4111"/>
        </w:tabs>
      </w:pPr>
      <w:bookmarkStart w:id="168" w:name="_Toc30798"/>
      <w:r>
        <w:rPr>
          <w:rFonts w:hint="eastAsia"/>
        </w:rPr>
        <w:t>6.3验收基本条件</w:t>
      </w:r>
      <w:bookmarkEnd w:id="168"/>
    </w:p>
    <w:p w14:paraId="3E8CF1E5">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验收一般分预验收和终验收两部分。预验收一般在投标方现场进行，终验收在安装调试完成及试运行后的招标方现场进行。但是所有的项目，包括不能预验收的项目和预验收通过的项目都在终验收时重新检验，最终只以终验收为准。</w:t>
      </w:r>
    </w:p>
    <w:p w14:paraId="3A4F2194">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买卖双方按照合同约定执行了合同，同时设备完成了试运行并经检验合格，则具备验收条件。</w:t>
      </w:r>
    </w:p>
    <w:p w14:paraId="615BCC36">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1、预验收一般条件</w:t>
      </w:r>
    </w:p>
    <w:p w14:paraId="13CDA8F1">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1.1  投标方已经按照“供货范围”要求提供了预验收资料，并且资料齐全、完整和有效。</w:t>
      </w:r>
    </w:p>
    <w:p w14:paraId="62B27FD5">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1.2  设备应完整且所有的零部件应该安装牢固，外观无损伤。</w:t>
      </w:r>
    </w:p>
    <w:p w14:paraId="4523F393">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1.3  一般情况下，所有的管路和线缆等，接头应完全正确、可靠地联接；应排列有序（正确、牢固、整齐），有必要的防护。</w:t>
      </w:r>
    </w:p>
    <w:p w14:paraId="4B08B690">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1.4  地线联接和地极符合国际（ISO/IEC）标准规范。</w:t>
      </w:r>
    </w:p>
    <w:p w14:paraId="5F939643">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1.5 设备的安全要求符合中国最新的相关法律、法规、标准和规范以及合同要求。</w:t>
      </w:r>
    </w:p>
    <w:p w14:paraId="65601347">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2、终验收一般条件</w:t>
      </w:r>
    </w:p>
    <w:p w14:paraId="05088534">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2.1  经过预验收而且没有出现新的质量问题，或者满足预验收条款。</w:t>
      </w:r>
    </w:p>
    <w:p w14:paraId="6A8D080A">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2.2  设备安装调试完毕，并至少经过了验收要求的负荷试运行。</w:t>
      </w:r>
    </w:p>
    <w:p w14:paraId="309C3BB5">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2.3  设备正常运行时，噪声等环境影响因素满足国家和当地环保主管部门规定，安全措施落实、有效。</w:t>
      </w:r>
    </w:p>
    <w:p w14:paraId="41085AAF">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2.4  计量仪器、仪表配套合理，采用中国的法定计量单位，计量准确、灵敏可靠。保证设计指标和仪器说明书的参数的实现。</w:t>
      </w:r>
    </w:p>
    <w:p w14:paraId="7E13CDEE">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2.5  试运行期间或之后无维修、调整等行为（特殊情况除外）。</w:t>
      </w:r>
    </w:p>
    <w:p w14:paraId="17B4CA0A">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2.6 设备质量、技术性能等，达到签定的技术协议书和合同规定的终验收标准。</w:t>
      </w:r>
    </w:p>
    <w:p w14:paraId="1F767FA0">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3、终验收基本要求</w:t>
      </w:r>
    </w:p>
    <w:p w14:paraId="23C1C68C">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3.1  设备精度测试：中标方提供精度测试标准。</w:t>
      </w:r>
    </w:p>
    <w:p w14:paraId="598250AC">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3.2  终验收内容包括以下内容：</w:t>
      </w:r>
    </w:p>
    <w:p w14:paraId="2C7BA740">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3.2.1终验收在招标方现场进行，验收内容包括但不限于设备资料、培训、设备配置、扫描精度等。</w:t>
      </w:r>
    </w:p>
    <w:p w14:paraId="220CC8FC">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3.2.2 中标方在终验收时需提交一份预验收时发现的缺陷和设备故障确认完成整改的汇总表，列入终验收报告。</w:t>
      </w:r>
    </w:p>
    <w:p w14:paraId="6F9EF29C">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3.3  终验收原则上要求一次完成。若一次验收不成功，最多允许两次；如果出现第三次验收失败，重新作价或退货；</w:t>
      </w:r>
    </w:p>
    <w:p w14:paraId="7081AA3B">
      <w:pPr>
        <w:spacing w:line="440" w:lineRule="exact"/>
        <w:ind w:firstLine="460" w:firstLineChars="200"/>
        <w:jc w:val="left"/>
        <w:rPr>
          <w:sz w:val="29"/>
          <w:szCs w:val="29"/>
        </w:rPr>
      </w:pPr>
      <w:r>
        <w:rPr>
          <w:rFonts w:hint="eastAsia" w:ascii="宋体" w:hAnsi="宋体" w:eastAsia="宋体"/>
          <w:sz w:val="23"/>
          <w:szCs w:val="23"/>
        </w:rPr>
        <w:t>3.4  终验收通过后买卖双方共同签署终验收报告，并移交、核对全部供货范围内物品。</w:t>
      </w:r>
    </w:p>
    <w:p w14:paraId="5023FE51">
      <w:pPr>
        <w:pStyle w:val="2"/>
        <w:numPr>
          <w:ilvl w:val="0"/>
          <w:numId w:val="0"/>
        </w:numPr>
        <w:jc w:val="center"/>
      </w:pPr>
      <w:bookmarkStart w:id="169" w:name="_Toc137705875"/>
      <w:bookmarkStart w:id="170" w:name="_Toc10599"/>
      <w:r>
        <w:rPr>
          <w:rFonts w:hint="eastAsia"/>
        </w:rPr>
        <w:t>7、其他要求及说明</w:t>
      </w:r>
      <w:bookmarkEnd w:id="169"/>
      <w:bookmarkEnd w:id="170"/>
    </w:p>
    <w:p w14:paraId="0955786D">
      <w:pPr>
        <w:pStyle w:val="3"/>
        <w:numPr>
          <w:ilvl w:val="1"/>
          <w:numId w:val="0"/>
        </w:numPr>
        <w:tabs>
          <w:tab w:val="left" w:pos="4111"/>
        </w:tabs>
      </w:pPr>
      <w:bookmarkStart w:id="171" w:name="_Toc19677"/>
      <w:r>
        <w:rPr>
          <w:rFonts w:hint="eastAsia"/>
        </w:rPr>
        <w:t>7.1要求</w:t>
      </w:r>
      <w:bookmarkEnd w:id="171"/>
    </w:p>
    <w:p w14:paraId="51101729">
      <w:pPr>
        <w:spacing w:line="440" w:lineRule="exact"/>
        <w:ind w:firstLine="462" w:firstLineChars="200"/>
        <w:jc w:val="left"/>
        <w:rPr>
          <w:rFonts w:hint="eastAsia" w:ascii="宋体" w:hAnsi="宋体" w:eastAsia="宋体"/>
          <w:b/>
          <w:bCs/>
          <w:sz w:val="23"/>
          <w:szCs w:val="23"/>
        </w:rPr>
      </w:pPr>
      <w:r>
        <w:rPr>
          <w:rFonts w:hint="eastAsia" w:ascii="宋体" w:hAnsi="宋体" w:eastAsia="宋体"/>
          <w:b/>
          <w:bCs/>
          <w:sz w:val="23"/>
          <w:szCs w:val="23"/>
        </w:rPr>
        <w:t>为保证本技术标书所列采购设备的质量以及先进性、可靠性、经济性和实用性，要求投标方在投标文件中，至少应具备以下资格证明文件或资料：</w:t>
      </w:r>
    </w:p>
    <w:p w14:paraId="3E44A89F">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1、投标方应是独立法人或得到法人授权的机构。应当在投标文件中提供法人营业执照（复印件）、税务登记证以及组织机构代码证（国外供应商参考该要求提供有效证明文件），并保证其真实性和有效性。</w:t>
      </w:r>
    </w:p>
    <w:p w14:paraId="328206E9">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2、投标方应当是通过有关资格认证的法人。应当在投标文件中提供有效期内的资格认证证书，如：ISO9001、VDA6.1、QS9000等。</w:t>
      </w:r>
    </w:p>
    <w:p w14:paraId="7B304C7C">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3、国产设备应附有采购设备涉及的由“中国质量认证中心”颁发的《中国国家强制性产品认证证书》（CCC证书）。</w:t>
      </w:r>
    </w:p>
    <w:p w14:paraId="7AC6E1C2">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4、应附有其它与投标单位、采购货物有关的荣誉证书或资料。</w:t>
      </w:r>
    </w:p>
    <w:p w14:paraId="72DF351C">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5、必须附有投标货物涉及产品要求的、国家或行业管理规定要求的、或者投标方认为能够体现其投标货物合法性及先进性的最高级别的证明材料（投标货物不涉及的除外）：</w:t>
      </w:r>
    </w:p>
    <w:p w14:paraId="4007CD3E">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5.1  国家相关机构颁发的有效期之内所必需的《生产许可证》。</w:t>
      </w:r>
    </w:p>
    <w:p w14:paraId="06B88732">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5.2  产品（或技术）鉴定报告/证书、专利证书或专利许可证书、新技术成果证书等。</w:t>
      </w:r>
    </w:p>
    <w:p w14:paraId="45EB01BA">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5.3  产品相关检验、试验报告，如：型式试验检验报告、安全试验检验报告、电弧效应试验报告、噪声检测报告等</w:t>
      </w:r>
    </w:p>
    <w:p w14:paraId="23A53C36">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5.4  其它能够证明所供设备的质量水平、技术水平、安全性水平、节能性水平、环保性水平等相关的其它证明文件或资料、报告等。</w:t>
      </w:r>
    </w:p>
    <w:p w14:paraId="55EA7A55">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5.5  该类报告或证明材料对于投标方胜出乃至中标极为重要！</w:t>
      </w:r>
    </w:p>
    <w:p w14:paraId="3AF634F5">
      <w:pPr>
        <w:spacing w:line="440" w:lineRule="exact"/>
        <w:ind w:firstLine="460" w:firstLineChars="200"/>
        <w:jc w:val="left"/>
        <w:rPr>
          <w:rFonts w:hint="eastAsia" w:ascii="宋体" w:hAnsi="宋体" w:eastAsia="宋体"/>
          <w:sz w:val="23"/>
          <w:szCs w:val="23"/>
        </w:rPr>
      </w:pPr>
      <w:r>
        <w:rPr>
          <w:rFonts w:hint="eastAsia" w:ascii="宋体" w:hAnsi="宋体" w:eastAsia="宋体"/>
          <w:sz w:val="23"/>
          <w:szCs w:val="23"/>
        </w:rPr>
        <w:t>6、必须附有与本采购设备相同或相似技术规格、型号的而且已经正常使用或通过验收的近三年以上的设备的市场销售业绩清单，清单中应具备：招标方单位名称、销售设备的规格型号、数量、（交货）时间、联系人和联系电话（非移动通信号码）等条目内容；投标方应当保证其业绩的真实性，否则将影响投标或中标资格。</w:t>
      </w:r>
      <w:bookmarkEnd w:id="159"/>
    </w:p>
    <w:p w14:paraId="0BEF63CF">
      <w:pPr>
        <w:keepNext/>
        <w:keepLines/>
        <w:spacing w:before="120" w:beforeLines="50" w:after="120" w:afterLines="50" w:line="360" w:lineRule="auto"/>
        <w:jc w:val="center"/>
        <w:outlineLvl w:val="0"/>
        <w:rPr>
          <w:rFonts w:hint="eastAsia" w:hAnsi="宋体" w:eastAsia="宋体" w:cs="Times New Roman"/>
          <w:b/>
          <w:color w:val="000000"/>
          <w:sz w:val="24"/>
          <w:szCs w:val="24"/>
        </w:rPr>
      </w:pPr>
    </w:p>
    <w:sectPr>
      <w:headerReference r:id="rId14" w:type="first"/>
      <w:footerReference r:id="rId16" w:type="first"/>
      <w:headerReference r:id="rId13" w:type="default"/>
      <w:footerReference r:id="rId15" w:type="default"/>
      <w:pgSz w:w="12240" w:h="15840"/>
      <w:pgMar w:top="1440" w:right="1800" w:bottom="1440" w:left="180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Helvetica">
    <w:altName w:val="Arial"/>
    <w:panose1 w:val="00000000000000000000"/>
    <w:charset w:val="00"/>
    <w:family w:val="auto"/>
    <w:pitch w:val="default"/>
    <w:sig w:usb0="00000000" w:usb1="00000000" w:usb2="00000000" w:usb3="00000000" w:csb0="00000000" w:csb1="00000000"/>
  </w:font>
  <w:font w:name="方正小标宋简体">
    <w:altName w:val="方正舒体"/>
    <w:panose1 w:val="02000000000000000000"/>
    <w:charset w:val="86"/>
    <w:family w:val="script"/>
    <w:pitch w:val="default"/>
    <w:sig w:usb0="00000000" w:usb1="00000000" w:usb2="00000012" w:usb3="00000000" w:csb0="00040001" w:csb1="00000000"/>
  </w:font>
  <w:font w:name="Wingdings 2">
    <w:panose1 w:val="05020102010507070707"/>
    <w:charset w:val="02"/>
    <w:family w:val="roman"/>
    <w:pitch w:val="default"/>
    <w:sig w:usb0="00000000" w:usb1="00000000" w:usb2="00000000" w:usb3="00000000" w:csb0="80000000" w:csb1="00000000"/>
  </w:font>
  <w:font w:name="文鼎大标宋简">
    <w:altName w:val="宋体"/>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2024D">
    <w:pPr>
      <w:pStyle w:val="22"/>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386AC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4E386AC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FA82D">
    <w:pPr>
      <w:pStyle w:val="22"/>
      <w:jc w:val="center"/>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18918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D18918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5DF31">
    <w:pPr>
      <w:pStyle w:val="22"/>
      <w:tabs>
        <w:tab w:val="clear" w:pos="4153"/>
      </w:tabs>
      <w:jc w:val="center"/>
      <w:rPr>
        <w:rFonts w:hint="eastAsia"/>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DD6A2">
                          <w:pPr>
                            <w:pStyle w:val="22"/>
                            <w:rPr>
                              <w:rFonts w:hint="eastAsia"/>
                            </w:rP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786DD6A2">
                    <w:pPr>
                      <w:pStyle w:val="22"/>
                      <w:rPr>
                        <w:rFonts w:hint="eastAsia"/>
                      </w:rPr>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66818">
    <w:pPr>
      <w:pStyle w:val="22"/>
      <w:jc w:val="center"/>
      <w:rPr>
        <w:rFonts w:hint="eastAsia"/>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26ACE2">
                          <w:pPr>
                            <w:pStyle w:val="2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D26ACE2">
                    <w:pPr>
                      <w:pStyle w:val="22"/>
                    </w:pPr>
                    <w:r>
                      <w:fldChar w:fldCharType="begin"/>
                    </w:r>
                    <w:r>
                      <w:instrText xml:space="preserve"> PAGE  \* MERGEFORMAT </w:instrText>
                    </w:r>
                    <w:r>
                      <w:fldChar w:fldCharType="separate"/>
                    </w:r>
                    <w:r>
                      <w:t>3</w:t>
                    </w:r>
                    <w:r>
                      <w:fldChar w:fldCharType="end"/>
                    </w:r>
                  </w:p>
                </w:txbxContent>
              </v:textbox>
            </v:shape>
          </w:pict>
        </mc:Fallback>
      </mc:AlternateContent>
    </w:r>
  </w:p>
  <w:p w14:paraId="7CF68593">
    <w:pPr>
      <w:pStyle w:val="22"/>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34750">
    <w:pPr>
      <w:pStyle w:val="22"/>
      <w:jc w:val="center"/>
      <w:rPr>
        <w:rFonts w:hint="eastAsia"/>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7D6621">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57D6621">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FC91A">
    <w:pPr>
      <w:pStyle w:val="22"/>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1CA78C">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eSbxUsAgAAV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t5JvFSwCAABXBAAADgAAAAAAAAABACAAAAAfAQAAZHJzL2Uyb0RvYy54bWxQSwUGAAAAAAYA&#10;BgBZAQAAvQUAAAAA&#10;">
              <v:fill on="f" focussize="0,0"/>
              <v:stroke on="f" weight="0.5pt"/>
              <v:imagedata o:title=""/>
              <o:lock v:ext="edit" aspectratio="f"/>
              <v:textbox inset="0mm,0mm,0mm,0mm" style="mso-fit-shape-to-text:t;">
                <w:txbxContent>
                  <w:p w14:paraId="431CA78C">
                    <w:pPr>
                      <w:pStyle w:val="2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F8554F">
                          <w:pPr>
                            <w:pStyle w:val="22"/>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CeUgosAgAAVgQAAA4AAABkcnMvZTJvRG9jLnhtbK1UzY7TMBC+I/EO&#10;lu80aYGlqp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J5SCiwCAABWBAAADgAAAAAAAAABACAAAAAfAQAAZHJzL2Uyb0RvYy54bWxQSwUGAAAAAAYA&#10;BgBZAQAAvQUAAAAA&#10;">
              <v:fill on="f" focussize="0,0"/>
              <v:stroke on="f" weight="0.5pt"/>
              <v:imagedata o:title=""/>
              <o:lock v:ext="edit" aspectratio="f"/>
              <v:textbox inset="0mm,0mm,0mm,0mm" style="mso-fit-shape-to-text:t;">
                <w:txbxContent>
                  <w:p w14:paraId="75F8554F">
                    <w:pPr>
                      <w:pStyle w:val="22"/>
                    </w:pP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B97ED2">
                          <w:pPr>
                            <w:pStyle w:val="22"/>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lMNo4rAgAAVg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TDaOKwIAAFYEAAAOAAAAAAAAAAEAIAAAAB8BAABkcnMvZTJvRG9jLnhtbFBLBQYAAAAABgAG&#10;AFkBAAC8BQAAAAA=&#10;">
              <v:fill on="f" focussize="0,0"/>
              <v:stroke on="f" weight="0.5pt"/>
              <v:imagedata o:title=""/>
              <o:lock v:ext="edit" aspectratio="f"/>
              <v:textbox inset="0mm,0mm,0mm,0mm" style="mso-fit-shape-to-text:t;">
                <w:txbxContent>
                  <w:p w14:paraId="76B97ED2">
                    <w:pPr>
                      <w:pStyle w:val="22"/>
                    </w:pP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posOffset>2823845</wp:posOffset>
              </wp:positionH>
              <wp:positionV relativeFrom="paragraph">
                <wp:posOffset>3175</wp:posOffset>
              </wp:positionV>
              <wp:extent cx="752475" cy="238125"/>
              <wp:effectExtent l="0" t="0" r="0" b="0"/>
              <wp:wrapNone/>
              <wp:docPr id="19" name="文本框 6"/>
              <wp:cNvGraphicFramePr/>
              <a:graphic xmlns:a="http://schemas.openxmlformats.org/drawingml/2006/main">
                <a:graphicData uri="http://schemas.microsoft.com/office/word/2010/wordprocessingShape">
                  <wps:wsp>
                    <wps:cNvSpPr txBox="1"/>
                    <wps:spPr>
                      <a:xfrm>
                        <a:off x="0" y="0"/>
                        <a:ext cx="75247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FCFC41">
                          <w:pPr>
                            <w:pStyle w:val="22"/>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6" o:spid="_x0000_s1026" o:spt="202" type="#_x0000_t202" style="position:absolute;left:0pt;margin-left:222.35pt;margin-top:0.25pt;height:18.75pt;width:59.25pt;mso-position-horizontal-relative:margin;z-index:251659264;mso-width-relative:page;mso-height-relative:page;" filled="f" stroked="f" coordsize="21600,21600" o:gfxdata="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fMXktYAAAAHAQAADwAAAAAAAAABACAAAAAiAAAAZHJzL2Rvd25yZXYueG1s&#10;UEsBAhQAFAAAAAgAh07iQIy4CwwzAgAAVgQAAA4AAAAAAAAAAQAgAAAAJQEAAGRycy9lMm9Eb2Mu&#10;eG1sUEsFBgAAAAAGAAYAWQEAAMoFAAAAAA==&#10;">
              <v:fill on="f" focussize="0,0"/>
              <v:stroke on="f" weight="0.5pt"/>
              <v:imagedata o:title=""/>
              <o:lock v:ext="edit" aspectratio="f"/>
              <v:textbox inset="0mm,0mm,0mm,0mm">
                <w:txbxContent>
                  <w:p w14:paraId="5CFCFC41">
                    <w:pPr>
                      <w:pStyle w:val="22"/>
                    </w:pPr>
                  </w:p>
                </w:txbxContent>
              </v:textbox>
            </v:shape>
          </w:pict>
        </mc:Fallback>
      </mc:AlternateContent>
    </w:r>
  </w:p>
  <w:p w14:paraId="65F9FF59">
    <w:pPr>
      <w:pStyle w:val="22"/>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CD422">
    <w:pPr>
      <w:tabs>
        <w:tab w:val="center" w:pos="4153"/>
        <w:tab w:val="right" w:pos="8306"/>
      </w:tabs>
      <w:snapToGrid w:val="0"/>
      <w:jc w:val="right"/>
      <w:rPr>
        <w:rFonts w:ascii="Times New Roman" w:hAnsi="Times New Roman" w:eastAsia="宋体" w:cs="Times New Roman"/>
        <w:kern w:val="0"/>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8D8CAF">
                          <w:pPr>
                            <w:pStyle w:val="22"/>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B8D8CAF">
                    <w:pPr>
                      <w:pStyle w:val="22"/>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AA63E">
    <w:pPr>
      <w:spacing w:line="194" w:lineRule="auto"/>
      <w:rPr>
        <w:rFonts w:hint="eastAsia" w:ascii="等线" w:hAnsi="等线" w:eastAsia="等线" w:cs="等线"/>
        <w:sz w:val="17"/>
        <w:szCs w:val="17"/>
      </w:rPr>
    </w:pPr>
    <w:r>
      <w:rPr>
        <w:sz w:val="17"/>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28E07A">
                          <w:pPr>
                            <w:pStyle w:val="22"/>
                            <w:rPr>
                              <w:rFonts w:hint="eastAsia"/>
                            </w:rPr>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5928E07A">
                    <w:pPr>
                      <w:pStyle w:val="22"/>
                      <w:rPr>
                        <w:rFonts w:hint="eastAsia"/>
                      </w:rPr>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4297D">
    <w:pPr>
      <w:pStyle w:val="22"/>
      <w:jc w:val="center"/>
      <w:rPr>
        <w:rFonts w:hint="eastAsia"/>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A877E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0FA877E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9E822">
    <w:pPr>
      <w:pStyle w:val="23"/>
      <w:pBdr>
        <w:bottom w:val="none" w:color="auto" w:sz="0" w:space="1"/>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12EE3">
    <w:pPr>
      <w:pStyle w:val="23"/>
      <w:pBdr>
        <w:bottom w:val="none" w:color="auto" w:sz="0" w:space="0"/>
      </w:pBd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CC814">
    <w:pPr>
      <w:pBdr>
        <w:bottom w:val="single" w:color="auto" w:sz="12" w:space="9"/>
      </w:pBdr>
      <w:tabs>
        <w:tab w:val="center" w:pos="4153"/>
        <w:tab w:val="right" w:pos="8306"/>
      </w:tabs>
      <w:snapToGrid w:val="0"/>
      <w:rPr>
        <w:rFonts w:ascii="Times New Roman" w:hAnsi="Times New Roman" w:eastAsia="宋体" w:cs="Times New Roman"/>
        <w:kern w:val="0"/>
        <w:sz w:val="18"/>
        <w:szCs w:val="18"/>
      </w:rPr>
    </w:pPr>
    <w:r>
      <w:rPr>
        <w:rFonts w:ascii="Times New Roman" w:hAnsi="Times New Roman" w:eastAsia="宋体" w:cs="Times New Roman"/>
        <w:kern w:val="0"/>
        <w:sz w:val="18"/>
        <w:szCs w:val="18"/>
      </w:rPr>
      <w:pict>
        <v:shape id="PowerPlusWaterMarkObject7476950" o:spid="_x0000_s4097" o:spt="136" type="#_x0000_t136" style="position:absolute;left:0pt;margin-left:453.4pt;margin-top:396pt;height:14pt;width:129pt;mso-position-horizontal-relative:margin;mso-position-vertical-relative:margin;rotation:-2949120f;z-index:-251634688;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6759507" o:spid="_x0000_s4098" o:spt="136" type="#_x0000_t136" style="position:absolute;left:0pt;margin-left:341pt;margin-top:508.45pt;height:14pt;width:129pt;mso-position-horizontal-relative:margin;mso-position-vertical-relative:margin;rotation:-2949120f;z-index:-251635712;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6183131" o:spid="_x0000_s4099" o:spt="136" type="#_x0000_t136" style="position:absolute;left:0pt;margin-left:228.55pt;margin-top:620.85pt;height:14pt;width:129pt;mso-position-horizontal-relative:margin;mso-position-vertical-relative:margin;rotation:-2949120f;z-index:-251636736;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6025558" o:spid="_x0000_s4100" o:spt="136" type="#_x0000_t136" style="position:absolute;left:0pt;margin-left:116.1pt;margin-top:733.3pt;height:14pt;width:129pt;mso-position-horizontal-relative:margin;mso-position-vertical-relative:margin;rotation:-2949120f;z-index:-251637760;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5280402" o:spid="_x0000_s4101" o:spt="136" type="#_x0000_t136" style="position:absolute;left:0pt;margin-left:453.4pt;margin-top:36.7pt;height:14pt;width:129pt;mso-position-horizontal-relative:margin;mso-position-vertical-relative:margin;rotation:-2949120f;z-index:-251638784;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5091763" o:spid="_x0000_s4102" o:spt="136" type="#_x0000_t136" style="position:absolute;left:0pt;margin-left:341pt;margin-top:149.15pt;height:14pt;width:129pt;mso-position-horizontal-relative:margin;mso-position-vertical-relative:margin;rotation:-2949120f;z-index:-251639808;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4284997" o:spid="_x0000_s4103" o:spt="136" type="#_x0000_t136" style="position:absolute;left:0pt;margin-left:228.55pt;margin-top:261.55pt;height:14pt;width:129pt;mso-position-horizontal-relative:margin;mso-position-vertical-relative:margin;rotation:-2949120f;z-index:-251640832;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3583773" o:spid="_x0000_s4104" o:spt="136" type="#_x0000_t136" style="position:absolute;left:0pt;margin-left:116.1pt;margin-top:374pt;height:14pt;width:129pt;mso-position-horizontal-relative:margin;mso-position-vertical-relative:margin;rotation:-2949120f;z-index:-251641856;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3352100" o:spid="_x0000_s4105" o:spt="136" type="#_x0000_t136" style="position:absolute;left:0pt;margin-left:3.7pt;margin-top:486.45pt;height:14pt;width:129pt;mso-position-horizontal-relative:margin;mso-position-vertical-relative:margin;rotation:-2949120f;z-index:-251642880;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2765608" o:spid="_x0000_s4106" o:spt="136" type="#_x0000_t136" style="position:absolute;left:0pt;margin-left:-108.75pt;margin-top:598.85pt;height:14pt;width:129pt;mso-position-horizontal-relative:margin;mso-position-vertical-relative:margin;rotation:-2949120f;z-index:-251643904;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1903076" o:spid="_x0000_s4107" o:spt="136" type="#_x0000_t136" style="position:absolute;left:0pt;margin-left:228.55pt;margin-top:-97.75pt;height:14pt;width:129pt;mso-position-horizontal-relative:margin;mso-position-vertical-relative:margin;rotation:-2949120f;z-index:-251644928;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1464873" o:spid="_x0000_s4108" o:spt="136" type="#_x0000_t136" style="position:absolute;left:0pt;margin-left:116.1pt;margin-top:14.7pt;height:14pt;width:129pt;mso-position-horizontal-relative:margin;mso-position-vertical-relative:margin;rotation:-2949120f;z-index:-251645952;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1394592" o:spid="_x0000_s4109" o:spt="136" type="#_x0000_t136" style="position:absolute;left:0pt;margin-left:3.7pt;margin-top:127.15pt;height:14pt;width:129pt;mso-position-horizontal-relative:margin;mso-position-vertical-relative:margin;rotation:-2949120f;z-index:-251646976;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pict>
        <v:shape id="PowerPlusWaterMarkObject466456" o:spid="_x0000_s4110" o:spt="136" type="#_x0000_t136" style="position:absolute;left:0pt;margin-left:-108.75pt;margin-top:239.55pt;height:14pt;width:129pt;mso-position-horizontal-relative:margin;mso-position-vertical-relative:margin;rotation:-2949120f;z-index:-251648000;mso-width-relative:page;mso-height-relative:page;" fillcolor="#C0C0C0" filled="t" stroked="f" coordsize="21600,21600">
          <v:path/>
          <v:fill on="t" opacity="32768f" focussize="0,0"/>
          <v:stroke on="f"/>
          <v:imagedata o:title=""/>
          <o:lock v:ext="edit" aspectratio="t"/>
          <v:textpath on="t" fitshape="t" fitpath="t" trim="t" xscale="f" string="黄赛昌0563272024-10-16" style="font-family:SongTi;font-size:14pt;v-text-align:center;"/>
        </v:shape>
      </w:pict>
    </w:r>
    <w:r>
      <w:rPr>
        <w:rFonts w:ascii="Times New Roman" w:hAnsi="Times New Roman" w:eastAsia="宋体" w:cs="Times New Roman"/>
        <w:kern w:val="0"/>
        <w:sz w:val="18"/>
        <w:szCs w:val="18"/>
      </w:rPr>
      <w:drawing>
        <wp:inline distT="0" distB="0" distL="114300" distR="114300">
          <wp:extent cx="1428750" cy="342900"/>
          <wp:effectExtent l="0" t="0" r="0" b="0"/>
          <wp:docPr id="19050424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042422" name="图片 1"/>
                  <pic:cNvPicPr>
                    <a:picLocks noChangeAspect="1"/>
                  </pic:cNvPicPr>
                </pic:nvPicPr>
                <pic:blipFill>
                  <a:blip r:embed="rId1"/>
                  <a:stretch>
                    <a:fillRect/>
                  </a:stretch>
                </pic:blipFill>
                <pic:spPr>
                  <a:xfrm>
                    <a:off x="0" y="0"/>
                    <a:ext cx="1428750" cy="342900"/>
                  </a:xfrm>
                  <a:prstGeom prst="rect">
                    <a:avLst/>
                  </a:prstGeom>
                  <a:noFill/>
                  <a:ln w="9525">
                    <a:noFill/>
                  </a:ln>
                </pic:spPr>
              </pic:pic>
            </a:graphicData>
          </a:graphic>
        </wp:inline>
      </w:drawing>
    </w:r>
    <w:r>
      <w:rPr>
        <w:rFonts w:hint="eastAsia" w:ascii="黑体" w:hAnsi="Times New Roman" w:eastAsia="黑体" w:cs="黑体"/>
        <w:kern w:val="0"/>
        <w:sz w:val="24"/>
        <w:szCs w:val="24"/>
      </w:rPr>
      <w:t>成套货物</w:t>
    </w:r>
    <w:r>
      <w:rPr>
        <w:rFonts w:ascii="黑体" w:hAnsi="Times New Roman" w:eastAsia="黑体" w:cs="黑体"/>
        <w:kern w:val="0"/>
        <w:sz w:val="24"/>
        <w:szCs w:val="24"/>
      </w:rPr>
      <w:t>/</w:t>
    </w:r>
    <w:r>
      <w:rPr>
        <w:rFonts w:hint="eastAsia" w:ascii="黑体" w:hAnsi="Times New Roman" w:eastAsia="黑体" w:cs="黑体"/>
        <w:kern w:val="0"/>
        <w:sz w:val="24"/>
        <w:szCs w:val="24"/>
      </w:rPr>
      <w:t>生产线招标文件技术标书</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8FD01">
    <w:pPr>
      <w:pStyle w:val="23"/>
      <w:rPr>
        <w:rFonts w:hint="eastAsia"/>
      </w:rPr>
    </w:pPr>
  </w:p>
  <w:p w14:paraId="188E6A1C">
    <w:pPr>
      <w:pStyle w:val="23"/>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43E83">
    <w:pPr>
      <w:pStyle w:val="23"/>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49FB6"/>
    <w:multiLevelType w:val="singleLevel"/>
    <w:tmpl w:val="A6849FB6"/>
    <w:lvl w:ilvl="0" w:tentative="0">
      <w:start w:val="2"/>
      <w:numFmt w:val="chineseCounting"/>
      <w:suff w:val="nothing"/>
      <w:lvlText w:val="%1、"/>
      <w:lvlJc w:val="left"/>
      <w:rPr>
        <w:rFonts w:hint="eastAsia"/>
      </w:rPr>
    </w:lvl>
  </w:abstractNum>
  <w:abstractNum w:abstractNumId="1">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2">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3">
    <w:nsid w:val="1EFA108E"/>
    <w:multiLevelType w:val="singleLevel"/>
    <w:tmpl w:val="1EFA108E"/>
    <w:lvl w:ilvl="0" w:tentative="0">
      <w:start w:val="1"/>
      <w:numFmt w:val="bullet"/>
      <w:lvlText w:val=""/>
      <w:lvlJc w:val="left"/>
      <w:pPr>
        <w:ind w:left="420" w:hanging="420"/>
      </w:pPr>
      <w:rPr>
        <w:rFonts w:hint="default" w:ascii="Wingdings" w:hAnsi="Wingdings"/>
      </w:rPr>
    </w:lvl>
  </w:abstractNum>
  <w:abstractNum w:abstractNumId="4">
    <w:nsid w:val="210163F6"/>
    <w:multiLevelType w:val="multilevel"/>
    <w:tmpl w:val="210163F6"/>
    <w:lvl w:ilvl="0" w:tentative="0">
      <w:start w:val="1"/>
      <w:numFmt w:val="lowerLetter"/>
      <w:lvlText w:val="%1)"/>
      <w:lvlJc w:val="left"/>
      <w:pPr>
        <w:ind w:left="902" w:hanging="420"/>
      </w:pPr>
      <w:rPr>
        <w:rFonts w:cs="Times New Roman"/>
      </w:rPr>
    </w:lvl>
    <w:lvl w:ilvl="1" w:tentative="0">
      <w:start w:val="1"/>
      <w:numFmt w:val="lowerLetter"/>
      <w:lvlText w:val="%2)"/>
      <w:lvlJc w:val="left"/>
      <w:pPr>
        <w:ind w:left="1322" w:hanging="420"/>
      </w:pPr>
      <w:rPr>
        <w:rFonts w:cs="Times New Roman"/>
      </w:rPr>
    </w:lvl>
    <w:lvl w:ilvl="2" w:tentative="0">
      <w:start w:val="1"/>
      <w:numFmt w:val="lowerRoman"/>
      <w:lvlText w:val="%3."/>
      <w:lvlJc w:val="right"/>
      <w:pPr>
        <w:ind w:left="1742" w:hanging="420"/>
      </w:pPr>
      <w:rPr>
        <w:rFonts w:cs="Times New Roman"/>
      </w:rPr>
    </w:lvl>
    <w:lvl w:ilvl="3" w:tentative="0">
      <w:start w:val="1"/>
      <w:numFmt w:val="decimal"/>
      <w:lvlText w:val="%4."/>
      <w:lvlJc w:val="left"/>
      <w:pPr>
        <w:ind w:left="2162" w:hanging="420"/>
      </w:pPr>
      <w:rPr>
        <w:rFonts w:cs="Times New Roman"/>
      </w:rPr>
    </w:lvl>
    <w:lvl w:ilvl="4" w:tentative="0">
      <w:start w:val="1"/>
      <w:numFmt w:val="lowerLetter"/>
      <w:lvlText w:val="%5)"/>
      <w:lvlJc w:val="left"/>
      <w:pPr>
        <w:ind w:left="2582" w:hanging="420"/>
      </w:pPr>
      <w:rPr>
        <w:rFonts w:cs="Times New Roman"/>
      </w:rPr>
    </w:lvl>
    <w:lvl w:ilvl="5" w:tentative="0">
      <w:start w:val="1"/>
      <w:numFmt w:val="lowerRoman"/>
      <w:lvlText w:val="%6."/>
      <w:lvlJc w:val="right"/>
      <w:pPr>
        <w:ind w:left="3002" w:hanging="420"/>
      </w:pPr>
      <w:rPr>
        <w:rFonts w:cs="Times New Roman"/>
      </w:rPr>
    </w:lvl>
    <w:lvl w:ilvl="6" w:tentative="0">
      <w:start w:val="1"/>
      <w:numFmt w:val="decimal"/>
      <w:lvlText w:val="%7."/>
      <w:lvlJc w:val="left"/>
      <w:pPr>
        <w:ind w:left="3422" w:hanging="420"/>
      </w:pPr>
      <w:rPr>
        <w:rFonts w:cs="Times New Roman"/>
      </w:rPr>
    </w:lvl>
    <w:lvl w:ilvl="7" w:tentative="0">
      <w:start w:val="1"/>
      <w:numFmt w:val="lowerLetter"/>
      <w:lvlText w:val="%8)"/>
      <w:lvlJc w:val="left"/>
      <w:pPr>
        <w:ind w:left="3842" w:hanging="420"/>
      </w:pPr>
      <w:rPr>
        <w:rFonts w:cs="Times New Roman"/>
      </w:rPr>
    </w:lvl>
    <w:lvl w:ilvl="8" w:tentative="0">
      <w:start w:val="1"/>
      <w:numFmt w:val="lowerRoman"/>
      <w:lvlText w:val="%9."/>
      <w:lvlJc w:val="right"/>
      <w:pPr>
        <w:ind w:left="4262" w:hanging="420"/>
      </w:pPr>
      <w:rPr>
        <w:rFonts w:cs="Times New Roman"/>
      </w:rPr>
    </w:lvl>
  </w:abstractNum>
  <w:abstractNum w:abstractNumId="5">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6">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7">
    <w:nsid w:val="4B4A2314"/>
    <w:multiLevelType w:val="multilevel"/>
    <w:tmpl w:val="4B4A2314"/>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8">
    <w:nsid w:val="6E8C6948"/>
    <w:multiLevelType w:val="singleLevel"/>
    <w:tmpl w:val="6E8C6948"/>
    <w:lvl w:ilvl="0" w:tentative="0">
      <w:start w:val="1"/>
      <w:numFmt w:val="chineseCounting"/>
      <w:suff w:val="space"/>
      <w:lvlText w:val="第%1部分"/>
      <w:lvlJc w:val="left"/>
      <w:rPr>
        <w:rFonts w:hint="eastAsia"/>
      </w:rPr>
    </w:lvl>
  </w:abstractNum>
  <w:abstractNum w:abstractNumId="9">
    <w:nsid w:val="77DE7897"/>
    <w:multiLevelType w:val="singleLevel"/>
    <w:tmpl w:val="77DE7897"/>
    <w:lvl w:ilvl="0" w:tentative="0">
      <w:start w:val="1"/>
      <w:numFmt w:val="decimal"/>
      <w:lvlText w:val="%1."/>
      <w:lvlJc w:val="left"/>
      <w:pPr>
        <w:tabs>
          <w:tab w:val="left" w:pos="312"/>
        </w:tabs>
      </w:pPr>
    </w:lvl>
  </w:abstractNum>
  <w:abstractNum w:abstractNumId="10">
    <w:nsid w:val="7A612DE2"/>
    <w:multiLevelType w:val="singleLevel"/>
    <w:tmpl w:val="7A612DE2"/>
    <w:lvl w:ilvl="0" w:tentative="0">
      <w:start w:val="2"/>
      <w:numFmt w:val="decimal"/>
      <w:lvlText w:val="%1."/>
      <w:lvlJc w:val="left"/>
      <w:pPr>
        <w:tabs>
          <w:tab w:val="left" w:pos="312"/>
        </w:tabs>
      </w:pPr>
    </w:lvl>
  </w:abstractNum>
  <w:num w:numId="1">
    <w:abstractNumId w:val="8"/>
  </w:num>
  <w:num w:numId="2">
    <w:abstractNumId w:val="9"/>
  </w:num>
  <w:num w:numId="3">
    <w:abstractNumId w:val="0"/>
  </w:num>
  <w:num w:numId="4">
    <w:abstractNumId w:val="10"/>
  </w:num>
  <w:num w:numId="5">
    <w:abstractNumId w:val="4"/>
  </w:num>
  <w:num w:numId="6">
    <w:abstractNumId w:val="2"/>
  </w:num>
  <w:num w:numId="7">
    <w:abstractNumId w:val="6"/>
  </w:num>
  <w:num w:numId="8">
    <w:abstractNumId w:val="1"/>
  </w:num>
  <w:num w:numId="9">
    <w:abstractNumId w:val="5"/>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BkMmE1OWQ0NDZmM2QyZTM2ZTUyOTczNGM5ZjI5ZTYifQ=="/>
    <w:docVar w:name="KSO_WPS_MARK_KEY" w:val="288773bf-0df4-413a-9f38-c1906dd68f40"/>
  </w:docVars>
  <w:rsids>
    <w:rsidRoot w:val="00172A27"/>
    <w:rsid w:val="000139F5"/>
    <w:rsid w:val="00022B06"/>
    <w:rsid w:val="00036836"/>
    <w:rsid w:val="0004536D"/>
    <w:rsid w:val="0005777A"/>
    <w:rsid w:val="00065382"/>
    <w:rsid w:val="00080223"/>
    <w:rsid w:val="00096AC4"/>
    <w:rsid w:val="000A5309"/>
    <w:rsid w:val="000B4CDC"/>
    <w:rsid w:val="000D6A51"/>
    <w:rsid w:val="000F45A3"/>
    <w:rsid w:val="00161158"/>
    <w:rsid w:val="001917A8"/>
    <w:rsid w:val="001C1EE3"/>
    <w:rsid w:val="001C713C"/>
    <w:rsid w:val="001D75B9"/>
    <w:rsid w:val="00200F05"/>
    <w:rsid w:val="00213424"/>
    <w:rsid w:val="00220056"/>
    <w:rsid w:val="002440BE"/>
    <w:rsid w:val="002626ED"/>
    <w:rsid w:val="00265A40"/>
    <w:rsid w:val="00282FDE"/>
    <w:rsid w:val="0029130A"/>
    <w:rsid w:val="002C58D6"/>
    <w:rsid w:val="00332CC5"/>
    <w:rsid w:val="00356E0C"/>
    <w:rsid w:val="003A4540"/>
    <w:rsid w:val="003A6976"/>
    <w:rsid w:val="003B4D7D"/>
    <w:rsid w:val="003B63AE"/>
    <w:rsid w:val="003E0AB3"/>
    <w:rsid w:val="003E6DCA"/>
    <w:rsid w:val="00401C42"/>
    <w:rsid w:val="004076DE"/>
    <w:rsid w:val="004127FF"/>
    <w:rsid w:val="00441C61"/>
    <w:rsid w:val="00460AFB"/>
    <w:rsid w:val="00470130"/>
    <w:rsid w:val="00483B0A"/>
    <w:rsid w:val="004932C4"/>
    <w:rsid w:val="004A693D"/>
    <w:rsid w:val="004B5126"/>
    <w:rsid w:val="004F7838"/>
    <w:rsid w:val="00503391"/>
    <w:rsid w:val="00552960"/>
    <w:rsid w:val="0056018A"/>
    <w:rsid w:val="00567344"/>
    <w:rsid w:val="005829DC"/>
    <w:rsid w:val="005A1B64"/>
    <w:rsid w:val="005C0B4E"/>
    <w:rsid w:val="005C421F"/>
    <w:rsid w:val="005F16F0"/>
    <w:rsid w:val="0065185D"/>
    <w:rsid w:val="006753D5"/>
    <w:rsid w:val="00680629"/>
    <w:rsid w:val="00686C52"/>
    <w:rsid w:val="006F1414"/>
    <w:rsid w:val="00710D7E"/>
    <w:rsid w:val="007432BF"/>
    <w:rsid w:val="007525BF"/>
    <w:rsid w:val="007800DC"/>
    <w:rsid w:val="007838AA"/>
    <w:rsid w:val="00783D5E"/>
    <w:rsid w:val="00785FD6"/>
    <w:rsid w:val="00796C72"/>
    <w:rsid w:val="007A5AE7"/>
    <w:rsid w:val="007B212D"/>
    <w:rsid w:val="007F2040"/>
    <w:rsid w:val="008036A9"/>
    <w:rsid w:val="00806A61"/>
    <w:rsid w:val="00810124"/>
    <w:rsid w:val="00824BFD"/>
    <w:rsid w:val="008453B3"/>
    <w:rsid w:val="008556F0"/>
    <w:rsid w:val="00872352"/>
    <w:rsid w:val="0087472C"/>
    <w:rsid w:val="00893C0F"/>
    <w:rsid w:val="008C42AC"/>
    <w:rsid w:val="008D3B56"/>
    <w:rsid w:val="008D5CEF"/>
    <w:rsid w:val="008D73C9"/>
    <w:rsid w:val="008E2425"/>
    <w:rsid w:val="008F4E72"/>
    <w:rsid w:val="009360F9"/>
    <w:rsid w:val="00961C49"/>
    <w:rsid w:val="00964F00"/>
    <w:rsid w:val="009731CA"/>
    <w:rsid w:val="00977B14"/>
    <w:rsid w:val="009B4079"/>
    <w:rsid w:val="009B511E"/>
    <w:rsid w:val="009E0F5E"/>
    <w:rsid w:val="00A018BE"/>
    <w:rsid w:val="00A21EB2"/>
    <w:rsid w:val="00A31561"/>
    <w:rsid w:val="00A540A8"/>
    <w:rsid w:val="00A54E95"/>
    <w:rsid w:val="00A80564"/>
    <w:rsid w:val="00A960B2"/>
    <w:rsid w:val="00AB2AD9"/>
    <w:rsid w:val="00AE4690"/>
    <w:rsid w:val="00AE6633"/>
    <w:rsid w:val="00B01FF1"/>
    <w:rsid w:val="00B72516"/>
    <w:rsid w:val="00B92C97"/>
    <w:rsid w:val="00BA3C70"/>
    <w:rsid w:val="00BB4E42"/>
    <w:rsid w:val="00BC2165"/>
    <w:rsid w:val="00BE13F7"/>
    <w:rsid w:val="00BF0E19"/>
    <w:rsid w:val="00C01073"/>
    <w:rsid w:val="00C57AB2"/>
    <w:rsid w:val="00C855F6"/>
    <w:rsid w:val="00C92F53"/>
    <w:rsid w:val="00C969FC"/>
    <w:rsid w:val="00CB1088"/>
    <w:rsid w:val="00CD5223"/>
    <w:rsid w:val="00CE5010"/>
    <w:rsid w:val="00CE6E17"/>
    <w:rsid w:val="00D0528A"/>
    <w:rsid w:val="00D11B37"/>
    <w:rsid w:val="00D408EF"/>
    <w:rsid w:val="00D5145C"/>
    <w:rsid w:val="00D5302F"/>
    <w:rsid w:val="00D64DAE"/>
    <w:rsid w:val="00D729A1"/>
    <w:rsid w:val="00D762CA"/>
    <w:rsid w:val="00DB5225"/>
    <w:rsid w:val="00DD1E5E"/>
    <w:rsid w:val="00DE6417"/>
    <w:rsid w:val="00E16182"/>
    <w:rsid w:val="00E1627A"/>
    <w:rsid w:val="00E34C35"/>
    <w:rsid w:val="00E5349B"/>
    <w:rsid w:val="00E650A8"/>
    <w:rsid w:val="00E878B4"/>
    <w:rsid w:val="00E91E45"/>
    <w:rsid w:val="00EB3D00"/>
    <w:rsid w:val="00F12DE7"/>
    <w:rsid w:val="00F71720"/>
    <w:rsid w:val="00FE040F"/>
    <w:rsid w:val="00FE42B3"/>
    <w:rsid w:val="00FE7F06"/>
    <w:rsid w:val="00FF0A69"/>
    <w:rsid w:val="014832F2"/>
    <w:rsid w:val="014D51C1"/>
    <w:rsid w:val="01714809"/>
    <w:rsid w:val="01C52478"/>
    <w:rsid w:val="027408EE"/>
    <w:rsid w:val="02963F39"/>
    <w:rsid w:val="02B3095A"/>
    <w:rsid w:val="02BA7274"/>
    <w:rsid w:val="03251978"/>
    <w:rsid w:val="0325718A"/>
    <w:rsid w:val="03AF44E3"/>
    <w:rsid w:val="042921B6"/>
    <w:rsid w:val="043B72BB"/>
    <w:rsid w:val="04461EC1"/>
    <w:rsid w:val="04504B3F"/>
    <w:rsid w:val="04AD02B8"/>
    <w:rsid w:val="04D209A6"/>
    <w:rsid w:val="04DE51C8"/>
    <w:rsid w:val="04DF17D4"/>
    <w:rsid w:val="05412745"/>
    <w:rsid w:val="05491761"/>
    <w:rsid w:val="05A351AD"/>
    <w:rsid w:val="05D215EF"/>
    <w:rsid w:val="05F9748A"/>
    <w:rsid w:val="06065640"/>
    <w:rsid w:val="06266F78"/>
    <w:rsid w:val="063E7B7A"/>
    <w:rsid w:val="06582413"/>
    <w:rsid w:val="067E33B8"/>
    <w:rsid w:val="06E82FCB"/>
    <w:rsid w:val="06F34B95"/>
    <w:rsid w:val="07571DAC"/>
    <w:rsid w:val="0796000D"/>
    <w:rsid w:val="07F05315"/>
    <w:rsid w:val="08160B2E"/>
    <w:rsid w:val="08803584"/>
    <w:rsid w:val="08A6354D"/>
    <w:rsid w:val="08B635D4"/>
    <w:rsid w:val="08DC4547"/>
    <w:rsid w:val="08DD171B"/>
    <w:rsid w:val="08E64121"/>
    <w:rsid w:val="0942017F"/>
    <w:rsid w:val="09BA1FBB"/>
    <w:rsid w:val="09C6146A"/>
    <w:rsid w:val="09CB139F"/>
    <w:rsid w:val="09ED2E9B"/>
    <w:rsid w:val="0A0106F5"/>
    <w:rsid w:val="0A112AB7"/>
    <w:rsid w:val="0A4E5482"/>
    <w:rsid w:val="0AAA504A"/>
    <w:rsid w:val="0AD71BC7"/>
    <w:rsid w:val="0AF420EB"/>
    <w:rsid w:val="0B1E54CC"/>
    <w:rsid w:val="0B2B2BF5"/>
    <w:rsid w:val="0B2F3908"/>
    <w:rsid w:val="0B3F6206"/>
    <w:rsid w:val="0BE12DB6"/>
    <w:rsid w:val="0BFC6504"/>
    <w:rsid w:val="0C345AD1"/>
    <w:rsid w:val="0C626CE4"/>
    <w:rsid w:val="0CB10B0C"/>
    <w:rsid w:val="0D020A0B"/>
    <w:rsid w:val="0D0C2B7B"/>
    <w:rsid w:val="0D4A0E97"/>
    <w:rsid w:val="0D9308F8"/>
    <w:rsid w:val="0DB735A4"/>
    <w:rsid w:val="0DD139F6"/>
    <w:rsid w:val="0DE76C3D"/>
    <w:rsid w:val="0DF30B86"/>
    <w:rsid w:val="0E1A1D85"/>
    <w:rsid w:val="0E6A6868"/>
    <w:rsid w:val="0E750568"/>
    <w:rsid w:val="0E9C3C97"/>
    <w:rsid w:val="0E9E36B9"/>
    <w:rsid w:val="0F2D7A80"/>
    <w:rsid w:val="0F2F4A39"/>
    <w:rsid w:val="0F4277E5"/>
    <w:rsid w:val="0FA75561"/>
    <w:rsid w:val="0FB83603"/>
    <w:rsid w:val="0FC1070A"/>
    <w:rsid w:val="0FCA77F1"/>
    <w:rsid w:val="0FCD5DCC"/>
    <w:rsid w:val="0FDA67AB"/>
    <w:rsid w:val="10043197"/>
    <w:rsid w:val="10270545"/>
    <w:rsid w:val="103409DF"/>
    <w:rsid w:val="105D08E7"/>
    <w:rsid w:val="108A1D4B"/>
    <w:rsid w:val="10A10111"/>
    <w:rsid w:val="10BE093E"/>
    <w:rsid w:val="10E20BD8"/>
    <w:rsid w:val="111B0FE9"/>
    <w:rsid w:val="112C77F4"/>
    <w:rsid w:val="113266EC"/>
    <w:rsid w:val="114755AB"/>
    <w:rsid w:val="115F67A8"/>
    <w:rsid w:val="119A7465"/>
    <w:rsid w:val="11C07DA5"/>
    <w:rsid w:val="11C2491E"/>
    <w:rsid w:val="11F36B75"/>
    <w:rsid w:val="12491386"/>
    <w:rsid w:val="12E60579"/>
    <w:rsid w:val="12EB0F02"/>
    <w:rsid w:val="13695B36"/>
    <w:rsid w:val="1372609F"/>
    <w:rsid w:val="13D73572"/>
    <w:rsid w:val="1424538B"/>
    <w:rsid w:val="14504752"/>
    <w:rsid w:val="145A6A37"/>
    <w:rsid w:val="1467440F"/>
    <w:rsid w:val="14AA5A9E"/>
    <w:rsid w:val="15007F26"/>
    <w:rsid w:val="15400323"/>
    <w:rsid w:val="15433A9B"/>
    <w:rsid w:val="15FC2F04"/>
    <w:rsid w:val="16181FAC"/>
    <w:rsid w:val="16263C66"/>
    <w:rsid w:val="168756A0"/>
    <w:rsid w:val="16F94849"/>
    <w:rsid w:val="17045E51"/>
    <w:rsid w:val="172011D4"/>
    <w:rsid w:val="17252C3B"/>
    <w:rsid w:val="173F0A2E"/>
    <w:rsid w:val="17770BC2"/>
    <w:rsid w:val="17860E2F"/>
    <w:rsid w:val="17A119AA"/>
    <w:rsid w:val="18586F2B"/>
    <w:rsid w:val="18713803"/>
    <w:rsid w:val="194D792B"/>
    <w:rsid w:val="19A766B9"/>
    <w:rsid w:val="19CE76BA"/>
    <w:rsid w:val="19F26070"/>
    <w:rsid w:val="19F97C8B"/>
    <w:rsid w:val="1A1523CE"/>
    <w:rsid w:val="1A5A5C3E"/>
    <w:rsid w:val="1AA730BD"/>
    <w:rsid w:val="1B240754"/>
    <w:rsid w:val="1B333D5D"/>
    <w:rsid w:val="1B346E7E"/>
    <w:rsid w:val="1B587618"/>
    <w:rsid w:val="1B5F19C7"/>
    <w:rsid w:val="1C1C709B"/>
    <w:rsid w:val="1C4F6795"/>
    <w:rsid w:val="1C9F6814"/>
    <w:rsid w:val="1D5C514E"/>
    <w:rsid w:val="1D865D14"/>
    <w:rsid w:val="1D8705EC"/>
    <w:rsid w:val="1DEC0E7D"/>
    <w:rsid w:val="1DF779ED"/>
    <w:rsid w:val="1DFE6FCD"/>
    <w:rsid w:val="1E43150B"/>
    <w:rsid w:val="1EA93E80"/>
    <w:rsid w:val="1ED33FB6"/>
    <w:rsid w:val="1EE81332"/>
    <w:rsid w:val="1F2259F8"/>
    <w:rsid w:val="1F32415A"/>
    <w:rsid w:val="1F542F9A"/>
    <w:rsid w:val="1F5C0CEE"/>
    <w:rsid w:val="1F702632"/>
    <w:rsid w:val="1F7E2174"/>
    <w:rsid w:val="1FF654AF"/>
    <w:rsid w:val="20107567"/>
    <w:rsid w:val="2053475B"/>
    <w:rsid w:val="205D78DA"/>
    <w:rsid w:val="20A70EA1"/>
    <w:rsid w:val="20AB56C6"/>
    <w:rsid w:val="20DA7B63"/>
    <w:rsid w:val="20F54025"/>
    <w:rsid w:val="214E2934"/>
    <w:rsid w:val="21547789"/>
    <w:rsid w:val="2176507C"/>
    <w:rsid w:val="21827CB6"/>
    <w:rsid w:val="21BC0069"/>
    <w:rsid w:val="21BE35AF"/>
    <w:rsid w:val="21C11174"/>
    <w:rsid w:val="21DB6D2F"/>
    <w:rsid w:val="22244B28"/>
    <w:rsid w:val="22467FD4"/>
    <w:rsid w:val="229451FD"/>
    <w:rsid w:val="22A12DB6"/>
    <w:rsid w:val="232E3EB1"/>
    <w:rsid w:val="235F516C"/>
    <w:rsid w:val="236356D1"/>
    <w:rsid w:val="23A91C83"/>
    <w:rsid w:val="23C962E8"/>
    <w:rsid w:val="247E4FED"/>
    <w:rsid w:val="24AD78E0"/>
    <w:rsid w:val="24B30BE8"/>
    <w:rsid w:val="24E34060"/>
    <w:rsid w:val="253A0491"/>
    <w:rsid w:val="254E0478"/>
    <w:rsid w:val="25646E8D"/>
    <w:rsid w:val="25806954"/>
    <w:rsid w:val="25E036B2"/>
    <w:rsid w:val="25E9082A"/>
    <w:rsid w:val="25F42473"/>
    <w:rsid w:val="269C17B8"/>
    <w:rsid w:val="26AF2D79"/>
    <w:rsid w:val="26B34B91"/>
    <w:rsid w:val="270D66E8"/>
    <w:rsid w:val="27263E1D"/>
    <w:rsid w:val="27514612"/>
    <w:rsid w:val="2772455F"/>
    <w:rsid w:val="278B0DAB"/>
    <w:rsid w:val="278D3850"/>
    <w:rsid w:val="279C6B0E"/>
    <w:rsid w:val="27A64735"/>
    <w:rsid w:val="27CC4DF2"/>
    <w:rsid w:val="27D25752"/>
    <w:rsid w:val="280671AA"/>
    <w:rsid w:val="280D64D7"/>
    <w:rsid w:val="281864F2"/>
    <w:rsid w:val="286903EF"/>
    <w:rsid w:val="287F5DD3"/>
    <w:rsid w:val="288047CB"/>
    <w:rsid w:val="289E62FA"/>
    <w:rsid w:val="28FD6E90"/>
    <w:rsid w:val="291E2CA6"/>
    <w:rsid w:val="29331862"/>
    <w:rsid w:val="294E0B05"/>
    <w:rsid w:val="299741EC"/>
    <w:rsid w:val="299E147F"/>
    <w:rsid w:val="29C32A87"/>
    <w:rsid w:val="29CF26DC"/>
    <w:rsid w:val="29FA346D"/>
    <w:rsid w:val="2A1C5DA0"/>
    <w:rsid w:val="2A200D39"/>
    <w:rsid w:val="2A507EFF"/>
    <w:rsid w:val="2A8803AD"/>
    <w:rsid w:val="2ABA427C"/>
    <w:rsid w:val="2AD01CF1"/>
    <w:rsid w:val="2AD827C1"/>
    <w:rsid w:val="2ADC05A4"/>
    <w:rsid w:val="2AEF2177"/>
    <w:rsid w:val="2B6F0D7F"/>
    <w:rsid w:val="2B8716BD"/>
    <w:rsid w:val="2B8B76FF"/>
    <w:rsid w:val="2B964CE9"/>
    <w:rsid w:val="2BD5034F"/>
    <w:rsid w:val="2D025012"/>
    <w:rsid w:val="2D4178F0"/>
    <w:rsid w:val="2DAE631A"/>
    <w:rsid w:val="2DC7118A"/>
    <w:rsid w:val="2DD877E0"/>
    <w:rsid w:val="2DD90EBD"/>
    <w:rsid w:val="2DE616C9"/>
    <w:rsid w:val="2DFC2451"/>
    <w:rsid w:val="2E3422F8"/>
    <w:rsid w:val="2E671D49"/>
    <w:rsid w:val="2E6E566D"/>
    <w:rsid w:val="2E7F188E"/>
    <w:rsid w:val="2EBC0905"/>
    <w:rsid w:val="2EC73739"/>
    <w:rsid w:val="2EFB1B0E"/>
    <w:rsid w:val="2F5C684F"/>
    <w:rsid w:val="2F63756E"/>
    <w:rsid w:val="2F8D6403"/>
    <w:rsid w:val="305637DC"/>
    <w:rsid w:val="307776D1"/>
    <w:rsid w:val="30862574"/>
    <w:rsid w:val="30B631E1"/>
    <w:rsid w:val="310D0BE6"/>
    <w:rsid w:val="311933AA"/>
    <w:rsid w:val="314E2AD9"/>
    <w:rsid w:val="317D15BB"/>
    <w:rsid w:val="31D07E6C"/>
    <w:rsid w:val="323F65DA"/>
    <w:rsid w:val="32412074"/>
    <w:rsid w:val="325D2584"/>
    <w:rsid w:val="328C4750"/>
    <w:rsid w:val="32DE0199"/>
    <w:rsid w:val="32E40720"/>
    <w:rsid w:val="333C2963"/>
    <w:rsid w:val="334F5630"/>
    <w:rsid w:val="335B2774"/>
    <w:rsid w:val="33A4642E"/>
    <w:rsid w:val="33D4039C"/>
    <w:rsid w:val="33D47E05"/>
    <w:rsid w:val="3413677D"/>
    <w:rsid w:val="342B544B"/>
    <w:rsid w:val="345E036E"/>
    <w:rsid w:val="34C47852"/>
    <w:rsid w:val="34DE1E4F"/>
    <w:rsid w:val="34F07DB1"/>
    <w:rsid w:val="358F4EFE"/>
    <w:rsid w:val="359009FB"/>
    <w:rsid w:val="35A324DC"/>
    <w:rsid w:val="35A5149E"/>
    <w:rsid w:val="35D354B8"/>
    <w:rsid w:val="35D4025C"/>
    <w:rsid w:val="362666BC"/>
    <w:rsid w:val="364C2B74"/>
    <w:rsid w:val="368A6B11"/>
    <w:rsid w:val="36AE738B"/>
    <w:rsid w:val="37085B1F"/>
    <w:rsid w:val="372E04CB"/>
    <w:rsid w:val="384D672F"/>
    <w:rsid w:val="38DF3AF4"/>
    <w:rsid w:val="38E070F2"/>
    <w:rsid w:val="390D33AB"/>
    <w:rsid w:val="390E0091"/>
    <w:rsid w:val="391E6D06"/>
    <w:rsid w:val="3A013C75"/>
    <w:rsid w:val="3A074847"/>
    <w:rsid w:val="3A830B2E"/>
    <w:rsid w:val="3AA90FE6"/>
    <w:rsid w:val="3AA9318F"/>
    <w:rsid w:val="3AB62DA0"/>
    <w:rsid w:val="3B69577B"/>
    <w:rsid w:val="3B702D85"/>
    <w:rsid w:val="3B7D3FD5"/>
    <w:rsid w:val="3B823DDF"/>
    <w:rsid w:val="3B8A17C9"/>
    <w:rsid w:val="3BD827B4"/>
    <w:rsid w:val="3BE31A8B"/>
    <w:rsid w:val="3C237ED3"/>
    <w:rsid w:val="3C4D2D59"/>
    <w:rsid w:val="3C764DD6"/>
    <w:rsid w:val="3CAA596A"/>
    <w:rsid w:val="3CAF1D22"/>
    <w:rsid w:val="3CB1587B"/>
    <w:rsid w:val="3CB735F2"/>
    <w:rsid w:val="3D186684"/>
    <w:rsid w:val="3D363C36"/>
    <w:rsid w:val="3D4C5207"/>
    <w:rsid w:val="3D7963C3"/>
    <w:rsid w:val="3D8B2178"/>
    <w:rsid w:val="3DA65BE1"/>
    <w:rsid w:val="3DB34909"/>
    <w:rsid w:val="3DD115F5"/>
    <w:rsid w:val="3DE435F0"/>
    <w:rsid w:val="3DE5122C"/>
    <w:rsid w:val="3DF37E53"/>
    <w:rsid w:val="3E301A13"/>
    <w:rsid w:val="3ECB056B"/>
    <w:rsid w:val="3ED26DE9"/>
    <w:rsid w:val="3EDC6A5F"/>
    <w:rsid w:val="3EE6343A"/>
    <w:rsid w:val="3EED17D0"/>
    <w:rsid w:val="3F040BDF"/>
    <w:rsid w:val="3F0C0304"/>
    <w:rsid w:val="3F774839"/>
    <w:rsid w:val="3FEC147E"/>
    <w:rsid w:val="40376375"/>
    <w:rsid w:val="403970F4"/>
    <w:rsid w:val="412169AB"/>
    <w:rsid w:val="412732B7"/>
    <w:rsid w:val="4127791F"/>
    <w:rsid w:val="41281794"/>
    <w:rsid w:val="413C1FDF"/>
    <w:rsid w:val="41806A69"/>
    <w:rsid w:val="41B0259C"/>
    <w:rsid w:val="41BC6F1C"/>
    <w:rsid w:val="41E919FA"/>
    <w:rsid w:val="41EF2363"/>
    <w:rsid w:val="41F77860"/>
    <w:rsid w:val="4244475E"/>
    <w:rsid w:val="424A4B98"/>
    <w:rsid w:val="42581D3A"/>
    <w:rsid w:val="42CD0466"/>
    <w:rsid w:val="42ED2EA4"/>
    <w:rsid w:val="42F6649D"/>
    <w:rsid w:val="42FE0080"/>
    <w:rsid w:val="43315D2E"/>
    <w:rsid w:val="433823B7"/>
    <w:rsid w:val="43670C99"/>
    <w:rsid w:val="43824A1C"/>
    <w:rsid w:val="43D110E1"/>
    <w:rsid w:val="43E873C9"/>
    <w:rsid w:val="44905B1F"/>
    <w:rsid w:val="45102FBE"/>
    <w:rsid w:val="45316885"/>
    <w:rsid w:val="45A95EE9"/>
    <w:rsid w:val="45FB0F21"/>
    <w:rsid w:val="46167166"/>
    <w:rsid w:val="4636719A"/>
    <w:rsid w:val="463D7DE3"/>
    <w:rsid w:val="46C37DF7"/>
    <w:rsid w:val="47200EE3"/>
    <w:rsid w:val="47435AC2"/>
    <w:rsid w:val="47544B78"/>
    <w:rsid w:val="47587AF7"/>
    <w:rsid w:val="476B4E24"/>
    <w:rsid w:val="47745A86"/>
    <w:rsid w:val="47E239AC"/>
    <w:rsid w:val="480F4B73"/>
    <w:rsid w:val="487974BD"/>
    <w:rsid w:val="48934134"/>
    <w:rsid w:val="48DB38E3"/>
    <w:rsid w:val="49001B5E"/>
    <w:rsid w:val="49376DB0"/>
    <w:rsid w:val="494D658F"/>
    <w:rsid w:val="49804BB7"/>
    <w:rsid w:val="49826DCB"/>
    <w:rsid w:val="499013E7"/>
    <w:rsid w:val="49C8088A"/>
    <w:rsid w:val="4A0F6D68"/>
    <w:rsid w:val="4A301C93"/>
    <w:rsid w:val="4A3302AB"/>
    <w:rsid w:val="4A572A17"/>
    <w:rsid w:val="4A6F2535"/>
    <w:rsid w:val="4AC85D49"/>
    <w:rsid w:val="4AE308A9"/>
    <w:rsid w:val="4B1D4687"/>
    <w:rsid w:val="4B260F2D"/>
    <w:rsid w:val="4B9A1456"/>
    <w:rsid w:val="4BA32C82"/>
    <w:rsid w:val="4BE70627"/>
    <w:rsid w:val="4C0A5AE1"/>
    <w:rsid w:val="4C130AB8"/>
    <w:rsid w:val="4C310C80"/>
    <w:rsid w:val="4C5A284D"/>
    <w:rsid w:val="4C5C0673"/>
    <w:rsid w:val="4CB96B43"/>
    <w:rsid w:val="4CC75FCC"/>
    <w:rsid w:val="4CC87A5E"/>
    <w:rsid w:val="4CD55219"/>
    <w:rsid w:val="4CD63947"/>
    <w:rsid w:val="4CFC49F4"/>
    <w:rsid w:val="4D07114B"/>
    <w:rsid w:val="4D073D73"/>
    <w:rsid w:val="4D1E27BA"/>
    <w:rsid w:val="4D23574A"/>
    <w:rsid w:val="4D4C4DB0"/>
    <w:rsid w:val="4D7322D5"/>
    <w:rsid w:val="4DD7034C"/>
    <w:rsid w:val="4DE312CB"/>
    <w:rsid w:val="4DEC6D24"/>
    <w:rsid w:val="4DF5318E"/>
    <w:rsid w:val="4E1F4862"/>
    <w:rsid w:val="4E2E4393"/>
    <w:rsid w:val="4E535EF2"/>
    <w:rsid w:val="4EC45545"/>
    <w:rsid w:val="4EE945A1"/>
    <w:rsid w:val="4F08773C"/>
    <w:rsid w:val="4F31409F"/>
    <w:rsid w:val="4F5E670E"/>
    <w:rsid w:val="4F846A83"/>
    <w:rsid w:val="50070E2C"/>
    <w:rsid w:val="501112F3"/>
    <w:rsid w:val="504B57F2"/>
    <w:rsid w:val="505A2863"/>
    <w:rsid w:val="50850D04"/>
    <w:rsid w:val="50C5433A"/>
    <w:rsid w:val="50C62BC7"/>
    <w:rsid w:val="50F10148"/>
    <w:rsid w:val="50F72A66"/>
    <w:rsid w:val="511F6DA0"/>
    <w:rsid w:val="5123368C"/>
    <w:rsid w:val="5130747C"/>
    <w:rsid w:val="515C765A"/>
    <w:rsid w:val="518B6458"/>
    <w:rsid w:val="51905BB3"/>
    <w:rsid w:val="51946FCB"/>
    <w:rsid w:val="51A27694"/>
    <w:rsid w:val="51C01DAA"/>
    <w:rsid w:val="51DD796B"/>
    <w:rsid w:val="51DF373B"/>
    <w:rsid w:val="524A218C"/>
    <w:rsid w:val="52EF4CB5"/>
    <w:rsid w:val="52F959F0"/>
    <w:rsid w:val="5302488E"/>
    <w:rsid w:val="53136173"/>
    <w:rsid w:val="534B12B7"/>
    <w:rsid w:val="535556C4"/>
    <w:rsid w:val="5373753A"/>
    <w:rsid w:val="539A4AC7"/>
    <w:rsid w:val="542631B6"/>
    <w:rsid w:val="5447483C"/>
    <w:rsid w:val="54686973"/>
    <w:rsid w:val="54942CAE"/>
    <w:rsid w:val="54A61722"/>
    <w:rsid w:val="54A705A2"/>
    <w:rsid w:val="54B31FAF"/>
    <w:rsid w:val="55326D63"/>
    <w:rsid w:val="555D1A10"/>
    <w:rsid w:val="556A04C9"/>
    <w:rsid w:val="55C300FC"/>
    <w:rsid w:val="56AB72A1"/>
    <w:rsid w:val="56AC4A78"/>
    <w:rsid w:val="56CE1C64"/>
    <w:rsid w:val="56DB16B9"/>
    <w:rsid w:val="570A5ABF"/>
    <w:rsid w:val="57717263"/>
    <w:rsid w:val="577A3463"/>
    <w:rsid w:val="57F967AD"/>
    <w:rsid w:val="58052975"/>
    <w:rsid w:val="58324162"/>
    <w:rsid w:val="584D1A65"/>
    <w:rsid w:val="584F5C44"/>
    <w:rsid w:val="58B10C49"/>
    <w:rsid w:val="58E525CA"/>
    <w:rsid w:val="58EE7372"/>
    <w:rsid w:val="590D0CCD"/>
    <w:rsid w:val="593D045A"/>
    <w:rsid w:val="5960739E"/>
    <w:rsid w:val="59896D0A"/>
    <w:rsid w:val="59B72684"/>
    <w:rsid w:val="5A1F7EF7"/>
    <w:rsid w:val="5A7C2F57"/>
    <w:rsid w:val="5A9579AE"/>
    <w:rsid w:val="5AC468CD"/>
    <w:rsid w:val="5AED1980"/>
    <w:rsid w:val="5B310D54"/>
    <w:rsid w:val="5B342B9A"/>
    <w:rsid w:val="5B45475D"/>
    <w:rsid w:val="5B5953B0"/>
    <w:rsid w:val="5B630802"/>
    <w:rsid w:val="5B807F68"/>
    <w:rsid w:val="5BA058AB"/>
    <w:rsid w:val="5BA72CE5"/>
    <w:rsid w:val="5C034D53"/>
    <w:rsid w:val="5C0A43A9"/>
    <w:rsid w:val="5D722852"/>
    <w:rsid w:val="5D9472EA"/>
    <w:rsid w:val="5DAF116F"/>
    <w:rsid w:val="5DBE6BF1"/>
    <w:rsid w:val="5E1D6F56"/>
    <w:rsid w:val="5E52187F"/>
    <w:rsid w:val="5E677832"/>
    <w:rsid w:val="5E6A13CD"/>
    <w:rsid w:val="5E705D15"/>
    <w:rsid w:val="5E93326C"/>
    <w:rsid w:val="5E9F1A7A"/>
    <w:rsid w:val="5EAF3818"/>
    <w:rsid w:val="5EB34C8F"/>
    <w:rsid w:val="5EFB4BA4"/>
    <w:rsid w:val="5F025452"/>
    <w:rsid w:val="5F151141"/>
    <w:rsid w:val="5F5F46B5"/>
    <w:rsid w:val="5FB25360"/>
    <w:rsid w:val="5FBA3CC0"/>
    <w:rsid w:val="5FD31B07"/>
    <w:rsid w:val="5FD90D61"/>
    <w:rsid w:val="60177697"/>
    <w:rsid w:val="602329DB"/>
    <w:rsid w:val="6038184B"/>
    <w:rsid w:val="607777D6"/>
    <w:rsid w:val="607C3E58"/>
    <w:rsid w:val="60BC76A1"/>
    <w:rsid w:val="610B7637"/>
    <w:rsid w:val="612279BA"/>
    <w:rsid w:val="615F5624"/>
    <w:rsid w:val="61D215CF"/>
    <w:rsid w:val="61DF345B"/>
    <w:rsid w:val="625C563D"/>
    <w:rsid w:val="626A1704"/>
    <w:rsid w:val="6271733B"/>
    <w:rsid w:val="627921C2"/>
    <w:rsid w:val="62B362C8"/>
    <w:rsid w:val="62C1330E"/>
    <w:rsid w:val="6342085E"/>
    <w:rsid w:val="635C1705"/>
    <w:rsid w:val="636F415C"/>
    <w:rsid w:val="64133100"/>
    <w:rsid w:val="64917820"/>
    <w:rsid w:val="64AA1CC5"/>
    <w:rsid w:val="651313E3"/>
    <w:rsid w:val="6528341F"/>
    <w:rsid w:val="6549642F"/>
    <w:rsid w:val="656B2909"/>
    <w:rsid w:val="65A3045D"/>
    <w:rsid w:val="65D97752"/>
    <w:rsid w:val="65E25E59"/>
    <w:rsid w:val="66081D64"/>
    <w:rsid w:val="66307F76"/>
    <w:rsid w:val="664426E7"/>
    <w:rsid w:val="66580EAF"/>
    <w:rsid w:val="66694D0D"/>
    <w:rsid w:val="667B4472"/>
    <w:rsid w:val="66C2407E"/>
    <w:rsid w:val="66F041A8"/>
    <w:rsid w:val="6721178A"/>
    <w:rsid w:val="6739399A"/>
    <w:rsid w:val="673F39DE"/>
    <w:rsid w:val="674C5D22"/>
    <w:rsid w:val="67663AF8"/>
    <w:rsid w:val="67762CFD"/>
    <w:rsid w:val="677A678D"/>
    <w:rsid w:val="67836F29"/>
    <w:rsid w:val="678F7086"/>
    <w:rsid w:val="67C12E10"/>
    <w:rsid w:val="67D30B32"/>
    <w:rsid w:val="68011379"/>
    <w:rsid w:val="68252C37"/>
    <w:rsid w:val="687142E8"/>
    <w:rsid w:val="68817BAC"/>
    <w:rsid w:val="689A5E59"/>
    <w:rsid w:val="68A94E70"/>
    <w:rsid w:val="68EE72DF"/>
    <w:rsid w:val="690B4C92"/>
    <w:rsid w:val="69485FEA"/>
    <w:rsid w:val="69677DC0"/>
    <w:rsid w:val="698E24D5"/>
    <w:rsid w:val="69937EC7"/>
    <w:rsid w:val="69D64558"/>
    <w:rsid w:val="6A042548"/>
    <w:rsid w:val="6A471EFD"/>
    <w:rsid w:val="6A945BB6"/>
    <w:rsid w:val="6A9919F6"/>
    <w:rsid w:val="6AB57116"/>
    <w:rsid w:val="6AD22940"/>
    <w:rsid w:val="6B17424A"/>
    <w:rsid w:val="6B2218FA"/>
    <w:rsid w:val="6B686C59"/>
    <w:rsid w:val="6B691672"/>
    <w:rsid w:val="6BE97F42"/>
    <w:rsid w:val="6C5E6A51"/>
    <w:rsid w:val="6C6513C3"/>
    <w:rsid w:val="6C744268"/>
    <w:rsid w:val="6C913746"/>
    <w:rsid w:val="6CD62D03"/>
    <w:rsid w:val="6CD97FB6"/>
    <w:rsid w:val="6D0E5050"/>
    <w:rsid w:val="6D4B22B8"/>
    <w:rsid w:val="6D930013"/>
    <w:rsid w:val="6E1A1656"/>
    <w:rsid w:val="6E231DD6"/>
    <w:rsid w:val="6E3D768B"/>
    <w:rsid w:val="6E5A5288"/>
    <w:rsid w:val="6E72171A"/>
    <w:rsid w:val="6EE013EE"/>
    <w:rsid w:val="6EE079F1"/>
    <w:rsid w:val="6EE42C42"/>
    <w:rsid w:val="6F521DAE"/>
    <w:rsid w:val="6F7F7CB0"/>
    <w:rsid w:val="6FE0165C"/>
    <w:rsid w:val="6FE10C44"/>
    <w:rsid w:val="701F4D4D"/>
    <w:rsid w:val="70222744"/>
    <w:rsid w:val="7024471D"/>
    <w:rsid w:val="705D4A5A"/>
    <w:rsid w:val="706D25DF"/>
    <w:rsid w:val="706D2B21"/>
    <w:rsid w:val="707B1384"/>
    <w:rsid w:val="70857A34"/>
    <w:rsid w:val="70985D3C"/>
    <w:rsid w:val="71047C73"/>
    <w:rsid w:val="7109004F"/>
    <w:rsid w:val="71103167"/>
    <w:rsid w:val="712E56F7"/>
    <w:rsid w:val="71691ABB"/>
    <w:rsid w:val="71AE1AEA"/>
    <w:rsid w:val="71CB1CB2"/>
    <w:rsid w:val="71CF3B6C"/>
    <w:rsid w:val="71F80F33"/>
    <w:rsid w:val="722922C6"/>
    <w:rsid w:val="727176A7"/>
    <w:rsid w:val="72CB03A1"/>
    <w:rsid w:val="732D4B5D"/>
    <w:rsid w:val="73393C88"/>
    <w:rsid w:val="7362513F"/>
    <w:rsid w:val="73771D49"/>
    <w:rsid w:val="738E332B"/>
    <w:rsid w:val="73A1354E"/>
    <w:rsid w:val="73E37B9F"/>
    <w:rsid w:val="74A11E7D"/>
    <w:rsid w:val="75275C40"/>
    <w:rsid w:val="75590B0A"/>
    <w:rsid w:val="7582279F"/>
    <w:rsid w:val="75843EB5"/>
    <w:rsid w:val="758B02BC"/>
    <w:rsid w:val="75BB71AF"/>
    <w:rsid w:val="75F01962"/>
    <w:rsid w:val="760E19DF"/>
    <w:rsid w:val="764E52E0"/>
    <w:rsid w:val="76557F3E"/>
    <w:rsid w:val="76676A53"/>
    <w:rsid w:val="76A3294D"/>
    <w:rsid w:val="76B620A1"/>
    <w:rsid w:val="76F20814"/>
    <w:rsid w:val="77462524"/>
    <w:rsid w:val="779A6594"/>
    <w:rsid w:val="77A21064"/>
    <w:rsid w:val="77E34EB2"/>
    <w:rsid w:val="781564B8"/>
    <w:rsid w:val="78224ACF"/>
    <w:rsid w:val="784A620C"/>
    <w:rsid w:val="78CD6DCC"/>
    <w:rsid w:val="78D07CAF"/>
    <w:rsid w:val="78DE12D7"/>
    <w:rsid w:val="79210683"/>
    <w:rsid w:val="799C3465"/>
    <w:rsid w:val="79B14EC4"/>
    <w:rsid w:val="79C16ACB"/>
    <w:rsid w:val="7A2A6B4A"/>
    <w:rsid w:val="7A681070"/>
    <w:rsid w:val="7A860C7C"/>
    <w:rsid w:val="7A9C4DB8"/>
    <w:rsid w:val="7AB879FE"/>
    <w:rsid w:val="7B3264DD"/>
    <w:rsid w:val="7B7315D6"/>
    <w:rsid w:val="7B81188A"/>
    <w:rsid w:val="7B9E2902"/>
    <w:rsid w:val="7BC854E2"/>
    <w:rsid w:val="7C0562EC"/>
    <w:rsid w:val="7C067A45"/>
    <w:rsid w:val="7C27683F"/>
    <w:rsid w:val="7C885555"/>
    <w:rsid w:val="7CB14B4D"/>
    <w:rsid w:val="7CF26969"/>
    <w:rsid w:val="7D25523C"/>
    <w:rsid w:val="7D300386"/>
    <w:rsid w:val="7DB23041"/>
    <w:rsid w:val="7E431733"/>
    <w:rsid w:val="7E5F7809"/>
    <w:rsid w:val="7ED56C53"/>
    <w:rsid w:val="7EEA1BAF"/>
    <w:rsid w:val="7F012A6E"/>
    <w:rsid w:val="7F536173"/>
    <w:rsid w:val="7F5460D4"/>
    <w:rsid w:val="7F552892"/>
    <w:rsid w:val="7FD57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99" w:semiHidden="0" w:name="heading 3"/>
    <w:lsdException w:qFormat="1"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qFormat="1" w:unhideWhenUsed="0" w:uiPriority="99" w:semiHidden="0" w:name="index 6"/>
    <w:lsdException w:uiPriority="99" w:name="index 7"/>
    <w:lsdException w:uiPriority="99" w:name="index 8"/>
    <w:lsdException w:qFormat="1" w:uiPriority="0" w:semiHidden="0" w:name="index 9"/>
    <w:lsdException w:qFormat="1" w:unhideWhenUsed="0"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47"/>
    <w:qFormat/>
    <w:uiPriority w:val="99"/>
    <w:pPr>
      <w:keepNext/>
      <w:keepLines/>
      <w:jc w:val="center"/>
      <w:outlineLvl w:val="0"/>
    </w:pPr>
    <w:rPr>
      <w:b/>
      <w:bCs/>
      <w:kern w:val="44"/>
      <w:sz w:val="36"/>
      <w:szCs w:val="44"/>
    </w:rPr>
  </w:style>
  <w:style w:type="paragraph" w:styleId="3">
    <w:name w:val="heading 2"/>
    <w:basedOn w:val="1"/>
    <w:next w:val="1"/>
    <w:link w:val="48"/>
    <w:qFormat/>
    <w:uiPriority w:val="99"/>
    <w:pPr>
      <w:keepNext/>
      <w:keepLines/>
      <w:spacing w:line="360" w:lineRule="auto"/>
      <w:outlineLvl w:val="1"/>
    </w:pPr>
    <w:rPr>
      <w:rFonts w:ascii="Arial" w:hAnsi="Arial" w:eastAsia="宋体" w:cs="Times New Roman"/>
      <w:b/>
      <w:bCs/>
      <w:sz w:val="24"/>
      <w:szCs w:val="32"/>
    </w:rPr>
  </w:style>
  <w:style w:type="paragraph" w:styleId="4">
    <w:name w:val="heading 3"/>
    <w:basedOn w:val="1"/>
    <w:next w:val="1"/>
    <w:link w:val="49"/>
    <w:unhideWhenUsed/>
    <w:qFormat/>
    <w:uiPriority w:val="99"/>
    <w:pPr>
      <w:keepNext/>
      <w:keepLines/>
      <w:spacing w:before="260" w:after="260" w:line="416" w:lineRule="auto"/>
      <w:outlineLvl w:val="2"/>
    </w:pPr>
    <w:rPr>
      <w:rFonts w:ascii="Calibri" w:hAnsi="Calibri" w:eastAsia="宋体" w:cs="Times New Roman"/>
      <w:b/>
      <w:bCs/>
      <w:sz w:val="32"/>
      <w:szCs w:val="32"/>
    </w:rPr>
  </w:style>
  <w:style w:type="paragraph" w:styleId="5">
    <w:name w:val="heading 4"/>
    <w:basedOn w:val="1"/>
    <w:next w:val="1"/>
    <w:link w:val="139"/>
    <w:unhideWhenUsed/>
    <w:qFormat/>
    <w:uiPriority w:val="99"/>
    <w:pPr>
      <w:keepNext/>
      <w:keepLines/>
      <w:spacing w:before="280" w:after="290" w:line="372" w:lineRule="auto"/>
      <w:outlineLvl w:val="3"/>
    </w:pPr>
    <w:rPr>
      <w:rFonts w:ascii="Arial" w:hAnsi="Arial" w:eastAsia="黑体"/>
      <w:b/>
      <w:sz w:val="28"/>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39"/>
    <w:pPr>
      <w:ind w:left="1440"/>
      <w:jc w:val="left"/>
    </w:pPr>
    <w:rPr>
      <w:rFonts w:ascii="Calibri" w:hAnsi="Calibri" w:eastAsia="宋体" w:cs="Times New Roman"/>
      <w:sz w:val="18"/>
      <w:szCs w:val="18"/>
    </w:rPr>
  </w:style>
  <w:style w:type="paragraph" w:styleId="7">
    <w:name w:val="caption"/>
    <w:basedOn w:val="1"/>
    <w:next w:val="1"/>
    <w:qFormat/>
    <w:uiPriority w:val="35"/>
    <w:pPr>
      <w:spacing w:before="152" w:after="160"/>
    </w:pPr>
    <w:rPr>
      <w:rFonts w:ascii="Arial" w:hAnsi="Arial" w:eastAsia="黑体" w:cs="Arial"/>
      <w:sz w:val="20"/>
      <w:szCs w:val="20"/>
    </w:rPr>
  </w:style>
  <w:style w:type="paragraph" w:styleId="8">
    <w:name w:val="Document Map"/>
    <w:basedOn w:val="1"/>
    <w:link w:val="70"/>
    <w:qFormat/>
    <w:uiPriority w:val="0"/>
    <w:pPr>
      <w:shd w:val="clear" w:color="auto" w:fill="000080"/>
    </w:pPr>
    <w:rPr>
      <w:sz w:val="24"/>
    </w:rPr>
  </w:style>
  <w:style w:type="paragraph" w:styleId="9">
    <w:name w:val="toa heading"/>
    <w:basedOn w:val="1"/>
    <w:next w:val="1"/>
    <w:qFormat/>
    <w:uiPriority w:val="99"/>
    <w:pPr>
      <w:spacing w:before="120"/>
    </w:pPr>
    <w:rPr>
      <w:rFonts w:ascii="Arial" w:hAnsi="Arial" w:eastAsia="宋体" w:cs="Arial"/>
      <w:sz w:val="24"/>
      <w:szCs w:val="24"/>
    </w:rPr>
  </w:style>
  <w:style w:type="paragraph" w:styleId="10">
    <w:name w:val="annotation text"/>
    <w:basedOn w:val="1"/>
    <w:link w:val="61"/>
    <w:qFormat/>
    <w:uiPriority w:val="99"/>
    <w:pPr>
      <w:jc w:val="left"/>
    </w:pPr>
  </w:style>
  <w:style w:type="paragraph" w:styleId="11">
    <w:name w:val="index 6"/>
    <w:basedOn w:val="1"/>
    <w:next w:val="1"/>
    <w:qFormat/>
    <w:uiPriority w:val="99"/>
    <w:rPr>
      <w:rFonts w:ascii="宋体" w:hAnsi="宋体"/>
      <w:color w:val="000000" w:themeColor="text1"/>
      <w:sz w:val="20"/>
      <w:szCs w:val="20"/>
      <w14:textFill>
        <w14:solidFill>
          <w14:schemeClr w14:val="tx1"/>
        </w14:solidFill>
      </w14:textFill>
    </w:rPr>
  </w:style>
  <w:style w:type="paragraph" w:styleId="12">
    <w:name w:val="Body Text"/>
    <w:basedOn w:val="1"/>
    <w:link w:val="82"/>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styleId="13">
    <w:name w:val="Body Text Indent"/>
    <w:basedOn w:val="1"/>
    <w:link w:val="79"/>
    <w:qFormat/>
    <w:uiPriority w:val="99"/>
    <w:pPr>
      <w:spacing w:after="120"/>
      <w:ind w:left="420" w:leftChars="200"/>
    </w:pPr>
    <w:rPr>
      <w:rFonts w:ascii="Calibri" w:hAnsi="Calibri" w:eastAsia="宋体" w:cs="Times New Roman"/>
      <w:szCs w:val="20"/>
    </w:rPr>
  </w:style>
  <w:style w:type="paragraph" w:styleId="14">
    <w:name w:val="index 4"/>
    <w:basedOn w:val="1"/>
    <w:next w:val="1"/>
    <w:qFormat/>
    <w:uiPriority w:val="0"/>
    <w:pPr>
      <w:ind w:left="600" w:leftChars="600"/>
    </w:pPr>
  </w:style>
  <w:style w:type="paragraph" w:styleId="15">
    <w:name w:val="toc 5"/>
    <w:basedOn w:val="1"/>
    <w:next w:val="1"/>
    <w:qFormat/>
    <w:uiPriority w:val="39"/>
    <w:pPr>
      <w:ind w:left="960"/>
      <w:jc w:val="left"/>
    </w:pPr>
    <w:rPr>
      <w:rFonts w:ascii="Calibri" w:hAnsi="Calibri" w:eastAsia="宋体" w:cs="Times New Roman"/>
      <w:sz w:val="18"/>
      <w:szCs w:val="18"/>
    </w:rPr>
  </w:style>
  <w:style w:type="paragraph" w:styleId="16">
    <w:name w:val="toc 3"/>
    <w:basedOn w:val="1"/>
    <w:next w:val="1"/>
    <w:qFormat/>
    <w:uiPriority w:val="39"/>
    <w:pPr>
      <w:ind w:left="480"/>
      <w:jc w:val="left"/>
    </w:pPr>
    <w:rPr>
      <w:rFonts w:ascii="Calibri" w:hAnsi="Calibri" w:eastAsia="宋体" w:cs="Times New Roman"/>
      <w:i/>
      <w:iCs/>
      <w:sz w:val="20"/>
      <w:szCs w:val="20"/>
    </w:rPr>
  </w:style>
  <w:style w:type="paragraph" w:styleId="17">
    <w:name w:val="Plain Text"/>
    <w:basedOn w:val="1"/>
    <w:link w:val="72"/>
    <w:qFormat/>
    <w:uiPriority w:val="99"/>
    <w:rPr>
      <w:rFonts w:ascii="宋体" w:hAnsi="Courier New"/>
    </w:rPr>
  </w:style>
  <w:style w:type="paragraph" w:styleId="18">
    <w:name w:val="toc 8"/>
    <w:basedOn w:val="1"/>
    <w:next w:val="1"/>
    <w:qFormat/>
    <w:uiPriority w:val="39"/>
    <w:pPr>
      <w:ind w:left="1680"/>
      <w:jc w:val="left"/>
    </w:pPr>
    <w:rPr>
      <w:rFonts w:ascii="Calibri" w:hAnsi="Calibri" w:eastAsia="宋体" w:cs="Times New Roman"/>
      <w:sz w:val="18"/>
      <w:szCs w:val="18"/>
    </w:rPr>
  </w:style>
  <w:style w:type="paragraph" w:styleId="19">
    <w:name w:val="Date"/>
    <w:basedOn w:val="1"/>
    <w:next w:val="1"/>
    <w:link w:val="63"/>
    <w:qFormat/>
    <w:uiPriority w:val="0"/>
    <w:pPr>
      <w:ind w:left="100" w:leftChars="2500"/>
    </w:pPr>
    <w:rPr>
      <w:sz w:val="24"/>
    </w:rPr>
  </w:style>
  <w:style w:type="paragraph" w:styleId="20">
    <w:name w:val="Body Text Indent 2"/>
    <w:basedOn w:val="1"/>
    <w:link w:val="51"/>
    <w:qFormat/>
    <w:uiPriority w:val="99"/>
    <w:pPr>
      <w:spacing w:after="120" w:line="480" w:lineRule="auto"/>
      <w:ind w:left="420" w:leftChars="200"/>
    </w:pPr>
  </w:style>
  <w:style w:type="paragraph" w:styleId="21">
    <w:name w:val="Balloon Text"/>
    <w:basedOn w:val="1"/>
    <w:link w:val="67"/>
    <w:qFormat/>
    <w:uiPriority w:val="0"/>
    <w:rPr>
      <w:sz w:val="18"/>
    </w:rPr>
  </w:style>
  <w:style w:type="paragraph" w:styleId="22">
    <w:name w:val="footer"/>
    <w:basedOn w:val="1"/>
    <w:link w:val="73"/>
    <w:qFormat/>
    <w:uiPriority w:val="99"/>
    <w:pPr>
      <w:tabs>
        <w:tab w:val="center" w:pos="4153"/>
        <w:tab w:val="right" w:pos="8306"/>
      </w:tabs>
      <w:snapToGrid w:val="0"/>
      <w:jc w:val="left"/>
    </w:pPr>
    <w:rPr>
      <w:sz w:val="18"/>
    </w:rPr>
  </w:style>
  <w:style w:type="paragraph" w:styleId="23">
    <w:name w:val="header"/>
    <w:basedOn w:val="1"/>
    <w:link w:val="59"/>
    <w:qFormat/>
    <w:uiPriority w:val="99"/>
    <w:pPr>
      <w:pBdr>
        <w:bottom w:val="single" w:color="auto" w:sz="6" w:space="1"/>
      </w:pBdr>
      <w:tabs>
        <w:tab w:val="center" w:pos="4153"/>
        <w:tab w:val="right" w:pos="8306"/>
      </w:tabs>
      <w:snapToGrid w:val="0"/>
      <w:jc w:val="center"/>
    </w:pPr>
    <w:rPr>
      <w:sz w:val="18"/>
    </w:rPr>
  </w:style>
  <w:style w:type="paragraph" w:styleId="24">
    <w:name w:val="toc 1"/>
    <w:basedOn w:val="1"/>
    <w:next w:val="1"/>
    <w:qFormat/>
    <w:uiPriority w:val="39"/>
    <w:pPr>
      <w:spacing w:line="360" w:lineRule="auto"/>
      <w:jc w:val="left"/>
    </w:pPr>
    <w:rPr>
      <w:rFonts w:ascii="宋体" w:hAnsi="宋体" w:eastAsia="宋体" w:cs="Times New Roman"/>
      <w:b/>
      <w:caps/>
      <w:color w:val="FF0000"/>
      <w:szCs w:val="21"/>
    </w:rPr>
  </w:style>
  <w:style w:type="paragraph" w:styleId="25">
    <w:name w:val="toc 4"/>
    <w:basedOn w:val="1"/>
    <w:next w:val="1"/>
    <w:qFormat/>
    <w:uiPriority w:val="39"/>
    <w:pPr>
      <w:ind w:left="720"/>
      <w:jc w:val="left"/>
    </w:pPr>
    <w:rPr>
      <w:rFonts w:ascii="Calibri" w:hAnsi="Calibri" w:eastAsia="宋体" w:cs="Times New Roman"/>
      <w:sz w:val="18"/>
      <w:szCs w:val="18"/>
    </w:rPr>
  </w:style>
  <w:style w:type="paragraph" w:styleId="26">
    <w:name w:val="List"/>
    <w:basedOn w:val="1"/>
    <w:qFormat/>
    <w:uiPriority w:val="99"/>
    <w:pPr>
      <w:ind w:left="420" w:hanging="420"/>
    </w:pPr>
    <w:rPr>
      <w:rFonts w:ascii="Times New Roman" w:hAnsi="Times New Roman" w:eastAsia="宋体" w:cs="Times New Roman"/>
      <w:szCs w:val="20"/>
    </w:rPr>
  </w:style>
  <w:style w:type="paragraph" w:styleId="27">
    <w:name w:val="toc 6"/>
    <w:basedOn w:val="1"/>
    <w:next w:val="1"/>
    <w:qFormat/>
    <w:uiPriority w:val="39"/>
    <w:pPr>
      <w:ind w:left="1200"/>
      <w:jc w:val="left"/>
    </w:pPr>
    <w:rPr>
      <w:rFonts w:ascii="Calibri" w:hAnsi="Calibri" w:eastAsia="宋体" w:cs="Times New Roman"/>
      <w:sz w:val="18"/>
      <w:szCs w:val="18"/>
    </w:rPr>
  </w:style>
  <w:style w:type="paragraph" w:styleId="28">
    <w:name w:val="Body Text Indent 3"/>
    <w:basedOn w:val="1"/>
    <w:link w:val="53"/>
    <w:qFormat/>
    <w:uiPriority w:val="0"/>
    <w:pPr>
      <w:spacing w:after="120"/>
      <w:ind w:left="420" w:leftChars="200"/>
    </w:pPr>
    <w:rPr>
      <w:sz w:val="16"/>
    </w:rPr>
  </w:style>
  <w:style w:type="paragraph" w:styleId="29">
    <w:name w:val="index 9"/>
    <w:basedOn w:val="1"/>
    <w:next w:val="1"/>
    <w:unhideWhenUsed/>
    <w:qFormat/>
    <w:uiPriority w:val="0"/>
    <w:pPr>
      <w:ind w:left="2520" w:hanging="280"/>
    </w:pPr>
    <w:rPr>
      <w:rFonts w:eastAsia="仿宋"/>
      <w:sz w:val="28"/>
    </w:rPr>
  </w:style>
  <w:style w:type="paragraph" w:styleId="30">
    <w:name w:val="toc 2"/>
    <w:basedOn w:val="1"/>
    <w:next w:val="1"/>
    <w:unhideWhenUsed/>
    <w:qFormat/>
    <w:uiPriority w:val="39"/>
    <w:pPr>
      <w:ind w:left="420" w:leftChars="200"/>
    </w:pPr>
    <w:rPr>
      <w:rFonts w:ascii="Calibri" w:hAnsi="Calibri" w:eastAsia="宋体" w:cs="Times New Roman"/>
      <w:szCs w:val="20"/>
    </w:rPr>
  </w:style>
  <w:style w:type="paragraph" w:styleId="31">
    <w:name w:val="toc 9"/>
    <w:basedOn w:val="1"/>
    <w:next w:val="1"/>
    <w:qFormat/>
    <w:uiPriority w:val="39"/>
    <w:pPr>
      <w:ind w:left="1920"/>
      <w:jc w:val="left"/>
    </w:pPr>
    <w:rPr>
      <w:rFonts w:ascii="Calibri" w:hAnsi="Calibri" w:eastAsia="宋体" w:cs="Times New Roman"/>
      <w:sz w:val="18"/>
      <w:szCs w:val="18"/>
    </w:rPr>
  </w:style>
  <w:style w:type="paragraph" w:styleId="32">
    <w:name w:val="Normal (Web)"/>
    <w:basedOn w:val="1"/>
    <w:qFormat/>
    <w:uiPriority w:val="99"/>
    <w:rPr>
      <w:rFonts w:ascii="Calibri" w:hAnsi="Calibri" w:eastAsia="宋体" w:cs="Times New Roman"/>
      <w:sz w:val="24"/>
      <w:szCs w:val="20"/>
    </w:rPr>
  </w:style>
  <w:style w:type="paragraph" w:styleId="33">
    <w:name w:val="index 1"/>
    <w:basedOn w:val="1"/>
    <w:next w:val="1"/>
    <w:qFormat/>
    <w:uiPriority w:val="99"/>
    <w:rPr>
      <w:rFonts w:ascii="Calibri" w:hAnsi="Calibri" w:eastAsia="宋体" w:cs="Times New Roman"/>
      <w:sz w:val="24"/>
      <w:szCs w:val="24"/>
    </w:rPr>
  </w:style>
  <w:style w:type="paragraph" w:styleId="34">
    <w:name w:val="Title"/>
    <w:basedOn w:val="1"/>
    <w:next w:val="1"/>
    <w:link w:val="62"/>
    <w:qFormat/>
    <w:uiPriority w:val="0"/>
    <w:pPr>
      <w:spacing w:before="160" w:after="40" w:line="240" w:lineRule="atLeast"/>
      <w:ind w:left="425" w:hanging="425"/>
      <w:jc w:val="center"/>
      <w:outlineLvl w:val="0"/>
    </w:pPr>
    <w:rPr>
      <w:rFonts w:ascii="Arial" w:hAnsi="Arial"/>
      <w:b/>
      <w:sz w:val="32"/>
    </w:rPr>
  </w:style>
  <w:style w:type="paragraph" w:styleId="35">
    <w:name w:val="annotation subject"/>
    <w:basedOn w:val="10"/>
    <w:next w:val="10"/>
    <w:link w:val="52"/>
    <w:qFormat/>
    <w:uiPriority w:val="0"/>
    <w:rPr>
      <w:b/>
    </w:rPr>
  </w:style>
  <w:style w:type="paragraph" w:styleId="36">
    <w:name w:val="Body Text First Indent 2"/>
    <w:basedOn w:val="13"/>
    <w:semiHidden/>
    <w:qFormat/>
    <w:uiPriority w:val="99"/>
    <w:pPr>
      <w:spacing w:line="276" w:lineRule="auto"/>
      <w:ind w:firstLine="420" w:firstLineChars="200"/>
      <w:jc w:val="left"/>
    </w:pPr>
  </w:style>
  <w:style w:type="table" w:styleId="38">
    <w:name w:val="Table Grid"/>
    <w:basedOn w:val="3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basedOn w:val="39"/>
    <w:qFormat/>
    <w:uiPriority w:val="22"/>
    <w:rPr>
      <w:b/>
    </w:rPr>
  </w:style>
  <w:style w:type="character" w:styleId="41">
    <w:name w:val="page number"/>
    <w:basedOn w:val="39"/>
    <w:qFormat/>
    <w:uiPriority w:val="99"/>
    <w:rPr>
      <w:rFonts w:cs="Times New Roman"/>
    </w:rPr>
  </w:style>
  <w:style w:type="character" w:styleId="42">
    <w:name w:val="FollowedHyperlink"/>
    <w:basedOn w:val="39"/>
    <w:qFormat/>
    <w:uiPriority w:val="99"/>
    <w:rPr>
      <w:color w:val="800080"/>
      <w:u w:val="single"/>
    </w:rPr>
  </w:style>
  <w:style w:type="character" w:styleId="43">
    <w:name w:val="Emphasis"/>
    <w:qFormat/>
    <w:uiPriority w:val="99"/>
    <w:rPr>
      <w:rFonts w:cs="Times New Roman"/>
      <w:color w:val="auto"/>
    </w:rPr>
  </w:style>
  <w:style w:type="character" w:styleId="44">
    <w:name w:val="HTML Acronym"/>
    <w:basedOn w:val="39"/>
    <w:qFormat/>
    <w:uiPriority w:val="99"/>
  </w:style>
  <w:style w:type="character" w:styleId="45">
    <w:name w:val="Hyperlink"/>
    <w:basedOn w:val="39"/>
    <w:qFormat/>
    <w:uiPriority w:val="99"/>
    <w:rPr>
      <w:color w:val="1F4F88"/>
      <w:u w:val="none"/>
    </w:rPr>
  </w:style>
  <w:style w:type="character" w:styleId="46">
    <w:name w:val="annotation reference"/>
    <w:basedOn w:val="39"/>
    <w:qFormat/>
    <w:uiPriority w:val="99"/>
    <w:rPr>
      <w:sz w:val="21"/>
    </w:rPr>
  </w:style>
  <w:style w:type="character" w:customStyle="1" w:styleId="47">
    <w:name w:val="标题 1 字符"/>
    <w:basedOn w:val="39"/>
    <w:link w:val="2"/>
    <w:qFormat/>
    <w:uiPriority w:val="99"/>
    <w:rPr>
      <w:rFonts w:ascii="Calibri" w:hAnsi="Calibri" w:eastAsia="宋体" w:cs="Times New Roman"/>
      <w:b/>
      <w:bCs/>
      <w:kern w:val="44"/>
      <w:sz w:val="36"/>
      <w:szCs w:val="44"/>
    </w:rPr>
  </w:style>
  <w:style w:type="character" w:customStyle="1" w:styleId="48">
    <w:name w:val="标题 2 字符"/>
    <w:basedOn w:val="39"/>
    <w:link w:val="3"/>
    <w:qFormat/>
    <w:uiPriority w:val="99"/>
    <w:rPr>
      <w:rFonts w:ascii="Arial" w:hAnsi="Arial" w:eastAsia="宋体" w:cs="Times New Roman"/>
      <w:b/>
      <w:bCs/>
      <w:sz w:val="24"/>
      <w:szCs w:val="32"/>
    </w:rPr>
  </w:style>
  <w:style w:type="character" w:customStyle="1" w:styleId="49">
    <w:name w:val="标题 3 字符"/>
    <w:basedOn w:val="39"/>
    <w:link w:val="4"/>
    <w:qFormat/>
    <w:uiPriority w:val="99"/>
    <w:rPr>
      <w:rFonts w:ascii="Calibri" w:hAnsi="Calibri" w:eastAsia="宋体" w:cs="Times New Roman"/>
      <w:b/>
      <w:bCs/>
      <w:sz w:val="32"/>
      <w:szCs w:val="32"/>
    </w:rPr>
  </w:style>
  <w:style w:type="character" w:customStyle="1" w:styleId="50">
    <w:name w:val="Char Char3"/>
    <w:qFormat/>
    <w:uiPriority w:val="0"/>
    <w:rPr>
      <w:rFonts w:ascii="宋体" w:hAnsi="Courier New" w:eastAsia="宋体"/>
      <w:kern w:val="2"/>
      <w:sz w:val="21"/>
      <w:lang w:val="en-US" w:eastAsia="zh-CN"/>
    </w:rPr>
  </w:style>
  <w:style w:type="character" w:customStyle="1" w:styleId="51">
    <w:name w:val="正文文本缩进 2 字符"/>
    <w:link w:val="20"/>
    <w:qFormat/>
    <w:locked/>
    <w:uiPriority w:val="99"/>
  </w:style>
  <w:style w:type="character" w:customStyle="1" w:styleId="52">
    <w:name w:val="批注主题 字符"/>
    <w:link w:val="35"/>
    <w:qFormat/>
    <w:locked/>
    <w:uiPriority w:val="0"/>
    <w:rPr>
      <w:b/>
    </w:rPr>
  </w:style>
  <w:style w:type="character" w:customStyle="1" w:styleId="53">
    <w:name w:val="正文文本缩进 3 字符"/>
    <w:link w:val="28"/>
    <w:qFormat/>
    <w:locked/>
    <w:uiPriority w:val="0"/>
    <w:rPr>
      <w:sz w:val="16"/>
    </w:rPr>
  </w:style>
  <w:style w:type="character" w:customStyle="1" w:styleId="54">
    <w:name w:val="纯文本 Char"/>
    <w:qFormat/>
    <w:uiPriority w:val="0"/>
    <w:rPr>
      <w:rFonts w:ascii="宋体" w:hAnsi="Courier New" w:eastAsia="宋体"/>
      <w:kern w:val="2"/>
      <w:sz w:val="21"/>
      <w:lang w:val="en-US" w:eastAsia="zh-CN"/>
    </w:rPr>
  </w:style>
  <w:style w:type="character" w:customStyle="1" w:styleId="55">
    <w:name w:val="Char Char2"/>
    <w:qFormat/>
    <w:uiPriority w:val="0"/>
    <w:rPr>
      <w:rFonts w:ascii="宋体" w:hAnsi="Courier New"/>
      <w:kern w:val="2"/>
      <w:sz w:val="21"/>
    </w:rPr>
  </w:style>
  <w:style w:type="character" w:customStyle="1" w:styleId="56">
    <w:name w:val="列出段落 字符"/>
    <w:link w:val="57"/>
    <w:qFormat/>
    <w:locked/>
    <w:uiPriority w:val="34"/>
    <w:rPr>
      <w:sz w:val="22"/>
    </w:rPr>
  </w:style>
  <w:style w:type="paragraph" w:customStyle="1" w:styleId="57">
    <w:name w:val="列出段落1"/>
    <w:basedOn w:val="1"/>
    <w:link w:val="56"/>
    <w:qFormat/>
    <w:uiPriority w:val="34"/>
    <w:pPr>
      <w:ind w:firstLine="420" w:firstLineChars="200"/>
    </w:pPr>
    <w:rPr>
      <w:sz w:val="22"/>
    </w:rPr>
  </w:style>
  <w:style w:type="character" w:customStyle="1" w:styleId="58">
    <w:name w:val="apple-converted-space"/>
    <w:basedOn w:val="39"/>
    <w:qFormat/>
    <w:uiPriority w:val="0"/>
    <w:rPr>
      <w:rFonts w:cs="Times New Roman"/>
    </w:rPr>
  </w:style>
  <w:style w:type="character" w:customStyle="1" w:styleId="59">
    <w:name w:val="页眉 字符"/>
    <w:link w:val="23"/>
    <w:qFormat/>
    <w:locked/>
    <w:uiPriority w:val="99"/>
    <w:rPr>
      <w:sz w:val="18"/>
    </w:rPr>
  </w:style>
  <w:style w:type="character" w:customStyle="1" w:styleId="60">
    <w:name w:val="BODY TEXT Char"/>
    <w:qFormat/>
    <w:locked/>
    <w:uiPriority w:val="0"/>
    <w:rPr>
      <w:rFonts w:eastAsia="新宋体"/>
      <w:kern w:val="2"/>
      <w:sz w:val="21"/>
    </w:rPr>
  </w:style>
  <w:style w:type="character" w:customStyle="1" w:styleId="61">
    <w:name w:val="批注文字 字符"/>
    <w:link w:val="10"/>
    <w:qFormat/>
    <w:locked/>
    <w:uiPriority w:val="99"/>
  </w:style>
  <w:style w:type="character" w:customStyle="1" w:styleId="62">
    <w:name w:val="标题 字符"/>
    <w:link w:val="34"/>
    <w:qFormat/>
    <w:locked/>
    <w:uiPriority w:val="0"/>
    <w:rPr>
      <w:rFonts w:ascii="Arial" w:hAnsi="Arial"/>
      <w:b/>
      <w:sz w:val="32"/>
    </w:rPr>
  </w:style>
  <w:style w:type="character" w:customStyle="1" w:styleId="63">
    <w:name w:val="日期 字符"/>
    <w:link w:val="19"/>
    <w:qFormat/>
    <w:locked/>
    <w:uiPriority w:val="0"/>
    <w:rPr>
      <w:sz w:val="24"/>
    </w:rPr>
  </w:style>
  <w:style w:type="character" w:customStyle="1" w:styleId="64">
    <w:name w:val="ATXT_Bullets Zchn"/>
    <w:link w:val="65"/>
    <w:qFormat/>
    <w:locked/>
    <w:uiPriority w:val="99"/>
    <w:rPr>
      <w:rFonts w:ascii="Arial" w:hAnsi="Arial"/>
      <w:lang w:val="de-AT" w:eastAsia="zh-CN"/>
    </w:rPr>
  </w:style>
  <w:style w:type="paragraph" w:customStyle="1" w:styleId="65">
    <w:name w:val="ATXT_Bullets"/>
    <w:link w:val="64"/>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66">
    <w:name w:val="Char Char5"/>
    <w:qFormat/>
    <w:uiPriority w:val="0"/>
    <w:rPr>
      <w:rFonts w:ascii="宋体" w:hAnsi="Courier New" w:eastAsia="宋体"/>
      <w:kern w:val="2"/>
      <w:sz w:val="21"/>
      <w:lang w:val="en-US" w:eastAsia="zh-CN"/>
    </w:rPr>
  </w:style>
  <w:style w:type="character" w:customStyle="1" w:styleId="67">
    <w:name w:val="批注框文本 字符"/>
    <w:link w:val="21"/>
    <w:qFormat/>
    <w:locked/>
    <w:uiPriority w:val="0"/>
    <w:rPr>
      <w:sz w:val="18"/>
    </w:rPr>
  </w:style>
  <w:style w:type="character" w:customStyle="1" w:styleId="68">
    <w:name w:val="批注文字 Char"/>
    <w:qFormat/>
    <w:uiPriority w:val="0"/>
    <w:rPr>
      <w:kern w:val="2"/>
    </w:rPr>
  </w:style>
  <w:style w:type="character" w:customStyle="1" w:styleId="69">
    <w:name w:val="批注主题 Char"/>
    <w:qFormat/>
    <w:uiPriority w:val="0"/>
    <w:rPr>
      <w:b/>
      <w:kern w:val="2"/>
    </w:rPr>
  </w:style>
  <w:style w:type="character" w:customStyle="1" w:styleId="70">
    <w:name w:val="文档结构图 字符"/>
    <w:link w:val="8"/>
    <w:qFormat/>
    <w:locked/>
    <w:uiPriority w:val="0"/>
    <w:rPr>
      <w:sz w:val="24"/>
      <w:shd w:val="clear" w:color="auto" w:fill="000080"/>
    </w:rPr>
  </w:style>
  <w:style w:type="character" w:customStyle="1" w:styleId="71">
    <w:name w:val="HTML Markup"/>
    <w:qFormat/>
    <w:uiPriority w:val="0"/>
    <w:rPr>
      <w:vanish/>
      <w:color w:val="FF0000"/>
    </w:rPr>
  </w:style>
  <w:style w:type="character" w:customStyle="1" w:styleId="72">
    <w:name w:val="纯文本 字符"/>
    <w:link w:val="17"/>
    <w:qFormat/>
    <w:locked/>
    <w:uiPriority w:val="99"/>
    <w:rPr>
      <w:rFonts w:ascii="宋体" w:hAnsi="Courier New"/>
    </w:rPr>
  </w:style>
  <w:style w:type="character" w:customStyle="1" w:styleId="73">
    <w:name w:val="页脚 字符"/>
    <w:link w:val="22"/>
    <w:qFormat/>
    <w:locked/>
    <w:uiPriority w:val="99"/>
    <w:rPr>
      <w:sz w:val="18"/>
    </w:rPr>
  </w:style>
  <w:style w:type="character" w:customStyle="1" w:styleId="74">
    <w:name w:val="Default Char"/>
    <w:link w:val="75"/>
    <w:qFormat/>
    <w:locked/>
    <w:uiPriority w:val="0"/>
    <w:rPr>
      <w:rFonts w:ascii="仿宋_GB2312" w:eastAsia="仿宋_GB2312"/>
      <w:color w:val="000000"/>
      <w:sz w:val="24"/>
    </w:rPr>
  </w:style>
  <w:style w:type="paragraph" w:customStyle="1" w:styleId="75">
    <w:name w:val="Default"/>
    <w:link w:val="74"/>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character" w:customStyle="1" w:styleId="76">
    <w:name w:val="页脚 Char"/>
    <w:qFormat/>
    <w:locked/>
    <w:uiPriority w:val="99"/>
    <w:rPr>
      <w:sz w:val="18"/>
    </w:rPr>
  </w:style>
  <w:style w:type="character" w:customStyle="1" w:styleId="77">
    <w:name w:val="批注文字 字符1"/>
    <w:basedOn w:val="39"/>
    <w:semiHidden/>
    <w:qFormat/>
    <w:uiPriority w:val="99"/>
  </w:style>
  <w:style w:type="character" w:customStyle="1" w:styleId="78">
    <w:name w:val="批注文字 字符11"/>
    <w:basedOn w:val="39"/>
    <w:qFormat/>
    <w:uiPriority w:val="0"/>
    <w:rPr>
      <w:rFonts w:cs="Times New Roman"/>
      <w:kern w:val="2"/>
      <w:sz w:val="21"/>
    </w:rPr>
  </w:style>
  <w:style w:type="character" w:customStyle="1" w:styleId="79">
    <w:name w:val="正文文本缩进 字符"/>
    <w:basedOn w:val="39"/>
    <w:link w:val="13"/>
    <w:qFormat/>
    <w:uiPriority w:val="99"/>
    <w:rPr>
      <w:rFonts w:ascii="Calibri" w:hAnsi="Calibri" w:eastAsia="宋体" w:cs="Times New Roman"/>
      <w:szCs w:val="20"/>
    </w:rPr>
  </w:style>
  <w:style w:type="character" w:customStyle="1" w:styleId="80">
    <w:name w:val="文档结构图 字符1"/>
    <w:basedOn w:val="39"/>
    <w:semiHidden/>
    <w:qFormat/>
    <w:uiPriority w:val="99"/>
    <w:rPr>
      <w:rFonts w:ascii="Microsoft YaHei UI" w:eastAsia="Microsoft YaHei UI"/>
      <w:sz w:val="18"/>
      <w:szCs w:val="18"/>
    </w:rPr>
  </w:style>
  <w:style w:type="character" w:customStyle="1" w:styleId="81">
    <w:name w:val="文档结构图 字符11"/>
    <w:basedOn w:val="39"/>
    <w:semiHidden/>
    <w:qFormat/>
    <w:uiPriority w:val="99"/>
    <w:rPr>
      <w:rFonts w:ascii="Microsoft YaHei UI" w:eastAsia="Microsoft YaHei UI" w:cs="Times New Roman"/>
      <w:kern w:val="2"/>
      <w:sz w:val="18"/>
      <w:szCs w:val="18"/>
    </w:rPr>
  </w:style>
  <w:style w:type="character" w:customStyle="1" w:styleId="82">
    <w:name w:val="正文文本 字符"/>
    <w:basedOn w:val="39"/>
    <w:link w:val="12"/>
    <w:qFormat/>
    <w:uiPriority w:val="99"/>
    <w:rPr>
      <w:rFonts w:ascii="Calibri" w:hAnsi="Calibri" w:eastAsia="新宋体" w:cs="Times New Roman"/>
      <w:szCs w:val="21"/>
    </w:rPr>
  </w:style>
  <w:style w:type="character" w:customStyle="1" w:styleId="83">
    <w:name w:val="纯文本 字符1"/>
    <w:basedOn w:val="39"/>
    <w:semiHidden/>
    <w:qFormat/>
    <w:uiPriority w:val="99"/>
    <w:rPr>
      <w:rFonts w:hAnsi="Courier New" w:cs="Courier New" w:asciiTheme="minorEastAsia"/>
    </w:rPr>
  </w:style>
  <w:style w:type="character" w:customStyle="1" w:styleId="84">
    <w:name w:val="纯文本 字符11"/>
    <w:basedOn w:val="39"/>
    <w:qFormat/>
    <w:uiPriority w:val="0"/>
    <w:rPr>
      <w:rFonts w:hAnsi="Courier New" w:cs="Courier New" w:asciiTheme="minorEastAsia" w:eastAsiaTheme="minorEastAsia"/>
      <w:kern w:val="2"/>
      <w:sz w:val="21"/>
    </w:rPr>
  </w:style>
  <w:style w:type="character" w:customStyle="1" w:styleId="85">
    <w:name w:val="页眉 字符1"/>
    <w:basedOn w:val="39"/>
    <w:semiHidden/>
    <w:qFormat/>
    <w:uiPriority w:val="99"/>
    <w:rPr>
      <w:sz w:val="18"/>
      <w:szCs w:val="18"/>
    </w:rPr>
  </w:style>
  <w:style w:type="character" w:customStyle="1" w:styleId="86">
    <w:name w:val="页眉 字符11"/>
    <w:basedOn w:val="39"/>
    <w:semiHidden/>
    <w:qFormat/>
    <w:uiPriority w:val="99"/>
    <w:rPr>
      <w:rFonts w:cs="Times New Roman"/>
      <w:kern w:val="2"/>
      <w:sz w:val="18"/>
      <w:szCs w:val="18"/>
    </w:rPr>
  </w:style>
  <w:style w:type="character" w:customStyle="1" w:styleId="87">
    <w:name w:val="批注框文本 字符1"/>
    <w:basedOn w:val="39"/>
    <w:semiHidden/>
    <w:qFormat/>
    <w:uiPriority w:val="99"/>
    <w:rPr>
      <w:sz w:val="18"/>
      <w:szCs w:val="18"/>
    </w:rPr>
  </w:style>
  <w:style w:type="character" w:customStyle="1" w:styleId="88">
    <w:name w:val="批注框文本 字符11"/>
    <w:basedOn w:val="39"/>
    <w:semiHidden/>
    <w:qFormat/>
    <w:uiPriority w:val="99"/>
    <w:rPr>
      <w:rFonts w:cs="Times New Roman"/>
      <w:kern w:val="2"/>
      <w:sz w:val="18"/>
      <w:szCs w:val="18"/>
    </w:rPr>
  </w:style>
  <w:style w:type="character" w:customStyle="1" w:styleId="89">
    <w:name w:val="日期 字符1"/>
    <w:basedOn w:val="39"/>
    <w:semiHidden/>
    <w:qFormat/>
    <w:uiPriority w:val="99"/>
  </w:style>
  <w:style w:type="character" w:customStyle="1" w:styleId="90">
    <w:name w:val="日期 字符11"/>
    <w:basedOn w:val="39"/>
    <w:semiHidden/>
    <w:qFormat/>
    <w:uiPriority w:val="99"/>
    <w:rPr>
      <w:rFonts w:cs="Times New Roman"/>
      <w:kern w:val="2"/>
      <w:sz w:val="21"/>
    </w:rPr>
  </w:style>
  <w:style w:type="character" w:customStyle="1" w:styleId="91">
    <w:name w:val="页脚 字符1"/>
    <w:basedOn w:val="39"/>
    <w:semiHidden/>
    <w:qFormat/>
    <w:uiPriority w:val="99"/>
    <w:rPr>
      <w:sz w:val="18"/>
      <w:szCs w:val="18"/>
    </w:rPr>
  </w:style>
  <w:style w:type="character" w:customStyle="1" w:styleId="92">
    <w:name w:val="页脚 字符11"/>
    <w:basedOn w:val="39"/>
    <w:semiHidden/>
    <w:qFormat/>
    <w:uiPriority w:val="99"/>
    <w:rPr>
      <w:rFonts w:cs="Times New Roman"/>
      <w:kern w:val="2"/>
      <w:sz w:val="18"/>
      <w:szCs w:val="18"/>
    </w:rPr>
  </w:style>
  <w:style w:type="character" w:customStyle="1" w:styleId="93">
    <w:name w:val="正文文本缩进 2 字符1"/>
    <w:basedOn w:val="39"/>
    <w:semiHidden/>
    <w:qFormat/>
    <w:uiPriority w:val="99"/>
  </w:style>
  <w:style w:type="character" w:customStyle="1" w:styleId="94">
    <w:name w:val="正文文本缩进 2 字符11"/>
    <w:basedOn w:val="39"/>
    <w:semiHidden/>
    <w:qFormat/>
    <w:uiPriority w:val="99"/>
    <w:rPr>
      <w:rFonts w:cs="Times New Roman"/>
      <w:kern w:val="2"/>
      <w:sz w:val="21"/>
    </w:rPr>
  </w:style>
  <w:style w:type="character" w:customStyle="1" w:styleId="95">
    <w:name w:val="正文文本缩进 3 字符1"/>
    <w:basedOn w:val="39"/>
    <w:semiHidden/>
    <w:qFormat/>
    <w:uiPriority w:val="99"/>
    <w:rPr>
      <w:sz w:val="16"/>
      <w:szCs w:val="16"/>
    </w:rPr>
  </w:style>
  <w:style w:type="character" w:customStyle="1" w:styleId="96">
    <w:name w:val="正文文本缩进 3 字符11"/>
    <w:basedOn w:val="39"/>
    <w:semiHidden/>
    <w:qFormat/>
    <w:uiPriority w:val="99"/>
    <w:rPr>
      <w:rFonts w:cs="Times New Roman"/>
      <w:kern w:val="2"/>
      <w:sz w:val="16"/>
      <w:szCs w:val="16"/>
    </w:rPr>
  </w:style>
  <w:style w:type="character" w:customStyle="1" w:styleId="97">
    <w:name w:val="批注主题 字符1"/>
    <w:basedOn w:val="77"/>
    <w:semiHidden/>
    <w:qFormat/>
    <w:uiPriority w:val="99"/>
    <w:rPr>
      <w:b/>
      <w:bCs/>
    </w:rPr>
  </w:style>
  <w:style w:type="character" w:customStyle="1" w:styleId="98">
    <w:name w:val="批注主题 字符11"/>
    <w:basedOn w:val="78"/>
    <w:semiHidden/>
    <w:qFormat/>
    <w:uiPriority w:val="99"/>
    <w:rPr>
      <w:rFonts w:cs="Times New Roman"/>
      <w:b/>
      <w:bCs/>
      <w:kern w:val="2"/>
      <w:sz w:val="21"/>
    </w:rPr>
  </w:style>
  <w:style w:type="character" w:customStyle="1" w:styleId="99">
    <w:name w:val="标题 字符1"/>
    <w:basedOn w:val="39"/>
    <w:qFormat/>
    <w:uiPriority w:val="10"/>
    <w:rPr>
      <w:rFonts w:asciiTheme="majorHAnsi" w:hAnsiTheme="majorHAnsi" w:eastAsiaTheme="majorEastAsia" w:cstheme="majorBidi"/>
      <w:b/>
      <w:bCs/>
      <w:sz w:val="32"/>
      <w:szCs w:val="32"/>
    </w:rPr>
  </w:style>
  <w:style w:type="character" w:customStyle="1" w:styleId="100">
    <w:name w:val="标题 字符11"/>
    <w:basedOn w:val="39"/>
    <w:qFormat/>
    <w:uiPriority w:val="10"/>
    <w:rPr>
      <w:rFonts w:cs="Times New Roman" w:asciiTheme="majorHAnsi" w:hAnsiTheme="majorHAnsi" w:eastAsiaTheme="majorEastAsia"/>
      <w:b/>
      <w:bCs/>
      <w:kern w:val="2"/>
      <w:sz w:val="32"/>
      <w:szCs w:val="32"/>
    </w:rPr>
  </w:style>
  <w:style w:type="paragraph" w:customStyle="1" w:styleId="101">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02">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3">
    <w:name w:val="二级列表 Char"/>
    <w:basedOn w:val="1"/>
    <w:qFormat/>
    <w:uiPriority w:val="0"/>
    <w:rPr>
      <w:rFonts w:ascii="Calibri" w:hAnsi="Calibri" w:eastAsia="宋体" w:cs="Times New Roman"/>
      <w:szCs w:val="20"/>
    </w:rPr>
  </w:style>
  <w:style w:type="paragraph" w:customStyle="1" w:styleId="104">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05">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06">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07">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08">
    <w:name w:val="Char Char Char Char Char Char Char"/>
    <w:basedOn w:val="1"/>
    <w:qFormat/>
    <w:uiPriority w:val="0"/>
    <w:rPr>
      <w:rFonts w:ascii="Verdana" w:hAnsi="Verdana" w:eastAsia="宋体" w:cs="Times New Roman"/>
      <w:kern w:val="0"/>
      <w:sz w:val="20"/>
      <w:szCs w:val="20"/>
      <w:lang w:eastAsia="en-US"/>
    </w:rPr>
  </w:style>
  <w:style w:type="paragraph" w:customStyle="1" w:styleId="109">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10">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1">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12">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13">
    <w:name w:val="标书正文格式"/>
    <w:basedOn w:val="17"/>
    <w:link w:val="115"/>
    <w:qFormat/>
    <w:uiPriority w:val="0"/>
    <w:pPr>
      <w:spacing w:line="360" w:lineRule="auto"/>
      <w:ind w:firstLine="200" w:firstLineChars="200"/>
    </w:pPr>
    <w:rPr>
      <w:rFonts w:hAnsi="宋体"/>
      <w:color w:val="000000"/>
      <w:sz w:val="24"/>
      <w:szCs w:val="24"/>
    </w:rPr>
  </w:style>
  <w:style w:type="paragraph" w:customStyle="1" w:styleId="114">
    <w:name w:val="标书二级标题"/>
    <w:basedOn w:val="3"/>
    <w:link w:val="117"/>
    <w:qFormat/>
    <w:uiPriority w:val="0"/>
    <w:pPr>
      <w:spacing w:line="240" w:lineRule="auto"/>
      <w:jc w:val="left"/>
    </w:pPr>
    <w:rPr>
      <w:rFonts w:ascii="宋体" w:hAnsi="宋体" w:eastAsia="黑体"/>
      <w:b w:val="0"/>
      <w:sz w:val="28"/>
      <w:szCs w:val="30"/>
    </w:rPr>
  </w:style>
  <w:style w:type="character" w:customStyle="1" w:styleId="115">
    <w:name w:val="标书正文格式 字符"/>
    <w:link w:val="113"/>
    <w:qFormat/>
    <w:locked/>
    <w:uiPriority w:val="0"/>
    <w:rPr>
      <w:rFonts w:ascii="宋体" w:hAnsi="宋体"/>
      <w:color w:val="000000"/>
      <w:sz w:val="24"/>
      <w:szCs w:val="24"/>
    </w:rPr>
  </w:style>
  <w:style w:type="paragraph" w:customStyle="1" w:styleId="116">
    <w:name w:val="标书表格"/>
    <w:basedOn w:val="1"/>
    <w:link w:val="118"/>
    <w:qFormat/>
    <w:uiPriority w:val="0"/>
    <w:pPr>
      <w:jc w:val="center"/>
    </w:pPr>
    <w:rPr>
      <w:rFonts w:ascii="Times New Roman" w:hAnsi="Times New Roman" w:eastAsia="宋体" w:cs="Times New Roman"/>
      <w:b/>
      <w:szCs w:val="20"/>
    </w:rPr>
  </w:style>
  <w:style w:type="character" w:customStyle="1" w:styleId="117">
    <w:name w:val="标书二级标题 字符"/>
    <w:link w:val="114"/>
    <w:qFormat/>
    <w:locked/>
    <w:uiPriority w:val="0"/>
    <w:rPr>
      <w:rFonts w:ascii="宋体" w:hAnsi="宋体" w:eastAsia="黑体" w:cs="Times New Roman"/>
      <w:bCs/>
      <w:sz w:val="28"/>
      <w:szCs w:val="30"/>
    </w:rPr>
  </w:style>
  <w:style w:type="character" w:customStyle="1" w:styleId="118">
    <w:name w:val="标书表格 字符"/>
    <w:link w:val="116"/>
    <w:qFormat/>
    <w:locked/>
    <w:uiPriority w:val="0"/>
    <w:rPr>
      <w:rFonts w:ascii="Times New Roman" w:hAnsi="Times New Roman" w:eastAsia="宋体" w:cs="Times New Roman"/>
      <w:b/>
      <w:szCs w:val="20"/>
    </w:rPr>
  </w:style>
  <w:style w:type="paragraph" w:customStyle="1" w:styleId="119">
    <w:name w:val="标书三级标题"/>
    <w:basedOn w:val="4"/>
    <w:next w:val="113"/>
    <w:link w:val="120"/>
    <w:qFormat/>
    <w:uiPriority w:val="0"/>
    <w:pPr>
      <w:spacing w:before="0" w:after="0" w:line="240" w:lineRule="auto"/>
      <w:ind w:firstLine="482" w:firstLineChars="200"/>
    </w:pPr>
    <w:rPr>
      <w:rFonts w:ascii="Times New Roman" w:hAnsi="Times New Roman"/>
      <w:color w:val="000000"/>
      <w:sz w:val="24"/>
      <w:szCs w:val="24"/>
    </w:rPr>
  </w:style>
  <w:style w:type="character" w:customStyle="1" w:styleId="120">
    <w:name w:val="标书三级标题 字符"/>
    <w:link w:val="119"/>
    <w:qFormat/>
    <w:locked/>
    <w:uiPriority w:val="0"/>
    <w:rPr>
      <w:rFonts w:ascii="Times New Roman" w:hAnsi="Times New Roman" w:eastAsia="宋体" w:cs="Times New Roman"/>
      <w:b/>
      <w:bCs/>
      <w:color w:val="000000"/>
      <w:sz w:val="24"/>
      <w:szCs w:val="24"/>
    </w:rPr>
  </w:style>
  <w:style w:type="character" w:customStyle="1" w:styleId="121">
    <w:name w:val="标三级标题 字符"/>
    <w:link w:val="122"/>
    <w:qFormat/>
    <w:locked/>
    <w:uiPriority w:val="0"/>
    <w:rPr>
      <w:b/>
      <w:color w:val="000000"/>
      <w:sz w:val="24"/>
    </w:rPr>
  </w:style>
  <w:style w:type="paragraph" w:customStyle="1" w:styleId="122">
    <w:name w:val="标三级标题"/>
    <w:basedOn w:val="119"/>
    <w:link w:val="121"/>
    <w:qFormat/>
    <w:uiPriority w:val="0"/>
    <w:rPr>
      <w:rFonts w:asciiTheme="minorHAnsi" w:hAnsiTheme="minorHAnsi" w:eastAsiaTheme="minorEastAsia" w:cstheme="minorBidi"/>
      <w:bCs w:val="0"/>
      <w:szCs w:val="22"/>
    </w:rPr>
  </w:style>
  <w:style w:type="character" w:customStyle="1" w:styleId="123">
    <w:name w:val="标正文 字符"/>
    <w:link w:val="124"/>
    <w:qFormat/>
    <w:locked/>
    <w:uiPriority w:val="0"/>
    <w:rPr>
      <w:rFonts w:ascii="宋体" w:eastAsia="宋体"/>
      <w:color w:val="000000"/>
      <w:sz w:val="24"/>
    </w:rPr>
  </w:style>
  <w:style w:type="paragraph" w:customStyle="1" w:styleId="124">
    <w:name w:val="标正文"/>
    <w:basedOn w:val="113"/>
    <w:link w:val="123"/>
    <w:qFormat/>
    <w:uiPriority w:val="0"/>
    <w:pPr>
      <w:ind w:firstLine="480"/>
    </w:pPr>
    <w:rPr>
      <w:rFonts w:eastAsia="宋体" w:hAnsiTheme="minorHAnsi"/>
      <w:szCs w:val="22"/>
    </w:rPr>
  </w:style>
  <w:style w:type="paragraph" w:customStyle="1" w:styleId="125">
    <w:name w:val="TOC 标题1"/>
    <w:basedOn w:val="2"/>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26">
    <w:name w:val="HR正文表格"/>
    <w:basedOn w:val="1"/>
    <w:qFormat/>
    <w:uiPriority w:val="0"/>
    <w:pPr>
      <w:spacing w:beforeLines="25" w:afterLines="25" w:line="300" w:lineRule="auto"/>
    </w:pPr>
    <w:rPr>
      <w:szCs w:val="24"/>
    </w:rPr>
  </w:style>
  <w:style w:type="paragraph" w:styleId="127">
    <w:name w:val="List Paragraph"/>
    <w:basedOn w:val="1"/>
    <w:qFormat/>
    <w:uiPriority w:val="34"/>
    <w:pPr>
      <w:ind w:firstLine="420" w:firstLineChars="200"/>
    </w:pPr>
  </w:style>
  <w:style w:type="paragraph" w:customStyle="1" w:styleId="128">
    <w:name w:val="WPSOffice手动目录 1"/>
    <w:qFormat/>
    <w:uiPriority w:val="0"/>
    <w:rPr>
      <w:rFonts w:ascii="Times New Roman" w:hAnsi="Times New Roman" w:eastAsia="宋体" w:cs="Times New Roman"/>
      <w:lang w:val="en-US" w:eastAsia="zh-CN" w:bidi="ar-SA"/>
    </w:rPr>
  </w:style>
  <w:style w:type="table" w:customStyle="1" w:styleId="129">
    <w:name w:val="Table Normal"/>
    <w:semiHidden/>
    <w:unhideWhenUsed/>
    <w:qFormat/>
    <w:uiPriority w:val="0"/>
    <w:tblPr>
      <w:tblCellMar>
        <w:top w:w="0" w:type="dxa"/>
        <w:left w:w="0" w:type="dxa"/>
        <w:bottom w:w="0" w:type="dxa"/>
        <w:right w:w="0" w:type="dxa"/>
      </w:tblCellMar>
    </w:tblPr>
  </w:style>
  <w:style w:type="character" w:customStyle="1" w:styleId="130">
    <w:name w:val="NormalCharacter"/>
    <w:qFormat/>
    <w:uiPriority w:val="0"/>
  </w:style>
  <w:style w:type="paragraph" w:customStyle="1" w:styleId="131">
    <w:name w:val="Table Paragraph"/>
    <w:basedOn w:val="1"/>
    <w:qFormat/>
    <w:uiPriority w:val="1"/>
    <w:rPr>
      <w:rFonts w:ascii="宋体" w:hAnsi="宋体" w:eastAsia="宋体" w:cs="宋体"/>
    </w:rPr>
  </w:style>
  <w:style w:type="paragraph" w:customStyle="1" w:styleId="132">
    <w:name w:val="标书一级标题"/>
    <w:basedOn w:val="2"/>
    <w:qFormat/>
    <w:uiPriority w:val="0"/>
    <w:rPr>
      <w:rFonts w:eastAsia="黑体"/>
      <w:b w:val="0"/>
      <w:color w:val="000000"/>
      <w:sz w:val="30"/>
      <w:szCs w:val="24"/>
    </w:rPr>
  </w:style>
  <w:style w:type="paragraph" w:customStyle="1" w:styleId="133">
    <w:name w:val="无间隔1"/>
    <w:qFormat/>
    <w:uiPriority w:val="0"/>
    <w:rPr>
      <w:rFonts w:ascii="Calibri" w:hAnsi="Calibri" w:eastAsia="Calibri" w:cs="Times New Roman"/>
      <w:szCs w:val="22"/>
      <w:lang w:val="en-GB" w:eastAsia="en-US" w:bidi="ar-SA"/>
    </w:rPr>
  </w:style>
  <w:style w:type="paragraph" w:customStyle="1" w:styleId="134">
    <w:name w:val="无编号正文"/>
    <w:basedOn w:val="1"/>
    <w:qFormat/>
    <w:uiPriority w:val="0"/>
    <w:pPr>
      <w:spacing w:line="360" w:lineRule="exact"/>
      <w:ind w:firstLine="200" w:firstLineChars="200"/>
    </w:pPr>
    <w:rPr>
      <w:szCs w:val="21"/>
    </w:rPr>
  </w:style>
  <w:style w:type="character" w:customStyle="1" w:styleId="135">
    <w:name w:val="font21"/>
    <w:basedOn w:val="39"/>
    <w:qFormat/>
    <w:uiPriority w:val="0"/>
    <w:rPr>
      <w:rFonts w:hint="eastAsia" w:ascii="微软雅黑" w:hAnsi="微软雅黑" w:eastAsia="微软雅黑" w:cs="微软雅黑"/>
      <w:color w:val="000000"/>
      <w:sz w:val="18"/>
      <w:szCs w:val="18"/>
      <w:u w:val="none"/>
    </w:rPr>
  </w:style>
  <w:style w:type="character" w:customStyle="1" w:styleId="136">
    <w:name w:val="font31"/>
    <w:basedOn w:val="39"/>
    <w:qFormat/>
    <w:uiPriority w:val="0"/>
    <w:rPr>
      <w:rFonts w:ascii="微软雅黑" w:hAnsi="微软雅黑" w:eastAsia="微软雅黑" w:cs="微软雅黑"/>
      <w:color w:val="000000"/>
      <w:sz w:val="18"/>
      <w:szCs w:val="18"/>
      <w:u w:val="none"/>
    </w:rPr>
  </w:style>
  <w:style w:type="paragraph" w:customStyle="1" w:styleId="137">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38">
    <w:name w:val="列表段落1"/>
    <w:basedOn w:val="1"/>
    <w:qFormat/>
    <w:uiPriority w:val="0"/>
    <w:pPr>
      <w:ind w:firstLine="420" w:firstLineChars="200"/>
    </w:pPr>
    <w:rPr>
      <w:rFonts w:ascii="等线" w:hAnsi="等线" w:eastAsia="等线" w:cs="Times New Roman"/>
      <w:szCs w:val="21"/>
    </w:rPr>
  </w:style>
  <w:style w:type="character" w:customStyle="1" w:styleId="139">
    <w:name w:val="标题 4 字符"/>
    <w:basedOn w:val="39"/>
    <w:link w:val="5"/>
    <w:qFormat/>
    <w:uiPriority w:val="99"/>
    <w:rPr>
      <w:rFonts w:ascii="Arial" w:hAnsi="Arial" w:eastAsia="黑体" w:cstheme="minorBidi"/>
      <w:b/>
      <w:kern w:val="2"/>
      <w:sz w:val="28"/>
      <w:szCs w:val="22"/>
    </w:rPr>
  </w:style>
  <w:style w:type="paragraph" w:customStyle="1" w:styleId="140">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41">
    <w:name w:val="目录 11"/>
    <w:basedOn w:val="1"/>
    <w:next w:val="1"/>
    <w:qFormat/>
    <w:uiPriority w:val="0"/>
    <w:pPr>
      <w:spacing w:line="360" w:lineRule="auto"/>
      <w:jc w:val="left"/>
    </w:pPr>
    <w:rPr>
      <w:rFonts w:ascii="宋体" w:hAnsi="宋体" w:eastAsia="宋体" w:cs="Times New Roman"/>
      <w:b/>
      <w:caps/>
      <w:color w:val="FF0000"/>
      <w:szCs w:val="21"/>
    </w:rPr>
  </w:style>
  <w:style w:type="character" w:customStyle="1" w:styleId="142">
    <w:name w:val="10"/>
    <w:basedOn w:val="39"/>
    <w:qFormat/>
    <w:uiPriority w:val="0"/>
    <w:rPr>
      <w:rFonts w:hint="default" w:ascii="Times New Roman" w:hAnsi="Times New Roman" w:cs="Times New Roman"/>
    </w:rPr>
  </w:style>
  <w:style w:type="character" w:customStyle="1" w:styleId="143">
    <w:name w:val="15"/>
    <w:basedOn w:val="39"/>
    <w:qFormat/>
    <w:uiPriority w:val="0"/>
    <w:rPr>
      <w:rFonts w:hint="default" w:ascii="Times New Roman" w:hAnsi="Times New Roman" w:cs="Times New Roman"/>
      <w:color w:val="1F4F88"/>
    </w:rPr>
  </w:style>
  <w:style w:type="character" w:customStyle="1" w:styleId="144">
    <w:name w:val="16"/>
    <w:basedOn w:val="39"/>
    <w:qFormat/>
    <w:uiPriority w:val="0"/>
    <w:rPr>
      <w:rFonts w:hint="eastAsia" w:ascii="宋体" w:hAnsi="宋体" w:eastAsia="宋体"/>
      <w:b/>
      <w:bCs/>
      <w:color w:val="000000"/>
      <w:sz w:val="21"/>
      <w:szCs w:val="21"/>
    </w:rPr>
  </w:style>
  <w:style w:type="table" w:customStyle="1" w:styleId="145">
    <w:name w:val="Table Normal1"/>
    <w:basedOn w:val="37"/>
    <w:qFormat/>
    <w:uiPriority w:val="0"/>
    <w:rPr>
      <w:rFonts w:eastAsia="Times New Roman"/>
    </w:rPr>
    <w:tblPr>
      <w:tblCellMar>
        <w:left w:w="0" w:type="dxa"/>
        <w:right w:w="0" w:type="dxa"/>
      </w:tblCellMar>
    </w:tblPr>
  </w:style>
  <w:style w:type="paragraph" w:customStyle="1" w:styleId="146">
    <w:name w:val="表格内容"/>
    <w:basedOn w:val="1"/>
    <w:qFormat/>
    <w:uiPriority w:val="0"/>
    <w:pPr>
      <w:widowControl/>
      <w:jc w:val="center"/>
    </w:pPr>
    <w:rPr>
      <w:rFonts w:ascii="Times New Roman" w:hAnsi="Times New Roman" w:eastAsia="仿宋" w:cs="Times New Roman"/>
      <w:color w:val="000000"/>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5" Type="http://schemas.openxmlformats.org/officeDocument/2006/relationships/fontTable" Target="fontTable.xml"/><Relationship Id="rId34" Type="http://schemas.openxmlformats.org/officeDocument/2006/relationships/customXml" Target="../customXml/item2.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15.jpeg"/><Relationship Id="rId30" Type="http://schemas.openxmlformats.org/officeDocument/2006/relationships/image" Target="media/image14.jpeg"/><Relationship Id="rId3" Type="http://schemas.openxmlformats.org/officeDocument/2006/relationships/footer" Target="footer1.xml"/><Relationship Id="rId29" Type="http://schemas.openxmlformats.org/officeDocument/2006/relationships/image" Target="media/image13.jpeg"/><Relationship Id="rId28" Type="http://schemas.openxmlformats.org/officeDocument/2006/relationships/image" Target="media/image12.jpeg"/><Relationship Id="rId27" Type="http://schemas.openxmlformats.org/officeDocument/2006/relationships/image" Target="media/image11.jpeg"/><Relationship Id="rId26" Type="http://schemas.openxmlformats.org/officeDocument/2006/relationships/image" Target="media/image10.jpeg"/><Relationship Id="rId25" Type="http://schemas.openxmlformats.org/officeDocument/2006/relationships/image" Target="media/image9.jpeg"/><Relationship Id="rId24" Type="http://schemas.openxmlformats.org/officeDocument/2006/relationships/image" Target="media/image8.png"/><Relationship Id="rId23" Type="http://schemas.openxmlformats.org/officeDocument/2006/relationships/image" Target="media/image7.jpeg"/><Relationship Id="rId22" Type="http://schemas.openxmlformats.org/officeDocument/2006/relationships/image" Target="media/image6.jpeg"/><Relationship Id="rId21" Type="http://schemas.openxmlformats.org/officeDocument/2006/relationships/image" Target="media/image5.jpe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jpeg"/><Relationship Id="rId18" Type="http://schemas.openxmlformats.org/officeDocument/2006/relationships/image" Target="media/image2.jpeg"/><Relationship Id="rId17" Type="http://schemas.openxmlformats.org/officeDocument/2006/relationships/theme" Target="theme/theme1.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4097"/>
    <customShpInfo spid="_x0000_s4098"/>
    <customShpInfo spid="_x0000_s4099"/>
    <customShpInfo spid="_x0000_s4100"/>
    <customShpInfo spid="_x0000_s4101"/>
    <customShpInfo spid="_x0000_s4102"/>
    <customShpInfo spid="_x0000_s4103"/>
    <customShpInfo spid="_x0000_s4104"/>
    <customShpInfo spid="_x0000_s4105"/>
    <customShpInfo spid="_x0000_s4106"/>
    <customShpInfo spid="_x0000_s4107"/>
    <customShpInfo spid="_x0000_s4108"/>
    <customShpInfo spid="_x0000_s4109"/>
    <customShpInfo spid="_x0000_s4110"/>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0B1C15-D044-4390-9198-200559D57B3D}">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69</Pages>
  <Words>9474</Words>
  <Characters>9975</Characters>
  <Lines>246</Lines>
  <Paragraphs>69</Paragraphs>
  <TotalTime>1</TotalTime>
  <ScaleCrop>false</ScaleCrop>
  <LinksUpToDate>false</LinksUpToDate>
  <CharactersWithSpaces>10197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2021-05-28T09:26:00Z</dcterms:created>
  <dc:creator>ZQNet</dc:creator>
  <cp:lastModifiedBy>sinotruk</cp:lastModifiedBy>
  <cp:lastPrinted>2022-07-01T03:19:00Z</cp:lastPrinted>
  <dcterms:modified xsi:type="dcterms:W3CDTF">2026-09-22T09:30:44Z</dcterms:modified>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305598F936A74668B450F9FD98E86DB4_13</vt:lpwstr>
  </property>
  <property fmtid="{D5CDD505-2E9C-101B-9397-08002B2CF9AE}" pid="4" name="KSOTemplateDocerSaveRecord">
    <vt:lpwstr>eyJoZGlkIjoiZmYwNDM4MmU1NmZhMTgyYWJmMGMxNzE1Zjk1ZDE4YTQiLCJ1c2VySWQiOiIzNDI2NjU3NTEifQ==</vt:lpwstr>
  </property>
</Properties>
</file>