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F44AE">
      <w:pPr>
        <w:spacing w:line="360" w:lineRule="auto"/>
        <w:ind w:left="3078" w:leftChars="418" w:hanging="2200" w:hangingChars="500"/>
        <w:rPr>
          <w:rFonts w:ascii="宋体" w:hAnsi="宋体" w:eastAsia="宋体" w:cs="Times New Roman"/>
          <w:sz w:val="44"/>
          <w:szCs w:val="48"/>
        </w:rPr>
      </w:pPr>
    </w:p>
    <w:p w14:paraId="283D5EB9">
      <w:pPr>
        <w:spacing w:line="360" w:lineRule="auto"/>
        <w:ind w:left="3078" w:leftChars="418" w:hanging="2200" w:hangingChars="500"/>
        <w:rPr>
          <w:rFonts w:ascii="宋体" w:hAnsi="宋体" w:eastAsia="宋体" w:cs="Times New Roman"/>
          <w:sz w:val="44"/>
          <w:szCs w:val="48"/>
        </w:rPr>
      </w:pPr>
    </w:p>
    <w:p w14:paraId="30196509">
      <w:pPr>
        <w:spacing w:line="360" w:lineRule="auto"/>
        <w:ind w:left="3076" w:hanging="3075" w:hangingChars="699"/>
        <w:jc w:val="center"/>
        <w:rPr>
          <w:rFonts w:hint="eastAsia" w:ascii="宋体" w:hAnsi="宋体" w:eastAsia="宋体" w:cs="Times New Roman"/>
          <w:sz w:val="44"/>
          <w:szCs w:val="44"/>
          <w:lang w:val="en-US" w:eastAsia="zh-CN"/>
        </w:rPr>
      </w:pPr>
      <w:r>
        <w:rPr>
          <w:rFonts w:hint="eastAsia" w:ascii="宋体" w:hAnsi="宋体" w:eastAsia="宋体" w:cs="Times New Roman"/>
          <w:sz w:val="44"/>
          <w:szCs w:val="44"/>
        </w:rPr>
        <w:t>中国</w:t>
      </w:r>
      <w:r>
        <w:rPr>
          <w:rFonts w:hint="eastAsia" w:ascii="宋体" w:hAnsi="宋体" w:eastAsia="宋体" w:cs="Times New Roman"/>
          <w:sz w:val="44"/>
          <w:szCs w:val="44"/>
          <w:lang w:val="en-US" w:eastAsia="zh-CN"/>
        </w:rPr>
        <w:t>重汽集团抗磨液压油、齿轮油</w:t>
      </w:r>
    </w:p>
    <w:p w14:paraId="1AF9A93E">
      <w:pPr>
        <w:spacing w:line="360" w:lineRule="auto"/>
        <w:ind w:left="3076" w:hanging="3075" w:hangingChars="699"/>
        <w:jc w:val="center"/>
        <w:rPr>
          <w:rFonts w:ascii="宋体" w:hAnsi="宋体" w:eastAsia="宋体" w:cs="Times New Roman"/>
          <w:sz w:val="36"/>
          <w:szCs w:val="36"/>
        </w:rPr>
      </w:pPr>
      <w:r>
        <w:rPr>
          <w:rFonts w:hint="eastAsia" w:ascii="宋体" w:hAnsi="宋体" w:eastAsia="宋体" w:cs="Times New Roman"/>
          <w:sz w:val="44"/>
          <w:szCs w:val="44"/>
          <w:lang w:val="en-US" w:eastAsia="zh-CN"/>
        </w:rPr>
        <w:t>过滤净化</w:t>
      </w:r>
      <w:r>
        <w:rPr>
          <w:rFonts w:hint="eastAsia" w:ascii="宋体" w:hAnsi="宋体" w:eastAsia="宋体" w:cs="Times New Roman"/>
          <w:sz w:val="44"/>
          <w:szCs w:val="44"/>
        </w:rPr>
        <w:t>项目</w:t>
      </w:r>
    </w:p>
    <w:p w14:paraId="6A9B1DEB">
      <w:pPr>
        <w:ind w:right="840"/>
        <w:jc w:val="right"/>
        <w:rPr>
          <w:rFonts w:ascii="Times New Roman" w:hAnsi="Times New Roman" w:eastAsia="宋体" w:cs="Times New Roman"/>
          <w:sz w:val="28"/>
          <w:szCs w:val="28"/>
        </w:rPr>
      </w:pPr>
    </w:p>
    <w:p w14:paraId="387DB958">
      <w:pPr>
        <w:jc w:val="right"/>
        <w:rPr>
          <w:rFonts w:ascii="Times New Roman" w:hAnsi="Times New Roman" w:eastAsia="宋体" w:cs="Times New Roman"/>
          <w:sz w:val="28"/>
          <w:szCs w:val="28"/>
        </w:rPr>
      </w:pPr>
    </w:p>
    <w:p w14:paraId="57F90508">
      <w:pPr>
        <w:jc w:val="center"/>
        <w:rPr>
          <w:rFonts w:ascii="黑体" w:hAnsi="宋体" w:eastAsia="黑体" w:cs="Times New Roman"/>
          <w:sz w:val="56"/>
          <w:szCs w:val="84"/>
        </w:rPr>
      </w:pPr>
      <w:r>
        <w:rPr>
          <w:rFonts w:hint="eastAsia" w:ascii="黑体" w:hAnsi="宋体" w:eastAsia="黑体" w:cs="Times New Roman"/>
          <w:sz w:val="56"/>
          <w:szCs w:val="84"/>
        </w:rPr>
        <w:t>招</w:t>
      </w:r>
    </w:p>
    <w:p w14:paraId="6D9AD957">
      <w:pPr>
        <w:jc w:val="center"/>
        <w:rPr>
          <w:rFonts w:ascii="黑体" w:hAnsi="宋体" w:eastAsia="黑体" w:cs="Times New Roman"/>
          <w:sz w:val="56"/>
          <w:szCs w:val="84"/>
        </w:rPr>
      </w:pPr>
    </w:p>
    <w:p w14:paraId="21AAE04B">
      <w:pPr>
        <w:jc w:val="center"/>
        <w:rPr>
          <w:rFonts w:ascii="黑体" w:hAnsi="宋体" w:eastAsia="黑体" w:cs="Times New Roman"/>
          <w:sz w:val="56"/>
          <w:szCs w:val="84"/>
        </w:rPr>
      </w:pPr>
      <w:r>
        <w:rPr>
          <w:rFonts w:hint="eastAsia" w:ascii="黑体" w:hAnsi="宋体" w:eastAsia="黑体" w:cs="Times New Roman"/>
          <w:sz w:val="56"/>
          <w:szCs w:val="84"/>
        </w:rPr>
        <w:t>标</w:t>
      </w:r>
    </w:p>
    <w:p w14:paraId="0BED8662">
      <w:pPr>
        <w:jc w:val="center"/>
        <w:rPr>
          <w:rFonts w:ascii="黑体" w:hAnsi="宋体" w:eastAsia="黑体" w:cs="Times New Roman"/>
          <w:sz w:val="56"/>
          <w:szCs w:val="84"/>
        </w:rPr>
      </w:pPr>
    </w:p>
    <w:p w14:paraId="0341DD05">
      <w:pPr>
        <w:jc w:val="center"/>
        <w:rPr>
          <w:rFonts w:ascii="宋体" w:hAnsi="宋体" w:eastAsia="宋体" w:cs="Times New Roman"/>
          <w:sz w:val="52"/>
          <w:szCs w:val="72"/>
        </w:rPr>
      </w:pPr>
      <w:r>
        <w:rPr>
          <w:rFonts w:hint="eastAsia" w:ascii="黑体" w:hAnsi="宋体" w:eastAsia="黑体" w:cs="Times New Roman"/>
          <w:sz w:val="56"/>
          <w:szCs w:val="84"/>
        </w:rPr>
        <w:t>书</w:t>
      </w:r>
    </w:p>
    <w:p w14:paraId="22911D22">
      <w:pPr>
        <w:jc w:val="center"/>
        <w:rPr>
          <w:rFonts w:ascii="宋体" w:hAnsi="宋体" w:eastAsia="宋体" w:cs="Times New Roman"/>
          <w:sz w:val="28"/>
          <w:szCs w:val="28"/>
        </w:rPr>
      </w:pPr>
    </w:p>
    <w:p w14:paraId="3AE853A0">
      <w:pPr>
        <w:jc w:val="center"/>
        <w:rPr>
          <w:rFonts w:ascii="宋体" w:hAnsi="宋体" w:eastAsia="宋体" w:cs="Times New Roman"/>
          <w:sz w:val="28"/>
          <w:szCs w:val="28"/>
        </w:rPr>
      </w:pPr>
    </w:p>
    <w:p w14:paraId="674B3AFB">
      <w:pPr>
        <w:ind w:left="1470" w:leftChars="700" w:firstLine="960" w:firstLineChars="300"/>
        <w:jc w:val="left"/>
        <w:rPr>
          <w:rFonts w:hint="eastAsia" w:ascii="华文仿宋" w:hAnsi="华文仿宋" w:eastAsia="华文仿宋" w:cs="Times New Roman"/>
          <w:sz w:val="32"/>
          <w:szCs w:val="28"/>
        </w:rPr>
      </w:pPr>
      <w:r>
        <w:rPr>
          <w:rFonts w:hint="eastAsia" w:ascii="华文仿宋" w:hAnsi="华文仿宋" w:eastAsia="华文仿宋" w:cs="Times New Roman"/>
          <w:sz w:val="32"/>
          <w:szCs w:val="28"/>
        </w:rPr>
        <w:t xml:space="preserve">          </w:t>
      </w:r>
    </w:p>
    <w:p w14:paraId="3FD8076A">
      <w:pPr>
        <w:ind w:left="1470" w:leftChars="700" w:firstLine="960" w:firstLineChars="300"/>
        <w:jc w:val="left"/>
        <w:rPr>
          <w:rFonts w:ascii="华文仿宋" w:hAnsi="华文仿宋" w:eastAsia="华文仿宋" w:cs="Times New Roman"/>
          <w:sz w:val="32"/>
          <w:szCs w:val="28"/>
        </w:rPr>
      </w:pPr>
      <w:r>
        <w:rPr>
          <w:rFonts w:hint="eastAsia" w:ascii="华文仿宋" w:hAnsi="华文仿宋" w:eastAsia="华文仿宋" w:cs="Times New Roman"/>
          <w:sz w:val="32"/>
          <w:szCs w:val="28"/>
        </w:rPr>
        <w:t xml:space="preserve">        </w:t>
      </w:r>
    </w:p>
    <w:p w14:paraId="335777C2">
      <w:pPr>
        <w:ind w:left="1470" w:leftChars="700" w:firstLine="960" w:firstLineChars="300"/>
        <w:jc w:val="left"/>
        <w:rPr>
          <w:rFonts w:ascii="华文仿宋" w:hAnsi="华文仿宋" w:eastAsia="华文仿宋" w:cs="Times New Roman"/>
          <w:sz w:val="32"/>
          <w:szCs w:val="28"/>
        </w:rPr>
      </w:pPr>
    </w:p>
    <w:p w14:paraId="7C5E7F3A">
      <w:pPr>
        <w:jc w:val="center"/>
        <w:rPr>
          <w:rFonts w:ascii="宋体" w:hAnsi="宋体" w:eastAsia="宋体" w:cs="Times New Roman"/>
          <w:sz w:val="28"/>
          <w:szCs w:val="28"/>
        </w:rPr>
      </w:pPr>
      <w:r>
        <w:rPr>
          <w:rFonts w:hint="eastAsia" w:ascii="宋体" w:hAnsi="宋体" w:eastAsia="宋体" w:cs="Times New Roman"/>
          <w:sz w:val="28"/>
          <w:szCs w:val="28"/>
        </w:rPr>
        <w:t>招 标 人：中国重型汽车集团有限公司</w:t>
      </w:r>
    </w:p>
    <w:p w14:paraId="68C28E4F">
      <w:pPr>
        <w:jc w:val="center"/>
        <w:rPr>
          <w:rFonts w:ascii="宋体" w:hAnsi="宋体" w:eastAsia="宋体" w:cs="Times New Roman"/>
          <w:sz w:val="28"/>
          <w:szCs w:val="28"/>
          <w:u w:val="single"/>
        </w:rPr>
      </w:pPr>
      <w:r>
        <w:rPr>
          <w:rFonts w:hint="eastAsia" w:ascii="宋体" w:hAnsi="宋体" w:eastAsia="宋体" w:cs="Times New Roman"/>
          <w:sz w:val="28"/>
          <w:szCs w:val="28"/>
          <w:u w:val="single"/>
        </w:rPr>
        <w:t>202</w:t>
      </w:r>
      <w:r>
        <w:rPr>
          <w:rFonts w:hint="eastAsia" w:ascii="宋体" w:hAnsi="宋体" w:eastAsia="宋体" w:cs="Times New Roman"/>
          <w:sz w:val="28"/>
          <w:szCs w:val="28"/>
          <w:u w:val="single"/>
          <w:lang w:val="en-US" w:eastAsia="zh-CN"/>
        </w:rPr>
        <w:t>6</w:t>
      </w:r>
      <w:r>
        <w:rPr>
          <w:rFonts w:hint="eastAsia" w:ascii="宋体" w:hAnsi="宋体" w:eastAsia="宋体" w:cs="Times New Roman"/>
          <w:sz w:val="28"/>
          <w:szCs w:val="28"/>
          <w:u w:val="single"/>
        </w:rPr>
        <w:t>年</w:t>
      </w:r>
      <w:r>
        <w:rPr>
          <w:rFonts w:hint="eastAsia" w:ascii="宋体" w:hAnsi="宋体" w:eastAsia="宋体" w:cs="Times New Roman"/>
          <w:sz w:val="28"/>
          <w:szCs w:val="28"/>
          <w:u w:val="single"/>
          <w:lang w:val="en-US" w:eastAsia="zh-CN"/>
        </w:rPr>
        <w:t>9</w:t>
      </w:r>
      <w:r>
        <w:rPr>
          <w:rFonts w:hint="eastAsia" w:ascii="宋体" w:hAnsi="宋体" w:eastAsia="宋体" w:cs="Times New Roman"/>
          <w:sz w:val="28"/>
          <w:szCs w:val="28"/>
          <w:u w:val="single"/>
        </w:rPr>
        <w:t>月</w:t>
      </w:r>
      <w:r>
        <w:rPr>
          <w:rFonts w:hint="eastAsia" w:ascii="宋体" w:hAnsi="宋体" w:eastAsia="宋体" w:cs="Times New Roman"/>
          <w:sz w:val="28"/>
          <w:szCs w:val="28"/>
          <w:u w:val="single"/>
          <w:lang w:val="en-US" w:eastAsia="zh-CN"/>
        </w:rPr>
        <w:t>22</w:t>
      </w:r>
      <w:r>
        <w:rPr>
          <w:rFonts w:hint="eastAsia" w:ascii="宋体" w:hAnsi="宋体" w:eastAsia="宋体" w:cs="Times New Roman"/>
          <w:sz w:val="28"/>
          <w:szCs w:val="28"/>
          <w:u w:val="single"/>
        </w:rPr>
        <w:t>日</w:t>
      </w:r>
    </w:p>
    <w:p w14:paraId="678757E8">
      <w:pPr>
        <w:spacing w:line="480" w:lineRule="auto"/>
        <w:jc w:val="center"/>
        <w:rPr>
          <w:rFonts w:ascii="宋体" w:hAnsi="宋体" w:eastAsia="宋体" w:cs="Times New Roman"/>
          <w:b/>
          <w:bCs/>
          <w:sz w:val="48"/>
          <w:szCs w:val="48"/>
        </w:rPr>
      </w:pPr>
    </w:p>
    <w:p w14:paraId="0156B4C9">
      <w:pPr>
        <w:spacing w:line="480" w:lineRule="auto"/>
        <w:jc w:val="center"/>
        <w:rPr>
          <w:rFonts w:ascii="宋体" w:hAnsi="宋体" w:eastAsia="宋体" w:cs="Times New Roman"/>
          <w:b/>
          <w:bCs/>
          <w:sz w:val="48"/>
          <w:szCs w:val="48"/>
        </w:rPr>
      </w:pPr>
    </w:p>
    <w:p w14:paraId="4170BFEA">
      <w:pPr>
        <w:spacing w:line="480" w:lineRule="auto"/>
        <w:jc w:val="center"/>
        <w:rPr>
          <w:rFonts w:ascii="宋体" w:hAnsi="宋体" w:eastAsia="宋体" w:cs="Times New Roman"/>
          <w:b/>
          <w:bCs/>
          <w:sz w:val="48"/>
          <w:szCs w:val="48"/>
        </w:rPr>
      </w:pPr>
      <w:r>
        <w:rPr>
          <w:rFonts w:ascii="宋体" w:hAnsi="宋体" w:eastAsia="宋体" w:cs="Times New Roman"/>
          <w:b/>
          <w:bCs/>
          <w:sz w:val="48"/>
          <w:szCs w:val="48"/>
        </w:rPr>
        <w:t>目   录</w:t>
      </w:r>
    </w:p>
    <w:p w14:paraId="534F8749">
      <w:pPr>
        <w:tabs>
          <w:tab w:val="left" w:pos="3240"/>
        </w:tabs>
        <w:spacing w:line="480" w:lineRule="auto"/>
        <w:rPr>
          <w:rFonts w:ascii="宋体" w:hAnsi="宋体" w:eastAsia="宋体" w:cs="Times New Roman"/>
          <w:b/>
          <w:bCs/>
          <w:sz w:val="24"/>
          <w:szCs w:val="20"/>
        </w:rPr>
      </w:pPr>
      <w:r>
        <w:rPr>
          <w:rFonts w:ascii="宋体" w:hAnsi="宋体" w:eastAsia="宋体" w:cs="Times New Roman"/>
          <w:b/>
          <w:bCs/>
          <w:sz w:val="24"/>
          <w:szCs w:val="20"/>
        </w:rPr>
        <w:tab/>
      </w:r>
    </w:p>
    <w:p w14:paraId="2020A44C">
      <w:pPr>
        <w:tabs>
          <w:tab w:val="left" w:pos="3240"/>
        </w:tabs>
        <w:spacing w:line="480" w:lineRule="auto"/>
        <w:rPr>
          <w:rFonts w:ascii="宋体" w:hAnsi="宋体" w:eastAsia="宋体" w:cs="Times New Roman"/>
          <w:b/>
          <w:bCs/>
          <w:sz w:val="24"/>
          <w:szCs w:val="20"/>
        </w:rPr>
      </w:pPr>
    </w:p>
    <w:p w14:paraId="22C3E809">
      <w:pPr>
        <w:tabs>
          <w:tab w:val="left" w:pos="3240"/>
        </w:tabs>
        <w:spacing w:line="480" w:lineRule="auto"/>
        <w:rPr>
          <w:rFonts w:ascii="宋体" w:hAnsi="宋体" w:eastAsia="宋体" w:cs="Times New Roman"/>
          <w:b/>
          <w:bCs/>
          <w:sz w:val="24"/>
          <w:szCs w:val="20"/>
        </w:rPr>
      </w:pPr>
    </w:p>
    <w:p w14:paraId="6BCEBADD">
      <w:pPr>
        <w:tabs>
          <w:tab w:val="right" w:leader="dot" w:pos="8729"/>
        </w:tabs>
        <w:spacing w:line="480" w:lineRule="auto"/>
        <w:jc w:val="left"/>
        <w:rPr>
          <w:rFonts w:ascii="宋体" w:hAnsi="宋体" w:eastAsia="宋体" w:cs="Times New Roman"/>
          <w:b/>
          <w:caps/>
          <w:sz w:val="28"/>
          <w:szCs w:val="28"/>
        </w:rPr>
      </w:pPr>
      <w:r>
        <w:rPr>
          <w:rFonts w:ascii="宋体" w:hAnsi="宋体" w:eastAsia="宋体" w:cs="Times New Roman"/>
          <w:b/>
          <w:caps/>
          <w:sz w:val="24"/>
          <w:szCs w:val="28"/>
        </w:rPr>
        <w:fldChar w:fldCharType="begin"/>
      </w:r>
      <w:r>
        <w:rPr>
          <w:rFonts w:ascii="宋体" w:hAnsi="宋体" w:eastAsia="宋体" w:cs="Times New Roman"/>
          <w:b/>
          <w:caps/>
          <w:sz w:val="24"/>
          <w:szCs w:val="28"/>
        </w:rPr>
        <w:instrText xml:space="preserve"> TOC \o "1-2" \h \z </w:instrText>
      </w:r>
      <w:r>
        <w:rPr>
          <w:rFonts w:ascii="宋体" w:hAnsi="宋体" w:eastAsia="宋体" w:cs="Times New Roman"/>
          <w:b/>
          <w:caps/>
          <w:sz w:val="24"/>
          <w:szCs w:val="28"/>
        </w:rPr>
        <w:fldChar w:fldCharType="separate"/>
      </w:r>
      <w:r>
        <w:fldChar w:fldCharType="begin"/>
      </w:r>
      <w:r>
        <w:instrText xml:space="preserve"> HYPERLINK \l "_Toc357155294" </w:instrText>
      </w:r>
      <w:r>
        <w:fldChar w:fldCharType="separate"/>
      </w:r>
      <w:r>
        <w:rPr>
          <w:rFonts w:hint="eastAsia" w:ascii="宋体" w:hAnsi="宋体" w:eastAsia="宋体" w:cs="Times New Roman"/>
          <w:b/>
          <w:caps/>
          <w:sz w:val="28"/>
          <w:szCs w:val="28"/>
        </w:rPr>
        <w:t>第一章</w:t>
      </w:r>
      <w:r>
        <w:rPr>
          <w:rFonts w:ascii="宋体" w:hAnsi="宋体" w:eastAsia="宋体" w:cs="Times New Roman"/>
          <w:b/>
          <w:caps/>
          <w:sz w:val="28"/>
          <w:szCs w:val="28"/>
        </w:rPr>
        <w:t xml:space="preserve">  </w:t>
      </w:r>
      <w:r>
        <w:rPr>
          <w:rFonts w:hint="eastAsia" w:ascii="宋体" w:hAnsi="宋体" w:eastAsia="宋体" w:cs="Times New Roman"/>
          <w:b/>
          <w:caps/>
          <w:sz w:val="28"/>
          <w:szCs w:val="28"/>
        </w:rPr>
        <w:t>招标公告</w:t>
      </w:r>
      <w:r>
        <w:rPr>
          <w:rFonts w:ascii="宋体" w:hAnsi="宋体" w:eastAsia="宋体" w:cs="Times New Roman"/>
          <w:b/>
          <w:caps/>
          <w:sz w:val="28"/>
          <w:szCs w:val="28"/>
        </w:rPr>
        <w:tab/>
      </w:r>
      <w:r>
        <w:rPr>
          <w:rFonts w:ascii="宋体" w:hAnsi="宋体" w:eastAsia="宋体" w:cs="Times New Roman"/>
          <w:b/>
          <w:caps/>
          <w:sz w:val="28"/>
          <w:szCs w:val="28"/>
        </w:rPr>
        <w:fldChar w:fldCharType="end"/>
      </w:r>
      <w:r>
        <w:rPr>
          <w:rFonts w:hint="eastAsia" w:ascii="宋体" w:hAnsi="宋体" w:eastAsia="宋体" w:cs="Times New Roman"/>
          <w:b/>
          <w:caps/>
          <w:sz w:val="28"/>
          <w:szCs w:val="28"/>
        </w:rPr>
        <w:t>X（页码）</w:t>
      </w:r>
    </w:p>
    <w:p w14:paraId="212E5D71">
      <w:pPr>
        <w:tabs>
          <w:tab w:val="right" w:leader="dot" w:pos="8729"/>
        </w:tabs>
        <w:spacing w:line="480" w:lineRule="auto"/>
        <w:jc w:val="left"/>
        <w:rPr>
          <w:rFonts w:ascii="宋体" w:hAnsi="宋体" w:eastAsia="宋体" w:cs="Times New Roman"/>
          <w:b/>
          <w:caps/>
          <w:sz w:val="28"/>
          <w:szCs w:val="28"/>
        </w:rPr>
      </w:pPr>
    </w:p>
    <w:p w14:paraId="190554F2">
      <w:pPr>
        <w:tabs>
          <w:tab w:val="right" w:leader="dot" w:pos="8729"/>
        </w:tabs>
        <w:spacing w:line="480" w:lineRule="auto"/>
        <w:jc w:val="left"/>
        <w:rPr>
          <w:rFonts w:ascii="宋体" w:hAnsi="宋体" w:eastAsia="宋体" w:cs="Times New Roman"/>
          <w:b/>
          <w:caps/>
          <w:sz w:val="28"/>
          <w:szCs w:val="28"/>
        </w:rPr>
      </w:pPr>
      <w:r>
        <w:fldChar w:fldCharType="begin"/>
      </w:r>
      <w:r>
        <w:instrText xml:space="preserve"> HYPERLINK \l "_Toc357155295" </w:instrText>
      </w:r>
      <w:r>
        <w:fldChar w:fldCharType="separate"/>
      </w:r>
      <w:r>
        <w:rPr>
          <w:rFonts w:hint="eastAsia" w:ascii="宋体" w:hAnsi="宋体" w:eastAsia="宋体" w:cs="Times New Roman"/>
          <w:b/>
          <w:caps/>
          <w:sz w:val="28"/>
          <w:szCs w:val="28"/>
        </w:rPr>
        <w:t>第二章</w:t>
      </w:r>
      <w:r>
        <w:rPr>
          <w:rFonts w:ascii="宋体" w:hAnsi="宋体" w:eastAsia="宋体" w:cs="Times New Roman"/>
          <w:b/>
          <w:caps/>
          <w:sz w:val="28"/>
          <w:szCs w:val="28"/>
        </w:rPr>
        <w:t xml:space="preserve">  </w:t>
      </w:r>
      <w:r>
        <w:rPr>
          <w:rFonts w:hint="eastAsia" w:ascii="宋体" w:hAnsi="宋体" w:eastAsia="宋体" w:cs="Times New Roman"/>
          <w:b/>
          <w:caps/>
          <w:sz w:val="28"/>
          <w:szCs w:val="28"/>
        </w:rPr>
        <w:t>投标文件编制</w:t>
      </w:r>
      <w:r>
        <w:rPr>
          <w:rFonts w:ascii="宋体" w:hAnsi="宋体" w:eastAsia="宋体" w:cs="Times New Roman"/>
          <w:b/>
          <w:caps/>
          <w:sz w:val="28"/>
          <w:szCs w:val="28"/>
        </w:rPr>
        <w:tab/>
      </w:r>
      <w:r>
        <w:rPr>
          <w:rFonts w:ascii="宋体" w:hAnsi="宋体" w:eastAsia="宋体" w:cs="Times New Roman"/>
          <w:b/>
          <w:caps/>
          <w:sz w:val="28"/>
          <w:szCs w:val="28"/>
        </w:rPr>
        <w:fldChar w:fldCharType="end"/>
      </w:r>
      <w:r>
        <w:rPr>
          <w:rFonts w:hint="eastAsia" w:ascii="宋体" w:hAnsi="宋体" w:eastAsia="宋体" w:cs="Times New Roman"/>
          <w:b/>
          <w:caps/>
          <w:sz w:val="28"/>
          <w:szCs w:val="28"/>
        </w:rPr>
        <w:t>X（页码）</w:t>
      </w:r>
    </w:p>
    <w:p w14:paraId="318B04A6">
      <w:pPr>
        <w:tabs>
          <w:tab w:val="right" w:leader="dot" w:pos="8729"/>
        </w:tabs>
        <w:spacing w:line="480" w:lineRule="auto"/>
        <w:jc w:val="left"/>
        <w:rPr>
          <w:rFonts w:ascii="宋体" w:hAnsi="宋体" w:eastAsia="宋体" w:cs="Times New Roman"/>
          <w:b/>
          <w:caps/>
          <w:sz w:val="28"/>
          <w:szCs w:val="28"/>
        </w:rPr>
      </w:pPr>
    </w:p>
    <w:p w14:paraId="6A9C05B9">
      <w:pPr>
        <w:tabs>
          <w:tab w:val="right" w:leader="dot" w:pos="8729"/>
        </w:tabs>
        <w:spacing w:line="480" w:lineRule="auto"/>
        <w:jc w:val="left"/>
        <w:rPr>
          <w:rFonts w:ascii="宋体" w:hAnsi="宋体" w:eastAsia="宋体" w:cs="Times New Roman"/>
          <w:b/>
          <w:caps/>
          <w:sz w:val="28"/>
          <w:szCs w:val="28"/>
        </w:rPr>
      </w:pPr>
      <w:r>
        <w:fldChar w:fldCharType="begin"/>
      </w:r>
      <w:r>
        <w:instrText xml:space="preserve"> HYPERLINK \l "_Toc357155295" </w:instrText>
      </w:r>
      <w:r>
        <w:fldChar w:fldCharType="separate"/>
      </w:r>
      <w:r>
        <w:rPr>
          <w:rFonts w:hint="eastAsia" w:ascii="宋体" w:hAnsi="宋体" w:eastAsia="宋体" w:cs="Times New Roman"/>
          <w:b/>
          <w:caps/>
          <w:sz w:val="28"/>
          <w:szCs w:val="28"/>
        </w:rPr>
        <w:t>第三章</w:t>
      </w:r>
      <w:r>
        <w:rPr>
          <w:rFonts w:ascii="宋体" w:hAnsi="宋体" w:eastAsia="宋体" w:cs="Times New Roman"/>
          <w:b/>
          <w:caps/>
          <w:sz w:val="28"/>
          <w:szCs w:val="28"/>
        </w:rPr>
        <w:t xml:space="preserve">  技术协议书</w:t>
      </w:r>
      <w:r>
        <w:rPr>
          <w:rFonts w:ascii="宋体" w:hAnsi="宋体" w:eastAsia="宋体" w:cs="Times New Roman"/>
          <w:b/>
          <w:caps/>
          <w:sz w:val="28"/>
          <w:szCs w:val="28"/>
        </w:rPr>
        <w:tab/>
      </w:r>
      <w:r>
        <w:rPr>
          <w:rFonts w:ascii="宋体" w:hAnsi="宋体" w:eastAsia="宋体" w:cs="Times New Roman"/>
          <w:b/>
          <w:caps/>
          <w:sz w:val="28"/>
          <w:szCs w:val="28"/>
        </w:rPr>
        <w:fldChar w:fldCharType="end"/>
      </w:r>
      <w:r>
        <w:rPr>
          <w:rFonts w:hint="eastAsia" w:ascii="宋体" w:hAnsi="宋体" w:eastAsia="宋体" w:cs="Times New Roman"/>
          <w:b/>
          <w:caps/>
          <w:sz w:val="28"/>
          <w:szCs w:val="28"/>
        </w:rPr>
        <w:t>X（页码）</w:t>
      </w:r>
    </w:p>
    <w:p w14:paraId="79F842CA">
      <w:pPr>
        <w:tabs>
          <w:tab w:val="right" w:leader="dot" w:pos="8729"/>
        </w:tabs>
        <w:spacing w:line="480" w:lineRule="auto"/>
        <w:jc w:val="left"/>
        <w:rPr>
          <w:rFonts w:ascii="宋体" w:hAnsi="宋体" w:eastAsia="宋体" w:cs="Times New Roman"/>
          <w:b/>
          <w:caps/>
          <w:sz w:val="28"/>
          <w:szCs w:val="28"/>
        </w:rPr>
      </w:pPr>
    </w:p>
    <w:p w14:paraId="2C924610">
      <w:pPr>
        <w:spacing w:line="360" w:lineRule="auto"/>
        <w:jc w:val="center"/>
        <w:rPr>
          <w:rFonts w:ascii="宋体" w:hAnsi="Courier New" w:eastAsia="宋体" w:cs="Times New Roman"/>
          <w:szCs w:val="20"/>
        </w:rPr>
      </w:pPr>
      <w:r>
        <w:rPr>
          <w:rFonts w:ascii="宋体" w:hAnsi="Courier New" w:eastAsia="宋体" w:cs="Times New Roman"/>
          <w:szCs w:val="20"/>
        </w:rPr>
        <w:fldChar w:fldCharType="end"/>
      </w:r>
    </w:p>
    <w:p w14:paraId="52C3CEEE">
      <w:pPr>
        <w:spacing w:line="360" w:lineRule="auto"/>
        <w:jc w:val="center"/>
        <w:rPr>
          <w:rFonts w:ascii="宋体" w:hAnsi="Courier New" w:eastAsia="宋体" w:cs="Times New Roman"/>
          <w:szCs w:val="20"/>
        </w:rPr>
      </w:pPr>
    </w:p>
    <w:p w14:paraId="4F988358">
      <w:pPr>
        <w:spacing w:line="360" w:lineRule="auto"/>
        <w:jc w:val="center"/>
        <w:rPr>
          <w:rFonts w:ascii="宋体" w:hAnsi="Courier New" w:eastAsia="宋体" w:cs="Times New Roman"/>
          <w:szCs w:val="20"/>
        </w:rPr>
      </w:pPr>
    </w:p>
    <w:p w14:paraId="2D278B0E">
      <w:pPr>
        <w:spacing w:line="360" w:lineRule="auto"/>
        <w:jc w:val="center"/>
        <w:rPr>
          <w:rFonts w:ascii="宋体" w:hAnsi="Courier New" w:eastAsia="宋体" w:cs="Times New Roman"/>
          <w:szCs w:val="20"/>
        </w:rPr>
      </w:pPr>
    </w:p>
    <w:p w14:paraId="6B76FFCC">
      <w:pPr>
        <w:spacing w:line="360" w:lineRule="auto"/>
        <w:jc w:val="center"/>
        <w:rPr>
          <w:rFonts w:ascii="宋体" w:hAnsi="Courier New" w:eastAsia="宋体" w:cs="Times New Roman"/>
          <w:szCs w:val="20"/>
        </w:rPr>
      </w:pPr>
    </w:p>
    <w:p w14:paraId="692B13B5">
      <w:pPr>
        <w:spacing w:line="360" w:lineRule="auto"/>
        <w:jc w:val="center"/>
        <w:rPr>
          <w:rFonts w:ascii="宋体" w:hAnsi="Courier New" w:eastAsia="宋体" w:cs="Times New Roman"/>
          <w:szCs w:val="20"/>
        </w:rPr>
      </w:pPr>
    </w:p>
    <w:p w14:paraId="47628526">
      <w:pPr>
        <w:spacing w:line="360" w:lineRule="auto"/>
        <w:jc w:val="center"/>
        <w:rPr>
          <w:rFonts w:ascii="宋体" w:hAnsi="Courier New" w:eastAsia="宋体" w:cs="Times New Roman"/>
          <w:szCs w:val="20"/>
        </w:rPr>
      </w:pPr>
    </w:p>
    <w:p w14:paraId="66B1ECEA">
      <w:pPr>
        <w:spacing w:line="360" w:lineRule="auto"/>
        <w:jc w:val="center"/>
        <w:rPr>
          <w:rFonts w:ascii="宋体" w:hAnsi="Courier New" w:eastAsia="宋体" w:cs="Times New Roman"/>
          <w:szCs w:val="20"/>
        </w:rPr>
      </w:pPr>
    </w:p>
    <w:p w14:paraId="08728690">
      <w:pPr>
        <w:spacing w:line="360" w:lineRule="auto"/>
        <w:jc w:val="center"/>
        <w:rPr>
          <w:rFonts w:ascii="宋体" w:hAnsi="Courier New" w:eastAsia="宋体" w:cs="Times New Roman"/>
          <w:szCs w:val="20"/>
        </w:rPr>
      </w:pPr>
    </w:p>
    <w:p w14:paraId="34101F3D">
      <w:pPr>
        <w:spacing w:line="360" w:lineRule="auto"/>
        <w:jc w:val="center"/>
        <w:rPr>
          <w:rFonts w:ascii="宋体" w:hAnsi="Courier New" w:eastAsia="宋体" w:cs="Times New Roman"/>
          <w:szCs w:val="20"/>
        </w:rPr>
      </w:pPr>
    </w:p>
    <w:p w14:paraId="49E3612E">
      <w:pPr>
        <w:spacing w:line="360" w:lineRule="auto"/>
        <w:jc w:val="center"/>
        <w:rPr>
          <w:rFonts w:ascii="宋体" w:hAnsi="Courier New" w:eastAsia="宋体" w:cs="Times New Roman"/>
          <w:szCs w:val="20"/>
        </w:rPr>
      </w:pPr>
    </w:p>
    <w:p w14:paraId="0BFC248F">
      <w:pPr>
        <w:spacing w:line="360" w:lineRule="auto"/>
        <w:jc w:val="center"/>
        <w:rPr>
          <w:rFonts w:ascii="宋体" w:hAnsi="Courier New" w:eastAsia="宋体" w:cs="Times New Roman"/>
          <w:szCs w:val="20"/>
        </w:rPr>
      </w:pPr>
    </w:p>
    <w:p w14:paraId="30B00C37">
      <w:pPr>
        <w:spacing w:line="360" w:lineRule="auto"/>
        <w:jc w:val="center"/>
        <w:rPr>
          <w:rFonts w:ascii="宋体" w:hAnsi="Courier New" w:eastAsia="宋体" w:cs="Times New Roman"/>
          <w:szCs w:val="20"/>
        </w:rPr>
      </w:pPr>
    </w:p>
    <w:p w14:paraId="56DDAA6F">
      <w:pPr>
        <w:spacing w:line="360" w:lineRule="auto"/>
        <w:jc w:val="center"/>
        <w:rPr>
          <w:rFonts w:ascii="宋体" w:hAnsi="Courier New" w:eastAsia="宋体" w:cs="Times New Roman"/>
          <w:szCs w:val="20"/>
        </w:rPr>
      </w:pPr>
    </w:p>
    <w:p w14:paraId="2850185F">
      <w:pPr>
        <w:spacing w:line="360" w:lineRule="auto"/>
        <w:jc w:val="center"/>
        <w:rPr>
          <w:rFonts w:ascii="宋体" w:hAnsi="Courier New" w:eastAsia="宋体" w:cs="Times New Roman"/>
          <w:szCs w:val="20"/>
        </w:rPr>
      </w:pPr>
    </w:p>
    <w:p w14:paraId="64035E8E">
      <w:pPr>
        <w:spacing w:line="360" w:lineRule="auto"/>
        <w:jc w:val="center"/>
        <w:rPr>
          <w:rFonts w:ascii="黑体" w:hAnsi="Courier New" w:eastAsia="黑体" w:cs="Times New Roman"/>
          <w:b/>
          <w:bCs/>
          <w:sz w:val="36"/>
          <w:szCs w:val="36"/>
        </w:rPr>
      </w:pPr>
      <w:r>
        <w:rPr>
          <w:rFonts w:hint="eastAsia" w:ascii="黑体" w:hAnsi="Courier New" w:eastAsia="黑体" w:cs="Times New Roman"/>
          <w:b/>
          <w:bCs/>
          <w:sz w:val="36"/>
          <w:szCs w:val="36"/>
        </w:rPr>
        <w:t>第一章  招标公告</w:t>
      </w:r>
    </w:p>
    <w:p w14:paraId="64311D35">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一、项目名称</w:t>
      </w:r>
    </w:p>
    <w:p w14:paraId="524C7293">
      <w:pPr>
        <w:spacing w:line="360" w:lineRule="auto"/>
        <w:ind w:left="420"/>
        <w:rPr>
          <w:rFonts w:ascii="宋体" w:hAnsi="Courier New" w:eastAsia="宋体" w:cs="Times New Roman"/>
          <w:szCs w:val="20"/>
        </w:rPr>
      </w:pPr>
      <w:r>
        <w:rPr>
          <w:rFonts w:hint="eastAsia" w:ascii="宋体" w:hAnsi="Courier New" w:eastAsia="宋体" w:cs="Times New Roman"/>
          <w:szCs w:val="20"/>
        </w:rPr>
        <w:t>项目名称：</w:t>
      </w:r>
      <w:bookmarkStart w:id="0" w:name="OLE_LINK1"/>
      <w:r>
        <w:rPr>
          <w:rFonts w:hint="default" w:ascii="宋体" w:hAnsi="Courier New" w:eastAsia="宋体" w:cs="Times New Roman"/>
          <w:szCs w:val="20"/>
        </w:rPr>
        <w:t>中国重汽集团</w:t>
      </w:r>
      <w:r>
        <w:rPr>
          <w:rFonts w:hint="eastAsia" w:ascii="宋体" w:hAnsi="Courier New" w:eastAsia="宋体" w:cs="Times New Roman"/>
          <w:szCs w:val="20"/>
          <w:lang w:val="en-US" w:eastAsia="zh-CN"/>
        </w:rPr>
        <w:t>抗磨液压油、齿轮油过滤净化</w:t>
      </w:r>
      <w:r>
        <w:rPr>
          <w:rFonts w:hint="eastAsia" w:ascii="宋体" w:hAnsi="Courier New" w:eastAsia="宋体" w:cs="Times New Roman"/>
          <w:szCs w:val="20"/>
        </w:rPr>
        <w:t>项目。</w:t>
      </w:r>
    </w:p>
    <w:bookmarkEnd w:id="0"/>
    <w:p w14:paraId="54A9A6DF">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二、招标内容</w:t>
      </w:r>
    </w:p>
    <w:p w14:paraId="36A27696">
      <w:pPr>
        <w:spacing w:line="360" w:lineRule="auto"/>
        <w:ind w:firstLine="420" w:firstLineChars="200"/>
        <w:rPr>
          <w:rFonts w:hint="default" w:ascii="宋体" w:hAnsi="Courier New" w:eastAsia="宋体" w:cs="Times New Roman"/>
          <w:szCs w:val="20"/>
          <w:lang w:val="en-US" w:eastAsia="zh-CN"/>
        </w:rPr>
      </w:pPr>
      <w:r>
        <w:rPr>
          <w:rFonts w:hint="eastAsia" w:ascii="宋体" w:hAnsi="Courier New" w:eastAsia="宋体" w:cs="Times New Roman"/>
          <w:szCs w:val="20"/>
        </w:rPr>
        <w:t>招标内容：</w:t>
      </w:r>
      <w:r>
        <w:rPr>
          <w:rFonts w:hint="eastAsia" w:ascii="宋体" w:hAnsi="Courier New" w:eastAsia="宋体" w:cs="Times New Roman"/>
          <w:szCs w:val="20"/>
          <w:lang w:val="en-US" w:eastAsia="zh-CN"/>
        </w:rPr>
        <w:t>济南地区各单位设备在用抗磨液压油、齿轮油过滤净化；年度框架，执行日期2026年11月1日至2027年12月31日；明确单价、合同期内根据实际过滤量结算。</w:t>
      </w:r>
    </w:p>
    <w:p w14:paraId="01327C1D">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三、招标形式</w:t>
      </w:r>
    </w:p>
    <w:p w14:paraId="22162E1C">
      <w:pPr>
        <w:spacing w:line="360" w:lineRule="auto"/>
        <w:ind w:firstLine="420" w:firstLineChars="200"/>
        <w:rPr>
          <w:rFonts w:hint="eastAsia" w:ascii="宋体" w:hAnsi="Courier New" w:eastAsia="宋体" w:cs="Times New Roman"/>
          <w:szCs w:val="20"/>
        </w:rPr>
      </w:pPr>
      <w:r>
        <w:rPr>
          <w:rFonts w:hint="eastAsia" w:ascii="宋体" w:hAnsi="Courier New" w:eastAsia="宋体" w:cs="Times New Roman"/>
          <w:szCs w:val="20"/>
        </w:rPr>
        <w:t>招标形式：公开招标。</w:t>
      </w:r>
    </w:p>
    <w:p w14:paraId="60562615">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四、议程安排</w:t>
      </w:r>
    </w:p>
    <w:p w14:paraId="5FE81408">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1.开标时间：</w:t>
      </w:r>
      <w:r>
        <w:rPr>
          <w:rFonts w:hint="eastAsia" w:ascii="宋体" w:hAnsi="Courier New" w:eastAsia="宋体" w:cs="Times New Roman"/>
          <w:szCs w:val="20"/>
          <w:highlight w:val="none"/>
        </w:rPr>
        <w:t>202</w:t>
      </w:r>
      <w:r>
        <w:rPr>
          <w:rFonts w:hint="eastAsia" w:ascii="宋体" w:hAnsi="Courier New" w:eastAsia="宋体" w:cs="Times New Roman"/>
          <w:szCs w:val="20"/>
          <w:highlight w:val="none"/>
          <w:lang w:val="en-US" w:eastAsia="zh-CN"/>
        </w:rPr>
        <w:t>6</w:t>
      </w:r>
      <w:r>
        <w:rPr>
          <w:rFonts w:hint="eastAsia" w:ascii="宋体" w:hAnsi="Courier New" w:eastAsia="宋体" w:cs="Times New Roman"/>
          <w:szCs w:val="20"/>
          <w:highlight w:val="none"/>
        </w:rPr>
        <w:t>年</w:t>
      </w:r>
      <w:r>
        <w:rPr>
          <w:rFonts w:hint="eastAsia" w:ascii="宋体" w:hAnsi="Courier New" w:eastAsia="宋体" w:cs="Times New Roman"/>
          <w:szCs w:val="20"/>
          <w:highlight w:val="none"/>
          <w:lang w:val="en-US" w:eastAsia="zh-CN"/>
        </w:rPr>
        <w:t>10</w:t>
      </w:r>
      <w:r>
        <w:rPr>
          <w:rFonts w:hint="eastAsia" w:ascii="宋体" w:hAnsi="Courier New" w:eastAsia="宋体" w:cs="Times New Roman"/>
          <w:szCs w:val="20"/>
          <w:highlight w:val="none"/>
        </w:rPr>
        <w:t>月</w:t>
      </w:r>
      <w:r>
        <w:rPr>
          <w:rFonts w:hint="eastAsia" w:ascii="宋体" w:hAnsi="Courier New" w:eastAsia="宋体" w:cs="Times New Roman"/>
          <w:szCs w:val="20"/>
          <w:highlight w:val="none"/>
          <w:lang w:val="en-US" w:eastAsia="zh-CN"/>
        </w:rPr>
        <w:t>13</w:t>
      </w:r>
      <w:r>
        <w:rPr>
          <w:rFonts w:hint="eastAsia" w:ascii="宋体" w:hAnsi="Courier New" w:eastAsia="宋体" w:cs="Times New Roman"/>
          <w:szCs w:val="20"/>
          <w:highlight w:val="none"/>
        </w:rPr>
        <w:t>日上午9时（若有变动另行通知）。</w:t>
      </w:r>
    </w:p>
    <w:p w14:paraId="4BDB097E">
      <w:pPr>
        <w:spacing w:line="360" w:lineRule="auto"/>
        <w:ind w:firstLine="420" w:firstLineChars="200"/>
        <w:rPr>
          <w:rFonts w:hint="default" w:ascii="宋体" w:hAnsi="Courier New" w:eastAsia="宋体" w:cs="Times New Roman"/>
          <w:szCs w:val="20"/>
          <w:lang w:val="en-US" w:eastAsia="zh-CN"/>
        </w:rPr>
      </w:pPr>
      <w:r>
        <w:rPr>
          <w:rFonts w:hint="eastAsia" w:ascii="宋体" w:hAnsi="Courier New" w:eastAsia="宋体" w:cs="Times New Roman"/>
          <w:szCs w:val="20"/>
        </w:rPr>
        <w:t>2.投标地点：</w:t>
      </w:r>
      <w:r>
        <w:rPr>
          <w:rFonts w:hint="eastAsia" w:ascii="宋体" w:hAnsi="Courier New" w:eastAsia="宋体" w:cs="Times New Roman"/>
          <w:szCs w:val="20"/>
          <w:lang w:val="en-US" w:eastAsia="zh-CN"/>
        </w:rPr>
        <w:t>济南变速箱厂231会议室</w:t>
      </w:r>
    </w:p>
    <w:p w14:paraId="0862652F">
      <w:pPr>
        <w:spacing w:line="360" w:lineRule="auto"/>
        <w:ind w:firstLine="420" w:firstLineChars="200"/>
        <w:rPr>
          <w:rFonts w:hint="eastAsia" w:ascii="宋体" w:hAnsi="Courier New" w:eastAsia="宋体" w:cs="Times New Roman"/>
          <w:szCs w:val="20"/>
          <w:lang w:eastAsia="zh-CN"/>
        </w:rPr>
      </w:pPr>
      <w:r>
        <w:rPr>
          <w:rFonts w:hint="eastAsia" w:ascii="宋体" w:hAnsi="Courier New" w:eastAsia="宋体" w:cs="Times New Roman"/>
          <w:szCs w:val="20"/>
        </w:rPr>
        <w:t>3.报名及商务事宜联系人：</w:t>
      </w:r>
      <w:r>
        <w:rPr>
          <w:rFonts w:hint="eastAsia" w:ascii="宋体" w:hAnsi="Courier New" w:eastAsia="宋体" w:cs="Times New Roman"/>
          <w:szCs w:val="20"/>
          <w:lang w:val="en-US" w:eastAsia="zh-CN"/>
        </w:rPr>
        <w:t>张文立</w:t>
      </w:r>
    </w:p>
    <w:p w14:paraId="534647A9">
      <w:pPr>
        <w:spacing w:line="360" w:lineRule="auto"/>
        <w:ind w:firstLine="420" w:firstLineChars="200"/>
        <w:rPr>
          <w:rFonts w:hint="default" w:ascii="宋体" w:hAnsi="Courier New" w:eastAsia="宋体" w:cs="Times New Roman"/>
          <w:szCs w:val="20"/>
          <w:lang w:val="en-US" w:eastAsia="zh-CN"/>
        </w:rPr>
      </w:pPr>
      <w:r>
        <w:rPr>
          <w:rFonts w:hint="eastAsia" w:ascii="宋体" w:hAnsi="Courier New" w:eastAsia="宋体" w:cs="Times New Roman"/>
          <w:szCs w:val="20"/>
        </w:rPr>
        <w:t xml:space="preserve">  联系电话：</w:t>
      </w:r>
      <w:r>
        <w:rPr>
          <w:rFonts w:hint="eastAsia" w:ascii="宋体" w:hAnsi="Courier New" w:eastAsia="宋体" w:cs="Times New Roman"/>
          <w:szCs w:val="20"/>
          <w:lang w:val="en-US" w:eastAsia="zh-CN"/>
        </w:rPr>
        <w:t>18853151226</w:t>
      </w:r>
    </w:p>
    <w:p w14:paraId="1915CF2D">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五、获取招标文件</w:t>
      </w:r>
    </w:p>
    <w:p w14:paraId="7A10D66C">
      <w:pPr>
        <w:pStyle w:val="10"/>
        <w:spacing w:line="360" w:lineRule="auto"/>
        <w:ind w:firstLine="405"/>
      </w:pPr>
      <w:r>
        <w:rPr>
          <w:rFonts w:hint="eastAsia"/>
        </w:rPr>
        <w:t>1.时间：202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12</w:t>
      </w:r>
      <w:r>
        <w:rPr>
          <w:rFonts w:hint="eastAsia"/>
        </w:rPr>
        <w:t>日</w:t>
      </w:r>
      <w:r>
        <w:rPr>
          <w:rFonts w:hint="eastAsia"/>
          <w:lang w:val="en-US" w:eastAsia="zh-CN"/>
        </w:rPr>
        <w:t>17</w:t>
      </w:r>
      <w:r>
        <w:rPr>
          <w:rFonts w:hint="eastAsia"/>
        </w:rPr>
        <w:t>点前。</w:t>
      </w:r>
    </w:p>
    <w:p w14:paraId="0045796F">
      <w:pPr>
        <w:pStyle w:val="10"/>
        <w:spacing w:line="360" w:lineRule="auto"/>
        <w:ind w:firstLine="405"/>
        <w:rPr>
          <w:rStyle w:val="26"/>
          <w:color w:val="auto"/>
        </w:rPr>
      </w:pPr>
      <w:r>
        <w:rPr>
          <w:rFonts w:hint="eastAsia"/>
        </w:rPr>
        <w:t>2.方式：</w:t>
      </w:r>
      <w:r>
        <w:rPr>
          <w:rFonts w:ascii="Segoe UI" w:hAnsi="Segoe UI" w:eastAsia="Segoe UI" w:cs="Segoe UI"/>
          <w:i w:val="0"/>
          <w:iCs w:val="0"/>
          <w:caps w:val="0"/>
          <w:color w:val="171A1D"/>
          <w:spacing w:val="0"/>
          <w:sz w:val="21"/>
          <w:szCs w:val="21"/>
          <w:shd w:val="clear" w:color="auto" w:fill="FFFFFF"/>
        </w:rPr>
        <w:t>本项目招标工作的所有过程均须在中国重汽e采通上完成，包括报名、资质审核、招标、应标、评标、审批等环节。中国重汽E采通中链接为（</w:t>
      </w:r>
      <w:r>
        <w:rPr>
          <w:rFonts w:hint="default" w:ascii="Segoe UI" w:hAnsi="Segoe UI" w:eastAsia="Segoe UI" w:cs="Segoe UI"/>
          <w:i w:val="0"/>
          <w:iCs w:val="0"/>
          <w:caps w:val="0"/>
          <w:spacing w:val="0"/>
          <w:sz w:val="21"/>
          <w:szCs w:val="21"/>
          <w:u w:val="none"/>
          <w:shd w:val="clear" w:color="auto" w:fill="FFFFFF"/>
        </w:rPr>
        <w:fldChar w:fldCharType="begin"/>
      </w:r>
      <w:r>
        <w:rPr>
          <w:rFonts w:hint="default" w:ascii="Segoe UI" w:hAnsi="Segoe UI" w:eastAsia="Segoe UI" w:cs="Segoe UI"/>
          <w:i w:val="0"/>
          <w:iCs w:val="0"/>
          <w:caps w:val="0"/>
          <w:spacing w:val="0"/>
          <w:sz w:val="21"/>
          <w:szCs w:val="21"/>
          <w:u w:val="none"/>
          <w:shd w:val="clear" w:color="auto" w:fill="FFFFFF"/>
        </w:rPr>
        <w:instrText xml:space="preserve"> HYPERLINK "http://ecaitong.sinotruk.com:8012%EF%BC%89/" \t "https://n.dingtalk.com/dingtalk-frontend/h5_combo_msg_preview_panel/index/_blank" </w:instrText>
      </w:r>
      <w:r>
        <w:rPr>
          <w:rFonts w:hint="default" w:ascii="Segoe UI" w:hAnsi="Segoe UI" w:eastAsia="Segoe UI" w:cs="Segoe UI"/>
          <w:i w:val="0"/>
          <w:iCs w:val="0"/>
          <w:caps w:val="0"/>
          <w:spacing w:val="0"/>
          <w:sz w:val="21"/>
          <w:szCs w:val="21"/>
          <w:u w:val="none"/>
          <w:shd w:val="clear" w:color="auto" w:fill="FFFFFF"/>
        </w:rPr>
        <w:fldChar w:fldCharType="separate"/>
      </w:r>
      <w:r>
        <w:rPr>
          <w:rStyle w:val="26"/>
          <w:rFonts w:hint="default" w:ascii="Segoe UI" w:hAnsi="Segoe UI" w:eastAsia="Segoe UI" w:cs="Segoe UI"/>
          <w:i w:val="0"/>
          <w:iCs w:val="0"/>
          <w:caps w:val="0"/>
          <w:spacing w:val="0"/>
          <w:sz w:val="21"/>
          <w:szCs w:val="21"/>
          <w:u w:val="none"/>
          <w:shd w:val="clear" w:color="auto" w:fill="FFFFFF"/>
        </w:rPr>
        <w:t>http</w:t>
      </w:r>
      <w:r>
        <w:rPr>
          <w:rStyle w:val="26"/>
          <w:rFonts w:hint="eastAsia" w:ascii="Segoe UI" w:hAnsi="Segoe UI" w:eastAsia="宋体" w:cs="Segoe UI"/>
          <w:i w:val="0"/>
          <w:iCs w:val="0"/>
          <w:caps w:val="0"/>
          <w:spacing w:val="0"/>
          <w:sz w:val="21"/>
          <w:szCs w:val="21"/>
          <w:u w:val="none"/>
          <w:shd w:val="clear" w:color="auto" w:fill="FFFFFF"/>
          <w:lang w:val="en-US" w:eastAsia="zh-CN"/>
        </w:rPr>
        <w:t>s</w:t>
      </w:r>
      <w:r>
        <w:rPr>
          <w:rStyle w:val="26"/>
          <w:rFonts w:hint="default" w:ascii="Segoe UI" w:hAnsi="Segoe UI" w:eastAsia="Segoe UI" w:cs="Segoe UI"/>
          <w:i w:val="0"/>
          <w:iCs w:val="0"/>
          <w:caps w:val="0"/>
          <w:spacing w:val="0"/>
          <w:sz w:val="21"/>
          <w:szCs w:val="21"/>
          <w:u w:val="none"/>
          <w:shd w:val="clear" w:color="auto" w:fill="FFFFFF"/>
        </w:rPr>
        <w:t>://ecaitong.sinotruk.com:8012）</w:t>
      </w:r>
      <w:r>
        <w:rPr>
          <w:rFonts w:hint="default" w:ascii="Segoe UI" w:hAnsi="Segoe UI" w:eastAsia="Segoe UI" w:cs="Segoe UI"/>
          <w:i w:val="0"/>
          <w:iCs w:val="0"/>
          <w:caps w:val="0"/>
          <w:spacing w:val="0"/>
          <w:sz w:val="21"/>
          <w:szCs w:val="21"/>
          <w:u w:val="none"/>
          <w:shd w:val="clear" w:color="auto" w:fill="FFFFFF"/>
        </w:rPr>
        <w:fldChar w:fldCharType="end"/>
      </w:r>
      <w:r>
        <w:rPr>
          <w:rFonts w:hint="default" w:ascii="Segoe UI" w:hAnsi="Segoe UI" w:eastAsia="Segoe UI" w:cs="Segoe UI"/>
          <w:i w:val="0"/>
          <w:iCs w:val="0"/>
          <w:caps w:val="0"/>
          <w:color w:val="171A1D"/>
          <w:spacing w:val="0"/>
          <w:sz w:val="21"/>
          <w:szCs w:val="21"/>
          <w:shd w:val="clear" w:color="auto" w:fill="FFFFFF"/>
        </w:rPr>
        <w:t>。相关操作手册请详见注册界面供应商用户手册。未在中国重汽</w:t>
      </w:r>
      <w:r>
        <w:rPr>
          <w:rFonts w:hint="eastAsia" w:ascii="Segoe UI" w:hAnsi="Segoe UI" w:eastAsia="宋体" w:cs="Segoe UI"/>
          <w:i w:val="0"/>
          <w:iCs w:val="0"/>
          <w:caps w:val="0"/>
          <w:color w:val="171A1D"/>
          <w:spacing w:val="0"/>
          <w:sz w:val="21"/>
          <w:szCs w:val="21"/>
          <w:shd w:val="clear" w:color="auto" w:fill="FFFFFF"/>
          <w:lang w:val="en-US" w:eastAsia="zh-CN"/>
        </w:rPr>
        <w:t>e</w:t>
      </w:r>
      <w:r>
        <w:rPr>
          <w:rFonts w:hint="default" w:ascii="Segoe UI" w:hAnsi="Segoe UI" w:eastAsia="Segoe UI" w:cs="Segoe UI"/>
          <w:i w:val="0"/>
          <w:iCs w:val="0"/>
          <w:caps w:val="0"/>
          <w:color w:val="171A1D"/>
          <w:spacing w:val="0"/>
          <w:sz w:val="21"/>
          <w:szCs w:val="21"/>
          <w:shd w:val="clear" w:color="auto" w:fill="FFFFFF"/>
        </w:rPr>
        <w:t>采通进行注册的供方，注册时，业务主管部门选择“</w:t>
      </w:r>
      <w:r>
        <w:rPr>
          <w:rFonts w:hint="eastAsia" w:ascii="Segoe UI" w:hAnsi="Segoe UI" w:eastAsia="宋体" w:cs="Segoe UI"/>
          <w:i w:val="0"/>
          <w:iCs w:val="0"/>
          <w:caps w:val="0"/>
          <w:color w:val="171A1D"/>
          <w:spacing w:val="0"/>
          <w:sz w:val="21"/>
          <w:szCs w:val="21"/>
          <w:shd w:val="clear" w:color="auto" w:fill="FFFFFF"/>
          <w:lang w:val="en-US" w:eastAsia="zh-CN"/>
        </w:rPr>
        <w:t>制造工程</w:t>
      </w:r>
      <w:r>
        <w:rPr>
          <w:rFonts w:hint="default" w:ascii="Segoe UI" w:hAnsi="Segoe UI" w:eastAsia="Segoe UI" w:cs="Segoe UI"/>
          <w:i w:val="0"/>
          <w:iCs w:val="0"/>
          <w:caps w:val="0"/>
          <w:color w:val="171A1D"/>
          <w:spacing w:val="0"/>
          <w:sz w:val="21"/>
          <w:szCs w:val="21"/>
          <w:shd w:val="clear" w:color="auto" w:fill="FFFFFF"/>
        </w:rPr>
        <w:t>部”，类别选择“</w:t>
      </w:r>
      <w:r>
        <w:rPr>
          <w:rFonts w:hint="eastAsia" w:ascii="Segoe UI" w:hAnsi="Segoe UI" w:eastAsia="宋体" w:cs="Segoe UI"/>
          <w:i w:val="0"/>
          <w:iCs w:val="0"/>
          <w:caps w:val="0"/>
          <w:color w:val="171A1D"/>
          <w:spacing w:val="0"/>
          <w:sz w:val="21"/>
          <w:szCs w:val="21"/>
          <w:shd w:val="clear" w:color="auto" w:fill="FFFFFF"/>
          <w:lang w:val="en-US" w:eastAsia="zh-CN"/>
        </w:rPr>
        <w:t>设备设施维保</w:t>
      </w:r>
      <w:r>
        <w:rPr>
          <w:rFonts w:hint="default" w:ascii="Segoe UI" w:hAnsi="Segoe UI" w:eastAsia="Segoe UI" w:cs="Segoe UI"/>
          <w:i w:val="0"/>
          <w:iCs w:val="0"/>
          <w:caps w:val="0"/>
          <w:color w:val="171A1D"/>
          <w:spacing w:val="0"/>
          <w:sz w:val="21"/>
          <w:szCs w:val="21"/>
          <w:shd w:val="clear" w:color="auto" w:fill="FFFFFF"/>
        </w:rPr>
        <w:t>”。请于报名截止时间前完成注册审批，未注册完成的不允许参加相关投标报名。</w:t>
      </w:r>
    </w:p>
    <w:p w14:paraId="565D72B0">
      <w:pPr>
        <w:pStyle w:val="10"/>
        <w:spacing w:line="360" w:lineRule="auto"/>
        <w:ind w:firstLine="405"/>
        <w:rPr>
          <w:rStyle w:val="26"/>
          <w:rFonts w:hint="eastAsia"/>
          <w:color w:val="auto"/>
          <w:lang w:val="en-US" w:eastAsia="zh-CN"/>
        </w:rPr>
      </w:pPr>
      <w:r>
        <w:rPr>
          <w:rStyle w:val="26"/>
          <w:rFonts w:hint="eastAsia"/>
          <w:color w:val="auto"/>
          <w:highlight w:val="none"/>
          <w:lang w:val="en-US" w:eastAsia="zh-CN"/>
        </w:rPr>
        <w:t>投标人在中国重汽e采通应标成功后查</w:t>
      </w:r>
      <w:r>
        <w:rPr>
          <w:rStyle w:val="26"/>
          <w:rFonts w:hint="eastAsia"/>
          <w:color w:val="auto"/>
          <w:lang w:val="en-US" w:eastAsia="zh-CN"/>
        </w:rPr>
        <w:t>看标书文件，不开通e采通开将无法进行招投标。投标人应自备电脑（笔记本）进行流程操作，注意应标、投标、开标、再次报价时间开始、截止节点，如错过时间节点将无法进行招投标流程节点的操作。进入商务标后按招标方要求在重汽e采通进行价格报价和逐轮报价，商务标中还需提供开标一览表（价格分解表）。</w:t>
      </w:r>
    </w:p>
    <w:p w14:paraId="3856C13C">
      <w:pPr>
        <w:spacing w:line="360" w:lineRule="auto"/>
        <w:rPr>
          <w:rFonts w:hint="default" w:ascii="黑体" w:hAnsi="Courier New" w:eastAsia="黑体" w:cs="Times New Roman"/>
          <w:b/>
          <w:bCs/>
          <w:sz w:val="28"/>
          <w:szCs w:val="20"/>
          <w:lang w:val="en-US" w:eastAsia="zh-CN"/>
        </w:rPr>
      </w:pPr>
      <w:r>
        <w:rPr>
          <w:rFonts w:hint="eastAsia" w:ascii="黑体" w:hAnsi="Courier New" w:eastAsia="黑体" w:cs="Times New Roman"/>
          <w:b/>
          <w:bCs/>
          <w:sz w:val="28"/>
          <w:szCs w:val="20"/>
        </w:rPr>
        <w:t>六、</w:t>
      </w:r>
      <w:r>
        <w:rPr>
          <w:rFonts w:hint="eastAsia" w:ascii="黑体" w:hAnsi="Courier New" w:eastAsia="黑体" w:cs="Times New Roman"/>
          <w:b/>
          <w:bCs/>
          <w:sz w:val="28"/>
          <w:szCs w:val="20"/>
          <w:lang w:val="en-US" w:eastAsia="zh-CN"/>
        </w:rPr>
        <w:t>报名方式</w:t>
      </w:r>
    </w:p>
    <w:p w14:paraId="151B8276">
      <w:pPr>
        <w:pStyle w:val="10"/>
        <w:spacing w:line="360" w:lineRule="auto"/>
        <w:ind w:firstLine="422" w:firstLineChars="200"/>
        <w:rPr>
          <w:b/>
        </w:rPr>
      </w:pPr>
      <w:r>
        <w:rPr>
          <w:rFonts w:hint="eastAsia"/>
          <w:b/>
        </w:rPr>
        <w:t>1.合格投标人：</w:t>
      </w:r>
    </w:p>
    <w:p w14:paraId="3F1895B1">
      <w:pPr>
        <w:pStyle w:val="10"/>
        <w:spacing w:line="360" w:lineRule="auto"/>
        <w:ind w:firstLine="420" w:firstLineChars="200"/>
        <w:rPr>
          <w:b/>
          <w:highlight w:val="none"/>
        </w:rPr>
      </w:pPr>
      <w:r>
        <w:rPr>
          <w:rFonts w:hint="eastAsia" w:hAnsi="宋体"/>
          <w:highlight w:val="none"/>
        </w:rPr>
        <w:t>⑴</w:t>
      </w:r>
      <w:r>
        <w:rPr>
          <w:rFonts w:hint="eastAsia"/>
          <w:highlight w:val="none"/>
        </w:rPr>
        <w:t>投标人须遵守《中华人民共和国招标投标法》、《中华人民共和国民法典》及其它有关的法律和法规；为中华人民共和国境内注册的独立法人机构，具有独立承担民事责任能力；</w:t>
      </w:r>
    </w:p>
    <w:p w14:paraId="37CCE53F">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b/>
          <w:bCs/>
          <w:highlight w:val="none"/>
        </w:rPr>
      </w:pPr>
      <w:r>
        <w:rPr>
          <w:rFonts w:hint="eastAsia" w:hAnsi="宋体"/>
          <w:b/>
          <w:bCs/>
          <w:color w:val="FF0000"/>
          <w:highlight w:val="none"/>
        </w:rPr>
        <w:t>*</w:t>
      </w:r>
      <w:r>
        <w:rPr>
          <w:rFonts w:hint="eastAsia" w:hAnsi="宋体"/>
          <w:b/>
          <w:bCs/>
          <w:highlight w:val="none"/>
        </w:rPr>
        <w:t>⑵</w:t>
      </w:r>
      <w:r>
        <w:rPr>
          <w:rFonts w:hint="eastAsia"/>
          <w:b/>
          <w:bCs/>
          <w:highlight w:val="none"/>
        </w:rPr>
        <w:t>公司成立三年以上（以营业执照成立日期到开标当日满三年为准）；注册资金不少</w:t>
      </w:r>
      <w:r>
        <w:rPr>
          <w:rFonts w:hint="eastAsia"/>
          <w:b/>
          <w:bCs/>
          <w:color w:val="000000" w:themeColor="text1"/>
          <w:highlight w:val="none"/>
          <w14:textFill>
            <w14:solidFill>
              <w14:schemeClr w14:val="tx1"/>
            </w14:solidFill>
          </w14:textFill>
        </w:rPr>
        <w:t>于</w:t>
      </w:r>
      <w:r>
        <w:rPr>
          <w:rFonts w:hint="eastAsia"/>
          <w:b/>
          <w:bCs/>
          <w:color w:val="000000" w:themeColor="text1"/>
          <w:highlight w:val="none"/>
          <w:lang w:val="en-US" w:eastAsia="zh-CN"/>
          <w14:textFill>
            <w14:solidFill>
              <w14:schemeClr w14:val="tx1"/>
            </w14:solidFill>
          </w14:textFill>
        </w:rPr>
        <w:t>5</w:t>
      </w:r>
      <w:r>
        <w:rPr>
          <w:rFonts w:hint="eastAsia"/>
          <w:b/>
          <w:bCs/>
          <w:color w:val="000000" w:themeColor="text1"/>
          <w:highlight w:val="none"/>
          <w14:textFill>
            <w14:solidFill>
              <w14:schemeClr w14:val="tx1"/>
            </w14:solidFill>
          </w14:textFill>
        </w:rPr>
        <w:t>00万</w:t>
      </w:r>
      <w:r>
        <w:rPr>
          <w:rFonts w:hint="eastAsia"/>
          <w:b/>
          <w:bCs/>
          <w:highlight w:val="none"/>
        </w:rPr>
        <w:t>元</w:t>
      </w:r>
      <w:r>
        <w:rPr>
          <w:rFonts w:hint="eastAsia" w:hAnsi="宋体"/>
          <w:b/>
          <w:bCs/>
          <w:sz w:val="24"/>
          <w:highlight w:val="none"/>
        </w:rPr>
        <w:t>；</w:t>
      </w:r>
      <w:r>
        <w:rPr>
          <w:rFonts w:hint="eastAsia"/>
          <w:b/>
          <w:bCs/>
          <w:highlight w:val="none"/>
        </w:rPr>
        <w:t>经营范围满足招标项目需求；</w:t>
      </w:r>
      <w:r>
        <w:rPr>
          <w:rFonts w:hint="eastAsia"/>
          <w:b/>
          <w:bCs/>
          <w:lang w:val="en-US" w:eastAsia="zh-CN"/>
        </w:rPr>
        <w:t>有</w:t>
      </w:r>
      <w:r>
        <w:rPr>
          <w:rFonts w:hint="eastAsia"/>
          <w:b/>
          <w:bCs/>
          <w:color w:val="000000" w:themeColor="text1"/>
          <w:lang w:val="en-US" w:eastAsia="zh-CN"/>
          <w14:textFill>
            <w14:solidFill>
              <w14:schemeClr w14:val="tx1"/>
            </w14:solidFill>
          </w14:textFill>
        </w:rPr>
        <w:t>ISO质量体系认证，范围含油品净化服务</w:t>
      </w:r>
      <w:r>
        <w:rPr>
          <w:rFonts w:hint="eastAsia"/>
          <w:b/>
          <w:bCs/>
          <w:color w:val="000000" w:themeColor="text1"/>
          <w14:textFill>
            <w14:solidFill>
              <w14:schemeClr w14:val="tx1"/>
            </w14:solidFill>
          </w14:textFill>
        </w:rPr>
        <w:t>。</w:t>
      </w:r>
    </w:p>
    <w:p w14:paraId="51594DFE">
      <w:pPr>
        <w:pStyle w:val="10"/>
        <w:spacing w:line="360" w:lineRule="auto"/>
        <w:ind w:firstLine="282" w:firstLineChars="134"/>
        <w:rPr>
          <w:b/>
          <w:bCs/>
          <w:highlight w:val="none"/>
        </w:rPr>
      </w:pPr>
      <w:r>
        <w:rPr>
          <w:rFonts w:hint="eastAsia" w:hAnsi="宋体"/>
          <w:b/>
          <w:bCs/>
          <w:color w:val="FF0000"/>
          <w:highlight w:val="none"/>
        </w:rPr>
        <w:t>*</w:t>
      </w:r>
      <w:r>
        <w:rPr>
          <w:rFonts w:hint="eastAsia"/>
          <w:b/>
          <w:bCs/>
          <w:highlight w:val="none"/>
        </w:rPr>
        <w:t>⑶投标人须提供具有统一社会信用代码的新版营业执照副本原件及（或）复印件（加盖公章）；</w:t>
      </w:r>
    </w:p>
    <w:p w14:paraId="0F76DEED">
      <w:pPr>
        <w:pStyle w:val="10"/>
        <w:spacing w:line="360" w:lineRule="auto"/>
        <w:ind w:firstLine="420" w:firstLineChars="200"/>
        <w:rPr>
          <w:b/>
          <w:color w:val="auto"/>
          <w:highlight w:val="none"/>
        </w:rPr>
      </w:pPr>
      <w:r>
        <w:rPr>
          <w:rFonts w:hint="eastAsia" w:hAnsi="宋体"/>
        </w:rPr>
        <w:t>⑷</w:t>
      </w:r>
      <w:r>
        <w:rPr>
          <w:rFonts w:hint="eastAsia"/>
          <w:highlight w:val="none"/>
        </w:rPr>
        <w:t>具有良好的商业信誉，在国家企业信用信息公示系统中无</w:t>
      </w:r>
      <w:r>
        <w:rPr>
          <w:rFonts w:hint="eastAsia"/>
          <w:highlight w:val="none"/>
          <w:lang w:val="en-US" w:eastAsia="zh-CN"/>
        </w:rPr>
        <w:t>与项目有关的</w:t>
      </w:r>
      <w:r>
        <w:rPr>
          <w:rFonts w:hint="eastAsia"/>
          <w:highlight w:val="none"/>
        </w:rPr>
        <w:t>行政处罚、列入经营异常名录和列入严重违法失信企业名单（黑名单）信息</w:t>
      </w:r>
      <w:r>
        <w:rPr>
          <w:rFonts w:hint="eastAsia"/>
          <w:color w:val="auto"/>
          <w:highlight w:val="none"/>
        </w:rPr>
        <w:t>但上述信息已被移除的可参与投标；</w:t>
      </w:r>
    </w:p>
    <w:p w14:paraId="3C2D7404">
      <w:pPr>
        <w:pStyle w:val="10"/>
        <w:spacing w:line="360" w:lineRule="auto"/>
        <w:ind w:firstLine="420" w:firstLineChars="200"/>
        <w:rPr>
          <w:color w:val="auto"/>
          <w:highlight w:val="none"/>
        </w:rPr>
      </w:pPr>
      <w:r>
        <w:rPr>
          <w:rFonts w:hint="eastAsia" w:hAnsi="宋体"/>
          <w:color w:val="auto"/>
          <w:highlight w:val="none"/>
        </w:rPr>
        <w:t>⑸</w:t>
      </w:r>
      <w:r>
        <w:rPr>
          <w:rFonts w:hint="eastAsia"/>
          <w:highlight w:val="none"/>
        </w:rPr>
        <w:t>投标人近三年内在经营活动中无与本项目有关的违法及重大违规情况；</w:t>
      </w:r>
    </w:p>
    <w:p w14:paraId="45E1498C">
      <w:pPr>
        <w:pStyle w:val="10"/>
        <w:spacing w:line="360" w:lineRule="auto"/>
        <w:ind w:firstLine="420" w:firstLineChars="200"/>
      </w:pPr>
      <w:r>
        <w:rPr>
          <w:rFonts w:hint="eastAsia" w:hAnsi="宋体"/>
        </w:rPr>
        <w:t>⑹</w:t>
      </w:r>
      <w:r>
        <w:rPr>
          <w:rFonts w:hint="eastAsia"/>
        </w:rPr>
        <w:t>具有健全的财务会计制度，财务状况和市场行为良好。没有处于被有权机关吊销营业执照、吊销资质、停业整顿、取消投标资格以及财产被接管、冻结或进入破产程序等</w:t>
      </w:r>
      <w:r>
        <w:rPr>
          <w:rFonts w:hint="eastAsia"/>
          <w:color w:val="FF0000"/>
        </w:rPr>
        <w:t>；</w:t>
      </w:r>
    </w:p>
    <w:p w14:paraId="760456EE">
      <w:pPr>
        <w:pStyle w:val="10"/>
        <w:spacing w:line="360" w:lineRule="auto"/>
        <w:ind w:firstLine="420" w:firstLineChars="200"/>
        <w:rPr>
          <w:color w:val="auto"/>
        </w:rPr>
      </w:pPr>
      <w:r>
        <w:rPr>
          <w:rFonts w:hint="eastAsia" w:hAnsi="宋体"/>
        </w:rPr>
        <w:t>⑺</w:t>
      </w:r>
      <w:r>
        <w:rPr>
          <w:rFonts w:hint="eastAsia"/>
        </w:rPr>
        <w:t>投标人没有被列入招标人处《黑名单》（《黑名单</w:t>
      </w:r>
      <w:r>
        <w:rPr>
          <w:rFonts w:hint="eastAsia"/>
          <w:color w:val="auto"/>
        </w:rPr>
        <w:t>》指投标人</w:t>
      </w:r>
      <w:r>
        <w:rPr>
          <w:color w:val="auto"/>
        </w:rPr>
        <w:t>与招标人在以往</w:t>
      </w:r>
      <w:r>
        <w:rPr>
          <w:rFonts w:hint="eastAsia"/>
          <w:color w:val="auto"/>
        </w:rPr>
        <w:t>或</w:t>
      </w:r>
      <w:r>
        <w:rPr>
          <w:color w:val="auto"/>
        </w:rPr>
        <w:t>正在</w:t>
      </w:r>
      <w:r>
        <w:rPr>
          <w:rFonts w:hint="eastAsia"/>
          <w:color w:val="auto"/>
        </w:rPr>
        <w:t>进行</w:t>
      </w:r>
      <w:r>
        <w:rPr>
          <w:color w:val="auto"/>
        </w:rPr>
        <w:t>的合作中</w:t>
      </w:r>
      <w:r>
        <w:rPr>
          <w:rFonts w:hint="eastAsia"/>
          <w:color w:val="auto"/>
        </w:rPr>
        <w:t>，</w:t>
      </w:r>
      <w:r>
        <w:rPr>
          <w:color w:val="auto"/>
        </w:rPr>
        <w:t>存在</w:t>
      </w:r>
      <w:r>
        <w:rPr>
          <w:rFonts w:hint="eastAsia"/>
          <w:color w:val="auto"/>
        </w:rPr>
        <w:t>招标人</w:t>
      </w:r>
      <w:r>
        <w:rPr>
          <w:color w:val="auto"/>
        </w:rPr>
        <w:t>认为的</w:t>
      </w:r>
      <w:r>
        <w:rPr>
          <w:rFonts w:hint="eastAsia"/>
          <w:color w:val="auto"/>
        </w:rPr>
        <w:t>违反合同</w:t>
      </w:r>
      <w:r>
        <w:rPr>
          <w:color w:val="auto"/>
        </w:rPr>
        <w:t>约定或</w:t>
      </w:r>
      <w:r>
        <w:rPr>
          <w:rFonts w:hint="eastAsia"/>
          <w:color w:val="auto"/>
        </w:rPr>
        <w:t>违反法律法规</w:t>
      </w:r>
      <w:r>
        <w:rPr>
          <w:color w:val="auto"/>
        </w:rPr>
        <w:t>等的</w:t>
      </w:r>
      <w:r>
        <w:rPr>
          <w:rFonts w:hint="eastAsia"/>
          <w:color w:val="auto"/>
        </w:rPr>
        <w:t>失信行为）的；</w:t>
      </w:r>
    </w:p>
    <w:p w14:paraId="0CF68CCC">
      <w:pPr>
        <w:autoSpaceDE w:val="0"/>
        <w:autoSpaceDN w:val="0"/>
        <w:adjustRightInd w:val="0"/>
        <w:spacing w:line="360" w:lineRule="auto"/>
        <w:ind w:firstLine="422" w:firstLineChars="200"/>
        <w:jc w:val="left"/>
        <w:rPr>
          <w:rFonts w:hint="eastAsia" w:ascii="宋体" w:hAnsi="Courier New"/>
          <w:b/>
          <w:bCs/>
          <w:highlight w:val="none"/>
        </w:rPr>
      </w:pPr>
      <w:r>
        <w:rPr>
          <w:rFonts w:hint="eastAsia" w:ascii="宋体" w:hAnsi="Courier New"/>
          <w:b/>
          <w:bCs/>
          <w:color w:val="FF0000"/>
          <w:highlight w:val="none"/>
        </w:rPr>
        <w:t>*</w:t>
      </w:r>
      <w:r>
        <w:rPr>
          <w:rFonts w:hint="eastAsia" w:ascii="宋体" w:hAnsi="Courier New"/>
          <w:b/>
          <w:bCs/>
        </w:rPr>
        <w:t>⑻</w:t>
      </w:r>
      <w:r>
        <w:rPr>
          <w:rFonts w:hint="eastAsia" w:ascii="宋体" w:hAnsi="Courier New"/>
          <w:b/>
          <w:bCs/>
          <w:highlight w:val="none"/>
          <w:lang w:val="en-US" w:eastAsia="zh-CN"/>
        </w:rPr>
        <w:t>①经会计师事务所审计且出具无保留意见的近三年（2023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r>
        <w:rPr>
          <w:rFonts w:hint="eastAsia" w:ascii="宋体" w:hAnsi="Courier New"/>
          <w:b/>
          <w:bCs/>
          <w:highlight w:val="none"/>
        </w:rPr>
        <w:t>。</w:t>
      </w:r>
    </w:p>
    <w:p w14:paraId="495848D1">
      <w:pPr>
        <w:spacing w:line="360" w:lineRule="auto"/>
        <w:ind w:firstLine="282" w:firstLineChars="134"/>
        <w:rPr>
          <w:rFonts w:ascii="宋体" w:hAnsi="Courier New"/>
          <w:b/>
          <w:bCs/>
          <w:highlight w:val="none"/>
        </w:rPr>
      </w:pPr>
      <w:r>
        <w:rPr>
          <w:rFonts w:hint="eastAsia" w:hAnsi="宋体"/>
          <w:b/>
          <w:bCs/>
          <w:color w:val="FF0000"/>
          <w:highlight w:val="none"/>
        </w:rPr>
        <w:t>*</w:t>
      </w:r>
      <w:r>
        <w:rPr>
          <w:rFonts w:hint="eastAsia" w:ascii="宋体" w:hAnsi="宋体"/>
          <w:b/>
          <w:bCs/>
          <w:highlight w:val="none"/>
        </w:rPr>
        <w:t>⑼</w:t>
      </w:r>
      <w:r>
        <w:rPr>
          <w:rFonts w:hint="eastAsia" w:ascii="宋体" w:hAnsi="Courier New"/>
          <w:b/>
          <w:bCs/>
          <w:highlight w:val="none"/>
        </w:rPr>
        <w:t>投标人须提供法人授权委托书原件（在投标文件副本中可用复印件）及投标单位的法定代表人或授权代表的身份证原件及复印件（加盖公章）；</w:t>
      </w:r>
    </w:p>
    <w:p w14:paraId="337C7686">
      <w:pPr>
        <w:pStyle w:val="10"/>
        <w:spacing w:line="360" w:lineRule="auto"/>
        <w:ind w:firstLine="420" w:firstLineChars="200"/>
      </w:pPr>
      <w:r>
        <w:rPr>
          <w:rFonts w:hint="eastAsia" w:hAnsi="宋体"/>
        </w:rPr>
        <w:t>⑽</w:t>
      </w:r>
      <w:r>
        <w:rPr>
          <w:rFonts w:hint="eastAsia"/>
        </w:rPr>
        <w:t>投标人须具有履行合同所必须的设备、财务、技术、服务等方面的资质和能力；</w:t>
      </w:r>
    </w:p>
    <w:p w14:paraId="64B17ED9">
      <w:pPr>
        <w:pStyle w:val="10"/>
        <w:spacing w:line="360" w:lineRule="auto"/>
        <w:ind w:firstLine="420" w:firstLineChars="200"/>
      </w:pPr>
      <w:r>
        <w:rPr>
          <w:rFonts w:hint="eastAsia" w:hAnsi="宋体"/>
        </w:rPr>
        <w:t>⑾</w:t>
      </w:r>
      <w:r>
        <w:rPr>
          <w:rFonts w:hint="eastAsia"/>
        </w:rPr>
        <w:t>投标人须具有完全履行招标文件的所有要求的能力；</w:t>
      </w:r>
    </w:p>
    <w:p w14:paraId="43843A16">
      <w:pPr>
        <w:pStyle w:val="10"/>
        <w:spacing w:line="360" w:lineRule="auto"/>
        <w:ind w:firstLine="420" w:firstLineChars="200"/>
      </w:pPr>
      <w:r>
        <w:rPr>
          <w:rFonts w:hint="eastAsia" w:hAnsi="宋体"/>
        </w:rPr>
        <w:t>⑿</w:t>
      </w:r>
      <w:r>
        <w:rPr>
          <w:rFonts w:hint="eastAsia"/>
        </w:rPr>
        <w:t>投标人须负责提供合理的便于运输的包装物，并承担相关费用；</w:t>
      </w:r>
    </w:p>
    <w:p w14:paraId="2DB3A848">
      <w:pPr>
        <w:pStyle w:val="10"/>
        <w:spacing w:line="360" w:lineRule="auto"/>
        <w:ind w:firstLine="420" w:firstLineChars="200"/>
      </w:pPr>
      <w:r>
        <w:rPr>
          <w:rFonts w:hint="eastAsia" w:hAnsi="宋体"/>
        </w:rPr>
        <w:t>⒀</w:t>
      </w:r>
      <w:r>
        <w:rPr>
          <w:rFonts w:hint="eastAsia"/>
        </w:rPr>
        <w:t>投标人须认可招标人的工作指令，包括节、假日能正常开展工作的要求；</w:t>
      </w:r>
    </w:p>
    <w:p w14:paraId="2C3FA07F">
      <w:pPr>
        <w:pStyle w:val="10"/>
        <w:spacing w:line="360" w:lineRule="auto"/>
        <w:ind w:firstLine="420" w:firstLineChars="200"/>
      </w:pPr>
      <w:r>
        <w:rPr>
          <w:rFonts w:hint="eastAsia" w:hAnsi="宋体"/>
        </w:rPr>
        <w:t>⒁</w:t>
      </w:r>
      <w:r>
        <w:rPr>
          <w:rFonts w:hint="eastAsia"/>
        </w:rPr>
        <w:t>投标人须认可招标人终止合同后3个月退还履约保证金的招标要求；</w:t>
      </w:r>
    </w:p>
    <w:p w14:paraId="793F8A56">
      <w:pPr>
        <w:pStyle w:val="10"/>
        <w:spacing w:line="360" w:lineRule="auto"/>
        <w:ind w:firstLine="422" w:firstLineChars="200"/>
        <w:rPr>
          <w:b/>
          <w:bCs/>
          <w:highlight w:val="none"/>
        </w:rPr>
      </w:pPr>
      <w:r>
        <w:rPr>
          <w:rFonts w:hint="eastAsia" w:hAnsi="宋体"/>
          <w:b/>
          <w:bCs/>
          <w:color w:val="FF0000"/>
          <w:highlight w:val="none"/>
        </w:rPr>
        <w:t>*</w:t>
      </w:r>
      <w:r>
        <w:rPr>
          <w:rFonts w:hint="eastAsia" w:hAnsi="宋体"/>
          <w:b/>
          <w:bCs/>
          <w:highlight w:val="none"/>
        </w:rPr>
        <w:t>⒂</w:t>
      </w:r>
      <w:r>
        <w:rPr>
          <w:rFonts w:hint="eastAsia"/>
          <w:b/>
          <w:bCs/>
          <w:highlight w:val="none"/>
        </w:rPr>
        <w:t>投标人必须是最终投标、签订合同的单位，不得以任何理由将已中标项目以任何形式转包给其他单位；</w:t>
      </w:r>
    </w:p>
    <w:p w14:paraId="1B690030">
      <w:pPr>
        <w:pStyle w:val="10"/>
        <w:spacing w:line="360" w:lineRule="auto"/>
        <w:ind w:firstLine="422" w:firstLineChars="200"/>
        <w:rPr>
          <w:b/>
          <w:bCs/>
          <w:highlight w:val="none"/>
        </w:rPr>
      </w:pPr>
      <w:r>
        <w:rPr>
          <w:rFonts w:hint="eastAsia" w:hAnsi="宋体"/>
          <w:b/>
          <w:bCs/>
          <w:color w:val="FF0000"/>
          <w:highlight w:val="none"/>
        </w:rPr>
        <w:t>*</w:t>
      </w:r>
      <w:r>
        <w:rPr>
          <w:rFonts w:hint="eastAsia" w:hAnsi="宋体"/>
          <w:b/>
          <w:bCs/>
          <w:highlight w:val="none"/>
        </w:rPr>
        <w:t>⒃</w:t>
      </w:r>
      <w:r>
        <w:rPr>
          <w:rFonts w:hint="eastAsia"/>
          <w:b/>
          <w:bCs/>
          <w:highlight w:val="none"/>
        </w:rPr>
        <w:t>本次招标项目不接受联合体投标；</w:t>
      </w:r>
    </w:p>
    <w:p w14:paraId="2070C788">
      <w:pPr>
        <w:spacing w:line="360" w:lineRule="auto"/>
        <w:ind w:firstLine="422" w:firstLineChars="200"/>
      </w:pPr>
      <w:r>
        <w:rPr>
          <w:rFonts w:hint="eastAsia" w:hAnsi="宋体"/>
          <w:b/>
          <w:bCs/>
          <w:color w:val="FF0000"/>
          <w:highlight w:val="none"/>
        </w:rPr>
        <w:t>*</w:t>
      </w:r>
      <w:r>
        <w:rPr>
          <w:rFonts w:hint="eastAsia" w:ascii="宋体" w:hAnsi="宋体"/>
          <w:b/>
          <w:bCs/>
          <w:highlight w:val="none"/>
        </w:rPr>
        <w:t>⒄投标人在向招标人出示《投标保证金缴纳凭证》后方可进行投标；</w:t>
      </w:r>
    </w:p>
    <w:p w14:paraId="12B82483">
      <w:pPr>
        <w:pStyle w:val="10"/>
        <w:spacing w:line="360" w:lineRule="auto"/>
        <w:ind w:firstLine="420" w:firstLineChars="200"/>
        <w:rPr>
          <w:rFonts w:hint="eastAsia"/>
        </w:rPr>
      </w:pPr>
      <w:r>
        <w:rPr>
          <w:rFonts w:hint="eastAsia"/>
          <w:lang w:eastAsia="zh-CN"/>
        </w:rPr>
        <w:t>（</w:t>
      </w:r>
      <w:r>
        <w:rPr>
          <w:rFonts w:hint="eastAsia"/>
          <w:lang w:val="en-US" w:eastAsia="zh-CN"/>
        </w:rPr>
        <w:t>18</w:t>
      </w:r>
      <w:r>
        <w:rPr>
          <w:rFonts w:hint="eastAsia"/>
          <w:lang w:eastAsia="zh-CN"/>
        </w:rPr>
        <w:t>）</w:t>
      </w:r>
      <w:r>
        <w:rPr>
          <w:rFonts w:hint="eastAsia"/>
        </w:rPr>
        <w:t>如为代理商投标，需获得生产厂家正式授权原件并具备售后服务承诺原件。</w:t>
      </w:r>
    </w:p>
    <w:p w14:paraId="38386A0C">
      <w:pPr>
        <w:pStyle w:val="10"/>
        <w:spacing w:line="360" w:lineRule="auto"/>
        <w:ind w:firstLine="420" w:firstLineChars="200"/>
        <w:rPr>
          <w:rFonts w:hint="eastAsia"/>
        </w:rPr>
      </w:pPr>
      <w:r>
        <w:rPr>
          <w:rFonts w:hint="eastAsia"/>
          <w:lang w:eastAsia="zh-CN"/>
        </w:rPr>
        <w:t>（</w:t>
      </w:r>
      <w:r>
        <w:rPr>
          <w:rFonts w:hint="eastAsia"/>
          <w:lang w:val="en-US" w:eastAsia="zh-CN"/>
        </w:rPr>
        <w:t>19</w:t>
      </w:r>
      <w:r>
        <w:rPr>
          <w:rFonts w:hint="eastAsia"/>
          <w:lang w:eastAsia="zh-CN"/>
        </w:rPr>
        <w:t>）</w:t>
      </w:r>
      <w:r>
        <w:rPr>
          <w:rFonts w:hint="eastAsia"/>
        </w:rPr>
        <w:t>投标人的直接或间接股东、法定代表人、董事、监事、高管非重汽员工及其亲属。</w:t>
      </w:r>
    </w:p>
    <w:p w14:paraId="2DB68463">
      <w:pPr>
        <w:pStyle w:val="10"/>
        <w:spacing w:line="360" w:lineRule="auto"/>
        <w:ind w:firstLine="422" w:firstLineChars="200"/>
        <w:rPr>
          <w:b/>
          <w:color w:val="auto"/>
        </w:rPr>
      </w:pPr>
      <w:r>
        <w:rPr>
          <w:rFonts w:hint="eastAsia"/>
          <w:b/>
          <w:bCs/>
          <w:color w:val="auto"/>
        </w:rPr>
        <w:t>注：上述带“</w:t>
      </w:r>
      <w:r>
        <w:rPr>
          <w:rFonts w:hint="eastAsia" w:hAnsi="宋体"/>
          <w:b/>
          <w:bCs/>
          <w:color w:val="auto"/>
        </w:rPr>
        <w:t>*</w:t>
      </w:r>
      <w:r>
        <w:rPr>
          <w:rFonts w:hint="eastAsia"/>
          <w:b/>
          <w:bCs/>
          <w:color w:val="auto"/>
        </w:rPr>
        <w:t>”项为必备的资格文件，在开标前核验（由投标人单独提供），缺一项按废标处理，其余文件开标后核验。</w:t>
      </w:r>
      <w:r>
        <w:rPr>
          <w:rFonts w:hint="eastAsia"/>
          <w:b/>
          <w:color w:val="auto"/>
        </w:rPr>
        <w:t>逾期的投标文件招标人不予受理。</w:t>
      </w:r>
    </w:p>
    <w:p w14:paraId="09F5899E">
      <w:pPr>
        <w:spacing w:line="360" w:lineRule="auto"/>
        <w:ind w:firstLine="422" w:firstLineChars="200"/>
        <w:rPr>
          <w:rFonts w:ascii="宋体" w:hAnsi="Courier New" w:eastAsia="宋体" w:cs="Times New Roman"/>
          <w:b/>
          <w:szCs w:val="20"/>
        </w:rPr>
      </w:pPr>
      <w:r>
        <w:rPr>
          <w:rFonts w:hint="eastAsia" w:ascii="宋体" w:hAnsi="Courier New" w:eastAsia="宋体" w:cs="Times New Roman"/>
          <w:b/>
          <w:szCs w:val="20"/>
        </w:rPr>
        <w:t>2.投标文件格式组成</w:t>
      </w:r>
    </w:p>
    <w:p w14:paraId="4390E3CC">
      <w:pPr>
        <w:spacing w:line="360" w:lineRule="auto"/>
        <w:ind w:firstLine="422" w:firstLineChars="200"/>
        <w:rPr>
          <w:rFonts w:ascii="宋体" w:hAnsi="Courier New" w:eastAsia="宋体" w:cs="Times New Roman"/>
          <w:b/>
          <w:szCs w:val="20"/>
        </w:rPr>
      </w:pPr>
      <w:r>
        <w:rPr>
          <w:rFonts w:hint="eastAsia" w:ascii="宋体" w:hAnsi="Courier New" w:eastAsia="宋体" w:cs="Times New Roman"/>
          <w:b/>
          <w:szCs w:val="20"/>
        </w:rPr>
        <w:t>2.1资质文件：</w:t>
      </w:r>
    </w:p>
    <w:p w14:paraId="15C1FA9E">
      <w:pPr>
        <w:pStyle w:val="10"/>
        <w:spacing w:line="360" w:lineRule="auto"/>
        <w:ind w:firstLine="420" w:firstLineChars="200"/>
        <w:rPr>
          <w:b w:val="0"/>
          <w:bCs/>
          <w:highlight w:val="none"/>
        </w:rPr>
      </w:pPr>
      <w:r>
        <w:rPr>
          <w:rFonts w:hint="eastAsia"/>
          <w:b w:val="0"/>
          <w:bCs/>
          <w:highlight w:val="none"/>
        </w:rPr>
        <w:t>2.1.1</w:t>
      </w:r>
      <w:r>
        <w:rPr>
          <w:rFonts w:hint="eastAsia"/>
          <w:b w:val="0"/>
          <w:bCs/>
          <w:highlight w:val="none"/>
          <w:lang w:val="en-US" w:eastAsia="zh-CN"/>
        </w:rPr>
        <w:t xml:space="preserve"> </w:t>
      </w:r>
      <w:r>
        <w:rPr>
          <w:rFonts w:hint="eastAsia"/>
          <w:b w:val="0"/>
          <w:bCs/>
          <w:highlight w:val="none"/>
        </w:rPr>
        <w:t>法定代表人身份证明</w:t>
      </w:r>
    </w:p>
    <w:p w14:paraId="54CB7CEE">
      <w:pPr>
        <w:pStyle w:val="10"/>
        <w:spacing w:line="360" w:lineRule="auto"/>
        <w:ind w:firstLine="420" w:firstLineChars="200"/>
        <w:rPr>
          <w:b w:val="0"/>
          <w:bCs/>
          <w:highlight w:val="none"/>
        </w:rPr>
      </w:pPr>
      <w:r>
        <w:rPr>
          <w:rFonts w:hint="eastAsia"/>
          <w:b w:val="0"/>
          <w:bCs/>
          <w:highlight w:val="none"/>
        </w:rPr>
        <w:t>2.1.2</w:t>
      </w:r>
      <w:r>
        <w:rPr>
          <w:rFonts w:hint="eastAsia"/>
          <w:b w:val="0"/>
          <w:bCs/>
          <w:highlight w:val="none"/>
          <w:lang w:val="en-US" w:eastAsia="zh-CN"/>
        </w:rPr>
        <w:t xml:space="preserve"> </w:t>
      </w:r>
      <w:r>
        <w:rPr>
          <w:rFonts w:hint="eastAsia"/>
          <w:b w:val="0"/>
          <w:bCs/>
          <w:highlight w:val="none"/>
        </w:rPr>
        <w:t>法人授权委托书及身份证复印件；</w:t>
      </w:r>
    </w:p>
    <w:p w14:paraId="62AD9114">
      <w:pPr>
        <w:pStyle w:val="10"/>
        <w:spacing w:line="360" w:lineRule="auto"/>
        <w:ind w:firstLine="420" w:firstLineChars="200"/>
        <w:rPr>
          <w:rFonts w:hint="eastAsia"/>
          <w:b w:val="0"/>
          <w:bCs/>
          <w:highlight w:val="none"/>
        </w:rPr>
      </w:pPr>
      <w:r>
        <w:rPr>
          <w:rFonts w:hint="eastAsia"/>
          <w:b w:val="0"/>
          <w:bCs/>
          <w:highlight w:val="none"/>
        </w:rPr>
        <w:t>2.1.3</w:t>
      </w:r>
      <w:r>
        <w:rPr>
          <w:rFonts w:hint="eastAsia"/>
          <w:b w:val="0"/>
          <w:bCs/>
          <w:highlight w:val="none"/>
          <w:lang w:val="en-US" w:eastAsia="zh-CN"/>
        </w:rPr>
        <w:t xml:space="preserve"> </w:t>
      </w:r>
      <w:r>
        <w:rPr>
          <w:rFonts w:hint="eastAsia"/>
          <w:b w:val="0"/>
          <w:bCs/>
          <w:highlight w:val="none"/>
        </w:rPr>
        <w:t>营业执照副本复印件；</w:t>
      </w:r>
    </w:p>
    <w:p w14:paraId="5D09982F">
      <w:pPr>
        <w:pStyle w:val="10"/>
        <w:spacing w:line="360" w:lineRule="auto"/>
        <w:ind w:firstLine="420" w:firstLineChars="200"/>
        <w:rPr>
          <w:rFonts w:hint="default" w:eastAsia="宋体"/>
          <w:b w:val="0"/>
          <w:bCs/>
          <w:highlight w:val="none"/>
          <w:lang w:val="en-US" w:eastAsia="zh-CN"/>
        </w:rPr>
      </w:pPr>
      <w:r>
        <w:rPr>
          <w:rFonts w:hint="eastAsia"/>
          <w:b w:val="0"/>
          <w:bCs/>
          <w:highlight w:val="none"/>
          <w:lang w:val="en-US" w:eastAsia="zh-CN"/>
        </w:rPr>
        <w:t xml:space="preserve">2.1.4 </w:t>
      </w:r>
      <w:r>
        <w:rPr>
          <w:rFonts w:hint="eastAsia"/>
          <w:bCs/>
        </w:rPr>
        <w:t>《投标保证金缴纳凭证》；</w:t>
      </w:r>
    </w:p>
    <w:p w14:paraId="5555DA49">
      <w:pPr>
        <w:pStyle w:val="10"/>
        <w:spacing w:line="360" w:lineRule="auto"/>
        <w:ind w:firstLine="420" w:firstLineChars="200"/>
        <w:rPr>
          <w:b w:val="0"/>
          <w:bCs/>
          <w:highlight w:val="none"/>
        </w:rPr>
      </w:pPr>
      <w:r>
        <w:rPr>
          <w:rFonts w:hint="eastAsia" w:ascii="宋体" w:hAnsi="Courier New" w:eastAsia="宋体" w:cs="Times New Roman"/>
          <w:szCs w:val="20"/>
        </w:rPr>
        <w:t xml:space="preserve">2.1.5  </w:t>
      </w:r>
      <w:r>
        <w:rPr>
          <w:rFonts w:hint="eastAsia"/>
          <w:b w:val="0"/>
          <w:bCs/>
          <w:highlight w:val="none"/>
        </w:rPr>
        <w:t>证明投标人满足投标资料表中列出的业绩要求的文件：近三年类似项目业绩及合同复印件（加盖公章，须有客户联系方式及联系人以供招标人核实确认）。</w:t>
      </w:r>
    </w:p>
    <w:p w14:paraId="53EE0E52">
      <w:pPr>
        <w:pStyle w:val="10"/>
        <w:spacing w:line="360" w:lineRule="auto"/>
        <w:ind w:firstLine="420" w:firstLineChars="200"/>
        <w:rPr>
          <w:b w:val="0"/>
          <w:bCs/>
          <w:highlight w:val="none"/>
        </w:rPr>
      </w:pPr>
      <w:r>
        <w:rPr>
          <w:rFonts w:hint="eastAsia"/>
          <w:b w:val="0"/>
          <w:bCs/>
          <w:highlight w:val="none"/>
        </w:rPr>
        <w:t>2.1.</w:t>
      </w:r>
      <w:r>
        <w:rPr>
          <w:rFonts w:hint="eastAsia"/>
          <w:b w:val="0"/>
          <w:bCs/>
          <w:highlight w:val="none"/>
          <w:lang w:val="en-US" w:eastAsia="zh-CN"/>
        </w:rPr>
        <w:t xml:space="preserve">6 </w:t>
      </w:r>
      <w:r>
        <w:rPr>
          <w:rFonts w:hint="eastAsia"/>
          <w:bCs/>
        </w:rPr>
        <w:t>近</w:t>
      </w:r>
      <w:r>
        <w:rPr>
          <w:rFonts w:hint="eastAsia" w:ascii="宋体" w:hAnsi="Courier New" w:eastAsia="宋体" w:cs="Times New Roman"/>
          <w:bCs/>
        </w:rPr>
        <w:t>三年财务报表；</w:t>
      </w:r>
      <w:r>
        <w:rPr>
          <w:rFonts w:hint="eastAsia" w:ascii="宋体" w:hAnsi="Courier New" w:eastAsia="宋体" w:cs="Times New Roman"/>
          <w:bCs/>
          <w:lang w:val="en-US" w:eastAsia="zh-CN"/>
        </w:rPr>
        <w:t>企业最近半年完税证明、信用证明材料（中国人民银行信用代码证+征信报告）；年度纳税信用评价信息（可从电子税务局查询截图，需加盖公章）；企业对外担保说明（写明贵单位对外有无对外担保和质押业务，需加盖公章）</w:t>
      </w:r>
      <w:r>
        <w:rPr>
          <w:rFonts w:hint="eastAsia"/>
          <w:b w:val="0"/>
          <w:bCs/>
          <w:highlight w:val="none"/>
        </w:rPr>
        <w:t>；</w:t>
      </w:r>
    </w:p>
    <w:p w14:paraId="08DAD22E">
      <w:pPr>
        <w:pStyle w:val="10"/>
        <w:spacing w:line="360" w:lineRule="auto"/>
        <w:ind w:firstLine="420" w:firstLineChars="200"/>
        <w:rPr>
          <w:rFonts w:hint="eastAsia"/>
          <w:b w:val="0"/>
          <w:bCs/>
          <w:highlight w:val="none"/>
        </w:rPr>
      </w:pPr>
      <w:r>
        <w:rPr>
          <w:rFonts w:hint="eastAsia"/>
          <w:b w:val="0"/>
          <w:bCs/>
          <w:highlight w:val="none"/>
        </w:rPr>
        <w:t>2.1.</w:t>
      </w:r>
      <w:r>
        <w:rPr>
          <w:rFonts w:hint="eastAsia"/>
          <w:b w:val="0"/>
          <w:bCs/>
          <w:highlight w:val="none"/>
          <w:lang w:val="en-US" w:eastAsia="zh-CN"/>
        </w:rPr>
        <w:t xml:space="preserve">7 </w:t>
      </w:r>
      <w:r>
        <w:rPr>
          <w:rFonts w:hint="eastAsia"/>
          <w:bCs/>
          <w:lang w:val="en-US" w:eastAsia="zh-CN"/>
        </w:rPr>
        <w:t>在信用中国网站查询打印的信用记录</w:t>
      </w:r>
      <w:r>
        <w:rPr>
          <w:rFonts w:hint="eastAsia"/>
          <w:bCs/>
        </w:rPr>
        <w:t>。</w:t>
      </w:r>
    </w:p>
    <w:p w14:paraId="65A8D65A">
      <w:pPr>
        <w:pStyle w:val="10"/>
        <w:spacing w:line="360" w:lineRule="auto"/>
        <w:rPr>
          <w:rFonts w:hint="eastAsia" w:ascii="宋体" w:hAnsi="Courier New" w:eastAsia="宋体" w:cs="Times New Roman"/>
          <w:kern w:val="2"/>
          <w:sz w:val="21"/>
          <w:szCs w:val="21"/>
          <w:lang w:val="en-US" w:eastAsia="zh-CN" w:bidi="ar-SA"/>
        </w:rPr>
      </w:pPr>
      <w:r>
        <w:rPr>
          <w:rFonts w:hint="eastAsia" w:hAnsi="宋体"/>
          <w:b/>
          <w:bCs/>
          <w:color w:val="FF0000"/>
          <w:sz w:val="21"/>
          <w:szCs w:val="21"/>
        </w:rPr>
        <w:t>注：如开标时未提供以上任一文件，将被视为不合格的投标人，可取消本次投标资格。</w:t>
      </w:r>
    </w:p>
    <w:p w14:paraId="6FE7487C">
      <w:pPr>
        <w:spacing w:line="360" w:lineRule="auto"/>
        <w:ind w:firstLine="422" w:firstLineChars="200"/>
        <w:rPr>
          <w:rFonts w:ascii="宋体" w:hAnsi="Courier New" w:eastAsia="宋体" w:cs="Times New Roman"/>
          <w:b/>
          <w:szCs w:val="20"/>
        </w:rPr>
      </w:pPr>
      <w:r>
        <w:rPr>
          <w:rFonts w:hint="eastAsia" w:ascii="宋体" w:hAnsi="Courier New" w:eastAsia="宋体" w:cs="Times New Roman"/>
          <w:b/>
          <w:szCs w:val="20"/>
        </w:rPr>
        <w:t>2.2 技术标：</w:t>
      </w:r>
    </w:p>
    <w:p w14:paraId="51F363EE">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2.2.1</w:t>
      </w:r>
      <w:r>
        <w:rPr>
          <w:rFonts w:hint="eastAsia" w:ascii="宋体" w:hAnsi="Courier New" w:eastAsia="宋体" w:cs="Times New Roman"/>
          <w:szCs w:val="20"/>
        </w:rPr>
        <w:tab/>
      </w:r>
      <w:r>
        <w:rPr>
          <w:rFonts w:hint="eastAsia" w:ascii="宋体" w:hAnsi="Courier New" w:eastAsia="宋体" w:cs="Times New Roman"/>
          <w:szCs w:val="20"/>
        </w:rPr>
        <w:t>技术规格偏离表；</w:t>
      </w:r>
    </w:p>
    <w:p w14:paraId="65981D83">
      <w:pPr>
        <w:pStyle w:val="10"/>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2.2.2</w:t>
      </w:r>
      <w:r>
        <w:rPr>
          <w:rFonts w:hint="eastAsia" w:ascii="宋体" w:hAnsi="Courier New" w:eastAsia="宋体" w:cs="Times New Roman"/>
          <w:szCs w:val="20"/>
        </w:rPr>
        <w:tab/>
      </w:r>
      <w:r>
        <w:rPr>
          <w:rFonts w:hint="eastAsia"/>
        </w:rPr>
        <w:t>备品备件</w:t>
      </w:r>
      <w:r>
        <w:rPr>
          <w:rFonts w:hint="eastAsia"/>
          <w:lang w:eastAsia="zh-CN"/>
        </w:rPr>
        <w:t>、</w:t>
      </w:r>
      <w:r>
        <w:rPr>
          <w:rFonts w:hint="eastAsia"/>
        </w:rPr>
        <w:t>工具</w:t>
      </w:r>
      <w:r>
        <w:rPr>
          <w:rFonts w:hint="eastAsia"/>
          <w:lang w:eastAsia="zh-CN"/>
        </w:rPr>
        <w:t>、</w:t>
      </w:r>
      <w:r>
        <w:rPr>
          <w:rFonts w:hint="eastAsia"/>
        </w:rPr>
        <w:t>材料明细表；</w:t>
      </w:r>
    </w:p>
    <w:p w14:paraId="407E061F">
      <w:pPr>
        <w:pStyle w:val="10"/>
        <w:spacing w:line="360" w:lineRule="auto"/>
        <w:ind w:firstLine="420" w:firstLineChars="200"/>
      </w:pPr>
      <w:r>
        <w:rPr>
          <w:rFonts w:hint="eastAsia" w:ascii="宋体" w:hAnsi="Courier New" w:eastAsia="宋体" w:cs="Times New Roman"/>
          <w:szCs w:val="20"/>
        </w:rPr>
        <w:t>2.2.3</w:t>
      </w:r>
      <w:r>
        <w:rPr>
          <w:rFonts w:hint="eastAsia" w:ascii="宋体" w:hAnsi="Courier New" w:eastAsia="宋体" w:cs="Times New Roman"/>
          <w:szCs w:val="20"/>
        </w:rPr>
        <w:tab/>
      </w:r>
      <w:r>
        <w:rPr>
          <w:rFonts w:hint="eastAsia"/>
        </w:rPr>
        <w:t>设备技术性能、参数的描述；证明货物和服务与招标文件的要求相一致的文件，可以是文字资料、图纸和数据，它包括：</w:t>
      </w:r>
    </w:p>
    <w:p w14:paraId="14F1251B">
      <w:pPr>
        <w:pStyle w:val="10"/>
        <w:spacing w:line="360" w:lineRule="auto"/>
        <w:ind w:firstLine="420" w:firstLineChars="200"/>
      </w:pPr>
      <w:r>
        <w:rPr>
          <w:rFonts w:hint="eastAsia"/>
        </w:rPr>
        <w:t>1）货物主要技术指标和性能的详细说明；</w:t>
      </w:r>
    </w:p>
    <w:p w14:paraId="5EFCF8AB">
      <w:pPr>
        <w:pStyle w:val="10"/>
        <w:spacing w:line="360" w:lineRule="auto"/>
        <w:ind w:firstLine="420" w:firstLineChars="200"/>
      </w:pPr>
      <w:r>
        <w:rPr>
          <w:rFonts w:hint="eastAsia"/>
        </w:rPr>
        <w:t>2）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6E1402CA">
      <w:pPr>
        <w:pStyle w:val="10"/>
        <w:spacing w:line="360" w:lineRule="auto"/>
        <w:ind w:firstLine="420" w:firstLineChars="200"/>
      </w:pPr>
      <w:r>
        <w:rPr>
          <w:rFonts w:hint="eastAsia"/>
        </w:rPr>
        <w:t>3）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636C4156">
      <w:pPr>
        <w:spacing w:line="360" w:lineRule="auto"/>
        <w:ind w:firstLine="420" w:firstLineChars="200"/>
        <w:rPr>
          <w:rFonts w:hint="eastAsia" w:ascii="宋体" w:hAnsi="Courier New" w:eastAsia="宋体" w:cs="Times New Roman"/>
          <w:szCs w:val="20"/>
        </w:rPr>
      </w:pPr>
    </w:p>
    <w:p w14:paraId="3527251F">
      <w:pPr>
        <w:spacing w:line="360" w:lineRule="auto"/>
        <w:ind w:firstLine="420" w:firstLineChars="200"/>
        <w:rPr>
          <w:rFonts w:hint="eastAsia" w:ascii="宋体" w:hAnsi="Courier New" w:eastAsia="宋体" w:cs="Times New Roman"/>
          <w:szCs w:val="20"/>
        </w:rPr>
      </w:pPr>
      <w:r>
        <w:rPr>
          <w:rFonts w:hint="eastAsia" w:ascii="宋体" w:hAnsi="Courier New" w:eastAsia="宋体" w:cs="Times New Roman"/>
          <w:szCs w:val="20"/>
        </w:rPr>
        <w:t>2.2.4近三年(20</w:t>
      </w:r>
      <w:r>
        <w:rPr>
          <w:rFonts w:hint="eastAsia" w:ascii="宋体" w:hAnsi="Courier New" w:eastAsia="宋体" w:cs="Times New Roman"/>
          <w:szCs w:val="20"/>
          <w:lang w:val="en-US" w:eastAsia="zh-CN"/>
        </w:rPr>
        <w:t>23</w:t>
      </w:r>
      <w:r>
        <w:rPr>
          <w:rFonts w:hint="eastAsia" w:ascii="宋体" w:hAnsi="Courier New" w:eastAsia="宋体" w:cs="Times New Roman"/>
          <w:szCs w:val="20"/>
        </w:rPr>
        <w:t>年1月1日至今)类似项目业绩及合同复印件（加盖公章，须有客户联系方式及联系人以供招标人核实确认）</w:t>
      </w:r>
      <w:r>
        <w:rPr>
          <w:rFonts w:hint="eastAsia" w:ascii="宋体" w:hAnsi="Courier New" w:eastAsia="宋体" w:cs="Times New Roman"/>
          <w:szCs w:val="20"/>
          <w:lang w:eastAsia="zh-CN"/>
        </w:rPr>
        <w:t>，</w:t>
      </w:r>
      <w:r>
        <w:rPr>
          <w:rFonts w:hint="eastAsia" w:ascii="宋体" w:hAnsi="Courier New" w:eastAsia="宋体" w:cs="Times New Roman"/>
          <w:szCs w:val="20"/>
          <w:lang w:val="en-US" w:eastAsia="zh-CN"/>
        </w:rPr>
        <w:t>10000L以上为佳</w:t>
      </w:r>
      <w:r>
        <w:rPr>
          <w:rFonts w:hint="eastAsia" w:ascii="宋体" w:hAnsi="Courier New" w:eastAsia="宋体" w:cs="Times New Roman"/>
          <w:szCs w:val="20"/>
        </w:rPr>
        <w:t>。</w:t>
      </w:r>
    </w:p>
    <w:p w14:paraId="05A852A6">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2.2.5  技术标书中严禁出现与投标报价有关的内容</w:t>
      </w:r>
    </w:p>
    <w:p w14:paraId="0909E220">
      <w:pPr>
        <w:spacing w:line="360" w:lineRule="auto"/>
        <w:ind w:firstLine="420" w:firstLineChars="200"/>
        <w:rPr>
          <w:rFonts w:hint="eastAsia" w:ascii="宋体" w:hAnsi="Courier New" w:eastAsia="宋体" w:cs="Times New Roman"/>
          <w:szCs w:val="20"/>
          <w:lang w:eastAsia="zh-CN"/>
        </w:rPr>
      </w:pPr>
      <w:r>
        <w:rPr>
          <w:rFonts w:hint="eastAsia" w:ascii="宋体" w:hAnsi="Courier New" w:eastAsia="宋体" w:cs="Times New Roman"/>
          <w:szCs w:val="20"/>
        </w:rPr>
        <w:t>2.2.6综合说明</w:t>
      </w:r>
      <w:r>
        <w:rPr>
          <w:rFonts w:hint="eastAsia" w:ascii="宋体" w:hAnsi="Courier New" w:eastAsia="宋体" w:cs="Times New Roman"/>
          <w:szCs w:val="20"/>
          <w:lang w:eastAsia="zh-CN"/>
        </w:rPr>
        <w:t>。</w:t>
      </w:r>
    </w:p>
    <w:p w14:paraId="1F06E4D5">
      <w:pPr>
        <w:spacing w:line="360" w:lineRule="auto"/>
        <w:ind w:firstLine="422" w:firstLineChars="200"/>
        <w:rPr>
          <w:rFonts w:ascii="宋体" w:hAnsi="Courier New" w:eastAsia="宋体" w:cs="Times New Roman"/>
          <w:b/>
          <w:bCs/>
          <w:szCs w:val="20"/>
        </w:rPr>
      </w:pPr>
      <w:r>
        <w:rPr>
          <w:rFonts w:hint="eastAsia" w:ascii="宋体" w:hAnsi="Courier New" w:eastAsia="宋体" w:cs="Times New Roman"/>
          <w:b/>
          <w:bCs/>
          <w:szCs w:val="20"/>
        </w:rPr>
        <w:t>2.3 商务标：</w:t>
      </w:r>
    </w:p>
    <w:p w14:paraId="231D8F5E">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2.3.1</w:t>
      </w:r>
      <w:r>
        <w:rPr>
          <w:rFonts w:hint="eastAsia" w:ascii="宋体" w:hAnsi="Courier New" w:eastAsia="宋体" w:cs="Times New Roman"/>
          <w:szCs w:val="20"/>
        </w:rPr>
        <w:tab/>
      </w:r>
      <w:r>
        <w:rPr>
          <w:rFonts w:hint="eastAsia" w:ascii="宋体" w:hAnsi="Courier New" w:eastAsia="宋体" w:cs="Times New Roman"/>
          <w:szCs w:val="20"/>
        </w:rPr>
        <w:t>投标函；</w:t>
      </w:r>
    </w:p>
    <w:p w14:paraId="4BB56100">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2.3.2</w:t>
      </w:r>
      <w:r>
        <w:rPr>
          <w:rFonts w:hint="eastAsia" w:ascii="宋体" w:hAnsi="Courier New" w:eastAsia="宋体" w:cs="Times New Roman"/>
          <w:szCs w:val="20"/>
        </w:rPr>
        <w:tab/>
      </w:r>
      <w:r>
        <w:rPr>
          <w:rFonts w:hint="eastAsia" w:ascii="宋体" w:hAnsi="Courier New" w:eastAsia="宋体" w:cs="Times New Roman"/>
          <w:szCs w:val="20"/>
        </w:rPr>
        <w:t>开标一览表；</w:t>
      </w:r>
    </w:p>
    <w:p w14:paraId="0C0DA57C">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2.3.3</w:t>
      </w:r>
      <w:r>
        <w:rPr>
          <w:rFonts w:hint="eastAsia" w:ascii="宋体" w:hAnsi="Courier New" w:eastAsia="宋体" w:cs="Times New Roman"/>
          <w:szCs w:val="20"/>
        </w:rPr>
        <w:tab/>
      </w:r>
      <w:r>
        <w:rPr>
          <w:rFonts w:hint="eastAsia" w:ascii="宋体" w:hAnsi="Courier New" w:eastAsia="宋体" w:cs="Times New Roman"/>
          <w:szCs w:val="20"/>
        </w:rPr>
        <w:t>商务条款偏离表；详见本招标文件“第二章 投标文件编制”，请投标人按格式要求进行填写。</w:t>
      </w:r>
    </w:p>
    <w:p w14:paraId="37DAAB8B">
      <w:pPr>
        <w:pStyle w:val="10"/>
        <w:numPr>
          <w:ilvl w:val="255"/>
          <w:numId w:val="0"/>
        </w:numPr>
        <w:spacing w:line="360" w:lineRule="auto"/>
        <w:ind w:firstLine="420" w:firstLineChars="200"/>
        <w:rPr>
          <w:rFonts w:hint="eastAsia" w:ascii="宋体" w:hAnsi="Courier New" w:eastAsia="宋体" w:cs="Times New Roman"/>
          <w:szCs w:val="20"/>
        </w:rPr>
      </w:pPr>
      <w:r>
        <w:rPr>
          <w:rFonts w:hint="eastAsia" w:ascii="宋体" w:hAnsi="Courier New" w:eastAsia="宋体" w:cs="Times New Roman"/>
          <w:szCs w:val="20"/>
        </w:rPr>
        <w:t xml:space="preserve">2.4 </w:t>
      </w:r>
      <w:r>
        <w:rPr>
          <w:rFonts w:hint="eastAsia"/>
          <w:b w:val="0"/>
          <w:bCs/>
          <w:highlight w:val="none"/>
        </w:rPr>
        <w:t>所有</w:t>
      </w:r>
      <w:r>
        <w:rPr>
          <w:rFonts w:hint="eastAsia"/>
          <w:b w:val="0"/>
          <w:bCs/>
        </w:rPr>
        <w:t>投标文件均</w:t>
      </w:r>
      <w:r>
        <w:rPr>
          <w:rFonts w:hint="eastAsia"/>
          <w:b w:val="0"/>
          <w:bCs/>
          <w:lang w:val="en-US" w:eastAsia="zh-CN"/>
        </w:rPr>
        <w:t>须</w:t>
      </w:r>
      <w:r>
        <w:rPr>
          <w:rFonts w:hint="eastAsia"/>
          <w:b w:val="0"/>
          <w:bCs/>
        </w:rPr>
        <w:t>提供电子版文件（不加密</w:t>
      </w:r>
      <w:r>
        <w:rPr>
          <w:rFonts w:hint="eastAsia"/>
          <w:b w:val="0"/>
          <w:bCs/>
          <w:lang w:eastAsia="zh-CN"/>
        </w:rPr>
        <w:t>，</w:t>
      </w:r>
      <w:r>
        <w:rPr>
          <w:rFonts w:hint="eastAsia"/>
          <w:b w:val="0"/>
          <w:bCs/>
        </w:rPr>
        <w:t>电子版要求详见第二章投标文件格式）</w:t>
      </w:r>
      <w:r>
        <w:rPr>
          <w:rFonts w:hint="eastAsia" w:ascii="宋体" w:hAnsi="Courier New" w:eastAsia="宋体" w:cs="Times New Roman"/>
          <w:szCs w:val="20"/>
        </w:rPr>
        <w:t>。</w:t>
      </w:r>
    </w:p>
    <w:p w14:paraId="5AA6DEB4">
      <w:pPr>
        <w:pStyle w:val="10"/>
        <w:numPr>
          <w:ilvl w:val="255"/>
          <w:numId w:val="0"/>
        </w:numPr>
        <w:spacing w:line="360" w:lineRule="auto"/>
        <w:ind w:firstLine="422" w:firstLineChars="200"/>
        <w:rPr>
          <w:rFonts w:hint="eastAsia"/>
          <w:b/>
          <w:bCs w:val="0"/>
          <w:color w:val="auto"/>
          <w:highlight w:val="none"/>
        </w:rPr>
      </w:pPr>
      <w:r>
        <w:rPr>
          <w:rFonts w:hint="eastAsia"/>
          <w:b/>
          <w:bCs w:val="0"/>
          <w:color w:val="auto"/>
          <w:highlight w:val="none"/>
        </w:rPr>
        <w:t>2.5电子版文件要求：</w:t>
      </w:r>
    </w:p>
    <w:p w14:paraId="0AE8CABC">
      <w:pPr>
        <w:pStyle w:val="10"/>
        <w:spacing w:line="360" w:lineRule="auto"/>
        <w:ind w:firstLine="420" w:firstLineChars="200"/>
        <w:rPr>
          <w:rFonts w:hint="eastAsia"/>
          <w:b/>
          <w:bCs w:val="0"/>
          <w:color w:val="FF0000"/>
          <w:sz w:val="21"/>
          <w:szCs w:val="21"/>
          <w:highlight w:val="none"/>
        </w:rPr>
      </w:pPr>
      <w:r>
        <w:rPr>
          <w:rFonts w:hint="eastAsia"/>
          <w:b w:val="0"/>
          <w:bCs/>
          <w:color w:val="auto"/>
          <w:highlight w:val="none"/>
        </w:rPr>
        <w:t>2.5.1在中国重汽e采通平台应标成功后，进入“供应商投标”环节，投递盖章扫描版电子标书（包含资质标书、技术标书、商务标书），</w:t>
      </w:r>
      <w:r>
        <w:rPr>
          <w:rFonts w:hint="eastAsia"/>
          <w:b/>
          <w:bCs w:val="0"/>
          <w:color w:val="FF0000"/>
          <w:sz w:val="21"/>
          <w:szCs w:val="21"/>
          <w:highlight w:val="none"/>
        </w:rPr>
        <w:t>若逾期未在中国重汽e采通平台上传电子标书，一律视为无效投标。</w:t>
      </w:r>
    </w:p>
    <w:p w14:paraId="589603C1">
      <w:pPr>
        <w:pStyle w:val="10"/>
        <w:numPr>
          <w:ilvl w:val="255"/>
          <w:numId w:val="0"/>
        </w:numPr>
        <w:spacing w:line="360" w:lineRule="auto"/>
        <w:ind w:firstLine="420" w:firstLineChars="200"/>
        <w:rPr>
          <w:b w:val="0"/>
          <w:bCs/>
        </w:rPr>
      </w:pPr>
      <w:r>
        <w:rPr>
          <w:rFonts w:hint="eastAsia"/>
          <w:b w:val="0"/>
          <w:bCs/>
        </w:rPr>
        <w:t>2.5.2开标一览表，附《</w:t>
      </w:r>
      <w:r>
        <w:rPr>
          <w:rFonts w:hint="eastAsia"/>
          <w:b w:val="0"/>
          <w:bCs/>
          <w:lang w:val="en-US" w:eastAsia="zh-CN"/>
        </w:rPr>
        <w:t>中国重汽集团抗磨液压油过滤项目分项报价表</w:t>
      </w:r>
      <w:r>
        <w:rPr>
          <w:rFonts w:hint="eastAsia"/>
          <w:b w:val="0"/>
          <w:bCs/>
        </w:rPr>
        <w:t>》（以下简称“《分项报价表》”；</w:t>
      </w:r>
    </w:p>
    <w:p w14:paraId="2B67DB8F">
      <w:pPr>
        <w:pStyle w:val="10"/>
        <w:numPr>
          <w:ilvl w:val="255"/>
          <w:numId w:val="0"/>
        </w:numPr>
        <w:spacing w:line="360" w:lineRule="auto"/>
        <w:ind w:firstLine="420" w:firstLineChars="200"/>
        <w:rPr>
          <w:rFonts w:hint="eastAsia" w:eastAsia="宋体"/>
          <w:b w:val="0"/>
          <w:bCs/>
          <w:lang w:eastAsia="zh-CN"/>
        </w:rPr>
      </w:pPr>
      <w:r>
        <w:rPr>
          <w:rFonts w:hint="eastAsia"/>
          <w:b w:val="0"/>
          <w:bCs/>
        </w:rPr>
        <w:t>2.5.3开标现场录入投标商报价电子版信息。报价必须覆盖投标</w:t>
      </w:r>
      <w:r>
        <w:rPr>
          <w:rFonts w:hint="eastAsia"/>
          <w:b w:val="0"/>
          <w:bCs/>
          <w:lang w:val="en-US" w:eastAsia="zh-CN"/>
        </w:rPr>
        <w:t>相应</w:t>
      </w:r>
      <w:r>
        <w:rPr>
          <w:rFonts w:hint="eastAsia"/>
          <w:b w:val="0"/>
          <w:bCs/>
        </w:rPr>
        <w:t>包次所有条目</w:t>
      </w:r>
      <w:r>
        <w:rPr>
          <w:rFonts w:hint="eastAsia"/>
          <w:b w:val="0"/>
          <w:bCs/>
          <w:lang w:eastAsia="zh-CN"/>
        </w:rPr>
        <w:t>。</w:t>
      </w:r>
    </w:p>
    <w:p w14:paraId="776C8D47">
      <w:pPr>
        <w:pStyle w:val="10"/>
        <w:numPr>
          <w:ilvl w:val="0"/>
          <w:numId w:val="0"/>
        </w:numPr>
        <w:spacing w:line="360" w:lineRule="auto"/>
        <w:ind w:left="420" w:leftChars="0"/>
        <w:rPr>
          <w:rFonts w:hint="eastAsia"/>
          <w:b w:val="0"/>
          <w:bCs/>
          <w:highlight w:val="none"/>
          <w:lang w:val="en-US" w:eastAsia="zh-CN"/>
        </w:rPr>
      </w:pPr>
      <w:r>
        <w:rPr>
          <w:rFonts w:hint="eastAsia"/>
          <w:b w:val="0"/>
          <w:bCs/>
          <w:highlight w:val="none"/>
          <w:lang w:val="en-US" w:eastAsia="zh-CN"/>
        </w:rPr>
        <w:t>2.6投标材料递交方式</w:t>
      </w:r>
    </w:p>
    <w:p w14:paraId="5B0E5CCA">
      <w:pPr>
        <w:pStyle w:val="10"/>
        <w:numPr>
          <w:ilvl w:val="255"/>
          <w:numId w:val="0"/>
        </w:numPr>
        <w:spacing w:line="360" w:lineRule="auto"/>
        <w:ind w:left="420"/>
        <w:rPr>
          <w:rFonts w:hint="default" w:eastAsia="宋体"/>
          <w:b w:val="0"/>
          <w:bCs/>
          <w:lang w:val="en-US" w:eastAsia="zh-CN"/>
        </w:rPr>
      </w:pPr>
      <w:r>
        <w:rPr>
          <w:rFonts w:hint="eastAsia"/>
          <w:b w:val="0"/>
          <w:bCs/>
          <w:lang w:val="en-US" w:eastAsia="zh-CN"/>
        </w:rPr>
        <w:t>2.6.1 电子版投标材料须在e采通提交，应标截止时间9月30日中午12点，投标截止时间10月12日下午17点。</w:t>
      </w:r>
    </w:p>
    <w:p w14:paraId="1C05BBEF">
      <w:pPr>
        <w:spacing w:line="360" w:lineRule="auto"/>
        <w:ind w:firstLine="422" w:firstLineChars="200"/>
        <w:rPr>
          <w:rFonts w:ascii="宋体" w:hAnsi="Courier New" w:eastAsia="宋体" w:cs="Times New Roman"/>
          <w:b/>
          <w:szCs w:val="20"/>
        </w:rPr>
      </w:pPr>
      <w:r>
        <w:rPr>
          <w:rFonts w:hint="eastAsia" w:ascii="宋体" w:hAnsi="Courier New" w:eastAsia="宋体" w:cs="Times New Roman"/>
          <w:b/>
          <w:szCs w:val="20"/>
        </w:rPr>
        <w:t>3.报价：</w:t>
      </w:r>
    </w:p>
    <w:p w14:paraId="1062AA91">
      <w:pPr>
        <w:spacing w:line="360" w:lineRule="auto"/>
        <w:ind w:left="630" w:leftChars="200" w:hanging="210" w:hangingChars="100"/>
        <w:rPr>
          <w:rFonts w:hint="default" w:ascii="宋体" w:hAnsi="Courier New" w:eastAsia="宋体" w:cs="Times New Roman"/>
          <w:szCs w:val="20"/>
          <w:lang w:val="en-US" w:eastAsia="zh-CN"/>
        </w:rPr>
      </w:pPr>
      <w:r>
        <w:rPr>
          <w:rFonts w:hint="eastAsia" w:ascii="宋体" w:hAnsi="宋体" w:eastAsia="宋体" w:cs="Times New Roman"/>
          <w:szCs w:val="20"/>
        </w:rPr>
        <w:t>⑴</w:t>
      </w:r>
      <w:r>
        <w:rPr>
          <w:rFonts w:hint="eastAsia" w:ascii="宋体" w:hAnsi="Courier New" w:eastAsia="宋体" w:cs="Times New Roman"/>
          <w:szCs w:val="20"/>
        </w:rPr>
        <w:t>本次招标为公开招标，投标人报价包含不含税金额、税率及价税合计金额。</w:t>
      </w:r>
    </w:p>
    <w:p w14:paraId="09675243">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经与招标人或其指派的答疑人员充分沟通确认基础上，由投标人在满足招标人所提出的、与本项目所有相关环节有关的所有费用；</w:t>
      </w:r>
    </w:p>
    <w:p w14:paraId="303AA5F2">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详见本招标书之“第二章 投标文件编制”。</w:t>
      </w:r>
    </w:p>
    <w:p w14:paraId="4E642A81">
      <w:pPr>
        <w:spacing w:line="360" w:lineRule="auto"/>
        <w:ind w:firstLine="420" w:firstLineChars="200"/>
        <w:rPr>
          <w:rFonts w:hint="default" w:ascii="宋体" w:hAnsi="Courier New" w:eastAsia="宋体" w:cs="Times New Roman"/>
          <w:b/>
          <w:bCs/>
          <w:szCs w:val="20"/>
          <w:lang w:val="en-US"/>
        </w:rPr>
      </w:pPr>
      <w:r>
        <w:rPr>
          <w:rFonts w:hint="eastAsia" w:ascii="宋体" w:hAnsi="宋体" w:eastAsia="宋体" w:cs="Times New Roman"/>
          <w:szCs w:val="20"/>
        </w:rPr>
        <w:t>⑵</w:t>
      </w:r>
      <w:r>
        <w:rPr>
          <w:rFonts w:hint="eastAsia" w:ascii="宋体" w:hAnsi="Courier New" w:eastAsia="宋体" w:cs="Times New Roman"/>
          <w:szCs w:val="20"/>
        </w:rPr>
        <w:t>所有报价货币单位为：元（人民币），</w:t>
      </w:r>
      <w:r>
        <w:rPr>
          <w:rFonts w:hint="eastAsia" w:ascii="宋体" w:hAnsi="Courier New"/>
          <w:lang w:val="en-US" w:eastAsia="zh-CN"/>
        </w:rPr>
        <w:t>报价应包含不含税金额、税率及价税合计金额</w:t>
      </w:r>
      <w:r>
        <w:rPr>
          <w:rFonts w:hint="eastAsia" w:ascii="宋体" w:hAnsi="Courier New"/>
          <w:b/>
          <w:bCs/>
          <w:lang w:val="en-US" w:eastAsia="zh-CN"/>
        </w:rPr>
        <w:t>。</w:t>
      </w:r>
    </w:p>
    <w:p w14:paraId="63CC177B">
      <w:pPr>
        <w:pStyle w:val="10"/>
        <w:spacing w:line="360" w:lineRule="auto"/>
        <w:ind w:firstLine="420" w:firstLineChars="200"/>
        <w:rPr>
          <w:rFonts w:hint="eastAsia" w:ascii="Calibri" w:hAnsi="Calibri"/>
          <w:highlight w:val="none"/>
          <w:u w:val="none"/>
        </w:rPr>
      </w:pPr>
      <w:r>
        <w:rPr>
          <w:rFonts w:hint="eastAsia" w:ascii="宋体" w:hAnsi="宋体" w:eastAsia="宋体" w:cs="Times New Roman"/>
          <w:szCs w:val="20"/>
        </w:rPr>
        <w:t>⑶付款</w:t>
      </w:r>
      <w:r>
        <w:rPr>
          <w:rFonts w:hint="eastAsia" w:ascii="宋体" w:hAnsi="Courier New" w:eastAsia="宋体" w:cs="Times New Roman"/>
          <w:szCs w:val="20"/>
        </w:rPr>
        <w:t>结算方式：</w:t>
      </w:r>
      <w:r>
        <w:rPr>
          <w:rFonts w:hint="eastAsia"/>
          <w:b w:val="0"/>
          <w:bCs/>
          <w:color w:val="auto"/>
          <w:highlight w:val="none"/>
          <w:u w:val="single"/>
          <w:lang w:val="en-US" w:eastAsia="zh-CN"/>
        </w:rPr>
        <w:t>付款账期三个月，半年期商业汇票（包括银行承兑汇票和商业承兑汇票），</w:t>
      </w:r>
      <w:r>
        <w:rPr>
          <w:rFonts w:hint="eastAsia" w:ascii="Calibri" w:hAnsi="Calibri"/>
          <w:b w:val="0"/>
          <w:bCs/>
          <w:color w:val="auto"/>
          <w:highlight w:val="none"/>
          <w:u w:val="none"/>
        </w:rPr>
        <w:t>具</w:t>
      </w:r>
      <w:r>
        <w:rPr>
          <w:rFonts w:hint="eastAsia" w:ascii="Calibri" w:hAnsi="Calibri"/>
          <w:b w:val="0"/>
          <w:bCs/>
          <w:highlight w:val="none"/>
          <w:u w:val="none"/>
        </w:rPr>
        <w:t>体以</w:t>
      </w:r>
      <w:r>
        <w:rPr>
          <w:rFonts w:hint="eastAsia" w:ascii="Calibri" w:hAnsi="Calibri"/>
          <w:highlight w:val="none"/>
          <w:u w:val="none"/>
        </w:rPr>
        <w:t>双方最终签署的合同为准。</w:t>
      </w:r>
    </w:p>
    <w:p w14:paraId="1E955ABC">
      <w:pPr>
        <w:pStyle w:val="10"/>
        <w:spacing w:line="360" w:lineRule="auto"/>
        <w:ind w:firstLine="420" w:firstLineChars="200"/>
        <w:rPr>
          <w:rFonts w:hint="eastAsia"/>
          <w:highlight w:val="none"/>
        </w:rPr>
      </w:pPr>
      <w:r>
        <w:rPr>
          <w:rFonts w:hint="eastAsia"/>
          <w:highlight w:val="none"/>
          <w:lang w:val="en-US" w:eastAsia="zh-CN"/>
        </w:rPr>
        <w:t>安装完成后，</w:t>
      </w:r>
      <w:r>
        <w:rPr>
          <w:rFonts w:hint="eastAsia"/>
          <w:highlight w:val="none"/>
        </w:rPr>
        <w:t>经甲方验收合格后，甲方出具书面验收单，乙方提交金额为合同价款100%的收据原件及合同全额增值税专用发票，并附带该套合同的验收单原件，经甲方依照财务制度审核无误后3个月支付</w:t>
      </w:r>
      <w:r>
        <w:rPr>
          <w:rFonts w:hint="eastAsia"/>
          <w:highlight w:val="none"/>
          <w:lang w:val="en-US" w:eastAsia="zh-CN"/>
        </w:rPr>
        <w:t>90%</w:t>
      </w:r>
      <w:r>
        <w:rPr>
          <w:rFonts w:hint="eastAsia"/>
          <w:highlight w:val="none"/>
        </w:rPr>
        <w:t>。</w:t>
      </w:r>
    </w:p>
    <w:p w14:paraId="57C449B6">
      <w:pPr>
        <w:pStyle w:val="10"/>
        <w:spacing w:line="360" w:lineRule="auto"/>
        <w:ind w:firstLine="420" w:firstLineChars="200"/>
        <w:rPr>
          <w:rFonts w:hint="eastAsia"/>
        </w:rPr>
      </w:pPr>
      <w:r>
        <w:rPr>
          <w:rFonts w:hint="eastAsia"/>
          <w:color w:val="auto"/>
          <w:highlight w:val="none"/>
        </w:rPr>
        <w:t>本合同约定</w:t>
      </w:r>
      <w:r>
        <w:rPr>
          <w:rFonts w:hint="eastAsia"/>
          <w:color w:val="auto"/>
          <w:highlight w:val="none"/>
          <w:lang w:val="en-US" w:eastAsia="zh-CN"/>
        </w:rPr>
        <w:t>10%</w:t>
      </w:r>
      <w:r>
        <w:rPr>
          <w:rFonts w:hint="eastAsia"/>
          <w:color w:val="auto"/>
          <w:highlight w:val="none"/>
        </w:rPr>
        <w:t>货款作为质量保证金，</w:t>
      </w:r>
      <w:r>
        <w:rPr>
          <w:rFonts w:hint="eastAsia"/>
          <w:highlight w:val="none"/>
        </w:rPr>
        <w:t>质保</w:t>
      </w:r>
      <w:r>
        <w:rPr>
          <w:rFonts w:hint="eastAsia"/>
        </w:rPr>
        <w:t>金在质保期内不计利息。质保</w:t>
      </w:r>
      <w:r>
        <w:rPr>
          <w:rFonts w:hint="eastAsia"/>
          <w:lang w:val="en-US" w:eastAsia="zh-CN"/>
        </w:rPr>
        <w:t>期届满</w:t>
      </w:r>
      <w:r>
        <w:rPr>
          <w:rFonts w:hint="eastAsia"/>
        </w:rPr>
        <w:t>后，甲方依照财务制度审核无误后支付</w:t>
      </w:r>
      <w:r>
        <w:rPr>
          <w:rFonts w:hint="eastAsia"/>
          <w:lang w:eastAsia="zh-CN"/>
        </w:rPr>
        <w:t>；</w:t>
      </w:r>
      <w:r>
        <w:rPr>
          <w:rFonts w:hint="eastAsia"/>
        </w:rPr>
        <w:t>如有质量问题，质量保证金予以相应扣除。</w:t>
      </w:r>
    </w:p>
    <w:p w14:paraId="691CA94E">
      <w:pPr>
        <w:spacing w:line="360" w:lineRule="auto"/>
        <w:ind w:firstLine="422" w:firstLineChars="200"/>
        <w:rPr>
          <w:rFonts w:ascii="宋体" w:hAnsi="Courier New" w:eastAsia="宋体" w:cs="Times New Roman"/>
          <w:b/>
          <w:szCs w:val="20"/>
        </w:rPr>
      </w:pPr>
      <w:r>
        <w:rPr>
          <w:rFonts w:hint="eastAsia" w:ascii="宋体" w:hAnsi="Courier New" w:eastAsia="宋体" w:cs="Times New Roman"/>
          <w:b/>
          <w:szCs w:val="20"/>
        </w:rPr>
        <w:t>4.技术规范及服务</w:t>
      </w:r>
    </w:p>
    <w:p w14:paraId="2EF84137">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⑴投标人应与招标人指派的答疑人员充分沟通，理解认可并接受相关技术规范及服务要求。</w:t>
      </w:r>
    </w:p>
    <w:p w14:paraId="657A1169">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⑵投标人可免费提供的、包含但不限于招标人所要求的其他相关服务内容，按本招标书“第二章 投标文件编制”要求，在其“开标一览表”中一并说明。</w:t>
      </w:r>
    </w:p>
    <w:p w14:paraId="72FBBDDA">
      <w:pPr>
        <w:spacing w:line="360" w:lineRule="auto"/>
        <w:ind w:firstLine="422" w:firstLineChars="200"/>
        <w:rPr>
          <w:rFonts w:ascii="宋体" w:hAnsi="Courier New" w:eastAsia="宋体" w:cs="Times New Roman"/>
          <w:b/>
          <w:szCs w:val="20"/>
        </w:rPr>
      </w:pPr>
      <w:r>
        <w:rPr>
          <w:rFonts w:hint="eastAsia" w:ascii="宋体" w:hAnsi="Courier New" w:eastAsia="宋体" w:cs="Times New Roman"/>
          <w:b/>
          <w:szCs w:val="20"/>
        </w:rPr>
        <w:t>5.其他</w:t>
      </w:r>
    </w:p>
    <w:p w14:paraId="071CCAD1">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投标人须认可招标人由于招标人上级集团公司政策变化引起的随时终止合同的要求。如投标人不认可、不接受，则投标人在本招标书“第二章 投标文件编制”之“相关条款偏离表（含商务偏离及技术偏离）”中注明“不接受”字，招标人将视之为主动弃标。</w:t>
      </w:r>
    </w:p>
    <w:p w14:paraId="07CA331B">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其余未尽事宜，均按合同约定。</w:t>
      </w:r>
    </w:p>
    <w:p w14:paraId="73E2062A">
      <w:pPr>
        <w:spacing w:line="360" w:lineRule="auto"/>
        <w:ind w:firstLine="422" w:firstLineChars="200"/>
        <w:rPr>
          <w:rFonts w:ascii="宋体" w:hAnsi="Courier New" w:eastAsia="宋体" w:cs="Times New Roman"/>
          <w:b/>
          <w:bCs w:val="0"/>
          <w:szCs w:val="20"/>
        </w:rPr>
      </w:pPr>
      <w:r>
        <w:rPr>
          <w:rFonts w:hint="eastAsia" w:ascii="宋体" w:hAnsi="Courier New" w:eastAsia="宋体" w:cs="Times New Roman"/>
          <w:b/>
          <w:bCs w:val="0"/>
          <w:szCs w:val="20"/>
        </w:rPr>
        <w:t>6.要求招标人或相关合同签订单位提供的配合，在标书文件中说明。</w:t>
      </w:r>
    </w:p>
    <w:p w14:paraId="15C2376C">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七、投标、开标、评标</w:t>
      </w:r>
    </w:p>
    <w:p w14:paraId="7EDD9261">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1.投标保证金：</w:t>
      </w:r>
    </w:p>
    <w:p w14:paraId="6C94DD47">
      <w:pPr>
        <w:spacing w:line="360" w:lineRule="auto"/>
        <w:ind w:firstLine="420" w:firstLineChars="200"/>
        <w:rPr>
          <w:rFonts w:ascii="宋体" w:hAnsi="Courier New" w:eastAsia="宋体" w:cs="Times New Roman"/>
          <w:szCs w:val="20"/>
        </w:rPr>
      </w:pPr>
      <w:r>
        <w:rPr>
          <w:rFonts w:hint="eastAsia" w:ascii="宋体" w:hAnsi="宋体" w:eastAsia="宋体" w:cs="Times New Roman"/>
          <w:szCs w:val="20"/>
        </w:rPr>
        <w:t>⑴</w:t>
      </w:r>
      <w:r>
        <w:rPr>
          <w:rFonts w:hint="eastAsia" w:ascii="宋体" w:hAnsi="Courier New" w:eastAsia="宋体" w:cs="Times New Roman"/>
          <w:szCs w:val="20"/>
        </w:rPr>
        <w:t>投标人向招标人财务部门缴纳</w:t>
      </w:r>
      <w:r>
        <w:rPr>
          <w:rFonts w:hint="eastAsia" w:ascii="宋体" w:hAnsi="Courier New" w:eastAsia="宋体" w:cs="Times New Roman"/>
          <w:szCs w:val="20"/>
          <w:u w:val="single"/>
          <w:lang w:val="en-US" w:eastAsia="zh-CN"/>
        </w:rPr>
        <w:t>10000</w:t>
      </w:r>
      <w:r>
        <w:rPr>
          <w:rFonts w:hint="eastAsia" w:ascii="宋体" w:hAnsi="Courier New" w:eastAsia="宋体" w:cs="Times New Roman"/>
          <w:szCs w:val="20"/>
          <w:u w:val="single"/>
        </w:rPr>
        <w:t>元</w:t>
      </w:r>
      <w:r>
        <w:rPr>
          <w:rFonts w:hint="eastAsia" w:ascii="宋体" w:hAnsi="Courier New" w:eastAsia="宋体" w:cs="Times New Roman"/>
          <w:szCs w:val="20"/>
        </w:rPr>
        <w:t>（人民币），作为投标人本次投标的保证金。</w:t>
      </w:r>
    </w:p>
    <w:p w14:paraId="47605D0F">
      <w:pPr>
        <w:pStyle w:val="10"/>
        <w:spacing w:line="360" w:lineRule="auto"/>
        <w:ind w:firstLine="420" w:firstLineChars="200"/>
        <w:rPr>
          <w:rFonts w:ascii="宋体" w:hAnsi="Courier New" w:eastAsia="宋体" w:cs="Times New Roman"/>
          <w:szCs w:val="20"/>
        </w:rPr>
      </w:pPr>
      <w:r>
        <w:rPr>
          <w:rFonts w:hint="eastAsia" w:ascii="宋体" w:hAnsi="宋体" w:eastAsia="宋体" w:cs="Times New Roman"/>
          <w:szCs w:val="20"/>
        </w:rPr>
        <w:t>⑵</w:t>
      </w:r>
      <w:r>
        <w:rPr>
          <w:rFonts w:hint="eastAsia" w:ascii="宋体" w:hAnsi="Courier New" w:eastAsia="宋体" w:cs="Times New Roman"/>
          <w:szCs w:val="20"/>
        </w:rPr>
        <w:t>缴纳方式：电汇或网银，投标保证金应从基本账户转入</w:t>
      </w:r>
      <w:r>
        <w:rPr>
          <w:rFonts w:hint="eastAsia" w:cs="Times New Roman"/>
          <w:szCs w:val="20"/>
          <w:lang w:eastAsia="zh-CN"/>
        </w:rPr>
        <w:t>，</w:t>
      </w:r>
      <w:r>
        <w:rPr>
          <w:rFonts w:hint="eastAsia"/>
          <w:szCs w:val="22"/>
          <w:highlight w:val="none"/>
        </w:rPr>
        <w:t>需备注“</w:t>
      </w:r>
      <w:r>
        <w:rPr>
          <w:rFonts w:hint="eastAsia"/>
          <w:szCs w:val="22"/>
          <w:highlight w:val="none"/>
          <w:lang w:val="en-US" w:eastAsia="zh-CN"/>
        </w:rPr>
        <w:t>抗磨液压油、齿轮油过滤</w:t>
      </w:r>
      <w:r>
        <w:rPr>
          <w:rFonts w:hint="eastAsia"/>
          <w:szCs w:val="22"/>
          <w:highlight w:val="none"/>
        </w:rPr>
        <w:t>”</w:t>
      </w:r>
      <w:r>
        <w:rPr>
          <w:rFonts w:hint="eastAsia"/>
          <w:highlight w:val="none"/>
        </w:rPr>
        <w:t>；</w:t>
      </w:r>
    </w:p>
    <w:p w14:paraId="0AF5DA87">
      <w:pPr>
        <w:spacing w:line="360" w:lineRule="auto"/>
        <w:ind w:firstLine="420" w:firstLineChars="200"/>
        <w:rPr>
          <w:rFonts w:ascii="宋体" w:hAnsi="Courier New" w:eastAsia="宋体" w:cs="Times New Roman"/>
          <w:szCs w:val="20"/>
        </w:rPr>
      </w:pPr>
      <w:r>
        <w:rPr>
          <w:rFonts w:hint="eastAsia" w:ascii="宋体" w:hAnsi="宋体" w:eastAsia="宋体" w:cs="Times New Roman"/>
          <w:szCs w:val="20"/>
        </w:rPr>
        <w:t>⑶</w:t>
      </w:r>
      <w:r>
        <w:rPr>
          <w:rFonts w:hint="eastAsia" w:ascii="宋体" w:hAnsi="Courier New" w:eastAsia="宋体" w:cs="Times New Roman"/>
          <w:szCs w:val="20"/>
        </w:rPr>
        <w:t>接收单位：</w:t>
      </w:r>
      <w:bookmarkStart w:id="1" w:name="OLE_LINK2"/>
      <w:r>
        <w:rPr>
          <w:rFonts w:hint="eastAsia" w:ascii="宋体" w:hAnsi="Courier New" w:eastAsia="宋体" w:cs="Times New Roman"/>
          <w:szCs w:val="20"/>
          <w:lang w:val="en-US" w:eastAsia="zh-CN"/>
        </w:rPr>
        <w:t>中国重汽集团济南动力有限公司</w:t>
      </w:r>
      <w:bookmarkEnd w:id="1"/>
      <w:r>
        <w:rPr>
          <w:rFonts w:hint="eastAsia" w:ascii="宋体" w:hAnsi="Courier New" w:eastAsia="宋体" w:cs="Times New Roman"/>
          <w:szCs w:val="20"/>
        </w:rPr>
        <w:t>；</w:t>
      </w:r>
    </w:p>
    <w:p w14:paraId="249B2D18">
      <w:pPr>
        <w:spacing w:line="360" w:lineRule="auto"/>
        <w:ind w:firstLine="420" w:firstLineChars="200"/>
        <w:rPr>
          <w:rFonts w:ascii="宋体" w:hAnsi="Courier New" w:eastAsia="宋体" w:cs="Times New Roman"/>
          <w:szCs w:val="20"/>
        </w:rPr>
      </w:pPr>
      <w:r>
        <w:rPr>
          <w:rFonts w:hint="eastAsia" w:ascii="宋体" w:hAnsi="宋体" w:eastAsia="宋体" w:cs="Times New Roman"/>
          <w:szCs w:val="20"/>
        </w:rPr>
        <w:t>⑷</w:t>
      </w:r>
      <w:r>
        <w:rPr>
          <w:rFonts w:hint="eastAsia" w:ascii="宋体" w:hAnsi="Courier New" w:eastAsia="宋体" w:cs="Times New Roman"/>
          <w:szCs w:val="20"/>
        </w:rPr>
        <w:t>转账信息：</w:t>
      </w:r>
    </w:p>
    <w:tbl>
      <w:tblPr>
        <w:tblStyle w:val="19"/>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F12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20BB7A77">
            <w:pPr>
              <w:pStyle w:val="10"/>
              <w:ind w:firstLine="420" w:firstLineChars="200"/>
              <w:rPr>
                <w:rFonts w:hint="default" w:ascii="宋体" w:hAnsi="Courier New" w:eastAsia="宋体" w:cs="Times New Roman"/>
                <w:color w:val="FF0000"/>
                <w:szCs w:val="20"/>
                <w:lang w:val="en-US" w:eastAsia="zh-CN"/>
              </w:rPr>
            </w:pPr>
            <w:r>
              <w:rPr>
                <w:rFonts w:hint="eastAsia"/>
              </w:rPr>
              <w:t>开户银行：</w:t>
            </w:r>
            <w:r>
              <w:rPr>
                <w:rFonts w:hint="eastAsia"/>
                <w:lang w:val="en-US" w:eastAsia="zh-CN"/>
              </w:rPr>
              <w:t>中国建设银行股份有限公司济南天桥支行</w:t>
            </w:r>
          </w:p>
        </w:tc>
      </w:tr>
      <w:tr w14:paraId="1B7A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746DA85B">
            <w:pPr>
              <w:pStyle w:val="10"/>
              <w:ind w:firstLine="420" w:firstLineChars="200"/>
              <w:rPr>
                <w:rFonts w:ascii="宋体" w:hAnsi="Courier New" w:eastAsia="宋体" w:cs="Times New Roman"/>
                <w:color w:val="FF0000"/>
                <w:szCs w:val="20"/>
              </w:rPr>
            </w:pPr>
            <w:r>
              <w:rPr>
                <w:rFonts w:hint="eastAsia"/>
              </w:rPr>
              <w:t>户名：</w:t>
            </w:r>
            <w:r>
              <w:rPr>
                <w:rFonts w:hint="eastAsia" w:ascii="宋体" w:hAnsi="Courier New" w:eastAsia="宋体" w:cs="Times New Roman"/>
                <w:szCs w:val="20"/>
                <w:lang w:val="en-US" w:eastAsia="zh-CN"/>
              </w:rPr>
              <w:t>中国重汽集团济南动力有限公司</w:t>
            </w:r>
          </w:p>
        </w:tc>
      </w:tr>
      <w:tr w14:paraId="33FC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77113512">
            <w:pPr>
              <w:pStyle w:val="10"/>
              <w:ind w:firstLine="420" w:firstLineChars="200"/>
              <w:rPr>
                <w:rFonts w:hint="default" w:ascii="宋体" w:hAnsi="Courier New" w:eastAsia="宋体" w:cs="Times New Roman"/>
                <w:color w:val="FF0000"/>
                <w:szCs w:val="20"/>
                <w:lang w:val="en-US"/>
              </w:rPr>
            </w:pPr>
            <w:r>
              <w:rPr>
                <w:rFonts w:hint="eastAsia"/>
              </w:rPr>
              <w:t>账号：</w:t>
            </w:r>
            <w:r>
              <w:rPr>
                <w:rFonts w:hint="eastAsia"/>
                <w:lang w:val="en-US" w:eastAsia="zh-CN"/>
              </w:rPr>
              <w:t>37001616508050150300</w:t>
            </w:r>
          </w:p>
        </w:tc>
      </w:tr>
      <w:tr w14:paraId="31DE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4C240910">
            <w:pPr>
              <w:pStyle w:val="10"/>
              <w:ind w:firstLine="420" w:firstLineChars="200"/>
              <w:rPr>
                <w:rFonts w:ascii="宋体" w:hAnsi="Courier New" w:eastAsia="宋体" w:cs="Times New Roman"/>
                <w:color w:val="FF0000"/>
                <w:szCs w:val="20"/>
              </w:rPr>
            </w:pPr>
            <w:r>
              <w:rPr>
                <w:rFonts w:hint="eastAsia"/>
              </w:rPr>
              <w:t>纳税人识别号：</w:t>
            </w:r>
            <w:r>
              <w:rPr>
                <w:rFonts w:hint="eastAsia"/>
                <w:color w:val="auto"/>
              </w:rPr>
              <w:t>91370100787411873C</w:t>
            </w:r>
          </w:p>
        </w:tc>
      </w:tr>
    </w:tbl>
    <w:p w14:paraId="3B852430">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⑸保证金截止时间：</w:t>
      </w:r>
      <w:r>
        <w:rPr>
          <w:rFonts w:hint="eastAsia" w:ascii="宋体" w:hAnsi="Courier New" w:eastAsia="宋体" w:cs="Times New Roman"/>
          <w:szCs w:val="20"/>
          <w:highlight w:val="none"/>
        </w:rPr>
        <w:t>202</w:t>
      </w:r>
      <w:r>
        <w:rPr>
          <w:rFonts w:hint="eastAsia" w:ascii="宋体" w:hAnsi="Courier New" w:eastAsia="宋体" w:cs="Times New Roman"/>
          <w:szCs w:val="20"/>
          <w:highlight w:val="none"/>
          <w:lang w:val="en-US" w:eastAsia="zh-CN"/>
        </w:rPr>
        <w:t>6</w:t>
      </w:r>
      <w:r>
        <w:rPr>
          <w:rFonts w:hint="eastAsia" w:ascii="宋体" w:hAnsi="Courier New" w:eastAsia="宋体" w:cs="Times New Roman"/>
          <w:szCs w:val="20"/>
          <w:highlight w:val="none"/>
        </w:rPr>
        <w:t>年</w:t>
      </w:r>
      <w:r>
        <w:rPr>
          <w:rFonts w:hint="eastAsia" w:ascii="宋体" w:hAnsi="Courier New" w:eastAsia="宋体" w:cs="Times New Roman"/>
          <w:szCs w:val="20"/>
          <w:highlight w:val="none"/>
          <w:lang w:val="en-US" w:eastAsia="zh-CN"/>
        </w:rPr>
        <w:t>10</w:t>
      </w:r>
      <w:r>
        <w:rPr>
          <w:rFonts w:hint="eastAsia" w:ascii="宋体" w:hAnsi="Courier New" w:eastAsia="宋体" w:cs="Times New Roman"/>
          <w:szCs w:val="20"/>
          <w:highlight w:val="none"/>
        </w:rPr>
        <w:t>月</w:t>
      </w:r>
      <w:r>
        <w:rPr>
          <w:rFonts w:hint="eastAsia" w:ascii="宋体" w:hAnsi="Courier New" w:eastAsia="宋体" w:cs="Times New Roman"/>
          <w:szCs w:val="20"/>
          <w:highlight w:val="none"/>
          <w:lang w:val="en-US" w:eastAsia="zh-CN"/>
        </w:rPr>
        <w:t>11</w:t>
      </w:r>
      <w:r>
        <w:rPr>
          <w:rFonts w:hint="eastAsia" w:ascii="宋体" w:hAnsi="Courier New" w:eastAsia="宋体" w:cs="Times New Roman"/>
          <w:szCs w:val="20"/>
          <w:highlight w:val="none"/>
        </w:rPr>
        <w:t>日17时</w:t>
      </w:r>
      <w:r>
        <w:rPr>
          <w:rFonts w:ascii="宋体" w:hAnsi="Courier New" w:eastAsia="宋体" w:cs="Times New Roman"/>
          <w:szCs w:val="20"/>
          <w:highlight w:val="none"/>
        </w:rPr>
        <w:t>00</w:t>
      </w:r>
      <w:r>
        <w:rPr>
          <w:rFonts w:hint="eastAsia" w:ascii="宋体" w:hAnsi="Courier New" w:eastAsia="宋体" w:cs="Times New Roman"/>
          <w:szCs w:val="20"/>
          <w:highlight w:val="none"/>
        </w:rPr>
        <w:t>分前</w:t>
      </w:r>
    </w:p>
    <w:p w14:paraId="300C78F9">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⑹说明：</w:t>
      </w:r>
    </w:p>
    <w:p w14:paraId="0FBC8690">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(a)无正当理由随意放弃投标、</w:t>
      </w:r>
      <w:r>
        <w:rPr>
          <w:rFonts w:ascii="宋体" w:hAnsi="Courier New" w:eastAsia="宋体" w:cs="Times New Roman"/>
          <w:szCs w:val="20"/>
        </w:rPr>
        <w:t>撤销投标文件</w:t>
      </w:r>
      <w:r>
        <w:rPr>
          <w:rFonts w:hint="eastAsia" w:ascii="宋体" w:hAnsi="Courier New" w:eastAsia="宋体" w:cs="Times New Roman"/>
          <w:szCs w:val="20"/>
        </w:rPr>
        <w:t>、</w:t>
      </w:r>
      <w:r>
        <w:rPr>
          <w:rFonts w:ascii="宋体" w:hAnsi="Courier New" w:eastAsia="宋体" w:cs="Times New Roman"/>
          <w:szCs w:val="20"/>
        </w:rPr>
        <w:t>中标后</w:t>
      </w:r>
      <w:r>
        <w:rPr>
          <w:rFonts w:hint="eastAsia" w:ascii="宋体" w:hAnsi="Courier New" w:eastAsia="宋体" w:cs="Times New Roman"/>
          <w:szCs w:val="20"/>
        </w:rPr>
        <w:t>无</w:t>
      </w:r>
      <w:r>
        <w:rPr>
          <w:rFonts w:ascii="宋体" w:hAnsi="Courier New" w:eastAsia="宋体" w:cs="Times New Roman"/>
          <w:szCs w:val="20"/>
        </w:rPr>
        <w:t>正当理由</w:t>
      </w:r>
      <w:r>
        <w:rPr>
          <w:rFonts w:hint="eastAsia" w:ascii="宋体" w:hAnsi="Courier New" w:eastAsia="宋体" w:cs="Times New Roman"/>
          <w:szCs w:val="20"/>
        </w:rPr>
        <w:t>拒签</w:t>
      </w:r>
      <w:r>
        <w:rPr>
          <w:rFonts w:ascii="宋体" w:hAnsi="Courier New" w:eastAsia="宋体" w:cs="Times New Roman"/>
          <w:szCs w:val="20"/>
        </w:rPr>
        <w:t>合同</w:t>
      </w:r>
      <w:r>
        <w:rPr>
          <w:rFonts w:hint="eastAsia" w:ascii="宋体" w:hAnsi="Courier New" w:eastAsia="宋体" w:cs="Times New Roman"/>
          <w:szCs w:val="20"/>
        </w:rPr>
        <w:t>、</w:t>
      </w:r>
      <w:r>
        <w:rPr>
          <w:rFonts w:ascii="宋体" w:hAnsi="Courier New" w:eastAsia="宋体" w:cs="Times New Roman"/>
          <w:szCs w:val="20"/>
        </w:rPr>
        <w:t>在签订合同时向招标人</w:t>
      </w:r>
      <w:r>
        <w:rPr>
          <w:rFonts w:hint="eastAsia" w:ascii="宋体" w:hAnsi="Courier New" w:eastAsia="宋体" w:cs="Times New Roman"/>
          <w:szCs w:val="20"/>
        </w:rPr>
        <w:t>或合同签订单位</w:t>
      </w:r>
      <w:r>
        <w:rPr>
          <w:rFonts w:ascii="宋体" w:hAnsi="Courier New" w:eastAsia="宋体" w:cs="Times New Roman"/>
          <w:szCs w:val="20"/>
        </w:rPr>
        <w:t>提出</w:t>
      </w:r>
      <w:r>
        <w:rPr>
          <w:rFonts w:hint="eastAsia" w:ascii="宋体" w:hAnsi="Courier New" w:eastAsia="宋体" w:cs="Times New Roman"/>
          <w:szCs w:val="20"/>
        </w:rPr>
        <w:t>无理</w:t>
      </w:r>
      <w:r>
        <w:rPr>
          <w:rFonts w:ascii="宋体" w:hAnsi="Courier New" w:eastAsia="宋体" w:cs="Times New Roman"/>
          <w:szCs w:val="20"/>
        </w:rPr>
        <w:t>附加条件</w:t>
      </w:r>
      <w:r>
        <w:rPr>
          <w:rFonts w:hint="eastAsia" w:ascii="宋体" w:hAnsi="Courier New" w:eastAsia="宋体" w:cs="Times New Roman"/>
          <w:szCs w:val="20"/>
        </w:rPr>
        <w:t>的，</w:t>
      </w:r>
      <w:r>
        <w:rPr>
          <w:rFonts w:ascii="宋体" w:hAnsi="Courier New" w:eastAsia="宋体" w:cs="Times New Roman"/>
          <w:szCs w:val="20"/>
        </w:rPr>
        <w:t>投标保证金不予返还</w:t>
      </w:r>
      <w:r>
        <w:rPr>
          <w:rFonts w:hint="eastAsia" w:ascii="宋体" w:hAnsi="Courier New" w:eastAsia="宋体" w:cs="Times New Roman"/>
          <w:szCs w:val="20"/>
        </w:rPr>
        <w:t>，该投标人2</w:t>
      </w:r>
      <w:r>
        <w:rPr>
          <w:rFonts w:ascii="宋体" w:hAnsi="Courier New" w:eastAsia="宋体" w:cs="Times New Roman"/>
          <w:szCs w:val="20"/>
        </w:rPr>
        <w:t>年</w:t>
      </w:r>
      <w:r>
        <w:rPr>
          <w:rFonts w:hint="eastAsia" w:ascii="宋体" w:hAnsi="Courier New" w:eastAsia="宋体" w:cs="Times New Roman"/>
          <w:szCs w:val="20"/>
        </w:rPr>
        <w:t>不得参与招标人组织的招投标项目。不存在以上违规情况的投标人，</w:t>
      </w:r>
      <w:r>
        <w:rPr>
          <w:rFonts w:ascii="宋体" w:hAnsi="Courier New" w:eastAsia="宋体" w:cs="Times New Roman"/>
          <w:szCs w:val="20"/>
        </w:rPr>
        <w:t>招标人</w:t>
      </w:r>
      <w:r>
        <w:rPr>
          <w:rFonts w:hint="eastAsia" w:ascii="宋体" w:hAnsi="Courier New" w:eastAsia="宋体" w:cs="Times New Roman"/>
          <w:szCs w:val="20"/>
        </w:rPr>
        <w:t>按照退款程序，按投标人（除中标人外）所提供的</w:t>
      </w:r>
      <w:r>
        <w:rPr>
          <w:rFonts w:hint="eastAsia" w:ascii="宋体" w:hAnsi="宋体" w:eastAsia="宋体" w:cs="Times New Roman"/>
          <w:szCs w:val="20"/>
        </w:rPr>
        <w:t>投标保证金退付表</w:t>
      </w:r>
      <w:r>
        <w:rPr>
          <w:rFonts w:hint="eastAsia" w:ascii="宋体" w:hAnsi="Courier New" w:eastAsia="宋体" w:cs="Times New Roman"/>
          <w:szCs w:val="20"/>
        </w:rPr>
        <w:t>退还</w:t>
      </w:r>
      <w:r>
        <w:rPr>
          <w:rFonts w:ascii="宋体" w:hAnsi="Courier New" w:eastAsia="宋体" w:cs="Times New Roman"/>
          <w:szCs w:val="20"/>
        </w:rPr>
        <w:t>投标保证金</w:t>
      </w:r>
      <w:r>
        <w:rPr>
          <w:rFonts w:hint="eastAsia" w:ascii="宋体" w:hAnsi="Courier New" w:eastAsia="宋体" w:cs="Times New Roman"/>
          <w:szCs w:val="20"/>
        </w:rPr>
        <w:t>（本金，不计息）。</w:t>
      </w:r>
      <w:r>
        <w:rPr>
          <w:rFonts w:hint="eastAsia" w:ascii="宋体" w:hAnsi="宋体" w:eastAsia="宋体" w:cs="Times New Roman"/>
          <w:szCs w:val="20"/>
        </w:rPr>
        <w:t>（详见 “三、投标文件格式要求”之格式8相关要求）</w:t>
      </w:r>
    </w:p>
    <w:p w14:paraId="4C25CB74">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(b)投标人在向招标人出示《投标保证金缴纳凭证》后方可进行投标。</w:t>
      </w:r>
    </w:p>
    <w:p w14:paraId="69F8446D">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(c)发生以下情况时，项目实施单位有权没收保证金：</w:t>
      </w:r>
    </w:p>
    <w:p w14:paraId="1B0FF6D0">
      <w:pPr>
        <w:spacing w:line="360" w:lineRule="auto"/>
        <w:ind w:left="1260" w:leftChars="400" w:hanging="420" w:hangingChars="200"/>
        <w:rPr>
          <w:rFonts w:ascii="宋体" w:hAnsi="Courier New" w:eastAsia="宋体" w:cs="Times New Roman"/>
          <w:szCs w:val="20"/>
        </w:rPr>
      </w:pPr>
      <w:r>
        <w:rPr>
          <w:rFonts w:hint="eastAsia" w:ascii="宋体" w:hAnsi="Courier New" w:eastAsia="宋体" w:cs="Times New Roman"/>
          <w:szCs w:val="20"/>
        </w:rPr>
        <w:t>a）截至开标前3天，投标人无正当理由且未以书面形式递交说明而在投标截止日不来投标的；</w:t>
      </w:r>
    </w:p>
    <w:p w14:paraId="2E9F753F">
      <w:pPr>
        <w:spacing w:line="360" w:lineRule="auto"/>
        <w:ind w:left="420" w:leftChars="200" w:firstLine="420" w:firstLineChars="200"/>
        <w:rPr>
          <w:rFonts w:ascii="宋体" w:hAnsi="Courier New" w:eastAsia="宋体" w:cs="Times New Roman"/>
          <w:szCs w:val="20"/>
        </w:rPr>
      </w:pPr>
      <w:r>
        <w:rPr>
          <w:rFonts w:hint="eastAsia" w:ascii="宋体" w:hAnsi="Courier New" w:eastAsia="宋体" w:cs="Times New Roman"/>
          <w:szCs w:val="20"/>
        </w:rPr>
        <w:t>b）投标人递送投标文件后，无正当理由放弃投标的；</w:t>
      </w:r>
    </w:p>
    <w:p w14:paraId="4C828F65">
      <w:pPr>
        <w:spacing w:line="360" w:lineRule="auto"/>
        <w:ind w:left="420" w:leftChars="200" w:firstLine="420" w:firstLineChars="200"/>
        <w:rPr>
          <w:rFonts w:ascii="宋体" w:hAnsi="Courier New" w:eastAsia="宋体" w:cs="Times New Roman"/>
          <w:szCs w:val="20"/>
        </w:rPr>
      </w:pPr>
      <w:r>
        <w:rPr>
          <w:rFonts w:hint="eastAsia" w:ascii="宋体" w:hAnsi="Courier New" w:eastAsia="宋体" w:cs="Times New Roman"/>
          <w:szCs w:val="20"/>
        </w:rPr>
        <w:t>c）自中标通知书发出之日起30日内，中标人无正当理由不签订合同的；</w:t>
      </w:r>
    </w:p>
    <w:p w14:paraId="64CD877C">
      <w:pPr>
        <w:spacing w:line="360" w:lineRule="auto"/>
        <w:ind w:left="420" w:leftChars="200" w:firstLine="420" w:firstLineChars="200"/>
        <w:rPr>
          <w:rFonts w:ascii="宋体" w:hAnsi="Courier New" w:eastAsia="宋体" w:cs="Times New Roman"/>
          <w:szCs w:val="20"/>
        </w:rPr>
      </w:pPr>
      <w:r>
        <w:rPr>
          <w:rFonts w:hint="eastAsia" w:ascii="宋体" w:hAnsi="Courier New" w:eastAsia="宋体" w:cs="Times New Roman"/>
          <w:szCs w:val="20"/>
        </w:rPr>
        <w:t>d）投标人在投标过程中被查实有串标、围标、陪标等违规违纪行为的；</w:t>
      </w:r>
    </w:p>
    <w:p w14:paraId="6B6B8DDB">
      <w:pPr>
        <w:spacing w:line="360" w:lineRule="auto"/>
        <w:ind w:left="1050" w:leftChars="400" w:hanging="210" w:hangingChars="100"/>
        <w:rPr>
          <w:rFonts w:ascii="宋体" w:hAnsi="Courier New" w:eastAsia="宋体" w:cs="Times New Roman"/>
          <w:szCs w:val="20"/>
        </w:rPr>
      </w:pPr>
      <w:r>
        <w:rPr>
          <w:rFonts w:hint="eastAsia" w:ascii="宋体" w:hAnsi="Courier New" w:eastAsia="宋体" w:cs="Times New Roman"/>
          <w:szCs w:val="20"/>
        </w:rPr>
        <w:t>e）投标人有违约违规行为或被投诉、举报的，在调查处理期间，保证金暂不退还，待调查处理结束后按有关规定处理。</w:t>
      </w:r>
    </w:p>
    <w:p w14:paraId="315CFE51">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2.开标</w:t>
      </w:r>
    </w:p>
    <w:p w14:paraId="65288EDF">
      <w:pPr>
        <w:pStyle w:val="10"/>
        <w:spacing w:line="360" w:lineRule="auto"/>
        <w:ind w:firstLine="420" w:firstLineChars="200"/>
      </w:pPr>
      <w:r>
        <w:rPr>
          <w:rFonts w:hint="eastAsia"/>
        </w:rPr>
        <w:t>（1）本次招标的开标、评标由招标人依法组织实施，本次招标采用技术标和商务标分级开标的模式。</w:t>
      </w:r>
    </w:p>
    <w:p w14:paraId="773180B6">
      <w:pPr>
        <w:pStyle w:val="10"/>
        <w:spacing w:line="360" w:lineRule="auto"/>
        <w:ind w:firstLine="420" w:firstLineChars="200"/>
      </w:pPr>
      <w:r>
        <w:rPr>
          <w:rFonts w:hint="eastAsia"/>
        </w:rPr>
        <w:t>（2）本项目开标时间和地点见投标人须知前附表。开标会议由招标人组织并主持。招标人邀请各投标人派员参加开标会议。投标人未参加开标的，视同认可开标结果。</w:t>
      </w:r>
    </w:p>
    <w:p w14:paraId="1278469F">
      <w:pPr>
        <w:pStyle w:val="10"/>
        <w:spacing w:line="360" w:lineRule="auto"/>
        <w:ind w:firstLine="420" w:firstLineChars="200"/>
      </w:pPr>
      <w:r>
        <w:rPr>
          <w:rFonts w:hint="eastAsia"/>
        </w:rPr>
        <w:t>（3）开标程序</w:t>
      </w:r>
    </w:p>
    <w:p w14:paraId="5D01AD6E">
      <w:pPr>
        <w:pStyle w:val="10"/>
        <w:spacing w:line="360" w:lineRule="auto"/>
        <w:ind w:firstLine="420" w:firstLineChars="200"/>
      </w:pPr>
      <w:r>
        <w:rPr>
          <w:rFonts w:hint="eastAsia"/>
        </w:rPr>
        <w:t>（a）宣布开标会议开始。</w:t>
      </w:r>
    </w:p>
    <w:p w14:paraId="0C2A95AE">
      <w:pPr>
        <w:pStyle w:val="10"/>
        <w:spacing w:line="360" w:lineRule="auto"/>
        <w:ind w:firstLine="420" w:firstLineChars="200"/>
      </w:pPr>
      <w:r>
        <w:rPr>
          <w:rFonts w:hint="eastAsia"/>
        </w:rPr>
        <w:t>（b）介绍与会人员。</w:t>
      </w:r>
    </w:p>
    <w:p w14:paraId="3F84407C">
      <w:pPr>
        <w:pStyle w:val="10"/>
        <w:spacing w:line="360" w:lineRule="auto"/>
        <w:ind w:firstLine="420" w:firstLineChars="200"/>
      </w:pPr>
      <w:r>
        <w:rPr>
          <w:rFonts w:hint="eastAsia"/>
        </w:rPr>
        <w:t>（c）核验投标人资格证件。</w:t>
      </w:r>
    </w:p>
    <w:p w14:paraId="17726292">
      <w:pPr>
        <w:pStyle w:val="10"/>
        <w:spacing w:line="360" w:lineRule="auto"/>
        <w:ind w:firstLine="420" w:firstLineChars="200"/>
      </w:pPr>
      <w:r>
        <w:rPr>
          <w:rFonts w:hint="eastAsia"/>
        </w:rPr>
        <w:t>（d）投标人或投标人推选的代表对投标文件密封情况进行检查（投标人未参加开标会议的，视同认可投标文件密封完好）。</w:t>
      </w:r>
    </w:p>
    <w:p w14:paraId="7E56597D">
      <w:pPr>
        <w:pStyle w:val="10"/>
        <w:spacing w:line="360" w:lineRule="auto"/>
        <w:ind w:firstLine="420" w:firstLineChars="200"/>
      </w:pPr>
      <w:r>
        <w:rPr>
          <w:rFonts w:hint="eastAsia"/>
        </w:rPr>
        <w:t>（e）经确认无误后，由工作人员当众拆封，先拆启技术标书，开标一览表及商务标书暂时不拆启，由招标人指定专人保管。由评标专家组对所有投标方的技术方案进行综合评定和打分，确定进入商务标评阶段的投标方。</w:t>
      </w:r>
    </w:p>
    <w:p w14:paraId="1FB34C98">
      <w:pPr>
        <w:pStyle w:val="10"/>
        <w:spacing w:line="360" w:lineRule="auto"/>
        <w:ind w:firstLine="420" w:firstLineChars="200"/>
      </w:pPr>
      <w:r>
        <w:rPr>
          <w:rFonts w:hint="eastAsia"/>
        </w:rPr>
        <w:t>（f）根据技术标评审结果，通知未进入商务标评标资格的投标方离场，当众拆启进入商务标评标资格单位的开标一览表，宣读投标人名称、投标价格和投标文件的其他主要内容，投标人授权代表现场确认无误后进行商务标的评标，同技术入围投标方进行多轮商务谈判，筛选商务评分优的进入下一轮；</w:t>
      </w:r>
    </w:p>
    <w:p w14:paraId="50FD98A0">
      <w:pPr>
        <w:spacing w:line="360" w:lineRule="auto"/>
        <w:ind w:firstLine="420" w:firstLineChars="200"/>
        <w:rPr>
          <w:rFonts w:hint="eastAsia"/>
        </w:rPr>
      </w:pPr>
      <w:r>
        <w:rPr>
          <w:rFonts w:hint="eastAsia"/>
        </w:rPr>
        <w:t>（g）</w:t>
      </w:r>
      <w:r>
        <w:rPr>
          <w:rFonts w:hint="eastAsia"/>
          <w:b/>
          <w:bCs/>
          <w:color w:val="FF0000"/>
          <w:highlight w:val="none"/>
        </w:rPr>
        <w:t>技术标评分带入商务标，按照</w:t>
      </w:r>
      <w:r>
        <w:rPr>
          <w:rFonts w:hint="eastAsia"/>
          <w:b/>
          <w:bCs/>
          <w:color w:val="FF0000"/>
          <w:highlight w:val="none"/>
          <w:lang w:val="en-US" w:eastAsia="zh-CN"/>
        </w:rPr>
        <w:t>综合评标</w:t>
      </w:r>
      <w:r>
        <w:rPr>
          <w:rFonts w:hint="eastAsia"/>
          <w:b/>
          <w:bCs/>
          <w:color w:val="FF0000"/>
          <w:highlight w:val="none"/>
        </w:rPr>
        <w:t>选择中标厂家。</w:t>
      </w:r>
    </w:p>
    <w:p w14:paraId="6643ED16">
      <w:pPr>
        <w:spacing w:line="360" w:lineRule="auto"/>
        <w:ind w:firstLine="420" w:firstLineChars="200"/>
        <w:rPr>
          <w:rFonts w:hint="eastAsia"/>
        </w:rPr>
      </w:pPr>
      <w:r>
        <w:rPr>
          <w:rFonts w:hint="eastAsia"/>
        </w:rPr>
        <w:t>（h）招标人有权根据项目情况，采取多级评标模式，最终确定投标人排序。</w:t>
      </w:r>
    </w:p>
    <w:p w14:paraId="08D2E902">
      <w:pPr>
        <w:spacing w:line="360" w:lineRule="auto"/>
        <w:ind w:firstLine="420" w:firstLineChars="200"/>
        <w:rPr>
          <w:rFonts w:hint="eastAsia"/>
        </w:rPr>
      </w:pPr>
      <w:r>
        <w:rPr>
          <w:rFonts w:hint="eastAsia"/>
        </w:rPr>
        <w:t>（i）投标前请各投标方按照招标文件要求对项目方案进行充分准备，投标单位已默认认可上述开标、评标过程，无异议。招标人无义务对未入围投标方及未中标方做任何解释。</w:t>
      </w:r>
    </w:p>
    <w:p w14:paraId="55C84567">
      <w:pPr>
        <w:spacing w:line="360" w:lineRule="auto"/>
        <w:ind w:firstLine="420" w:firstLineChars="200"/>
        <w:rPr>
          <w:rFonts w:hint="default" w:eastAsiaTheme="minorEastAsia"/>
          <w:b/>
          <w:bCs/>
          <w:color w:val="FF0000"/>
          <w:lang w:val="en-US" w:eastAsia="zh-CN"/>
        </w:rPr>
      </w:pPr>
      <w:r>
        <w:rPr>
          <w:rFonts w:hint="eastAsia"/>
        </w:rPr>
        <w:t>(4)所有报价货币单位均为价货币单位均为：元（人民币，不含税）,税率（   %），元（人民币，含税）。</w:t>
      </w:r>
      <w:r>
        <w:rPr>
          <w:rFonts w:hint="eastAsia"/>
          <w:b/>
          <w:bCs/>
          <w:color w:val="FF0000"/>
          <w:highlight w:val="none"/>
        </w:rPr>
        <w:t>具体单项报价按招标明细内基价相同比例调整</w:t>
      </w:r>
      <w:r>
        <w:rPr>
          <w:rFonts w:hint="eastAsia"/>
          <w:b/>
          <w:bCs/>
          <w:color w:val="FF0000"/>
          <w:lang w:eastAsia="zh-CN"/>
        </w:rPr>
        <w:t>，</w:t>
      </w:r>
      <w:r>
        <w:rPr>
          <w:rFonts w:hint="eastAsia"/>
          <w:b/>
          <w:bCs/>
          <w:color w:val="FF0000"/>
          <w:lang w:val="en-US" w:eastAsia="zh-CN"/>
        </w:rPr>
        <w:t>项目限价含税71.5076万元，税率6%。</w:t>
      </w:r>
    </w:p>
    <w:p w14:paraId="6BFDB351">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3.评标</w:t>
      </w:r>
    </w:p>
    <w:p w14:paraId="6FD7C3F2">
      <w:pPr>
        <w:spacing w:line="360" w:lineRule="auto"/>
        <w:ind w:firstLine="420" w:firstLineChars="200"/>
        <w:rPr>
          <w:rFonts w:ascii="宋体" w:hAnsi="Courier New" w:eastAsia="宋体" w:cs="Times New Roman"/>
          <w:szCs w:val="20"/>
        </w:rPr>
      </w:pPr>
      <w:r>
        <w:rPr>
          <w:rFonts w:hint="eastAsia" w:ascii="宋体" w:hAnsi="宋体" w:eastAsia="宋体" w:cs="Times New Roman"/>
          <w:szCs w:val="21"/>
        </w:rPr>
        <w:t>评标工作由招标人为该项目依法组织的、由三人及以上单数成员（视标的额大小按规定确定专家人数）组成的评标工作小组负责，参照以下评分标准，</w:t>
      </w:r>
      <w:r>
        <w:rPr>
          <w:rFonts w:hint="eastAsia" w:ascii="宋体" w:hAnsi="Courier New" w:eastAsia="宋体" w:cs="Times New Roman"/>
          <w:szCs w:val="20"/>
        </w:rPr>
        <w:t>采用综合评定法，即由评标工作小组按照国家招投标有关规定，本着公平、公正、公开、有序的原则，在最大限度地满足招标文件实质性要求的前提下，按照招标文件中规定的各项因素进行综合评审，并根据报价情况同时结合项目需求，依据本招标书列示的相关报价规则，本项目采用多级评标模式，投标方须多轮报价，按需</w:t>
      </w:r>
      <w:r>
        <w:rPr>
          <w:rFonts w:hint="eastAsia" w:ascii="宋体" w:hAnsi="宋体" w:eastAsia="宋体" w:cs="Times New Roman"/>
          <w:szCs w:val="21"/>
        </w:rPr>
        <w:t>确定中标候选人及中标项目，</w:t>
      </w:r>
      <w:r>
        <w:rPr>
          <w:rFonts w:hint="eastAsia" w:ascii="宋体" w:hAnsi="宋体" w:eastAsia="宋体" w:cs="Times New Roman"/>
          <w:b w:val="0"/>
          <w:bCs/>
          <w:szCs w:val="21"/>
        </w:rPr>
        <w:t>对未中标人不做任何解释</w:t>
      </w:r>
      <w:r>
        <w:rPr>
          <w:rFonts w:hint="eastAsia" w:ascii="宋体" w:hAnsi="Courier New" w:eastAsia="宋体" w:cs="Times New Roman"/>
          <w:b w:val="0"/>
          <w:bCs/>
          <w:szCs w:val="20"/>
        </w:rPr>
        <w:t>。</w:t>
      </w:r>
    </w:p>
    <w:p w14:paraId="04A0C56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4.评分标准</w:t>
      </w:r>
    </w:p>
    <w:tbl>
      <w:tblPr>
        <w:tblStyle w:val="19"/>
        <w:tblW w:w="5023" w:type="pct"/>
        <w:jc w:val="center"/>
        <w:tblLayout w:type="fixed"/>
        <w:tblCellMar>
          <w:top w:w="0" w:type="dxa"/>
          <w:left w:w="0" w:type="dxa"/>
          <w:bottom w:w="0" w:type="dxa"/>
          <w:right w:w="0" w:type="dxa"/>
        </w:tblCellMar>
      </w:tblPr>
      <w:tblGrid>
        <w:gridCol w:w="611"/>
        <w:gridCol w:w="495"/>
        <w:gridCol w:w="810"/>
        <w:gridCol w:w="566"/>
        <w:gridCol w:w="6654"/>
      </w:tblGrid>
      <w:tr w14:paraId="76E41E97">
        <w:tblPrEx>
          <w:tblCellMar>
            <w:top w:w="0" w:type="dxa"/>
            <w:left w:w="0" w:type="dxa"/>
            <w:bottom w:w="0" w:type="dxa"/>
            <w:right w:w="0" w:type="dxa"/>
          </w:tblCellMar>
        </w:tblPrEx>
        <w:trPr>
          <w:cantSplit/>
          <w:trHeight w:val="643"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216A6BD">
            <w:pPr>
              <w:widowControl/>
              <w:jc w:val="center"/>
              <w:textAlignment w:val="center"/>
              <w:rPr>
                <w:rFonts w:ascii="宋体" w:cs="宋体"/>
                <w:kern w:val="0"/>
                <w:szCs w:val="21"/>
              </w:rPr>
            </w:pPr>
            <w:r>
              <w:rPr>
                <w:rFonts w:hint="eastAsia" w:ascii="宋体" w:cs="宋体"/>
                <w:kern w:val="0"/>
                <w:szCs w:val="21"/>
              </w:rPr>
              <w:t>评标</w:t>
            </w:r>
          </w:p>
          <w:p w14:paraId="2167E2F8">
            <w:pPr>
              <w:widowControl/>
              <w:jc w:val="center"/>
              <w:textAlignment w:val="center"/>
              <w:rPr>
                <w:rFonts w:ascii="宋体" w:cs="宋体"/>
                <w:szCs w:val="21"/>
              </w:rPr>
            </w:pPr>
            <w:r>
              <w:rPr>
                <w:rFonts w:hint="eastAsia" w:ascii="宋体" w:cs="宋体"/>
                <w:kern w:val="0"/>
                <w:szCs w:val="21"/>
              </w:rPr>
              <w:t>因素</w:t>
            </w:r>
          </w:p>
        </w:tc>
        <w:tc>
          <w:tcPr>
            <w:tcW w:w="271" w:type="pct"/>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4E50202D">
            <w:pPr>
              <w:widowControl/>
              <w:jc w:val="center"/>
              <w:textAlignment w:val="center"/>
              <w:rPr>
                <w:rFonts w:ascii="宋体" w:cs="宋体"/>
                <w:szCs w:val="21"/>
              </w:rPr>
            </w:pPr>
            <w:r>
              <w:rPr>
                <w:rFonts w:hint="eastAsia" w:ascii="宋体" w:cs="宋体"/>
                <w:kern w:val="0"/>
                <w:szCs w:val="21"/>
              </w:rPr>
              <w:t>总分</w:t>
            </w:r>
          </w:p>
        </w:tc>
        <w:tc>
          <w:tcPr>
            <w:tcW w:w="44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C3BCFE4">
            <w:pPr>
              <w:widowControl/>
              <w:jc w:val="center"/>
              <w:textAlignment w:val="center"/>
              <w:rPr>
                <w:rFonts w:ascii="宋体" w:cs="宋体"/>
                <w:szCs w:val="21"/>
              </w:rPr>
            </w:pPr>
            <w:r>
              <w:rPr>
                <w:rFonts w:hint="eastAsia" w:ascii="宋体" w:cs="宋体"/>
                <w:kern w:val="0"/>
                <w:szCs w:val="21"/>
              </w:rPr>
              <w:t>评价内容</w:t>
            </w:r>
          </w:p>
        </w:tc>
        <w:tc>
          <w:tcPr>
            <w:tcW w:w="30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17F5AEF">
            <w:pPr>
              <w:widowControl/>
              <w:jc w:val="center"/>
              <w:textAlignment w:val="center"/>
              <w:rPr>
                <w:rFonts w:ascii="宋体" w:cs="宋体"/>
                <w:kern w:val="0"/>
                <w:szCs w:val="21"/>
              </w:rPr>
            </w:pPr>
            <w:r>
              <w:rPr>
                <w:rFonts w:hint="eastAsia" w:ascii="宋体" w:cs="宋体"/>
                <w:kern w:val="0"/>
                <w:szCs w:val="21"/>
              </w:rPr>
              <w:t>最高</w:t>
            </w:r>
          </w:p>
          <w:p w14:paraId="7322BC9F">
            <w:pPr>
              <w:widowControl/>
              <w:jc w:val="center"/>
              <w:textAlignment w:val="center"/>
              <w:rPr>
                <w:rFonts w:ascii="宋体" w:cs="宋体"/>
                <w:szCs w:val="21"/>
              </w:rPr>
            </w:pPr>
            <w:r>
              <w:rPr>
                <w:rFonts w:hint="eastAsia" w:ascii="宋体" w:cs="宋体"/>
                <w:kern w:val="0"/>
                <w:szCs w:val="21"/>
              </w:rPr>
              <w:t>得分</w:t>
            </w:r>
          </w:p>
        </w:tc>
        <w:tc>
          <w:tcPr>
            <w:tcW w:w="364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FBF061">
            <w:pPr>
              <w:widowControl/>
              <w:jc w:val="center"/>
              <w:textAlignment w:val="center"/>
              <w:rPr>
                <w:rFonts w:ascii="宋体" w:cs="宋体"/>
                <w:szCs w:val="21"/>
              </w:rPr>
            </w:pPr>
            <w:r>
              <w:rPr>
                <w:rFonts w:hint="eastAsia" w:ascii="宋体" w:cs="宋体"/>
                <w:kern w:val="0"/>
                <w:szCs w:val="21"/>
              </w:rPr>
              <w:t>评分标准</w:t>
            </w:r>
          </w:p>
        </w:tc>
      </w:tr>
      <w:tr w14:paraId="47F21930">
        <w:tblPrEx>
          <w:tblCellMar>
            <w:top w:w="0" w:type="dxa"/>
            <w:left w:w="0" w:type="dxa"/>
            <w:bottom w:w="0" w:type="dxa"/>
            <w:right w:w="0" w:type="dxa"/>
          </w:tblCellMar>
        </w:tblPrEx>
        <w:trPr>
          <w:cantSplit/>
          <w:trHeight w:val="1774" w:hRule="atLeast"/>
          <w:jc w:val="center"/>
        </w:trPr>
        <w:tc>
          <w:tcPr>
            <w:tcW w:w="334" w:type="pct"/>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5F0A1EAC">
            <w:pPr>
              <w:widowControl/>
              <w:jc w:val="center"/>
              <w:textAlignment w:val="center"/>
              <w:rPr>
                <w:rFonts w:ascii="宋体" w:cs="宋体"/>
                <w:kern w:val="0"/>
                <w:szCs w:val="21"/>
              </w:rPr>
            </w:pPr>
            <w:r>
              <w:rPr>
                <w:rFonts w:hint="eastAsia" w:ascii="宋体" w:cs="宋体"/>
                <w:kern w:val="0"/>
                <w:szCs w:val="21"/>
              </w:rPr>
              <w:t>技术标</w:t>
            </w:r>
          </w:p>
        </w:tc>
        <w:tc>
          <w:tcPr>
            <w:tcW w:w="271" w:type="pct"/>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471929B7">
            <w:pPr>
              <w:jc w:val="center"/>
              <w:rPr>
                <w:rFonts w:hint="default" w:ascii="宋体" w:eastAsia="宋体" w:cs="宋体"/>
                <w:szCs w:val="21"/>
                <w:lang w:val="en-US" w:eastAsia="zh-CN"/>
              </w:rPr>
            </w:pPr>
            <w:r>
              <w:rPr>
                <w:rFonts w:hint="eastAsia" w:ascii="宋体" w:cs="宋体"/>
                <w:szCs w:val="21"/>
                <w:lang w:val="en-US" w:eastAsia="zh-CN"/>
              </w:rPr>
              <w:t>100</w:t>
            </w:r>
          </w:p>
        </w:tc>
        <w:tc>
          <w:tcPr>
            <w:tcW w:w="443" w:type="pct"/>
            <w:tcBorders>
              <w:top w:val="single" w:color="000000" w:sz="4" w:space="0"/>
              <w:left w:val="single" w:color="auto" w:sz="4" w:space="0"/>
              <w:right w:val="single" w:color="000000" w:sz="4" w:space="0"/>
            </w:tcBorders>
            <w:noWrap/>
            <w:tcMar>
              <w:top w:w="12" w:type="dxa"/>
              <w:left w:w="12" w:type="dxa"/>
              <w:right w:w="12" w:type="dxa"/>
            </w:tcMar>
            <w:vAlign w:val="center"/>
          </w:tcPr>
          <w:p w14:paraId="14F54FA0">
            <w:pPr>
              <w:widowControl/>
              <w:jc w:val="center"/>
              <w:textAlignment w:val="center"/>
              <w:rPr>
                <w:rFonts w:ascii="宋体" w:cs="宋体"/>
                <w:szCs w:val="21"/>
              </w:rPr>
            </w:pPr>
            <w:r>
              <w:rPr>
                <w:rFonts w:hint="eastAsia" w:ascii="宋体" w:cs="宋体"/>
                <w:kern w:val="0"/>
                <w:szCs w:val="21"/>
              </w:rPr>
              <w:t>技术方案及组织措施</w:t>
            </w:r>
          </w:p>
        </w:tc>
        <w:tc>
          <w:tcPr>
            <w:tcW w:w="309"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0E98B8B5">
            <w:pPr>
              <w:jc w:val="center"/>
              <w:rPr>
                <w:rFonts w:hint="default" w:ascii="宋体" w:eastAsia="宋体" w:cs="宋体"/>
                <w:szCs w:val="21"/>
                <w:lang w:val="en-US" w:eastAsia="zh-CN"/>
              </w:rPr>
            </w:pPr>
            <w:r>
              <w:rPr>
                <w:rFonts w:hint="eastAsia" w:ascii="宋体" w:cs="宋体"/>
                <w:szCs w:val="21"/>
                <w:lang w:val="en-US" w:eastAsia="zh-CN"/>
              </w:rPr>
              <w:t>60</w:t>
            </w:r>
          </w:p>
        </w:tc>
        <w:tc>
          <w:tcPr>
            <w:tcW w:w="364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767FE055">
            <w:pPr>
              <w:widowControl/>
              <w:numPr>
                <w:ilvl w:val="0"/>
                <w:numId w:val="1"/>
              </w:numPr>
              <w:shd w:val="clear" w:color="auto" w:fill="FFFFFF"/>
              <w:spacing w:line="300" w:lineRule="exact"/>
              <w:jc w:val="left"/>
            </w:pPr>
            <w:bookmarkStart w:id="2" w:name="OLE_LINK13"/>
            <w:r>
              <w:rPr>
                <w:rFonts w:hint="eastAsia"/>
              </w:rPr>
              <w:t>投标人对项目方案及组织措施具体，技术先进，并列出较多具备相关资质与经验的施工人员及</w:t>
            </w:r>
            <w:r>
              <w:rPr>
                <w:rFonts w:hint="eastAsia"/>
                <w:lang w:val="en-US" w:eastAsia="zh-CN"/>
              </w:rPr>
              <w:t>设备仪器</w:t>
            </w:r>
            <w:r>
              <w:rPr>
                <w:rFonts w:hint="eastAsia"/>
              </w:rPr>
              <w:t>，酌情得</w:t>
            </w:r>
            <w:r>
              <w:rPr>
                <w:rFonts w:hint="eastAsia"/>
                <w:lang w:val="en-US" w:eastAsia="zh-CN"/>
              </w:rPr>
              <w:t>36-60</w:t>
            </w:r>
            <w:r>
              <w:rPr>
                <w:rFonts w:hint="eastAsia"/>
              </w:rPr>
              <w:t>分；</w:t>
            </w:r>
          </w:p>
          <w:p w14:paraId="0188B3EF">
            <w:pPr>
              <w:widowControl/>
              <w:shd w:val="clear" w:color="auto" w:fill="FFFFFF"/>
              <w:spacing w:line="300" w:lineRule="exact"/>
              <w:jc w:val="left"/>
            </w:pPr>
            <w:r>
              <w:rPr>
                <w:rFonts w:hint="eastAsia"/>
              </w:rPr>
              <w:t>2、投标人对项目中各项技术方案及组织措施不详细，技术水平一般，施工人员具备一定资质，酌情得</w:t>
            </w:r>
            <w:r>
              <w:rPr>
                <w:rFonts w:hint="eastAsia"/>
                <w:lang w:val="en-US" w:eastAsia="zh-CN"/>
              </w:rPr>
              <w:t>18-36</w:t>
            </w:r>
            <w:r>
              <w:rPr>
                <w:rFonts w:hint="eastAsia"/>
              </w:rPr>
              <w:t>分；</w:t>
            </w:r>
          </w:p>
          <w:p w14:paraId="4A92E584">
            <w:pPr>
              <w:widowControl/>
              <w:jc w:val="left"/>
              <w:textAlignment w:val="center"/>
            </w:pPr>
            <w:r>
              <w:rPr>
                <w:rFonts w:hint="eastAsia"/>
              </w:rPr>
              <w:t>3、投标人在投标文件中没有列出技术方案及组织措施，没有相关资质的施工人员得0分。</w:t>
            </w:r>
            <w:bookmarkEnd w:id="2"/>
          </w:p>
        </w:tc>
      </w:tr>
      <w:tr w14:paraId="78B019A2">
        <w:tblPrEx>
          <w:tblCellMar>
            <w:top w:w="0" w:type="dxa"/>
            <w:left w:w="0" w:type="dxa"/>
            <w:bottom w:w="0" w:type="dxa"/>
            <w:right w:w="0" w:type="dxa"/>
          </w:tblCellMar>
        </w:tblPrEx>
        <w:trPr>
          <w:cantSplit/>
          <w:trHeight w:val="596"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18E87A90"/>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6733806D"/>
        </w:tc>
        <w:tc>
          <w:tcPr>
            <w:tcW w:w="443"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783BA4F2">
            <w:pPr>
              <w:jc w:val="center"/>
              <w:rPr>
                <w:rFonts w:ascii="宋体" w:cs="宋体"/>
                <w:szCs w:val="21"/>
              </w:rPr>
            </w:pPr>
            <w:r>
              <w:rPr>
                <w:rFonts w:hint="eastAsia" w:ascii="宋体" w:hAnsi="宋体" w:cs="宋体"/>
                <w:szCs w:val="21"/>
              </w:rPr>
              <w:t>现场答疑</w:t>
            </w:r>
          </w:p>
        </w:tc>
        <w:tc>
          <w:tcPr>
            <w:tcW w:w="30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2F5B2E8">
            <w:pPr>
              <w:jc w:val="center"/>
              <w:rPr>
                <w:rFonts w:hint="default" w:ascii="宋体" w:eastAsia="宋体" w:cs="宋体"/>
                <w:szCs w:val="21"/>
                <w:lang w:val="en-US" w:eastAsia="zh-CN"/>
              </w:rPr>
            </w:pPr>
            <w:r>
              <w:rPr>
                <w:rFonts w:hint="eastAsia" w:ascii="宋体" w:cs="宋体"/>
                <w:szCs w:val="21"/>
                <w:lang w:val="en-US" w:eastAsia="zh-CN"/>
              </w:rPr>
              <w:t>20</w:t>
            </w:r>
          </w:p>
        </w:tc>
        <w:tc>
          <w:tcPr>
            <w:tcW w:w="364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E30E7C">
            <w:pPr>
              <w:widowControl/>
              <w:jc w:val="left"/>
              <w:textAlignment w:val="center"/>
              <w:rPr>
                <w:rFonts w:ascii="宋体" w:cs="宋体"/>
                <w:szCs w:val="21"/>
              </w:rPr>
            </w:pPr>
            <w:r>
              <w:rPr>
                <w:rFonts w:hint="eastAsia" w:ascii="宋体" w:hAnsi="宋体" w:cs="宋体"/>
                <w:kern w:val="0"/>
                <w:szCs w:val="21"/>
                <w:lang w:bidi="ar"/>
              </w:rPr>
              <w:t>在开标现场，投标人代表对方案、技术优势的讲解，以及就该项目难点回答评标专家现场提问。酌情得1-</w:t>
            </w:r>
            <w:r>
              <w:rPr>
                <w:rFonts w:hint="eastAsia" w:ascii="宋体" w:hAnsi="宋体" w:cs="宋体"/>
                <w:kern w:val="0"/>
                <w:szCs w:val="21"/>
                <w:lang w:val="en-US" w:eastAsia="zh-CN" w:bidi="ar"/>
              </w:rPr>
              <w:t>20</w:t>
            </w:r>
            <w:r>
              <w:rPr>
                <w:rFonts w:hint="eastAsia" w:ascii="宋体" w:hAnsi="宋体" w:cs="宋体"/>
                <w:kern w:val="0"/>
                <w:szCs w:val="21"/>
                <w:lang w:bidi="ar"/>
              </w:rPr>
              <w:t xml:space="preserve">分； </w:t>
            </w:r>
          </w:p>
        </w:tc>
      </w:tr>
      <w:tr w14:paraId="269E519F">
        <w:tblPrEx>
          <w:tblCellMar>
            <w:top w:w="0" w:type="dxa"/>
            <w:left w:w="0" w:type="dxa"/>
            <w:bottom w:w="0" w:type="dxa"/>
            <w:right w:w="0" w:type="dxa"/>
          </w:tblCellMar>
        </w:tblPrEx>
        <w:trPr>
          <w:cantSplit/>
          <w:trHeight w:val="908"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0388C1DC"/>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78868C68"/>
        </w:tc>
        <w:tc>
          <w:tcPr>
            <w:tcW w:w="443"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2BDDC620">
            <w:pPr>
              <w:jc w:val="center"/>
              <w:rPr>
                <w:rFonts w:ascii="Calibri" w:hAnsi="Calibri"/>
              </w:rPr>
            </w:pPr>
            <w:r>
              <w:rPr>
                <w:rFonts w:hint="eastAsia" w:ascii="Calibri" w:hAnsi="Calibri"/>
              </w:rPr>
              <w:t>条款响应</w:t>
            </w:r>
          </w:p>
        </w:tc>
        <w:tc>
          <w:tcPr>
            <w:tcW w:w="30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88EA9B0">
            <w:pPr>
              <w:jc w:val="center"/>
              <w:rPr>
                <w:rFonts w:hint="default" w:ascii="Calibri" w:hAnsi="Calibri" w:eastAsia="宋体"/>
                <w:lang w:val="en-US" w:eastAsia="zh-CN"/>
              </w:rPr>
            </w:pPr>
            <w:r>
              <w:rPr>
                <w:rFonts w:hint="eastAsia" w:ascii="Calibri" w:hAnsi="Calibri"/>
                <w:lang w:val="en-US" w:eastAsia="zh-CN"/>
              </w:rPr>
              <w:t>10</w:t>
            </w:r>
          </w:p>
        </w:tc>
        <w:tc>
          <w:tcPr>
            <w:tcW w:w="364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60A5B9">
            <w:pPr>
              <w:widowControl/>
              <w:jc w:val="left"/>
              <w:textAlignment w:val="center"/>
              <w:rPr>
                <w:rFonts w:ascii="Calibri" w:hAnsi="Calibri"/>
              </w:rP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w:t>
            </w:r>
            <w:r>
              <w:rPr>
                <w:rFonts w:hint="eastAsia" w:ascii="Calibri" w:hAnsi="Calibri"/>
                <w:lang w:val="en-US" w:eastAsia="zh-CN"/>
              </w:rPr>
              <w:t>6</w:t>
            </w:r>
            <w:r>
              <w:rPr>
                <w:rFonts w:hint="eastAsia" w:ascii="Calibri" w:hAnsi="Calibri"/>
              </w:rPr>
              <w:t>分，每一条正偏离得</w:t>
            </w:r>
            <w:r>
              <w:rPr>
                <w:rFonts w:hint="eastAsia" w:ascii="Calibri" w:hAnsi="Calibri"/>
                <w:lang w:val="en-US" w:eastAsia="zh-CN"/>
              </w:rPr>
              <w:t>2</w:t>
            </w:r>
            <w:r>
              <w:rPr>
                <w:rFonts w:hint="eastAsia" w:ascii="Calibri" w:hAnsi="Calibri"/>
              </w:rPr>
              <w:t>分，上限</w:t>
            </w:r>
            <w:r>
              <w:rPr>
                <w:rFonts w:hint="eastAsia" w:ascii="Calibri" w:hAnsi="Calibri"/>
                <w:lang w:val="en-US" w:eastAsia="zh-CN"/>
              </w:rPr>
              <w:t>10</w:t>
            </w:r>
            <w:r>
              <w:rPr>
                <w:rFonts w:hint="eastAsia" w:ascii="Calibri" w:hAnsi="Calibri"/>
              </w:rPr>
              <w:t>分。每一条负偏离扣</w:t>
            </w:r>
            <w:r>
              <w:rPr>
                <w:rFonts w:hint="eastAsia" w:ascii="Calibri" w:hAnsi="Calibri"/>
                <w:lang w:val="en-US" w:eastAsia="zh-CN"/>
              </w:rPr>
              <w:t>2</w:t>
            </w:r>
            <w:r>
              <w:rPr>
                <w:rFonts w:hint="eastAsia" w:ascii="Calibri" w:hAnsi="Calibri"/>
              </w:rPr>
              <w:t>分，最低0分。</w:t>
            </w:r>
            <w:r>
              <w:rPr>
                <w:rFonts w:ascii="宋体" w:hAnsi="宋体" w:cs="宋体"/>
                <w:kern w:val="0"/>
                <w:szCs w:val="21"/>
                <w:lang w:bidi="ar"/>
              </w:rPr>
              <w:t xml:space="preserve"> </w:t>
            </w:r>
          </w:p>
        </w:tc>
      </w:tr>
      <w:tr w14:paraId="3DF6D824">
        <w:tblPrEx>
          <w:tblCellMar>
            <w:top w:w="0" w:type="dxa"/>
            <w:left w:w="0" w:type="dxa"/>
            <w:bottom w:w="0" w:type="dxa"/>
            <w:right w:w="0" w:type="dxa"/>
          </w:tblCellMar>
        </w:tblPrEx>
        <w:trPr>
          <w:cantSplit/>
          <w:trHeight w:val="596"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157AD298">
            <w:bookmarkStart w:id="3" w:name="OLE_LINK12" w:colFirst="4" w:colLast="4"/>
          </w:p>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34CA74CE"/>
        </w:tc>
        <w:tc>
          <w:tcPr>
            <w:tcW w:w="443"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0986B196">
            <w:pPr>
              <w:jc w:val="center"/>
              <w:rPr>
                <w:rFonts w:ascii="宋体" w:cs="宋体"/>
                <w:szCs w:val="21"/>
              </w:rPr>
            </w:pPr>
            <w:r>
              <w:rPr>
                <w:rFonts w:hint="eastAsia" w:ascii="宋体" w:hAnsi="宋体" w:cs="宋体"/>
                <w:color w:val="000000"/>
                <w:szCs w:val="21"/>
                <w:shd w:val="clear" w:color="auto" w:fill="FFFFFF"/>
              </w:rPr>
              <w:t>业绩</w:t>
            </w:r>
          </w:p>
        </w:tc>
        <w:tc>
          <w:tcPr>
            <w:tcW w:w="30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50FC03">
            <w:pPr>
              <w:jc w:val="center"/>
              <w:rPr>
                <w:rFonts w:hint="default" w:ascii="宋体" w:eastAsia="宋体" w:cs="宋体"/>
                <w:szCs w:val="21"/>
                <w:lang w:val="en-US" w:eastAsia="zh-CN"/>
              </w:rPr>
            </w:pPr>
            <w:r>
              <w:rPr>
                <w:rFonts w:hint="eastAsia" w:ascii="宋体" w:cs="宋体"/>
                <w:szCs w:val="21"/>
                <w:lang w:val="en-US" w:eastAsia="zh-CN"/>
              </w:rPr>
              <w:t>10</w:t>
            </w:r>
          </w:p>
        </w:tc>
        <w:tc>
          <w:tcPr>
            <w:tcW w:w="364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BD38072">
            <w:pPr>
              <w:widowControl/>
              <w:jc w:val="left"/>
              <w:textAlignment w:val="center"/>
              <w:rPr>
                <w:rFonts w:ascii="宋体" w:cs="宋体"/>
                <w:kern w:val="0"/>
                <w:szCs w:val="21"/>
              </w:rPr>
            </w:pPr>
            <w:r>
              <w:rPr>
                <w:rFonts w:hint="eastAsia" w:ascii="宋体" w:hAnsi="宋体" w:cs="宋体"/>
                <w:bCs/>
                <w:szCs w:val="21"/>
              </w:rPr>
              <w:t>投标人在20</w:t>
            </w:r>
            <w:r>
              <w:rPr>
                <w:rFonts w:hint="eastAsia" w:ascii="宋体" w:hAnsi="宋体" w:cs="宋体"/>
                <w:bCs/>
                <w:szCs w:val="21"/>
                <w:lang w:val="en-US" w:eastAsia="zh-CN"/>
              </w:rPr>
              <w:t>23</w:t>
            </w:r>
            <w:r>
              <w:rPr>
                <w:rFonts w:hint="eastAsia" w:ascii="宋体" w:hAnsi="宋体" w:cs="宋体"/>
                <w:bCs/>
                <w:szCs w:val="21"/>
              </w:rPr>
              <w:t>年1月1日以来在国内与本标同类规格业绩情况，</w:t>
            </w:r>
            <w:r>
              <w:rPr>
                <w:rFonts w:hint="eastAsia" w:ascii="宋体" w:hAnsi="宋体" w:cs="宋体"/>
                <w:bCs/>
                <w:szCs w:val="21"/>
                <w:lang w:val="en-US" w:eastAsia="zh-CN"/>
              </w:rPr>
              <w:t>10000L及以上同类油液处理业绩</w:t>
            </w:r>
            <w:r>
              <w:rPr>
                <w:rFonts w:hint="eastAsia" w:ascii="宋体" w:hAnsi="宋体" w:cs="宋体"/>
                <w:bCs/>
                <w:szCs w:val="21"/>
              </w:rPr>
              <w:t>每有一项业绩得</w:t>
            </w:r>
            <w:r>
              <w:rPr>
                <w:rFonts w:hint="eastAsia" w:ascii="宋体" w:hAnsi="宋体" w:cs="宋体"/>
                <w:bCs/>
                <w:szCs w:val="21"/>
                <w:lang w:val="en-US" w:eastAsia="zh-CN"/>
              </w:rPr>
              <w:t>2</w:t>
            </w:r>
            <w:r>
              <w:rPr>
                <w:rFonts w:hint="eastAsia" w:ascii="宋体" w:hAnsi="宋体" w:cs="宋体"/>
                <w:bCs/>
                <w:szCs w:val="21"/>
              </w:rPr>
              <w:t>分</w:t>
            </w:r>
            <w:r>
              <w:rPr>
                <w:rFonts w:hint="eastAsia" w:ascii="宋体" w:hAnsi="宋体" w:cs="宋体"/>
                <w:bCs/>
                <w:szCs w:val="21"/>
                <w:lang w:eastAsia="zh-CN"/>
              </w:rPr>
              <w:t>（</w:t>
            </w:r>
            <w:r>
              <w:rPr>
                <w:rFonts w:hint="eastAsia" w:ascii="宋体" w:hAnsi="宋体" w:cs="宋体"/>
                <w:bCs/>
                <w:szCs w:val="21"/>
                <w:lang w:val="en-US" w:eastAsia="zh-CN"/>
              </w:rPr>
              <w:t>要求提供佐证</w:t>
            </w:r>
            <w:r>
              <w:rPr>
                <w:rFonts w:hint="eastAsia" w:ascii="宋体" w:hAnsi="宋体" w:cs="宋体"/>
                <w:bCs/>
                <w:szCs w:val="21"/>
                <w:lang w:eastAsia="zh-CN"/>
              </w:rPr>
              <w:t>）</w:t>
            </w:r>
            <w:r>
              <w:rPr>
                <w:rFonts w:hint="eastAsia" w:ascii="宋体" w:hAnsi="宋体" w:cs="宋体"/>
                <w:bCs/>
                <w:szCs w:val="21"/>
              </w:rPr>
              <w:t>，最多得</w:t>
            </w:r>
            <w:r>
              <w:rPr>
                <w:rFonts w:hint="eastAsia" w:ascii="宋体" w:hAnsi="宋体" w:cs="宋体"/>
                <w:bCs/>
                <w:szCs w:val="21"/>
                <w:lang w:val="en-US" w:eastAsia="zh-CN"/>
              </w:rPr>
              <w:t>10</w:t>
            </w:r>
            <w:r>
              <w:rPr>
                <w:rFonts w:hint="eastAsia" w:ascii="宋体" w:hAnsi="宋体" w:cs="宋体"/>
                <w:bCs/>
                <w:szCs w:val="21"/>
              </w:rPr>
              <w:t>分。</w:t>
            </w:r>
          </w:p>
        </w:tc>
      </w:tr>
      <w:tr w14:paraId="6DE30009">
        <w:tblPrEx>
          <w:tblCellMar>
            <w:top w:w="0" w:type="dxa"/>
            <w:left w:w="0" w:type="dxa"/>
            <w:bottom w:w="0" w:type="dxa"/>
            <w:right w:w="0" w:type="dxa"/>
          </w:tblCellMar>
        </w:tblPrEx>
        <w:trPr>
          <w:cantSplit/>
          <w:trHeight w:val="596" w:hRule="atLeast"/>
          <w:jc w:val="center"/>
        </w:trPr>
        <w:tc>
          <w:tcPr>
            <w:tcW w:w="334" w:type="pct"/>
            <w:tcBorders>
              <w:left w:val="single" w:color="000000" w:sz="4" w:space="0"/>
              <w:right w:val="single" w:color="auto" w:sz="4" w:space="0"/>
            </w:tcBorders>
            <w:noWrap/>
            <w:tcMar>
              <w:top w:w="12" w:type="dxa"/>
              <w:left w:w="12" w:type="dxa"/>
              <w:right w:w="12" w:type="dxa"/>
            </w:tcMar>
            <w:vAlign w:val="center"/>
          </w:tcPr>
          <w:p w14:paraId="40A2BA51">
            <w:r>
              <w:rPr>
                <w:rFonts w:hint="eastAsia" w:ascii="宋体" w:hAnsi="宋体" w:cs="宋体"/>
                <w:color w:val="000000"/>
                <w:kern w:val="0"/>
                <w:szCs w:val="21"/>
                <w:lang w:bidi="ar"/>
              </w:rPr>
              <w:t>商务部分</w:t>
            </w:r>
          </w:p>
        </w:tc>
        <w:tc>
          <w:tcPr>
            <w:tcW w:w="271" w:type="pct"/>
            <w:tcBorders>
              <w:left w:val="single" w:color="auto" w:sz="4" w:space="0"/>
              <w:right w:val="single" w:color="auto" w:sz="4" w:space="0"/>
            </w:tcBorders>
            <w:noWrap/>
            <w:tcMar>
              <w:top w:w="12" w:type="dxa"/>
              <w:left w:w="12" w:type="dxa"/>
              <w:right w:w="12" w:type="dxa"/>
            </w:tcMar>
            <w:vAlign w:val="center"/>
          </w:tcPr>
          <w:p w14:paraId="26399C7C">
            <w:pPr>
              <w:jc w:val="center"/>
            </w:pPr>
            <w:r>
              <w:rPr>
                <w:rFonts w:hint="eastAsia" w:ascii="宋体" w:cs="宋体"/>
                <w:szCs w:val="21"/>
                <w:highlight w:val="none"/>
                <w:lang w:val="en-US" w:eastAsia="zh-CN"/>
              </w:rPr>
              <w:t>100</w:t>
            </w:r>
          </w:p>
        </w:tc>
        <w:tc>
          <w:tcPr>
            <w:tcW w:w="443"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094C683C">
            <w:pPr>
              <w:jc w:val="center"/>
              <w:rPr>
                <w:rFonts w:hint="eastAsia" w:ascii="宋体" w:hAnsi="宋体" w:cs="宋体"/>
                <w:color w:val="000000"/>
                <w:szCs w:val="21"/>
                <w:shd w:val="clear" w:color="auto" w:fill="FFFFFF"/>
              </w:rPr>
            </w:pPr>
            <w:r>
              <w:rPr>
                <w:rFonts w:hint="eastAsia" w:ascii="宋体" w:hAnsi="宋体" w:eastAsia="宋体" w:cs="Times New Roman"/>
                <w:bCs/>
                <w:szCs w:val="21"/>
                <w:highlight w:val="none"/>
              </w:rPr>
              <w:t>商务评分计算</w:t>
            </w:r>
          </w:p>
        </w:tc>
        <w:tc>
          <w:tcPr>
            <w:tcW w:w="30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CF3F5A9">
            <w:pPr>
              <w:jc w:val="center"/>
              <w:rPr>
                <w:rFonts w:hint="eastAsia" w:ascii="宋体" w:cs="宋体"/>
                <w:szCs w:val="21"/>
                <w:lang w:val="en-US" w:eastAsia="zh-CN"/>
              </w:rPr>
            </w:pPr>
            <w:r>
              <w:rPr>
                <w:rFonts w:hint="eastAsia" w:ascii="宋体" w:cs="宋体"/>
                <w:szCs w:val="21"/>
                <w:highlight w:val="none"/>
                <w:lang w:val="en-US" w:eastAsia="zh-CN"/>
              </w:rPr>
              <w:t>100</w:t>
            </w:r>
          </w:p>
        </w:tc>
        <w:tc>
          <w:tcPr>
            <w:tcW w:w="364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C9BB1E3">
            <w:pPr>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 xml:space="preserve">评标基准价： </w:t>
            </w:r>
          </w:p>
          <w:p w14:paraId="143B0182">
            <w:pPr>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1、评标基准价为所有合理有效的最终投标报价的最低价。</w:t>
            </w:r>
          </w:p>
          <w:p w14:paraId="669AD0C4">
            <w:pPr>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2、有效的评标基准价得100分；其他投标人的价格得分按下列公式计算：投标价格得分=100×（评标基准价/投标报价）。</w:t>
            </w:r>
          </w:p>
          <w:p w14:paraId="5BFB6ECD">
            <w:pPr>
              <w:widowControl/>
              <w:jc w:val="left"/>
              <w:textAlignment w:val="center"/>
              <w:rPr>
                <w:rFonts w:hint="eastAsia" w:ascii="宋体" w:hAnsi="宋体" w:cs="宋体"/>
                <w:bCs/>
                <w:szCs w:val="21"/>
              </w:rPr>
            </w:pPr>
            <w:r>
              <w:rPr>
                <w:rFonts w:hint="eastAsia" w:ascii="宋体" w:hAnsi="宋体" w:eastAsia="宋体" w:cs="Times New Roman"/>
                <w:bCs/>
                <w:szCs w:val="21"/>
                <w:highlight w:val="none"/>
              </w:rPr>
              <w:t xml:space="preserve">注：得分值取小数点后两位，不足一个百分点的，按照四舍五入法计算。 </w:t>
            </w:r>
          </w:p>
        </w:tc>
      </w:tr>
      <w:bookmarkEnd w:id="3"/>
      <w:tr w14:paraId="31705737">
        <w:tblPrEx>
          <w:tblCellMar>
            <w:top w:w="0" w:type="dxa"/>
            <w:left w:w="0" w:type="dxa"/>
            <w:bottom w:w="0" w:type="dxa"/>
            <w:right w:w="0" w:type="dxa"/>
          </w:tblCellMar>
        </w:tblPrEx>
        <w:trPr>
          <w:cantSplit/>
          <w:trHeight w:val="2756"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EB43B77">
            <w:pPr>
              <w:widowControl/>
              <w:jc w:val="left"/>
            </w:pPr>
            <w:r>
              <w:rPr>
                <w:rFonts w:hint="eastAsia"/>
              </w:rPr>
              <w:t>备注：</w:t>
            </w:r>
          </w:p>
          <w:p w14:paraId="60577E34">
            <w:pPr>
              <w:widowControl/>
              <w:numPr>
                <w:ilvl w:val="0"/>
                <w:numId w:val="2"/>
              </w:numPr>
              <w:jc w:val="left"/>
              <w:rPr>
                <w:highlight w:val="none"/>
              </w:rPr>
            </w:pPr>
            <w:r>
              <w:rPr>
                <w:rFonts w:hint="eastAsia"/>
              </w:rPr>
              <w:t>通过</w:t>
            </w:r>
            <w:r>
              <w:rPr>
                <w:rFonts w:hint="eastAsia"/>
                <w:highlight w:val="none"/>
              </w:rPr>
              <w:t>初审者为有效投标</w:t>
            </w:r>
            <w:r>
              <w:rPr>
                <w:rFonts w:hint="eastAsia"/>
                <w:b/>
                <w:bCs/>
                <w:color w:val="auto"/>
                <w:highlight w:val="none"/>
                <w:lang w:eastAsia="zh-CN"/>
              </w:rPr>
              <w:t>，</w:t>
            </w:r>
            <w:r>
              <w:rPr>
                <w:rFonts w:hint="eastAsia"/>
                <w:b/>
                <w:bCs/>
                <w:color w:val="auto"/>
                <w:highlight w:val="none"/>
                <w:lang w:val="en-US" w:eastAsia="zh-CN"/>
              </w:rPr>
              <w:t>技术标得分超过80分进入商务标</w:t>
            </w:r>
            <w:r>
              <w:rPr>
                <w:rFonts w:hint="eastAsia"/>
                <w:highlight w:val="none"/>
                <w:lang w:val="en-US" w:eastAsia="zh-CN"/>
              </w:rPr>
              <w:t>。</w:t>
            </w:r>
          </w:p>
          <w:p w14:paraId="2377E025">
            <w:pPr>
              <w:widowControl/>
              <w:jc w:val="left"/>
              <w:rPr>
                <w:rFonts w:hint="eastAsia" w:ascii="Times New Roman" w:hAnsi="Times New Roman" w:eastAsia="宋体" w:cs="Times New Roman"/>
                <w:highlight w:val="none"/>
                <w:lang w:val="en-US" w:eastAsia="zh-CN"/>
              </w:rPr>
            </w:pPr>
            <w:r>
              <w:rPr>
                <w:rFonts w:hint="eastAsia" w:ascii="Times New Roman" w:hAnsi="Times New Roman" w:eastAsia="宋体" w:cs="Times New Roman"/>
                <w:lang w:val="en-US" w:eastAsia="zh-CN"/>
              </w:rPr>
              <w:t>2、投标厂家通过技术标后，采用综合评分，</w:t>
            </w:r>
            <w:r>
              <w:rPr>
                <w:rFonts w:hint="eastAsia" w:ascii="Times New Roman" w:hAnsi="Times New Roman" w:eastAsia="宋体" w:cs="Times New Roman"/>
                <w:b/>
                <w:bCs/>
                <w:highlight w:val="none"/>
                <w:lang w:val="en-US" w:eastAsia="zh-CN"/>
              </w:rPr>
              <w:t>综合得分=技术标得分*0.</w:t>
            </w:r>
            <w:r>
              <w:rPr>
                <w:rFonts w:hint="eastAsia" w:cs="Times New Roman"/>
                <w:b/>
                <w:bCs/>
                <w:highlight w:val="none"/>
                <w:lang w:val="en-US" w:eastAsia="zh-CN"/>
              </w:rPr>
              <w:t>3</w:t>
            </w:r>
            <w:r>
              <w:rPr>
                <w:rFonts w:hint="eastAsia" w:ascii="Times New Roman" w:hAnsi="Times New Roman" w:eastAsia="宋体" w:cs="Times New Roman"/>
                <w:b/>
                <w:bCs/>
                <w:highlight w:val="none"/>
                <w:lang w:val="en-US" w:eastAsia="zh-CN"/>
              </w:rPr>
              <w:t>+商务标得分*0.</w:t>
            </w:r>
            <w:r>
              <w:rPr>
                <w:rFonts w:hint="eastAsia" w:cs="Times New Roman"/>
                <w:b/>
                <w:bCs/>
                <w:highlight w:val="none"/>
                <w:lang w:val="en-US" w:eastAsia="zh-CN"/>
              </w:rPr>
              <w:t>7</w:t>
            </w:r>
            <w:r>
              <w:rPr>
                <w:rFonts w:hint="eastAsia" w:ascii="Times New Roman" w:hAnsi="Times New Roman" w:eastAsia="宋体" w:cs="Times New Roman"/>
                <w:b/>
                <w:bCs/>
                <w:highlight w:val="none"/>
                <w:lang w:val="en-US" w:eastAsia="zh-CN"/>
              </w:rPr>
              <w:t>。</w:t>
            </w:r>
          </w:p>
          <w:p w14:paraId="41C27AB9">
            <w:pPr>
              <w:widowControl/>
              <w:jc w:val="left"/>
              <w:rPr>
                <w:rFonts w:hint="eastAsia" w:ascii="Times New Roman" w:hAnsi="Times New Roman" w:eastAsia="宋体" w:cs="Times New Roman"/>
              </w:rPr>
            </w:pPr>
            <w:r>
              <w:rPr>
                <w:rFonts w:hint="eastAsia"/>
                <w:lang w:val="en-US" w:eastAsia="zh-CN"/>
              </w:rPr>
              <w:t>3</w:t>
            </w:r>
            <w:r>
              <w:rPr>
                <w:rFonts w:hint="eastAsia"/>
              </w:rPr>
              <w:t>、投标方提交的投标文件和资料必须真实有效。合同签订前，招标方有权组织联合小组（财务、技术、设备、质量等）到中标候选人实地审核，如发现投标文件和资料有弄虚作假，招标方有权</w:t>
            </w:r>
            <w:r>
              <w:rPr>
                <w:rFonts w:hint="eastAsia" w:ascii="Times New Roman" w:hAnsi="Times New Roman" w:eastAsia="宋体" w:cs="Times New Roman"/>
              </w:rPr>
              <w:t>取消其中标候选人资格。</w:t>
            </w:r>
          </w:p>
          <w:p w14:paraId="5F7C1C5F">
            <w:pPr>
              <w:widowControl/>
              <w:jc w:val="left"/>
              <w:rPr>
                <w:rFonts w:hint="eastAsia" w:ascii="Times New Roman" w:hAnsi="Times New Roman" w:eastAsia="宋体" w:cs="Times New Roman"/>
              </w:rPr>
            </w:pPr>
            <w:r>
              <w:rPr>
                <w:rFonts w:hint="eastAsia" w:cs="Times New Roman"/>
                <w:lang w:val="en-US" w:eastAsia="zh-CN"/>
              </w:rPr>
              <w:t>4</w:t>
            </w:r>
            <w:r>
              <w:rPr>
                <w:rFonts w:hint="eastAsia" w:ascii="Times New Roman" w:hAnsi="Times New Roman" w:eastAsia="宋体" w:cs="Times New Roman"/>
              </w:rPr>
              <w:t>、交货期为一票否决项，无法满足交货期所有项得0分。</w:t>
            </w:r>
          </w:p>
          <w:p w14:paraId="5C05AF04">
            <w:pPr>
              <w:pStyle w:val="7"/>
              <w:rPr>
                <w:rFonts w:hint="default"/>
                <w:lang w:val="en-US" w:eastAsia="zh-CN"/>
              </w:rPr>
            </w:pPr>
            <w:r>
              <w:rPr>
                <w:rFonts w:hint="eastAsia" w:ascii="Times New Roman" w:eastAsia="宋体" w:cs="Times New Roman"/>
                <w:b/>
                <w:bCs/>
                <w:color w:val="FF0000"/>
                <w:kern w:val="2"/>
                <w:sz w:val="21"/>
                <w:szCs w:val="20"/>
                <w:highlight w:val="none"/>
                <w:lang w:val="en-US" w:eastAsia="zh-CN" w:bidi="ar-SA"/>
              </w:rPr>
              <w:t>5</w:t>
            </w:r>
            <w:r>
              <w:rPr>
                <w:rFonts w:hint="eastAsia" w:ascii="Times New Roman" w:hAnsi="Times New Roman" w:eastAsia="宋体" w:cs="Times New Roman"/>
                <w:b/>
                <w:bCs/>
                <w:color w:val="FF0000"/>
                <w:kern w:val="2"/>
                <w:sz w:val="21"/>
                <w:szCs w:val="20"/>
                <w:highlight w:val="none"/>
                <w:lang w:val="en-US" w:eastAsia="zh-CN" w:bidi="ar-SA"/>
              </w:rPr>
              <w:t>、本项目</w:t>
            </w:r>
            <w:r>
              <w:rPr>
                <w:rFonts w:hint="eastAsia" w:ascii="Times New Roman" w:eastAsia="宋体" w:cs="Times New Roman"/>
                <w:b/>
                <w:bCs/>
                <w:color w:val="FF0000"/>
                <w:kern w:val="2"/>
                <w:sz w:val="21"/>
                <w:szCs w:val="20"/>
                <w:highlight w:val="none"/>
                <w:lang w:val="en-US" w:eastAsia="zh-CN" w:bidi="ar-SA"/>
              </w:rPr>
              <w:t>只保留1家中标单位</w:t>
            </w:r>
            <w:r>
              <w:rPr>
                <w:rFonts w:hint="eastAsia" w:ascii="Times New Roman" w:hAnsi="Times New Roman" w:eastAsia="宋体" w:cs="Times New Roman"/>
                <w:b/>
                <w:bCs/>
                <w:color w:val="FF0000"/>
                <w:kern w:val="2"/>
                <w:sz w:val="21"/>
                <w:szCs w:val="20"/>
                <w:highlight w:val="none"/>
                <w:lang w:val="en-US" w:eastAsia="zh-CN" w:bidi="ar-SA"/>
              </w:rPr>
              <w:t>。</w:t>
            </w:r>
          </w:p>
        </w:tc>
      </w:tr>
    </w:tbl>
    <w:p w14:paraId="2945B4FA">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八、合同签订</w:t>
      </w:r>
    </w:p>
    <w:p w14:paraId="196A4BC8">
      <w:pPr>
        <w:spacing w:line="360" w:lineRule="auto"/>
        <w:ind w:firstLine="420" w:firstLineChars="200"/>
        <w:rPr>
          <w:rFonts w:ascii="宋体" w:hAnsi="Courier New" w:eastAsia="宋体" w:cs="Times New Roman"/>
          <w:szCs w:val="20"/>
        </w:rPr>
      </w:pPr>
      <w:r>
        <w:rPr>
          <w:rFonts w:hint="eastAsia" w:ascii="宋体" w:hAnsi="Courier New" w:eastAsia="宋体" w:cs="Times New Roman"/>
          <w:szCs w:val="20"/>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1DAD25C3">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招标人发送《中标通知书》给中标人，中标人应及时与招标人联系，在规定的时间内（一般为接到《中标通知书》后2个工作日内）到招标单位对《中标人推荐表》进行签字确认并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355A0C9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3.中标人应在保证质量的前提下完成中标项目，不得将中标项目转包或分包给他人，否则视为违约，招标人或相关单位有权解除合同。</w:t>
      </w:r>
    </w:p>
    <w:p w14:paraId="210B638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4.在</w:t>
      </w:r>
      <w:r>
        <w:rPr>
          <w:rFonts w:hint="eastAsia" w:ascii="宋体" w:hAnsi="Courier New" w:eastAsia="宋体" w:cs="Times New Roman"/>
          <w:szCs w:val="21"/>
        </w:rPr>
        <w:t>履行</w:t>
      </w:r>
      <w:r>
        <w:rPr>
          <w:rFonts w:hint="eastAsia" w:ascii="宋体" w:hAnsi="宋体" w:eastAsia="宋体" w:cs="Times New Roman"/>
          <w:szCs w:val="21"/>
        </w:rPr>
        <w:t>合同过程中，中标人</w:t>
      </w:r>
      <w:r>
        <w:rPr>
          <w:rFonts w:hint="eastAsia" w:ascii="宋体" w:hAnsi="Courier New" w:eastAsia="宋体" w:cs="Times New Roman"/>
          <w:szCs w:val="21"/>
        </w:rPr>
        <w:t>由于履行义务的能力或信用有严重缺陷，</w:t>
      </w:r>
      <w:r>
        <w:rPr>
          <w:rFonts w:hint="eastAsia" w:ascii="宋体" w:hAnsi="宋体" w:eastAsia="宋体" w:cs="Times New Roman"/>
          <w:szCs w:val="21"/>
        </w:rPr>
        <w:t>招标人有权解除合同并取消其中标资格，招标人将从剩余投标人中依序重新确定中标人，或重新组织招标。</w:t>
      </w:r>
    </w:p>
    <w:p w14:paraId="6C1FA4B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5.招标人有权指定招标人的关联单位作为合同签订人，与中标人签署相关合同，且具体权利义务以双方最终签署的合同为准。</w:t>
      </w:r>
    </w:p>
    <w:p w14:paraId="2BCD445F">
      <w:pPr>
        <w:spacing w:line="360" w:lineRule="auto"/>
        <w:ind w:firstLine="420" w:firstLineChars="200"/>
        <w:rPr>
          <w:rFonts w:hint="eastAsia" w:ascii="宋体" w:hAnsi="Courier New" w:eastAsia="宋体" w:cs="Times New Roman"/>
          <w:szCs w:val="20"/>
        </w:rPr>
      </w:pPr>
      <w:r>
        <w:rPr>
          <w:rFonts w:hint="eastAsia" w:ascii="宋体" w:hAnsi="Courier New" w:eastAsia="宋体" w:cs="Times New Roman"/>
          <w:szCs w:val="20"/>
        </w:rPr>
        <w:t>6.中标人须认可招标人由于招标人上级集团公司政策变化引起的随时终止合同的要求。</w:t>
      </w:r>
    </w:p>
    <w:p w14:paraId="38964F76">
      <w:pPr>
        <w:pStyle w:val="10"/>
        <w:spacing w:line="360" w:lineRule="auto"/>
        <w:ind w:firstLine="420" w:firstLineChars="200"/>
        <w:rPr>
          <w:b w:val="0"/>
          <w:bCs w:val="0"/>
          <w:highlight w:val="none"/>
        </w:rPr>
      </w:pPr>
      <w:r>
        <w:rPr>
          <w:rFonts w:hint="eastAsia" w:cs="Times New Roman"/>
          <w:b w:val="0"/>
          <w:bCs w:val="0"/>
          <w:szCs w:val="20"/>
          <w:highlight w:val="none"/>
          <w:lang w:val="en-US" w:eastAsia="zh-CN"/>
        </w:rPr>
        <w:t>7</w:t>
      </w:r>
      <w:r>
        <w:rPr>
          <w:rFonts w:hint="eastAsia" w:hAnsi="Courier New" w:cs="Times New Roman"/>
          <w:b w:val="0"/>
          <w:bCs w:val="0"/>
          <w:szCs w:val="20"/>
          <w:highlight w:val="none"/>
          <w:lang w:val="en-US" w:eastAsia="zh-CN"/>
        </w:rPr>
        <w:t>.</w:t>
      </w:r>
      <w:r>
        <w:rPr>
          <w:rFonts w:hint="eastAsia"/>
          <w:b w:val="0"/>
          <w:bCs w:val="0"/>
          <w:highlight w:val="none"/>
          <w:lang w:val="en-US" w:eastAsia="zh-CN"/>
        </w:rPr>
        <w:t>合同有效期2026年11月1日至2027年12月31日。</w:t>
      </w:r>
    </w:p>
    <w:p w14:paraId="377F0AC7">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九、废标及终止招标</w:t>
      </w:r>
    </w:p>
    <w:p w14:paraId="1B428994">
      <w:pPr>
        <w:spacing w:line="520" w:lineRule="exact"/>
        <w:ind w:right="2" w:firstLine="420" w:firstLineChars="200"/>
        <w:rPr>
          <w:rFonts w:ascii="宋体" w:hAnsi="Courier New" w:eastAsia="宋体" w:cs="Times New Roman"/>
          <w:szCs w:val="20"/>
        </w:rPr>
      </w:pPr>
      <w:r>
        <w:rPr>
          <w:rFonts w:hint="eastAsia" w:ascii="宋体" w:hAnsi="Courier New" w:eastAsia="宋体" w:cs="Times New Roman"/>
          <w:szCs w:val="20"/>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196A1CB2">
      <w:pPr>
        <w:spacing w:line="520" w:lineRule="exact"/>
        <w:ind w:right="2" w:firstLine="420" w:firstLineChars="200"/>
        <w:rPr>
          <w:rFonts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4B0C81CA">
      <w:pPr>
        <w:spacing w:line="520" w:lineRule="exact"/>
        <w:ind w:right="2" w:firstLine="420" w:firstLineChars="200"/>
        <w:rPr>
          <w:rFonts w:ascii="宋体" w:hAnsi="Courier New"/>
        </w:rPr>
      </w:pPr>
      <w:r>
        <w:rPr>
          <w:rFonts w:hint="eastAsia" w:ascii="宋体" w:hAnsi="宋体"/>
        </w:rPr>
        <w:t>⑵</w:t>
      </w:r>
      <w:r>
        <w:rPr>
          <w:rFonts w:hint="eastAsia" w:ascii="宋体" w:hAnsi="Courier New"/>
        </w:rPr>
        <w:t>投标人在报价有效期内撤回投标；</w:t>
      </w:r>
    </w:p>
    <w:p w14:paraId="14EBA470">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49F01348">
      <w:pPr>
        <w:spacing w:line="520" w:lineRule="exact"/>
        <w:ind w:right="2" w:firstLine="420" w:firstLineChars="200"/>
        <w:rPr>
          <w:rFonts w:ascii="宋体" w:hAnsi="Courier New"/>
        </w:rPr>
      </w:pPr>
      <w:r>
        <w:rPr>
          <w:rFonts w:hint="eastAsia" w:ascii="宋体" w:hAnsi="宋体"/>
        </w:rPr>
        <w:t>⑷</w:t>
      </w:r>
      <w:r>
        <w:rPr>
          <w:rFonts w:hint="eastAsia" w:ascii="宋体" w:hAnsi="Courier New"/>
        </w:rPr>
        <w:t>投标人以任何方式诋毁其他投标人；</w:t>
      </w:r>
    </w:p>
    <w:p w14:paraId="1A7A1D90">
      <w:pPr>
        <w:spacing w:line="520" w:lineRule="exact"/>
        <w:ind w:right="2" w:firstLine="420" w:firstLineChars="200"/>
        <w:rPr>
          <w:rFonts w:ascii="宋体" w:hAnsi="Courier New"/>
        </w:rPr>
      </w:pPr>
      <w:r>
        <w:rPr>
          <w:rFonts w:hint="eastAsia" w:ascii="宋体" w:hAnsi="宋体"/>
        </w:rPr>
        <w:t>⑸</w:t>
      </w:r>
      <w:r>
        <w:rPr>
          <w:rFonts w:hint="eastAsia" w:ascii="宋体" w:hAnsi="Courier New"/>
        </w:rPr>
        <w:t>投标人串通投标；</w:t>
      </w:r>
    </w:p>
    <w:p w14:paraId="23F8893E">
      <w:pPr>
        <w:spacing w:line="520" w:lineRule="exact"/>
        <w:ind w:right="2" w:firstLine="420" w:firstLineChars="200"/>
        <w:rPr>
          <w:rFonts w:ascii="宋体" w:hAnsi="Courier New"/>
        </w:rPr>
      </w:pPr>
      <w:r>
        <w:rPr>
          <w:rFonts w:hint="eastAsia" w:ascii="宋体" w:hAnsi="Courier New"/>
        </w:rPr>
        <w:t>⑹投标人负责人为同一人或者存在控股、管理关系的不同单位；</w:t>
      </w:r>
    </w:p>
    <w:p w14:paraId="592F8436">
      <w:pPr>
        <w:spacing w:line="520" w:lineRule="exact"/>
        <w:ind w:right="2" w:firstLine="420" w:firstLineChars="200"/>
        <w:rPr>
          <w:rFonts w:ascii="宋体" w:hAnsi="Courier New"/>
        </w:rPr>
      </w:pPr>
      <w:r>
        <w:rPr>
          <w:rFonts w:hint="eastAsia" w:ascii="宋体" w:hAnsi="宋体"/>
        </w:rPr>
        <w:t>⑺</w:t>
      </w:r>
      <w:r>
        <w:rPr>
          <w:rFonts w:hint="eastAsia" w:ascii="宋体" w:hAnsi="Courier New"/>
        </w:rPr>
        <w:t>以他人名义投标或者以其他方式弄虚作假，骗取中标的；</w:t>
      </w:r>
    </w:p>
    <w:p w14:paraId="5098B6EE">
      <w:pPr>
        <w:spacing w:line="520" w:lineRule="exact"/>
        <w:ind w:right="2" w:firstLine="420" w:firstLineChars="200"/>
        <w:rPr>
          <w:rFonts w:ascii="宋体" w:hAnsi="Courier New"/>
        </w:rPr>
      </w:pPr>
      <w:bookmarkStart w:id="4" w:name="_Hlk80690793"/>
      <w:r>
        <w:rPr>
          <w:rFonts w:hint="eastAsia" w:ascii="宋体" w:hAnsi="宋体"/>
        </w:rPr>
        <w:t>⑻</w:t>
      </w:r>
      <w:bookmarkEnd w:id="4"/>
      <w:r>
        <w:rPr>
          <w:rFonts w:hint="eastAsia" w:ascii="宋体" w:hAnsi="Courier New"/>
        </w:rPr>
        <w:t>中标人不按规定签订合同；</w:t>
      </w:r>
    </w:p>
    <w:p w14:paraId="0FD244F3">
      <w:pPr>
        <w:spacing w:line="520" w:lineRule="exact"/>
        <w:ind w:right="2" w:firstLine="420" w:firstLineChars="200"/>
        <w:rPr>
          <w:rFonts w:ascii="宋体" w:hAnsi="Courier New"/>
        </w:rPr>
      </w:pPr>
      <w:r>
        <w:rPr>
          <w:rFonts w:hint="eastAsia" w:ascii="宋体" w:hAnsi="Courier New"/>
        </w:rPr>
        <w:t>⑼法律、法规规定的其他情况。</w:t>
      </w:r>
    </w:p>
    <w:p w14:paraId="1A1FEBA8">
      <w:pPr>
        <w:spacing w:line="520" w:lineRule="exact"/>
        <w:ind w:right="2" w:firstLine="420" w:firstLineChars="200"/>
        <w:rPr>
          <w:rFonts w:ascii="宋体" w:hAnsi="Courier New"/>
        </w:rPr>
      </w:pPr>
      <w:r>
        <w:rPr>
          <w:rFonts w:hint="eastAsia" w:ascii="宋体" w:hAnsi="Courier New"/>
        </w:rPr>
        <w:t>⑽投标人被举报、检举，并经招标方查实无误的。</w:t>
      </w:r>
    </w:p>
    <w:p w14:paraId="77713F86">
      <w:pPr>
        <w:spacing w:line="520" w:lineRule="exact"/>
        <w:ind w:right="2" w:firstLine="420" w:firstLineChars="200"/>
        <w:rPr>
          <w:rFonts w:ascii="宋体" w:hAnsi="Courier New" w:eastAsia="宋体" w:cs="Times New Roman"/>
          <w:szCs w:val="20"/>
        </w:rPr>
      </w:pPr>
      <w:r>
        <w:rPr>
          <w:rFonts w:hint="eastAsia" w:ascii="宋体" w:hAnsi="Courier New" w:eastAsia="宋体" w:cs="Times New Roman"/>
          <w:szCs w:val="20"/>
        </w:rPr>
        <w:t>2.出现下列情形之一，招标人有权否决所有投标人的投标，并终止招标。</w:t>
      </w:r>
    </w:p>
    <w:p w14:paraId="2E0E05B4">
      <w:pPr>
        <w:spacing w:line="520" w:lineRule="exact"/>
        <w:ind w:right="2" w:firstLine="420" w:firstLineChars="200"/>
        <w:rPr>
          <w:rFonts w:ascii="宋体" w:hAnsi="Courier New"/>
        </w:rPr>
      </w:pPr>
      <w:r>
        <w:rPr>
          <w:rFonts w:hint="eastAsia" w:ascii="宋体" w:hAnsi="Courier New"/>
        </w:rPr>
        <w:t>⑴出现影响采购公正的违法、违规行为的。</w:t>
      </w:r>
    </w:p>
    <w:p w14:paraId="3CAD2384">
      <w:pPr>
        <w:spacing w:line="520" w:lineRule="exact"/>
        <w:ind w:right="2" w:firstLine="420" w:firstLineChars="200"/>
        <w:rPr>
          <w:rFonts w:ascii="宋体" w:hAnsi="Courier New"/>
        </w:rPr>
      </w:pPr>
      <w:r>
        <w:rPr>
          <w:rFonts w:hint="eastAsia" w:ascii="宋体" w:hAnsi="Courier New"/>
        </w:rPr>
        <w:t>⑵符合条件的投标人或者对招标文件做实质响应的投标人不足三家的。</w:t>
      </w:r>
    </w:p>
    <w:p w14:paraId="05F57A56">
      <w:pPr>
        <w:spacing w:line="520" w:lineRule="exact"/>
        <w:ind w:right="2" w:firstLine="420" w:firstLineChars="200"/>
        <w:rPr>
          <w:rFonts w:ascii="宋体" w:hAnsi="Courier New"/>
        </w:rPr>
      </w:pPr>
      <w:r>
        <w:rPr>
          <w:rFonts w:hint="eastAsia" w:ascii="宋体" w:hAnsi="宋体"/>
        </w:rPr>
        <w:t>⑶评标委员会经评审，认为所有投标都不符合招标文件要求的。</w:t>
      </w:r>
    </w:p>
    <w:p w14:paraId="714E1349">
      <w:pPr>
        <w:spacing w:line="520" w:lineRule="exact"/>
        <w:ind w:right="2" w:firstLine="420" w:firstLineChars="200"/>
        <w:rPr>
          <w:rFonts w:ascii="宋体" w:hAnsi="Courier New"/>
        </w:rPr>
      </w:pPr>
      <w:r>
        <w:rPr>
          <w:rFonts w:hint="eastAsia" w:ascii="宋体" w:hAnsi="宋体"/>
        </w:rPr>
        <w:t>⑷</w:t>
      </w:r>
      <w:r>
        <w:rPr>
          <w:rFonts w:hint="eastAsia" w:ascii="宋体" w:hAnsi="Courier New"/>
        </w:rPr>
        <w:t>因重大变故，采购任务取消的。</w:t>
      </w:r>
    </w:p>
    <w:p w14:paraId="209FE525">
      <w:pPr>
        <w:spacing w:line="520" w:lineRule="exact"/>
        <w:ind w:right="2" w:firstLine="420" w:firstLineChars="200"/>
        <w:rPr>
          <w:rFonts w:ascii="宋体" w:hAnsi="Courier New"/>
        </w:rPr>
      </w:pPr>
      <w:r>
        <w:rPr>
          <w:rFonts w:hint="eastAsia" w:ascii="宋体" w:hAnsi="Courier New"/>
        </w:rPr>
        <w:t>⑸招标人认为其他应终止招标的情形。</w:t>
      </w:r>
    </w:p>
    <w:p w14:paraId="3D3A79AF">
      <w:pPr>
        <w:spacing w:line="520" w:lineRule="exact"/>
        <w:ind w:right="2" w:firstLine="420" w:firstLineChars="200"/>
      </w:pPr>
      <w:r>
        <w:rPr>
          <w:rFonts w:hint="eastAsia" w:ascii="宋体" w:hAnsi="Courier New"/>
          <w:lang w:val="en-US" w:eastAsia="zh-CN"/>
        </w:rPr>
        <w:t>补充：投标人承诺并同意因招标人公司政策变化引起的随时终止项目的情形，并自行承担由此带来的一切损失。</w:t>
      </w:r>
    </w:p>
    <w:p w14:paraId="6467A031">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十、中标人瑕疵滞后发现的处理原则</w:t>
      </w:r>
    </w:p>
    <w:p w14:paraId="66E94951">
      <w:pPr>
        <w:spacing w:line="520" w:lineRule="exact"/>
        <w:ind w:right="2" w:firstLine="420" w:firstLineChars="200"/>
        <w:rPr>
          <w:rFonts w:ascii="宋体" w:hAnsi="Courier New" w:eastAsia="宋体" w:cs="Times New Roman"/>
          <w:szCs w:val="20"/>
        </w:rPr>
      </w:pPr>
      <w:r>
        <w:rPr>
          <w:rFonts w:hint="eastAsia" w:ascii="宋体" w:hAnsi="Courier New" w:eastAsia="宋体" w:cs="Times New Roman"/>
          <w:szCs w:val="20"/>
        </w:rPr>
        <w:t>无论基于何种原因，各项本应作为拒绝处理的情形即便未被及时发现而使该中标人通过了资格审核、初评、现场复审、终评或其他所有相关程序，包括已签订合同的情形，</w:t>
      </w:r>
      <w:r>
        <w:rPr>
          <w:rFonts w:hint="eastAsia" w:ascii="宋体" w:hAnsi="Courier New" w:eastAsia="宋体" w:cs="Times New Roman"/>
          <w:b/>
          <w:sz w:val="24"/>
          <w:szCs w:val="24"/>
        </w:rPr>
        <w:t>招标人有权取消其中标资格，</w:t>
      </w:r>
      <w:r>
        <w:rPr>
          <w:rFonts w:hint="eastAsia" w:ascii="宋体" w:hAnsi="Courier New" w:eastAsia="宋体" w:cs="Times New Roman"/>
          <w:szCs w:val="20"/>
        </w:rPr>
        <w:t>一旦中标人被拒绝或该中标人此前的评议结果被取消，相关的一切损失均由该中标人承担。</w:t>
      </w:r>
    </w:p>
    <w:p w14:paraId="0EBBE3CD">
      <w:pPr>
        <w:spacing w:line="360" w:lineRule="auto"/>
        <w:rPr>
          <w:rFonts w:ascii="黑体" w:hAnsi="Courier New" w:eastAsia="黑体" w:cs="Times New Roman"/>
          <w:b/>
          <w:bCs/>
          <w:sz w:val="28"/>
          <w:szCs w:val="20"/>
        </w:rPr>
      </w:pPr>
      <w:r>
        <w:rPr>
          <w:rFonts w:hint="eastAsia" w:ascii="黑体" w:hAnsi="Courier New" w:eastAsia="黑体" w:cs="Times New Roman"/>
          <w:b/>
          <w:bCs/>
          <w:sz w:val="28"/>
          <w:szCs w:val="20"/>
        </w:rPr>
        <w:t>十一、技术要求</w:t>
      </w:r>
    </w:p>
    <w:p w14:paraId="3903BA29">
      <w:pPr>
        <w:spacing w:line="360" w:lineRule="auto"/>
        <w:ind w:left="420" w:hanging="420" w:hangingChars="200"/>
        <w:rPr>
          <w:rFonts w:ascii="宋体" w:hAnsi="Courier New" w:eastAsia="宋体" w:cs="Times New Roman"/>
          <w:szCs w:val="20"/>
        </w:rPr>
      </w:pPr>
      <w:r>
        <w:rPr>
          <w:rFonts w:hint="eastAsia" w:ascii="宋体" w:hAnsi="Courier New" w:eastAsia="宋体" w:cs="Times New Roman"/>
          <w:szCs w:val="20"/>
        </w:rPr>
        <w:t xml:space="preserve">    见本招标文件“第三章 技术协议书”，附后。</w:t>
      </w:r>
    </w:p>
    <w:p w14:paraId="7DD10418">
      <w:pPr>
        <w:spacing w:line="360" w:lineRule="auto"/>
        <w:rPr>
          <w:rFonts w:ascii="黑体" w:hAnsi="Courier New" w:eastAsia="黑体" w:cs="Times New Roman"/>
          <w:b/>
          <w:bCs/>
          <w:sz w:val="28"/>
          <w:szCs w:val="20"/>
        </w:rPr>
      </w:pPr>
      <w:r>
        <w:rPr>
          <w:rFonts w:ascii="黑体" w:hAnsi="Courier New" w:eastAsia="黑体" w:cs="Times New Roman"/>
          <w:b/>
          <w:bCs/>
          <w:sz w:val="28"/>
          <w:szCs w:val="20"/>
        </w:rPr>
        <w:t>十二</w:t>
      </w:r>
      <w:r>
        <w:rPr>
          <w:rFonts w:hint="eastAsia" w:ascii="黑体" w:hAnsi="Courier New" w:eastAsia="黑体" w:cs="Times New Roman"/>
          <w:b/>
          <w:bCs/>
          <w:sz w:val="28"/>
          <w:szCs w:val="20"/>
        </w:rPr>
        <w:t>、</w:t>
      </w:r>
      <w:r>
        <w:rPr>
          <w:rFonts w:ascii="黑体" w:hAnsi="Courier New" w:eastAsia="黑体" w:cs="Times New Roman"/>
          <w:b/>
          <w:bCs/>
          <w:sz w:val="28"/>
          <w:szCs w:val="20"/>
        </w:rPr>
        <w:t>解释权</w:t>
      </w:r>
    </w:p>
    <w:p w14:paraId="1B0A04B2">
      <w:pPr>
        <w:numPr>
          <w:ilvl w:val="0"/>
          <w:numId w:val="0"/>
        </w:numPr>
        <w:spacing w:line="360" w:lineRule="auto"/>
        <w:ind w:firstLine="420" w:firstLineChars="200"/>
        <w:rPr>
          <w:rFonts w:ascii="宋体" w:hAnsi="Times New Roman" w:eastAsia="宋体" w:cs="Times New Roman"/>
          <w:szCs w:val="20"/>
        </w:rPr>
      </w:pPr>
      <w:r>
        <w:rPr>
          <w:rFonts w:hint="eastAsia" w:ascii="宋体" w:hAnsi="Times New Roman" w:eastAsia="宋体" w:cs="Times New Roman"/>
          <w:szCs w:val="20"/>
          <w:lang w:val="en-US" w:eastAsia="zh-CN"/>
        </w:rPr>
        <w:t>1.</w:t>
      </w:r>
      <w:r>
        <w:rPr>
          <w:rFonts w:hint="eastAsia" w:ascii="宋体" w:hAnsi="Times New Roman" w:eastAsia="宋体" w:cs="Times New Roman"/>
          <w:szCs w:val="20"/>
        </w:rPr>
        <w:t>本招标文件的最终解释权归招标人，当对一个问题有多种解释时以招标人的书面解释为准。</w:t>
      </w:r>
    </w:p>
    <w:p w14:paraId="08400845">
      <w:pPr>
        <w:numPr>
          <w:ilvl w:val="0"/>
          <w:numId w:val="0"/>
        </w:numPr>
        <w:spacing w:line="360" w:lineRule="auto"/>
        <w:ind w:firstLine="420" w:firstLineChars="200"/>
        <w:rPr>
          <w:rFonts w:ascii="宋体" w:hAnsi="Times New Roman" w:eastAsia="宋体" w:cs="Times New Roman"/>
          <w:szCs w:val="20"/>
        </w:rPr>
      </w:pPr>
      <w:r>
        <w:rPr>
          <w:rFonts w:hint="eastAsia" w:ascii="宋体" w:hAnsi="Times New Roman" w:eastAsia="宋体" w:cs="Times New Roman"/>
          <w:szCs w:val="20"/>
          <w:lang w:val="en-US" w:eastAsia="zh-CN"/>
        </w:rPr>
        <w:t>2.</w:t>
      </w:r>
      <w:r>
        <w:rPr>
          <w:rFonts w:hint="eastAsia" w:ascii="宋体" w:hAnsi="Times New Roman" w:eastAsia="宋体" w:cs="Times New Roman"/>
          <w:szCs w:val="20"/>
        </w:rPr>
        <w:t>招标文件未做须知明示，而又有相关法律、法规规定的，招标人对此所做解释以相关的法律、法规规定为依据。</w:t>
      </w:r>
    </w:p>
    <w:p w14:paraId="13DCFB52">
      <w:pPr>
        <w:spacing w:line="360" w:lineRule="auto"/>
        <w:rPr>
          <w:rFonts w:ascii="宋体" w:hAnsi="宋体" w:eastAsia="宋体" w:cs="Times New Roman"/>
          <w:b/>
          <w:bCs/>
          <w:sz w:val="28"/>
          <w:szCs w:val="28"/>
        </w:rPr>
      </w:pPr>
    </w:p>
    <w:p w14:paraId="142E18BC">
      <w:pPr>
        <w:spacing w:line="360" w:lineRule="auto"/>
        <w:ind w:firstLine="562" w:firstLineChars="200"/>
        <w:rPr>
          <w:rFonts w:ascii="宋体" w:hAnsi="宋体" w:eastAsia="宋体" w:cs="Times New Roman"/>
          <w:b/>
          <w:bCs/>
          <w:sz w:val="28"/>
          <w:szCs w:val="28"/>
        </w:rPr>
      </w:pPr>
    </w:p>
    <w:p w14:paraId="04F0642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rPr>
      </w:pPr>
      <w:bookmarkStart w:id="5" w:name="_GoBack"/>
      <w:bookmarkEnd w:id="5"/>
    </w:p>
    <w:sectPr>
      <w:headerReference r:id="rId4" w:type="first"/>
      <w:headerReference r:id="rId3" w:type="default"/>
      <w:footerReference r:id="rId5" w:type="default"/>
      <w:footerReference r:id="rId6" w:type="even"/>
      <w:pgSz w:w="11906" w:h="16838"/>
      <w:pgMar w:top="1701" w:right="1418"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0B7949D1">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0A700">
    <w:pPr>
      <w:pStyle w:val="13"/>
      <w:framePr w:wrap="around" w:vAnchor="text" w:hAnchor="margin" w:xAlign="center" w:y="1"/>
      <w:rPr>
        <w:rStyle w:val="23"/>
      </w:rPr>
    </w:pPr>
    <w:r>
      <w:fldChar w:fldCharType="begin"/>
    </w:r>
    <w:r>
      <w:rPr>
        <w:rStyle w:val="23"/>
      </w:rPr>
      <w:instrText xml:space="preserve">PAGE  </w:instrText>
    </w:r>
    <w:r>
      <w:fldChar w:fldCharType="separate"/>
    </w:r>
    <w:r>
      <w:rPr>
        <w:rStyle w:val="23"/>
      </w:rPr>
      <w:t>- 14 -</w:t>
    </w:r>
    <w:r>
      <w:fldChar w:fldCharType="end"/>
    </w:r>
  </w:p>
  <w:p w14:paraId="7BE5AF1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5BAB2">
    <w:pPr>
      <w:pStyle w:val="13"/>
      <w:framePr w:wrap="around" w:vAnchor="text" w:hAnchor="margin" w:xAlign="center" w:y="1"/>
      <w:rPr>
        <w:rStyle w:val="23"/>
      </w:rPr>
    </w:pPr>
    <w:r>
      <w:fldChar w:fldCharType="begin"/>
    </w:r>
    <w:r>
      <w:rPr>
        <w:rStyle w:val="23"/>
      </w:rPr>
      <w:instrText xml:space="preserve">PAGE  </w:instrText>
    </w:r>
    <w:r>
      <w:fldChar w:fldCharType="end"/>
    </w:r>
  </w:p>
  <w:p w14:paraId="53460199">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8D13">
    <w:pPr>
      <w:pStyle w:val="14"/>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A9C7D">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691C6B"/>
    <w:multiLevelType w:val="singleLevel"/>
    <w:tmpl w:val="B8691C6B"/>
    <w:lvl w:ilvl="0" w:tentative="0">
      <w:start w:val="1"/>
      <w:numFmt w:val="decimal"/>
      <w:suff w:val="nothing"/>
      <w:lvlText w:val="%1、"/>
      <w:lvlJc w:val="left"/>
    </w:lvl>
  </w:abstractNum>
  <w:abstractNum w:abstractNumId="1">
    <w:nsid w:val="BDD57867"/>
    <w:multiLevelType w:val="singleLevel"/>
    <w:tmpl w:val="BDD57867"/>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ODViYWE0MDIzYjZhMmE5YjJhMjE0ODc0ZjQwNDkifQ=="/>
  </w:docVars>
  <w:rsids>
    <w:rsidRoot w:val="00896F88"/>
    <w:rsid w:val="00027B30"/>
    <w:rsid w:val="00033841"/>
    <w:rsid w:val="000567A3"/>
    <w:rsid w:val="00075637"/>
    <w:rsid w:val="000F6429"/>
    <w:rsid w:val="0011040D"/>
    <w:rsid w:val="00114B39"/>
    <w:rsid w:val="00121D95"/>
    <w:rsid w:val="001408F1"/>
    <w:rsid w:val="001532DB"/>
    <w:rsid w:val="00173CB5"/>
    <w:rsid w:val="00175E19"/>
    <w:rsid w:val="00180B4F"/>
    <w:rsid w:val="00184F5F"/>
    <w:rsid w:val="001A34AA"/>
    <w:rsid w:val="001E33DB"/>
    <w:rsid w:val="00264BC6"/>
    <w:rsid w:val="00266E1A"/>
    <w:rsid w:val="00273F21"/>
    <w:rsid w:val="00283925"/>
    <w:rsid w:val="00286866"/>
    <w:rsid w:val="002955F1"/>
    <w:rsid w:val="002A2193"/>
    <w:rsid w:val="002A7458"/>
    <w:rsid w:val="002B7512"/>
    <w:rsid w:val="002C4F15"/>
    <w:rsid w:val="002C56B2"/>
    <w:rsid w:val="002D4FB7"/>
    <w:rsid w:val="002D5FED"/>
    <w:rsid w:val="002E4CE0"/>
    <w:rsid w:val="002F6A8C"/>
    <w:rsid w:val="00341BE9"/>
    <w:rsid w:val="003426EC"/>
    <w:rsid w:val="00347599"/>
    <w:rsid w:val="00351A3E"/>
    <w:rsid w:val="0038533E"/>
    <w:rsid w:val="003D1FBF"/>
    <w:rsid w:val="003D2FA7"/>
    <w:rsid w:val="00413747"/>
    <w:rsid w:val="00450C74"/>
    <w:rsid w:val="00465155"/>
    <w:rsid w:val="00496204"/>
    <w:rsid w:val="004A0B36"/>
    <w:rsid w:val="004B67B3"/>
    <w:rsid w:val="004C1E84"/>
    <w:rsid w:val="004D3DA7"/>
    <w:rsid w:val="00505DE1"/>
    <w:rsid w:val="00510B17"/>
    <w:rsid w:val="005327B7"/>
    <w:rsid w:val="005531EC"/>
    <w:rsid w:val="00581301"/>
    <w:rsid w:val="005B27D0"/>
    <w:rsid w:val="005B6241"/>
    <w:rsid w:val="005D7849"/>
    <w:rsid w:val="005D7E1A"/>
    <w:rsid w:val="005F64A6"/>
    <w:rsid w:val="005F6565"/>
    <w:rsid w:val="00602F3C"/>
    <w:rsid w:val="00611039"/>
    <w:rsid w:val="006247A3"/>
    <w:rsid w:val="00632131"/>
    <w:rsid w:val="00636FB1"/>
    <w:rsid w:val="00646DB3"/>
    <w:rsid w:val="00671398"/>
    <w:rsid w:val="00685E3B"/>
    <w:rsid w:val="00687126"/>
    <w:rsid w:val="006A71C7"/>
    <w:rsid w:val="006D2E21"/>
    <w:rsid w:val="006E1D87"/>
    <w:rsid w:val="007046AC"/>
    <w:rsid w:val="00725BA7"/>
    <w:rsid w:val="00732134"/>
    <w:rsid w:val="0074100E"/>
    <w:rsid w:val="00747E1D"/>
    <w:rsid w:val="00794CE9"/>
    <w:rsid w:val="00796184"/>
    <w:rsid w:val="007F6999"/>
    <w:rsid w:val="00807D48"/>
    <w:rsid w:val="008122CD"/>
    <w:rsid w:val="008128AB"/>
    <w:rsid w:val="00821296"/>
    <w:rsid w:val="008219E9"/>
    <w:rsid w:val="00822665"/>
    <w:rsid w:val="00832B83"/>
    <w:rsid w:val="008358F7"/>
    <w:rsid w:val="0085263C"/>
    <w:rsid w:val="008546C3"/>
    <w:rsid w:val="00896F88"/>
    <w:rsid w:val="008C309C"/>
    <w:rsid w:val="008C7114"/>
    <w:rsid w:val="00913071"/>
    <w:rsid w:val="009252A3"/>
    <w:rsid w:val="009717C0"/>
    <w:rsid w:val="009D2804"/>
    <w:rsid w:val="009F6B87"/>
    <w:rsid w:val="00A046A8"/>
    <w:rsid w:val="00A47B1B"/>
    <w:rsid w:val="00A675E3"/>
    <w:rsid w:val="00A71BC2"/>
    <w:rsid w:val="00A73238"/>
    <w:rsid w:val="00A7795D"/>
    <w:rsid w:val="00AB28FF"/>
    <w:rsid w:val="00AB5985"/>
    <w:rsid w:val="00AD2E03"/>
    <w:rsid w:val="00AD3CD3"/>
    <w:rsid w:val="00B00650"/>
    <w:rsid w:val="00B10BB1"/>
    <w:rsid w:val="00BA386D"/>
    <w:rsid w:val="00BF1B91"/>
    <w:rsid w:val="00BF6991"/>
    <w:rsid w:val="00BF73CF"/>
    <w:rsid w:val="00C21FC8"/>
    <w:rsid w:val="00C42560"/>
    <w:rsid w:val="00C5373C"/>
    <w:rsid w:val="00C64CB3"/>
    <w:rsid w:val="00C818BF"/>
    <w:rsid w:val="00CA5E17"/>
    <w:rsid w:val="00CB0F2F"/>
    <w:rsid w:val="00CC29B4"/>
    <w:rsid w:val="00D16370"/>
    <w:rsid w:val="00D4676D"/>
    <w:rsid w:val="00D50FC8"/>
    <w:rsid w:val="00D534B9"/>
    <w:rsid w:val="00DB1F55"/>
    <w:rsid w:val="00DC6341"/>
    <w:rsid w:val="00DD0615"/>
    <w:rsid w:val="00E0087C"/>
    <w:rsid w:val="00E053D6"/>
    <w:rsid w:val="00E16F85"/>
    <w:rsid w:val="00E54C01"/>
    <w:rsid w:val="00E83F79"/>
    <w:rsid w:val="00EA3B71"/>
    <w:rsid w:val="00EA5F1E"/>
    <w:rsid w:val="00EB130F"/>
    <w:rsid w:val="00EC2DD0"/>
    <w:rsid w:val="00ED1C4A"/>
    <w:rsid w:val="00F52914"/>
    <w:rsid w:val="00F61F10"/>
    <w:rsid w:val="00F631A4"/>
    <w:rsid w:val="00FB68B2"/>
    <w:rsid w:val="00FD6C69"/>
    <w:rsid w:val="01563CF3"/>
    <w:rsid w:val="01F30842"/>
    <w:rsid w:val="020B7554"/>
    <w:rsid w:val="03032BFE"/>
    <w:rsid w:val="031B69DE"/>
    <w:rsid w:val="03DC28E1"/>
    <w:rsid w:val="03F866FC"/>
    <w:rsid w:val="04245B63"/>
    <w:rsid w:val="04A76BE5"/>
    <w:rsid w:val="06113EC5"/>
    <w:rsid w:val="063508FE"/>
    <w:rsid w:val="06A168EC"/>
    <w:rsid w:val="06A97B58"/>
    <w:rsid w:val="074C34CA"/>
    <w:rsid w:val="075929EB"/>
    <w:rsid w:val="07950B26"/>
    <w:rsid w:val="087E7014"/>
    <w:rsid w:val="08BD71E8"/>
    <w:rsid w:val="095161D6"/>
    <w:rsid w:val="0BC97B63"/>
    <w:rsid w:val="0C383A1B"/>
    <w:rsid w:val="0D083FB4"/>
    <w:rsid w:val="0D9D5450"/>
    <w:rsid w:val="0E2579C3"/>
    <w:rsid w:val="0F656151"/>
    <w:rsid w:val="0FD079FE"/>
    <w:rsid w:val="0FEC4603"/>
    <w:rsid w:val="10243A4A"/>
    <w:rsid w:val="10D1668A"/>
    <w:rsid w:val="10FC0367"/>
    <w:rsid w:val="1222745A"/>
    <w:rsid w:val="12417F7E"/>
    <w:rsid w:val="12814D69"/>
    <w:rsid w:val="13076D7C"/>
    <w:rsid w:val="13A8757F"/>
    <w:rsid w:val="14EA110D"/>
    <w:rsid w:val="14FF2B7F"/>
    <w:rsid w:val="159E329B"/>
    <w:rsid w:val="15AD2369"/>
    <w:rsid w:val="16C02B7B"/>
    <w:rsid w:val="17606E66"/>
    <w:rsid w:val="17D66FFE"/>
    <w:rsid w:val="18831547"/>
    <w:rsid w:val="194755CB"/>
    <w:rsid w:val="19825225"/>
    <w:rsid w:val="19962186"/>
    <w:rsid w:val="19DD38FA"/>
    <w:rsid w:val="19F70427"/>
    <w:rsid w:val="1A9A0701"/>
    <w:rsid w:val="1AA411C1"/>
    <w:rsid w:val="1B373F76"/>
    <w:rsid w:val="1BE16AA9"/>
    <w:rsid w:val="1C4318F9"/>
    <w:rsid w:val="1C8E1FE6"/>
    <w:rsid w:val="1C962103"/>
    <w:rsid w:val="1D2F1B6F"/>
    <w:rsid w:val="1D7F7370"/>
    <w:rsid w:val="1E74103D"/>
    <w:rsid w:val="1EED2DCA"/>
    <w:rsid w:val="1EFD1033"/>
    <w:rsid w:val="1F096E77"/>
    <w:rsid w:val="1FE968BD"/>
    <w:rsid w:val="201043DE"/>
    <w:rsid w:val="201E3957"/>
    <w:rsid w:val="202158D9"/>
    <w:rsid w:val="204236FB"/>
    <w:rsid w:val="20500089"/>
    <w:rsid w:val="2154157A"/>
    <w:rsid w:val="21A47E8B"/>
    <w:rsid w:val="22AD24F0"/>
    <w:rsid w:val="22F0298C"/>
    <w:rsid w:val="237A41C3"/>
    <w:rsid w:val="241629E9"/>
    <w:rsid w:val="253E4DA8"/>
    <w:rsid w:val="25F40D60"/>
    <w:rsid w:val="261C26E6"/>
    <w:rsid w:val="26253DA1"/>
    <w:rsid w:val="262C1AB6"/>
    <w:rsid w:val="26361ABD"/>
    <w:rsid w:val="266D329C"/>
    <w:rsid w:val="269E0D68"/>
    <w:rsid w:val="275E14AA"/>
    <w:rsid w:val="27834FE2"/>
    <w:rsid w:val="28061D38"/>
    <w:rsid w:val="286533D6"/>
    <w:rsid w:val="28E33CA5"/>
    <w:rsid w:val="2A2658E2"/>
    <w:rsid w:val="2A41271B"/>
    <w:rsid w:val="2BEE7FA8"/>
    <w:rsid w:val="2D88494B"/>
    <w:rsid w:val="2DCD1AB4"/>
    <w:rsid w:val="2E720143"/>
    <w:rsid w:val="2EE85B84"/>
    <w:rsid w:val="2F162C57"/>
    <w:rsid w:val="2FBB53BC"/>
    <w:rsid w:val="300A6857"/>
    <w:rsid w:val="30D646E4"/>
    <w:rsid w:val="3118232A"/>
    <w:rsid w:val="3143321D"/>
    <w:rsid w:val="315E078B"/>
    <w:rsid w:val="33823918"/>
    <w:rsid w:val="340764EB"/>
    <w:rsid w:val="34BF0E0C"/>
    <w:rsid w:val="34F54AEF"/>
    <w:rsid w:val="34FC3EAA"/>
    <w:rsid w:val="36782A6C"/>
    <w:rsid w:val="36AA5D72"/>
    <w:rsid w:val="37123630"/>
    <w:rsid w:val="37717401"/>
    <w:rsid w:val="37DA2395"/>
    <w:rsid w:val="37DD7DB5"/>
    <w:rsid w:val="38114D8C"/>
    <w:rsid w:val="39A700C1"/>
    <w:rsid w:val="3A3B68F5"/>
    <w:rsid w:val="3B240E97"/>
    <w:rsid w:val="3B3A303A"/>
    <w:rsid w:val="3B4C67D8"/>
    <w:rsid w:val="3B705713"/>
    <w:rsid w:val="3B712735"/>
    <w:rsid w:val="3BB371F1"/>
    <w:rsid w:val="3BC872A7"/>
    <w:rsid w:val="3BE70BD5"/>
    <w:rsid w:val="3CCE7D22"/>
    <w:rsid w:val="3D4F3202"/>
    <w:rsid w:val="3DBB3832"/>
    <w:rsid w:val="3E6E5842"/>
    <w:rsid w:val="3EAA2F88"/>
    <w:rsid w:val="3EC14B85"/>
    <w:rsid w:val="3ECB4852"/>
    <w:rsid w:val="3EEA46C5"/>
    <w:rsid w:val="3EF9145C"/>
    <w:rsid w:val="3F052CF0"/>
    <w:rsid w:val="400C5FCD"/>
    <w:rsid w:val="41126AEB"/>
    <w:rsid w:val="42025F5C"/>
    <w:rsid w:val="42350960"/>
    <w:rsid w:val="42454447"/>
    <w:rsid w:val="42504E5E"/>
    <w:rsid w:val="42891042"/>
    <w:rsid w:val="42BE088D"/>
    <w:rsid w:val="434A6B80"/>
    <w:rsid w:val="43972F54"/>
    <w:rsid w:val="43AB7211"/>
    <w:rsid w:val="43AF149B"/>
    <w:rsid w:val="442745DC"/>
    <w:rsid w:val="44433F0D"/>
    <w:rsid w:val="452B7DF8"/>
    <w:rsid w:val="4597133B"/>
    <w:rsid w:val="468D7067"/>
    <w:rsid w:val="47876268"/>
    <w:rsid w:val="47CA4753"/>
    <w:rsid w:val="489728BD"/>
    <w:rsid w:val="48DF1625"/>
    <w:rsid w:val="49BF78B1"/>
    <w:rsid w:val="4AC5484B"/>
    <w:rsid w:val="4B0C3CB7"/>
    <w:rsid w:val="4B15553F"/>
    <w:rsid w:val="4C585398"/>
    <w:rsid w:val="4CB65FC8"/>
    <w:rsid w:val="4DC97FAC"/>
    <w:rsid w:val="4E317681"/>
    <w:rsid w:val="4E832C5D"/>
    <w:rsid w:val="4F56149D"/>
    <w:rsid w:val="4F702FD7"/>
    <w:rsid w:val="4FE133B0"/>
    <w:rsid w:val="4FF4763C"/>
    <w:rsid w:val="50D024A2"/>
    <w:rsid w:val="515D5589"/>
    <w:rsid w:val="51877A52"/>
    <w:rsid w:val="52D63A99"/>
    <w:rsid w:val="52F61E27"/>
    <w:rsid w:val="53E3402E"/>
    <w:rsid w:val="53FE5EDD"/>
    <w:rsid w:val="5456436D"/>
    <w:rsid w:val="547C0D7C"/>
    <w:rsid w:val="54E347FA"/>
    <w:rsid w:val="554B00FD"/>
    <w:rsid w:val="558624E1"/>
    <w:rsid w:val="559417F6"/>
    <w:rsid w:val="55A80497"/>
    <w:rsid w:val="55AD017D"/>
    <w:rsid w:val="56A33C92"/>
    <w:rsid w:val="57227D03"/>
    <w:rsid w:val="57EB47B3"/>
    <w:rsid w:val="590D7AE9"/>
    <w:rsid w:val="59941D06"/>
    <w:rsid w:val="59E529BF"/>
    <w:rsid w:val="5A7857A1"/>
    <w:rsid w:val="5C5F1E19"/>
    <w:rsid w:val="5C7D0AEB"/>
    <w:rsid w:val="5CA834A1"/>
    <w:rsid w:val="5D9E05A7"/>
    <w:rsid w:val="5DDD55C1"/>
    <w:rsid w:val="5E1E66DC"/>
    <w:rsid w:val="5E222D7F"/>
    <w:rsid w:val="5E540E59"/>
    <w:rsid w:val="5E9842F9"/>
    <w:rsid w:val="5EC64B44"/>
    <w:rsid w:val="5F294F51"/>
    <w:rsid w:val="5F2B264C"/>
    <w:rsid w:val="612E2889"/>
    <w:rsid w:val="6137458B"/>
    <w:rsid w:val="61BA6334"/>
    <w:rsid w:val="61CA33A3"/>
    <w:rsid w:val="61F830CA"/>
    <w:rsid w:val="62600903"/>
    <w:rsid w:val="62C94D21"/>
    <w:rsid w:val="62E96ED1"/>
    <w:rsid w:val="62EB18D5"/>
    <w:rsid w:val="632E2B36"/>
    <w:rsid w:val="639826A5"/>
    <w:rsid w:val="645A5BAC"/>
    <w:rsid w:val="65FD0CAD"/>
    <w:rsid w:val="66B058C7"/>
    <w:rsid w:val="683A1737"/>
    <w:rsid w:val="68BC0BE4"/>
    <w:rsid w:val="69811F27"/>
    <w:rsid w:val="69D81A4D"/>
    <w:rsid w:val="6A914BAA"/>
    <w:rsid w:val="6AB14817"/>
    <w:rsid w:val="6B0D563B"/>
    <w:rsid w:val="6B630ABD"/>
    <w:rsid w:val="6BEC5C84"/>
    <w:rsid w:val="6D486AFE"/>
    <w:rsid w:val="6D6F6021"/>
    <w:rsid w:val="6E4346F3"/>
    <w:rsid w:val="6E5A0C83"/>
    <w:rsid w:val="6F1063C6"/>
    <w:rsid w:val="6F951E58"/>
    <w:rsid w:val="703674CE"/>
    <w:rsid w:val="704D384F"/>
    <w:rsid w:val="719E6702"/>
    <w:rsid w:val="71AE6B81"/>
    <w:rsid w:val="72311466"/>
    <w:rsid w:val="72780D5E"/>
    <w:rsid w:val="72C309D4"/>
    <w:rsid w:val="735A60D6"/>
    <w:rsid w:val="73C05A2C"/>
    <w:rsid w:val="744D3D5F"/>
    <w:rsid w:val="75811530"/>
    <w:rsid w:val="75C57255"/>
    <w:rsid w:val="75D57A11"/>
    <w:rsid w:val="76B26A4C"/>
    <w:rsid w:val="76CE0460"/>
    <w:rsid w:val="77452953"/>
    <w:rsid w:val="77EE2498"/>
    <w:rsid w:val="785A0CF2"/>
    <w:rsid w:val="78FD34BF"/>
    <w:rsid w:val="79AB4269"/>
    <w:rsid w:val="79AE27D6"/>
    <w:rsid w:val="79E9735F"/>
    <w:rsid w:val="79EA34E7"/>
    <w:rsid w:val="7B667D04"/>
    <w:rsid w:val="7B7E53AB"/>
    <w:rsid w:val="7BCD09AD"/>
    <w:rsid w:val="7C62418B"/>
    <w:rsid w:val="7CC505A5"/>
    <w:rsid w:val="7D1141D0"/>
    <w:rsid w:val="7D5B6EBA"/>
    <w:rsid w:val="7DC1647C"/>
    <w:rsid w:val="7E327E17"/>
    <w:rsid w:val="7E4710D8"/>
    <w:rsid w:val="7E514E49"/>
    <w:rsid w:val="7F18226F"/>
    <w:rsid w:val="7F5355D5"/>
    <w:rsid w:val="7FED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8"/>
    <w:qFormat/>
    <w:uiPriority w:val="0"/>
    <w:pPr>
      <w:keepNext/>
      <w:keepLines/>
      <w:spacing w:before="260" w:after="260" w:line="416" w:lineRule="auto"/>
      <w:outlineLvl w:val="1"/>
    </w:pPr>
    <w:rPr>
      <w:rFonts w:ascii="Arial" w:hAnsi="Arial" w:eastAsia="黑体" w:cs="Times New Roman"/>
      <w:b/>
      <w:bCs/>
      <w:sz w:val="32"/>
      <w:szCs w:val="32"/>
    </w:rPr>
  </w:style>
  <w:style w:type="paragraph" w:styleId="3">
    <w:name w:val="heading 3"/>
    <w:basedOn w:val="1"/>
    <w:next w:val="1"/>
    <w:link w:val="29"/>
    <w:qFormat/>
    <w:uiPriority w:val="9"/>
    <w:pPr>
      <w:keepNext/>
      <w:keepLines/>
      <w:spacing w:line="416" w:lineRule="auto"/>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toa heading"/>
    <w:basedOn w:val="1"/>
    <w:next w:val="1"/>
    <w:qFormat/>
    <w:uiPriority w:val="0"/>
    <w:pPr>
      <w:spacing w:before="120"/>
    </w:pPr>
    <w:rPr>
      <w:rFonts w:ascii="Arial" w:hAnsi="Arial" w:eastAsia="宋体" w:cs="Arial"/>
      <w:sz w:val="24"/>
      <w:szCs w:val="24"/>
    </w:rPr>
  </w:style>
  <w:style w:type="paragraph" w:styleId="5">
    <w:name w:val="annotation text"/>
    <w:basedOn w:val="1"/>
    <w:link w:val="30"/>
    <w:qFormat/>
    <w:uiPriority w:val="0"/>
    <w:pPr>
      <w:jc w:val="left"/>
    </w:pPr>
    <w:rPr>
      <w:rFonts w:ascii="Times New Roman" w:hAnsi="Times New Roman" w:eastAsia="宋体" w:cs="Times New Roman"/>
      <w:szCs w:val="20"/>
    </w:rPr>
  </w:style>
  <w:style w:type="paragraph" w:styleId="6">
    <w:name w:val="index 6"/>
    <w:basedOn w:val="1"/>
    <w:next w:val="1"/>
    <w:qFormat/>
    <w:uiPriority w:val="0"/>
    <w:rPr>
      <w:rFonts w:ascii="宋体" w:hAnsi="宋体"/>
      <w:color w:val="000000"/>
      <w:sz w:val="20"/>
      <w:szCs w:val="20"/>
    </w:rPr>
  </w:style>
  <w:style w:type="paragraph" w:styleId="7">
    <w:name w:val="Body Text"/>
    <w:basedOn w:val="1"/>
    <w:next w:val="8"/>
    <w:link w:val="32"/>
    <w:qFormat/>
    <w:uiPriority w:val="0"/>
    <w:rPr>
      <w:rFonts w:ascii="仿宋_GB2312" w:hAnsi="Times New Roman" w:eastAsia="仿宋_GB2312" w:cs="Times New Roman"/>
      <w:sz w:val="32"/>
      <w:szCs w:val="20"/>
    </w:rPr>
  </w:style>
  <w:style w:type="paragraph" w:customStyle="1" w:styleId="8">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paragraph" w:styleId="9">
    <w:name w:val="Body Text Indent"/>
    <w:basedOn w:val="1"/>
    <w:link w:val="35"/>
    <w:unhideWhenUsed/>
    <w:qFormat/>
    <w:uiPriority w:val="0"/>
    <w:pPr>
      <w:spacing w:after="120"/>
      <w:ind w:left="420" w:leftChars="200"/>
    </w:pPr>
    <w:rPr>
      <w:rFonts w:ascii="Calibri" w:hAnsi="Calibri" w:eastAsia="宋体" w:cs="Times New Roman"/>
    </w:rPr>
  </w:style>
  <w:style w:type="paragraph" w:styleId="10">
    <w:name w:val="Plain Text"/>
    <w:basedOn w:val="1"/>
    <w:link w:val="37"/>
    <w:qFormat/>
    <w:uiPriority w:val="0"/>
    <w:rPr>
      <w:rFonts w:ascii="宋体" w:hAnsi="Courier New" w:eastAsia="宋体" w:cs="Times New Roman"/>
      <w:szCs w:val="20"/>
    </w:rPr>
  </w:style>
  <w:style w:type="paragraph" w:styleId="11">
    <w:name w:val="Date"/>
    <w:basedOn w:val="1"/>
    <w:next w:val="1"/>
    <w:link w:val="38"/>
    <w:qFormat/>
    <w:uiPriority w:val="0"/>
    <w:pPr>
      <w:ind w:left="100" w:leftChars="2500"/>
    </w:pPr>
    <w:rPr>
      <w:rFonts w:ascii="Times New Roman" w:hAnsi="Times New Roman" w:eastAsia="宋体" w:cs="Times New Roman"/>
      <w:szCs w:val="24"/>
    </w:rPr>
  </w:style>
  <w:style w:type="paragraph" w:styleId="12">
    <w:name w:val="Balloon Text"/>
    <w:basedOn w:val="1"/>
    <w:link w:val="39"/>
    <w:qFormat/>
    <w:uiPriority w:val="99"/>
    <w:rPr>
      <w:rFonts w:ascii="Times New Roman" w:hAnsi="Times New Roman" w:eastAsia="宋体" w:cs="Times New Roman"/>
      <w:sz w:val="18"/>
      <w:szCs w:val="18"/>
    </w:rPr>
  </w:style>
  <w:style w:type="paragraph" w:styleId="13">
    <w:name w:val="footer"/>
    <w:basedOn w:val="1"/>
    <w:link w:val="40"/>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link w:val="41"/>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toc 1"/>
    <w:basedOn w:val="1"/>
    <w:next w:val="1"/>
    <w:semiHidden/>
    <w:qFormat/>
    <w:uiPriority w:val="0"/>
    <w:pPr>
      <w:tabs>
        <w:tab w:val="right" w:leader="dot" w:pos="8729"/>
      </w:tabs>
      <w:spacing w:line="480" w:lineRule="auto"/>
      <w:jc w:val="left"/>
    </w:pPr>
    <w:rPr>
      <w:rFonts w:ascii="宋体" w:hAnsi="宋体" w:eastAsia="宋体" w:cs="Times New Roman"/>
      <w:b/>
      <w:caps/>
      <w:sz w:val="28"/>
      <w:szCs w:val="28"/>
    </w:rPr>
  </w:style>
  <w:style w:type="paragraph" w:styleId="16">
    <w:name w:val="List"/>
    <w:basedOn w:val="1"/>
    <w:qFormat/>
    <w:uiPriority w:val="0"/>
    <w:pPr>
      <w:ind w:left="420" w:hanging="420"/>
    </w:pPr>
    <w:rPr>
      <w:rFonts w:ascii="Times New Roman" w:hAnsi="Times New Roman" w:eastAsia="宋体" w:cs="Times New Roman"/>
      <w:szCs w:val="20"/>
    </w:rPr>
  </w:style>
  <w:style w:type="paragraph" w:styleId="17">
    <w:name w:val="toc 2"/>
    <w:basedOn w:val="1"/>
    <w:next w:val="1"/>
    <w:unhideWhenUsed/>
    <w:qFormat/>
    <w:uiPriority w:val="0"/>
    <w:pPr>
      <w:ind w:left="420" w:leftChars="200"/>
    </w:pPr>
    <w:rPr>
      <w:rFonts w:ascii="Times New Roman" w:hAnsi="Times New Roman" w:eastAsia="宋体" w:cs="Times New Roman"/>
      <w:szCs w:val="20"/>
    </w:rPr>
  </w:style>
  <w:style w:type="paragraph" w:styleId="18">
    <w:name w:val="annotation subject"/>
    <w:basedOn w:val="5"/>
    <w:next w:val="5"/>
    <w:link w:val="42"/>
    <w:qFormat/>
    <w:uiPriority w:val="0"/>
    <w:rPr>
      <w:b/>
      <w:bCs/>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rPr>
  </w:style>
  <w:style w:type="character" w:styleId="23">
    <w:name w:val="page number"/>
    <w:qFormat/>
    <w:uiPriority w:val="0"/>
  </w:style>
  <w:style w:type="character" w:styleId="24">
    <w:name w:val="FollowedHyperlink"/>
    <w:qFormat/>
    <w:uiPriority w:val="99"/>
    <w:rPr>
      <w:color w:val="800080"/>
      <w:u w:val="single"/>
    </w:rPr>
  </w:style>
  <w:style w:type="character" w:styleId="25">
    <w:name w:val="Emphasis"/>
    <w:qFormat/>
    <w:uiPriority w:val="20"/>
    <w:rPr>
      <w:i/>
      <w:iCs/>
    </w:rPr>
  </w:style>
  <w:style w:type="character" w:styleId="26">
    <w:name w:val="Hyperlink"/>
    <w:basedOn w:val="21"/>
    <w:semiHidden/>
    <w:qFormat/>
    <w:uiPriority w:val="99"/>
    <w:rPr>
      <w:rFonts w:cs="Times New Roman"/>
      <w:color w:val="1F4F88"/>
      <w:u w:val="none"/>
    </w:rPr>
  </w:style>
  <w:style w:type="character" w:styleId="27">
    <w:name w:val="annotation reference"/>
    <w:qFormat/>
    <w:uiPriority w:val="0"/>
    <w:rPr>
      <w:sz w:val="21"/>
      <w:szCs w:val="21"/>
    </w:rPr>
  </w:style>
  <w:style w:type="character" w:customStyle="1" w:styleId="28">
    <w:name w:val="标题 2 字符"/>
    <w:basedOn w:val="21"/>
    <w:link w:val="2"/>
    <w:qFormat/>
    <w:uiPriority w:val="0"/>
    <w:rPr>
      <w:rFonts w:ascii="Arial" w:hAnsi="Arial" w:eastAsia="黑体" w:cs="Times New Roman"/>
      <w:b/>
      <w:bCs/>
      <w:sz w:val="32"/>
      <w:szCs w:val="32"/>
    </w:rPr>
  </w:style>
  <w:style w:type="character" w:customStyle="1" w:styleId="29">
    <w:name w:val="标题 3 字符"/>
    <w:basedOn w:val="21"/>
    <w:link w:val="3"/>
    <w:qFormat/>
    <w:uiPriority w:val="9"/>
    <w:rPr>
      <w:rFonts w:ascii="Times New Roman" w:hAnsi="Times New Roman" w:eastAsia="宋体" w:cs="Times New Roman"/>
      <w:b/>
      <w:bCs/>
      <w:sz w:val="32"/>
      <w:szCs w:val="32"/>
    </w:rPr>
  </w:style>
  <w:style w:type="character" w:customStyle="1" w:styleId="30">
    <w:name w:val="批注文字 字符"/>
    <w:basedOn w:val="21"/>
    <w:link w:val="5"/>
    <w:qFormat/>
    <w:uiPriority w:val="0"/>
    <w:rPr>
      <w:rFonts w:ascii="Times New Roman" w:hAnsi="Times New Roman" w:eastAsia="宋体" w:cs="Times New Roman"/>
      <w:szCs w:val="20"/>
    </w:rPr>
  </w:style>
  <w:style w:type="character" w:customStyle="1" w:styleId="31">
    <w:name w:val="正文文本 Char"/>
    <w:basedOn w:val="21"/>
    <w:qFormat/>
    <w:uiPriority w:val="0"/>
  </w:style>
  <w:style w:type="character" w:customStyle="1" w:styleId="32">
    <w:name w:val="正文文本 字符"/>
    <w:link w:val="7"/>
    <w:qFormat/>
    <w:uiPriority w:val="0"/>
    <w:rPr>
      <w:rFonts w:ascii="仿宋_GB2312" w:hAnsi="Times New Roman" w:eastAsia="仿宋_GB2312" w:cs="Times New Roman"/>
      <w:sz w:val="32"/>
      <w:szCs w:val="20"/>
    </w:rPr>
  </w:style>
  <w:style w:type="character" w:customStyle="1" w:styleId="33">
    <w:name w:val="正文文本缩进 Char"/>
    <w:basedOn w:val="21"/>
    <w:link w:val="34"/>
    <w:qFormat/>
    <w:uiPriority w:val="0"/>
  </w:style>
  <w:style w:type="paragraph" w:customStyle="1" w:styleId="34">
    <w:name w:val="正文文本缩进1"/>
    <w:basedOn w:val="1"/>
    <w:link w:val="33"/>
    <w:qFormat/>
    <w:uiPriority w:val="0"/>
    <w:pPr>
      <w:spacing w:after="120"/>
      <w:ind w:left="420" w:leftChars="200"/>
    </w:pPr>
  </w:style>
  <w:style w:type="character" w:customStyle="1" w:styleId="35">
    <w:name w:val="正文文本缩进 字符"/>
    <w:link w:val="9"/>
    <w:qFormat/>
    <w:uiPriority w:val="0"/>
    <w:rPr>
      <w:rFonts w:ascii="Calibri" w:hAnsi="Calibri" w:eastAsia="宋体" w:cs="Times New Roman"/>
    </w:rPr>
  </w:style>
  <w:style w:type="character" w:customStyle="1" w:styleId="36">
    <w:name w:val="纯文本 Char"/>
    <w:basedOn w:val="21"/>
    <w:qFormat/>
    <w:uiPriority w:val="0"/>
    <w:rPr>
      <w:rFonts w:ascii="宋体" w:hAnsi="Courier New" w:eastAsia="宋体" w:cs="Courier New"/>
      <w:szCs w:val="21"/>
    </w:rPr>
  </w:style>
  <w:style w:type="character" w:customStyle="1" w:styleId="37">
    <w:name w:val="纯文本 字符"/>
    <w:link w:val="10"/>
    <w:qFormat/>
    <w:uiPriority w:val="0"/>
    <w:rPr>
      <w:rFonts w:ascii="宋体" w:hAnsi="Courier New" w:eastAsia="宋体" w:cs="Times New Roman"/>
      <w:szCs w:val="20"/>
    </w:rPr>
  </w:style>
  <w:style w:type="character" w:customStyle="1" w:styleId="38">
    <w:name w:val="日期 字符"/>
    <w:basedOn w:val="21"/>
    <w:link w:val="11"/>
    <w:qFormat/>
    <w:uiPriority w:val="0"/>
    <w:rPr>
      <w:rFonts w:ascii="Times New Roman" w:hAnsi="Times New Roman" w:eastAsia="宋体" w:cs="Times New Roman"/>
      <w:szCs w:val="24"/>
    </w:rPr>
  </w:style>
  <w:style w:type="character" w:customStyle="1" w:styleId="39">
    <w:name w:val="批注框文本 字符"/>
    <w:basedOn w:val="21"/>
    <w:link w:val="12"/>
    <w:qFormat/>
    <w:uiPriority w:val="99"/>
    <w:rPr>
      <w:rFonts w:ascii="Times New Roman" w:hAnsi="Times New Roman" w:eastAsia="宋体" w:cs="Times New Roman"/>
      <w:sz w:val="18"/>
      <w:szCs w:val="18"/>
    </w:rPr>
  </w:style>
  <w:style w:type="character" w:customStyle="1" w:styleId="40">
    <w:name w:val="页脚 字符"/>
    <w:basedOn w:val="21"/>
    <w:link w:val="13"/>
    <w:qFormat/>
    <w:uiPriority w:val="0"/>
    <w:rPr>
      <w:rFonts w:ascii="Times New Roman" w:hAnsi="Times New Roman" w:eastAsia="宋体" w:cs="Times New Roman"/>
      <w:sz w:val="18"/>
      <w:szCs w:val="18"/>
    </w:rPr>
  </w:style>
  <w:style w:type="character" w:customStyle="1" w:styleId="41">
    <w:name w:val="页眉 字符"/>
    <w:basedOn w:val="21"/>
    <w:link w:val="14"/>
    <w:qFormat/>
    <w:uiPriority w:val="99"/>
    <w:rPr>
      <w:rFonts w:ascii="Times New Roman" w:hAnsi="Times New Roman" w:eastAsia="宋体" w:cs="Times New Roman"/>
      <w:sz w:val="18"/>
      <w:szCs w:val="18"/>
    </w:rPr>
  </w:style>
  <w:style w:type="character" w:customStyle="1" w:styleId="42">
    <w:name w:val="批注主题 字符"/>
    <w:basedOn w:val="30"/>
    <w:link w:val="18"/>
    <w:qFormat/>
    <w:uiPriority w:val="0"/>
    <w:rPr>
      <w:rFonts w:ascii="Times New Roman" w:hAnsi="Times New Roman" w:eastAsia="宋体" w:cs="Times New Roman"/>
      <w:b/>
      <w:bCs/>
      <w:szCs w:val="20"/>
    </w:rPr>
  </w:style>
  <w:style w:type="character" w:customStyle="1" w:styleId="43">
    <w:name w:val="Char Char2"/>
    <w:qFormat/>
    <w:uiPriority w:val="0"/>
    <w:rPr>
      <w:rFonts w:ascii="宋体" w:hAnsi="Courier New" w:cs="宋体"/>
      <w:kern w:val="2"/>
      <w:sz w:val="21"/>
      <w:szCs w:val="21"/>
    </w:rPr>
  </w:style>
  <w:style w:type="character" w:customStyle="1" w:styleId="44">
    <w:name w:val="apple-converted-space"/>
    <w:qFormat/>
    <w:uiPriority w:val="0"/>
  </w:style>
  <w:style w:type="character" w:customStyle="1" w:styleId="45">
    <w:name w:val="HTML Markup"/>
    <w:qFormat/>
    <w:uiPriority w:val="0"/>
    <w:rPr>
      <w:vanish/>
      <w:color w:val="FF0000"/>
    </w:rPr>
  </w:style>
  <w:style w:type="character" w:customStyle="1" w:styleId="46">
    <w:name w:val="日期 Char1"/>
    <w:qFormat/>
    <w:uiPriority w:val="99"/>
    <w:rPr>
      <w:kern w:val="2"/>
      <w:sz w:val="21"/>
    </w:rPr>
  </w:style>
  <w:style w:type="character" w:customStyle="1" w:styleId="47">
    <w:name w:val="Char Char5"/>
    <w:qFormat/>
    <w:uiPriority w:val="0"/>
    <w:rPr>
      <w:rFonts w:ascii="宋体" w:hAnsi="Courier New" w:eastAsia="宋体"/>
      <w:kern w:val="2"/>
      <w:sz w:val="21"/>
      <w:lang w:val="en-US" w:eastAsia="zh-CN" w:bidi="ar-SA"/>
    </w:rPr>
  </w:style>
  <w:style w:type="character" w:customStyle="1" w:styleId="48">
    <w:name w:val="Char Char3"/>
    <w:qFormat/>
    <w:uiPriority w:val="0"/>
    <w:rPr>
      <w:rFonts w:ascii="宋体" w:hAnsi="Courier New" w:eastAsia="宋体"/>
      <w:kern w:val="2"/>
      <w:sz w:val="21"/>
      <w:lang w:val="en-US" w:eastAsia="zh-CN" w:bidi="ar-SA"/>
    </w:rPr>
  </w:style>
  <w:style w:type="paragraph" w:styleId="49">
    <w:name w:val="List Paragraph"/>
    <w:basedOn w:val="1"/>
    <w:qFormat/>
    <w:uiPriority w:val="34"/>
    <w:pPr>
      <w:ind w:firstLine="420" w:firstLineChars="200"/>
    </w:pPr>
    <w:rPr>
      <w:rFonts w:ascii="Calibri" w:hAnsi="Calibri" w:eastAsia="宋体" w:cs="Times New Roman"/>
    </w:rPr>
  </w:style>
  <w:style w:type="paragraph" w:customStyle="1" w:styleId="50">
    <w:name w:val="列出段落1"/>
    <w:basedOn w:val="1"/>
    <w:qFormat/>
    <w:uiPriority w:val="34"/>
    <w:pPr>
      <w:ind w:firstLine="420" w:firstLineChars="200"/>
    </w:pPr>
    <w:rPr>
      <w:rFonts w:ascii="Calibri" w:hAnsi="Calibri" w:eastAsia="宋体" w:cs="Times New Roman"/>
    </w:rPr>
  </w:style>
  <w:style w:type="paragraph" w:customStyle="1" w:styleId="5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2">
    <w:name w:val="1"/>
    <w:basedOn w:val="1"/>
    <w:qFormat/>
    <w:uiPriority w:val="0"/>
    <w:pPr>
      <w:widowControl/>
      <w:spacing w:before="100" w:beforeAutospacing="1" w:after="100" w:afterAutospacing="1"/>
      <w:jc w:val="left"/>
    </w:pPr>
    <w:rPr>
      <w:rFonts w:hint="eastAsia" w:ascii="宋体" w:hAnsi="宋体" w:eastAsia="宋体" w:cs="Times New Roman"/>
      <w:kern w:val="0"/>
      <w:sz w:val="24"/>
      <w:szCs w:val="24"/>
    </w:rPr>
  </w:style>
  <w:style w:type="paragraph" w:customStyle="1" w:styleId="5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4">
    <w:name w:val="二级列表 Char"/>
    <w:basedOn w:val="1"/>
    <w:qFormat/>
    <w:uiPriority w:val="0"/>
    <w:rPr>
      <w:rFonts w:ascii="Calibri" w:hAnsi="Calibri"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738</Words>
  <Characters>813</Characters>
  <Lines>217</Lines>
  <Paragraphs>61</Paragraphs>
  <TotalTime>8</TotalTime>
  <ScaleCrop>false</ScaleCrop>
  <LinksUpToDate>false</LinksUpToDate>
  <CharactersWithSpaces>850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2021-05-08T08:19:00Z</dcterms:created>
  <dc:creator>周家帅</dc:creator>
  <cp:lastModifiedBy>zwl</cp:lastModifiedBy>
  <dcterms:modified xsi:type="dcterms:W3CDTF">2026-09-22T08:40:10Z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40B39927A90E435FBBAF180D54A0513B</vt:lpwstr>
  </property>
  <property fmtid="{D5CDD505-2E9C-101B-9397-08002B2CF9AE}" pid="4" name="KSOTemplateDocerSaveRecord">
    <vt:lpwstr>eyJoZGlkIjoiMzRmN2RlYzllODY5NDgxYjM4Yjk4NzI4NmRiMmRlMDAiLCJ1c2VySWQiOiI1MDI4OTEzNjQifQ==</vt:lpwstr>
  </property>
</Properties>
</file>