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C63E0">
      <w:pPr>
        <w:spacing w:line="320" w:lineRule="exact"/>
        <w:ind w:right="34" w:rightChars="16"/>
        <w:jc w:val="left"/>
        <w:rPr>
          <w:rFonts w:hint="eastAsia"/>
          <w:b/>
          <w:bCs w:val="0"/>
          <w:sz w:val="22"/>
          <w:szCs w:val="21"/>
          <w:highlight w:val="yellow"/>
        </w:rPr>
      </w:pPr>
      <w:r>
        <w:rPr>
          <w:rFonts w:hint="eastAsia" w:ascii="仿宋_GB2312" w:hAnsi="仿宋_GB2312" w:cs="仿宋_GB2312"/>
          <w:b/>
          <w:bCs w:val="0"/>
          <w:sz w:val="22"/>
          <w:szCs w:val="21"/>
        </w:rPr>
        <w:t>评标</w:t>
      </w:r>
      <w:r>
        <w:rPr>
          <w:rFonts w:hint="eastAsia" w:ascii="仿宋_GB2312" w:hAnsi="仿宋_GB2312" w:cs="仿宋_GB2312"/>
          <w:b/>
          <w:bCs w:val="0"/>
          <w:sz w:val="22"/>
          <w:szCs w:val="21"/>
          <w:lang w:val="en-US" w:eastAsia="zh-CN"/>
        </w:rPr>
        <w:t>标准</w:t>
      </w:r>
      <w:r>
        <w:rPr>
          <w:rFonts w:hint="eastAsia" w:ascii="仿宋_GB2312" w:hAnsi="仿宋_GB2312" w:cs="仿宋_GB2312"/>
          <w:b/>
          <w:bCs w:val="0"/>
          <w:sz w:val="22"/>
          <w:szCs w:val="21"/>
        </w:rPr>
        <w:t>：</w:t>
      </w:r>
      <w:r>
        <w:rPr>
          <w:rFonts w:hint="eastAsia" w:ascii="仿宋_GB2312" w:hAnsi="仿宋_GB2312" w:cs="仿宋_GB2312"/>
          <w:b/>
          <w:bCs w:val="0"/>
          <w:sz w:val="22"/>
          <w:szCs w:val="21"/>
          <w:highlight w:val="yellow"/>
          <w:lang w:val="en-US" w:eastAsia="zh-CN"/>
        </w:rPr>
        <w:t>综合最低价（</w:t>
      </w:r>
      <w:r>
        <w:rPr>
          <w:rFonts w:hint="eastAsia" w:ascii="仿宋_GB2312" w:hAnsi="仿宋_GB2312" w:cs="仿宋_GB2312"/>
          <w:color w:val="000000"/>
          <w:szCs w:val="28"/>
          <w:highlight w:val="yellow"/>
          <w:lang w:val="en-US" w:eastAsia="zh-CN"/>
        </w:rPr>
        <w:t>技术标入围后，商务标实行低价中标</w:t>
      </w:r>
      <w:r>
        <w:rPr>
          <w:rFonts w:hint="eastAsia" w:ascii="仿宋_GB2312" w:hAnsi="仿宋_GB2312" w:cs="仿宋_GB2312"/>
          <w:b/>
          <w:bCs w:val="0"/>
          <w:sz w:val="22"/>
          <w:szCs w:val="21"/>
          <w:highlight w:val="yellow"/>
          <w:lang w:val="en-US" w:eastAsia="zh-CN"/>
        </w:rPr>
        <w:t>）</w:t>
      </w:r>
    </w:p>
    <w:tbl>
      <w:tblPr>
        <w:tblStyle w:val="2"/>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7851E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6EDD4FD9">
            <w:pPr>
              <w:spacing w:line="320" w:lineRule="exact"/>
              <w:ind w:right="34" w:rightChars="16"/>
              <w:jc w:val="center"/>
              <w:rPr>
                <w:b/>
                <w:szCs w:val="21"/>
              </w:rPr>
            </w:pPr>
            <w:r>
              <w:rPr>
                <w:rFonts w:hint="eastAsia"/>
                <w:b/>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3B4D3CD5">
            <w:pPr>
              <w:spacing w:line="320" w:lineRule="exact"/>
              <w:ind w:right="34" w:rightChars="16"/>
              <w:jc w:val="center"/>
              <w:rPr>
                <w:b/>
                <w:szCs w:val="21"/>
              </w:rPr>
            </w:pPr>
            <w:r>
              <w:rPr>
                <w:rFonts w:hint="eastAsia"/>
                <w:b/>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1D237ABE">
            <w:pPr>
              <w:spacing w:line="320" w:lineRule="exact"/>
              <w:ind w:right="34" w:rightChars="16"/>
              <w:jc w:val="center"/>
              <w:rPr>
                <w:rFonts w:hint="eastAsia" w:eastAsia="宋体"/>
                <w:b/>
                <w:szCs w:val="21"/>
                <w:lang w:eastAsia="zh-CN"/>
              </w:rPr>
            </w:pPr>
            <w:r>
              <w:rPr>
                <w:rFonts w:hint="eastAsia"/>
                <w:b/>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46AD8AA5">
            <w:pPr>
              <w:spacing w:line="320" w:lineRule="exact"/>
              <w:ind w:right="34" w:rightChars="16"/>
              <w:jc w:val="center"/>
              <w:rPr>
                <w:b/>
                <w:szCs w:val="21"/>
              </w:rPr>
            </w:pPr>
            <w:r>
              <w:rPr>
                <w:rFonts w:hint="eastAsia"/>
                <w:b/>
              </w:rPr>
              <w:t>最高</w:t>
            </w:r>
          </w:p>
          <w:p w14:paraId="0882B345">
            <w:pPr>
              <w:spacing w:line="320" w:lineRule="exact"/>
              <w:ind w:right="34" w:rightChars="16"/>
              <w:jc w:val="center"/>
              <w:rPr>
                <w:b/>
                <w:szCs w:val="21"/>
              </w:rPr>
            </w:pPr>
            <w:r>
              <w:rPr>
                <w:rFonts w:hint="eastAsia"/>
                <w:b/>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250CD4F1">
            <w:pPr>
              <w:spacing w:line="320" w:lineRule="exact"/>
              <w:ind w:right="34" w:rightChars="16"/>
              <w:jc w:val="center"/>
              <w:rPr>
                <w:b/>
                <w:szCs w:val="21"/>
              </w:rPr>
            </w:pPr>
            <w:r>
              <w:rPr>
                <w:rFonts w:hint="eastAsia"/>
                <w:b/>
              </w:rPr>
              <w:t>评分标准</w:t>
            </w:r>
          </w:p>
        </w:tc>
      </w:tr>
      <w:tr w14:paraId="39228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786E8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lang w:eastAsia="zh-CN"/>
              </w:rPr>
            </w:pPr>
            <w:r>
              <w:rPr>
                <w:rFonts w:hint="eastAsia" w:ascii="宋体"/>
              </w:rPr>
              <w:t>技术标</w:t>
            </w:r>
          </w:p>
        </w:tc>
        <w:tc>
          <w:tcPr>
            <w:tcW w:w="520" w:type="dxa"/>
            <w:vMerge w:val="restart"/>
            <w:tcBorders>
              <w:top w:val="single" w:color="auto" w:sz="4" w:space="0"/>
              <w:left w:val="single" w:color="auto" w:sz="4" w:space="0"/>
              <w:right w:val="single" w:color="auto" w:sz="4" w:space="0"/>
            </w:tcBorders>
            <w:vAlign w:val="center"/>
          </w:tcPr>
          <w:p w14:paraId="435CD8A8">
            <w:pPr>
              <w:spacing w:line="440" w:lineRule="exact"/>
              <w:jc w:val="center"/>
              <w:rPr>
                <w:rFonts w:hint="default" w:ascii="宋体" w:eastAsia="宋体"/>
                <w:lang w:val="en-US" w:eastAsia="zh-CN"/>
              </w:rPr>
            </w:pPr>
            <w:r>
              <w:rPr>
                <w:rFonts w:hint="eastAsia" w:ascii="宋体"/>
                <w:lang w:val="en-US" w:eastAsia="zh-CN"/>
              </w:rPr>
              <w:t>100</w:t>
            </w:r>
          </w:p>
        </w:tc>
        <w:tc>
          <w:tcPr>
            <w:tcW w:w="970" w:type="dxa"/>
            <w:tcBorders>
              <w:top w:val="single" w:color="auto" w:sz="4" w:space="0"/>
              <w:left w:val="single" w:color="auto" w:sz="4" w:space="0"/>
              <w:right w:val="single" w:color="auto" w:sz="4" w:space="0"/>
            </w:tcBorders>
            <w:vAlign w:val="center"/>
          </w:tcPr>
          <w:p w14:paraId="36984275">
            <w:pPr>
              <w:jc w:val="left"/>
              <w:rPr>
                <w:rFonts w:hint="eastAsia" w:ascii="宋体"/>
              </w:rPr>
            </w:pPr>
            <w:r>
              <w:rPr>
                <w:rFonts w:hint="eastAsia" w:ascii="宋体"/>
              </w:rPr>
              <w:t>工艺水平及主要技术参数</w:t>
            </w:r>
          </w:p>
        </w:tc>
        <w:tc>
          <w:tcPr>
            <w:tcW w:w="650" w:type="dxa"/>
            <w:tcBorders>
              <w:top w:val="single" w:color="auto" w:sz="4" w:space="0"/>
              <w:left w:val="single" w:color="auto" w:sz="4" w:space="0"/>
              <w:bottom w:val="single" w:color="auto" w:sz="4" w:space="0"/>
              <w:right w:val="single" w:color="auto" w:sz="4" w:space="0"/>
            </w:tcBorders>
            <w:vAlign w:val="center"/>
          </w:tcPr>
          <w:p w14:paraId="323A99F7">
            <w:pPr>
              <w:jc w:val="center"/>
              <w:rPr>
                <w:rFonts w:hint="default" w:ascii="宋体"/>
                <w:lang w:val="en-US" w:eastAsia="zh-CN"/>
              </w:rPr>
            </w:pPr>
            <w:r>
              <w:rPr>
                <w:rFonts w:hint="eastAsia" w:ascii="宋体"/>
              </w:rPr>
              <w:t>34分</w:t>
            </w:r>
          </w:p>
        </w:tc>
        <w:tc>
          <w:tcPr>
            <w:tcW w:w="6153" w:type="dxa"/>
            <w:tcBorders>
              <w:top w:val="single" w:color="auto" w:sz="4" w:space="0"/>
              <w:left w:val="single" w:color="auto" w:sz="4" w:space="0"/>
              <w:bottom w:val="single" w:color="auto" w:sz="4" w:space="0"/>
              <w:right w:val="single" w:color="auto" w:sz="4" w:space="0"/>
            </w:tcBorders>
            <w:vAlign w:val="center"/>
          </w:tcPr>
          <w:p w14:paraId="2594239B">
            <w:pPr>
              <w:jc w:val="left"/>
              <w:rPr>
                <w:rFonts w:ascii="宋体"/>
              </w:rPr>
            </w:pPr>
            <w:r>
              <w:rPr>
                <w:rFonts w:hint="eastAsia" w:ascii="宋体"/>
              </w:rPr>
              <w:t>1.1能提供证明其工艺水平及制造保障能力证明材料(如自有主要加工设备、若有外协配套厂家的相关资料等）的视其实际情况得1-12分，未提供不得分；</w:t>
            </w:r>
          </w:p>
          <w:p w14:paraId="58CFA5ED">
            <w:pPr>
              <w:jc w:val="left"/>
              <w:rPr>
                <w:rFonts w:ascii="宋体"/>
              </w:rPr>
            </w:pPr>
            <w:r>
              <w:rPr>
                <w:rFonts w:hint="eastAsia" w:ascii="宋体"/>
              </w:rPr>
              <w:t>1.2主要技术参数</w:t>
            </w:r>
          </w:p>
          <w:p w14:paraId="28EECF9B">
            <w:pPr>
              <w:jc w:val="left"/>
              <w:rPr>
                <w:rFonts w:hint="eastAsia" w:ascii="宋体"/>
              </w:rPr>
            </w:pPr>
            <w:r>
              <w:rPr>
                <w:rFonts w:hint="eastAsia" w:ascii="宋体"/>
              </w:rPr>
              <w:t>所报产品的技术参数满足招标文件要求得12分，每一项技术参数优于招标文件的加1分，最高加10分；每一项技术参数低于招标文件的减1分，减完为止。</w:t>
            </w:r>
          </w:p>
        </w:tc>
      </w:tr>
      <w:tr w14:paraId="355F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420C60BA">
            <w:pPr>
              <w:widowControl/>
              <w:jc w:val="center"/>
              <w:rPr>
                <w:rFonts w:ascii="宋体"/>
              </w:rPr>
            </w:pPr>
          </w:p>
        </w:tc>
        <w:tc>
          <w:tcPr>
            <w:tcW w:w="520" w:type="dxa"/>
            <w:vMerge w:val="continue"/>
            <w:tcBorders>
              <w:left w:val="single" w:color="auto" w:sz="4" w:space="0"/>
              <w:right w:val="single" w:color="auto" w:sz="4" w:space="0"/>
            </w:tcBorders>
            <w:vAlign w:val="center"/>
          </w:tcPr>
          <w:p w14:paraId="6FE7A64B">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349ABE45">
            <w:pPr>
              <w:jc w:val="left"/>
              <w:rPr>
                <w:rFonts w:hint="eastAsia" w:ascii="宋体"/>
              </w:rPr>
            </w:pPr>
            <w:r>
              <w:rPr>
                <w:rFonts w:hint="eastAsia" w:ascii="宋体"/>
              </w:rPr>
              <w:t>配置方案</w:t>
            </w:r>
          </w:p>
        </w:tc>
        <w:tc>
          <w:tcPr>
            <w:tcW w:w="650" w:type="dxa"/>
            <w:tcBorders>
              <w:top w:val="single" w:color="auto" w:sz="4" w:space="0"/>
              <w:left w:val="single" w:color="auto" w:sz="4" w:space="0"/>
              <w:bottom w:val="nil"/>
              <w:right w:val="single" w:color="auto" w:sz="4" w:space="0"/>
            </w:tcBorders>
            <w:vAlign w:val="center"/>
          </w:tcPr>
          <w:p w14:paraId="4894AAA9">
            <w:pPr>
              <w:jc w:val="center"/>
              <w:rPr>
                <w:rFonts w:hint="eastAsia" w:ascii="宋体"/>
              </w:rPr>
            </w:pPr>
            <w:r>
              <w:rPr>
                <w:rFonts w:hint="eastAsia" w:ascii="宋体"/>
              </w:rPr>
              <w:t>34分</w:t>
            </w:r>
          </w:p>
        </w:tc>
        <w:tc>
          <w:tcPr>
            <w:tcW w:w="6153" w:type="dxa"/>
            <w:tcBorders>
              <w:top w:val="single" w:color="auto" w:sz="4" w:space="0"/>
              <w:left w:val="single" w:color="auto" w:sz="4" w:space="0"/>
              <w:bottom w:val="nil"/>
              <w:right w:val="single" w:color="auto" w:sz="4" w:space="0"/>
            </w:tcBorders>
            <w:vAlign w:val="center"/>
          </w:tcPr>
          <w:p w14:paraId="6CAB7E9B">
            <w:pPr>
              <w:jc w:val="left"/>
              <w:rPr>
                <w:rFonts w:hint="eastAsia" w:ascii="宋体"/>
              </w:rPr>
            </w:pPr>
            <w:r>
              <w:rPr>
                <w:rFonts w:hint="eastAsia" w:ascii="宋体"/>
              </w:rPr>
              <w:t>能够提供最佳设备配置方案（满足设计参数前提下的主要配件、材料设计配置），系统设计方案完善且可行，符合本次供货任务实际情况，根据以上综合配置高低得1-34分。</w:t>
            </w:r>
          </w:p>
        </w:tc>
      </w:tr>
      <w:tr w14:paraId="45D17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2519AB87">
            <w:pPr>
              <w:widowControl/>
              <w:jc w:val="center"/>
              <w:rPr>
                <w:rFonts w:ascii="宋体"/>
              </w:rPr>
            </w:pPr>
          </w:p>
        </w:tc>
        <w:tc>
          <w:tcPr>
            <w:tcW w:w="520" w:type="dxa"/>
            <w:vMerge w:val="continue"/>
            <w:tcBorders>
              <w:left w:val="single" w:color="auto" w:sz="4" w:space="0"/>
              <w:right w:val="single" w:color="auto" w:sz="4" w:space="0"/>
            </w:tcBorders>
            <w:vAlign w:val="center"/>
          </w:tcPr>
          <w:p w14:paraId="64D61CCD">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40390B31">
            <w:pPr>
              <w:jc w:val="left"/>
              <w:rPr>
                <w:rFonts w:hint="eastAsia" w:ascii="宋体"/>
              </w:rPr>
            </w:pPr>
            <w:r>
              <w:rPr>
                <w:rFonts w:hint="eastAsia" w:ascii="宋体"/>
              </w:rPr>
              <w:t>产品质量及保证措施</w:t>
            </w:r>
          </w:p>
        </w:tc>
        <w:tc>
          <w:tcPr>
            <w:tcW w:w="650" w:type="dxa"/>
            <w:tcBorders>
              <w:top w:val="single" w:color="auto" w:sz="4" w:space="0"/>
              <w:left w:val="single" w:color="auto" w:sz="4" w:space="0"/>
              <w:bottom w:val="nil"/>
              <w:right w:val="single" w:color="auto" w:sz="4" w:space="0"/>
            </w:tcBorders>
            <w:vAlign w:val="center"/>
          </w:tcPr>
          <w:p w14:paraId="1937BCFF">
            <w:pPr>
              <w:jc w:val="center"/>
              <w:rPr>
                <w:rFonts w:hint="eastAsia"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0A5A5091">
            <w:pPr>
              <w:jc w:val="left"/>
              <w:rPr>
                <w:rFonts w:hint="eastAsia" w:ascii="宋体"/>
              </w:rPr>
            </w:pPr>
            <w:r>
              <w:rPr>
                <w:rFonts w:hint="eastAsia" w:ascii="宋体"/>
              </w:rPr>
              <w:t>产品质量、性能稳定可靠，品牌市场认可度较高，使用寿命长且有完善的生产保证措施及质量保证体系的酌情得1-6分。</w:t>
            </w:r>
          </w:p>
        </w:tc>
      </w:tr>
      <w:tr w14:paraId="3E270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right w:val="single" w:color="auto" w:sz="4" w:space="0"/>
            </w:tcBorders>
            <w:vAlign w:val="center"/>
          </w:tcPr>
          <w:p w14:paraId="1057760D">
            <w:pPr>
              <w:widowControl/>
              <w:jc w:val="center"/>
              <w:rPr>
                <w:rFonts w:ascii="宋体"/>
              </w:rPr>
            </w:pPr>
          </w:p>
        </w:tc>
        <w:tc>
          <w:tcPr>
            <w:tcW w:w="520" w:type="dxa"/>
            <w:vMerge w:val="continue"/>
            <w:tcBorders>
              <w:left w:val="single" w:color="auto" w:sz="4" w:space="0"/>
              <w:right w:val="single" w:color="auto" w:sz="4" w:space="0"/>
            </w:tcBorders>
            <w:vAlign w:val="center"/>
          </w:tcPr>
          <w:p w14:paraId="065889BF">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701584CB">
            <w:pPr>
              <w:jc w:val="left"/>
              <w:rPr>
                <w:rFonts w:hint="eastAsia" w:ascii="宋体"/>
              </w:rPr>
            </w:pPr>
            <w:r>
              <w:rPr>
                <w:rFonts w:hint="eastAsia" w:ascii="宋体"/>
              </w:rPr>
              <w:t>供货周期</w:t>
            </w:r>
          </w:p>
        </w:tc>
        <w:tc>
          <w:tcPr>
            <w:tcW w:w="650" w:type="dxa"/>
            <w:tcBorders>
              <w:top w:val="single" w:color="auto" w:sz="4" w:space="0"/>
              <w:left w:val="single" w:color="auto" w:sz="4" w:space="0"/>
              <w:bottom w:val="nil"/>
              <w:right w:val="single" w:color="auto" w:sz="4" w:space="0"/>
            </w:tcBorders>
            <w:vAlign w:val="center"/>
          </w:tcPr>
          <w:p w14:paraId="2C559BD4">
            <w:pPr>
              <w:jc w:val="center"/>
              <w:rPr>
                <w:rFonts w:hint="eastAsia"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31EB3421">
            <w:pPr>
              <w:jc w:val="left"/>
              <w:rPr>
                <w:rFonts w:ascii="宋体"/>
              </w:rPr>
            </w:pPr>
            <w:r>
              <w:rPr>
                <w:rFonts w:hint="eastAsia" w:ascii="宋体"/>
              </w:rPr>
              <w:t>响应供货期基本要求得基本分2分，</w:t>
            </w:r>
          </w:p>
          <w:p w14:paraId="7C4FA653">
            <w:pPr>
              <w:jc w:val="left"/>
              <w:rPr>
                <w:rFonts w:hint="eastAsia" w:ascii="宋体"/>
              </w:rPr>
            </w:pPr>
            <w:r>
              <w:rPr>
                <w:rFonts w:hint="eastAsia" w:ascii="宋体"/>
              </w:rPr>
              <w:t>能提供详细的供货计划或生产加工计划，有详细的确保满足供货期基本要求或能在保证质量的前提下提前交货措施的说明及证明材料，根据实际情况酌情得1-4分；</w:t>
            </w:r>
          </w:p>
        </w:tc>
      </w:tr>
      <w:tr w14:paraId="082C7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B0C62D6">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77855678">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6037C541">
            <w:pPr>
              <w:jc w:val="left"/>
              <w:rPr>
                <w:rFonts w:hint="eastAsia" w:ascii="宋体"/>
                <w:lang w:val="en-US" w:eastAsia="zh-CN"/>
              </w:rPr>
            </w:pPr>
            <w:r>
              <w:rPr>
                <w:rFonts w:hint="eastAsia" w:ascii="宋体"/>
              </w:rPr>
              <w:t>类似业绩</w:t>
            </w:r>
          </w:p>
        </w:tc>
        <w:tc>
          <w:tcPr>
            <w:tcW w:w="650" w:type="dxa"/>
            <w:tcBorders>
              <w:top w:val="single" w:color="auto" w:sz="4" w:space="0"/>
              <w:left w:val="single" w:color="auto" w:sz="4" w:space="0"/>
              <w:bottom w:val="nil"/>
              <w:right w:val="single" w:color="auto" w:sz="4" w:space="0"/>
            </w:tcBorders>
            <w:vAlign w:val="center"/>
          </w:tcPr>
          <w:p w14:paraId="0D951F09">
            <w:pPr>
              <w:jc w:val="center"/>
              <w:rPr>
                <w:rFonts w:hint="eastAsia" w:ascii="宋体"/>
                <w:lang w:val="en-US" w:eastAsia="zh-CN"/>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67780B30">
            <w:pPr>
              <w:jc w:val="left"/>
              <w:rPr>
                <w:rFonts w:hint="eastAsia" w:ascii="宋体"/>
              </w:rPr>
            </w:pPr>
            <w:r>
              <w:rPr>
                <w:rFonts w:hint="eastAsia" w:ascii="宋体"/>
              </w:rPr>
              <w:t>投标人每有一项类似业绩（签订日期为2020年1月1日至今），根据类似程度，酌情得1-6分 (必须提供合同原件,否则不得分)。</w:t>
            </w:r>
          </w:p>
        </w:tc>
      </w:tr>
      <w:tr w14:paraId="0A07A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DE242AF">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33269B14">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2E31BC49">
            <w:pPr>
              <w:jc w:val="left"/>
              <w:rPr>
                <w:rFonts w:hint="eastAsia" w:ascii="宋体"/>
                <w:lang w:val="en-US" w:eastAsia="zh-CN"/>
              </w:rPr>
            </w:pPr>
            <w:r>
              <w:rPr>
                <w:rFonts w:hint="eastAsia" w:ascii="宋体"/>
              </w:rPr>
              <w:t>注册资本金及近三年营收情况等</w:t>
            </w:r>
          </w:p>
        </w:tc>
        <w:tc>
          <w:tcPr>
            <w:tcW w:w="650" w:type="dxa"/>
            <w:tcBorders>
              <w:top w:val="single" w:color="auto" w:sz="4" w:space="0"/>
              <w:left w:val="single" w:color="auto" w:sz="4" w:space="0"/>
              <w:bottom w:val="nil"/>
              <w:right w:val="single" w:color="auto" w:sz="4" w:space="0"/>
            </w:tcBorders>
            <w:vAlign w:val="center"/>
          </w:tcPr>
          <w:p w14:paraId="2FED8E1C">
            <w:pPr>
              <w:jc w:val="center"/>
              <w:rPr>
                <w:rFonts w:hint="eastAsia" w:ascii="宋体"/>
                <w:lang w:val="en-US" w:eastAsia="zh-CN"/>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05C2BF0B">
            <w:pPr>
              <w:jc w:val="left"/>
              <w:rPr>
                <w:rFonts w:ascii="宋体"/>
              </w:rPr>
            </w:pPr>
            <w:r>
              <w:rPr>
                <w:rFonts w:hint="eastAsia" w:ascii="宋体"/>
              </w:rPr>
              <w:t>1.1企业注册资本金达到</w:t>
            </w:r>
            <w:r>
              <w:rPr>
                <w:rFonts w:hint="eastAsia" w:ascii="宋体"/>
                <w:lang w:val="en-US" w:eastAsia="zh-CN"/>
              </w:rPr>
              <w:t>5</w:t>
            </w:r>
            <w:r>
              <w:rPr>
                <w:rFonts w:hint="eastAsia" w:ascii="宋体"/>
              </w:rPr>
              <w:t>00万元得1分，每增加</w:t>
            </w:r>
            <w:r>
              <w:rPr>
                <w:rFonts w:hint="eastAsia" w:ascii="宋体"/>
                <w:lang w:val="en-US" w:eastAsia="zh-CN"/>
              </w:rPr>
              <w:t>1</w:t>
            </w:r>
            <w:r>
              <w:rPr>
                <w:rFonts w:hint="eastAsia" w:ascii="宋体"/>
              </w:rPr>
              <w:t>00万加0.5分，最多加3分；</w:t>
            </w:r>
          </w:p>
          <w:p w14:paraId="7FBE0EB8">
            <w:pPr>
              <w:jc w:val="left"/>
              <w:rPr>
                <w:rFonts w:hint="eastAsia" w:ascii="宋体"/>
              </w:rPr>
            </w:pPr>
            <w:r>
              <w:rPr>
                <w:rFonts w:hint="eastAsia" w:ascii="宋体"/>
              </w:rPr>
              <w:t>1.2近三年营收情况等内容，根据财务报表情况，酌情得分，最多得2分。</w:t>
            </w:r>
          </w:p>
        </w:tc>
      </w:tr>
      <w:tr w14:paraId="199741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1176C2ED">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373C622E">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51F8B2F6">
            <w:pPr>
              <w:jc w:val="left"/>
              <w:rPr>
                <w:rFonts w:hint="eastAsia" w:ascii="宋体"/>
                <w:lang w:val="en-US" w:eastAsia="zh-CN"/>
              </w:rPr>
            </w:pPr>
            <w:r>
              <w:rPr>
                <w:rFonts w:hint="eastAsia" w:ascii="宋体"/>
              </w:rPr>
              <w:t>履约能力</w:t>
            </w:r>
          </w:p>
        </w:tc>
        <w:tc>
          <w:tcPr>
            <w:tcW w:w="650" w:type="dxa"/>
            <w:tcBorders>
              <w:top w:val="single" w:color="auto" w:sz="4" w:space="0"/>
              <w:left w:val="single" w:color="auto" w:sz="4" w:space="0"/>
              <w:bottom w:val="nil"/>
              <w:right w:val="single" w:color="auto" w:sz="4" w:space="0"/>
            </w:tcBorders>
            <w:vAlign w:val="center"/>
          </w:tcPr>
          <w:p w14:paraId="09D13169">
            <w:pPr>
              <w:jc w:val="center"/>
              <w:rPr>
                <w:rFonts w:hint="eastAsia" w:ascii="宋体"/>
                <w:lang w:val="en-US" w:eastAsia="zh-CN"/>
              </w:rPr>
            </w:pPr>
            <w:r>
              <w:rPr>
                <w:rFonts w:hint="eastAsia" w:ascii="宋体"/>
              </w:rPr>
              <w:t>4分</w:t>
            </w:r>
          </w:p>
        </w:tc>
        <w:tc>
          <w:tcPr>
            <w:tcW w:w="6153" w:type="dxa"/>
            <w:tcBorders>
              <w:top w:val="single" w:color="auto" w:sz="4" w:space="0"/>
              <w:left w:val="single" w:color="auto" w:sz="4" w:space="0"/>
              <w:bottom w:val="nil"/>
              <w:right w:val="single" w:color="auto" w:sz="4" w:space="0"/>
            </w:tcBorders>
            <w:vAlign w:val="center"/>
          </w:tcPr>
          <w:p w14:paraId="438DE356">
            <w:pPr>
              <w:jc w:val="left"/>
              <w:rPr>
                <w:rFonts w:hint="eastAsia" w:ascii="宋体"/>
              </w:rPr>
            </w:pPr>
            <w:r>
              <w:rPr>
                <w:rFonts w:hint="eastAsia" w:ascii="宋体"/>
              </w:rPr>
              <w:t>视投标人的综合实力、品牌影响力、市场占有率、财务状况履约能力、安全、环保、节能认证等综合情况酌情得1-4分。</w:t>
            </w:r>
          </w:p>
        </w:tc>
      </w:tr>
      <w:tr w14:paraId="526F8D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6E26B301">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5B9484CC">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698EA241">
            <w:pPr>
              <w:jc w:val="left"/>
              <w:rPr>
                <w:rFonts w:hint="eastAsia" w:ascii="宋体"/>
                <w:lang w:val="en-US" w:eastAsia="zh-CN"/>
              </w:rPr>
            </w:pPr>
            <w:r>
              <w:rPr>
                <w:rFonts w:hint="eastAsia" w:ascii="宋体"/>
              </w:rPr>
              <w:t>质保期及售后服务</w:t>
            </w:r>
          </w:p>
        </w:tc>
        <w:tc>
          <w:tcPr>
            <w:tcW w:w="650" w:type="dxa"/>
            <w:tcBorders>
              <w:top w:val="single" w:color="auto" w:sz="4" w:space="0"/>
              <w:left w:val="single" w:color="auto" w:sz="4" w:space="0"/>
              <w:bottom w:val="nil"/>
              <w:right w:val="single" w:color="auto" w:sz="4" w:space="0"/>
            </w:tcBorders>
            <w:vAlign w:val="center"/>
          </w:tcPr>
          <w:p w14:paraId="097279CC">
            <w:pPr>
              <w:jc w:val="center"/>
              <w:rPr>
                <w:rFonts w:hint="eastAsia" w:ascii="宋体"/>
                <w:lang w:val="en-US" w:eastAsia="zh-CN"/>
              </w:rPr>
            </w:pPr>
            <w:r>
              <w:rPr>
                <w:rFonts w:hint="eastAsia" w:ascii="宋体"/>
              </w:rPr>
              <w:t>4分</w:t>
            </w:r>
          </w:p>
        </w:tc>
        <w:tc>
          <w:tcPr>
            <w:tcW w:w="6153" w:type="dxa"/>
            <w:tcBorders>
              <w:top w:val="single" w:color="auto" w:sz="4" w:space="0"/>
              <w:left w:val="single" w:color="auto" w:sz="4" w:space="0"/>
              <w:bottom w:val="nil"/>
              <w:right w:val="single" w:color="auto" w:sz="4" w:space="0"/>
            </w:tcBorders>
            <w:vAlign w:val="center"/>
          </w:tcPr>
          <w:p w14:paraId="79577B6E">
            <w:pPr>
              <w:jc w:val="left"/>
              <w:rPr>
                <w:rFonts w:hint="eastAsia" w:ascii="宋体"/>
              </w:rPr>
            </w:pPr>
            <w:r>
              <w:rPr>
                <w:rFonts w:hint="eastAsia" w:ascii="宋体"/>
              </w:rPr>
              <w:t>质保期满足或优于招标文件要求，售后服务措施得当，体系完整，项目所在地有相应的的售后服务能力酌情得1-4分。</w:t>
            </w:r>
          </w:p>
        </w:tc>
      </w:tr>
      <w:tr w14:paraId="21AA4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99D23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宋体"/>
                <w:szCs w:val="21"/>
                <w:highlight w:val="none"/>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1C62CC87">
            <w:pPr>
              <w:jc w:val="center"/>
              <w:rPr>
                <w:rFonts w:ascii="宋体"/>
                <w:b/>
                <w:szCs w:val="21"/>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154D28CB">
            <w:pPr>
              <w:jc w:val="center"/>
              <w:rPr>
                <w:rFonts w:ascii="宋体"/>
                <w:b/>
                <w:szCs w:val="21"/>
                <w:highlight w:val="none"/>
              </w:rPr>
            </w:pPr>
            <w:r>
              <w:rPr>
                <w:rFonts w:hint="eastAsia" w:ascii="宋体" w:hAnsi="宋体"/>
              </w:rPr>
              <w:t>投标报价</w:t>
            </w:r>
          </w:p>
        </w:tc>
        <w:tc>
          <w:tcPr>
            <w:tcW w:w="650" w:type="dxa"/>
            <w:tcBorders>
              <w:top w:val="single" w:color="auto" w:sz="4" w:space="0"/>
              <w:left w:val="single" w:color="auto" w:sz="4" w:space="0"/>
              <w:bottom w:val="nil"/>
              <w:right w:val="single" w:color="auto" w:sz="4" w:space="0"/>
            </w:tcBorders>
            <w:vAlign w:val="center"/>
          </w:tcPr>
          <w:p w14:paraId="4C22ADBD">
            <w:pPr>
              <w:spacing w:line="440" w:lineRule="exact"/>
              <w:jc w:val="center"/>
              <w:rPr>
                <w:rFonts w:hint="default" w:ascii="宋体" w:hAnsi="宋体" w:eastAsia="宋体"/>
                <w:highlight w:val="none"/>
                <w:lang w:val="en-US" w:eastAsia="zh-CN"/>
              </w:rPr>
            </w:pPr>
          </w:p>
        </w:tc>
        <w:tc>
          <w:tcPr>
            <w:tcW w:w="6153" w:type="dxa"/>
            <w:tcBorders>
              <w:top w:val="single" w:color="auto" w:sz="4" w:space="0"/>
              <w:left w:val="single" w:color="auto" w:sz="4" w:space="0"/>
              <w:bottom w:val="nil"/>
              <w:right w:val="single" w:color="auto" w:sz="4" w:space="0"/>
            </w:tcBorders>
            <w:vAlign w:val="center"/>
          </w:tcPr>
          <w:p w14:paraId="6D1D8CAA">
            <w:pPr>
              <w:tabs>
                <w:tab w:val="left" w:pos="7854"/>
              </w:tabs>
              <w:spacing w:line="280" w:lineRule="exact"/>
              <w:rPr>
                <w:highlight w:val="yellow"/>
              </w:rPr>
            </w:pPr>
            <w:r>
              <w:rPr>
                <w:rFonts w:hint="eastAsia" w:ascii="仿宋_GB2312" w:hAnsi="仿宋_GB2312" w:cs="仿宋_GB2312"/>
                <w:b/>
                <w:bCs/>
                <w:color w:val="000000"/>
                <w:szCs w:val="28"/>
                <w:highlight w:val="yellow"/>
                <w:lang w:val="en-US" w:eastAsia="zh-CN"/>
              </w:rPr>
              <w:t>技术标入围后，商务标实行低价中标</w:t>
            </w:r>
            <w:r>
              <w:rPr>
                <w:rFonts w:hint="eastAsia" w:ascii="仿宋_GB2312" w:hAnsi="仿宋_GB2312" w:cs="仿宋_GB2312"/>
                <w:b/>
                <w:bCs/>
                <w:highlight w:val="yellow"/>
              </w:rPr>
              <w:t>。</w:t>
            </w:r>
          </w:p>
        </w:tc>
      </w:tr>
      <w:tr w14:paraId="70D66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972"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0ABE5AD0">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szCs w:val="21"/>
              </w:rPr>
            </w:pPr>
            <w:r>
              <w:rPr>
                <w:rFonts w:hint="eastAsia" w:ascii="宋体" w:hAnsi="宋体"/>
              </w:rPr>
              <w:t>备注：</w:t>
            </w:r>
          </w:p>
          <w:p w14:paraId="0BDE3990">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rPr>
            </w:pPr>
            <w:r>
              <w:rPr>
                <w:rFonts w:hint="eastAsia" w:ascii="宋体" w:hAnsi="宋体"/>
              </w:rPr>
              <w:t>1、通过初审者为有效投标。</w:t>
            </w:r>
          </w:p>
          <w:p w14:paraId="49AFFF84">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b/>
                <w:bCs/>
                <w:color w:val="FF0000"/>
                <w:sz w:val="18"/>
                <w:szCs w:val="18"/>
              </w:rPr>
            </w:pPr>
            <w:r>
              <w:rPr>
                <w:rFonts w:hint="eastAsia" w:ascii="宋体" w:hAnsi="宋体"/>
              </w:rPr>
              <w:t>2、</w:t>
            </w:r>
            <w:r>
              <w:rPr>
                <w:rFonts w:hint="eastAsia" w:ascii="??" w:hAnsi="??"/>
              </w:rPr>
              <w:t>综合评价值相同的，依照价格、技术、商务、服务及其他评价内容的优先次序，根据分项评价值进行排名。</w:t>
            </w:r>
            <w:r>
              <w:rPr>
                <w:rFonts w:hint="eastAsia" w:ascii="宋体" w:hAnsi="宋体"/>
              </w:rPr>
              <w:t>若上述排名皆相同的，则由全体评委成员无记名投票，得票高者排序在前。</w:t>
            </w:r>
          </w:p>
          <w:p w14:paraId="2BEBB931">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rPr>
            </w:pPr>
            <w:r>
              <w:rPr>
                <w:rFonts w:hint="eastAsia" w:ascii="宋体" w:hAnsi="宋体"/>
              </w:rPr>
              <w:t>3、评委打分超过得分界限或未按本方法赋分时，该评委的打分按废票处理。</w:t>
            </w:r>
          </w:p>
          <w:p w14:paraId="16C3434A">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p w14:paraId="21F76B0D">
            <w:pPr>
              <w:spacing w:line="240" w:lineRule="auto"/>
              <w:rPr>
                <w:rFonts w:hint="eastAsia" w:ascii="宋体" w:hAnsi="宋体"/>
              </w:rPr>
            </w:pPr>
            <w:r>
              <w:rPr>
                <w:rFonts w:hint="eastAsia" w:ascii="宋体" w:hAnsi="宋体"/>
              </w:rPr>
              <w:t>5、</w:t>
            </w:r>
            <w:r>
              <w:rPr>
                <w:rFonts w:hint="eastAsia" w:ascii="仿宋_GB2312" w:hAnsi="仿宋_GB2312" w:cs="仿宋_GB2312"/>
                <w:bCs/>
              </w:rPr>
              <w:t>综合</w:t>
            </w:r>
            <w:r>
              <w:rPr>
                <w:rFonts w:hint="eastAsia" w:ascii="仿宋_GB2312" w:hAnsi="仿宋_GB2312" w:cs="仿宋_GB2312"/>
                <w:bCs/>
                <w:lang w:val="en-US" w:eastAsia="zh-CN"/>
              </w:rPr>
              <w:t>最低价</w:t>
            </w:r>
            <w:r>
              <w:rPr>
                <w:rFonts w:hint="eastAsia" w:ascii="仿宋_GB2312" w:hAnsi="仿宋_GB2312" w:cs="仿宋_GB2312"/>
                <w:bCs/>
              </w:rPr>
              <w:t>；</w:t>
            </w:r>
            <w:r>
              <w:rPr>
                <w:rFonts w:hint="eastAsia" w:ascii="仿宋_GB2312" w:hAnsi="仿宋_GB2312" w:cs="仿宋_GB2312"/>
                <w:color w:val="000000"/>
                <w:szCs w:val="28"/>
                <w:highlight w:val="yellow"/>
                <w:lang w:val="en-US" w:eastAsia="zh-CN"/>
              </w:rPr>
              <w:t>技术标入围后，商务标实行低价中标</w:t>
            </w:r>
            <w:r>
              <w:rPr>
                <w:rFonts w:hint="eastAsia" w:ascii="仿宋_GB2312" w:hAnsi="仿宋_GB2312" w:cs="仿宋_GB2312"/>
                <w:bCs/>
              </w:rPr>
              <w:t>。</w:t>
            </w:r>
          </w:p>
        </w:tc>
      </w:tr>
    </w:tbl>
    <w:p w14:paraId="61AC9AC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B4BAC"/>
    <w:rsid w:val="06A3178A"/>
    <w:rsid w:val="10157A16"/>
    <w:rsid w:val="143B6A3F"/>
    <w:rsid w:val="1AE027CB"/>
    <w:rsid w:val="27CD71E0"/>
    <w:rsid w:val="28243A99"/>
    <w:rsid w:val="507E409B"/>
    <w:rsid w:val="708F2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981</Words>
  <Characters>1017</Characters>
  <Lines>0</Lines>
  <Paragraphs>0</Paragraphs>
  <TotalTime>0</TotalTime>
  <ScaleCrop>false</ScaleCrop>
  <LinksUpToDate>false</LinksUpToDate>
  <CharactersWithSpaces>1018</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2026-01-20T09:24:00Z</dcterms:created>
  <dc:creator>我的电脑</dc:creator>
  <cp:lastModifiedBy>张志新</cp:lastModifiedBy>
  <dcterms:modified xsi:type="dcterms:W3CDTF">2026-07-18T02:57:01Z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KSOTemplateDocerSaveRecord">
    <vt:lpwstr>eyJoZGlkIjoiYmYxODg0YjAwODE5NTRlZmE2MzNlNDM1M2EzMWRlYTciLCJ1c2VySWQiOiIyMzA1MzYzMTgifQ==</vt:lpwstr>
  </property>
  <property fmtid="{D5CDD505-2E9C-101B-9397-08002B2CF9AE}" pid="4" name="ICV">
    <vt:lpwstr>CBC206DBA05C4D9B8DDE477961A163F0_12</vt:lpwstr>
  </property>
</Properties>
</file>