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ACBF9">
      <w:pPr>
        <w:pStyle w:val="3"/>
        <w:jc w:val="center"/>
        <w:rPr>
          <w:rFonts w:hint="default" w:ascii="宋体" w:hAnsi="宋体" w:eastAsia="宋体" w:cs="宋体"/>
          <w:szCs w:val="24"/>
          <w:lang w:val="en-US" w:eastAsia="zh-CN"/>
        </w:rPr>
      </w:pPr>
      <w:r>
        <w:rPr>
          <w:rFonts w:hint="eastAsia" w:ascii="宋体" w:hAnsi="宋体" w:eastAsia="宋体" w:cs="宋体"/>
          <w:szCs w:val="24"/>
          <w:lang w:val="en-US" w:eastAsia="zh-CN"/>
        </w:rPr>
        <w:t>评分依据</w:t>
      </w:r>
    </w:p>
    <w:p w14:paraId="16903890">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cs="宋体"/>
          <w:b/>
          <w:bCs/>
          <w:color w:val="FF0000"/>
          <w:sz w:val="24"/>
          <w:highlight w:val="none"/>
          <w:lang w:val="en-US" w:eastAsia="zh-CN"/>
        </w:rPr>
      </w:pPr>
      <w:r>
        <w:rPr>
          <w:rFonts w:hint="eastAsia" w:ascii="宋体" w:cs="宋体"/>
          <w:b/>
          <w:bCs/>
          <w:color w:val="FF0000"/>
          <w:sz w:val="24"/>
          <w:highlight w:val="none"/>
        </w:rPr>
        <w:t>综合评标</w:t>
      </w:r>
      <w:r>
        <w:rPr>
          <w:rFonts w:hint="eastAsia" w:ascii="宋体" w:cs="宋体"/>
          <w:b/>
          <w:bCs/>
          <w:color w:val="FF0000"/>
          <w:sz w:val="24"/>
          <w:highlight w:val="none"/>
          <w:lang w:val="en-US" w:eastAsia="zh-CN"/>
        </w:rPr>
        <w:t>法，最终得分=技术标得分*0.4+商务标得分*0.6。</w:t>
      </w:r>
    </w:p>
    <w:p w14:paraId="0493FC56">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cs="宋体"/>
          <w:b/>
          <w:bCs/>
          <w:sz w:val="24"/>
        </w:rPr>
      </w:pPr>
      <w:r>
        <w:rPr>
          <w:rFonts w:hint="eastAsia" w:ascii="宋体" w:hAnsi="宋体" w:cs="宋体"/>
          <w:b/>
          <w:bCs/>
          <w:sz w:val="24"/>
        </w:rPr>
        <w:t>本次评标采用技术标和商务标</w:t>
      </w:r>
      <w:r>
        <w:rPr>
          <w:rFonts w:hint="eastAsia" w:ascii="宋体" w:hAnsi="宋体" w:cs="宋体"/>
          <w:b/>
          <w:bCs/>
          <w:sz w:val="24"/>
          <w:lang w:val="en-US" w:eastAsia="zh-CN"/>
        </w:rPr>
        <w:t>分阶段</w:t>
      </w:r>
      <w:r>
        <w:rPr>
          <w:rFonts w:hint="eastAsia" w:ascii="宋体" w:hAnsi="宋体" w:cs="宋体"/>
          <w:b/>
          <w:bCs/>
          <w:sz w:val="24"/>
        </w:rPr>
        <w:t>开标</w:t>
      </w:r>
      <w:r>
        <w:rPr>
          <w:rFonts w:hint="eastAsia" w:ascii="宋体" w:hAnsi="宋体" w:cs="宋体"/>
          <w:b/>
          <w:bCs/>
          <w:sz w:val="24"/>
          <w:lang w:val="en-US" w:eastAsia="zh-CN"/>
        </w:rPr>
        <w:t>及</w:t>
      </w:r>
      <w:r>
        <w:rPr>
          <w:rFonts w:hint="eastAsia" w:ascii="宋体" w:hAnsi="宋体" w:cs="宋体"/>
          <w:b/>
          <w:bCs/>
          <w:sz w:val="24"/>
        </w:rPr>
        <w:t>评标的模式。</w:t>
      </w:r>
    </w:p>
    <w:p w14:paraId="79582FB1">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cs="宋体"/>
          <w:color w:val="auto"/>
          <w:sz w:val="24"/>
          <w:highlight w:val="none"/>
        </w:rPr>
      </w:pPr>
      <w:r>
        <w:rPr>
          <w:rFonts w:hint="eastAsia" w:ascii="宋体" w:hAnsi="宋体" w:cs="宋体"/>
          <w:b/>
          <w:bCs/>
          <w:sz w:val="24"/>
        </w:rPr>
        <w:t>首先进行技术标评审，由评标专家组对所有投标方的技术标部分综合评定和打分，</w:t>
      </w:r>
      <w:r>
        <w:rPr>
          <w:rFonts w:hint="eastAsia" w:ascii="宋体" w:hAnsi="宋体" w:cs="宋体"/>
          <w:b/>
          <w:bCs/>
          <w:sz w:val="24"/>
          <w:lang w:val="en-US" w:eastAsia="zh-CN"/>
        </w:rPr>
        <w:t>得分在70分（含）以上的入围商务标</w:t>
      </w:r>
      <w:r>
        <w:rPr>
          <w:rFonts w:hint="eastAsia" w:ascii="宋体" w:hAnsi="宋体" w:cs="宋体"/>
          <w:b/>
          <w:bCs/>
          <w:sz w:val="24"/>
        </w:rPr>
        <w:t>。然后</w:t>
      </w:r>
      <w:r>
        <w:rPr>
          <w:rFonts w:hint="eastAsia" w:ascii="宋体" w:hAnsi="宋体" w:cs="宋体"/>
          <w:b/>
          <w:bCs/>
          <w:sz w:val="24"/>
          <w:lang w:val="en-US" w:eastAsia="zh-CN"/>
        </w:rPr>
        <w:t>对所有入围商务标的单位</w:t>
      </w:r>
      <w:r>
        <w:rPr>
          <w:rFonts w:hint="eastAsia" w:ascii="宋体" w:hAnsi="宋体" w:cs="宋体"/>
          <w:b/>
          <w:bCs/>
          <w:sz w:val="24"/>
        </w:rPr>
        <w:t>进行</w:t>
      </w:r>
      <w:r>
        <w:rPr>
          <w:rFonts w:hint="eastAsia" w:ascii="宋体" w:hAnsi="宋体" w:cs="宋体"/>
          <w:b/>
          <w:bCs/>
          <w:sz w:val="24"/>
          <w:lang w:val="en-US" w:eastAsia="zh-CN"/>
        </w:rPr>
        <w:t>综合</w:t>
      </w:r>
      <w:r>
        <w:rPr>
          <w:rFonts w:hint="eastAsia" w:ascii="宋体" w:hAnsi="宋体" w:cs="宋体"/>
          <w:b/>
          <w:bCs/>
          <w:sz w:val="24"/>
        </w:rPr>
        <w:t>评</w:t>
      </w:r>
      <w:r>
        <w:rPr>
          <w:rFonts w:hint="eastAsia" w:ascii="宋体" w:hAnsi="宋体" w:cs="宋体"/>
          <w:b/>
          <w:bCs/>
          <w:sz w:val="24"/>
          <w:lang w:val="en-US" w:eastAsia="zh-CN"/>
        </w:rPr>
        <w:t>审</w:t>
      </w:r>
      <w:r>
        <w:rPr>
          <w:rFonts w:hint="eastAsia" w:ascii="宋体" w:hAnsi="宋体" w:cs="宋体"/>
          <w:b/>
          <w:bCs/>
          <w:sz w:val="24"/>
        </w:rPr>
        <w:t>，</w:t>
      </w:r>
      <w:r>
        <w:rPr>
          <w:rFonts w:hint="eastAsia" w:ascii="宋体" w:cs="宋体"/>
          <w:b/>
          <w:bCs/>
          <w:sz w:val="24"/>
        </w:rPr>
        <w:t>招标人有权根据项目情况，商务标采取多轮</w:t>
      </w:r>
      <w:r>
        <w:rPr>
          <w:rFonts w:hint="eastAsia" w:ascii="宋体" w:cs="宋体"/>
          <w:b/>
          <w:bCs/>
          <w:sz w:val="24"/>
          <w:lang w:val="en-US" w:eastAsia="zh-CN"/>
        </w:rPr>
        <w:t>报价</w:t>
      </w:r>
      <w:r>
        <w:rPr>
          <w:rFonts w:hint="eastAsia" w:ascii="宋体" w:cs="宋体"/>
          <w:b/>
          <w:bCs/>
          <w:sz w:val="24"/>
        </w:rPr>
        <w:t>模式，</w:t>
      </w:r>
      <w:r>
        <w:rPr>
          <w:rFonts w:hint="eastAsia" w:ascii="宋体" w:cs="宋体"/>
          <w:b/>
          <w:bCs/>
          <w:sz w:val="24"/>
          <w:highlight w:val="none"/>
        </w:rPr>
        <w:t>最终</w:t>
      </w:r>
      <w:r>
        <w:rPr>
          <w:rFonts w:hint="eastAsia" w:ascii="宋体" w:cs="宋体"/>
          <w:b/>
          <w:bCs/>
          <w:color w:val="auto"/>
          <w:sz w:val="24"/>
          <w:highlight w:val="none"/>
        </w:rPr>
        <w:t>根据综合得分确定各投标人排序，原则上按照综合得分最高分</w:t>
      </w:r>
      <w:r>
        <w:rPr>
          <w:rFonts w:hint="eastAsia" w:ascii="宋体" w:cs="宋体"/>
          <w:b/>
          <w:bCs/>
          <w:sz w:val="24"/>
          <w:highlight w:val="none"/>
        </w:rPr>
        <w:t>确定推荐中标人，对未中标单位不做任何</w:t>
      </w:r>
      <w:r>
        <w:rPr>
          <w:rFonts w:hint="eastAsia" w:ascii="宋体" w:cs="宋体"/>
          <w:b/>
          <w:bCs/>
          <w:color w:val="auto"/>
          <w:sz w:val="24"/>
          <w:highlight w:val="none"/>
        </w:rPr>
        <w:t>解释。</w:t>
      </w:r>
    </w:p>
    <w:p w14:paraId="5BF4E797">
      <w:pPr>
        <w:spacing w:line="360" w:lineRule="auto"/>
        <w:ind w:firstLine="482" w:firstLineChars="200"/>
        <w:rPr>
          <w:rFonts w:hint="eastAsia" w:ascii="宋体" w:hAnsi="Times New Roman" w:eastAsia="宋体" w:cs="宋体"/>
          <w:b/>
          <w:bCs/>
          <w:color w:val="auto"/>
          <w:sz w:val="24"/>
          <w:highlight w:val="none"/>
          <w:lang w:val="en-US" w:eastAsia="zh-CN"/>
        </w:rPr>
      </w:pPr>
      <w:r>
        <w:rPr>
          <w:rFonts w:hint="eastAsia" w:ascii="宋体" w:hAnsi="Times New Roman" w:eastAsia="宋体" w:cs="宋体"/>
          <w:b/>
          <w:bCs/>
          <w:color w:val="auto"/>
          <w:sz w:val="24"/>
          <w:highlight w:val="none"/>
          <w:lang w:val="en-US" w:eastAsia="zh-CN"/>
        </w:rPr>
        <w:t>根据最终有效综合得分由高到低进行排序，综合得分最高者排名第一，综合得分次高者排名第二，以此类推，综合得分最低者排名最后。最终综合得分</w:t>
      </w:r>
      <w:r>
        <w:rPr>
          <w:rFonts w:hint="eastAsia" w:ascii="宋体" w:hAnsi="Times New Roman" w:cs="宋体"/>
          <w:b/>
          <w:bCs/>
          <w:color w:val="auto"/>
          <w:sz w:val="24"/>
          <w:highlight w:val="none"/>
          <w:lang w:val="en-US" w:eastAsia="zh-CN"/>
        </w:rPr>
        <w:t>最高</w:t>
      </w:r>
      <w:r>
        <w:rPr>
          <w:rFonts w:hint="eastAsia" w:ascii="宋体" w:hAnsi="Times New Roman" w:eastAsia="宋体" w:cs="宋体"/>
          <w:b/>
          <w:bCs/>
          <w:color w:val="auto"/>
          <w:sz w:val="24"/>
          <w:highlight w:val="none"/>
          <w:lang w:val="en-US" w:eastAsia="zh-CN"/>
        </w:rPr>
        <w:t>的推荐为拟中标人，但是报价明显低于成本的除外。</w:t>
      </w:r>
    </w:p>
    <w:p w14:paraId="16E70BA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p>
    <w:p w14:paraId="1A0F7EDB">
      <w:pPr>
        <w:pStyle w:val="9"/>
        <w:spacing w:before="0" w:after="0"/>
        <w:jc w:val="center"/>
        <w:rPr>
          <w:rFonts w:hint="eastAsia" w:ascii="宋体" w:hAnsi="宋体" w:eastAsia="宋体" w:cs="宋体"/>
          <w:sz w:val="24"/>
          <w:szCs w:val="24"/>
        </w:rPr>
      </w:pPr>
      <w:bookmarkStart w:id="0" w:name="_GoBack"/>
      <w:bookmarkEnd w:id="0"/>
      <w:r>
        <w:rPr>
          <w:rStyle w:val="11"/>
          <w:rFonts w:ascii="宋体" w:hAnsi="宋体"/>
          <w:sz w:val="24"/>
        </w:rPr>
        <w:t>评分细则</w:t>
      </w:r>
      <w:r>
        <w:rPr>
          <w:rStyle w:val="11"/>
          <w:rFonts w:hint="eastAsia" w:ascii="宋体" w:hAnsi="宋体"/>
          <w:sz w:val="24"/>
          <w:highlight w:val="none"/>
          <w:lang w:eastAsia="zh-CN"/>
        </w:rPr>
        <w:t>（</w:t>
      </w:r>
      <w:r>
        <w:rPr>
          <w:rStyle w:val="11"/>
          <w:rFonts w:hint="eastAsia" w:ascii="宋体" w:hAnsi="宋体"/>
          <w:sz w:val="24"/>
          <w:highlight w:val="none"/>
          <w:lang w:val="en-US" w:eastAsia="zh-CN"/>
        </w:rPr>
        <w:t>满分100分</w:t>
      </w:r>
      <w:r>
        <w:rPr>
          <w:rStyle w:val="11"/>
          <w:rFonts w:hint="eastAsia" w:ascii="宋体" w:hAnsi="宋体"/>
          <w:sz w:val="24"/>
          <w:highlight w:val="none"/>
          <w:lang w:eastAsia="zh-CN"/>
        </w:rPr>
        <w:t>）</w:t>
      </w:r>
    </w:p>
    <w:tbl>
      <w:tblPr>
        <w:tblStyle w:val="7"/>
        <w:tblW w:w="913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845"/>
        <w:gridCol w:w="520"/>
        <w:gridCol w:w="970"/>
        <w:gridCol w:w="650"/>
        <w:gridCol w:w="6153"/>
      </w:tblGrid>
      <w:tr w14:paraId="34AC48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43"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348C45A9">
            <w:pPr>
              <w:spacing w:line="320" w:lineRule="exact"/>
              <w:ind w:right="34" w:rightChars="16"/>
              <w:jc w:val="center"/>
              <w:rPr>
                <w:rFonts w:hint="eastAsia" w:ascii="宋体" w:hAnsi="宋体" w:eastAsia="宋体" w:cs="宋体"/>
                <w:b/>
                <w:szCs w:val="21"/>
              </w:rPr>
            </w:pPr>
            <w:r>
              <w:rPr>
                <w:rFonts w:hint="eastAsia" w:ascii="宋体" w:hAnsi="宋体" w:eastAsia="宋体" w:cs="宋体"/>
                <w:b/>
              </w:rPr>
              <w:t>评标因素</w:t>
            </w:r>
          </w:p>
        </w:tc>
        <w:tc>
          <w:tcPr>
            <w:tcW w:w="520" w:type="dxa"/>
            <w:tcBorders>
              <w:top w:val="single" w:color="auto" w:sz="4" w:space="0"/>
              <w:left w:val="single" w:color="auto" w:sz="4" w:space="0"/>
              <w:bottom w:val="single" w:color="auto" w:sz="4" w:space="0"/>
              <w:right w:val="single" w:color="auto" w:sz="4" w:space="0"/>
            </w:tcBorders>
            <w:vAlign w:val="center"/>
          </w:tcPr>
          <w:p w14:paraId="2388B143">
            <w:pPr>
              <w:spacing w:line="320" w:lineRule="exact"/>
              <w:ind w:right="34" w:rightChars="16"/>
              <w:jc w:val="center"/>
              <w:rPr>
                <w:rFonts w:hint="eastAsia" w:ascii="宋体" w:hAnsi="宋体" w:eastAsia="宋体" w:cs="宋体"/>
                <w:b/>
                <w:szCs w:val="21"/>
              </w:rPr>
            </w:pPr>
            <w:r>
              <w:rPr>
                <w:rFonts w:hint="eastAsia" w:ascii="宋体" w:hAnsi="宋体" w:eastAsia="宋体" w:cs="宋体"/>
                <w:b/>
              </w:rPr>
              <w:t>总分</w:t>
            </w:r>
          </w:p>
        </w:tc>
        <w:tc>
          <w:tcPr>
            <w:tcW w:w="970" w:type="dxa"/>
            <w:tcBorders>
              <w:top w:val="single" w:color="auto" w:sz="4" w:space="0"/>
              <w:left w:val="single" w:color="auto" w:sz="4" w:space="0"/>
              <w:bottom w:val="single" w:color="auto" w:sz="4" w:space="0"/>
              <w:right w:val="single" w:color="auto" w:sz="4" w:space="0"/>
            </w:tcBorders>
            <w:vAlign w:val="center"/>
          </w:tcPr>
          <w:p w14:paraId="6B9557D4">
            <w:pPr>
              <w:spacing w:line="320" w:lineRule="exact"/>
              <w:ind w:right="34" w:rightChars="16"/>
              <w:jc w:val="center"/>
              <w:rPr>
                <w:rFonts w:hint="eastAsia" w:ascii="宋体" w:hAnsi="宋体" w:eastAsia="宋体" w:cs="宋体"/>
                <w:b/>
                <w:szCs w:val="21"/>
              </w:rPr>
            </w:pPr>
            <w:r>
              <w:rPr>
                <w:rFonts w:hint="eastAsia" w:ascii="宋体" w:hAnsi="宋体" w:eastAsia="宋体" w:cs="宋体"/>
                <w:b/>
              </w:rPr>
              <w:t>评审内容</w:t>
            </w:r>
          </w:p>
        </w:tc>
        <w:tc>
          <w:tcPr>
            <w:tcW w:w="650" w:type="dxa"/>
            <w:tcBorders>
              <w:top w:val="single" w:color="auto" w:sz="4" w:space="0"/>
              <w:left w:val="single" w:color="auto" w:sz="4" w:space="0"/>
              <w:bottom w:val="single" w:color="auto" w:sz="4" w:space="0"/>
              <w:right w:val="single" w:color="auto" w:sz="4" w:space="0"/>
            </w:tcBorders>
            <w:vAlign w:val="center"/>
          </w:tcPr>
          <w:p w14:paraId="4277F9CA">
            <w:pPr>
              <w:spacing w:line="320" w:lineRule="exact"/>
              <w:ind w:right="34" w:rightChars="16"/>
              <w:jc w:val="center"/>
              <w:rPr>
                <w:rFonts w:hint="eastAsia" w:ascii="宋体" w:hAnsi="宋体" w:eastAsia="宋体" w:cs="宋体"/>
                <w:b/>
                <w:szCs w:val="21"/>
              </w:rPr>
            </w:pPr>
            <w:r>
              <w:rPr>
                <w:rFonts w:hint="eastAsia" w:ascii="宋体" w:hAnsi="宋体" w:eastAsia="宋体" w:cs="宋体"/>
                <w:b/>
              </w:rPr>
              <w:t>最高</w:t>
            </w:r>
          </w:p>
          <w:p w14:paraId="515C40AF">
            <w:pPr>
              <w:spacing w:line="320" w:lineRule="exact"/>
              <w:ind w:right="34" w:rightChars="16"/>
              <w:jc w:val="center"/>
              <w:rPr>
                <w:rFonts w:hint="eastAsia" w:ascii="宋体" w:hAnsi="宋体" w:eastAsia="宋体" w:cs="宋体"/>
                <w:b/>
                <w:szCs w:val="21"/>
              </w:rPr>
            </w:pPr>
            <w:r>
              <w:rPr>
                <w:rFonts w:hint="eastAsia" w:ascii="宋体" w:hAnsi="宋体" w:eastAsia="宋体" w:cs="宋体"/>
                <w:b/>
              </w:rPr>
              <w:t>得分</w:t>
            </w:r>
          </w:p>
        </w:tc>
        <w:tc>
          <w:tcPr>
            <w:tcW w:w="6153" w:type="dxa"/>
            <w:tcBorders>
              <w:top w:val="single" w:color="auto" w:sz="4" w:space="0"/>
              <w:left w:val="single" w:color="auto" w:sz="4" w:space="0"/>
              <w:bottom w:val="single" w:color="auto" w:sz="4" w:space="0"/>
              <w:right w:val="single" w:color="auto" w:sz="4" w:space="0"/>
            </w:tcBorders>
            <w:vAlign w:val="center"/>
          </w:tcPr>
          <w:p w14:paraId="5D164C23">
            <w:pPr>
              <w:spacing w:line="320" w:lineRule="exact"/>
              <w:ind w:right="34" w:rightChars="16"/>
              <w:jc w:val="center"/>
              <w:rPr>
                <w:rFonts w:hint="eastAsia" w:ascii="宋体" w:hAnsi="宋体" w:eastAsia="宋体" w:cs="宋体"/>
                <w:b/>
                <w:szCs w:val="21"/>
              </w:rPr>
            </w:pPr>
            <w:r>
              <w:rPr>
                <w:rFonts w:hint="eastAsia" w:ascii="宋体" w:hAnsi="宋体" w:eastAsia="宋体" w:cs="宋体"/>
                <w:b/>
              </w:rPr>
              <w:t>评分标准</w:t>
            </w:r>
          </w:p>
        </w:tc>
      </w:tr>
      <w:tr w14:paraId="3537FE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78" w:hRule="atLeast"/>
          <w:jc w:val="center"/>
        </w:trPr>
        <w:tc>
          <w:tcPr>
            <w:tcW w:w="845" w:type="dxa"/>
            <w:vMerge w:val="restart"/>
            <w:tcBorders>
              <w:top w:val="single" w:color="auto" w:sz="4" w:space="0"/>
              <w:left w:val="single" w:color="auto" w:sz="4" w:space="0"/>
              <w:right w:val="single" w:color="auto" w:sz="4" w:space="0"/>
            </w:tcBorders>
            <w:vAlign w:val="center"/>
          </w:tcPr>
          <w:p w14:paraId="6423978E">
            <w:pPr>
              <w:jc w:val="center"/>
              <w:rPr>
                <w:rFonts w:hint="eastAsia" w:ascii="宋体" w:hAnsi="宋体" w:eastAsia="宋体" w:cs="宋体"/>
              </w:rPr>
            </w:pPr>
            <w:r>
              <w:rPr>
                <w:rFonts w:hint="eastAsia" w:ascii="宋体" w:hAnsi="宋体" w:eastAsia="宋体" w:cs="宋体"/>
              </w:rPr>
              <w:t>技术标</w:t>
            </w:r>
          </w:p>
        </w:tc>
        <w:tc>
          <w:tcPr>
            <w:tcW w:w="520" w:type="dxa"/>
            <w:vMerge w:val="restart"/>
            <w:tcBorders>
              <w:top w:val="single" w:color="auto" w:sz="4" w:space="0"/>
              <w:left w:val="single" w:color="auto" w:sz="4" w:space="0"/>
              <w:right w:val="single" w:color="auto" w:sz="4" w:space="0"/>
            </w:tcBorders>
            <w:vAlign w:val="center"/>
          </w:tcPr>
          <w:p w14:paraId="3181B050">
            <w:pPr>
              <w:spacing w:line="440" w:lineRule="exact"/>
              <w:jc w:val="center"/>
              <w:rPr>
                <w:rFonts w:hint="eastAsia" w:ascii="宋体" w:hAnsi="宋体" w:eastAsia="宋体" w:cs="宋体"/>
                <w:szCs w:val="21"/>
              </w:rPr>
            </w:pPr>
            <w:r>
              <w:rPr>
                <w:rFonts w:hint="eastAsia" w:ascii="宋体" w:hAnsi="宋体" w:eastAsia="宋体" w:cs="宋体"/>
                <w:b/>
                <w:bCs/>
                <w:szCs w:val="21"/>
                <w:lang w:val="en-US" w:eastAsia="zh-CN"/>
              </w:rPr>
              <w:t>4</w:t>
            </w:r>
            <w:r>
              <w:rPr>
                <w:rFonts w:hint="eastAsia" w:ascii="宋体" w:hAnsi="宋体" w:eastAsia="宋体" w:cs="宋体"/>
                <w:b/>
                <w:bCs/>
                <w:szCs w:val="21"/>
              </w:rPr>
              <w:t>0%</w:t>
            </w:r>
          </w:p>
        </w:tc>
        <w:tc>
          <w:tcPr>
            <w:tcW w:w="970" w:type="dxa"/>
            <w:tcBorders>
              <w:top w:val="single" w:color="auto" w:sz="4" w:space="0"/>
              <w:left w:val="single" w:color="auto" w:sz="4" w:space="0"/>
              <w:right w:val="single" w:color="auto" w:sz="4" w:space="0"/>
            </w:tcBorders>
            <w:shd w:val="clear" w:color="auto" w:fill="auto"/>
            <w:vAlign w:val="center"/>
          </w:tcPr>
          <w:p w14:paraId="34D6D3AD">
            <w:pPr>
              <w:widowControl/>
              <w:jc w:val="center"/>
              <w:textAlignment w:val="center"/>
              <w:rPr>
                <w:rFonts w:hint="eastAsia" w:ascii="宋体" w:hAnsi="宋体" w:eastAsia="宋体" w:cs="宋体"/>
                <w:szCs w:val="21"/>
              </w:rPr>
            </w:pPr>
            <w:r>
              <w:rPr>
                <w:rFonts w:hint="eastAsia" w:ascii="宋体" w:hAnsi="宋体" w:eastAsia="宋体" w:cs="宋体"/>
                <w:color w:val="000000"/>
                <w:kern w:val="0"/>
                <w:szCs w:val="21"/>
              </w:rPr>
              <w:t>技术方案</w:t>
            </w:r>
          </w:p>
        </w:tc>
        <w:tc>
          <w:tcPr>
            <w:tcW w:w="650" w:type="dxa"/>
            <w:tcBorders>
              <w:top w:val="single" w:color="auto" w:sz="4" w:space="0"/>
              <w:left w:val="single" w:color="auto" w:sz="4" w:space="0"/>
              <w:bottom w:val="single" w:color="auto" w:sz="4" w:space="0"/>
              <w:right w:val="single" w:color="auto" w:sz="4" w:space="0"/>
            </w:tcBorders>
            <w:vAlign w:val="center"/>
          </w:tcPr>
          <w:p w14:paraId="5291020F">
            <w:pPr>
              <w:widowControl/>
              <w:jc w:val="center"/>
              <w:textAlignment w:val="center"/>
              <w:rPr>
                <w:rFonts w:hint="eastAsia" w:ascii="宋体" w:hAnsi="宋体" w:eastAsia="宋体" w:cs="宋体"/>
                <w:szCs w:val="21"/>
              </w:rPr>
            </w:pPr>
            <w:r>
              <w:rPr>
                <w:rFonts w:hint="eastAsia" w:ascii="宋体" w:hAnsi="宋体" w:eastAsia="宋体" w:cs="宋体"/>
                <w:color w:val="000000"/>
                <w:kern w:val="0"/>
                <w:szCs w:val="21"/>
              </w:rPr>
              <w:t>40</w:t>
            </w:r>
          </w:p>
        </w:tc>
        <w:tc>
          <w:tcPr>
            <w:tcW w:w="6153" w:type="dxa"/>
            <w:tcBorders>
              <w:top w:val="single" w:color="auto" w:sz="4" w:space="0"/>
              <w:left w:val="single" w:color="auto" w:sz="4" w:space="0"/>
              <w:bottom w:val="single" w:color="auto" w:sz="4" w:space="0"/>
              <w:right w:val="single" w:color="auto" w:sz="4" w:space="0"/>
            </w:tcBorders>
            <w:shd w:val="clear" w:color="auto" w:fill="auto"/>
            <w:vAlign w:val="center"/>
          </w:tcPr>
          <w:p w14:paraId="381D2722">
            <w:pPr>
              <w:pStyle w:val="4"/>
              <w:widowControl/>
              <w:rPr>
                <w:rFonts w:hint="eastAsia" w:ascii="宋体" w:hAnsi="宋体" w:eastAsia="宋体" w:cs="宋体"/>
                <w:szCs w:val="21"/>
              </w:rPr>
            </w:pPr>
            <w:r>
              <w:rPr>
                <w:rFonts w:hint="eastAsia" w:ascii="宋体" w:hAnsi="宋体" w:eastAsia="宋体" w:cs="宋体"/>
                <w:color w:val="000000"/>
                <w:kern w:val="0"/>
                <w:szCs w:val="21"/>
              </w:rPr>
              <w:t>所报产品的技术方案先进，装备制造能力、生产设备、加工工艺先进，各系统完善、性能可靠，设备主要核心部件具备自身技术优势，技术参数优于招标文件要求，视情况优得31-40分，良得21-30分，一般得1-20分。</w:t>
            </w:r>
          </w:p>
        </w:tc>
      </w:tr>
      <w:tr w14:paraId="22401F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845" w:type="dxa"/>
            <w:vMerge w:val="continue"/>
            <w:tcBorders>
              <w:left w:val="single" w:color="auto" w:sz="4" w:space="0"/>
              <w:right w:val="single" w:color="auto" w:sz="4" w:space="0"/>
            </w:tcBorders>
            <w:vAlign w:val="center"/>
          </w:tcPr>
          <w:p w14:paraId="6CC6F5FF">
            <w:pPr>
              <w:widowControl/>
              <w:jc w:val="center"/>
              <w:rPr>
                <w:rFonts w:hint="eastAsia" w:ascii="宋体" w:hAnsi="宋体" w:eastAsia="宋体" w:cs="宋体"/>
              </w:rPr>
            </w:pPr>
          </w:p>
        </w:tc>
        <w:tc>
          <w:tcPr>
            <w:tcW w:w="520" w:type="dxa"/>
            <w:vMerge w:val="continue"/>
            <w:tcBorders>
              <w:left w:val="single" w:color="auto" w:sz="4" w:space="0"/>
              <w:right w:val="single" w:color="auto" w:sz="4" w:space="0"/>
            </w:tcBorders>
            <w:vAlign w:val="center"/>
          </w:tcPr>
          <w:p w14:paraId="6CAF7A2C">
            <w:pPr>
              <w:widowControl/>
              <w:jc w:val="center"/>
              <w:rPr>
                <w:rFonts w:hint="eastAsia" w:ascii="宋体" w:hAnsi="宋体" w:eastAsia="宋体" w:cs="宋体"/>
                <w:szCs w:val="21"/>
              </w:rPr>
            </w:pPr>
          </w:p>
        </w:tc>
        <w:tc>
          <w:tcPr>
            <w:tcW w:w="970" w:type="dxa"/>
            <w:tcBorders>
              <w:top w:val="single" w:color="auto" w:sz="4" w:space="0"/>
              <w:left w:val="single" w:color="auto" w:sz="4" w:space="0"/>
              <w:bottom w:val="single" w:color="auto" w:sz="4" w:space="0"/>
              <w:right w:val="single" w:color="auto" w:sz="4" w:space="0"/>
            </w:tcBorders>
            <w:shd w:val="clear" w:color="auto" w:fill="auto"/>
            <w:vAlign w:val="center"/>
          </w:tcPr>
          <w:p w14:paraId="38BFBB51">
            <w:pPr>
              <w:widowControl/>
              <w:jc w:val="center"/>
              <w:textAlignment w:val="center"/>
              <w:rPr>
                <w:rFonts w:hint="eastAsia" w:ascii="宋体" w:hAnsi="宋体" w:eastAsia="宋体" w:cs="宋体"/>
                <w:szCs w:val="21"/>
              </w:rPr>
            </w:pPr>
            <w:r>
              <w:rPr>
                <w:rFonts w:hint="eastAsia" w:ascii="宋体" w:hAnsi="宋体" w:eastAsia="宋体" w:cs="宋体"/>
                <w:color w:val="000000"/>
                <w:kern w:val="0"/>
                <w:szCs w:val="21"/>
              </w:rPr>
              <w:t>项目组织及人员</w:t>
            </w:r>
          </w:p>
        </w:tc>
        <w:tc>
          <w:tcPr>
            <w:tcW w:w="650" w:type="dxa"/>
            <w:tcBorders>
              <w:top w:val="single" w:color="auto" w:sz="4" w:space="0"/>
              <w:left w:val="single" w:color="auto" w:sz="4" w:space="0"/>
              <w:bottom w:val="nil"/>
              <w:right w:val="single" w:color="auto" w:sz="4" w:space="0"/>
            </w:tcBorders>
            <w:vAlign w:val="center"/>
          </w:tcPr>
          <w:p w14:paraId="29068CDD">
            <w:pPr>
              <w:widowControl/>
              <w:jc w:val="center"/>
              <w:textAlignment w:val="center"/>
              <w:rPr>
                <w:rFonts w:hint="eastAsia" w:ascii="宋体" w:hAnsi="宋体" w:eastAsia="宋体" w:cs="宋体"/>
                <w:szCs w:val="21"/>
              </w:rPr>
            </w:pPr>
            <w:r>
              <w:rPr>
                <w:rFonts w:hint="eastAsia" w:ascii="宋体" w:hAnsi="宋体" w:eastAsia="宋体" w:cs="宋体"/>
                <w:color w:val="000000"/>
                <w:kern w:val="0"/>
                <w:szCs w:val="21"/>
              </w:rPr>
              <w:t>10</w:t>
            </w:r>
          </w:p>
        </w:tc>
        <w:tc>
          <w:tcPr>
            <w:tcW w:w="6153" w:type="dxa"/>
            <w:tcBorders>
              <w:top w:val="single" w:color="auto" w:sz="4" w:space="0"/>
              <w:left w:val="single" w:color="auto" w:sz="4" w:space="0"/>
              <w:bottom w:val="nil"/>
              <w:right w:val="single" w:color="auto" w:sz="4" w:space="0"/>
            </w:tcBorders>
            <w:shd w:val="clear" w:color="auto" w:fill="auto"/>
            <w:vAlign w:val="center"/>
          </w:tcPr>
          <w:p w14:paraId="7DB74339">
            <w:pPr>
              <w:pStyle w:val="4"/>
              <w:widowControl/>
              <w:rPr>
                <w:rFonts w:hint="eastAsia" w:ascii="宋体" w:hAnsi="宋体" w:eastAsia="宋体" w:cs="宋体"/>
                <w:szCs w:val="21"/>
              </w:rPr>
            </w:pPr>
            <w:r>
              <w:rPr>
                <w:rFonts w:hint="eastAsia" w:ascii="宋体" w:hAnsi="宋体" w:eastAsia="宋体" w:cs="宋体"/>
                <w:color w:val="000000"/>
                <w:kern w:val="0"/>
                <w:szCs w:val="21"/>
              </w:rPr>
              <w:t>成立专项小组且职责明确，全流程项目人员经验丰富。根据方案进行综合评审，优得8-10分；良得5-7分；一般得1-4分。</w:t>
            </w:r>
          </w:p>
        </w:tc>
      </w:tr>
      <w:tr w14:paraId="22CB50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28" w:hRule="atLeast"/>
          <w:jc w:val="center"/>
        </w:trPr>
        <w:tc>
          <w:tcPr>
            <w:tcW w:w="845" w:type="dxa"/>
            <w:vMerge w:val="continue"/>
            <w:tcBorders>
              <w:left w:val="single" w:color="auto" w:sz="4" w:space="0"/>
              <w:right w:val="single" w:color="auto" w:sz="4" w:space="0"/>
            </w:tcBorders>
            <w:vAlign w:val="center"/>
          </w:tcPr>
          <w:p w14:paraId="04131FB5">
            <w:pPr>
              <w:widowControl/>
              <w:jc w:val="center"/>
              <w:rPr>
                <w:rFonts w:hint="eastAsia" w:ascii="宋体" w:hAnsi="宋体" w:eastAsia="宋体" w:cs="宋体"/>
              </w:rPr>
            </w:pPr>
          </w:p>
        </w:tc>
        <w:tc>
          <w:tcPr>
            <w:tcW w:w="520" w:type="dxa"/>
            <w:vMerge w:val="continue"/>
            <w:tcBorders>
              <w:left w:val="single" w:color="auto" w:sz="4" w:space="0"/>
              <w:right w:val="single" w:color="auto" w:sz="4" w:space="0"/>
            </w:tcBorders>
            <w:vAlign w:val="center"/>
          </w:tcPr>
          <w:p w14:paraId="7492E400">
            <w:pPr>
              <w:widowControl/>
              <w:jc w:val="center"/>
              <w:rPr>
                <w:rFonts w:hint="eastAsia" w:ascii="宋体" w:hAnsi="宋体" w:eastAsia="宋体" w:cs="宋体"/>
                <w:szCs w:val="21"/>
              </w:rPr>
            </w:pPr>
          </w:p>
        </w:tc>
        <w:tc>
          <w:tcPr>
            <w:tcW w:w="970" w:type="dxa"/>
            <w:tcBorders>
              <w:top w:val="single" w:color="auto" w:sz="4" w:space="0"/>
              <w:left w:val="single" w:color="auto" w:sz="4" w:space="0"/>
              <w:bottom w:val="single" w:color="auto" w:sz="4" w:space="0"/>
              <w:right w:val="single" w:color="auto" w:sz="4" w:space="0"/>
            </w:tcBorders>
            <w:shd w:val="clear" w:color="auto" w:fill="auto"/>
            <w:vAlign w:val="center"/>
          </w:tcPr>
          <w:p w14:paraId="73F22F8F">
            <w:pPr>
              <w:widowControl/>
              <w:jc w:val="center"/>
              <w:textAlignment w:val="center"/>
              <w:rPr>
                <w:rFonts w:hint="eastAsia" w:ascii="宋体" w:hAnsi="宋体" w:eastAsia="宋体" w:cs="宋体"/>
                <w:szCs w:val="21"/>
              </w:rPr>
            </w:pPr>
            <w:r>
              <w:rPr>
                <w:rFonts w:hint="eastAsia" w:ascii="宋体" w:hAnsi="宋体" w:eastAsia="宋体" w:cs="宋体"/>
                <w:color w:val="000000"/>
                <w:kern w:val="0"/>
                <w:szCs w:val="21"/>
              </w:rPr>
              <w:t>供货周期</w:t>
            </w:r>
          </w:p>
        </w:tc>
        <w:tc>
          <w:tcPr>
            <w:tcW w:w="650" w:type="dxa"/>
            <w:tcBorders>
              <w:top w:val="single" w:color="auto" w:sz="4" w:space="0"/>
              <w:left w:val="single" w:color="auto" w:sz="4" w:space="0"/>
              <w:bottom w:val="nil"/>
              <w:right w:val="single" w:color="auto" w:sz="4" w:space="0"/>
            </w:tcBorders>
            <w:vAlign w:val="center"/>
          </w:tcPr>
          <w:p w14:paraId="46BA7671">
            <w:pPr>
              <w:widowControl/>
              <w:jc w:val="center"/>
              <w:textAlignment w:val="center"/>
              <w:rPr>
                <w:rFonts w:hint="eastAsia" w:ascii="宋体" w:hAnsi="宋体" w:eastAsia="宋体" w:cs="宋体"/>
                <w:szCs w:val="21"/>
              </w:rPr>
            </w:pPr>
            <w:r>
              <w:rPr>
                <w:rFonts w:hint="eastAsia" w:ascii="宋体" w:hAnsi="宋体" w:eastAsia="宋体" w:cs="宋体"/>
                <w:color w:val="000000"/>
                <w:kern w:val="0"/>
                <w:szCs w:val="21"/>
              </w:rPr>
              <w:t>20</w:t>
            </w:r>
          </w:p>
        </w:tc>
        <w:tc>
          <w:tcPr>
            <w:tcW w:w="6153" w:type="dxa"/>
            <w:tcBorders>
              <w:top w:val="single" w:color="auto" w:sz="4" w:space="0"/>
              <w:left w:val="single" w:color="auto" w:sz="4" w:space="0"/>
              <w:bottom w:val="nil"/>
              <w:right w:val="single" w:color="auto" w:sz="4" w:space="0"/>
            </w:tcBorders>
            <w:shd w:val="clear" w:color="auto" w:fill="auto"/>
            <w:vAlign w:val="center"/>
          </w:tcPr>
          <w:p w14:paraId="055BCDB4">
            <w:pPr>
              <w:pStyle w:val="4"/>
              <w:widowControl/>
              <w:rPr>
                <w:rFonts w:hint="eastAsia" w:ascii="宋体" w:hAnsi="宋体" w:eastAsia="宋体" w:cs="宋体"/>
                <w:szCs w:val="21"/>
              </w:rPr>
            </w:pPr>
            <w:r>
              <w:rPr>
                <w:rFonts w:hint="eastAsia" w:ascii="宋体" w:hAnsi="宋体" w:eastAsia="宋体" w:cs="宋体"/>
                <w:color w:val="000000"/>
                <w:kern w:val="0"/>
                <w:szCs w:val="21"/>
              </w:rPr>
              <w:t>响应供货期和现场停工期基本要求，有详细可行的行动计划能保证项目进度，有风险管理措施；加工、制作方案合理、完善、切实可行能确保安全；能满足交货期者视情况得15-20分；剩余投标方得1-14分。</w:t>
            </w:r>
          </w:p>
        </w:tc>
      </w:tr>
      <w:tr w14:paraId="26EF21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right w:val="single" w:color="auto" w:sz="4" w:space="0"/>
            </w:tcBorders>
            <w:vAlign w:val="center"/>
          </w:tcPr>
          <w:p w14:paraId="72831BA7">
            <w:pPr>
              <w:widowControl/>
              <w:jc w:val="center"/>
              <w:rPr>
                <w:rFonts w:hint="eastAsia" w:ascii="宋体" w:hAnsi="宋体" w:eastAsia="宋体" w:cs="宋体"/>
              </w:rPr>
            </w:pPr>
          </w:p>
        </w:tc>
        <w:tc>
          <w:tcPr>
            <w:tcW w:w="520" w:type="dxa"/>
            <w:vMerge w:val="continue"/>
            <w:tcBorders>
              <w:left w:val="single" w:color="auto" w:sz="4" w:space="0"/>
              <w:right w:val="single" w:color="auto" w:sz="4" w:space="0"/>
            </w:tcBorders>
            <w:vAlign w:val="center"/>
          </w:tcPr>
          <w:p w14:paraId="4463D3D3">
            <w:pPr>
              <w:widowControl/>
              <w:jc w:val="center"/>
              <w:rPr>
                <w:rFonts w:hint="eastAsia" w:ascii="宋体" w:hAnsi="宋体" w:eastAsia="宋体" w:cs="宋体"/>
                <w:szCs w:val="21"/>
              </w:rPr>
            </w:pPr>
          </w:p>
        </w:tc>
        <w:tc>
          <w:tcPr>
            <w:tcW w:w="970" w:type="dxa"/>
            <w:tcBorders>
              <w:top w:val="single" w:color="auto" w:sz="4" w:space="0"/>
              <w:left w:val="single" w:color="auto" w:sz="4" w:space="0"/>
              <w:bottom w:val="single" w:color="auto" w:sz="4" w:space="0"/>
              <w:right w:val="single" w:color="auto" w:sz="4" w:space="0"/>
            </w:tcBorders>
            <w:shd w:val="clear" w:color="auto" w:fill="auto"/>
            <w:vAlign w:val="center"/>
          </w:tcPr>
          <w:p w14:paraId="3C47A960">
            <w:pPr>
              <w:widowControl/>
              <w:jc w:val="center"/>
              <w:textAlignment w:val="center"/>
              <w:rPr>
                <w:rFonts w:hint="eastAsia" w:ascii="宋体" w:hAnsi="宋体" w:eastAsia="宋体" w:cs="宋体"/>
                <w:szCs w:val="21"/>
              </w:rPr>
            </w:pPr>
            <w:r>
              <w:rPr>
                <w:rFonts w:hint="eastAsia" w:ascii="宋体" w:hAnsi="宋体" w:eastAsia="宋体" w:cs="宋体"/>
                <w:color w:val="000000"/>
                <w:kern w:val="0"/>
                <w:szCs w:val="21"/>
              </w:rPr>
              <w:t>类似业绩</w:t>
            </w:r>
          </w:p>
        </w:tc>
        <w:tc>
          <w:tcPr>
            <w:tcW w:w="650" w:type="dxa"/>
            <w:tcBorders>
              <w:top w:val="single" w:color="auto" w:sz="4" w:space="0"/>
              <w:left w:val="single" w:color="auto" w:sz="4" w:space="0"/>
              <w:bottom w:val="nil"/>
              <w:right w:val="single" w:color="auto" w:sz="4" w:space="0"/>
            </w:tcBorders>
            <w:vAlign w:val="center"/>
          </w:tcPr>
          <w:p w14:paraId="602E1859">
            <w:pPr>
              <w:widowControl/>
              <w:jc w:val="center"/>
              <w:textAlignment w:val="center"/>
              <w:rPr>
                <w:rFonts w:hint="eastAsia" w:ascii="宋体" w:hAnsi="宋体" w:eastAsia="宋体" w:cs="宋体"/>
                <w:szCs w:val="21"/>
              </w:rPr>
            </w:pPr>
            <w:r>
              <w:rPr>
                <w:rFonts w:hint="eastAsia" w:ascii="宋体" w:hAnsi="宋体" w:eastAsia="宋体" w:cs="宋体"/>
                <w:color w:val="000000"/>
                <w:kern w:val="0"/>
                <w:szCs w:val="21"/>
              </w:rPr>
              <w:t>20</w:t>
            </w:r>
          </w:p>
        </w:tc>
        <w:tc>
          <w:tcPr>
            <w:tcW w:w="6153" w:type="dxa"/>
            <w:tcBorders>
              <w:top w:val="single" w:color="auto" w:sz="4" w:space="0"/>
              <w:left w:val="single" w:color="auto" w:sz="4" w:space="0"/>
              <w:bottom w:val="nil"/>
              <w:right w:val="single" w:color="auto" w:sz="4" w:space="0"/>
            </w:tcBorders>
            <w:shd w:val="clear" w:color="auto" w:fill="auto"/>
            <w:vAlign w:val="center"/>
          </w:tcPr>
          <w:p w14:paraId="6D2A5AB8">
            <w:pPr>
              <w:pStyle w:val="4"/>
              <w:widowControl/>
              <w:rPr>
                <w:rFonts w:hint="eastAsia" w:ascii="宋体" w:hAnsi="宋体" w:eastAsia="宋体" w:cs="宋体"/>
                <w:szCs w:val="21"/>
              </w:rPr>
            </w:pPr>
            <w:r>
              <w:rPr>
                <w:rFonts w:hint="eastAsia" w:ascii="宋体" w:hAnsi="宋体" w:eastAsia="宋体" w:cs="宋体"/>
                <w:color w:val="000000"/>
                <w:kern w:val="0"/>
                <w:szCs w:val="21"/>
              </w:rPr>
              <w:t>近三年国内或国外知名品牌商用车或乘用车模具复制业绩或类似供货经历和经验或其他大型供货经历，提供1份投标同类产品开发合同证明材料，得2分，最高得20分。</w:t>
            </w:r>
          </w:p>
        </w:tc>
      </w:tr>
      <w:tr w14:paraId="493070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09269062">
            <w:pPr>
              <w:widowControl/>
              <w:jc w:val="center"/>
              <w:rPr>
                <w:rFonts w:hint="eastAsia" w:ascii="宋体" w:hAnsi="宋体" w:eastAsia="宋体" w:cs="宋体"/>
              </w:rPr>
            </w:pPr>
          </w:p>
        </w:tc>
        <w:tc>
          <w:tcPr>
            <w:tcW w:w="520" w:type="dxa"/>
            <w:vMerge w:val="continue"/>
            <w:tcBorders>
              <w:left w:val="single" w:color="auto" w:sz="4" w:space="0"/>
              <w:bottom w:val="single" w:color="auto" w:sz="4" w:space="0"/>
              <w:right w:val="single" w:color="auto" w:sz="4" w:space="0"/>
            </w:tcBorders>
            <w:vAlign w:val="center"/>
          </w:tcPr>
          <w:p w14:paraId="123AAFBD">
            <w:pPr>
              <w:widowControl/>
              <w:jc w:val="center"/>
              <w:rPr>
                <w:rFonts w:hint="eastAsia" w:ascii="宋体" w:hAnsi="宋体" w:eastAsia="宋体" w:cs="宋体"/>
                <w:szCs w:val="21"/>
              </w:rPr>
            </w:pPr>
          </w:p>
        </w:tc>
        <w:tc>
          <w:tcPr>
            <w:tcW w:w="970" w:type="dxa"/>
            <w:tcBorders>
              <w:top w:val="single" w:color="auto" w:sz="4" w:space="0"/>
              <w:left w:val="single" w:color="auto" w:sz="4" w:space="0"/>
              <w:bottom w:val="single" w:color="auto" w:sz="4" w:space="0"/>
              <w:right w:val="single" w:color="auto" w:sz="4" w:space="0"/>
            </w:tcBorders>
            <w:shd w:val="clear" w:color="auto" w:fill="auto"/>
            <w:vAlign w:val="center"/>
          </w:tcPr>
          <w:p w14:paraId="1D1BFBB6">
            <w:pPr>
              <w:pStyle w:val="4"/>
              <w:widowControl/>
              <w:jc w:val="center"/>
              <w:rPr>
                <w:rFonts w:hint="eastAsia" w:ascii="宋体" w:hAnsi="宋体" w:eastAsia="宋体" w:cs="宋体"/>
                <w:szCs w:val="21"/>
              </w:rPr>
            </w:pPr>
            <w:r>
              <w:rPr>
                <w:rFonts w:hint="eastAsia" w:ascii="宋体" w:hAnsi="宋体" w:eastAsia="宋体" w:cs="宋体"/>
                <w:color w:val="000000"/>
                <w:kern w:val="0"/>
                <w:szCs w:val="21"/>
              </w:rPr>
              <w:t>质量保障</w:t>
            </w:r>
          </w:p>
        </w:tc>
        <w:tc>
          <w:tcPr>
            <w:tcW w:w="650" w:type="dxa"/>
            <w:tcBorders>
              <w:top w:val="single" w:color="auto" w:sz="4" w:space="0"/>
              <w:left w:val="single" w:color="auto" w:sz="4" w:space="0"/>
              <w:bottom w:val="nil"/>
              <w:right w:val="single" w:color="auto" w:sz="4" w:space="0"/>
            </w:tcBorders>
            <w:vAlign w:val="center"/>
          </w:tcPr>
          <w:p w14:paraId="7E18D7C1">
            <w:pPr>
              <w:widowControl/>
              <w:jc w:val="center"/>
              <w:textAlignment w:val="center"/>
              <w:rPr>
                <w:rFonts w:hint="eastAsia" w:ascii="宋体" w:hAnsi="宋体" w:eastAsia="宋体" w:cs="宋体"/>
                <w:szCs w:val="21"/>
              </w:rPr>
            </w:pPr>
            <w:r>
              <w:rPr>
                <w:rFonts w:hint="eastAsia" w:ascii="宋体" w:hAnsi="宋体" w:eastAsia="宋体" w:cs="宋体"/>
                <w:color w:val="000000"/>
                <w:kern w:val="0"/>
                <w:szCs w:val="21"/>
              </w:rPr>
              <w:t>10</w:t>
            </w:r>
          </w:p>
        </w:tc>
        <w:tc>
          <w:tcPr>
            <w:tcW w:w="6153" w:type="dxa"/>
            <w:tcBorders>
              <w:top w:val="single" w:color="auto" w:sz="4" w:space="0"/>
              <w:left w:val="single" w:color="auto" w:sz="4" w:space="0"/>
              <w:bottom w:val="nil"/>
              <w:right w:val="single" w:color="auto" w:sz="4" w:space="0"/>
            </w:tcBorders>
            <w:shd w:val="clear" w:color="auto" w:fill="auto"/>
            <w:vAlign w:val="center"/>
          </w:tcPr>
          <w:p w14:paraId="0745B804">
            <w:pPr>
              <w:pStyle w:val="4"/>
              <w:widowControl/>
              <w:rPr>
                <w:rFonts w:hint="eastAsia" w:ascii="宋体" w:hAnsi="宋体" w:eastAsia="宋体" w:cs="宋体"/>
                <w:szCs w:val="21"/>
              </w:rPr>
            </w:pPr>
            <w:r>
              <w:rPr>
                <w:rFonts w:hint="eastAsia" w:ascii="宋体" w:hAnsi="宋体" w:eastAsia="宋体" w:cs="宋体"/>
                <w:color w:val="000000"/>
                <w:kern w:val="0"/>
                <w:szCs w:val="21"/>
              </w:rPr>
              <w:t>具有良好的质量管理体系和完备的检测体系，保证提供的产品质量、性能稳定可靠。根据提供的证明资料进行综合评审，优得10分，良得5-9分，一般得1-4分。</w:t>
            </w:r>
          </w:p>
        </w:tc>
      </w:tr>
      <w:tr w14:paraId="443A19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10"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424757A4">
            <w:pPr>
              <w:jc w:val="center"/>
              <w:rPr>
                <w:rFonts w:hint="eastAsia" w:ascii="宋体" w:hAnsi="宋体" w:eastAsia="宋体" w:cs="宋体"/>
                <w:szCs w:val="21"/>
              </w:rPr>
            </w:pPr>
            <w:r>
              <w:rPr>
                <w:rFonts w:hint="eastAsia" w:ascii="宋体" w:hAnsi="宋体" w:eastAsia="宋体" w:cs="宋体"/>
                <w:szCs w:val="21"/>
              </w:rPr>
              <w:t>商务标</w:t>
            </w:r>
          </w:p>
        </w:tc>
        <w:tc>
          <w:tcPr>
            <w:tcW w:w="520" w:type="dxa"/>
            <w:tcBorders>
              <w:top w:val="single" w:color="auto" w:sz="4" w:space="0"/>
              <w:left w:val="single" w:color="auto" w:sz="4" w:space="0"/>
              <w:bottom w:val="single" w:color="auto" w:sz="4" w:space="0"/>
              <w:right w:val="single" w:color="auto" w:sz="4" w:space="0"/>
            </w:tcBorders>
            <w:vAlign w:val="center"/>
          </w:tcPr>
          <w:p w14:paraId="6E18CC6C">
            <w:pPr>
              <w:jc w:val="center"/>
              <w:rPr>
                <w:rFonts w:hint="eastAsia" w:ascii="宋体" w:hAnsi="宋体" w:eastAsia="宋体" w:cs="宋体"/>
                <w:b/>
                <w:szCs w:val="21"/>
              </w:rPr>
            </w:pPr>
            <w:r>
              <w:rPr>
                <w:rFonts w:hint="eastAsia" w:ascii="宋体" w:hAnsi="宋体" w:eastAsia="宋体" w:cs="宋体"/>
                <w:b/>
                <w:szCs w:val="21"/>
                <w:lang w:val="en-US" w:eastAsia="zh-CN"/>
              </w:rPr>
              <w:t>6</w:t>
            </w:r>
            <w:r>
              <w:rPr>
                <w:rFonts w:hint="eastAsia" w:ascii="宋体" w:hAnsi="宋体" w:eastAsia="宋体" w:cs="宋体"/>
                <w:b/>
                <w:szCs w:val="21"/>
              </w:rPr>
              <w:t>0%</w:t>
            </w:r>
          </w:p>
        </w:tc>
        <w:tc>
          <w:tcPr>
            <w:tcW w:w="970" w:type="dxa"/>
            <w:tcBorders>
              <w:top w:val="single" w:color="auto" w:sz="4" w:space="0"/>
              <w:left w:val="single" w:color="auto" w:sz="4" w:space="0"/>
              <w:bottom w:val="single" w:color="auto" w:sz="4" w:space="0"/>
              <w:right w:val="single" w:color="auto" w:sz="4" w:space="0"/>
            </w:tcBorders>
            <w:vAlign w:val="center"/>
          </w:tcPr>
          <w:p w14:paraId="5952DDD7">
            <w:pPr>
              <w:jc w:val="center"/>
              <w:rPr>
                <w:rFonts w:hint="eastAsia" w:ascii="宋体" w:hAnsi="宋体" w:eastAsia="宋体" w:cs="宋体"/>
                <w:b/>
                <w:szCs w:val="21"/>
              </w:rPr>
            </w:pPr>
            <w:r>
              <w:rPr>
                <w:rFonts w:hint="eastAsia" w:ascii="宋体" w:hAnsi="宋体" w:eastAsia="宋体" w:cs="宋体"/>
              </w:rPr>
              <w:t>投标报价</w:t>
            </w:r>
          </w:p>
        </w:tc>
        <w:tc>
          <w:tcPr>
            <w:tcW w:w="650" w:type="dxa"/>
            <w:tcBorders>
              <w:top w:val="single" w:color="auto" w:sz="4" w:space="0"/>
              <w:left w:val="single" w:color="auto" w:sz="4" w:space="0"/>
              <w:bottom w:val="nil"/>
              <w:right w:val="single" w:color="auto" w:sz="4" w:space="0"/>
            </w:tcBorders>
            <w:vAlign w:val="center"/>
          </w:tcPr>
          <w:p w14:paraId="0ABA6608">
            <w:pPr>
              <w:spacing w:line="440" w:lineRule="exact"/>
              <w:jc w:val="center"/>
              <w:rPr>
                <w:rFonts w:hint="eastAsia" w:ascii="宋体" w:hAnsi="宋体" w:eastAsia="宋体" w:cs="宋体"/>
              </w:rPr>
            </w:pPr>
            <w:r>
              <w:rPr>
                <w:rFonts w:hint="eastAsia" w:ascii="宋体" w:hAnsi="宋体" w:eastAsia="宋体" w:cs="宋体"/>
              </w:rPr>
              <w:t>100</w:t>
            </w:r>
          </w:p>
        </w:tc>
        <w:tc>
          <w:tcPr>
            <w:tcW w:w="6153" w:type="dxa"/>
            <w:tcBorders>
              <w:top w:val="single" w:color="auto" w:sz="4" w:space="0"/>
              <w:left w:val="single" w:color="auto" w:sz="4" w:space="0"/>
              <w:bottom w:val="nil"/>
              <w:right w:val="single" w:color="auto" w:sz="4" w:space="0"/>
            </w:tcBorders>
            <w:vAlign w:val="center"/>
          </w:tcPr>
          <w:p w14:paraId="343347E1">
            <w:pPr>
              <w:widowControl/>
              <w:jc w:val="left"/>
              <w:rPr>
                <w:rFonts w:hint="eastAsia" w:ascii="宋体" w:hAnsi="宋体" w:eastAsia="宋体" w:cs="宋体"/>
                <w:kern w:val="0"/>
                <w:szCs w:val="21"/>
              </w:rPr>
            </w:pPr>
            <w:r>
              <w:rPr>
                <w:rFonts w:hint="eastAsia" w:ascii="宋体" w:hAnsi="宋体" w:eastAsia="宋体" w:cs="宋体"/>
                <w:kern w:val="0"/>
                <w:szCs w:val="21"/>
              </w:rPr>
              <w:t>1.商务标得分=当前轮次最低价/供方投标价X商务标总分。</w:t>
            </w:r>
          </w:p>
          <w:p w14:paraId="1B9AD71A">
            <w:pPr>
              <w:tabs>
                <w:tab w:val="left" w:pos="7854"/>
              </w:tabs>
              <w:spacing w:line="280" w:lineRule="exact"/>
              <w:rPr>
                <w:rFonts w:hint="eastAsia" w:ascii="宋体" w:hAnsi="宋体" w:eastAsia="宋体" w:cs="宋体"/>
                <w:highlight w:val="yellow"/>
              </w:rPr>
            </w:pPr>
            <w:r>
              <w:rPr>
                <w:rFonts w:hint="eastAsia" w:ascii="宋体" w:hAnsi="宋体" w:eastAsia="宋体" w:cs="宋体"/>
                <w:kern w:val="0"/>
                <w:szCs w:val="21"/>
              </w:rPr>
              <w:t>2.评标价格均以元（RMB）为单位计算，百分率、得分值小数点后保留二位，第三位四舍五入。</w:t>
            </w:r>
          </w:p>
        </w:tc>
      </w:tr>
      <w:tr w14:paraId="10DF90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416" w:hRule="atLeast"/>
          <w:jc w:val="center"/>
        </w:trPr>
        <w:tc>
          <w:tcPr>
            <w:tcW w:w="9138" w:type="dxa"/>
            <w:gridSpan w:val="5"/>
            <w:tcBorders>
              <w:top w:val="single" w:color="auto" w:sz="4" w:space="0"/>
              <w:left w:val="single" w:color="auto" w:sz="4" w:space="0"/>
              <w:bottom w:val="single" w:color="auto" w:sz="4" w:space="0"/>
              <w:right w:val="single" w:color="auto" w:sz="4" w:space="0"/>
            </w:tcBorders>
            <w:vAlign w:val="center"/>
          </w:tcPr>
          <w:p w14:paraId="13DCBF48">
            <w:pPr>
              <w:rPr>
                <w:rFonts w:hint="eastAsia" w:ascii="宋体" w:hAnsi="宋体" w:eastAsia="宋体" w:cs="宋体"/>
                <w:szCs w:val="21"/>
              </w:rPr>
            </w:pPr>
            <w:r>
              <w:rPr>
                <w:rFonts w:hint="eastAsia" w:ascii="宋体" w:hAnsi="宋体" w:eastAsia="宋体" w:cs="宋体"/>
              </w:rPr>
              <w:t>备注：</w:t>
            </w:r>
          </w:p>
          <w:p w14:paraId="683D6481">
            <w:pPr>
              <w:rPr>
                <w:rFonts w:hint="default" w:ascii="宋体" w:hAnsi="宋体" w:eastAsia="宋体" w:cs="宋体"/>
                <w:lang w:val="en-US" w:eastAsia="zh-CN"/>
              </w:rPr>
            </w:pPr>
            <w:r>
              <w:rPr>
                <w:rFonts w:hint="eastAsia" w:ascii="宋体" w:hAnsi="宋体" w:eastAsia="宋体" w:cs="宋体"/>
              </w:rPr>
              <w:t>1、</w:t>
            </w:r>
            <w:r>
              <w:rPr>
                <w:rFonts w:hint="eastAsia" w:ascii="宋体" w:hAnsi="宋体" w:eastAsia="宋体" w:cs="宋体"/>
                <w:lang w:val="en-US" w:eastAsia="zh-CN"/>
              </w:rPr>
              <w:t>技术分平均得分≥70分入围商务标；</w:t>
            </w:r>
          </w:p>
          <w:p w14:paraId="5F5842BD">
            <w:pPr>
              <w:rPr>
                <w:rFonts w:hint="eastAsia" w:ascii="宋体" w:hAnsi="宋体" w:eastAsia="宋体" w:cs="宋体"/>
                <w:b/>
                <w:bCs/>
                <w:color w:val="FF0000"/>
                <w:sz w:val="18"/>
                <w:szCs w:val="18"/>
              </w:rPr>
            </w:pPr>
            <w:r>
              <w:rPr>
                <w:rFonts w:hint="eastAsia" w:ascii="宋体" w:hAnsi="宋体" w:eastAsia="宋体" w:cs="宋体"/>
                <w:lang w:val="en-US" w:eastAsia="zh-CN"/>
              </w:rPr>
              <w:t>2、</w:t>
            </w:r>
            <w:r>
              <w:rPr>
                <w:rFonts w:hint="eastAsia" w:ascii="宋体" w:hAnsi="宋体" w:eastAsia="宋体" w:cs="宋体"/>
              </w:rPr>
              <w:t>综合评价值相同的，依照价格、技术、商务、服务及其他评价内容的优先次序，根据分项评价值进行排名。若上述排名皆相同的，则由全体评委成员无记名投票，得票高者排序在前。</w:t>
            </w:r>
          </w:p>
          <w:p w14:paraId="0881BEA3">
            <w:pPr>
              <w:rPr>
                <w:rFonts w:hint="eastAsia" w:ascii="宋体" w:hAnsi="宋体" w:eastAsia="宋体" w:cs="宋体"/>
              </w:rPr>
            </w:pPr>
            <w:r>
              <w:rPr>
                <w:rFonts w:hint="eastAsia" w:ascii="宋体" w:hAnsi="宋体" w:eastAsia="宋体" w:cs="宋体"/>
                <w:lang w:val="en-US" w:eastAsia="zh-CN"/>
              </w:rPr>
              <w:t>3</w:t>
            </w:r>
            <w:r>
              <w:rPr>
                <w:rFonts w:hint="eastAsia" w:ascii="宋体" w:hAnsi="宋体" w:eastAsia="宋体" w:cs="宋体"/>
              </w:rPr>
              <w:t>、评委打分超过得分界限或未按本方法赋分时，该评委的打分按废票处理。</w:t>
            </w:r>
          </w:p>
          <w:p w14:paraId="34810ABC">
            <w:pPr>
              <w:rPr>
                <w:rFonts w:hint="eastAsia" w:ascii="宋体" w:hAnsi="宋体" w:eastAsia="宋体" w:cs="宋体"/>
                <w:szCs w:val="21"/>
              </w:rPr>
            </w:pPr>
            <w:r>
              <w:rPr>
                <w:rFonts w:hint="eastAsia" w:ascii="宋体" w:hAnsi="宋体" w:eastAsia="宋体" w:cs="宋体"/>
                <w:lang w:val="en-US" w:eastAsia="zh-CN"/>
              </w:rPr>
              <w:t>4</w:t>
            </w:r>
            <w:r>
              <w:rPr>
                <w:rFonts w:hint="eastAsia" w:ascii="宋体" w:hAnsi="宋体" w:eastAsia="宋体" w:cs="宋体"/>
              </w:rPr>
              <w:t>、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tc>
      </w:tr>
    </w:tbl>
    <w:p w14:paraId="6F795C36">
      <w:pPr>
        <w:rPr>
          <w:rStyle w:val="11"/>
          <w:rFonts w:ascii="宋体" w:hAnsi="宋体"/>
          <w:sz w:val="24"/>
        </w:rPr>
      </w:pPr>
    </w:p>
    <w:p w14:paraId="4E2EEC8E">
      <w:pPr>
        <w:numPr>
          <w:numId w:val="0"/>
        </w:numPr>
        <w:spacing w:line="360" w:lineRule="auto"/>
        <w:rPr>
          <w:rFonts w:hint="eastAsia" w:ascii="宋体" w:hAnsi="宋体" w:eastAsia="宋体" w:cs="宋体"/>
          <w:b w:val="0"/>
          <w:bCs w:val="0"/>
          <w:color w:val="auto"/>
          <w:sz w:val="24"/>
          <w:szCs w:val="24"/>
        </w:rPr>
      </w:pPr>
    </w:p>
    <w:p w14:paraId="7C79499E">
      <w:pPr>
        <w:rPr>
          <w:rFonts w:hint="eastAsia" w:ascii="宋体" w:hAnsi="宋体" w:eastAsia="宋体" w:cs="宋体"/>
          <w:b/>
          <w:bCs/>
          <w:color w:val="000000"/>
          <w:sz w:val="24"/>
          <w:szCs w:val="24"/>
        </w:rPr>
      </w:pPr>
    </w:p>
    <w:p w14:paraId="4FA4FF46">
      <w:pPr>
        <w:rPr>
          <w:rFonts w:hint="eastAsia" w:ascii="宋体" w:hAnsi="宋体" w:eastAsia="宋体" w:cs="宋体"/>
          <w:b/>
          <w:bCs/>
          <w:color w:val="00000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BA2A48"/>
    <w:rsid w:val="163C0FAC"/>
    <w:rsid w:val="26EA35BC"/>
    <w:rsid w:val="433B01F8"/>
    <w:rsid w:val="5B7834AC"/>
    <w:rsid w:val="6C766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3">
    <w:name w:val="heading 2"/>
    <w:basedOn w:val="1"/>
    <w:next w:val="1"/>
    <w:qFormat/>
    <w:uiPriority w:val="0"/>
    <w:pPr>
      <w:keepNext/>
      <w:keepLines/>
      <w:spacing w:before="260" w:after="260" w:line="413" w:lineRule="auto"/>
      <w:outlineLvl w:val="1"/>
    </w:pPr>
    <w:rPr>
      <w:rFonts w:ascii="Arial" w:hAnsi="Arial" w:eastAsia="黑体"/>
      <w:b/>
      <w:bCs/>
      <w:sz w:val="32"/>
      <w:szCs w:val="32"/>
      <w:lang w:val="zh-CN" w:eastAsia="zh-C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Fließtext"/>
    <w:basedOn w:val="1"/>
    <w:qFormat/>
    <w:uiPriority w:val="99"/>
    <w:pPr>
      <w:widowControl/>
      <w:jc w:val="center"/>
    </w:pPr>
    <w:rPr>
      <w:rFonts w:ascii="Arial" w:hAnsi="Arial"/>
      <w:kern w:val="0"/>
      <w:szCs w:val="20"/>
      <w:lang w:val="de-DE" w:eastAsia="de-DE"/>
    </w:rPr>
  </w:style>
  <w:style w:type="paragraph" w:styleId="4">
    <w:name w:val="annotation text"/>
    <w:basedOn w:val="1"/>
    <w:qFormat/>
    <w:uiPriority w:val="0"/>
    <w:pPr>
      <w:jc w:val="left"/>
    </w:pPr>
  </w:style>
  <w:style w:type="paragraph" w:styleId="5">
    <w:name w:val="Body Text"/>
    <w:basedOn w:val="1"/>
    <w:next w:val="1"/>
    <w:qFormat/>
    <w:uiPriority w:val="0"/>
    <w:pPr>
      <w:spacing w:after="120"/>
    </w:pPr>
    <w:rPr>
      <w:szCs w:val="21"/>
    </w:rPr>
  </w:style>
  <w:style w:type="paragraph" w:styleId="6">
    <w:name w:val="Plain Text"/>
    <w:basedOn w:val="1"/>
    <w:qFormat/>
    <w:uiPriority w:val="0"/>
    <w:rPr>
      <w:rFonts w:ascii="宋体" w:hAnsi="Courier New"/>
    </w:rPr>
  </w:style>
  <w:style w:type="paragraph" w:customStyle="1" w:styleId="9">
    <w:name w:val="UserStyle_95"/>
    <w:basedOn w:val="10"/>
    <w:autoRedefine/>
    <w:qFormat/>
    <w:uiPriority w:val="0"/>
  </w:style>
  <w:style w:type="paragraph" w:customStyle="1" w:styleId="10">
    <w:name w:val="Heading4"/>
    <w:basedOn w:val="1"/>
    <w:next w:val="1"/>
    <w:autoRedefine/>
    <w:qFormat/>
    <w:uiPriority w:val="0"/>
    <w:pPr>
      <w:keepNext/>
      <w:spacing w:before="240" w:after="60"/>
    </w:pPr>
    <w:rPr>
      <w:b/>
      <w:bCs/>
      <w:sz w:val="28"/>
      <w:szCs w:val="28"/>
    </w:rPr>
  </w:style>
  <w:style w:type="character" w:customStyle="1" w:styleId="11">
    <w:name w:val="NormalCharacter"/>
    <w:basedOn w:val="8"/>
    <w:autoRedefine/>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2165</Words>
  <Characters>2220</Characters>
  <Lines>0</Lines>
  <Paragraphs>0</Paragraphs>
  <TotalTime>0</TotalTime>
  <ScaleCrop>false</ScaleCrop>
  <LinksUpToDate>false</LinksUpToDate>
  <CharactersWithSpaces>2240</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2026-06-08T10:38:00Z</dcterms:created>
  <dc:creator>Lenovo</dc:creator>
  <cp:lastModifiedBy>黄嘉豪</cp:lastModifiedBy>
  <dcterms:modified xsi:type="dcterms:W3CDTF">2026-07-20T07:17:05Z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KSOTemplateDocerSaveRecord">
    <vt:lpwstr>eyJoZGlkIjoiZTZkNDE3ZGE4Mjk4YmFlZDAwMWNlODJlYzdjMzk3YmQiLCJ1c2VySWQiOiIxNzY1NTI5ODQwIn0=</vt:lpwstr>
  </property>
  <property fmtid="{D5CDD505-2E9C-101B-9397-08002B2CF9AE}" pid="4" name="ICV">
    <vt:lpwstr>B9BFD79AE45E4B639123FCFFDE83D0A0_12</vt:lpwstr>
  </property>
</Properties>
</file>