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B68A1">
      <w:pPr>
        <w:pStyle w:val="2"/>
        <w:widowControl/>
        <w:jc w:val="center"/>
        <w:rPr>
          <w:i w:val="0"/>
          <w:iCs/>
          <w:sz w:val="32"/>
          <w:szCs w:val="32"/>
          <w:lang w:val="en-US"/>
        </w:rPr>
      </w:pPr>
      <w:bookmarkStart w:id="0" w:name="_Toc12866"/>
      <w:r>
        <w:rPr>
          <w:rFonts w:hint="eastAsia" w:cs="宋体"/>
          <w:i w:val="0"/>
          <w:iCs/>
          <w:sz w:val="32"/>
          <w:szCs w:val="32"/>
          <w:lang w:val="en-US" w:eastAsia="zh-CN"/>
        </w:rPr>
        <w:t>轻卡制造公司皮卡CKD包装招标项目招标公告</w:t>
      </w:r>
      <w:bookmarkEnd w:id="0"/>
    </w:p>
    <w:p w14:paraId="1EBE2D1A">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ZBGL2026050250</w:t>
      </w:r>
      <w:r>
        <w:rPr>
          <w:rFonts w:hint="eastAsia" w:ascii="Cambria" w:hAnsi="Cambria" w:eastAsia="宋体" w:cs="宋体"/>
          <w:b/>
          <w:bCs/>
          <w:i w:val="0"/>
          <w:iCs/>
          <w:sz w:val="22"/>
          <w:szCs w:val="22"/>
          <w:highlight w:val="none"/>
          <w:lang w:eastAsia="zh-CN"/>
        </w:rPr>
        <w:t>）</w:t>
      </w:r>
      <w:bookmarkEnd w:id="1"/>
    </w:p>
    <w:p w14:paraId="20BDA0D9">
      <w:pPr>
        <w:rPr>
          <w:rFonts w:hint="eastAsia" w:asciiTheme="majorEastAsia" w:hAnsiTheme="majorEastAsia" w:eastAsiaTheme="majorEastAsia" w:cstheme="majorEastAsia"/>
          <w:b/>
          <w:bCs/>
          <w:sz w:val="24"/>
          <w:szCs w:val="24"/>
        </w:rPr>
      </w:pPr>
    </w:p>
    <w:p w14:paraId="474C137B">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677DE7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6FB91D9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06EEAF26">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2026-06-04</w:t>
            </w:r>
          </w:p>
        </w:tc>
        <w:tc>
          <w:tcPr>
            <w:tcW w:w="2200" w:type="dxa"/>
            <w:shd w:val="clear" w:color="auto" w:fill="DEDEDE"/>
            <w:vAlign w:val="center"/>
          </w:tcPr>
          <w:p w14:paraId="09883B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66EF447B">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2026-06-09</w:t>
            </w:r>
          </w:p>
        </w:tc>
      </w:tr>
    </w:tbl>
    <w:p w14:paraId="3891D99F">
      <w:pPr>
        <w:rPr>
          <w:rFonts w:hint="eastAsia" w:asciiTheme="majorEastAsia" w:hAnsiTheme="majorEastAsia" w:eastAsiaTheme="majorEastAsia" w:cstheme="majorEastAsia"/>
          <w:b/>
          <w:bCs/>
          <w:sz w:val="24"/>
          <w:szCs w:val="24"/>
        </w:rPr>
      </w:pPr>
    </w:p>
    <w:p w14:paraId="22A1DC92">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5018CFA5">
      <w:pPr>
        <w:ind w:firstLine="480"/>
        <w:rPr>
          <w:rFonts w:hint="eastAsia"/>
          <w:sz w:val="24"/>
          <w:szCs w:val="21"/>
          <w:highlight w:val="none"/>
        </w:rPr>
      </w:pPr>
      <w:r>
        <w:rPr>
          <w:rFonts w:hint="eastAsia"/>
          <w:sz w:val="24"/>
          <w:szCs w:val="21"/>
          <w:highlight w:val="none"/>
        </w:rPr>
        <w:t>济南轻卡制造公司皮卡CKD包装项目。</w:t>
      </w:r>
    </w:p>
    <w:p w14:paraId="34DE45B1">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14:paraId="36BF1B5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755D5F2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轻卡制造公司皮卡CKD包装招标项目</w:t>
      </w:r>
    </w:p>
    <w:p w14:paraId="4610D852">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直管单位非生产招标/服务/业务外包</w:t>
      </w:r>
    </w:p>
    <w:p w14:paraId="3B9A1FEF">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43E780E1">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4.项目等级：A级</w:t>
      </w:r>
    </w:p>
    <w:p w14:paraId="26BCDC17">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32CAC1F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bookmarkStart w:id="2" w:name="_Hlk184396681"/>
      <w:r>
        <w:rPr>
          <w:rFonts w:hint="eastAsia" w:asciiTheme="majorEastAsia" w:hAnsiTheme="majorEastAsia" w:eastAsiaTheme="majorEastAsia" w:cstheme="majorEastAsia"/>
          <w:sz w:val="24"/>
          <w:szCs w:val="24"/>
        </w:rPr>
        <w:t>（1）投标人须遵守《中华人民共和国招标投标法》、《中华人民共和国民法典》及其它有关的法律和法规；</w:t>
      </w:r>
    </w:p>
    <w:p w14:paraId="6D4D15AA">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（2）公司成立一年以上（以营业执照成立日期到开标当日满一年为准）注册资金不能少于500万；经营范围满足招标项目需求（见第三章 技术协议书）； </w:t>
      </w:r>
    </w:p>
    <w:p w14:paraId="4D798BDF">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（3）投标人须提供具有统一社会信用代码的新版营业执照复印件（加盖公章）；</w:t>
      </w:r>
    </w:p>
    <w:p w14:paraId="3F72B701">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（4）具有健全的财务会计制度，财务状况和市场行为良好。没有处于被有权机关吊销营业执照、吊销资质、停业整顿、取消投标资格以及财产被接管、冻结或进入破产程序等。</w:t>
      </w:r>
    </w:p>
    <w:p w14:paraId="12DBB668">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（5）投标人没有被列入招标人处《黑名单》（《黑名单》指投标人与招标人在以往或正在进行的合作中，存在招标人认为的违反合同约定或违反法律法规等的失信行为）的。</w:t>
      </w:r>
    </w:p>
    <w:p w14:paraId="4D6884B8">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（6）投标人须提供近三年的公司财务报表（资产负债表、损益表、现金流量表）。</w:t>
      </w:r>
    </w:p>
    <w:p w14:paraId="2C113AAB">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（7）投标人须提供法人授权委托书原件（在投标文件副本中可用复印件）及投标单位的法定代表人或授权代表的身份证原件及复印件（加盖公章）；</w:t>
      </w:r>
    </w:p>
    <w:p w14:paraId="51A3BEE1">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（8）本次参与投标人须使用重汽品牌车辆承运业务。</w:t>
      </w:r>
    </w:p>
    <w:p w14:paraId="58135D8B">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（9）凡参与投标的单位，皆要求开具与投标单位抬头一致的增值税专用发票，开具普通发票的单位不得参与此次招标。本次投标所报价格应包含不含税价格、税率（13%）、含税价格。</w:t>
      </w:r>
    </w:p>
    <w:p w14:paraId="1CC4A9DC">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（10）投标人须具有履行合同所必须的财务、技术、服务等方面的资质和能力；</w:t>
      </w:r>
    </w:p>
    <w:p w14:paraId="2B8C3645">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（11）投标人须具有完全履行招标文件的所有要求的能力；</w:t>
      </w:r>
    </w:p>
    <w:p w14:paraId="348BEFB5">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（12）投标人须认可招标人的工作指令，包括节、假日能正常开展工作的要求；</w:t>
      </w:r>
    </w:p>
    <w:p w14:paraId="5B5FA2CA">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（13）本次招标项目不接受联合体投标；</w:t>
      </w:r>
    </w:p>
    <w:p w14:paraId="7C85E4D0">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（14）投标人按要求缴纳投标保证金。</w:t>
      </w:r>
    </w:p>
    <w:p w14:paraId="799282AE">
      <w:pPr>
        <w:ind w:firstLine="420" w:firstLineChars="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本项目不允许代理商投标。</w:t>
      </w:r>
      <w:bookmarkEnd w:id="2"/>
      <w:r>
        <w:rPr>
          <w:rFonts w:hint="eastAsia" w:asciiTheme="majorEastAsia" w:hAnsiTheme="majorEastAsia" w:eastAsiaTheme="majorEastAsia" w:cstheme="majorEastAsia"/>
          <w:b/>
          <w:bCs/>
          <w:sz w:val="24"/>
          <w:szCs w:val="24"/>
        </w:rPr>
        <w:t xml:space="preserve"> </w:t>
      </w:r>
    </w:p>
    <w:p w14:paraId="30233B22">
      <w:pPr>
        <w:ind w:firstLine="420" w:firstLineChars="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应标报名文件</w:t>
      </w:r>
    </w:p>
    <w:p w14:paraId="4E41D834">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（1）有统一社会信用代码的新版营业执照复印件，并加盖公章；</w:t>
      </w:r>
    </w:p>
    <w:p w14:paraId="34CAC55E">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（2）法定代表人授权书；法定代表人参加投标的，需提供法人身份证复印件；委托授权人参加投标的，需提供法定代表人授权委托书、法定代表人身份证复印件、被授权人身份证复印件；</w:t>
      </w:r>
    </w:p>
    <w:p w14:paraId="3207BBAF">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14:paraId="098934A4">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（4）投标人近三年内在经营活动中没有违法违纪行为的声明，并加盖公章；</w:t>
      </w:r>
    </w:p>
    <w:p w14:paraId="39BCE8C9">
      <w:pPr>
        <w:ind w:firstLine="481"/>
        <w:rPr>
          <w:rFonts w:hint="eastAsia" w:asciiTheme="majorEastAsia" w:hAnsiTheme="majorEastAsia" w:eastAsiaTheme="majorEastAsia" w:cstheme="majorEastAsia"/>
          <w:sz w:val="24"/>
          <w:szCs w:val="24"/>
          <w:lang w:val="en-US" w:eastAsia="zh-CN"/>
        </w:rPr>
      </w:pPr>
      <w:bookmarkStart w:id="3" w:name="_Hlk138495866"/>
      <w:r>
        <w:rPr>
          <w:rFonts w:hint="eastAsia" w:asciiTheme="majorEastAsia" w:hAnsiTheme="majorEastAsia" w:eastAsiaTheme="majorEastAsia" w:cstheme="majorEastAsia"/>
          <w:sz w:val="24"/>
          <w:szCs w:val="24"/>
          <w:lang w:val="en-US" w:eastAsia="zh-CN"/>
        </w:rPr>
        <w:t>（5）投标人在国家企业信用信息公示系统或信用中国等信息平台中没有与本项目相关的行政处罚、经营异常和失信信息等记录的截图证明，并加盖公章；</w:t>
      </w:r>
    </w:p>
    <w:bookmarkEnd w:id="3"/>
    <w:p w14:paraId="38CB7FFD">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（6）税务部门开具的依法缴纳税收的证明（如有）；</w:t>
      </w:r>
    </w:p>
    <w:p w14:paraId="08FFCF11">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（7）近一个月内中国人民银行开具的企业信用报告；</w:t>
      </w:r>
    </w:p>
    <w:p w14:paraId="5D8122A0">
      <w:pPr>
        <w:ind w:firstLine="481"/>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lang w:val="en-US" w:eastAsia="zh-CN"/>
        </w:rPr>
        <w:t>（8）本项目投标保证金缴纳凭证复印件。（本条应标阶段不作要求）</w:t>
      </w:r>
    </w:p>
    <w:p w14:paraId="7D79CC9B">
      <w:pPr>
        <w:ind w:firstLine="420" w:firstLineChars="0"/>
        <w:rPr>
          <w:rFonts w:hint="default" w:asciiTheme="majorEastAsia" w:hAnsiTheme="majorEastAsia" w:eastAsiaTheme="majorEastAsia" w:cstheme="majorEastAsia"/>
          <w:b/>
          <w:bCs/>
          <w:sz w:val="24"/>
          <w:szCs w:val="24"/>
          <w:lang w:val="en-US" w:eastAsia="zh-CN"/>
        </w:rPr>
      </w:pPr>
    </w:p>
    <w:p w14:paraId="05FEE92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52EB194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1F6DACB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09</w:t>
      </w:r>
      <w:r>
        <w:rPr>
          <w:rFonts w:hint="eastAsia" w:asciiTheme="majorEastAsia" w:hAnsiTheme="majorEastAsia" w:eastAsiaTheme="majorEastAsia" w:cstheme="majorEastAsia"/>
          <w:sz w:val="24"/>
          <w:szCs w:val="24"/>
        </w:rPr>
        <w:t xml:space="preserve"> 17:00:00 </w:t>
      </w:r>
    </w:p>
    <w:p w14:paraId="4759D9F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3A64C75D">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77BB3C9A">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6010EC64">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15</w:t>
      </w:r>
      <w:r>
        <w:rPr>
          <w:rFonts w:hint="eastAsia" w:asciiTheme="majorEastAsia" w:hAnsiTheme="majorEastAsia" w:eastAsiaTheme="majorEastAsia" w:cstheme="majorEastAsia"/>
          <w:sz w:val="24"/>
          <w:szCs w:val="24"/>
        </w:rPr>
        <w:t xml:space="preserve"> 09:00:00 </w:t>
      </w:r>
    </w:p>
    <w:p w14:paraId="756D49F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188361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7B3B62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15</w:t>
      </w:r>
      <w:bookmarkStart w:id="4" w:name="_GoBack"/>
      <w:bookmarkEnd w:id="4"/>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 xml:space="preserve">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485B4EF2">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开标地点：山东省‌济南市</w:t>
      </w:r>
      <w:r>
        <w:rPr>
          <w:rFonts w:hint="eastAsia" w:asciiTheme="majorEastAsia" w:hAnsiTheme="majorEastAsia" w:eastAsiaTheme="majorEastAsia" w:cstheme="majorEastAsia"/>
          <w:b/>
          <w:bCs/>
          <w:sz w:val="24"/>
          <w:szCs w:val="24"/>
          <w:lang w:val="en-US" w:eastAsia="zh-CN"/>
        </w:rPr>
        <w:t>章丘区潘王路东园区11号路济南轻卡制造公司</w:t>
      </w:r>
    </w:p>
    <w:p w14:paraId="4EB316E7">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1FAC7C5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0F0EE9FD">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7FBD0B0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533DA6B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CCCDBA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25BF107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0B4B17B3">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14:paraId="5BB75B6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14:paraId="2BBBFC11">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技术联系人：张运峰 </w:t>
      </w:r>
    </w:p>
    <w:p w14:paraId="18B2FB9A">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联系电话：13853182949</w:t>
      </w:r>
    </w:p>
    <w:p w14:paraId="3B00F455">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61216B8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5B93320D">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317ABA5C">
      <w:pPr>
        <w:ind w:firstLine="480" w:firstLineChars="200"/>
        <w:rPr>
          <w:rFonts w:hint="eastAsia" w:asciiTheme="majorEastAsia" w:hAnsiTheme="majorEastAsia" w:eastAsiaTheme="majorEastAsia" w:cstheme="majorEastAsia"/>
          <w:sz w:val="24"/>
          <w:szCs w:val="24"/>
        </w:rPr>
      </w:pPr>
    </w:p>
    <w:p w14:paraId="232D9641">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14:paraId="12B5F7B5">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14:paraId="07650A6C">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②开标过程概述：</w:t>
      </w:r>
    </w:p>
    <w:p w14:paraId="7711A2F2">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唱标流程：技术标唱标→技术标澄清→技术标评分→商务标唱标→价格澄清→商务标评审；</w:t>
      </w:r>
    </w:p>
    <w:p w14:paraId="7AAF900C">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开标过程A级项目进行三轮开标会，B级项目进行两轮开标会</w:t>
      </w:r>
      <w:r>
        <w:rPr>
          <w:rFonts w:hint="eastAsia" w:hAnsi="宋体" w:eastAsia="宋体" w:cs="宋体"/>
          <w:kern w:val="2"/>
          <w:sz w:val="24"/>
          <w:szCs w:val="24"/>
          <w:lang w:val="en-US" w:eastAsia="zh-CN" w:bidi="ar-SA"/>
        </w:rPr>
        <w:t>，每轮均可能淘汰投标方</w:t>
      </w:r>
      <w:r>
        <w:rPr>
          <w:rFonts w:hint="eastAsia" w:ascii="宋体" w:hAnsi="宋体" w:eastAsia="宋体" w:cs="宋体"/>
          <w:kern w:val="2"/>
          <w:sz w:val="24"/>
          <w:szCs w:val="24"/>
          <w:lang w:val="en-US" w:eastAsia="zh-CN" w:bidi="ar-SA"/>
        </w:rPr>
        <w:t>。</w:t>
      </w:r>
    </w:p>
    <w:p w14:paraId="737B5701">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第一轮包括技术标答辩和商务标报价环节</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67EDCC87">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第二轮由专家组审查第一轮的技术和商务情况，并决定是否继续进行商务报价</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163DB8D7">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A级项目第三轮由专家组审查前两轮的技术和商务报价情况。</w:t>
      </w:r>
    </w:p>
    <w:p w14:paraId="41AA7F72">
      <w:pPr>
        <w:rPr>
          <w:rFonts w:hint="eastAsia" w:asciiTheme="majorEastAsia" w:hAnsiTheme="majorEastAsia" w:eastAsiaTheme="majorEastAsia" w:cstheme="majorEastAsia"/>
          <w:sz w:val="22"/>
          <w:szCs w:val="22"/>
          <w:highlight w:val="yellow"/>
          <w:lang w:val="en-US" w:eastAsia="zh-CN"/>
        </w:rPr>
      </w:pPr>
      <w:r>
        <w:rPr>
          <w:rFonts w:hint="eastAsia" w:asciiTheme="majorEastAsia" w:hAnsiTheme="majorEastAsia" w:eastAsiaTheme="majorEastAsia" w:cstheme="majorEastAsia"/>
          <w:sz w:val="22"/>
          <w:szCs w:val="22"/>
          <w:highlight w:val="yellow"/>
          <w:lang w:val="en-US" w:eastAsia="zh-CN"/>
        </w:rPr>
        <w:t>以上招标过程概述为项目联系人对中国重汽招标流程概述，投标人若投标即认可该招标流程。</w:t>
      </w:r>
    </w:p>
    <w:p w14:paraId="7C6170A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评审期间产生的技术</w:t>
      </w:r>
      <w:r>
        <w:rPr>
          <w:rFonts w:hint="eastAsia" w:ascii="宋体" w:hAnsi="宋体" w:eastAsia="宋体" w:cs="宋体"/>
          <w:color w:val="auto"/>
          <w:sz w:val="24"/>
          <w:szCs w:val="24"/>
          <w:highlight w:val="none"/>
          <w:lang w:val="en-US" w:eastAsia="zh-CN"/>
        </w:rPr>
        <w:t>和商务价格</w:t>
      </w:r>
      <w:r>
        <w:rPr>
          <w:rFonts w:hint="eastAsia" w:ascii="宋体" w:hAnsi="宋体" w:eastAsia="宋体" w:cs="宋体"/>
          <w:color w:val="auto"/>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70331FFE">
      <w:pPr>
        <w:rPr>
          <w:rFonts w:hint="eastAsia" w:ascii="宋体" w:hAnsi="宋体" w:eastAsia="宋体" w:cs="宋体"/>
          <w:color w:val="auto"/>
          <w:sz w:val="24"/>
          <w:szCs w:val="24"/>
          <w:highlight w:val="none"/>
        </w:rPr>
      </w:pPr>
    </w:p>
    <w:p w14:paraId="41E4ABAF">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52D4E852">
      <w:pPr>
        <w:rPr>
          <w:rFonts w:hint="default" w:asciiTheme="majorEastAsia" w:hAnsiTheme="majorEastAsia" w:eastAsiaTheme="majorEastAsia" w:cstheme="majorEastAsia"/>
          <w:sz w:val="22"/>
          <w:szCs w:val="22"/>
          <w:highlight w:val="yellow"/>
          <w:lang w:val="en-US" w:eastAsia="zh-CN"/>
        </w:rPr>
      </w:pPr>
    </w:p>
    <w:p w14:paraId="1EBA84D7">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7ED3B1FD">
      <w:pPr>
        <w:pStyle w:val="6"/>
        <w:rPr>
          <w:rFonts w:eastAsia="宋体"/>
        </w:rPr>
      </w:pPr>
    </w:p>
    <w:p w14:paraId="3EE9D9E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3B51465">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43BCE8">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2B13E29">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6EBB5DA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E0A0978">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6BB10C6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E5F5181">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9CE7AC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A9BADEA">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40227B4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268A431">
      <w:pPr>
        <w:pStyle w:val="6"/>
      </w:pPr>
    </w:p>
    <w:p w14:paraId="20547785">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2564D118">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1E18A332">
      <w:pPr>
        <w:pStyle w:val="6"/>
      </w:pPr>
    </w:p>
    <w:p w14:paraId="1339601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BE53A7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649D3CC7">
      <w:pPr>
        <w:pStyle w:val="6"/>
      </w:pPr>
      <w:r>
        <w:rPr>
          <w:rFonts w:hint="eastAsia" w:hAnsi="宋体" w:eastAsia="宋体" w:cs="宋体"/>
          <w:b/>
          <w:bCs/>
          <w:color w:val="000000"/>
          <w:sz w:val="24"/>
          <w:szCs w:val="28"/>
          <w:highlight w:val="yellow"/>
        </w:rPr>
        <w:t>2.配套能力“供货类别”填“”，业务主管部门选择“”。</w:t>
      </w:r>
    </w:p>
    <w:p w14:paraId="39BF1441">
      <w:pPr>
        <w:pStyle w:val="6"/>
        <w:sectPr>
          <w:pgSz w:w="11906" w:h="16838"/>
          <w:pgMar w:top="1588" w:right="1418" w:bottom="1134" w:left="1418" w:header="851" w:footer="992" w:gutter="0"/>
          <w:cols w:space="720" w:num="1"/>
          <w:titlePg/>
          <w:docGrid w:type="lines" w:linePitch="312" w:charSpace="0"/>
        </w:sectPr>
      </w:pPr>
    </w:p>
    <w:p w14:paraId="345FF8CE">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4591C9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5499A19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871E9F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F23FBC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AEACE6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C74775F">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7A0C2C5">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0675A7EB">
      <w:pPr>
        <w:rPr>
          <w:rFonts w:hint="eastAsia"/>
        </w:rPr>
      </w:pPr>
    </w:p>
    <w:p w14:paraId="38006DB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0CAF80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69F058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33C3CC47">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9EAECCE">
      <w:pPr>
        <w:pStyle w:val="6"/>
      </w:pPr>
      <w:r>
        <w:rPr>
          <w:rFonts w:hint="eastAsia" w:hAnsi="宋体" w:eastAsia="宋体" w:cs="宋体"/>
          <w:color w:val="000000"/>
          <w:sz w:val="24"/>
          <w:szCs w:val="28"/>
          <w:highlight w:val="yellow"/>
        </w:rPr>
        <w:t>注意：系统内的投标报价单位为“万元”，如开标现场发现填错报价，即直接淘汰。</w:t>
      </w:r>
    </w:p>
    <w:p w14:paraId="0B3A8A8A">
      <w:pPr>
        <w:pStyle w:val="6"/>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5BED6A6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342F58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49B106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6A74D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7B92FAE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BEFE23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E99AAB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457F59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1FB4CC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D0BF3B6">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9A65D0E">
      <w:pPr>
        <w:pStyle w:val="6"/>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74122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A00133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1D38316">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089D4D5">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67797A16">
      <w:pPr>
        <w:pStyle w:val="6"/>
        <w:rPr>
          <w:rFonts w:hint="eastAsia" w:hAnsi="宋体" w:eastAsia="宋体" w:cs="Times New Roman"/>
          <w:b/>
          <w:color w:val="000000"/>
          <w:sz w:val="24"/>
          <w:szCs w:val="24"/>
        </w:rPr>
      </w:pPr>
    </w:p>
    <w:p w14:paraId="5129D0CC">
      <w:pPr>
        <w:pStyle w:val="6"/>
        <w:rPr>
          <w:rFonts w:hint="eastAsia" w:hAnsi="宋体" w:eastAsia="宋体" w:cs="Times New Roman"/>
          <w:b/>
          <w:color w:val="000000"/>
          <w:sz w:val="24"/>
          <w:szCs w:val="24"/>
        </w:rPr>
      </w:pPr>
    </w:p>
    <w:p w14:paraId="09D63BEF">
      <w:pPr>
        <w:pStyle w:val="6"/>
        <w:bidi w:val="0"/>
        <w:rPr>
          <w:rFonts w:hint="eastAsia"/>
        </w:rPr>
      </w:pPr>
    </w:p>
    <w:p w14:paraId="6AE5B976">
      <w:pPr>
        <w:pStyle w:val="6"/>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341BC1C8">
      <w:pPr>
        <w:pStyle w:val="6"/>
        <w:outlineLvl w:val="2"/>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49290" cy="2501265"/>
                    </a:xfrm>
                    <a:prstGeom prst="rect">
                      <a:avLst/>
                    </a:prstGeom>
                    <a:noFill/>
                    <a:ln>
                      <a:noFill/>
                    </a:ln>
                  </pic:spPr>
                </pic:pic>
              </a:graphicData>
            </a:graphic>
          </wp:inline>
        </w:drawing>
      </w:r>
    </w:p>
    <w:p w14:paraId="747E0D4C">
      <w:pPr>
        <w:pStyle w:val="6"/>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46750" cy="3303270"/>
                    </a:xfrm>
                    <a:prstGeom prst="rect">
                      <a:avLst/>
                    </a:prstGeom>
                    <a:noFill/>
                    <a:ln>
                      <a:noFill/>
                    </a:ln>
                  </pic:spPr>
                </pic:pic>
              </a:graphicData>
            </a:graphic>
          </wp:inline>
        </w:drawing>
      </w:r>
    </w:p>
    <w:p w14:paraId="6AEF790E">
      <w:pPr>
        <w:pStyle w:val="6"/>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742940" cy="2925445"/>
                    </a:xfrm>
                    <a:prstGeom prst="rect">
                      <a:avLst/>
                    </a:prstGeom>
                    <a:noFill/>
                    <a:ln>
                      <a:noFill/>
                    </a:ln>
                  </pic:spPr>
                </pic:pic>
              </a:graphicData>
            </a:graphic>
          </wp:inline>
        </w:drawing>
      </w:r>
    </w:p>
    <w:p w14:paraId="1CB716DF"/>
    <w:p w14:paraId="4F82DEC1">
      <w:pPr>
        <w:rPr>
          <w:rFonts w:hint="eastAsia"/>
        </w:rPr>
      </w:pPr>
    </w:p>
    <w:p w14:paraId="4131D1A4">
      <w:pPr>
        <w:rPr>
          <w:rFonts w:hint="eastAsia" w:ascii="仿宋_GB2312" w:hAnsi="仿宋_GB2312" w:eastAsia="仿宋_GB2312" w:cs="仿宋_GB2312"/>
        </w:rPr>
      </w:pPr>
    </w:p>
    <w:p w14:paraId="42B959F3">
      <w:pPr>
        <w:rPr>
          <w:rFonts w:hint="eastAsia" w:ascii="仿宋_GB2312" w:hAnsi="仿宋_GB2312" w:eastAsia="仿宋_GB2312" w:cs="仿宋_GB2312"/>
        </w:rPr>
      </w:pPr>
    </w:p>
    <w:p w14:paraId="0FCB89C6">
      <w:pPr>
        <w:rPr>
          <w:rFonts w:hint="eastAsia" w:ascii="仿宋_GB2312" w:hAnsi="仿宋_GB2312" w:eastAsia="仿宋_GB2312" w:cs="仿宋_GB2312"/>
        </w:rPr>
      </w:pPr>
    </w:p>
    <w:p w14:paraId="3D1838AF">
      <w:pPr>
        <w:jc w:val="both"/>
      </w:pPr>
    </w:p>
    <w:p w14:paraId="30E3B80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062B0FC5">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10738F6"/>
    <w:rsid w:val="04301453"/>
    <w:rsid w:val="08BE3DCE"/>
    <w:rsid w:val="098C2FDB"/>
    <w:rsid w:val="0A120796"/>
    <w:rsid w:val="0C682624"/>
    <w:rsid w:val="0FAC178F"/>
    <w:rsid w:val="104C3089"/>
    <w:rsid w:val="17525C24"/>
    <w:rsid w:val="1A5F0822"/>
    <w:rsid w:val="1AD47B4C"/>
    <w:rsid w:val="1CBE329F"/>
    <w:rsid w:val="25331BE5"/>
    <w:rsid w:val="27315D1D"/>
    <w:rsid w:val="283D5FEB"/>
    <w:rsid w:val="2F68699C"/>
    <w:rsid w:val="3D9C3B59"/>
    <w:rsid w:val="415E038C"/>
    <w:rsid w:val="44907102"/>
    <w:rsid w:val="47DD599F"/>
    <w:rsid w:val="48031288"/>
    <w:rsid w:val="48EF075C"/>
    <w:rsid w:val="4B7153F0"/>
    <w:rsid w:val="4E25790F"/>
    <w:rsid w:val="516923D4"/>
    <w:rsid w:val="536770A5"/>
    <w:rsid w:val="57BF3EB6"/>
    <w:rsid w:val="594B58EE"/>
    <w:rsid w:val="5A1223DE"/>
    <w:rsid w:val="64753845"/>
    <w:rsid w:val="66D60058"/>
    <w:rsid w:val="68C53F3C"/>
    <w:rsid w:val="6B0F2793"/>
    <w:rsid w:val="6C152603"/>
    <w:rsid w:val="77E571F5"/>
    <w:rsid w:val="7A5738E1"/>
    <w:rsid w:val="7A9B440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rPr>
      <w:rFonts w:ascii="仿宋_GB2312" w:eastAsia="仿宋_GB2312" w:hAnsiTheme="minorHAnsi" w:cstheme="minorBidi"/>
      <w:sz w:val="32"/>
      <w:szCs w:val="22"/>
    </w:r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6">
    <w:name w:val="Plain Text"/>
    <w:basedOn w:val="1"/>
    <w:qFormat/>
    <w:uiPriority w:val="0"/>
    <w:rPr>
      <w:rFonts w:ascii="宋体"/>
      <w:szCs w:val="20"/>
    </w:rPr>
  </w:style>
  <w:style w:type="paragraph" w:styleId="7">
    <w:name w:val="Balloon Text"/>
    <w:basedOn w:val="1"/>
    <w:qFormat/>
    <w:uiPriority w:val="99"/>
    <w:rPr>
      <w:sz w:val="18"/>
      <w:szCs w:val="18"/>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3118</Words>
  <Characters>3388</Characters>
  <Lines>0</Lines>
  <Paragraphs>0</Paragraphs>
  <TotalTime>18</TotalTime>
  <ScaleCrop>false</ScaleCrop>
  <LinksUpToDate>false</LinksUpToDate>
  <CharactersWithSpaces>3518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杨淑超</cp:lastModifiedBy>
  <dcterms:modified xsi:type="dcterms:W3CDTF">2026-06-04T00:47:38Z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eyJoZGlkIjoiZWRkMzBjZWNmNjY5ZmRlYTM1NDA3YmNkODVkNWNhM2YiLCJ1c2VySWQiOiIxNzY1NTI4OTg1In0=</vt:lpwstr>
  </property>
  <property fmtid="{D5CDD505-2E9C-101B-9397-08002B2CF9AE}" pid="4" name="ICV">
    <vt:lpwstr>36BA767B9B1647D78DB7367FAC05A487_13</vt:lpwstr>
  </property>
</Properties>
</file>