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commentsExtended.xml" ContentType="application/vnd.openxmlformats-officedocument.wordprocessingml.commentsExtended+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71979A">
      <w:pPr>
        <w:jc w:val="center"/>
        <w:rPr>
          <w:rFonts w:hint="eastAsia" w:ascii="宋体" w:hAnsi="宋体" w:eastAsia="宋体" w:cs="宋体"/>
          <w:color w:val="000000"/>
          <w:sz w:val="28"/>
          <w:szCs w:val="28"/>
        </w:rPr>
      </w:pPr>
    </w:p>
    <w:p w14:paraId="78C40E72">
      <w:pPr>
        <w:jc w:val="center"/>
        <w:rPr>
          <w:rFonts w:hint="eastAsia" w:ascii="宋体" w:hAnsi="宋体" w:eastAsia="宋体" w:cs="宋体"/>
          <w:color w:val="000000"/>
          <w:sz w:val="30"/>
          <w:szCs w:val="30"/>
        </w:rPr>
      </w:pPr>
    </w:p>
    <w:p w14:paraId="0946E20D">
      <w:pPr>
        <w:jc w:val="center"/>
        <w:rPr>
          <w:rFonts w:hint="eastAsia" w:ascii="宋体" w:hAnsi="宋体" w:eastAsia="宋体" w:cs="宋体"/>
          <w:color w:val="000000"/>
          <w:sz w:val="30"/>
          <w:szCs w:val="30"/>
        </w:rPr>
      </w:pPr>
    </w:p>
    <w:p w14:paraId="08327158">
      <w:pPr>
        <w:spacing w:line="880" w:lineRule="exact"/>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5AD28A21">
      <w:pPr>
        <w:jc w:val="center"/>
        <w:rPr>
          <w:rFonts w:hint="eastAsia" w:ascii="宋体" w:hAnsi="宋体" w:eastAsia="宋体" w:cs="宋体"/>
          <w:b/>
          <w:bCs/>
          <w:color w:val="000000"/>
          <w:spacing w:val="-8"/>
          <w:sz w:val="48"/>
          <w:szCs w:val="44"/>
        </w:rPr>
      </w:pPr>
      <w:r>
        <w:rPr>
          <w:rFonts w:hint="eastAsia" w:ascii="宋体" w:hAnsi="宋体" w:cs="宋体"/>
          <w:b/>
          <w:bCs/>
          <w:color w:val="000000"/>
          <w:spacing w:val="-8"/>
          <w:sz w:val="48"/>
          <w:szCs w:val="44"/>
          <w:lang w:val="en-US" w:eastAsia="zh-CN"/>
        </w:rPr>
        <w:t xml:space="preserve"> </w:t>
      </w:r>
    </w:p>
    <w:p w14:paraId="65F3C885">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 xml:space="preserve">招标项目 </w:t>
      </w:r>
      <w:bookmarkStart w:id="50" w:name="_GoBack"/>
      <w:bookmarkEnd w:id="50"/>
    </w:p>
    <w:p w14:paraId="16F1B1A4">
      <w:pPr>
        <w:jc w:val="center"/>
        <w:rPr>
          <w:rFonts w:hint="eastAsia" w:ascii="宋体" w:hAnsi="宋体" w:eastAsia="宋体" w:cs="宋体"/>
          <w:color w:val="000000"/>
          <w:sz w:val="28"/>
          <w:szCs w:val="28"/>
        </w:rPr>
      </w:pPr>
    </w:p>
    <w:p w14:paraId="2B587206">
      <w:pPr>
        <w:jc w:val="center"/>
        <w:rPr>
          <w:rFonts w:hint="eastAsia" w:ascii="宋体" w:hAnsi="宋体" w:eastAsia="宋体" w:cs="宋体"/>
          <w:color w:val="000000"/>
          <w:sz w:val="28"/>
          <w:szCs w:val="28"/>
        </w:rPr>
      </w:pPr>
    </w:p>
    <w:p w14:paraId="480C05C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7177D817">
      <w:pPr>
        <w:jc w:val="center"/>
        <w:rPr>
          <w:rFonts w:hint="eastAsia" w:ascii="宋体" w:hAnsi="宋体" w:eastAsia="宋体" w:cs="宋体"/>
          <w:color w:val="000000"/>
          <w:sz w:val="84"/>
          <w:szCs w:val="84"/>
        </w:rPr>
      </w:pPr>
    </w:p>
    <w:p w14:paraId="749DBFEC">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63927336">
      <w:pPr>
        <w:jc w:val="center"/>
        <w:rPr>
          <w:rFonts w:hint="eastAsia" w:ascii="宋体" w:hAnsi="宋体" w:eastAsia="宋体" w:cs="宋体"/>
          <w:color w:val="000000"/>
          <w:sz w:val="84"/>
          <w:szCs w:val="84"/>
        </w:rPr>
      </w:pPr>
    </w:p>
    <w:p w14:paraId="707F74AD">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4DDC34C3">
      <w:pPr>
        <w:jc w:val="center"/>
        <w:rPr>
          <w:rFonts w:hint="eastAsia" w:ascii="宋体" w:hAnsi="宋体" w:eastAsia="宋体" w:cs="宋体"/>
          <w:color w:val="000000"/>
          <w:sz w:val="28"/>
          <w:szCs w:val="28"/>
        </w:rPr>
      </w:pPr>
    </w:p>
    <w:p w14:paraId="353B0B89">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7D5F438">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highlight w:val="red"/>
        </w:rPr>
        <w:t>年</w:t>
      </w:r>
      <w:r>
        <w:rPr>
          <w:rFonts w:hint="eastAsia" w:ascii="宋体" w:hAnsi="宋体" w:cs="宋体"/>
          <w:color w:val="000000"/>
          <w:sz w:val="28"/>
          <w:szCs w:val="28"/>
          <w:highlight w:val="red"/>
          <w:lang w:val="en-US" w:eastAsia="zh-CN"/>
        </w:rPr>
        <w:t>5</w:t>
      </w:r>
      <w:r>
        <w:rPr>
          <w:rFonts w:hint="eastAsia" w:ascii="宋体" w:hAnsi="宋体" w:eastAsia="宋体" w:cs="宋体"/>
          <w:color w:val="000000"/>
          <w:sz w:val="28"/>
          <w:szCs w:val="28"/>
          <w:highlight w:val="red"/>
        </w:rPr>
        <w:t>月</w:t>
      </w:r>
    </w:p>
    <w:p w14:paraId="3287AEA0">
      <w:pPr>
        <w:jc w:val="center"/>
        <w:rPr>
          <w:rFonts w:hint="eastAsia" w:ascii="宋体" w:hAnsi="宋体" w:eastAsia="宋体" w:cs="宋体"/>
          <w:sz w:val="28"/>
          <w:szCs w:val="28"/>
        </w:rPr>
      </w:pPr>
    </w:p>
    <w:p w14:paraId="7AFCF9FC">
      <w:pPr>
        <w:pStyle w:val="60"/>
        <w:rPr>
          <w:rFonts w:hint="eastAsia" w:ascii="宋体" w:hAnsi="宋体" w:eastAsia="宋体" w:cs="宋体"/>
        </w:rPr>
      </w:pPr>
      <w:r>
        <w:rPr>
          <w:rFonts w:hint="eastAsia" w:ascii="宋体" w:hAnsi="宋体" w:eastAsia="宋体" w:cs="宋体"/>
        </w:rPr>
        <w:t>第一章  招标公告</w:t>
      </w:r>
    </w:p>
    <w:p w14:paraId="1296AE00">
      <w:pPr>
        <w:pStyle w:val="82"/>
        <w:rPr>
          <w:rFonts w:hint="eastAsia" w:ascii="宋体" w:hAnsi="宋体" w:eastAsia="宋体" w:cs="宋体"/>
        </w:rPr>
      </w:pPr>
      <w:r>
        <w:rPr>
          <w:rFonts w:hint="eastAsia" w:ascii="宋体" w:hAnsi="宋体" w:eastAsia="宋体" w:cs="宋体"/>
        </w:rPr>
        <w:t>一、项目名称</w:t>
      </w:r>
    </w:p>
    <w:p w14:paraId="348205FD">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lang w:val="en-US" w:eastAsia="zh-CN"/>
        </w:rPr>
        <w:t>可编程辅驱（小三电）模拟负载项目</w:t>
      </w:r>
    </w:p>
    <w:p w14:paraId="24DF4DE7">
      <w:pPr>
        <w:pStyle w:val="5"/>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highlight w:val="red"/>
          <w:lang w:val="en-US" w:eastAsia="zh-CN" w:bidi="ar-SA"/>
        </w:rPr>
      </w:pPr>
      <w:r>
        <w:rPr>
          <w:rFonts w:hint="eastAsia" w:ascii="宋体" w:hAnsi="宋体" w:eastAsia="宋体" w:cs="宋体"/>
          <w:b w:val="0"/>
          <w:bCs w:val="0"/>
          <w:color w:val="000000"/>
          <w:kern w:val="2"/>
          <w:sz w:val="24"/>
          <w:szCs w:val="24"/>
          <w:highlight w:val="red"/>
          <w:lang w:val="en-US" w:eastAsia="zh-CN" w:bidi="ar-SA"/>
        </w:rPr>
        <w:t>采购形式编号： ZBGL2026050244</w:t>
      </w:r>
    </w:p>
    <w:bookmarkEnd w:id="0"/>
    <w:p w14:paraId="2E5257B1">
      <w:pPr>
        <w:pStyle w:val="82"/>
        <w:rPr>
          <w:rFonts w:hint="eastAsia" w:ascii="宋体" w:hAnsi="宋体" w:eastAsia="宋体" w:cs="宋体"/>
        </w:rPr>
      </w:pPr>
      <w:r>
        <w:rPr>
          <w:rFonts w:hint="eastAsia" w:ascii="宋体" w:hAnsi="宋体" w:eastAsia="宋体" w:cs="宋体"/>
        </w:rPr>
        <w:t>二、招标内容及形式</w:t>
      </w:r>
    </w:p>
    <w:p w14:paraId="007DECB2">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1、招标内容：</w:t>
      </w:r>
      <w:r>
        <w:rPr>
          <w:rFonts w:hint="eastAsia" w:hAnsi="宋体" w:cs="宋体"/>
          <w:color w:val="000000"/>
          <w:sz w:val="24"/>
          <w:szCs w:val="24"/>
          <w:lang w:val="en-US" w:eastAsia="zh-CN"/>
        </w:rPr>
        <w:t>可编程辅驱（小三电）模拟负载</w:t>
      </w:r>
    </w:p>
    <w:p w14:paraId="3DD7B02B">
      <w:pPr>
        <w:pStyle w:val="17"/>
        <w:spacing w:line="360" w:lineRule="auto"/>
        <w:ind w:firstLine="480" w:firstLineChars="200"/>
        <w:rPr>
          <w:rFonts w:hint="default" w:ascii="宋体" w:hAnsi="宋体" w:eastAsia="宋体" w:cs="宋体"/>
          <w:b/>
          <w:color w:val="000000"/>
          <w:sz w:val="24"/>
          <w:szCs w:val="24"/>
          <w:lang w:val="en-US" w:eastAsia="zh-CN"/>
        </w:rPr>
      </w:pPr>
      <w:r>
        <w:rPr>
          <w:rFonts w:hint="eastAsia" w:ascii="宋体" w:hAnsi="宋体" w:eastAsia="宋体" w:cs="宋体"/>
          <w:color w:val="000000"/>
          <w:sz w:val="24"/>
          <w:szCs w:val="24"/>
        </w:rPr>
        <w:t>2、招标形式：</w:t>
      </w:r>
      <w:r>
        <w:rPr>
          <w:rFonts w:hint="eastAsia" w:hAnsi="宋体" w:cs="宋体"/>
          <w:color w:val="000000"/>
          <w:sz w:val="24"/>
          <w:szCs w:val="24"/>
          <w:lang w:val="en-US" w:eastAsia="zh-CN"/>
        </w:rPr>
        <w:t>公开招标</w:t>
      </w:r>
    </w:p>
    <w:p w14:paraId="372641FE">
      <w:pPr>
        <w:pStyle w:val="17"/>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73F902BA">
      <w:pPr>
        <w:pStyle w:val="82"/>
        <w:rPr>
          <w:rFonts w:hint="eastAsia" w:ascii="宋体" w:hAnsi="宋体" w:eastAsia="宋体" w:cs="宋体"/>
        </w:rPr>
      </w:pPr>
      <w:r>
        <w:rPr>
          <w:rFonts w:hint="eastAsia" w:ascii="宋体" w:hAnsi="宋体" w:eastAsia="宋体" w:cs="宋体"/>
        </w:rPr>
        <w:t>三、项目概况与招标范围</w:t>
      </w:r>
    </w:p>
    <w:p w14:paraId="2CDA715A">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1、项目名称：</w:t>
      </w:r>
      <w:r>
        <w:rPr>
          <w:rFonts w:hint="eastAsia" w:ascii="宋体" w:hAnsi="宋体" w:eastAsia="宋体" w:cs="宋体"/>
          <w:color w:val="000000"/>
          <w:sz w:val="24"/>
          <w:szCs w:val="24"/>
          <w:lang w:val="en-US" w:eastAsia="zh-CN"/>
        </w:rPr>
        <w:t>可编程辅驱（小三电）模拟负载项目</w:t>
      </w:r>
      <w:r>
        <w:rPr>
          <w:rFonts w:hint="eastAsia" w:ascii="宋体" w:hAnsi="宋体" w:eastAsia="宋体" w:cs="宋体"/>
          <w:color w:val="000000"/>
          <w:sz w:val="24"/>
          <w:szCs w:val="24"/>
        </w:rPr>
        <w:t>。</w:t>
      </w:r>
    </w:p>
    <w:p w14:paraId="3C35C938">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2、项目地点：济南市莱芜区口镇重汽工业园。</w:t>
      </w:r>
    </w:p>
    <w:p w14:paraId="637E5A8D">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4A9E52AE">
      <w:pPr>
        <w:pStyle w:val="80"/>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none"/>
          <w:u w:val="single"/>
        </w:rPr>
        <w:t>半年期商业汇票（包括银行承兑汇票和商业承兑汇票</w:t>
      </w:r>
      <w:r>
        <w:rPr>
          <w:rFonts w:hint="eastAsia" w:ascii="宋体" w:hAnsi="宋体" w:eastAsia="宋体" w:cs="宋体"/>
          <w:highlight w:val="none"/>
          <w:u w:val="single"/>
          <w:lang w:eastAsia="zh-CN"/>
        </w:rPr>
        <w:t>）</w:t>
      </w:r>
    </w:p>
    <w:p w14:paraId="50401F23">
      <w:pPr>
        <w:pStyle w:val="80"/>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4"/>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7"/>
        <w:gridCol w:w="1437"/>
        <w:gridCol w:w="4642"/>
        <w:gridCol w:w="1779"/>
      </w:tblGrid>
      <w:tr w14:paraId="4FBCB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3CF4763A">
            <w:pPr>
              <w:pStyle w:val="84"/>
              <w:rPr>
                <w:rFonts w:hint="eastAsia" w:ascii="宋体" w:hAnsi="宋体" w:eastAsia="宋体" w:cs="宋体"/>
                <w:b w:val="0"/>
              </w:rPr>
            </w:pPr>
            <w:r>
              <w:rPr>
                <w:rFonts w:hint="eastAsia" w:ascii="宋体" w:hAnsi="宋体" w:eastAsia="宋体" w:cs="宋体"/>
                <w:b w:val="0"/>
              </w:rPr>
              <w:t>表1：具体付款方式</w:t>
            </w:r>
          </w:p>
        </w:tc>
      </w:tr>
      <w:tr w14:paraId="672FC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tcBorders>
              <w:top w:val="single" w:color="auto" w:sz="4" w:space="0"/>
              <w:left w:val="single" w:color="auto" w:sz="4" w:space="0"/>
              <w:bottom w:val="single" w:color="auto" w:sz="4" w:space="0"/>
              <w:right w:val="single" w:color="auto" w:sz="4" w:space="0"/>
            </w:tcBorders>
          </w:tcPr>
          <w:p w14:paraId="6F2E2C99">
            <w:pPr>
              <w:pStyle w:val="84"/>
              <w:rPr>
                <w:rFonts w:hint="eastAsia" w:ascii="宋体" w:hAnsi="宋体" w:eastAsia="宋体" w:cs="宋体"/>
                <w:b w:val="0"/>
              </w:rPr>
            </w:pPr>
            <w:r>
              <w:rPr>
                <w:rFonts w:hint="eastAsia" w:ascii="宋体" w:hAnsi="宋体" w:eastAsia="宋体" w:cs="宋体"/>
                <w:b w:val="0"/>
              </w:rPr>
              <w:t>项目</w:t>
            </w:r>
          </w:p>
        </w:tc>
        <w:tc>
          <w:tcPr>
            <w:tcW w:w="773" w:type="pct"/>
            <w:tcBorders>
              <w:top w:val="single" w:color="auto" w:sz="4" w:space="0"/>
              <w:left w:val="single" w:color="auto" w:sz="4" w:space="0"/>
              <w:bottom w:val="single" w:color="auto" w:sz="4" w:space="0"/>
              <w:right w:val="single" w:color="auto" w:sz="4" w:space="0"/>
            </w:tcBorders>
          </w:tcPr>
          <w:p w14:paraId="7F4E5E51">
            <w:pPr>
              <w:pStyle w:val="84"/>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28A03371">
            <w:pPr>
              <w:pStyle w:val="84"/>
              <w:rPr>
                <w:rFonts w:hint="eastAsia" w:ascii="宋体" w:hAnsi="宋体" w:eastAsia="宋体" w:cs="宋体"/>
                <w:b w:val="0"/>
              </w:rPr>
            </w:pPr>
            <w:r>
              <w:rPr>
                <w:rFonts w:hint="eastAsia" w:ascii="宋体" w:hAnsi="宋体" w:eastAsia="宋体" w:cs="宋体"/>
                <w:b w:val="0"/>
              </w:rPr>
              <w:t>结算方式</w:t>
            </w:r>
          </w:p>
        </w:tc>
        <w:tc>
          <w:tcPr>
            <w:tcW w:w="955" w:type="pct"/>
            <w:tcBorders>
              <w:top w:val="single" w:color="auto" w:sz="4" w:space="0"/>
              <w:left w:val="single" w:color="auto" w:sz="4" w:space="0"/>
              <w:bottom w:val="single" w:color="auto" w:sz="4" w:space="0"/>
              <w:right w:val="single" w:color="auto" w:sz="4" w:space="0"/>
            </w:tcBorders>
          </w:tcPr>
          <w:p w14:paraId="2F9B4888">
            <w:pPr>
              <w:pStyle w:val="84"/>
              <w:rPr>
                <w:rFonts w:hint="eastAsia" w:ascii="宋体" w:hAnsi="宋体" w:eastAsia="宋体" w:cs="宋体"/>
                <w:b w:val="0"/>
              </w:rPr>
            </w:pPr>
            <w:r>
              <w:rPr>
                <w:rFonts w:hint="eastAsia" w:ascii="宋体" w:hAnsi="宋体" w:eastAsia="宋体" w:cs="宋体"/>
                <w:b w:val="0"/>
              </w:rPr>
              <w:t>比例</w:t>
            </w:r>
          </w:p>
        </w:tc>
      </w:tr>
      <w:tr w14:paraId="02B75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restart"/>
            <w:tcBorders>
              <w:top w:val="single" w:color="auto" w:sz="4" w:space="0"/>
              <w:left w:val="single" w:color="auto" w:sz="4" w:space="0"/>
              <w:right w:val="single" w:color="auto" w:sz="4" w:space="0"/>
            </w:tcBorders>
            <w:vAlign w:val="center"/>
          </w:tcPr>
          <w:p w14:paraId="01FF2AAC">
            <w:pPr>
              <w:pStyle w:val="84"/>
              <w:rPr>
                <w:rFonts w:hint="eastAsia" w:ascii="宋体" w:hAnsi="宋体" w:eastAsia="宋体" w:cs="宋体"/>
                <w:b w:val="0"/>
              </w:rPr>
            </w:pPr>
            <w:r>
              <w:rPr>
                <w:rFonts w:hint="eastAsia" w:ascii="宋体" w:hAnsi="宋体" w:eastAsia="宋体" w:cs="宋体"/>
                <w:b w:val="0"/>
                <w:lang w:val="en-US" w:eastAsia="zh-CN"/>
              </w:rPr>
              <w:t>可编程辅驱（小三电）模拟负载项目</w:t>
            </w:r>
          </w:p>
        </w:tc>
        <w:tc>
          <w:tcPr>
            <w:tcW w:w="773" w:type="pct"/>
            <w:vMerge w:val="restart"/>
            <w:tcBorders>
              <w:top w:val="single" w:color="auto" w:sz="4" w:space="0"/>
              <w:left w:val="single" w:color="auto" w:sz="4" w:space="0"/>
              <w:right w:val="single" w:color="auto" w:sz="4" w:space="0"/>
            </w:tcBorders>
            <w:vAlign w:val="center"/>
          </w:tcPr>
          <w:p w14:paraId="02DBB6EF">
            <w:pPr>
              <w:pStyle w:val="84"/>
              <w:jc w:val="center"/>
              <w:rPr>
                <w:rFonts w:hint="default" w:ascii="宋体" w:hAnsi="宋体" w:eastAsia="宋体" w:cs="宋体"/>
                <w:b w:val="0"/>
                <w:lang w:val="en-US" w:eastAsia="zh-CN"/>
              </w:rPr>
            </w:pPr>
            <w:r>
              <w:rPr>
                <w:rFonts w:hint="eastAsia" w:ascii="宋体" w:hAnsi="宋体" w:eastAsia="宋体" w:cs="宋体"/>
                <w:b w:val="0"/>
                <w:lang w:val="en-US" w:eastAsia="zh-CN"/>
              </w:rPr>
              <w:t>固定总价合同</w:t>
            </w:r>
          </w:p>
        </w:tc>
        <w:tc>
          <w:tcPr>
            <w:tcW w:w="2497" w:type="pct"/>
            <w:tcBorders>
              <w:top w:val="single" w:color="auto" w:sz="4" w:space="0"/>
              <w:left w:val="single" w:color="auto" w:sz="4" w:space="0"/>
              <w:bottom w:val="single" w:color="auto" w:sz="4" w:space="0"/>
              <w:right w:val="single" w:color="auto" w:sz="4" w:space="0"/>
            </w:tcBorders>
            <w:vAlign w:val="center"/>
          </w:tcPr>
          <w:p w14:paraId="6D12F33F">
            <w:pPr>
              <w:pStyle w:val="84"/>
              <w:jc w:val="center"/>
              <w:rPr>
                <w:rFonts w:hint="default" w:ascii="宋体" w:hAnsi="宋体" w:eastAsia="宋体" w:cs="宋体"/>
                <w:b w:val="0"/>
                <w:lang w:val="en-US"/>
              </w:rPr>
            </w:pPr>
            <w:r>
              <w:rPr>
                <w:rFonts w:hint="eastAsia" w:ascii="宋体" w:hAnsi="宋体" w:eastAsia="宋体" w:cs="宋体"/>
                <w:b w:val="0"/>
                <w:lang w:val="en-US" w:eastAsia="zh-CN"/>
              </w:rPr>
              <w:t>合同签订生效后</w:t>
            </w:r>
            <w:r>
              <w:rPr>
                <w:rFonts w:hint="default" w:ascii="宋体" w:hAnsi="宋体" w:eastAsia="宋体" w:cs="宋体"/>
                <w:b w:val="0"/>
                <w:lang w:val="en-US"/>
              </w:rPr>
              <w:t>支付预付款30%</w:t>
            </w:r>
          </w:p>
        </w:tc>
        <w:tc>
          <w:tcPr>
            <w:tcW w:w="955" w:type="pct"/>
            <w:tcBorders>
              <w:top w:val="single" w:color="auto" w:sz="4" w:space="0"/>
              <w:left w:val="single" w:color="auto" w:sz="4" w:space="0"/>
              <w:bottom w:val="single" w:color="auto" w:sz="4" w:space="0"/>
              <w:right w:val="single" w:color="auto" w:sz="4" w:space="0"/>
            </w:tcBorders>
            <w:vAlign w:val="center"/>
          </w:tcPr>
          <w:p w14:paraId="53371CA8">
            <w:pPr>
              <w:pStyle w:val="84"/>
              <w:jc w:val="center"/>
              <w:rPr>
                <w:rFonts w:hint="eastAsia" w:ascii="宋体" w:hAnsi="宋体" w:eastAsia="宋体" w:cs="宋体"/>
                <w:b w:val="0"/>
              </w:rPr>
            </w:pPr>
            <w:r>
              <w:rPr>
                <w:rFonts w:hint="eastAsia" w:ascii="宋体" w:hAnsi="宋体" w:eastAsia="宋体" w:cs="宋体"/>
                <w:b w:val="0"/>
                <w:lang w:val="en-US" w:eastAsia="zh-CN"/>
              </w:rPr>
              <w:t>30</w:t>
            </w:r>
            <w:r>
              <w:rPr>
                <w:rFonts w:hint="eastAsia" w:ascii="宋体" w:hAnsi="宋体" w:eastAsia="宋体" w:cs="宋体"/>
                <w:b w:val="0"/>
              </w:rPr>
              <w:t>%</w:t>
            </w:r>
          </w:p>
        </w:tc>
      </w:tr>
      <w:tr w14:paraId="558CB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right w:val="single" w:color="auto" w:sz="4" w:space="0"/>
            </w:tcBorders>
            <w:vAlign w:val="center"/>
          </w:tcPr>
          <w:p w14:paraId="1B0CC4AA">
            <w:pPr>
              <w:pStyle w:val="84"/>
              <w:rPr>
                <w:rFonts w:hint="eastAsia" w:ascii="宋体" w:hAnsi="宋体" w:eastAsia="宋体" w:cs="宋体"/>
                <w:b w:val="0"/>
                <w:lang w:val="en-US" w:eastAsia="zh-CN"/>
              </w:rPr>
            </w:pPr>
          </w:p>
        </w:tc>
        <w:tc>
          <w:tcPr>
            <w:tcW w:w="773" w:type="pct"/>
            <w:vMerge w:val="continue"/>
            <w:tcBorders>
              <w:left w:val="single" w:color="auto" w:sz="4" w:space="0"/>
              <w:right w:val="single" w:color="auto" w:sz="4" w:space="0"/>
            </w:tcBorders>
            <w:vAlign w:val="center"/>
          </w:tcPr>
          <w:p w14:paraId="0DE4B987">
            <w:pPr>
              <w:pStyle w:val="84"/>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4F551A0F">
            <w:pPr>
              <w:pStyle w:val="84"/>
              <w:jc w:val="center"/>
              <w:rPr>
                <w:rFonts w:hint="default" w:ascii="宋体" w:hAnsi="宋体" w:eastAsia="宋体" w:cs="宋体"/>
                <w:b w:val="0"/>
                <w:lang w:val="en-US"/>
              </w:rPr>
            </w:pPr>
            <w:r>
              <w:rPr>
                <w:rFonts w:hint="default" w:ascii="宋体" w:hAnsi="宋体" w:eastAsia="宋体" w:cs="宋体"/>
                <w:b w:val="0"/>
                <w:lang w:val="en-US"/>
              </w:rPr>
              <w:t>设备全部到货且验收合格后，中标人提交金额为合同价款60%的收据并提供合同价款70%的增值税专用发票（含复印件二份）</w:t>
            </w:r>
          </w:p>
        </w:tc>
        <w:tc>
          <w:tcPr>
            <w:tcW w:w="955" w:type="pct"/>
            <w:tcBorders>
              <w:top w:val="single" w:color="auto" w:sz="4" w:space="0"/>
              <w:left w:val="single" w:color="auto" w:sz="4" w:space="0"/>
              <w:bottom w:val="single" w:color="auto" w:sz="4" w:space="0"/>
              <w:right w:val="single" w:color="auto" w:sz="4" w:space="0"/>
            </w:tcBorders>
            <w:vAlign w:val="center"/>
          </w:tcPr>
          <w:p w14:paraId="42A5852F">
            <w:pPr>
              <w:pStyle w:val="84"/>
              <w:jc w:val="center"/>
              <w:rPr>
                <w:rFonts w:hint="default" w:ascii="宋体" w:hAnsi="宋体" w:eastAsia="宋体" w:cs="宋体"/>
                <w:b w:val="0"/>
                <w:lang w:val="en-US" w:eastAsia="zh-CN"/>
              </w:rPr>
            </w:pPr>
            <w:r>
              <w:rPr>
                <w:rFonts w:hint="eastAsia" w:ascii="宋体" w:hAnsi="宋体" w:eastAsia="宋体" w:cs="宋体"/>
                <w:b w:val="0"/>
                <w:lang w:val="en-US" w:eastAsia="zh-CN"/>
              </w:rPr>
              <w:t>60%</w:t>
            </w:r>
          </w:p>
        </w:tc>
      </w:tr>
      <w:tr w14:paraId="35F0E0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3" w:type="pct"/>
            <w:vMerge w:val="continue"/>
            <w:tcBorders>
              <w:left w:val="single" w:color="auto" w:sz="4" w:space="0"/>
              <w:bottom w:val="single" w:color="auto" w:sz="4" w:space="0"/>
              <w:right w:val="single" w:color="auto" w:sz="4" w:space="0"/>
            </w:tcBorders>
            <w:vAlign w:val="center"/>
          </w:tcPr>
          <w:p w14:paraId="0320B6EB">
            <w:pPr>
              <w:pStyle w:val="84"/>
              <w:rPr>
                <w:rFonts w:hint="eastAsia" w:ascii="宋体" w:hAnsi="宋体" w:eastAsia="宋体" w:cs="宋体"/>
                <w:b w:val="0"/>
                <w:lang w:val="en-US" w:eastAsia="zh-CN"/>
              </w:rPr>
            </w:pPr>
          </w:p>
        </w:tc>
        <w:tc>
          <w:tcPr>
            <w:tcW w:w="773" w:type="pct"/>
            <w:vMerge w:val="continue"/>
            <w:tcBorders>
              <w:left w:val="single" w:color="auto" w:sz="4" w:space="0"/>
              <w:bottom w:val="single" w:color="auto" w:sz="4" w:space="0"/>
              <w:right w:val="single" w:color="auto" w:sz="4" w:space="0"/>
            </w:tcBorders>
            <w:vAlign w:val="center"/>
          </w:tcPr>
          <w:p w14:paraId="018CFC45">
            <w:pPr>
              <w:pStyle w:val="84"/>
              <w:jc w:val="center"/>
              <w:rPr>
                <w:rFonts w:hint="eastAsia" w:ascii="宋体" w:hAnsi="宋体" w:eastAsia="宋体" w:cs="宋体"/>
                <w:b w:val="0"/>
                <w:lang w:val="en-US" w:eastAsia="zh-CN"/>
              </w:rPr>
            </w:pPr>
          </w:p>
        </w:tc>
        <w:tc>
          <w:tcPr>
            <w:tcW w:w="2497" w:type="pct"/>
            <w:tcBorders>
              <w:top w:val="single" w:color="auto" w:sz="4" w:space="0"/>
              <w:left w:val="single" w:color="auto" w:sz="4" w:space="0"/>
              <w:bottom w:val="single" w:color="auto" w:sz="4" w:space="0"/>
              <w:right w:val="single" w:color="auto" w:sz="4" w:space="0"/>
            </w:tcBorders>
            <w:vAlign w:val="center"/>
          </w:tcPr>
          <w:p w14:paraId="21AAF79A">
            <w:pPr>
              <w:pStyle w:val="84"/>
              <w:jc w:val="center"/>
              <w:rPr>
                <w:rFonts w:hint="default" w:ascii="宋体" w:hAnsi="宋体" w:eastAsia="宋体" w:cs="宋体"/>
                <w:b w:val="0"/>
                <w:lang w:val="en-US"/>
              </w:rPr>
            </w:pPr>
            <w:r>
              <w:rPr>
                <w:rFonts w:hint="default" w:ascii="宋体" w:hAnsi="宋体" w:eastAsia="宋体" w:cs="宋体"/>
                <w:b w:val="0"/>
                <w:lang w:val="en-US"/>
              </w:rPr>
              <w:t>合同总价款的10%作为本合同约定设备的质量保证金，质量保证金在质量保证期内不计利息。质保期届满后支付。</w:t>
            </w:r>
          </w:p>
        </w:tc>
        <w:tc>
          <w:tcPr>
            <w:tcW w:w="955" w:type="pct"/>
            <w:tcBorders>
              <w:top w:val="single" w:color="auto" w:sz="4" w:space="0"/>
              <w:left w:val="single" w:color="auto" w:sz="4" w:space="0"/>
              <w:bottom w:val="single" w:color="auto" w:sz="4" w:space="0"/>
              <w:right w:val="single" w:color="auto" w:sz="4" w:space="0"/>
            </w:tcBorders>
            <w:vAlign w:val="center"/>
          </w:tcPr>
          <w:p w14:paraId="2E1764E5">
            <w:pPr>
              <w:pStyle w:val="84"/>
              <w:jc w:val="center"/>
              <w:rPr>
                <w:rFonts w:hint="default" w:ascii="宋体" w:hAnsi="宋体" w:eastAsia="宋体" w:cs="宋体"/>
                <w:b w:val="0"/>
                <w:lang w:val="en-US" w:eastAsia="zh-CN"/>
              </w:rPr>
            </w:pPr>
            <w:r>
              <w:rPr>
                <w:rFonts w:hint="eastAsia" w:ascii="宋体" w:hAnsi="宋体" w:eastAsia="宋体" w:cs="宋体"/>
                <w:b w:val="0"/>
                <w:lang w:val="en-US" w:eastAsia="zh-CN"/>
              </w:rPr>
              <w:t>10%</w:t>
            </w:r>
          </w:p>
        </w:tc>
      </w:tr>
    </w:tbl>
    <w:p w14:paraId="2BA99FDF">
      <w:pPr>
        <w:pStyle w:val="82"/>
        <w:rPr>
          <w:rFonts w:hint="eastAsia" w:ascii="宋体" w:hAnsi="宋体" w:eastAsia="宋体" w:cs="宋体"/>
        </w:rPr>
      </w:pPr>
      <w:r>
        <w:rPr>
          <w:rFonts w:hint="eastAsia" w:ascii="宋体" w:hAnsi="宋体" w:eastAsia="宋体" w:cs="宋体"/>
        </w:rPr>
        <w:t>四、投标说明</w:t>
      </w:r>
    </w:p>
    <w:p w14:paraId="21445999">
      <w:pPr>
        <w:pStyle w:val="90"/>
        <w:ind w:firstLine="480"/>
        <w:rPr>
          <w:rFonts w:hint="eastAsia" w:ascii="宋体" w:hAnsi="宋体" w:eastAsia="宋体" w:cs="宋体"/>
        </w:rPr>
      </w:pPr>
      <w:r>
        <w:rPr>
          <w:rFonts w:hint="eastAsia" w:ascii="宋体" w:hAnsi="宋体" w:eastAsia="宋体" w:cs="宋体"/>
        </w:rPr>
        <w:t>1、报名方式</w:t>
      </w:r>
    </w:p>
    <w:p w14:paraId="7DCA7FF8">
      <w:pPr>
        <w:pStyle w:val="80"/>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617CF228">
      <w:pPr>
        <w:pStyle w:val="80"/>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705DD078">
      <w:pPr>
        <w:pStyle w:val="80"/>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08460A9B">
      <w:pPr>
        <w:pStyle w:val="80"/>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544EB0E9">
      <w:pPr>
        <w:pStyle w:val="80"/>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7FF3BCA8">
      <w:pPr>
        <w:pStyle w:val="80"/>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5E470009">
      <w:pPr>
        <w:pStyle w:val="80"/>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4B4F20BC">
      <w:pPr>
        <w:pStyle w:val="86"/>
        <w:ind w:firstLine="480"/>
        <w:rPr>
          <w:rFonts w:hint="eastAsia" w:ascii="宋体" w:hAnsi="宋体" w:eastAsia="宋体" w:cs="宋体"/>
        </w:rPr>
      </w:pPr>
      <w:r>
        <w:rPr>
          <w:rFonts w:hint="eastAsia" w:ascii="宋体" w:hAnsi="宋体" w:eastAsia="宋体" w:cs="宋体"/>
        </w:rPr>
        <w:t>2、投标条件</w:t>
      </w:r>
    </w:p>
    <w:p w14:paraId="2BCBA58D">
      <w:pPr>
        <w:pStyle w:val="17"/>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ascii="宋体" w:hAnsi="宋体" w:eastAsia="宋体" w:cs="宋体"/>
          <w:color w:val="000000"/>
          <w:sz w:val="24"/>
          <w:szCs w:val="24"/>
          <w:highlight w:val="yellow"/>
          <w:lang w:val="en-US" w:eastAsia="zh-CN"/>
        </w:rPr>
        <w:t>500</w:t>
      </w:r>
      <w:r>
        <w:rPr>
          <w:rFonts w:hint="eastAsia" w:ascii="宋体" w:hAnsi="宋体" w:eastAsia="宋体" w:cs="宋体"/>
          <w:color w:val="000000"/>
          <w:sz w:val="24"/>
          <w:szCs w:val="24"/>
          <w:highlight w:val="yellow"/>
        </w:rPr>
        <w:t>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none"/>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039CD256">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F8D05A2">
      <w:pPr>
        <w:pStyle w:val="17"/>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2F63D2D">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729212A5">
      <w:pPr>
        <w:pStyle w:val="1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val="en-US" w:eastAsia="zh-CN"/>
        </w:rPr>
        <w:t>（5）拟</w:t>
      </w:r>
      <w:r>
        <w:rPr>
          <w:rFonts w:hint="eastAsia" w:ascii="宋体" w:hAnsi="宋体" w:eastAsia="宋体" w:cs="宋体"/>
          <w:color w:val="000000"/>
          <w:sz w:val="24"/>
          <w:szCs w:val="24"/>
        </w:rPr>
        <w:t>投标人必须为具有生产资质的制造商，本项目不接受代理商或贸易商参与投标，且必须通过ISO9001、ISO14001等质量体系认证，环境管理体系认证和高新技术企业证（提供复印件并加盖公章）。</w:t>
      </w:r>
    </w:p>
    <w:p w14:paraId="6BA0B253">
      <w:pPr>
        <w:pStyle w:val="1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val="en-US" w:eastAsia="zh-CN"/>
        </w:rPr>
        <w:t>（6）拟</w:t>
      </w:r>
      <w:r>
        <w:rPr>
          <w:rFonts w:hint="eastAsia" w:ascii="宋体" w:hAnsi="宋体" w:eastAsia="宋体" w:cs="宋体"/>
          <w:color w:val="000000"/>
          <w:sz w:val="24"/>
          <w:szCs w:val="24"/>
        </w:rPr>
        <w:t>投标人信用记录良好，无失信被执行人记录、无采购违法、受行政处罚等行为。（提供在信用中国官网、中国政府采购网、中国执行信息公开网、国家税务总局网站的信息查询结果截屏，并加盖单位公章，做入投标文件中）。</w:t>
      </w:r>
    </w:p>
    <w:p w14:paraId="3E0FCA57">
      <w:pPr>
        <w:pStyle w:val="1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val="en-US" w:eastAsia="zh-CN"/>
        </w:rPr>
        <w:t>（7）</w:t>
      </w:r>
      <w:r>
        <w:rPr>
          <w:rFonts w:hint="eastAsia" w:ascii="宋体" w:hAnsi="宋体" w:eastAsia="宋体" w:cs="宋体"/>
          <w:color w:val="000000"/>
          <w:sz w:val="24"/>
          <w:szCs w:val="24"/>
        </w:rPr>
        <w:t>投标人在本项目所使用控制软件必须具备完全的自主知识产权，投标人需提供相关证明材料，包括软件的专利证书、著作权登记证明等，以证明其软件具备自主知识产权。</w:t>
      </w:r>
    </w:p>
    <w:p w14:paraId="759B013C">
      <w:pPr>
        <w:pStyle w:val="17"/>
        <w:spacing w:line="360" w:lineRule="auto"/>
        <w:ind w:firstLine="235" w:firstLineChars="98"/>
        <w:rPr>
          <w:rFonts w:hint="eastAsia" w:ascii="宋体" w:hAnsi="宋体" w:eastAsia="宋体" w:cs="宋体"/>
          <w:color w:val="000000"/>
          <w:sz w:val="24"/>
          <w:szCs w:val="24"/>
        </w:rPr>
      </w:pPr>
      <w:r>
        <w:rPr>
          <w:rFonts w:hint="eastAsia" w:hAnsi="宋体" w:cs="宋体"/>
          <w:color w:val="000000"/>
          <w:sz w:val="24"/>
          <w:szCs w:val="24"/>
          <w:lang w:val="en-US" w:eastAsia="zh-CN"/>
        </w:rPr>
        <w:t>（8）</w:t>
      </w:r>
      <w:r>
        <w:rPr>
          <w:rFonts w:hint="eastAsia" w:ascii="宋体" w:hAnsi="宋体" w:eastAsia="宋体" w:cs="宋体"/>
          <w:color w:val="000000"/>
          <w:sz w:val="24"/>
          <w:szCs w:val="24"/>
          <w:lang w:val="en-US" w:eastAsia="zh-CN"/>
        </w:rPr>
        <w:t>自挂网之日起以往3年时间内有向主机厂和新能源汽车相关企业成功交付使用的小三电模拟负载成熟案例。</w:t>
      </w:r>
    </w:p>
    <w:p w14:paraId="38D1D253">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9</w:t>
      </w:r>
      <w:r>
        <w:rPr>
          <w:rFonts w:hint="eastAsia" w:ascii="宋体" w:hAnsi="宋体" w:eastAsia="宋体" w:cs="宋体"/>
          <w:color w:val="000000"/>
          <w:sz w:val="24"/>
          <w:szCs w:val="24"/>
        </w:rPr>
        <w:t>）拟投标人不存在严重违规或被列入招标人“黑名单”的声明。</w:t>
      </w:r>
    </w:p>
    <w:p w14:paraId="5B69DF0A">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10</w:t>
      </w:r>
      <w:r>
        <w:rPr>
          <w:rFonts w:hint="eastAsia" w:ascii="宋体" w:hAnsi="宋体" w:eastAsia="宋体" w:cs="宋体"/>
          <w:color w:val="000000"/>
          <w:sz w:val="24"/>
          <w:szCs w:val="24"/>
        </w:rPr>
        <w:t>）拟投标人经审计的近三年的公司财务报表（资产负债表、损益表、现金流量表）未显示异常。</w:t>
      </w:r>
    </w:p>
    <w:p w14:paraId="4F9B2675">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11</w:t>
      </w:r>
      <w:r>
        <w:rPr>
          <w:rFonts w:hint="eastAsia" w:ascii="宋体" w:hAnsi="宋体" w:eastAsia="宋体" w:cs="宋体"/>
          <w:color w:val="000000"/>
          <w:sz w:val="24"/>
          <w:szCs w:val="24"/>
        </w:rPr>
        <w:t>）拟投标人有与本次招标内容相同或类似项目业绩，且近3年内无因服务不当而造成重大事故。</w:t>
      </w:r>
    </w:p>
    <w:p w14:paraId="1047208D">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12</w:t>
      </w:r>
      <w:r>
        <w:rPr>
          <w:rFonts w:hint="eastAsia" w:ascii="宋体" w:hAnsi="宋体" w:eastAsia="宋体" w:cs="宋体"/>
          <w:color w:val="000000"/>
          <w:sz w:val="24"/>
          <w:szCs w:val="24"/>
        </w:rPr>
        <w:t>）本项目不接受联合体投标。</w:t>
      </w:r>
    </w:p>
    <w:p w14:paraId="6C76EB1B">
      <w:pPr>
        <w:pStyle w:val="17"/>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w:t>
      </w:r>
      <w:r>
        <w:rPr>
          <w:rFonts w:hint="eastAsia" w:hAnsi="宋体" w:cs="宋体"/>
          <w:color w:val="000000"/>
          <w:sz w:val="24"/>
          <w:szCs w:val="24"/>
          <w:lang w:val="en-US" w:eastAsia="zh-CN"/>
        </w:rPr>
        <w:t>13</w:t>
      </w:r>
      <w:r>
        <w:rPr>
          <w:rFonts w:hint="eastAsia" w:ascii="宋体" w:hAnsi="宋体" w:eastAsia="宋体" w:cs="宋体"/>
          <w:color w:val="000000"/>
          <w:sz w:val="24"/>
          <w:szCs w:val="24"/>
        </w:rPr>
        <w:t>）本项目不接受代理商投标</w:t>
      </w:r>
    </w:p>
    <w:p w14:paraId="4700ACA0">
      <w:pPr>
        <w:pStyle w:val="17"/>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438BCBFD">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2CBDD3BC">
      <w:pPr>
        <w:pStyle w:val="17"/>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0E7F0793">
      <w:pPr>
        <w:pStyle w:val="80"/>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2E297C2F">
      <w:pPr>
        <w:pStyle w:val="86"/>
        <w:ind w:firstLine="480"/>
        <w:rPr>
          <w:rFonts w:hint="eastAsia" w:ascii="宋体" w:hAnsi="宋体" w:eastAsia="宋体" w:cs="宋体"/>
        </w:rPr>
      </w:pPr>
      <w:r>
        <w:rPr>
          <w:rFonts w:hint="eastAsia" w:ascii="宋体" w:hAnsi="宋体" w:eastAsia="宋体" w:cs="宋体"/>
        </w:rPr>
        <w:t>3、报价</w:t>
      </w:r>
    </w:p>
    <w:p w14:paraId="640C1954">
      <w:pPr>
        <w:pStyle w:val="17"/>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7F934B08">
      <w:pPr>
        <w:pStyle w:val="80"/>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1E413521">
      <w:pPr>
        <w:pStyle w:val="80"/>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720FA75A">
      <w:pPr>
        <w:pStyle w:val="90"/>
        <w:ind w:firstLine="480"/>
        <w:rPr>
          <w:rFonts w:hint="eastAsia" w:ascii="宋体" w:hAnsi="宋体" w:eastAsia="宋体" w:cs="宋体"/>
        </w:rPr>
      </w:pPr>
      <w:r>
        <w:rPr>
          <w:rFonts w:hint="eastAsia" w:ascii="宋体" w:hAnsi="宋体" w:eastAsia="宋体" w:cs="宋体"/>
        </w:rPr>
        <w:t>4、投标保证金</w:t>
      </w:r>
    </w:p>
    <w:p w14:paraId="193A784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提供2万元（或其他等值货币）的投标保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7DCC9B4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5CF28045">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4999BCAE">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22C7F3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14CD4ED1">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0E8A7F55">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72439C43">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7722E700">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0763E9D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5EFFB0E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0B0BDD6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7D5C136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20655951">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6185AFC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287066F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1364E29C">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825D718">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6A41253">
      <w:pPr>
        <w:pStyle w:val="86"/>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14138D70">
      <w:pPr>
        <w:pStyle w:val="80"/>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1D32FB54">
      <w:pPr>
        <w:pStyle w:val="86"/>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2417E03C">
      <w:pPr>
        <w:pStyle w:val="80"/>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C6A09ED">
      <w:pPr>
        <w:pStyle w:val="80"/>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0522D019">
      <w:pPr>
        <w:pStyle w:val="86"/>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428DB47F">
      <w:pPr>
        <w:ind w:firstLine="480" w:firstLineChars="200"/>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2B55B57D">
      <w:pPr>
        <w:pStyle w:val="80"/>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738E3C7B">
      <w:pPr>
        <w:pStyle w:val="80"/>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47A7D0B6">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4D6D921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40D57901">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5C91095B">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61941D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F040E6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5B2768A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47791126">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cs="宋体"/>
          <w:color w:val="000000"/>
          <w:sz w:val="24"/>
          <w:szCs w:val="24"/>
          <w:lang w:val="en-US" w:eastAsia="zh-CN"/>
        </w:rPr>
        <w:t>原厂</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5E6FE1D7">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E234FC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73EA04E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2A0B92D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2ADC798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4B1D608E">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4FF9A8A4">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5FAB4539">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046B4D90">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55654B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6F793EF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101997F">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386C88D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36E1D3E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79E12D50">
      <w:pPr>
        <w:pStyle w:val="80"/>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70D56B88">
      <w:pPr>
        <w:pStyle w:val="80"/>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73B4A375">
      <w:pPr>
        <w:pStyle w:val="80"/>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62C3CEBA">
      <w:pPr>
        <w:pStyle w:val="80"/>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997FCD6">
      <w:pPr>
        <w:pStyle w:val="80"/>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82450A2">
      <w:pPr>
        <w:pStyle w:val="80"/>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7D058B22">
      <w:pPr>
        <w:pStyle w:val="86"/>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026DB70E">
      <w:pPr>
        <w:pStyle w:val="80"/>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4911C29F">
      <w:pPr>
        <w:pStyle w:val="82"/>
        <w:rPr>
          <w:rFonts w:hint="eastAsia" w:ascii="宋体" w:hAnsi="宋体" w:eastAsia="宋体" w:cs="宋体"/>
        </w:rPr>
      </w:pPr>
      <w:r>
        <w:rPr>
          <w:rFonts w:hint="eastAsia" w:ascii="宋体" w:hAnsi="宋体" w:eastAsia="宋体" w:cs="宋体"/>
        </w:rPr>
        <w:t>五、议程安排</w:t>
      </w:r>
    </w:p>
    <w:p w14:paraId="202AF50E">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76367230">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w:t>
      </w:r>
      <w:r>
        <w:rPr>
          <w:rFonts w:hint="eastAsia" w:ascii="宋体" w:hAnsi="宋体" w:eastAsia="宋体" w:cs="宋体"/>
          <w:highlight w:val="red"/>
          <w:lang w:val="en-US" w:eastAsia="zh-CN"/>
        </w:rPr>
        <w:t>发标</w:t>
      </w:r>
      <w:r>
        <w:rPr>
          <w:rFonts w:hint="eastAsia" w:ascii="宋体" w:hAnsi="宋体" w:eastAsia="宋体" w:cs="宋体"/>
          <w:highlight w:val="red"/>
        </w:rPr>
        <w:t>时间：</w:t>
      </w:r>
      <w:r>
        <w:rPr>
          <w:rFonts w:hint="eastAsia" w:ascii="宋体" w:hAnsi="宋体" w:eastAsia="宋体" w:cs="宋体"/>
          <w:b w:val="0"/>
          <w:color w:val="auto"/>
          <w:highlight w:val="red"/>
        </w:rPr>
        <w:t>202</w:t>
      </w:r>
      <w:r>
        <w:rPr>
          <w:rFonts w:hint="eastAsia" w:ascii="宋体" w:hAnsi="宋体" w:eastAsia="宋体" w:cs="宋体"/>
          <w:b w:val="0"/>
          <w:color w:val="auto"/>
          <w:highlight w:val="red"/>
          <w:lang w:val="en-US" w:eastAsia="zh-CN"/>
        </w:rPr>
        <w:t>6</w:t>
      </w:r>
      <w:r>
        <w:rPr>
          <w:rFonts w:hint="eastAsia" w:ascii="宋体" w:hAnsi="宋体" w:eastAsia="宋体" w:cs="宋体"/>
          <w:b w:val="0"/>
          <w:color w:val="auto"/>
          <w:highlight w:val="red"/>
        </w:rPr>
        <w:t>年</w:t>
      </w:r>
      <w:r>
        <w:rPr>
          <w:rFonts w:hint="eastAsia" w:ascii="宋体" w:hAnsi="宋体" w:eastAsia="宋体" w:cs="宋体"/>
          <w:b w:val="0"/>
          <w:color w:val="auto"/>
          <w:highlight w:val="red"/>
          <w:lang w:val="en-US" w:eastAsia="zh-CN"/>
        </w:rPr>
        <w:t xml:space="preserve"> 5 </w:t>
      </w:r>
      <w:r>
        <w:rPr>
          <w:rFonts w:hint="eastAsia" w:ascii="宋体" w:hAnsi="宋体" w:eastAsia="宋体" w:cs="宋体"/>
          <w:b w:val="0"/>
          <w:color w:val="auto"/>
          <w:highlight w:val="red"/>
        </w:rPr>
        <w:t>月</w:t>
      </w:r>
      <w:r>
        <w:rPr>
          <w:rFonts w:hint="eastAsia" w:ascii="宋体" w:hAnsi="宋体" w:eastAsia="宋体" w:cs="宋体"/>
          <w:b w:val="0"/>
          <w:color w:val="auto"/>
          <w:highlight w:val="red"/>
          <w:lang w:val="en-US" w:eastAsia="zh-CN"/>
        </w:rPr>
        <w:t xml:space="preserve"> 26 </w:t>
      </w:r>
      <w:r>
        <w:rPr>
          <w:rFonts w:hint="eastAsia" w:ascii="宋体" w:hAnsi="宋体" w:eastAsia="宋体" w:cs="宋体"/>
          <w:b w:val="0"/>
          <w:color w:val="auto"/>
          <w:highlight w:val="red"/>
        </w:rPr>
        <w:t>日（周</w:t>
      </w:r>
      <w:r>
        <w:rPr>
          <w:rFonts w:hint="eastAsia" w:ascii="宋体" w:hAnsi="宋体" w:eastAsia="宋体" w:cs="宋体"/>
          <w:b w:val="0"/>
          <w:color w:val="auto"/>
          <w:highlight w:val="red"/>
          <w:lang w:val="en-US" w:eastAsia="zh-CN"/>
        </w:rPr>
        <w:t xml:space="preserve">二 </w:t>
      </w:r>
      <w:r>
        <w:rPr>
          <w:rFonts w:hint="eastAsia" w:ascii="宋体" w:hAnsi="宋体" w:eastAsia="宋体" w:cs="宋体"/>
          <w:b w:val="0"/>
          <w:color w:val="auto"/>
          <w:highlight w:val="red"/>
        </w:rPr>
        <w:t>）</w:t>
      </w:r>
    </w:p>
    <w:p w14:paraId="7F15C8E8">
      <w:pPr>
        <w:pStyle w:val="80"/>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w:t>
      </w:r>
      <w:r>
        <w:rPr>
          <w:rFonts w:hint="eastAsia" w:eastAsia="宋体" w:cs="宋体"/>
          <w:b/>
          <w:bCs/>
          <w:color w:val="000000"/>
          <w:kern w:val="2"/>
          <w:sz w:val="24"/>
          <w:szCs w:val="24"/>
          <w:lang w:val="en-US" w:eastAsia="zh-CN" w:bidi="ar-SA"/>
        </w:rPr>
        <w:t>2026  年 6 月 1 日（周一  ）17:00:00（时间精确到秒）</w:t>
      </w:r>
    </w:p>
    <w:p w14:paraId="4AAF7649">
      <w:pPr>
        <w:pStyle w:val="80"/>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w:t>
      </w:r>
      <w:r>
        <w:rPr>
          <w:rFonts w:hint="eastAsia" w:eastAsia="宋体" w:cs="宋体"/>
          <w:b/>
          <w:bCs/>
          <w:color w:val="000000"/>
          <w:kern w:val="2"/>
          <w:sz w:val="24"/>
          <w:szCs w:val="24"/>
          <w:lang w:val="en-US" w:eastAsia="zh-CN" w:bidi="ar-SA"/>
        </w:rPr>
        <w:t>2026  年 6 月 8 日（周一  ）9:00:00（时间精确到秒）</w:t>
      </w:r>
    </w:p>
    <w:p w14:paraId="3563BED0">
      <w:pPr>
        <w:pStyle w:val="86"/>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2、发布招标方式：本次招标公告在中国重汽官方网站、山东省阳光采购服务平台、中国重汽</w:t>
      </w:r>
      <w:r>
        <w:rPr>
          <w:rFonts w:hint="eastAsia" w:ascii="宋体" w:hAnsi="宋体" w:eastAsia="宋体" w:cs="宋体"/>
          <w:lang w:val="en-US" w:eastAsia="zh-CN"/>
        </w:rPr>
        <w:t>E采通平台</w:t>
      </w:r>
      <w:r>
        <w:rPr>
          <w:rFonts w:hint="eastAsia" w:ascii="宋体" w:hAnsi="宋体" w:eastAsia="宋体" w:cs="宋体"/>
        </w:rPr>
        <w:t>发布。</w:t>
      </w:r>
    </w:p>
    <w:p w14:paraId="777DE776">
      <w:pPr>
        <w:pStyle w:val="8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75AF90F7">
      <w:pPr>
        <w:pStyle w:val="80"/>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30BAF166">
      <w:pPr>
        <w:pStyle w:val="86"/>
        <w:ind w:firstLine="480"/>
        <w:rPr>
          <w:rFonts w:hint="eastAsia" w:ascii="宋体" w:hAnsi="宋体" w:eastAsia="宋体" w:cs="宋体"/>
        </w:rPr>
      </w:pPr>
      <w:r>
        <w:rPr>
          <w:rFonts w:hint="eastAsia" w:ascii="宋体" w:hAnsi="宋体" w:eastAsia="宋体" w:cs="宋体"/>
        </w:rPr>
        <w:t>4、技术答疑</w:t>
      </w:r>
    </w:p>
    <w:p w14:paraId="4DCD844B">
      <w:pPr>
        <w:pStyle w:val="80"/>
        <w:ind w:firstLine="480"/>
        <w:rPr>
          <w:rFonts w:hint="eastAsia" w:ascii="宋体" w:hAnsi="宋体" w:eastAsia="宋体" w:cs="宋体"/>
        </w:rPr>
      </w:pPr>
      <w:r>
        <w:rPr>
          <w:rFonts w:hint="eastAsia" w:ascii="宋体" w:hAnsi="宋体" w:eastAsia="宋体" w:cs="宋体"/>
        </w:rPr>
        <w:t>答疑时间：截止至202</w:t>
      </w:r>
      <w:r>
        <w:rPr>
          <w:rFonts w:hint="eastAsia" w:eastAsia="宋体" w:cs="宋体"/>
          <w:lang w:val="en-US" w:eastAsia="zh-CN"/>
        </w:rPr>
        <w:t>6</w:t>
      </w:r>
      <w:r>
        <w:rPr>
          <w:rFonts w:hint="eastAsia" w:ascii="宋体" w:hAnsi="宋体" w:eastAsia="宋体" w:cs="宋体"/>
        </w:rPr>
        <w:t>年</w:t>
      </w:r>
      <w:r>
        <w:rPr>
          <w:rFonts w:hint="eastAsia" w:eastAsia="宋体" w:cs="宋体"/>
          <w:bCs/>
          <w:lang w:val="en-US" w:eastAsia="zh-CN"/>
        </w:rPr>
        <w:t>6</w:t>
      </w:r>
      <w:r>
        <w:rPr>
          <w:rFonts w:hint="eastAsia" w:ascii="宋体" w:hAnsi="宋体" w:eastAsia="宋体" w:cs="宋体"/>
          <w:bCs/>
        </w:rPr>
        <w:t>月</w:t>
      </w:r>
      <w:r>
        <w:rPr>
          <w:rFonts w:hint="eastAsia" w:eastAsia="宋体" w:cs="宋体"/>
          <w:bCs/>
          <w:lang w:val="en-US" w:eastAsia="zh-CN"/>
        </w:rPr>
        <w:t>5</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）下午17点前，逾期不受理</w:t>
      </w:r>
    </w:p>
    <w:p w14:paraId="44157C43">
      <w:pPr>
        <w:pStyle w:val="80"/>
        <w:ind w:firstLine="480"/>
        <w:rPr>
          <w:rFonts w:hint="eastAsia" w:ascii="宋体" w:hAnsi="宋体" w:eastAsia="宋体" w:cs="宋体"/>
        </w:rPr>
      </w:pPr>
      <w:r>
        <w:rPr>
          <w:rFonts w:hint="eastAsia" w:ascii="宋体" w:hAnsi="宋体" w:eastAsia="宋体" w:cs="宋体"/>
        </w:rPr>
        <w:t>答疑方式：书面及邮件</w:t>
      </w:r>
    </w:p>
    <w:p w14:paraId="7AB2B8DD">
      <w:pPr>
        <w:pStyle w:val="80"/>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val="en-US" w:eastAsia="zh-CN"/>
        </w:rPr>
        <w:t>于长悦；</w:t>
      </w:r>
    </w:p>
    <w:p w14:paraId="221975F8">
      <w:pPr>
        <w:pStyle w:val="80"/>
        <w:ind w:firstLine="480"/>
        <w:rPr>
          <w:rFonts w:hint="default"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 19588971996；17860605079</w:t>
      </w:r>
    </w:p>
    <w:p w14:paraId="541A09B4">
      <w:pPr>
        <w:pStyle w:val="80"/>
        <w:ind w:firstLine="480"/>
        <w:rPr>
          <w:rFonts w:hint="default" w:ascii="宋体" w:hAnsi="宋体" w:eastAsia="宋体" w:cs="宋体"/>
          <w:lang w:val="en-US"/>
        </w:rPr>
      </w:pPr>
      <w:r>
        <w:rPr>
          <w:rFonts w:hint="eastAsia" w:ascii="宋体" w:hAnsi="宋体" w:eastAsia="宋体" w:cs="宋体"/>
        </w:rPr>
        <w:t>邮    箱：</w:t>
      </w:r>
      <w:r>
        <w:rPr>
          <w:rFonts w:hint="eastAsia" w:eastAsia="宋体" w:cs="宋体"/>
          <w:lang w:val="en-US" w:eastAsia="zh-CN"/>
        </w:rPr>
        <w:t xml:space="preserve"> yuchangyue@sinotruk.com</w:t>
      </w:r>
    </w:p>
    <w:p w14:paraId="45A859CB">
      <w:pPr>
        <w:pStyle w:val="86"/>
        <w:ind w:firstLine="480"/>
        <w:rPr>
          <w:rFonts w:hint="eastAsia" w:ascii="宋体" w:hAnsi="宋体" w:eastAsia="宋体" w:cs="宋体"/>
        </w:rPr>
      </w:pPr>
      <w:r>
        <w:rPr>
          <w:rFonts w:hint="eastAsia" w:ascii="宋体" w:hAnsi="宋体" w:eastAsia="宋体" w:cs="宋体"/>
        </w:rPr>
        <w:t>5、商务答疑</w:t>
      </w:r>
    </w:p>
    <w:p w14:paraId="25143CA3">
      <w:pPr>
        <w:pStyle w:val="80"/>
        <w:ind w:firstLine="480"/>
        <w:rPr>
          <w:rFonts w:hint="eastAsia" w:ascii="宋体" w:hAnsi="宋体" w:eastAsia="宋体" w:cs="宋体"/>
          <w:highlight w:val="yellow"/>
          <w:lang w:val="en-US" w:eastAsia="zh-CN"/>
        </w:rPr>
      </w:pPr>
      <w:r>
        <w:rPr>
          <w:rFonts w:hint="eastAsia" w:ascii="宋体" w:hAnsi="宋体" w:eastAsia="宋体" w:cs="宋体"/>
          <w:highlight w:val="yellow"/>
        </w:rPr>
        <w:t>答疑方式：</w:t>
      </w:r>
      <w:r>
        <w:rPr>
          <w:rFonts w:hint="eastAsia" w:eastAsia="宋体" w:cs="宋体"/>
          <w:highlight w:val="yellow"/>
          <w:lang w:val="en-US" w:eastAsia="zh-CN"/>
        </w:rPr>
        <w:t>电话</w:t>
      </w:r>
    </w:p>
    <w:p w14:paraId="10A12905">
      <w:pPr>
        <w:pStyle w:val="80"/>
        <w:ind w:firstLine="480"/>
        <w:rPr>
          <w:rFonts w:hint="eastAsia" w:ascii="宋体" w:hAnsi="宋体" w:eastAsia="宋体" w:cs="宋体"/>
          <w:highlight w:val="yellow"/>
          <w:lang w:val="en-US" w:eastAsia="zh-CN"/>
        </w:rPr>
      </w:pPr>
      <w:r>
        <w:rPr>
          <w:rFonts w:hint="eastAsia" w:ascii="宋体" w:hAnsi="宋体" w:eastAsia="宋体" w:cs="宋体"/>
          <w:highlight w:val="yellow"/>
        </w:rPr>
        <w:t>联系人：</w:t>
      </w:r>
      <w:r>
        <w:rPr>
          <w:rFonts w:hint="eastAsia" w:eastAsia="宋体" w:cs="宋体"/>
          <w:highlight w:val="yellow"/>
          <w:lang w:val="en-US" w:eastAsia="zh-CN"/>
        </w:rPr>
        <w:t>李帅威</w:t>
      </w:r>
    </w:p>
    <w:p w14:paraId="539486C2">
      <w:pPr>
        <w:pStyle w:val="80"/>
        <w:ind w:firstLine="480"/>
        <w:rPr>
          <w:rFonts w:hint="eastAsia" w:ascii="宋体" w:hAnsi="宋体" w:eastAsia="宋体" w:cs="宋体"/>
          <w:highlight w:val="yellow"/>
        </w:rPr>
      </w:pPr>
      <w:r>
        <w:rPr>
          <w:rFonts w:hint="eastAsia" w:ascii="宋体" w:hAnsi="宋体" w:eastAsia="宋体" w:cs="宋体"/>
          <w:highlight w:val="yellow"/>
        </w:rPr>
        <w:t>电话：</w:t>
      </w:r>
      <w:r>
        <w:rPr>
          <w:rFonts w:hint="eastAsia" w:eastAsia="宋体" w:cs="宋体"/>
          <w:highlight w:val="yellow"/>
          <w:lang w:val="en-US" w:eastAsia="zh-CN"/>
        </w:rPr>
        <w:t>17860605079</w:t>
      </w:r>
    </w:p>
    <w:p w14:paraId="7A6B81B8">
      <w:pPr>
        <w:pStyle w:val="86"/>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7C632548">
      <w:pPr>
        <w:pStyle w:val="82"/>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4ACE10D0">
      <w:pPr>
        <w:pStyle w:val="86"/>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w:t>
      </w:r>
      <w:r>
        <w:rPr>
          <w:rFonts w:hint="eastAsia" w:ascii="宋体" w:hAnsi="宋体" w:eastAsia="宋体" w:cs="宋体"/>
          <w:highlight w:val="yellow"/>
        </w:rPr>
        <w:t>开标</w:t>
      </w:r>
      <w:r>
        <w:rPr>
          <w:rFonts w:hint="eastAsia" w:ascii="宋体" w:hAnsi="宋体" w:eastAsia="宋体" w:cs="宋体"/>
          <w:highlight w:val="yellow"/>
          <w:lang w:val="en-US" w:eastAsia="zh-CN"/>
        </w:rPr>
        <w:t>时间安排</w:t>
      </w:r>
    </w:p>
    <w:p w14:paraId="12439CE6">
      <w:pPr>
        <w:pStyle w:val="17"/>
        <w:pageBreakBefore w:val="0"/>
        <w:widowControl w:val="0"/>
        <w:kinsoku/>
        <w:wordWrap/>
        <w:overflowPunct/>
        <w:topLinePunct w:val="0"/>
        <w:autoSpaceDE/>
        <w:autoSpaceDN/>
        <w:bidi w:val="0"/>
        <w:adjustRightInd/>
        <w:snapToGrid/>
        <w:spacing w:line="360" w:lineRule="auto"/>
        <w:ind w:firstLine="482" w:firstLineChars="200"/>
        <w:textAlignment w:val="auto"/>
        <w:rPr>
          <w:rFonts w:hint="eastAsia" w:ascii="宋体" w:hAnsi="宋体" w:eastAsia="宋体" w:cs="宋体"/>
          <w:color w:val="000000"/>
          <w:sz w:val="24"/>
          <w:szCs w:val="24"/>
        </w:rPr>
      </w:pPr>
      <w:r>
        <w:rPr>
          <w:rFonts w:hint="eastAsia" w:eastAsia="宋体" w:cs="宋体"/>
          <w:b/>
          <w:bCs/>
          <w:color w:val="000000"/>
          <w:kern w:val="2"/>
          <w:sz w:val="24"/>
          <w:szCs w:val="24"/>
          <w:lang w:val="en-US" w:eastAsia="zh-CN" w:bidi="ar-SA"/>
        </w:rPr>
        <w:t xml:space="preserve">2026  年 6 月 </w:t>
      </w:r>
      <w:r>
        <w:rPr>
          <w:rFonts w:hint="eastAsia" w:cs="宋体"/>
          <w:b/>
          <w:bCs/>
          <w:color w:val="000000"/>
          <w:kern w:val="2"/>
          <w:sz w:val="24"/>
          <w:szCs w:val="24"/>
          <w:lang w:val="en-US" w:eastAsia="zh-CN" w:bidi="ar-SA"/>
        </w:rPr>
        <w:t>8</w:t>
      </w:r>
      <w:r>
        <w:rPr>
          <w:rFonts w:hint="eastAsia" w:eastAsia="宋体" w:cs="宋体"/>
          <w:b/>
          <w:bCs/>
          <w:color w:val="000000"/>
          <w:kern w:val="2"/>
          <w:sz w:val="24"/>
          <w:szCs w:val="24"/>
          <w:lang w:val="en-US" w:eastAsia="zh-CN" w:bidi="ar-SA"/>
        </w:rPr>
        <w:t xml:space="preserve"> 日（周一</w:t>
      </w:r>
      <w:r>
        <w:rPr>
          <w:rFonts w:hint="eastAsia" w:cs="宋体"/>
          <w:b/>
          <w:bCs/>
          <w:color w:val="000000"/>
          <w:kern w:val="2"/>
          <w:sz w:val="24"/>
          <w:szCs w:val="24"/>
          <w:lang w:val="en-US" w:eastAsia="zh-CN" w:bidi="ar-SA"/>
        </w:rPr>
        <w:t>）9点</w:t>
      </w:r>
      <w:r>
        <w:rPr>
          <w:rFonts w:hint="eastAsia" w:ascii="宋体" w:hAnsi="宋体" w:eastAsia="宋体" w:cs="宋体"/>
          <w:color w:val="000000"/>
          <w:sz w:val="24"/>
          <w:szCs w:val="24"/>
        </w:rPr>
        <w:t>若有变动另行通知。</w:t>
      </w:r>
    </w:p>
    <w:p w14:paraId="0FC8C3EE">
      <w:pPr>
        <w:pStyle w:val="86"/>
        <w:ind w:firstLine="480"/>
        <w:rPr>
          <w:rFonts w:hint="eastAsia" w:ascii="宋体" w:hAnsi="宋体" w:eastAsia="宋体" w:cs="宋体"/>
        </w:rPr>
      </w:pPr>
      <w:r>
        <w:rPr>
          <w:rFonts w:hint="eastAsia" w:ascii="宋体" w:hAnsi="宋体" w:eastAsia="宋体" w:cs="宋体"/>
        </w:rPr>
        <w:t>8、开标方式</w:t>
      </w:r>
    </w:p>
    <w:p w14:paraId="465006A0">
      <w:pPr>
        <w:pStyle w:val="17"/>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44398E65">
      <w:pPr>
        <w:pStyle w:val="17"/>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753FAF52">
      <w:pPr>
        <w:pStyle w:val="86"/>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4AFD4F97">
      <w:pPr>
        <w:pStyle w:val="80"/>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769960A8">
      <w:pPr>
        <w:pStyle w:val="80"/>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31CA3C8D">
      <w:pPr>
        <w:pStyle w:val="17"/>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541A6842">
      <w:pPr>
        <w:pStyle w:val="82"/>
        <w:rPr>
          <w:rFonts w:hint="eastAsia" w:ascii="宋体" w:hAnsi="宋体" w:eastAsia="宋体" w:cs="宋体"/>
        </w:rPr>
      </w:pPr>
      <w:r>
        <w:rPr>
          <w:rFonts w:hint="eastAsia" w:ascii="宋体" w:hAnsi="宋体" w:eastAsia="宋体" w:cs="宋体"/>
        </w:rPr>
        <w:t>六、评标规则</w:t>
      </w:r>
    </w:p>
    <w:p w14:paraId="2E0C7A6B">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4BBAA74F">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0AEB7FF2">
      <w:pPr>
        <w:pStyle w:val="80"/>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2FB1CE54">
      <w:pPr>
        <w:pStyle w:val="17"/>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2CD1889F">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38C53F6">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3C237492">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03A15E3B">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5E072015">
      <w:pPr>
        <w:numPr>
          <w:ilvl w:val="0"/>
          <w:numId w:val="5"/>
        </w:numPr>
        <w:spacing w:line="420" w:lineRule="exact"/>
        <w:rPr>
          <w:rFonts w:hint="eastAsia" w:ascii="宋体" w:hAnsi="宋体" w:eastAsia="宋体" w:cs="宋体"/>
          <w:b/>
          <w:bCs/>
          <w:sz w:val="24"/>
          <w:szCs w:val="24"/>
          <w:highlight w:val="yellow"/>
        </w:rPr>
      </w:pPr>
      <w:r>
        <w:rPr>
          <w:rFonts w:hint="eastAsia" w:ascii="宋体" w:hAnsi="宋体" w:eastAsia="宋体" w:cs="宋体"/>
          <w:b/>
          <w:sz w:val="24"/>
          <w:szCs w:val="24"/>
          <w:lang w:val="en-US" w:eastAsia="zh-CN"/>
        </w:rPr>
        <w:t>专家组评标</w:t>
      </w:r>
      <w:r>
        <w:rPr>
          <w:rFonts w:hint="eastAsia" w:ascii="宋体" w:hAnsi="宋体" w:eastAsia="宋体" w:cs="宋体"/>
          <w:b/>
          <w:sz w:val="24"/>
          <w:szCs w:val="24"/>
          <w:lang w:eastAsia="zh-CN"/>
        </w:rPr>
        <w:t>：评标小组</w:t>
      </w:r>
      <w:r>
        <w:rPr>
          <w:rFonts w:hint="eastAsia" w:ascii="宋体" w:hAnsi="宋体" w:eastAsia="宋体" w:cs="宋体"/>
          <w:b/>
          <w:sz w:val="24"/>
          <w:szCs w:val="24"/>
          <w:lang w:val="en-US" w:eastAsia="zh-CN"/>
        </w:rPr>
        <w:t>对各家投标单位的技术进行评审并进行技术标评分，</w:t>
      </w:r>
      <w:r>
        <w:rPr>
          <w:rFonts w:hint="eastAsia" w:ascii="宋体" w:hAnsi="宋体" w:eastAsia="宋体" w:cs="宋体"/>
          <w:b/>
          <w:sz w:val="24"/>
          <w:szCs w:val="24"/>
          <w:highlight w:val="yellow"/>
        </w:rPr>
        <w:t>具体</w:t>
      </w:r>
      <w:r>
        <w:rPr>
          <w:rFonts w:hint="eastAsia" w:ascii="宋体" w:hAnsi="宋体" w:eastAsia="宋体" w:cs="宋体"/>
          <w:b/>
          <w:bCs/>
          <w:color w:val="000000"/>
          <w:sz w:val="24"/>
          <w:szCs w:val="24"/>
          <w:highlight w:val="yellow"/>
        </w:rPr>
        <w:t>技术标评分标准见</w:t>
      </w:r>
      <w:r>
        <w:rPr>
          <w:rFonts w:hint="eastAsia" w:ascii="宋体" w:hAnsi="宋体" w:eastAsia="宋体" w:cs="宋体"/>
          <w:b/>
          <w:bCs/>
          <w:color w:val="000000"/>
          <w:sz w:val="24"/>
          <w:szCs w:val="24"/>
          <w:highlight w:val="yellow"/>
          <w:lang w:eastAsia="zh-CN"/>
        </w:rPr>
        <w:t>附件14</w:t>
      </w:r>
      <w:r>
        <w:rPr>
          <w:rFonts w:hint="eastAsia" w:ascii="宋体" w:hAnsi="宋体" w:eastAsia="宋体" w:cs="宋体"/>
          <w:b/>
          <w:bCs/>
          <w:color w:val="000000"/>
          <w:sz w:val="24"/>
          <w:szCs w:val="24"/>
          <w:highlight w:val="yellow"/>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lang w:eastAsia="zh-CN"/>
        </w:rPr>
        <w:t>在</w:t>
      </w:r>
      <w:r>
        <w:rPr>
          <w:rFonts w:ascii="宋体" w:hAnsi="宋体" w:eastAsia="宋体" w:cs="宋体"/>
          <w:b/>
          <w:bCs/>
          <w:sz w:val="24"/>
          <w:szCs w:val="24"/>
          <w:highlight w:val="yellow"/>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yellow"/>
          <w:lang w:eastAsia="zh-CN"/>
        </w:rPr>
        <w:t>综合评标法</w:t>
      </w:r>
      <w:r>
        <w:rPr>
          <w:rFonts w:ascii="宋体" w:hAnsi="宋体" w:eastAsia="宋体" w:cs="宋体"/>
          <w:b/>
          <w:bCs/>
          <w:sz w:val="24"/>
          <w:szCs w:val="24"/>
          <w:highlight w:val="yellow"/>
        </w:rPr>
        <w:t>推荐中标人，对未入围候选中标人不做任何解释。</w:t>
      </w:r>
    </w:p>
    <w:p w14:paraId="24010C65">
      <w:pPr>
        <w:pStyle w:val="5"/>
        <w:ind w:firstLine="482" w:firstLineChars="200"/>
        <w:rPr>
          <w:rFonts w:hint="eastAsia" w:ascii="宋体" w:hAnsi="宋体" w:eastAsia="宋体" w:cs="宋体"/>
          <w:sz w:val="24"/>
          <w:szCs w:val="24"/>
        </w:rPr>
      </w:pPr>
      <w:r>
        <w:rPr>
          <w:rFonts w:hint="eastAsia" w:ascii="宋体" w:hAnsi="宋体" w:eastAsia="宋体" w:cs="宋体"/>
          <w:sz w:val="24"/>
          <w:szCs w:val="24"/>
          <w:highlight w:val="yellow"/>
        </w:rPr>
        <w:t xml:space="preserve"> 注意：评审期间产生的技术</w:t>
      </w:r>
      <w:r>
        <w:rPr>
          <w:rFonts w:hint="eastAsia" w:ascii="宋体" w:hAnsi="宋体" w:eastAsia="宋体" w:cs="宋体"/>
          <w:sz w:val="24"/>
          <w:szCs w:val="24"/>
          <w:highlight w:val="yellow"/>
          <w:lang w:val="en-US" w:eastAsia="zh-CN"/>
        </w:rPr>
        <w:t>和商务价格</w:t>
      </w:r>
      <w:r>
        <w:rPr>
          <w:rFonts w:hint="eastAsia" w:ascii="宋体" w:hAnsi="宋体" w:eastAsia="宋体" w:cs="宋体"/>
          <w:sz w:val="24"/>
          <w:szCs w:val="24"/>
          <w:highlight w:val="yellow"/>
        </w:rPr>
        <w:t>澄清均由投标人在重汽e采通平台内完成提交；投标人均需自带笔记本电脑在重汽e采通平台自主进行投标和提交澄清函；投标和提交澄清函均有时间限制，超时未提交的按无效处理。</w:t>
      </w:r>
      <w:r>
        <w:rPr>
          <w:rFonts w:hint="eastAsia" w:ascii="宋体" w:hAnsi="宋体" w:eastAsia="宋体" w:cs="宋体"/>
          <w:sz w:val="24"/>
          <w:szCs w:val="24"/>
        </w:rPr>
        <w:t xml:space="preserve">  </w:t>
      </w:r>
    </w:p>
    <w:p w14:paraId="693134E4">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1F9CB95B">
      <w:pPr>
        <w:pStyle w:val="80"/>
        <w:ind w:firstLine="480"/>
        <w:rPr>
          <w:rFonts w:hint="eastAsia" w:ascii="宋体" w:hAnsi="宋体" w:eastAsia="宋体" w:cs="宋体"/>
        </w:rPr>
      </w:pPr>
      <w:r>
        <w:rPr>
          <w:rFonts w:hint="eastAsia" w:ascii="宋体" w:hAnsi="宋体" w:eastAsia="宋体" w:cs="宋体"/>
        </w:rPr>
        <w:t>2、中标</w:t>
      </w:r>
    </w:p>
    <w:p w14:paraId="73165007">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11B25868">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60302546">
      <w:pPr>
        <w:pStyle w:val="17"/>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097ABC6C">
      <w:pPr>
        <w:pStyle w:val="82"/>
        <w:rPr>
          <w:rFonts w:hint="eastAsia" w:ascii="宋体" w:hAnsi="宋体" w:eastAsia="宋体" w:cs="宋体"/>
        </w:rPr>
      </w:pPr>
      <w:r>
        <w:rPr>
          <w:rFonts w:hint="eastAsia" w:ascii="宋体" w:hAnsi="宋体" w:eastAsia="宋体" w:cs="宋体"/>
        </w:rPr>
        <w:t>七、合同签订</w:t>
      </w:r>
    </w:p>
    <w:p w14:paraId="5F4DC15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7375268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24F57274">
      <w:pPr>
        <w:pStyle w:val="80"/>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2BE1E955">
      <w:pPr>
        <w:pStyle w:val="17"/>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5FB7233F">
      <w:pPr>
        <w:pStyle w:val="80"/>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34B5349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40FA9A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9377BE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7436173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1E5A399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085E8282">
      <w:pPr>
        <w:pStyle w:val="17"/>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53FA0B7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44175642">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2CEC6E6A">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2376157">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3654AD7F">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67E9CD2D">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2D3A8E0E">
      <w:pPr>
        <w:pStyle w:val="80"/>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7446C392">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0F4AE971">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5E979CA">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6E4EB023">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7DD5014">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76B3E684">
      <w:pPr>
        <w:pStyle w:val="17"/>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0CB08F5F">
      <w:pPr>
        <w:pStyle w:val="82"/>
        <w:rPr>
          <w:rFonts w:hint="eastAsia" w:ascii="宋体" w:hAnsi="宋体" w:eastAsia="宋体" w:cs="宋体"/>
        </w:rPr>
      </w:pPr>
      <w:r>
        <w:rPr>
          <w:rFonts w:hint="eastAsia" w:ascii="宋体" w:hAnsi="宋体" w:eastAsia="宋体" w:cs="宋体"/>
        </w:rPr>
        <w:t>八、其他</w:t>
      </w:r>
    </w:p>
    <w:p w14:paraId="433013B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234B3B27">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374416D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BB4445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26F0ACF7">
      <w:pPr>
        <w:pStyle w:val="17"/>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05CE4FD6">
      <w:pPr>
        <w:pStyle w:val="80"/>
        <w:ind w:firstLine="0" w:firstLineChars="0"/>
        <w:rPr>
          <w:rFonts w:hint="eastAsia" w:ascii="宋体" w:hAnsi="宋体" w:eastAsia="宋体" w:cs="宋体"/>
        </w:rPr>
      </w:pPr>
    </w:p>
    <w:p w14:paraId="0EE228DE">
      <w:pPr>
        <w:pStyle w:val="80"/>
        <w:ind w:firstLine="0" w:firstLineChars="0"/>
        <w:rPr>
          <w:rFonts w:hint="eastAsia" w:ascii="宋体" w:hAnsi="宋体" w:eastAsia="宋体" w:cs="宋体"/>
        </w:rPr>
      </w:pPr>
    </w:p>
    <w:p w14:paraId="3BE577A2">
      <w:pPr>
        <w:pStyle w:val="80"/>
        <w:ind w:firstLine="0" w:firstLineChars="0"/>
        <w:rPr>
          <w:rFonts w:hint="eastAsia" w:ascii="宋体" w:hAnsi="宋体" w:eastAsia="宋体" w:cs="宋体"/>
        </w:rPr>
        <w:sectPr>
          <w:footerReference r:id="rId6" w:type="firs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7A664A63">
      <w:pPr>
        <w:pStyle w:val="86"/>
        <w:ind w:firstLine="480"/>
        <w:rPr>
          <w:rFonts w:hint="eastAsia" w:ascii="宋体" w:hAnsi="宋体" w:eastAsia="宋体" w:cs="宋体"/>
        </w:rPr>
      </w:pPr>
      <w:r>
        <w:rPr>
          <w:rFonts w:hint="eastAsia" w:ascii="宋体" w:hAnsi="宋体" w:eastAsia="宋体" w:cs="宋体"/>
        </w:rPr>
        <w:t>附件1</w:t>
      </w:r>
      <w:bookmarkStart w:id="6" w:name="_Toc25811"/>
      <w:bookmarkStart w:id="7" w:name="_Toc212369550"/>
      <w:bookmarkStart w:id="8" w:name="_Toc353881012"/>
      <w:bookmarkStart w:id="9" w:name="_Toc639004"/>
      <w:r>
        <w:rPr>
          <w:rFonts w:hint="eastAsia" w:ascii="宋体" w:hAnsi="宋体" w:eastAsia="宋体" w:cs="宋体"/>
        </w:rPr>
        <w:t xml:space="preserve"> 投标函</w:t>
      </w:r>
      <w:bookmarkEnd w:id="6"/>
      <w:bookmarkEnd w:id="7"/>
      <w:bookmarkEnd w:id="8"/>
      <w:bookmarkEnd w:id="9"/>
    </w:p>
    <w:p w14:paraId="0BFA811C">
      <w:pPr>
        <w:pStyle w:val="80"/>
        <w:ind w:firstLine="480"/>
        <w:rPr>
          <w:rFonts w:hint="eastAsia" w:ascii="宋体" w:hAnsi="宋体" w:eastAsia="宋体" w:cs="宋体"/>
        </w:rPr>
      </w:pPr>
      <w:r>
        <w:rPr>
          <w:rFonts w:hint="eastAsia" w:ascii="宋体" w:hAnsi="宋体" w:eastAsia="宋体" w:cs="宋体"/>
        </w:rPr>
        <w:t>致：中国重汽集团济南动力有限公司：</w:t>
      </w:r>
    </w:p>
    <w:p w14:paraId="6FE9A47E">
      <w:pPr>
        <w:pStyle w:val="80"/>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70573284">
      <w:pPr>
        <w:pStyle w:val="80"/>
        <w:ind w:firstLine="480"/>
        <w:rPr>
          <w:rFonts w:hint="eastAsia" w:ascii="宋体" w:hAnsi="宋体" w:eastAsia="宋体" w:cs="宋体"/>
        </w:rPr>
      </w:pPr>
      <w:r>
        <w:rPr>
          <w:rFonts w:hint="eastAsia" w:ascii="宋体" w:hAnsi="宋体" w:eastAsia="宋体" w:cs="宋体"/>
        </w:rPr>
        <w:t>据此函，签字代表宣布同意如下：</w:t>
      </w:r>
    </w:p>
    <w:p w14:paraId="6A809E8F">
      <w:pPr>
        <w:pStyle w:val="80"/>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397F52C3">
      <w:pPr>
        <w:pStyle w:val="80"/>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3DFF065C">
      <w:pPr>
        <w:pStyle w:val="80"/>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74550CCC">
      <w:pPr>
        <w:pStyle w:val="80"/>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566BCA27">
      <w:pPr>
        <w:pStyle w:val="80"/>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232D26B0">
      <w:pPr>
        <w:pStyle w:val="80"/>
        <w:ind w:firstLine="480"/>
        <w:rPr>
          <w:rFonts w:hint="eastAsia" w:ascii="宋体" w:hAnsi="宋体" w:eastAsia="宋体" w:cs="宋体"/>
        </w:rPr>
      </w:pPr>
      <w:r>
        <w:rPr>
          <w:rFonts w:hint="eastAsia" w:ascii="宋体" w:hAnsi="宋体" w:eastAsia="宋体" w:cs="宋体"/>
        </w:rPr>
        <w:t>6、与本投标有关的一切正式往来信函请寄：</w:t>
      </w:r>
    </w:p>
    <w:p w14:paraId="35B5A303">
      <w:pPr>
        <w:pStyle w:val="80"/>
        <w:ind w:firstLine="480"/>
        <w:rPr>
          <w:rFonts w:hint="eastAsia" w:ascii="宋体" w:hAnsi="宋体" w:eastAsia="宋体" w:cs="宋体"/>
        </w:rPr>
      </w:pPr>
      <w:r>
        <w:rPr>
          <w:rFonts w:hint="eastAsia" w:ascii="宋体" w:hAnsi="宋体" w:eastAsia="宋体" w:cs="宋体"/>
        </w:rPr>
        <w:t xml:space="preserve">地址：                             </w:t>
      </w:r>
    </w:p>
    <w:p w14:paraId="2A26C08B">
      <w:pPr>
        <w:pStyle w:val="80"/>
        <w:ind w:firstLine="480"/>
        <w:rPr>
          <w:rFonts w:hint="eastAsia" w:ascii="宋体" w:hAnsi="宋体" w:eastAsia="宋体" w:cs="宋体"/>
        </w:rPr>
      </w:pPr>
      <w:r>
        <w:rPr>
          <w:rFonts w:hint="eastAsia" w:ascii="宋体" w:hAnsi="宋体" w:eastAsia="宋体" w:cs="宋体"/>
        </w:rPr>
        <w:t xml:space="preserve">邮编：        </w:t>
      </w:r>
    </w:p>
    <w:p w14:paraId="1C0029A4">
      <w:pPr>
        <w:pStyle w:val="80"/>
        <w:ind w:firstLine="480"/>
        <w:rPr>
          <w:rFonts w:hint="eastAsia" w:ascii="宋体" w:hAnsi="宋体" w:eastAsia="宋体" w:cs="宋体"/>
        </w:rPr>
      </w:pPr>
      <w:r>
        <w:rPr>
          <w:rFonts w:hint="eastAsia" w:ascii="宋体" w:hAnsi="宋体" w:eastAsia="宋体" w:cs="宋体"/>
        </w:rPr>
        <w:t xml:space="preserve">电话：        传真：                   </w:t>
      </w:r>
    </w:p>
    <w:p w14:paraId="03E9FD06">
      <w:pPr>
        <w:pStyle w:val="80"/>
        <w:ind w:firstLine="480"/>
        <w:rPr>
          <w:rFonts w:hint="eastAsia" w:ascii="宋体" w:hAnsi="宋体" w:eastAsia="宋体" w:cs="宋体"/>
        </w:rPr>
      </w:pPr>
      <w:r>
        <w:rPr>
          <w:rFonts w:hint="eastAsia" w:ascii="宋体" w:hAnsi="宋体" w:eastAsia="宋体" w:cs="宋体"/>
        </w:rPr>
        <w:t xml:space="preserve">投标人代表姓名：__   _____职务：          </w:t>
      </w:r>
    </w:p>
    <w:p w14:paraId="2E272EF5">
      <w:pPr>
        <w:pStyle w:val="80"/>
        <w:ind w:firstLine="480"/>
        <w:rPr>
          <w:rFonts w:hint="eastAsia" w:ascii="宋体" w:hAnsi="宋体" w:eastAsia="宋体" w:cs="宋体"/>
        </w:rPr>
      </w:pPr>
      <w:r>
        <w:rPr>
          <w:rFonts w:hint="eastAsia" w:ascii="宋体" w:hAnsi="宋体" w:eastAsia="宋体" w:cs="宋体"/>
        </w:rPr>
        <w:t xml:space="preserve">开户银行：                   </w:t>
      </w:r>
    </w:p>
    <w:p w14:paraId="3E671578">
      <w:pPr>
        <w:pStyle w:val="80"/>
        <w:ind w:firstLine="480"/>
        <w:rPr>
          <w:rFonts w:hint="eastAsia" w:ascii="宋体" w:hAnsi="宋体" w:eastAsia="宋体" w:cs="宋体"/>
        </w:rPr>
      </w:pPr>
      <w:r>
        <w:rPr>
          <w:rFonts w:hint="eastAsia" w:ascii="宋体" w:hAnsi="宋体" w:eastAsia="宋体" w:cs="宋体"/>
        </w:rPr>
        <w:t>银行帐号：</w:t>
      </w:r>
    </w:p>
    <w:p w14:paraId="14C52E5F">
      <w:pPr>
        <w:pStyle w:val="80"/>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EC7870C">
      <w:pPr>
        <w:pStyle w:val="80"/>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3C422D14">
      <w:pPr>
        <w:pStyle w:val="80"/>
        <w:ind w:firstLine="480"/>
        <w:rPr>
          <w:rFonts w:hint="eastAsia" w:ascii="宋体" w:hAnsi="宋体" w:eastAsia="宋体" w:cs="宋体"/>
        </w:rPr>
      </w:pPr>
      <w:r>
        <w:rPr>
          <w:rFonts w:hint="eastAsia" w:ascii="宋体" w:hAnsi="宋体" w:eastAsia="宋体" w:cs="宋体"/>
        </w:rPr>
        <w:t>日期：     年      月      日</w:t>
      </w:r>
    </w:p>
    <w:p w14:paraId="3E121941">
      <w:pPr>
        <w:rPr>
          <w:rFonts w:hint="eastAsia" w:ascii="宋体" w:hAnsi="宋体" w:eastAsia="宋体" w:cs="宋体"/>
          <w:color w:val="000000"/>
          <w:sz w:val="24"/>
          <w:szCs w:val="24"/>
        </w:rPr>
      </w:pPr>
    </w:p>
    <w:p w14:paraId="5CDD1C18">
      <w:pPr>
        <w:rPr>
          <w:rFonts w:hint="eastAsia" w:ascii="宋体" w:hAnsi="宋体" w:eastAsia="宋体" w:cs="宋体"/>
          <w:color w:val="000000"/>
          <w:sz w:val="24"/>
          <w:szCs w:val="24"/>
        </w:rPr>
      </w:pPr>
    </w:p>
    <w:p w14:paraId="498AA40F">
      <w:pPr>
        <w:pStyle w:val="82"/>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977A874">
      <w:pPr>
        <w:pStyle w:val="86"/>
        <w:ind w:firstLine="480"/>
        <w:rPr>
          <w:rFonts w:hint="eastAsia" w:ascii="宋体" w:hAnsi="宋体" w:eastAsia="宋体" w:cs="宋体"/>
        </w:rPr>
      </w:pPr>
      <w:r>
        <w:rPr>
          <w:rFonts w:hint="eastAsia" w:ascii="宋体" w:hAnsi="宋体" w:eastAsia="宋体" w:cs="宋体"/>
        </w:rPr>
        <w:t>附件2 法定代表人授权委托书</w:t>
      </w:r>
    </w:p>
    <w:p w14:paraId="797EF333">
      <w:pPr>
        <w:pStyle w:val="3"/>
        <w:adjustRightInd w:val="0"/>
        <w:snapToGrid w:val="0"/>
        <w:spacing w:before="93" w:beforeLines="30" w:line="240" w:lineRule="exact"/>
        <w:jc w:val="center"/>
        <w:rPr>
          <w:rFonts w:hint="eastAsia" w:ascii="宋体" w:hAnsi="宋体" w:eastAsia="宋体" w:cs="宋体"/>
          <w:sz w:val="24"/>
        </w:rPr>
      </w:pPr>
    </w:p>
    <w:p w14:paraId="2D492BBE">
      <w:pPr>
        <w:pStyle w:val="80"/>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1F27F1F0">
      <w:pPr>
        <w:pStyle w:val="80"/>
        <w:ind w:firstLine="480"/>
        <w:rPr>
          <w:rFonts w:hint="eastAsia" w:ascii="宋体" w:hAnsi="宋体" w:eastAsia="宋体" w:cs="宋体"/>
        </w:rPr>
      </w:pPr>
      <w:r>
        <w:rPr>
          <w:rFonts w:hint="eastAsia" w:ascii="宋体" w:hAnsi="宋体" w:eastAsia="宋体" w:cs="宋体"/>
        </w:rPr>
        <w:t>全权代表无转委权。特此委托。</w:t>
      </w:r>
    </w:p>
    <w:tbl>
      <w:tblPr>
        <w:tblStyle w:val="3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F3584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53D5837D">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784479F7">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58798E27">
      <w:pPr>
        <w:pStyle w:val="80"/>
        <w:ind w:firstLine="480"/>
        <w:rPr>
          <w:rFonts w:hint="eastAsia" w:ascii="宋体" w:hAnsi="宋体" w:eastAsia="宋体" w:cs="宋体"/>
        </w:rPr>
      </w:pPr>
      <w:r>
        <w:rPr>
          <w:rFonts w:hint="eastAsia" w:ascii="宋体" w:hAnsi="宋体" w:eastAsia="宋体" w:cs="宋体"/>
        </w:rPr>
        <w:t>全权代表姓名：            性别：          年龄：</w:t>
      </w:r>
    </w:p>
    <w:p w14:paraId="3F09C98F">
      <w:pPr>
        <w:pStyle w:val="80"/>
        <w:ind w:firstLine="480"/>
        <w:rPr>
          <w:rFonts w:hint="eastAsia" w:ascii="宋体" w:hAnsi="宋体" w:eastAsia="宋体" w:cs="宋体"/>
        </w:rPr>
      </w:pPr>
      <w:r>
        <w:rPr>
          <w:rFonts w:hint="eastAsia" w:ascii="宋体" w:hAnsi="宋体" w:eastAsia="宋体" w:cs="宋体"/>
        </w:rPr>
        <w:t>单位：                    部门：          职务：</w:t>
      </w:r>
    </w:p>
    <w:p w14:paraId="3AB73E41">
      <w:pPr>
        <w:pStyle w:val="80"/>
        <w:ind w:firstLine="480"/>
        <w:rPr>
          <w:rFonts w:hint="eastAsia" w:ascii="宋体" w:hAnsi="宋体" w:eastAsia="宋体" w:cs="宋体"/>
        </w:rPr>
      </w:pPr>
      <w:r>
        <w:rPr>
          <w:rFonts w:hint="eastAsia" w:ascii="宋体" w:hAnsi="宋体" w:eastAsia="宋体" w:cs="宋体"/>
        </w:rPr>
        <w:t xml:space="preserve">法定代表人签字或盖章                          </w:t>
      </w:r>
    </w:p>
    <w:p w14:paraId="0F363798">
      <w:pPr>
        <w:pStyle w:val="80"/>
        <w:ind w:firstLine="480"/>
        <w:rPr>
          <w:rFonts w:hint="eastAsia" w:ascii="宋体" w:hAnsi="宋体" w:eastAsia="宋体" w:cs="宋体"/>
        </w:rPr>
      </w:pPr>
      <w:r>
        <w:rPr>
          <w:rFonts w:hint="eastAsia" w:ascii="宋体" w:hAnsi="宋体" w:eastAsia="宋体" w:cs="宋体"/>
        </w:rPr>
        <w:t xml:space="preserve">被授权人签字  </w:t>
      </w:r>
    </w:p>
    <w:p w14:paraId="2A1DC234">
      <w:pPr>
        <w:pStyle w:val="80"/>
        <w:ind w:firstLine="480"/>
        <w:rPr>
          <w:rFonts w:hint="eastAsia" w:ascii="宋体" w:hAnsi="宋体" w:eastAsia="宋体" w:cs="宋体"/>
        </w:rPr>
      </w:pPr>
      <w:r>
        <w:rPr>
          <w:rFonts w:hint="eastAsia" w:ascii="宋体" w:hAnsi="宋体" w:eastAsia="宋体" w:cs="宋体"/>
        </w:rPr>
        <w:t xml:space="preserve">被授权人电话：                          </w:t>
      </w:r>
    </w:p>
    <w:p w14:paraId="16207F0E">
      <w:pPr>
        <w:pStyle w:val="80"/>
        <w:ind w:firstLine="480"/>
        <w:rPr>
          <w:rFonts w:hint="eastAsia" w:ascii="宋体" w:hAnsi="宋体" w:eastAsia="宋体" w:cs="宋体"/>
        </w:rPr>
      </w:pPr>
      <w:r>
        <w:rPr>
          <w:rFonts w:hint="eastAsia" w:ascii="宋体" w:hAnsi="宋体" w:eastAsia="宋体" w:cs="宋体"/>
        </w:rPr>
        <w:t xml:space="preserve">投标人名称（公章）                       </w:t>
      </w:r>
    </w:p>
    <w:p w14:paraId="4765712E">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18E01AE">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6BC6DCFD">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6949018B">
      <w:pPr>
        <w:spacing w:line="240" w:lineRule="exact"/>
        <w:jc w:val="center"/>
        <w:rPr>
          <w:rFonts w:hint="eastAsia" w:ascii="宋体" w:hAnsi="宋体" w:eastAsia="宋体" w:cs="宋体"/>
          <w:b/>
          <w:bCs/>
          <w:sz w:val="36"/>
          <w:szCs w:val="20"/>
        </w:rPr>
      </w:pPr>
    </w:p>
    <w:p w14:paraId="0C31DC4A">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4BAB47A3">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626A8FB">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12ED5BD4">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7673733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2078DD1">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9F4AA1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F79ABF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6C1AA59">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F51075">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9A44F5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D9CCBC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4E46EC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EAAAD0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F5EDC5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E55F35A">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B86D87">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02E0C34D">
      <w:pPr>
        <w:spacing w:line="360" w:lineRule="auto"/>
        <w:ind w:firstLine="480" w:firstLineChars="200"/>
        <w:rPr>
          <w:rFonts w:hint="eastAsia" w:ascii="宋体" w:hAnsi="宋体" w:eastAsia="宋体" w:cs="宋体"/>
          <w:sz w:val="24"/>
          <w:szCs w:val="20"/>
          <w:u w:val="single"/>
        </w:rPr>
      </w:pPr>
    </w:p>
    <w:p w14:paraId="3ADE822A">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15EFA8AD">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67248C71">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59EB3B03">
      <w:pPr>
        <w:pStyle w:val="86"/>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4D65F711">
      <w:pPr>
        <w:pStyle w:val="80"/>
        <w:ind w:firstLine="480"/>
        <w:rPr>
          <w:rFonts w:hint="eastAsia" w:ascii="宋体" w:hAnsi="宋体" w:eastAsia="宋体" w:cs="宋体"/>
        </w:rPr>
      </w:pPr>
      <w:r>
        <w:rPr>
          <w:rFonts w:hint="eastAsia" w:ascii="宋体" w:hAnsi="宋体" w:eastAsia="宋体" w:cs="宋体"/>
        </w:rPr>
        <w:t xml:space="preserve">项目名称：                                                           </w:t>
      </w:r>
    </w:p>
    <w:tbl>
      <w:tblPr>
        <w:tblStyle w:val="34"/>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5"/>
        <w:gridCol w:w="3534"/>
        <w:gridCol w:w="2474"/>
        <w:gridCol w:w="1649"/>
      </w:tblGrid>
      <w:tr w14:paraId="7B018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C2E784A">
            <w:pPr>
              <w:pStyle w:val="84"/>
              <w:rPr>
                <w:rFonts w:hint="eastAsia" w:ascii="宋体" w:hAnsi="宋体" w:eastAsia="宋体" w:cs="宋体"/>
              </w:rPr>
            </w:pPr>
            <w:r>
              <w:rPr>
                <w:rFonts w:hint="eastAsia" w:ascii="宋体" w:hAnsi="宋体" w:eastAsia="宋体" w:cs="宋体"/>
              </w:rPr>
              <w:t>序号</w:t>
            </w:r>
          </w:p>
        </w:tc>
        <w:tc>
          <w:tcPr>
            <w:tcW w:w="1903" w:type="pct"/>
            <w:vAlign w:val="center"/>
          </w:tcPr>
          <w:p w14:paraId="539928DD">
            <w:pPr>
              <w:pStyle w:val="84"/>
              <w:rPr>
                <w:rFonts w:hint="eastAsia" w:ascii="宋体" w:hAnsi="宋体" w:eastAsia="宋体" w:cs="宋体"/>
              </w:rPr>
            </w:pPr>
            <w:r>
              <w:rPr>
                <w:rFonts w:hint="eastAsia" w:ascii="宋体" w:hAnsi="宋体" w:eastAsia="宋体" w:cs="宋体"/>
              </w:rPr>
              <w:t>招标要求</w:t>
            </w:r>
          </w:p>
        </w:tc>
        <w:tc>
          <w:tcPr>
            <w:tcW w:w="1332" w:type="pct"/>
            <w:vAlign w:val="center"/>
          </w:tcPr>
          <w:p w14:paraId="76C1E767">
            <w:pPr>
              <w:pStyle w:val="84"/>
              <w:rPr>
                <w:rFonts w:hint="eastAsia" w:ascii="宋体" w:hAnsi="宋体" w:eastAsia="宋体" w:cs="宋体"/>
              </w:rPr>
            </w:pPr>
            <w:r>
              <w:rPr>
                <w:rFonts w:hint="eastAsia" w:ascii="宋体" w:hAnsi="宋体" w:eastAsia="宋体" w:cs="宋体"/>
              </w:rPr>
              <w:t>响应规格</w:t>
            </w:r>
          </w:p>
        </w:tc>
        <w:tc>
          <w:tcPr>
            <w:tcW w:w="888" w:type="pct"/>
            <w:vAlign w:val="center"/>
          </w:tcPr>
          <w:p w14:paraId="15DA55BB">
            <w:pPr>
              <w:pStyle w:val="84"/>
              <w:rPr>
                <w:rFonts w:hint="eastAsia" w:ascii="宋体" w:hAnsi="宋体" w:eastAsia="宋体" w:cs="宋体"/>
              </w:rPr>
            </w:pPr>
            <w:r>
              <w:rPr>
                <w:rFonts w:hint="eastAsia" w:ascii="宋体" w:hAnsi="宋体" w:eastAsia="宋体" w:cs="宋体"/>
              </w:rPr>
              <w:t>是否偏离</w:t>
            </w:r>
          </w:p>
        </w:tc>
      </w:tr>
      <w:tr w14:paraId="779E5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45DB20E9">
            <w:pPr>
              <w:pStyle w:val="84"/>
              <w:rPr>
                <w:rFonts w:hint="eastAsia" w:ascii="宋体" w:hAnsi="宋体" w:eastAsia="宋体" w:cs="宋体"/>
                <w:sz w:val="24"/>
                <w:lang w:val="en-US" w:eastAsia="zh-CN"/>
              </w:rPr>
            </w:pPr>
          </w:p>
        </w:tc>
        <w:tc>
          <w:tcPr>
            <w:tcW w:w="1903" w:type="pct"/>
          </w:tcPr>
          <w:p w14:paraId="25D36C80">
            <w:pPr>
              <w:pStyle w:val="84"/>
              <w:rPr>
                <w:rFonts w:hint="default" w:ascii="宋体" w:hAnsi="宋体" w:eastAsia="宋体" w:cs="宋体"/>
                <w:sz w:val="24"/>
                <w:lang w:val="en-US" w:eastAsia="zh-CN"/>
              </w:rPr>
            </w:pPr>
          </w:p>
        </w:tc>
        <w:tc>
          <w:tcPr>
            <w:tcW w:w="1332" w:type="pct"/>
          </w:tcPr>
          <w:p w14:paraId="60424494">
            <w:pPr>
              <w:pStyle w:val="84"/>
              <w:rPr>
                <w:rFonts w:hint="eastAsia" w:ascii="宋体" w:hAnsi="宋体" w:eastAsia="宋体" w:cs="宋体"/>
                <w:sz w:val="24"/>
              </w:rPr>
            </w:pPr>
          </w:p>
        </w:tc>
        <w:tc>
          <w:tcPr>
            <w:tcW w:w="888" w:type="pct"/>
          </w:tcPr>
          <w:p w14:paraId="6EB009C1">
            <w:pPr>
              <w:pStyle w:val="84"/>
              <w:rPr>
                <w:rFonts w:hint="eastAsia" w:ascii="宋体" w:hAnsi="宋体" w:eastAsia="宋体" w:cs="宋体"/>
                <w:sz w:val="24"/>
              </w:rPr>
            </w:pPr>
          </w:p>
        </w:tc>
      </w:tr>
      <w:tr w14:paraId="290FF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1F3088C1">
            <w:pPr>
              <w:pStyle w:val="84"/>
              <w:rPr>
                <w:rFonts w:hint="eastAsia" w:ascii="宋体" w:hAnsi="宋体" w:eastAsia="宋体" w:cs="宋体"/>
                <w:sz w:val="24"/>
              </w:rPr>
            </w:pPr>
          </w:p>
        </w:tc>
        <w:tc>
          <w:tcPr>
            <w:tcW w:w="1903" w:type="pct"/>
          </w:tcPr>
          <w:p w14:paraId="3299592A">
            <w:pPr>
              <w:pStyle w:val="84"/>
              <w:rPr>
                <w:rFonts w:hint="eastAsia" w:ascii="宋体" w:hAnsi="宋体" w:eastAsia="宋体" w:cs="宋体"/>
                <w:sz w:val="24"/>
              </w:rPr>
            </w:pPr>
          </w:p>
        </w:tc>
        <w:tc>
          <w:tcPr>
            <w:tcW w:w="1332" w:type="pct"/>
          </w:tcPr>
          <w:p w14:paraId="71C0638F">
            <w:pPr>
              <w:pStyle w:val="84"/>
              <w:rPr>
                <w:rFonts w:hint="eastAsia" w:ascii="宋体" w:hAnsi="宋体" w:eastAsia="宋体" w:cs="宋体"/>
                <w:sz w:val="24"/>
              </w:rPr>
            </w:pPr>
          </w:p>
        </w:tc>
        <w:tc>
          <w:tcPr>
            <w:tcW w:w="888" w:type="pct"/>
          </w:tcPr>
          <w:p w14:paraId="557695AE">
            <w:pPr>
              <w:pStyle w:val="84"/>
              <w:rPr>
                <w:rFonts w:hint="eastAsia" w:ascii="宋体" w:hAnsi="宋体" w:eastAsia="宋体" w:cs="宋体"/>
                <w:sz w:val="24"/>
              </w:rPr>
            </w:pPr>
          </w:p>
        </w:tc>
      </w:tr>
      <w:tr w14:paraId="2E30C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45BD3E9">
            <w:pPr>
              <w:pStyle w:val="84"/>
              <w:rPr>
                <w:rFonts w:hint="eastAsia" w:ascii="宋体" w:hAnsi="宋体" w:eastAsia="宋体" w:cs="宋体"/>
                <w:sz w:val="24"/>
              </w:rPr>
            </w:pPr>
          </w:p>
        </w:tc>
        <w:tc>
          <w:tcPr>
            <w:tcW w:w="1903" w:type="pct"/>
          </w:tcPr>
          <w:p w14:paraId="0018858F">
            <w:pPr>
              <w:pStyle w:val="84"/>
              <w:rPr>
                <w:rFonts w:hint="eastAsia" w:ascii="宋体" w:hAnsi="宋体" w:eastAsia="宋体" w:cs="宋体"/>
                <w:sz w:val="24"/>
              </w:rPr>
            </w:pPr>
          </w:p>
        </w:tc>
        <w:tc>
          <w:tcPr>
            <w:tcW w:w="1332" w:type="pct"/>
          </w:tcPr>
          <w:p w14:paraId="0A950713">
            <w:pPr>
              <w:pStyle w:val="84"/>
              <w:rPr>
                <w:rFonts w:hint="eastAsia" w:ascii="宋体" w:hAnsi="宋体" w:eastAsia="宋体" w:cs="宋体"/>
                <w:sz w:val="24"/>
              </w:rPr>
            </w:pPr>
          </w:p>
        </w:tc>
        <w:tc>
          <w:tcPr>
            <w:tcW w:w="888" w:type="pct"/>
          </w:tcPr>
          <w:p w14:paraId="39EB928C">
            <w:pPr>
              <w:pStyle w:val="84"/>
              <w:rPr>
                <w:rFonts w:hint="eastAsia" w:ascii="宋体" w:hAnsi="宋体" w:eastAsia="宋体" w:cs="宋体"/>
                <w:sz w:val="24"/>
              </w:rPr>
            </w:pPr>
          </w:p>
        </w:tc>
      </w:tr>
      <w:tr w14:paraId="6314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875" w:type="pct"/>
          </w:tcPr>
          <w:p w14:paraId="4221F018">
            <w:pPr>
              <w:pStyle w:val="84"/>
              <w:rPr>
                <w:rFonts w:hint="eastAsia" w:ascii="宋体" w:hAnsi="宋体" w:eastAsia="宋体" w:cs="宋体"/>
                <w:sz w:val="24"/>
              </w:rPr>
            </w:pPr>
          </w:p>
        </w:tc>
        <w:tc>
          <w:tcPr>
            <w:tcW w:w="1903" w:type="pct"/>
          </w:tcPr>
          <w:p w14:paraId="298F2A13">
            <w:pPr>
              <w:pStyle w:val="84"/>
              <w:rPr>
                <w:rFonts w:hint="eastAsia" w:ascii="宋体" w:hAnsi="宋体" w:eastAsia="宋体" w:cs="宋体"/>
                <w:sz w:val="24"/>
              </w:rPr>
            </w:pPr>
          </w:p>
        </w:tc>
        <w:tc>
          <w:tcPr>
            <w:tcW w:w="1332" w:type="pct"/>
          </w:tcPr>
          <w:p w14:paraId="402A7678">
            <w:pPr>
              <w:pStyle w:val="84"/>
              <w:rPr>
                <w:rFonts w:hint="eastAsia" w:ascii="宋体" w:hAnsi="宋体" w:eastAsia="宋体" w:cs="宋体"/>
                <w:sz w:val="24"/>
              </w:rPr>
            </w:pPr>
          </w:p>
        </w:tc>
        <w:tc>
          <w:tcPr>
            <w:tcW w:w="888" w:type="pct"/>
          </w:tcPr>
          <w:p w14:paraId="186607DD">
            <w:pPr>
              <w:pStyle w:val="84"/>
              <w:rPr>
                <w:rFonts w:hint="eastAsia" w:ascii="宋体" w:hAnsi="宋体" w:eastAsia="宋体" w:cs="宋体"/>
                <w:sz w:val="24"/>
              </w:rPr>
            </w:pPr>
          </w:p>
        </w:tc>
      </w:tr>
      <w:tr w14:paraId="109F0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1BE79085">
            <w:pPr>
              <w:pStyle w:val="84"/>
              <w:rPr>
                <w:rFonts w:hint="eastAsia" w:ascii="宋体" w:hAnsi="宋体" w:eastAsia="宋体" w:cs="宋体"/>
                <w:sz w:val="24"/>
              </w:rPr>
            </w:pPr>
          </w:p>
        </w:tc>
        <w:tc>
          <w:tcPr>
            <w:tcW w:w="1903" w:type="pct"/>
          </w:tcPr>
          <w:p w14:paraId="2A5C30BB">
            <w:pPr>
              <w:pStyle w:val="84"/>
              <w:rPr>
                <w:rFonts w:hint="eastAsia" w:ascii="宋体" w:hAnsi="宋体" w:eastAsia="宋体" w:cs="宋体"/>
                <w:sz w:val="24"/>
              </w:rPr>
            </w:pPr>
          </w:p>
        </w:tc>
        <w:tc>
          <w:tcPr>
            <w:tcW w:w="1332" w:type="pct"/>
          </w:tcPr>
          <w:p w14:paraId="483FFB46">
            <w:pPr>
              <w:pStyle w:val="84"/>
              <w:rPr>
                <w:rFonts w:hint="eastAsia" w:ascii="宋体" w:hAnsi="宋体" w:eastAsia="宋体" w:cs="宋体"/>
                <w:sz w:val="24"/>
              </w:rPr>
            </w:pPr>
          </w:p>
        </w:tc>
        <w:tc>
          <w:tcPr>
            <w:tcW w:w="888" w:type="pct"/>
          </w:tcPr>
          <w:p w14:paraId="46E1FE7D">
            <w:pPr>
              <w:pStyle w:val="84"/>
              <w:rPr>
                <w:rFonts w:hint="eastAsia" w:ascii="宋体" w:hAnsi="宋体" w:eastAsia="宋体" w:cs="宋体"/>
                <w:sz w:val="24"/>
              </w:rPr>
            </w:pPr>
          </w:p>
        </w:tc>
      </w:tr>
      <w:tr w14:paraId="495FF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291CDF76">
            <w:pPr>
              <w:pStyle w:val="84"/>
              <w:rPr>
                <w:rFonts w:hint="eastAsia" w:ascii="宋体" w:hAnsi="宋体" w:eastAsia="宋体" w:cs="宋体"/>
                <w:sz w:val="24"/>
              </w:rPr>
            </w:pPr>
          </w:p>
        </w:tc>
        <w:tc>
          <w:tcPr>
            <w:tcW w:w="1903" w:type="pct"/>
          </w:tcPr>
          <w:p w14:paraId="412D4BF0">
            <w:pPr>
              <w:pStyle w:val="84"/>
              <w:rPr>
                <w:rFonts w:hint="eastAsia" w:ascii="宋体" w:hAnsi="宋体" w:eastAsia="宋体" w:cs="宋体"/>
                <w:sz w:val="24"/>
              </w:rPr>
            </w:pPr>
          </w:p>
        </w:tc>
        <w:tc>
          <w:tcPr>
            <w:tcW w:w="1332" w:type="pct"/>
          </w:tcPr>
          <w:p w14:paraId="60418E47">
            <w:pPr>
              <w:pStyle w:val="84"/>
              <w:rPr>
                <w:rFonts w:hint="eastAsia" w:ascii="宋体" w:hAnsi="宋体" w:eastAsia="宋体" w:cs="宋体"/>
                <w:sz w:val="24"/>
              </w:rPr>
            </w:pPr>
          </w:p>
        </w:tc>
        <w:tc>
          <w:tcPr>
            <w:tcW w:w="888" w:type="pct"/>
          </w:tcPr>
          <w:p w14:paraId="38B55131">
            <w:pPr>
              <w:pStyle w:val="84"/>
              <w:rPr>
                <w:rFonts w:hint="eastAsia" w:ascii="宋体" w:hAnsi="宋体" w:eastAsia="宋体" w:cs="宋体"/>
                <w:sz w:val="24"/>
              </w:rPr>
            </w:pPr>
          </w:p>
        </w:tc>
      </w:tr>
      <w:tr w14:paraId="240CC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7314B0C4">
            <w:pPr>
              <w:pStyle w:val="84"/>
              <w:rPr>
                <w:rFonts w:hint="eastAsia" w:ascii="宋体" w:hAnsi="宋体" w:eastAsia="宋体" w:cs="宋体"/>
                <w:sz w:val="24"/>
              </w:rPr>
            </w:pPr>
          </w:p>
        </w:tc>
        <w:tc>
          <w:tcPr>
            <w:tcW w:w="1903" w:type="pct"/>
          </w:tcPr>
          <w:p w14:paraId="39CFE5B7">
            <w:pPr>
              <w:pStyle w:val="84"/>
              <w:rPr>
                <w:rFonts w:hint="eastAsia" w:ascii="宋体" w:hAnsi="宋体" w:eastAsia="宋体" w:cs="宋体"/>
                <w:sz w:val="24"/>
              </w:rPr>
            </w:pPr>
          </w:p>
        </w:tc>
        <w:tc>
          <w:tcPr>
            <w:tcW w:w="1332" w:type="pct"/>
          </w:tcPr>
          <w:p w14:paraId="0DCE39B9">
            <w:pPr>
              <w:pStyle w:val="84"/>
              <w:rPr>
                <w:rFonts w:hint="eastAsia" w:ascii="宋体" w:hAnsi="宋体" w:eastAsia="宋体" w:cs="宋体"/>
                <w:sz w:val="24"/>
              </w:rPr>
            </w:pPr>
          </w:p>
        </w:tc>
        <w:tc>
          <w:tcPr>
            <w:tcW w:w="888" w:type="pct"/>
          </w:tcPr>
          <w:p w14:paraId="615C0434">
            <w:pPr>
              <w:pStyle w:val="84"/>
              <w:rPr>
                <w:rFonts w:hint="eastAsia" w:ascii="宋体" w:hAnsi="宋体" w:eastAsia="宋体" w:cs="宋体"/>
                <w:sz w:val="24"/>
              </w:rPr>
            </w:pPr>
          </w:p>
        </w:tc>
      </w:tr>
      <w:tr w14:paraId="6544AA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5B5C16BA">
            <w:pPr>
              <w:pStyle w:val="84"/>
              <w:rPr>
                <w:rFonts w:hint="eastAsia" w:ascii="宋体" w:hAnsi="宋体" w:eastAsia="宋体" w:cs="宋体"/>
                <w:sz w:val="24"/>
              </w:rPr>
            </w:pPr>
          </w:p>
        </w:tc>
        <w:tc>
          <w:tcPr>
            <w:tcW w:w="1903" w:type="pct"/>
          </w:tcPr>
          <w:p w14:paraId="4073682B">
            <w:pPr>
              <w:pStyle w:val="84"/>
              <w:rPr>
                <w:rFonts w:hint="eastAsia" w:ascii="宋体" w:hAnsi="宋体" w:eastAsia="宋体" w:cs="宋体"/>
                <w:sz w:val="24"/>
              </w:rPr>
            </w:pPr>
          </w:p>
        </w:tc>
        <w:tc>
          <w:tcPr>
            <w:tcW w:w="1332" w:type="pct"/>
          </w:tcPr>
          <w:p w14:paraId="20BCA223">
            <w:pPr>
              <w:pStyle w:val="84"/>
              <w:rPr>
                <w:rFonts w:hint="eastAsia" w:ascii="宋体" w:hAnsi="宋体" w:eastAsia="宋体" w:cs="宋体"/>
                <w:sz w:val="24"/>
              </w:rPr>
            </w:pPr>
          </w:p>
        </w:tc>
        <w:tc>
          <w:tcPr>
            <w:tcW w:w="888" w:type="pct"/>
          </w:tcPr>
          <w:p w14:paraId="51568DE8">
            <w:pPr>
              <w:pStyle w:val="84"/>
              <w:rPr>
                <w:rFonts w:hint="eastAsia" w:ascii="宋体" w:hAnsi="宋体" w:eastAsia="宋体" w:cs="宋体"/>
                <w:sz w:val="24"/>
              </w:rPr>
            </w:pPr>
          </w:p>
        </w:tc>
      </w:tr>
      <w:tr w14:paraId="1AB4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6874416">
            <w:pPr>
              <w:pStyle w:val="84"/>
              <w:rPr>
                <w:rFonts w:hint="eastAsia" w:ascii="宋体" w:hAnsi="宋体" w:eastAsia="宋体" w:cs="宋体"/>
                <w:sz w:val="24"/>
              </w:rPr>
            </w:pPr>
          </w:p>
        </w:tc>
        <w:tc>
          <w:tcPr>
            <w:tcW w:w="1903" w:type="pct"/>
          </w:tcPr>
          <w:p w14:paraId="1F4623F1">
            <w:pPr>
              <w:pStyle w:val="84"/>
              <w:rPr>
                <w:rFonts w:hint="eastAsia" w:ascii="宋体" w:hAnsi="宋体" w:eastAsia="宋体" w:cs="宋体"/>
                <w:sz w:val="24"/>
              </w:rPr>
            </w:pPr>
          </w:p>
        </w:tc>
        <w:tc>
          <w:tcPr>
            <w:tcW w:w="1332" w:type="pct"/>
          </w:tcPr>
          <w:p w14:paraId="28D7BCEA">
            <w:pPr>
              <w:pStyle w:val="84"/>
              <w:rPr>
                <w:rFonts w:hint="eastAsia" w:ascii="宋体" w:hAnsi="宋体" w:eastAsia="宋体" w:cs="宋体"/>
                <w:sz w:val="24"/>
              </w:rPr>
            </w:pPr>
          </w:p>
        </w:tc>
        <w:tc>
          <w:tcPr>
            <w:tcW w:w="888" w:type="pct"/>
          </w:tcPr>
          <w:p w14:paraId="56868381">
            <w:pPr>
              <w:pStyle w:val="84"/>
              <w:rPr>
                <w:rFonts w:hint="eastAsia" w:ascii="宋体" w:hAnsi="宋体" w:eastAsia="宋体" w:cs="宋体"/>
                <w:sz w:val="24"/>
              </w:rPr>
            </w:pPr>
          </w:p>
        </w:tc>
      </w:tr>
      <w:tr w14:paraId="4C65D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7EC56E0F">
            <w:pPr>
              <w:pStyle w:val="84"/>
              <w:rPr>
                <w:rFonts w:hint="eastAsia" w:ascii="宋体" w:hAnsi="宋体" w:eastAsia="宋体" w:cs="宋体"/>
                <w:sz w:val="24"/>
              </w:rPr>
            </w:pPr>
          </w:p>
        </w:tc>
        <w:tc>
          <w:tcPr>
            <w:tcW w:w="1903" w:type="pct"/>
          </w:tcPr>
          <w:p w14:paraId="1819D79E">
            <w:pPr>
              <w:pStyle w:val="84"/>
              <w:rPr>
                <w:rFonts w:hint="eastAsia" w:ascii="宋体" w:hAnsi="宋体" w:eastAsia="宋体" w:cs="宋体"/>
                <w:sz w:val="24"/>
              </w:rPr>
            </w:pPr>
          </w:p>
        </w:tc>
        <w:tc>
          <w:tcPr>
            <w:tcW w:w="1332" w:type="pct"/>
          </w:tcPr>
          <w:p w14:paraId="138EBE26">
            <w:pPr>
              <w:pStyle w:val="84"/>
              <w:rPr>
                <w:rFonts w:hint="eastAsia" w:ascii="宋体" w:hAnsi="宋体" w:eastAsia="宋体" w:cs="宋体"/>
                <w:sz w:val="24"/>
              </w:rPr>
            </w:pPr>
          </w:p>
        </w:tc>
        <w:tc>
          <w:tcPr>
            <w:tcW w:w="888" w:type="pct"/>
          </w:tcPr>
          <w:p w14:paraId="229C26F6">
            <w:pPr>
              <w:pStyle w:val="84"/>
              <w:rPr>
                <w:rFonts w:hint="eastAsia" w:ascii="宋体" w:hAnsi="宋体" w:eastAsia="宋体" w:cs="宋体"/>
                <w:sz w:val="24"/>
              </w:rPr>
            </w:pPr>
          </w:p>
        </w:tc>
      </w:tr>
      <w:tr w14:paraId="51771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B9C49FA">
            <w:pPr>
              <w:pStyle w:val="84"/>
              <w:rPr>
                <w:rFonts w:hint="eastAsia" w:ascii="宋体" w:hAnsi="宋体" w:eastAsia="宋体" w:cs="宋体"/>
                <w:sz w:val="24"/>
              </w:rPr>
            </w:pPr>
          </w:p>
        </w:tc>
        <w:tc>
          <w:tcPr>
            <w:tcW w:w="1903" w:type="pct"/>
          </w:tcPr>
          <w:p w14:paraId="2F045141">
            <w:pPr>
              <w:pStyle w:val="84"/>
              <w:rPr>
                <w:rFonts w:hint="eastAsia" w:ascii="宋体" w:hAnsi="宋体" w:eastAsia="宋体" w:cs="宋体"/>
                <w:sz w:val="24"/>
              </w:rPr>
            </w:pPr>
          </w:p>
        </w:tc>
        <w:tc>
          <w:tcPr>
            <w:tcW w:w="1332" w:type="pct"/>
          </w:tcPr>
          <w:p w14:paraId="44A96020">
            <w:pPr>
              <w:pStyle w:val="84"/>
              <w:rPr>
                <w:rFonts w:hint="eastAsia" w:ascii="宋体" w:hAnsi="宋体" w:eastAsia="宋体" w:cs="宋体"/>
                <w:sz w:val="24"/>
              </w:rPr>
            </w:pPr>
          </w:p>
        </w:tc>
        <w:tc>
          <w:tcPr>
            <w:tcW w:w="888" w:type="pct"/>
          </w:tcPr>
          <w:p w14:paraId="38C65474">
            <w:pPr>
              <w:pStyle w:val="84"/>
              <w:rPr>
                <w:rFonts w:hint="eastAsia" w:ascii="宋体" w:hAnsi="宋体" w:eastAsia="宋体" w:cs="宋体"/>
                <w:sz w:val="24"/>
              </w:rPr>
            </w:pPr>
          </w:p>
        </w:tc>
      </w:tr>
      <w:tr w14:paraId="2A55F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tcPr>
          <w:p w14:paraId="69F43A57">
            <w:pPr>
              <w:pStyle w:val="84"/>
              <w:rPr>
                <w:rFonts w:hint="eastAsia" w:ascii="宋体" w:hAnsi="宋体" w:eastAsia="宋体" w:cs="宋体"/>
                <w:sz w:val="24"/>
              </w:rPr>
            </w:pPr>
          </w:p>
        </w:tc>
        <w:tc>
          <w:tcPr>
            <w:tcW w:w="1903" w:type="pct"/>
          </w:tcPr>
          <w:p w14:paraId="3D1C1008">
            <w:pPr>
              <w:pStyle w:val="84"/>
              <w:rPr>
                <w:rFonts w:hint="eastAsia" w:ascii="宋体" w:hAnsi="宋体" w:eastAsia="宋体" w:cs="宋体"/>
                <w:sz w:val="24"/>
              </w:rPr>
            </w:pPr>
          </w:p>
        </w:tc>
        <w:tc>
          <w:tcPr>
            <w:tcW w:w="1332" w:type="pct"/>
          </w:tcPr>
          <w:p w14:paraId="484F32ED">
            <w:pPr>
              <w:pStyle w:val="84"/>
              <w:rPr>
                <w:rFonts w:hint="eastAsia" w:ascii="宋体" w:hAnsi="宋体" w:eastAsia="宋体" w:cs="宋体"/>
                <w:sz w:val="24"/>
              </w:rPr>
            </w:pPr>
          </w:p>
        </w:tc>
        <w:tc>
          <w:tcPr>
            <w:tcW w:w="888" w:type="pct"/>
          </w:tcPr>
          <w:p w14:paraId="2F57D37B">
            <w:pPr>
              <w:pStyle w:val="84"/>
              <w:rPr>
                <w:rFonts w:hint="eastAsia" w:ascii="宋体" w:hAnsi="宋体" w:eastAsia="宋体" w:cs="宋体"/>
                <w:sz w:val="24"/>
              </w:rPr>
            </w:pPr>
          </w:p>
        </w:tc>
      </w:tr>
      <w:tr w14:paraId="71FA6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362A44C">
            <w:pPr>
              <w:pStyle w:val="84"/>
              <w:rPr>
                <w:rFonts w:hint="eastAsia" w:ascii="宋体" w:hAnsi="宋体" w:eastAsia="宋体" w:cs="宋体"/>
                <w:sz w:val="24"/>
              </w:rPr>
            </w:pPr>
          </w:p>
        </w:tc>
        <w:tc>
          <w:tcPr>
            <w:tcW w:w="1903" w:type="pct"/>
          </w:tcPr>
          <w:p w14:paraId="46122706">
            <w:pPr>
              <w:pStyle w:val="84"/>
              <w:rPr>
                <w:rFonts w:hint="eastAsia" w:ascii="宋体" w:hAnsi="宋体" w:eastAsia="宋体" w:cs="宋体"/>
                <w:sz w:val="24"/>
              </w:rPr>
            </w:pPr>
          </w:p>
        </w:tc>
        <w:tc>
          <w:tcPr>
            <w:tcW w:w="1332" w:type="pct"/>
          </w:tcPr>
          <w:p w14:paraId="4ECA546C">
            <w:pPr>
              <w:pStyle w:val="84"/>
              <w:rPr>
                <w:rFonts w:hint="eastAsia" w:ascii="宋体" w:hAnsi="宋体" w:eastAsia="宋体" w:cs="宋体"/>
                <w:sz w:val="24"/>
              </w:rPr>
            </w:pPr>
          </w:p>
        </w:tc>
        <w:tc>
          <w:tcPr>
            <w:tcW w:w="888" w:type="pct"/>
          </w:tcPr>
          <w:p w14:paraId="3819A6E6">
            <w:pPr>
              <w:pStyle w:val="84"/>
              <w:rPr>
                <w:rFonts w:hint="eastAsia" w:ascii="宋体" w:hAnsi="宋体" w:eastAsia="宋体" w:cs="宋体"/>
                <w:sz w:val="24"/>
              </w:rPr>
            </w:pPr>
          </w:p>
        </w:tc>
      </w:tr>
      <w:tr w14:paraId="393BEB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29B76452">
            <w:pPr>
              <w:pStyle w:val="84"/>
              <w:rPr>
                <w:rFonts w:hint="eastAsia" w:ascii="宋体" w:hAnsi="宋体" w:eastAsia="宋体" w:cs="宋体"/>
                <w:sz w:val="24"/>
              </w:rPr>
            </w:pPr>
          </w:p>
        </w:tc>
        <w:tc>
          <w:tcPr>
            <w:tcW w:w="1903" w:type="pct"/>
          </w:tcPr>
          <w:p w14:paraId="692390F4">
            <w:pPr>
              <w:pStyle w:val="84"/>
              <w:rPr>
                <w:rFonts w:hint="eastAsia" w:ascii="宋体" w:hAnsi="宋体" w:eastAsia="宋体" w:cs="宋体"/>
                <w:sz w:val="24"/>
              </w:rPr>
            </w:pPr>
          </w:p>
        </w:tc>
        <w:tc>
          <w:tcPr>
            <w:tcW w:w="1332" w:type="pct"/>
          </w:tcPr>
          <w:p w14:paraId="4B9E8057">
            <w:pPr>
              <w:pStyle w:val="84"/>
              <w:rPr>
                <w:rFonts w:hint="eastAsia" w:ascii="宋体" w:hAnsi="宋体" w:eastAsia="宋体" w:cs="宋体"/>
                <w:sz w:val="24"/>
              </w:rPr>
            </w:pPr>
          </w:p>
        </w:tc>
        <w:tc>
          <w:tcPr>
            <w:tcW w:w="888" w:type="pct"/>
          </w:tcPr>
          <w:p w14:paraId="296A130B">
            <w:pPr>
              <w:pStyle w:val="84"/>
              <w:rPr>
                <w:rFonts w:hint="eastAsia" w:ascii="宋体" w:hAnsi="宋体" w:eastAsia="宋体" w:cs="宋体"/>
                <w:sz w:val="24"/>
              </w:rPr>
            </w:pPr>
          </w:p>
        </w:tc>
      </w:tr>
    </w:tbl>
    <w:p w14:paraId="503B94CE">
      <w:pPr>
        <w:spacing w:line="660" w:lineRule="exact"/>
        <w:rPr>
          <w:rFonts w:hint="eastAsia" w:ascii="宋体" w:hAnsi="宋体" w:eastAsia="宋体" w:cs="宋体"/>
          <w:sz w:val="24"/>
        </w:rPr>
      </w:pPr>
      <w:r>
        <w:rPr>
          <w:rFonts w:hint="eastAsia" w:ascii="宋体" w:hAnsi="宋体" w:eastAsia="宋体" w:cs="宋体"/>
          <w:sz w:val="24"/>
        </w:rPr>
        <w:t>投标人：（盖章）</w:t>
      </w:r>
    </w:p>
    <w:p w14:paraId="45B50CFB">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32B26FB">
      <w:pPr>
        <w:rPr>
          <w:rFonts w:hint="eastAsia" w:ascii="宋体" w:hAnsi="宋体" w:eastAsia="宋体" w:cs="宋体"/>
          <w:color w:val="000000"/>
          <w:sz w:val="24"/>
          <w:szCs w:val="24"/>
        </w:rPr>
      </w:pPr>
    </w:p>
    <w:p w14:paraId="0B346FD1">
      <w:pPr>
        <w:rPr>
          <w:rFonts w:hint="eastAsia" w:ascii="宋体" w:hAnsi="宋体" w:eastAsia="宋体" w:cs="宋体"/>
          <w:b/>
          <w:bCs/>
          <w:color w:val="000000"/>
          <w:sz w:val="28"/>
        </w:rPr>
      </w:pPr>
    </w:p>
    <w:p w14:paraId="6F8CB2F8">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6BDB4769">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3FD01D53">
      <w:pPr>
        <w:pStyle w:val="80"/>
        <w:ind w:firstLine="480"/>
        <w:rPr>
          <w:rFonts w:hint="eastAsia" w:ascii="宋体" w:hAnsi="宋体" w:eastAsia="宋体" w:cs="宋体"/>
        </w:rPr>
      </w:pPr>
      <w:r>
        <w:rPr>
          <w:rFonts w:hint="eastAsia" w:ascii="宋体" w:hAnsi="宋体" w:eastAsia="宋体" w:cs="宋体"/>
        </w:rPr>
        <w:t>项目名称：</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7A2BA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25F78F2F">
            <w:pPr>
              <w:pStyle w:val="26"/>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5523150C">
            <w:pPr>
              <w:pStyle w:val="26"/>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4E9C2066">
            <w:pPr>
              <w:pStyle w:val="26"/>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A8D0987">
            <w:pPr>
              <w:pStyle w:val="26"/>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01DBC054">
            <w:pPr>
              <w:pStyle w:val="26"/>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05F98149">
            <w:pPr>
              <w:pStyle w:val="26"/>
              <w:jc w:val="center"/>
              <w:rPr>
                <w:rFonts w:hint="eastAsia" w:ascii="宋体" w:hAnsi="宋体" w:eastAsia="宋体" w:cs="宋体"/>
                <w:b/>
                <w:szCs w:val="21"/>
              </w:rPr>
            </w:pPr>
            <w:r>
              <w:rPr>
                <w:rFonts w:hint="eastAsia" w:ascii="宋体" w:hAnsi="宋体" w:eastAsia="宋体" w:cs="宋体"/>
                <w:b/>
                <w:szCs w:val="21"/>
              </w:rPr>
              <w:t>联系人及</w:t>
            </w:r>
          </w:p>
          <w:p w14:paraId="5436EBF6">
            <w:pPr>
              <w:pStyle w:val="26"/>
              <w:jc w:val="center"/>
              <w:rPr>
                <w:rFonts w:hint="eastAsia" w:ascii="宋体" w:hAnsi="宋体" w:eastAsia="宋体" w:cs="宋体"/>
                <w:b/>
                <w:szCs w:val="21"/>
              </w:rPr>
            </w:pPr>
            <w:r>
              <w:rPr>
                <w:rFonts w:hint="eastAsia" w:ascii="宋体" w:hAnsi="宋体" w:eastAsia="宋体" w:cs="宋体"/>
                <w:b/>
                <w:szCs w:val="21"/>
              </w:rPr>
              <w:t>联系电话</w:t>
            </w:r>
          </w:p>
        </w:tc>
      </w:tr>
      <w:tr w14:paraId="530EA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6FBF5F">
            <w:pPr>
              <w:pStyle w:val="26"/>
              <w:rPr>
                <w:rFonts w:hint="eastAsia" w:ascii="宋体" w:hAnsi="宋体" w:eastAsia="宋体" w:cs="宋体"/>
                <w:b/>
              </w:rPr>
            </w:pPr>
          </w:p>
        </w:tc>
        <w:tc>
          <w:tcPr>
            <w:tcW w:w="1264" w:type="pct"/>
          </w:tcPr>
          <w:p w14:paraId="50A32272">
            <w:pPr>
              <w:pStyle w:val="26"/>
              <w:rPr>
                <w:rFonts w:hint="eastAsia" w:ascii="宋体" w:hAnsi="宋体" w:eastAsia="宋体" w:cs="宋体"/>
                <w:b/>
              </w:rPr>
            </w:pPr>
          </w:p>
        </w:tc>
        <w:tc>
          <w:tcPr>
            <w:tcW w:w="1144" w:type="pct"/>
          </w:tcPr>
          <w:p w14:paraId="0FC64D8A">
            <w:pPr>
              <w:pStyle w:val="26"/>
              <w:rPr>
                <w:rFonts w:hint="eastAsia" w:ascii="宋体" w:hAnsi="宋体" w:eastAsia="宋体" w:cs="宋体"/>
                <w:b/>
              </w:rPr>
            </w:pPr>
          </w:p>
        </w:tc>
        <w:tc>
          <w:tcPr>
            <w:tcW w:w="688" w:type="pct"/>
          </w:tcPr>
          <w:p w14:paraId="048DE912">
            <w:pPr>
              <w:pStyle w:val="26"/>
              <w:rPr>
                <w:rFonts w:hint="eastAsia" w:ascii="宋体" w:hAnsi="宋体" w:eastAsia="宋体" w:cs="宋体"/>
                <w:b/>
              </w:rPr>
            </w:pPr>
          </w:p>
        </w:tc>
        <w:tc>
          <w:tcPr>
            <w:tcW w:w="611" w:type="pct"/>
          </w:tcPr>
          <w:p w14:paraId="5626E39E">
            <w:pPr>
              <w:pStyle w:val="26"/>
              <w:rPr>
                <w:rFonts w:hint="eastAsia" w:ascii="宋体" w:hAnsi="宋体" w:eastAsia="宋体" w:cs="宋体"/>
                <w:b/>
              </w:rPr>
            </w:pPr>
          </w:p>
        </w:tc>
        <w:tc>
          <w:tcPr>
            <w:tcW w:w="819" w:type="pct"/>
          </w:tcPr>
          <w:p w14:paraId="3998759A">
            <w:pPr>
              <w:pStyle w:val="26"/>
              <w:rPr>
                <w:rFonts w:hint="eastAsia" w:ascii="宋体" w:hAnsi="宋体" w:eastAsia="宋体" w:cs="宋体"/>
                <w:b/>
              </w:rPr>
            </w:pPr>
          </w:p>
        </w:tc>
      </w:tr>
      <w:tr w14:paraId="410D7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B1362E9">
            <w:pPr>
              <w:pStyle w:val="26"/>
              <w:rPr>
                <w:rFonts w:hint="eastAsia" w:ascii="宋体" w:hAnsi="宋体" w:eastAsia="宋体" w:cs="宋体"/>
                <w:b/>
              </w:rPr>
            </w:pPr>
          </w:p>
        </w:tc>
        <w:tc>
          <w:tcPr>
            <w:tcW w:w="1264" w:type="pct"/>
          </w:tcPr>
          <w:p w14:paraId="4BAD99F9">
            <w:pPr>
              <w:pStyle w:val="26"/>
              <w:rPr>
                <w:rFonts w:hint="eastAsia" w:ascii="宋体" w:hAnsi="宋体" w:eastAsia="宋体" w:cs="宋体"/>
                <w:b/>
              </w:rPr>
            </w:pPr>
          </w:p>
        </w:tc>
        <w:tc>
          <w:tcPr>
            <w:tcW w:w="1144" w:type="pct"/>
          </w:tcPr>
          <w:p w14:paraId="6C4DECBE">
            <w:pPr>
              <w:pStyle w:val="26"/>
              <w:rPr>
                <w:rFonts w:hint="eastAsia" w:ascii="宋体" w:hAnsi="宋体" w:eastAsia="宋体" w:cs="宋体"/>
                <w:b/>
              </w:rPr>
            </w:pPr>
          </w:p>
        </w:tc>
        <w:tc>
          <w:tcPr>
            <w:tcW w:w="688" w:type="pct"/>
          </w:tcPr>
          <w:p w14:paraId="1B3C0AF7">
            <w:pPr>
              <w:pStyle w:val="26"/>
              <w:rPr>
                <w:rFonts w:hint="eastAsia" w:ascii="宋体" w:hAnsi="宋体" w:eastAsia="宋体" w:cs="宋体"/>
                <w:b/>
              </w:rPr>
            </w:pPr>
          </w:p>
        </w:tc>
        <w:tc>
          <w:tcPr>
            <w:tcW w:w="611" w:type="pct"/>
          </w:tcPr>
          <w:p w14:paraId="34231E1E">
            <w:pPr>
              <w:pStyle w:val="26"/>
              <w:rPr>
                <w:rFonts w:hint="eastAsia" w:ascii="宋体" w:hAnsi="宋体" w:eastAsia="宋体" w:cs="宋体"/>
                <w:b/>
              </w:rPr>
            </w:pPr>
          </w:p>
        </w:tc>
        <w:tc>
          <w:tcPr>
            <w:tcW w:w="819" w:type="pct"/>
          </w:tcPr>
          <w:p w14:paraId="1CC70EAE">
            <w:pPr>
              <w:pStyle w:val="26"/>
              <w:rPr>
                <w:rFonts w:hint="eastAsia" w:ascii="宋体" w:hAnsi="宋体" w:eastAsia="宋体" w:cs="宋体"/>
                <w:b/>
              </w:rPr>
            </w:pPr>
          </w:p>
        </w:tc>
      </w:tr>
      <w:tr w14:paraId="0E4AA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07ADEFA">
            <w:pPr>
              <w:pStyle w:val="26"/>
              <w:rPr>
                <w:rFonts w:hint="eastAsia" w:ascii="宋体" w:hAnsi="宋体" w:eastAsia="宋体" w:cs="宋体"/>
                <w:b/>
              </w:rPr>
            </w:pPr>
          </w:p>
        </w:tc>
        <w:tc>
          <w:tcPr>
            <w:tcW w:w="1264" w:type="pct"/>
          </w:tcPr>
          <w:p w14:paraId="55157BE0">
            <w:pPr>
              <w:pStyle w:val="26"/>
              <w:rPr>
                <w:rFonts w:hint="eastAsia" w:ascii="宋体" w:hAnsi="宋体" w:eastAsia="宋体" w:cs="宋体"/>
                <w:b/>
              </w:rPr>
            </w:pPr>
          </w:p>
        </w:tc>
        <w:tc>
          <w:tcPr>
            <w:tcW w:w="1144" w:type="pct"/>
          </w:tcPr>
          <w:p w14:paraId="6B7DCA6E">
            <w:pPr>
              <w:pStyle w:val="26"/>
              <w:rPr>
                <w:rFonts w:hint="eastAsia" w:ascii="宋体" w:hAnsi="宋体" w:eastAsia="宋体" w:cs="宋体"/>
                <w:b/>
              </w:rPr>
            </w:pPr>
          </w:p>
        </w:tc>
        <w:tc>
          <w:tcPr>
            <w:tcW w:w="688" w:type="pct"/>
          </w:tcPr>
          <w:p w14:paraId="2C49D141">
            <w:pPr>
              <w:pStyle w:val="26"/>
              <w:rPr>
                <w:rFonts w:hint="eastAsia" w:ascii="宋体" w:hAnsi="宋体" w:eastAsia="宋体" w:cs="宋体"/>
                <w:b/>
              </w:rPr>
            </w:pPr>
          </w:p>
        </w:tc>
        <w:tc>
          <w:tcPr>
            <w:tcW w:w="611" w:type="pct"/>
          </w:tcPr>
          <w:p w14:paraId="44F56F9C">
            <w:pPr>
              <w:pStyle w:val="26"/>
              <w:rPr>
                <w:rFonts w:hint="eastAsia" w:ascii="宋体" w:hAnsi="宋体" w:eastAsia="宋体" w:cs="宋体"/>
                <w:b/>
              </w:rPr>
            </w:pPr>
          </w:p>
        </w:tc>
        <w:tc>
          <w:tcPr>
            <w:tcW w:w="819" w:type="pct"/>
          </w:tcPr>
          <w:p w14:paraId="47E562F1">
            <w:pPr>
              <w:pStyle w:val="26"/>
              <w:rPr>
                <w:rFonts w:hint="eastAsia" w:ascii="宋体" w:hAnsi="宋体" w:eastAsia="宋体" w:cs="宋体"/>
                <w:b/>
              </w:rPr>
            </w:pPr>
          </w:p>
        </w:tc>
      </w:tr>
      <w:tr w14:paraId="4EB87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2D21933F">
            <w:pPr>
              <w:pStyle w:val="26"/>
              <w:rPr>
                <w:rFonts w:hint="eastAsia" w:ascii="宋体" w:hAnsi="宋体" w:eastAsia="宋体" w:cs="宋体"/>
                <w:b/>
              </w:rPr>
            </w:pPr>
          </w:p>
        </w:tc>
        <w:tc>
          <w:tcPr>
            <w:tcW w:w="1264" w:type="pct"/>
          </w:tcPr>
          <w:p w14:paraId="08C35C5E">
            <w:pPr>
              <w:pStyle w:val="26"/>
              <w:rPr>
                <w:rFonts w:hint="eastAsia" w:ascii="宋体" w:hAnsi="宋体" w:eastAsia="宋体" w:cs="宋体"/>
                <w:b/>
              </w:rPr>
            </w:pPr>
          </w:p>
        </w:tc>
        <w:tc>
          <w:tcPr>
            <w:tcW w:w="1144" w:type="pct"/>
          </w:tcPr>
          <w:p w14:paraId="3DC656B6">
            <w:pPr>
              <w:pStyle w:val="26"/>
              <w:rPr>
                <w:rFonts w:hint="eastAsia" w:ascii="宋体" w:hAnsi="宋体" w:eastAsia="宋体" w:cs="宋体"/>
                <w:b/>
              </w:rPr>
            </w:pPr>
          </w:p>
        </w:tc>
        <w:tc>
          <w:tcPr>
            <w:tcW w:w="688" w:type="pct"/>
          </w:tcPr>
          <w:p w14:paraId="52FBD984">
            <w:pPr>
              <w:pStyle w:val="26"/>
              <w:rPr>
                <w:rFonts w:hint="eastAsia" w:ascii="宋体" w:hAnsi="宋体" w:eastAsia="宋体" w:cs="宋体"/>
                <w:b/>
              </w:rPr>
            </w:pPr>
          </w:p>
        </w:tc>
        <w:tc>
          <w:tcPr>
            <w:tcW w:w="611" w:type="pct"/>
          </w:tcPr>
          <w:p w14:paraId="6921D7AA">
            <w:pPr>
              <w:pStyle w:val="26"/>
              <w:rPr>
                <w:rFonts w:hint="eastAsia" w:ascii="宋体" w:hAnsi="宋体" w:eastAsia="宋体" w:cs="宋体"/>
                <w:b/>
              </w:rPr>
            </w:pPr>
          </w:p>
        </w:tc>
        <w:tc>
          <w:tcPr>
            <w:tcW w:w="819" w:type="pct"/>
          </w:tcPr>
          <w:p w14:paraId="2B9ECA05">
            <w:pPr>
              <w:pStyle w:val="26"/>
              <w:rPr>
                <w:rFonts w:hint="eastAsia" w:ascii="宋体" w:hAnsi="宋体" w:eastAsia="宋体" w:cs="宋体"/>
                <w:b/>
              </w:rPr>
            </w:pPr>
          </w:p>
        </w:tc>
      </w:tr>
      <w:tr w14:paraId="47F99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90938C">
            <w:pPr>
              <w:pStyle w:val="26"/>
              <w:rPr>
                <w:rFonts w:hint="eastAsia" w:ascii="宋体" w:hAnsi="宋体" w:eastAsia="宋体" w:cs="宋体"/>
                <w:b/>
              </w:rPr>
            </w:pPr>
          </w:p>
        </w:tc>
        <w:tc>
          <w:tcPr>
            <w:tcW w:w="1264" w:type="pct"/>
          </w:tcPr>
          <w:p w14:paraId="00E46587">
            <w:pPr>
              <w:pStyle w:val="26"/>
              <w:rPr>
                <w:rFonts w:hint="eastAsia" w:ascii="宋体" w:hAnsi="宋体" w:eastAsia="宋体" w:cs="宋体"/>
                <w:b/>
              </w:rPr>
            </w:pPr>
          </w:p>
        </w:tc>
        <w:tc>
          <w:tcPr>
            <w:tcW w:w="1144" w:type="pct"/>
          </w:tcPr>
          <w:p w14:paraId="4CF919CB">
            <w:pPr>
              <w:pStyle w:val="26"/>
              <w:rPr>
                <w:rFonts w:hint="eastAsia" w:ascii="宋体" w:hAnsi="宋体" w:eastAsia="宋体" w:cs="宋体"/>
                <w:b/>
              </w:rPr>
            </w:pPr>
          </w:p>
        </w:tc>
        <w:tc>
          <w:tcPr>
            <w:tcW w:w="688" w:type="pct"/>
          </w:tcPr>
          <w:p w14:paraId="031B191C">
            <w:pPr>
              <w:pStyle w:val="26"/>
              <w:rPr>
                <w:rFonts w:hint="eastAsia" w:ascii="宋体" w:hAnsi="宋体" w:eastAsia="宋体" w:cs="宋体"/>
                <w:b/>
              </w:rPr>
            </w:pPr>
          </w:p>
        </w:tc>
        <w:tc>
          <w:tcPr>
            <w:tcW w:w="611" w:type="pct"/>
          </w:tcPr>
          <w:p w14:paraId="1DFD6911">
            <w:pPr>
              <w:pStyle w:val="26"/>
              <w:rPr>
                <w:rFonts w:hint="eastAsia" w:ascii="宋体" w:hAnsi="宋体" w:eastAsia="宋体" w:cs="宋体"/>
                <w:b/>
              </w:rPr>
            </w:pPr>
          </w:p>
        </w:tc>
        <w:tc>
          <w:tcPr>
            <w:tcW w:w="819" w:type="pct"/>
          </w:tcPr>
          <w:p w14:paraId="777FF773">
            <w:pPr>
              <w:pStyle w:val="26"/>
              <w:rPr>
                <w:rFonts w:hint="eastAsia" w:ascii="宋体" w:hAnsi="宋体" w:eastAsia="宋体" w:cs="宋体"/>
                <w:b/>
              </w:rPr>
            </w:pPr>
          </w:p>
        </w:tc>
      </w:tr>
      <w:tr w14:paraId="14EE8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A58CED4">
            <w:pPr>
              <w:pStyle w:val="26"/>
              <w:rPr>
                <w:rFonts w:hint="eastAsia" w:ascii="宋体" w:hAnsi="宋体" w:eastAsia="宋体" w:cs="宋体"/>
                <w:b/>
              </w:rPr>
            </w:pPr>
          </w:p>
        </w:tc>
        <w:tc>
          <w:tcPr>
            <w:tcW w:w="1264" w:type="pct"/>
          </w:tcPr>
          <w:p w14:paraId="463CC2DE">
            <w:pPr>
              <w:pStyle w:val="26"/>
              <w:rPr>
                <w:rFonts w:hint="eastAsia" w:ascii="宋体" w:hAnsi="宋体" w:eastAsia="宋体" w:cs="宋体"/>
                <w:b/>
              </w:rPr>
            </w:pPr>
          </w:p>
        </w:tc>
        <w:tc>
          <w:tcPr>
            <w:tcW w:w="1144" w:type="pct"/>
          </w:tcPr>
          <w:p w14:paraId="2AD282B9">
            <w:pPr>
              <w:pStyle w:val="26"/>
              <w:rPr>
                <w:rFonts w:hint="eastAsia" w:ascii="宋体" w:hAnsi="宋体" w:eastAsia="宋体" w:cs="宋体"/>
                <w:b/>
              </w:rPr>
            </w:pPr>
          </w:p>
        </w:tc>
        <w:tc>
          <w:tcPr>
            <w:tcW w:w="688" w:type="pct"/>
          </w:tcPr>
          <w:p w14:paraId="187C110D">
            <w:pPr>
              <w:pStyle w:val="26"/>
              <w:rPr>
                <w:rFonts w:hint="eastAsia" w:ascii="宋体" w:hAnsi="宋体" w:eastAsia="宋体" w:cs="宋体"/>
                <w:b/>
              </w:rPr>
            </w:pPr>
          </w:p>
        </w:tc>
        <w:tc>
          <w:tcPr>
            <w:tcW w:w="611" w:type="pct"/>
          </w:tcPr>
          <w:p w14:paraId="44D137EC">
            <w:pPr>
              <w:pStyle w:val="26"/>
              <w:rPr>
                <w:rFonts w:hint="eastAsia" w:ascii="宋体" w:hAnsi="宋体" w:eastAsia="宋体" w:cs="宋体"/>
                <w:b/>
              </w:rPr>
            </w:pPr>
          </w:p>
        </w:tc>
        <w:tc>
          <w:tcPr>
            <w:tcW w:w="819" w:type="pct"/>
          </w:tcPr>
          <w:p w14:paraId="4985DE2C">
            <w:pPr>
              <w:pStyle w:val="26"/>
              <w:rPr>
                <w:rFonts w:hint="eastAsia" w:ascii="宋体" w:hAnsi="宋体" w:eastAsia="宋体" w:cs="宋体"/>
                <w:b/>
              </w:rPr>
            </w:pPr>
          </w:p>
        </w:tc>
      </w:tr>
      <w:tr w14:paraId="7E4F8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773E0FE">
            <w:pPr>
              <w:pStyle w:val="26"/>
              <w:rPr>
                <w:rFonts w:hint="eastAsia" w:ascii="宋体" w:hAnsi="宋体" w:eastAsia="宋体" w:cs="宋体"/>
                <w:b/>
              </w:rPr>
            </w:pPr>
          </w:p>
        </w:tc>
        <w:tc>
          <w:tcPr>
            <w:tcW w:w="1264" w:type="pct"/>
          </w:tcPr>
          <w:p w14:paraId="1953286F">
            <w:pPr>
              <w:pStyle w:val="26"/>
              <w:rPr>
                <w:rFonts w:hint="eastAsia" w:ascii="宋体" w:hAnsi="宋体" w:eastAsia="宋体" w:cs="宋体"/>
                <w:b/>
              </w:rPr>
            </w:pPr>
          </w:p>
        </w:tc>
        <w:tc>
          <w:tcPr>
            <w:tcW w:w="1144" w:type="pct"/>
          </w:tcPr>
          <w:p w14:paraId="20311C8B">
            <w:pPr>
              <w:pStyle w:val="26"/>
              <w:rPr>
                <w:rFonts w:hint="eastAsia" w:ascii="宋体" w:hAnsi="宋体" w:eastAsia="宋体" w:cs="宋体"/>
                <w:b/>
              </w:rPr>
            </w:pPr>
          </w:p>
        </w:tc>
        <w:tc>
          <w:tcPr>
            <w:tcW w:w="688" w:type="pct"/>
          </w:tcPr>
          <w:p w14:paraId="0EFE44CC">
            <w:pPr>
              <w:pStyle w:val="26"/>
              <w:rPr>
                <w:rFonts w:hint="eastAsia" w:ascii="宋体" w:hAnsi="宋体" w:eastAsia="宋体" w:cs="宋体"/>
                <w:b/>
              </w:rPr>
            </w:pPr>
          </w:p>
        </w:tc>
        <w:tc>
          <w:tcPr>
            <w:tcW w:w="611" w:type="pct"/>
          </w:tcPr>
          <w:p w14:paraId="78E8D4B1">
            <w:pPr>
              <w:pStyle w:val="26"/>
              <w:rPr>
                <w:rFonts w:hint="eastAsia" w:ascii="宋体" w:hAnsi="宋体" w:eastAsia="宋体" w:cs="宋体"/>
                <w:b/>
              </w:rPr>
            </w:pPr>
          </w:p>
        </w:tc>
        <w:tc>
          <w:tcPr>
            <w:tcW w:w="819" w:type="pct"/>
          </w:tcPr>
          <w:p w14:paraId="29C0B54C">
            <w:pPr>
              <w:pStyle w:val="26"/>
              <w:rPr>
                <w:rFonts w:hint="eastAsia" w:ascii="宋体" w:hAnsi="宋体" w:eastAsia="宋体" w:cs="宋体"/>
                <w:b/>
              </w:rPr>
            </w:pPr>
          </w:p>
        </w:tc>
      </w:tr>
      <w:tr w14:paraId="17803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306DCA4">
            <w:pPr>
              <w:pStyle w:val="26"/>
              <w:rPr>
                <w:rFonts w:hint="eastAsia" w:ascii="宋体" w:hAnsi="宋体" w:eastAsia="宋体" w:cs="宋体"/>
                <w:b/>
              </w:rPr>
            </w:pPr>
          </w:p>
        </w:tc>
        <w:tc>
          <w:tcPr>
            <w:tcW w:w="1264" w:type="pct"/>
          </w:tcPr>
          <w:p w14:paraId="5B449DDC">
            <w:pPr>
              <w:pStyle w:val="26"/>
              <w:rPr>
                <w:rFonts w:hint="eastAsia" w:ascii="宋体" w:hAnsi="宋体" w:eastAsia="宋体" w:cs="宋体"/>
                <w:b/>
              </w:rPr>
            </w:pPr>
          </w:p>
        </w:tc>
        <w:tc>
          <w:tcPr>
            <w:tcW w:w="1144" w:type="pct"/>
          </w:tcPr>
          <w:p w14:paraId="127FF516">
            <w:pPr>
              <w:pStyle w:val="26"/>
              <w:rPr>
                <w:rFonts w:hint="eastAsia" w:ascii="宋体" w:hAnsi="宋体" w:eastAsia="宋体" w:cs="宋体"/>
                <w:b/>
              </w:rPr>
            </w:pPr>
          </w:p>
        </w:tc>
        <w:tc>
          <w:tcPr>
            <w:tcW w:w="688" w:type="pct"/>
          </w:tcPr>
          <w:p w14:paraId="4BE074DA">
            <w:pPr>
              <w:pStyle w:val="26"/>
              <w:rPr>
                <w:rFonts w:hint="eastAsia" w:ascii="宋体" w:hAnsi="宋体" w:eastAsia="宋体" w:cs="宋体"/>
                <w:b/>
              </w:rPr>
            </w:pPr>
          </w:p>
        </w:tc>
        <w:tc>
          <w:tcPr>
            <w:tcW w:w="611" w:type="pct"/>
          </w:tcPr>
          <w:p w14:paraId="68892059">
            <w:pPr>
              <w:pStyle w:val="26"/>
              <w:rPr>
                <w:rFonts w:hint="eastAsia" w:ascii="宋体" w:hAnsi="宋体" w:eastAsia="宋体" w:cs="宋体"/>
                <w:b/>
              </w:rPr>
            </w:pPr>
          </w:p>
        </w:tc>
        <w:tc>
          <w:tcPr>
            <w:tcW w:w="819" w:type="pct"/>
          </w:tcPr>
          <w:p w14:paraId="18570175">
            <w:pPr>
              <w:pStyle w:val="26"/>
              <w:rPr>
                <w:rFonts w:hint="eastAsia" w:ascii="宋体" w:hAnsi="宋体" w:eastAsia="宋体" w:cs="宋体"/>
                <w:b/>
              </w:rPr>
            </w:pPr>
          </w:p>
        </w:tc>
      </w:tr>
      <w:tr w14:paraId="2FEDE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4924B56">
            <w:pPr>
              <w:pStyle w:val="26"/>
              <w:rPr>
                <w:rFonts w:hint="eastAsia" w:ascii="宋体" w:hAnsi="宋体" w:eastAsia="宋体" w:cs="宋体"/>
                <w:b/>
              </w:rPr>
            </w:pPr>
          </w:p>
        </w:tc>
        <w:tc>
          <w:tcPr>
            <w:tcW w:w="1264" w:type="pct"/>
          </w:tcPr>
          <w:p w14:paraId="09571F57">
            <w:pPr>
              <w:pStyle w:val="26"/>
              <w:rPr>
                <w:rFonts w:hint="eastAsia" w:ascii="宋体" w:hAnsi="宋体" w:eastAsia="宋体" w:cs="宋体"/>
                <w:b/>
              </w:rPr>
            </w:pPr>
          </w:p>
        </w:tc>
        <w:tc>
          <w:tcPr>
            <w:tcW w:w="1144" w:type="pct"/>
          </w:tcPr>
          <w:p w14:paraId="1DA25B53">
            <w:pPr>
              <w:pStyle w:val="26"/>
              <w:rPr>
                <w:rFonts w:hint="eastAsia" w:ascii="宋体" w:hAnsi="宋体" w:eastAsia="宋体" w:cs="宋体"/>
                <w:b/>
              </w:rPr>
            </w:pPr>
          </w:p>
        </w:tc>
        <w:tc>
          <w:tcPr>
            <w:tcW w:w="688" w:type="pct"/>
          </w:tcPr>
          <w:p w14:paraId="0B0C0E84">
            <w:pPr>
              <w:pStyle w:val="26"/>
              <w:rPr>
                <w:rFonts w:hint="eastAsia" w:ascii="宋体" w:hAnsi="宋体" w:eastAsia="宋体" w:cs="宋体"/>
                <w:b/>
              </w:rPr>
            </w:pPr>
          </w:p>
        </w:tc>
        <w:tc>
          <w:tcPr>
            <w:tcW w:w="611" w:type="pct"/>
          </w:tcPr>
          <w:p w14:paraId="262F4941">
            <w:pPr>
              <w:pStyle w:val="26"/>
              <w:rPr>
                <w:rFonts w:hint="eastAsia" w:ascii="宋体" w:hAnsi="宋体" w:eastAsia="宋体" w:cs="宋体"/>
                <w:b/>
              </w:rPr>
            </w:pPr>
          </w:p>
        </w:tc>
        <w:tc>
          <w:tcPr>
            <w:tcW w:w="819" w:type="pct"/>
          </w:tcPr>
          <w:p w14:paraId="76AE8955">
            <w:pPr>
              <w:pStyle w:val="26"/>
              <w:rPr>
                <w:rFonts w:hint="eastAsia" w:ascii="宋体" w:hAnsi="宋体" w:eastAsia="宋体" w:cs="宋体"/>
                <w:b/>
              </w:rPr>
            </w:pPr>
          </w:p>
        </w:tc>
      </w:tr>
      <w:tr w14:paraId="5185E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50E1830">
            <w:pPr>
              <w:pStyle w:val="26"/>
              <w:rPr>
                <w:rFonts w:hint="eastAsia" w:ascii="宋体" w:hAnsi="宋体" w:eastAsia="宋体" w:cs="宋体"/>
                <w:b/>
              </w:rPr>
            </w:pPr>
          </w:p>
        </w:tc>
        <w:tc>
          <w:tcPr>
            <w:tcW w:w="1264" w:type="pct"/>
          </w:tcPr>
          <w:p w14:paraId="7A77F0B0">
            <w:pPr>
              <w:pStyle w:val="26"/>
              <w:rPr>
                <w:rFonts w:hint="eastAsia" w:ascii="宋体" w:hAnsi="宋体" w:eastAsia="宋体" w:cs="宋体"/>
                <w:b/>
              </w:rPr>
            </w:pPr>
          </w:p>
        </w:tc>
        <w:tc>
          <w:tcPr>
            <w:tcW w:w="1144" w:type="pct"/>
          </w:tcPr>
          <w:p w14:paraId="37B97A04">
            <w:pPr>
              <w:pStyle w:val="26"/>
              <w:rPr>
                <w:rFonts w:hint="eastAsia" w:ascii="宋体" w:hAnsi="宋体" w:eastAsia="宋体" w:cs="宋体"/>
                <w:b/>
              </w:rPr>
            </w:pPr>
          </w:p>
        </w:tc>
        <w:tc>
          <w:tcPr>
            <w:tcW w:w="688" w:type="pct"/>
          </w:tcPr>
          <w:p w14:paraId="7506B664">
            <w:pPr>
              <w:pStyle w:val="26"/>
              <w:rPr>
                <w:rFonts w:hint="eastAsia" w:ascii="宋体" w:hAnsi="宋体" w:eastAsia="宋体" w:cs="宋体"/>
                <w:b/>
              </w:rPr>
            </w:pPr>
          </w:p>
        </w:tc>
        <w:tc>
          <w:tcPr>
            <w:tcW w:w="611" w:type="pct"/>
          </w:tcPr>
          <w:p w14:paraId="36EF8E78">
            <w:pPr>
              <w:pStyle w:val="26"/>
              <w:rPr>
                <w:rFonts w:hint="eastAsia" w:ascii="宋体" w:hAnsi="宋体" w:eastAsia="宋体" w:cs="宋体"/>
                <w:b/>
              </w:rPr>
            </w:pPr>
          </w:p>
        </w:tc>
        <w:tc>
          <w:tcPr>
            <w:tcW w:w="819" w:type="pct"/>
          </w:tcPr>
          <w:p w14:paraId="5C284C5A">
            <w:pPr>
              <w:pStyle w:val="26"/>
              <w:rPr>
                <w:rFonts w:hint="eastAsia" w:ascii="宋体" w:hAnsi="宋体" w:eastAsia="宋体" w:cs="宋体"/>
                <w:b/>
              </w:rPr>
            </w:pPr>
          </w:p>
        </w:tc>
      </w:tr>
      <w:tr w14:paraId="55E0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098E2C1">
            <w:pPr>
              <w:pStyle w:val="26"/>
              <w:rPr>
                <w:rFonts w:hint="eastAsia" w:ascii="宋体" w:hAnsi="宋体" w:eastAsia="宋体" w:cs="宋体"/>
                <w:b/>
              </w:rPr>
            </w:pPr>
          </w:p>
        </w:tc>
        <w:tc>
          <w:tcPr>
            <w:tcW w:w="1264" w:type="pct"/>
          </w:tcPr>
          <w:p w14:paraId="42EDC84E">
            <w:pPr>
              <w:pStyle w:val="26"/>
              <w:rPr>
                <w:rFonts w:hint="eastAsia" w:ascii="宋体" w:hAnsi="宋体" w:eastAsia="宋体" w:cs="宋体"/>
                <w:b/>
              </w:rPr>
            </w:pPr>
          </w:p>
        </w:tc>
        <w:tc>
          <w:tcPr>
            <w:tcW w:w="1144" w:type="pct"/>
          </w:tcPr>
          <w:p w14:paraId="485879FE">
            <w:pPr>
              <w:pStyle w:val="26"/>
              <w:rPr>
                <w:rFonts w:hint="eastAsia" w:ascii="宋体" w:hAnsi="宋体" w:eastAsia="宋体" w:cs="宋体"/>
                <w:b/>
              </w:rPr>
            </w:pPr>
          </w:p>
        </w:tc>
        <w:tc>
          <w:tcPr>
            <w:tcW w:w="688" w:type="pct"/>
          </w:tcPr>
          <w:p w14:paraId="4C463037">
            <w:pPr>
              <w:pStyle w:val="26"/>
              <w:rPr>
                <w:rFonts w:hint="eastAsia" w:ascii="宋体" w:hAnsi="宋体" w:eastAsia="宋体" w:cs="宋体"/>
                <w:b/>
              </w:rPr>
            </w:pPr>
          </w:p>
        </w:tc>
        <w:tc>
          <w:tcPr>
            <w:tcW w:w="611" w:type="pct"/>
          </w:tcPr>
          <w:p w14:paraId="3843F128">
            <w:pPr>
              <w:pStyle w:val="26"/>
              <w:rPr>
                <w:rFonts w:hint="eastAsia" w:ascii="宋体" w:hAnsi="宋体" w:eastAsia="宋体" w:cs="宋体"/>
                <w:b/>
              </w:rPr>
            </w:pPr>
          </w:p>
        </w:tc>
        <w:tc>
          <w:tcPr>
            <w:tcW w:w="819" w:type="pct"/>
          </w:tcPr>
          <w:p w14:paraId="6FF14AF8">
            <w:pPr>
              <w:pStyle w:val="26"/>
              <w:rPr>
                <w:rFonts w:hint="eastAsia" w:ascii="宋体" w:hAnsi="宋体" w:eastAsia="宋体" w:cs="宋体"/>
                <w:b/>
              </w:rPr>
            </w:pPr>
          </w:p>
        </w:tc>
      </w:tr>
      <w:tr w14:paraId="03B28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1422278">
            <w:pPr>
              <w:pStyle w:val="26"/>
              <w:rPr>
                <w:rFonts w:hint="eastAsia" w:ascii="宋体" w:hAnsi="宋体" w:eastAsia="宋体" w:cs="宋体"/>
                <w:b/>
              </w:rPr>
            </w:pPr>
          </w:p>
        </w:tc>
        <w:tc>
          <w:tcPr>
            <w:tcW w:w="1264" w:type="pct"/>
          </w:tcPr>
          <w:p w14:paraId="7732FFC2">
            <w:pPr>
              <w:pStyle w:val="26"/>
              <w:rPr>
                <w:rFonts w:hint="eastAsia" w:ascii="宋体" w:hAnsi="宋体" w:eastAsia="宋体" w:cs="宋体"/>
                <w:b/>
              </w:rPr>
            </w:pPr>
          </w:p>
        </w:tc>
        <w:tc>
          <w:tcPr>
            <w:tcW w:w="1144" w:type="pct"/>
          </w:tcPr>
          <w:p w14:paraId="6AB6FFD7">
            <w:pPr>
              <w:pStyle w:val="26"/>
              <w:rPr>
                <w:rFonts w:hint="eastAsia" w:ascii="宋体" w:hAnsi="宋体" w:eastAsia="宋体" w:cs="宋体"/>
                <w:b/>
              </w:rPr>
            </w:pPr>
          </w:p>
        </w:tc>
        <w:tc>
          <w:tcPr>
            <w:tcW w:w="688" w:type="pct"/>
          </w:tcPr>
          <w:p w14:paraId="414E6BAC">
            <w:pPr>
              <w:pStyle w:val="26"/>
              <w:rPr>
                <w:rFonts w:hint="eastAsia" w:ascii="宋体" w:hAnsi="宋体" w:eastAsia="宋体" w:cs="宋体"/>
                <w:b/>
              </w:rPr>
            </w:pPr>
          </w:p>
        </w:tc>
        <w:tc>
          <w:tcPr>
            <w:tcW w:w="611" w:type="pct"/>
          </w:tcPr>
          <w:p w14:paraId="7191130A">
            <w:pPr>
              <w:pStyle w:val="26"/>
              <w:rPr>
                <w:rFonts w:hint="eastAsia" w:ascii="宋体" w:hAnsi="宋体" w:eastAsia="宋体" w:cs="宋体"/>
                <w:b/>
              </w:rPr>
            </w:pPr>
          </w:p>
        </w:tc>
        <w:tc>
          <w:tcPr>
            <w:tcW w:w="819" w:type="pct"/>
          </w:tcPr>
          <w:p w14:paraId="7E0B19B7">
            <w:pPr>
              <w:pStyle w:val="26"/>
              <w:rPr>
                <w:rFonts w:hint="eastAsia" w:ascii="宋体" w:hAnsi="宋体" w:eastAsia="宋体" w:cs="宋体"/>
                <w:b/>
              </w:rPr>
            </w:pPr>
          </w:p>
        </w:tc>
      </w:tr>
      <w:tr w14:paraId="53013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9A7EA18">
            <w:pPr>
              <w:pStyle w:val="26"/>
              <w:rPr>
                <w:rFonts w:hint="eastAsia" w:ascii="宋体" w:hAnsi="宋体" w:eastAsia="宋体" w:cs="宋体"/>
                <w:b/>
              </w:rPr>
            </w:pPr>
          </w:p>
        </w:tc>
        <w:tc>
          <w:tcPr>
            <w:tcW w:w="1264" w:type="pct"/>
          </w:tcPr>
          <w:p w14:paraId="33E9C362">
            <w:pPr>
              <w:pStyle w:val="26"/>
              <w:rPr>
                <w:rFonts w:hint="eastAsia" w:ascii="宋体" w:hAnsi="宋体" w:eastAsia="宋体" w:cs="宋体"/>
                <w:b/>
              </w:rPr>
            </w:pPr>
          </w:p>
        </w:tc>
        <w:tc>
          <w:tcPr>
            <w:tcW w:w="1144" w:type="pct"/>
          </w:tcPr>
          <w:p w14:paraId="3F498708">
            <w:pPr>
              <w:pStyle w:val="26"/>
              <w:rPr>
                <w:rFonts w:hint="eastAsia" w:ascii="宋体" w:hAnsi="宋体" w:eastAsia="宋体" w:cs="宋体"/>
                <w:b/>
              </w:rPr>
            </w:pPr>
          </w:p>
        </w:tc>
        <w:tc>
          <w:tcPr>
            <w:tcW w:w="688" w:type="pct"/>
          </w:tcPr>
          <w:p w14:paraId="46F1B547">
            <w:pPr>
              <w:pStyle w:val="26"/>
              <w:rPr>
                <w:rFonts w:hint="eastAsia" w:ascii="宋体" w:hAnsi="宋体" w:eastAsia="宋体" w:cs="宋体"/>
                <w:b/>
              </w:rPr>
            </w:pPr>
          </w:p>
        </w:tc>
        <w:tc>
          <w:tcPr>
            <w:tcW w:w="611" w:type="pct"/>
          </w:tcPr>
          <w:p w14:paraId="0470C51D">
            <w:pPr>
              <w:pStyle w:val="26"/>
              <w:rPr>
                <w:rFonts w:hint="eastAsia" w:ascii="宋体" w:hAnsi="宋体" w:eastAsia="宋体" w:cs="宋体"/>
                <w:b/>
              </w:rPr>
            </w:pPr>
          </w:p>
        </w:tc>
        <w:tc>
          <w:tcPr>
            <w:tcW w:w="819" w:type="pct"/>
          </w:tcPr>
          <w:p w14:paraId="56022A68">
            <w:pPr>
              <w:pStyle w:val="26"/>
              <w:rPr>
                <w:rFonts w:hint="eastAsia" w:ascii="宋体" w:hAnsi="宋体" w:eastAsia="宋体" w:cs="宋体"/>
                <w:b/>
              </w:rPr>
            </w:pPr>
          </w:p>
        </w:tc>
      </w:tr>
    </w:tbl>
    <w:p w14:paraId="73FC27EE">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4A2A8E33">
      <w:pPr>
        <w:tabs>
          <w:tab w:val="left" w:pos="1578"/>
          <w:tab w:val="left" w:pos="10083"/>
        </w:tabs>
        <w:spacing w:line="500" w:lineRule="exact"/>
        <w:rPr>
          <w:rFonts w:hint="eastAsia" w:ascii="宋体" w:hAnsi="宋体" w:eastAsia="宋体" w:cs="宋体"/>
          <w:sz w:val="24"/>
        </w:rPr>
      </w:pPr>
    </w:p>
    <w:p w14:paraId="5AD0D071">
      <w:pPr>
        <w:spacing w:line="660" w:lineRule="exact"/>
        <w:rPr>
          <w:rFonts w:hint="eastAsia" w:ascii="宋体" w:hAnsi="宋体" w:eastAsia="宋体" w:cs="宋体"/>
          <w:sz w:val="24"/>
        </w:rPr>
      </w:pPr>
      <w:r>
        <w:rPr>
          <w:rFonts w:hint="eastAsia" w:ascii="宋体" w:hAnsi="宋体" w:eastAsia="宋体" w:cs="宋体"/>
          <w:sz w:val="24"/>
        </w:rPr>
        <w:t>投标人：（盖章）</w:t>
      </w:r>
    </w:p>
    <w:p w14:paraId="5AFC0505">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1BED623">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2B2DE833">
      <w:pPr>
        <w:rPr>
          <w:rFonts w:hint="eastAsia" w:ascii="宋体" w:hAnsi="宋体" w:eastAsia="宋体" w:cs="宋体"/>
          <w:b/>
          <w:bCs/>
          <w:color w:val="000000"/>
          <w:sz w:val="28"/>
        </w:rPr>
      </w:pPr>
    </w:p>
    <w:p w14:paraId="6DD23AC4">
      <w:pPr>
        <w:rPr>
          <w:rFonts w:hint="eastAsia" w:ascii="宋体" w:hAnsi="宋体" w:eastAsia="宋体" w:cs="宋体"/>
          <w:b/>
          <w:bCs/>
          <w:color w:val="000000"/>
          <w:sz w:val="28"/>
          <w:szCs w:val="22"/>
        </w:rPr>
      </w:pPr>
    </w:p>
    <w:p w14:paraId="008843B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60829B42">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6E60B2A2">
      <w:pPr>
        <w:spacing w:line="240" w:lineRule="exact"/>
        <w:rPr>
          <w:rFonts w:hint="eastAsia" w:ascii="宋体" w:hAnsi="宋体" w:eastAsia="宋体" w:cs="宋体"/>
        </w:rPr>
      </w:pPr>
      <w:r>
        <w:rPr>
          <w:rFonts w:hint="eastAsia" w:ascii="宋体" w:hAnsi="宋体" w:eastAsia="宋体" w:cs="宋体"/>
        </w:rPr>
        <w:t xml:space="preserve">                                               </w:t>
      </w:r>
    </w:p>
    <w:p w14:paraId="38C84932">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71EC5533">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6D16D8CD">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1A2EC54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39F359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7D28C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D9538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F13FF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8946F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EB7451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4B7494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46F7B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4EC77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992697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EFB98C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0220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3AA574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46E8F9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82754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9CF9E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4E45B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0B47BAC">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59DB1201">
      <w:pPr>
        <w:spacing w:line="660" w:lineRule="exact"/>
        <w:rPr>
          <w:rFonts w:hint="eastAsia" w:ascii="宋体" w:hAnsi="宋体" w:eastAsia="宋体" w:cs="宋体"/>
          <w:sz w:val="24"/>
        </w:rPr>
      </w:pPr>
      <w:r>
        <w:rPr>
          <w:rFonts w:hint="eastAsia" w:ascii="宋体" w:hAnsi="宋体" w:eastAsia="宋体" w:cs="宋体"/>
          <w:sz w:val="24"/>
        </w:rPr>
        <w:t>投标人：（盖章）</w:t>
      </w:r>
    </w:p>
    <w:p w14:paraId="225B4A78">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4C74625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168A98F">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33611405">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745FC1B1">
      <w:pPr>
        <w:pStyle w:val="80"/>
        <w:ind w:firstLine="480"/>
        <w:rPr>
          <w:rFonts w:hint="eastAsia" w:ascii="宋体" w:hAnsi="宋体" w:eastAsia="宋体" w:cs="宋体"/>
          <w:b/>
        </w:rPr>
      </w:pPr>
      <w:r>
        <w:rPr>
          <w:rFonts w:hint="eastAsia" w:ascii="宋体" w:hAnsi="宋体" w:eastAsia="宋体" w:cs="宋体"/>
          <w:b/>
        </w:rPr>
        <w:t>《开标一览表》单独封存，以备唱标使用</w:t>
      </w:r>
    </w:p>
    <w:p w14:paraId="23BCC4BA">
      <w:pPr>
        <w:pStyle w:val="80"/>
        <w:ind w:firstLine="480"/>
        <w:rPr>
          <w:rFonts w:hint="eastAsia" w:ascii="宋体" w:hAnsi="宋体" w:eastAsia="宋体" w:cs="宋体"/>
        </w:rPr>
      </w:pPr>
      <w:r>
        <w:rPr>
          <w:rFonts w:hint="eastAsia" w:ascii="宋体" w:hAnsi="宋体" w:eastAsia="宋体" w:cs="宋体"/>
        </w:rPr>
        <w:t>项目名称：</w:t>
      </w:r>
    </w:p>
    <w:tbl>
      <w:tblPr>
        <w:tblStyle w:val="34"/>
        <w:tblpPr w:leftFromText="180" w:rightFromText="180" w:vertAnchor="text" w:horzAnchor="page" w:tblpX="1497" w:tblpY="310"/>
        <w:tblOverlap w:val="never"/>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20403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6134CBD0">
            <w:pPr>
              <w:pStyle w:val="84"/>
              <w:rPr>
                <w:rFonts w:hint="eastAsia" w:ascii="宋体" w:hAnsi="宋体" w:eastAsia="宋体" w:cs="宋体"/>
                <w:lang w:val="en-US" w:eastAsia="zh-CN"/>
              </w:rPr>
            </w:pPr>
            <w:r>
              <w:rPr>
                <w:rFonts w:hint="eastAsia" w:ascii="宋体" w:hAnsi="宋体" w:eastAsia="宋体" w:cs="宋体"/>
                <w:lang w:val="en-US" w:eastAsia="zh-CN"/>
              </w:rPr>
              <w:t>报价单</w:t>
            </w:r>
          </w:p>
        </w:tc>
      </w:tr>
      <w:tr w14:paraId="39E3E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79D74337">
            <w:pPr>
              <w:pStyle w:val="84"/>
              <w:rPr>
                <w:rFonts w:hint="eastAsia" w:ascii="宋体" w:hAnsi="宋体" w:eastAsia="宋体" w:cs="宋体"/>
              </w:rPr>
            </w:pPr>
            <w:r>
              <w:rPr>
                <w:rFonts w:hint="eastAsia" w:ascii="宋体" w:hAnsi="宋体" w:eastAsia="宋体" w:cs="宋体"/>
              </w:rPr>
              <w:t>序号</w:t>
            </w:r>
          </w:p>
        </w:tc>
        <w:tc>
          <w:tcPr>
            <w:tcW w:w="751" w:type="pct"/>
            <w:vAlign w:val="center"/>
          </w:tcPr>
          <w:p w14:paraId="2A7B2DA9">
            <w:pPr>
              <w:pStyle w:val="84"/>
              <w:rPr>
                <w:rFonts w:hint="eastAsia" w:ascii="宋体" w:hAnsi="宋体" w:eastAsia="宋体" w:cs="宋体"/>
              </w:rPr>
            </w:pPr>
            <w:r>
              <w:rPr>
                <w:rFonts w:hint="eastAsia" w:ascii="宋体" w:hAnsi="宋体" w:eastAsia="宋体" w:cs="宋体"/>
              </w:rPr>
              <w:t>项目名称</w:t>
            </w:r>
          </w:p>
        </w:tc>
        <w:tc>
          <w:tcPr>
            <w:tcW w:w="614" w:type="pct"/>
            <w:vAlign w:val="center"/>
          </w:tcPr>
          <w:p w14:paraId="5DE9CEF4">
            <w:pPr>
              <w:pStyle w:val="84"/>
              <w:rPr>
                <w:rFonts w:hint="eastAsia" w:ascii="宋体" w:hAnsi="宋体" w:eastAsia="宋体" w:cs="宋体"/>
              </w:rPr>
            </w:pPr>
            <w:r>
              <w:rPr>
                <w:rFonts w:hint="eastAsia" w:ascii="宋体" w:hAnsi="宋体" w:eastAsia="宋体" w:cs="宋体"/>
              </w:rPr>
              <w:t>投标总价</w:t>
            </w:r>
          </w:p>
          <w:p w14:paraId="6755DAFE">
            <w:pPr>
              <w:pStyle w:val="84"/>
              <w:rPr>
                <w:rFonts w:hint="eastAsia" w:ascii="宋体" w:hAnsi="宋体" w:eastAsia="宋体" w:cs="宋体"/>
              </w:rPr>
            </w:pPr>
            <w:r>
              <w:rPr>
                <w:rFonts w:hint="eastAsia" w:ascii="宋体" w:hAnsi="宋体" w:eastAsia="宋体" w:cs="宋体"/>
              </w:rPr>
              <w:t>（元）</w:t>
            </w:r>
          </w:p>
        </w:tc>
        <w:tc>
          <w:tcPr>
            <w:tcW w:w="381" w:type="pct"/>
            <w:vAlign w:val="center"/>
          </w:tcPr>
          <w:p w14:paraId="5676D3A1">
            <w:pPr>
              <w:pStyle w:val="84"/>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2BF42064">
            <w:pPr>
              <w:pStyle w:val="84"/>
              <w:rPr>
                <w:rFonts w:hint="eastAsia" w:ascii="宋体" w:hAnsi="宋体" w:eastAsia="宋体" w:cs="宋体"/>
                <w:szCs w:val="21"/>
              </w:rPr>
            </w:pPr>
            <w:r>
              <w:rPr>
                <w:rFonts w:hint="eastAsia" w:ascii="宋体" w:hAnsi="宋体" w:eastAsia="宋体" w:cs="宋体"/>
                <w:szCs w:val="21"/>
              </w:rPr>
              <w:t>税率</w:t>
            </w:r>
          </w:p>
        </w:tc>
        <w:tc>
          <w:tcPr>
            <w:tcW w:w="651" w:type="pct"/>
            <w:vAlign w:val="center"/>
          </w:tcPr>
          <w:p w14:paraId="5BE6C00C">
            <w:pPr>
              <w:pStyle w:val="84"/>
              <w:rPr>
                <w:rFonts w:hint="eastAsia" w:ascii="宋体" w:hAnsi="宋体" w:eastAsia="宋体" w:cs="宋体"/>
              </w:rPr>
            </w:pPr>
            <w:r>
              <w:rPr>
                <w:rFonts w:hint="eastAsia" w:ascii="宋体" w:hAnsi="宋体" w:eastAsia="宋体" w:cs="宋体"/>
              </w:rPr>
              <w:t>质保期</w:t>
            </w:r>
          </w:p>
          <w:p w14:paraId="22AFCEDD">
            <w:pPr>
              <w:pStyle w:val="84"/>
              <w:rPr>
                <w:rFonts w:hint="eastAsia" w:ascii="宋体" w:hAnsi="宋体" w:eastAsia="宋体" w:cs="宋体"/>
              </w:rPr>
            </w:pPr>
            <w:r>
              <w:rPr>
                <w:rFonts w:hint="eastAsia" w:ascii="宋体" w:hAnsi="宋体" w:eastAsia="宋体" w:cs="宋体"/>
              </w:rPr>
              <w:t>（若有）</w:t>
            </w:r>
          </w:p>
        </w:tc>
        <w:tc>
          <w:tcPr>
            <w:tcW w:w="831" w:type="pct"/>
            <w:vAlign w:val="center"/>
          </w:tcPr>
          <w:p w14:paraId="23F76770">
            <w:pPr>
              <w:pStyle w:val="84"/>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459F107A">
            <w:pPr>
              <w:pStyle w:val="84"/>
              <w:rPr>
                <w:rFonts w:hint="eastAsia" w:ascii="宋体" w:hAnsi="宋体" w:eastAsia="宋体" w:cs="宋体"/>
              </w:rPr>
            </w:pPr>
            <w:r>
              <w:rPr>
                <w:rFonts w:hint="eastAsia" w:ascii="宋体" w:hAnsi="宋体" w:eastAsia="宋体" w:cs="宋体"/>
              </w:rPr>
              <w:t>付款方式及比例是否偏离</w:t>
            </w:r>
          </w:p>
        </w:tc>
      </w:tr>
      <w:tr w14:paraId="7B6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79E50090">
            <w:pPr>
              <w:pStyle w:val="84"/>
              <w:rPr>
                <w:rFonts w:hint="eastAsia" w:ascii="宋体" w:hAnsi="宋体" w:eastAsia="宋体" w:cs="宋体"/>
              </w:rPr>
            </w:pPr>
            <w:r>
              <w:rPr>
                <w:rFonts w:hint="eastAsia" w:ascii="宋体" w:hAnsi="宋体" w:eastAsia="宋体" w:cs="宋体"/>
              </w:rPr>
              <w:t>1</w:t>
            </w:r>
          </w:p>
        </w:tc>
        <w:tc>
          <w:tcPr>
            <w:tcW w:w="751" w:type="pct"/>
            <w:vAlign w:val="center"/>
          </w:tcPr>
          <w:p w14:paraId="4FBF142A">
            <w:pPr>
              <w:pStyle w:val="84"/>
              <w:rPr>
                <w:rFonts w:hint="eastAsia" w:ascii="宋体" w:hAnsi="宋体" w:eastAsia="宋体" w:cs="宋体"/>
              </w:rPr>
            </w:pPr>
            <w:r>
              <w:rPr>
                <w:rFonts w:hint="eastAsia" w:ascii="宋体" w:hAnsi="宋体" w:eastAsia="宋体" w:cs="宋体"/>
                <w:lang w:val="en-US" w:eastAsia="zh-CN"/>
              </w:rPr>
              <w:t>可编程辅驱（小三电）模拟负载项目</w:t>
            </w:r>
          </w:p>
        </w:tc>
        <w:tc>
          <w:tcPr>
            <w:tcW w:w="614" w:type="pct"/>
            <w:vAlign w:val="center"/>
          </w:tcPr>
          <w:p w14:paraId="67AE5222">
            <w:pPr>
              <w:pStyle w:val="84"/>
              <w:rPr>
                <w:rFonts w:hint="eastAsia" w:ascii="宋体" w:hAnsi="宋体" w:eastAsia="宋体" w:cs="宋体"/>
              </w:rPr>
            </w:pPr>
          </w:p>
        </w:tc>
        <w:tc>
          <w:tcPr>
            <w:tcW w:w="381" w:type="pct"/>
            <w:vAlign w:val="center"/>
          </w:tcPr>
          <w:p w14:paraId="53BC2298">
            <w:pPr>
              <w:pStyle w:val="84"/>
              <w:rPr>
                <w:rFonts w:hint="eastAsia" w:ascii="宋体" w:hAnsi="宋体" w:eastAsia="宋体" w:cs="宋体"/>
              </w:rPr>
            </w:pPr>
          </w:p>
        </w:tc>
        <w:tc>
          <w:tcPr>
            <w:tcW w:w="363" w:type="pct"/>
            <w:vAlign w:val="center"/>
          </w:tcPr>
          <w:p w14:paraId="45C951A3">
            <w:pPr>
              <w:pStyle w:val="84"/>
              <w:rPr>
                <w:rFonts w:hint="eastAsia" w:ascii="宋体" w:hAnsi="宋体" w:eastAsia="宋体" w:cs="宋体"/>
              </w:rPr>
            </w:pPr>
          </w:p>
        </w:tc>
        <w:tc>
          <w:tcPr>
            <w:tcW w:w="651" w:type="pct"/>
            <w:vAlign w:val="center"/>
          </w:tcPr>
          <w:p w14:paraId="6F118424">
            <w:pPr>
              <w:pStyle w:val="84"/>
              <w:rPr>
                <w:rFonts w:hint="eastAsia" w:ascii="宋体" w:hAnsi="宋体" w:eastAsia="宋体" w:cs="宋体"/>
              </w:rPr>
            </w:pPr>
          </w:p>
        </w:tc>
        <w:tc>
          <w:tcPr>
            <w:tcW w:w="831" w:type="pct"/>
            <w:vAlign w:val="center"/>
          </w:tcPr>
          <w:p w14:paraId="72EDE070">
            <w:pPr>
              <w:pStyle w:val="84"/>
              <w:rPr>
                <w:rFonts w:hint="eastAsia" w:ascii="宋体" w:hAnsi="宋体" w:eastAsia="宋体" w:cs="宋体"/>
              </w:rPr>
            </w:pPr>
          </w:p>
        </w:tc>
        <w:tc>
          <w:tcPr>
            <w:tcW w:w="1109" w:type="pct"/>
            <w:vAlign w:val="center"/>
          </w:tcPr>
          <w:p w14:paraId="7FC09572">
            <w:pPr>
              <w:pStyle w:val="84"/>
              <w:rPr>
                <w:rFonts w:hint="eastAsia" w:ascii="宋体" w:hAnsi="宋体" w:eastAsia="宋体" w:cs="宋体"/>
              </w:rPr>
            </w:pPr>
          </w:p>
        </w:tc>
      </w:tr>
      <w:tr w14:paraId="29A5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4BFC3A0D">
            <w:pPr>
              <w:pStyle w:val="84"/>
              <w:rPr>
                <w:rFonts w:hint="eastAsia" w:ascii="宋体" w:hAnsi="宋体" w:eastAsia="宋体" w:cs="宋体"/>
              </w:rPr>
            </w:pPr>
            <w:r>
              <w:rPr>
                <w:rFonts w:hint="eastAsia" w:ascii="宋体" w:hAnsi="宋体" w:eastAsia="宋体" w:cs="宋体"/>
              </w:rPr>
              <w:t>2</w:t>
            </w:r>
          </w:p>
        </w:tc>
        <w:tc>
          <w:tcPr>
            <w:tcW w:w="751" w:type="pct"/>
            <w:vAlign w:val="center"/>
          </w:tcPr>
          <w:p w14:paraId="5F20BFA8">
            <w:pPr>
              <w:pStyle w:val="84"/>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21E30440">
            <w:pPr>
              <w:pStyle w:val="84"/>
              <w:rPr>
                <w:rFonts w:hint="eastAsia" w:ascii="宋体" w:hAnsi="宋体" w:eastAsia="宋体" w:cs="宋体"/>
              </w:rPr>
            </w:pPr>
          </w:p>
        </w:tc>
      </w:tr>
    </w:tbl>
    <w:p w14:paraId="6DE43602">
      <w:pPr>
        <w:pStyle w:val="80"/>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09FDDBB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65191171">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7E7CA124">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136A019">
      <w:pPr>
        <w:spacing w:line="660" w:lineRule="exact"/>
        <w:rPr>
          <w:rFonts w:hint="eastAsia" w:ascii="宋体" w:hAnsi="宋体" w:eastAsia="宋体" w:cs="宋体"/>
          <w:sz w:val="24"/>
        </w:rPr>
      </w:pPr>
    </w:p>
    <w:p w14:paraId="716F90FE">
      <w:pPr>
        <w:spacing w:line="660" w:lineRule="exact"/>
        <w:rPr>
          <w:rFonts w:hint="eastAsia" w:ascii="宋体" w:hAnsi="宋体" w:eastAsia="宋体" w:cs="宋体"/>
          <w:sz w:val="24"/>
        </w:rPr>
      </w:pPr>
    </w:p>
    <w:p w14:paraId="1314DB71">
      <w:pPr>
        <w:spacing w:line="660" w:lineRule="exact"/>
        <w:rPr>
          <w:rFonts w:hint="eastAsia" w:ascii="宋体" w:hAnsi="宋体" w:eastAsia="宋体" w:cs="宋体"/>
          <w:sz w:val="24"/>
        </w:rPr>
      </w:pPr>
    </w:p>
    <w:p w14:paraId="7EE9305D">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540E100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4D93DB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8E30045">
      <w:pPr>
        <w:ind w:firstLine="480"/>
        <w:rPr>
          <w:rFonts w:hint="eastAsia" w:ascii="宋体" w:hAnsi="宋体" w:eastAsia="宋体" w:cs="宋体"/>
          <w:color w:val="000000"/>
          <w:sz w:val="24"/>
          <w:szCs w:val="24"/>
        </w:rPr>
      </w:pPr>
    </w:p>
    <w:p w14:paraId="6B376207">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B6C7214">
      <w:pPr>
        <w:pStyle w:val="86"/>
        <w:ind w:firstLine="480"/>
        <w:rPr>
          <w:rFonts w:hint="eastAsia" w:ascii="宋体" w:hAnsi="宋体" w:eastAsia="宋体" w:cs="宋体"/>
        </w:rPr>
      </w:pPr>
      <w:bookmarkStart w:id="10" w:name="_Toc26556"/>
      <w:bookmarkStart w:id="11" w:name="_Toc353881017"/>
      <w:bookmarkStart w:id="12" w:name="_Toc639008"/>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27947759">
      <w:pPr>
        <w:pStyle w:val="80"/>
        <w:ind w:firstLine="480"/>
        <w:rPr>
          <w:rFonts w:hint="eastAsia" w:ascii="宋体" w:hAnsi="宋体" w:eastAsia="宋体" w:cs="宋体"/>
        </w:rPr>
      </w:pPr>
      <w:r>
        <w:rPr>
          <w:rFonts w:hint="eastAsia" w:ascii="宋体" w:hAnsi="宋体" w:eastAsia="宋体" w:cs="宋体"/>
        </w:rPr>
        <w:t>项目名称：</w:t>
      </w:r>
    </w:p>
    <w:tbl>
      <w:tblPr>
        <w:tblStyle w:val="34"/>
        <w:tblW w:w="8995" w:type="dxa"/>
        <w:tblInd w:w="0" w:type="dxa"/>
        <w:tblLayout w:type="fixed"/>
        <w:tblCellMar>
          <w:top w:w="0" w:type="dxa"/>
          <w:left w:w="108" w:type="dxa"/>
          <w:bottom w:w="0" w:type="dxa"/>
          <w:right w:w="108" w:type="dxa"/>
        </w:tblCellMar>
      </w:tblPr>
      <w:tblGrid>
        <w:gridCol w:w="949"/>
        <w:gridCol w:w="1804"/>
        <w:gridCol w:w="1356"/>
        <w:gridCol w:w="744"/>
        <w:gridCol w:w="816"/>
        <w:gridCol w:w="1260"/>
        <w:gridCol w:w="1486"/>
        <w:gridCol w:w="580"/>
      </w:tblGrid>
      <w:tr w14:paraId="5F0F4850">
        <w:tblPrEx>
          <w:tblCellMar>
            <w:top w:w="0" w:type="dxa"/>
            <w:left w:w="108" w:type="dxa"/>
            <w:bottom w:w="0" w:type="dxa"/>
            <w:right w:w="108" w:type="dxa"/>
          </w:tblCellMar>
        </w:tblPrEx>
        <w:trPr>
          <w:trHeight w:val="608"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D8B54">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序号</w:t>
            </w: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863808">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名称</w:t>
            </w: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4FE93">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型号规格</w:t>
            </w:r>
          </w:p>
        </w:tc>
        <w:tc>
          <w:tcPr>
            <w:tcW w:w="74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DDA03">
            <w:pPr>
              <w:widowControl/>
              <w:jc w:val="both"/>
              <w:rPr>
                <w:rFonts w:hint="eastAsia" w:ascii="宋体" w:hAnsi="宋体" w:eastAsia="宋体" w:cs="宋体"/>
                <w:kern w:val="0"/>
                <w:sz w:val="18"/>
                <w:szCs w:val="18"/>
                <w:lang w:val="en-US" w:eastAsia="zh-CN"/>
              </w:rPr>
            </w:pPr>
            <w:r>
              <w:rPr>
                <w:rFonts w:hint="eastAsia" w:ascii="宋体" w:hAnsi="宋体" w:cs="宋体"/>
                <w:kern w:val="0"/>
                <w:sz w:val="18"/>
                <w:szCs w:val="18"/>
                <w:lang w:val="en-US" w:eastAsia="zh-CN"/>
              </w:rPr>
              <w:t>单位</w:t>
            </w:r>
          </w:p>
        </w:tc>
        <w:tc>
          <w:tcPr>
            <w:tcW w:w="8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1E8E8">
            <w:pPr>
              <w:widowControl/>
              <w:jc w:val="center"/>
              <w:rPr>
                <w:rFonts w:hint="default" w:ascii="宋体" w:hAnsi="宋体" w:eastAsia="宋体" w:cs="宋体"/>
                <w:kern w:val="0"/>
                <w:sz w:val="18"/>
                <w:szCs w:val="18"/>
                <w:lang w:val="en-US" w:eastAsia="zh-CN"/>
              </w:rPr>
            </w:pPr>
            <w:r>
              <w:rPr>
                <w:rFonts w:hint="eastAsia" w:ascii="宋体" w:hAnsi="宋体" w:cs="宋体"/>
                <w:kern w:val="0"/>
                <w:sz w:val="18"/>
                <w:szCs w:val="18"/>
                <w:lang w:val="en-US" w:eastAsia="zh-CN"/>
              </w:rPr>
              <w:t>数量</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556CF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单价</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148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2227DC">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合计</w:t>
            </w:r>
            <w:r>
              <w:rPr>
                <w:rFonts w:hint="eastAsia" w:ascii="宋体" w:hAnsi="宋体" w:eastAsia="宋体" w:cs="宋体"/>
                <w:kern w:val="0"/>
                <w:sz w:val="18"/>
                <w:szCs w:val="18"/>
              </w:rPr>
              <w:br w:type="textWrapping"/>
            </w:r>
            <w:r>
              <w:rPr>
                <w:rFonts w:hint="eastAsia" w:ascii="宋体" w:hAnsi="宋体" w:eastAsia="宋体" w:cs="宋体"/>
                <w:kern w:val="0"/>
                <w:sz w:val="18"/>
                <w:szCs w:val="18"/>
              </w:rPr>
              <w:t>(</w:t>
            </w:r>
            <w:r>
              <w:rPr>
                <w:rFonts w:hint="eastAsia" w:ascii="宋体" w:hAnsi="宋体" w:cs="宋体"/>
                <w:kern w:val="0"/>
                <w:sz w:val="18"/>
                <w:szCs w:val="18"/>
                <w:lang w:val="en-US" w:eastAsia="zh-CN"/>
              </w:rPr>
              <w:t>含税/</w:t>
            </w:r>
            <w:r>
              <w:rPr>
                <w:rFonts w:hint="eastAsia" w:ascii="宋体" w:hAnsi="宋体" w:eastAsia="宋体" w:cs="宋体"/>
                <w:kern w:val="0"/>
                <w:sz w:val="18"/>
                <w:szCs w:val="18"/>
              </w:rPr>
              <w:t>元)</w:t>
            </w: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1A18A">
            <w:pPr>
              <w:widowControl/>
              <w:jc w:val="center"/>
              <w:rPr>
                <w:rFonts w:hint="eastAsia" w:ascii="宋体" w:hAnsi="宋体" w:eastAsia="宋体" w:cs="宋体"/>
                <w:kern w:val="0"/>
                <w:sz w:val="18"/>
                <w:szCs w:val="18"/>
              </w:rPr>
            </w:pPr>
            <w:r>
              <w:rPr>
                <w:rFonts w:hint="eastAsia" w:ascii="宋体" w:hAnsi="宋体" w:eastAsia="宋体" w:cs="宋体"/>
                <w:kern w:val="0"/>
                <w:sz w:val="18"/>
                <w:szCs w:val="18"/>
              </w:rPr>
              <w:t>备注</w:t>
            </w:r>
          </w:p>
        </w:tc>
      </w:tr>
      <w:tr w14:paraId="1A0470BF">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93FED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1</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9C0D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1FC43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209F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742E8">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411EFC">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951CC1">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CDE915">
            <w:pPr>
              <w:widowControl/>
              <w:jc w:val="center"/>
              <w:rPr>
                <w:rFonts w:hint="eastAsia" w:ascii="宋体" w:hAnsi="宋体" w:eastAsia="宋体" w:cs="宋体"/>
                <w:kern w:val="0"/>
                <w:sz w:val="18"/>
                <w:szCs w:val="18"/>
              </w:rPr>
            </w:pPr>
          </w:p>
        </w:tc>
      </w:tr>
      <w:tr w14:paraId="6F7851A6">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4E69AD">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2</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E34A93">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D4D2D">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403E6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E675E">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BC0A6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24D0B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D03BD1">
            <w:pPr>
              <w:widowControl/>
              <w:jc w:val="center"/>
              <w:rPr>
                <w:rFonts w:hint="eastAsia" w:ascii="宋体" w:hAnsi="宋体" w:eastAsia="宋体" w:cs="宋体"/>
                <w:kern w:val="0"/>
                <w:sz w:val="18"/>
                <w:szCs w:val="18"/>
              </w:rPr>
            </w:pPr>
          </w:p>
        </w:tc>
      </w:tr>
      <w:tr w14:paraId="64921161">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A7DDB9">
            <w:pPr>
              <w:keepNext w:val="0"/>
              <w:keepLines w:val="0"/>
              <w:widowControl/>
              <w:suppressLineNumbers w:val="0"/>
              <w:jc w:val="center"/>
              <w:textAlignment w:val="center"/>
              <w:rPr>
                <w:rFonts w:hint="eastAsia" w:ascii="宋体" w:hAnsi="宋体" w:eastAsia="宋体" w:cs="宋体"/>
                <w:kern w:val="0"/>
                <w:sz w:val="18"/>
                <w:szCs w:val="18"/>
              </w:rPr>
            </w:pPr>
            <w:r>
              <w:rPr>
                <w:rFonts w:hint="eastAsia" w:ascii="宋体" w:hAnsi="宋体" w:eastAsia="宋体" w:cs="宋体"/>
                <w:i w:val="0"/>
                <w:iCs w:val="0"/>
                <w:color w:val="000000"/>
                <w:kern w:val="0"/>
                <w:sz w:val="22"/>
                <w:szCs w:val="22"/>
                <w:u w:val="none"/>
                <w:lang w:val="en-US" w:eastAsia="zh-CN" w:bidi="ar"/>
              </w:rPr>
              <w:t>3</w:t>
            </w: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21AC6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0B44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0A744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0298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7D7CF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A19BB">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24FF3">
            <w:pPr>
              <w:widowControl/>
              <w:jc w:val="center"/>
              <w:rPr>
                <w:rFonts w:hint="eastAsia" w:ascii="宋体" w:hAnsi="宋体" w:eastAsia="宋体" w:cs="宋体"/>
                <w:kern w:val="0"/>
                <w:sz w:val="18"/>
                <w:szCs w:val="18"/>
              </w:rPr>
            </w:pPr>
          </w:p>
        </w:tc>
      </w:tr>
      <w:tr w14:paraId="09F2F06A">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83657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49984">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B19F8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4D19C6">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B9976">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D306DD">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0D8EC3">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973E1A">
            <w:pPr>
              <w:widowControl/>
              <w:jc w:val="center"/>
              <w:rPr>
                <w:rFonts w:hint="eastAsia" w:ascii="宋体" w:hAnsi="宋体" w:eastAsia="宋体" w:cs="宋体"/>
                <w:kern w:val="0"/>
                <w:sz w:val="18"/>
                <w:szCs w:val="18"/>
              </w:rPr>
            </w:pPr>
          </w:p>
        </w:tc>
      </w:tr>
      <w:tr w14:paraId="036F872C">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FE957">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2C60AB">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1B5E9">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B9F40A">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AA324">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64DA75">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ADF309">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0F4CC1">
            <w:pPr>
              <w:widowControl/>
              <w:jc w:val="center"/>
              <w:rPr>
                <w:rFonts w:hint="eastAsia" w:ascii="宋体" w:hAnsi="宋体" w:eastAsia="宋体" w:cs="宋体"/>
                <w:kern w:val="0"/>
                <w:sz w:val="18"/>
                <w:szCs w:val="18"/>
              </w:rPr>
            </w:pPr>
          </w:p>
        </w:tc>
      </w:tr>
      <w:tr w14:paraId="3CC817F7">
        <w:tblPrEx>
          <w:tblCellMar>
            <w:top w:w="0" w:type="dxa"/>
            <w:left w:w="108" w:type="dxa"/>
            <w:bottom w:w="0" w:type="dxa"/>
            <w:right w:w="108" w:type="dxa"/>
          </w:tblCellMar>
        </w:tblPrEx>
        <w:trPr>
          <w:trHeight w:val="39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7E7985">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908CEC">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E11DB2">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7ADC7">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5E2548">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EEE88F">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FF7F9A">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AB2CB7">
            <w:pPr>
              <w:widowControl/>
              <w:jc w:val="center"/>
              <w:rPr>
                <w:rFonts w:hint="eastAsia" w:ascii="宋体" w:hAnsi="宋体" w:eastAsia="宋体" w:cs="宋体"/>
                <w:kern w:val="0"/>
                <w:sz w:val="18"/>
                <w:szCs w:val="18"/>
              </w:rPr>
            </w:pPr>
          </w:p>
        </w:tc>
      </w:tr>
      <w:tr w14:paraId="77EB04D7">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BFF11B">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10E6A">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14699">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388A44">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85A2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56019">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0FC9">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B37068">
            <w:pPr>
              <w:widowControl/>
              <w:jc w:val="center"/>
              <w:rPr>
                <w:rFonts w:hint="eastAsia" w:ascii="宋体" w:hAnsi="宋体" w:eastAsia="宋体" w:cs="宋体"/>
                <w:kern w:val="0"/>
                <w:sz w:val="18"/>
                <w:szCs w:val="18"/>
              </w:rPr>
            </w:pPr>
          </w:p>
        </w:tc>
      </w:tr>
      <w:tr w14:paraId="2FABD0E1">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970448">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D7B72">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C9957">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D71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CD2DEB">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A91F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2139">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01C235">
            <w:pPr>
              <w:widowControl/>
              <w:jc w:val="center"/>
              <w:rPr>
                <w:rFonts w:hint="eastAsia" w:ascii="宋体" w:hAnsi="宋体" w:eastAsia="宋体" w:cs="宋体"/>
                <w:kern w:val="0"/>
                <w:sz w:val="18"/>
                <w:szCs w:val="18"/>
              </w:rPr>
            </w:pPr>
          </w:p>
        </w:tc>
      </w:tr>
      <w:tr w14:paraId="7623F76F">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215F06">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A61661">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FDDFE">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98BE1">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F390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655761">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C494AC">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85792">
            <w:pPr>
              <w:widowControl/>
              <w:jc w:val="center"/>
              <w:rPr>
                <w:rFonts w:hint="eastAsia" w:ascii="宋体" w:hAnsi="宋体" w:eastAsia="宋体" w:cs="宋体"/>
                <w:kern w:val="0"/>
                <w:sz w:val="18"/>
                <w:szCs w:val="18"/>
              </w:rPr>
            </w:pPr>
          </w:p>
        </w:tc>
      </w:tr>
      <w:tr w14:paraId="7B5F7B14">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7F7C54">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A5839">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36B36">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04CC2B">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516B55">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328BF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A1076">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80CEBB">
            <w:pPr>
              <w:widowControl/>
              <w:jc w:val="center"/>
              <w:rPr>
                <w:rFonts w:hint="eastAsia" w:ascii="宋体" w:hAnsi="宋体" w:eastAsia="宋体" w:cs="宋体"/>
                <w:kern w:val="0"/>
                <w:sz w:val="18"/>
                <w:szCs w:val="18"/>
              </w:rPr>
            </w:pPr>
          </w:p>
        </w:tc>
      </w:tr>
      <w:tr w14:paraId="3ABD8916">
        <w:tblPrEx>
          <w:tblCellMar>
            <w:top w:w="0" w:type="dxa"/>
            <w:left w:w="108" w:type="dxa"/>
            <w:bottom w:w="0" w:type="dxa"/>
            <w:right w:w="108" w:type="dxa"/>
          </w:tblCellMar>
        </w:tblPrEx>
        <w:trPr>
          <w:trHeight w:val="309"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0A0F4B">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6F3E8">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2029">
            <w:pPr>
              <w:keepNext w:val="0"/>
              <w:keepLines w:val="0"/>
              <w:widowControl/>
              <w:suppressLineNumbers w:val="0"/>
              <w:jc w:val="both"/>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9E0E2">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A6CDAA">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84264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B2469">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49B5C">
            <w:pPr>
              <w:widowControl/>
              <w:jc w:val="center"/>
              <w:rPr>
                <w:rFonts w:hint="eastAsia" w:ascii="宋体" w:hAnsi="宋体" w:eastAsia="宋体" w:cs="宋体"/>
                <w:kern w:val="0"/>
                <w:sz w:val="18"/>
                <w:szCs w:val="18"/>
              </w:rPr>
            </w:pPr>
          </w:p>
        </w:tc>
      </w:tr>
      <w:tr w14:paraId="16FEA6E0">
        <w:tblPrEx>
          <w:tblCellMar>
            <w:top w:w="0" w:type="dxa"/>
            <w:left w:w="108" w:type="dxa"/>
            <w:bottom w:w="0" w:type="dxa"/>
            <w:right w:w="108" w:type="dxa"/>
          </w:tblCellMar>
        </w:tblPrEx>
        <w:trPr>
          <w:trHeight w:val="403" w:hRule="atLeast"/>
        </w:trPr>
        <w:tc>
          <w:tcPr>
            <w:tcW w:w="9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81CB7B">
            <w:pPr>
              <w:keepNext w:val="0"/>
              <w:keepLines w:val="0"/>
              <w:widowControl/>
              <w:suppressLineNumbers w:val="0"/>
              <w:jc w:val="center"/>
              <w:textAlignment w:val="center"/>
              <w:rPr>
                <w:rFonts w:hint="eastAsia" w:ascii="宋体" w:hAnsi="宋体" w:eastAsia="宋体" w:cs="宋体"/>
                <w:kern w:val="0"/>
                <w:sz w:val="18"/>
                <w:szCs w:val="18"/>
              </w:rPr>
            </w:pPr>
          </w:p>
        </w:tc>
        <w:tc>
          <w:tcPr>
            <w:tcW w:w="180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941895">
            <w:pPr>
              <w:keepNext w:val="0"/>
              <w:keepLines w:val="0"/>
              <w:widowControl/>
              <w:suppressLineNumbers w:val="0"/>
              <w:jc w:val="center"/>
              <w:textAlignment w:val="center"/>
              <w:rPr>
                <w:rFonts w:hint="eastAsia" w:ascii="宋体" w:hAnsi="宋体" w:eastAsia="宋体" w:cs="宋体"/>
                <w:kern w:val="0"/>
                <w:sz w:val="18"/>
                <w:szCs w:val="18"/>
              </w:rPr>
            </w:pPr>
          </w:p>
        </w:tc>
        <w:tc>
          <w:tcPr>
            <w:tcW w:w="13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2CF63">
            <w:pPr>
              <w:keepNext w:val="0"/>
              <w:keepLines w:val="0"/>
              <w:widowControl/>
              <w:suppressLineNumbers w:val="0"/>
              <w:jc w:val="center"/>
              <w:textAlignment w:val="center"/>
              <w:rPr>
                <w:rFonts w:hint="eastAsia" w:ascii="宋体" w:hAnsi="宋体" w:eastAsia="宋体" w:cs="宋体"/>
                <w:kern w:val="0"/>
                <w:sz w:val="18"/>
                <w:szCs w:val="18"/>
              </w:rPr>
            </w:pPr>
          </w:p>
        </w:tc>
        <w:tc>
          <w:tcPr>
            <w:tcW w:w="7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9C605F">
            <w:pPr>
              <w:keepNext w:val="0"/>
              <w:keepLines w:val="0"/>
              <w:widowControl/>
              <w:suppressLineNumbers w:val="0"/>
              <w:jc w:val="center"/>
              <w:textAlignment w:val="center"/>
              <w:rPr>
                <w:rFonts w:hint="eastAsia" w:ascii="宋体" w:hAnsi="宋体" w:eastAsia="宋体" w:cs="宋体"/>
                <w:kern w:val="0"/>
                <w:sz w:val="18"/>
                <w:szCs w:val="18"/>
              </w:rPr>
            </w:pPr>
          </w:p>
        </w:tc>
        <w:tc>
          <w:tcPr>
            <w:tcW w:w="81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F2631">
            <w:pPr>
              <w:keepNext w:val="0"/>
              <w:keepLines w:val="0"/>
              <w:widowControl/>
              <w:suppressLineNumbers w:val="0"/>
              <w:jc w:val="center"/>
              <w:textAlignment w:val="center"/>
              <w:rPr>
                <w:rFonts w:hint="eastAsia" w:ascii="宋体" w:hAnsi="宋体" w:eastAsia="宋体" w:cs="宋体"/>
                <w:kern w:val="0"/>
                <w:sz w:val="18"/>
                <w:szCs w:val="18"/>
              </w:rPr>
            </w:pPr>
          </w:p>
        </w:tc>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9D32B">
            <w:pPr>
              <w:widowControl/>
              <w:jc w:val="center"/>
              <w:rPr>
                <w:rFonts w:hint="eastAsia" w:ascii="宋体" w:hAnsi="宋体" w:eastAsia="宋体" w:cs="宋体"/>
                <w:kern w:val="0"/>
                <w:sz w:val="18"/>
                <w:szCs w:val="18"/>
              </w:rPr>
            </w:pPr>
          </w:p>
        </w:tc>
        <w:tc>
          <w:tcPr>
            <w:tcW w:w="14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0D827">
            <w:pPr>
              <w:widowControl/>
              <w:jc w:val="center"/>
              <w:rPr>
                <w:rFonts w:hint="eastAsia" w:ascii="宋体" w:hAnsi="宋体" w:eastAsia="宋体" w:cs="宋体"/>
                <w:kern w:val="0"/>
                <w:sz w:val="18"/>
                <w:szCs w:val="18"/>
              </w:rPr>
            </w:pPr>
          </w:p>
        </w:tc>
        <w:tc>
          <w:tcPr>
            <w:tcW w:w="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C289B">
            <w:pPr>
              <w:widowControl/>
              <w:jc w:val="center"/>
              <w:rPr>
                <w:rFonts w:hint="eastAsia" w:ascii="宋体" w:hAnsi="宋体" w:eastAsia="宋体" w:cs="宋体"/>
                <w:kern w:val="0"/>
                <w:sz w:val="18"/>
                <w:szCs w:val="18"/>
              </w:rPr>
            </w:pPr>
          </w:p>
        </w:tc>
      </w:tr>
    </w:tbl>
    <w:p w14:paraId="4010A6FA">
      <w:pPr>
        <w:pStyle w:val="80"/>
        <w:ind w:left="0" w:leftChars="0" w:firstLine="0" w:firstLineChars="0"/>
        <w:rPr>
          <w:rFonts w:hint="eastAsia" w:ascii="宋体" w:hAnsi="宋体" w:eastAsia="宋体" w:cs="宋体"/>
          <w:b/>
        </w:rPr>
      </w:pPr>
    </w:p>
    <w:p w14:paraId="4A21635F">
      <w:pPr>
        <w:pStyle w:val="80"/>
        <w:ind w:firstLine="480"/>
        <w:rPr>
          <w:rFonts w:hint="eastAsia" w:ascii="宋体" w:hAnsi="宋体" w:eastAsia="宋体" w:cs="宋体"/>
          <w:b/>
        </w:rPr>
      </w:pPr>
      <w:r>
        <w:rPr>
          <w:rFonts w:hint="eastAsia" w:ascii="宋体" w:hAnsi="宋体" w:eastAsia="宋体" w:cs="宋体"/>
          <w:b/>
        </w:rPr>
        <w:t>注：</w:t>
      </w:r>
    </w:p>
    <w:p w14:paraId="07C0256E">
      <w:pPr>
        <w:pStyle w:val="80"/>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2CDE5E85">
      <w:pPr>
        <w:pStyle w:val="80"/>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2E145DA8">
      <w:pPr>
        <w:pStyle w:val="80"/>
        <w:ind w:firstLine="480"/>
        <w:rPr>
          <w:rFonts w:hint="eastAsia" w:ascii="宋体" w:hAnsi="宋体" w:eastAsia="宋体" w:cs="宋体"/>
          <w:b/>
        </w:rPr>
      </w:pPr>
      <w:r>
        <w:rPr>
          <w:rFonts w:hint="eastAsia" w:ascii="宋体" w:hAnsi="宋体" w:eastAsia="宋体" w:cs="宋体"/>
          <w:b/>
        </w:rPr>
        <w:t>3、需写明含税价、不含税价格、税率。</w:t>
      </w:r>
    </w:p>
    <w:p w14:paraId="394B862A">
      <w:pPr>
        <w:spacing w:line="660" w:lineRule="exact"/>
        <w:rPr>
          <w:rFonts w:hint="eastAsia" w:ascii="宋体" w:hAnsi="宋体" w:eastAsia="宋体" w:cs="宋体"/>
          <w:sz w:val="24"/>
        </w:rPr>
      </w:pPr>
      <w:r>
        <w:rPr>
          <w:rFonts w:hint="eastAsia" w:ascii="宋体" w:hAnsi="宋体" w:eastAsia="宋体" w:cs="宋体"/>
          <w:sz w:val="24"/>
        </w:rPr>
        <w:t>投标人：（盖章）</w:t>
      </w:r>
    </w:p>
    <w:p w14:paraId="372B6B6D">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70F398E0">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5AE9B8B">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5A3714F9">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4"/>
        <w:tblW w:w="4997"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7"/>
        <w:gridCol w:w="2958"/>
        <w:gridCol w:w="1686"/>
      </w:tblGrid>
      <w:tr w14:paraId="5FD31D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217DBF2">
            <w:pPr>
              <w:pStyle w:val="84"/>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65975214">
            <w:pPr>
              <w:pStyle w:val="84"/>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2B589E97">
            <w:pPr>
              <w:pStyle w:val="84"/>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23D679F5">
            <w:pPr>
              <w:pStyle w:val="84"/>
              <w:rPr>
                <w:rFonts w:hint="eastAsia" w:ascii="宋体" w:hAnsi="宋体" w:eastAsia="宋体" w:cs="宋体"/>
              </w:rPr>
            </w:pPr>
            <w:r>
              <w:rPr>
                <w:rFonts w:hint="eastAsia" w:ascii="宋体" w:hAnsi="宋体" w:eastAsia="宋体" w:cs="宋体"/>
              </w:rPr>
              <w:t>是否偏离</w:t>
            </w:r>
          </w:p>
          <w:p w14:paraId="0CDCAA95">
            <w:pPr>
              <w:pStyle w:val="84"/>
              <w:rPr>
                <w:rFonts w:hint="eastAsia" w:ascii="宋体" w:hAnsi="宋体" w:eastAsia="宋体" w:cs="宋体"/>
              </w:rPr>
            </w:pPr>
            <w:r>
              <w:rPr>
                <w:rFonts w:hint="eastAsia" w:ascii="宋体" w:hAnsi="宋体" w:eastAsia="宋体" w:cs="宋体"/>
              </w:rPr>
              <w:t>（提供说明）</w:t>
            </w:r>
          </w:p>
        </w:tc>
      </w:tr>
      <w:tr w14:paraId="41D4B17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359037">
            <w:pPr>
              <w:pStyle w:val="84"/>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tcPr>
          <w:p w14:paraId="6E6267F7">
            <w:pPr>
              <w:pStyle w:val="84"/>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tcPr>
          <w:p w14:paraId="2854D1D8">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5F825DAC">
            <w:pPr>
              <w:pStyle w:val="84"/>
              <w:rPr>
                <w:rFonts w:hint="eastAsia" w:ascii="宋体" w:hAnsi="宋体" w:eastAsia="宋体" w:cs="宋体"/>
              </w:rPr>
            </w:pPr>
          </w:p>
        </w:tc>
      </w:tr>
      <w:tr w14:paraId="391F4EF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919DDBD">
            <w:pPr>
              <w:pStyle w:val="84"/>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129AF881">
            <w:pPr>
              <w:pStyle w:val="84"/>
              <w:rPr>
                <w:rFonts w:hint="eastAsia" w:ascii="宋体" w:hAnsi="宋体" w:eastAsia="宋体" w:cs="宋体"/>
                <w:szCs w:val="21"/>
              </w:rPr>
            </w:pPr>
          </w:p>
        </w:tc>
        <w:tc>
          <w:tcPr>
            <w:tcW w:w="1593" w:type="pct"/>
            <w:tcBorders>
              <w:top w:val="single" w:color="auto" w:sz="4" w:space="0"/>
              <w:left w:val="single" w:color="auto" w:sz="4" w:space="0"/>
              <w:bottom w:val="single" w:color="auto" w:sz="4" w:space="0"/>
              <w:right w:val="single" w:color="auto" w:sz="4" w:space="0"/>
            </w:tcBorders>
            <w:vAlign w:val="center"/>
          </w:tcPr>
          <w:p w14:paraId="412248BC">
            <w:pPr>
              <w:pStyle w:val="84"/>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498FCEE">
            <w:pPr>
              <w:pStyle w:val="84"/>
              <w:rPr>
                <w:rFonts w:hint="eastAsia" w:ascii="宋体" w:hAnsi="宋体" w:eastAsia="宋体" w:cs="宋体"/>
                <w:szCs w:val="21"/>
              </w:rPr>
            </w:pPr>
          </w:p>
          <w:p w14:paraId="06DC2F1C">
            <w:pPr>
              <w:pStyle w:val="84"/>
              <w:rPr>
                <w:rFonts w:hint="eastAsia" w:ascii="宋体" w:hAnsi="宋体" w:eastAsia="宋体" w:cs="宋体"/>
                <w:szCs w:val="21"/>
              </w:rPr>
            </w:pPr>
          </w:p>
          <w:p w14:paraId="531AE9F9">
            <w:pPr>
              <w:pStyle w:val="84"/>
              <w:rPr>
                <w:rFonts w:hint="eastAsia" w:ascii="宋体" w:hAnsi="宋体" w:eastAsia="宋体" w:cs="宋体"/>
                <w:szCs w:val="21"/>
              </w:rPr>
            </w:pPr>
          </w:p>
          <w:p w14:paraId="26C177AB">
            <w:pPr>
              <w:pStyle w:val="84"/>
              <w:rPr>
                <w:rFonts w:hint="eastAsia" w:ascii="宋体" w:hAnsi="宋体" w:eastAsia="宋体" w:cs="宋体"/>
                <w:szCs w:val="21"/>
              </w:rPr>
            </w:pPr>
          </w:p>
          <w:p w14:paraId="4110E7E4">
            <w:pPr>
              <w:pStyle w:val="84"/>
              <w:rPr>
                <w:rFonts w:hint="eastAsia" w:ascii="宋体" w:hAnsi="宋体" w:eastAsia="宋体" w:cs="宋体"/>
                <w:szCs w:val="21"/>
              </w:rPr>
            </w:pPr>
          </w:p>
          <w:p w14:paraId="69AD4976">
            <w:pPr>
              <w:pStyle w:val="84"/>
              <w:rPr>
                <w:rFonts w:hint="eastAsia" w:ascii="宋体" w:hAnsi="宋体" w:eastAsia="宋体" w:cs="宋体"/>
                <w:szCs w:val="21"/>
              </w:rPr>
            </w:pPr>
          </w:p>
          <w:p w14:paraId="1BA3BE69">
            <w:pPr>
              <w:pStyle w:val="84"/>
              <w:rPr>
                <w:rFonts w:hint="eastAsia" w:ascii="宋体" w:hAnsi="宋体" w:eastAsia="宋体" w:cs="宋体"/>
                <w:szCs w:val="21"/>
              </w:rPr>
            </w:pPr>
          </w:p>
          <w:p w14:paraId="03D7B0E6">
            <w:pPr>
              <w:pStyle w:val="84"/>
              <w:rPr>
                <w:rFonts w:hint="eastAsia" w:ascii="宋体" w:hAnsi="宋体" w:eastAsia="宋体" w:cs="宋体"/>
                <w:szCs w:val="21"/>
              </w:rPr>
            </w:pPr>
          </w:p>
          <w:p w14:paraId="2B176CEB">
            <w:pPr>
              <w:pStyle w:val="84"/>
              <w:rPr>
                <w:rFonts w:hint="eastAsia" w:ascii="宋体" w:hAnsi="宋体" w:eastAsia="宋体" w:cs="宋体"/>
                <w:szCs w:val="21"/>
              </w:rPr>
            </w:pPr>
          </w:p>
          <w:p w14:paraId="3EB0D6EA">
            <w:pPr>
              <w:pStyle w:val="84"/>
              <w:rPr>
                <w:rFonts w:hint="eastAsia" w:ascii="宋体" w:hAnsi="宋体" w:eastAsia="宋体" w:cs="宋体"/>
                <w:szCs w:val="21"/>
              </w:rPr>
            </w:pPr>
          </w:p>
          <w:p w14:paraId="19AF1AFD">
            <w:pPr>
              <w:pStyle w:val="84"/>
              <w:rPr>
                <w:rFonts w:hint="eastAsia" w:ascii="宋体" w:hAnsi="宋体" w:eastAsia="宋体" w:cs="宋体"/>
                <w:szCs w:val="21"/>
              </w:rPr>
            </w:pPr>
          </w:p>
          <w:p w14:paraId="7F53A888">
            <w:pPr>
              <w:pStyle w:val="84"/>
              <w:rPr>
                <w:rFonts w:hint="eastAsia" w:ascii="宋体" w:hAnsi="宋体" w:eastAsia="宋体" w:cs="宋体"/>
                <w:szCs w:val="21"/>
              </w:rPr>
            </w:pPr>
          </w:p>
          <w:p w14:paraId="6B05A3E9">
            <w:pPr>
              <w:pStyle w:val="84"/>
              <w:rPr>
                <w:rFonts w:hint="eastAsia" w:ascii="宋体" w:hAnsi="宋体" w:eastAsia="宋体" w:cs="宋体"/>
                <w:szCs w:val="21"/>
              </w:rPr>
            </w:pPr>
          </w:p>
          <w:p w14:paraId="3744C4AD">
            <w:pPr>
              <w:pStyle w:val="84"/>
              <w:rPr>
                <w:rFonts w:hint="eastAsia" w:ascii="宋体" w:hAnsi="宋体" w:eastAsia="宋体" w:cs="宋体"/>
                <w:szCs w:val="21"/>
              </w:rPr>
            </w:pPr>
          </w:p>
          <w:p w14:paraId="41557876">
            <w:pPr>
              <w:pStyle w:val="84"/>
              <w:rPr>
                <w:rFonts w:hint="eastAsia" w:ascii="宋体" w:hAnsi="宋体" w:eastAsia="宋体" w:cs="宋体"/>
                <w:szCs w:val="21"/>
              </w:rPr>
            </w:pPr>
          </w:p>
          <w:p w14:paraId="177B3424">
            <w:pPr>
              <w:pStyle w:val="84"/>
              <w:rPr>
                <w:rFonts w:hint="eastAsia" w:ascii="宋体" w:hAnsi="宋体" w:eastAsia="宋体" w:cs="宋体"/>
                <w:szCs w:val="21"/>
              </w:rPr>
            </w:pPr>
          </w:p>
          <w:p w14:paraId="439DB959">
            <w:pPr>
              <w:pStyle w:val="84"/>
              <w:rPr>
                <w:rFonts w:hint="eastAsia" w:ascii="宋体" w:hAnsi="宋体" w:eastAsia="宋体" w:cs="宋体"/>
              </w:rPr>
            </w:pPr>
          </w:p>
        </w:tc>
      </w:tr>
      <w:tr w14:paraId="4AF953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EEC86E7">
            <w:pPr>
              <w:pStyle w:val="84"/>
              <w:rPr>
                <w:rFonts w:hint="eastAsia" w:ascii="宋体" w:hAnsi="宋体" w:eastAsia="宋体" w:cs="宋体"/>
              </w:rPr>
            </w:pPr>
            <w:r>
              <w:rPr>
                <w:rFonts w:hint="eastAsia" w:ascii="宋体" w:hAnsi="宋体" w:eastAsia="宋体" w:cs="宋体"/>
              </w:rPr>
              <w:t>备品备件及耗材等要求</w:t>
            </w:r>
          </w:p>
        </w:tc>
        <w:tc>
          <w:tcPr>
            <w:tcW w:w="1587" w:type="pct"/>
            <w:tcBorders>
              <w:top w:val="single" w:color="auto" w:sz="4" w:space="0"/>
              <w:left w:val="single" w:color="auto" w:sz="4" w:space="0"/>
              <w:bottom w:val="single" w:color="auto" w:sz="4" w:space="0"/>
              <w:right w:val="single" w:color="auto" w:sz="4" w:space="0"/>
            </w:tcBorders>
            <w:vAlign w:val="center"/>
          </w:tcPr>
          <w:p w14:paraId="2243DA25">
            <w:pPr>
              <w:pStyle w:val="84"/>
              <w:rPr>
                <w:rFonts w:hint="eastAsia" w:ascii="宋体" w:hAnsi="宋体" w:eastAsia="宋体" w:cs="宋体"/>
              </w:rPr>
            </w:pPr>
          </w:p>
        </w:tc>
        <w:tc>
          <w:tcPr>
            <w:tcW w:w="1593" w:type="pct"/>
            <w:tcBorders>
              <w:top w:val="single" w:color="auto" w:sz="4" w:space="0"/>
              <w:left w:val="single" w:color="auto" w:sz="4" w:space="0"/>
              <w:bottom w:val="single" w:color="auto" w:sz="4" w:space="0"/>
              <w:right w:val="single" w:color="auto" w:sz="4" w:space="0"/>
            </w:tcBorders>
            <w:vAlign w:val="center"/>
          </w:tcPr>
          <w:p w14:paraId="2A91CC2C">
            <w:pPr>
              <w:pStyle w:val="84"/>
              <w:rPr>
                <w:rFonts w:hint="eastAsia" w:ascii="宋体" w:hAnsi="宋体" w:eastAsia="宋体" w:cs="宋体"/>
              </w:rPr>
            </w:pPr>
          </w:p>
        </w:tc>
        <w:tc>
          <w:tcPr>
            <w:tcW w:w="908" w:type="pct"/>
            <w:tcBorders>
              <w:top w:val="single" w:color="auto" w:sz="4" w:space="0"/>
              <w:left w:val="single" w:color="auto" w:sz="4" w:space="0"/>
              <w:bottom w:val="single" w:color="auto" w:sz="4" w:space="0"/>
              <w:right w:val="single" w:color="auto" w:sz="4" w:space="0"/>
            </w:tcBorders>
            <w:vAlign w:val="center"/>
          </w:tcPr>
          <w:p w14:paraId="46B2F1C9">
            <w:pPr>
              <w:pStyle w:val="84"/>
              <w:rPr>
                <w:rFonts w:hint="eastAsia" w:ascii="宋体" w:hAnsi="宋体" w:eastAsia="宋体" w:cs="宋体"/>
              </w:rPr>
            </w:pPr>
          </w:p>
        </w:tc>
      </w:tr>
    </w:tbl>
    <w:p w14:paraId="5F887F1C">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71349B09">
      <w:pPr>
        <w:pStyle w:val="80"/>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6B9FAC97">
      <w:pPr>
        <w:rPr>
          <w:rFonts w:hint="eastAsia" w:ascii="宋体" w:hAnsi="宋体" w:eastAsia="宋体" w:cs="宋体"/>
        </w:rPr>
      </w:pPr>
    </w:p>
    <w:p w14:paraId="7234C72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5A4E6796">
      <w:pPr>
        <w:pStyle w:val="86"/>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10E7763E">
      <w:pPr>
        <w:spacing w:line="240" w:lineRule="exact"/>
        <w:jc w:val="center"/>
        <w:rPr>
          <w:rFonts w:hint="eastAsia" w:ascii="宋体" w:hAnsi="宋体" w:eastAsia="宋体" w:cs="宋体"/>
          <w:b/>
          <w:bCs/>
          <w:sz w:val="36"/>
        </w:rPr>
      </w:pPr>
    </w:p>
    <w:p w14:paraId="0ED70711">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74416B5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52B42077">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07A7697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AC3A99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E86BF3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B099F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9342A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F66201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867F19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357BB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A538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3DE41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5280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49BA4B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7EE041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88B8FD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A11D30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803D3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8477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69A70F76">
      <w:pPr>
        <w:spacing w:line="360" w:lineRule="auto"/>
        <w:ind w:firstLine="480" w:firstLineChars="200"/>
        <w:rPr>
          <w:rFonts w:hint="eastAsia" w:ascii="宋体" w:hAnsi="宋体" w:eastAsia="宋体" w:cs="宋体"/>
          <w:sz w:val="24"/>
          <w:u w:val="single"/>
        </w:rPr>
      </w:pPr>
    </w:p>
    <w:p w14:paraId="279C7592">
      <w:pPr>
        <w:pStyle w:val="80"/>
        <w:ind w:firstLine="480"/>
        <w:rPr>
          <w:rFonts w:hint="eastAsia" w:ascii="宋体" w:hAnsi="宋体" w:eastAsia="宋体" w:cs="宋体"/>
        </w:rPr>
      </w:pPr>
      <w:r>
        <w:rPr>
          <w:rFonts w:hint="eastAsia" w:ascii="宋体" w:hAnsi="宋体" w:eastAsia="宋体" w:cs="宋体"/>
        </w:rPr>
        <w:t>投标人：（盖章）</w:t>
      </w:r>
    </w:p>
    <w:p w14:paraId="3229F355">
      <w:pPr>
        <w:pStyle w:val="80"/>
        <w:ind w:firstLine="480"/>
        <w:rPr>
          <w:rFonts w:hint="eastAsia" w:ascii="宋体" w:hAnsi="宋体" w:eastAsia="宋体" w:cs="宋体"/>
        </w:rPr>
      </w:pPr>
      <w:r>
        <w:rPr>
          <w:rFonts w:hint="eastAsia" w:ascii="宋体" w:hAnsi="宋体" w:eastAsia="宋体" w:cs="宋体"/>
        </w:rPr>
        <w:t>法定代表人（委托代理人）：（签字）</w:t>
      </w:r>
    </w:p>
    <w:p w14:paraId="45B17CC8">
      <w:pPr>
        <w:pStyle w:val="80"/>
        <w:ind w:firstLine="480"/>
        <w:rPr>
          <w:rFonts w:hint="eastAsia" w:ascii="宋体" w:hAnsi="宋体" w:eastAsia="宋体" w:cs="宋体"/>
        </w:rPr>
      </w:pPr>
      <w:r>
        <w:rPr>
          <w:rFonts w:hint="eastAsia" w:ascii="宋体" w:hAnsi="宋体" w:eastAsia="宋体" w:cs="宋体"/>
        </w:rPr>
        <w:t>日  期：       年    月    日</w:t>
      </w:r>
    </w:p>
    <w:p w14:paraId="5B905D68">
      <w:pPr>
        <w:rPr>
          <w:rFonts w:hint="eastAsia" w:ascii="宋体" w:hAnsi="宋体" w:eastAsia="宋体" w:cs="宋体"/>
          <w:b/>
          <w:bCs/>
          <w:color w:val="000000"/>
          <w:sz w:val="28"/>
        </w:rPr>
      </w:pPr>
      <w:bookmarkStart w:id="13" w:name="_Toc9193"/>
      <w:bookmarkStart w:id="14" w:name="_Toc353881022"/>
      <w:bookmarkStart w:id="15" w:name="_Toc639013"/>
    </w:p>
    <w:p w14:paraId="45E2B19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2BCF574F">
      <w:pPr>
        <w:pStyle w:val="86"/>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212369556"/>
      <w:bookmarkStart w:id="18" w:name="_Toc639014"/>
      <w:bookmarkStart w:id="19" w:name="_Toc15535"/>
      <w:bookmarkStart w:id="20" w:name="_Toc353881023"/>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1DCDAE40">
      <w:pPr>
        <w:pStyle w:val="80"/>
        <w:ind w:firstLine="480"/>
        <w:rPr>
          <w:rFonts w:hint="eastAsia" w:ascii="宋体" w:hAnsi="宋体" w:eastAsia="宋体" w:cs="宋体"/>
        </w:rPr>
      </w:pPr>
      <w:r>
        <w:rPr>
          <w:rFonts w:hint="eastAsia" w:ascii="宋体" w:hAnsi="宋体" w:eastAsia="宋体" w:cs="宋体"/>
        </w:rPr>
        <w:t>封面格式：</w:t>
      </w:r>
    </w:p>
    <w:tbl>
      <w:tblPr>
        <w:tblStyle w:val="3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37B15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4FA242B1">
            <w:pPr>
              <w:pStyle w:val="84"/>
              <w:rPr>
                <w:rFonts w:hint="eastAsia" w:ascii="宋体" w:hAnsi="宋体" w:eastAsia="宋体" w:cs="宋体"/>
              </w:rPr>
            </w:pPr>
          </w:p>
          <w:p w14:paraId="2EED4A78">
            <w:pPr>
              <w:pStyle w:val="84"/>
              <w:rPr>
                <w:rFonts w:hint="eastAsia" w:ascii="宋体" w:hAnsi="宋体" w:eastAsia="宋体" w:cs="宋体"/>
                <w:sz w:val="30"/>
                <w:szCs w:val="30"/>
              </w:rPr>
            </w:pPr>
            <w:r>
              <w:rPr>
                <w:rFonts w:hint="eastAsia" w:ascii="宋体" w:hAnsi="宋体" w:eastAsia="宋体" w:cs="宋体"/>
                <w:sz w:val="30"/>
                <w:szCs w:val="30"/>
              </w:rPr>
              <w:t>投标文件</w:t>
            </w:r>
          </w:p>
          <w:p w14:paraId="3FC472CD">
            <w:pPr>
              <w:pStyle w:val="84"/>
              <w:jc w:val="both"/>
              <w:rPr>
                <w:rFonts w:hint="eastAsia" w:ascii="宋体" w:hAnsi="宋体" w:eastAsia="宋体" w:cs="宋体"/>
                <w:sz w:val="30"/>
                <w:szCs w:val="30"/>
              </w:rPr>
            </w:pPr>
          </w:p>
          <w:p w14:paraId="4220DF4A">
            <w:pPr>
              <w:pStyle w:val="84"/>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0553ED7D">
            <w:pPr>
              <w:pStyle w:val="84"/>
              <w:rPr>
                <w:rFonts w:hint="eastAsia" w:ascii="宋体" w:hAnsi="宋体" w:eastAsia="宋体" w:cs="宋体"/>
              </w:rPr>
            </w:pPr>
          </w:p>
          <w:p w14:paraId="57326E37">
            <w:pPr>
              <w:pStyle w:val="84"/>
              <w:rPr>
                <w:rFonts w:hint="eastAsia" w:ascii="宋体" w:hAnsi="宋体" w:eastAsia="宋体" w:cs="宋体"/>
              </w:rPr>
            </w:pPr>
          </w:p>
          <w:p w14:paraId="6DEC7C55">
            <w:pPr>
              <w:pStyle w:val="84"/>
              <w:rPr>
                <w:rFonts w:hint="eastAsia" w:ascii="宋体" w:hAnsi="宋体" w:eastAsia="宋体" w:cs="宋体"/>
              </w:rPr>
            </w:pPr>
            <w:r>
              <w:rPr>
                <w:rFonts w:hint="eastAsia" w:ascii="宋体" w:hAnsi="宋体" w:eastAsia="宋体" w:cs="宋体"/>
              </w:rPr>
              <w:t>项目名称：</w:t>
            </w:r>
          </w:p>
          <w:p w14:paraId="2C816735">
            <w:pPr>
              <w:pStyle w:val="84"/>
              <w:rPr>
                <w:rFonts w:hint="eastAsia" w:ascii="宋体" w:hAnsi="宋体" w:eastAsia="宋体" w:cs="宋体"/>
              </w:rPr>
            </w:pPr>
            <w:r>
              <w:rPr>
                <w:rFonts w:hint="eastAsia" w:ascii="宋体" w:hAnsi="宋体" w:eastAsia="宋体" w:cs="宋体"/>
              </w:rPr>
              <w:t>投标人名称（公章）：</w:t>
            </w:r>
          </w:p>
          <w:p w14:paraId="2B684C9A">
            <w:pPr>
              <w:pStyle w:val="84"/>
              <w:rPr>
                <w:rFonts w:hint="eastAsia" w:ascii="宋体" w:hAnsi="宋体" w:eastAsia="宋体" w:cs="宋体"/>
              </w:rPr>
            </w:pPr>
            <w:r>
              <w:rPr>
                <w:rFonts w:hint="eastAsia" w:ascii="宋体" w:hAnsi="宋体" w:eastAsia="宋体" w:cs="宋体"/>
              </w:rPr>
              <w:t>地址：</w:t>
            </w:r>
          </w:p>
          <w:p w14:paraId="2153CB59">
            <w:pPr>
              <w:pStyle w:val="84"/>
              <w:rPr>
                <w:rFonts w:hint="eastAsia" w:ascii="宋体" w:hAnsi="宋体" w:eastAsia="宋体" w:cs="宋体"/>
              </w:rPr>
            </w:pPr>
            <w:r>
              <w:rPr>
                <w:rFonts w:hint="eastAsia" w:ascii="宋体" w:hAnsi="宋体" w:eastAsia="宋体" w:cs="宋体"/>
              </w:rPr>
              <w:t>授权代表电话：</w:t>
            </w:r>
          </w:p>
          <w:p w14:paraId="34DAF1CD">
            <w:pPr>
              <w:pStyle w:val="84"/>
              <w:rPr>
                <w:rFonts w:hint="eastAsia" w:ascii="宋体" w:hAnsi="宋体" w:eastAsia="宋体" w:cs="宋体"/>
              </w:rPr>
            </w:pPr>
            <w:r>
              <w:rPr>
                <w:rFonts w:hint="eastAsia" w:ascii="宋体" w:hAnsi="宋体" w:eastAsia="宋体" w:cs="宋体"/>
              </w:rPr>
              <w:t>传真：</w:t>
            </w:r>
          </w:p>
          <w:p w14:paraId="787843B1">
            <w:pPr>
              <w:pStyle w:val="84"/>
              <w:rPr>
                <w:rFonts w:hint="eastAsia" w:ascii="宋体" w:hAnsi="宋体" w:eastAsia="宋体" w:cs="宋体"/>
              </w:rPr>
            </w:pPr>
          </w:p>
          <w:p w14:paraId="106E3F1A">
            <w:pPr>
              <w:pStyle w:val="84"/>
              <w:rPr>
                <w:rFonts w:hint="eastAsia" w:ascii="宋体" w:hAnsi="宋体" w:eastAsia="宋体" w:cs="宋体"/>
              </w:rPr>
            </w:pPr>
          </w:p>
        </w:tc>
      </w:tr>
    </w:tbl>
    <w:p w14:paraId="6372302A">
      <w:pPr>
        <w:pStyle w:val="80"/>
        <w:ind w:firstLine="480"/>
        <w:rPr>
          <w:rFonts w:hint="eastAsia" w:ascii="宋体" w:hAnsi="宋体" w:eastAsia="宋体" w:cs="宋体"/>
        </w:rPr>
      </w:pPr>
      <w:r>
        <w:rPr>
          <w:rFonts w:hint="eastAsia" w:ascii="宋体" w:hAnsi="宋体" w:eastAsia="宋体" w:cs="宋体"/>
        </w:rPr>
        <w:t>投标人名称：                   授权代表签字：                  日期</w:t>
      </w:r>
    </w:p>
    <w:p w14:paraId="386515A5">
      <w:pPr>
        <w:pStyle w:val="60"/>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0D1F5C24">
      <w:pPr>
        <w:pStyle w:val="17"/>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5C807757">
      <w:pPr>
        <w:adjustRightInd w:val="0"/>
        <w:snapToGrid w:val="0"/>
        <w:jc w:val="left"/>
        <w:rPr>
          <w:rFonts w:hint="eastAsia" w:ascii="宋体" w:hAnsi="宋体" w:eastAsia="宋体" w:cs="宋体"/>
          <w:sz w:val="24"/>
          <w:szCs w:val="24"/>
        </w:rPr>
      </w:pPr>
    </w:p>
    <w:p w14:paraId="21431FB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57F9DC95">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61DDE6D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6826AF57">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21"/>
                    <a:stretch>
                      <a:fillRect/>
                    </a:stretch>
                  </pic:blipFill>
                  <pic:spPr>
                    <a:xfrm>
                      <a:off x="0" y="0"/>
                      <a:ext cx="5760085" cy="2933377"/>
                    </a:xfrm>
                    <a:prstGeom prst="rect">
                      <a:avLst/>
                    </a:prstGeom>
                  </pic:spPr>
                </pic:pic>
              </a:graphicData>
            </a:graphic>
          </wp:inline>
        </w:drawing>
      </w:r>
    </w:p>
    <w:p w14:paraId="1856BBA8">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1C487BFE">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22"/>
                    <a:stretch>
                      <a:fillRect/>
                    </a:stretch>
                  </pic:blipFill>
                  <pic:spPr>
                    <a:xfrm>
                      <a:off x="0" y="0"/>
                      <a:ext cx="5760085" cy="2766707"/>
                    </a:xfrm>
                    <a:prstGeom prst="rect">
                      <a:avLst/>
                    </a:prstGeom>
                  </pic:spPr>
                </pic:pic>
              </a:graphicData>
            </a:graphic>
          </wp:inline>
        </w:drawing>
      </w:r>
    </w:p>
    <w:p w14:paraId="7DD7B9B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1ACF4FB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23"/>
                    <a:stretch>
                      <a:fillRect/>
                    </a:stretch>
                  </pic:blipFill>
                  <pic:spPr>
                    <a:xfrm>
                      <a:off x="0" y="0"/>
                      <a:ext cx="5760085" cy="2870054"/>
                    </a:xfrm>
                    <a:prstGeom prst="rect">
                      <a:avLst/>
                    </a:prstGeom>
                  </pic:spPr>
                </pic:pic>
              </a:graphicData>
            </a:graphic>
          </wp:inline>
        </w:drawing>
      </w:r>
    </w:p>
    <w:p w14:paraId="40A5DF3F">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5108D814">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24"/>
                    <a:stretch>
                      <a:fillRect/>
                    </a:stretch>
                  </pic:blipFill>
                  <pic:spPr>
                    <a:xfrm>
                      <a:off x="0" y="0"/>
                      <a:ext cx="5760085" cy="2853375"/>
                    </a:xfrm>
                    <a:prstGeom prst="rect">
                      <a:avLst/>
                    </a:prstGeom>
                  </pic:spPr>
                </pic:pic>
              </a:graphicData>
            </a:graphic>
          </wp:inline>
        </w:drawing>
      </w:r>
    </w:p>
    <w:p w14:paraId="7E38E9CA">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0DD62B7E">
      <w:pPr>
        <w:spacing w:line="360" w:lineRule="auto"/>
        <w:rPr>
          <w:rFonts w:hint="eastAsia" w:ascii="宋体" w:hAnsi="宋体" w:eastAsia="宋体" w:cs="宋体"/>
          <w:sz w:val="24"/>
          <w:szCs w:val="28"/>
        </w:rPr>
      </w:pPr>
    </w:p>
    <w:p w14:paraId="115A4CA1">
      <w:pPr>
        <w:rPr>
          <w:rFonts w:hint="eastAsia" w:ascii="宋体" w:hAnsi="宋体" w:eastAsia="宋体" w:cs="宋体"/>
          <w:color w:val="000000"/>
        </w:rPr>
      </w:pPr>
    </w:p>
    <w:p w14:paraId="7BB2662A">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25"/>
                    <a:stretch>
                      <a:fillRect/>
                    </a:stretch>
                  </pic:blipFill>
                  <pic:spPr>
                    <a:xfrm>
                      <a:off x="0" y="0"/>
                      <a:ext cx="5760085" cy="2810122"/>
                    </a:xfrm>
                    <a:prstGeom prst="rect">
                      <a:avLst/>
                    </a:prstGeom>
                  </pic:spPr>
                </pic:pic>
              </a:graphicData>
            </a:graphic>
          </wp:inline>
        </w:drawing>
      </w:r>
    </w:p>
    <w:p w14:paraId="534A3DD0">
      <w:pPr>
        <w:pStyle w:val="17"/>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26"/>
                    <a:stretch>
                      <a:fillRect/>
                    </a:stretch>
                  </pic:blipFill>
                  <pic:spPr>
                    <a:xfrm>
                      <a:off x="0" y="0"/>
                      <a:ext cx="5760085" cy="2820042"/>
                    </a:xfrm>
                    <a:prstGeom prst="rect">
                      <a:avLst/>
                    </a:prstGeom>
                  </pic:spPr>
                </pic:pic>
              </a:graphicData>
            </a:graphic>
          </wp:inline>
        </w:drawing>
      </w:r>
    </w:p>
    <w:p w14:paraId="6A3C7878">
      <w:pPr>
        <w:pStyle w:val="17"/>
        <w:rPr>
          <w:rFonts w:hint="eastAsia" w:hAnsi="宋体" w:cs="宋体"/>
          <w:b/>
          <w:bCs/>
          <w:sz w:val="24"/>
          <w:szCs w:val="28"/>
          <w:highlight w:val="yellow"/>
          <w:lang w:val="en-US" w:eastAsia="zh-CN"/>
        </w:rPr>
      </w:pPr>
    </w:p>
    <w:p w14:paraId="4459521A">
      <w:pPr>
        <w:pStyle w:val="17"/>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17E84376">
      <w:pPr>
        <w:pStyle w:val="17"/>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50DB0CB7">
      <w:pPr>
        <w:pStyle w:val="17"/>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1198618E">
      <w:pPr>
        <w:pStyle w:val="17"/>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供货类别请选择：研发试验类设备（产品试验检测中心）</w:t>
      </w:r>
    </w:p>
    <w:p w14:paraId="1863DD2B">
      <w:pPr>
        <w:pStyle w:val="17"/>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52631084">
      <w:pPr>
        <w:pStyle w:val="17"/>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4F3CAE3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40"/>
          <w:rFonts w:hint="eastAsia" w:ascii="宋体" w:hAnsi="宋体" w:cs="宋体"/>
          <w:sz w:val="24"/>
          <w:szCs w:val="24"/>
          <w:lang w:eastAsia="zh-CN"/>
        </w:rPr>
        <w:t>https</w:t>
      </w:r>
      <w:r>
        <w:rPr>
          <w:rStyle w:val="40"/>
          <w:rFonts w:hint="eastAsia" w:ascii="宋体" w:hAnsi="宋体" w:eastAsia="宋体" w:cs="宋体"/>
          <w:sz w:val="24"/>
          <w:szCs w:val="24"/>
        </w:rPr>
        <w:t>://ecaitong.sinotruk.com:8012/</w:t>
      </w:r>
      <w:r>
        <w:rPr>
          <w:rStyle w:val="40"/>
          <w:rFonts w:hint="eastAsia" w:ascii="宋体" w:hAnsi="宋体" w:eastAsia="宋体" w:cs="宋体"/>
          <w:sz w:val="24"/>
          <w:szCs w:val="24"/>
        </w:rPr>
        <w:fldChar w:fldCharType="end"/>
      </w:r>
    </w:p>
    <w:p w14:paraId="4E8A2AB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6401A24C">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0A87B38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18BA4BC">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19D613A6">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5E223027">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7"/>
                    <a:stretch>
                      <a:fillRect/>
                    </a:stretch>
                  </pic:blipFill>
                  <pic:spPr>
                    <a:xfrm>
                      <a:off x="0" y="0"/>
                      <a:ext cx="5760085" cy="2269864"/>
                    </a:xfrm>
                    <a:prstGeom prst="rect">
                      <a:avLst/>
                    </a:prstGeom>
                  </pic:spPr>
                </pic:pic>
              </a:graphicData>
            </a:graphic>
          </wp:inline>
        </w:drawing>
      </w:r>
    </w:p>
    <w:p w14:paraId="180D76D7">
      <w:pPr>
        <w:rPr>
          <w:rFonts w:hint="eastAsia" w:ascii="宋体" w:hAnsi="宋体" w:eastAsia="宋体" w:cs="宋体"/>
        </w:rPr>
      </w:pPr>
    </w:p>
    <w:p w14:paraId="310A4AD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B9F5C5A">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2DF3B9B6">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8"/>
                    <a:stretch>
                      <a:fillRect/>
                    </a:stretch>
                  </pic:blipFill>
                  <pic:spPr>
                    <a:xfrm>
                      <a:off x="0" y="0"/>
                      <a:ext cx="5760085" cy="2125673"/>
                    </a:xfrm>
                    <a:prstGeom prst="rect">
                      <a:avLst/>
                    </a:prstGeom>
                  </pic:spPr>
                </pic:pic>
              </a:graphicData>
            </a:graphic>
          </wp:inline>
        </w:drawing>
      </w:r>
    </w:p>
    <w:p w14:paraId="60BCEF4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755F8CBC">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9"/>
                    <a:stretch>
                      <a:fillRect/>
                    </a:stretch>
                  </pic:blipFill>
                  <pic:spPr>
                    <a:xfrm>
                      <a:off x="0" y="0"/>
                      <a:ext cx="5490210" cy="2669498"/>
                    </a:xfrm>
                    <a:prstGeom prst="rect">
                      <a:avLst/>
                    </a:prstGeom>
                  </pic:spPr>
                </pic:pic>
              </a:graphicData>
            </a:graphic>
          </wp:inline>
        </w:drawing>
      </w:r>
    </w:p>
    <w:p w14:paraId="48E5CB0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1C98E87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1E2CCBDF">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6A08352A">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30"/>
                    <a:stretch>
                      <a:fillRect/>
                    </a:stretch>
                  </pic:blipFill>
                  <pic:spPr>
                    <a:xfrm>
                      <a:off x="0" y="0"/>
                      <a:ext cx="5490210" cy="1992743"/>
                    </a:xfrm>
                    <a:prstGeom prst="rect">
                      <a:avLst/>
                    </a:prstGeom>
                  </pic:spPr>
                </pic:pic>
              </a:graphicData>
            </a:graphic>
          </wp:inline>
        </w:drawing>
      </w:r>
    </w:p>
    <w:p w14:paraId="1B42957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3E856CA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3E85F79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1814A43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29C0752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7287A5A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70D37A68">
      <w:pPr>
        <w:pStyle w:val="7"/>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31"/>
                    <a:stretch>
                      <a:fillRect/>
                    </a:stretch>
                  </pic:blipFill>
                  <pic:spPr>
                    <a:xfrm>
                      <a:off x="0" y="0"/>
                      <a:ext cx="5490210" cy="2544669"/>
                    </a:xfrm>
                    <a:prstGeom prst="rect">
                      <a:avLst/>
                    </a:prstGeom>
                  </pic:spPr>
                </pic:pic>
              </a:graphicData>
            </a:graphic>
          </wp:inline>
        </w:drawing>
      </w:r>
    </w:p>
    <w:p w14:paraId="498659C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595454B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4034F45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073E572E">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32"/>
                    <a:stretch>
                      <a:fillRect/>
                    </a:stretch>
                  </pic:blipFill>
                  <pic:spPr>
                    <a:xfrm>
                      <a:off x="0" y="0"/>
                      <a:ext cx="5760085" cy="1956600"/>
                    </a:xfrm>
                    <a:prstGeom prst="rect">
                      <a:avLst/>
                    </a:prstGeom>
                  </pic:spPr>
                </pic:pic>
              </a:graphicData>
            </a:graphic>
          </wp:inline>
        </w:drawing>
      </w:r>
    </w:p>
    <w:p w14:paraId="56174E4F">
      <w:pPr>
        <w:pStyle w:val="17"/>
        <w:rPr>
          <w:rFonts w:hint="eastAsia" w:ascii="宋体" w:hAnsi="宋体" w:eastAsia="宋体" w:cs="宋体"/>
          <w:b/>
          <w:color w:val="000000"/>
          <w:sz w:val="24"/>
          <w:szCs w:val="24"/>
        </w:rPr>
      </w:pPr>
    </w:p>
    <w:p w14:paraId="5230D0BA">
      <w:pPr>
        <w:pStyle w:val="60"/>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0721E354">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6CD18033">
      <w:pPr>
        <w:pStyle w:val="5"/>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tbl>
      <w:tblPr>
        <w:tblStyle w:val="34"/>
        <w:tblW w:w="48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619"/>
        <w:gridCol w:w="1156"/>
        <w:gridCol w:w="1083"/>
        <w:gridCol w:w="5359"/>
      </w:tblGrid>
      <w:tr w14:paraId="403EE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0" w:type="pct"/>
            <w:vAlign w:val="center"/>
          </w:tcPr>
          <w:p w14:paraId="52CF425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评审</w:t>
            </w:r>
          </w:p>
          <w:p w14:paraId="7430123C">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内容</w:t>
            </w:r>
          </w:p>
        </w:tc>
        <w:tc>
          <w:tcPr>
            <w:tcW w:w="342" w:type="pct"/>
            <w:vAlign w:val="center"/>
          </w:tcPr>
          <w:p w14:paraId="73388ED1">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序号</w:t>
            </w:r>
          </w:p>
        </w:tc>
        <w:tc>
          <w:tcPr>
            <w:tcW w:w="640" w:type="pct"/>
            <w:vAlign w:val="center"/>
          </w:tcPr>
          <w:p w14:paraId="5BCBCE0D">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内   容</w:t>
            </w:r>
          </w:p>
        </w:tc>
        <w:tc>
          <w:tcPr>
            <w:tcW w:w="599" w:type="pct"/>
            <w:vAlign w:val="center"/>
          </w:tcPr>
          <w:p w14:paraId="34ACB8BE">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标准分</w:t>
            </w:r>
          </w:p>
        </w:tc>
        <w:tc>
          <w:tcPr>
            <w:tcW w:w="2967" w:type="pct"/>
            <w:vAlign w:val="center"/>
          </w:tcPr>
          <w:p w14:paraId="613819B4">
            <w:pPr>
              <w:adjustRightInd w:val="0"/>
              <w:snapToGrid w:val="0"/>
              <w:jc w:val="center"/>
              <w:rPr>
                <w:rFonts w:hint="eastAsia" w:ascii="宋体" w:hAnsi="宋体" w:eastAsia="宋体" w:cs="宋体"/>
                <w:sz w:val="21"/>
                <w:szCs w:val="21"/>
              </w:rPr>
            </w:pPr>
            <w:r>
              <w:rPr>
                <w:rFonts w:hint="eastAsia" w:ascii="宋体" w:hAnsi="宋体" w:eastAsia="宋体" w:cs="宋体"/>
                <w:sz w:val="21"/>
                <w:szCs w:val="21"/>
              </w:rPr>
              <w:t>评分标准</w:t>
            </w:r>
          </w:p>
        </w:tc>
      </w:tr>
      <w:tr w14:paraId="0D22B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84" w:hRule="atLeast"/>
          <w:jc w:val="center"/>
        </w:trPr>
        <w:tc>
          <w:tcPr>
            <w:tcW w:w="450" w:type="pct"/>
            <w:vAlign w:val="center"/>
          </w:tcPr>
          <w:p w14:paraId="4979A46E">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业绩</w:t>
            </w:r>
          </w:p>
        </w:tc>
        <w:tc>
          <w:tcPr>
            <w:tcW w:w="342" w:type="pct"/>
            <w:vAlign w:val="center"/>
          </w:tcPr>
          <w:p w14:paraId="5AA5FB7B">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w:t>
            </w:r>
          </w:p>
        </w:tc>
        <w:tc>
          <w:tcPr>
            <w:tcW w:w="640" w:type="pct"/>
            <w:vAlign w:val="center"/>
          </w:tcPr>
          <w:p w14:paraId="2CAD90A0">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合同数量及金额</w:t>
            </w:r>
          </w:p>
        </w:tc>
        <w:tc>
          <w:tcPr>
            <w:tcW w:w="599" w:type="pct"/>
            <w:vAlign w:val="center"/>
          </w:tcPr>
          <w:p w14:paraId="19921608">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w:t>
            </w:r>
          </w:p>
        </w:tc>
        <w:tc>
          <w:tcPr>
            <w:tcW w:w="2967" w:type="pct"/>
            <w:vAlign w:val="center"/>
          </w:tcPr>
          <w:p w14:paraId="1463E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lang w:val="en-US" w:eastAsia="zh-CN"/>
              </w:rPr>
              <w:t>自挂网之日起以往三年时间内，类似案例项目合同</w:t>
            </w:r>
            <w:r>
              <w:rPr>
                <w:rFonts w:hint="eastAsia" w:ascii="宋体" w:hAnsi="宋体" w:eastAsia="宋体" w:cs="宋体"/>
                <w:sz w:val="21"/>
                <w:szCs w:val="21"/>
              </w:rPr>
              <w:t>（以合同复印件加盖公章为准，时间以签订日期为准）。由评标委员会成员按照项目的合同数量及金额、合同相关性两个维度进行打分。</w:t>
            </w:r>
          </w:p>
          <w:p w14:paraId="5740352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（1）合同数量1-5份：0-3分；</w:t>
            </w:r>
          </w:p>
          <w:p w14:paraId="5543A1B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合同数量6-10份：4-8分；</w:t>
            </w:r>
          </w:p>
          <w:p w14:paraId="1E9F91B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合同数量11-15份：9-13分；</w:t>
            </w:r>
          </w:p>
          <w:p w14:paraId="7E909EA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合同数量＞15份：14-15分。</w:t>
            </w:r>
          </w:p>
        </w:tc>
      </w:tr>
      <w:tr w14:paraId="0561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3" w:hRule="atLeast"/>
          <w:jc w:val="center"/>
        </w:trPr>
        <w:tc>
          <w:tcPr>
            <w:tcW w:w="450" w:type="pct"/>
            <w:vMerge w:val="restart"/>
            <w:vAlign w:val="center"/>
          </w:tcPr>
          <w:p w14:paraId="40A293B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产品技术</w:t>
            </w:r>
          </w:p>
        </w:tc>
        <w:tc>
          <w:tcPr>
            <w:tcW w:w="342" w:type="pct"/>
            <w:vMerge w:val="restart"/>
            <w:vAlign w:val="center"/>
          </w:tcPr>
          <w:p w14:paraId="3809961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640" w:type="pct"/>
            <w:vAlign w:val="center"/>
          </w:tcPr>
          <w:p w14:paraId="62CFDC8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产品方案</w:t>
            </w:r>
          </w:p>
        </w:tc>
        <w:tc>
          <w:tcPr>
            <w:tcW w:w="599" w:type="pct"/>
            <w:vMerge w:val="restart"/>
            <w:vAlign w:val="center"/>
          </w:tcPr>
          <w:p w14:paraId="5B4CF22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40</w:t>
            </w:r>
          </w:p>
        </w:tc>
        <w:tc>
          <w:tcPr>
            <w:tcW w:w="2967" w:type="pct"/>
            <w:vMerge w:val="restart"/>
            <w:vAlign w:val="center"/>
          </w:tcPr>
          <w:p w14:paraId="31F28F5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以下各项由评标委员会成员独立进行客观、公正的评价打分。</w:t>
            </w:r>
          </w:p>
          <w:p w14:paraId="4172004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（1）系统方案已达到招标要求且具备自身优势，设备主要核心部件选用国际知名品牌，打分0-10分；</w:t>
            </w:r>
          </w:p>
          <w:p w14:paraId="4D809CE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（2）系统配置合理，运行可靠，其性能指标、技术水平、可靠性等优势明显，打分0-10分；</w:t>
            </w:r>
          </w:p>
          <w:p w14:paraId="5A10E5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（3）企业生产情况，加工设备情况，人员数量与构成，打分0-10分；</w:t>
            </w:r>
          </w:p>
          <w:p w14:paraId="553C4CF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（4）产品相关专利证书，设计人性化，使用方便，打分0-10分。</w:t>
            </w:r>
          </w:p>
        </w:tc>
      </w:tr>
      <w:tr w14:paraId="06815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3" w:hRule="atLeast"/>
          <w:jc w:val="center"/>
        </w:trPr>
        <w:tc>
          <w:tcPr>
            <w:tcW w:w="450" w:type="pct"/>
            <w:vMerge w:val="continue"/>
            <w:vAlign w:val="center"/>
          </w:tcPr>
          <w:p w14:paraId="0F9D0A57">
            <w:pPr>
              <w:adjustRightInd w:val="0"/>
              <w:snapToGrid w:val="0"/>
              <w:jc w:val="left"/>
              <w:rPr>
                <w:rFonts w:hint="eastAsia" w:ascii="宋体" w:hAnsi="宋体" w:eastAsia="宋体" w:cs="宋体"/>
                <w:sz w:val="21"/>
                <w:szCs w:val="21"/>
              </w:rPr>
            </w:pPr>
          </w:p>
        </w:tc>
        <w:tc>
          <w:tcPr>
            <w:tcW w:w="342" w:type="pct"/>
            <w:vMerge w:val="continue"/>
            <w:vAlign w:val="center"/>
          </w:tcPr>
          <w:p w14:paraId="16A26F91">
            <w:pPr>
              <w:adjustRightInd w:val="0"/>
              <w:snapToGrid w:val="0"/>
              <w:jc w:val="left"/>
              <w:rPr>
                <w:rFonts w:hint="eastAsia" w:ascii="宋体" w:hAnsi="宋体" w:eastAsia="宋体" w:cs="宋体"/>
                <w:sz w:val="21"/>
                <w:szCs w:val="21"/>
              </w:rPr>
            </w:pPr>
          </w:p>
        </w:tc>
        <w:tc>
          <w:tcPr>
            <w:tcW w:w="640" w:type="pct"/>
            <w:vAlign w:val="center"/>
          </w:tcPr>
          <w:p w14:paraId="709EDDD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性能参数</w:t>
            </w:r>
          </w:p>
        </w:tc>
        <w:tc>
          <w:tcPr>
            <w:tcW w:w="599" w:type="pct"/>
            <w:vMerge w:val="continue"/>
            <w:vAlign w:val="center"/>
          </w:tcPr>
          <w:p w14:paraId="19B1B550">
            <w:pPr>
              <w:adjustRightInd w:val="0"/>
              <w:snapToGrid w:val="0"/>
              <w:jc w:val="left"/>
              <w:rPr>
                <w:rFonts w:hint="eastAsia" w:ascii="宋体" w:hAnsi="宋体" w:eastAsia="宋体" w:cs="宋体"/>
                <w:sz w:val="21"/>
                <w:szCs w:val="21"/>
              </w:rPr>
            </w:pPr>
          </w:p>
        </w:tc>
        <w:tc>
          <w:tcPr>
            <w:tcW w:w="2967" w:type="pct"/>
            <w:vMerge w:val="continue"/>
            <w:vAlign w:val="center"/>
          </w:tcPr>
          <w:p w14:paraId="51856BB1">
            <w:pPr>
              <w:adjustRightInd w:val="0"/>
              <w:snapToGrid w:val="0"/>
              <w:jc w:val="left"/>
              <w:rPr>
                <w:rFonts w:hint="eastAsia" w:ascii="宋体" w:hAnsi="宋体" w:eastAsia="宋体" w:cs="宋体"/>
                <w:sz w:val="21"/>
                <w:szCs w:val="21"/>
              </w:rPr>
            </w:pPr>
          </w:p>
        </w:tc>
      </w:tr>
      <w:tr w14:paraId="38256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42" w:hRule="atLeast"/>
          <w:jc w:val="center"/>
        </w:trPr>
        <w:tc>
          <w:tcPr>
            <w:tcW w:w="450" w:type="pct"/>
            <w:vMerge w:val="continue"/>
            <w:vAlign w:val="center"/>
          </w:tcPr>
          <w:p w14:paraId="2AEF50C1">
            <w:pPr>
              <w:adjustRightInd w:val="0"/>
              <w:snapToGrid w:val="0"/>
              <w:jc w:val="left"/>
              <w:rPr>
                <w:rFonts w:hint="eastAsia" w:ascii="宋体" w:hAnsi="宋体" w:eastAsia="宋体" w:cs="宋体"/>
                <w:sz w:val="21"/>
                <w:szCs w:val="21"/>
              </w:rPr>
            </w:pPr>
          </w:p>
        </w:tc>
        <w:tc>
          <w:tcPr>
            <w:tcW w:w="342" w:type="pct"/>
            <w:vMerge w:val="continue"/>
            <w:vAlign w:val="center"/>
          </w:tcPr>
          <w:p w14:paraId="39F9D37B">
            <w:pPr>
              <w:adjustRightInd w:val="0"/>
              <w:snapToGrid w:val="0"/>
              <w:jc w:val="left"/>
              <w:rPr>
                <w:rFonts w:hint="eastAsia" w:ascii="宋体" w:hAnsi="宋体" w:eastAsia="宋体" w:cs="宋体"/>
                <w:sz w:val="21"/>
                <w:szCs w:val="21"/>
              </w:rPr>
            </w:pPr>
          </w:p>
        </w:tc>
        <w:tc>
          <w:tcPr>
            <w:tcW w:w="640" w:type="pct"/>
            <w:vAlign w:val="center"/>
          </w:tcPr>
          <w:p w14:paraId="4032E79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生产加工</w:t>
            </w:r>
          </w:p>
        </w:tc>
        <w:tc>
          <w:tcPr>
            <w:tcW w:w="599" w:type="pct"/>
            <w:vMerge w:val="continue"/>
            <w:vAlign w:val="center"/>
          </w:tcPr>
          <w:p w14:paraId="7BEB070F">
            <w:pPr>
              <w:adjustRightInd w:val="0"/>
              <w:snapToGrid w:val="0"/>
              <w:jc w:val="left"/>
              <w:rPr>
                <w:rFonts w:hint="eastAsia" w:ascii="宋体" w:hAnsi="宋体" w:eastAsia="宋体" w:cs="宋体"/>
                <w:sz w:val="21"/>
                <w:szCs w:val="21"/>
              </w:rPr>
            </w:pPr>
          </w:p>
        </w:tc>
        <w:tc>
          <w:tcPr>
            <w:tcW w:w="2967" w:type="pct"/>
            <w:vMerge w:val="continue"/>
            <w:vAlign w:val="center"/>
          </w:tcPr>
          <w:p w14:paraId="027AB2AE">
            <w:pPr>
              <w:adjustRightInd w:val="0"/>
              <w:snapToGrid w:val="0"/>
              <w:jc w:val="left"/>
              <w:rPr>
                <w:rFonts w:hint="eastAsia" w:ascii="宋体" w:hAnsi="宋体" w:eastAsia="宋体" w:cs="宋体"/>
                <w:sz w:val="21"/>
                <w:szCs w:val="21"/>
              </w:rPr>
            </w:pPr>
          </w:p>
        </w:tc>
      </w:tr>
      <w:tr w14:paraId="0DB19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450" w:type="pct"/>
            <w:vMerge w:val="continue"/>
            <w:vAlign w:val="center"/>
          </w:tcPr>
          <w:p w14:paraId="0D7277DC">
            <w:pPr>
              <w:adjustRightInd w:val="0"/>
              <w:snapToGrid w:val="0"/>
              <w:jc w:val="left"/>
              <w:rPr>
                <w:rFonts w:hint="eastAsia" w:ascii="宋体" w:hAnsi="宋体" w:eastAsia="宋体" w:cs="宋体"/>
                <w:sz w:val="21"/>
                <w:szCs w:val="21"/>
              </w:rPr>
            </w:pPr>
          </w:p>
        </w:tc>
        <w:tc>
          <w:tcPr>
            <w:tcW w:w="342" w:type="pct"/>
            <w:vMerge w:val="continue"/>
            <w:vAlign w:val="center"/>
          </w:tcPr>
          <w:p w14:paraId="7B6CE8DE">
            <w:pPr>
              <w:adjustRightInd w:val="0"/>
              <w:snapToGrid w:val="0"/>
              <w:jc w:val="left"/>
              <w:rPr>
                <w:rFonts w:hint="eastAsia" w:ascii="宋体" w:hAnsi="宋体" w:eastAsia="宋体" w:cs="宋体"/>
                <w:sz w:val="21"/>
                <w:szCs w:val="21"/>
              </w:rPr>
            </w:pPr>
          </w:p>
        </w:tc>
        <w:tc>
          <w:tcPr>
            <w:tcW w:w="640" w:type="pct"/>
            <w:vAlign w:val="center"/>
          </w:tcPr>
          <w:p w14:paraId="1C2E8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专利证书</w:t>
            </w:r>
          </w:p>
        </w:tc>
        <w:tc>
          <w:tcPr>
            <w:tcW w:w="599" w:type="pct"/>
            <w:vMerge w:val="continue"/>
            <w:vAlign w:val="center"/>
          </w:tcPr>
          <w:p w14:paraId="3F9C676D">
            <w:pPr>
              <w:adjustRightInd w:val="0"/>
              <w:snapToGrid w:val="0"/>
              <w:jc w:val="left"/>
              <w:rPr>
                <w:rFonts w:hint="eastAsia" w:ascii="宋体" w:hAnsi="宋体" w:eastAsia="宋体" w:cs="宋体"/>
                <w:sz w:val="21"/>
                <w:szCs w:val="21"/>
              </w:rPr>
            </w:pPr>
          </w:p>
        </w:tc>
        <w:tc>
          <w:tcPr>
            <w:tcW w:w="2967" w:type="pct"/>
            <w:vMerge w:val="continue"/>
            <w:vAlign w:val="center"/>
          </w:tcPr>
          <w:p w14:paraId="6E38A227">
            <w:pPr>
              <w:adjustRightInd w:val="0"/>
              <w:snapToGrid w:val="0"/>
              <w:jc w:val="left"/>
              <w:rPr>
                <w:rFonts w:hint="eastAsia" w:ascii="宋体" w:hAnsi="宋体" w:eastAsia="宋体" w:cs="宋体"/>
                <w:sz w:val="21"/>
                <w:szCs w:val="21"/>
              </w:rPr>
            </w:pPr>
          </w:p>
        </w:tc>
      </w:tr>
      <w:tr w14:paraId="0EC9B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jc w:val="center"/>
        </w:trPr>
        <w:tc>
          <w:tcPr>
            <w:tcW w:w="450" w:type="pct"/>
            <w:vAlign w:val="center"/>
          </w:tcPr>
          <w:p w14:paraId="722F199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答疑</w:t>
            </w:r>
          </w:p>
        </w:tc>
        <w:tc>
          <w:tcPr>
            <w:tcW w:w="342" w:type="pct"/>
            <w:vAlign w:val="center"/>
          </w:tcPr>
          <w:p w14:paraId="13F6E48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640" w:type="pct"/>
            <w:vAlign w:val="center"/>
          </w:tcPr>
          <w:p w14:paraId="01AA850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现场答疑</w:t>
            </w:r>
          </w:p>
        </w:tc>
        <w:tc>
          <w:tcPr>
            <w:tcW w:w="599" w:type="pct"/>
            <w:vAlign w:val="center"/>
          </w:tcPr>
          <w:p w14:paraId="05BE6A43">
            <w:pPr>
              <w:adjustRightInd w:val="0"/>
              <w:snapToGrid w:val="0"/>
              <w:jc w:val="left"/>
              <w:rPr>
                <w:rFonts w:hint="default" w:ascii="宋体" w:hAnsi="宋体" w:eastAsia="宋体" w:cs="宋体"/>
                <w:sz w:val="21"/>
                <w:szCs w:val="21"/>
                <w:lang w:val="en-US" w:eastAsia="zh-CN"/>
              </w:rPr>
            </w:pPr>
            <w:r>
              <w:rPr>
                <w:rFonts w:hint="eastAsia" w:ascii="宋体" w:hAnsi="宋体" w:cs="宋体"/>
                <w:sz w:val="21"/>
                <w:szCs w:val="21"/>
                <w:lang w:val="en-US" w:eastAsia="zh-CN"/>
              </w:rPr>
              <w:t>15</w:t>
            </w:r>
          </w:p>
        </w:tc>
        <w:tc>
          <w:tcPr>
            <w:tcW w:w="2967" w:type="pct"/>
            <w:vAlign w:val="center"/>
          </w:tcPr>
          <w:p w14:paraId="74FF447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（1）投标人对投标方案、技术优势的讲解，以及就该项目难点回答评标专家现场提问，打分0-1</w:t>
            </w:r>
            <w:r>
              <w:rPr>
                <w:rFonts w:hint="eastAsia" w:ascii="宋体" w:hAnsi="宋体" w:eastAsia="宋体" w:cs="宋体"/>
                <w:sz w:val="21"/>
                <w:szCs w:val="21"/>
                <w:lang w:val="en-US" w:eastAsia="zh-CN"/>
              </w:rPr>
              <w:t>0</w:t>
            </w:r>
            <w:r>
              <w:rPr>
                <w:rFonts w:hint="eastAsia" w:ascii="宋体" w:hAnsi="宋体" w:eastAsia="宋体" w:cs="宋体"/>
                <w:sz w:val="21"/>
                <w:szCs w:val="21"/>
              </w:rPr>
              <w:t>分。</w:t>
            </w:r>
          </w:p>
          <w:p w14:paraId="7FF2559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（2）是否了解招标方现有设备配置，打分0-5分。</w:t>
            </w:r>
          </w:p>
        </w:tc>
      </w:tr>
      <w:tr w14:paraId="3ADB7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29" w:hRule="atLeast"/>
          <w:jc w:val="center"/>
        </w:trPr>
        <w:tc>
          <w:tcPr>
            <w:tcW w:w="450" w:type="pct"/>
            <w:shd w:val="clear" w:color="auto" w:fill="auto"/>
            <w:vAlign w:val="center"/>
          </w:tcPr>
          <w:p w14:paraId="6E438F34">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货期</w:t>
            </w:r>
          </w:p>
        </w:tc>
        <w:tc>
          <w:tcPr>
            <w:tcW w:w="342" w:type="pct"/>
            <w:shd w:val="clear" w:color="auto" w:fill="auto"/>
            <w:vAlign w:val="center"/>
          </w:tcPr>
          <w:p w14:paraId="7CEBE8C8">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w:t>
            </w:r>
          </w:p>
        </w:tc>
        <w:tc>
          <w:tcPr>
            <w:tcW w:w="640" w:type="pct"/>
            <w:shd w:val="clear" w:color="auto" w:fill="auto"/>
            <w:vAlign w:val="center"/>
          </w:tcPr>
          <w:p w14:paraId="49C5FDC6">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到货周期</w:t>
            </w:r>
          </w:p>
        </w:tc>
        <w:tc>
          <w:tcPr>
            <w:tcW w:w="599" w:type="pct"/>
            <w:shd w:val="clear" w:color="auto" w:fill="auto"/>
            <w:vAlign w:val="center"/>
          </w:tcPr>
          <w:p w14:paraId="32E98F8B">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10</w:t>
            </w:r>
          </w:p>
        </w:tc>
        <w:tc>
          <w:tcPr>
            <w:tcW w:w="2967" w:type="pct"/>
            <w:shd w:val="clear" w:color="auto" w:fill="auto"/>
            <w:vAlign w:val="center"/>
          </w:tcPr>
          <w:p w14:paraId="1D8013B1">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lang w:val="en-US" w:eastAsia="zh-CN"/>
              </w:rPr>
              <w:t>到货周期＜2个月，打分10分；</w:t>
            </w:r>
          </w:p>
          <w:p w14:paraId="52C2EE4F">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（2）到货周期3个月，打分8分；</w:t>
            </w:r>
          </w:p>
          <w:p w14:paraId="49C834EB">
            <w:pPr>
              <w:adjustRightInd w:val="0"/>
              <w:snapToGrid w:val="0"/>
              <w:jc w:val="left"/>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（3）到货周期4个月，打分6分；</w:t>
            </w:r>
          </w:p>
          <w:p w14:paraId="4647FBE3">
            <w:pPr>
              <w:adjustRightInd w:val="0"/>
              <w:snapToGrid w:val="0"/>
              <w:jc w:val="left"/>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rPr>
              <w:t>（4）到货周期≥5个月，打分2分。</w:t>
            </w:r>
          </w:p>
        </w:tc>
      </w:tr>
      <w:tr w14:paraId="6E45B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68" w:hRule="atLeast"/>
          <w:jc w:val="center"/>
        </w:trPr>
        <w:tc>
          <w:tcPr>
            <w:tcW w:w="450" w:type="pct"/>
            <w:vAlign w:val="center"/>
          </w:tcPr>
          <w:p w14:paraId="6B6D2A71">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342" w:type="pct"/>
            <w:vAlign w:val="center"/>
          </w:tcPr>
          <w:p w14:paraId="56022E7B">
            <w:pPr>
              <w:adjustRightInd w:val="0"/>
              <w:snapToGrid w:val="0"/>
              <w:jc w:val="left"/>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w:t>
            </w:r>
          </w:p>
        </w:tc>
        <w:tc>
          <w:tcPr>
            <w:tcW w:w="640" w:type="pct"/>
            <w:vAlign w:val="center"/>
          </w:tcPr>
          <w:p w14:paraId="2CBE013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技术偏离</w:t>
            </w:r>
          </w:p>
        </w:tc>
        <w:tc>
          <w:tcPr>
            <w:tcW w:w="599" w:type="pct"/>
            <w:vAlign w:val="center"/>
          </w:tcPr>
          <w:p w14:paraId="1041A7B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10</w:t>
            </w:r>
          </w:p>
        </w:tc>
        <w:tc>
          <w:tcPr>
            <w:tcW w:w="2967" w:type="pct"/>
            <w:vAlign w:val="center"/>
          </w:tcPr>
          <w:p w14:paraId="41CB3626">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根据各投标人的核心产品的配置参数、技术偏离情况，在满足我司技术基本要求的前提下偏离。由评标委员会成员独立进行客观、公正的评价打分。</w:t>
            </w:r>
          </w:p>
          <w:p w14:paraId="2BE92B8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（1）无负偏离得6分；</w:t>
            </w:r>
          </w:p>
          <w:p w14:paraId="2B374D6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一般偏离一项扣2分，较大偏离一项扣4分，最低0分；</w:t>
            </w:r>
          </w:p>
          <w:p w14:paraId="03A067B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星标项不允许偏离，若有偏离项目直接淘汰。</w:t>
            </w:r>
          </w:p>
          <w:p w14:paraId="3BB6C8E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（2）实质性正偏离，一项加2分，最高4分。</w:t>
            </w:r>
          </w:p>
        </w:tc>
      </w:tr>
      <w:tr w14:paraId="0EB4A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0" w:hRule="atLeast"/>
          <w:jc w:val="center"/>
        </w:trPr>
        <w:tc>
          <w:tcPr>
            <w:tcW w:w="450" w:type="pct"/>
            <w:vMerge w:val="restart"/>
            <w:vAlign w:val="center"/>
          </w:tcPr>
          <w:p w14:paraId="03EF376C">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售后及服务</w:t>
            </w:r>
          </w:p>
        </w:tc>
        <w:tc>
          <w:tcPr>
            <w:tcW w:w="342" w:type="pct"/>
            <w:vAlign w:val="center"/>
          </w:tcPr>
          <w:p w14:paraId="0B2DED4C">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6</w:t>
            </w:r>
          </w:p>
        </w:tc>
        <w:tc>
          <w:tcPr>
            <w:tcW w:w="640" w:type="pct"/>
            <w:vAlign w:val="center"/>
          </w:tcPr>
          <w:p w14:paraId="7BF545E3">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技术培训</w:t>
            </w:r>
          </w:p>
          <w:p w14:paraId="0B870809">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方案</w:t>
            </w:r>
          </w:p>
        </w:tc>
        <w:tc>
          <w:tcPr>
            <w:tcW w:w="599" w:type="pct"/>
            <w:vAlign w:val="center"/>
          </w:tcPr>
          <w:p w14:paraId="564BEA6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2</w:t>
            </w:r>
          </w:p>
        </w:tc>
        <w:tc>
          <w:tcPr>
            <w:tcW w:w="2967" w:type="pct"/>
            <w:vAlign w:val="center"/>
          </w:tcPr>
          <w:p w14:paraId="396C66E8">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根据投标人技术培训方案的科学、合理、可行进行打分，0-2分。</w:t>
            </w:r>
          </w:p>
        </w:tc>
      </w:tr>
      <w:tr w14:paraId="307F0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6" w:hRule="atLeast"/>
          <w:jc w:val="center"/>
        </w:trPr>
        <w:tc>
          <w:tcPr>
            <w:tcW w:w="450" w:type="pct"/>
            <w:vMerge w:val="continue"/>
            <w:vAlign w:val="center"/>
          </w:tcPr>
          <w:p w14:paraId="4327FF59">
            <w:pPr>
              <w:adjustRightInd w:val="0"/>
              <w:snapToGrid w:val="0"/>
              <w:jc w:val="left"/>
              <w:rPr>
                <w:rFonts w:hint="eastAsia" w:ascii="宋体" w:hAnsi="宋体" w:eastAsia="宋体" w:cs="宋体"/>
                <w:sz w:val="21"/>
                <w:szCs w:val="21"/>
              </w:rPr>
            </w:pPr>
          </w:p>
        </w:tc>
        <w:tc>
          <w:tcPr>
            <w:tcW w:w="342" w:type="pct"/>
            <w:vAlign w:val="center"/>
          </w:tcPr>
          <w:p w14:paraId="707BDEB5">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7</w:t>
            </w:r>
          </w:p>
        </w:tc>
        <w:tc>
          <w:tcPr>
            <w:tcW w:w="640" w:type="pct"/>
            <w:shd w:val="clear" w:color="auto" w:fill="auto"/>
            <w:vAlign w:val="center"/>
          </w:tcPr>
          <w:p w14:paraId="5B1BBCBD">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售后技术</w:t>
            </w:r>
          </w:p>
          <w:p w14:paraId="52248995">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力量</w:t>
            </w:r>
          </w:p>
        </w:tc>
        <w:tc>
          <w:tcPr>
            <w:tcW w:w="599" w:type="pct"/>
            <w:shd w:val="clear" w:color="auto" w:fill="auto"/>
            <w:vAlign w:val="center"/>
          </w:tcPr>
          <w:p w14:paraId="5EBEFAA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5</w:t>
            </w:r>
          </w:p>
        </w:tc>
        <w:tc>
          <w:tcPr>
            <w:tcW w:w="2967" w:type="pct"/>
            <w:shd w:val="clear" w:color="auto" w:fill="auto"/>
            <w:vAlign w:val="center"/>
          </w:tcPr>
          <w:p w14:paraId="5FA3F872">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根据投标人在国内常驻专业技术力量的维保机构数量和规模进行打分，0-5分。</w:t>
            </w:r>
          </w:p>
        </w:tc>
      </w:tr>
      <w:tr w14:paraId="6EBB4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7" w:hRule="atLeast"/>
          <w:jc w:val="center"/>
        </w:trPr>
        <w:tc>
          <w:tcPr>
            <w:tcW w:w="450" w:type="pct"/>
            <w:vMerge w:val="continue"/>
            <w:vAlign w:val="center"/>
          </w:tcPr>
          <w:p w14:paraId="13D5FF55">
            <w:pPr>
              <w:adjustRightInd w:val="0"/>
              <w:snapToGrid w:val="0"/>
              <w:jc w:val="left"/>
              <w:rPr>
                <w:rFonts w:hint="eastAsia" w:ascii="宋体" w:hAnsi="宋体" w:eastAsia="宋体" w:cs="宋体"/>
                <w:sz w:val="21"/>
                <w:szCs w:val="21"/>
              </w:rPr>
            </w:pPr>
          </w:p>
        </w:tc>
        <w:tc>
          <w:tcPr>
            <w:tcW w:w="342" w:type="pct"/>
            <w:vAlign w:val="center"/>
          </w:tcPr>
          <w:p w14:paraId="13B11A2D">
            <w:pPr>
              <w:adjustRightInd w:val="0"/>
              <w:snapToGrid w:val="0"/>
              <w:jc w:val="left"/>
              <w:rPr>
                <w:rFonts w:hint="eastAsia" w:ascii="宋体" w:hAnsi="宋体" w:eastAsia="宋体" w:cs="宋体"/>
                <w:sz w:val="21"/>
                <w:szCs w:val="21"/>
                <w:lang w:eastAsia="zh-CN"/>
              </w:rPr>
            </w:pPr>
            <w:r>
              <w:rPr>
                <w:rFonts w:hint="eastAsia" w:ascii="宋体" w:hAnsi="宋体" w:eastAsia="宋体" w:cs="宋体"/>
                <w:sz w:val="21"/>
                <w:szCs w:val="21"/>
                <w:lang w:val="en-US" w:eastAsia="zh-CN"/>
              </w:rPr>
              <w:t>8</w:t>
            </w:r>
          </w:p>
        </w:tc>
        <w:tc>
          <w:tcPr>
            <w:tcW w:w="640" w:type="pct"/>
            <w:shd w:val="clear" w:color="auto" w:fill="auto"/>
            <w:vAlign w:val="center"/>
          </w:tcPr>
          <w:p w14:paraId="0C45EFF7">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售后响应时间</w:t>
            </w:r>
          </w:p>
        </w:tc>
        <w:tc>
          <w:tcPr>
            <w:tcW w:w="599" w:type="pct"/>
            <w:shd w:val="clear" w:color="auto" w:fill="auto"/>
            <w:vAlign w:val="center"/>
          </w:tcPr>
          <w:p w14:paraId="7213925F">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3</w:t>
            </w:r>
          </w:p>
        </w:tc>
        <w:tc>
          <w:tcPr>
            <w:tcW w:w="2967" w:type="pct"/>
            <w:shd w:val="clear" w:color="auto" w:fill="auto"/>
            <w:vAlign w:val="center"/>
          </w:tcPr>
          <w:p w14:paraId="73E336D4">
            <w:pPr>
              <w:adjustRightInd w:val="0"/>
              <w:snapToGrid w:val="0"/>
              <w:jc w:val="left"/>
              <w:rPr>
                <w:rFonts w:hint="eastAsia" w:ascii="宋体" w:hAnsi="宋体" w:eastAsia="宋体" w:cs="宋体"/>
                <w:sz w:val="21"/>
                <w:szCs w:val="21"/>
              </w:rPr>
            </w:pPr>
            <w:r>
              <w:rPr>
                <w:rFonts w:hint="eastAsia" w:ascii="宋体" w:hAnsi="宋体" w:eastAsia="宋体" w:cs="宋体"/>
                <w:sz w:val="21"/>
                <w:szCs w:val="21"/>
              </w:rPr>
              <w:t>根据投标人售后服务的承诺和具体的保证措施，承诺到现场的响应时间进行打分，0-3分。</w:t>
            </w:r>
          </w:p>
        </w:tc>
      </w:tr>
    </w:tbl>
    <w:p w14:paraId="57FDC17C">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2E7BDDE4">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127D1531">
      <w:pPr>
        <w:pStyle w:val="6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z w:val="24"/>
          <w:szCs w:val="24"/>
        </w:rPr>
        <w:sectPr>
          <w:footerReference r:id="rId13" w:type="first"/>
          <w:headerReference r:id="rId11" w:type="default"/>
          <w:footerReference r:id="rId12" w:type="default"/>
          <w:pgSz w:w="11906" w:h="16838"/>
          <w:pgMar w:top="1588" w:right="1418" w:bottom="1134" w:left="1418" w:header="851" w:footer="992" w:gutter="0"/>
          <w:pgNumType w:fmt="numberInDash"/>
          <w:cols w:space="720" w:num="1"/>
          <w:titlePg/>
          <w:docGrid w:linePitch="312" w:charSpace="0"/>
        </w:sectPr>
      </w:pPr>
    </w:p>
    <w:p w14:paraId="170D9EDE">
      <w:pPr>
        <w:pStyle w:val="60"/>
        <w:pageBreakBefore w:val="0"/>
        <w:widowControl w:val="0"/>
        <w:numPr>
          <w:ilvl w:val="0"/>
          <w:numId w:val="8"/>
        </w:numPr>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技术标根据评分办法进行打分，技术标评标小组推荐至少3家技术得分</w:t>
      </w:r>
      <w:r>
        <w:rPr>
          <w:rFonts w:hint="eastAsia" w:ascii="宋体" w:hAnsi="宋体" w:eastAsia="宋体" w:cs="宋体"/>
          <w:b/>
          <w:bCs/>
          <w:color w:val="000000"/>
          <w:sz w:val="24"/>
          <w:szCs w:val="24"/>
          <w:highlight w:val="yellow"/>
          <w:lang w:val="en-US" w:eastAsia="zh-CN"/>
        </w:rPr>
        <w:t>8</w:t>
      </w:r>
      <w:r>
        <w:rPr>
          <w:rFonts w:hint="eastAsia" w:ascii="宋体" w:hAnsi="宋体" w:eastAsia="宋体" w:cs="宋体"/>
          <w:b/>
          <w:bCs/>
          <w:color w:val="000000"/>
          <w:sz w:val="24"/>
          <w:szCs w:val="24"/>
          <w:highlight w:val="yellow"/>
        </w:rPr>
        <w:t>0分</w:t>
      </w:r>
      <w:r>
        <w:rPr>
          <w:rFonts w:hint="eastAsia" w:ascii="宋体" w:hAnsi="宋体" w:eastAsia="宋体" w:cs="宋体"/>
          <w:b/>
          <w:bCs/>
          <w:color w:val="000000"/>
          <w:sz w:val="24"/>
          <w:szCs w:val="24"/>
        </w:rPr>
        <w:t>（含）以上的投标人入围。技术入围投标人不足三家时，本次按废标处理，招标人有权根据招</w:t>
      </w:r>
    </w:p>
    <w:p w14:paraId="06876E79">
      <w:pPr>
        <w:pStyle w:val="60"/>
        <w:pageBreakBefore w:val="0"/>
        <w:widowControl w:val="0"/>
        <w:numPr>
          <w:ilvl w:val="0"/>
          <w:numId w:val="0"/>
        </w:numPr>
        <w:kinsoku/>
        <w:wordWrap/>
        <w:overflowPunct/>
        <w:topLinePunct w:val="0"/>
        <w:autoSpaceDE/>
        <w:autoSpaceDN/>
        <w:bidi w:val="0"/>
        <w:adjustRightInd/>
        <w:snapToGrid/>
        <w:spacing w:line="360" w:lineRule="auto"/>
        <w:jc w:val="both"/>
        <w:textAlignment w:val="auto"/>
        <w:rPr>
          <w:rFonts w:hint="eastAsia" w:ascii="宋体" w:hAnsi="宋体" w:eastAsia="宋体" w:cs="宋体"/>
          <w:b/>
          <w:bCs/>
          <w:color w:val="000000"/>
          <w:sz w:val="24"/>
          <w:szCs w:val="24"/>
        </w:rPr>
        <w:sectPr>
          <w:footerReference r:id="rId15" w:type="first"/>
          <w:footerReference r:id="rId14" w:type="default"/>
          <w:pgSz w:w="11906" w:h="16838"/>
          <w:pgMar w:top="1588" w:right="1418" w:bottom="1134" w:left="1418" w:header="851" w:footer="992" w:gutter="0"/>
          <w:pgNumType w:fmt="numberInDash"/>
          <w:cols w:space="720" w:num="1"/>
          <w:docGrid w:linePitch="312" w:charSpace="0"/>
        </w:sectPr>
      </w:pPr>
      <w:r>
        <w:rPr>
          <w:rFonts w:hint="eastAsia" w:ascii="宋体" w:hAnsi="宋体" w:eastAsia="宋体" w:cs="宋体"/>
          <w:b/>
          <w:bCs/>
          <w:color w:val="000000"/>
          <w:sz w:val="24"/>
          <w:szCs w:val="24"/>
        </w:rPr>
        <w:t>标采购管理流程重新组织招标。</w:t>
      </w:r>
      <w:bookmarkEnd w:id="21"/>
      <w:bookmarkStart w:id="22" w:name="_Toc425801541"/>
    </w:p>
    <w:p w14:paraId="672B0ABD">
      <w:pPr>
        <w:pStyle w:val="6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rPr>
      </w:pPr>
      <w:r>
        <w:rPr>
          <w:rFonts w:hint="eastAsia" w:ascii="宋体" w:hAnsi="宋体" w:eastAsia="宋体" w:cs="宋体"/>
        </w:rPr>
        <w:commentReference w:id="0"/>
      </w:r>
    </w:p>
    <w:bookmarkEnd w:id="22"/>
    <w:p w14:paraId="20C17A1F">
      <w:pPr>
        <w:keepNext/>
        <w:keepLines/>
        <w:jc w:val="center"/>
        <w:outlineLvl w:val="0"/>
        <w:rPr>
          <w:rFonts w:hint="eastAsia" w:ascii="宋体" w:hAnsi="宋体" w:eastAsia="宋体" w:cs="宋体"/>
          <w:b/>
          <w:bCs/>
          <w:kern w:val="44"/>
          <w:sz w:val="36"/>
          <w:szCs w:val="44"/>
        </w:rPr>
      </w:pPr>
      <w:bookmarkStart w:id="23" w:name="_Toc9849"/>
      <w:bookmarkStart w:id="24" w:name="_Toc169605877"/>
      <w:bookmarkStart w:id="25" w:name="OLE_LINK30"/>
      <w:bookmarkStart w:id="26" w:name="OLE_LINK31"/>
      <w:r>
        <w:rPr>
          <w:rFonts w:hint="eastAsia" w:ascii="宋体" w:hAnsi="宋体" w:eastAsia="宋体" w:cs="宋体"/>
          <w:b/>
          <w:bCs/>
          <w:kern w:val="44"/>
          <w:sz w:val="36"/>
          <w:szCs w:val="44"/>
        </w:rPr>
        <w:t>第四部分 技术标书</w:t>
      </w:r>
      <w:bookmarkEnd w:id="23"/>
    </w:p>
    <w:p w14:paraId="4C0CF3BF">
      <w:pPr>
        <w:pStyle w:val="17"/>
        <w:ind w:firstLine="420"/>
        <w:rPr>
          <w:rFonts w:hint="eastAsia" w:ascii="宋体" w:hAnsi="宋体" w:eastAsia="宋体" w:cs="宋体"/>
        </w:rPr>
      </w:pPr>
    </w:p>
    <w:p w14:paraId="4FBDB921">
      <w:pPr>
        <w:keepNext/>
        <w:keepLines/>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p>
    <w:p w14:paraId="65CEDF10">
      <w:pPr>
        <w:spacing w:line="276" w:lineRule="auto"/>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可编程辅驱(小三电)模拟负载</w:t>
      </w:r>
    </w:p>
    <w:p w14:paraId="4AB3DC3D">
      <w:pPr>
        <w:spacing w:line="276" w:lineRule="auto"/>
        <w:jc w:val="center"/>
        <w:outlineLvl w:val="0"/>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招标项目</w:t>
      </w:r>
    </w:p>
    <w:p w14:paraId="5AB03DFB">
      <w:pPr>
        <w:jc w:val="right"/>
        <w:rPr>
          <w:rFonts w:ascii="Calibri" w:hAnsi="Calibri"/>
          <w:color w:val="000000"/>
          <w:sz w:val="28"/>
          <w:szCs w:val="28"/>
        </w:rPr>
      </w:pPr>
    </w:p>
    <w:p w14:paraId="6D0DB09E">
      <w:pPr>
        <w:pStyle w:val="17"/>
        <w:ind w:firstLine="420"/>
      </w:pPr>
    </w:p>
    <w:p w14:paraId="482216CF">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技</w:t>
      </w:r>
    </w:p>
    <w:p w14:paraId="41D71CEB">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术</w:t>
      </w:r>
    </w:p>
    <w:p w14:paraId="02C894AE">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标</w:t>
      </w:r>
    </w:p>
    <w:p w14:paraId="0E04EBFE">
      <w:pPr>
        <w:jc w:val="center"/>
        <w:outlineLvl w:val="0"/>
        <w:rPr>
          <w:rFonts w:hint="eastAsia" w:ascii="黑体" w:hAnsi="宋体" w:eastAsia="黑体"/>
          <w:color w:val="000000"/>
          <w:sz w:val="72"/>
          <w:szCs w:val="72"/>
        </w:rPr>
      </w:pPr>
      <w:r>
        <w:rPr>
          <w:rFonts w:hint="eastAsia" w:ascii="黑体" w:hAnsi="宋体" w:eastAsia="黑体"/>
          <w:color w:val="000000"/>
          <w:sz w:val="72"/>
          <w:szCs w:val="72"/>
        </w:rPr>
        <w:t>书</w:t>
      </w:r>
    </w:p>
    <w:p w14:paraId="55B4A6BC">
      <w:pPr>
        <w:pStyle w:val="17"/>
        <w:ind w:firstLine="1440"/>
        <w:rPr>
          <w:rFonts w:hint="eastAsia" w:ascii="黑体" w:hAnsi="宋体" w:eastAsia="黑体"/>
          <w:color w:val="000000"/>
          <w:sz w:val="72"/>
          <w:szCs w:val="72"/>
        </w:rPr>
      </w:pPr>
    </w:p>
    <w:p w14:paraId="4C6829B0">
      <w:pPr>
        <w:pStyle w:val="17"/>
        <w:ind w:firstLine="1440"/>
        <w:rPr>
          <w:rFonts w:hint="eastAsia" w:ascii="黑体" w:hAnsi="宋体" w:eastAsia="黑体"/>
          <w:color w:val="000000"/>
          <w:sz w:val="72"/>
          <w:szCs w:val="72"/>
        </w:rPr>
      </w:pPr>
    </w:p>
    <w:p w14:paraId="338E1E3D">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编制：</w:t>
      </w:r>
    </w:p>
    <w:p w14:paraId="52FF08D5">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审核：</w:t>
      </w:r>
    </w:p>
    <w:p w14:paraId="5B144DB4">
      <w:pPr>
        <w:spacing w:line="860" w:lineRule="exact"/>
        <w:jc w:val="center"/>
        <w:outlineLvl w:val="0"/>
        <w:rPr>
          <w:rFonts w:hint="eastAsia" w:ascii="华文仿宋" w:hAnsi="华文仿宋" w:eastAsia="华文仿宋"/>
          <w:b/>
          <w:bCs/>
          <w:sz w:val="32"/>
          <w:szCs w:val="28"/>
          <w:lang w:val="en-US" w:eastAsia="zh-CN"/>
        </w:rPr>
      </w:pPr>
      <w:r>
        <w:rPr>
          <w:rFonts w:hint="eastAsia" w:ascii="华文仿宋" w:hAnsi="华文仿宋" w:eastAsia="华文仿宋"/>
          <w:b/>
          <w:bCs/>
          <w:sz w:val="32"/>
          <w:szCs w:val="28"/>
        </w:rPr>
        <w:t>批准：</w:t>
      </w:r>
    </w:p>
    <w:p w14:paraId="64B8DBB7">
      <w:pPr>
        <w:jc w:val="center"/>
        <w:outlineLvl w:val="0"/>
        <w:rPr>
          <w:rFonts w:hint="eastAsia" w:ascii="宋体" w:hAnsi="宋体"/>
          <w:color w:val="000000"/>
          <w:sz w:val="28"/>
          <w:szCs w:val="28"/>
        </w:rPr>
      </w:pPr>
    </w:p>
    <w:p w14:paraId="7A198C1D">
      <w:pPr>
        <w:jc w:val="center"/>
        <w:outlineLvl w:val="0"/>
        <w:rPr>
          <w:rFonts w:hint="eastAsia" w:ascii="宋体" w:hAnsi="宋体" w:eastAsia="宋体" w:cs="宋体"/>
          <w:color w:val="000000"/>
          <w:sz w:val="28"/>
          <w:szCs w:val="28"/>
        </w:rPr>
      </w:pPr>
    </w:p>
    <w:p w14:paraId="3AE89FEF">
      <w:pPr>
        <w:jc w:val="center"/>
        <w:outlineLvl w:val="0"/>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259A68DA">
      <w:pPr>
        <w:jc w:val="center"/>
        <w:outlineLvl w:val="0"/>
        <w:rPr>
          <w:rFonts w:hint="eastAsia" w:ascii="宋体" w:hAnsi="宋体" w:eastAsia="宋体" w:cs="宋体"/>
          <w:color w:val="000000"/>
          <w:sz w:val="28"/>
          <w:szCs w:val="28"/>
        </w:rPr>
      </w:pPr>
    </w:p>
    <w:p w14:paraId="6D2C3814">
      <w:pPr>
        <w:jc w:val="center"/>
        <w:outlineLvl w:val="0"/>
        <w:rPr>
          <w:rFonts w:hint="eastAsia" w:ascii="宋体" w:hAnsi="宋体" w:eastAsia="宋体" w:cs="宋体"/>
          <w:b/>
          <w:bCs/>
          <w:kern w:val="44"/>
          <w:sz w:val="36"/>
          <w:szCs w:val="44"/>
        </w:rPr>
      </w:pPr>
      <w:r>
        <w:rPr>
          <w:rFonts w:hint="eastAsia" w:ascii="宋体" w:hAnsi="宋体" w:eastAsia="宋体" w:cs="宋体"/>
          <w:color w:val="000000"/>
          <w:sz w:val="28"/>
          <w:szCs w:val="28"/>
        </w:rPr>
        <w:t>202</w:t>
      </w:r>
      <w:r>
        <w:rPr>
          <w:rFonts w:hint="eastAsia" w:ascii="宋体" w:hAnsi="宋体" w:eastAsia="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eastAsia="宋体" w:cs="宋体"/>
          <w:color w:val="000000"/>
          <w:sz w:val="28"/>
          <w:szCs w:val="28"/>
          <w:shd w:val="clear" w:fill="FF0000"/>
          <w:lang w:val="en-US" w:eastAsia="zh-CN"/>
        </w:rPr>
        <w:t>5</w:t>
      </w:r>
      <w:r>
        <w:rPr>
          <w:rFonts w:hint="eastAsia" w:ascii="宋体" w:hAnsi="宋体" w:eastAsia="宋体" w:cs="宋体"/>
          <w:color w:val="000000"/>
          <w:sz w:val="28"/>
          <w:szCs w:val="28"/>
          <w:shd w:val="clear" w:fill="FF0000"/>
        </w:rPr>
        <w:t>月</w:t>
      </w:r>
    </w:p>
    <w:p w14:paraId="38F3B609">
      <w:pPr>
        <w:keepNext/>
        <w:keepLines/>
        <w:spacing w:before="120" w:after="120" w:line="480" w:lineRule="exact"/>
        <w:jc w:val="center"/>
        <w:outlineLvl w:val="1"/>
        <w:rPr>
          <w:rFonts w:hint="eastAsia" w:ascii="宋体" w:hAnsi="宋体" w:eastAsia="宋体"/>
          <w:b/>
          <w:bCs/>
          <w:kern w:val="44"/>
          <w:sz w:val="28"/>
          <w:szCs w:val="28"/>
        </w:rPr>
        <w:sectPr>
          <w:footerReference r:id="rId16" w:type="default"/>
          <w:pgSz w:w="11906" w:h="16838"/>
          <w:pgMar w:top="1588" w:right="1418" w:bottom="1134" w:left="1418" w:header="851" w:footer="992" w:gutter="0"/>
          <w:pgNumType w:fmt="numberInDash"/>
          <w:cols w:space="720" w:num="1"/>
          <w:docGrid w:linePitch="312" w:charSpace="0"/>
        </w:sectPr>
      </w:pPr>
    </w:p>
    <w:p w14:paraId="711A3DFB">
      <w:pPr>
        <w:keepNext/>
        <w:keepLines/>
        <w:spacing w:before="120" w:after="120" w:line="480" w:lineRule="exact"/>
        <w:jc w:val="center"/>
        <w:outlineLvl w:val="1"/>
        <w:rPr>
          <w:rFonts w:ascii="宋体" w:hAnsi="Calibri" w:eastAsia="宋体"/>
          <w:b/>
          <w:bCs/>
          <w:kern w:val="44"/>
          <w:sz w:val="28"/>
          <w:szCs w:val="28"/>
        </w:rPr>
      </w:pPr>
      <w:r>
        <w:rPr>
          <w:rFonts w:hint="eastAsia" w:ascii="宋体" w:hAnsi="宋体" w:eastAsia="宋体"/>
          <w:b/>
          <w:bCs/>
          <w:kern w:val="44"/>
          <w:sz w:val="28"/>
          <w:szCs w:val="28"/>
        </w:rPr>
        <w:t>第一章</w:t>
      </w:r>
      <w:r>
        <w:rPr>
          <w:rFonts w:ascii="宋体" w:hAnsi="宋体" w:eastAsia="宋体"/>
          <w:b/>
          <w:bCs/>
          <w:kern w:val="44"/>
          <w:sz w:val="28"/>
          <w:szCs w:val="28"/>
        </w:rPr>
        <w:t xml:space="preserve">  </w:t>
      </w:r>
      <w:r>
        <w:rPr>
          <w:rFonts w:hint="eastAsia" w:ascii="宋体" w:hAnsi="宋体" w:eastAsia="宋体"/>
          <w:b/>
          <w:bCs/>
          <w:kern w:val="44"/>
          <w:sz w:val="28"/>
          <w:szCs w:val="28"/>
        </w:rPr>
        <w:t>采购货物概况</w:t>
      </w:r>
      <w:bookmarkEnd w:id="24"/>
    </w:p>
    <w:p w14:paraId="1F10EC16">
      <w:pPr>
        <w:keepNext/>
        <w:keepLines/>
        <w:spacing w:before="120" w:after="120" w:line="480" w:lineRule="exact"/>
        <w:jc w:val="center"/>
        <w:outlineLvl w:val="2"/>
        <w:rPr>
          <w:rFonts w:ascii="Arial" w:hAnsi="Arial" w:eastAsia="宋体"/>
          <w:b/>
          <w:bCs/>
          <w:sz w:val="24"/>
          <w:szCs w:val="24"/>
        </w:rPr>
      </w:pPr>
      <w:bookmarkStart w:id="27" w:name="_Toc169605878"/>
      <w:r>
        <w:rPr>
          <w:rFonts w:hint="eastAsia" w:ascii="Arial" w:hAnsi="Arial" w:eastAsia="宋体"/>
          <w:b/>
          <w:bCs/>
          <w:sz w:val="24"/>
          <w:szCs w:val="24"/>
        </w:rPr>
        <w:t>第一节</w:t>
      </w:r>
      <w:r>
        <w:rPr>
          <w:rFonts w:ascii="Arial" w:hAnsi="Arial" w:eastAsia="宋体"/>
          <w:b/>
          <w:bCs/>
          <w:sz w:val="24"/>
          <w:szCs w:val="24"/>
        </w:rPr>
        <w:t xml:space="preserve">  </w:t>
      </w:r>
      <w:r>
        <w:rPr>
          <w:rFonts w:hint="eastAsia" w:ascii="Arial" w:hAnsi="Arial" w:eastAsia="宋体"/>
          <w:b/>
          <w:bCs/>
          <w:sz w:val="24"/>
          <w:szCs w:val="24"/>
        </w:rPr>
        <w:t>使用环境</w:t>
      </w:r>
      <w:bookmarkEnd w:id="27"/>
    </w:p>
    <w:p w14:paraId="06697695">
      <w:pPr>
        <w:spacing w:line="360" w:lineRule="auto"/>
        <w:outlineLvl w:val="3"/>
        <w:rPr>
          <w:rFonts w:hint="eastAsia" w:ascii="宋体" w:hAnsi="宋体" w:eastAsia="宋体" w:cs="宋体"/>
          <w:sz w:val="24"/>
          <w:szCs w:val="24"/>
          <w:u w:val="single"/>
          <w:shd w:val="pct10" w:color="auto" w:fill="FFFFFF"/>
          <w:lang w:val="en-US" w:eastAsia="zh-CN"/>
        </w:rPr>
      </w:pPr>
      <w:r>
        <w:rPr>
          <w:rFonts w:hint="eastAsia" w:ascii="宋体" w:hAnsi="宋体" w:eastAsia="宋体" w:cs="宋体"/>
          <w:sz w:val="24"/>
          <w:szCs w:val="24"/>
        </w:rPr>
        <w:t>一、项目名称：</w:t>
      </w:r>
      <w:r>
        <w:rPr>
          <w:rFonts w:hint="eastAsia" w:ascii="宋体" w:hAnsi="宋体" w:eastAsia="宋体"/>
          <w:color w:val="000000"/>
          <w:sz w:val="24"/>
          <w:szCs w:val="24"/>
          <w:u w:val="single"/>
        </w:rPr>
        <w:t>可编程辅驱(小三电)模拟负载</w:t>
      </w:r>
      <w:r>
        <w:rPr>
          <w:rFonts w:hint="eastAsia" w:ascii="宋体" w:hAnsi="宋体" w:eastAsia="宋体"/>
          <w:color w:val="000000"/>
          <w:sz w:val="24"/>
          <w:szCs w:val="24"/>
          <w:u w:val="single"/>
          <w:lang w:val="en-US" w:eastAsia="zh-CN"/>
        </w:rPr>
        <w:t>项目</w:t>
      </w:r>
    </w:p>
    <w:p w14:paraId="25B64A61">
      <w:pPr>
        <w:spacing w:line="360" w:lineRule="auto"/>
        <w:outlineLvl w:val="3"/>
        <w:rPr>
          <w:rFonts w:hint="eastAsia" w:ascii="宋体" w:hAnsi="宋体" w:eastAsia="宋体" w:cs="宋体"/>
          <w:sz w:val="24"/>
          <w:szCs w:val="24"/>
          <w:u w:val="single"/>
          <w:shd w:val="pct10" w:color="auto" w:fill="FFFFFF"/>
        </w:rPr>
      </w:pPr>
      <w:r>
        <w:rPr>
          <w:rFonts w:hint="eastAsia" w:ascii="宋体" w:hAnsi="宋体" w:eastAsia="宋体" w:cs="宋体"/>
          <w:sz w:val="24"/>
          <w:szCs w:val="24"/>
        </w:rPr>
        <w:t>二、建设地点：</w:t>
      </w:r>
      <w:r>
        <w:rPr>
          <w:rFonts w:hint="eastAsia" w:ascii="宋体" w:hAnsi="宋体" w:eastAsia="宋体" w:cs="宋体"/>
          <w:sz w:val="24"/>
          <w:szCs w:val="24"/>
          <w:u w:val="single"/>
        </w:rPr>
        <w:t>济南市莱芜区口镇重汽工业园</w:t>
      </w:r>
    </w:p>
    <w:p w14:paraId="51CDBC9C">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济南市莱芜区口镇</w:t>
      </w:r>
      <w:r>
        <w:rPr>
          <w:rFonts w:hint="eastAsia" w:ascii="宋体" w:hAnsi="宋体" w:eastAsia="宋体" w:cs="宋体"/>
          <w:color w:val="000000"/>
          <w:sz w:val="24"/>
          <w:szCs w:val="24"/>
          <w:u w:val="single"/>
          <w:lang w:val="en-US" w:eastAsia="zh-CN"/>
        </w:rPr>
        <w:t>重汽</w:t>
      </w:r>
      <w:r>
        <w:rPr>
          <w:rFonts w:hint="eastAsia" w:ascii="宋体" w:hAnsi="宋体" w:eastAsia="宋体" w:cs="宋体"/>
          <w:color w:val="000000"/>
          <w:sz w:val="24"/>
          <w:szCs w:val="24"/>
          <w:u w:val="single"/>
        </w:rPr>
        <w:t>工业园</w:t>
      </w:r>
    </w:p>
    <w:p w14:paraId="5CB5FA19">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ascii="宋体" w:hAnsi="宋体" w:eastAsia="宋体" w:cs="宋体"/>
          <w:sz w:val="24"/>
          <w:szCs w:val="24"/>
        </w:rPr>
        <w:t>274天、两班制、设备年时基数4380小时</w:t>
      </w:r>
    </w:p>
    <w:p w14:paraId="28C01D45">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024EC52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1000m以下</w:t>
      </w:r>
      <w:r>
        <w:rPr>
          <w:rFonts w:hint="eastAsia" w:ascii="宋体" w:hAnsi="宋体" w:eastAsia="宋体" w:cs="宋体"/>
          <w:bCs/>
          <w:sz w:val="24"/>
          <w:szCs w:val="24"/>
        </w:rPr>
        <w:t>。</w:t>
      </w:r>
    </w:p>
    <w:p w14:paraId="30A8923D">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2.环境温度：室外极端最低温度</w:t>
      </w:r>
      <w:r>
        <w:rPr>
          <w:rFonts w:ascii="宋体" w:hAnsi="宋体" w:eastAsia="宋体" w:cs="宋体"/>
          <w:bCs/>
          <w:sz w:val="24"/>
          <w:szCs w:val="24"/>
        </w:rPr>
        <w:t>-20℃、极端最高温度45℃，昼夜最大温差25℃。</w:t>
      </w:r>
    </w:p>
    <w:p w14:paraId="569E5B24">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3.相对湿度：年平均</w:t>
      </w:r>
      <w:r>
        <w:rPr>
          <w:rFonts w:ascii="宋体" w:hAnsi="宋体" w:eastAsia="宋体" w:cs="宋体"/>
          <w:bCs/>
          <w:sz w:val="24"/>
          <w:szCs w:val="24"/>
        </w:rPr>
        <w:t>59%，</w:t>
      </w:r>
      <w:r>
        <w:rPr>
          <w:rFonts w:hint="eastAsia" w:ascii="宋体" w:hAnsi="宋体" w:eastAsia="宋体" w:cs="宋体"/>
          <w:bCs/>
          <w:sz w:val="24"/>
          <w:szCs w:val="24"/>
        </w:rPr>
        <w:t>最大95%、最小15%。</w:t>
      </w:r>
    </w:p>
    <w:p w14:paraId="1C777BC5">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4</w:t>
      </w:r>
      <w:r>
        <w:rPr>
          <w:rFonts w:hint="eastAsia" w:ascii="宋体" w:hAnsi="宋体" w:eastAsia="宋体" w:cs="宋体"/>
          <w:bCs/>
          <w:sz w:val="24"/>
          <w:szCs w:val="24"/>
        </w:rPr>
        <w:t>.</w:t>
      </w:r>
      <w:r>
        <w:rPr>
          <w:rFonts w:ascii="宋体" w:hAnsi="宋体" w:eastAsia="宋体" w:cs="宋体"/>
          <w:bCs/>
          <w:sz w:val="24"/>
          <w:szCs w:val="24"/>
        </w:rPr>
        <w:t>地震设防裂度：七度</w:t>
      </w:r>
      <w:r>
        <w:rPr>
          <w:rFonts w:hint="eastAsia" w:ascii="宋体" w:hAnsi="宋体" w:eastAsia="宋体" w:cs="宋体"/>
          <w:bCs/>
          <w:sz w:val="24"/>
          <w:szCs w:val="24"/>
        </w:rPr>
        <w:t>。</w:t>
      </w:r>
    </w:p>
    <w:p w14:paraId="40825E6B">
      <w:pPr>
        <w:spacing w:line="360" w:lineRule="auto"/>
        <w:outlineLvl w:val="3"/>
        <w:rPr>
          <w:rFonts w:hint="eastAsia" w:ascii="宋体" w:hAnsi="宋体" w:eastAsia="宋体" w:cs="宋体"/>
          <w:bCs/>
          <w:sz w:val="24"/>
          <w:szCs w:val="24"/>
        </w:rPr>
      </w:pPr>
      <w:r>
        <w:rPr>
          <w:rFonts w:hint="eastAsia" w:ascii="宋体" w:hAnsi="宋体" w:eastAsia="宋体" w:cs="宋体"/>
          <w:bCs/>
          <w:sz w:val="24"/>
          <w:szCs w:val="24"/>
        </w:rPr>
        <w:t>六、使用试验室环境条件：</w:t>
      </w:r>
    </w:p>
    <w:p w14:paraId="52C74E6B">
      <w:pPr>
        <w:pStyle w:val="17"/>
        <w:spacing w:line="360" w:lineRule="auto"/>
        <w:ind w:firstLine="480"/>
        <w:rPr>
          <w:rFonts w:hint="eastAsia" w:hAnsi="宋体" w:eastAsia="宋体" w:cs="宋体"/>
          <w:bCs/>
          <w:sz w:val="24"/>
          <w:szCs w:val="24"/>
        </w:rPr>
      </w:pPr>
      <w:r>
        <w:rPr>
          <w:rFonts w:hAnsi="宋体" w:eastAsia="宋体" w:cs="宋体"/>
          <w:bCs/>
          <w:sz w:val="24"/>
          <w:szCs w:val="24"/>
        </w:rPr>
        <w:t>1</w:t>
      </w:r>
      <w:r>
        <w:rPr>
          <w:rFonts w:hint="eastAsia" w:hAnsi="宋体" w:eastAsia="宋体" w:cs="宋体"/>
          <w:bCs/>
          <w:sz w:val="24"/>
          <w:szCs w:val="24"/>
        </w:rPr>
        <w:t>.</w:t>
      </w:r>
      <w:r>
        <w:rPr>
          <w:rFonts w:hAnsi="宋体" w:eastAsia="宋体" w:cs="宋体"/>
          <w:bCs/>
          <w:sz w:val="24"/>
          <w:szCs w:val="24"/>
        </w:rPr>
        <w:t>电力：中国制式，供电电压380V±15%。</w:t>
      </w:r>
    </w:p>
    <w:p w14:paraId="38601648">
      <w:pPr>
        <w:pStyle w:val="17"/>
        <w:spacing w:line="360" w:lineRule="auto"/>
        <w:ind w:firstLine="480"/>
        <w:rPr>
          <w:rFonts w:hint="eastAsia" w:hAnsi="宋体" w:eastAsia="宋体" w:cs="宋体"/>
          <w:bCs/>
          <w:sz w:val="24"/>
          <w:szCs w:val="24"/>
        </w:rPr>
      </w:pPr>
      <w:r>
        <w:rPr>
          <w:rFonts w:hAnsi="宋体" w:eastAsia="宋体" w:cs="宋体"/>
          <w:bCs/>
          <w:sz w:val="24"/>
          <w:szCs w:val="24"/>
        </w:rPr>
        <w:t>2</w:t>
      </w:r>
      <w:r>
        <w:rPr>
          <w:rFonts w:hint="eastAsia" w:hAnsi="宋体" w:eastAsia="宋体" w:cs="宋体"/>
          <w:bCs/>
          <w:sz w:val="24"/>
          <w:szCs w:val="24"/>
        </w:rPr>
        <w:t>.</w:t>
      </w:r>
      <w:r>
        <w:rPr>
          <w:rFonts w:hAnsi="宋体" w:eastAsia="宋体" w:cs="宋体"/>
          <w:bCs/>
          <w:sz w:val="24"/>
          <w:szCs w:val="24"/>
        </w:rPr>
        <w:t>电力：中国制式，供电电压220V±15%，50Hz±2%。</w:t>
      </w:r>
    </w:p>
    <w:p w14:paraId="7FC0C521">
      <w:pPr>
        <w:pStyle w:val="17"/>
        <w:spacing w:line="360" w:lineRule="auto"/>
        <w:ind w:firstLine="480"/>
        <w:rPr>
          <w:rFonts w:hint="eastAsia" w:hAnsi="宋体" w:eastAsia="宋体" w:cs="宋体"/>
          <w:bCs/>
          <w:sz w:val="24"/>
          <w:szCs w:val="24"/>
        </w:rPr>
      </w:pPr>
      <w:r>
        <w:rPr>
          <w:rFonts w:hAnsi="宋体" w:eastAsia="宋体" w:cs="宋体"/>
          <w:bCs/>
          <w:sz w:val="24"/>
          <w:szCs w:val="24"/>
        </w:rPr>
        <w:t>3</w:t>
      </w:r>
      <w:r>
        <w:rPr>
          <w:rFonts w:hint="eastAsia" w:hAnsi="宋体" w:eastAsia="宋体" w:cs="宋体"/>
          <w:bCs/>
          <w:sz w:val="24"/>
          <w:szCs w:val="24"/>
        </w:rPr>
        <w:t>.</w:t>
      </w:r>
      <w:r>
        <w:rPr>
          <w:rFonts w:hAnsi="宋体" w:eastAsia="宋体" w:cs="宋体"/>
          <w:bCs/>
          <w:sz w:val="24"/>
          <w:szCs w:val="24"/>
        </w:rPr>
        <w:t>电力（消防）：中国制式，供电电压220V±15%，50Hz±2%。</w:t>
      </w:r>
    </w:p>
    <w:p w14:paraId="04590C3A">
      <w:pPr>
        <w:keepNext/>
        <w:keepLines/>
        <w:spacing w:before="120" w:after="120" w:line="480" w:lineRule="exact"/>
        <w:jc w:val="center"/>
        <w:outlineLvl w:val="2"/>
        <w:rPr>
          <w:rFonts w:ascii="宋体" w:hAnsi="Arial" w:eastAsia="宋体"/>
          <w:b/>
          <w:bCs/>
          <w:sz w:val="24"/>
          <w:szCs w:val="24"/>
        </w:rPr>
      </w:pPr>
      <w:r>
        <w:rPr>
          <w:rFonts w:hint="eastAsia" w:ascii="宋体" w:hAnsi="宋体" w:eastAsia="宋体"/>
          <w:b/>
          <w:bCs/>
          <w:sz w:val="24"/>
          <w:szCs w:val="24"/>
        </w:rPr>
        <w:t>第二节</w:t>
      </w:r>
      <w:r>
        <w:rPr>
          <w:rFonts w:ascii="宋体" w:hAnsi="宋体" w:eastAsia="宋体"/>
          <w:b/>
          <w:bCs/>
          <w:sz w:val="24"/>
          <w:szCs w:val="24"/>
        </w:rPr>
        <w:t xml:space="preserve">  </w:t>
      </w:r>
      <w:r>
        <w:rPr>
          <w:rFonts w:hint="eastAsia" w:ascii="宋体" w:hAnsi="宋体" w:eastAsia="宋体"/>
          <w:b/>
          <w:bCs/>
          <w:sz w:val="24"/>
          <w:szCs w:val="24"/>
        </w:rPr>
        <w:t>采购货物概况</w:t>
      </w:r>
    </w:p>
    <w:p w14:paraId="2DC4141E">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olor w:val="000000"/>
          <w:sz w:val="24"/>
          <w:szCs w:val="24"/>
          <w:u w:val="none"/>
        </w:rPr>
        <w:t>可编程辅驱(小三电)模拟负载</w:t>
      </w:r>
      <w:r>
        <w:rPr>
          <w:rFonts w:hint="eastAsia" w:ascii="宋体" w:hAnsi="宋体" w:eastAsia="宋体"/>
          <w:color w:val="000000"/>
          <w:sz w:val="24"/>
          <w:szCs w:val="24"/>
          <w:u w:val="none"/>
          <w:lang w:val="en-US" w:eastAsia="zh-CN"/>
        </w:rPr>
        <w:t>项目</w:t>
      </w:r>
      <w:r>
        <w:rPr>
          <w:rFonts w:hint="eastAsia" w:ascii="宋体" w:hAnsi="宋体" w:eastAsia="宋体" w:cs="宋体"/>
          <w:sz w:val="24"/>
          <w:szCs w:val="24"/>
        </w:rPr>
        <w:t>（详见下表）</w:t>
      </w:r>
    </w:p>
    <w:p w14:paraId="0AA5A8C8">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w:t>
      </w:r>
      <w:r>
        <w:rPr>
          <w:rFonts w:hint="eastAsia" w:ascii="宋体" w:hAnsi="宋体" w:eastAsia="宋体" w:cs="宋体"/>
          <w:sz w:val="24"/>
          <w:szCs w:val="24"/>
          <w:u w:val="single"/>
          <w:shd w:val="pct10" w:color="auto" w:fill="FFFFFF"/>
          <w:lang w:val="en-US" w:eastAsia="zh-CN"/>
        </w:rPr>
        <w:t>2</w:t>
      </w:r>
      <w:r>
        <w:rPr>
          <w:rFonts w:hint="eastAsia" w:ascii="宋体" w:hAnsi="宋体" w:eastAsia="宋体" w:cs="宋体"/>
          <w:sz w:val="24"/>
          <w:szCs w:val="24"/>
          <w:u w:val="single"/>
          <w:shd w:val="pct10" w:color="auto" w:fill="FFFFFF"/>
        </w:rPr>
        <w:t>套</w:t>
      </w:r>
      <w:r>
        <w:rPr>
          <w:rFonts w:hint="eastAsia" w:ascii="宋体" w:hAnsi="宋体" w:eastAsia="宋体" w:cs="宋体"/>
          <w:sz w:val="24"/>
          <w:szCs w:val="24"/>
        </w:rPr>
        <w:t>（详见下表）</w:t>
      </w:r>
    </w:p>
    <w:p w14:paraId="1EABF58E">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53783A7B">
      <w:pPr>
        <w:jc w:val="center"/>
        <w:rPr>
          <w:rFonts w:hint="eastAsia" w:ascii="宋体" w:hAnsi="宋体" w:eastAsia="宋体" w:cs="宋体"/>
          <w:sz w:val="24"/>
          <w:szCs w:val="24"/>
        </w:rPr>
      </w:pPr>
      <w:r>
        <w:rPr>
          <w:rFonts w:hint="eastAsia" w:ascii="宋体" w:hAnsi="宋体" w:eastAsia="宋体" w:cs="宋体"/>
          <w:color w:val="000000"/>
          <w:sz w:val="24"/>
          <w:szCs w:val="24"/>
          <w:lang w:val="en-US" w:eastAsia="zh-CN"/>
        </w:rPr>
        <w:t>单套设备</w:t>
      </w: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34"/>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882"/>
        <w:gridCol w:w="2164"/>
        <w:gridCol w:w="945"/>
        <w:gridCol w:w="865"/>
        <w:gridCol w:w="1345"/>
      </w:tblGrid>
      <w:tr w14:paraId="55DF3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CFCA0B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882" w:type="dxa"/>
            <w:noWrap w:val="0"/>
            <w:vAlign w:val="center"/>
          </w:tcPr>
          <w:p w14:paraId="2563809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2164" w:type="dxa"/>
            <w:noWrap w:val="0"/>
            <w:vAlign w:val="center"/>
          </w:tcPr>
          <w:p w14:paraId="16EB994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945" w:type="dxa"/>
            <w:noWrap w:val="0"/>
            <w:vAlign w:val="center"/>
          </w:tcPr>
          <w:p w14:paraId="57C74CBC">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865" w:type="dxa"/>
            <w:noWrap w:val="0"/>
            <w:vAlign w:val="center"/>
          </w:tcPr>
          <w:p w14:paraId="1CDB4DE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c>
          <w:tcPr>
            <w:tcW w:w="1345" w:type="dxa"/>
            <w:noWrap w:val="0"/>
            <w:vAlign w:val="center"/>
          </w:tcPr>
          <w:p w14:paraId="0ECF48A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备注</w:t>
            </w:r>
          </w:p>
        </w:tc>
      </w:tr>
      <w:tr w14:paraId="16A3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4D529A0">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3882" w:type="dxa"/>
            <w:noWrap w:val="0"/>
            <w:vAlign w:val="top"/>
          </w:tcPr>
          <w:p w14:paraId="44923537">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可编程交流源载系统</w:t>
            </w:r>
          </w:p>
          <w:p w14:paraId="4A14C872">
            <w:pPr>
              <w:pStyle w:val="2"/>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（15kW/0-450VLN）</w:t>
            </w:r>
          </w:p>
          <w:p w14:paraId="07359F5A">
            <w:pPr>
              <w:pStyle w:val="2"/>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（用于电动气泵模拟负载、电动油泵模拟负载）</w:t>
            </w:r>
          </w:p>
        </w:tc>
        <w:tc>
          <w:tcPr>
            <w:tcW w:w="2164" w:type="dxa"/>
            <w:noWrap w:val="0"/>
            <w:vAlign w:val="center"/>
          </w:tcPr>
          <w:p w14:paraId="5576088A">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647F03D8">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865" w:type="dxa"/>
            <w:noWrap w:val="0"/>
            <w:vAlign w:val="center"/>
          </w:tcPr>
          <w:p w14:paraId="60A16F45">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345" w:type="dxa"/>
            <w:noWrap w:val="0"/>
            <w:vAlign w:val="center"/>
          </w:tcPr>
          <w:p w14:paraId="060953C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5B3EF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779E66B1">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2</w:t>
            </w:r>
          </w:p>
        </w:tc>
        <w:tc>
          <w:tcPr>
            <w:tcW w:w="3882" w:type="dxa"/>
            <w:noWrap w:val="0"/>
            <w:vAlign w:val="top"/>
          </w:tcPr>
          <w:p w14:paraId="1D52CFC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7F77151A">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（10kW/0-100V）</w:t>
            </w:r>
          </w:p>
          <w:p w14:paraId="7DFF35D5">
            <w:pPr>
              <w:pStyle w:val="2"/>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（用于24V DC/DC模拟负载）</w:t>
            </w:r>
          </w:p>
        </w:tc>
        <w:tc>
          <w:tcPr>
            <w:tcW w:w="2164" w:type="dxa"/>
            <w:noWrap w:val="0"/>
            <w:vAlign w:val="center"/>
          </w:tcPr>
          <w:p w14:paraId="773C823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522417D2">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865" w:type="dxa"/>
            <w:noWrap w:val="0"/>
            <w:vAlign w:val="center"/>
          </w:tcPr>
          <w:p w14:paraId="5CCB8B5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1</w:t>
            </w:r>
          </w:p>
        </w:tc>
        <w:tc>
          <w:tcPr>
            <w:tcW w:w="1345" w:type="dxa"/>
            <w:noWrap w:val="0"/>
            <w:vAlign w:val="center"/>
          </w:tcPr>
          <w:p w14:paraId="0813B76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2DB8A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067AC22">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3</w:t>
            </w:r>
          </w:p>
        </w:tc>
        <w:tc>
          <w:tcPr>
            <w:tcW w:w="3882" w:type="dxa"/>
            <w:noWrap w:val="0"/>
            <w:vAlign w:val="top"/>
          </w:tcPr>
          <w:p w14:paraId="7DC3FFD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0D5F5190">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（15kW/0-1000V）</w:t>
            </w:r>
          </w:p>
          <w:p w14:paraId="51CD04A0">
            <w:pPr>
              <w:pStyle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（用于直流电动空调模拟负载）</w:t>
            </w:r>
          </w:p>
        </w:tc>
        <w:tc>
          <w:tcPr>
            <w:tcW w:w="2164" w:type="dxa"/>
            <w:noWrap w:val="0"/>
            <w:vAlign w:val="center"/>
          </w:tcPr>
          <w:p w14:paraId="79B753E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47FE9E95">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台</w:t>
            </w:r>
          </w:p>
        </w:tc>
        <w:tc>
          <w:tcPr>
            <w:tcW w:w="865" w:type="dxa"/>
            <w:noWrap w:val="0"/>
            <w:vAlign w:val="center"/>
          </w:tcPr>
          <w:p w14:paraId="42353C68">
            <w:pPr>
              <w:spacing w:line="360" w:lineRule="exact"/>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2</w:t>
            </w:r>
          </w:p>
        </w:tc>
        <w:tc>
          <w:tcPr>
            <w:tcW w:w="1345" w:type="dxa"/>
            <w:noWrap w:val="0"/>
            <w:vAlign w:val="center"/>
          </w:tcPr>
          <w:p w14:paraId="3638B02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14:paraId="27EA2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242C74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882" w:type="dxa"/>
            <w:noWrap w:val="0"/>
            <w:vAlign w:val="top"/>
          </w:tcPr>
          <w:p w14:paraId="2570F3BB">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09927003">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（35kW/0-1000V）</w:t>
            </w:r>
          </w:p>
          <w:p w14:paraId="0653165D">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（用于电池包PTC模拟负载）</w:t>
            </w:r>
          </w:p>
        </w:tc>
        <w:tc>
          <w:tcPr>
            <w:tcW w:w="2164" w:type="dxa"/>
            <w:noWrap w:val="0"/>
            <w:vAlign w:val="center"/>
          </w:tcPr>
          <w:p w14:paraId="729705E5">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5BE8F12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865" w:type="dxa"/>
            <w:noWrap w:val="0"/>
            <w:vAlign w:val="center"/>
          </w:tcPr>
          <w:p w14:paraId="1C85FBDC">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345" w:type="dxa"/>
            <w:noWrap w:val="0"/>
            <w:vAlign w:val="center"/>
          </w:tcPr>
          <w:p w14:paraId="012AE0F8">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2B3E6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4930AA8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882" w:type="dxa"/>
            <w:noWrap w:val="0"/>
            <w:vAlign w:val="top"/>
          </w:tcPr>
          <w:p w14:paraId="3E3D3376">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501D6616">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（15kW/0-1000V）</w:t>
            </w:r>
          </w:p>
          <w:p w14:paraId="76479188">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（用于驾驶室PTC模拟负载）</w:t>
            </w:r>
          </w:p>
        </w:tc>
        <w:tc>
          <w:tcPr>
            <w:tcW w:w="2164" w:type="dxa"/>
            <w:noWrap w:val="0"/>
            <w:vAlign w:val="center"/>
          </w:tcPr>
          <w:p w14:paraId="0A597E86">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7C60FB1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865" w:type="dxa"/>
            <w:noWrap w:val="0"/>
            <w:vAlign w:val="center"/>
          </w:tcPr>
          <w:p w14:paraId="7C24170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345" w:type="dxa"/>
            <w:noWrap w:val="0"/>
            <w:vAlign w:val="center"/>
          </w:tcPr>
          <w:p w14:paraId="6ECA78D0">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6BE96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7592034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882" w:type="dxa"/>
            <w:noWrap w:val="0"/>
            <w:vAlign w:val="top"/>
          </w:tcPr>
          <w:p w14:paraId="27616C06">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测试系统</w:t>
            </w:r>
          </w:p>
        </w:tc>
        <w:tc>
          <w:tcPr>
            <w:tcW w:w="2164" w:type="dxa"/>
            <w:noWrap w:val="0"/>
            <w:vAlign w:val="center"/>
          </w:tcPr>
          <w:p w14:paraId="56133A2D">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4ED88B2F">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sz w:val="24"/>
                <w:szCs w:val="24"/>
              </w:rPr>
              <w:t>套</w:t>
            </w:r>
          </w:p>
        </w:tc>
        <w:tc>
          <w:tcPr>
            <w:tcW w:w="865" w:type="dxa"/>
            <w:noWrap w:val="0"/>
            <w:vAlign w:val="center"/>
          </w:tcPr>
          <w:p w14:paraId="7ECEE3BF">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345" w:type="dxa"/>
            <w:noWrap w:val="0"/>
            <w:vAlign w:val="center"/>
          </w:tcPr>
          <w:p w14:paraId="6ACCE85E">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w:t>
            </w:r>
          </w:p>
        </w:tc>
      </w:tr>
      <w:tr w14:paraId="7C5CC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9DF4E4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882" w:type="dxa"/>
            <w:noWrap w:val="0"/>
            <w:vAlign w:val="center"/>
          </w:tcPr>
          <w:p w14:paraId="79FD245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工频耐电压仪</w:t>
            </w:r>
          </w:p>
        </w:tc>
        <w:tc>
          <w:tcPr>
            <w:tcW w:w="2164" w:type="dxa"/>
            <w:noWrap w:val="0"/>
            <w:vAlign w:val="center"/>
          </w:tcPr>
          <w:p w14:paraId="645B996B">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见第二章技术要求</w:t>
            </w:r>
          </w:p>
        </w:tc>
        <w:tc>
          <w:tcPr>
            <w:tcW w:w="945" w:type="dxa"/>
            <w:noWrap w:val="0"/>
            <w:vAlign w:val="center"/>
          </w:tcPr>
          <w:p w14:paraId="7FC36DB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865" w:type="dxa"/>
            <w:noWrap w:val="0"/>
            <w:vAlign w:val="center"/>
          </w:tcPr>
          <w:p w14:paraId="0BF8BAF9">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c>
          <w:tcPr>
            <w:tcW w:w="1345" w:type="dxa"/>
            <w:noWrap w:val="0"/>
            <w:vAlign w:val="center"/>
          </w:tcPr>
          <w:p w14:paraId="43B5A252">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两套设备共用一台</w:t>
            </w:r>
          </w:p>
        </w:tc>
      </w:tr>
    </w:tbl>
    <w:p w14:paraId="55FE37A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w:t>
      </w:r>
      <w:r>
        <w:rPr>
          <w:rFonts w:hint="eastAsia" w:ascii="宋体" w:hAnsi="宋体" w:eastAsia="宋体" w:cs="宋体"/>
          <w:bCs/>
          <w:sz w:val="24"/>
          <w:szCs w:val="24"/>
          <w:lang w:val="en-US" w:eastAsia="zh-CN"/>
        </w:rPr>
        <w:t>的</w:t>
      </w:r>
      <w:r>
        <w:rPr>
          <w:rFonts w:hint="eastAsia" w:ascii="宋体" w:hAnsi="宋体" w:eastAsia="宋体" w:cs="宋体"/>
          <w:bCs/>
          <w:sz w:val="24"/>
          <w:szCs w:val="24"/>
        </w:rPr>
        <w:t>主要构成部分，应配套供货以及招标人所列其它货物（或设备）和服务，请投标人认真阅读“供货范围”。若有异议，不管是多么微小，都应在投标文件“商务偏离”章节中予以详细说明。</w:t>
      </w:r>
    </w:p>
    <w:p w14:paraId="38EDA48A">
      <w:pPr>
        <w:spacing w:line="360" w:lineRule="auto"/>
        <w:ind w:firstLine="480" w:firstLineChars="200"/>
        <w:rPr>
          <w:rFonts w:hint="eastAsia" w:hAnsi="宋体" w:eastAsia="宋体" w:cs="宋体"/>
          <w:bCs/>
          <w:sz w:val="24"/>
          <w:szCs w:val="24"/>
          <w:highlight w:val="red"/>
        </w:rPr>
      </w:pPr>
      <w:r>
        <w:rPr>
          <w:rFonts w:hint="eastAsia" w:ascii="宋体" w:hAnsi="宋体" w:eastAsia="宋体" w:cs="宋体"/>
          <w:bCs/>
          <w:sz w:val="24"/>
          <w:szCs w:val="24"/>
        </w:rPr>
        <w:t>2.本表“供货方式”指：交钥匙方式——包括制造、运输、定点卸货、安装、调试和协助验收以及约定培训等。</w:t>
      </w:r>
    </w:p>
    <w:p w14:paraId="22EDFC7D">
      <w:pPr>
        <w:spacing w:line="360" w:lineRule="auto"/>
        <w:outlineLvl w:val="3"/>
        <w:rPr>
          <w:rFonts w:hint="eastAsia" w:ascii="宋体" w:hAnsi="宋体" w:eastAsia="宋体" w:cs="宋体"/>
          <w:b/>
          <w:sz w:val="24"/>
          <w:szCs w:val="24"/>
        </w:rPr>
      </w:pPr>
      <w:r>
        <w:rPr>
          <w:rFonts w:hint="eastAsia" w:ascii="宋体" w:hAnsi="宋体" w:eastAsia="宋体" w:cs="宋体"/>
          <w:b/>
          <w:sz w:val="24"/>
          <w:szCs w:val="24"/>
        </w:rPr>
        <w:t>四、采购货物特别说明</w:t>
      </w:r>
    </w:p>
    <w:p w14:paraId="4FFE9DAF">
      <w:pPr>
        <w:pStyle w:val="3"/>
        <w:spacing w:before="0" w:after="0" w:afterLines="0"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招标人所列货物的名称和规格型号，如为某一供应商所特有，则该名称和规格型号可作参考，但要求投标人所提供的货物必须满足本技术标书实质性要求。</w:t>
      </w:r>
    </w:p>
    <w:p w14:paraId="6CD23CCC">
      <w:pPr>
        <w:rPr>
          <w:rFonts w:hint="eastAsia" w:ascii="宋体" w:hAnsi="宋体" w:eastAsia="宋体" w:cs="宋体"/>
          <w:b/>
          <w:bCs w:val="0"/>
          <w:color w:val="auto"/>
        </w:rPr>
      </w:pPr>
      <w:r>
        <w:rPr>
          <w:rFonts w:hint="eastAsia" w:ascii="宋体" w:hAnsi="宋体" w:eastAsia="宋体" w:cs="宋体"/>
          <w:b/>
          <w:bCs w:val="0"/>
          <w:color w:val="auto"/>
        </w:rPr>
        <w:br w:type="page"/>
      </w:r>
    </w:p>
    <w:p w14:paraId="7683A284">
      <w:pPr>
        <w:pStyle w:val="60"/>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r>
        <w:rPr>
          <w:rFonts w:hint="eastAsia" w:ascii="宋体" w:hAnsi="宋体" w:eastAsia="宋体" w:cs="宋体"/>
          <w:b/>
          <w:bCs w:val="0"/>
          <w:color w:val="auto"/>
        </w:rPr>
        <w:t>第二章  技术要求</w:t>
      </w:r>
    </w:p>
    <w:p w14:paraId="0523C53C">
      <w:pPr>
        <w:pStyle w:val="6"/>
        <w:spacing w:before="20" w:after="20" w:line="360" w:lineRule="auto"/>
        <w:ind w:firstLine="420"/>
        <w:rPr>
          <w:rFonts w:hint="eastAsia" w:ascii="宋体" w:hAnsi="宋体" w:cs="宋体"/>
          <w:b w:val="0"/>
          <w:bCs w:val="0"/>
          <w:sz w:val="24"/>
          <w:szCs w:val="24"/>
        </w:rPr>
      </w:pPr>
      <w:r>
        <w:rPr>
          <w:rFonts w:hint="eastAsia" w:ascii="宋体" w:hAnsi="宋体" w:cs="宋体"/>
          <w:sz w:val="24"/>
          <w:szCs w:val="24"/>
        </w:rPr>
        <w:t>一、特别提示</w:t>
      </w:r>
    </w:p>
    <w:p w14:paraId="46ED918F">
      <w:pPr>
        <w:spacing w:line="360" w:lineRule="auto"/>
        <w:ind w:firstLine="480" w:firstLineChars="200"/>
        <w:rPr>
          <w:rFonts w:hint="eastAsia" w:ascii="宋体" w:hAnsi="宋体" w:eastAsia="宋体"/>
          <w:sz w:val="24"/>
          <w:szCs w:val="24"/>
        </w:rPr>
      </w:pPr>
      <w:r>
        <w:rPr>
          <w:rFonts w:hint="eastAsia" w:ascii="宋体" w:hAnsi="宋体" w:eastAsia="宋体"/>
          <w:sz w:val="24"/>
          <w:szCs w:val="24"/>
        </w:rPr>
        <w:t>1.本章技术要求，仅对功能、设计、结构、性能、安装和试验检验等方面，提出了最低和一般性的技术要求，并未对一切技术细节作出规定。</w:t>
      </w:r>
    </w:p>
    <w:p w14:paraId="19556E1C">
      <w:pPr>
        <w:spacing w:line="360" w:lineRule="auto"/>
        <w:rPr>
          <w:rFonts w:hint="eastAsia" w:ascii="宋体" w:hAnsi="宋体" w:eastAsia="宋体"/>
          <w:sz w:val="24"/>
          <w:szCs w:val="24"/>
        </w:rPr>
      </w:pPr>
      <w:r>
        <w:rPr>
          <w:rFonts w:hint="eastAsia" w:ascii="宋体" w:hAnsi="宋体" w:eastAsia="宋体"/>
          <w:sz w:val="24"/>
          <w:szCs w:val="24"/>
        </w:rPr>
        <w:t xml:space="preserve">    2.本技术要求所使用的标准、规范等，如与投标人所执行的标准、规范不一致时，应按高于本技术要求所列的标准、规范执行。</w:t>
      </w:r>
    </w:p>
    <w:p w14:paraId="5F0665D0">
      <w:pPr>
        <w:spacing w:line="360" w:lineRule="auto"/>
        <w:ind w:firstLine="480" w:firstLineChars="200"/>
        <w:rPr>
          <w:rFonts w:ascii="宋体" w:hAnsi="Calibri" w:eastAsia="宋体"/>
          <w:sz w:val="24"/>
          <w:szCs w:val="24"/>
        </w:rPr>
      </w:pPr>
      <w:r>
        <w:rPr>
          <w:rFonts w:ascii="宋体" w:hAnsi="宋体" w:eastAsia="宋体"/>
          <w:sz w:val="24"/>
          <w:szCs w:val="24"/>
        </w:rPr>
        <w:t>3</w:t>
      </w:r>
      <w:r>
        <w:rPr>
          <w:rFonts w:hint="eastAsia" w:ascii="宋体" w:hAnsi="宋体" w:eastAsia="宋体"/>
          <w:sz w:val="24"/>
          <w:szCs w:val="24"/>
        </w:rPr>
        <w:t>.投标人认为所供货物必需由招标人配备、解决或提供的其它要求，如设备基础隔振和减振设施、软化水、洁净气源等，均应在投标文件“技术偏离”中予以充分说明。</w:t>
      </w:r>
    </w:p>
    <w:p w14:paraId="62000E97">
      <w:pPr>
        <w:spacing w:line="360" w:lineRule="auto"/>
        <w:ind w:firstLine="480" w:firstLineChars="200"/>
        <w:rPr>
          <w:rFonts w:ascii="宋体" w:hAnsi="Calibri" w:eastAsia="宋体"/>
          <w:sz w:val="24"/>
          <w:szCs w:val="24"/>
        </w:rPr>
      </w:pPr>
      <w:r>
        <w:rPr>
          <w:rFonts w:ascii="宋体" w:hAnsi="宋体" w:eastAsia="宋体"/>
          <w:bCs/>
          <w:sz w:val="24"/>
          <w:szCs w:val="24"/>
        </w:rPr>
        <w:t>4</w:t>
      </w:r>
      <w:r>
        <w:rPr>
          <w:rFonts w:hint="eastAsia" w:ascii="宋体" w:hAnsi="宋体" w:eastAsia="宋体"/>
          <w:bCs/>
          <w:sz w:val="24"/>
          <w:szCs w:val="24"/>
        </w:rPr>
        <w:t>.投标人应根据招投标货物具体要求，提出</w:t>
      </w:r>
      <w:r>
        <w:rPr>
          <w:rFonts w:hint="eastAsia" w:ascii="宋体" w:hAnsi="宋体" w:eastAsia="宋体"/>
          <w:sz w:val="24"/>
          <w:szCs w:val="24"/>
        </w:rPr>
        <w:t>对厂房、设备基础（或安装平台）、公用设施、消防、环保等超出招标文件、投标文件、答疑文件、技术交流文件、技术协议书和合同等规定的、有特殊需要的解释、说明和要求。</w:t>
      </w:r>
    </w:p>
    <w:p w14:paraId="1A2B0189">
      <w:pPr>
        <w:spacing w:line="360" w:lineRule="auto"/>
        <w:rPr>
          <w:rFonts w:ascii="宋体" w:hAnsi="Calibri" w:eastAsia="宋体"/>
          <w:sz w:val="24"/>
          <w:szCs w:val="24"/>
        </w:rPr>
      </w:pPr>
      <w:r>
        <w:rPr>
          <w:rFonts w:hint="eastAsia" w:ascii="宋体" w:hAnsi="宋体" w:eastAsia="宋体"/>
          <w:sz w:val="24"/>
          <w:szCs w:val="24"/>
        </w:rPr>
        <w:t xml:space="preserve">    5.无论是否有技术偏离，投标人均应在投标文件“技术偏离”中明确作出有无说明。若有异议，不管是多么微小，投标人必须予以明确和详细的说明或澄清。</w:t>
      </w:r>
    </w:p>
    <w:p w14:paraId="57DA8149">
      <w:pPr>
        <w:spacing w:line="360" w:lineRule="auto"/>
        <w:ind w:firstLine="480" w:firstLineChars="200"/>
        <w:rPr>
          <w:rFonts w:ascii="宋体" w:hAnsi="Calibri" w:eastAsia="宋体"/>
          <w:sz w:val="24"/>
          <w:szCs w:val="24"/>
        </w:rPr>
      </w:pPr>
      <w:r>
        <w:rPr>
          <w:rFonts w:ascii="宋体" w:hAnsi="宋体" w:eastAsia="宋体"/>
          <w:sz w:val="24"/>
          <w:szCs w:val="24"/>
        </w:rPr>
        <w:t>6</w:t>
      </w:r>
      <w:r>
        <w:rPr>
          <w:rFonts w:hint="eastAsia" w:ascii="宋体" w:hAnsi="宋体" w:eastAsia="宋体"/>
          <w:sz w:val="24"/>
          <w:szCs w:val="24"/>
        </w:rPr>
        <w:t>.为避免投标人优势在招标评审时漏项，质保期超出本技术标书要求的，应当在投标文件“技术偏离”中特别注明。</w:t>
      </w:r>
    </w:p>
    <w:p w14:paraId="2D1527C4">
      <w:pPr>
        <w:spacing w:line="420" w:lineRule="exact"/>
        <w:ind w:firstLine="480" w:firstLineChars="200"/>
        <w:rPr>
          <w:rFonts w:hint="eastAsia" w:ascii="宋体" w:hAnsi="宋体" w:eastAsia="宋体" w:cs="宋体"/>
          <w:sz w:val="24"/>
          <w:szCs w:val="24"/>
        </w:rPr>
      </w:pPr>
      <w:r>
        <w:rPr>
          <w:rFonts w:ascii="宋体" w:hAnsi="宋体" w:eastAsia="宋体"/>
          <w:sz w:val="24"/>
          <w:szCs w:val="24"/>
        </w:rPr>
        <w:t>7</w:t>
      </w:r>
      <w:r>
        <w:rPr>
          <w:rFonts w:hint="eastAsia" w:ascii="宋体" w:hAnsi="宋体" w:eastAsia="宋体"/>
          <w:sz w:val="24"/>
          <w:szCs w:val="24"/>
        </w:rPr>
        <w:t>.投标文件中，针对“特别提示”条款所做的回应，将作为投标人能否中标的重要依据之一</w:t>
      </w:r>
      <w:r>
        <w:rPr>
          <w:rFonts w:hint="eastAsia" w:ascii="宋体" w:hAnsi="宋体" w:eastAsia="宋体" w:cs="宋体"/>
          <w:sz w:val="24"/>
          <w:szCs w:val="24"/>
        </w:rPr>
        <w:t>。</w:t>
      </w:r>
    </w:p>
    <w:p w14:paraId="2B7B569E">
      <w:pPr>
        <w:pStyle w:val="6"/>
        <w:spacing w:before="20" w:after="20" w:line="360" w:lineRule="auto"/>
        <w:ind w:firstLine="420"/>
        <w:rPr>
          <w:rFonts w:hint="eastAsia" w:ascii="宋体" w:hAnsi="宋体" w:cs="宋体"/>
          <w:sz w:val="24"/>
          <w:szCs w:val="24"/>
        </w:rPr>
      </w:pPr>
      <w:r>
        <w:rPr>
          <w:rFonts w:hint="eastAsia" w:ascii="宋体" w:hAnsi="宋体" w:cs="宋体"/>
          <w:sz w:val="24"/>
          <w:szCs w:val="24"/>
        </w:rPr>
        <w:t>二、基本要求</w:t>
      </w:r>
    </w:p>
    <w:p w14:paraId="37219AA3">
      <w:pPr>
        <w:pStyle w:val="82"/>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（一）能效要求</w:t>
      </w:r>
    </w:p>
    <w:p w14:paraId="0D73C15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1、原则上，电机功率≥7.5kW，必须选用一级能效。电机功率＜7.5kW，优先选用一级能效；其中对于能源供应类设备及年运行时间≥2000h工艺设备的电机必须选用一级能效。杜绝选用三级及以下能效。</w:t>
      </w:r>
    </w:p>
    <w:p w14:paraId="459B8E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2、空调必须选用一级能效，变压器最低选用二级能效，对于特殊场景、特殊用途其他设备结合性价比综合考虑、充分论证。</w:t>
      </w:r>
    </w:p>
    <w:p w14:paraId="004E5A24">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（二）新增设备技术文件要求</w:t>
      </w:r>
    </w:p>
    <w:p w14:paraId="4F5906D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1、程序源码</w:t>
      </w:r>
    </w:p>
    <w:p w14:paraId="26C39A8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供方须提供设备对应软件程序的完整源代码（包括但不限于上位机程序、SCADA程序、产线MES程序等），并免费提供相应的参数点位信息。带有明确注释，能够通过注释理解程序运行过程，包含触摸屏、PLC、CNC等。</w:t>
      </w:r>
    </w:p>
    <w:p w14:paraId="3104A1A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2、</w:t>
      </w:r>
      <w:r>
        <w:rPr>
          <w:rFonts w:hint="eastAsia" w:ascii="宋体" w:hAnsi="宋体" w:eastAsia="宋体" w:cs="宋体"/>
          <w:sz w:val="24"/>
          <w:szCs w:val="24"/>
          <w:highlight w:val="none"/>
          <w:lang w:val="en-US" w:eastAsia="zh-CN"/>
        </w:rPr>
        <w:t>程序权限</w:t>
      </w:r>
    </w:p>
    <w:p w14:paraId="260188D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提供的软件程序不得设置任何密码或保护措施；程序不得限制修改等权限，功能模块亦不得设定密码保护。测试系统和嵌入式软件中禁止设置后门进行远程控制，禁止通过Lisence实施许可限制程序使用、修改等权限。</w:t>
      </w:r>
    </w:p>
    <w:p w14:paraId="56C7745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lang w:val="en-US" w:eastAsia="zh-CN"/>
        </w:rPr>
        <w:t>设备入场资料</w:t>
      </w:r>
    </w:p>
    <w:p w14:paraId="6BA3868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设备入场前，供方需提供软件程序源码及各级用户名和密码，确保与现场程序一致。</w:t>
      </w:r>
    </w:p>
    <w:p w14:paraId="7D19B09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4、设备模型图</w:t>
      </w:r>
    </w:p>
    <w:p w14:paraId="5846D57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提供二维模型图和轻量化处理后的GLTF格式的三维模型图。</w:t>
      </w:r>
    </w:p>
    <w:p w14:paraId="3E32DA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5、设备点址表</w:t>
      </w:r>
    </w:p>
    <w:p w14:paraId="5CE58DB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子版和纸质版的设备点位表，具体要求参照下文标准格式；设备应提供专门用于和IOT平台进行数据交互的地址空间，该地址空间应包含但不限于重汽对该类型设备的需求数据，同时应保证与需求点位的逻辑一致性。通过提供的点位地址，平台能够读写设备实时数据。</w:t>
      </w:r>
    </w:p>
    <w:p w14:paraId="1D568FF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6、电气原理图</w:t>
      </w:r>
    </w:p>
    <w:p w14:paraId="4319A5B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提供电气原理图电子版和纸质版。</w:t>
      </w:r>
    </w:p>
    <w:p w14:paraId="5131B8E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7、布局图和工艺流程图</w:t>
      </w:r>
    </w:p>
    <w:p w14:paraId="47485BA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提供生产线布局图和产线工艺流程图。</w:t>
      </w:r>
    </w:p>
    <w:p w14:paraId="7D36140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8、</w:t>
      </w:r>
      <w:r>
        <w:rPr>
          <w:rFonts w:hint="eastAsia" w:ascii="宋体" w:hAnsi="宋体" w:eastAsia="宋体" w:cs="宋体"/>
          <w:sz w:val="24"/>
          <w:szCs w:val="24"/>
          <w:highlight w:val="none"/>
          <w:lang w:val="en-US" w:eastAsia="zh-CN"/>
        </w:rPr>
        <w:t>终验收资料</w:t>
      </w:r>
    </w:p>
    <w:p w14:paraId="325E9BF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在终验收前，供方需提供最新的软件程序源码，并须与实际现场一致。</w:t>
      </w:r>
    </w:p>
    <w:p w14:paraId="4DF738A1">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（三）接口协议数采要求</w:t>
      </w:r>
    </w:p>
    <w:p w14:paraId="5220A8C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1、接口开放</w:t>
      </w:r>
    </w:p>
    <w:p w14:paraId="59CB4DD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供方应免费开放所有通讯接口，包括但不限于以太网、RS232、RS485、PROFIBUS、PROFINET、MODBUS等常见接口，以及设备专有接口，接口支持实时读写设备数据。</w:t>
      </w:r>
    </w:p>
    <w:p w14:paraId="2CE5823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highlight w:val="none"/>
          <w:lang w:val="en-US" w:eastAsia="zh-CN" w:bidi="ar-SA"/>
        </w:rPr>
        <w:t>2、</w:t>
      </w:r>
      <w:r>
        <w:rPr>
          <w:rFonts w:hint="eastAsia" w:ascii="宋体" w:hAnsi="宋体" w:eastAsia="宋体" w:cs="宋体"/>
          <w:sz w:val="24"/>
          <w:szCs w:val="24"/>
          <w:highlight w:val="none"/>
          <w:lang w:val="en-US" w:eastAsia="zh-CN"/>
        </w:rPr>
        <w:t>工控网络接入</w:t>
      </w:r>
    </w:p>
    <w:p w14:paraId="66DAED2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设备及上位控制系统（工控机）应接入工厂工控网络，以实现数据采集。</w:t>
      </w:r>
    </w:p>
    <w:p w14:paraId="0EF0489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3、</w:t>
      </w:r>
      <w:r>
        <w:rPr>
          <w:rFonts w:hint="eastAsia" w:ascii="宋体" w:hAnsi="宋体" w:eastAsia="宋体" w:cs="宋体"/>
          <w:sz w:val="24"/>
          <w:szCs w:val="24"/>
          <w:highlight w:val="none"/>
          <w:lang w:val="en-US" w:eastAsia="zh-CN"/>
        </w:rPr>
        <w:t>系统接口</w:t>
      </w:r>
    </w:p>
    <w:p w14:paraId="4E45A3D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供方应免费提供应用层系统接口，包括WebAPI、MQTT（具体接口要求详见第三部分）。</w:t>
      </w:r>
    </w:p>
    <w:p w14:paraId="3FF00E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4、反控接口</w:t>
      </w:r>
    </w:p>
    <w:p w14:paraId="060624A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除自身运行模式外，还需要一个远程控制模式，提供额外的控制接口，用于产线自动化改造或远程控制（远程控制按照实际生产设备的需求确定）。可以使用该接口控制设备启停、加工等操作，实现仅在远程控制的条件下完成生产过程。</w:t>
      </w:r>
    </w:p>
    <w:p w14:paraId="6840790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5、</w:t>
      </w:r>
      <w:r>
        <w:rPr>
          <w:rFonts w:hint="eastAsia" w:ascii="宋体" w:hAnsi="宋体" w:eastAsia="宋体" w:cs="宋体"/>
          <w:sz w:val="24"/>
          <w:szCs w:val="24"/>
          <w:highlight w:val="none"/>
          <w:lang w:val="en-US" w:eastAsia="zh-CN"/>
        </w:rPr>
        <w:t>通信速率</w:t>
      </w:r>
    </w:p>
    <w:p w14:paraId="705455D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用于数据采集的接口应保证平台请求所有需求点位数据并作出应答的周期小于1秒。</w:t>
      </w:r>
    </w:p>
    <w:p w14:paraId="1B37EDD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6、</w:t>
      </w:r>
      <w:r>
        <w:rPr>
          <w:rFonts w:hint="eastAsia" w:ascii="宋体" w:hAnsi="宋体" w:eastAsia="宋体" w:cs="宋体"/>
          <w:sz w:val="24"/>
          <w:szCs w:val="24"/>
          <w:highlight w:val="none"/>
          <w:lang w:val="en-US" w:eastAsia="zh-CN"/>
        </w:rPr>
        <w:t>数据交互功能</w:t>
      </w:r>
    </w:p>
    <w:p w14:paraId="5129BFB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供方应免费提供数据交互功能，支持实时数据、历史数据、报警信息等的交互。</w:t>
      </w:r>
    </w:p>
    <w:p w14:paraId="2579BD9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7、</w:t>
      </w:r>
      <w:r>
        <w:rPr>
          <w:rFonts w:hint="eastAsia" w:ascii="宋体" w:hAnsi="宋体" w:eastAsia="宋体" w:cs="宋体"/>
          <w:sz w:val="24"/>
          <w:szCs w:val="24"/>
          <w:highlight w:val="none"/>
          <w:lang w:val="en-US" w:eastAsia="zh-CN"/>
        </w:rPr>
        <w:t>数据采集连续性</w:t>
      </w:r>
    </w:p>
    <w:p w14:paraId="3A1B41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设备在上电状态下必须持续采集数据，不受设备待机、休眠等状态的影响（主动上传设备除外）。</w:t>
      </w:r>
    </w:p>
    <w:p w14:paraId="59925A5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8、</w:t>
      </w:r>
      <w:r>
        <w:rPr>
          <w:rFonts w:hint="eastAsia" w:ascii="宋体" w:hAnsi="宋体" w:eastAsia="宋体" w:cs="宋体"/>
          <w:sz w:val="24"/>
          <w:szCs w:val="24"/>
          <w:highlight w:val="none"/>
          <w:lang w:val="en-US" w:eastAsia="zh-CN"/>
        </w:rPr>
        <w:t>上位机权限</w:t>
      </w:r>
    </w:p>
    <w:p w14:paraId="6A343FB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所有上位机程序、专用软件及数据库必须提供全部权限的用户名和密码。</w:t>
      </w:r>
    </w:p>
    <w:p w14:paraId="0BC4E13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9、</w:t>
      </w:r>
      <w:r>
        <w:rPr>
          <w:rFonts w:hint="eastAsia" w:ascii="宋体" w:hAnsi="宋体" w:eastAsia="宋体" w:cs="宋体"/>
          <w:sz w:val="24"/>
          <w:szCs w:val="24"/>
          <w:highlight w:val="none"/>
          <w:lang w:val="en-US" w:eastAsia="zh-CN"/>
        </w:rPr>
        <w:t>调试支持</w:t>
      </w:r>
    </w:p>
    <w:p w14:paraId="1EAA80D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在设备使用期间，供方需免费派遣技术人员与甲方调试团队协同进行设备通讯接口调试工作。</w:t>
      </w:r>
    </w:p>
    <w:p w14:paraId="5023A4A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kern w:val="2"/>
          <w:sz w:val="24"/>
          <w:szCs w:val="24"/>
          <w:lang w:val="en-US" w:eastAsia="zh-CN" w:bidi="ar-SA"/>
        </w:rPr>
        <w:t>10、</w:t>
      </w:r>
      <w:r>
        <w:rPr>
          <w:rFonts w:hint="eastAsia" w:ascii="宋体" w:hAnsi="宋体" w:eastAsia="宋体" w:cs="宋体"/>
          <w:sz w:val="24"/>
          <w:szCs w:val="24"/>
          <w:highlight w:val="none"/>
          <w:lang w:val="en-US" w:eastAsia="zh-CN"/>
        </w:rPr>
        <w:t>技术文档</w:t>
      </w:r>
    </w:p>
    <w:p w14:paraId="7E2B9E8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设备入场前，供方必须提供接口技术文档及参数说明，内容包括但不限于接口协议、通讯速率、数据格式等。</w:t>
      </w:r>
    </w:p>
    <w:p w14:paraId="7E45FD76">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（四）点位需求</w:t>
      </w:r>
    </w:p>
    <w:p w14:paraId="5A5D170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1、点位属性：按照需求提供设备点位地址、点位名称、点位含义说明、数据类型、单位，字符串、数组等要标明长度。</w:t>
      </w:r>
    </w:p>
    <w:p w14:paraId="1D13B7C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格式：接口提供的物理量点位应为不包含系数、以标准单位标称的工程量数据，如果需要数据格式转换或系数转换的在设备内部进行。例如部分设备只提供整形数据，某点位温度数值为215，系数为0.1，单位为℃。需要提供的数据类型为浮点型数据，值为21.5，单位为℃。</w:t>
      </w:r>
    </w:p>
    <w:p w14:paraId="13A6F3B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数据：设备需求数据包含通用数据和专用数据两部分，通用数据所有设备都需要提供，专用数据需要根据具体设备类型确认需求点位。通用点位包含三类，一是实时状态数据，二是生产结果数据，三是设备能耗数据。</w:t>
      </w:r>
    </w:p>
    <w:p w14:paraId="49602A29">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(1)实时状态数据：数据能够反映设备实时运行状态；</w:t>
      </w:r>
    </w:p>
    <w:p w14:paraId="15DC5C4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生产结果数据：以固定结构提供生产结果数据，包含工件编码、入站时间、入口、出站时间、出口、操作员、配件编码、质量状态等，所有数据应在加工完成后统一刷新，即所有数据都是绑定到同一工件，按照此组数据能够完成对工件加工过程的追溯。多工位设备按每个工位提供一组生产数据点位；</w:t>
      </w:r>
    </w:p>
    <w:p w14:paraId="4F26C0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(3)对于生产结果数据，设备本身必须保留最近一定量生产数据的备份，以预防设备和SCADA通道连接中断时生产数据丢失。</w:t>
      </w:r>
    </w:p>
    <w:p w14:paraId="487C092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4、以报警代码的方式提供报警信息，需要提供报警代码、报警状态、报警说明以及报警处理办法，报警代码以纯数值格式表示，报警等级符合重汽告警管理规范。</w:t>
      </w:r>
    </w:p>
    <w:p w14:paraId="2C59CDF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5、提供的设备状态数据应当是连续变化、不间断的，以符合数据采集的需求。即点位不能只在部分时间存有实时数据，其他时间数据回归初始值或无意义。</w:t>
      </w:r>
    </w:p>
    <w:p w14:paraId="335A0E9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在设备状态信息中提供报警状态和报警代码之外，还需要提供报警代码对应的报警等级、报警内容和处理办法。设备当前报警代码、报警等级、报警文本和处理办法均绑定设备指定点位，读取相应点位即可获得当前报警的报警代码、报警等级、说明文本、报警参数和处理办法。PLC等接口不支持中文文本传输的设备，需提供报警代码、报警等级、报警文本和处理办法等的对应关系表。从设备中读取报警代码和报警参数，通过查找报警明细表能够获得报警等级、报警文本和处理办法等报警相关的所有信息。</w:t>
      </w:r>
    </w:p>
    <w:p w14:paraId="2E87BC21">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kern w:val="2"/>
          <w:sz w:val="24"/>
          <w:szCs w:val="24"/>
          <w:lang w:val="en-US" w:eastAsia="zh-CN" w:bidi="ar-SA"/>
        </w:rPr>
      </w:pPr>
      <w:r>
        <w:rPr>
          <w:rFonts w:hint="eastAsia" w:ascii="宋体" w:hAnsi="宋体" w:eastAsia="宋体" w:cs="宋体"/>
          <w:b/>
          <w:kern w:val="2"/>
          <w:sz w:val="24"/>
          <w:szCs w:val="24"/>
          <w:lang w:val="en-US" w:eastAsia="zh-CN" w:bidi="ar-SA"/>
        </w:rPr>
        <w:t>（五）数采接口要求</w:t>
      </w:r>
    </w:p>
    <w:p w14:paraId="4A69F03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 接口基本要求</w:t>
      </w:r>
    </w:p>
    <w:p w14:paraId="7BD804A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标准化接口调用：各供应商必须严格按照本标准调用接口，确保数据格式统一。</w:t>
      </w:r>
    </w:p>
    <w:p w14:paraId="6AC6265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接口地址与访问方式：接口采用HTTP风格，并支持HTTPS加密传输。</w:t>
      </w:r>
    </w:p>
    <w:p w14:paraId="6D1DF1F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2、数据上传WebAPI接口说明</w:t>
      </w:r>
    </w:p>
    <w:p w14:paraId="71B4C41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(1)设备状态接口</w:t>
      </w:r>
    </w:p>
    <w:p w14:paraId="382B5BE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***/api/params</w:t>
      </w:r>
    </w:p>
    <w:p w14:paraId="1F9DDC7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2181FFF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3C02241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3139989B">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2D9EBF9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"timestamp":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7A91F69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 xml:space="preserve">               "params":{</w:t>
      </w:r>
    </w:p>
    <w:p w14:paraId="7A1DE6B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device_state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w:t>
      </w:r>
      <w:r>
        <w:rPr>
          <w:rFonts w:hint="eastAsia" w:ascii="宋体" w:hAnsi="宋体" w:eastAsia="宋体" w:cs="宋体"/>
          <w:color w:val="auto"/>
          <w:sz w:val="24"/>
          <w:szCs w:val="24"/>
        </w:rPr>
        <w:t>",</w:t>
      </w:r>
    </w:p>
    <w:p w14:paraId="51F4CE6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"tag1</w:t>
      </w:r>
      <w:r>
        <w:rPr>
          <w:rFonts w:hint="eastAsia" w:ascii="宋体" w:hAnsi="宋体" w:eastAsia="宋体" w:cs="宋体"/>
          <w:color w:val="auto"/>
          <w:sz w:val="24"/>
          <w:szCs w:val="24"/>
        </w:rPr>
        <w:t>": "TEMP_01"</w:t>
      </w:r>
      <w:r>
        <w:rPr>
          <w:rFonts w:hint="eastAsia" w:ascii="宋体" w:hAnsi="宋体" w:eastAsia="宋体" w:cs="宋体"/>
          <w:color w:val="auto"/>
          <w:sz w:val="24"/>
          <w:szCs w:val="24"/>
          <w:lang w:val="en-US" w:eastAsia="zh-CN"/>
        </w:rPr>
        <w:t>,</w:t>
      </w:r>
    </w:p>
    <w:p w14:paraId="67526DE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27ABDF79">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"tag</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 "TEMP_0</w:t>
      </w:r>
      <w:r>
        <w:rPr>
          <w:rFonts w:hint="eastAsia" w:ascii="宋体" w:hAnsi="宋体" w:eastAsia="宋体" w:cs="宋体"/>
          <w:color w:val="auto"/>
          <w:sz w:val="24"/>
          <w:szCs w:val="24"/>
          <w:lang w:val="en-US" w:eastAsia="zh-CN"/>
        </w:rPr>
        <w:t>3</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654EBD2">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 xml:space="preserve"> }</w:t>
      </w:r>
    </w:p>
    <w:p w14:paraId="21E78E1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(2)设备报警接口</w:t>
      </w:r>
    </w:p>
    <w:p w14:paraId="42BFECF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接口地址：https:// ***/api/alarm</w:t>
      </w:r>
    </w:p>
    <w:p w14:paraId="2379A61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数据格式：JSON </w:t>
      </w:r>
    </w:p>
    <w:p w14:paraId="0889540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示例：</w:t>
      </w:r>
    </w:p>
    <w:p w14:paraId="1AF20B0E">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1949FEC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 xml:space="preserve">          "</w:t>
      </w:r>
      <w:r>
        <w:rPr>
          <w:rFonts w:hint="eastAsia" w:ascii="宋体" w:hAnsi="宋体" w:eastAsia="宋体" w:cs="宋体"/>
          <w:color w:val="auto"/>
          <w:sz w:val="24"/>
          <w:szCs w:val="24"/>
          <w:lang w:val="en-US" w:eastAsia="zh-CN"/>
        </w:rPr>
        <w:t>controller</w:t>
      </w:r>
      <w:r>
        <w:rPr>
          <w:rFonts w:hint="eastAsia" w:ascii="宋体" w:hAnsi="宋体" w:eastAsia="宋体" w:cs="宋体"/>
          <w:color w:val="auto"/>
          <w:sz w:val="24"/>
          <w:szCs w:val="24"/>
        </w:rPr>
        <w:t>": "MFG-001-202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w:t>
      </w:r>
    </w:p>
    <w:p w14:paraId="065E4511">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"alarm</w:t>
      </w:r>
      <w:r>
        <w:rPr>
          <w:rFonts w:hint="eastAsia" w:ascii="宋体" w:hAnsi="宋体" w:eastAsia="宋体" w:cs="宋体"/>
          <w:color w:val="auto"/>
          <w:sz w:val="24"/>
          <w:szCs w:val="24"/>
          <w:lang w:val="en-US" w:eastAsia="zh-CN"/>
        </w:rPr>
        <w:t>_code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001</w:t>
      </w:r>
      <w:r>
        <w:rPr>
          <w:rFonts w:hint="eastAsia" w:ascii="宋体" w:hAnsi="宋体" w:eastAsia="宋体" w:cs="宋体"/>
          <w:color w:val="auto"/>
          <w:sz w:val="24"/>
          <w:szCs w:val="24"/>
        </w:rPr>
        <w:t xml:space="preserve">", </w:t>
      </w:r>
    </w:p>
    <w:p w14:paraId="06C58700">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alarm_detail</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报警描述</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12127084">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alarm_type</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报警类型</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3EDFC87">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jc w:val="left"/>
        <w:textAlignment w:val="auto"/>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alarm_level</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级别</w:t>
      </w: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w:t>
      </w:r>
    </w:p>
    <w:p w14:paraId="0248516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alarm_time</w:t>
      </w:r>
      <w:r>
        <w:rPr>
          <w:rFonts w:hint="eastAsia" w:ascii="宋体" w:hAnsi="宋体" w:eastAsia="宋体" w:cs="宋体"/>
          <w:color w:val="auto"/>
          <w:sz w:val="24"/>
          <w:szCs w:val="24"/>
        </w:rPr>
        <w:t>": "202</w:t>
      </w:r>
      <w:r>
        <w:rPr>
          <w:rFonts w:hint="eastAsia" w:ascii="宋体" w:hAnsi="宋体" w:eastAsia="宋体" w:cs="宋体"/>
          <w:color w:val="auto"/>
          <w:sz w:val="24"/>
          <w:szCs w:val="24"/>
          <w:lang w:val="en-US" w:eastAsia="zh-CN"/>
        </w:rPr>
        <w:t>5</w:t>
      </w:r>
      <w:r>
        <w:rPr>
          <w:rFonts w:hint="eastAsia" w:ascii="宋体" w:hAnsi="宋体" w:eastAsia="宋体" w:cs="宋体"/>
          <w:color w:val="auto"/>
          <w:sz w:val="24"/>
          <w:szCs w:val="24"/>
        </w:rPr>
        <w:t>-0</w:t>
      </w:r>
      <w:r>
        <w:rPr>
          <w:rFonts w:hint="eastAsia" w:ascii="宋体" w:hAnsi="宋体" w:eastAsia="宋体" w:cs="宋体"/>
          <w:color w:val="auto"/>
          <w:sz w:val="24"/>
          <w:szCs w:val="24"/>
          <w:lang w:val="en-US" w:eastAsia="zh-CN"/>
        </w:rPr>
        <w:t>2</w:t>
      </w:r>
      <w:r>
        <w:rPr>
          <w:rFonts w:hint="eastAsia" w:ascii="宋体" w:hAnsi="宋体" w:eastAsia="宋体" w:cs="宋体"/>
          <w:color w:val="auto"/>
          <w:sz w:val="24"/>
          <w:szCs w:val="24"/>
        </w:rPr>
        <w:t>-20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14:30:00</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w:t>
      </w:r>
    </w:p>
    <w:p w14:paraId="1DEF240D">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alarm_1</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预留1</w:t>
      </w:r>
      <w:r>
        <w:rPr>
          <w:rFonts w:hint="eastAsia" w:ascii="宋体" w:hAnsi="宋体" w:eastAsia="宋体" w:cs="宋体"/>
          <w:color w:val="auto"/>
          <w:sz w:val="24"/>
          <w:szCs w:val="24"/>
        </w:rPr>
        <w:t>",</w:t>
      </w:r>
    </w:p>
    <w:p w14:paraId="64053E05">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r>
        <w:rPr>
          <w:rFonts w:hint="eastAsia" w:ascii="宋体" w:hAnsi="宋体" w:eastAsia="宋体" w:cs="宋体"/>
          <w:color w:val="auto"/>
          <w:sz w:val="24"/>
          <w:szCs w:val="24"/>
          <w:lang w:val="en-US" w:eastAsia="zh-CN"/>
        </w:rPr>
        <w:t>alarm_2</w:t>
      </w:r>
      <w:r>
        <w:rPr>
          <w:rFonts w:hint="eastAsia" w:ascii="宋体" w:hAnsi="宋体" w:eastAsia="宋体" w:cs="宋体"/>
          <w:color w:val="auto"/>
          <w:sz w:val="24"/>
          <w:szCs w:val="24"/>
        </w:rPr>
        <w:t>": "</w:t>
      </w:r>
      <w:r>
        <w:rPr>
          <w:rFonts w:hint="eastAsia" w:ascii="宋体" w:hAnsi="宋体" w:eastAsia="宋体" w:cs="宋体"/>
          <w:color w:val="auto"/>
          <w:sz w:val="24"/>
          <w:szCs w:val="24"/>
          <w:lang w:val="en-US" w:eastAsia="zh-CN"/>
        </w:rPr>
        <w:t>预留2</w:t>
      </w:r>
      <w:r>
        <w:rPr>
          <w:rFonts w:hint="eastAsia" w:ascii="宋体" w:hAnsi="宋体" w:eastAsia="宋体" w:cs="宋体"/>
          <w:color w:val="auto"/>
          <w:sz w:val="24"/>
          <w:szCs w:val="24"/>
        </w:rPr>
        <w:t>",</w:t>
      </w:r>
    </w:p>
    <w:p w14:paraId="0BBB87BF">
      <w:pPr>
        <w:keepNext w:val="0"/>
        <w:keepLines w:val="0"/>
        <w:pageBreakBefore w:val="0"/>
        <w:kinsoku/>
        <w:wordWrap/>
        <w:overflowPunct/>
        <w:topLinePunct w:val="0"/>
        <w:autoSpaceDE/>
        <w:autoSpaceDN/>
        <w:bidi w:val="0"/>
        <w:adjustRightInd/>
        <w:snapToGrid/>
        <w:spacing w:beforeAutospacing="0" w:afterAutospacing="0" w:line="420" w:lineRule="atLeast"/>
        <w:ind w:left="0" w:leftChars="0" w:firstLine="480" w:firstLineChars="200"/>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w:t>
      </w:r>
    </w:p>
    <w:p w14:paraId="243760FA">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请求报文格式：采用JSON格式，主要字段包括： </w:t>
      </w:r>
    </w:p>
    <w:p w14:paraId="0FE36BB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lang w:val="en-US" w:eastAsia="zh-CN"/>
        </w:rPr>
        <w:t xml:space="preserve">controller: </w:t>
      </w:r>
      <w:r>
        <w:rPr>
          <w:rFonts w:hint="eastAsia" w:ascii="宋体" w:hAnsi="宋体" w:eastAsia="宋体" w:cs="宋体"/>
          <w:b w:val="0"/>
          <w:bCs/>
          <w:color w:val="auto"/>
          <w:sz w:val="24"/>
          <w:szCs w:val="24"/>
        </w:rPr>
        <w:t>字符串，设备唯一标识。</w:t>
      </w:r>
    </w:p>
    <w:p w14:paraId="4CA4F849">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timestamp：数据采集时间。</w:t>
      </w:r>
    </w:p>
    <w:p w14:paraId="381A3EFC">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Params：参数块，用于包含设备采集的各项数据</w:t>
      </w:r>
      <w:r>
        <w:rPr>
          <w:rFonts w:hint="eastAsia" w:ascii="宋体" w:hAnsi="宋体" w:eastAsia="宋体" w:cs="宋体"/>
          <w:b w:val="0"/>
          <w:bCs/>
          <w:color w:val="auto"/>
          <w:sz w:val="24"/>
          <w:szCs w:val="24"/>
        </w:rPr>
        <w:t>（例如设备运行模式、信号强度、在线状态等可根据</w:t>
      </w:r>
      <w:r>
        <w:rPr>
          <w:rFonts w:hint="eastAsia" w:ascii="宋体" w:hAnsi="宋体" w:eastAsia="宋体" w:cs="宋体"/>
          <w:b w:val="0"/>
          <w:bCs/>
          <w:color w:val="auto"/>
          <w:sz w:val="24"/>
          <w:szCs w:val="24"/>
          <w:lang w:val="en-US" w:eastAsia="zh-CN"/>
        </w:rPr>
        <w:t>采集内容</w:t>
      </w:r>
      <w:r>
        <w:rPr>
          <w:rFonts w:hint="eastAsia" w:ascii="宋体" w:hAnsi="宋体" w:eastAsia="宋体" w:cs="宋体"/>
          <w:b w:val="0"/>
          <w:bCs/>
          <w:color w:val="auto"/>
          <w:sz w:val="24"/>
          <w:szCs w:val="24"/>
        </w:rPr>
        <w:t>需要增补）；</w:t>
      </w:r>
    </w:p>
    <w:p w14:paraId="02CA80A1">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device_state：设备运行状态（0：运行，1：停止，2：待机）；</w:t>
      </w:r>
    </w:p>
    <w:p w14:paraId="3736E635">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tag1：根据实际采集的内容，确定的属性</w:t>
      </w:r>
    </w:p>
    <w:p w14:paraId="72F3EC0A">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Chars="200"/>
        <w:textAlignment w:val="auto"/>
        <w:rPr>
          <w:rFonts w:hint="eastAsia" w:ascii="宋体" w:hAnsi="宋体" w:eastAsia="宋体" w:cs="宋体"/>
          <w:b w:val="0"/>
          <w:bCs/>
          <w:color w:val="auto"/>
          <w:sz w:val="24"/>
          <w:szCs w:val="24"/>
          <w:lang w:val="en-US" w:eastAsia="zh-CN"/>
        </w:rPr>
      </w:pPr>
      <w:r>
        <w:rPr>
          <w:rFonts w:hint="eastAsia" w:ascii="宋体" w:hAnsi="宋体" w:eastAsia="宋体" w:cs="宋体"/>
          <w:b w:val="0"/>
          <w:bCs/>
          <w:color w:val="auto"/>
          <w:sz w:val="24"/>
          <w:szCs w:val="24"/>
          <w:lang w:val="en-US" w:eastAsia="zh-CN"/>
        </w:rPr>
        <w:t>对报警信息字段：如alarm_code（报警编号）、alarm_detail（报警描述）、alarm_type（报警类型）、alarm_level（报警级别）。</w:t>
      </w:r>
    </w:p>
    <w:p w14:paraId="74755AAC">
      <w:pPr>
        <w:keepNext w:val="0"/>
        <w:keepLines w:val="0"/>
        <w:pageBreakBefore w:val="0"/>
        <w:widowControl/>
        <w:numPr>
          <w:ilvl w:val="0"/>
          <w:numId w:val="9"/>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 xml:space="preserve">响应格式： </w:t>
      </w:r>
    </w:p>
    <w:p w14:paraId="333BB138">
      <w:pPr>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420" w:lineRule="atLeast"/>
        <w:ind w:left="0" w:leftChars="0" w:firstLine="480" w:firstLineChars="200"/>
        <w:textAlignment w:val="auto"/>
        <w:rPr>
          <w:rFonts w:hint="eastAsia" w:ascii="宋体" w:hAnsi="宋体" w:eastAsia="宋体" w:cs="宋体"/>
          <w:b w:val="0"/>
          <w:bCs/>
          <w:color w:val="auto"/>
          <w:sz w:val="24"/>
          <w:szCs w:val="24"/>
        </w:rPr>
      </w:pPr>
      <w:r>
        <w:rPr>
          <w:rFonts w:hint="eastAsia" w:ascii="宋体" w:hAnsi="宋体" w:eastAsia="宋体" w:cs="宋体"/>
          <w:b w:val="0"/>
          <w:bCs/>
          <w:color w:val="auto"/>
          <w:sz w:val="24"/>
          <w:szCs w:val="24"/>
        </w:rPr>
        <w:t>返回统一状态码及说明信息，示例：成功返回200和“上传成功”，错误时返回相应错误码及描述。</w:t>
      </w:r>
    </w:p>
    <w:p w14:paraId="73A9858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3、安全认证</w:t>
      </w:r>
    </w:p>
    <w:p w14:paraId="3B58AB7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认证机制：采用Token进行身份认证。所有请求必须在HTTP Header中附带合法的认证信息。</w:t>
      </w:r>
    </w:p>
    <w:p w14:paraId="48701B7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数据加密：必须使用HTTPS协议，确保数据传输安全。</w:t>
      </w:r>
    </w:p>
    <w:p w14:paraId="68E9221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4、异常处理与日志记录</w:t>
      </w:r>
    </w:p>
    <w:p w14:paraId="2F6017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错误码：标准定义各类错误码（如401、404、500等），并附带详细错误说明，便于调试。</w:t>
      </w:r>
    </w:p>
    <w:p w14:paraId="57AF8AC1">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日志记录：所有接口调用均需记录详细日志（包括请求、响应及异常信息），以便后续问题追踪。</w:t>
      </w:r>
    </w:p>
    <w:p w14:paraId="08BBD24B">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5、MQTT接口（实时通道）说明</w:t>
      </w:r>
    </w:p>
    <w:p w14:paraId="4D955BE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主题规范：</w:t>
      </w:r>
    </w:p>
    <w:p w14:paraId="566A910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mqtt/000000/{采集模型(重汽提供)}/{设备编码(重汽提供)}</w:t>
      </w:r>
    </w:p>
    <w:p w14:paraId="4B329D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QoS等级：Level 1</w:t>
      </w:r>
    </w:p>
    <w:p w14:paraId="36E87B1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报文示例：</w:t>
      </w:r>
    </w:p>
    <w:p w14:paraId="288556C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298552E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"controller": "MFG-001-2025", </w:t>
      </w:r>
    </w:p>
    <w:p w14:paraId="2FA68D8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"timestamp":"Fri Mar 08 09:50:00 CST 2024"</w:t>
      </w:r>
    </w:p>
    <w:p w14:paraId="544F866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"params":{</w:t>
      </w:r>
    </w:p>
    <w:p w14:paraId="03A80B15">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"device_state":"0"</w:t>
      </w:r>
    </w:p>
    <w:p w14:paraId="7007BCA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"tag1": "TEMP_01",</w:t>
      </w:r>
    </w:p>
    <w:p w14:paraId="08970D6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"tag2": "TEMP_02",</w:t>
      </w:r>
    </w:p>
    <w:p w14:paraId="219EAEB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"tag3": "TEMP_03",</w:t>
      </w:r>
    </w:p>
    <w:p w14:paraId="6CFBF14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"alarm_code": "001", </w:t>
      </w:r>
    </w:p>
    <w:p w14:paraId="489BB09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"alarm_detail": “报警描述”,</w:t>
      </w:r>
    </w:p>
    <w:p w14:paraId="6A54C5C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"alarm_type": "报警类型",</w:t>
      </w:r>
    </w:p>
    <w:p w14:paraId="26F805F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"alarm_level": "级别",</w:t>
      </w:r>
    </w:p>
    <w:p w14:paraId="0B7A996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"alarm_time":"2025-02-20 14:30:00 ",</w:t>
      </w:r>
    </w:p>
    <w:p w14:paraId="52A3C50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"alarm_info":[],</w:t>
      </w:r>
    </w:p>
    <w:p w14:paraId="15A767F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w:t>
      </w:r>
    </w:p>
    <w:p w14:paraId="3E8F7B9F">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         }</w:t>
      </w:r>
    </w:p>
    <w:p w14:paraId="403A933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 xml:space="preserve">报文格式：主要字段包括： </w:t>
      </w:r>
    </w:p>
    <w:p w14:paraId="2137CB4E">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controller：字符串，设备唯一标识。</w:t>
      </w:r>
    </w:p>
    <w:p w14:paraId="7B8DEDB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timestamp：时间戳。</w:t>
      </w:r>
    </w:p>
    <w:p w14:paraId="06F7D15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params：参数块，用于包含设备采集的各项数据（例如设备运行模式、信号强度、在线状态等可根据采集内容需要增补）；</w:t>
      </w:r>
    </w:p>
    <w:p w14:paraId="2A4D1D13">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device_state：必须字段，设备状态（0：开机，1：关机，2：待机）；</w:t>
      </w:r>
    </w:p>
    <w:p w14:paraId="7F440038">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以及报警相关字段（alarm_code、alarm_detail、alarm_type、alarm_level、alarm_time）。</w:t>
      </w:r>
    </w:p>
    <w:p w14:paraId="368693E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6、发布与订阅规范</w:t>
      </w:r>
    </w:p>
    <w:p w14:paraId="6715383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(1)连接前，设备供应商必须通过认证，确保连接合法。</w:t>
      </w:r>
    </w:p>
    <w:p w14:paraId="2FA190A0">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(2)建议使用QoS 1，确保消息至少一次送达，并支持重传机制。</w:t>
      </w:r>
    </w:p>
    <w:p w14:paraId="28B70F8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7、异常处理与重连机制</w:t>
      </w:r>
    </w:p>
    <w:p w14:paraId="20D2CB06">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(1)定义MQTT连接中断后的重连策略。</w:t>
      </w:r>
    </w:p>
    <w:p w14:paraId="3497D52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(2)对于消息发送失败情况，要求设备或网关具备自动重发机制，并记录失败原因以便分析。</w:t>
      </w:r>
    </w:p>
    <w:p w14:paraId="08C8B87E">
      <w:pPr>
        <w:pStyle w:val="6"/>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（六）空压机要求</w:t>
      </w:r>
    </w:p>
    <w:p w14:paraId="3DA9A62C">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空压机必须协助买方进行压力容器登记注册，并提供资料，包括但不限于：</w:t>
      </w:r>
    </w:p>
    <w:p w14:paraId="565F4452">
      <w:pPr>
        <w:keepNext w:val="0"/>
        <w:keepLines w:val="0"/>
        <w:pageBreakBefore w:val="0"/>
        <w:widowControl w:val="0"/>
        <w:numPr>
          <w:ilvl w:val="0"/>
          <w:numId w:val="1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产品合格证；</w:t>
      </w:r>
    </w:p>
    <w:p w14:paraId="24C9B982">
      <w:pPr>
        <w:keepNext w:val="0"/>
        <w:keepLines w:val="0"/>
        <w:pageBreakBefore w:val="0"/>
        <w:widowControl w:val="0"/>
        <w:numPr>
          <w:ilvl w:val="0"/>
          <w:numId w:val="10"/>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压力容器产品证明书，包含：</w:t>
      </w:r>
    </w:p>
    <w:p w14:paraId="2E300FD2">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锅炉压力容器安全质量监督检验证书（副本）、压力容器产品合格证、压力容器产品数据表、压力容器制造质量计划、压力容器外观及几何尺寸检验报告、产品主要受压元件使用材料一览、产品质量证明书、机组名牌照片、压力试验检验报告、（焊接）工艺过程卡、无损探伤报告单、焊缝射线检测报告、X射线摄片记录、压力容器强度计算书、系列管板应力分析报告、总图。</w:t>
      </w:r>
    </w:p>
    <w:p w14:paraId="5D42FB5D">
      <w:pPr>
        <w:keepNext w:val="0"/>
        <w:keepLines w:val="0"/>
        <w:pageBreakBefore w:val="0"/>
        <w:widowControl w:val="0"/>
        <w:numPr>
          <w:ilvl w:val="0"/>
          <w:numId w:val="0"/>
        </w:numPr>
        <w:kinsoku/>
        <w:wordWrap/>
        <w:overflowPunct/>
        <w:topLinePunct w:val="0"/>
        <w:autoSpaceDE/>
        <w:autoSpaceDN/>
        <w:bidi w:val="0"/>
        <w:adjustRightInd/>
        <w:snapToGrid/>
        <w:spacing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kern w:val="2"/>
          <w:sz w:val="24"/>
          <w:szCs w:val="24"/>
          <w:lang w:val="en-US" w:eastAsia="zh-CN" w:bidi="ar-SA"/>
        </w:rPr>
        <w:t>（七）</w:t>
      </w:r>
      <w:r>
        <w:rPr>
          <w:rFonts w:hint="eastAsia" w:ascii="宋体" w:hAnsi="宋体" w:eastAsia="宋体" w:cs="宋体"/>
          <w:b/>
          <w:sz w:val="24"/>
          <w:szCs w:val="24"/>
          <w:lang w:val="en-US" w:eastAsia="zh-CN"/>
        </w:rPr>
        <w:t>急停按钮</w:t>
      </w:r>
    </w:p>
    <w:p w14:paraId="19FC0CCC">
      <w:pPr>
        <w:keepNext w:val="0"/>
        <w:keepLines w:val="0"/>
        <w:pageBreakBefore w:val="0"/>
        <w:widowControl w:val="0"/>
        <w:numPr>
          <w:ilvl w:val="0"/>
          <w:numId w:val="11"/>
        </w:numPr>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原则上应布置至少一个急停按键，位于控制桌（控制桌的中轴线上，距离桌边55cm）或者试验间内侧人行出入口旁（距离门框20cm，标高130cm），或者两个位置都布置。</w:t>
      </w:r>
    </w:p>
    <w:p w14:paraId="6EECB2FF">
      <w:pPr>
        <w:keepNext w:val="0"/>
        <w:keepLines w:val="0"/>
        <w:pageBreakBefore w:val="0"/>
        <w:widowControl w:val="0"/>
        <w:numPr>
          <w:ilvl w:val="0"/>
          <w:numId w:val="11"/>
        </w:numPr>
        <w:kinsoku/>
        <w:wordWrap/>
        <w:overflowPunct/>
        <w:topLinePunct w:val="0"/>
        <w:autoSpaceDE/>
        <w:autoSpaceDN/>
        <w:bidi w:val="0"/>
        <w:adjustRightInd/>
        <w:snapToGrid/>
        <w:spacing w:line="420" w:lineRule="atLeast"/>
        <w:ind w:left="0" w:leftChars="0"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按钮开关选用施耐德XB2BS545C，开关盒选用施耐德XALB01YC塑料按钮盒，防护罩选用施耐德ZB2BZ1605C。</w:t>
      </w:r>
    </w:p>
    <w:p w14:paraId="5B8CBDED">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3、舱体和中小设备本体急停按键按实际需要配置。</w:t>
      </w:r>
    </w:p>
    <w:p w14:paraId="311AB883">
      <w:pPr>
        <w:pageBreakBefore w:val="0"/>
        <w:kinsoku/>
        <w:wordWrap/>
        <w:overflowPunct/>
        <w:topLinePunct w:val="0"/>
        <w:autoSpaceDE/>
        <w:autoSpaceDN/>
        <w:bidi w:val="0"/>
        <w:adjustRightInd/>
        <w:snapToGrid/>
        <w:spacing w:line="420" w:lineRule="atLeast"/>
        <w:textAlignment w:val="auto"/>
        <w:rPr>
          <w:rFonts w:hint="eastAsia" w:ascii="宋体" w:hAnsi="宋体" w:eastAsia="宋体" w:cs="宋体"/>
          <w:b/>
          <w:bCs/>
          <w:kern w:val="2"/>
          <w:sz w:val="24"/>
          <w:szCs w:val="24"/>
          <w:highlight w:val="none"/>
          <w:lang w:val="en-US" w:eastAsia="zh-CN" w:bidi="ar-SA"/>
        </w:rPr>
      </w:pPr>
      <w:r>
        <w:rPr>
          <w:rFonts w:hint="eastAsia" w:ascii="宋体" w:hAnsi="宋体" w:eastAsia="宋体" w:cs="宋体"/>
          <w:b/>
          <w:bCs/>
          <w:kern w:val="2"/>
          <w:sz w:val="24"/>
          <w:szCs w:val="24"/>
          <w:highlight w:val="none"/>
          <w:lang w:val="en-US" w:eastAsia="zh-CN" w:bidi="ar-SA"/>
        </w:rPr>
        <w:t>（八）屏幕尺寸</w:t>
      </w:r>
    </w:p>
    <w:p w14:paraId="336C2F4D">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1、设备主控台架屏幕横向放置，监控屏幕置于桌面最右侧。</w:t>
      </w:r>
    </w:p>
    <w:p w14:paraId="77527880">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val="0"/>
          <w:bCs w:val="0"/>
          <w:kern w:val="2"/>
          <w:sz w:val="24"/>
          <w:szCs w:val="24"/>
          <w:highlight w:val="none"/>
          <w:lang w:val="en-US" w:eastAsia="zh-CN" w:bidi="ar-SA"/>
        </w:rPr>
      </w:pPr>
      <w:r>
        <w:rPr>
          <w:rFonts w:hint="eastAsia" w:ascii="宋体" w:hAnsi="宋体" w:eastAsia="宋体" w:cs="宋体"/>
          <w:b w:val="0"/>
          <w:bCs w:val="0"/>
          <w:kern w:val="2"/>
          <w:sz w:val="24"/>
          <w:szCs w:val="24"/>
          <w:highlight w:val="none"/>
          <w:lang w:val="en-US" w:eastAsia="zh-CN" w:bidi="ar-SA"/>
        </w:rPr>
        <w:t>2、屏幕尺寸为34英寸，21:9比例。</w:t>
      </w:r>
    </w:p>
    <w:p w14:paraId="5291301F">
      <w:pPr>
        <w:pStyle w:val="6"/>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highlight w:val="none"/>
          <w:lang w:val="en-US" w:eastAsia="zh-CN"/>
        </w:rPr>
      </w:pPr>
      <w:r>
        <w:rPr>
          <w:rFonts w:hint="eastAsia" w:ascii="宋体" w:hAnsi="宋体" w:eastAsia="宋体" w:cs="宋体"/>
          <w:b/>
          <w:sz w:val="24"/>
          <w:szCs w:val="24"/>
          <w:highlight w:val="none"/>
          <w:lang w:val="en-US" w:eastAsia="zh-CN"/>
        </w:rPr>
        <w:t>（九）主控柜位置</w:t>
      </w:r>
    </w:p>
    <w:p w14:paraId="70141730">
      <w:pPr>
        <w:keepNext w:val="0"/>
        <w:keepLines w:val="0"/>
        <w:pageBreakBefore w:val="0"/>
        <w:widowControl w:val="0"/>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b w:val="0"/>
          <w:bCs w:val="0"/>
          <w:kern w:val="2"/>
          <w:sz w:val="24"/>
          <w:szCs w:val="24"/>
          <w:highlight w:val="none"/>
          <w:lang w:val="en-US" w:eastAsia="zh-CN" w:bidi="ar-SA"/>
        </w:rPr>
        <w:t>原则上放置于主控台架一侧（远离试验室人行门入口）。</w:t>
      </w:r>
    </w:p>
    <w:p w14:paraId="79F40AF9">
      <w:pPr>
        <w:pStyle w:val="6"/>
        <w:keepNext/>
        <w:keepLines/>
        <w:pageBreakBefore w:val="0"/>
        <w:widowControl w:val="0"/>
        <w:kinsoku/>
        <w:wordWrap/>
        <w:overflowPunct/>
        <w:topLinePunct w:val="0"/>
        <w:autoSpaceDE/>
        <w:autoSpaceDN/>
        <w:bidi w:val="0"/>
        <w:adjustRightInd/>
        <w:snapToGrid/>
        <w:spacing w:before="0" w:beforeLines="0" w:after="0" w:afterLines="0" w:line="420" w:lineRule="atLeast"/>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（十）其它要求</w:t>
      </w:r>
    </w:p>
    <w:p w14:paraId="65352E47">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1、所有设备外观喷涂颜色按中国重型汽车集团有限公司Q/ZZ 30070—2020《设备设施颜色标识》规定执行。</w:t>
      </w:r>
    </w:p>
    <w:p w14:paraId="1AA0EDE4">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2、设备验收前需符合中国重型汽车集团有限公司JNATCB0117A2-2025《设备通用技术标准管理办法》规范。</w:t>
      </w:r>
    </w:p>
    <w:p w14:paraId="1E07D27A">
      <w:pPr>
        <w:keepNext w:val="0"/>
        <w:keepLines w:val="0"/>
        <w:pageBreakBefore w:val="0"/>
        <w:widowControl w:val="0"/>
        <w:numPr>
          <w:ilvl w:val="0"/>
          <w:numId w:val="0"/>
        </w:numPr>
        <w:kinsoku/>
        <w:wordWrap/>
        <w:overflowPunct/>
        <w:topLinePunct w:val="0"/>
        <w:autoSpaceDE/>
        <w:autoSpaceDN/>
        <w:bidi w:val="0"/>
        <w:adjustRightInd/>
        <w:snapToGrid/>
        <w:spacing w:line="420" w:lineRule="atLeast"/>
        <w:ind w:leftChars="0" w:firstLine="480" w:firstLineChars="200"/>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3、嵌入式软件必须免费升级。</w:t>
      </w:r>
    </w:p>
    <w:p w14:paraId="33B50FF3">
      <w:pPr>
        <w:pStyle w:val="82"/>
        <w:spacing w:line="360" w:lineRule="auto"/>
        <w:outlineLvl w:val="2"/>
        <w:rPr>
          <w:rFonts w:hint="eastAsia" w:eastAsia="宋体" w:cs="宋体"/>
          <w:b/>
          <w:bCs w:val="0"/>
          <w:sz w:val="24"/>
          <w:szCs w:val="24"/>
        </w:rPr>
      </w:pPr>
      <w:r>
        <w:rPr>
          <w:rFonts w:hint="eastAsia" w:eastAsia="宋体" w:cs="宋体"/>
          <w:b/>
          <w:bCs w:val="0"/>
          <w:sz w:val="24"/>
          <w:szCs w:val="24"/>
        </w:rPr>
        <w:t>三、技术要求</w:t>
      </w:r>
    </w:p>
    <w:p w14:paraId="09B4A3F1">
      <w:pPr>
        <w:ind w:firstLine="482" w:firstLineChars="200"/>
        <w:jc w:val="left"/>
        <w:rPr>
          <w:rFonts w:hint="eastAsia" w:ascii="宋体" w:hAnsi="宋体" w:eastAsia="宋体" w:cs="宋体"/>
          <w:b/>
          <w:sz w:val="24"/>
          <w:szCs w:val="24"/>
        </w:rPr>
      </w:pPr>
      <w:r>
        <w:rPr>
          <w:rFonts w:hint="eastAsia" w:ascii="宋体" w:hAnsi="宋体" w:eastAsia="宋体" w:cs="宋体"/>
          <w:b/>
          <w:sz w:val="24"/>
          <w:szCs w:val="24"/>
        </w:rPr>
        <w:t>说明：本章内容中凡标有“★”号的，均须无条件的满足，如果某个标题前标有“★”的，则该标题下的所有内容都须无条件的满足。</w:t>
      </w:r>
    </w:p>
    <w:p w14:paraId="5FA3C68C">
      <w:pPr>
        <w:jc w:val="left"/>
        <w:rPr>
          <w:rFonts w:hint="eastAsia" w:ascii="宋体" w:hAnsi="宋体" w:eastAsia="宋体" w:cs="宋体"/>
          <w:b/>
          <w:sz w:val="24"/>
          <w:szCs w:val="24"/>
        </w:rPr>
      </w:pPr>
    </w:p>
    <w:p w14:paraId="5956BA95">
      <w:pPr>
        <w:keepNext w:val="0"/>
        <w:keepLines w:val="0"/>
        <w:pageBreakBefore w:val="0"/>
        <w:widowControl w:val="0"/>
        <w:kinsoku/>
        <w:wordWrap/>
        <w:overflowPunct/>
        <w:topLinePunct w:val="0"/>
        <w:autoSpaceDE/>
        <w:autoSpaceDN/>
        <w:bidi w:val="0"/>
        <w:adjustRightInd/>
        <w:snapToGrid/>
        <w:spacing w:line="420" w:lineRule="atLeast"/>
        <w:textAlignment w:val="auto"/>
        <w:outlineLvl w:val="3"/>
        <w:rPr>
          <w:rFonts w:hint="eastAsia" w:ascii="宋体" w:hAnsi="宋体" w:eastAsia="宋体" w:cs="宋体"/>
          <w:b/>
          <w:bCs/>
          <w:sz w:val="24"/>
          <w:szCs w:val="24"/>
        </w:rPr>
      </w:pPr>
      <w:r>
        <w:rPr>
          <w:rFonts w:hint="eastAsia" w:ascii="宋体" w:hAnsi="宋体" w:eastAsia="宋体" w:cs="宋体"/>
          <w:b/>
          <w:bCs/>
          <w:sz w:val="24"/>
          <w:szCs w:val="24"/>
        </w:rPr>
        <w:t>1功能用途、生产能力、使用寿命要求</w:t>
      </w:r>
    </w:p>
    <w:p w14:paraId="191576EB">
      <w:pPr>
        <w:keepNext w:val="0"/>
        <w:keepLines w:val="0"/>
        <w:pageBreakBefore w:val="0"/>
        <w:widowControl w:val="0"/>
        <w:tabs>
          <w:tab w:val="left" w:pos="709"/>
        </w:tabs>
        <w:kinsoku/>
        <w:wordWrap/>
        <w:overflowPunct/>
        <w:topLinePunct w:val="0"/>
        <w:autoSpaceDE/>
        <w:autoSpaceDN/>
        <w:bidi w:val="0"/>
        <w:adjustRightInd/>
        <w:snapToGrid/>
        <w:spacing w:line="420" w:lineRule="atLeast"/>
        <w:ind w:firstLine="480" w:firstLineChars="200"/>
        <w:textAlignment w:val="auto"/>
        <w:rPr>
          <w:rFonts w:hint="eastAsia" w:ascii="宋体" w:hAnsi="宋体" w:eastAsia="宋体" w:cs="宋体"/>
          <w:b/>
          <w:bCs/>
          <w:sz w:val="24"/>
          <w:szCs w:val="24"/>
        </w:rPr>
      </w:pPr>
      <w:r>
        <w:rPr>
          <w:rFonts w:hint="eastAsia" w:ascii="宋体" w:hAnsi="宋体" w:eastAsia="宋体" w:cs="宋体"/>
          <w:color w:val="000000"/>
          <w:sz w:val="24"/>
          <w:szCs w:val="24"/>
        </w:rPr>
        <w:t>可编程辅驱(小三电)模拟负载</w:t>
      </w:r>
      <w:r>
        <w:rPr>
          <w:rFonts w:hint="eastAsia" w:ascii="宋体" w:hAnsi="宋体" w:eastAsia="宋体" w:cs="宋体"/>
          <w:color w:val="000000"/>
          <w:sz w:val="24"/>
          <w:szCs w:val="24"/>
          <w:lang w:val="en-US" w:eastAsia="zh-CN"/>
        </w:rPr>
        <w:t>用于多合一控制器DC/DC、DC/AC等模块的测试，可用来模拟电动油泵、电动气泵、空调、PTC等负载，搭配测功机台架后可测试多合一控制器可靠性效率等测试项目</w:t>
      </w:r>
      <w:r>
        <w:rPr>
          <w:rFonts w:hint="eastAsia" w:ascii="宋体" w:hAnsi="宋体" w:eastAsia="宋体" w:cs="宋体"/>
          <w:color w:val="000000"/>
          <w:sz w:val="24"/>
          <w:szCs w:val="24"/>
        </w:rPr>
        <w:t>。</w:t>
      </w:r>
    </w:p>
    <w:p w14:paraId="7B2973AA">
      <w:pPr>
        <w:spacing w:line="420" w:lineRule="exact"/>
        <w:outlineLvl w:val="3"/>
        <w:rPr>
          <w:rFonts w:hint="eastAsia" w:ascii="宋体" w:hAnsi="宋体" w:eastAsia="宋体" w:cs="宋体"/>
          <w:b/>
          <w:bCs/>
          <w:sz w:val="24"/>
          <w:szCs w:val="24"/>
        </w:rPr>
      </w:pPr>
      <w:r>
        <w:rPr>
          <w:rFonts w:hint="eastAsia" w:ascii="宋体" w:hAnsi="宋体" w:eastAsia="宋体" w:cs="宋体"/>
          <w:b/>
          <w:bCs/>
          <w:sz w:val="24"/>
          <w:szCs w:val="24"/>
        </w:rPr>
        <w:t>2技术性能参数要求</w:t>
      </w:r>
    </w:p>
    <w:p w14:paraId="1B2EFFA8">
      <w:pPr>
        <w:spacing w:line="420" w:lineRule="exact"/>
        <w:outlineLvl w:val="4"/>
        <w:rPr>
          <w:rFonts w:hint="eastAsia" w:ascii="宋体" w:hAnsi="宋体" w:eastAsia="宋体" w:cs="宋体"/>
          <w:b/>
          <w:bCs/>
          <w:sz w:val="24"/>
          <w:szCs w:val="24"/>
          <w:lang w:eastAsia="zh-CN"/>
        </w:rPr>
      </w:pPr>
      <w:r>
        <w:rPr>
          <w:rFonts w:hint="eastAsia" w:ascii="宋体" w:hAnsi="宋体" w:eastAsia="宋体" w:cs="宋体"/>
          <w:b/>
          <w:bCs/>
          <w:sz w:val="24"/>
          <w:szCs w:val="24"/>
          <w:lang w:val="en-US" w:eastAsia="zh-CN"/>
        </w:rPr>
        <w:t>★</w:t>
      </w:r>
      <w:r>
        <w:rPr>
          <w:rFonts w:hint="eastAsia" w:ascii="宋体" w:hAnsi="宋体" w:eastAsia="宋体" w:cs="宋体"/>
          <w:b/>
          <w:bCs/>
          <w:sz w:val="24"/>
          <w:szCs w:val="24"/>
        </w:rPr>
        <w:t>2</w:t>
      </w:r>
      <w:r>
        <w:rPr>
          <w:rFonts w:ascii="宋体" w:hAnsi="宋体" w:eastAsia="宋体" w:cs="宋体"/>
          <w:b/>
          <w:bCs/>
          <w:sz w:val="24"/>
          <w:szCs w:val="24"/>
        </w:rPr>
        <w:t>.1</w:t>
      </w:r>
      <w:r>
        <w:rPr>
          <w:rFonts w:hint="eastAsia" w:ascii="宋体" w:hAnsi="宋体" w:eastAsia="宋体" w:cs="宋体"/>
          <w:b/>
          <w:bCs/>
          <w:sz w:val="24"/>
          <w:szCs w:val="24"/>
          <w:lang w:val="en-US" w:eastAsia="zh-CN"/>
        </w:rPr>
        <w:t>可编程交流源载系统（15kW/0-450VLN）</w:t>
      </w:r>
      <w:r>
        <w:rPr>
          <w:rFonts w:hint="eastAsia" w:ascii="宋体" w:hAnsi="宋体" w:eastAsia="宋体" w:cs="宋体"/>
          <w:b/>
          <w:bCs/>
          <w:sz w:val="24"/>
          <w:szCs w:val="24"/>
        </w:rPr>
        <w:t>技术规范</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用于电动气泵模拟负载、电动油泵模拟负载</w:t>
      </w:r>
      <w:r>
        <w:rPr>
          <w:rFonts w:hint="eastAsia" w:ascii="宋体" w:hAnsi="宋体" w:eastAsia="宋体" w:cs="宋体"/>
          <w:b/>
          <w:bCs/>
          <w:sz w:val="24"/>
          <w:szCs w:val="24"/>
          <w:lang w:eastAsia="zh-CN"/>
        </w:rPr>
        <w:t>）</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2347"/>
        <w:gridCol w:w="4435"/>
        <w:gridCol w:w="1790"/>
      </w:tblGrid>
      <w:tr w14:paraId="0B8F7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669B74D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24B10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08B7588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347" w:type="dxa"/>
            <w:noWrap w:val="0"/>
            <w:vAlign w:val="center"/>
          </w:tcPr>
          <w:p w14:paraId="234B6F16">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rPr>
              <w:t>交流负载电压范围</w:t>
            </w:r>
          </w:p>
        </w:tc>
        <w:tc>
          <w:tcPr>
            <w:tcW w:w="4435" w:type="dxa"/>
            <w:noWrap w:val="0"/>
            <w:vAlign w:val="center"/>
          </w:tcPr>
          <w:p w14:paraId="2BDD29A7">
            <w:pPr>
              <w:spacing w:line="420" w:lineRule="exact"/>
              <w:jc w:val="both"/>
              <w:outlineLvl w:val="4"/>
              <w:rPr>
                <w:rFonts w:hint="eastAsia" w:ascii="宋体" w:hAnsi="宋体" w:eastAsia="宋体" w:cs="宋体"/>
                <w:b w:val="0"/>
                <w:bCs w:val="0"/>
                <w:sz w:val="24"/>
                <w:szCs w:val="24"/>
                <w:vertAlign w:val="baseline"/>
              </w:rPr>
            </w:pPr>
            <w:r>
              <w:rPr>
                <w:rFonts w:hint="eastAsia" w:ascii="宋体" w:hAnsi="宋体" w:eastAsia="宋体" w:cs="宋体"/>
                <w:sz w:val="24"/>
                <w:szCs w:val="24"/>
                <w:lang w:val="en-US" w:eastAsia="zh-CN"/>
              </w:rPr>
              <w:t>≥</w:t>
            </w:r>
            <w:r>
              <w:rPr>
                <w:rFonts w:hint="eastAsia" w:ascii="宋体" w:hAnsi="宋体" w:eastAsia="宋体" w:cs="宋体"/>
                <w:sz w:val="24"/>
                <w:szCs w:val="24"/>
              </w:rPr>
              <w:t>4</w:t>
            </w:r>
            <w:r>
              <w:rPr>
                <w:rFonts w:hint="eastAsia" w:ascii="宋体" w:hAnsi="宋体" w:eastAsia="宋体" w:cs="宋体"/>
                <w:sz w:val="24"/>
                <w:szCs w:val="24"/>
                <w:lang w:val="en-US" w:eastAsia="zh-CN"/>
              </w:rPr>
              <w:t>5</w:t>
            </w:r>
            <w:r>
              <w:rPr>
                <w:rFonts w:hint="eastAsia" w:ascii="宋体" w:hAnsi="宋体" w:eastAsia="宋体" w:cs="宋体"/>
                <w:sz w:val="24"/>
                <w:szCs w:val="24"/>
              </w:rPr>
              <w:t>0VLN</w:t>
            </w:r>
          </w:p>
        </w:tc>
        <w:tc>
          <w:tcPr>
            <w:tcW w:w="1790" w:type="dxa"/>
            <w:noWrap w:val="0"/>
            <w:vAlign w:val="center"/>
          </w:tcPr>
          <w:p w14:paraId="39805A47">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2D12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CF6E63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347" w:type="dxa"/>
            <w:noWrap w:val="0"/>
            <w:vAlign w:val="center"/>
          </w:tcPr>
          <w:p w14:paraId="62C077B0">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color w:val="auto"/>
                <w:sz w:val="24"/>
                <w:szCs w:val="24"/>
                <w:highlight w:val="none"/>
              </w:rPr>
              <w:t>交流负载电流范</w:t>
            </w:r>
            <w:r>
              <w:rPr>
                <w:rFonts w:hint="eastAsia" w:ascii="宋体" w:hAnsi="宋体" w:eastAsia="宋体" w:cs="宋体"/>
                <w:color w:val="auto"/>
                <w:sz w:val="24"/>
                <w:szCs w:val="24"/>
                <w:highlight w:val="none"/>
                <w:lang w:val="en-US" w:eastAsia="zh-CN"/>
              </w:rPr>
              <w:t>围</w:t>
            </w:r>
          </w:p>
        </w:tc>
        <w:tc>
          <w:tcPr>
            <w:tcW w:w="4435" w:type="dxa"/>
            <w:noWrap w:val="0"/>
            <w:vAlign w:val="center"/>
          </w:tcPr>
          <w:p w14:paraId="1FA37A94">
            <w:pPr>
              <w:spacing w:line="420" w:lineRule="exact"/>
              <w:jc w:val="both"/>
              <w:outlineLvl w:val="4"/>
              <w:rPr>
                <w:rFonts w:hint="default" w:ascii="宋体" w:hAnsi="宋体" w:eastAsia="宋体" w:cs="宋体"/>
                <w:b w:val="0"/>
                <w:bCs w:val="0"/>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≥105Arms</w:t>
            </w:r>
          </w:p>
        </w:tc>
        <w:tc>
          <w:tcPr>
            <w:tcW w:w="1790" w:type="dxa"/>
            <w:noWrap w:val="0"/>
            <w:vAlign w:val="center"/>
          </w:tcPr>
          <w:p w14:paraId="77719FAB">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42F50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F808AD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347" w:type="dxa"/>
            <w:noWrap w:val="0"/>
            <w:vAlign w:val="center"/>
          </w:tcPr>
          <w:p w14:paraId="085DFB4F">
            <w:pPr>
              <w:spacing w:line="420" w:lineRule="exact"/>
              <w:jc w:val="both"/>
              <w:outlineLvl w:val="4"/>
              <w:rPr>
                <w:rFonts w:hint="eastAsia" w:ascii="宋体" w:hAnsi="宋体" w:eastAsia="宋体" w:cs="宋体"/>
                <w:b w:val="0"/>
                <w:bCs w:val="0"/>
                <w:color w:val="auto"/>
                <w:sz w:val="24"/>
                <w:szCs w:val="24"/>
                <w:vertAlign w:val="baseline"/>
              </w:rPr>
            </w:pPr>
            <w:r>
              <w:rPr>
                <w:rFonts w:hint="eastAsia" w:ascii="宋体" w:hAnsi="宋体" w:eastAsia="宋体" w:cs="宋体"/>
                <w:color w:val="auto"/>
                <w:sz w:val="24"/>
                <w:szCs w:val="24"/>
              </w:rPr>
              <w:t>交流负载功率范围</w:t>
            </w:r>
          </w:p>
        </w:tc>
        <w:tc>
          <w:tcPr>
            <w:tcW w:w="4435" w:type="dxa"/>
            <w:noWrap w:val="0"/>
            <w:vAlign w:val="center"/>
          </w:tcPr>
          <w:p w14:paraId="4387798B">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w:t>
            </w:r>
            <w:r>
              <w:rPr>
                <w:rFonts w:hint="eastAsia" w:ascii="宋体" w:hAnsi="宋体" w:eastAsia="宋体" w:cs="宋体"/>
                <w:color w:val="auto"/>
                <w:sz w:val="24"/>
                <w:szCs w:val="24"/>
              </w:rPr>
              <w:t>k</w:t>
            </w:r>
            <w:r>
              <w:rPr>
                <w:rFonts w:hint="eastAsia" w:ascii="宋体" w:hAnsi="宋体" w:eastAsia="宋体" w:cs="宋体"/>
                <w:color w:val="auto"/>
                <w:sz w:val="24"/>
                <w:szCs w:val="24"/>
                <w:lang w:val="en-US" w:eastAsia="zh-CN"/>
              </w:rPr>
              <w:t>W（额定）</w:t>
            </w:r>
          </w:p>
        </w:tc>
        <w:tc>
          <w:tcPr>
            <w:tcW w:w="1790" w:type="dxa"/>
            <w:noWrap w:val="0"/>
            <w:vAlign w:val="center"/>
          </w:tcPr>
          <w:p w14:paraId="3020FD2F">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4F8D8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DA3119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347" w:type="dxa"/>
            <w:noWrap w:val="0"/>
            <w:vAlign w:val="center"/>
          </w:tcPr>
          <w:p w14:paraId="49F9922E">
            <w:pPr>
              <w:spacing w:line="420" w:lineRule="exact"/>
              <w:jc w:val="both"/>
              <w:outlineLvl w:val="4"/>
              <w:rPr>
                <w:rFonts w:hint="eastAsia" w:ascii="宋体" w:hAnsi="宋体" w:eastAsia="宋体" w:cs="宋体"/>
                <w:b w:val="0"/>
                <w:bCs w:val="0"/>
                <w:color w:val="auto"/>
                <w:sz w:val="24"/>
                <w:szCs w:val="24"/>
                <w:vertAlign w:val="baseline"/>
              </w:rPr>
            </w:pPr>
            <w:r>
              <w:rPr>
                <w:rFonts w:hint="eastAsia" w:ascii="宋体" w:hAnsi="宋体" w:eastAsia="宋体" w:cs="宋体"/>
                <w:color w:val="auto"/>
                <w:sz w:val="24"/>
                <w:szCs w:val="24"/>
              </w:rPr>
              <w:t>交流负载频率范围</w:t>
            </w:r>
          </w:p>
        </w:tc>
        <w:tc>
          <w:tcPr>
            <w:tcW w:w="4435" w:type="dxa"/>
            <w:noWrap w:val="0"/>
            <w:vAlign w:val="center"/>
          </w:tcPr>
          <w:p w14:paraId="4B70F93C">
            <w:pPr>
              <w:spacing w:line="420" w:lineRule="exact"/>
              <w:jc w:val="both"/>
              <w:outlineLvl w:val="4"/>
              <w:rPr>
                <w:rFonts w:hint="eastAsia" w:ascii="宋体" w:hAnsi="宋体" w:eastAsia="宋体" w:cs="宋体"/>
                <w:b w:val="0"/>
                <w:bCs w:val="0"/>
                <w:color w:val="auto"/>
                <w:sz w:val="24"/>
                <w:szCs w:val="24"/>
                <w:vertAlign w:val="baseline"/>
              </w:rPr>
            </w:pPr>
            <w:r>
              <w:rPr>
                <w:rFonts w:hint="eastAsia" w:ascii="宋体" w:hAnsi="宋体" w:eastAsia="宋体" w:cs="宋体"/>
                <w:color w:val="auto"/>
                <w:sz w:val="24"/>
                <w:szCs w:val="24"/>
                <w:lang w:val="en-US" w:eastAsia="zh-CN"/>
              </w:rPr>
              <w:t>30～</w:t>
            </w:r>
            <w:r>
              <w:rPr>
                <w:rFonts w:hint="eastAsia" w:ascii="宋体" w:hAnsi="宋体" w:eastAsia="宋体" w:cs="宋体"/>
                <w:color w:val="auto"/>
                <w:sz w:val="24"/>
                <w:szCs w:val="24"/>
              </w:rPr>
              <w:t>200Hz</w:t>
            </w:r>
          </w:p>
        </w:tc>
        <w:tc>
          <w:tcPr>
            <w:tcW w:w="1790" w:type="dxa"/>
            <w:noWrap w:val="0"/>
            <w:vAlign w:val="center"/>
          </w:tcPr>
          <w:p w14:paraId="5DD43737">
            <w:pPr>
              <w:spacing w:line="420" w:lineRule="exact"/>
              <w:jc w:val="center"/>
              <w:outlineLvl w:val="4"/>
              <w:rPr>
                <w:rFonts w:hint="eastAsia" w:ascii="宋体" w:hAnsi="宋体" w:eastAsia="宋体" w:cs="宋体"/>
                <w:b w:val="0"/>
                <w:bCs w:val="0"/>
                <w:sz w:val="24"/>
                <w:szCs w:val="24"/>
                <w:vertAlign w:val="baseline"/>
              </w:rPr>
            </w:pPr>
            <w:r>
              <w:rPr>
                <w:rFonts w:hint="eastAsia" w:ascii="宋体" w:hAnsi="宋体" w:eastAsia="宋体" w:cs="宋体"/>
                <w:b w:val="0"/>
                <w:bCs w:val="0"/>
                <w:sz w:val="24"/>
                <w:szCs w:val="24"/>
                <w:vertAlign w:val="baseline"/>
                <w:lang w:val="en-US" w:eastAsia="zh-CN"/>
              </w:rPr>
              <w:t>\</w:t>
            </w:r>
          </w:p>
        </w:tc>
      </w:tr>
      <w:tr w14:paraId="180C0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63B990F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347" w:type="dxa"/>
            <w:noWrap w:val="0"/>
            <w:vAlign w:val="center"/>
          </w:tcPr>
          <w:p w14:paraId="707C60F7">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RLC负载</w:t>
            </w:r>
          </w:p>
        </w:tc>
        <w:tc>
          <w:tcPr>
            <w:tcW w:w="4435" w:type="dxa"/>
            <w:noWrap w:val="0"/>
            <w:vAlign w:val="center"/>
          </w:tcPr>
          <w:p w14:paraId="38042348">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实现不少于12种RLC拓扑模型</w:t>
            </w:r>
          </w:p>
        </w:tc>
        <w:tc>
          <w:tcPr>
            <w:tcW w:w="1790" w:type="dxa"/>
            <w:noWrap w:val="0"/>
            <w:vAlign w:val="center"/>
          </w:tcPr>
          <w:p w14:paraId="40E3536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1874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2391CE9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347" w:type="dxa"/>
            <w:noWrap w:val="0"/>
            <w:vAlign w:val="center"/>
          </w:tcPr>
          <w:p w14:paraId="3A28FC9B">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交流输出功率</w:t>
            </w:r>
          </w:p>
        </w:tc>
        <w:tc>
          <w:tcPr>
            <w:tcW w:w="4435" w:type="dxa"/>
            <w:noWrap w:val="0"/>
            <w:vAlign w:val="center"/>
          </w:tcPr>
          <w:p w14:paraId="1D3ED71A">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≥15kW</w:t>
            </w:r>
            <w:r>
              <w:rPr>
                <w:rFonts w:hint="eastAsia" w:ascii="宋体" w:hAnsi="宋体" w:eastAsia="宋体" w:cs="宋体"/>
                <w:color w:val="auto"/>
                <w:sz w:val="24"/>
                <w:szCs w:val="24"/>
                <w:lang w:val="en-US" w:eastAsia="zh-CN"/>
              </w:rPr>
              <w:t>（额定）</w:t>
            </w:r>
          </w:p>
        </w:tc>
        <w:tc>
          <w:tcPr>
            <w:tcW w:w="1790" w:type="dxa"/>
            <w:noWrap w:val="0"/>
            <w:vAlign w:val="center"/>
          </w:tcPr>
          <w:p w14:paraId="216E5B7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571D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581507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347" w:type="dxa"/>
            <w:noWrap w:val="0"/>
            <w:vAlign w:val="center"/>
          </w:tcPr>
          <w:p w14:paraId="14470B98">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交流电压输出范围</w:t>
            </w:r>
          </w:p>
        </w:tc>
        <w:tc>
          <w:tcPr>
            <w:tcW w:w="4435" w:type="dxa"/>
            <w:noWrap w:val="0"/>
            <w:vAlign w:val="center"/>
          </w:tcPr>
          <w:p w14:paraId="382D1CD2">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0VLN</w:t>
            </w:r>
          </w:p>
        </w:tc>
        <w:tc>
          <w:tcPr>
            <w:tcW w:w="1790" w:type="dxa"/>
            <w:noWrap w:val="0"/>
            <w:vAlign w:val="center"/>
          </w:tcPr>
          <w:p w14:paraId="4EC1B2B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7132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1A85F40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347" w:type="dxa"/>
            <w:noWrap w:val="0"/>
            <w:vAlign w:val="center"/>
          </w:tcPr>
          <w:p w14:paraId="760496EF">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交流电流输出范围</w:t>
            </w:r>
          </w:p>
        </w:tc>
        <w:tc>
          <w:tcPr>
            <w:tcW w:w="4435" w:type="dxa"/>
            <w:noWrap w:val="0"/>
            <w:vAlign w:val="center"/>
          </w:tcPr>
          <w:p w14:paraId="2E64CB4A">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≥105</w:t>
            </w:r>
            <w:r>
              <w:rPr>
                <w:rFonts w:hint="eastAsia" w:ascii="宋体" w:hAnsi="宋体" w:eastAsia="宋体" w:cs="宋体"/>
                <w:color w:val="auto"/>
                <w:sz w:val="24"/>
                <w:szCs w:val="24"/>
                <w:highlight w:val="none"/>
                <w:lang w:val="en-US" w:eastAsia="zh-CN"/>
              </w:rPr>
              <w:t>Arms</w:t>
            </w:r>
          </w:p>
        </w:tc>
        <w:tc>
          <w:tcPr>
            <w:tcW w:w="1790" w:type="dxa"/>
            <w:noWrap w:val="0"/>
            <w:vAlign w:val="center"/>
          </w:tcPr>
          <w:p w14:paraId="5EEE9E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FD90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BE06EF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347" w:type="dxa"/>
            <w:noWrap w:val="0"/>
            <w:vAlign w:val="center"/>
          </w:tcPr>
          <w:p w14:paraId="1F12CAF4">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电压精度</w:t>
            </w:r>
          </w:p>
        </w:tc>
        <w:tc>
          <w:tcPr>
            <w:tcW w:w="4435" w:type="dxa"/>
            <w:noWrap w:val="0"/>
            <w:vAlign w:val="center"/>
          </w:tcPr>
          <w:p w14:paraId="1A24A4BA">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r>
              <w:rPr>
                <w:rFonts w:ascii="宋体" w:hAnsi="宋体" w:eastAsia="宋体" w:cs="宋体"/>
                <w:color w:val="auto"/>
                <w:sz w:val="24"/>
                <w:highlight w:val="none"/>
              </w:rPr>
              <w:t>0.1%F.S.</w:t>
            </w:r>
          </w:p>
        </w:tc>
        <w:tc>
          <w:tcPr>
            <w:tcW w:w="1790" w:type="dxa"/>
            <w:noWrap w:val="0"/>
            <w:vAlign w:val="center"/>
          </w:tcPr>
          <w:p w14:paraId="2FBB6EB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36F7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8D07D2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347" w:type="dxa"/>
            <w:noWrap w:val="0"/>
            <w:vAlign w:val="center"/>
          </w:tcPr>
          <w:p w14:paraId="14427F56">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电压分辨率</w:t>
            </w:r>
          </w:p>
        </w:tc>
        <w:tc>
          <w:tcPr>
            <w:tcW w:w="4435" w:type="dxa"/>
            <w:noWrap w:val="0"/>
            <w:vAlign w:val="center"/>
          </w:tcPr>
          <w:p w14:paraId="568529E3">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0.01V</w:t>
            </w:r>
          </w:p>
        </w:tc>
        <w:tc>
          <w:tcPr>
            <w:tcW w:w="1790" w:type="dxa"/>
            <w:noWrap w:val="0"/>
            <w:vAlign w:val="center"/>
          </w:tcPr>
          <w:p w14:paraId="25DB699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2CC5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33DA3FD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347" w:type="dxa"/>
            <w:noWrap w:val="0"/>
            <w:vAlign w:val="center"/>
          </w:tcPr>
          <w:p w14:paraId="78020B9E">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电流精度</w:t>
            </w:r>
          </w:p>
        </w:tc>
        <w:tc>
          <w:tcPr>
            <w:tcW w:w="4435" w:type="dxa"/>
            <w:noWrap w:val="0"/>
            <w:vAlign w:val="center"/>
          </w:tcPr>
          <w:p w14:paraId="4E5A3828">
            <w:pPr>
              <w:spacing w:line="420" w:lineRule="exact"/>
              <w:jc w:val="both"/>
              <w:outlineLvl w:val="4"/>
              <w:rPr>
                <w:rFonts w:hint="eastAsia" w:ascii="宋体" w:hAnsi="宋体" w:eastAsia="宋体" w:cs="宋体"/>
                <w:b w:val="0"/>
                <w:bCs w:val="0"/>
                <w:color w:val="auto"/>
                <w:sz w:val="24"/>
                <w:szCs w:val="24"/>
                <w:highlight w:val="none"/>
                <w:vertAlign w:val="baseline"/>
                <w:lang w:val="en-US" w:eastAsia="zh-CN"/>
              </w:rPr>
            </w:pPr>
            <w:r>
              <w:rPr>
                <w:rFonts w:hint="eastAsia" w:ascii="宋体" w:hAnsi="宋体" w:eastAsia="宋体" w:cs="宋体"/>
                <w:b w:val="0"/>
                <w:bCs w:val="0"/>
                <w:color w:val="auto"/>
                <w:sz w:val="24"/>
                <w:szCs w:val="24"/>
                <w:highlight w:val="none"/>
                <w:vertAlign w:val="baseline"/>
                <w:lang w:val="en-US" w:eastAsia="zh-CN"/>
              </w:rPr>
              <w:t>≤</w:t>
            </w:r>
            <w:r>
              <w:rPr>
                <w:rFonts w:ascii="宋体" w:hAnsi="宋体" w:eastAsia="宋体" w:cs="宋体"/>
                <w:color w:val="auto"/>
                <w:sz w:val="24"/>
                <w:highlight w:val="none"/>
              </w:rPr>
              <w:t>0.1%F.S.</w:t>
            </w:r>
          </w:p>
        </w:tc>
        <w:tc>
          <w:tcPr>
            <w:tcW w:w="1790" w:type="dxa"/>
            <w:noWrap w:val="0"/>
            <w:vAlign w:val="center"/>
          </w:tcPr>
          <w:p w14:paraId="20F4928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BA16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399EF92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347" w:type="dxa"/>
            <w:noWrap w:val="0"/>
            <w:vAlign w:val="center"/>
          </w:tcPr>
          <w:p w14:paraId="618D410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功率因数</w:t>
            </w:r>
          </w:p>
        </w:tc>
        <w:tc>
          <w:tcPr>
            <w:tcW w:w="4435" w:type="dxa"/>
            <w:noWrap w:val="0"/>
            <w:vAlign w:val="center"/>
          </w:tcPr>
          <w:p w14:paraId="0133E0C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≥0.98</w:t>
            </w:r>
          </w:p>
        </w:tc>
        <w:tc>
          <w:tcPr>
            <w:tcW w:w="1790" w:type="dxa"/>
            <w:noWrap w:val="0"/>
            <w:vAlign w:val="center"/>
          </w:tcPr>
          <w:p w14:paraId="0C69CD1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FCE1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44AE3C3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347" w:type="dxa"/>
            <w:noWrap w:val="0"/>
            <w:vAlign w:val="center"/>
          </w:tcPr>
          <w:p w14:paraId="517EEAA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输出电压类型</w:t>
            </w:r>
          </w:p>
        </w:tc>
        <w:tc>
          <w:tcPr>
            <w:tcW w:w="4435" w:type="dxa"/>
            <w:noWrap w:val="0"/>
            <w:vAlign w:val="center"/>
          </w:tcPr>
          <w:p w14:paraId="0468E26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单相或三相交流输出可切换，每相可独立调整.</w:t>
            </w:r>
          </w:p>
        </w:tc>
        <w:tc>
          <w:tcPr>
            <w:tcW w:w="1790" w:type="dxa"/>
            <w:noWrap w:val="0"/>
            <w:vAlign w:val="center"/>
          </w:tcPr>
          <w:p w14:paraId="223DF0F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920A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096C752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347" w:type="dxa"/>
            <w:noWrap w:val="0"/>
            <w:vAlign w:val="center"/>
          </w:tcPr>
          <w:p w14:paraId="5D79488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电压输出角度设定</w:t>
            </w:r>
          </w:p>
        </w:tc>
        <w:tc>
          <w:tcPr>
            <w:tcW w:w="4435" w:type="dxa"/>
            <w:noWrap w:val="0"/>
            <w:vAlign w:val="center"/>
          </w:tcPr>
          <w:p w14:paraId="0B22383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可设定电压波形0～360度开关机角度</w:t>
            </w:r>
          </w:p>
        </w:tc>
        <w:tc>
          <w:tcPr>
            <w:tcW w:w="1790" w:type="dxa"/>
            <w:noWrap w:val="0"/>
            <w:vAlign w:val="center"/>
          </w:tcPr>
          <w:p w14:paraId="21CE846B">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9F58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558876E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347" w:type="dxa"/>
            <w:noWrap w:val="0"/>
            <w:vAlign w:val="center"/>
          </w:tcPr>
          <w:p w14:paraId="36B9B99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435" w:type="dxa"/>
            <w:noWrap w:val="0"/>
            <w:vAlign w:val="center"/>
          </w:tcPr>
          <w:p w14:paraId="0539000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RS-232、CAN、LAN</w:t>
            </w:r>
          </w:p>
        </w:tc>
        <w:tc>
          <w:tcPr>
            <w:tcW w:w="1790" w:type="dxa"/>
            <w:noWrap w:val="0"/>
            <w:vAlign w:val="center"/>
          </w:tcPr>
          <w:p w14:paraId="1C9224D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650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4" w:type="dxa"/>
            <w:noWrap w:val="0"/>
            <w:vAlign w:val="center"/>
          </w:tcPr>
          <w:p w14:paraId="749BB12C">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347" w:type="dxa"/>
            <w:noWrap w:val="0"/>
            <w:vAlign w:val="center"/>
          </w:tcPr>
          <w:p w14:paraId="44A4291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电压输出模式：</w:t>
            </w:r>
          </w:p>
        </w:tc>
        <w:tc>
          <w:tcPr>
            <w:tcW w:w="4435" w:type="dxa"/>
            <w:noWrap w:val="0"/>
            <w:vAlign w:val="center"/>
          </w:tcPr>
          <w:p w14:paraId="1941EDC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AC/DC/AC+DC</w:t>
            </w:r>
          </w:p>
        </w:tc>
        <w:tc>
          <w:tcPr>
            <w:tcW w:w="1790" w:type="dxa"/>
            <w:noWrap w:val="0"/>
            <w:vAlign w:val="center"/>
          </w:tcPr>
          <w:p w14:paraId="41A4F12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7813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4" w:type="dxa"/>
            <w:noWrap w:val="0"/>
            <w:vAlign w:val="center"/>
          </w:tcPr>
          <w:p w14:paraId="68020B0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347" w:type="dxa"/>
            <w:noWrap w:val="0"/>
            <w:vAlign w:val="center"/>
          </w:tcPr>
          <w:p w14:paraId="21ABDF2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保护功能</w:t>
            </w:r>
          </w:p>
        </w:tc>
        <w:tc>
          <w:tcPr>
            <w:tcW w:w="4435" w:type="dxa"/>
            <w:noWrap w:val="0"/>
            <w:vAlign w:val="center"/>
          </w:tcPr>
          <w:p w14:paraId="313B56B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输入欠压保护、短路保护、输出过压、限流保护、内部过热保护</w:t>
            </w:r>
          </w:p>
        </w:tc>
        <w:tc>
          <w:tcPr>
            <w:tcW w:w="1790" w:type="dxa"/>
            <w:noWrap w:val="0"/>
            <w:vAlign w:val="center"/>
          </w:tcPr>
          <w:p w14:paraId="3A31C78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bl>
    <w:p w14:paraId="3D54E413">
      <w:pPr>
        <w:spacing w:line="420" w:lineRule="exact"/>
        <w:outlineLvl w:val="4"/>
        <w:rPr>
          <w:rFonts w:hint="eastAsia" w:ascii="宋体" w:hAnsi="宋体" w:eastAsia="宋体" w:cs="宋体"/>
          <w:b/>
          <w:bCs/>
          <w:sz w:val="24"/>
          <w:szCs w:val="24"/>
        </w:rPr>
      </w:pPr>
    </w:p>
    <w:p w14:paraId="01858C4C">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★2.2 可编程双向直流电源（10kW/0-100V）技术规范（用于24V DC/DC模拟负载）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794"/>
        <w:gridCol w:w="4468"/>
        <w:gridCol w:w="1088"/>
      </w:tblGrid>
      <w:tr w14:paraId="0915E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671C118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434E8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8E6D8F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794" w:type="dxa"/>
            <w:noWrap w:val="0"/>
            <w:vAlign w:val="center"/>
          </w:tcPr>
          <w:p w14:paraId="3A16B2A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4468" w:type="dxa"/>
            <w:noWrap w:val="0"/>
            <w:vAlign w:val="center"/>
          </w:tcPr>
          <w:p w14:paraId="0E06515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0～100V</w:t>
            </w:r>
          </w:p>
        </w:tc>
        <w:tc>
          <w:tcPr>
            <w:tcW w:w="1088" w:type="dxa"/>
            <w:noWrap w:val="0"/>
            <w:vAlign w:val="center"/>
          </w:tcPr>
          <w:p w14:paraId="7917B0D7">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DAC8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A7EB6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794" w:type="dxa"/>
            <w:noWrap w:val="0"/>
            <w:vAlign w:val="center"/>
          </w:tcPr>
          <w:p w14:paraId="16CF5B05">
            <w:pPr>
              <w:spacing w:line="420" w:lineRule="exact"/>
              <w:jc w:val="both"/>
              <w:outlineLvl w:val="4"/>
              <w:rPr>
                <w:rFonts w:hint="eastAsia" w:ascii="宋体" w:hAnsi="宋体" w:eastAsia="宋体" w:cs="宋体"/>
                <w:b w:val="0"/>
                <w:bCs w:val="0"/>
                <w:sz w:val="24"/>
                <w:szCs w:val="24"/>
                <w:highlight w:val="yellow"/>
                <w:vertAlign w:val="baseline"/>
                <w:lang w:val="en-US" w:eastAsia="zh-CN"/>
              </w:rPr>
            </w:pPr>
            <w:r>
              <w:rPr>
                <w:rFonts w:hint="eastAsia" w:ascii="宋体" w:hAnsi="宋体" w:eastAsia="宋体" w:cs="宋体"/>
                <w:b w:val="0"/>
                <w:bCs w:val="0"/>
                <w:sz w:val="24"/>
                <w:szCs w:val="24"/>
                <w:highlight w:val="yellow"/>
                <w:vertAlign w:val="baseline"/>
                <w:lang w:val="en-US" w:eastAsia="zh-CN"/>
              </w:rPr>
              <w:t>电流</w:t>
            </w:r>
          </w:p>
        </w:tc>
        <w:tc>
          <w:tcPr>
            <w:tcW w:w="4468" w:type="dxa"/>
            <w:noWrap w:val="0"/>
            <w:vAlign w:val="center"/>
          </w:tcPr>
          <w:p w14:paraId="0634718A">
            <w:pPr>
              <w:spacing w:line="420" w:lineRule="exact"/>
              <w:jc w:val="both"/>
              <w:outlineLvl w:val="4"/>
              <w:rPr>
                <w:rFonts w:hint="default" w:ascii="宋体" w:hAnsi="宋体" w:eastAsia="宋体" w:cs="宋体"/>
                <w:b w:val="0"/>
                <w:bCs w:val="0"/>
                <w:sz w:val="24"/>
                <w:szCs w:val="24"/>
                <w:highlight w:val="yellow"/>
                <w:vertAlign w:val="baseline"/>
                <w:lang w:val="en-US" w:eastAsia="zh-CN"/>
              </w:rPr>
            </w:pPr>
            <w:r>
              <w:rPr>
                <w:rFonts w:hint="eastAsia" w:ascii="宋体" w:hAnsi="宋体" w:eastAsia="宋体" w:cs="宋体"/>
                <w:b w:val="0"/>
                <w:bCs w:val="0"/>
                <w:sz w:val="24"/>
                <w:szCs w:val="24"/>
                <w:highlight w:val="yellow"/>
                <w:vertAlign w:val="baseline"/>
                <w:lang w:val="en-US" w:eastAsia="zh-CN"/>
              </w:rPr>
              <w:t>≥260A@24V</w:t>
            </w:r>
          </w:p>
        </w:tc>
        <w:tc>
          <w:tcPr>
            <w:tcW w:w="1088" w:type="dxa"/>
            <w:noWrap w:val="0"/>
            <w:vAlign w:val="center"/>
          </w:tcPr>
          <w:p w14:paraId="648178E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59B7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5C2C3E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794" w:type="dxa"/>
            <w:noWrap w:val="0"/>
            <w:vAlign w:val="center"/>
          </w:tcPr>
          <w:p w14:paraId="3429368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4468" w:type="dxa"/>
            <w:noWrap w:val="0"/>
            <w:vAlign w:val="center"/>
          </w:tcPr>
          <w:p w14:paraId="21C1B3A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≥10kW</w:t>
            </w:r>
            <w:r>
              <w:rPr>
                <w:rFonts w:hint="eastAsia" w:ascii="宋体" w:hAnsi="宋体" w:eastAsia="宋体" w:cs="宋体"/>
                <w:color w:val="auto"/>
                <w:sz w:val="24"/>
                <w:szCs w:val="24"/>
                <w:lang w:val="en-US" w:eastAsia="zh-CN"/>
              </w:rPr>
              <w:t>（额定）</w:t>
            </w:r>
          </w:p>
        </w:tc>
        <w:tc>
          <w:tcPr>
            <w:tcW w:w="1088" w:type="dxa"/>
            <w:noWrap w:val="0"/>
            <w:vAlign w:val="center"/>
          </w:tcPr>
          <w:p w14:paraId="3479DF6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8A1C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2332FA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794" w:type="dxa"/>
            <w:noWrap w:val="0"/>
            <w:vAlign w:val="center"/>
          </w:tcPr>
          <w:p w14:paraId="509BB34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4468" w:type="dxa"/>
            <w:noWrap w:val="0"/>
            <w:vAlign w:val="center"/>
          </w:tcPr>
          <w:p w14:paraId="0409879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088" w:type="dxa"/>
            <w:noWrap w:val="0"/>
            <w:vAlign w:val="center"/>
          </w:tcPr>
          <w:p w14:paraId="34BF6EA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3F5A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42B7EE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794" w:type="dxa"/>
            <w:noWrap w:val="0"/>
            <w:vAlign w:val="center"/>
          </w:tcPr>
          <w:p w14:paraId="5596060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三种操作模式自由切换</w:t>
            </w:r>
          </w:p>
        </w:tc>
        <w:tc>
          <w:tcPr>
            <w:tcW w:w="4468" w:type="dxa"/>
            <w:noWrap w:val="0"/>
            <w:vAlign w:val="center"/>
          </w:tcPr>
          <w:p w14:paraId="48516DB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电源&amp;负载</w:t>
            </w:r>
          </w:p>
        </w:tc>
        <w:tc>
          <w:tcPr>
            <w:tcW w:w="1088" w:type="dxa"/>
            <w:noWrap w:val="0"/>
            <w:vAlign w:val="center"/>
          </w:tcPr>
          <w:p w14:paraId="1564CCD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9806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09D2253">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794" w:type="dxa"/>
            <w:noWrap w:val="0"/>
            <w:vAlign w:val="center"/>
          </w:tcPr>
          <w:p w14:paraId="23C629F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4468" w:type="dxa"/>
            <w:noWrap w:val="0"/>
            <w:vAlign w:val="center"/>
          </w:tcPr>
          <w:p w14:paraId="47FC8A1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088" w:type="dxa"/>
            <w:noWrap w:val="0"/>
            <w:vAlign w:val="center"/>
          </w:tcPr>
          <w:p w14:paraId="6C9C189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9891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292D6A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794" w:type="dxa"/>
            <w:noWrap w:val="0"/>
            <w:vAlign w:val="center"/>
          </w:tcPr>
          <w:p w14:paraId="39C52D7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电压快速瞬时反应时间</w:t>
            </w:r>
          </w:p>
        </w:tc>
        <w:tc>
          <w:tcPr>
            <w:tcW w:w="4468" w:type="dxa"/>
            <w:noWrap w:val="0"/>
            <w:vAlign w:val="center"/>
          </w:tcPr>
          <w:p w14:paraId="35668CE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≤2ms</w:t>
            </w:r>
          </w:p>
        </w:tc>
        <w:tc>
          <w:tcPr>
            <w:tcW w:w="1088" w:type="dxa"/>
            <w:noWrap w:val="0"/>
            <w:vAlign w:val="center"/>
          </w:tcPr>
          <w:p w14:paraId="2793AA0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BA84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53186C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794" w:type="dxa"/>
            <w:noWrap w:val="0"/>
            <w:vAlign w:val="center"/>
          </w:tcPr>
          <w:p w14:paraId="1761CE1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468" w:type="dxa"/>
            <w:noWrap w:val="0"/>
            <w:vAlign w:val="center"/>
          </w:tcPr>
          <w:p w14:paraId="5163DB2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RS-232、CAN、LAN</w:t>
            </w:r>
          </w:p>
        </w:tc>
        <w:tc>
          <w:tcPr>
            <w:tcW w:w="1088" w:type="dxa"/>
            <w:noWrap w:val="0"/>
            <w:vAlign w:val="center"/>
          </w:tcPr>
          <w:p w14:paraId="062E9B1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4267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E75248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794" w:type="dxa"/>
            <w:noWrap w:val="0"/>
            <w:vAlign w:val="center"/>
          </w:tcPr>
          <w:p w14:paraId="1FFCFE38">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供电输入</w:t>
            </w:r>
          </w:p>
        </w:tc>
        <w:tc>
          <w:tcPr>
            <w:tcW w:w="4468" w:type="dxa"/>
            <w:noWrap w:val="0"/>
            <w:vAlign w:val="center"/>
          </w:tcPr>
          <w:p w14:paraId="1CBC2B2D">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三相380V±10%</w:t>
            </w:r>
          </w:p>
        </w:tc>
        <w:tc>
          <w:tcPr>
            <w:tcW w:w="1088" w:type="dxa"/>
            <w:noWrap w:val="0"/>
            <w:vAlign w:val="center"/>
          </w:tcPr>
          <w:p w14:paraId="5AC929C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EB6B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108C802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794" w:type="dxa"/>
            <w:vMerge w:val="restart"/>
            <w:noWrap w:val="0"/>
            <w:vAlign w:val="center"/>
          </w:tcPr>
          <w:p w14:paraId="682E27ED">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源效应：</w:t>
            </w:r>
          </w:p>
        </w:tc>
        <w:tc>
          <w:tcPr>
            <w:tcW w:w="4468" w:type="dxa"/>
            <w:noWrap w:val="0"/>
            <w:vAlign w:val="center"/>
          </w:tcPr>
          <w:p w14:paraId="3BE150DD">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电压：≤±0.05% F.S</w:t>
            </w:r>
          </w:p>
        </w:tc>
        <w:tc>
          <w:tcPr>
            <w:tcW w:w="1088" w:type="dxa"/>
            <w:noWrap w:val="0"/>
            <w:vAlign w:val="center"/>
          </w:tcPr>
          <w:p w14:paraId="684E238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C899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1F09C0B2">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794" w:type="dxa"/>
            <w:vMerge w:val="continue"/>
            <w:noWrap w:val="0"/>
            <w:vAlign w:val="center"/>
          </w:tcPr>
          <w:p w14:paraId="27950393">
            <w:pPr>
              <w:spacing w:line="420" w:lineRule="exact"/>
              <w:jc w:val="both"/>
              <w:outlineLvl w:val="4"/>
              <w:rPr>
                <w:rFonts w:hint="eastAsia" w:ascii="宋体" w:hAnsi="宋体" w:eastAsia="宋体" w:cs="宋体"/>
                <w:b w:val="0"/>
                <w:bCs w:val="0"/>
                <w:sz w:val="24"/>
                <w:szCs w:val="24"/>
                <w:highlight w:val="none"/>
                <w:vertAlign w:val="baseline"/>
                <w:lang w:val="en-US" w:eastAsia="zh-CN"/>
              </w:rPr>
            </w:pPr>
          </w:p>
        </w:tc>
        <w:tc>
          <w:tcPr>
            <w:tcW w:w="4468" w:type="dxa"/>
            <w:noWrap w:val="0"/>
            <w:vAlign w:val="center"/>
          </w:tcPr>
          <w:p w14:paraId="7494770B">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电流：≤±0.05% F.S</w:t>
            </w:r>
          </w:p>
        </w:tc>
        <w:tc>
          <w:tcPr>
            <w:tcW w:w="1088" w:type="dxa"/>
            <w:noWrap w:val="0"/>
            <w:vAlign w:val="center"/>
          </w:tcPr>
          <w:p w14:paraId="508E233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3978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2BA8D8F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794" w:type="dxa"/>
            <w:vMerge w:val="restart"/>
            <w:noWrap w:val="0"/>
            <w:vAlign w:val="center"/>
          </w:tcPr>
          <w:p w14:paraId="335D1F1E">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负载效应：</w:t>
            </w:r>
          </w:p>
        </w:tc>
        <w:tc>
          <w:tcPr>
            <w:tcW w:w="4468" w:type="dxa"/>
            <w:noWrap w:val="0"/>
            <w:vAlign w:val="center"/>
          </w:tcPr>
          <w:p w14:paraId="025D1FA4">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电压：≤±0.1% F.S</w:t>
            </w:r>
          </w:p>
        </w:tc>
        <w:tc>
          <w:tcPr>
            <w:tcW w:w="1088" w:type="dxa"/>
            <w:noWrap w:val="0"/>
            <w:vAlign w:val="center"/>
          </w:tcPr>
          <w:p w14:paraId="0C4F650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C066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51250CF6">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794" w:type="dxa"/>
            <w:vMerge w:val="continue"/>
            <w:noWrap w:val="0"/>
            <w:vAlign w:val="center"/>
          </w:tcPr>
          <w:p w14:paraId="66931D8E">
            <w:pPr>
              <w:spacing w:line="420" w:lineRule="exact"/>
              <w:jc w:val="both"/>
              <w:outlineLvl w:val="4"/>
              <w:rPr>
                <w:rFonts w:hint="eastAsia" w:ascii="宋体" w:hAnsi="宋体" w:eastAsia="宋体" w:cs="宋体"/>
                <w:b w:val="0"/>
                <w:bCs w:val="0"/>
                <w:sz w:val="24"/>
                <w:szCs w:val="24"/>
                <w:highlight w:val="none"/>
                <w:vertAlign w:val="baseline"/>
                <w:lang w:val="en-US" w:eastAsia="zh-CN"/>
              </w:rPr>
            </w:pPr>
          </w:p>
        </w:tc>
        <w:tc>
          <w:tcPr>
            <w:tcW w:w="4468" w:type="dxa"/>
            <w:noWrap w:val="0"/>
            <w:vAlign w:val="center"/>
          </w:tcPr>
          <w:p w14:paraId="4033CE81">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电流：≤±0.1% F.S</w:t>
            </w:r>
          </w:p>
        </w:tc>
        <w:tc>
          <w:tcPr>
            <w:tcW w:w="1088" w:type="dxa"/>
            <w:noWrap w:val="0"/>
            <w:vAlign w:val="center"/>
          </w:tcPr>
          <w:p w14:paraId="556984F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1782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6ABD08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794" w:type="dxa"/>
            <w:noWrap w:val="0"/>
            <w:vAlign w:val="center"/>
          </w:tcPr>
          <w:p w14:paraId="0E1EE8D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电压测量精度</w:t>
            </w:r>
          </w:p>
        </w:tc>
        <w:tc>
          <w:tcPr>
            <w:tcW w:w="4468" w:type="dxa"/>
            <w:noWrap w:val="0"/>
            <w:vAlign w:val="center"/>
          </w:tcPr>
          <w:p w14:paraId="5DC700D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≤0.05%F.S</w:t>
            </w:r>
          </w:p>
        </w:tc>
        <w:tc>
          <w:tcPr>
            <w:tcW w:w="1088" w:type="dxa"/>
            <w:noWrap w:val="0"/>
            <w:vAlign w:val="center"/>
          </w:tcPr>
          <w:p w14:paraId="0B2C516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834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CD09B1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794" w:type="dxa"/>
            <w:noWrap w:val="0"/>
            <w:vAlign w:val="center"/>
          </w:tcPr>
          <w:p w14:paraId="3D9662C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电流测量精度</w:t>
            </w:r>
          </w:p>
        </w:tc>
        <w:tc>
          <w:tcPr>
            <w:tcW w:w="4468" w:type="dxa"/>
            <w:noWrap w:val="0"/>
            <w:vAlign w:val="center"/>
          </w:tcPr>
          <w:p w14:paraId="0C281B0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≤0.1%F.S</w:t>
            </w:r>
          </w:p>
        </w:tc>
        <w:tc>
          <w:tcPr>
            <w:tcW w:w="1088" w:type="dxa"/>
            <w:noWrap w:val="0"/>
            <w:vAlign w:val="center"/>
          </w:tcPr>
          <w:p w14:paraId="3466A85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8B9C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698EE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794" w:type="dxa"/>
            <w:noWrap w:val="0"/>
            <w:vAlign w:val="center"/>
          </w:tcPr>
          <w:p w14:paraId="347C709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4468" w:type="dxa"/>
            <w:noWrap w:val="0"/>
            <w:vAlign w:val="center"/>
          </w:tcPr>
          <w:p w14:paraId="45B5516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VP-P：≤250mV、Vrms：≤40mV、Irms：≤450mA</w:t>
            </w:r>
          </w:p>
        </w:tc>
        <w:tc>
          <w:tcPr>
            <w:tcW w:w="1088" w:type="dxa"/>
            <w:noWrap w:val="0"/>
            <w:vAlign w:val="center"/>
          </w:tcPr>
          <w:p w14:paraId="4AF375F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163C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55D593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794" w:type="dxa"/>
            <w:noWrap w:val="0"/>
            <w:vAlign w:val="center"/>
          </w:tcPr>
          <w:p w14:paraId="7F1F215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电压变动率</w:t>
            </w:r>
          </w:p>
        </w:tc>
        <w:tc>
          <w:tcPr>
            <w:tcW w:w="4468" w:type="dxa"/>
            <w:noWrap w:val="0"/>
            <w:vAlign w:val="center"/>
          </w:tcPr>
          <w:p w14:paraId="462F97E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≥10V/ms</w:t>
            </w:r>
          </w:p>
        </w:tc>
        <w:tc>
          <w:tcPr>
            <w:tcW w:w="1088" w:type="dxa"/>
            <w:noWrap w:val="0"/>
            <w:vAlign w:val="center"/>
          </w:tcPr>
          <w:p w14:paraId="6E3A97C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F9FF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FF6F84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794" w:type="dxa"/>
            <w:noWrap w:val="0"/>
            <w:vAlign w:val="center"/>
          </w:tcPr>
          <w:p w14:paraId="47E17D4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4468" w:type="dxa"/>
            <w:noWrap w:val="0"/>
            <w:vAlign w:val="center"/>
          </w:tcPr>
          <w:p w14:paraId="57BD8B2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088" w:type="dxa"/>
            <w:noWrap w:val="0"/>
            <w:vAlign w:val="center"/>
          </w:tcPr>
          <w:p w14:paraId="32135D2A">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EA90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E6D97D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794" w:type="dxa"/>
            <w:noWrap w:val="0"/>
            <w:vAlign w:val="center"/>
          </w:tcPr>
          <w:p w14:paraId="7058CC3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468" w:type="dxa"/>
            <w:noWrap w:val="0"/>
            <w:vAlign w:val="center"/>
          </w:tcPr>
          <w:p w14:paraId="382D71E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088" w:type="dxa"/>
            <w:noWrap w:val="0"/>
            <w:vAlign w:val="center"/>
          </w:tcPr>
          <w:p w14:paraId="3DEBEE8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91CA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4976E1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794" w:type="dxa"/>
            <w:shd w:val="clear" w:color="auto" w:fill="auto"/>
            <w:noWrap w:val="0"/>
            <w:vAlign w:val="center"/>
          </w:tcPr>
          <w:p w14:paraId="505CA8A1">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保护功能</w:t>
            </w:r>
          </w:p>
        </w:tc>
        <w:tc>
          <w:tcPr>
            <w:tcW w:w="4468" w:type="dxa"/>
            <w:shd w:val="clear" w:color="auto" w:fill="auto"/>
            <w:noWrap w:val="0"/>
            <w:vAlign w:val="center"/>
          </w:tcPr>
          <w:p w14:paraId="712F9DE3">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输入欠压保护、短路保护、 输出过压、限流保护，内部过热保护</w:t>
            </w:r>
          </w:p>
        </w:tc>
        <w:tc>
          <w:tcPr>
            <w:tcW w:w="1088" w:type="dxa"/>
            <w:shd w:val="clear" w:color="auto" w:fill="auto"/>
            <w:noWrap w:val="0"/>
            <w:vAlign w:val="center"/>
          </w:tcPr>
          <w:p w14:paraId="04B257B7">
            <w:pPr>
              <w:spacing w:line="420" w:lineRule="exact"/>
              <w:jc w:val="center"/>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w:t>
            </w:r>
          </w:p>
        </w:tc>
      </w:tr>
    </w:tbl>
    <w:p w14:paraId="419A1A0E">
      <w:pPr>
        <w:pStyle w:val="9"/>
        <w:ind w:left="0" w:leftChars="0" w:firstLine="0" w:firstLineChars="0"/>
        <w:rPr>
          <w:rFonts w:hint="eastAsia"/>
          <w:lang w:val="en-US" w:eastAsia="zh-CN"/>
        </w:rPr>
      </w:pPr>
    </w:p>
    <w:p w14:paraId="1AF3F2F7">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★2.3 可编程双向直流电源（15kW/0-1000V）技术规范（用于直流电动空调模拟负载）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609"/>
        <w:gridCol w:w="4175"/>
        <w:gridCol w:w="1566"/>
      </w:tblGrid>
      <w:tr w14:paraId="5D6A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205EA4B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B6BF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0E0DDE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609" w:type="dxa"/>
            <w:noWrap w:val="0"/>
            <w:vAlign w:val="center"/>
          </w:tcPr>
          <w:p w14:paraId="4AA7CEC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4175" w:type="dxa"/>
            <w:noWrap w:val="0"/>
            <w:vAlign w:val="center"/>
          </w:tcPr>
          <w:p w14:paraId="3D49C53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≥1000V</w:t>
            </w:r>
          </w:p>
        </w:tc>
        <w:tc>
          <w:tcPr>
            <w:tcW w:w="1566" w:type="dxa"/>
            <w:noWrap w:val="0"/>
            <w:vAlign w:val="center"/>
          </w:tcPr>
          <w:p w14:paraId="3AF48CAD">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79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40B4B7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609" w:type="dxa"/>
            <w:noWrap w:val="0"/>
            <w:vAlign w:val="center"/>
          </w:tcPr>
          <w:p w14:paraId="783DA30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w:t>
            </w:r>
          </w:p>
        </w:tc>
        <w:tc>
          <w:tcPr>
            <w:tcW w:w="4175" w:type="dxa"/>
            <w:noWrap w:val="0"/>
            <w:vAlign w:val="center"/>
          </w:tcPr>
          <w:p w14:paraId="2A3967B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r>
              <w:rPr>
                <w:rFonts w:hint="eastAsia" w:ascii="宋体" w:hAnsi="宋体" w:cs="宋体"/>
                <w:b w:val="0"/>
                <w:bCs w:val="0"/>
                <w:sz w:val="24"/>
                <w:szCs w:val="24"/>
                <w:vertAlign w:val="baseline"/>
                <w:lang w:val="en-US" w:eastAsia="zh-CN"/>
              </w:rPr>
              <w:t>5</w:t>
            </w:r>
            <w:r>
              <w:rPr>
                <w:rFonts w:hint="eastAsia" w:ascii="宋体" w:hAnsi="宋体" w:eastAsia="宋体" w:cs="宋体"/>
                <w:b w:val="0"/>
                <w:bCs w:val="0"/>
                <w:sz w:val="24"/>
                <w:szCs w:val="24"/>
                <w:vertAlign w:val="baseline"/>
                <w:lang w:val="en-US" w:eastAsia="zh-CN"/>
              </w:rPr>
              <w:t>5A</w:t>
            </w:r>
          </w:p>
        </w:tc>
        <w:tc>
          <w:tcPr>
            <w:tcW w:w="1566" w:type="dxa"/>
            <w:noWrap w:val="0"/>
            <w:vAlign w:val="center"/>
          </w:tcPr>
          <w:p w14:paraId="299EA1A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766C6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8E433A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609" w:type="dxa"/>
            <w:noWrap w:val="0"/>
            <w:vAlign w:val="center"/>
          </w:tcPr>
          <w:p w14:paraId="47DDFA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4175" w:type="dxa"/>
            <w:noWrap w:val="0"/>
            <w:vAlign w:val="center"/>
          </w:tcPr>
          <w:p w14:paraId="65B9117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≥15kW</w:t>
            </w:r>
            <w:r>
              <w:rPr>
                <w:rFonts w:hint="eastAsia" w:ascii="宋体" w:hAnsi="宋体" w:eastAsia="宋体" w:cs="宋体"/>
                <w:color w:val="auto"/>
                <w:sz w:val="24"/>
                <w:szCs w:val="24"/>
                <w:lang w:val="en-US" w:eastAsia="zh-CN"/>
              </w:rPr>
              <w:t>（额定）</w:t>
            </w:r>
          </w:p>
        </w:tc>
        <w:tc>
          <w:tcPr>
            <w:tcW w:w="1566" w:type="dxa"/>
            <w:noWrap w:val="0"/>
            <w:vAlign w:val="center"/>
          </w:tcPr>
          <w:p w14:paraId="5AA9C6A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61E0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1D5180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609" w:type="dxa"/>
            <w:noWrap w:val="0"/>
            <w:vAlign w:val="center"/>
          </w:tcPr>
          <w:p w14:paraId="1A283EE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4175" w:type="dxa"/>
            <w:noWrap w:val="0"/>
            <w:vAlign w:val="center"/>
          </w:tcPr>
          <w:p w14:paraId="0082297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566" w:type="dxa"/>
            <w:noWrap w:val="0"/>
            <w:vAlign w:val="center"/>
          </w:tcPr>
          <w:p w14:paraId="200352A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038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2A7755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609" w:type="dxa"/>
            <w:noWrap w:val="0"/>
            <w:vAlign w:val="center"/>
          </w:tcPr>
          <w:p w14:paraId="37A8C44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5293F63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馈电</w:t>
            </w:r>
          </w:p>
        </w:tc>
        <w:tc>
          <w:tcPr>
            <w:tcW w:w="1566" w:type="dxa"/>
            <w:noWrap w:val="0"/>
            <w:vAlign w:val="center"/>
          </w:tcPr>
          <w:p w14:paraId="600DA53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0AAD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E9E885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609" w:type="dxa"/>
            <w:noWrap w:val="0"/>
            <w:vAlign w:val="center"/>
          </w:tcPr>
          <w:p w14:paraId="476DE1A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4175" w:type="dxa"/>
            <w:noWrap w:val="0"/>
            <w:vAlign w:val="center"/>
          </w:tcPr>
          <w:p w14:paraId="6019EDB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566" w:type="dxa"/>
            <w:noWrap w:val="0"/>
            <w:vAlign w:val="center"/>
          </w:tcPr>
          <w:p w14:paraId="1C3D2FF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C7A4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C9BD23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609" w:type="dxa"/>
            <w:noWrap w:val="0"/>
            <w:vAlign w:val="center"/>
          </w:tcPr>
          <w:p w14:paraId="0E06F7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 xml:space="preserve">快速瞬时反应时间 </w:t>
            </w:r>
          </w:p>
        </w:tc>
        <w:tc>
          <w:tcPr>
            <w:tcW w:w="4175" w:type="dxa"/>
            <w:noWrap w:val="0"/>
            <w:vAlign w:val="center"/>
          </w:tcPr>
          <w:p w14:paraId="19B0117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≤2ms</w:t>
            </w:r>
          </w:p>
        </w:tc>
        <w:tc>
          <w:tcPr>
            <w:tcW w:w="1566" w:type="dxa"/>
            <w:noWrap w:val="0"/>
            <w:vAlign w:val="center"/>
          </w:tcPr>
          <w:p w14:paraId="55D1990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509A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6" w:type="dxa"/>
            <w:noWrap w:val="0"/>
            <w:vAlign w:val="center"/>
          </w:tcPr>
          <w:p w14:paraId="7F8A337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609" w:type="dxa"/>
            <w:noWrap w:val="0"/>
            <w:vAlign w:val="center"/>
          </w:tcPr>
          <w:p w14:paraId="3033158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175" w:type="dxa"/>
            <w:noWrap w:val="0"/>
            <w:vAlign w:val="center"/>
          </w:tcPr>
          <w:p w14:paraId="25460B3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RS-232、LAN、USB</w:t>
            </w:r>
          </w:p>
        </w:tc>
        <w:tc>
          <w:tcPr>
            <w:tcW w:w="1566" w:type="dxa"/>
            <w:noWrap w:val="0"/>
            <w:vAlign w:val="center"/>
          </w:tcPr>
          <w:p w14:paraId="6D25E87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90A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12521B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609" w:type="dxa"/>
            <w:noWrap w:val="0"/>
            <w:vAlign w:val="center"/>
          </w:tcPr>
          <w:p w14:paraId="67F3564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供电输入</w:t>
            </w:r>
          </w:p>
        </w:tc>
        <w:tc>
          <w:tcPr>
            <w:tcW w:w="4175" w:type="dxa"/>
            <w:noWrap w:val="0"/>
            <w:vAlign w:val="center"/>
          </w:tcPr>
          <w:p w14:paraId="39BCCD5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三相380V±10%</w:t>
            </w:r>
          </w:p>
        </w:tc>
        <w:tc>
          <w:tcPr>
            <w:tcW w:w="1566" w:type="dxa"/>
            <w:noWrap w:val="0"/>
            <w:vAlign w:val="center"/>
          </w:tcPr>
          <w:p w14:paraId="37BD264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344A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7A175BF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609" w:type="dxa"/>
            <w:vMerge w:val="restart"/>
            <w:noWrap w:val="0"/>
            <w:vAlign w:val="center"/>
          </w:tcPr>
          <w:p w14:paraId="4276BAC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源效应：</w:t>
            </w:r>
          </w:p>
        </w:tc>
        <w:tc>
          <w:tcPr>
            <w:tcW w:w="4175" w:type="dxa"/>
            <w:noWrap w:val="0"/>
            <w:vAlign w:val="center"/>
          </w:tcPr>
          <w:p w14:paraId="7044D94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电压：≤±0.05% F.S.</w:t>
            </w:r>
          </w:p>
        </w:tc>
        <w:tc>
          <w:tcPr>
            <w:tcW w:w="1566" w:type="dxa"/>
            <w:noWrap w:val="0"/>
            <w:vAlign w:val="center"/>
          </w:tcPr>
          <w:p w14:paraId="7CD22C5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1E04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63B1E6D7">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77DB2E26">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2F9C9C9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电流：≤±0.05% F.S.</w:t>
            </w:r>
          </w:p>
        </w:tc>
        <w:tc>
          <w:tcPr>
            <w:tcW w:w="1566" w:type="dxa"/>
            <w:noWrap w:val="0"/>
            <w:vAlign w:val="center"/>
          </w:tcPr>
          <w:p w14:paraId="21B1C6E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87F1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503D307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609" w:type="dxa"/>
            <w:vMerge w:val="restart"/>
            <w:noWrap w:val="0"/>
            <w:vAlign w:val="center"/>
          </w:tcPr>
          <w:p w14:paraId="20E0312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负载效应：</w:t>
            </w:r>
          </w:p>
        </w:tc>
        <w:tc>
          <w:tcPr>
            <w:tcW w:w="4175" w:type="dxa"/>
            <w:noWrap w:val="0"/>
            <w:vAlign w:val="center"/>
          </w:tcPr>
          <w:p w14:paraId="6834CB2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电压：≤±0.1% F.S.</w:t>
            </w:r>
          </w:p>
        </w:tc>
        <w:tc>
          <w:tcPr>
            <w:tcW w:w="1566" w:type="dxa"/>
            <w:noWrap w:val="0"/>
            <w:vAlign w:val="center"/>
          </w:tcPr>
          <w:p w14:paraId="4393E1D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AC0B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576A82FC">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10A72C6E">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2702694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电流：≤±0.1% F.S.</w:t>
            </w:r>
          </w:p>
        </w:tc>
        <w:tc>
          <w:tcPr>
            <w:tcW w:w="1566" w:type="dxa"/>
            <w:noWrap w:val="0"/>
            <w:vAlign w:val="center"/>
          </w:tcPr>
          <w:p w14:paraId="6C52EDC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3110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C7153D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609" w:type="dxa"/>
            <w:noWrap w:val="0"/>
            <w:vAlign w:val="center"/>
          </w:tcPr>
          <w:p w14:paraId="22C6E6D2">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电压测量精度</w:t>
            </w:r>
          </w:p>
        </w:tc>
        <w:tc>
          <w:tcPr>
            <w:tcW w:w="4175" w:type="dxa"/>
            <w:noWrap w:val="0"/>
            <w:vAlign w:val="center"/>
          </w:tcPr>
          <w:p w14:paraId="7A229C9F">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≤0.05%F.S.</w:t>
            </w:r>
          </w:p>
        </w:tc>
        <w:tc>
          <w:tcPr>
            <w:tcW w:w="1566" w:type="dxa"/>
            <w:noWrap w:val="0"/>
            <w:vAlign w:val="center"/>
          </w:tcPr>
          <w:p w14:paraId="0E5D235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1C72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DBCFB9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609" w:type="dxa"/>
            <w:noWrap w:val="0"/>
            <w:vAlign w:val="center"/>
          </w:tcPr>
          <w:p w14:paraId="6A55B3F6">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电流测量精度</w:t>
            </w:r>
          </w:p>
        </w:tc>
        <w:tc>
          <w:tcPr>
            <w:tcW w:w="4175" w:type="dxa"/>
            <w:noWrap w:val="0"/>
            <w:vAlign w:val="center"/>
          </w:tcPr>
          <w:p w14:paraId="7487D485">
            <w:pPr>
              <w:spacing w:line="420" w:lineRule="exact"/>
              <w:jc w:val="both"/>
              <w:outlineLvl w:val="4"/>
              <w:rPr>
                <w:rFonts w:hint="eastAsia" w:ascii="宋体" w:hAnsi="宋体" w:eastAsia="宋体" w:cs="宋体"/>
                <w:b w:val="0"/>
                <w:bCs w:val="0"/>
                <w:color w:val="auto"/>
                <w:sz w:val="24"/>
                <w:szCs w:val="24"/>
                <w:vertAlign w:val="baseline"/>
                <w:lang w:val="en-US" w:eastAsia="zh-CN"/>
              </w:rPr>
            </w:pPr>
            <w:r>
              <w:rPr>
                <w:rFonts w:hint="eastAsia" w:ascii="宋体" w:hAnsi="宋体" w:eastAsia="宋体" w:cs="宋体"/>
                <w:b w:val="0"/>
                <w:bCs w:val="0"/>
                <w:color w:val="auto"/>
                <w:sz w:val="24"/>
                <w:szCs w:val="24"/>
                <w:vertAlign w:val="baseline"/>
                <w:lang w:val="en-US" w:eastAsia="zh-CN"/>
              </w:rPr>
              <w:t>≤0.1%F.S.</w:t>
            </w:r>
          </w:p>
        </w:tc>
        <w:tc>
          <w:tcPr>
            <w:tcW w:w="1566" w:type="dxa"/>
            <w:noWrap w:val="0"/>
            <w:vAlign w:val="center"/>
          </w:tcPr>
          <w:p w14:paraId="7E91D09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380E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587D85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609" w:type="dxa"/>
            <w:noWrap w:val="0"/>
            <w:vAlign w:val="center"/>
          </w:tcPr>
          <w:p w14:paraId="7744496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4175" w:type="dxa"/>
            <w:noWrap w:val="0"/>
            <w:vAlign w:val="center"/>
          </w:tcPr>
          <w:p w14:paraId="098437D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 ：</w:t>
            </w:r>
            <w:r>
              <w:rPr>
                <w:rFonts w:hint="eastAsia" w:ascii="宋体" w:hAnsi="宋体" w:eastAsia="宋体" w:cs="宋体"/>
                <w:b w:val="0"/>
                <w:bCs w:val="0"/>
                <w:sz w:val="24"/>
                <w:szCs w:val="24"/>
                <w:highlight w:val="none"/>
                <w:vertAlign w:val="baseline"/>
                <w:lang w:val="en-US" w:eastAsia="zh-CN"/>
              </w:rPr>
              <w:t>≤2300mV、 Vrms ：≤400mV、 Irms：≤1000mA</w:t>
            </w:r>
          </w:p>
        </w:tc>
        <w:tc>
          <w:tcPr>
            <w:tcW w:w="1566" w:type="dxa"/>
            <w:noWrap w:val="0"/>
            <w:vAlign w:val="center"/>
          </w:tcPr>
          <w:p w14:paraId="1D73CC5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41E9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16C569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609" w:type="dxa"/>
            <w:noWrap w:val="0"/>
            <w:vAlign w:val="center"/>
          </w:tcPr>
          <w:p w14:paraId="3A194DB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电压变化率：</w:t>
            </w:r>
          </w:p>
        </w:tc>
        <w:tc>
          <w:tcPr>
            <w:tcW w:w="4175" w:type="dxa"/>
            <w:noWrap w:val="0"/>
            <w:vAlign w:val="center"/>
          </w:tcPr>
          <w:p w14:paraId="5CE9C23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≥130V/ms</w:t>
            </w:r>
          </w:p>
        </w:tc>
        <w:tc>
          <w:tcPr>
            <w:tcW w:w="1566" w:type="dxa"/>
            <w:noWrap w:val="0"/>
            <w:vAlign w:val="center"/>
          </w:tcPr>
          <w:p w14:paraId="363E344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5209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EF23CBB">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609" w:type="dxa"/>
            <w:noWrap w:val="0"/>
            <w:vAlign w:val="center"/>
          </w:tcPr>
          <w:p w14:paraId="134D16A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4175" w:type="dxa"/>
            <w:noWrap w:val="0"/>
            <w:vAlign w:val="center"/>
          </w:tcPr>
          <w:p w14:paraId="630F5A0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566" w:type="dxa"/>
            <w:noWrap w:val="0"/>
            <w:vAlign w:val="center"/>
          </w:tcPr>
          <w:p w14:paraId="4B29589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7A527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14EA9A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609" w:type="dxa"/>
            <w:noWrap w:val="0"/>
            <w:vAlign w:val="center"/>
          </w:tcPr>
          <w:p w14:paraId="172DB17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34B039D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566" w:type="dxa"/>
            <w:noWrap w:val="0"/>
            <w:vAlign w:val="center"/>
          </w:tcPr>
          <w:p w14:paraId="625C4B8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E7F96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37E5A2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609" w:type="dxa"/>
            <w:shd w:val="clear" w:color="auto" w:fill="auto"/>
            <w:noWrap w:val="0"/>
            <w:vAlign w:val="center"/>
          </w:tcPr>
          <w:p w14:paraId="6E807F2E">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保护功能</w:t>
            </w:r>
          </w:p>
        </w:tc>
        <w:tc>
          <w:tcPr>
            <w:tcW w:w="4175" w:type="dxa"/>
            <w:shd w:val="clear" w:color="auto" w:fill="auto"/>
            <w:noWrap w:val="0"/>
            <w:vAlign w:val="center"/>
          </w:tcPr>
          <w:p w14:paraId="190E30BD">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输入欠压保护、短路保护、 输出过压、限流保护，内部过热保护</w:t>
            </w:r>
          </w:p>
        </w:tc>
        <w:tc>
          <w:tcPr>
            <w:tcW w:w="1566" w:type="dxa"/>
            <w:shd w:val="clear" w:color="auto" w:fill="auto"/>
            <w:noWrap w:val="0"/>
            <w:vAlign w:val="center"/>
          </w:tcPr>
          <w:p w14:paraId="11A52AA6">
            <w:pPr>
              <w:spacing w:line="420" w:lineRule="exact"/>
              <w:jc w:val="center"/>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w:t>
            </w:r>
          </w:p>
        </w:tc>
      </w:tr>
    </w:tbl>
    <w:p w14:paraId="4AE1D3EE">
      <w:pPr>
        <w:spacing w:line="420" w:lineRule="exact"/>
        <w:outlineLvl w:val="4"/>
        <w:rPr>
          <w:rFonts w:hint="eastAsia" w:ascii="宋体" w:hAnsi="宋体" w:eastAsia="宋体" w:cs="宋体"/>
          <w:b/>
          <w:bCs/>
          <w:sz w:val="24"/>
          <w:szCs w:val="24"/>
          <w:lang w:val="en-US" w:eastAsia="zh-CN"/>
        </w:rPr>
      </w:pPr>
    </w:p>
    <w:p w14:paraId="32ADD01A">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★2.4可编程双向直流电源（35kW/0-1000V）技术规范（用于电池包PTC模拟负载）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609"/>
        <w:gridCol w:w="4175"/>
        <w:gridCol w:w="1566"/>
      </w:tblGrid>
      <w:tr w14:paraId="47FA77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286" w:type="dxa"/>
            <w:gridSpan w:val="4"/>
            <w:noWrap w:val="0"/>
            <w:vAlign w:val="center"/>
          </w:tcPr>
          <w:p w14:paraId="4029AC1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8C4A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2314CD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609" w:type="dxa"/>
            <w:noWrap w:val="0"/>
            <w:vAlign w:val="center"/>
          </w:tcPr>
          <w:p w14:paraId="5681204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4175" w:type="dxa"/>
            <w:noWrap w:val="0"/>
            <w:vAlign w:val="center"/>
          </w:tcPr>
          <w:p w14:paraId="38BE0C4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≥1000V</w:t>
            </w:r>
          </w:p>
        </w:tc>
        <w:tc>
          <w:tcPr>
            <w:tcW w:w="1566" w:type="dxa"/>
            <w:noWrap w:val="0"/>
            <w:vAlign w:val="center"/>
          </w:tcPr>
          <w:p w14:paraId="1BF34234">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01E2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DA9A2A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609" w:type="dxa"/>
            <w:noWrap w:val="0"/>
            <w:vAlign w:val="center"/>
          </w:tcPr>
          <w:p w14:paraId="61D4837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w:t>
            </w:r>
          </w:p>
        </w:tc>
        <w:tc>
          <w:tcPr>
            <w:tcW w:w="4175" w:type="dxa"/>
            <w:noWrap w:val="0"/>
            <w:vAlign w:val="center"/>
          </w:tcPr>
          <w:p w14:paraId="1E00B12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≥100A</w:t>
            </w:r>
          </w:p>
        </w:tc>
        <w:tc>
          <w:tcPr>
            <w:tcW w:w="1566" w:type="dxa"/>
            <w:noWrap w:val="0"/>
            <w:vAlign w:val="center"/>
          </w:tcPr>
          <w:p w14:paraId="7E990FE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B205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490789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609" w:type="dxa"/>
            <w:noWrap w:val="0"/>
            <w:vAlign w:val="center"/>
          </w:tcPr>
          <w:p w14:paraId="5FDFE8F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4175" w:type="dxa"/>
            <w:noWrap w:val="0"/>
            <w:vAlign w:val="center"/>
          </w:tcPr>
          <w:p w14:paraId="5476B0D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≥35kW</w:t>
            </w:r>
            <w:r>
              <w:rPr>
                <w:rFonts w:hint="eastAsia" w:ascii="宋体" w:hAnsi="宋体" w:eastAsia="宋体" w:cs="宋体"/>
                <w:color w:val="auto"/>
                <w:sz w:val="24"/>
                <w:szCs w:val="24"/>
                <w:lang w:val="en-US" w:eastAsia="zh-CN"/>
              </w:rPr>
              <w:t>（额定）</w:t>
            </w:r>
          </w:p>
        </w:tc>
        <w:tc>
          <w:tcPr>
            <w:tcW w:w="1566" w:type="dxa"/>
            <w:noWrap w:val="0"/>
            <w:vAlign w:val="center"/>
          </w:tcPr>
          <w:p w14:paraId="1719DD5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4CB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B831A1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609" w:type="dxa"/>
            <w:noWrap w:val="0"/>
            <w:vAlign w:val="center"/>
          </w:tcPr>
          <w:p w14:paraId="49F39B3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4175" w:type="dxa"/>
            <w:noWrap w:val="0"/>
            <w:vAlign w:val="center"/>
          </w:tcPr>
          <w:p w14:paraId="0140070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566" w:type="dxa"/>
            <w:noWrap w:val="0"/>
            <w:vAlign w:val="center"/>
          </w:tcPr>
          <w:p w14:paraId="5DE9788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B552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1D8FA2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609" w:type="dxa"/>
            <w:noWrap w:val="0"/>
            <w:vAlign w:val="center"/>
          </w:tcPr>
          <w:p w14:paraId="32CFBBD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5F001D4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馈电</w:t>
            </w:r>
          </w:p>
        </w:tc>
        <w:tc>
          <w:tcPr>
            <w:tcW w:w="1566" w:type="dxa"/>
            <w:noWrap w:val="0"/>
            <w:vAlign w:val="center"/>
          </w:tcPr>
          <w:p w14:paraId="4B96D9E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3A80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3302F4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609" w:type="dxa"/>
            <w:noWrap w:val="0"/>
            <w:vAlign w:val="center"/>
          </w:tcPr>
          <w:p w14:paraId="4DCC6B4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4175" w:type="dxa"/>
            <w:noWrap w:val="0"/>
            <w:vAlign w:val="center"/>
          </w:tcPr>
          <w:p w14:paraId="151889F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566" w:type="dxa"/>
            <w:noWrap w:val="0"/>
            <w:vAlign w:val="center"/>
          </w:tcPr>
          <w:p w14:paraId="4CFF223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28D4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201281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609" w:type="dxa"/>
            <w:noWrap w:val="0"/>
            <w:vAlign w:val="center"/>
          </w:tcPr>
          <w:p w14:paraId="0F104FA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 xml:space="preserve">快速瞬时反应时间 </w:t>
            </w:r>
          </w:p>
        </w:tc>
        <w:tc>
          <w:tcPr>
            <w:tcW w:w="4175" w:type="dxa"/>
            <w:noWrap w:val="0"/>
            <w:vAlign w:val="center"/>
          </w:tcPr>
          <w:p w14:paraId="5D744B8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≤2ms</w:t>
            </w:r>
          </w:p>
        </w:tc>
        <w:tc>
          <w:tcPr>
            <w:tcW w:w="1566" w:type="dxa"/>
            <w:noWrap w:val="0"/>
            <w:vAlign w:val="center"/>
          </w:tcPr>
          <w:p w14:paraId="77E7F6D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768F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F4D3755">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609" w:type="dxa"/>
            <w:noWrap w:val="0"/>
            <w:vAlign w:val="center"/>
          </w:tcPr>
          <w:p w14:paraId="61BFB3E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175" w:type="dxa"/>
            <w:noWrap w:val="0"/>
            <w:vAlign w:val="center"/>
          </w:tcPr>
          <w:p w14:paraId="237231B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RS-232、LAN、USB</w:t>
            </w:r>
          </w:p>
        </w:tc>
        <w:tc>
          <w:tcPr>
            <w:tcW w:w="1566" w:type="dxa"/>
            <w:noWrap w:val="0"/>
            <w:vAlign w:val="center"/>
          </w:tcPr>
          <w:p w14:paraId="5E47509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86BE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131FE13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609" w:type="dxa"/>
            <w:noWrap w:val="0"/>
            <w:vAlign w:val="center"/>
          </w:tcPr>
          <w:p w14:paraId="068E6662">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供电输入</w:t>
            </w:r>
          </w:p>
        </w:tc>
        <w:tc>
          <w:tcPr>
            <w:tcW w:w="4175" w:type="dxa"/>
            <w:noWrap w:val="0"/>
            <w:vAlign w:val="center"/>
          </w:tcPr>
          <w:p w14:paraId="168F784A">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三相380V±10%</w:t>
            </w:r>
          </w:p>
        </w:tc>
        <w:tc>
          <w:tcPr>
            <w:tcW w:w="1566" w:type="dxa"/>
            <w:noWrap w:val="0"/>
            <w:vAlign w:val="center"/>
          </w:tcPr>
          <w:p w14:paraId="74CA1E8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209B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0E584FA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609" w:type="dxa"/>
            <w:vMerge w:val="restart"/>
            <w:noWrap w:val="0"/>
            <w:vAlign w:val="center"/>
          </w:tcPr>
          <w:p w14:paraId="05104361">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源效应：</w:t>
            </w:r>
          </w:p>
        </w:tc>
        <w:tc>
          <w:tcPr>
            <w:tcW w:w="4175" w:type="dxa"/>
            <w:noWrap w:val="0"/>
            <w:vAlign w:val="center"/>
          </w:tcPr>
          <w:p w14:paraId="6A071DCB">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电压：≤±0.05% F.S.</w:t>
            </w:r>
          </w:p>
        </w:tc>
        <w:tc>
          <w:tcPr>
            <w:tcW w:w="1566" w:type="dxa"/>
            <w:noWrap w:val="0"/>
            <w:vAlign w:val="center"/>
          </w:tcPr>
          <w:p w14:paraId="0B3CE38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2B8FC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7D6D527C">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6669BDD7">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6274CDA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电流：≤±0.05% F.S.</w:t>
            </w:r>
          </w:p>
        </w:tc>
        <w:tc>
          <w:tcPr>
            <w:tcW w:w="1566" w:type="dxa"/>
            <w:noWrap w:val="0"/>
            <w:vAlign w:val="center"/>
          </w:tcPr>
          <w:p w14:paraId="4E8BC2F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26B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56F0A8B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609" w:type="dxa"/>
            <w:vMerge w:val="restart"/>
            <w:noWrap w:val="0"/>
            <w:vAlign w:val="center"/>
          </w:tcPr>
          <w:p w14:paraId="524B6B3E">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负载效应：</w:t>
            </w:r>
          </w:p>
        </w:tc>
        <w:tc>
          <w:tcPr>
            <w:tcW w:w="4175" w:type="dxa"/>
            <w:noWrap w:val="0"/>
            <w:vAlign w:val="center"/>
          </w:tcPr>
          <w:p w14:paraId="5ABE1454">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电压：≤±0.1% F.S.</w:t>
            </w:r>
          </w:p>
        </w:tc>
        <w:tc>
          <w:tcPr>
            <w:tcW w:w="1566" w:type="dxa"/>
            <w:noWrap w:val="0"/>
            <w:vAlign w:val="center"/>
          </w:tcPr>
          <w:p w14:paraId="1825111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1DF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7F165B4D">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075E193C">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175" w:type="dxa"/>
            <w:noWrap w:val="0"/>
            <w:vAlign w:val="center"/>
          </w:tcPr>
          <w:p w14:paraId="13ED753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电流：≤±0.1% F.S.</w:t>
            </w:r>
          </w:p>
        </w:tc>
        <w:tc>
          <w:tcPr>
            <w:tcW w:w="1566" w:type="dxa"/>
            <w:noWrap w:val="0"/>
            <w:vAlign w:val="center"/>
          </w:tcPr>
          <w:p w14:paraId="2F1C386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3A3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3DFA4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609" w:type="dxa"/>
            <w:noWrap w:val="0"/>
            <w:vAlign w:val="center"/>
          </w:tcPr>
          <w:p w14:paraId="474AB76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电压测量精度</w:t>
            </w:r>
          </w:p>
        </w:tc>
        <w:tc>
          <w:tcPr>
            <w:tcW w:w="4175" w:type="dxa"/>
            <w:noWrap w:val="0"/>
            <w:vAlign w:val="center"/>
          </w:tcPr>
          <w:p w14:paraId="44C4DD6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≤0.05%F.S.</w:t>
            </w:r>
          </w:p>
        </w:tc>
        <w:tc>
          <w:tcPr>
            <w:tcW w:w="1566" w:type="dxa"/>
            <w:noWrap w:val="0"/>
            <w:vAlign w:val="center"/>
          </w:tcPr>
          <w:p w14:paraId="49413CF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AD9E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C20FEE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609" w:type="dxa"/>
            <w:noWrap w:val="0"/>
            <w:vAlign w:val="center"/>
          </w:tcPr>
          <w:p w14:paraId="6C842B1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电流测量精度</w:t>
            </w:r>
          </w:p>
        </w:tc>
        <w:tc>
          <w:tcPr>
            <w:tcW w:w="4175" w:type="dxa"/>
            <w:noWrap w:val="0"/>
            <w:vAlign w:val="center"/>
          </w:tcPr>
          <w:p w14:paraId="6C285E4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≤0.1%F.S.</w:t>
            </w:r>
          </w:p>
        </w:tc>
        <w:tc>
          <w:tcPr>
            <w:tcW w:w="1566" w:type="dxa"/>
            <w:noWrap w:val="0"/>
            <w:vAlign w:val="center"/>
          </w:tcPr>
          <w:p w14:paraId="50D62F4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E9BE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343FE2C">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609" w:type="dxa"/>
            <w:noWrap w:val="0"/>
            <w:vAlign w:val="center"/>
          </w:tcPr>
          <w:p w14:paraId="74BB99E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4175" w:type="dxa"/>
            <w:noWrap w:val="0"/>
            <w:vAlign w:val="center"/>
          </w:tcPr>
          <w:p w14:paraId="4BB8E24C">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 ：≤2300mV、 Vrms ：≤200mV、 Irms：≤1000mA</w:t>
            </w:r>
          </w:p>
        </w:tc>
        <w:tc>
          <w:tcPr>
            <w:tcW w:w="1566" w:type="dxa"/>
            <w:noWrap w:val="0"/>
            <w:vAlign w:val="center"/>
          </w:tcPr>
          <w:p w14:paraId="5DE6ED8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307E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160782A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609" w:type="dxa"/>
            <w:noWrap w:val="0"/>
            <w:vAlign w:val="center"/>
          </w:tcPr>
          <w:p w14:paraId="0BE5AEA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电压变化率：</w:t>
            </w:r>
          </w:p>
        </w:tc>
        <w:tc>
          <w:tcPr>
            <w:tcW w:w="4175" w:type="dxa"/>
            <w:noWrap w:val="0"/>
            <w:vAlign w:val="center"/>
          </w:tcPr>
          <w:p w14:paraId="542CCA8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≥130V/ms</w:t>
            </w:r>
          </w:p>
        </w:tc>
        <w:tc>
          <w:tcPr>
            <w:tcW w:w="1566" w:type="dxa"/>
            <w:noWrap w:val="0"/>
            <w:vAlign w:val="center"/>
          </w:tcPr>
          <w:p w14:paraId="41C1C22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2B5C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28F12D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609" w:type="dxa"/>
            <w:noWrap w:val="0"/>
            <w:vAlign w:val="center"/>
          </w:tcPr>
          <w:p w14:paraId="78C6D58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4175" w:type="dxa"/>
            <w:noWrap w:val="0"/>
            <w:vAlign w:val="center"/>
          </w:tcPr>
          <w:p w14:paraId="1759C33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566" w:type="dxa"/>
            <w:noWrap w:val="0"/>
            <w:vAlign w:val="center"/>
          </w:tcPr>
          <w:p w14:paraId="51C9509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2A59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351846B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609" w:type="dxa"/>
            <w:noWrap w:val="0"/>
            <w:vAlign w:val="center"/>
          </w:tcPr>
          <w:p w14:paraId="25AD077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175" w:type="dxa"/>
            <w:noWrap w:val="0"/>
            <w:vAlign w:val="center"/>
          </w:tcPr>
          <w:p w14:paraId="23468FE9">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566" w:type="dxa"/>
            <w:noWrap w:val="0"/>
            <w:vAlign w:val="center"/>
          </w:tcPr>
          <w:p w14:paraId="752C961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89DB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FEAE966">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609" w:type="dxa"/>
            <w:shd w:val="clear" w:color="auto" w:fill="auto"/>
            <w:noWrap w:val="0"/>
            <w:vAlign w:val="center"/>
          </w:tcPr>
          <w:p w14:paraId="2AFA63D4">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保护功能</w:t>
            </w:r>
          </w:p>
        </w:tc>
        <w:tc>
          <w:tcPr>
            <w:tcW w:w="4175" w:type="dxa"/>
            <w:shd w:val="clear" w:color="auto" w:fill="auto"/>
            <w:noWrap w:val="0"/>
            <w:vAlign w:val="center"/>
          </w:tcPr>
          <w:p w14:paraId="3EA218FC">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输入欠压保护、短路保护、 输出过压、限流保护，内部过热保护</w:t>
            </w:r>
          </w:p>
        </w:tc>
        <w:tc>
          <w:tcPr>
            <w:tcW w:w="1566" w:type="dxa"/>
            <w:shd w:val="clear" w:color="auto" w:fill="auto"/>
            <w:noWrap w:val="0"/>
            <w:vAlign w:val="center"/>
          </w:tcPr>
          <w:p w14:paraId="3A55F5BF">
            <w:pPr>
              <w:spacing w:line="420" w:lineRule="exact"/>
              <w:jc w:val="center"/>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w:t>
            </w:r>
          </w:p>
        </w:tc>
      </w:tr>
    </w:tbl>
    <w:p w14:paraId="237308E0">
      <w:pPr>
        <w:spacing w:line="420" w:lineRule="exact"/>
        <w:outlineLvl w:val="4"/>
        <w:rPr>
          <w:rFonts w:hint="eastAsia" w:ascii="宋体" w:hAnsi="宋体" w:eastAsia="宋体" w:cs="宋体"/>
          <w:b/>
          <w:bCs/>
          <w:sz w:val="24"/>
          <w:szCs w:val="24"/>
          <w:lang w:val="en-US" w:eastAsia="zh-CN"/>
        </w:rPr>
      </w:pPr>
    </w:p>
    <w:p w14:paraId="10061E44">
      <w:pPr>
        <w:spacing w:line="420" w:lineRule="exact"/>
        <w:outlineLvl w:val="4"/>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★2.5可编程双向直流电源（15kW/0-1000V）技术规范（用于驾驶室PTC模拟负载）</w:t>
      </w:r>
    </w:p>
    <w:tbl>
      <w:tblPr>
        <w:tblStyle w:val="3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6"/>
        <w:gridCol w:w="2609"/>
        <w:gridCol w:w="4239"/>
        <w:gridCol w:w="1502"/>
      </w:tblGrid>
      <w:tr w14:paraId="21390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286" w:type="dxa"/>
            <w:gridSpan w:val="4"/>
            <w:noWrap w:val="0"/>
            <w:vAlign w:val="center"/>
          </w:tcPr>
          <w:p w14:paraId="3188B83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5219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FE3423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w:t>
            </w:r>
          </w:p>
        </w:tc>
        <w:tc>
          <w:tcPr>
            <w:tcW w:w="2609" w:type="dxa"/>
            <w:noWrap w:val="0"/>
            <w:vAlign w:val="center"/>
          </w:tcPr>
          <w:p w14:paraId="1266316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w:t>
            </w:r>
          </w:p>
        </w:tc>
        <w:tc>
          <w:tcPr>
            <w:tcW w:w="4239" w:type="dxa"/>
            <w:noWrap w:val="0"/>
            <w:vAlign w:val="center"/>
          </w:tcPr>
          <w:p w14:paraId="3DB65F84">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≥1000V</w:t>
            </w:r>
          </w:p>
        </w:tc>
        <w:tc>
          <w:tcPr>
            <w:tcW w:w="1502" w:type="dxa"/>
            <w:noWrap w:val="0"/>
            <w:vAlign w:val="center"/>
          </w:tcPr>
          <w:p w14:paraId="739A1559">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A8B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44F80FB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1.2</w:t>
            </w:r>
          </w:p>
        </w:tc>
        <w:tc>
          <w:tcPr>
            <w:tcW w:w="2609" w:type="dxa"/>
            <w:noWrap w:val="0"/>
            <w:vAlign w:val="center"/>
          </w:tcPr>
          <w:p w14:paraId="691A6D0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w:t>
            </w:r>
          </w:p>
        </w:tc>
        <w:tc>
          <w:tcPr>
            <w:tcW w:w="4239" w:type="dxa"/>
            <w:noWrap w:val="0"/>
            <w:vAlign w:val="center"/>
          </w:tcPr>
          <w:p w14:paraId="1C5E58E2">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r>
              <w:rPr>
                <w:rFonts w:hint="eastAsia" w:ascii="宋体" w:hAnsi="宋体" w:cs="宋体"/>
                <w:b w:val="0"/>
                <w:bCs w:val="0"/>
                <w:sz w:val="24"/>
                <w:szCs w:val="24"/>
                <w:vertAlign w:val="baseline"/>
                <w:lang w:val="en-US" w:eastAsia="zh-CN"/>
              </w:rPr>
              <w:t>5</w:t>
            </w:r>
            <w:r>
              <w:rPr>
                <w:rFonts w:hint="eastAsia" w:ascii="宋体" w:hAnsi="宋体" w:eastAsia="宋体" w:cs="宋体"/>
                <w:b w:val="0"/>
                <w:bCs w:val="0"/>
                <w:sz w:val="24"/>
                <w:szCs w:val="24"/>
                <w:vertAlign w:val="baseline"/>
                <w:lang w:val="en-US" w:eastAsia="zh-CN"/>
              </w:rPr>
              <w:t>5A</w:t>
            </w:r>
          </w:p>
        </w:tc>
        <w:tc>
          <w:tcPr>
            <w:tcW w:w="1502" w:type="dxa"/>
            <w:noWrap w:val="0"/>
            <w:vAlign w:val="center"/>
          </w:tcPr>
          <w:p w14:paraId="4D50C39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230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63B0DB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w:t>
            </w:r>
          </w:p>
        </w:tc>
        <w:tc>
          <w:tcPr>
            <w:tcW w:w="2609" w:type="dxa"/>
            <w:noWrap w:val="0"/>
            <w:vAlign w:val="center"/>
          </w:tcPr>
          <w:p w14:paraId="0AA0186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功率</w:t>
            </w:r>
          </w:p>
        </w:tc>
        <w:tc>
          <w:tcPr>
            <w:tcW w:w="4239" w:type="dxa"/>
            <w:noWrap w:val="0"/>
            <w:vAlign w:val="center"/>
          </w:tcPr>
          <w:p w14:paraId="46DF5D4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≥15kW</w:t>
            </w:r>
            <w:r>
              <w:rPr>
                <w:rFonts w:hint="eastAsia" w:ascii="宋体" w:hAnsi="宋体" w:eastAsia="宋体" w:cs="宋体"/>
                <w:color w:val="auto"/>
                <w:sz w:val="24"/>
                <w:szCs w:val="24"/>
                <w:lang w:val="en-US" w:eastAsia="zh-CN"/>
              </w:rPr>
              <w:t>（额定）</w:t>
            </w:r>
          </w:p>
        </w:tc>
        <w:tc>
          <w:tcPr>
            <w:tcW w:w="1502" w:type="dxa"/>
            <w:noWrap w:val="0"/>
            <w:vAlign w:val="center"/>
          </w:tcPr>
          <w:p w14:paraId="4F4C5DB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F6E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23062D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1.4</w:t>
            </w:r>
          </w:p>
        </w:tc>
        <w:tc>
          <w:tcPr>
            <w:tcW w:w="2609" w:type="dxa"/>
            <w:noWrap w:val="0"/>
            <w:vAlign w:val="center"/>
          </w:tcPr>
          <w:p w14:paraId="535BB57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功能</w:t>
            </w:r>
          </w:p>
        </w:tc>
        <w:tc>
          <w:tcPr>
            <w:tcW w:w="4239" w:type="dxa"/>
            <w:noWrap w:val="0"/>
            <w:vAlign w:val="center"/>
          </w:tcPr>
          <w:p w14:paraId="5BDAC3A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支持简易主/从并联定功率操作下允许多种电压和电流组合输出</w:t>
            </w:r>
          </w:p>
        </w:tc>
        <w:tc>
          <w:tcPr>
            <w:tcW w:w="1502" w:type="dxa"/>
            <w:noWrap w:val="0"/>
            <w:vAlign w:val="center"/>
          </w:tcPr>
          <w:p w14:paraId="7748B4A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91BF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EF387D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1.5</w:t>
            </w:r>
          </w:p>
        </w:tc>
        <w:tc>
          <w:tcPr>
            <w:tcW w:w="2609" w:type="dxa"/>
            <w:noWrap w:val="0"/>
            <w:vAlign w:val="center"/>
          </w:tcPr>
          <w:p w14:paraId="44045E9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239" w:type="dxa"/>
            <w:noWrap w:val="0"/>
            <w:vAlign w:val="center"/>
          </w:tcPr>
          <w:p w14:paraId="3B9E614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电源、负载、</w:t>
            </w:r>
            <w:r>
              <w:rPr>
                <w:rFonts w:hint="eastAsia" w:ascii="宋体" w:hAnsi="宋体" w:eastAsia="宋体" w:cs="宋体"/>
                <w:b w:val="0"/>
                <w:bCs w:val="0"/>
                <w:sz w:val="24"/>
                <w:szCs w:val="24"/>
                <w:highlight w:val="none"/>
                <w:vertAlign w:val="baseline"/>
                <w:lang w:val="en-US" w:eastAsia="zh-CN"/>
              </w:rPr>
              <w:t>馈电</w:t>
            </w:r>
          </w:p>
        </w:tc>
        <w:tc>
          <w:tcPr>
            <w:tcW w:w="1502" w:type="dxa"/>
            <w:noWrap w:val="0"/>
            <w:vAlign w:val="center"/>
          </w:tcPr>
          <w:p w14:paraId="0EACC71A">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18168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2154F29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1.6</w:t>
            </w:r>
          </w:p>
        </w:tc>
        <w:tc>
          <w:tcPr>
            <w:tcW w:w="2609" w:type="dxa"/>
            <w:noWrap w:val="0"/>
            <w:vAlign w:val="center"/>
          </w:tcPr>
          <w:p w14:paraId="4D53074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控制方式</w:t>
            </w:r>
          </w:p>
        </w:tc>
        <w:tc>
          <w:tcPr>
            <w:tcW w:w="4239" w:type="dxa"/>
            <w:noWrap w:val="0"/>
            <w:vAlign w:val="center"/>
          </w:tcPr>
          <w:p w14:paraId="3F517C58">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本地、远程</w:t>
            </w:r>
          </w:p>
        </w:tc>
        <w:tc>
          <w:tcPr>
            <w:tcW w:w="1502" w:type="dxa"/>
            <w:noWrap w:val="0"/>
            <w:vAlign w:val="center"/>
          </w:tcPr>
          <w:p w14:paraId="1C410BC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BB33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1225BB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1.7</w:t>
            </w:r>
          </w:p>
        </w:tc>
        <w:tc>
          <w:tcPr>
            <w:tcW w:w="2609" w:type="dxa"/>
            <w:noWrap w:val="0"/>
            <w:vAlign w:val="center"/>
          </w:tcPr>
          <w:p w14:paraId="6FE2452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highlight w:val="none"/>
                <w:vertAlign w:val="baseline"/>
                <w:lang w:val="en-US" w:eastAsia="zh-CN"/>
              </w:rPr>
              <w:t xml:space="preserve">快速瞬时反应时间 </w:t>
            </w:r>
          </w:p>
        </w:tc>
        <w:tc>
          <w:tcPr>
            <w:tcW w:w="4239" w:type="dxa"/>
            <w:noWrap w:val="0"/>
            <w:vAlign w:val="center"/>
          </w:tcPr>
          <w:p w14:paraId="5296540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≤2ms</w:t>
            </w:r>
          </w:p>
        </w:tc>
        <w:tc>
          <w:tcPr>
            <w:tcW w:w="1502" w:type="dxa"/>
            <w:noWrap w:val="0"/>
            <w:vAlign w:val="center"/>
          </w:tcPr>
          <w:p w14:paraId="56B2434B">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7A5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BB7F41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1.8</w:t>
            </w:r>
          </w:p>
        </w:tc>
        <w:tc>
          <w:tcPr>
            <w:tcW w:w="2609" w:type="dxa"/>
            <w:noWrap w:val="0"/>
            <w:vAlign w:val="center"/>
          </w:tcPr>
          <w:p w14:paraId="6973DD0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通讯接口</w:t>
            </w:r>
          </w:p>
        </w:tc>
        <w:tc>
          <w:tcPr>
            <w:tcW w:w="4239" w:type="dxa"/>
            <w:noWrap w:val="0"/>
            <w:vAlign w:val="center"/>
          </w:tcPr>
          <w:p w14:paraId="44F9631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RS-232、LAN、USB</w:t>
            </w:r>
          </w:p>
        </w:tc>
        <w:tc>
          <w:tcPr>
            <w:tcW w:w="1502" w:type="dxa"/>
            <w:noWrap w:val="0"/>
            <w:vAlign w:val="center"/>
          </w:tcPr>
          <w:p w14:paraId="5D48E43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01CB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6BBE6068">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w:t>
            </w:r>
          </w:p>
        </w:tc>
        <w:tc>
          <w:tcPr>
            <w:tcW w:w="2609" w:type="dxa"/>
            <w:noWrap w:val="0"/>
            <w:vAlign w:val="center"/>
          </w:tcPr>
          <w:p w14:paraId="5FF0200D">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供电输入</w:t>
            </w:r>
          </w:p>
        </w:tc>
        <w:tc>
          <w:tcPr>
            <w:tcW w:w="4239" w:type="dxa"/>
            <w:noWrap w:val="0"/>
            <w:vAlign w:val="center"/>
          </w:tcPr>
          <w:p w14:paraId="085D5EC5">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三相380V±10%</w:t>
            </w:r>
          </w:p>
        </w:tc>
        <w:tc>
          <w:tcPr>
            <w:tcW w:w="1502" w:type="dxa"/>
            <w:noWrap w:val="0"/>
            <w:vAlign w:val="center"/>
          </w:tcPr>
          <w:p w14:paraId="3BA5C39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1AD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1AF3DC7B">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1.10</w:t>
            </w:r>
          </w:p>
        </w:tc>
        <w:tc>
          <w:tcPr>
            <w:tcW w:w="2609" w:type="dxa"/>
            <w:vMerge w:val="restart"/>
            <w:noWrap w:val="0"/>
            <w:vAlign w:val="center"/>
          </w:tcPr>
          <w:p w14:paraId="4A477A5E">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源效应</w:t>
            </w:r>
          </w:p>
        </w:tc>
        <w:tc>
          <w:tcPr>
            <w:tcW w:w="4239" w:type="dxa"/>
            <w:noWrap w:val="0"/>
            <w:vAlign w:val="center"/>
          </w:tcPr>
          <w:p w14:paraId="59F87102">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电压：≤±0.05% F.S.</w:t>
            </w:r>
          </w:p>
        </w:tc>
        <w:tc>
          <w:tcPr>
            <w:tcW w:w="1502" w:type="dxa"/>
            <w:noWrap w:val="0"/>
            <w:vAlign w:val="center"/>
          </w:tcPr>
          <w:p w14:paraId="3BAC92A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ED3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56D54AA6">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3774A99C">
            <w:pPr>
              <w:spacing w:line="420" w:lineRule="exact"/>
              <w:jc w:val="both"/>
              <w:outlineLvl w:val="4"/>
              <w:rPr>
                <w:rFonts w:hint="eastAsia" w:ascii="宋体" w:hAnsi="宋体" w:eastAsia="宋体" w:cs="宋体"/>
                <w:b w:val="0"/>
                <w:bCs w:val="0"/>
                <w:sz w:val="24"/>
                <w:szCs w:val="24"/>
                <w:highlight w:val="none"/>
                <w:vertAlign w:val="baseline"/>
                <w:lang w:val="en-US" w:eastAsia="zh-CN"/>
              </w:rPr>
            </w:pPr>
          </w:p>
        </w:tc>
        <w:tc>
          <w:tcPr>
            <w:tcW w:w="4239" w:type="dxa"/>
            <w:noWrap w:val="0"/>
            <w:vAlign w:val="center"/>
          </w:tcPr>
          <w:p w14:paraId="7D9AC284">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电流：≤±0.05% F.S.</w:t>
            </w:r>
          </w:p>
        </w:tc>
        <w:tc>
          <w:tcPr>
            <w:tcW w:w="1502" w:type="dxa"/>
            <w:noWrap w:val="0"/>
            <w:vAlign w:val="center"/>
          </w:tcPr>
          <w:p w14:paraId="2CEF09A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030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restart"/>
            <w:noWrap w:val="0"/>
            <w:vAlign w:val="center"/>
          </w:tcPr>
          <w:p w14:paraId="5A1BFEE4">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1.11</w:t>
            </w:r>
          </w:p>
        </w:tc>
        <w:tc>
          <w:tcPr>
            <w:tcW w:w="2609" w:type="dxa"/>
            <w:vMerge w:val="restart"/>
            <w:noWrap w:val="0"/>
            <w:vAlign w:val="center"/>
          </w:tcPr>
          <w:p w14:paraId="47E766C3">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负载效应</w:t>
            </w:r>
          </w:p>
        </w:tc>
        <w:tc>
          <w:tcPr>
            <w:tcW w:w="4239" w:type="dxa"/>
            <w:noWrap w:val="0"/>
            <w:vAlign w:val="center"/>
          </w:tcPr>
          <w:p w14:paraId="41E9F580">
            <w:pPr>
              <w:spacing w:line="420" w:lineRule="exact"/>
              <w:jc w:val="both"/>
              <w:outlineLvl w:val="4"/>
              <w:rPr>
                <w:rFonts w:hint="eastAsia" w:ascii="宋体" w:hAnsi="宋体" w:eastAsia="宋体" w:cs="宋体"/>
                <w:b w:val="0"/>
                <w:bCs w:val="0"/>
                <w:sz w:val="24"/>
                <w:szCs w:val="24"/>
                <w:highlight w:val="none"/>
                <w:vertAlign w:val="baseline"/>
                <w:lang w:val="en-US" w:eastAsia="zh-CN"/>
              </w:rPr>
            </w:pPr>
            <w:r>
              <w:rPr>
                <w:rFonts w:hint="eastAsia" w:ascii="宋体" w:hAnsi="宋体" w:eastAsia="宋体" w:cs="宋体"/>
                <w:b w:val="0"/>
                <w:bCs w:val="0"/>
                <w:sz w:val="24"/>
                <w:szCs w:val="24"/>
                <w:highlight w:val="none"/>
                <w:vertAlign w:val="baseline"/>
                <w:lang w:val="en-US" w:eastAsia="zh-CN"/>
              </w:rPr>
              <w:t>电压：≤±0.1% F.S.</w:t>
            </w:r>
          </w:p>
        </w:tc>
        <w:tc>
          <w:tcPr>
            <w:tcW w:w="1502" w:type="dxa"/>
            <w:noWrap w:val="0"/>
            <w:vAlign w:val="center"/>
          </w:tcPr>
          <w:p w14:paraId="3BEF013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20EA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vMerge w:val="continue"/>
            <w:noWrap w:val="0"/>
            <w:vAlign w:val="center"/>
          </w:tcPr>
          <w:p w14:paraId="2F8A52DC">
            <w:pPr>
              <w:spacing w:line="420" w:lineRule="exact"/>
              <w:jc w:val="both"/>
              <w:outlineLvl w:val="4"/>
              <w:rPr>
                <w:rFonts w:hint="default" w:ascii="宋体" w:hAnsi="宋体" w:eastAsia="宋体" w:cs="宋体"/>
                <w:b w:val="0"/>
                <w:bCs w:val="0"/>
                <w:sz w:val="24"/>
                <w:szCs w:val="24"/>
                <w:vertAlign w:val="baseline"/>
                <w:lang w:val="en-US" w:eastAsia="zh-CN"/>
              </w:rPr>
            </w:pPr>
          </w:p>
        </w:tc>
        <w:tc>
          <w:tcPr>
            <w:tcW w:w="2609" w:type="dxa"/>
            <w:vMerge w:val="continue"/>
            <w:noWrap w:val="0"/>
            <w:vAlign w:val="center"/>
          </w:tcPr>
          <w:p w14:paraId="749C24C7">
            <w:pPr>
              <w:spacing w:line="420" w:lineRule="exact"/>
              <w:jc w:val="both"/>
              <w:outlineLvl w:val="4"/>
              <w:rPr>
                <w:rFonts w:hint="eastAsia" w:ascii="宋体" w:hAnsi="宋体" w:eastAsia="宋体" w:cs="宋体"/>
                <w:b w:val="0"/>
                <w:bCs w:val="0"/>
                <w:sz w:val="24"/>
                <w:szCs w:val="24"/>
                <w:vertAlign w:val="baseline"/>
                <w:lang w:val="en-US" w:eastAsia="zh-CN"/>
              </w:rPr>
            </w:pPr>
          </w:p>
        </w:tc>
        <w:tc>
          <w:tcPr>
            <w:tcW w:w="4239" w:type="dxa"/>
            <w:noWrap w:val="0"/>
            <w:vAlign w:val="center"/>
          </w:tcPr>
          <w:p w14:paraId="2223373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电流：≤±0.1% F.S.</w:t>
            </w:r>
          </w:p>
        </w:tc>
        <w:tc>
          <w:tcPr>
            <w:tcW w:w="1502" w:type="dxa"/>
            <w:noWrap w:val="0"/>
            <w:vAlign w:val="center"/>
          </w:tcPr>
          <w:p w14:paraId="174AC57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3C2A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1E50968F">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1.12</w:t>
            </w:r>
          </w:p>
        </w:tc>
        <w:tc>
          <w:tcPr>
            <w:tcW w:w="2609" w:type="dxa"/>
            <w:noWrap w:val="0"/>
            <w:vAlign w:val="center"/>
          </w:tcPr>
          <w:p w14:paraId="2015337D">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电压测量精度</w:t>
            </w:r>
          </w:p>
        </w:tc>
        <w:tc>
          <w:tcPr>
            <w:tcW w:w="4239" w:type="dxa"/>
            <w:noWrap w:val="0"/>
            <w:vAlign w:val="center"/>
          </w:tcPr>
          <w:p w14:paraId="3209DA9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≤0.05%F.S.</w:t>
            </w:r>
          </w:p>
        </w:tc>
        <w:tc>
          <w:tcPr>
            <w:tcW w:w="1502" w:type="dxa"/>
            <w:noWrap w:val="0"/>
            <w:vAlign w:val="center"/>
          </w:tcPr>
          <w:p w14:paraId="1DB502C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5E765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13CE94C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1.13</w:t>
            </w:r>
          </w:p>
        </w:tc>
        <w:tc>
          <w:tcPr>
            <w:tcW w:w="2609" w:type="dxa"/>
            <w:noWrap w:val="0"/>
            <w:vAlign w:val="center"/>
          </w:tcPr>
          <w:p w14:paraId="7C58367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电流测量精度</w:t>
            </w:r>
          </w:p>
        </w:tc>
        <w:tc>
          <w:tcPr>
            <w:tcW w:w="4239" w:type="dxa"/>
            <w:noWrap w:val="0"/>
            <w:vAlign w:val="center"/>
          </w:tcPr>
          <w:p w14:paraId="3726BC4F">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≤0.1%F.S.</w:t>
            </w:r>
          </w:p>
        </w:tc>
        <w:tc>
          <w:tcPr>
            <w:tcW w:w="1502" w:type="dxa"/>
            <w:noWrap w:val="0"/>
            <w:vAlign w:val="center"/>
          </w:tcPr>
          <w:p w14:paraId="130B24F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B8F05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5498C17">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1.14</w:t>
            </w:r>
          </w:p>
        </w:tc>
        <w:tc>
          <w:tcPr>
            <w:tcW w:w="2609" w:type="dxa"/>
            <w:noWrap w:val="0"/>
            <w:vAlign w:val="center"/>
          </w:tcPr>
          <w:p w14:paraId="19E6FFEC">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输出纹波噪声</w:t>
            </w:r>
          </w:p>
        </w:tc>
        <w:tc>
          <w:tcPr>
            <w:tcW w:w="4239" w:type="dxa"/>
            <w:noWrap w:val="0"/>
            <w:vAlign w:val="center"/>
          </w:tcPr>
          <w:p w14:paraId="6D2C8551">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VP-P ：≤2300mV、 Vrms ：≤400mV、Irms：≤1000mA</w:t>
            </w:r>
          </w:p>
        </w:tc>
        <w:tc>
          <w:tcPr>
            <w:tcW w:w="1502" w:type="dxa"/>
            <w:noWrap w:val="0"/>
            <w:vAlign w:val="center"/>
          </w:tcPr>
          <w:p w14:paraId="63C01F8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33C4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04A3CC3A">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1.15</w:t>
            </w:r>
          </w:p>
        </w:tc>
        <w:tc>
          <w:tcPr>
            <w:tcW w:w="2609" w:type="dxa"/>
            <w:noWrap w:val="0"/>
            <w:vAlign w:val="center"/>
          </w:tcPr>
          <w:p w14:paraId="1C0C34F1">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电压变化率</w:t>
            </w:r>
          </w:p>
        </w:tc>
        <w:tc>
          <w:tcPr>
            <w:tcW w:w="4239" w:type="dxa"/>
            <w:noWrap w:val="0"/>
            <w:vAlign w:val="center"/>
          </w:tcPr>
          <w:p w14:paraId="65EB201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≥130V/ms</w:t>
            </w:r>
          </w:p>
        </w:tc>
        <w:tc>
          <w:tcPr>
            <w:tcW w:w="1502" w:type="dxa"/>
            <w:noWrap w:val="0"/>
            <w:vAlign w:val="center"/>
          </w:tcPr>
          <w:p w14:paraId="50F9CE40">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6E958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5AEE3A2E">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1.16</w:t>
            </w:r>
          </w:p>
        </w:tc>
        <w:tc>
          <w:tcPr>
            <w:tcW w:w="2609" w:type="dxa"/>
            <w:noWrap w:val="0"/>
            <w:vAlign w:val="center"/>
          </w:tcPr>
          <w:p w14:paraId="63AF2722">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电流变化率</w:t>
            </w:r>
          </w:p>
        </w:tc>
        <w:tc>
          <w:tcPr>
            <w:tcW w:w="4239" w:type="dxa"/>
            <w:noWrap w:val="0"/>
            <w:vAlign w:val="center"/>
          </w:tcPr>
          <w:p w14:paraId="064E77C7">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≥30A/ms</w:t>
            </w:r>
          </w:p>
        </w:tc>
        <w:tc>
          <w:tcPr>
            <w:tcW w:w="1502" w:type="dxa"/>
            <w:noWrap w:val="0"/>
            <w:vAlign w:val="center"/>
          </w:tcPr>
          <w:p w14:paraId="12959BF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4C0D0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C3C3720">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1.17</w:t>
            </w:r>
          </w:p>
        </w:tc>
        <w:tc>
          <w:tcPr>
            <w:tcW w:w="2609" w:type="dxa"/>
            <w:noWrap w:val="0"/>
            <w:vAlign w:val="center"/>
          </w:tcPr>
          <w:p w14:paraId="1FDBB823">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操作模式</w:t>
            </w:r>
          </w:p>
        </w:tc>
        <w:tc>
          <w:tcPr>
            <w:tcW w:w="4239" w:type="dxa"/>
            <w:noWrap w:val="0"/>
            <w:vAlign w:val="center"/>
          </w:tcPr>
          <w:p w14:paraId="0379A80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CC, CV, CP, CR,动态负载</w:t>
            </w:r>
          </w:p>
        </w:tc>
        <w:tc>
          <w:tcPr>
            <w:tcW w:w="1502" w:type="dxa"/>
            <w:noWrap w:val="0"/>
            <w:vAlign w:val="center"/>
          </w:tcPr>
          <w:p w14:paraId="4F584EC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w:t>
            </w:r>
          </w:p>
        </w:tc>
      </w:tr>
      <w:tr w14:paraId="2725C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6" w:type="dxa"/>
            <w:noWrap w:val="0"/>
            <w:vAlign w:val="center"/>
          </w:tcPr>
          <w:p w14:paraId="7021B21D">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1.18</w:t>
            </w:r>
          </w:p>
        </w:tc>
        <w:tc>
          <w:tcPr>
            <w:tcW w:w="2609" w:type="dxa"/>
            <w:shd w:val="clear" w:color="auto" w:fill="auto"/>
            <w:noWrap w:val="0"/>
            <w:vAlign w:val="center"/>
          </w:tcPr>
          <w:p w14:paraId="787312F7">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保护功能</w:t>
            </w:r>
          </w:p>
        </w:tc>
        <w:tc>
          <w:tcPr>
            <w:tcW w:w="4239" w:type="dxa"/>
            <w:shd w:val="clear" w:color="auto" w:fill="auto"/>
            <w:noWrap w:val="0"/>
            <w:vAlign w:val="center"/>
          </w:tcPr>
          <w:p w14:paraId="70C7CDF0">
            <w:pPr>
              <w:spacing w:line="420" w:lineRule="exact"/>
              <w:jc w:val="both"/>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输入欠压保护、短路保护、 输出过压、限流保护，内部过热保护</w:t>
            </w:r>
          </w:p>
        </w:tc>
        <w:tc>
          <w:tcPr>
            <w:tcW w:w="1502" w:type="dxa"/>
            <w:shd w:val="clear" w:color="auto" w:fill="auto"/>
            <w:noWrap w:val="0"/>
            <w:vAlign w:val="center"/>
          </w:tcPr>
          <w:p w14:paraId="58E1D8AC">
            <w:pPr>
              <w:spacing w:line="420" w:lineRule="exact"/>
              <w:jc w:val="center"/>
              <w:outlineLvl w:val="4"/>
              <w:rPr>
                <w:rFonts w:hint="eastAsia" w:ascii="宋体" w:hAnsi="宋体" w:eastAsia="宋体" w:cs="宋体"/>
                <w:b w:val="0"/>
                <w:bCs w:val="0"/>
                <w:kern w:val="2"/>
                <w:sz w:val="24"/>
                <w:szCs w:val="24"/>
                <w:vertAlign w:val="baseline"/>
                <w:lang w:val="en-US" w:eastAsia="zh-CN" w:bidi="ar-SA"/>
              </w:rPr>
            </w:pPr>
            <w:r>
              <w:rPr>
                <w:rFonts w:hint="eastAsia" w:ascii="宋体" w:hAnsi="宋体" w:eastAsia="宋体" w:cs="宋体"/>
                <w:b w:val="0"/>
                <w:bCs w:val="0"/>
                <w:sz w:val="24"/>
                <w:szCs w:val="24"/>
                <w:vertAlign w:val="baseline"/>
                <w:lang w:val="en-US" w:eastAsia="zh-CN"/>
              </w:rPr>
              <w:t>\</w:t>
            </w:r>
          </w:p>
        </w:tc>
      </w:tr>
    </w:tbl>
    <w:p w14:paraId="023A677E">
      <w:pPr>
        <w:spacing w:line="420" w:lineRule="exact"/>
        <w:outlineLvl w:val="4"/>
        <w:rPr>
          <w:rFonts w:hint="default" w:ascii="宋体" w:hAnsi="宋体" w:eastAsia="宋体" w:cs="宋体"/>
          <w:b/>
          <w:bCs/>
          <w:sz w:val="24"/>
          <w:szCs w:val="24"/>
          <w:lang w:val="en-US" w:eastAsia="zh-CN"/>
        </w:rPr>
      </w:pPr>
    </w:p>
    <w:p w14:paraId="061F7563">
      <w:pPr>
        <w:keepNext w:val="0"/>
        <w:keepLines w:val="0"/>
        <w:pageBreakBefore w:val="0"/>
        <w:widowControl w:val="0"/>
        <w:kinsoku/>
        <w:wordWrap/>
        <w:overflowPunct/>
        <w:topLinePunct w:val="0"/>
        <w:autoSpaceDE/>
        <w:autoSpaceDN/>
        <w:bidi w:val="0"/>
        <w:adjustRightInd/>
        <w:snapToGrid/>
        <w:spacing w:line="420" w:lineRule="exact"/>
        <w:textAlignment w:val="auto"/>
        <w:outlineLvl w:val="4"/>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★2.6测试系统</w:t>
      </w:r>
    </w:p>
    <w:tbl>
      <w:tblPr>
        <w:tblStyle w:val="34"/>
        <w:tblpPr w:leftFromText="180" w:rightFromText="180" w:vertAnchor="text" w:tblpXSpec="center" w:tblpY="1"/>
        <w:tblOverlap w:val="never"/>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1"/>
        <w:gridCol w:w="7823"/>
      </w:tblGrid>
      <w:tr w14:paraId="6EB8B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795634A6">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设备名称</w:t>
            </w:r>
          </w:p>
        </w:tc>
        <w:tc>
          <w:tcPr>
            <w:tcW w:w="7823" w:type="dxa"/>
            <w:noWrap w:val="0"/>
            <w:vAlign w:val="center"/>
          </w:tcPr>
          <w:p w14:paraId="69CA305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技术指标</w:t>
            </w:r>
          </w:p>
        </w:tc>
      </w:tr>
      <w:tr w14:paraId="745A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7" w:hRule="atLeast"/>
        </w:trPr>
        <w:tc>
          <w:tcPr>
            <w:tcW w:w="1641" w:type="dxa"/>
            <w:noWrap w:val="0"/>
            <w:vAlign w:val="center"/>
          </w:tcPr>
          <w:p w14:paraId="19CBBDA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软件</w:t>
            </w:r>
          </w:p>
        </w:tc>
        <w:tc>
          <w:tcPr>
            <w:tcW w:w="7823" w:type="dxa"/>
            <w:noWrap w:val="0"/>
            <w:vAlign w:val="center"/>
          </w:tcPr>
          <w:p w14:paraId="40311C29">
            <w:pPr>
              <w:spacing w:line="420" w:lineRule="exact"/>
              <w:jc w:val="both"/>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实现数据采集、台架控制等功能。</w:t>
            </w:r>
          </w:p>
          <w:p w14:paraId="5173459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所有软件如有权限限制，需提供正版永久License。</w:t>
            </w:r>
          </w:p>
        </w:tc>
      </w:tr>
      <w:tr w14:paraId="63AC7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75244355">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控制电脑</w:t>
            </w:r>
          </w:p>
        </w:tc>
        <w:tc>
          <w:tcPr>
            <w:tcW w:w="7823" w:type="dxa"/>
            <w:noWrap w:val="0"/>
            <w:vAlign w:val="center"/>
          </w:tcPr>
          <w:p w14:paraId="2CDC9A0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配置 CPU Intel≥i7；内存≥32G DDR4；固态硬盘≥1TB；通用接口≥8个，配备DVD光驱、配备无线键鼠</w:t>
            </w:r>
          </w:p>
          <w:p w14:paraId="70C590EE">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显示器≥34英寸，</w:t>
            </w:r>
            <w:r>
              <w:rPr>
                <w:rFonts w:hint="eastAsia" w:ascii="宋体" w:hAnsi="宋体" w:eastAsia="宋体" w:cs="宋体"/>
                <w:b w:val="0"/>
                <w:bCs w:val="0"/>
                <w:sz w:val="24"/>
                <w:szCs w:val="24"/>
                <w:highlight w:val="none"/>
                <w:vertAlign w:val="baseline"/>
                <w:lang w:val="en-US" w:eastAsia="zh-CN"/>
              </w:rPr>
              <w:t>21:9比例</w:t>
            </w:r>
          </w:p>
        </w:tc>
      </w:tr>
      <w:tr w14:paraId="6A903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trPr>
        <w:tc>
          <w:tcPr>
            <w:tcW w:w="1641" w:type="dxa"/>
            <w:noWrap w:val="0"/>
            <w:vAlign w:val="center"/>
          </w:tcPr>
          <w:p w14:paraId="5BCBC76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电源机柜</w:t>
            </w:r>
          </w:p>
        </w:tc>
        <w:tc>
          <w:tcPr>
            <w:tcW w:w="7823" w:type="dxa"/>
            <w:noWrap w:val="0"/>
            <w:vAlign w:val="center"/>
          </w:tcPr>
          <w:p w14:paraId="63A96C8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尺寸：根据实际设备数量和尺寸确定，确保所有设备都能合理放置。</w:t>
            </w:r>
          </w:p>
          <w:p w14:paraId="33F90A6B">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结构：应采用坚固耐用的材料，具有良好的抗震性和抗冲击性。</w:t>
            </w:r>
          </w:p>
          <w:p w14:paraId="7CD40C7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散热：应具备良好的散热性能，确保设备在正常运行过程中不会过热。</w:t>
            </w:r>
          </w:p>
          <w:p w14:paraId="4E17039A">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安全：应具备过载保护、漏电保护等安全功能，保障人员和设备安全。</w:t>
            </w:r>
          </w:p>
          <w:p w14:paraId="560382F0">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美观：外观设计简洁大方，符合工业设计标准。</w:t>
            </w:r>
          </w:p>
          <w:p w14:paraId="21BB1F25">
            <w:pPr>
              <w:spacing w:line="420" w:lineRule="exact"/>
              <w:jc w:val="both"/>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其他：配备急停和三色灯。</w:t>
            </w:r>
          </w:p>
        </w:tc>
      </w:tr>
    </w:tbl>
    <w:p w14:paraId="02949628">
      <w:pPr>
        <w:keepNext w:val="0"/>
        <w:keepLines w:val="0"/>
        <w:pageBreakBefore w:val="0"/>
        <w:widowControl w:val="0"/>
        <w:kinsoku/>
        <w:wordWrap/>
        <w:overflowPunct/>
        <w:topLinePunct w:val="0"/>
        <w:autoSpaceDE/>
        <w:autoSpaceDN/>
        <w:bidi w:val="0"/>
        <w:adjustRightInd/>
        <w:snapToGrid/>
        <w:spacing w:line="420" w:lineRule="exact"/>
        <w:textAlignment w:val="auto"/>
        <w:outlineLvl w:val="4"/>
        <w:rPr>
          <w:rFonts w:hint="eastAsia" w:ascii="宋体" w:hAnsi="宋体" w:eastAsia="宋体" w:cs="宋体"/>
          <w:b/>
          <w:bCs/>
          <w:sz w:val="24"/>
          <w:szCs w:val="24"/>
          <w:lang w:val="en-US" w:eastAsia="zh-CN"/>
        </w:rPr>
      </w:pPr>
    </w:p>
    <w:p w14:paraId="35FAF7E5">
      <w:pPr>
        <w:keepNext w:val="0"/>
        <w:keepLines w:val="0"/>
        <w:pageBreakBefore w:val="0"/>
        <w:widowControl w:val="0"/>
        <w:kinsoku/>
        <w:wordWrap/>
        <w:overflowPunct/>
        <w:topLinePunct w:val="0"/>
        <w:autoSpaceDE/>
        <w:autoSpaceDN/>
        <w:bidi w:val="0"/>
        <w:adjustRightInd/>
        <w:snapToGrid/>
        <w:spacing w:line="420" w:lineRule="exact"/>
        <w:textAlignment w:val="auto"/>
        <w:outlineLvl w:val="4"/>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★2.7工频耐电压仪（进口品牌）</w:t>
      </w:r>
    </w:p>
    <w:tbl>
      <w:tblPr>
        <w:tblStyle w:val="35"/>
        <w:tblW w:w="949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Layout w:type="fixed"/>
        <w:tblCellMar>
          <w:top w:w="113" w:type="dxa"/>
          <w:left w:w="108" w:type="dxa"/>
          <w:bottom w:w="113" w:type="dxa"/>
          <w:right w:w="108" w:type="dxa"/>
        </w:tblCellMar>
      </w:tblPr>
      <w:tblGrid>
        <w:gridCol w:w="379"/>
        <w:gridCol w:w="1134"/>
        <w:gridCol w:w="1611"/>
        <w:gridCol w:w="6367"/>
      </w:tblGrid>
      <w:tr w14:paraId="1A6404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9491" w:type="dxa"/>
            <w:gridSpan w:val="4"/>
            <w:shd w:val="clear" w:color="auto" w:fill="FFFFFF"/>
            <w:noWrap w:val="0"/>
            <w:vAlign w:val="center"/>
          </w:tcPr>
          <w:p w14:paraId="2F059129">
            <w:pPr>
              <w:spacing w:line="420" w:lineRule="exact"/>
              <w:jc w:val="left"/>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1、基本参数</w:t>
            </w:r>
          </w:p>
        </w:tc>
      </w:tr>
      <w:tr w14:paraId="1CAA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379" w:type="dxa"/>
            <w:vMerge w:val="restart"/>
            <w:shd w:val="clear" w:color="auto" w:fill="FFFFFF"/>
            <w:noWrap w:val="0"/>
            <w:vAlign w:val="center"/>
          </w:tcPr>
          <w:p w14:paraId="7EA4597A">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耐电压测试</w:t>
            </w:r>
          </w:p>
        </w:tc>
        <w:tc>
          <w:tcPr>
            <w:tcW w:w="2745" w:type="dxa"/>
            <w:gridSpan w:val="2"/>
            <w:shd w:val="clear" w:color="auto" w:fill="FFFFFF"/>
            <w:noWrap w:val="0"/>
            <w:vAlign w:val="center"/>
          </w:tcPr>
          <w:p w14:paraId="43CE156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额定输出（容量）</w:t>
            </w:r>
          </w:p>
        </w:tc>
        <w:tc>
          <w:tcPr>
            <w:tcW w:w="6367" w:type="dxa"/>
            <w:shd w:val="clear" w:color="auto" w:fill="FFFFFF"/>
            <w:noWrap w:val="0"/>
            <w:vAlign w:val="center"/>
          </w:tcPr>
          <w:p w14:paraId="258FA21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500VA（5000V/100mA）</w:t>
            </w:r>
          </w:p>
        </w:tc>
      </w:tr>
      <w:tr w14:paraId="437E26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814" w:hRule="atLeast"/>
          <w:jc w:val="center"/>
        </w:trPr>
        <w:tc>
          <w:tcPr>
            <w:tcW w:w="379" w:type="dxa"/>
            <w:vMerge w:val="continue"/>
            <w:shd w:val="clear" w:color="auto" w:fill="FFFFFF"/>
            <w:noWrap w:val="0"/>
            <w:vAlign w:val="center"/>
          </w:tcPr>
          <w:p w14:paraId="1B7ADD68">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shd w:val="clear" w:color="auto" w:fill="auto"/>
            <w:noWrap w:val="0"/>
            <w:vAlign w:val="center"/>
          </w:tcPr>
          <w:p w14:paraId="4C09ACA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输出电压设置</w:t>
            </w:r>
          </w:p>
        </w:tc>
        <w:tc>
          <w:tcPr>
            <w:tcW w:w="1611" w:type="dxa"/>
            <w:shd w:val="clear" w:color="auto" w:fill="auto"/>
            <w:noWrap w:val="0"/>
            <w:vAlign w:val="center"/>
          </w:tcPr>
          <w:p w14:paraId="43AF4C0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w:t>
            </w:r>
          </w:p>
        </w:tc>
        <w:tc>
          <w:tcPr>
            <w:tcW w:w="6367" w:type="dxa"/>
            <w:shd w:val="clear" w:color="auto" w:fill="auto"/>
            <w:noWrap w:val="0"/>
            <w:vAlign w:val="center"/>
          </w:tcPr>
          <w:p w14:paraId="500020D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范围:(100～5000)V,分辨力:1V,允许误差:±(1%×设定值+5V)；</w:t>
            </w:r>
          </w:p>
        </w:tc>
      </w:tr>
      <w:tr w14:paraId="62CC0D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706" w:hRule="atLeast"/>
          <w:jc w:val="center"/>
        </w:trPr>
        <w:tc>
          <w:tcPr>
            <w:tcW w:w="379" w:type="dxa"/>
            <w:vMerge w:val="continue"/>
            <w:shd w:val="clear" w:color="auto" w:fill="FFFFFF"/>
            <w:noWrap w:val="0"/>
            <w:vAlign w:val="center"/>
          </w:tcPr>
          <w:p w14:paraId="61C94EEE">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shd w:val="clear" w:color="auto" w:fill="auto"/>
            <w:noWrap w:val="0"/>
            <w:vAlign w:val="center"/>
          </w:tcPr>
          <w:p w14:paraId="452A26D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输出频率设置</w:t>
            </w:r>
          </w:p>
        </w:tc>
        <w:tc>
          <w:tcPr>
            <w:tcW w:w="1611" w:type="dxa"/>
            <w:shd w:val="clear" w:color="auto" w:fill="auto"/>
            <w:noWrap w:val="0"/>
            <w:vAlign w:val="center"/>
          </w:tcPr>
          <w:p w14:paraId="1EA81AA5">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范围</w:t>
            </w:r>
          </w:p>
        </w:tc>
        <w:tc>
          <w:tcPr>
            <w:tcW w:w="6367" w:type="dxa"/>
            <w:shd w:val="clear" w:color="auto" w:fill="auto"/>
            <w:noWrap w:val="0"/>
            <w:vAlign w:val="center"/>
          </w:tcPr>
          <w:p w14:paraId="1278ACD7">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50Hz/60Hz,允许误差:±0.1Hz</w:t>
            </w:r>
          </w:p>
        </w:tc>
      </w:tr>
      <w:tr w14:paraId="0650D3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47B2212B">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restart"/>
            <w:shd w:val="clear" w:color="auto" w:fill="auto"/>
            <w:noWrap w:val="0"/>
            <w:vAlign w:val="center"/>
          </w:tcPr>
          <w:p w14:paraId="77FF48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报警电流设置</w:t>
            </w:r>
          </w:p>
        </w:tc>
        <w:tc>
          <w:tcPr>
            <w:tcW w:w="1611" w:type="dxa"/>
            <w:shd w:val="clear" w:color="auto" w:fill="auto"/>
            <w:noWrap w:val="0"/>
            <w:vAlign w:val="center"/>
          </w:tcPr>
          <w:p w14:paraId="45D908C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上限范围</w:t>
            </w:r>
          </w:p>
        </w:tc>
        <w:tc>
          <w:tcPr>
            <w:tcW w:w="6367" w:type="dxa"/>
            <w:shd w:val="clear" w:color="auto" w:fill="auto"/>
            <w:noWrap w:val="0"/>
            <w:vAlign w:val="center"/>
          </w:tcPr>
          <w:p w14:paraId="3BE8F50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0.00～100mA,分辨力:0.01mA</w:t>
            </w:r>
          </w:p>
        </w:tc>
      </w:tr>
      <w:tr w14:paraId="7D2C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237" w:hRule="atLeast"/>
          <w:jc w:val="center"/>
        </w:trPr>
        <w:tc>
          <w:tcPr>
            <w:tcW w:w="379" w:type="dxa"/>
            <w:vMerge w:val="continue"/>
            <w:shd w:val="clear" w:color="auto" w:fill="FFFFFF"/>
            <w:noWrap w:val="0"/>
            <w:vAlign w:val="center"/>
          </w:tcPr>
          <w:p w14:paraId="1F239625">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continue"/>
            <w:shd w:val="clear" w:color="auto" w:fill="auto"/>
            <w:noWrap w:val="0"/>
            <w:vAlign w:val="center"/>
          </w:tcPr>
          <w:p w14:paraId="215AADAC">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4C9827A6">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下限范围</w:t>
            </w:r>
          </w:p>
        </w:tc>
        <w:tc>
          <w:tcPr>
            <w:tcW w:w="6367" w:type="dxa"/>
            <w:shd w:val="clear" w:color="auto" w:fill="auto"/>
            <w:noWrap w:val="0"/>
            <w:vAlign w:val="center"/>
          </w:tcPr>
          <w:p w14:paraId="001F2888">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0.000～9.999mA,分辨力:0.001mA</w:t>
            </w:r>
          </w:p>
        </w:tc>
      </w:tr>
      <w:tr w14:paraId="44EE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30D4C9F1">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134" w:type="dxa"/>
            <w:vMerge w:val="restart"/>
            <w:shd w:val="clear" w:color="auto" w:fill="auto"/>
            <w:noWrap w:val="0"/>
            <w:vAlign w:val="center"/>
          </w:tcPr>
          <w:p w14:paraId="6428D16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时间设置</w:t>
            </w:r>
          </w:p>
        </w:tc>
        <w:tc>
          <w:tcPr>
            <w:tcW w:w="1611" w:type="dxa"/>
            <w:shd w:val="clear" w:color="auto" w:fill="auto"/>
            <w:noWrap w:val="0"/>
            <w:vAlign w:val="center"/>
          </w:tcPr>
          <w:p w14:paraId="58C12FF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测试时间范围</w:t>
            </w:r>
          </w:p>
        </w:tc>
        <w:tc>
          <w:tcPr>
            <w:tcW w:w="6367" w:type="dxa"/>
            <w:shd w:val="clear" w:color="auto" w:fill="auto"/>
            <w:noWrap w:val="0"/>
            <w:vAlign w:val="center"/>
          </w:tcPr>
          <w:p w14:paraId="3F12009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0至(0.5～999.9)s,0为无限长，分辨力:0.1s</w:t>
            </w:r>
          </w:p>
        </w:tc>
      </w:tr>
      <w:tr w14:paraId="6B1F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221F7242">
            <w:pPr>
              <w:spacing w:line="160" w:lineRule="exact"/>
              <w:ind w:firstLine="300"/>
              <w:rPr>
                <w:rFonts w:hint="eastAsia" w:ascii="宋体" w:hAnsi="宋体" w:eastAsia="宋体" w:cs="宋体"/>
                <w:kern w:val="0"/>
                <w:sz w:val="24"/>
                <w:szCs w:val="24"/>
              </w:rPr>
            </w:pPr>
          </w:p>
        </w:tc>
        <w:tc>
          <w:tcPr>
            <w:tcW w:w="1134" w:type="dxa"/>
            <w:vMerge w:val="continue"/>
            <w:shd w:val="clear" w:color="auto" w:fill="auto"/>
            <w:noWrap w:val="0"/>
            <w:vAlign w:val="center"/>
          </w:tcPr>
          <w:p w14:paraId="7B5DEC80">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2C989651">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缓升时间范围</w:t>
            </w:r>
          </w:p>
        </w:tc>
        <w:tc>
          <w:tcPr>
            <w:tcW w:w="6367" w:type="dxa"/>
            <w:shd w:val="clear" w:color="auto" w:fill="auto"/>
            <w:noWrap w:val="0"/>
            <w:vAlign w:val="center"/>
          </w:tcPr>
          <w:p w14:paraId="140C7CA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0至(0.1～999.9)s,0为关闭，分辨力:0.1s</w:t>
            </w:r>
          </w:p>
        </w:tc>
      </w:tr>
      <w:tr w14:paraId="3BDCF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jc w:val="center"/>
        </w:trPr>
        <w:tc>
          <w:tcPr>
            <w:tcW w:w="379" w:type="dxa"/>
            <w:vMerge w:val="continue"/>
            <w:shd w:val="clear" w:color="auto" w:fill="FFFFFF"/>
            <w:noWrap w:val="0"/>
            <w:vAlign w:val="center"/>
          </w:tcPr>
          <w:p w14:paraId="3463C2DB">
            <w:pPr>
              <w:spacing w:line="160" w:lineRule="exact"/>
              <w:ind w:firstLine="300"/>
              <w:rPr>
                <w:rFonts w:hint="eastAsia" w:ascii="宋体" w:hAnsi="宋体" w:eastAsia="宋体" w:cs="宋体"/>
                <w:kern w:val="0"/>
                <w:sz w:val="24"/>
                <w:szCs w:val="24"/>
              </w:rPr>
            </w:pPr>
          </w:p>
        </w:tc>
        <w:tc>
          <w:tcPr>
            <w:tcW w:w="1134" w:type="dxa"/>
            <w:vMerge w:val="continue"/>
            <w:shd w:val="clear" w:color="auto" w:fill="auto"/>
            <w:noWrap w:val="0"/>
            <w:vAlign w:val="center"/>
          </w:tcPr>
          <w:p w14:paraId="757383C5">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1611" w:type="dxa"/>
            <w:shd w:val="clear" w:color="auto" w:fill="auto"/>
            <w:noWrap w:val="0"/>
            <w:vAlign w:val="center"/>
          </w:tcPr>
          <w:p w14:paraId="4048776E">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缓降时间范围</w:t>
            </w:r>
          </w:p>
        </w:tc>
        <w:tc>
          <w:tcPr>
            <w:tcW w:w="6367" w:type="dxa"/>
            <w:shd w:val="clear" w:color="auto" w:fill="auto"/>
            <w:noWrap w:val="0"/>
            <w:vAlign w:val="center"/>
          </w:tcPr>
          <w:p w14:paraId="5B82010F">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0至(0.1～999.9)s,0为关闭，分辨力:0.1s</w:t>
            </w:r>
          </w:p>
        </w:tc>
      </w:tr>
      <w:tr w14:paraId="43339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4D62A689">
            <w:pPr>
              <w:spacing w:line="160" w:lineRule="exact"/>
              <w:ind w:firstLine="300"/>
              <w:rPr>
                <w:rFonts w:hint="eastAsia" w:ascii="宋体" w:hAnsi="宋体" w:eastAsia="宋体" w:cs="宋体"/>
                <w:kern w:val="0"/>
                <w:sz w:val="24"/>
                <w:szCs w:val="24"/>
              </w:rPr>
            </w:pPr>
          </w:p>
        </w:tc>
        <w:tc>
          <w:tcPr>
            <w:tcW w:w="2745" w:type="dxa"/>
            <w:gridSpan w:val="2"/>
            <w:shd w:val="clear" w:color="auto" w:fill="auto"/>
            <w:noWrap w:val="0"/>
            <w:vAlign w:val="center"/>
          </w:tcPr>
          <w:p w14:paraId="264B4CB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电弧侦测</w:t>
            </w:r>
          </w:p>
        </w:tc>
        <w:tc>
          <w:tcPr>
            <w:tcW w:w="6367" w:type="dxa"/>
            <w:shd w:val="clear" w:color="auto" w:fill="auto"/>
            <w:noWrap w:val="0"/>
            <w:vAlign w:val="center"/>
          </w:tcPr>
          <w:p w14:paraId="5EDBBD3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1～9(9最灵敏),0表示关电弧功能</w:t>
            </w:r>
          </w:p>
        </w:tc>
      </w:tr>
      <w:tr w14:paraId="3C7DA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923" w:hRule="atLeast"/>
          <w:jc w:val="center"/>
        </w:trPr>
        <w:tc>
          <w:tcPr>
            <w:tcW w:w="379" w:type="dxa"/>
            <w:vMerge w:val="restart"/>
            <w:shd w:val="clear" w:color="auto" w:fill="FFFFFF"/>
            <w:noWrap w:val="0"/>
            <w:vAlign w:val="center"/>
          </w:tcPr>
          <w:p w14:paraId="356664C1">
            <w:pPr>
              <w:spacing w:line="420" w:lineRule="exact"/>
              <w:jc w:val="center"/>
              <w:outlineLvl w:val="4"/>
              <w:rPr>
                <w:rFonts w:hint="eastAsia" w:ascii="宋体" w:hAnsi="宋体" w:eastAsia="宋体" w:cs="宋体"/>
                <w:kern w:val="0"/>
                <w:sz w:val="24"/>
                <w:szCs w:val="24"/>
                <w:lang w:val="en-US" w:eastAsia="zh-CN"/>
              </w:rPr>
            </w:pPr>
            <w:r>
              <w:rPr>
                <w:rFonts w:hint="eastAsia" w:ascii="宋体" w:hAnsi="宋体" w:eastAsia="宋体" w:cs="宋体"/>
                <w:b w:val="0"/>
                <w:bCs w:val="0"/>
                <w:sz w:val="24"/>
                <w:szCs w:val="24"/>
                <w:vertAlign w:val="baseline"/>
                <w:lang w:val="en-US" w:eastAsia="zh-CN"/>
              </w:rPr>
              <w:t>绝缘测试</w:t>
            </w:r>
          </w:p>
        </w:tc>
        <w:tc>
          <w:tcPr>
            <w:tcW w:w="2745" w:type="dxa"/>
            <w:gridSpan w:val="2"/>
            <w:shd w:val="clear" w:color="auto" w:fill="auto"/>
            <w:noWrap w:val="0"/>
            <w:vAlign w:val="center"/>
          </w:tcPr>
          <w:p w14:paraId="329CF091">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测量电压</w:t>
            </w:r>
          </w:p>
        </w:tc>
        <w:tc>
          <w:tcPr>
            <w:tcW w:w="6367" w:type="dxa"/>
            <w:shd w:val="clear" w:color="auto" w:fill="auto"/>
            <w:noWrap w:val="0"/>
            <w:vAlign w:val="center"/>
          </w:tcPr>
          <w:p w14:paraId="529D69A6">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测量电压大于1000V</w:t>
            </w:r>
          </w:p>
        </w:tc>
      </w:tr>
      <w:tr w14:paraId="6BCA6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715" w:hRule="atLeast"/>
          <w:jc w:val="center"/>
        </w:trPr>
        <w:tc>
          <w:tcPr>
            <w:tcW w:w="379" w:type="dxa"/>
            <w:vMerge w:val="continue"/>
            <w:shd w:val="clear" w:color="auto" w:fill="FFFFFF"/>
            <w:noWrap w:val="0"/>
            <w:vAlign w:val="center"/>
          </w:tcPr>
          <w:p w14:paraId="38D31D52">
            <w:pPr>
              <w:spacing w:line="420" w:lineRule="exact"/>
              <w:jc w:val="center"/>
              <w:outlineLvl w:val="4"/>
            </w:pPr>
          </w:p>
        </w:tc>
        <w:tc>
          <w:tcPr>
            <w:tcW w:w="2745" w:type="dxa"/>
            <w:gridSpan w:val="2"/>
            <w:shd w:val="clear" w:color="auto" w:fill="auto"/>
            <w:noWrap w:val="0"/>
            <w:vAlign w:val="center"/>
          </w:tcPr>
          <w:p w14:paraId="21500F93">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测量阻值</w:t>
            </w:r>
          </w:p>
        </w:tc>
        <w:tc>
          <w:tcPr>
            <w:tcW w:w="6367" w:type="dxa"/>
            <w:shd w:val="clear" w:color="auto" w:fill="auto"/>
            <w:noWrap w:val="0"/>
            <w:vAlign w:val="center"/>
          </w:tcPr>
          <w:p w14:paraId="1B32DA61">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大于10GΩ</w:t>
            </w:r>
          </w:p>
        </w:tc>
      </w:tr>
      <w:tr w14:paraId="1098A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66" w:hRule="atLeast"/>
          <w:jc w:val="center"/>
        </w:trPr>
        <w:tc>
          <w:tcPr>
            <w:tcW w:w="379" w:type="dxa"/>
            <w:vMerge w:val="restart"/>
            <w:shd w:val="clear" w:color="auto" w:fill="FFFFFF"/>
            <w:noWrap w:val="0"/>
            <w:vAlign w:val="center"/>
          </w:tcPr>
          <w:p w14:paraId="606152A3">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其他配置</w:t>
            </w:r>
          </w:p>
        </w:tc>
        <w:tc>
          <w:tcPr>
            <w:tcW w:w="2745" w:type="dxa"/>
            <w:gridSpan w:val="2"/>
            <w:shd w:val="clear" w:color="auto" w:fill="auto"/>
            <w:noWrap w:val="0"/>
            <w:vAlign w:val="center"/>
          </w:tcPr>
          <w:p w14:paraId="63ED6D02">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显示操作</w:t>
            </w:r>
          </w:p>
        </w:tc>
        <w:tc>
          <w:tcPr>
            <w:tcW w:w="6367" w:type="dxa"/>
            <w:shd w:val="clear" w:color="auto" w:fill="auto"/>
            <w:noWrap w:val="0"/>
            <w:vAlign w:val="center"/>
          </w:tcPr>
          <w:p w14:paraId="2389535C">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LCD、5吋彩显、触摸屏</w:t>
            </w:r>
          </w:p>
        </w:tc>
      </w:tr>
      <w:tr w14:paraId="4AE50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02F6A716">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2A56B989">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通信接口</w:t>
            </w:r>
          </w:p>
        </w:tc>
        <w:tc>
          <w:tcPr>
            <w:tcW w:w="6367" w:type="dxa"/>
            <w:shd w:val="clear" w:color="auto" w:fill="auto"/>
            <w:noWrap w:val="0"/>
            <w:vAlign w:val="center"/>
          </w:tcPr>
          <w:p w14:paraId="398423E4">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RS232、LAN接口</w:t>
            </w:r>
          </w:p>
        </w:tc>
      </w:tr>
      <w:tr w14:paraId="09FA0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FFFFFF"/>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632802F3">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0730D6AB">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控制接口</w:t>
            </w:r>
          </w:p>
        </w:tc>
        <w:tc>
          <w:tcPr>
            <w:tcW w:w="6367" w:type="dxa"/>
            <w:shd w:val="clear" w:color="auto" w:fill="auto"/>
            <w:noWrap w:val="0"/>
            <w:vAlign w:val="center"/>
          </w:tcPr>
          <w:p w14:paraId="27836C8D">
            <w:pPr>
              <w:spacing w:line="420" w:lineRule="exact"/>
              <w:jc w:val="center"/>
              <w:outlineLvl w:val="4"/>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报警灯接口、I/O开关量接口、interlock接口</w:t>
            </w:r>
          </w:p>
        </w:tc>
      </w:tr>
      <w:tr w14:paraId="5A4C1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13" w:type="dxa"/>
            <w:left w:w="108" w:type="dxa"/>
            <w:bottom w:w="113" w:type="dxa"/>
            <w:right w:w="108" w:type="dxa"/>
          </w:tblCellMar>
        </w:tblPrEx>
        <w:trPr>
          <w:trHeight w:val="666" w:hRule="atLeast"/>
          <w:jc w:val="center"/>
        </w:trPr>
        <w:tc>
          <w:tcPr>
            <w:tcW w:w="379" w:type="dxa"/>
            <w:vMerge w:val="continue"/>
            <w:shd w:val="clear" w:color="auto" w:fill="FFFFFF"/>
            <w:noWrap w:val="0"/>
            <w:vAlign w:val="center"/>
          </w:tcPr>
          <w:p w14:paraId="502E7359">
            <w:pPr>
              <w:spacing w:line="420" w:lineRule="exact"/>
              <w:jc w:val="center"/>
              <w:outlineLvl w:val="4"/>
              <w:rPr>
                <w:rFonts w:hint="eastAsia" w:ascii="宋体" w:hAnsi="宋体" w:eastAsia="宋体" w:cs="宋体"/>
                <w:b w:val="0"/>
                <w:bCs w:val="0"/>
                <w:sz w:val="24"/>
                <w:szCs w:val="24"/>
                <w:vertAlign w:val="baseline"/>
                <w:lang w:val="en-US" w:eastAsia="zh-CN"/>
              </w:rPr>
            </w:pPr>
          </w:p>
        </w:tc>
        <w:tc>
          <w:tcPr>
            <w:tcW w:w="2745" w:type="dxa"/>
            <w:gridSpan w:val="2"/>
            <w:shd w:val="clear" w:color="auto" w:fill="auto"/>
            <w:noWrap w:val="0"/>
            <w:vAlign w:val="center"/>
          </w:tcPr>
          <w:p w14:paraId="230E2F85">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测试附件</w:t>
            </w:r>
          </w:p>
        </w:tc>
        <w:tc>
          <w:tcPr>
            <w:tcW w:w="6367" w:type="dxa"/>
            <w:shd w:val="clear" w:color="auto" w:fill="auto"/>
            <w:noWrap w:val="0"/>
            <w:vAlign w:val="center"/>
          </w:tcPr>
          <w:p w14:paraId="0B59914D">
            <w:pPr>
              <w:spacing w:line="420" w:lineRule="exact"/>
              <w:jc w:val="center"/>
              <w:outlineLvl w:val="4"/>
              <w:rPr>
                <w:rFonts w:hint="default"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包含耐电压和绝缘测试所需的测试线束及测试附件</w:t>
            </w:r>
          </w:p>
        </w:tc>
      </w:tr>
    </w:tbl>
    <w:p w14:paraId="3E648244">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p>
    <w:p w14:paraId="072303FA">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3设计评审</w:t>
      </w:r>
    </w:p>
    <w:p w14:paraId="61257B2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lang w:eastAsia="zh-CN"/>
        </w:rPr>
      </w:pPr>
      <w:r>
        <w:rPr>
          <w:rFonts w:hint="eastAsia" w:ascii="宋体" w:hAnsi="宋体" w:eastAsia="宋体" w:cs="宋体"/>
          <w:color w:val="auto"/>
          <w:sz w:val="24"/>
          <w:szCs w:val="24"/>
        </w:rPr>
        <w:t>3.1设备制造商在其合同签订且</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周后与用户开始在招标方做设计评审工作，评审内容包括：该测试系统的设计方案、安装调试方案、验收方案等等。方案评审时，</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需明确提出在设备安装、调试过程中相关各方负责事项，包括设备之间的接口</w:t>
      </w:r>
      <w:r>
        <w:rPr>
          <w:rFonts w:hint="eastAsia" w:ascii="宋体" w:hAnsi="宋体" w:eastAsia="宋体" w:cs="宋体"/>
          <w:color w:val="auto"/>
          <w:sz w:val="24"/>
          <w:szCs w:val="24"/>
          <w:lang w:eastAsia="zh-CN"/>
        </w:rPr>
        <w:t>。</w:t>
      </w:r>
    </w:p>
    <w:p w14:paraId="71C1600D">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3.2用户与设备制造商设计评审完成</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rPr>
        <w:t>周后，</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根据评审结论修改完善设计方案，提供最终工程设计所需的全部技术文件。包括：设备安装、调试、使用中对公用系统的详细要求；开洞及预埋件图；设备平面布置图等。提供详细的项目进程实施日程表和项目管理方案。所提供资料必须经用户最终确认。</w:t>
      </w:r>
    </w:p>
    <w:p w14:paraId="0057AA36">
      <w:pPr>
        <w:pageBreakBefore w:val="0"/>
        <w:widowControl/>
        <w:kinsoku/>
        <w:wordWrap/>
        <w:overflowPunct/>
        <w:topLinePunct w:val="0"/>
        <w:autoSpaceDE/>
        <w:autoSpaceDN/>
        <w:bidi w:val="0"/>
        <w:spacing w:line="42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4其他要求</w:t>
      </w:r>
    </w:p>
    <w:p w14:paraId="5705B0F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4.1该设备必须满足中国GB相关法规、标准中规定的技术要求。</w:t>
      </w:r>
    </w:p>
    <w:p w14:paraId="58C8A0B6">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4.2该套设备所有机械部件、仪器、仪表显示及数据处理结果的计量单位采用国际单位制（SI）。</w:t>
      </w:r>
    </w:p>
    <w:p w14:paraId="4174F3F7">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4.3该套设备所有高速旋转件、高温和低温部件及其他危险部件应有保护装置及提醒标识。</w:t>
      </w:r>
    </w:p>
    <w:p w14:paraId="586A8F72">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4.4该套设备所提供的各子系统电力设备（包括电网反馈系统）应满足我国相关电力法规要求。</w:t>
      </w:r>
    </w:p>
    <w:p w14:paraId="348FBC21">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4.5该系统应是一套全新的、未使用过的、功能完整、可正常运转的完整设备，包括没有提到的每个详细构件或特殊部件和特殊之处。</w:t>
      </w:r>
      <w:r>
        <w:rPr>
          <w:rFonts w:hint="eastAsia" w:ascii="宋体" w:hAnsi="宋体" w:eastAsia="宋体" w:cs="宋体"/>
          <w:color w:val="auto"/>
          <w:sz w:val="24"/>
          <w:szCs w:val="24"/>
          <w:highlight w:val="none"/>
        </w:rPr>
        <w:t>在机器开始生产初期，应提供完整的结构图及联接图以资证明，但</w:t>
      </w:r>
      <w:r>
        <w:rPr>
          <w:rFonts w:hint="eastAsia" w:ascii="宋体" w:hAnsi="宋体" w:eastAsia="宋体" w:cs="宋体"/>
          <w:color w:val="auto"/>
          <w:sz w:val="24"/>
          <w:szCs w:val="24"/>
          <w:highlight w:val="none"/>
          <w:lang w:val="en-US" w:eastAsia="zh-CN"/>
        </w:rPr>
        <w:t>投标方</w:t>
      </w:r>
      <w:r>
        <w:rPr>
          <w:rFonts w:hint="eastAsia" w:ascii="宋体" w:hAnsi="宋体" w:eastAsia="宋体" w:cs="宋体"/>
          <w:color w:val="auto"/>
          <w:sz w:val="24"/>
          <w:szCs w:val="24"/>
          <w:highlight w:val="none"/>
        </w:rPr>
        <w:t>仍应负有技术上的责任。</w:t>
      </w:r>
      <w:r>
        <w:rPr>
          <w:rFonts w:hint="eastAsia" w:ascii="宋体" w:hAnsi="宋体" w:eastAsia="宋体" w:cs="宋体"/>
          <w:color w:val="auto"/>
          <w:sz w:val="24"/>
          <w:szCs w:val="24"/>
        </w:rPr>
        <w:t>如能提供其它标准形式的产品，与现有的规格不同，但能符合用户的功能、精度和操作可靠性的要求，也可以提供此设备作为选择，并提出理由、原因并加以解释。</w:t>
      </w:r>
    </w:p>
    <w:p w14:paraId="50F5A13A">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4.6所有部件均应是合格的名牌产品，并附有清单。清单应依次说明其名称、数量、型号、原产地及生产厂家等内容。</w:t>
      </w:r>
    </w:p>
    <w:p w14:paraId="56D38005">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4.7对于属于整套设备运行所必须的部件，即使文件未列出或列出数量不足，</w:t>
      </w:r>
      <w:r>
        <w:rPr>
          <w:rFonts w:hint="eastAsia" w:ascii="宋体" w:hAnsi="宋体" w:eastAsia="宋体" w:cs="宋体"/>
          <w:color w:val="auto"/>
          <w:sz w:val="24"/>
          <w:szCs w:val="24"/>
          <w:lang w:eastAsia="zh-CN"/>
        </w:rPr>
        <w:t>投标方</w:t>
      </w:r>
      <w:r>
        <w:rPr>
          <w:rFonts w:hint="eastAsia" w:ascii="宋体" w:hAnsi="宋体" w:eastAsia="宋体" w:cs="宋体"/>
          <w:color w:val="auto"/>
          <w:sz w:val="24"/>
          <w:szCs w:val="24"/>
        </w:rPr>
        <w:t>仍需在执行合同时无偿补足。</w:t>
      </w:r>
    </w:p>
    <w:p w14:paraId="0C650479">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4.8凡投标方对招标文件因不清晰而猜测、判断、理会所发生的偏离或不符合，所造成一切责任或损失由投标方自行承担。</w:t>
      </w:r>
    </w:p>
    <w:p w14:paraId="2A817F98">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4.9投标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所提供的货物应符合技术规格和要求，如果投标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不能响应投标文件技术规格和要求的某项技术规格，投标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应在规格、技术参数偏离表中说明偏离情况；如果投标</w:t>
      </w:r>
      <w:r>
        <w:rPr>
          <w:rFonts w:hint="eastAsia" w:ascii="宋体" w:hAnsi="宋体" w:eastAsia="宋体" w:cs="宋体"/>
          <w:color w:val="auto"/>
          <w:sz w:val="24"/>
          <w:szCs w:val="24"/>
          <w:lang w:val="en-US" w:eastAsia="zh-CN"/>
        </w:rPr>
        <w:t>方</w:t>
      </w:r>
      <w:r>
        <w:rPr>
          <w:rFonts w:hint="eastAsia" w:ascii="宋体" w:hAnsi="宋体" w:eastAsia="宋体" w:cs="宋体"/>
          <w:color w:val="auto"/>
          <w:sz w:val="24"/>
          <w:szCs w:val="24"/>
        </w:rPr>
        <w:t>不提供规格、技术参数偏离表说明偏离情况，则将认为提供的货物完全符合本招标文件的要求。</w:t>
      </w:r>
    </w:p>
    <w:p w14:paraId="1C1E25AD">
      <w:pPr>
        <w:pageBreakBefore w:val="0"/>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sz w:val="24"/>
          <w:szCs w:val="24"/>
          <w:lang w:val="en-US" w:eastAsia="zh-CN"/>
        </w:rPr>
        <w:t>★</w:t>
      </w:r>
      <w:r>
        <w:rPr>
          <w:rFonts w:hint="eastAsia" w:ascii="宋体" w:hAnsi="宋体" w:eastAsia="宋体" w:cs="宋体"/>
          <w:color w:val="auto"/>
          <w:sz w:val="24"/>
          <w:szCs w:val="24"/>
          <w:highlight w:val="none"/>
        </w:rPr>
        <w:t>4.10投标方根据系统的需要，应至少提供设备两年质保期的备件，需要提供具体名称、型号和单价，并提供一套设备维修工具。</w:t>
      </w:r>
    </w:p>
    <w:p w14:paraId="1EF393B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sz w:val="24"/>
          <w:szCs w:val="24"/>
          <w:lang w:val="en-US" w:eastAsia="zh-CN"/>
        </w:rPr>
        <w:t>★</w:t>
      </w:r>
      <w:r>
        <w:rPr>
          <w:rFonts w:hint="eastAsia" w:ascii="宋体" w:hAnsi="宋体" w:eastAsia="宋体" w:cs="宋体"/>
          <w:color w:val="auto"/>
          <w:sz w:val="24"/>
          <w:szCs w:val="24"/>
        </w:rPr>
        <w:t>4.11本项目属交钥匙工程。招标方仅提供循环水、电、气接口、地基施工等协助工作，其他的动力电缆及信号电缆、各类管道阀门、各类接口等均由投标方提供并进行安装施工完成，如有争议，解释权归招标方负责。</w:t>
      </w:r>
      <w:r>
        <w:rPr>
          <w:rFonts w:hint="eastAsia" w:ascii="宋体" w:hAnsi="宋体" w:eastAsia="宋体" w:cs="宋体"/>
          <w:color w:val="auto"/>
          <w:sz w:val="24"/>
          <w:szCs w:val="24"/>
          <w:lang w:val="en-US" w:eastAsia="zh-CN"/>
        </w:rPr>
        <w:t>招标方</w:t>
      </w:r>
      <w:r>
        <w:rPr>
          <w:rFonts w:hint="eastAsia" w:ascii="宋体" w:hAnsi="宋体" w:eastAsia="宋体" w:cs="宋体"/>
          <w:color w:val="auto"/>
          <w:sz w:val="24"/>
          <w:szCs w:val="24"/>
        </w:rPr>
        <w:t>配电柜到</w:t>
      </w:r>
      <w:r>
        <w:rPr>
          <w:rFonts w:hint="eastAsia" w:ascii="宋体" w:hAnsi="宋体" w:eastAsia="宋体" w:cs="宋体"/>
          <w:color w:val="auto"/>
          <w:sz w:val="24"/>
          <w:szCs w:val="24"/>
          <w:lang w:val="en-US" w:eastAsia="zh-CN"/>
        </w:rPr>
        <w:t>投标方配电柜或用电设备供电电缆</w:t>
      </w:r>
      <w:r>
        <w:rPr>
          <w:rFonts w:hint="eastAsia" w:ascii="宋体" w:hAnsi="宋体" w:eastAsia="宋体" w:cs="宋体"/>
          <w:color w:val="auto"/>
          <w:sz w:val="24"/>
          <w:szCs w:val="24"/>
        </w:rPr>
        <w:t>或控制间的内部电缆属于投标方供货范围;</w:t>
      </w:r>
      <w:r>
        <w:rPr>
          <w:rFonts w:hint="eastAsia" w:ascii="宋体" w:hAnsi="宋体" w:eastAsia="宋体" w:cs="宋体"/>
          <w:color w:val="auto"/>
          <w:sz w:val="24"/>
          <w:szCs w:val="24"/>
          <w:highlight w:val="none"/>
        </w:rPr>
        <w:t>外部供电电缆和压缩空气由招标方负责。</w:t>
      </w:r>
    </w:p>
    <w:p w14:paraId="2D40767E">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4.12本项目涉及的所有设备通讯协议需在技术方案评审时一并免费提交给招标方，并协助招标方开展设备集成工作。</w:t>
      </w:r>
    </w:p>
    <w:p w14:paraId="322E1815">
      <w:pPr>
        <w:pageBreakBefore w:val="0"/>
        <w:widowControl/>
        <w:kinsoku/>
        <w:wordWrap/>
        <w:overflowPunct/>
        <w:topLinePunct w:val="0"/>
        <w:autoSpaceDE/>
        <w:autoSpaceDN/>
        <w:bidi w:val="0"/>
        <w:spacing w:line="420" w:lineRule="exact"/>
        <w:textAlignment w:val="auto"/>
        <w:rPr>
          <w:rFonts w:hint="eastAsia" w:ascii="宋体" w:hAnsi="宋体" w:eastAsia="宋体" w:cs="宋体"/>
          <w:color w:val="auto"/>
          <w:sz w:val="24"/>
          <w:szCs w:val="24"/>
        </w:rPr>
      </w:pPr>
      <w:r>
        <w:rPr>
          <w:rFonts w:hint="eastAsia" w:ascii="宋体" w:hAnsi="宋体" w:eastAsia="宋体" w:cs="宋体"/>
          <w:color w:val="auto"/>
          <w:sz w:val="24"/>
          <w:szCs w:val="24"/>
        </w:rPr>
        <w:t>4.13各单元原理图、电路图、程序框图、技术规格和指标、接口协议、各部件型号和参数清单在协议签订2个月内提供。</w:t>
      </w:r>
    </w:p>
    <w:p w14:paraId="771476F9">
      <w:pPr>
        <w:pStyle w:val="82"/>
        <w:pageBreakBefore w:val="0"/>
        <w:tabs>
          <w:tab w:val="left" w:pos="1124"/>
        </w:tabs>
        <w:kinsoku/>
        <w:wordWrap/>
        <w:overflowPunct/>
        <w:topLinePunct w:val="0"/>
        <w:autoSpaceDE/>
        <w:autoSpaceDN/>
        <w:bidi w:val="0"/>
        <w:spacing w:line="420" w:lineRule="exact"/>
        <w:textAlignment w:val="auto"/>
        <w:rPr>
          <w:rFonts w:hint="eastAsia" w:ascii="宋体" w:hAnsi="宋体" w:eastAsia="宋体" w:cs="宋体"/>
        </w:rPr>
      </w:pPr>
    </w:p>
    <w:p w14:paraId="6BB27848">
      <w:pPr>
        <w:pStyle w:val="82"/>
        <w:spacing w:line="360" w:lineRule="auto"/>
        <w:outlineLvl w:val="2"/>
        <w:rPr>
          <w:rFonts w:hint="eastAsia" w:eastAsia="宋体" w:cs="宋体"/>
          <w:b/>
          <w:bCs w:val="0"/>
          <w:sz w:val="24"/>
          <w:szCs w:val="24"/>
        </w:rPr>
      </w:pPr>
      <w:r>
        <w:rPr>
          <w:rFonts w:hint="eastAsia" w:eastAsia="宋体" w:cs="宋体"/>
          <w:b/>
          <w:bCs w:val="0"/>
          <w:sz w:val="24"/>
          <w:szCs w:val="24"/>
          <w:lang w:val="en-US" w:eastAsia="zh-CN"/>
        </w:rPr>
        <w:t>四</w:t>
      </w:r>
      <w:r>
        <w:rPr>
          <w:rFonts w:hint="eastAsia" w:eastAsia="宋体" w:cs="宋体"/>
          <w:b/>
          <w:bCs w:val="0"/>
          <w:sz w:val="24"/>
          <w:szCs w:val="24"/>
        </w:rPr>
        <w:t>、执行标准</w:t>
      </w:r>
    </w:p>
    <w:p w14:paraId="520EEE3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1.招标方此处所列标准仅为涉及的主要标准，而且不保证其为最新版执行标准；投标方应当在投标文件中认真予以填写、补充和修改完善。</w:t>
      </w:r>
    </w:p>
    <w:p w14:paraId="293785E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2.投标方需要执行的标准，应当采用所供货物通过招标方组织的最终验收之日已经开始执行的最新标准。</w:t>
      </w:r>
    </w:p>
    <w:p w14:paraId="5EB4B58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3.采购货物的产品质量、技术标准如在招投标文件中无相应说明，则按中华人民共和国有关部门颁发的最新的国标或专业（部）标准执行及相应的国际标准。</w:t>
      </w:r>
    </w:p>
    <w:p w14:paraId="34968BA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4.采购货物没有国家或专业（部）标准的，按企业标准执行时，投标方应在合同签署之前，将所涉及的企业标准提供给招标方确认。</w:t>
      </w:r>
    </w:p>
    <w:p w14:paraId="66297F3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5.采购货物如果采用国际标准，其执行标准由投标方提供、招标方确认。</w:t>
      </w:r>
    </w:p>
    <w:p w14:paraId="5BD216F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6.采购货物所涉及的标准不统一时，原则上按照最严格标准执行。</w:t>
      </w:r>
    </w:p>
    <w:p w14:paraId="36AADE5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7.涉及的主要标准表</w:t>
      </w:r>
    </w:p>
    <w:tbl>
      <w:tblPr>
        <w:tblStyle w:val="3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2"/>
        <w:gridCol w:w="5644"/>
        <w:gridCol w:w="2663"/>
      </w:tblGrid>
      <w:tr w14:paraId="32AEB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2E57C082">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序号</w:t>
            </w:r>
          </w:p>
        </w:tc>
        <w:tc>
          <w:tcPr>
            <w:tcW w:w="5644" w:type="dxa"/>
            <w:noWrap w:val="0"/>
            <w:vAlign w:val="center"/>
          </w:tcPr>
          <w:p w14:paraId="51CFACA3">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标准名称</w:t>
            </w:r>
          </w:p>
        </w:tc>
        <w:tc>
          <w:tcPr>
            <w:tcW w:w="2663" w:type="dxa"/>
            <w:noWrap w:val="0"/>
            <w:vAlign w:val="center"/>
          </w:tcPr>
          <w:p w14:paraId="54D9A897">
            <w:pPr>
              <w:pageBreakBefore w:val="0"/>
              <w:kinsoku/>
              <w:wordWrap/>
              <w:overflowPunct/>
              <w:topLinePunct w:val="0"/>
              <w:autoSpaceDE/>
              <w:autoSpaceDN/>
              <w:bidi w:val="0"/>
              <w:spacing w:line="420" w:lineRule="exact"/>
              <w:jc w:val="center"/>
              <w:textAlignment w:val="auto"/>
              <w:rPr>
                <w:rFonts w:hint="eastAsia" w:ascii="宋体" w:hAnsi="宋体" w:eastAsia="宋体" w:cs="宋体"/>
                <w:b/>
                <w:sz w:val="24"/>
                <w:szCs w:val="24"/>
              </w:rPr>
            </w:pPr>
            <w:r>
              <w:rPr>
                <w:rFonts w:hint="eastAsia" w:ascii="宋体" w:hAnsi="宋体" w:eastAsia="宋体" w:cs="宋体"/>
                <w:b/>
                <w:sz w:val="24"/>
                <w:szCs w:val="24"/>
              </w:rPr>
              <w:t>标准编号</w:t>
            </w:r>
          </w:p>
        </w:tc>
      </w:tr>
      <w:tr w14:paraId="5E30C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972" w:type="dxa"/>
            <w:noWrap w:val="0"/>
            <w:vAlign w:val="center"/>
          </w:tcPr>
          <w:p w14:paraId="7898EAF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1</w:t>
            </w:r>
          </w:p>
        </w:tc>
        <w:tc>
          <w:tcPr>
            <w:tcW w:w="5644" w:type="dxa"/>
            <w:noWrap w:val="0"/>
            <w:vAlign w:val="top"/>
          </w:tcPr>
          <w:p w14:paraId="2BE16366">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w:t>
            </w:r>
          </w:p>
        </w:tc>
        <w:tc>
          <w:tcPr>
            <w:tcW w:w="2663" w:type="dxa"/>
            <w:noWrap w:val="0"/>
            <w:vAlign w:val="top"/>
          </w:tcPr>
          <w:p w14:paraId="3E30CF1D">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 xml:space="preserve">GB/T 18488-2024 </w:t>
            </w:r>
          </w:p>
        </w:tc>
      </w:tr>
      <w:tr w14:paraId="78A3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339DF6BC">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lang w:eastAsia="zh-CN"/>
              </w:rPr>
            </w:pPr>
            <w:r>
              <w:rPr>
                <w:rFonts w:hint="eastAsia" w:ascii="宋体" w:hAnsi="宋体" w:eastAsia="宋体" w:cs="宋体"/>
                <w:snapToGrid w:val="0"/>
                <w:kern w:val="0"/>
                <w:sz w:val="24"/>
                <w:szCs w:val="24"/>
                <w:highlight w:val="none"/>
                <w:lang w:val="en-US" w:eastAsia="zh-CN"/>
              </w:rPr>
              <w:t>2</w:t>
            </w:r>
          </w:p>
        </w:tc>
        <w:tc>
          <w:tcPr>
            <w:tcW w:w="5644" w:type="dxa"/>
            <w:noWrap w:val="0"/>
            <w:vAlign w:val="top"/>
          </w:tcPr>
          <w:p w14:paraId="4915C869">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电动汽车用驱动电机系统 第1部分：技术条件</w:t>
            </w:r>
          </w:p>
        </w:tc>
        <w:tc>
          <w:tcPr>
            <w:tcW w:w="2663" w:type="dxa"/>
            <w:noWrap w:val="0"/>
            <w:vAlign w:val="top"/>
          </w:tcPr>
          <w:p w14:paraId="51F9DA83">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GB/T 18488.1-2015</w:t>
            </w:r>
          </w:p>
        </w:tc>
      </w:tr>
      <w:tr w14:paraId="1F4FC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782FCB78">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lang w:eastAsia="zh-CN"/>
              </w:rPr>
            </w:pPr>
            <w:r>
              <w:rPr>
                <w:rFonts w:hint="eastAsia" w:ascii="宋体" w:hAnsi="宋体" w:eastAsia="宋体" w:cs="宋体"/>
                <w:snapToGrid w:val="0"/>
                <w:kern w:val="0"/>
                <w:sz w:val="24"/>
                <w:szCs w:val="24"/>
                <w:highlight w:val="none"/>
                <w:lang w:val="en-US" w:eastAsia="zh-CN"/>
              </w:rPr>
              <w:t>3</w:t>
            </w:r>
          </w:p>
        </w:tc>
        <w:tc>
          <w:tcPr>
            <w:tcW w:w="5644" w:type="dxa"/>
            <w:noWrap w:val="0"/>
            <w:vAlign w:val="top"/>
          </w:tcPr>
          <w:p w14:paraId="16EFB354">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电动汽车用驱动电机系统 第2部分：试验方法</w:t>
            </w:r>
          </w:p>
        </w:tc>
        <w:tc>
          <w:tcPr>
            <w:tcW w:w="2663" w:type="dxa"/>
            <w:noWrap w:val="0"/>
            <w:vAlign w:val="top"/>
          </w:tcPr>
          <w:p w14:paraId="027B94B2">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highlight w:val="none"/>
              </w:rPr>
            </w:pPr>
            <w:r>
              <w:rPr>
                <w:rFonts w:hint="eastAsia" w:ascii="宋体" w:hAnsi="宋体" w:eastAsia="宋体" w:cs="宋体"/>
                <w:snapToGrid w:val="0"/>
                <w:kern w:val="0"/>
                <w:sz w:val="24"/>
                <w:szCs w:val="24"/>
                <w:highlight w:val="none"/>
              </w:rPr>
              <w:t>GB/T 18488.2-2015</w:t>
            </w:r>
          </w:p>
        </w:tc>
      </w:tr>
      <w:tr w14:paraId="293A5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2" w:type="dxa"/>
            <w:noWrap w:val="0"/>
            <w:vAlign w:val="center"/>
          </w:tcPr>
          <w:p w14:paraId="3EC4664E">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lang w:eastAsia="zh-CN"/>
              </w:rPr>
            </w:pPr>
            <w:r>
              <w:rPr>
                <w:rFonts w:hint="eastAsia" w:ascii="宋体" w:hAnsi="宋体" w:eastAsia="宋体" w:cs="宋体"/>
                <w:snapToGrid w:val="0"/>
                <w:kern w:val="0"/>
                <w:sz w:val="24"/>
                <w:szCs w:val="24"/>
                <w:lang w:val="en-US" w:eastAsia="zh-CN"/>
              </w:rPr>
              <w:t>4</w:t>
            </w:r>
          </w:p>
        </w:tc>
        <w:tc>
          <w:tcPr>
            <w:tcW w:w="5644" w:type="dxa"/>
            <w:noWrap w:val="0"/>
            <w:vAlign w:val="top"/>
          </w:tcPr>
          <w:p w14:paraId="5FBE2FE0">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电动汽车用驱动电机系统可靠性试验方法</w:t>
            </w:r>
          </w:p>
        </w:tc>
        <w:tc>
          <w:tcPr>
            <w:tcW w:w="2663" w:type="dxa"/>
            <w:noWrap w:val="0"/>
            <w:vAlign w:val="top"/>
          </w:tcPr>
          <w:p w14:paraId="369FE2EE">
            <w:pPr>
              <w:pageBreakBefore w:val="0"/>
              <w:kinsoku/>
              <w:wordWrap/>
              <w:overflowPunct/>
              <w:topLinePunct w:val="0"/>
              <w:autoSpaceDE/>
              <w:autoSpaceDN/>
              <w:bidi w:val="0"/>
              <w:spacing w:line="420" w:lineRule="exact"/>
              <w:jc w:val="center"/>
              <w:textAlignment w:val="auto"/>
              <w:rPr>
                <w:rFonts w:hint="eastAsia" w:ascii="宋体" w:hAnsi="宋体" w:eastAsia="宋体" w:cs="宋体"/>
                <w:snapToGrid w:val="0"/>
                <w:kern w:val="0"/>
                <w:sz w:val="24"/>
                <w:szCs w:val="24"/>
              </w:rPr>
            </w:pPr>
            <w:r>
              <w:rPr>
                <w:rFonts w:hint="eastAsia" w:ascii="宋体" w:hAnsi="宋体" w:eastAsia="宋体" w:cs="宋体"/>
                <w:snapToGrid w:val="0"/>
                <w:kern w:val="0"/>
                <w:sz w:val="24"/>
                <w:szCs w:val="24"/>
              </w:rPr>
              <w:t>GB/T 29307-2012</w:t>
            </w:r>
          </w:p>
        </w:tc>
      </w:tr>
    </w:tbl>
    <w:p w14:paraId="6F8E704D">
      <w:pPr>
        <w:pageBreakBefore w:val="0"/>
        <w:widowControl/>
        <w:kinsoku/>
        <w:wordWrap/>
        <w:overflowPunct/>
        <w:topLinePunct w:val="0"/>
        <w:autoSpaceDE/>
        <w:autoSpaceDN/>
        <w:bidi w:val="0"/>
        <w:spacing w:line="420" w:lineRule="exact"/>
        <w:jc w:val="left"/>
        <w:textAlignment w:val="auto"/>
        <w:rPr>
          <w:rFonts w:hint="eastAsia" w:ascii="宋体" w:hAnsi="宋体" w:eastAsia="宋体" w:cs="宋体"/>
          <w:color w:val="FF0000"/>
          <w:szCs w:val="21"/>
        </w:rPr>
      </w:pPr>
      <w:r>
        <w:rPr>
          <w:rFonts w:hint="eastAsia" w:ascii="宋体" w:hAnsi="宋体" w:eastAsia="宋体" w:cs="宋体"/>
          <w:szCs w:val="21"/>
        </w:rPr>
        <w:br w:type="page"/>
      </w:r>
    </w:p>
    <w:p w14:paraId="713C0436">
      <w:pPr>
        <w:pStyle w:val="60"/>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r>
        <w:rPr>
          <w:rFonts w:hint="eastAsia" w:ascii="宋体" w:hAnsi="宋体" w:eastAsia="宋体" w:cs="宋体"/>
          <w:b/>
          <w:bCs w:val="0"/>
          <w:color w:val="auto"/>
        </w:rPr>
        <w:t>第三章  供货范围及供货方式</w:t>
      </w:r>
    </w:p>
    <w:p w14:paraId="627DD196">
      <w:pPr>
        <w:pStyle w:val="168"/>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28" w:name="_Toc21151"/>
      <w:bookmarkStart w:id="29" w:name="_Toc408"/>
      <w:bookmarkStart w:id="30" w:name="_Toc465187643"/>
      <w:r>
        <w:rPr>
          <w:rFonts w:hint="eastAsia" w:ascii="宋体" w:hAnsi="宋体" w:eastAsia="宋体" w:cs="宋体"/>
          <w:bCs w:val="0"/>
        </w:rPr>
        <w:t>第一节  供货范围</w:t>
      </w:r>
      <w:bookmarkEnd w:id="28"/>
      <w:bookmarkEnd w:id="29"/>
      <w:bookmarkEnd w:id="30"/>
    </w:p>
    <w:p w14:paraId="7112E981">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w:t>一、供货范围</w:t>
      </w:r>
    </w:p>
    <w:tbl>
      <w:tblPr>
        <w:tblStyle w:val="34"/>
        <w:tblW w:w="10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4"/>
        <w:gridCol w:w="3767"/>
        <w:gridCol w:w="2192"/>
        <w:gridCol w:w="1032"/>
        <w:gridCol w:w="1105"/>
        <w:gridCol w:w="1105"/>
      </w:tblGrid>
      <w:tr w14:paraId="11434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restart"/>
            <w:noWrap w:val="0"/>
            <w:vAlign w:val="center"/>
          </w:tcPr>
          <w:p w14:paraId="4B36679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序号</w:t>
            </w:r>
          </w:p>
        </w:tc>
        <w:tc>
          <w:tcPr>
            <w:tcW w:w="3767" w:type="dxa"/>
            <w:vMerge w:val="restart"/>
            <w:noWrap w:val="0"/>
            <w:vAlign w:val="center"/>
          </w:tcPr>
          <w:p w14:paraId="62B55EC4">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名称</w:t>
            </w:r>
          </w:p>
        </w:tc>
        <w:tc>
          <w:tcPr>
            <w:tcW w:w="2192" w:type="dxa"/>
            <w:vMerge w:val="restart"/>
            <w:noWrap w:val="0"/>
            <w:vAlign w:val="center"/>
          </w:tcPr>
          <w:p w14:paraId="22DD440E">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型号规格</w:t>
            </w:r>
          </w:p>
        </w:tc>
        <w:tc>
          <w:tcPr>
            <w:tcW w:w="1032" w:type="dxa"/>
            <w:vMerge w:val="restart"/>
            <w:noWrap w:val="0"/>
            <w:vAlign w:val="center"/>
          </w:tcPr>
          <w:p w14:paraId="072341A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单位</w:t>
            </w:r>
          </w:p>
        </w:tc>
        <w:tc>
          <w:tcPr>
            <w:tcW w:w="2210" w:type="dxa"/>
            <w:gridSpan w:val="2"/>
            <w:noWrap w:val="0"/>
            <w:vAlign w:val="center"/>
          </w:tcPr>
          <w:p w14:paraId="4BA5F39F">
            <w:pPr>
              <w:spacing w:line="360" w:lineRule="exact"/>
              <w:jc w:val="center"/>
              <w:rPr>
                <w:rFonts w:hint="eastAsia" w:ascii="宋体" w:hAnsi="宋体" w:eastAsia="宋体" w:cs="宋体"/>
                <w:sz w:val="24"/>
                <w:szCs w:val="24"/>
              </w:rPr>
            </w:pPr>
            <w:r>
              <w:rPr>
                <w:rFonts w:hint="eastAsia" w:ascii="宋体" w:hAnsi="宋体" w:eastAsia="宋体" w:cs="宋体"/>
                <w:sz w:val="24"/>
                <w:szCs w:val="24"/>
              </w:rPr>
              <w:t>数量</w:t>
            </w:r>
          </w:p>
        </w:tc>
      </w:tr>
      <w:tr w14:paraId="755BD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vMerge w:val="continue"/>
            <w:noWrap w:val="0"/>
            <w:vAlign w:val="center"/>
          </w:tcPr>
          <w:p w14:paraId="7D8C3A46">
            <w:pPr>
              <w:spacing w:line="360" w:lineRule="exact"/>
              <w:jc w:val="center"/>
              <w:rPr>
                <w:rFonts w:hint="eastAsia" w:ascii="宋体" w:hAnsi="宋体" w:eastAsia="宋体" w:cs="宋体"/>
                <w:sz w:val="24"/>
                <w:szCs w:val="24"/>
              </w:rPr>
            </w:pPr>
          </w:p>
        </w:tc>
        <w:tc>
          <w:tcPr>
            <w:tcW w:w="3767" w:type="dxa"/>
            <w:vMerge w:val="continue"/>
            <w:noWrap w:val="0"/>
            <w:vAlign w:val="center"/>
          </w:tcPr>
          <w:p w14:paraId="5D86564B">
            <w:pPr>
              <w:spacing w:line="360" w:lineRule="exact"/>
              <w:jc w:val="center"/>
              <w:rPr>
                <w:rFonts w:hint="eastAsia" w:ascii="宋体" w:hAnsi="宋体" w:eastAsia="宋体" w:cs="宋体"/>
                <w:sz w:val="24"/>
                <w:szCs w:val="24"/>
              </w:rPr>
            </w:pPr>
          </w:p>
        </w:tc>
        <w:tc>
          <w:tcPr>
            <w:tcW w:w="2192" w:type="dxa"/>
            <w:vMerge w:val="continue"/>
            <w:noWrap w:val="0"/>
            <w:vAlign w:val="center"/>
          </w:tcPr>
          <w:p w14:paraId="748B535D">
            <w:pPr>
              <w:spacing w:line="360" w:lineRule="exact"/>
              <w:jc w:val="center"/>
              <w:rPr>
                <w:rFonts w:hint="eastAsia" w:ascii="宋体" w:hAnsi="宋体" w:eastAsia="宋体" w:cs="宋体"/>
                <w:sz w:val="24"/>
                <w:szCs w:val="24"/>
              </w:rPr>
            </w:pPr>
          </w:p>
        </w:tc>
        <w:tc>
          <w:tcPr>
            <w:tcW w:w="1032" w:type="dxa"/>
            <w:vMerge w:val="continue"/>
            <w:noWrap w:val="0"/>
            <w:vAlign w:val="center"/>
          </w:tcPr>
          <w:p w14:paraId="016055C7">
            <w:pPr>
              <w:spacing w:line="360" w:lineRule="exact"/>
              <w:jc w:val="center"/>
              <w:rPr>
                <w:rFonts w:hint="eastAsia" w:ascii="宋体" w:hAnsi="宋体" w:eastAsia="宋体" w:cs="宋体"/>
                <w:sz w:val="24"/>
                <w:szCs w:val="24"/>
              </w:rPr>
            </w:pPr>
          </w:p>
        </w:tc>
        <w:tc>
          <w:tcPr>
            <w:tcW w:w="1105" w:type="dxa"/>
            <w:noWrap w:val="0"/>
            <w:vAlign w:val="center"/>
          </w:tcPr>
          <w:p w14:paraId="0D27AD0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第一套</w:t>
            </w:r>
          </w:p>
        </w:tc>
        <w:tc>
          <w:tcPr>
            <w:tcW w:w="1105" w:type="dxa"/>
            <w:noWrap w:val="0"/>
            <w:vAlign w:val="center"/>
          </w:tcPr>
          <w:p w14:paraId="5B7E7152">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第二套</w:t>
            </w:r>
          </w:p>
        </w:tc>
      </w:tr>
      <w:tr w14:paraId="4C3FB0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06363CD2">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3767" w:type="dxa"/>
            <w:noWrap w:val="0"/>
            <w:vAlign w:val="top"/>
          </w:tcPr>
          <w:p w14:paraId="209FAB06">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可编程交流源载系统</w:t>
            </w:r>
          </w:p>
          <w:p w14:paraId="3B2D7A6A">
            <w:pPr>
              <w:pStyle w:val="2"/>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（15kW/0-450VLN）</w:t>
            </w:r>
          </w:p>
          <w:p w14:paraId="3F106121">
            <w:pPr>
              <w:pStyle w:val="2"/>
              <w:ind w:left="0" w:leftChars="0" w:firstLine="0" w:firstLineChars="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（用于电动气泵模拟负载、电动油泵模拟负载）</w:t>
            </w:r>
          </w:p>
        </w:tc>
        <w:tc>
          <w:tcPr>
            <w:tcW w:w="2192" w:type="dxa"/>
            <w:noWrap w:val="0"/>
            <w:vAlign w:val="center"/>
          </w:tcPr>
          <w:p w14:paraId="06FA25A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138B565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05" w:type="dxa"/>
            <w:noWrap w:val="0"/>
            <w:vAlign w:val="center"/>
          </w:tcPr>
          <w:p w14:paraId="0689FC24">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05" w:type="dxa"/>
            <w:noWrap w:val="0"/>
            <w:vAlign w:val="center"/>
          </w:tcPr>
          <w:p w14:paraId="176211E8">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r>
      <w:tr w14:paraId="5DB3B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5F6BE69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3767" w:type="dxa"/>
            <w:noWrap w:val="0"/>
            <w:vAlign w:val="top"/>
          </w:tcPr>
          <w:p w14:paraId="0BF89D12">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4C24043B">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（10kW/0-100V）</w:t>
            </w:r>
          </w:p>
          <w:p w14:paraId="7B639DBD">
            <w:pPr>
              <w:pStyle w:val="2"/>
              <w:ind w:firstLine="240" w:firstLineChars="100"/>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（用于24V DC/DC模拟负载）</w:t>
            </w:r>
          </w:p>
        </w:tc>
        <w:tc>
          <w:tcPr>
            <w:tcW w:w="2192" w:type="dxa"/>
            <w:noWrap w:val="0"/>
            <w:vAlign w:val="center"/>
          </w:tcPr>
          <w:p w14:paraId="2900CA0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436AC94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05" w:type="dxa"/>
            <w:noWrap w:val="0"/>
            <w:vAlign w:val="center"/>
          </w:tcPr>
          <w:p w14:paraId="2E568E70">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05" w:type="dxa"/>
            <w:noWrap w:val="0"/>
            <w:vAlign w:val="center"/>
          </w:tcPr>
          <w:p w14:paraId="57D5DB8B">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r w14:paraId="64833A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2486BAD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3767" w:type="dxa"/>
            <w:noWrap w:val="0"/>
            <w:vAlign w:val="top"/>
          </w:tcPr>
          <w:p w14:paraId="03A296B6">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5F996719">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（15kW/0-1000V）</w:t>
            </w:r>
          </w:p>
          <w:p w14:paraId="1E10E60F">
            <w:pPr>
              <w:pStyle w:val="2"/>
              <w:ind w:firstLine="240" w:firstLineChars="1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（用于直流电动空调模拟负载）</w:t>
            </w:r>
          </w:p>
        </w:tc>
        <w:tc>
          <w:tcPr>
            <w:tcW w:w="2192" w:type="dxa"/>
            <w:noWrap w:val="0"/>
            <w:vAlign w:val="center"/>
          </w:tcPr>
          <w:p w14:paraId="3EDB513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4FE59CD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05" w:type="dxa"/>
            <w:noWrap w:val="0"/>
            <w:vAlign w:val="center"/>
          </w:tcPr>
          <w:p w14:paraId="11287A9B">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c>
          <w:tcPr>
            <w:tcW w:w="1105" w:type="dxa"/>
            <w:noWrap w:val="0"/>
            <w:vAlign w:val="center"/>
          </w:tcPr>
          <w:p w14:paraId="23A1F862">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w:t>
            </w:r>
          </w:p>
        </w:tc>
      </w:tr>
      <w:tr w14:paraId="201D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1014777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767" w:type="dxa"/>
            <w:noWrap w:val="0"/>
            <w:vAlign w:val="top"/>
          </w:tcPr>
          <w:p w14:paraId="5726FDC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4FDA73AD">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（35kW/0-1000V）</w:t>
            </w:r>
          </w:p>
          <w:p w14:paraId="4250A740">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（用于电池包PTC模拟负载）</w:t>
            </w:r>
          </w:p>
        </w:tc>
        <w:tc>
          <w:tcPr>
            <w:tcW w:w="2192" w:type="dxa"/>
            <w:noWrap w:val="0"/>
            <w:vAlign w:val="center"/>
          </w:tcPr>
          <w:p w14:paraId="009B318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363DD8F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05" w:type="dxa"/>
            <w:noWrap w:val="0"/>
            <w:vAlign w:val="center"/>
          </w:tcPr>
          <w:p w14:paraId="5B2809D4">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05" w:type="dxa"/>
            <w:noWrap w:val="0"/>
            <w:vAlign w:val="center"/>
          </w:tcPr>
          <w:p w14:paraId="68633B8A">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r w14:paraId="356CF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363F1313">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3767" w:type="dxa"/>
            <w:noWrap w:val="0"/>
            <w:vAlign w:val="top"/>
          </w:tcPr>
          <w:p w14:paraId="2C10166F">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可编程双向直流电源</w:t>
            </w:r>
          </w:p>
          <w:p w14:paraId="1BACF9C9">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（15kW/0-1000V）</w:t>
            </w:r>
          </w:p>
          <w:p w14:paraId="21D24689">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（用于驾驶室PTC模拟负载）</w:t>
            </w:r>
          </w:p>
        </w:tc>
        <w:tc>
          <w:tcPr>
            <w:tcW w:w="2192" w:type="dxa"/>
            <w:noWrap w:val="0"/>
            <w:vAlign w:val="center"/>
          </w:tcPr>
          <w:p w14:paraId="3E499DA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39DEB37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台</w:t>
            </w:r>
          </w:p>
        </w:tc>
        <w:tc>
          <w:tcPr>
            <w:tcW w:w="1105" w:type="dxa"/>
            <w:noWrap w:val="0"/>
            <w:vAlign w:val="center"/>
          </w:tcPr>
          <w:p w14:paraId="62DF2D68">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05" w:type="dxa"/>
            <w:noWrap w:val="0"/>
            <w:vAlign w:val="center"/>
          </w:tcPr>
          <w:p w14:paraId="69ADD4C8">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r w14:paraId="363D3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67EE6B4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6</w:t>
            </w:r>
          </w:p>
        </w:tc>
        <w:tc>
          <w:tcPr>
            <w:tcW w:w="3767" w:type="dxa"/>
            <w:noWrap w:val="0"/>
            <w:vAlign w:val="top"/>
          </w:tcPr>
          <w:p w14:paraId="09F4C92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测试系统</w:t>
            </w:r>
          </w:p>
        </w:tc>
        <w:tc>
          <w:tcPr>
            <w:tcW w:w="2192" w:type="dxa"/>
            <w:noWrap w:val="0"/>
            <w:vAlign w:val="center"/>
          </w:tcPr>
          <w:p w14:paraId="7E23B01C">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2151FF5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1105" w:type="dxa"/>
            <w:noWrap w:val="0"/>
            <w:vAlign w:val="center"/>
          </w:tcPr>
          <w:p w14:paraId="0D18D3B6">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c>
          <w:tcPr>
            <w:tcW w:w="1105" w:type="dxa"/>
            <w:noWrap w:val="0"/>
            <w:vAlign w:val="center"/>
          </w:tcPr>
          <w:p w14:paraId="56F59D79">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r w14:paraId="60396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noWrap w:val="0"/>
            <w:vAlign w:val="center"/>
          </w:tcPr>
          <w:p w14:paraId="6BFC7FEF">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7</w:t>
            </w:r>
          </w:p>
        </w:tc>
        <w:tc>
          <w:tcPr>
            <w:tcW w:w="3767" w:type="dxa"/>
            <w:noWrap w:val="0"/>
            <w:vAlign w:val="center"/>
          </w:tcPr>
          <w:p w14:paraId="432996B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工频耐电压仪</w:t>
            </w:r>
          </w:p>
        </w:tc>
        <w:tc>
          <w:tcPr>
            <w:tcW w:w="2192" w:type="dxa"/>
            <w:noWrap w:val="0"/>
            <w:vAlign w:val="center"/>
          </w:tcPr>
          <w:p w14:paraId="617E577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见第二章技术要求</w:t>
            </w:r>
          </w:p>
        </w:tc>
        <w:tc>
          <w:tcPr>
            <w:tcW w:w="1032" w:type="dxa"/>
            <w:noWrap w:val="0"/>
            <w:vAlign w:val="center"/>
          </w:tcPr>
          <w:p w14:paraId="357B4B6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7FEEEBD1">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6DA4F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6B33DAD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w:t>
            </w:r>
          </w:p>
        </w:tc>
        <w:tc>
          <w:tcPr>
            <w:tcW w:w="3767" w:type="dxa"/>
            <w:shd w:val="clear" w:color="auto" w:fill="auto"/>
            <w:noWrap w:val="0"/>
            <w:vAlign w:val="center"/>
          </w:tcPr>
          <w:p w14:paraId="1FA7EA48">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预验收</w:t>
            </w:r>
          </w:p>
        </w:tc>
        <w:tc>
          <w:tcPr>
            <w:tcW w:w="2192" w:type="dxa"/>
            <w:noWrap w:val="0"/>
            <w:vAlign w:val="center"/>
          </w:tcPr>
          <w:p w14:paraId="5346C98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31C185EB">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42611659">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1210D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5833444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9</w:t>
            </w:r>
          </w:p>
        </w:tc>
        <w:tc>
          <w:tcPr>
            <w:tcW w:w="3767" w:type="dxa"/>
            <w:shd w:val="clear" w:color="auto" w:fill="auto"/>
            <w:noWrap w:val="0"/>
            <w:vAlign w:val="center"/>
          </w:tcPr>
          <w:p w14:paraId="25D5A9F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安装\调试\培训服务</w:t>
            </w:r>
          </w:p>
        </w:tc>
        <w:tc>
          <w:tcPr>
            <w:tcW w:w="2192" w:type="dxa"/>
            <w:noWrap w:val="0"/>
            <w:vAlign w:val="center"/>
          </w:tcPr>
          <w:p w14:paraId="0096ABF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577667C4">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527DB097">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r>
      <w:tr w14:paraId="1BC51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578A6FA7">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3767" w:type="dxa"/>
            <w:shd w:val="clear" w:color="auto" w:fill="auto"/>
            <w:noWrap w:val="0"/>
            <w:vAlign w:val="center"/>
          </w:tcPr>
          <w:p w14:paraId="7B62F386">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终验收</w:t>
            </w:r>
          </w:p>
        </w:tc>
        <w:tc>
          <w:tcPr>
            <w:tcW w:w="2192" w:type="dxa"/>
            <w:noWrap w:val="0"/>
            <w:vAlign w:val="center"/>
          </w:tcPr>
          <w:p w14:paraId="6791E22D">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40152D11">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34B397D3">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2E182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2F5BADBE">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11</w:t>
            </w:r>
          </w:p>
        </w:tc>
        <w:tc>
          <w:tcPr>
            <w:tcW w:w="3767" w:type="dxa"/>
            <w:shd w:val="clear" w:color="auto" w:fill="auto"/>
            <w:noWrap w:val="0"/>
            <w:vAlign w:val="center"/>
          </w:tcPr>
          <w:p w14:paraId="7A4A02C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技术文件（维修手册、操作手册、光盘等）</w:t>
            </w:r>
          </w:p>
        </w:tc>
        <w:tc>
          <w:tcPr>
            <w:tcW w:w="2192" w:type="dxa"/>
            <w:noWrap w:val="0"/>
            <w:vAlign w:val="center"/>
          </w:tcPr>
          <w:p w14:paraId="38F3BAC0">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2A5E5A0C">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5E242FE5">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55011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75B03E99">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12</w:t>
            </w:r>
          </w:p>
        </w:tc>
        <w:tc>
          <w:tcPr>
            <w:tcW w:w="3767" w:type="dxa"/>
            <w:shd w:val="clear" w:color="auto" w:fill="auto"/>
            <w:noWrap w:val="0"/>
            <w:vAlign w:val="center"/>
          </w:tcPr>
          <w:p w14:paraId="0EF86C3E">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随车维修工具</w:t>
            </w:r>
          </w:p>
        </w:tc>
        <w:tc>
          <w:tcPr>
            <w:tcW w:w="2192" w:type="dxa"/>
            <w:noWrap w:val="0"/>
            <w:vAlign w:val="center"/>
          </w:tcPr>
          <w:p w14:paraId="5552C20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1A04C424">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111D81B4">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r w14:paraId="6D7D3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4" w:type="dxa"/>
            <w:shd w:val="clear" w:color="auto" w:fill="auto"/>
            <w:noWrap w:val="0"/>
            <w:vAlign w:val="center"/>
          </w:tcPr>
          <w:p w14:paraId="73CFAABD">
            <w:pPr>
              <w:spacing w:line="360" w:lineRule="exact"/>
              <w:jc w:val="center"/>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13</w:t>
            </w:r>
          </w:p>
        </w:tc>
        <w:tc>
          <w:tcPr>
            <w:tcW w:w="3767" w:type="dxa"/>
            <w:shd w:val="clear" w:color="auto" w:fill="auto"/>
            <w:noWrap w:val="0"/>
            <w:vAlign w:val="center"/>
          </w:tcPr>
          <w:p w14:paraId="67FCA95A">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备件易损件</w:t>
            </w:r>
          </w:p>
        </w:tc>
        <w:tc>
          <w:tcPr>
            <w:tcW w:w="2192" w:type="dxa"/>
            <w:noWrap w:val="0"/>
            <w:vAlign w:val="center"/>
          </w:tcPr>
          <w:p w14:paraId="1D1C4C95">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c>
          <w:tcPr>
            <w:tcW w:w="1032" w:type="dxa"/>
            <w:noWrap w:val="0"/>
            <w:vAlign w:val="center"/>
          </w:tcPr>
          <w:p w14:paraId="064AEF1B">
            <w:pPr>
              <w:spacing w:line="360" w:lineRule="exact"/>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套</w:t>
            </w:r>
          </w:p>
        </w:tc>
        <w:tc>
          <w:tcPr>
            <w:tcW w:w="2210" w:type="dxa"/>
            <w:gridSpan w:val="2"/>
            <w:noWrap w:val="0"/>
            <w:vAlign w:val="center"/>
          </w:tcPr>
          <w:p w14:paraId="65EB30AC">
            <w:pPr>
              <w:spacing w:line="36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p>
        </w:tc>
      </w:tr>
    </w:tbl>
    <w:p w14:paraId="6064D5D6">
      <w:pPr>
        <w:pStyle w:val="80"/>
        <w:rPr>
          <w:rFonts w:hint="eastAsia"/>
        </w:rPr>
      </w:pPr>
    </w:p>
    <w:p w14:paraId="7EAB6803">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37B6C62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1.包括本技术标书所列明的主要货物以及货物正常运行所必需的全套连线设备、材料等。</w:t>
      </w:r>
    </w:p>
    <w:p w14:paraId="44A3A64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2.包括为保证货物正常安装、调试和验收完成及以前所必需的整套配件、附件及材料等。</w:t>
      </w:r>
    </w:p>
    <w:p w14:paraId="18BFC07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如果终验收完成后，卖方有需要收回的配件、附件、材料等，应当在投标文件的技术偏离条款中，予以详细说明；否则视同包括在供货范围之内。</w:t>
      </w:r>
    </w:p>
    <w:p w14:paraId="0003DB1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3.包括货物维护维修所必需的专用工具。</w:t>
      </w:r>
    </w:p>
    <w:p w14:paraId="5DD760B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rPr>
      </w:pPr>
      <w:r>
        <w:rPr>
          <w:rFonts w:hint="eastAsia" w:ascii="宋体" w:hAnsi="宋体" w:eastAsia="宋体" w:cs="宋体"/>
          <w:sz w:val="24"/>
          <w:szCs w:val="24"/>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62DB3C1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包括为保证货物自身正常运行所必需的、满足使用地点环境条件的通风、冷却、降温等必需设施。</w:t>
      </w:r>
    </w:p>
    <w:p w14:paraId="2D5B81D1">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如投标方难以提供或无优势提供以及属于选用配置的，则应当在投标文件的技术偏离条款中，予以详细说明并注明投标报价未包含该部分的货值。</w:t>
      </w:r>
    </w:p>
    <w:p w14:paraId="53DE217B">
      <w:pPr>
        <w:pageBreakBefore w:val="0"/>
        <w:kinsoku/>
        <w:wordWrap/>
        <w:overflowPunct/>
        <w:topLinePunct w:val="0"/>
        <w:autoSpaceDE/>
        <w:autoSpaceDN/>
        <w:bidi w:val="0"/>
        <w:spacing w:line="420" w:lineRule="exact"/>
        <w:ind w:firstLine="482" w:firstLineChars="200"/>
        <w:textAlignment w:val="auto"/>
        <w:outlineLvl w:val="4"/>
        <w:rPr>
          <w:rFonts w:hint="eastAsia" w:ascii="宋体" w:hAnsi="宋体" w:eastAsia="宋体" w:cs="宋体"/>
          <w:b/>
          <w:sz w:val="24"/>
          <w:szCs w:val="24"/>
        </w:rPr>
      </w:pPr>
      <w:r>
        <w:rPr>
          <w:rFonts w:hint="eastAsia" w:ascii="宋体" w:hAnsi="宋体" w:eastAsia="宋体" w:cs="宋体"/>
          <w:b/>
          <w:sz w:val="24"/>
          <w:szCs w:val="24"/>
        </w:rPr>
        <w:t>（二）供货范围边界界定</w:t>
      </w:r>
    </w:p>
    <w:p w14:paraId="037E184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招标方提供货物所需的建筑物（如厂房等）。招标方提供符合本技术标书中“采购货物概况”和“使用环境”章节所列明品质的电力、自来水、压缩空气管线至系统接口，如：系统电力接口的接线端，水、气、汽等外围管线端联接法兰外端面</w:t>
      </w:r>
      <w:r>
        <w:rPr>
          <w:rFonts w:hint="eastAsia" w:ascii="宋体" w:hAnsi="宋体" w:eastAsia="宋体" w:cs="宋体"/>
          <w:sz w:val="24"/>
        </w:rPr>
        <w:t>（不含联接所需螺栓等紧固件和其它必需配件）。</w:t>
      </w:r>
    </w:p>
    <w:p w14:paraId="287E240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如果投标方认为能源系统接口地点以及操控地点之间的货物数量不清或难以界定，应当以书面方式询标或以单价方式报价；否则视同满足招标方要求。</w:t>
      </w:r>
    </w:p>
    <w:p w14:paraId="1F780B8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blue"/>
        </w:rPr>
      </w:pPr>
      <w:r>
        <w:rPr>
          <w:rFonts w:hint="eastAsia" w:ascii="宋体" w:hAnsi="宋体" w:eastAsia="宋体" w:cs="宋体"/>
          <w:sz w:val="24"/>
          <w:szCs w:val="24"/>
        </w:rPr>
        <w:t>2.对于招标文件中无明确具体要求而投标方认为必须具备的其它货物，投标方必须将该部分货物单独报价（该报价含运杂费及税费等其它费用，而且不再作为其它报价涉及的其它费用的计算基数）。</w:t>
      </w:r>
    </w:p>
    <w:p w14:paraId="027608E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highlight w:val="yellow"/>
        </w:rPr>
      </w:pPr>
      <w:r>
        <w:rPr>
          <w:rFonts w:hint="eastAsia" w:ascii="宋体" w:hAnsi="宋体" w:eastAsia="宋体" w:cs="宋体"/>
          <w:sz w:val="24"/>
          <w:szCs w:val="24"/>
          <w:highlight w:val="none"/>
        </w:rPr>
        <w:t>★3.以“交钥匙”方式采购，在满足技术标书本节上述要求之外，</w:t>
      </w:r>
      <w:r>
        <w:rPr>
          <w:rFonts w:hint="eastAsia" w:ascii="宋体" w:hAnsi="宋体" w:eastAsia="宋体" w:cs="宋体"/>
          <w:sz w:val="24"/>
          <w:szCs w:val="24"/>
          <w:highlight w:val="none"/>
          <w:lang w:val="en-US" w:eastAsia="zh-CN"/>
        </w:rPr>
        <w:t>投标方</w:t>
      </w:r>
      <w:r>
        <w:rPr>
          <w:rFonts w:hint="eastAsia" w:ascii="宋体" w:hAnsi="宋体" w:eastAsia="宋体" w:cs="宋体"/>
          <w:sz w:val="24"/>
          <w:szCs w:val="24"/>
          <w:highlight w:val="none"/>
        </w:rPr>
        <w:t>负责包括整个施工过程中的改装、清理、运输装卸等相关工作，以及货物的运行使用所需要的过桥、护栏、防护网、盖板等辅助设施，不产生报价外的其他费用。</w:t>
      </w:r>
    </w:p>
    <w:p w14:paraId="5ED0BE9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4.投标方应提供包括为达到环保、消防和劳动安全卫生等国家法律、法规和标准、规范要求必须配备的吸雾以及近距离照明系统等配套的设施、材料等。如投标方难以提供或无优势提供，则应当在投标文件的技术偏离条款中，予以详细说明并注明投标报价未包含该部分的货值。</w:t>
      </w:r>
    </w:p>
    <w:p w14:paraId="57D29F5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5.投标方应提供包括为保证货物（或生产线）自身正常运行所必需的、适应使用地点条件的通风、冷却、温控系统等。</w:t>
      </w:r>
    </w:p>
    <w:p w14:paraId="5474163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6.投标方应提供包括为保证货物（或生产线）正常安装、调试和验收完成以前所必需的整套配件、附件及材料、油料等。如果终验收完成后，投标方有需要收回的配件、附件、材料、油料等，应当在投标文件的技术偏离条款中，予以详细说明；否则视同包括在供货范围之内。</w:t>
      </w:r>
    </w:p>
    <w:p w14:paraId="6A922AB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rPr>
      </w:pPr>
      <w:r>
        <w:rPr>
          <w:rFonts w:hint="eastAsia" w:ascii="宋体" w:hAnsi="宋体" w:eastAsia="宋体" w:cs="宋体"/>
          <w:sz w:val="24"/>
        </w:rPr>
        <w:t>7.投标方应提供货物（或生产线）维修所必需的专用工具，并在投标报价部分说明数量。</w:t>
      </w:r>
    </w:p>
    <w:p w14:paraId="094B8BD8">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二、备品备件、易损件和专用耗材供货范围</w:t>
      </w:r>
    </w:p>
    <w:p w14:paraId="324BF05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1.备品备件、易损件和专用耗材是招标方为保证货物质保期之后正常运行三年所自备自用的备品备件、易损件和专用耗材。</w:t>
      </w:r>
    </w:p>
    <w:p w14:paraId="3152DEA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质保期之内正常需要的备品备件、易损件和专用耗材全部包括在供货范围之内而不属于本条款界定的范围（应有明细）。</w:t>
      </w:r>
    </w:p>
    <w:p w14:paraId="6B32417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2.供货范围包括易损件和专用耗材的制造图纸及其技术要求等资料，如涉及专有技术或无法提供，应在投标文件中予以澄清或说明。</w:t>
      </w:r>
    </w:p>
    <w:p w14:paraId="37C9C1BF">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三、技术资料供货范围</w:t>
      </w:r>
    </w:p>
    <w:p w14:paraId="6CEF0CF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技术资料供货范围包括：</w:t>
      </w:r>
    </w:p>
    <w:p w14:paraId="3EC3C0B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szCs w:val="24"/>
        </w:rPr>
      </w:pPr>
      <w:r>
        <w:rPr>
          <w:rFonts w:hint="eastAsia" w:ascii="宋体" w:hAnsi="宋体" w:eastAsia="宋体" w:cs="宋体"/>
          <w:sz w:val="24"/>
          <w:szCs w:val="24"/>
        </w:rPr>
        <w:t>1.在</w:t>
      </w:r>
      <w:r>
        <w:rPr>
          <w:rFonts w:hint="eastAsia" w:ascii="宋体" w:hAnsi="宋体" w:eastAsia="宋体" w:cs="宋体"/>
          <w:bCs/>
          <w:sz w:val="24"/>
          <w:szCs w:val="24"/>
        </w:rPr>
        <w:t>合同签订后</w:t>
      </w:r>
      <w:r>
        <w:rPr>
          <w:rFonts w:hint="eastAsia" w:ascii="宋体" w:hAnsi="宋体" w:eastAsia="宋体" w:cs="宋体"/>
          <w:bCs/>
          <w:sz w:val="24"/>
          <w:szCs w:val="24"/>
          <w:u w:val="single"/>
          <w:shd w:val="pct10" w:color="auto" w:fill="FFFFFF"/>
        </w:rPr>
        <w:t>30</w:t>
      </w:r>
      <w:r>
        <w:rPr>
          <w:rFonts w:hint="eastAsia" w:ascii="宋体" w:hAnsi="宋体" w:eastAsia="宋体" w:cs="宋体"/>
          <w:bCs/>
          <w:sz w:val="24"/>
          <w:szCs w:val="24"/>
        </w:rPr>
        <w:t>个日历日内，提供货物基础及相关的设计、制作所需的纸质及电子版资料；电子版文件应当能够使用常用版本软件可以阅读甚至使用，进口货物、设备应有中外文对照。</w:t>
      </w:r>
    </w:p>
    <w:p w14:paraId="58B55B1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2.在终验收前，</w:t>
      </w:r>
      <w:r>
        <w:rPr>
          <w:rFonts w:hint="eastAsia" w:ascii="宋体" w:hAnsi="宋体" w:eastAsia="宋体" w:cs="宋体"/>
          <w:bCs/>
          <w:sz w:val="24"/>
          <w:szCs w:val="24"/>
        </w:rPr>
        <w:t>提供货物各部分的功能描述文件、图片、影像等资料（进口设备应有中外文对照）；</w:t>
      </w:r>
      <w:r>
        <w:rPr>
          <w:rFonts w:hint="eastAsia" w:ascii="宋体" w:hAnsi="宋体" w:eastAsia="宋体" w:cs="宋体"/>
          <w:sz w:val="24"/>
          <w:szCs w:val="24"/>
        </w:rPr>
        <w:t>提供为保证货物后续正常运行所需的工装、吊（挂）具明细及其图纸、具体技术要求等资料（如果供货范围包含该部分实物）。</w:t>
      </w:r>
    </w:p>
    <w:p w14:paraId="3343245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3.在终验收前，提供确定的维修所需要且招标方可以自行采购的外购件、外协件、电气元件及主要原材料的供货厂家明细表。</w:t>
      </w:r>
    </w:p>
    <w:p w14:paraId="5850C52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4.在终验收后对应合同付款支付日前，提供包括货物的备品备件、易损件和专用耗材的图纸及技术参数、技术要求等资料。</w:t>
      </w:r>
    </w:p>
    <w:p w14:paraId="7A155EB4">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在终验收后对应合同付款支付日前，提供关于采购货物的操作维护手册、保养维修手册、安全注意事项等的使用说明书、仪器仪表检定和使用维修说明书、合格证、产品样本等技术资料（含图片和影像等资料）；对于进口设备，应有中外文资料说明。</w:t>
      </w:r>
    </w:p>
    <w:p w14:paraId="0818625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在终验收后对应合同付款支付日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4AE1D5C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7.本条款所列的技术资料、图片、影像等，投标方应各提供5套，其中2套为电子版光（软）盘；每份技术文件应装有目录清单。</w:t>
      </w:r>
    </w:p>
    <w:p w14:paraId="2E4B0947">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8.本条款所列要求，如招标方认为投标方提供的资料不能满足要求时，有权要求投标方免费补充或增加。</w:t>
      </w:r>
    </w:p>
    <w:p w14:paraId="3DEBDB93">
      <w:pPr>
        <w:pStyle w:val="86"/>
        <w:pageBreakBefore w:val="0"/>
        <w:kinsoku/>
        <w:wordWrap/>
        <w:overflowPunct/>
        <w:topLinePunct w:val="0"/>
        <w:autoSpaceDE/>
        <w:autoSpaceDN/>
        <w:bidi w:val="0"/>
        <w:spacing w:line="420" w:lineRule="exact"/>
        <w:ind w:firstLine="0" w:firstLineChars="0"/>
        <w:jc w:val="left"/>
        <w:textAlignment w:val="auto"/>
        <w:rPr>
          <w:rFonts w:hint="eastAsia" w:ascii="宋体" w:hAnsi="宋体" w:eastAsia="宋体" w:cs="宋体"/>
          <w:color w:val="auto"/>
        </w:rPr>
      </w:pPr>
      <w:r>
        <w:rPr>
          <w:rFonts w:hint="eastAsia" w:ascii="宋体" w:hAnsi="宋体" w:eastAsia="宋体" w:cs="宋体"/>
          <w:color w:val="auto"/>
        </w:rPr>
        <w:t>四、供货范围特别提示</w:t>
      </w:r>
    </w:p>
    <w:p w14:paraId="28E1523A">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如果投标方认为本节所列的供货范围难以满足，则仍需要按照本要求提供，但该部分货物应当在投标报价中单独列明货物名称及品质、货值。</w:t>
      </w:r>
    </w:p>
    <w:p w14:paraId="0ADAAF2C">
      <w:pPr>
        <w:pStyle w:val="168"/>
        <w:pageBreakBefore w:val="0"/>
        <w:kinsoku/>
        <w:wordWrap/>
        <w:overflowPunct/>
        <w:topLinePunct w:val="0"/>
        <w:autoSpaceDE/>
        <w:autoSpaceDN/>
        <w:bidi w:val="0"/>
        <w:spacing w:line="420" w:lineRule="exact"/>
        <w:textAlignment w:val="auto"/>
        <w:rPr>
          <w:rFonts w:hint="eastAsia" w:ascii="宋体" w:hAnsi="宋体" w:eastAsia="宋体" w:cs="宋体"/>
          <w:bCs w:val="0"/>
        </w:rPr>
      </w:pPr>
      <w:bookmarkStart w:id="31" w:name="_Toc6355"/>
      <w:bookmarkStart w:id="32" w:name="_Toc465187644"/>
      <w:bookmarkStart w:id="33" w:name="_Toc17634"/>
      <w:r>
        <w:rPr>
          <w:rFonts w:hint="eastAsia" w:ascii="宋体" w:hAnsi="宋体" w:eastAsia="宋体" w:cs="宋体"/>
          <w:bCs w:val="0"/>
        </w:rPr>
        <w:t>第二节  供货方式</w:t>
      </w:r>
      <w:bookmarkEnd w:id="31"/>
      <w:bookmarkEnd w:id="32"/>
      <w:bookmarkEnd w:id="33"/>
    </w:p>
    <w:p w14:paraId="1341A497">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一、供货方式</w:t>
      </w:r>
    </w:p>
    <w:p w14:paraId="3C7C56D6">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完全交钥匙方式，即本次招标货物至少包括以下货物及服务：非标或特需设计，制造，必要的卖方现场预验收，至交货地点的运输（含定点装卸），安装，调试，招标方安装地竣工验收服务，货物移交，约定培训等全流程范围。</w:t>
      </w:r>
    </w:p>
    <w:p w14:paraId="3CDE1F6D">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b w:val="0"/>
          <w:bCs w:val="0"/>
          <w:color w:val="auto"/>
        </w:rPr>
      </w:pPr>
      <w:r>
        <w:rPr>
          <w:rFonts w:hint="eastAsia" w:ascii="宋体" w:hAnsi="宋体" w:eastAsia="宋体" w:cs="宋体"/>
          <w:color w:val="auto"/>
        </w:rPr>
        <w:t>二、供货地点</w:t>
      </w:r>
      <w:r>
        <w:rPr>
          <w:rFonts w:hint="eastAsia" w:ascii="宋体" w:hAnsi="宋体" w:eastAsia="宋体" w:cs="宋体"/>
          <w:b w:val="0"/>
          <w:bCs w:val="0"/>
          <w:color w:val="auto"/>
        </w:rPr>
        <w:t>：济南莱芜区口镇重汽工业园</w:t>
      </w:r>
    </w:p>
    <w:p w14:paraId="761302A4">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三、供货时间</w:t>
      </w:r>
    </w:p>
    <w:p w14:paraId="7399CF29">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1、自合同签定生效之日起，</w:t>
      </w:r>
      <w:r>
        <w:rPr>
          <w:rFonts w:hint="eastAsia" w:ascii="宋体" w:hAnsi="宋体" w:eastAsia="宋体" w:cs="宋体"/>
          <w:sz w:val="24"/>
          <w:szCs w:val="24"/>
          <w:highlight w:val="none"/>
          <w:u w:val="single"/>
          <w:lang w:val="en-US" w:eastAsia="zh-CN"/>
        </w:rPr>
        <w:t>105</w:t>
      </w:r>
      <w:r>
        <w:rPr>
          <w:rFonts w:hint="eastAsia" w:ascii="宋体" w:hAnsi="宋体" w:eastAsia="宋体" w:cs="宋体"/>
          <w:sz w:val="24"/>
          <w:szCs w:val="24"/>
          <w:highlight w:val="none"/>
        </w:rPr>
        <w:t>个日历</w:t>
      </w:r>
      <w:r>
        <w:rPr>
          <w:rFonts w:hint="eastAsia" w:ascii="宋体" w:hAnsi="宋体" w:eastAsia="宋体" w:cs="宋体"/>
          <w:sz w:val="24"/>
          <w:szCs w:val="24"/>
        </w:rPr>
        <w:t>日之内交货至供货地点。</w:t>
      </w:r>
    </w:p>
    <w:p w14:paraId="15DB904C">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highlight w:val="none"/>
        </w:rPr>
      </w:pPr>
      <w:r>
        <w:rPr>
          <w:rFonts w:hint="eastAsia" w:ascii="宋体" w:hAnsi="宋体" w:eastAsia="宋体" w:cs="宋体"/>
          <w:sz w:val="24"/>
          <w:szCs w:val="24"/>
        </w:rPr>
        <w:t>2、接续</w:t>
      </w: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u w:val="single"/>
        </w:rPr>
        <w:t>0</w:t>
      </w:r>
      <w:r>
        <w:rPr>
          <w:rFonts w:hint="eastAsia" w:ascii="宋体" w:hAnsi="宋体" w:eastAsia="宋体" w:cs="宋体"/>
          <w:sz w:val="24"/>
          <w:szCs w:val="24"/>
          <w:highlight w:val="none"/>
        </w:rPr>
        <w:t>个日历日之内安装调试完毕。</w:t>
      </w:r>
    </w:p>
    <w:p w14:paraId="2E097488">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highlight w:val="none"/>
        </w:rPr>
        <w:t>3、接续在</w:t>
      </w:r>
      <w:r>
        <w:rPr>
          <w:rFonts w:hint="eastAsia" w:ascii="宋体" w:hAnsi="宋体" w:eastAsia="宋体" w:cs="宋体"/>
          <w:sz w:val="24"/>
          <w:szCs w:val="24"/>
          <w:highlight w:val="none"/>
          <w:u w:val="single"/>
        </w:rPr>
        <w:t>60</w:t>
      </w:r>
      <w:r>
        <w:rPr>
          <w:rFonts w:hint="eastAsia" w:ascii="宋体" w:hAnsi="宋体" w:eastAsia="宋体" w:cs="宋体"/>
          <w:sz w:val="24"/>
          <w:szCs w:val="24"/>
          <w:highlight w:val="none"/>
        </w:rPr>
        <w:t>个</w:t>
      </w:r>
      <w:r>
        <w:rPr>
          <w:rFonts w:hint="eastAsia" w:ascii="宋体" w:hAnsi="宋体" w:eastAsia="宋体" w:cs="宋体"/>
          <w:sz w:val="24"/>
          <w:szCs w:val="24"/>
        </w:rPr>
        <w:t>日历日之内完成终验收。</w:t>
      </w:r>
    </w:p>
    <w:p w14:paraId="257292DB">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四、包装</w:t>
      </w:r>
    </w:p>
    <w:p w14:paraId="70F0E76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1.所提供货物（或设备）的包装，应遵照国家标准和有关包装、包皮的技术条件，或按照最好的商业惯例进行包装。</w:t>
      </w:r>
    </w:p>
    <w:p w14:paraId="003EBDF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2.包装应能满足所需要采取的运输方式（船运、汽运或铁路运输）、多次吊装卸装、卸货以及长期露天堆放要求，应能防止雨淋、受潮、生锈、腐蚀、受振、受磁以及机械和化学因素等引起的损坏。</w:t>
      </w:r>
    </w:p>
    <w:p w14:paraId="0C36CE1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3.所提供货物（或设备）的包装，应能防止其一般性被窃或受外力破坏；一般不得采用有大缝隙的板条包装。</w:t>
      </w:r>
    </w:p>
    <w:p w14:paraId="6580665E">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4.应对包装件做必要的加固和固定，以防止运输可能造成的损坏。</w:t>
      </w:r>
    </w:p>
    <w:p w14:paraId="28E9F5DB">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5.每个包装件应有装箱单，并至少标明名称、型号规格、数量、净重和毛重、投标方（或供货商）名称和制造日期等相关内容。</w:t>
      </w:r>
    </w:p>
    <w:p w14:paraId="16FD041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6.每个包装箱应有明显标志，并具有中文书写的合同号、装运标志、发货和到货地点名称、发货人和收货人名称、货物名称和项目号、箱号和外型尺寸等内容。</w:t>
      </w:r>
    </w:p>
    <w:p w14:paraId="5B2278C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7.应按照不同的装运要求在包装箱上标明“小心轻放”、“箭头向上”、“防潮”、“防磁”、“不准平放”等标志，以及其它适用的国标通用标志。</w:t>
      </w:r>
    </w:p>
    <w:p w14:paraId="0CE60403">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8.包装箱应连续编号，不应出现重复编号。</w:t>
      </w:r>
    </w:p>
    <w:p w14:paraId="4C97E34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9.在不受到外界破坏情况下，包装应保证自交货日起一年内货物（或设备）完好无损。</w:t>
      </w:r>
    </w:p>
    <w:p w14:paraId="6392B8E2">
      <w:pPr>
        <w:pStyle w:val="86"/>
        <w:pageBreakBefore w:val="0"/>
        <w:kinsoku/>
        <w:wordWrap/>
        <w:overflowPunct/>
        <w:topLinePunct w:val="0"/>
        <w:autoSpaceDE/>
        <w:autoSpaceDN/>
        <w:bidi w:val="0"/>
        <w:spacing w:line="420" w:lineRule="exact"/>
        <w:ind w:firstLine="0" w:firstLineChars="0"/>
        <w:textAlignment w:val="auto"/>
        <w:rPr>
          <w:rFonts w:hint="eastAsia" w:ascii="宋体" w:hAnsi="宋体" w:eastAsia="宋体" w:cs="宋体"/>
          <w:color w:val="auto"/>
        </w:rPr>
      </w:pPr>
      <w:r>
        <w:rPr>
          <w:rFonts w:hint="eastAsia" w:ascii="宋体" w:hAnsi="宋体" w:eastAsia="宋体" w:cs="宋体"/>
          <w:color w:val="auto"/>
        </w:rPr>
        <w:t>五、运输</w:t>
      </w:r>
    </w:p>
    <w:p w14:paraId="3EEDEB27">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1.应负责将货物（或设备）运到目的地，并必须做到货物（或设备）在任何运输过程中不受损坏和遗失。</w:t>
      </w:r>
    </w:p>
    <w:p w14:paraId="43EE328A">
      <w:pPr>
        <w:pageBreakBefore w:val="0"/>
        <w:kinsoku/>
        <w:wordWrap/>
        <w:overflowPunct/>
        <w:topLinePunct w:val="0"/>
        <w:autoSpaceDE/>
        <w:autoSpaceDN/>
        <w:bidi w:val="0"/>
        <w:adjustRightInd w:val="0"/>
        <w:snapToGrid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2.同批货物（或设备）应统一包装、编号运输。</w:t>
      </w:r>
    </w:p>
    <w:p w14:paraId="3240F94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3.一般情况下，经由铁路、公路运输的包装件尺寸和重量不应超过国家所规定的尺寸限制。特殊情况应予以说明。</w:t>
      </w:r>
    </w:p>
    <w:p w14:paraId="62F3F9E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4.在每批货物（或设备）发出后，应立即通知招标方；通知中应指明：合同号、货运单号、件数、重量和货物（或设备）发出日期等相关内容。</w:t>
      </w:r>
    </w:p>
    <w:p w14:paraId="36A4FEE0">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5.货物（或设备）运抵交货地点后，应负责货物（或设备）的卸货、搬运、保管等事宜；或按照合同约定。</w:t>
      </w:r>
    </w:p>
    <w:p w14:paraId="2DE69A6E">
      <w:pPr>
        <w:pStyle w:val="60"/>
        <w:pageBreakBefore w:val="0"/>
        <w:kinsoku/>
        <w:wordWrap/>
        <w:overflowPunct/>
        <w:topLinePunct w:val="0"/>
        <w:autoSpaceDE/>
        <w:autoSpaceDN/>
        <w:bidi w:val="0"/>
        <w:spacing w:line="420" w:lineRule="exact"/>
        <w:jc w:val="center"/>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34" w:name="_Toc465187645"/>
      <w:bookmarkStart w:id="35" w:name="_Toc23480"/>
      <w:bookmarkStart w:id="36" w:name="_Toc4592"/>
      <w:r>
        <w:rPr>
          <w:rFonts w:hint="eastAsia" w:ascii="宋体" w:hAnsi="宋体" w:eastAsia="宋体" w:cs="宋体"/>
          <w:b/>
          <w:bCs w:val="0"/>
          <w:color w:val="auto"/>
        </w:rPr>
        <w:t>第四章  质保期及售后服务</w:t>
      </w:r>
      <w:bookmarkEnd w:id="34"/>
      <w:bookmarkEnd w:id="35"/>
      <w:bookmarkEnd w:id="36"/>
    </w:p>
    <w:p w14:paraId="0454236D">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一、质保期及质保要求</w:t>
      </w:r>
    </w:p>
    <w:p w14:paraId="4DADBD2A">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1.全部供货范围内的设备、材料、零配件和工器具等，除合同特别约定外，其质保期均自终验收签字生效之日起</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个月。</w:t>
      </w:r>
    </w:p>
    <w:p w14:paraId="65B952CD">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投标货物或涉及的关键总成和零件，如果有更长时间质保期，允许更改并说明，此将有利于投标方。</w:t>
      </w:r>
    </w:p>
    <w:p w14:paraId="0AB44CCC">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设计使用寿命短于质保期的易损件除外，但属于易损件的，应当有明确说明。</w:t>
      </w:r>
    </w:p>
    <w:p w14:paraId="3EF323A4">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2.质保期之内，如果货物出现设备、总成、关键零部件或者多处一般零部件的二次以上的更换或维修行为，则质保期自更换或维修行为结束、货物重新正常运行使用之日起重新计算。</w:t>
      </w:r>
    </w:p>
    <w:p w14:paraId="780E2B0F">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3.质保期内免费提供零部件和及时有效的服务。质保期内因货物本身缺陷造成的各种故障，投标方应负责免费维修和服务。</w:t>
      </w:r>
    </w:p>
    <w:p w14:paraId="3C314691">
      <w:pPr>
        <w:pageBreakBefore w:val="0"/>
        <w:kinsoku/>
        <w:wordWrap/>
        <w:overflowPunct/>
        <w:topLinePunct w:val="0"/>
        <w:autoSpaceDE/>
        <w:autoSpaceDN/>
        <w:bidi w:val="0"/>
        <w:spacing w:line="42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4.质保期终止之日起一年内重复出现的质保期之内出现的故障，仍属质保范围而且应当免费。</w:t>
      </w:r>
    </w:p>
    <w:p w14:paraId="1715FC5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bCs/>
          <w:sz w:val="24"/>
        </w:rPr>
      </w:pPr>
      <w:r>
        <w:rPr>
          <w:rFonts w:hint="eastAsia" w:ascii="宋体" w:hAnsi="宋体" w:eastAsia="宋体" w:cs="宋体"/>
          <w:bCs/>
          <w:sz w:val="24"/>
        </w:rPr>
        <w:t>5.质量保证期满后，投标方保证向招标方提供及时的、质优的、价格优惠的技术服务和备品备件供应。</w:t>
      </w:r>
    </w:p>
    <w:p w14:paraId="0482382E">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二、技术及培训服务</w:t>
      </w:r>
    </w:p>
    <w:p w14:paraId="146397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1.应负责在招标方货物使用现场，对技术、维修和操作人员提供免费的理论、技术和操作、维修等方面的技术指导和培训，并接受招标方有关人员的技术咨询。培训工作日不少于</w:t>
      </w:r>
      <w:r>
        <w:rPr>
          <w:rFonts w:hint="eastAsia" w:ascii="宋体" w:hAnsi="宋体" w:eastAsia="宋体" w:cs="宋体"/>
          <w:sz w:val="24"/>
          <w:szCs w:val="24"/>
          <w:u w:val="single"/>
          <w:shd w:val="pct10" w:color="auto" w:fill="FFFFFF"/>
          <w:lang w:val="en-US" w:eastAsia="zh-CN"/>
        </w:rPr>
        <w:t>5</w:t>
      </w:r>
      <w:r>
        <w:rPr>
          <w:rFonts w:hint="eastAsia" w:ascii="宋体" w:hAnsi="宋体" w:eastAsia="宋体" w:cs="宋体"/>
          <w:sz w:val="24"/>
          <w:szCs w:val="24"/>
        </w:rPr>
        <w:t>个日历日。（培训包含联调后整套设备的使用）</w:t>
      </w:r>
    </w:p>
    <w:p w14:paraId="38C3BEBC">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2.应免费提供一定数量的培训资料。</w:t>
      </w:r>
    </w:p>
    <w:p w14:paraId="1AC9257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3.应按要求免费积极协助和提供招标方以及招标方所委托的工程设计单位有关人员所需要的、与货物有关的工程设计资料、技术咨询等。</w:t>
      </w:r>
    </w:p>
    <w:p w14:paraId="6F450F0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4.若投标方提供货物涉及到外购外协货物、而且该货物的技术质量等较为关键时，投标方应能保证得到配套厂家的技术支持，并免费为招标方提供技术服务。</w:t>
      </w:r>
    </w:p>
    <w:p w14:paraId="20EDAFE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负责制定对招标方人员在运行、维修和试验等方面的培训计划，并有专人负责实施培训计划，负责指导招标方受培训人员正确理解设计和制造意图，认识设备的特点和特性，掌握在运行、维修和使用管理中应遵守的规则等方面的综合知识。</w:t>
      </w:r>
    </w:p>
    <w:p w14:paraId="61F30881">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三、安装调试及验收服务</w:t>
      </w:r>
    </w:p>
    <w:p w14:paraId="374939D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指导安装调试或负责安装调试以及协助验收，投标方均应在投标文件中明确其收费额或免费约定，否则视同免费；安装调试及验收服务均应按照合同约定或协议、通知及时组织并完成。因投标方原因造成的延期，所发生的费用全部由投标方承担。</w:t>
      </w:r>
    </w:p>
    <w:p w14:paraId="1AFE3514">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2.若投标方提供的货物涉及到外购外协货物、而且该货物的技术质量等较为关键时，应保证能得到供应商的技术支持，并免费为招标方提供安装使用现场的指导与培训。</w:t>
      </w:r>
    </w:p>
    <w:p w14:paraId="3CC2EF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根据货物的要求，调试及验收可分空载和负载两个阶段进行；招标方将积极协助投标方达到货物的各项技术指标和性能要求。投标方在招标方现场进行的货物的安装、调试和试运行，招标方有权参与，投标方应无条件向招标方提供现场记录和试运行数据及报告。</w:t>
      </w:r>
    </w:p>
    <w:p w14:paraId="5FD4454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在投标方所提供货物需要得到招标方建设项目所在地政府或行业主管部门的查验、试验、验收时，投标方应当免费完成或协助招标方完成所需要的工作、材料和服务等。协助完成的，应当在投标文件报价内容中予以说明，否则视同免费。</w:t>
      </w:r>
    </w:p>
    <w:p w14:paraId="1A249AE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5.投标方应当向招标方提供货物试验、验收的有关标准、规范和方法，同时提供货物涉及并使用的软件合法性证明。</w:t>
      </w:r>
    </w:p>
    <w:p w14:paraId="5B2DDB6F">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6.服务缺陷视同货物缺陷和履约延期。</w:t>
      </w:r>
    </w:p>
    <w:p w14:paraId="52A484C4">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四、售后服务</w:t>
      </w:r>
    </w:p>
    <w:p w14:paraId="5746255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1.投标方提供的货物涉及的所有售后服务均由投标方负责。如果发生问题并且收到通知，投标方应当在2小时内予以答复。</w:t>
      </w:r>
    </w:p>
    <w:p w14:paraId="2FC3B5A8">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2.如发现所提供的货物存在问题，需要投标方解决或配合解决时：在质保期之内，应在接到通知后</w:t>
      </w:r>
      <w:r>
        <w:rPr>
          <w:rFonts w:hint="eastAsia" w:ascii="宋体" w:hAnsi="宋体" w:eastAsia="宋体" w:cs="宋体"/>
          <w:sz w:val="24"/>
          <w:szCs w:val="24"/>
          <w:u w:val="single"/>
          <w:shd w:val="pct10" w:color="auto" w:fill="FFFFFF"/>
        </w:rPr>
        <w:t>24</w:t>
      </w:r>
      <w:r>
        <w:rPr>
          <w:rFonts w:hint="eastAsia" w:ascii="宋体" w:hAnsi="宋体" w:eastAsia="宋体" w:cs="宋体"/>
          <w:sz w:val="24"/>
          <w:szCs w:val="24"/>
        </w:rPr>
        <w:t>小时内派有关人员到达现场；在质保期之外，应在接到通知后</w:t>
      </w:r>
      <w:r>
        <w:rPr>
          <w:rFonts w:hint="eastAsia" w:ascii="宋体" w:hAnsi="宋体" w:eastAsia="宋体" w:cs="宋体"/>
          <w:sz w:val="24"/>
          <w:szCs w:val="24"/>
          <w:u w:val="single"/>
          <w:shd w:val="pct10" w:color="auto" w:fill="FFFFFF"/>
        </w:rPr>
        <w:t>72</w:t>
      </w:r>
      <w:r>
        <w:rPr>
          <w:rFonts w:hint="eastAsia" w:ascii="宋体" w:hAnsi="宋体" w:eastAsia="宋体" w:cs="宋体"/>
          <w:sz w:val="24"/>
          <w:szCs w:val="24"/>
        </w:rPr>
        <w:t>小时内派有关人员到达现场。</w:t>
      </w:r>
    </w:p>
    <w:p w14:paraId="1C8B73B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3.投标方派往招标方使用现场的人员，应具有较高的业务素质；现场解决问题时，不得无故拖延或推迟，应为招标方提供最佳的服务。</w:t>
      </w:r>
    </w:p>
    <w:p w14:paraId="5DE96CDD">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五、其它服务</w:t>
      </w:r>
    </w:p>
    <w:p w14:paraId="40F4083E">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1.除招标文件、投标文件、答疑文件、技术标书、合同等约定之外，投标方应免费负责必要的或强制性的货物的检验、试验、化验等直接费用。</w:t>
      </w:r>
    </w:p>
    <w:p w14:paraId="5627B6C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2.本章节条款所列“免费”，并非指定不可收费，而是指招标文件、投标文件、答疑文件、技术交流文件、技术标书和合同等范围之外，投标方不可另行收取的费用。</w:t>
      </w:r>
    </w:p>
    <w:p w14:paraId="4D2C948C">
      <w:pPr>
        <w:pStyle w:val="60"/>
        <w:pageBreakBefore w:val="0"/>
        <w:kinsoku/>
        <w:wordWrap/>
        <w:overflowPunct/>
        <w:topLinePunct w:val="0"/>
        <w:autoSpaceDE/>
        <w:autoSpaceDN/>
        <w:bidi w:val="0"/>
        <w:spacing w:line="420" w:lineRule="exact"/>
        <w:textAlignment w:val="auto"/>
        <w:rPr>
          <w:rFonts w:hint="eastAsia" w:ascii="宋体" w:hAnsi="宋体" w:eastAsia="宋体" w:cs="宋体"/>
          <w:bCs w:val="0"/>
          <w:i/>
          <w:color w:val="auto"/>
        </w:rPr>
      </w:pPr>
      <w:r>
        <w:rPr>
          <w:rFonts w:hint="eastAsia" w:ascii="宋体" w:hAnsi="宋体" w:eastAsia="宋体" w:cs="宋体"/>
          <w:color w:val="auto"/>
        </w:rPr>
        <w:br w:type="page"/>
      </w:r>
      <w:bookmarkStart w:id="37" w:name="_Toc25467"/>
      <w:bookmarkStart w:id="38" w:name="_Toc465187646"/>
      <w:bookmarkStart w:id="39" w:name="_Toc2612"/>
      <w:r>
        <w:rPr>
          <w:rFonts w:hint="eastAsia" w:ascii="宋体" w:hAnsi="宋体" w:eastAsia="宋体" w:cs="宋体"/>
          <w:b/>
          <w:bCs w:val="0"/>
          <w:color w:val="auto"/>
        </w:rPr>
        <w:t xml:space="preserve">第五章  </w:t>
      </w:r>
      <w:r>
        <w:rPr>
          <w:rFonts w:hint="eastAsia" w:ascii="宋体" w:hAnsi="宋体" w:eastAsia="宋体" w:cs="宋体"/>
          <w:b/>
          <w:bCs w:val="0"/>
          <w:color w:val="auto"/>
          <w:lang w:val="en-US" w:eastAsia="zh-CN"/>
        </w:rPr>
        <w:t>预验收和</w:t>
      </w:r>
      <w:r>
        <w:rPr>
          <w:rFonts w:hint="eastAsia" w:ascii="宋体" w:hAnsi="宋体" w:eastAsia="宋体" w:cs="宋体"/>
          <w:b/>
          <w:bCs w:val="0"/>
          <w:color w:val="auto"/>
        </w:rPr>
        <w:t>终验收</w:t>
      </w:r>
      <w:bookmarkEnd w:id="37"/>
      <w:bookmarkEnd w:id="38"/>
      <w:bookmarkEnd w:id="39"/>
    </w:p>
    <w:p w14:paraId="67DECA16">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一、验收依据和验收标准</w:t>
      </w:r>
    </w:p>
    <w:p w14:paraId="4D7A56A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1.验收标准一般以技术标书和合同规定验收。无论技术标书和合同，是否全部并准确列明验收所涉及的相关标准，均作为验收标准之一。</w:t>
      </w:r>
    </w:p>
    <w:p w14:paraId="6F248A9C">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2.如果验收过程中，发现招标文件、投标文件、答疑文件、技术交流文件等与技术标书、合同存在差异，原则上以涉及条款中对招标方最有利条款为验收依据。</w:t>
      </w:r>
    </w:p>
    <w:p w14:paraId="0A3B7CC6">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二、检验</w:t>
      </w:r>
    </w:p>
    <w:p w14:paraId="4BD0955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如果采购货物涉及必要的或必需的检验，投标方应当在投标文件中明确可能涉及的检验费用，并将该费用包含在投标总报价之内；不作针对性澄清或说明的，视同包含在投标总价之内。基本约定如下：</w:t>
      </w:r>
    </w:p>
    <w:p w14:paraId="0E2E5A25">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1.国产货物的检验一般由买卖双方共同进行或按照合同要求进行。</w:t>
      </w:r>
    </w:p>
    <w:p w14:paraId="17DA196A">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2.进口货物的检验，投标方需要按照下述要求进行：</w:t>
      </w:r>
    </w:p>
    <w:p w14:paraId="189EE61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2.1进口货物发货前，应对货物的质量、型号、规格、性能和数量/重量作精密、全面的检验，并出具证明书，证明所供货物符合合同规定；</w:t>
      </w:r>
    </w:p>
    <w:p w14:paraId="703CA02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2.2应依据合同规定的要求，提供买卖双方达成一致的货物的验收标准和装箱单，作为招标方检验的依据；</w:t>
      </w:r>
    </w:p>
    <w:p w14:paraId="30B97FFF">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2.3进口货物到达目的地后，招标方有权申请中国商品检验检疫局进行检验，如发现货物的品质及规格与合同或发票不符，除招标方的责任外，招标方有权在货物到达卸货目的地后180个日历日内，根据中国商品检验检疫局出具的证明书向投标方提出索赔，因索赔所发生的一切费用(包括检验检疫费等)均由投标方承担。</w:t>
      </w:r>
    </w:p>
    <w:p w14:paraId="08DE52BA">
      <w:pPr>
        <w:pStyle w:val="86"/>
        <w:pageBreakBefore w:val="0"/>
        <w:kinsoku/>
        <w:wordWrap/>
        <w:overflowPunct/>
        <w:topLinePunct w:val="0"/>
        <w:autoSpaceDE/>
        <w:autoSpaceDN/>
        <w:bidi w:val="0"/>
        <w:spacing w:line="420" w:lineRule="exact"/>
        <w:ind w:firstLine="0" w:firstLineChars="0"/>
        <w:jc w:val="left"/>
        <w:textAlignment w:val="auto"/>
        <w:outlineLvl w:val="1"/>
        <w:rPr>
          <w:rFonts w:hint="eastAsia" w:ascii="宋体" w:hAnsi="宋体" w:eastAsia="宋体" w:cs="宋体"/>
          <w:color w:val="auto"/>
        </w:rPr>
      </w:pPr>
      <w:r>
        <w:rPr>
          <w:rFonts w:hint="eastAsia" w:ascii="宋体" w:hAnsi="宋体" w:eastAsia="宋体" w:cs="宋体"/>
          <w:color w:val="auto"/>
        </w:rPr>
        <w:t>三、验收基本条件</w:t>
      </w:r>
    </w:p>
    <w:p w14:paraId="5DC07081">
      <w:pPr>
        <w:adjustRightInd w:val="0"/>
        <w:snapToGrid w:val="0"/>
        <w:spacing w:line="420" w:lineRule="exact"/>
        <w:ind w:firstLine="480" w:firstLineChars="200"/>
        <w:rPr>
          <w:rFonts w:hint="eastAsia" w:ascii="宋体" w:hAnsi="宋体" w:eastAsia="宋体" w:cs="宋体"/>
          <w:color w:val="000000"/>
          <w:sz w:val="24"/>
          <w:szCs w:val="24"/>
          <w:highlight w:val="none"/>
        </w:rPr>
      </w:pPr>
      <w:bookmarkStart w:id="40" w:name="_Toc465187647"/>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2A5841B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2426E782">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1、预验收一般条件</w:t>
      </w:r>
    </w:p>
    <w:p w14:paraId="30A25186">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14:paraId="34340A0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1672C6D6">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1.3  一般情况下，所有的管路和线缆等，接头应完全正确、可靠地联接；应排列有序（正确、牢固、整齐），有必要的防护，无皱褶、收缩和裂缝等不良现象。</w:t>
      </w:r>
    </w:p>
    <w:p w14:paraId="17D51F88">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1.4  使用的压力容器、电气等应具备合格证（如果有压力容器）。</w:t>
      </w:r>
    </w:p>
    <w:p w14:paraId="3F718F23">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货物的油漆质量应饱满、有光泽，无掉漆、无色差、无“桔皮”等不良现象（特殊标志除外）。</w:t>
      </w:r>
    </w:p>
    <w:p w14:paraId="75A74D89">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1.6  货物标牌完整、清晰、明确。</w:t>
      </w:r>
    </w:p>
    <w:p w14:paraId="49D624DC">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1.7  地线联接和地极符合国际（ISO/IEC）标准规范。</w:t>
      </w:r>
    </w:p>
    <w:p w14:paraId="4CAACF7A">
      <w:pPr>
        <w:adjustRightInd w:val="0"/>
        <w:snapToGrid w:val="0"/>
        <w:spacing w:line="420" w:lineRule="exact"/>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1.8  货物的安全要求符合中国最新的相关法律、法规、标准和规范以及合同要求。</w:t>
      </w:r>
    </w:p>
    <w:p w14:paraId="49983C20">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★2、预验收基本要求</w:t>
      </w:r>
    </w:p>
    <w:p w14:paraId="2B8E836E">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2.1  设备构成、备件齐全</w:t>
      </w:r>
      <w:r>
        <w:rPr>
          <w:rFonts w:hint="eastAsia" w:ascii="宋体" w:hAnsi="宋体" w:eastAsia="宋体" w:cs="宋体"/>
          <w:sz w:val="24"/>
          <w:szCs w:val="24"/>
          <w:highlight w:val="none"/>
          <w:lang w:eastAsia="zh-CN"/>
        </w:rPr>
        <w:t>。</w:t>
      </w:r>
    </w:p>
    <w:p w14:paraId="47A6D0B3">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2.2  设备技术原理符合标书要求</w:t>
      </w:r>
      <w:r>
        <w:rPr>
          <w:rFonts w:hint="eastAsia" w:ascii="宋体" w:hAnsi="宋体" w:eastAsia="宋体" w:cs="宋体"/>
          <w:sz w:val="24"/>
          <w:szCs w:val="24"/>
          <w:highlight w:val="none"/>
          <w:lang w:eastAsia="zh-CN"/>
        </w:rPr>
        <w:t>。</w:t>
      </w:r>
    </w:p>
    <w:p w14:paraId="580E1A6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2.3 设备需要在产地进行设备上电调试、提供出厂报告。</w:t>
      </w:r>
    </w:p>
    <w:p w14:paraId="6D590229">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2.4  预验收原则上要求一次完成。若一次验收不成功，最多允许两次；如果出现第三次验收失败，重新作价或退货</w:t>
      </w:r>
      <w:r>
        <w:rPr>
          <w:rFonts w:hint="eastAsia" w:ascii="宋体" w:hAnsi="宋体" w:eastAsia="宋体" w:cs="宋体"/>
          <w:sz w:val="24"/>
          <w:szCs w:val="24"/>
          <w:highlight w:val="none"/>
          <w:lang w:eastAsia="zh-CN"/>
        </w:rPr>
        <w:t>。</w:t>
      </w:r>
    </w:p>
    <w:p w14:paraId="6F7D8FAB">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2.5预验收食宿及往返机票由招标方承担。</w:t>
      </w:r>
    </w:p>
    <w:p w14:paraId="3350E30A">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★3、终验收一般条件</w:t>
      </w:r>
    </w:p>
    <w:p w14:paraId="3DDCF57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3.1  经过预验收而且没有出现新的质量问题，或者满足预验收条款。</w:t>
      </w:r>
    </w:p>
    <w:p w14:paraId="326E845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3.2  货物安装调试完毕，并至少经过了验收要求的负荷试运行。</w:t>
      </w:r>
    </w:p>
    <w:p w14:paraId="696B31B7">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3.3  货物正常运行时，噪声等环境影响因素满足国家和当地环保主管部门规定，安全措施落实、有效。</w:t>
      </w:r>
    </w:p>
    <w:p w14:paraId="273507E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3.4  计量仪器、仪表配套合理，采用中国的法定计量单位，计量准确、灵敏可靠。保证设计指标和仪器说明书的参数的实现。</w:t>
      </w:r>
    </w:p>
    <w:p w14:paraId="4851A82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3.5  试运行期间或之后无维修、调整等行为（特殊情况除外）。</w:t>
      </w:r>
    </w:p>
    <w:p w14:paraId="1781707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3.6  货物质量、技术性能等，达到签定的技术标书和合同规定的终验收标准。</w:t>
      </w:r>
    </w:p>
    <w:p w14:paraId="47B66CFA">
      <w:pPr>
        <w:adjustRightInd w:val="0"/>
        <w:snapToGrid w:val="0"/>
        <w:spacing w:line="420" w:lineRule="exact"/>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3.7 提供相关设备的省级及以上计量单位出具的检定校准证书。</w:t>
      </w:r>
    </w:p>
    <w:p w14:paraId="2181F680">
      <w:pPr>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★4、终验收基本要求</w:t>
      </w:r>
    </w:p>
    <w:p w14:paraId="4B8B0DC5">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4.1  设备技术规格满足招标书中的技术要求。</w:t>
      </w:r>
    </w:p>
    <w:p w14:paraId="1ABE31F9">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4.2  对所有设备进行上电调试和带被试件运行。</w:t>
      </w:r>
    </w:p>
    <w:p w14:paraId="0386032C">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4.3  对所有设备功能进行演示操作，包括对所有设备和传感器进行校准。</w:t>
      </w:r>
    </w:p>
    <w:p w14:paraId="4595B544">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4.4 </w:t>
      </w:r>
      <w:r>
        <w:rPr>
          <w:rFonts w:hint="eastAsia" w:ascii="宋体" w:hAnsi="宋体" w:eastAsia="宋体" w:cs="宋体"/>
          <w:color w:val="auto"/>
          <w:sz w:val="24"/>
          <w:szCs w:val="24"/>
          <w:highlight w:val="none"/>
        </w:rPr>
        <w:t xml:space="preserve"> 出现下列问题之一，视作验收失败：</w:t>
      </w:r>
    </w:p>
    <w:p w14:paraId="6FC37E9E">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4.4.1  设备验收时，其参数无法满足招标书中的技术要求</w:t>
      </w:r>
      <w:r>
        <w:rPr>
          <w:rFonts w:hint="eastAsia" w:ascii="宋体" w:hAnsi="宋体" w:eastAsia="宋体" w:cs="宋体"/>
          <w:sz w:val="24"/>
          <w:szCs w:val="24"/>
          <w:highlight w:val="none"/>
          <w:lang w:eastAsia="zh-CN"/>
        </w:rPr>
        <w:t>；</w:t>
      </w:r>
    </w:p>
    <w:p w14:paraId="15BAABB6">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4.4.2  在整个验收过程中发生关键零部件损坏或重大故障；</w:t>
      </w:r>
    </w:p>
    <w:p w14:paraId="0C8B0AAF">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4.4.3  一般性故障超过</w:t>
      </w:r>
      <w:r>
        <w:rPr>
          <w:rFonts w:hint="eastAsia" w:ascii="宋体" w:hAnsi="宋体" w:eastAsia="宋体" w:cs="宋体"/>
          <w:sz w:val="24"/>
          <w:szCs w:val="24"/>
          <w:highlight w:val="none"/>
          <w:u w:val="single"/>
          <w:shd w:val="pct10" w:color="auto" w:fill="FFFFFF"/>
        </w:rPr>
        <w:t xml:space="preserve">   2    </w:t>
      </w:r>
      <w:r>
        <w:rPr>
          <w:rFonts w:hint="eastAsia" w:ascii="宋体" w:hAnsi="宋体" w:eastAsia="宋体" w:cs="宋体"/>
          <w:sz w:val="24"/>
          <w:szCs w:val="24"/>
          <w:highlight w:val="none"/>
        </w:rPr>
        <w:t>次；</w:t>
      </w:r>
    </w:p>
    <w:p w14:paraId="30EDBC29">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4.4.4  更换的零部件货值超过总货值的</w:t>
      </w:r>
      <w:r>
        <w:rPr>
          <w:rFonts w:hint="eastAsia" w:ascii="宋体" w:hAnsi="宋体" w:eastAsia="宋体" w:cs="宋体"/>
          <w:sz w:val="24"/>
          <w:szCs w:val="24"/>
          <w:highlight w:val="none"/>
          <w:u w:val="single"/>
          <w:shd w:val="pct10" w:color="auto" w:fill="FFFFFF"/>
        </w:rPr>
        <w:t xml:space="preserve">  1   </w:t>
      </w:r>
      <w:r>
        <w:rPr>
          <w:rFonts w:hint="eastAsia" w:ascii="宋体" w:hAnsi="宋体" w:eastAsia="宋体" w:cs="宋体"/>
          <w:sz w:val="24"/>
          <w:szCs w:val="24"/>
          <w:highlight w:val="none"/>
        </w:rPr>
        <w:t>%</w:t>
      </w:r>
      <w:r>
        <w:rPr>
          <w:rFonts w:hint="eastAsia" w:ascii="宋体" w:hAnsi="宋体" w:eastAsia="宋体" w:cs="宋体"/>
          <w:sz w:val="24"/>
          <w:szCs w:val="24"/>
          <w:highlight w:val="none"/>
          <w:lang w:eastAsia="zh-CN"/>
        </w:rPr>
        <w:t>；</w:t>
      </w:r>
    </w:p>
    <w:p w14:paraId="759AC65B">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4.</w:t>
      </w:r>
      <w:r>
        <w:rPr>
          <w:rFonts w:hint="eastAsia" w:ascii="宋体" w:hAnsi="宋体" w:eastAsia="宋体" w:cs="宋体"/>
          <w:sz w:val="24"/>
          <w:szCs w:val="24"/>
          <w:highlight w:val="none"/>
        </w:rPr>
        <w:t>5  累计负载运行实际性能（或生产率）</w:t>
      </w:r>
      <w:r>
        <w:rPr>
          <w:rFonts w:hint="eastAsia" w:ascii="宋体" w:hAnsi="宋体" w:eastAsia="宋体" w:cs="宋体"/>
          <w:sz w:val="24"/>
          <w:szCs w:val="24"/>
          <w:highlight w:val="none"/>
          <w:lang w:val="en-US" w:eastAsia="zh-CN"/>
        </w:rPr>
        <w:t>未</w:t>
      </w:r>
      <w:r>
        <w:rPr>
          <w:rFonts w:hint="eastAsia" w:ascii="宋体" w:hAnsi="宋体" w:eastAsia="宋体" w:cs="宋体"/>
          <w:sz w:val="24"/>
          <w:szCs w:val="24"/>
          <w:highlight w:val="none"/>
        </w:rPr>
        <w:t>达到合同规定；</w:t>
      </w:r>
    </w:p>
    <w:p w14:paraId="7460B56D">
      <w:pPr>
        <w:adjustRightInd w:val="0"/>
        <w:snapToGrid w:val="0"/>
        <w:spacing w:line="420" w:lineRule="exact"/>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 xml:space="preserve">  终验收原则上要求一次完成。若一次验收不成功，最多允许两次；如果出现第三次验收失败，重新作价或退货</w:t>
      </w:r>
      <w:r>
        <w:rPr>
          <w:rFonts w:hint="eastAsia" w:ascii="宋体" w:hAnsi="宋体" w:eastAsia="宋体" w:cs="宋体"/>
          <w:sz w:val="24"/>
          <w:szCs w:val="24"/>
          <w:highlight w:val="none"/>
          <w:lang w:eastAsia="zh-CN"/>
        </w:rPr>
        <w:t>。</w:t>
      </w:r>
    </w:p>
    <w:p w14:paraId="4CE2B875">
      <w:pPr>
        <w:adjustRightInd w:val="0"/>
        <w:snapToGrid w:val="0"/>
        <w:spacing w:line="420" w:lineRule="exact"/>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4.</w:t>
      </w:r>
      <w:r>
        <w:rPr>
          <w:rFonts w:hint="eastAsia" w:ascii="宋体" w:hAnsi="宋体" w:eastAsia="宋体" w:cs="宋体"/>
          <w:sz w:val="24"/>
          <w:szCs w:val="24"/>
          <w:highlight w:val="none"/>
          <w:lang w:val="en-US" w:eastAsia="zh-CN"/>
        </w:rPr>
        <w:t>6</w:t>
      </w:r>
      <w:r>
        <w:rPr>
          <w:rFonts w:hint="eastAsia" w:ascii="宋体" w:hAnsi="宋体" w:eastAsia="宋体" w:cs="宋体"/>
          <w:sz w:val="24"/>
          <w:szCs w:val="24"/>
          <w:highlight w:val="none"/>
        </w:rPr>
        <w:t xml:space="preserve">  终验收通过后买卖双方共同签署终验收报告，并移交、核对全部供货范围内物品。</w:t>
      </w:r>
    </w:p>
    <w:p w14:paraId="71DEF2A6">
      <w:pPr>
        <w:pageBreakBefore w:val="0"/>
        <w:kinsoku/>
        <w:wordWrap/>
        <w:overflowPunct/>
        <w:topLinePunct w:val="0"/>
        <w:autoSpaceDE/>
        <w:autoSpaceDN/>
        <w:bidi w:val="0"/>
        <w:adjustRightInd w:val="0"/>
        <w:snapToGrid w:val="0"/>
        <w:spacing w:line="420" w:lineRule="exact"/>
        <w:ind w:firstLine="480" w:firstLineChars="200"/>
        <w:textAlignment w:val="auto"/>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4.7  设备终验收前，投标人需提供所有设备永久License授权，招标人确认License授权后进行剩余款项支付。</w:t>
      </w:r>
    </w:p>
    <w:p w14:paraId="2DB426B5">
      <w:pPr>
        <w:adjustRightInd w:val="0"/>
        <w:snapToGrid w:val="0"/>
        <w:spacing w:line="420" w:lineRule="exact"/>
        <w:ind w:firstLine="480" w:firstLineChars="200"/>
        <w:rPr>
          <w:rFonts w:hint="eastAsia" w:ascii="宋体" w:hAnsi="宋体" w:eastAsia="宋体" w:cs="宋体"/>
          <w:sz w:val="24"/>
          <w:szCs w:val="24"/>
          <w:highlight w:val="none"/>
        </w:rPr>
      </w:pPr>
    </w:p>
    <w:p w14:paraId="08430214">
      <w:pPr>
        <w:rPr>
          <w:rFonts w:hint="eastAsia" w:ascii="宋体" w:hAnsi="宋体" w:eastAsia="宋体" w:cs="宋体"/>
          <w:color w:val="FF0000"/>
          <w:sz w:val="24"/>
          <w:szCs w:val="24"/>
        </w:rPr>
      </w:pPr>
      <w:r>
        <w:rPr>
          <w:rFonts w:hint="eastAsia" w:ascii="宋体" w:hAnsi="宋体" w:eastAsia="宋体" w:cs="宋体"/>
          <w:color w:val="FF0000"/>
          <w:sz w:val="24"/>
          <w:szCs w:val="24"/>
        </w:rPr>
        <w:br w:type="page"/>
      </w:r>
    </w:p>
    <w:p w14:paraId="428FCDA0">
      <w:pPr>
        <w:pStyle w:val="60"/>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41" w:name="_Toc23629"/>
      <w:bookmarkStart w:id="42" w:name="_Toc25166"/>
      <w:r>
        <w:rPr>
          <w:rFonts w:hint="eastAsia" w:ascii="宋体" w:hAnsi="宋体" w:eastAsia="宋体" w:cs="宋体"/>
          <w:b/>
          <w:bCs w:val="0"/>
          <w:color w:val="auto"/>
        </w:rPr>
        <w:t>第六章  投标技术文件一般要求</w:t>
      </w:r>
      <w:bookmarkEnd w:id="40"/>
      <w:bookmarkEnd w:id="41"/>
      <w:bookmarkEnd w:id="42"/>
    </w:p>
    <w:p w14:paraId="5E8D4E59">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一、技术文件一般内容要求</w:t>
      </w:r>
    </w:p>
    <w:p w14:paraId="7595AD33">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1.投标方应认真阅读招标文件和本技术标书，并按要求编写投标技术文件。</w:t>
      </w:r>
    </w:p>
    <w:p w14:paraId="152E8F71">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3B604DB6">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18AB86B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4.投标技术文件至少应按照招标文件要求（或投标方建议）列明备品备件、易损件和专用耗材明细。</w:t>
      </w:r>
    </w:p>
    <w:p w14:paraId="6E5FFE6B">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5.投标方应当而且必须分别说明所列备品备件、易损件和专用耗材的使用寿命（以有效工作小时数说明）。</w:t>
      </w:r>
    </w:p>
    <w:p w14:paraId="4DA8C6CD">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91FAACC">
      <w:pPr>
        <w:pageBreakBefore w:val="0"/>
        <w:kinsoku/>
        <w:wordWrap/>
        <w:overflowPunct/>
        <w:topLinePunct w:val="0"/>
        <w:autoSpaceDE/>
        <w:autoSpaceDN/>
        <w:bidi w:val="0"/>
        <w:adjustRightInd w:val="0"/>
        <w:snapToGrid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19963C93">
      <w:pPr>
        <w:pageBreakBefore w:val="0"/>
        <w:kinsoku/>
        <w:wordWrap/>
        <w:overflowPunct/>
        <w:topLinePunct w:val="0"/>
        <w:autoSpaceDE/>
        <w:autoSpaceDN/>
        <w:bidi w:val="0"/>
        <w:adjustRightInd w:val="0"/>
        <w:snapToGrid w:val="0"/>
        <w:spacing w:line="420" w:lineRule="exact"/>
        <w:ind w:firstLine="1890" w:firstLineChars="900"/>
        <w:textAlignment w:val="auto"/>
        <w:rPr>
          <w:rFonts w:hint="eastAsia" w:ascii="宋体" w:hAnsi="宋体" w:eastAsia="宋体" w:cs="宋体"/>
        </w:rPr>
      </w:pPr>
      <w:r>
        <w:rPr>
          <w:rFonts w:hint="eastAsia" w:ascii="宋体" w:hAnsi="宋体" w:eastAsia="宋体" w:cs="宋体"/>
        </w:rPr>
        <w:t>备品备件、易损件和专用耗材明细表             单位：元</w:t>
      </w:r>
    </w:p>
    <w:tbl>
      <w:tblPr>
        <w:tblStyle w:val="34"/>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7B9A7E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0E7ACC3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序号</w:t>
            </w:r>
          </w:p>
        </w:tc>
        <w:tc>
          <w:tcPr>
            <w:tcW w:w="1924" w:type="dxa"/>
            <w:noWrap w:val="0"/>
            <w:vAlign w:val="top"/>
          </w:tcPr>
          <w:p w14:paraId="6ED16450">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名称</w:t>
            </w:r>
          </w:p>
        </w:tc>
        <w:tc>
          <w:tcPr>
            <w:tcW w:w="1236" w:type="dxa"/>
            <w:noWrap w:val="0"/>
            <w:vAlign w:val="top"/>
          </w:tcPr>
          <w:p w14:paraId="0C5F0D3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型号规格</w:t>
            </w:r>
          </w:p>
        </w:tc>
        <w:tc>
          <w:tcPr>
            <w:tcW w:w="720" w:type="dxa"/>
            <w:noWrap w:val="0"/>
            <w:vAlign w:val="top"/>
          </w:tcPr>
          <w:p w14:paraId="59F76CD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单位</w:t>
            </w:r>
          </w:p>
        </w:tc>
        <w:tc>
          <w:tcPr>
            <w:tcW w:w="720" w:type="dxa"/>
            <w:noWrap w:val="0"/>
            <w:vAlign w:val="top"/>
          </w:tcPr>
          <w:p w14:paraId="041E720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数量</w:t>
            </w:r>
          </w:p>
        </w:tc>
        <w:tc>
          <w:tcPr>
            <w:tcW w:w="720" w:type="dxa"/>
            <w:noWrap w:val="0"/>
            <w:vAlign w:val="top"/>
          </w:tcPr>
          <w:p w14:paraId="343FF52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单价</w:t>
            </w:r>
          </w:p>
        </w:tc>
        <w:tc>
          <w:tcPr>
            <w:tcW w:w="720" w:type="dxa"/>
            <w:noWrap w:val="0"/>
            <w:vAlign w:val="top"/>
          </w:tcPr>
          <w:p w14:paraId="1E9955F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总价</w:t>
            </w:r>
          </w:p>
        </w:tc>
        <w:tc>
          <w:tcPr>
            <w:tcW w:w="2235" w:type="dxa"/>
            <w:noWrap w:val="0"/>
            <w:vAlign w:val="top"/>
          </w:tcPr>
          <w:p w14:paraId="1A54E05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r>
              <w:rPr>
                <w:rFonts w:hint="eastAsia" w:ascii="宋体" w:hAnsi="宋体" w:eastAsia="宋体" w:cs="宋体"/>
              </w:rPr>
              <w:t>制造商</w:t>
            </w:r>
          </w:p>
        </w:tc>
      </w:tr>
      <w:tr w14:paraId="5BD0E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F8DA6B1">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28CBC15B">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22054658">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21D1C9F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A98042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33EB66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D5E473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02199863">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3465D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05F81E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43CDB2B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640DFE5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22494B6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ADDD5B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29E0FD6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5504108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3A181CD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6E75A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4FB18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330782A4">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009027EC">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4670FBE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74D4395">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FC324A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0586DE4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47517919">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4B6F1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1A64190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6E06E154">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665CA4E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17695C8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54C923D3">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143DE5EC">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EDD0ABB">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261E010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7AD51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36BFED5D">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34EA5F8D">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04CC014F">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70EE743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3CD4BD5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AE8D5E2">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63EF4E0A">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7DDEB651">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r w14:paraId="59B56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noWrap w:val="0"/>
            <w:vAlign w:val="top"/>
          </w:tcPr>
          <w:p w14:paraId="414DC567">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1924" w:type="dxa"/>
            <w:noWrap w:val="0"/>
            <w:vAlign w:val="top"/>
          </w:tcPr>
          <w:p w14:paraId="7B96BDD2">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1236" w:type="dxa"/>
            <w:noWrap w:val="0"/>
            <w:vAlign w:val="top"/>
          </w:tcPr>
          <w:p w14:paraId="1155BBD5">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c>
          <w:tcPr>
            <w:tcW w:w="720" w:type="dxa"/>
            <w:noWrap w:val="0"/>
            <w:vAlign w:val="top"/>
          </w:tcPr>
          <w:p w14:paraId="54B10E0E">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46781CC6">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7D757D09">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720" w:type="dxa"/>
            <w:noWrap w:val="0"/>
            <w:vAlign w:val="top"/>
          </w:tcPr>
          <w:p w14:paraId="185FC668">
            <w:pPr>
              <w:pageBreakBefore w:val="0"/>
              <w:kinsoku/>
              <w:wordWrap/>
              <w:overflowPunct/>
              <w:topLinePunct w:val="0"/>
              <w:autoSpaceDE/>
              <w:autoSpaceDN/>
              <w:bidi w:val="0"/>
              <w:adjustRightInd w:val="0"/>
              <w:snapToGrid w:val="0"/>
              <w:spacing w:line="420" w:lineRule="exact"/>
              <w:jc w:val="center"/>
              <w:textAlignment w:val="auto"/>
              <w:rPr>
                <w:rFonts w:hint="eastAsia" w:ascii="宋体" w:hAnsi="宋体" w:eastAsia="宋体" w:cs="宋体"/>
              </w:rPr>
            </w:pPr>
          </w:p>
        </w:tc>
        <w:tc>
          <w:tcPr>
            <w:tcW w:w="2235" w:type="dxa"/>
            <w:noWrap w:val="0"/>
            <w:vAlign w:val="top"/>
          </w:tcPr>
          <w:p w14:paraId="066DDD1E">
            <w:pPr>
              <w:pageBreakBefore w:val="0"/>
              <w:kinsoku/>
              <w:wordWrap/>
              <w:overflowPunct/>
              <w:topLinePunct w:val="0"/>
              <w:autoSpaceDE/>
              <w:autoSpaceDN/>
              <w:bidi w:val="0"/>
              <w:adjustRightInd w:val="0"/>
              <w:snapToGrid w:val="0"/>
              <w:spacing w:line="420" w:lineRule="exact"/>
              <w:textAlignment w:val="auto"/>
              <w:rPr>
                <w:rFonts w:hint="eastAsia" w:ascii="宋体" w:hAnsi="宋体" w:eastAsia="宋体" w:cs="宋体"/>
              </w:rPr>
            </w:pPr>
          </w:p>
        </w:tc>
      </w:tr>
    </w:tbl>
    <w:p w14:paraId="3129E8E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6.2“开标一览表”和“明细表”仅作为投标方编制投标技术文件的一般格式。其中序号编写应当便于招标方了解分类或分项货物之间的所属关系，如1、1.1、1.2。</w:t>
      </w:r>
    </w:p>
    <w:p w14:paraId="60650EF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6.3应当尽可能将货物的配置列全、列细，这将有助于投标方胜出。</w:t>
      </w:r>
    </w:p>
    <w:p w14:paraId="2972D1F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048272A7">
      <w:pPr>
        <w:pageBreakBefore w:val="0"/>
        <w:kinsoku/>
        <w:wordWrap/>
        <w:overflowPunct/>
        <w:topLinePunct w:val="0"/>
        <w:autoSpaceDE/>
        <w:autoSpaceDN/>
        <w:bidi w:val="0"/>
        <w:spacing w:line="420" w:lineRule="exact"/>
        <w:ind w:firstLine="480" w:firstLineChars="200"/>
        <w:textAlignment w:val="auto"/>
        <w:outlineLvl w:val="3"/>
        <w:rPr>
          <w:rFonts w:hint="eastAsia" w:ascii="宋体" w:hAnsi="宋体" w:eastAsia="宋体" w:cs="宋体"/>
          <w:sz w:val="24"/>
          <w:szCs w:val="24"/>
        </w:rPr>
      </w:pPr>
      <w:r>
        <w:rPr>
          <w:rFonts w:hint="eastAsia" w:ascii="宋体" w:hAnsi="宋体" w:eastAsia="宋体" w:cs="宋体"/>
          <w:sz w:val="24"/>
          <w:szCs w:val="24"/>
        </w:rPr>
        <w:t>6.5本条款表格中的制造商，应当为全称或公认的简称。</w:t>
      </w:r>
    </w:p>
    <w:p w14:paraId="78E6F693">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二、技术文件中货物报价格式要求</w:t>
      </w:r>
    </w:p>
    <w:p w14:paraId="498C5EC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方不必要的误解；必要时，漏项和缺项涉及的费用，将有可能以其它投标方中，相同或相似项目的最高价，计入投标方的投标总报价之内，作为评标的依据之一。</w:t>
      </w:r>
    </w:p>
    <w:p w14:paraId="6CED6962">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539BFDA3">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3.投标总报价为自合同签定生效至合同无异议执行完毕涉及的招标方需要支付的全部费用。如投标方认为本招标及投标货物涉及特需或专门的设计，应当单独列明设计费。</w:t>
      </w:r>
    </w:p>
    <w:p w14:paraId="45813BB5">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4.备品备件、易损件和专用耗材，招标方将可能与投标方按照投标价格另行签署供货合同。</w:t>
      </w:r>
    </w:p>
    <w:p w14:paraId="5EA52ECC">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14EB28A5">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三、验收标准及内容要求</w:t>
      </w:r>
    </w:p>
    <w:p w14:paraId="4FCC7C69">
      <w:pPr>
        <w:pageBreakBefore w:val="0"/>
        <w:kinsoku/>
        <w:wordWrap/>
        <w:overflowPunct/>
        <w:topLinePunct w:val="0"/>
        <w:autoSpaceDE/>
        <w:autoSpaceDN/>
        <w:bidi w:val="0"/>
        <w:adjustRightInd w:val="0"/>
        <w:snapToGrid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除招标文件明确的验收标准或内容之外，投标方应当在投标文件中提供预验收（必要时）和终验收的标准以及规程；在合同签定之前，经投标方和招标方双方洽谈确认并签署，以作为验收标准执行。</w:t>
      </w:r>
    </w:p>
    <w:p w14:paraId="4ADAFC84">
      <w:pPr>
        <w:pStyle w:val="4"/>
        <w:pageBreakBefore w:val="0"/>
        <w:kinsoku/>
        <w:wordWrap/>
        <w:overflowPunct/>
        <w:topLinePunct w:val="0"/>
        <w:autoSpaceDE/>
        <w:autoSpaceDN/>
        <w:bidi w:val="0"/>
        <w:spacing w:before="120" w:after="120" w:line="420" w:lineRule="exact"/>
        <w:textAlignment w:val="auto"/>
        <w:rPr>
          <w:rFonts w:hint="eastAsia" w:ascii="宋体" w:hAnsi="宋体" w:eastAsia="宋体" w:cs="宋体"/>
          <w:b w:val="0"/>
          <w:color w:val="FF0000"/>
          <w:sz w:val="24"/>
          <w:szCs w:val="24"/>
        </w:rPr>
        <w:sectPr>
          <w:footerReference r:id="rId17" w:type="default"/>
          <w:pgSz w:w="11906" w:h="16838"/>
          <w:pgMar w:top="1588" w:right="1418" w:bottom="1134" w:left="1418" w:header="851" w:footer="992" w:gutter="0"/>
          <w:pgNumType w:fmt="numberInDash" w:start="1"/>
          <w:cols w:space="720" w:num="1"/>
          <w:docGrid w:linePitch="312" w:charSpace="0"/>
        </w:sectPr>
      </w:pPr>
    </w:p>
    <w:p w14:paraId="03E8C59D">
      <w:pPr>
        <w:pStyle w:val="60"/>
        <w:pageBreakBefore w:val="0"/>
        <w:kinsoku/>
        <w:wordWrap/>
        <w:overflowPunct/>
        <w:topLinePunct w:val="0"/>
        <w:autoSpaceDE/>
        <w:autoSpaceDN/>
        <w:bidi w:val="0"/>
        <w:spacing w:line="420" w:lineRule="exact"/>
        <w:textAlignment w:val="auto"/>
        <w:rPr>
          <w:rFonts w:hint="eastAsia" w:ascii="宋体" w:hAnsi="宋体" w:eastAsia="宋体" w:cs="宋体"/>
          <w:b/>
          <w:bCs w:val="0"/>
          <w:color w:val="auto"/>
        </w:rPr>
      </w:pPr>
      <w:bookmarkStart w:id="43" w:name="_Toc32054"/>
      <w:bookmarkStart w:id="44" w:name="_Toc14782"/>
      <w:r>
        <w:rPr>
          <w:rFonts w:hint="eastAsia" w:ascii="宋体" w:hAnsi="宋体" w:eastAsia="宋体" w:cs="宋体"/>
          <w:b/>
          <w:bCs w:val="0"/>
          <w:color w:val="auto"/>
        </w:rPr>
        <w:t>第七章  其它要求及说明</w:t>
      </w:r>
      <w:bookmarkEnd w:id="43"/>
      <w:bookmarkEnd w:id="44"/>
    </w:p>
    <w:p w14:paraId="704B7758">
      <w:pPr>
        <w:pStyle w:val="86"/>
        <w:pageBreakBefore w:val="0"/>
        <w:kinsoku/>
        <w:wordWrap/>
        <w:overflowPunct/>
        <w:topLinePunct w:val="0"/>
        <w:autoSpaceDE/>
        <w:autoSpaceDN/>
        <w:bidi w:val="0"/>
        <w:spacing w:line="420" w:lineRule="exact"/>
        <w:ind w:firstLine="0" w:firstLineChars="0"/>
        <w:textAlignment w:val="auto"/>
        <w:outlineLvl w:val="1"/>
        <w:rPr>
          <w:rFonts w:hint="eastAsia" w:ascii="宋体" w:hAnsi="宋体" w:eastAsia="宋体" w:cs="宋体"/>
          <w:color w:val="auto"/>
        </w:rPr>
      </w:pPr>
      <w:r>
        <w:rPr>
          <w:rFonts w:hint="eastAsia" w:ascii="宋体" w:hAnsi="宋体" w:eastAsia="宋体" w:cs="宋体"/>
          <w:color w:val="auto"/>
        </w:rPr>
        <w:t>一、要求</w:t>
      </w:r>
    </w:p>
    <w:p w14:paraId="37BC97A9">
      <w:pPr>
        <w:pStyle w:val="20"/>
        <w:pageBreakBefore w:val="0"/>
        <w:kinsoku/>
        <w:wordWrap/>
        <w:overflowPunct/>
        <w:topLinePunct w:val="0"/>
        <w:autoSpaceDE/>
        <w:autoSpaceDN/>
        <w:bidi w:val="0"/>
        <w:spacing w:line="420" w:lineRule="exact"/>
        <w:ind w:left="0" w:leftChars="0"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为保证本技术标书所列采购货物的质量以及先进性、可靠性、经济性和实用性，要求投标方在投标文件中，至少应具备以下资格证明文件或资料：</w:t>
      </w:r>
    </w:p>
    <w:p w14:paraId="0D200712">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1.投标方应是独立法人或得到法人授权的机构。应当在投标文件中提供法人营业执照（复印件）、税务登记证以及组织机构代码证（国际供应商参考该要求提供有效证明文件），并保证其真实性和有效性。</w:t>
      </w:r>
    </w:p>
    <w:p w14:paraId="3F5E63C5">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2.投标方应当是通过有关资格认证的法人。应当在投标文件中提供有效期内的资格认证证书，如：ISO9001、VDA6.1、QS9000等。</w:t>
      </w:r>
    </w:p>
    <w:p w14:paraId="322C32B6">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4C1AAAB8">
      <w:pPr>
        <w:pageBreakBefore w:val="0"/>
        <w:kinsoku/>
        <w:wordWrap/>
        <w:overflowPunct/>
        <w:topLinePunct w:val="0"/>
        <w:autoSpaceDE/>
        <w:autoSpaceDN/>
        <w:bidi w:val="0"/>
        <w:spacing w:line="420" w:lineRule="exact"/>
        <w:ind w:firstLine="477" w:firstLineChars="199"/>
        <w:textAlignment w:val="auto"/>
        <w:outlineLvl w:val="3"/>
        <w:rPr>
          <w:rFonts w:hint="eastAsia" w:ascii="宋体" w:hAnsi="宋体" w:eastAsia="宋体" w:cs="宋体"/>
          <w:sz w:val="24"/>
          <w:szCs w:val="24"/>
        </w:rPr>
      </w:pPr>
      <w:r>
        <w:rPr>
          <w:rFonts w:hint="eastAsia" w:ascii="宋体" w:hAnsi="宋体" w:eastAsia="宋体" w:cs="宋体"/>
          <w:sz w:val="24"/>
          <w:szCs w:val="24"/>
        </w:rPr>
        <w:t>4.应附有其它与投标单位、采购货物有关的荣誉证书或资料。</w:t>
      </w:r>
    </w:p>
    <w:p w14:paraId="09D2C705">
      <w:pPr>
        <w:pageBreakBefore w:val="0"/>
        <w:kinsoku/>
        <w:wordWrap/>
        <w:overflowPunct/>
        <w:topLinePunct w:val="0"/>
        <w:autoSpaceDE/>
        <w:autoSpaceDN/>
        <w:bidi w:val="0"/>
        <w:spacing w:line="420" w:lineRule="exact"/>
        <w:ind w:firstLine="477" w:firstLineChars="199"/>
        <w:textAlignment w:val="auto"/>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5.必须附有投标货物涉及产品要求的、国家或行业管理规定要求的、或者投标方认为能够体现其投标货物合法性及先进性的最高级别的证明材料（投标货物不涉及的除外）：</w:t>
      </w:r>
    </w:p>
    <w:p w14:paraId="6B87D76F">
      <w:pPr>
        <w:pageBreakBefore w:val="0"/>
        <w:kinsoku/>
        <w:wordWrap/>
        <w:overflowPunct/>
        <w:topLinePunct w:val="0"/>
        <w:autoSpaceDE/>
        <w:autoSpaceDN/>
        <w:bidi w:val="0"/>
        <w:spacing w:line="420" w:lineRule="exact"/>
        <w:ind w:firstLine="480" w:firstLineChars="200"/>
        <w:textAlignment w:val="auto"/>
        <w:outlineLvl w:val="4"/>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2E7A91A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261B9FD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07DBB66D">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494AB7D7">
      <w:pPr>
        <w:pageBreakBefore w:val="0"/>
        <w:kinsoku/>
        <w:wordWrap/>
        <w:overflowPunct/>
        <w:topLinePunct w:val="0"/>
        <w:autoSpaceDE/>
        <w:autoSpaceDN/>
        <w:bidi w:val="0"/>
        <w:spacing w:line="420" w:lineRule="exact"/>
        <w:ind w:firstLine="477" w:firstLineChars="199"/>
        <w:textAlignment w:val="auto"/>
        <w:outlineLvl w:val="4"/>
        <w:rPr>
          <w:rFonts w:hint="eastAsia" w:ascii="宋体" w:hAnsi="宋体" w:eastAsia="宋体" w:cs="宋体"/>
          <w:sz w:val="24"/>
          <w:szCs w:val="24"/>
        </w:rPr>
      </w:pPr>
      <w:r>
        <w:rPr>
          <w:rFonts w:hint="eastAsia" w:ascii="宋体" w:hAnsi="宋体" w:eastAsia="宋体" w:cs="宋体"/>
          <w:sz w:val="24"/>
          <w:szCs w:val="24"/>
        </w:rPr>
        <w:t>5.5该类报告或证明材料对于投标方胜出乃至中标极为重要。</w:t>
      </w:r>
    </w:p>
    <w:p w14:paraId="277B4957">
      <w:pPr>
        <w:pageBreakBefore w:val="0"/>
        <w:kinsoku/>
        <w:wordWrap/>
        <w:overflowPunct/>
        <w:topLinePunct w:val="0"/>
        <w:autoSpaceDE/>
        <w:autoSpaceDN/>
        <w:bidi w:val="0"/>
        <w:spacing w:line="420" w:lineRule="exact"/>
        <w:ind w:firstLine="479" w:firstLineChars="199"/>
        <w:textAlignment w:val="auto"/>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招标方单位名称、销售货物的规格型号、数量、（交货）时间、联系人和联系电话（非移动通信号码）等条目内容；投标方应当保证其业绩的真实性，否则将影响投标或中标资格。</w:t>
      </w:r>
    </w:p>
    <w:p w14:paraId="043BB24E">
      <w:pPr>
        <w:pStyle w:val="168"/>
        <w:pageBreakBefore w:val="0"/>
        <w:kinsoku/>
        <w:wordWrap/>
        <w:overflowPunct/>
        <w:topLinePunct w:val="0"/>
        <w:autoSpaceDE/>
        <w:autoSpaceDN/>
        <w:bidi w:val="0"/>
        <w:spacing w:line="420" w:lineRule="exact"/>
        <w:textAlignment w:val="auto"/>
        <w:rPr>
          <w:rFonts w:hint="eastAsia" w:ascii="宋体" w:hAnsi="宋体" w:eastAsia="宋体" w:cs="宋体"/>
          <w:sz w:val="24"/>
          <w:szCs w:val="24"/>
        </w:rPr>
      </w:pPr>
      <w:bookmarkStart w:id="45" w:name="_Toc118452185"/>
      <w:bookmarkStart w:id="46" w:name="_Toc27875"/>
      <w:bookmarkStart w:id="47" w:name="_Toc23435"/>
      <w:bookmarkStart w:id="48" w:name="_Toc1360"/>
      <w:bookmarkStart w:id="49" w:name="_Toc118460222"/>
      <w:r>
        <w:rPr>
          <w:rFonts w:hint="eastAsia" w:ascii="宋体" w:hAnsi="宋体" w:eastAsia="宋体" w:cs="宋体"/>
        </w:rPr>
        <w:t>二、说明</w:t>
      </w:r>
      <w:bookmarkEnd w:id="45"/>
      <w:bookmarkEnd w:id="46"/>
      <w:bookmarkEnd w:id="47"/>
      <w:bookmarkEnd w:id="48"/>
      <w:bookmarkEnd w:id="49"/>
    </w:p>
    <w:p w14:paraId="00C06A80">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1.投标方可以根据自身的技术、经验等优势以及对招标文件和本技术标书的理解，写明对招标方所采购货物的优化方案或建议意见。投标方的这些努力，招标方表示感谢，并将有助于投标方优先胜出。</w:t>
      </w:r>
    </w:p>
    <w:p w14:paraId="50520FEF">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08A33388">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3.请投标方仔细阅读“采购货物概况”章节内说明，针对允许分投分中的货物，招标方有权利选择其中优秀设备或服务，作为投标方合同供货范围中的指定选用设备或服务（替代投标方分投而未中标部分）。</w:t>
      </w:r>
    </w:p>
    <w:p w14:paraId="17847DE9">
      <w:pPr>
        <w:pageBreakBefore w:val="0"/>
        <w:kinsoku/>
        <w:wordWrap/>
        <w:overflowPunct/>
        <w:topLinePunct w:val="0"/>
        <w:autoSpaceDE/>
        <w:autoSpaceDN/>
        <w:bidi w:val="0"/>
        <w:spacing w:line="42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4.招标文件、投标文件、答疑文件、技术交流文件、技术标书等，在采购过程全部为有效文件，如有差异，以对招标方最有利的条款为准。</w:t>
      </w:r>
    </w:p>
    <w:p w14:paraId="5C6914A7">
      <w:pPr>
        <w:pageBreakBefore w:val="0"/>
        <w:kinsoku/>
        <w:wordWrap/>
        <w:overflowPunct/>
        <w:topLinePunct w:val="0"/>
        <w:autoSpaceDE/>
        <w:autoSpaceDN/>
        <w:bidi w:val="0"/>
        <w:spacing w:line="420" w:lineRule="exact"/>
        <w:ind w:firstLine="480" w:firstLineChars="200"/>
        <w:textAlignment w:val="auto"/>
        <w:rPr>
          <w:rFonts w:hAnsi="宋体" w:eastAsia="宋体" w:cs="Times New Roman"/>
          <w:b/>
          <w:color w:val="000000"/>
          <w:sz w:val="24"/>
          <w:szCs w:val="24"/>
        </w:rPr>
      </w:pPr>
      <w:r>
        <w:rPr>
          <w:rFonts w:hint="eastAsia" w:ascii="宋体" w:hAnsi="宋体" w:eastAsia="宋体" w:cs="宋体"/>
          <w:sz w:val="24"/>
          <w:szCs w:val="24"/>
        </w:rPr>
        <w:t>5.为避免歧异，本技术标书涉及招投标环节的条款，均将潜在的卖方称为投标方、将买方称为招标方；定标后合同签署环节以及后续的合同执行环节条款，招标方称为买方、投标方中的中标方称为卖方。</w:t>
      </w:r>
      <w:bookmarkEnd w:id="25"/>
      <w:bookmarkEnd w:id="26"/>
    </w:p>
    <w:p w14:paraId="3573F4D9">
      <w:pPr>
        <w:rPr>
          <w:rFonts w:hint="eastAsia" w:ascii="宋体" w:hAnsi="宋体" w:eastAsia="宋体" w:cs="宋体"/>
        </w:rPr>
      </w:pPr>
    </w:p>
    <w:sectPr>
      <w:headerReference r:id="rId18" w:type="default"/>
      <w:footerReference r:id="rId19" w:type="default"/>
      <w:pgSz w:w="11906" w:h="16838"/>
      <w:pgMar w:top="1588" w:right="1418" w:bottom="1134" w:left="1418" w:header="851" w:footer="992" w:gutter="0"/>
      <w:pgNumType w:fmt="numberInDash"/>
      <w:cols w:space="720" w:num="1"/>
      <w:docGrid w:type="lines" w:linePitch="312"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comment w:id="0" w:author="WPS_1646895378" w:date="2023-04-19T10:59:51Z" w:initials="">
    <w:p w14:paraId="6A673BB2">
      <w:pPr>
        <w:pStyle w:val="13"/>
        <w:rPr>
          <w:rFonts w:hint="default" w:eastAsia="宋体"/>
          <w:lang w:val="en-US" w:eastAsia="zh-CN"/>
        </w:rPr>
      </w:pPr>
      <w:r>
        <w:rPr>
          <w:rFonts w:hint="eastAsia"/>
          <w:lang w:val="en-US" w:eastAsia="zh-CN"/>
        </w:rPr>
        <w:t>固定资产项目，请将完整技术文件复制至此处即可，非固投项目技术标书请根据项目内容书写，可以参考本格式。</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6A673BB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Cordia New">
    <w:altName w:val="等线"/>
    <w:panose1 w:val="020B0304020202020204"/>
    <w:charset w:val="DE"/>
    <w:family w:val="swiss"/>
    <w:pitch w:val="default"/>
    <w:sig w:usb0="00000000" w:usb1="00000000" w:usb2="00000000" w:usb3="00000000" w:csb0="00010001" w:csb1="00000000"/>
  </w:font>
  <w:font w:name="等线 Light">
    <w:panose1 w:val="02010600030101010101"/>
    <w:charset w:val="86"/>
    <w:family w:val="auto"/>
    <w:pitch w:val="default"/>
    <w:sig w:usb0="A00002BF" w:usb1="38CF7CFA" w:usb2="00000016" w:usb3="00000000" w:csb0="0004000F" w:csb1="00000000"/>
  </w:font>
  <w:font w:name="Angsana New">
    <w:altName w:val="等线"/>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仿宋">
    <w:altName w:val="仿宋"/>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5E947F">
    <w:pPr>
      <w:pStyle w:val="22"/>
      <w:jc w:val="center"/>
    </w:pPr>
    <w:r>
      <w:fldChar w:fldCharType="begin"/>
    </w:r>
    <w:r>
      <w:instrText xml:space="preserve">PAGE   \* MERGEFORMAT</w:instrText>
    </w:r>
    <w:r>
      <w:fldChar w:fldCharType="separate"/>
    </w:r>
    <w:r>
      <w:rPr>
        <w:lang w:val="zh-CN"/>
      </w:rPr>
      <w:t>-</w:t>
    </w:r>
    <w:r>
      <w:t xml:space="preserve"> 2 -</w:t>
    </w:r>
    <w:r>
      <w:fldChar w:fldCharType="end"/>
    </w:r>
  </w:p>
  <w:p w14:paraId="57A30F55">
    <w:pPr>
      <w:pStyle w:val="22"/>
    </w:pPr>
  </w:p>
  <w:p w14:paraId="336E9227"/>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BEF02">
    <w:pPr>
      <w:pStyle w:val="22"/>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5E5B68">
    <w:pPr>
      <w:pStyle w:val="22"/>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D8AB86">
                          <w:pPr>
                            <w:pStyle w:val="2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27D8AB86">
                    <w:pPr>
                      <w:pStyle w:val="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C2DA7C">
    <w:pPr>
      <w:pStyle w:val="22"/>
      <w:tabs>
        <w:tab w:val="clear" w:pos="4153"/>
      </w:tabs>
      <w:jc w:val="center"/>
    </w:pPr>
    <w:r>
      <mc:AlternateContent>
        <mc:Choice Requires="wps">
          <w:drawing>
            <wp:anchor distT="0" distB="0" distL="114300" distR="114300" simplePos="0" relativeHeight="251663360" behindDoc="0" locked="0" layoutInCell="1" allowOverlap="1">
              <wp:simplePos x="0" y="0"/>
              <wp:positionH relativeFrom="margin">
                <wp:posOffset>2757805</wp:posOffset>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7EFEB2">
                          <w:pPr>
                            <w:pStyle w:val="22"/>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17.15pt;margin-top:0pt;height:144pt;width:144pt;mso-position-horizontal-relative:margin;mso-wrap-style:none;z-index:251663360;mso-width-relative:page;mso-height-relative:page;" filled="f" stroked="f" coordsize="21600,21600" o:gfxdata="UEsDBAoAAAAAAIdO4kAAAAAAAAAAAAAAAAAEAAAAZHJzL1BLAwQUAAAACACHTuJAqcIchdUAAAAI&#10;AQAADwAAAGRycy9kb3ducmV2LnhtbE2PzU7DMBCE70i8g7VI3KjdJIIoxKlERTgi0fTA0Y2XJOCf&#10;yHbT8PYsJziOZjTzTb1brWELhjh5J2G7EcDQ9V5PbpBw7Nq7ElhMymllvEMJ3xhh11xf1arS/uLe&#10;cDmkgVGJi5WSMKY0V5zHfkSr4sbP6Mj78MGqRDIMXAd1oXJreCbEPbdqcrQwqhn3I/Zfh7OVsG+7&#10;LiwYg3nHlzb/fH0q8HmV8vZmKx6BJVzTXxh+8QkdGmI6+bPTkRkJRV7kFJVAj8h+yDKSJwlZWQrg&#10;Tc3/H2h+AFBLAwQUAAAACACHTuJA2Zxg5DICAABjBAAADgAAAGRycy9lMm9Eb2MueG1srVTNjtow&#10;EL5X6jtYvpcAFSuECCu6iKoS6q5Eq56N45BI/pNtSOgDtG/QUy+997l4jv3sELba9rCHXsLYM/5m&#10;vm9mmN+2SpKjcL42OqejwZASobkpar3P6edP6zdTSnxgumDSaJHTk/D0dvH61byxMzE2lZGFcAQg&#10;2s8am9MqBDvLMs8roZgfGCs0nKVxigUc3T4rHGuArmQ2Hg5vssa4wjrDhfe4XXVOekF0LwE0ZVlz&#10;sTL8oIQOHaoTkgVQ8lVtPV2kastS8HBfll4EInMKpiF9kQT2Ln6zxZzN9o7ZquaXEthLSnjGSbFa&#10;I+kVasUCIwdX/wWlau6MN2UYcKOyjkhSBCxGw2fabCtmReICqb29iu7/Hyz/eHxwpC5yOqFEM4WG&#10;n398P//8ff71jUyiPI31M0RtLeJC+860GJr+3uMysm5Lp+Iv+BD4Ie7pKq5oA+Hx0XQ8nQ7h4vD1&#10;B+BnT8+t8+G9MIpEI6cO3UuisuPGhy60D4nZtFnXUqYOSk2anN68nQzTg6sH4FLHWJFm4QITKXWl&#10;Ryu0u/bCc2eKE2g6082Jt3xdo5QN8+GBOQwGysfqhHt8SmmQ0lwsSirjvv7rPsajX/BS0mDQcqqx&#10;V5TIDxp9BGDoDdcbu97QB3VnMLkjrKTlycQDF2Rvls6oL9inZcwBF9McmXIaevMudMOOfeRiuUxB&#10;mDzLwkZvLY/QUR5vl4cAOZPKUZROCXQnHjB7qU+XPYnD/ec5RT39Nywe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KnCHIXVAAAACAEAAA8AAAAAAAAAAQAgAAAAIgAAAGRycy9kb3ducmV2LnhtbFBL&#10;AQIUABQAAAAIAIdO4kDZnGDkMgIAAGMEAAAOAAAAAAAAAAEAIAAAACQBAABkcnMvZTJvRG9jLnht&#10;bFBLBQYAAAAABgAGAFkBAADIBQAAAAA=&#10;">
              <v:fill on="f" focussize="0,0"/>
              <v:stroke on="f" weight="0.5pt"/>
              <v:imagedata o:title=""/>
              <o:lock v:ext="edit" aspectratio="f"/>
              <v:textbox inset="0mm,0mm,0mm,0mm" style="mso-fit-shape-to-text:t;">
                <w:txbxContent>
                  <w:p w14:paraId="607EFEB2">
                    <w:pPr>
                      <w:pStyle w:val="22"/>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D4395">
    <w:pPr>
      <w:pStyle w:val="22"/>
      <w:jc w:val="center"/>
    </w:pPr>
    <w:r>
      <w:fldChar w:fldCharType="begin"/>
    </w:r>
    <w:r>
      <w:instrText xml:space="preserve">PAGE   \* MERGEFORMAT</w:instrText>
    </w:r>
    <w:r>
      <w:fldChar w:fldCharType="separate"/>
    </w:r>
    <w:r>
      <w:rPr>
        <w:lang w:val="zh-CN"/>
      </w:rPr>
      <w:t>-</w:t>
    </w:r>
    <w:r>
      <w:t xml:space="preserve"> 1 -</w:t>
    </w:r>
    <w:r>
      <w:fldChar w:fldCharType="end"/>
    </w:r>
  </w:p>
  <w:p w14:paraId="1AE8A831">
    <w:pPr>
      <w:pStyle w:val="22"/>
      <w:jc w:val="center"/>
    </w:pPr>
  </w:p>
  <w:p w14:paraId="478B951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A19F58">
    <w:pPr>
      <w:pStyle w:val="2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304714">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6E304714">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0C5E">
    <w:pPr>
      <w:pStyle w:val="22"/>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ABEAA2B">
                          <w:pPr>
                            <w:pStyle w:val="2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3ABEAA2B">
                    <w:pPr>
                      <w:pStyle w:val="22"/>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D5AE53">
    <w:pPr>
      <w:pStyle w:val="22"/>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00D044">
    <w:pPr>
      <w:pStyle w:val="22"/>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99F879">
    <w:pPr>
      <w:pStyle w:val="22"/>
      <w:jc w:val="cen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02AD4">
    <w:pPr>
      <w:pStyle w:val="22"/>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4A8897">
    <w:pPr>
      <w:pStyle w:val="22"/>
      <w:jc w:val="cente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60A898">
                          <w:pPr>
                            <w:pStyle w:val="22"/>
                          </w:pPr>
                          <w:r>
                            <w:fldChar w:fldCharType="begin"/>
                          </w:r>
                          <w:r>
                            <w:instrText xml:space="preserve"> PAGE  \* MERGEFORMAT </w:instrText>
                          </w:r>
                          <w:r>
                            <w:fldChar w:fldCharType="separate"/>
                          </w:r>
                          <w:r>
                            <w:t>- 4 -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5260A898">
                    <w:pPr>
                      <w:pStyle w:val="22"/>
                    </w:pPr>
                    <w:r>
                      <w:fldChar w:fldCharType="begin"/>
                    </w:r>
                    <w:r>
                      <w:instrText xml:space="preserve"> PAGE  \* MERGEFORMAT </w:instrText>
                    </w:r>
                    <w:r>
                      <w:fldChar w:fldCharType="separate"/>
                    </w:r>
                    <w:r>
                      <w:t>- 4 -</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03C675">
    <w:pPr>
      <w:pStyle w:val="2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405DD">
    <w:pPr>
      <w:pStyle w:val="2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0EB251E">
    <w:pPr>
      <w:pStyle w:val="2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C3D7A017"/>
    <w:multiLevelType w:val="multilevel"/>
    <w:tmpl w:val="C3D7A017"/>
    <w:lvl w:ilvl="0" w:tentative="0">
      <w:start w:val="1"/>
      <w:numFmt w:val="bullet"/>
      <w:lvlText w:val=""/>
      <w:lvlJc w:val="left"/>
      <w:pPr>
        <w:tabs>
          <w:tab w:val="left" w:pos="720"/>
        </w:tabs>
        <w:ind w:left="720" w:hanging="360"/>
      </w:pPr>
      <w:rPr>
        <w:rFonts w:hint="default" w:ascii="Symbol" w:hAnsi="Symbol" w:cs="Symbol"/>
        <w:sz w:val="20"/>
      </w:rPr>
    </w:lvl>
    <w:lvl w:ilvl="1" w:tentative="0">
      <w:start w:val="1"/>
      <w:numFmt w:val="bullet"/>
      <w:lvlText w:val="o"/>
      <w:lvlJc w:val="left"/>
      <w:pPr>
        <w:tabs>
          <w:tab w:val="left" w:pos="1440"/>
        </w:tabs>
        <w:ind w:left="1440" w:hanging="360"/>
      </w:pPr>
      <w:rPr>
        <w:rFonts w:hint="default" w:ascii="Courier New" w:hAnsi="Courier New" w:cs="Courier New"/>
        <w:sz w:val="20"/>
      </w:rPr>
    </w:lvl>
    <w:lvl w:ilvl="2" w:tentative="0">
      <w:start w:val="1"/>
      <w:numFmt w:val="bullet"/>
      <w:lvlText w:val=""/>
      <w:lvlJc w:val="left"/>
      <w:pPr>
        <w:tabs>
          <w:tab w:val="left" w:pos="2160"/>
        </w:tabs>
        <w:ind w:left="2160" w:hanging="360"/>
      </w:pPr>
      <w:rPr>
        <w:rFonts w:hint="default" w:ascii="Wingdings" w:hAnsi="Wingdings" w:cs="Wingdings"/>
        <w:sz w:val="20"/>
      </w:rPr>
    </w:lvl>
    <w:lvl w:ilvl="3" w:tentative="0">
      <w:start w:val="1"/>
      <w:numFmt w:val="bullet"/>
      <w:lvlText w:val=""/>
      <w:lvlJc w:val="left"/>
      <w:pPr>
        <w:tabs>
          <w:tab w:val="left" w:pos="2880"/>
        </w:tabs>
        <w:ind w:left="2880" w:hanging="360"/>
      </w:pPr>
      <w:rPr>
        <w:rFonts w:hint="default" w:ascii="Wingdings" w:hAnsi="Wingdings" w:cs="Wingdings"/>
        <w:sz w:val="20"/>
      </w:rPr>
    </w:lvl>
    <w:lvl w:ilvl="4" w:tentative="0">
      <w:start w:val="1"/>
      <w:numFmt w:val="bullet"/>
      <w:lvlText w:val=""/>
      <w:lvlJc w:val="left"/>
      <w:pPr>
        <w:tabs>
          <w:tab w:val="left" w:pos="3600"/>
        </w:tabs>
        <w:ind w:left="3600" w:hanging="360"/>
      </w:pPr>
      <w:rPr>
        <w:rFonts w:hint="default" w:ascii="Wingdings" w:hAnsi="Wingdings" w:cs="Wingdings"/>
        <w:sz w:val="20"/>
      </w:rPr>
    </w:lvl>
    <w:lvl w:ilvl="5" w:tentative="0">
      <w:start w:val="1"/>
      <w:numFmt w:val="bullet"/>
      <w:lvlText w:val=""/>
      <w:lvlJc w:val="left"/>
      <w:pPr>
        <w:tabs>
          <w:tab w:val="left" w:pos="4320"/>
        </w:tabs>
        <w:ind w:left="4320" w:hanging="360"/>
      </w:pPr>
      <w:rPr>
        <w:rFonts w:hint="default" w:ascii="Wingdings" w:hAnsi="Wingdings" w:cs="Wingdings"/>
        <w:sz w:val="20"/>
      </w:rPr>
    </w:lvl>
    <w:lvl w:ilvl="6" w:tentative="0">
      <w:start w:val="1"/>
      <w:numFmt w:val="bullet"/>
      <w:lvlText w:val=""/>
      <w:lvlJc w:val="left"/>
      <w:pPr>
        <w:tabs>
          <w:tab w:val="left" w:pos="5040"/>
        </w:tabs>
        <w:ind w:left="5040" w:hanging="360"/>
      </w:pPr>
      <w:rPr>
        <w:rFonts w:hint="default" w:ascii="Wingdings" w:hAnsi="Wingdings" w:cs="Wingdings"/>
        <w:sz w:val="20"/>
      </w:rPr>
    </w:lvl>
    <w:lvl w:ilvl="7" w:tentative="0">
      <w:start w:val="1"/>
      <w:numFmt w:val="bullet"/>
      <w:lvlText w:val=""/>
      <w:lvlJc w:val="left"/>
      <w:pPr>
        <w:tabs>
          <w:tab w:val="left" w:pos="5760"/>
        </w:tabs>
        <w:ind w:left="5760" w:hanging="360"/>
      </w:pPr>
      <w:rPr>
        <w:rFonts w:hint="default" w:ascii="Wingdings" w:hAnsi="Wingdings" w:cs="Wingdings"/>
        <w:sz w:val="20"/>
      </w:rPr>
    </w:lvl>
    <w:lvl w:ilvl="8" w:tentative="0">
      <w:start w:val="1"/>
      <w:numFmt w:val="bullet"/>
      <w:lvlText w:val=""/>
      <w:lvlJc w:val="left"/>
      <w:pPr>
        <w:tabs>
          <w:tab w:val="left" w:pos="6480"/>
        </w:tabs>
        <w:ind w:left="6480" w:hanging="360"/>
      </w:pPr>
      <w:rPr>
        <w:rFonts w:hint="default" w:ascii="Wingdings" w:hAnsi="Wingdings" w:cs="Wingdings"/>
        <w:sz w:val="20"/>
      </w:rPr>
    </w:lvl>
  </w:abstractNum>
  <w:abstractNum w:abstractNumId="2">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3">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4">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5">
    <w:nsid w:val="068749BD"/>
    <w:multiLevelType w:val="singleLevel"/>
    <w:tmpl w:val="068749BD"/>
    <w:lvl w:ilvl="0" w:tentative="0">
      <w:start w:val="1"/>
      <w:numFmt w:val="decimal"/>
      <w:suff w:val="nothing"/>
      <w:lvlText w:val="%1、"/>
      <w:lvlJc w:val="left"/>
    </w:lvl>
  </w:abstractNum>
  <w:abstractNum w:abstractNumId="6">
    <w:nsid w:val="1926DFDC"/>
    <w:multiLevelType w:val="singleLevel"/>
    <w:tmpl w:val="1926DFDC"/>
    <w:lvl w:ilvl="0" w:tentative="0">
      <w:start w:val="1"/>
      <w:numFmt w:val="decimal"/>
      <w:suff w:val="nothing"/>
      <w:lvlText w:val="%1、"/>
      <w:lvlJc w:val="left"/>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3C61FA8C"/>
    <w:multiLevelType w:val="singleLevel"/>
    <w:tmpl w:val="3C61FA8C"/>
    <w:lvl w:ilvl="0" w:tentative="0">
      <w:start w:val="2"/>
      <w:numFmt w:val="decimal"/>
      <w:suff w:val="nothing"/>
      <w:lvlText w:val="%1、"/>
      <w:lvlJc w:val="left"/>
    </w:lvl>
  </w:abstractNum>
  <w:abstractNum w:abstractNumId="9">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10">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10"/>
  </w:num>
  <w:num w:numId="2">
    <w:abstractNumId w:val="4"/>
  </w:num>
  <w:num w:numId="3">
    <w:abstractNumId w:val="3"/>
  </w:num>
  <w:num w:numId="4">
    <w:abstractNumId w:val="9"/>
  </w:num>
  <w:num w:numId="5">
    <w:abstractNumId w:val="2"/>
  </w:num>
  <w:num w:numId="6">
    <w:abstractNumId w:val="7"/>
  </w:num>
  <w:num w:numId="7">
    <w:abstractNumId w:val="0"/>
  </w:num>
  <w:num w:numId="8">
    <w:abstractNumId w:val="8"/>
  </w:num>
  <w:num w:numId="9">
    <w:abstractNumId w:val="1"/>
  </w:num>
  <w:num w:numId="10">
    <w:abstractNumId w:val="5"/>
  </w:num>
  <w:num w:numId="11">
    <w:abstractNumId w:val="6"/>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WPS_1646895378">
    <w15:presenceInfo w15:providerId="WPS Office" w15:userId="88118030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7E57C0D"/>
    <w:rsid w:val="099C5159"/>
    <w:rsid w:val="0EC75460"/>
    <w:rsid w:val="118B17C0"/>
    <w:rsid w:val="14A15C19"/>
    <w:rsid w:val="17EC378B"/>
    <w:rsid w:val="18CD0662"/>
    <w:rsid w:val="23B229FE"/>
    <w:rsid w:val="2B9B40AD"/>
    <w:rsid w:val="2E1B251B"/>
    <w:rsid w:val="2EB771D0"/>
    <w:rsid w:val="2F7A4143"/>
    <w:rsid w:val="30BC6FA0"/>
    <w:rsid w:val="31DD7AF9"/>
    <w:rsid w:val="347E0C7B"/>
    <w:rsid w:val="34F7633C"/>
    <w:rsid w:val="386D6DD1"/>
    <w:rsid w:val="3E595D18"/>
    <w:rsid w:val="3E946E66"/>
    <w:rsid w:val="4C3A530E"/>
    <w:rsid w:val="519B637D"/>
    <w:rsid w:val="520D3BC4"/>
    <w:rsid w:val="5AAE28B9"/>
    <w:rsid w:val="5E2644B7"/>
    <w:rsid w:val="60AE53F2"/>
    <w:rsid w:val="60EE4022"/>
    <w:rsid w:val="636F4F70"/>
    <w:rsid w:val="64D3442A"/>
    <w:rsid w:val="65AD6236"/>
    <w:rsid w:val="68097099"/>
    <w:rsid w:val="684F7006"/>
    <w:rsid w:val="699A3928"/>
    <w:rsid w:val="6A9F07BD"/>
    <w:rsid w:val="6DBF01E8"/>
    <w:rsid w:val="70221C74"/>
    <w:rsid w:val="703E2A0F"/>
    <w:rsid w:val="720E4873"/>
    <w:rsid w:val="735519D9"/>
    <w:rsid w:val="73E3796C"/>
    <w:rsid w:val="743D21A9"/>
    <w:rsid w:val="77EF6C01"/>
    <w:rsid w:val="7B2E0449"/>
    <w:rsid w:val="7D4635F6"/>
    <w:rsid w:val="7F211349"/>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4">
    <w:name w:val="heading 1"/>
    <w:basedOn w:val="1"/>
    <w:next w:val="1"/>
    <w:link w:val="42"/>
    <w:qFormat/>
    <w:uiPriority w:val="0"/>
    <w:pPr>
      <w:keepNext/>
      <w:keepLines/>
      <w:spacing w:before="340" w:after="330" w:line="576" w:lineRule="auto"/>
      <w:outlineLvl w:val="0"/>
    </w:pPr>
    <w:rPr>
      <w:b/>
      <w:bCs/>
      <w:kern w:val="44"/>
      <w:sz w:val="44"/>
      <w:szCs w:val="44"/>
      <w:lang w:val="zh-CN" w:eastAsia="zh-CN"/>
    </w:rPr>
  </w:style>
  <w:style w:type="paragraph" w:styleId="5">
    <w:name w:val="heading 2"/>
    <w:basedOn w:val="1"/>
    <w:next w:val="1"/>
    <w:link w:val="43"/>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6">
    <w:name w:val="heading 3"/>
    <w:basedOn w:val="1"/>
    <w:next w:val="1"/>
    <w:link w:val="44"/>
    <w:qFormat/>
    <w:uiPriority w:val="0"/>
    <w:pPr>
      <w:keepNext/>
      <w:keepLines/>
      <w:spacing w:before="260" w:after="260" w:line="416" w:lineRule="auto"/>
      <w:outlineLvl w:val="2"/>
    </w:pPr>
    <w:rPr>
      <w:b/>
      <w:bCs/>
      <w:sz w:val="32"/>
      <w:szCs w:val="32"/>
      <w:lang w:val="zh-CN" w:eastAsia="zh-CN"/>
    </w:rPr>
  </w:style>
  <w:style w:type="paragraph" w:styleId="7">
    <w:name w:val="heading 4"/>
    <w:basedOn w:val="1"/>
    <w:next w:val="1"/>
    <w:link w:val="46"/>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6">
    <w:name w:val="Default Paragraph Font"/>
    <w:semiHidden/>
    <w:unhideWhenUsed/>
    <w:qFormat/>
    <w:uiPriority w:val="1"/>
  </w:style>
  <w:style w:type="table" w:default="1" w:styleId="34">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semiHidden/>
    <w:unhideWhenUsed/>
    <w:qFormat/>
    <w:uiPriority w:val="99"/>
    <w:pPr>
      <w:ind w:firstLine="420" w:firstLineChars="100"/>
    </w:pPr>
  </w:style>
  <w:style w:type="paragraph" w:styleId="3">
    <w:name w:val="Body Text"/>
    <w:basedOn w:val="1"/>
    <w:link w:val="100"/>
    <w:qFormat/>
    <w:uiPriority w:val="0"/>
    <w:rPr>
      <w:rFonts w:ascii="仿宋_GB2312" w:eastAsia="仿宋_GB2312"/>
      <w:sz w:val="32"/>
      <w:lang w:val="zh-CN" w:eastAsia="zh-CN"/>
    </w:rPr>
  </w:style>
  <w:style w:type="paragraph" w:styleId="8">
    <w:name w:val="toc 7"/>
    <w:basedOn w:val="1"/>
    <w:next w:val="1"/>
    <w:qFormat/>
    <w:uiPriority w:val="0"/>
    <w:pPr>
      <w:ind w:left="1440"/>
      <w:jc w:val="left"/>
    </w:pPr>
    <w:rPr>
      <w:sz w:val="18"/>
      <w:szCs w:val="18"/>
    </w:rPr>
  </w:style>
  <w:style w:type="paragraph" w:styleId="9">
    <w:name w:val="Normal Indent"/>
    <w:basedOn w:val="1"/>
    <w:qFormat/>
    <w:uiPriority w:val="0"/>
    <w:pPr>
      <w:ind w:firstLine="420"/>
    </w:pPr>
    <w:rPr>
      <w:rFonts w:ascii="Times New Roman" w:hAnsi="Times New Roman"/>
      <w:kern w:val="0"/>
      <w:sz w:val="20"/>
      <w:szCs w:val="20"/>
    </w:rPr>
  </w:style>
  <w:style w:type="paragraph" w:styleId="10">
    <w:name w:val="caption"/>
    <w:basedOn w:val="1"/>
    <w:next w:val="1"/>
    <w:qFormat/>
    <w:uiPriority w:val="0"/>
    <w:pPr>
      <w:spacing w:before="152" w:after="160"/>
    </w:pPr>
    <w:rPr>
      <w:rFonts w:ascii="Arial" w:hAnsi="Arial" w:eastAsia="黑体" w:cs="Arial"/>
      <w:sz w:val="20"/>
    </w:rPr>
  </w:style>
  <w:style w:type="paragraph" w:styleId="11">
    <w:name w:val="Document Map"/>
    <w:basedOn w:val="1"/>
    <w:link w:val="61"/>
    <w:qFormat/>
    <w:uiPriority w:val="0"/>
    <w:pPr>
      <w:shd w:val="clear" w:color="auto" w:fill="000080"/>
    </w:pPr>
    <w:rPr>
      <w:rFonts w:asciiTheme="minorHAnsi" w:hAnsiTheme="minorHAnsi" w:eastAsiaTheme="minorEastAsia" w:cstheme="minorBidi"/>
      <w:sz w:val="24"/>
      <w:szCs w:val="24"/>
    </w:rPr>
  </w:style>
  <w:style w:type="paragraph" w:styleId="12">
    <w:name w:val="toa heading"/>
    <w:basedOn w:val="1"/>
    <w:next w:val="1"/>
    <w:qFormat/>
    <w:uiPriority w:val="0"/>
    <w:pPr>
      <w:spacing w:before="120"/>
    </w:pPr>
    <w:rPr>
      <w:rFonts w:ascii="Arial" w:hAnsi="Arial" w:cs="Arial"/>
      <w:sz w:val="24"/>
      <w:szCs w:val="24"/>
    </w:rPr>
  </w:style>
  <w:style w:type="paragraph" w:styleId="13">
    <w:name w:val="annotation text"/>
    <w:basedOn w:val="1"/>
    <w:link w:val="49"/>
    <w:unhideWhenUsed/>
    <w:qFormat/>
    <w:uiPriority w:val="0"/>
    <w:pPr>
      <w:jc w:val="left"/>
    </w:pPr>
  </w:style>
  <w:style w:type="paragraph" w:styleId="14">
    <w:name w:val="Body Text Indent"/>
    <w:basedOn w:val="1"/>
    <w:link w:val="92"/>
    <w:qFormat/>
    <w:uiPriority w:val="0"/>
    <w:pPr>
      <w:spacing w:after="120"/>
      <w:ind w:left="420" w:leftChars="200"/>
    </w:pPr>
    <w:rPr>
      <w:lang w:val="zh-CN" w:eastAsia="zh-CN"/>
    </w:rPr>
  </w:style>
  <w:style w:type="paragraph" w:styleId="15">
    <w:name w:val="toc 5"/>
    <w:basedOn w:val="1"/>
    <w:next w:val="1"/>
    <w:qFormat/>
    <w:uiPriority w:val="0"/>
    <w:pPr>
      <w:ind w:left="960"/>
      <w:jc w:val="left"/>
    </w:pPr>
    <w:rPr>
      <w:sz w:val="18"/>
      <w:szCs w:val="18"/>
    </w:rPr>
  </w:style>
  <w:style w:type="paragraph" w:styleId="16">
    <w:name w:val="toc 3"/>
    <w:basedOn w:val="1"/>
    <w:next w:val="1"/>
    <w:qFormat/>
    <w:uiPriority w:val="0"/>
    <w:pPr>
      <w:ind w:left="480"/>
      <w:jc w:val="left"/>
    </w:pPr>
    <w:rPr>
      <w:i/>
      <w:iCs/>
      <w:sz w:val="20"/>
    </w:rPr>
  </w:style>
  <w:style w:type="paragraph" w:styleId="17">
    <w:name w:val="Plain Text"/>
    <w:basedOn w:val="1"/>
    <w:link w:val="63"/>
    <w:qFormat/>
    <w:uiPriority w:val="0"/>
    <w:rPr>
      <w:rFonts w:ascii="宋体" w:hAnsi="Courier New" w:cstheme="minorBidi"/>
      <w:szCs w:val="22"/>
    </w:rPr>
  </w:style>
  <w:style w:type="paragraph" w:styleId="18">
    <w:name w:val="toc 8"/>
    <w:basedOn w:val="1"/>
    <w:next w:val="1"/>
    <w:qFormat/>
    <w:uiPriority w:val="0"/>
    <w:pPr>
      <w:ind w:left="1680"/>
      <w:jc w:val="left"/>
    </w:pPr>
    <w:rPr>
      <w:sz w:val="18"/>
      <w:szCs w:val="18"/>
    </w:rPr>
  </w:style>
  <w:style w:type="paragraph" w:styleId="19">
    <w:name w:val="Date"/>
    <w:basedOn w:val="1"/>
    <w:next w:val="1"/>
    <w:link w:val="68"/>
    <w:qFormat/>
    <w:uiPriority w:val="0"/>
    <w:pPr>
      <w:ind w:left="100" w:leftChars="2500"/>
    </w:pPr>
    <w:rPr>
      <w:rFonts w:asciiTheme="minorHAnsi" w:hAnsiTheme="minorHAnsi" w:eastAsiaTheme="minorEastAsia" w:cstheme="minorBidi"/>
      <w:sz w:val="24"/>
      <w:szCs w:val="24"/>
    </w:rPr>
  </w:style>
  <w:style w:type="paragraph" w:styleId="20">
    <w:name w:val="Body Text Indent 2"/>
    <w:basedOn w:val="1"/>
    <w:link w:val="54"/>
    <w:qFormat/>
    <w:uiPriority w:val="0"/>
    <w:pPr>
      <w:spacing w:after="120" w:line="480" w:lineRule="auto"/>
      <w:ind w:left="420" w:leftChars="200"/>
    </w:pPr>
    <w:rPr>
      <w:rFonts w:asciiTheme="minorHAnsi" w:hAnsiTheme="minorHAnsi" w:eastAsiaTheme="minorEastAsia" w:cstheme="minorBidi"/>
      <w:szCs w:val="22"/>
    </w:rPr>
  </w:style>
  <w:style w:type="paragraph" w:styleId="21">
    <w:name w:val="Balloon Text"/>
    <w:basedOn w:val="1"/>
    <w:link w:val="71"/>
    <w:qFormat/>
    <w:uiPriority w:val="0"/>
    <w:rPr>
      <w:rFonts w:asciiTheme="minorHAnsi" w:hAnsiTheme="minorHAnsi" w:eastAsiaTheme="minorEastAsia" w:cstheme="minorBidi"/>
      <w:sz w:val="18"/>
      <w:szCs w:val="18"/>
    </w:rPr>
  </w:style>
  <w:style w:type="paragraph" w:styleId="22">
    <w:name w:val="footer"/>
    <w:basedOn w:val="1"/>
    <w:link w:val="57"/>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3">
    <w:name w:val="header"/>
    <w:basedOn w:val="1"/>
    <w:link w:val="65"/>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4">
    <w:name w:val="toc 1"/>
    <w:basedOn w:val="1"/>
    <w:next w:val="1"/>
    <w:qFormat/>
    <w:uiPriority w:val="0"/>
    <w:pPr>
      <w:spacing w:line="360" w:lineRule="auto"/>
      <w:jc w:val="left"/>
    </w:pPr>
    <w:rPr>
      <w:rFonts w:ascii="宋体" w:hAnsi="宋体"/>
      <w:b/>
      <w:caps/>
      <w:color w:val="FF0000"/>
      <w:szCs w:val="21"/>
    </w:rPr>
  </w:style>
  <w:style w:type="paragraph" w:styleId="25">
    <w:name w:val="toc 4"/>
    <w:basedOn w:val="1"/>
    <w:next w:val="1"/>
    <w:qFormat/>
    <w:uiPriority w:val="0"/>
    <w:pPr>
      <w:ind w:left="720"/>
      <w:jc w:val="left"/>
    </w:pPr>
    <w:rPr>
      <w:sz w:val="18"/>
      <w:szCs w:val="18"/>
    </w:rPr>
  </w:style>
  <w:style w:type="paragraph" w:styleId="26">
    <w:name w:val="List"/>
    <w:basedOn w:val="1"/>
    <w:qFormat/>
    <w:uiPriority w:val="0"/>
    <w:pPr>
      <w:ind w:left="420" w:hanging="420"/>
    </w:pPr>
  </w:style>
  <w:style w:type="paragraph" w:styleId="27">
    <w:name w:val="toc 6"/>
    <w:basedOn w:val="1"/>
    <w:next w:val="1"/>
    <w:qFormat/>
    <w:uiPriority w:val="0"/>
    <w:pPr>
      <w:ind w:left="1200"/>
      <w:jc w:val="left"/>
    </w:pPr>
    <w:rPr>
      <w:sz w:val="18"/>
      <w:szCs w:val="18"/>
    </w:rPr>
  </w:style>
  <w:style w:type="paragraph" w:styleId="28">
    <w:name w:val="Body Text Indent 3"/>
    <w:basedOn w:val="1"/>
    <w:link w:val="52"/>
    <w:qFormat/>
    <w:uiPriority w:val="0"/>
    <w:pPr>
      <w:spacing w:after="120"/>
      <w:ind w:left="420" w:leftChars="200"/>
    </w:pPr>
    <w:rPr>
      <w:rFonts w:asciiTheme="minorHAnsi" w:hAnsiTheme="minorHAnsi" w:eastAsiaTheme="minorEastAsia" w:cstheme="minorBidi"/>
      <w:sz w:val="16"/>
      <w:szCs w:val="16"/>
    </w:rPr>
  </w:style>
  <w:style w:type="paragraph" w:styleId="29">
    <w:name w:val="toc 2"/>
    <w:basedOn w:val="1"/>
    <w:next w:val="1"/>
    <w:unhideWhenUsed/>
    <w:qFormat/>
    <w:uiPriority w:val="0"/>
    <w:pPr>
      <w:ind w:left="420" w:leftChars="200"/>
    </w:pPr>
  </w:style>
  <w:style w:type="paragraph" w:styleId="30">
    <w:name w:val="toc 9"/>
    <w:basedOn w:val="1"/>
    <w:next w:val="1"/>
    <w:qFormat/>
    <w:uiPriority w:val="0"/>
    <w:pPr>
      <w:ind w:left="1920"/>
      <w:jc w:val="left"/>
    </w:pPr>
    <w:rPr>
      <w:sz w:val="18"/>
      <w:szCs w:val="18"/>
    </w:rPr>
  </w:style>
  <w:style w:type="paragraph" w:styleId="31">
    <w:name w:val="index 1"/>
    <w:basedOn w:val="1"/>
    <w:next w:val="1"/>
    <w:qFormat/>
    <w:uiPriority w:val="0"/>
    <w:rPr>
      <w:sz w:val="24"/>
      <w:szCs w:val="24"/>
    </w:rPr>
  </w:style>
  <w:style w:type="paragraph" w:styleId="32">
    <w:name w:val="Title"/>
    <w:basedOn w:val="1"/>
    <w:next w:val="1"/>
    <w:link w:val="73"/>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3">
    <w:name w:val="annotation subject"/>
    <w:basedOn w:val="13"/>
    <w:next w:val="13"/>
    <w:link w:val="48"/>
    <w:qFormat/>
    <w:uiPriority w:val="0"/>
    <w:rPr>
      <w:rFonts w:asciiTheme="minorHAnsi" w:hAnsiTheme="minorHAnsi" w:eastAsiaTheme="minorEastAsia" w:cstheme="minorBidi"/>
      <w:b/>
      <w:bCs/>
      <w:szCs w:val="22"/>
    </w:rPr>
  </w:style>
  <w:style w:type="table" w:styleId="35">
    <w:name w:val="Table Grid"/>
    <w:basedOn w:val="34"/>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Strong"/>
    <w:qFormat/>
    <w:uiPriority w:val="0"/>
    <w:rPr>
      <w:b/>
    </w:rPr>
  </w:style>
  <w:style w:type="character" w:styleId="38">
    <w:name w:val="page number"/>
    <w:basedOn w:val="36"/>
    <w:qFormat/>
    <w:uiPriority w:val="0"/>
  </w:style>
  <w:style w:type="character" w:styleId="39">
    <w:name w:val="FollowedHyperlink"/>
    <w:qFormat/>
    <w:uiPriority w:val="99"/>
    <w:rPr>
      <w:color w:val="800080"/>
      <w:u w:val="single"/>
    </w:rPr>
  </w:style>
  <w:style w:type="character" w:styleId="40">
    <w:name w:val="Hyperlink"/>
    <w:basedOn w:val="36"/>
    <w:qFormat/>
    <w:uiPriority w:val="0"/>
    <w:rPr>
      <w:rFonts w:cs="Times New Roman"/>
      <w:color w:val="1F4F88"/>
      <w:u w:val="none"/>
    </w:rPr>
  </w:style>
  <w:style w:type="character" w:styleId="41">
    <w:name w:val="annotation reference"/>
    <w:qFormat/>
    <w:uiPriority w:val="0"/>
    <w:rPr>
      <w:sz w:val="21"/>
      <w:szCs w:val="21"/>
    </w:rPr>
  </w:style>
  <w:style w:type="character" w:customStyle="1" w:styleId="42">
    <w:name w:val="标题 1 字符"/>
    <w:basedOn w:val="36"/>
    <w:link w:val="4"/>
    <w:qFormat/>
    <w:uiPriority w:val="0"/>
    <w:rPr>
      <w:rFonts w:ascii="Times New Roman" w:hAnsi="Times New Roman" w:eastAsia="宋体" w:cs="Times New Roman"/>
      <w:b/>
      <w:bCs/>
      <w:kern w:val="44"/>
      <w:sz w:val="44"/>
      <w:szCs w:val="44"/>
      <w:lang w:val="zh-CN" w:eastAsia="zh-CN"/>
    </w:rPr>
  </w:style>
  <w:style w:type="character" w:customStyle="1" w:styleId="43">
    <w:name w:val="标题 2 字符"/>
    <w:basedOn w:val="36"/>
    <w:link w:val="5"/>
    <w:qFormat/>
    <w:uiPriority w:val="0"/>
    <w:rPr>
      <w:rFonts w:ascii="Arial" w:hAnsi="Arial" w:eastAsia="黑体" w:cs="Times New Roman"/>
      <w:b/>
      <w:bCs/>
      <w:sz w:val="32"/>
      <w:szCs w:val="32"/>
      <w:lang w:val="zh-CN" w:eastAsia="zh-CN"/>
    </w:rPr>
  </w:style>
  <w:style w:type="character" w:customStyle="1" w:styleId="44">
    <w:name w:val="标题 3 字符"/>
    <w:basedOn w:val="36"/>
    <w:link w:val="6"/>
    <w:qFormat/>
    <w:uiPriority w:val="0"/>
    <w:rPr>
      <w:rFonts w:ascii="Times New Roman" w:hAnsi="Times New Roman" w:eastAsia="宋体" w:cs="Times New Roman"/>
      <w:b/>
      <w:bCs/>
      <w:sz w:val="32"/>
      <w:szCs w:val="32"/>
      <w:lang w:val="zh-CN" w:eastAsia="zh-CN"/>
    </w:rPr>
  </w:style>
  <w:style w:type="character" w:customStyle="1" w:styleId="45">
    <w:name w:val="标题 4 字符"/>
    <w:basedOn w:val="36"/>
    <w:semiHidden/>
    <w:qFormat/>
    <w:uiPriority w:val="9"/>
    <w:rPr>
      <w:rFonts w:asciiTheme="majorHAnsi" w:hAnsiTheme="majorHAnsi" w:eastAsiaTheme="majorEastAsia" w:cstheme="majorBidi"/>
      <w:b/>
      <w:bCs/>
      <w:sz w:val="28"/>
      <w:szCs w:val="28"/>
    </w:rPr>
  </w:style>
  <w:style w:type="character" w:customStyle="1" w:styleId="46">
    <w:name w:val="标题 4 字符1"/>
    <w:link w:val="7"/>
    <w:semiHidden/>
    <w:qFormat/>
    <w:uiPriority w:val="0"/>
    <w:rPr>
      <w:rFonts w:ascii="Cambria" w:hAnsi="Cambria" w:eastAsia="宋体" w:cs="Times New Roman"/>
      <w:b/>
      <w:bCs/>
      <w:sz w:val="28"/>
      <w:szCs w:val="28"/>
      <w:lang w:val="zh-CN" w:eastAsia="zh-CN"/>
    </w:rPr>
  </w:style>
  <w:style w:type="character" w:customStyle="1" w:styleId="47">
    <w:name w:val="纯文本 Char"/>
    <w:qFormat/>
    <w:uiPriority w:val="0"/>
    <w:rPr>
      <w:rFonts w:ascii="宋体" w:hAnsi="Courier New" w:eastAsia="宋体"/>
      <w:kern w:val="2"/>
      <w:sz w:val="21"/>
      <w:lang w:val="en-US" w:eastAsia="zh-CN" w:bidi="ar-SA"/>
    </w:rPr>
  </w:style>
  <w:style w:type="character" w:customStyle="1" w:styleId="48">
    <w:name w:val="批注主题 字符"/>
    <w:link w:val="33"/>
    <w:qFormat/>
    <w:uiPriority w:val="0"/>
    <w:rPr>
      <w:b/>
      <w:bCs/>
    </w:rPr>
  </w:style>
  <w:style w:type="character" w:customStyle="1" w:styleId="49">
    <w:name w:val="批注文字 字符"/>
    <w:basedOn w:val="36"/>
    <w:link w:val="13"/>
    <w:qFormat/>
    <w:uiPriority w:val="0"/>
    <w:rPr>
      <w:rFonts w:ascii="Times New Roman" w:hAnsi="Times New Roman" w:eastAsia="宋体" w:cs="Times New Roman"/>
      <w:szCs w:val="20"/>
    </w:rPr>
  </w:style>
  <w:style w:type="character" w:customStyle="1" w:styleId="50">
    <w:name w:val="批注主题 字符1"/>
    <w:basedOn w:val="49"/>
    <w:semiHidden/>
    <w:qFormat/>
    <w:uiPriority w:val="99"/>
    <w:rPr>
      <w:rFonts w:ascii="Times New Roman" w:hAnsi="Times New Roman" w:eastAsia="宋体" w:cs="Times New Roman"/>
      <w:b/>
      <w:bCs/>
      <w:szCs w:val="20"/>
    </w:rPr>
  </w:style>
  <w:style w:type="character" w:customStyle="1" w:styleId="51">
    <w:name w:val="批注文字 字符1"/>
    <w:qFormat/>
    <w:uiPriority w:val="0"/>
    <w:rPr>
      <w:kern w:val="2"/>
      <w:sz w:val="21"/>
    </w:rPr>
  </w:style>
  <w:style w:type="character" w:customStyle="1" w:styleId="52">
    <w:name w:val="正文文本缩进 3 字符"/>
    <w:link w:val="28"/>
    <w:qFormat/>
    <w:uiPriority w:val="0"/>
    <w:rPr>
      <w:sz w:val="16"/>
      <w:szCs w:val="16"/>
    </w:rPr>
  </w:style>
  <w:style w:type="character" w:customStyle="1" w:styleId="53">
    <w:name w:val="正文文本缩进 3 字符1"/>
    <w:basedOn w:val="36"/>
    <w:semiHidden/>
    <w:qFormat/>
    <w:uiPriority w:val="99"/>
    <w:rPr>
      <w:rFonts w:ascii="Times New Roman" w:hAnsi="Times New Roman" w:eastAsia="宋体" w:cs="Times New Roman"/>
      <w:sz w:val="16"/>
      <w:szCs w:val="16"/>
    </w:rPr>
  </w:style>
  <w:style w:type="character" w:customStyle="1" w:styleId="54">
    <w:name w:val="正文文本缩进 2 字符"/>
    <w:link w:val="20"/>
    <w:qFormat/>
    <w:uiPriority w:val="0"/>
  </w:style>
  <w:style w:type="character" w:customStyle="1" w:styleId="55">
    <w:name w:val="正文文本缩进 2 字符1"/>
    <w:basedOn w:val="36"/>
    <w:semiHidden/>
    <w:qFormat/>
    <w:uiPriority w:val="99"/>
    <w:rPr>
      <w:rFonts w:ascii="Times New Roman" w:hAnsi="Times New Roman" w:eastAsia="宋体" w:cs="Times New Roman"/>
      <w:szCs w:val="20"/>
    </w:rPr>
  </w:style>
  <w:style w:type="character" w:customStyle="1" w:styleId="56">
    <w:name w:val="Char Char3"/>
    <w:qFormat/>
    <w:uiPriority w:val="0"/>
    <w:rPr>
      <w:rFonts w:ascii="宋体" w:hAnsi="Courier New" w:eastAsia="宋体"/>
      <w:kern w:val="2"/>
      <w:sz w:val="21"/>
      <w:lang w:val="en-US" w:eastAsia="zh-CN" w:bidi="ar-SA"/>
    </w:rPr>
  </w:style>
  <w:style w:type="character" w:customStyle="1" w:styleId="57">
    <w:name w:val="页脚 字符"/>
    <w:link w:val="22"/>
    <w:qFormat/>
    <w:uiPriority w:val="0"/>
    <w:rPr>
      <w:sz w:val="18"/>
      <w:szCs w:val="18"/>
    </w:rPr>
  </w:style>
  <w:style w:type="character" w:customStyle="1" w:styleId="58">
    <w:name w:val="页脚 字符1"/>
    <w:basedOn w:val="36"/>
    <w:semiHidden/>
    <w:qFormat/>
    <w:uiPriority w:val="99"/>
    <w:rPr>
      <w:rFonts w:ascii="Times New Roman" w:hAnsi="Times New Roman" w:eastAsia="宋体" w:cs="Times New Roman"/>
      <w:sz w:val="18"/>
      <w:szCs w:val="18"/>
    </w:rPr>
  </w:style>
  <w:style w:type="character" w:customStyle="1" w:styleId="59">
    <w:name w:val="标书一级标题 字符"/>
    <w:link w:val="60"/>
    <w:qFormat/>
    <w:uiPriority w:val="0"/>
    <w:rPr>
      <w:rFonts w:eastAsia="黑体"/>
      <w:bCs/>
      <w:color w:val="000000"/>
      <w:kern w:val="44"/>
      <w:sz w:val="30"/>
      <w:szCs w:val="24"/>
    </w:rPr>
  </w:style>
  <w:style w:type="paragraph" w:customStyle="1" w:styleId="60">
    <w:name w:val="标书一级标题"/>
    <w:basedOn w:val="4"/>
    <w:link w:val="59"/>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61">
    <w:name w:val="文档结构图 字符"/>
    <w:link w:val="11"/>
    <w:qFormat/>
    <w:uiPriority w:val="0"/>
    <w:rPr>
      <w:sz w:val="24"/>
      <w:szCs w:val="24"/>
      <w:shd w:val="clear" w:color="auto" w:fill="000080"/>
    </w:rPr>
  </w:style>
  <w:style w:type="character" w:customStyle="1" w:styleId="62">
    <w:name w:val="文档结构图 字符1"/>
    <w:basedOn w:val="36"/>
    <w:semiHidden/>
    <w:qFormat/>
    <w:uiPriority w:val="99"/>
    <w:rPr>
      <w:rFonts w:ascii="Microsoft YaHei UI" w:hAnsi="Times New Roman" w:eastAsia="Microsoft YaHei UI" w:cs="Times New Roman"/>
      <w:sz w:val="18"/>
      <w:szCs w:val="18"/>
    </w:rPr>
  </w:style>
  <w:style w:type="character" w:customStyle="1" w:styleId="63">
    <w:name w:val="纯文本 字符1"/>
    <w:link w:val="17"/>
    <w:qFormat/>
    <w:uiPriority w:val="0"/>
    <w:rPr>
      <w:rFonts w:ascii="宋体" w:hAnsi="Courier New" w:eastAsia="宋体"/>
    </w:rPr>
  </w:style>
  <w:style w:type="character" w:customStyle="1" w:styleId="64">
    <w:name w:val="纯文本 字符"/>
    <w:basedOn w:val="36"/>
    <w:qFormat/>
    <w:uiPriority w:val="0"/>
    <w:rPr>
      <w:rFonts w:hAnsi="Courier New" w:cs="Courier New" w:asciiTheme="minorEastAsia"/>
      <w:szCs w:val="20"/>
    </w:rPr>
  </w:style>
  <w:style w:type="character" w:customStyle="1" w:styleId="65">
    <w:name w:val="页眉 字符"/>
    <w:link w:val="23"/>
    <w:qFormat/>
    <w:uiPriority w:val="0"/>
    <w:rPr>
      <w:rFonts w:eastAsia="宋体"/>
      <w:sz w:val="18"/>
      <w:szCs w:val="18"/>
    </w:rPr>
  </w:style>
  <w:style w:type="character" w:customStyle="1" w:styleId="66">
    <w:name w:val="页眉 字符1"/>
    <w:basedOn w:val="36"/>
    <w:semiHidden/>
    <w:qFormat/>
    <w:uiPriority w:val="99"/>
    <w:rPr>
      <w:rFonts w:ascii="Times New Roman" w:hAnsi="Times New Roman" w:eastAsia="宋体" w:cs="Times New Roman"/>
      <w:sz w:val="18"/>
      <w:szCs w:val="18"/>
    </w:rPr>
  </w:style>
  <w:style w:type="character" w:customStyle="1" w:styleId="67">
    <w:name w:val="apple-converted-space"/>
    <w:basedOn w:val="36"/>
    <w:qFormat/>
    <w:uiPriority w:val="0"/>
  </w:style>
  <w:style w:type="character" w:customStyle="1" w:styleId="68">
    <w:name w:val="日期 字符"/>
    <w:link w:val="19"/>
    <w:qFormat/>
    <w:uiPriority w:val="0"/>
    <w:rPr>
      <w:sz w:val="24"/>
      <w:szCs w:val="24"/>
    </w:rPr>
  </w:style>
  <w:style w:type="character" w:customStyle="1" w:styleId="69">
    <w:name w:val="日期 字符1"/>
    <w:basedOn w:val="36"/>
    <w:semiHidden/>
    <w:qFormat/>
    <w:uiPriority w:val="99"/>
    <w:rPr>
      <w:rFonts w:ascii="Times New Roman" w:hAnsi="Times New Roman" w:eastAsia="宋体" w:cs="Times New Roman"/>
      <w:szCs w:val="20"/>
    </w:rPr>
  </w:style>
  <w:style w:type="character" w:customStyle="1" w:styleId="70">
    <w:name w:val="Char Char2"/>
    <w:qFormat/>
    <w:uiPriority w:val="0"/>
    <w:rPr>
      <w:rFonts w:ascii="宋体" w:hAnsi="Courier New" w:cs="宋体"/>
      <w:kern w:val="2"/>
      <w:sz w:val="21"/>
      <w:szCs w:val="21"/>
    </w:rPr>
  </w:style>
  <w:style w:type="character" w:customStyle="1" w:styleId="71">
    <w:name w:val="批注框文本 字符"/>
    <w:link w:val="21"/>
    <w:qFormat/>
    <w:uiPriority w:val="0"/>
    <w:rPr>
      <w:sz w:val="18"/>
      <w:szCs w:val="18"/>
    </w:rPr>
  </w:style>
  <w:style w:type="character" w:customStyle="1" w:styleId="72">
    <w:name w:val="批注框文本 字符1"/>
    <w:basedOn w:val="36"/>
    <w:semiHidden/>
    <w:qFormat/>
    <w:uiPriority w:val="99"/>
    <w:rPr>
      <w:rFonts w:ascii="Times New Roman" w:hAnsi="Times New Roman" w:eastAsia="宋体" w:cs="Times New Roman"/>
      <w:sz w:val="18"/>
      <w:szCs w:val="18"/>
    </w:rPr>
  </w:style>
  <w:style w:type="character" w:customStyle="1" w:styleId="73">
    <w:name w:val="标题 字符"/>
    <w:link w:val="32"/>
    <w:qFormat/>
    <w:uiPriority w:val="0"/>
    <w:rPr>
      <w:rFonts w:ascii="Arial" w:hAnsi="Arial" w:cs="Arial"/>
      <w:b/>
      <w:bCs/>
      <w:sz w:val="32"/>
      <w:szCs w:val="32"/>
    </w:rPr>
  </w:style>
  <w:style w:type="character" w:customStyle="1" w:styleId="74">
    <w:name w:val="标题 字符1"/>
    <w:basedOn w:val="36"/>
    <w:qFormat/>
    <w:uiPriority w:val="10"/>
    <w:rPr>
      <w:rFonts w:asciiTheme="majorHAnsi" w:hAnsiTheme="majorHAnsi" w:eastAsiaTheme="majorEastAsia" w:cstheme="majorBidi"/>
      <w:b/>
      <w:bCs/>
      <w:sz w:val="32"/>
      <w:szCs w:val="32"/>
    </w:rPr>
  </w:style>
  <w:style w:type="character" w:customStyle="1" w:styleId="75">
    <w:name w:val="BODY TEXT Char"/>
    <w:link w:val="76"/>
    <w:qFormat/>
    <w:uiPriority w:val="0"/>
    <w:rPr>
      <w:rFonts w:eastAsia="新宋体"/>
      <w:szCs w:val="21"/>
    </w:rPr>
  </w:style>
  <w:style w:type="paragraph" w:customStyle="1" w:styleId="76">
    <w:name w:val="正文文本1"/>
    <w:basedOn w:val="1"/>
    <w:link w:val="75"/>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7">
    <w:name w:val="HTML Markup"/>
    <w:qFormat/>
    <w:uiPriority w:val="0"/>
    <w:rPr>
      <w:vanish/>
      <w:color w:val="FF0000"/>
    </w:rPr>
  </w:style>
  <w:style w:type="character" w:customStyle="1" w:styleId="78">
    <w:name w:val="Char Char5"/>
    <w:qFormat/>
    <w:uiPriority w:val="0"/>
    <w:rPr>
      <w:rFonts w:ascii="宋体" w:hAnsi="Courier New" w:eastAsia="宋体"/>
      <w:kern w:val="2"/>
      <w:sz w:val="21"/>
      <w:lang w:val="en-US" w:eastAsia="zh-CN" w:bidi="ar-SA"/>
    </w:rPr>
  </w:style>
  <w:style w:type="character" w:customStyle="1" w:styleId="79">
    <w:name w:val="标书正文格式 字符"/>
    <w:link w:val="80"/>
    <w:qFormat/>
    <w:uiPriority w:val="0"/>
    <w:rPr>
      <w:rFonts w:ascii="宋体" w:hAnsi="宋体"/>
      <w:color w:val="000000"/>
      <w:sz w:val="24"/>
      <w:szCs w:val="24"/>
    </w:rPr>
  </w:style>
  <w:style w:type="paragraph" w:customStyle="1" w:styleId="80">
    <w:name w:val="标书正文格式"/>
    <w:basedOn w:val="17"/>
    <w:link w:val="79"/>
    <w:qFormat/>
    <w:uiPriority w:val="0"/>
    <w:pPr>
      <w:spacing w:line="360" w:lineRule="auto"/>
      <w:ind w:firstLine="200" w:firstLineChars="200"/>
    </w:pPr>
    <w:rPr>
      <w:rFonts w:hAnsi="宋体" w:eastAsiaTheme="minorEastAsia"/>
      <w:color w:val="000000"/>
      <w:sz w:val="24"/>
      <w:szCs w:val="24"/>
    </w:rPr>
  </w:style>
  <w:style w:type="character" w:customStyle="1" w:styleId="81">
    <w:name w:val="标书二级标题 字符"/>
    <w:link w:val="82"/>
    <w:qFormat/>
    <w:uiPriority w:val="0"/>
    <w:rPr>
      <w:rFonts w:ascii="宋体" w:hAnsi="宋体" w:eastAsia="黑体"/>
      <w:bCs/>
      <w:sz w:val="28"/>
      <w:szCs w:val="30"/>
    </w:rPr>
  </w:style>
  <w:style w:type="paragraph" w:customStyle="1" w:styleId="82">
    <w:name w:val="标书二级标题"/>
    <w:basedOn w:val="5"/>
    <w:link w:val="81"/>
    <w:qFormat/>
    <w:uiPriority w:val="0"/>
    <w:pPr>
      <w:spacing w:before="0" w:after="0" w:line="240" w:lineRule="auto"/>
      <w:jc w:val="left"/>
    </w:pPr>
    <w:rPr>
      <w:rFonts w:ascii="宋体" w:hAnsi="宋体" w:cstheme="minorBidi"/>
      <w:b w:val="0"/>
      <w:sz w:val="28"/>
      <w:szCs w:val="30"/>
      <w:lang w:val="en-US" w:eastAsia="zh-CN"/>
    </w:rPr>
  </w:style>
  <w:style w:type="character" w:customStyle="1" w:styleId="83">
    <w:name w:val="标书表格 字符"/>
    <w:link w:val="84"/>
    <w:qFormat/>
    <w:uiPriority w:val="0"/>
    <w:rPr>
      <w:b/>
    </w:rPr>
  </w:style>
  <w:style w:type="paragraph" w:customStyle="1" w:styleId="84">
    <w:name w:val="标书表格"/>
    <w:basedOn w:val="1"/>
    <w:link w:val="83"/>
    <w:qFormat/>
    <w:uiPriority w:val="0"/>
    <w:pPr>
      <w:jc w:val="center"/>
    </w:pPr>
    <w:rPr>
      <w:rFonts w:asciiTheme="minorHAnsi" w:hAnsiTheme="minorHAnsi" w:eastAsiaTheme="minorEastAsia" w:cstheme="minorBidi"/>
      <w:b/>
      <w:szCs w:val="22"/>
    </w:rPr>
  </w:style>
  <w:style w:type="character" w:customStyle="1" w:styleId="85">
    <w:name w:val="标书三级标题 字符"/>
    <w:link w:val="86"/>
    <w:qFormat/>
    <w:uiPriority w:val="0"/>
    <w:rPr>
      <w:b/>
      <w:bCs/>
      <w:color w:val="000000"/>
      <w:sz w:val="24"/>
      <w:szCs w:val="24"/>
    </w:rPr>
  </w:style>
  <w:style w:type="paragraph" w:customStyle="1" w:styleId="86">
    <w:name w:val="标书三级标题"/>
    <w:basedOn w:val="6"/>
    <w:next w:val="80"/>
    <w:link w:val="85"/>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7">
    <w:name w:val="标正文 字符"/>
    <w:link w:val="88"/>
    <w:qFormat/>
    <w:uiPriority w:val="0"/>
    <w:rPr>
      <w:rFonts w:ascii="宋体" w:hAnsi="宋体"/>
      <w:color w:val="000000"/>
      <w:sz w:val="24"/>
      <w:szCs w:val="24"/>
    </w:rPr>
  </w:style>
  <w:style w:type="paragraph" w:customStyle="1" w:styleId="88">
    <w:name w:val="标正文"/>
    <w:basedOn w:val="80"/>
    <w:link w:val="87"/>
    <w:qFormat/>
    <w:uiPriority w:val="0"/>
  </w:style>
  <w:style w:type="character" w:customStyle="1" w:styleId="89">
    <w:name w:val="标三级标题 字符"/>
    <w:link w:val="90"/>
    <w:qFormat/>
    <w:uiPriority w:val="0"/>
    <w:rPr>
      <w:b/>
      <w:bCs/>
      <w:color w:val="000000"/>
      <w:sz w:val="24"/>
      <w:szCs w:val="24"/>
    </w:rPr>
  </w:style>
  <w:style w:type="paragraph" w:customStyle="1" w:styleId="90">
    <w:name w:val="标三级标题"/>
    <w:basedOn w:val="86"/>
    <w:link w:val="89"/>
    <w:qFormat/>
    <w:uiPriority w:val="0"/>
  </w:style>
  <w:style w:type="character" w:customStyle="1" w:styleId="91">
    <w:name w:val="正文文本缩进 字符"/>
    <w:basedOn w:val="36"/>
    <w:semiHidden/>
    <w:qFormat/>
    <w:uiPriority w:val="99"/>
    <w:rPr>
      <w:rFonts w:ascii="Times New Roman" w:hAnsi="Times New Roman" w:eastAsia="宋体" w:cs="Times New Roman"/>
      <w:szCs w:val="20"/>
    </w:rPr>
  </w:style>
  <w:style w:type="character" w:customStyle="1" w:styleId="92">
    <w:name w:val="正文文本缩进 字符1"/>
    <w:link w:val="14"/>
    <w:qFormat/>
    <w:uiPriority w:val="0"/>
    <w:rPr>
      <w:rFonts w:ascii="Times New Roman" w:hAnsi="Times New Roman" w:eastAsia="宋体" w:cs="Times New Roman"/>
      <w:szCs w:val="20"/>
      <w:lang w:val="zh-CN" w:eastAsia="zh-CN"/>
    </w:rPr>
  </w:style>
  <w:style w:type="paragraph" w:customStyle="1" w:styleId="93">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4">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5">
    <w:name w:val="列表段落1"/>
    <w:basedOn w:val="1"/>
    <w:qFormat/>
    <w:uiPriority w:val="0"/>
    <w:pPr>
      <w:ind w:firstLine="420" w:firstLineChars="200"/>
    </w:pPr>
    <w:rPr>
      <w:rFonts w:ascii="Calibri" w:hAnsi="Calibri"/>
      <w:szCs w:val="22"/>
    </w:rPr>
  </w:style>
  <w:style w:type="paragraph" w:styleId="96">
    <w:name w:val="List Paragraph"/>
    <w:basedOn w:val="1"/>
    <w:qFormat/>
    <w:uiPriority w:val="34"/>
    <w:pPr>
      <w:ind w:firstLine="420" w:firstLineChars="200"/>
    </w:pPr>
    <w:rPr>
      <w:rFonts w:ascii="Calibri" w:hAnsi="Calibri"/>
      <w:szCs w:val="22"/>
    </w:rPr>
  </w:style>
  <w:style w:type="paragraph" w:customStyle="1" w:styleId="97">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8">
    <w:name w:val="1列"/>
    <w:basedOn w:val="1"/>
    <w:qFormat/>
    <w:uiPriority w:val="0"/>
    <w:pPr>
      <w:spacing w:line="360" w:lineRule="auto"/>
      <w:ind w:left="401" w:hanging="401" w:hangingChars="191"/>
    </w:pPr>
    <w:rPr>
      <w:szCs w:val="24"/>
    </w:rPr>
  </w:style>
  <w:style w:type="character" w:customStyle="1" w:styleId="99">
    <w:name w:val="正文文本 字符"/>
    <w:basedOn w:val="36"/>
    <w:semiHidden/>
    <w:qFormat/>
    <w:uiPriority w:val="99"/>
    <w:rPr>
      <w:rFonts w:ascii="Times New Roman" w:hAnsi="Times New Roman" w:eastAsia="宋体" w:cs="Times New Roman"/>
      <w:szCs w:val="20"/>
    </w:rPr>
  </w:style>
  <w:style w:type="character" w:customStyle="1" w:styleId="100">
    <w:name w:val="正文文本 字符1"/>
    <w:link w:val="3"/>
    <w:qFormat/>
    <w:uiPriority w:val="0"/>
    <w:rPr>
      <w:rFonts w:ascii="仿宋_GB2312" w:hAnsi="Times New Roman" w:eastAsia="仿宋_GB2312" w:cs="Times New Roman"/>
      <w:sz w:val="32"/>
      <w:szCs w:val="20"/>
      <w:lang w:val="zh-CN" w:eastAsia="zh-CN"/>
    </w:rPr>
  </w:style>
  <w:style w:type="paragraph" w:customStyle="1" w:styleId="101">
    <w:name w:val="Char Char Char Char Char Char Char"/>
    <w:basedOn w:val="1"/>
    <w:qFormat/>
    <w:uiPriority w:val="0"/>
    <w:rPr>
      <w:rFonts w:ascii="Verdana" w:hAnsi="Verdana"/>
      <w:kern w:val="0"/>
      <w:sz w:val="20"/>
      <w:lang w:eastAsia="en-US"/>
    </w:rPr>
  </w:style>
  <w:style w:type="paragraph" w:customStyle="1" w:styleId="102">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3">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4">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5">
    <w:name w:val="二级列表 Char"/>
    <w:basedOn w:val="1"/>
    <w:qFormat/>
    <w:uiPriority w:val="0"/>
    <w:rPr>
      <w:rFonts w:ascii="Calibri" w:hAnsi="Calibri"/>
    </w:rPr>
  </w:style>
  <w:style w:type="paragraph" w:customStyle="1" w:styleId="106">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7">
    <w:name w:val="纯文本 Char2"/>
    <w:qFormat/>
    <w:uiPriority w:val="0"/>
    <w:rPr>
      <w:rFonts w:ascii="宋体" w:hAnsi="Courier New" w:eastAsia="宋体"/>
      <w:kern w:val="2"/>
      <w:sz w:val="21"/>
      <w:lang w:val="en-US" w:eastAsia="zh-CN" w:bidi="ar-SA"/>
    </w:rPr>
  </w:style>
  <w:style w:type="character" w:customStyle="1" w:styleId="108">
    <w:name w:val="HR正文 Char1"/>
    <w:link w:val="109"/>
    <w:qFormat/>
    <w:uiPriority w:val="0"/>
    <w:rPr>
      <w:sz w:val="24"/>
      <w:szCs w:val="24"/>
    </w:rPr>
  </w:style>
  <w:style w:type="paragraph" w:customStyle="1" w:styleId="109">
    <w:name w:val="HR正文"/>
    <w:basedOn w:val="1"/>
    <w:link w:val="108"/>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10">
    <w:name w:val="纯文本 Char1"/>
    <w:qFormat/>
    <w:uiPriority w:val="0"/>
    <w:rPr>
      <w:rFonts w:ascii="宋体" w:hAnsi="Courier New"/>
      <w:kern w:val="2"/>
      <w:sz w:val="21"/>
    </w:rPr>
  </w:style>
  <w:style w:type="paragraph" w:customStyle="1" w:styleId="111">
    <w:name w:val="标题4"/>
    <w:basedOn w:val="7"/>
    <w:qFormat/>
    <w:uiPriority w:val="0"/>
    <w:pPr>
      <w:keepLines w:val="0"/>
      <w:spacing w:before="240" w:after="60" w:line="240" w:lineRule="auto"/>
    </w:pPr>
    <w:rPr>
      <w:rFonts w:ascii="Times New Roman" w:hAnsi="Times New Roman"/>
    </w:rPr>
  </w:style>
  <w:style w:type="character" w:customStyle="1" w:styleId="112">
    <w:name w:val="页脚 Char1"/>
    <w:qFormat/>
    <w:uiPriority w:val="0"/>
    <w:rPr>
      <w:rFonts w:hint="default" w:ascii="Times New Roman" w:hAnsi="Times New Roman" w:eastAsia="宋体" w:cs="Times New Roman"/>
      <w:sz w:val="18"/>
      <w:szCs w:val="18"/>
    </w:rPr>
  </w:style>
  <w:style w:type="character" w:customStyle="1" w:styleId="113">
    <w:name w:val="页眉 Char1"/>
    <w:qFormat/>
    <w:uiPriority w:val="0"/>
    <w:rPr>
      <w:rFonts w:hint="default" w:ascii="Times New Roman" w:hAnsi="Times New Roman" w:eastAsia="宋体" w:cs="Times New Roman"/>
      <w:sz w:val="18"/>
      <w:szCs w:val="18"/>
    </w:rPr>
  </w:style>
  <w:style w:type="paragraph" w:customStyle="1" w:styleId="114">
    <w:name w:val="列出段落1"/>
    <w:basedOn w:val="1"/>
    <w:qFormat/>
    <w:uiPriority w:val="99"/>
    <w:pPr>
      <w:ind w:firstLine="420" w:firstLineChars="200"/>
    </w:pPr>
    <w:rPr>
      <w:rFonts w:ascii="Calibri" w:hAnsi="Calibri"/>
      <w:szCs w:val="22"/>
    </w:rPr>
  </w:style>
  <w:style w:type="paragraph" w:customStyle="1" w:styleId="115">
    <w:name w:val="List Paragraph1"/>
    <w:basedOn w:val="1"/>
    <w:qFormat/>
    <w:uiPriority w:val="99"/>
    <w:pPr>
      <w:ind w:firstLine="420" w:firstLineChars="200"/>
    </w:pPr>
    <w:rPr>
      <w:szCs w:val="24"/>
    </w:rPr>
  </w:style>
  <w:style w:type="character" w:customStyle="1" w:styleId="116">
    <w:name w:val="font51"/>
    <w:qFormat/>
    <w:uiPriority w:val="0"/>
    <w:rPr>
      <w:rFonts w:hint="eastAsia" w:ascii="宋体" w:hAnsi="宋体" w:eastAsia="宋体"/>
      <w:color w:val="000000"/>
      <w:sz w:val="18"/>
      <w:szCs w:val="18"/>
      <w:u w:val="none"/>
    </w:rPr>
  </w:style>
  <w:style w:type="character" w:customStyle="1" w:styleId="117">
    <w:name w:val="font111"/>
    <w:qFormat/>
    <w:uiPriority w:val="0"/>
    <w:rPr>
      <w:rFonts w:hint="default" w:ascii="Times New Roman" w:hAnsi="Times New Roman" w:cs="Times New Roman"/>
      <w:color w:val="000000"/>
      <w:sz w:val="18"/>
      <w:szCs w:val="18"/>
      <w:u w:val="none"/>
    </w:rPr>
  </w:style>
  <w:style w:type="character" w:customStyle="1" w:styleId="118">
    <w:name w:val="font101"/>
    <w:qFormat/>
    <w:uiPriority w:val="0"/>
    <w:rPr>
      <w:rFonts w:hint="eastAsia" w:ascii="宋体" w:hAnsi="宋体" w:eastAsia="宋体"/>
      <w:color w:val="000000"/>
      <w:sz w:val="18"/>
      <w:szCs w:val="18"/>
      <w:u w:val="none"/>
    </w:rPr>
  </w:style>
  <w:style w:type="character" w:customStyle="1" w:styleId="119">
    <w:name w:val="font61"/>
    <w:qFormat/>
    <w:uiPriority w:val="0"/>
    <w:rPr>
      <w:rFonts w:hint="eastAsia" w:ascii="宋体" w:hAnsi="宋体" w:eastAsia="宋体"/>
      <w:color w:val="000000"/>
      <w:sz w:val="18"/>
      <w:szCs w:val="18"/>
      <w:u w:val="none"/>
    </w:rPr>
  </w:style>
  <w:style w:type="character" w:customStyle="1" w:styleId="120">
    <w:name w:val="font121"/>
    <w:qFormat/>
    <w:uiPriority w:val="0"/>
    <w:rPr>
      <w:rFonts w:hint="default" w:ascii="Times New Roman" w:hAnsi="Times New Roman" w:cs="Times New Roman"/>
      <w:color w:val="000000"/>
      <w:sz w:val="18"/>
      <w:szCs w:val="18"/>
      <w:u w:val="none"/>
    </w:rPr>
  </w:style>
  <w:style w:type="character" w:customStyle="1" w:styleId="121">
    <w:name w:val="标题 1 Char"/>
    <w:qFormat/>
    <w:uiPriority w:val="9"/>
    <w:rPr>
      <w:b/>
      <w:bCs/>
      <w:kern w:val="44"/>
      <w:sz w:val="44"/>
      <w:szCs w:val="44"/>
    </w:rPr>
  </w:style>
  <w:style w:type="character" w:customStyle="1" w:styleId="122">
    <w:name w:val="标题 Char"/>
    <w:qFormat/>
    <w:uiPriority w:val="10"/>
    <w:rPr>
      <w:rFonts w:ascii="Cambria" w:hAnsi="Cambria" w:cs="Times New Roman"/>
      <w:b/>
      <w:bCs/>
      <w:kern w:val="2"/>
      <w:sz w:val="32"/>
      <w:szCs w:val="32"/>
    </w:rPr>
  </w:style>
  <w:style w:type="character" w:customStyle="1" w:styleId="123">
    <w:name w:val="font81"/>
    <w:qFormat/>
    <w:uiPriority w:val="0"/>
    <w:rPr>
      <w:rFonts w:hint="eastAsia" w:ascii="宋体" w:hAnsi="宋体" w:eastAsia="宋体"/>
      <w:color w:val="000000"/>
      <w:sz w:val="18"/>
      <w:szCs w:val="18"/>
      <w:u w:val="none"/>
    </w:rPr>
  </w:style>
  <w:style w:type="character" w:customStyle="1" w:styleId="124">
    <w:name w:val="font21"/>
    <w:qFormat/>
    <w:uiPriority w:val="0"/>
    <w:rPr>
      <w:rFonts w:hint="default" w:ascii="Times New Roman" w:hAnsi="Times New Roman" w:cs="Times New Roman"/>
      <w:color w:val="000000"/>
      <w:sz w:val="18"/>
      <w:szCs w:val="18"/>
      <w:u w:val="none"/>
    </w:rPr>
  </w:style>
  <w:style w:type="character" w:customStyle="1" w:styleId="125">
    <w:name w:val="font11"/>
    <w:qFormat/>
    <w:uiPriority w:val="0"/>
    <w:rPr>
      <w:rFonts w:hint="eastAsia" w:ascii="宋体" w:hAnsi="宋体" w:eastAsia="宋体"/>
      <w:color w:val="000000"/>
      <w:sz w:val="18"/>
      <w:szCs w:val="18"/>
      <w:u w:val="none"/>
    </w:rPr>
  </w:style>
  <w:style w:type="character" w:customStyle="1" w:styleId="126">
    <w:name w:val="font91"/>
    <w:qFormat/>
    <w:uiPriority w:val="0"/>
    <w:rPr>
      <w:rFonts w:hint="eastAsia" w:ascii="宋体" w:hAnsi="宋体" w:eastAsia="宋体"/>
      <w:color w:val="000000"/>
      <w:sz w:val="18"/>
      <w:szCs w:val="18"/>
      <w:u w:val="none"/>
    </w:rPr>
  </w:style>
  <w:style w:type="character" w:customStyle="1" w:styleId="127">
    <w:name w:val="font71"/>
    <w:qFormat/>
    <w:uiPriority w:val="0"/>
    <w:rPr>
      <w:rFonts w:hint="eastAsia" w:ascii="宋体" w:hAnsi="宋体" w:eastAsia="宋体"/>
      <w:color w:val="000000"/>
      <w:sz w:val="18"/>
      <w:szCs w:val="18"/>
      <w:u w:val="none"/>
    </w:rPr>
  </w:style>
  <w:style w:type="paragraph" w:customStyle="1" w:styleId="128">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9">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30">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31">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2">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3">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4">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5">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6">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7">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8">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9">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3">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4">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5">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6">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8">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9">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50">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51">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2">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4">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6">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8">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9">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0">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1">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2">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3">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5">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6">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7">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8">
    <w:name w:val="lx二级标题"/>
    <w:basedOn w:val="5"/>
    <w:qFormat/>
    <w:uiPriority w:val="0"/>
    <w:pPr>
      <w:spacing w:before="0" w:after="0" w:line="240" w:lineRule="auto"/>
      <w:jc w:val="left"/>
    </w:pPr>
    <w:rPr>
      <w:rFonts w:ascii="宋体" w:hAnsi="宋体" w:eastAsia="宋体"/>
      <w:sz w:val="28"/>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microsoft.com/office/2011/relationships/commentsExtended" Target="commentsExtended.xml"/><Relationship Id="rId36" Type="http://schemas.microsoft.com/office/2011/relationships/people" Target="people.xml"/><Relationship Id="rId35" Type="http://schemas.openxmlformats.org/officeDocument/2006/relationships/fontTable" Target="fontTable.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comments" Target="comment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header" Target="header3.xml"/><Relationship Id="rId17" Type="http://schemas.openxmlformats.org/officeDocument/2006/relationships/footer" Target="footer11.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2.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62</Pages>
  <Words>12591</Words>
  <Characters>13200</Characters>
  <Lines>247</Lines>
  <Paragraphs>69</Paragraphs>
  <TotalTime>6</TotalTime>
  <ScaleCrop>false</ScaleCrop>
  <LinksUpToDate>false</LinksUpToDate>
  <CharactersWithSpaces>17450</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2021-12-09T15:38:00Z</dcterms:created>
  <dc:creator>JonMMx 2000</dc:creator>
  <cp:lastModifiedBy>李帅威</cp:lastModifiedBy>
  <dcterms:modified xsi:type="dcterms:W3CDTF">2026-05-26T08:48:00Z</dcterms:modified>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BF26E0FF7BD146F094A18BEE0FBA43C9</vt:lpwstr>
  </property>
  <property fmtid="{D5CDD505-2E9C-101B-9397-08002B2CF9AE}" pid="4" name="KSOTemplateDocerSaveRecord">
    <vt:lpwstr>eyJoZGlkIjoiZDZiY2E3MTk3OWVkMDZmNDgwYmUwNDViMmIxMTA0OGYiLCJ1c2VySWQiOiIxNzY1NTM3NjAwIn0=</vt:lpwstr>
  </property>
</Properties>
</file>