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418E5FF">
      <w:pPr>
        <w:jc w:val="center"/>
        <w:rPr>
          <w:rFonts w:ascii="宋体" w:hAnsi="宋体" w:cs="宋体"/>
          <w:sz w:val="72"/>
          <w:szCs w:val="72"/>
          <w:highlight w:val="none"/>
        </w:rPr>
      </w:pPr>
      <w:r>
        <w:rPr>
          <w:rFonts w:hint="eastAsia" w:ascii="楷体_GB2312" w:hAnsi="宋体" w:eastAsia="楷体_GB2312"/>
          <w:sz w:val="52"/>
          <w:szCs w:val="52"/>
          <w:highlight w:val="none"/>
          <w:lang w:eastAsia="zh-CN"/>
        </w:rPr>
        <w:t>济南成型厂10031004整体转向节工装制作项目</w:t>
      </w:r>
      <w:r>
        <w:rPr>
          <w:rFonts w:hint="eastAsia" w:ascii="楷体_GB2312" w:hAnsi="宋体" w:eastAsia="楷体_GB2312"/>
          <w:sz w:val="52"/>
          <w:szCs w:val="52"/>
          <w:highlight w:val="none"/>
          <w:lang w:eastAsia="zh-CN"/>
        </w:rPr>
        <w:br w:type="textWrapping"/>
      </w: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eastAsia" w:ascii="宋体" w:hAnsi="宋体" w:eastAsia="宋体" w:cs="宋体"/>
          <w:b/>
          <w:bCs/>
          <w:kern w:val="0"/>
          <w:sz w:val="32"/>
          <w:szCs w:val="32"/>
          <w:highlight w:val="none"/>
          <w:u w:val="single"/>
          <w:lang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lang w:eastAsia="zh-CN"/>
        </w:rPr>
        <w:t>ZBGL2026040078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4</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highlight w:val="none"/>
          <w:lang w:val="en-US" w:eastAsia="zh-CN"/>
        </w:rPr>
      </w:pPr>
      <w:r>
        <w:rPr>
          <w:rFonts w:hint="eastAsia"/>
          <w:sz w:val="32"/>
          <w:szCs w:val="28"/>
          <w:highlight w:val="none"/>
          <w:lang w:val="en-US" w:eastAsia="zh-CN"/>
        </w:rPr>
        <w:t>项目图纸附件可参考</w:t>
      </w:r>
      <w:r>
        <w:rPr>
          <w:rFonts w:hint="eastAsia"/>
          <w:sz w:val="32"/>
          <w:szCs w:val="28"/>
          <w:highlight w:val="none"/>
          <w:lang w:val="en-US" w:eastAsia="zh-CN"/>
        </w:rPr>
        <w:br w:type="textWrapping"/>
      </w:r>
      <w:r>
        <w:rPr>
          <w:rFonts w:hint="eastAsia"/>
          <w:sz w:val="32"/>
          <w:szCs w:val="28"/>
          <w:highlight w:val="none"/>
          <w:lang w:val="en-US" w:eastAsia="zh-CN"/>
        </w:rPr>
        <w:object>
          <v:shape id="_x0000_i1027" o:spt="75" type="#_x0000_t75" style="height:66pt;width:72.75pt;" o:ole="t" filled="f" o:preferrelative="t" stroked="f" coordsize="21600,21600">
            <v:fill on="f" focussize="0,0"/>
            <v:stroke on="f"/>
            <v:imagedata r:id="rId12" o:title=""/>
            <o:lock v:ext="edit" aspectratio="t"/>
            <w10:wrap type="none"/>
            <w10:anchorlock/>
          </v:shape>
          <o:OLEObject Type="Embed" ProgID="Acrobat.Document.DC" ShapeID="_x0000_i1027" DrawAspect="Icon" ObjectID="_1468075725" r:id="rId11">
            <o:LockedField>false</o:LockedField>
          </o:OLEObject>
        </w:object>
      </w:r>
    </w:p>
    <w:p w14:paraId="29FEE1FC">
      <w:pPr>
        <w:pStyle w:val="15"/>
        <w:spacing w:line="360" w:lineRule="auto"/>
        <w:jc w:val="center"/>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14" o:title=""/>
            <o:lock v:ext="edit" aspectratio="t"/>
            <w10:wrap type="none"/>
            <w10:anchorlock/>
          </v:shape>
          <o:OLEObject Type="Embed" ProgID="Acrobat.Document.DC" ShapeID="_x0000_i1026" DrawAspect="Icon" ObjectID="_1468075726" r:id="rId13">
            <o:LockedField>false</o:LockedField>
          </o:OLEObject>
        </w:object>
      </w:r>
    </w:p>
    <w:p w14:paraId="56A3C681">
      <w:pPr>
        <w:pStyle w:val="15"/>
        <w:spacing w:line="360" w:lineRule="auto"/>
        <w:jc w:val="center"/>
        <w:rPr>
          <w:rFonts w:hint="eastAsia" w:eastAsia="宋体"/>
          <w:lang w:eastAsia="zh-CN"/>
        </w:rPr>
      </w:pP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5020D03">
      <w:pPr>
        <w:pStyle w:val="73"/>
        <w:rPr>
          <w:highlight w:val="none"/>
        </w:rPr>
      </w:pPr>
      <w:r>
        <w:rPr>
          <w:rFonts w:hint="eastAsia"/>
          <w:highlight w:val="none"/>
        </w:rPr>
        <w:t>项目名称：</w:t>
      </w:r>
      <w:r>
        <w:rPr>
          <w:rFonts w:hint="eastAsia"/>
          <w:highlight w:val="none"/>
          <w:lang w:eastAsia="zh-CN"/>
        </w:rPr>
        <w:t>济南成型厂MP8000整体转向节工装制作项目</w:t>
      </w:r>
      <w:r>
        <w:rPr>
          <w:rFonts w:hint="eastAsia"/>
          <w:highlight w:val="none"/>
          <w:lang w:eastAsia="zh-CN"/>
        </w:rPr>
        <w:br w:type="textWrapping"/>
      </w:r>
      <w:r>
        <w:rPr>
          <w:rFonts w:hint="eastAsia"/>
          <w:highlight w:val="none"/>
        </w:rPr>
        <w:t>项目编号：</w:t>
      </w:r>
      <w:r>
        <w:rPr>
          <w:rFonts w:hint="eastAsia"/>
          <w:highlight w:val="none"/>
          <w:lang w:eastAsia="zh-CN"/>
        </w:rPr>
        <w:t>ZBGL2026040078</w:t>
      </w:r>
    </w:p>
    <w:p w14:paraId="0AB9F24D">
      <w:pPr>
        <w:pStyle w:val="72"/>
        <w:rPr>
          <w:highlight w:val="none"/>
        </w:rPr>
      </w:pPr>
      <w:bookmarkStart w:id="3" w:name="_Toc47976589"/>
      <w:r>
        <w:rPr>
          <w:rFonts w:hint="eastAsia"/>
          <w:highlight w:val="none"/>
          <w:lang w:val="en-US" w:eastAsia="zh-CN"/>
        </w:rPr>
        <w:t>项目概况</w:t>
      </w:r>
      <w:r>
        <w:rPr>
          <w:rFonts w:hint="eastAsia"/>
          <w:highlight w:val="none"/>
        </w:rPr>
        <w:t>及招标形式</w:t>
      </w:r>
      <w:bookmarkEnd w:id="3"/>
    </w:p>
    <w:p w14:paraId="3279CEF6">
      <w:pPr>
        <w:pStyle w:val="73"/>
        <w:numPr>
          <w:ilvl w:val="0"/>
          <w:numId w:val="9"/>
        </w:numPr>
        <w:rPr>
          <w:rFonts w:hint="eastAsia" w:ascii="宋体" w:hAnsi="宋体" w:eastAsia="宋体" w:cs="宋体"/>
          <w:b w:val="0"/>
          <w:bCs w:val="0"/>
          <w:kern w:val="2"/>
          <w:sz w:val="21"/>
          <w:szCs w:val="21"/>
          <w:lang w:val="en-US" w:eastAsia="zh-CN" w:bidi="ar-SA"/>
        </w:rPr>
      </w:pPr>
      <w:r>
        <w:rPr>
          <w:rFonts w:hint="eastAsia"/>
          <w:highlight w:val="none"/>
        </w:rPr>
        <w:t>招标内容：</w:t>
      </w:r>
      <w:r>
        <w:rPr>
          <w:rFonts w:hint="eastAsia"/>
          <w:highlight w:val="none"/>
        </w:rPr>
        <w:br w:type="textWrapping"/>
      </w:r>
      <w:r>
        <w:rPr>
          <w:rFonts w:hint="eastAsia" w:ascii="宋体" w:hAnsi="宋体" w:eastAsia="宋体" w:cs="宋体"/>
          <w:b w:val="0"/>
          <w:bCs w:val="0"/>
          <w:kern w:val="2"/>
          <w:sz w:val="21"/>
          <w:szCs w:val="21"/>
          <w:lang w:val="en-US" w:eastAsia="zh-CN" w:bidi="ar-SA"/>
        </w:rPr>
        <w:t>济南成型厂根据生产预测整体式转向节产品上量，需新增制作相关模具。明细详见下表</w:t>
      </w:r>
      <w:r>
        <w:rPr>
          <w:rFonts w:hint="eastAsia" w:hAnsi="宋体" w:cs="宋体"/>
          <w:b w:val="0"/>
          <w:bCs w:val="0"/>
          <w:kern w:val="2"/>
          <w:sz w:val="21"/>
          <w:szCs w:val="21"/>
          <w:lang w:val="en-US" w:eastAsia="zh-CN" w:bidi="ar-SA"/>
        </w:rPr>
        <w:t>：</w:t>
      </w:r>
    </w:p>
    <w:tbl>
      <w:tblPr>
        <w:tblStyle w:val="31"/>
        <w:tblW w:w="88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6"/>
        <w:gridCol w:w="896"/>
        <w:gridCol w:w="2001"/>
        <w:gridCol w:w="896"/>
        <w:gridCol w:w="896"/>
        <w:gridCol w:w="1080"/>
        <w:gridCol w:w="1080"/>
        <w:gridCol w:w="1080"/>
      </w:tblGrid>
      <w:tr w14:paraId="49FC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96" w:type="dxa"/>
            <w:tcBorders>
              <w:top w:val="nil"/>
              <w:left w:val="single" w:color="000000" w:sz="8" w:space="0"/>
              <w:bottom w:val="single" w:color="000000" w:sz="8" w:space="0"/>
              <w:right w:val="single" w:color="000000" w:sz="8" w:space="0"/>
            </w:tcBorders>
            <w:shd w:val="clear" w:color="auto" w:fill="auto"/>
            <w:vAlign w:val="center"/>
          </w:tcPr>
          <w:p w14:paraId="762A64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96" w:type="dxa"/>
            <w:tcBorders>
              <w:top w:val="single" w:color="000000" w:sz="8" w:space="0"/>
              <w:left w:val="nil"/>
              <w:bottom w:val="single" w:color="000000" w:sz="8" w:space="0"/>
              <w:right w:val="single" w:color="000000" w:sz="8" w:space="0"/>
            </w:tcBorders>
            <w:shd w:val="clear" w:color="auto" w:fill="auto"/>
            <w:vAlign w:val="center"/>
          </w:tcPr>
          <w:p w14:paraId="61F7F6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工装名称</w:t>
            </w:r>
          </w:p>
        </w:tc>
        <w:tc>
          <w:tcPr>
            <w:tcW w:w="2001" w:type="dxa"/>
            <w:tcBorders>
              <w:top w:val="single" w:color="000000" w:sz="8" w:space="0"/>
              <w:left w:val="nil"/>
              <w:bottom w:val="single" w:color="000000" w:sz="8" w:space="0"/>
              <w:right w:val="single" w:color="000000" w:sz="8" w:space="0"/>
            </w:tcBorders>
            <w:shd w:val="clear" w:color="auto" w:fill="auto"/>
            <w:vAlign w:val="center"/>
          </w:tcPr>
          <w:p w14:paraId="3ACD8D9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工装编号</w:t>
            </w:r>
          </w:p>
        </w:tc>
        <w:tc>
          <w:tcPr>
            <w:tcW w:w="896" w:type="dxa"/>
            <w:tcBorders>
              <w:top w:val="single" w:color="000000" w:sz="8" w:space="0"/>
              <w:left w:val="nil"/>
              <w:bottom w:val="single" w:color="000000" w:sz="8" w:space="0"/>
              <w:right w:val="single" w:color="000000" w:sz="8" w:space="0"/>
            </w:tcBorders>
            <w:shd w:val="clear" w:color="auto" w:fill="auto"/>
            <w:vAlign w:val="center"/>
          </w:tcPr>
          <w:p w14:paraId="4B7AF7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96" w:type="dxa"/>
            <w:tcBorders>
              <w:top w:val="single" w:color="000000" w:sz="8" w:space="0"/>
              <w:left w:val="nil"/>
              <w:bottom w:val="single" w:color="000000" w:sz="8" w:space="0"/>
              <w:right w:val="single" w:color="000000" w:sz="8" w:space="0"/>
            </w:tcBorders>
            <w:shd w:val="clear" w:color="auto" w:fill="auto"/>
            <w:vAlign w:val="center"/>
          </w:tcPr>
          <w:p w14:paraId="5F2BAEA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预估数量</w:t>
            </w:r>
          </w:p>
        </w:tc>
        <w:tc>
          <w:tcPr>
            <w:tcW w:w="1080" w:type="dxa"/>
            <w:tcBorders>
              <w:top w:val="single" w:color="000000" w:sz="8" w:space="0"/>
              <w:left w:val="nil"/>
              <w:bottom w:val="single" w:color="000000" w:sz="8" w:space="0"/>
              <w:right w:val="single" w:color="000000" w:sz="8" w:space="0"/>
            </w:tcBorders>
            <w:shd w:val="clear" w:color="auto" w:fill="auto"/>
            <w:vAlign w:val="center"/>
          </w:tcPr>
          <w:p w14:paraId="643EB43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基价（未税单价/元）</w:t>
            </w:r>
          </w:p>
        </w:tc>
        <w:tc>
          <w:tcPr>
            <w:tcW w:w="1080" w:type="dxa"/>
            <w:tcBorders>
              <w:top w:val="single" w:color="000000" w:sz="8" w:space="0"/>
              <w:left w:val="nil"/>
              <w:bottom w:val="single" w:color="000000" w:sz="8" w:space="0"/>
              <w:right w:val="single" w:color="000000" w:sz="8" w:space="0"/>
            </w:tcBorders>
            <w:shd w:val="clear" w:color="auto" w:fill="auto"/>
            <w:vAlign w:val="center"/>
          </w:tcPr>
          <w:p w14:paraId="127D336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定额（件）</w:t>
            </w:r>
          </w:p>
        </w:tc>
        <w:tc>
          <w:tcPr>
            <w:tcW w:w="1080" w:type="dxa"/>
            <w:tcBorders>
              <w:top w:val="single" w:color="000000" w:sz="8" w:space="0"/>
              <w:left w:val="nil"/>
              <w:bottom w:val="single" w:color="000000" w:sz="8" w:space="0"/>
              <w:right w:val="single" w:color="000000" w:sz="8" w:space="0"/>
            </w:tcBorders>
            <w:shd w:val="clear" w:color="auto" w:fill="auto"/>
            <w:vAlign w:val="center"/>
          </w:tcPr>
          <w:p w14:paraId="7797AC4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6A4B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896" w:type="dxa"/>
            <w:tcBorders>
              <w:top w:val="nil"/>
              <w:left w:val="single" w:color="000000" w:sz="8" w:space="0"/>
              <w:bottom w:val="single" w:color="000000" w:sz="8" w:space="0"/>
              <w:right w:val="single" w:color="000000" w:sz="8" w:space="0"/>
            </w:tcBorders>
            <w:shd w:val="clear" w:color="auto" w:fill="auto"/>
            <w:vAlign w:val="center"/>
          </w:tcPr>
          <w:p w14:paraId="6880947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96" w:type="dxa"/>
            <w:tcBorders>
              <w:top w:val="nil"/>
              <w:left w:val="nil"/>
              <w:bottom w:val="single" w:color="000000" w:sz="8" w:space="0"/>
              <w:right w:val="single" w:color="000000" w:sz="8" w:space="0"/>
            </w:tcBorders>
            <w:shd w:val="clear" w:color="auto" w:fill="auto"/>
            <w:vAlign w:val="center"/>
          </w:tcPr>
          <w:p w14:paraId="53F3CA7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2001" w:type="dxa"/>
            <w:tcBorders>
              <w:top w:val="nil"/>
              <w:left w:val="nil"/>
              <w:bottom w:val="single" w:color="000000" w:sz="8" w:space="0"/>
              <w:right w:val="single" w:color="000000" w:sz="8" w:space="0"/>
            </w:tcBorders>
            <w:shd w:val="clear" w:color="auto" w:fill="auto"/>
            <w:vAlign w:val="center"/>
          </w:tcPr>
          <w:p w14:paraId="1A7972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ZD5201-0416</w:t>
            </w:r>
          </w:p>
        </w:tc>
        <w:tc>
          <w:tcPr>
            <w:tcW w:w="896" w:type="dxa"/>
            <w:tcBorders>
              <w:top w:val="nil"/>
              <w:left w:val="nil"/>
              <w:bottom w:val="single" w:color="000000" w:sz="8" w:space="0"/>
              <w:right w:val="single" w:color="000000" w:sz="8" w:space="0"/>
            </w:tcBorders>
            <w:shd w:val="clear" w:color="auto" w:fill="auto"/>
            <w:vAlign w:val="center"/>
          </w:tcPr>
          <w:p w14:paraId="77C98B4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96" w:type="dxa"/>
            <w:tcBorders>
              <w:top w:val="nil"/>
              <w:left w:val="nil"/>
              <w:bottom w:val="single" w:color="000000" w:sz="8" w:space="0"/>
              <w:right w:val="single" w:color="000000" w:sz="8" w:space="0"/>
            </w:tcBorders>
            <w:shd w:val="clear" w:color="auto" w:fill="auto"/>
            <w:vAlign w:val="center"/>
          </w:tcPr>
          <w:p w14:paraId="3B180E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80" w:type="dxa"/>
            <w:tcBorders>
              <w:top w:val="nil"/>
              <w:left w:val="nil"/>
              <w:bottom w:val="single" w:color="000000" w:sz="8" w:space="0"/>
              <w:right w:val="single" w:color="000000" w:sz="8" w:space="0"/>
            </w:tcBorders>
            <w:shd w:val="clear" w:color="auto" w:fill="auto"/>
            <w:vAlign w:val="center"/>
          </w:tcPr>
          <w:p w14:paraId="48974DD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185325</w:t>
            </w:r>
          </w:p>
        </w:tc>
        <w:tc>
          <w:tcPr>
            <w:tcW w:w="1080" w:type="dxa"/>
            <w:tcBorders>
              <w:top w:val="nil"/>
              <w:left w:val="nil"/>
              <w:bottom w:val="single" w:color="000000" w:sz="8" w:space="0"/>
              <w:right w:val="single" w:color="000000" w:sz="8" w:space="0"/>
            </w:tcBorders>
            <w:shd w:val="clear" w:color="auto" w:fill="auto"/>
            <w:vAlign w:val="center"/>
          </w:tcPr>
          <w:p w14:paraId="480EFF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w:t>
            </w:r>
          </w:p>
        </w:tc>
        <w:tc>
          <w:tcPr>
            <w:tcW w:w="1080" w:type="dxa"/>
            <w:tcBorders>
              <w:top w:val="nil"/>
              <w:left w:val="nil"/>
              <w:bottom w:val="single" w:color="000000" w:sz="8" w:space="0"/>
              <w:right w:val="single" w:color="000000" w:sz="8" w:space="0"/>
            </w:tcBorders>
            <w:shd w:val="clear" w:color="auto" w:fill="auto"/>
            <w:vAlign w:val="center"/>
          </w:tcPr>
          <w:p w14:paraId="5C625C8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新制+焊修+强化</w:t>
            </w:r>
          </w:p>
        </w:tc>
      </w:tr>
      <w:tr w14:paraId="47292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96" w:type="dxa"/>
            <w:tcBorders>
              <w:top w:val="nil"/>
              <w:left w:val="single" w:color="000000" w:sz="8" w:space="0"/>
              <w:bottom w:val="single" w:color="000000" w:sz="8" w:space="0"/>
              <w:right w:val="single" w:color="000000" w:sz="8" w:space="0"/>
            </w:tcBorders>
            <w:shd w:val="clear" w:color="auto" w:fill="auto"/>
            <w:vAlign w:val="center"/>
          </w:tcPr>
          <w:p w14:paraId="64F3006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96" w:type="dxa"/>
            <w:tcBorders>
              <w:top w:val="nil"/>
              <w:left w:val="nil"/>
              <w:bottom w:val="single" w:color="000000" w:sz="8" w:space="0"/>
              <w:right w:val="single" w:color="000000" w:sz="8" w:space="0"/>
            </w:tcBorders>
            <w:shd w:val="clear" w:color="auto" w:fill="auto"/>
            <w:vAlign w:val="center"/>
          </w:tcPr>
          <w:p w14:paraId="1DC8828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2001" w:type="dxa"/>
            <w:tcBorders>
              <w:top w:val="nil"/>
              <w:left w:val="nil"/>
              <w:bottom w:val="single" w:color="000000" w:sz="8" w:space="0"/>
              <w:right w:val="single" w:color="000000" w:sz="8" w:space="0"/>
            </w:tcBorders>
            <w:shd w:val="clear" w:color="auto" w:fill="auto"/>
            <w:vAlign w:val="center"/>
          </w:tcPr>
          <w:p w14:paraId="53823AC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ZD5201-0417</w:t>
            </w:r>
          </w:p>
        </w:tc>
        <w:tc>
          <w:tcPr>
            <w:tcW w:w="896" w:type="dxa"/>
            <w:tcBorders>
              <w:top w:val="nil"/>
              <w:left w:val="nil"/>
              <w:bottom w:val="single" w:color="000000" w:sz="8" w:space="0"/>
              <w:right w:val="single" w:color="000000" w:sz="8" w:space="0"/>
            </w:tcBorders>
            <w:shd w:val="clear" w:color="auto" w:fill="auto"/>
            <w:vAlign w:val="center"/>
          </w:tcPr>
          <w:p w14:paraId="05A128F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96" w:type="dxa"/>
            <w:tcBorders>
              <w:top w:val="nil"/>
              <w:left w:val="nil"/>
              <w:bottom w:val="single" w:color="000000" w:sz="8" w:space="0"/>
              <w:right w:val="single" w:color="000000" w:sz="8" w:space="0"/>
            </w:tcBorders>
            <w:shd w:val="clear" w:color="auto" w:fill="auto"/>
            <w:vAlign w:val="center"/>
          </w:tcPr>
          <w:p w14:paraId="01A5ECE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80" w:type="dxa"/>
            <w:tcBorders>
              <w:top w:val="nil"/>
              <w:left w:val="nil"/>
              <w:bottom w:val="single" w:color="000000" w:sz="8" w:space="0"/>
              <w:right w:val="single" w:color="000000" w:sz="8" w:space="0"/>
            </w:tcBorders>
            <w:shd w:val="clear" w:color="auto" w:fill="auto"/>
            <w:vAlign w:val="center"/>
          </w:tcPr>
          <w:p w14:paraId="3F591A5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185325</w:t>
            </w:r>
          </w:p>
        </w:tc>
        <w:tc>
          <w:tcPr>
            <w:tcW w:w="1080" w:type="dxa"/>
            <w:tcBorders>
              <w:top w:val="nil"/>
              <w:left w:val="nil"/>
              <w:bottom w:val="single" w:color="000000" w:sz="8" w:space="0"/>
              <w:right w:val="single" w:color="000000" w:sz="8" w:space="0"/>
            </w:tcBorders>
            <w:shd w:val="clear" w:color="auto" w:fill="auto"/>
            <w:vAlign w:val="center"/>
          </w:tcPr>
          <w:p w14:paraId="48BEEB1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w:t>
            </w:r>
          </w:p>
        </w:tc>
        <w:tc>
          <w:tcPr>
            <w:tcW w:w="1080" w:type="dxa"/>
            <w:tcBorders>
              <w:top w:val="nil"/>
              <w:left w:val="nil"/>
              <w:bottom w:val="single" w:color="000000" w:sz="8" w:space="0"/>
              <w:right w:val="single" w:color="000000" w:sz="8" w:space="0"/>
            </w:tcBorders>
            <w:shd w:val="clear" w:color="auto" w:fill="auto"/>
            <w:vAlign w:val="center"/>
          </w:tcPr>
          <w:p w14:paraId="601D4D5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新制+焊修+强化</w:t>
            </w:r>
          </w:p>
        </w:tc>
      </w:tr>
    </w:tbl>
    <w:p w14:paraId="6A5BE334">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本次招标项目总限价</w:t>
      </w:r>
      <w:r>
        <w:rPr>
          <w:rFonts w:hint="eastAsia" w:ascii="宋体" w:hAnsi="Courier New" w:eastAsia="宋体" w:cs="Times New Roman"/>
          <w:b w:val="0"/>
          <w:bCs/>
          <w:color w:val="auto"/>
          <w:kern w:val="2"/>
          <w:sz w:val="21"/>
          <w:szCs w:val="20"/>
          <w:highlight w:val="yellow"/>
          <w:lang w:val="en-US" w:eastAsia="zh-CN" w:bidi="ar-SA"/>
        </w:rPr>
        <w:t>41.88</w:t>
      </w:r>
      <w:r>
        <w:rPr>
          <w:rFonts w:hint="eastAsia" w:ascii="宋体" w:hAnsi="Courier New" w:eastAsia="宋体" w:cs="Times New Roman"/>
          <w:b w:val="0"/>
          <w:bCs/>
          <w:color w:val="auto"/>
          <w:kern w:val="2"/>
          <w:sz w:val="21"/>
          <w:szCs w:val="20"/>
          <w:highlight w:val="yellow"/>
          <w:lang w:val="en-US" w:eastAsia="zh-CN" w:bidi="ar-SA"/>
        </w:rPr>
        <w:t>万元（含税）</w:t>
      </w:r>
      <w:r>
        <w:rPr>
          <w:rFonts w:hint="eastAsia" w:ascii="宋体" w:hAnsi="Courier New" w:eastAsia="宋体" w:cs="Times New Roman"/>
          <w:b w:val="0"/>
          <w:bCs/>
          <w:color w:val="auto"/>
          <w:kern w:val="2"/>
          <w:sz w:val="21"/>
          <w:szCs w:val="20"/>
          <w:lang w:val="en-US" w:eastAsia="zh-CN" w:bidi="ar-SA"/>
        </w:rPr>
        <w:t>。</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highlight w:val="yellow"/>
          <w:lang w:val="en-US" w:eastAsia="zh-CN" w:bidi="ar-SA"/>
        </w:rPr>
        <w:t>报价高于限价无法完成中标。</w:t>
      </w:r>
    </w:p>
    <w:p w14:paraId="6E356D5F">
      <w:pPr>
        <w:keepNext w:val="0"/>
        <w:keepLines w:val="0"/>
        <w:widowControl/>
        <w:suppressLineNumbers w:val="0"/>
        <w:jc w:val="left"/>
        <w:rPr>
          <w:rFonts w:hint="default" w:eastAsia="宋体"/>
          <w:highlight w:val="yellow"/>
          <w:lang w:val="en-US" w:eastAsia="zh-CN"/>
        </w:rPr>
      </w:pPr>
      <w:r>
        <w:rPr>
          <w:rFonts w:hint="eastAsia"/>
          <w:b w:val="0"/>
          <w:bCs/>
        </w:rPr>
        <w:t>招标形式：</w:t>
      </w:r>
      <w:r>
        <w:rPr>
          <w:rFonts w:hint="eastAsia"/>
          <w:b w:val="0"/>
          <w:bCs/>
          <w:lang w:val="en-US" w:eastAsia="zh-CN"/>
        </w:rPr>
        <w:t xml:space="preserve">公开招标 </w:t>
      </w:r>
      <w:r>
        <w:rPr>
          <w:rFonts w:hint="eastAsia"/>
          <w:b w:val="0"/>
          <w:bCs/>
          <w:lang w:val="en-US" w:eastAsia="zh-CN"/>
        </w:rPr>
        <w:br w:type="textWrapping"/>
      </w:r>
      <w:r>
        <w:rPr>
          <w:rFonts w:hint="eastAsia"/>
          <w:b w:val="0"/>
          <w:bCs/>
          <w:highlight w:val="yellow"/>
          <w:lang w:val="en-US" w:eastAsia="zh-CN"/>
        </w:rPr>
        <w:t>项目工期：40天</w:t>
      </w:r>
    </w:p>
    <w:p w14:paraId="4B41BD77">
      <w:pPr>
        <w:pStyle w:val="72"/>
        <w:rPr>
          <w:highlight w:val="none"/>
        </w:rPr>
      </w:pPr>
      <w:bookmarkStart w:id="4" w:name="_Toc47976590"/>
      <w:r>
        <w:rPr>
          <w:rFonts w:hint="eastAsia" w:ascii="宋体" w:eastAsia="宋体" w:cs="Times New Roman"/>
          <w:b w:val="0"/>
          <w:bCs/>
          <w:color w:val="auto"/>
          <w:kern w:val="2"/>
          <w:sz w:val="21"/>
          <w:szCs w:val="20"/>
          <w:lang w:val="en-US" w:eastAsia="zh-CN" w:bidi="ar-SA"/>
        </w:rPr>
        <w:t xml:space="preserve"> </w:t>
      </w:r>
      <w:r>
        <w:rPr>
          <w:rFonts w:hint="eastAsia"/>
          <w:highlight w:val="none"/>
        </w:rPr>
        <w:t>投标人资格要求</w:t>
      </w:r>
      <w:bookmarkEnd w:id="4"/>
      <w:r>
        <w:rPr>
          <w:rFonts w:hint="eastAsia"/>
          <w:highlight w:val="none"/>
          <w:lang w:eastAsia="zh-CN"/>
        </w:rPr>
        <w:t>：</w:t>
      </w:r>
    </w:p>
    <w:p w14:paraId="06DBB675">
      <w:pPr>
        <w:pStyle w:val="72"/>
        <w:numPr>
          <w:ilvl w:val="0"/>
          <w:numId w:val="10"/>
        </w:numPr>
        <w:ind w:left="425" w:leftChars="0" w:hanging="425" w:firstLine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1"/>
          <w:szCs w:val="21"/>
          <w:lang w:eastAsia="zh-CN"/>
        </w:rPr>
        <w:t>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投标人应提供具有统一社会信用代码的营业执照副本复印件；</w:t>
      </w:r>
    </w:p>
    <w:p w14:paraId="5BBAB0D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投标人在“国家企业信用信息公示系统”、“中国执行信息公开网”、“信用中国”、“天眼查”“裁判文书网”等信息平台中，无与招标项目相关的重大行政处罚及失信记录等信息； </w:t>
      </w:r>
    </w:p>
    <w:p w14:paraId="5C000E38">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投标人近三年内在经营活动中无与本项目有关的违法及重大违规情况或被列入招标人“黑名单”；</w:t>
      </w:r>
    </w:p>
    <w:p w14:paraId="2F0B32B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本次招标不接受联合体投标，不接受代理商投标。投标方的直接或间接股东、法定代表人、董事、监事、高管非重汽员工及其亲属；</w:t>
      </w:r>
    </w:p>
    <w:p w14:paraId="6BF48FCC">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投标人应通过GB/ISO9001</w:t>
      </w:r>
      <w:r>
        <w:rPr>
          <w:rFonts w:hint="eastAsia" w:ascii="宋体" w:hAnsi="宋体" w:eastAsia="宋体" w:cs="宋体"/>
          <w:b w:val="0"/>
          <w:bCs w:val="0"/>
          <w:sz w:val="21"/>
          <w:szCs w:val="21"/>
          <w:lang w:val="en-US" w:eastAsia="zh-CN"/>
        </w:rPr>
        <w:t>或IATF16949</w:t>
      </w:r>
      <w:r>
        <w:rPr>
          <w:rFonts w:hint="eastAsia" w:ascii="宋体" w:hAnsi="宋体" w:eastAsia="宋体" w:cs="宋体"/>
          <w:b w:val="0"/>
          <w:bCs w:val="0"/>
          <w:sz w:val="21"/>
          <w:szCs w:val="21"/>
          <w:lang w:eastAsia="zh-CN"/>
        </w:rPr>
        <w:t>质量体系认证；</w:t>
      </w:r>
    </w:p>
    <w:p w14:paraId="6A23C7A7">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经营资质具有锻造工装制作及维修等相关内容，且有锻造工装焊修制作经验；</w:t>
      </w:r>
    </w:p>
    <w:p w14:paraId="7370C69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投标人在向招标人提交投标保证金缴纳证明后方可进行投标；</w:t>
      </w:r>
    </w:p>
    <w:p w14:paraId="1187EFF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企业最近半年完税证明、信用证明材料（中国人民银行信用代码证+征信报告）；</w:t>
      </w:r>
    </w:p>
    <w:p w14:paraId="0B73603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年度纳税信用评价信息（可从电子税务局查询截图，需加盖公章）；</w:t>
      </w:r>
    </w:p>
    <w:p w14:paraId="685E20C1">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企业对外担保说明（写明贵单位对外有无对外担保和质押业务，需加盖公章）。</w:t>
      </w:r>
      <w:bookmarkEnd w:id="5"/>
    </w:p>
    <w:p w14:paraId="433B32C1">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无招标违规、谎报年度报告信息、提供虚假资质资料等行为或其他行政处罚记录；近三年内在经</w:t>
      </w:r>
      <w:r>
        <w:rPr>
          <w:rFonts w:hint="default" w:ascii="宋体" w:hAnsi="宋体" w:eastAsia="宋体" w:cs="宋体"/>
          <w:b w:val="0"/>
          <w:bCs w:val="0"/>
          <w:sz w:val="21"/>
          <w:szCs w:val="21"/>
          <w:lang w:eastAsia="zh-CN"/>
        </w:rPr>
        <w:t>营活动中无与本项目有关的违法及重大违规情况。</w:t>
      </w:r>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2026年4月21日9点00分（若有变动，另行通知）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1E75208D">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商务联系人：陈学良-17860601755；技术联系人：赵春霞-13305314370</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504A285D">
      <w:pPr>
        <w:shd w:val="clear" w:color="auto" w:fill="auto"/>
        <w:spacing w:line="360" w:lineRule="auto"/>
        <w:rPr>
          <w:rFonts w:hint="default" w:ascii="宋体" w:hAnsi="宋体" w:eastAsia="宋体" w:cs="宋体"/>
          <w:sz w:val="21"/>
          <w:szCs w:val="21"/>
          <w:highlight w:val="none"/>
          <w:lang w:val="en-US" w:eastAsia="zh-CN"/>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F538BD8">
      <w:pPr>
        <w:pStyle w:val="76"/>
      </w:pPr>
    </w:p>
    <w:p w14:paraId="3D820EEC">
      <w:pPr>
        <w:jc w:val="center"/>
        <w:rPr>
          <w:b/>
          <w:bCs/>
          <w:sz w:val="44"/>
          <w:szCs w:val="40"/>
        </w:rPr>
      </w:pPr>
      <w:bookmarkStart w:id="9" w:name="_Toc7753"/>
      <w:bookmarkStart w:id="10" w:name="_Toc47976595"/>
      <w:r>
        <w:rPr>
          <w:rFonts w:hint="eastAsia"/>
          <w:b/>
          <w:bCs/>
          <w:sz w:val="44"/>
          <w:szCs w:val="40"/>
        </w:rPr>
        <w:t>第一部分  投标人须知</w:t>
      </w:r>
      <w:bookmarkEnd w:id="9"/>
      <w:bookmarkEnd w:id="10"/>
    </w:p>
    <w:p w14:paraId="418340FC">
      <w:pPr>
        <w:pStyle w:val="72"/>
        <w:numPr>
          <w:ilvl w:val="0"/>
          <w:numId w:val="11"/>
        </w:numPr>
        <w:ind w:left="420"/>
        <w:jc w:val="left"/>
        <w:rPr>
          <w:rFonts w:hint="eastAsia" w:ascii="宋体" w:hAnsi="Courier New" w:eastAsia="宋体" w:cs="Times New Roman"/>
          <w:b w:val="0"/>
          <w:bCs w:val="0"/>
          <w:kern w:val="2"/>
          <w:sz w:val="21"/>
          <w:highlight w:val="none"/>
          <w:lang w:val="en-US" w:eastAsia="zh-CN" w:bidi="ar-SA"/>
        </w:rPr>
      </w:pPr>
      <w:bookmarkStart w:id="11" w:name="_Toc47976596"/>
      <w:r>
        <w:rPr>
          <w:rFonts w:hint="eastAsia"/>
        </w:rPr>
        <w:t>项目介绍</w:t>
      </w:r>
      <w:bookmarkEnd w:id="11"/>
      <w:r>
        <w:rPr>
          <w:rFonts w:hint="eastAsia"/>
        </w:rPr>
        <w:br w:type="textWrapping"/>
      </w:r>
      <w:r>
        <w:rPr>
          <w:rFonts w:hint="eastAsia" w:ascii="宋体" w:hAnsi="Courier New" w:eastAsia="宋体" w:cs="Times New Roman"/>
          <w:b w:val="0"/>
          <w:bCs w:val="0"/>
          <w:kern w:val="2"/>
          <w:sz w:val="21"/>
          <w:highlight w:val="none"/>
          <w:lang w:val="en-US" w:eastAsia="zh-CN" w:bidi="ar-SA"/>
        </w:rPr>
        <w:t>1.项目名称：济南成型厂10031004整体转向节工装制作项目</w:t>
      </w:r>
      <w:r>
        <w:rPr>
          <w:rFonts w:hint="eastAsia" w:ascii="宋体" w:hAnsi="Courier New" w:eastAsia="宋体" w:cs="Times New Roman"/>
          <w:b w:val="0"/>
          <w:bCs w:val="0"/>
          <w:kern w:val="2"/>
          <w:sz w:val="21"/>
          <w:highlight w:val="none"/>
          <w:lang w:val="en-US" w:eastAsia="zh-CN" w:bidi="ar-SA"/>
        </w:rPr>
        <w:br w:type="textWrapping"/>
      </w:r>
      <w:r>
        <w:rPr>
          <w:rFonts w:hint="eastAsia" w:ascii="宋体" w:hAnsi="Courier New" w:eastAsia="宋体" w:cs="Times New Roman"/>
          <w:b w:val="0"/>
          <w:bCs w:val="0"/>
          <w:kern w:val="2"/>
          <w:sz w:val="21"/>
          <w:highlight w:val="none"/>
          <w:lang w:val="en-US" w:eastAsia="zh-CN" w:bidi="ar-SA"/>
        </w:rPr>
        <w:t>2.项目编号：ZBGL2026040078</w:t>
      </w:r>
      <w:r>
        <w:rPr>
          <w:rFonts w:hint="eastAsia" w:ascii="宋体" w:hAnsi="Courier New" w:eastAsia="宋体" w:cs="Times New Roman"/>
          <w:b w:val="0"/>
          <w:bCs w:val="0"/>
          <w:kern w:val="2"/>
          <w:sz w:val="21"/>
          <w:highlight w:val="none"/>
          <w:lang w:val="en-US" w:eastAsia="zh-CN" w:bidi="ar-SA"/>
        </w:rPr>
        <w:br w:type="textWrapping"/>
      </w:r>
      <w:r>
        <w:rPr>
          <w:rFonts w:hint="eastAsia" w:ascii="宋体" w:hAnsi="Courier New" w:eastAsia="宋体" w:cs="Times New Roman"/>
          <w:b w:val="0"/>
          <w:bCs w:val="0"/>
          <w:kern w:val="2"/>
          <w:sz w:val="21"/>
          <w:highlight w:val="none"/>
          <w:lang w:val="en-US" w:eastAsia="zh-CN" w:bidi="ar-SA"/>
        </w:rPr>
        <w:t>3.招标形式：公开招标</w:t>
      </w:r>
      <w:r>
        <w:rPr>
          <w:rFonts w:hint="eastAsia" w:ascii="宋体" w:hAnsi="Courier New" w:eastAsia="宋体" w:cs="Times New Roman"/>
          <w:b w:val="0"/>
          <w:bCs w:val="0"/>
          <w:kern w:val="2"/>
          <w:sz w:val="21"/>
          <w:highlight w:val="none"/>
          <w:lang w:val="en-US" w:eastAsia="zh-CN" w:bidi="ar-SA"/>
        </w:rPr>
        <w:br w:type="textWrapping"/>
      </w:r>
      <w:r>
        <w:rPr>
          <w:rFonts w:hint="eastAsia" w:ascii="宋体" w:hAnsi="Courier New" w:eastAsia="宋体" w:cs="Times New Roman"/>
          <w:b w:val="0"/>
          <w:bCs w:val="0"/>
          <w:kern w:val="2"/>
          <w:sz w:val="21"/>
          <w:highlight w:val="none"/>
          <w:lang w:val="en-US" w:eastAsia="zh-CN" w:bidi="ar-SA"/>
        </w:rPr>
        <w:t>4.招标内容具体要求详见招标公告。</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发标时间：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4</w:t>
      </w:r>
      <w:r>
        <w:rPr>
          <w:rFonts w:hint="eastAsia" w:ascii="宋体" w:hAnsi="Courier New" w:eastAsia="宋体" w:cs="Times New Roman"/>
          <w:highlight w:val="yellow"/>
          <w:lang w:val="en-US" w:eastAsia="zh-CN"/>
        </w:rPr>
        <w:t>月</w:t>
      </w:r>
      <w:r>
        <w:rPr>
          <w:rFonts w:hint="eastAsia" w:cs="Times New Roman"/>
          <w:highlight w:val="yellow"/>
          <w:lang w:val="en-US" w:eastAsia="zh-CN"/>
        </w:rPr>
        <w:t>10</w:t>
      </w:r>
      <w:r>
        <w:rPr>
          <w:rFonts w:hint="eastAsia" w:ascii="宋体" w:hAnsi="Courier New" w:eastAsia="宋体" w:cs="Times New Roman"/>
          <w:highlight w:val="yellow"/>
          <w:lang w:val="en-US" w:eastAsia="zh-CN"/>
        </w:rPr>
        <w:t>日</w:t>
      </w:r>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4</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4</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日前</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：2026年4月14日17点00分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4"/>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4"/>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7"/>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7"/>
        </w:numPr>
        <w:ind w:left="425" w:leftChars="0" w:hanging="425" w:firstLineChars="0"/>
        <w:rPr>
          <w:b w:val="0"/>
          <w:bCs/>
          <w:sz w:val="21"/>
          <w:szCs w:val="21"/>
          <w:highlight w:val="none"/>
        </w:rPr>
      </w:pPr>
      <w:r>
        <w:rPr>
          <w:rFonts w:hint="eastAsia"/>
          <w:sz w:val="21"/>
          <w:szCs w:val="21"/>
        </w:rPr>
        <w:t>报价单（</w:t>
      </w:r>
      <w:r>
        <w:rPr>
          <w:rFonts w:hint="eastAsia"/>
          <w:b w:val="0"/>
          <w:bCs w:val="0"/>
          <w:sz w:val="21"/>
          <w:szCs w:val="21"/>
          <w:lang w:val="en-US" w:eastAsia="zh-CN"/>
        </w:rPr>
        <w:t>详见附后</w:t>
      </w:r>
      <w:r>
        <w:rPr>
          <w:rFonts w:hint="eastAsia"/>
          <w:sz w:val="21"/>
          <w:szCs w:val="21"/>
        </w:rPr>
        <w:t>格式</w:t>
      </w:r>
      <w:r>
        <w:rPr>
          <w:rFonts w:hint="eastAsia"/>
          <w:sz w:val="21"/>
          <w:szCs w:val="21"/>
          <w:lang w:val="en-US" w:eastAsia="zh-CN"/>
        </w:rPr>
        <w:t>2</w:t>
      </w:r>
      <w:r>
        <w:rPr>
          <w:rFonts w:hint="eastAsia"/>
          <w:sz w:val="21"/>
          <w:szCs w:val="21"/>
        </w:rPr>
        <w:t>）</w:t>
      </w:r>
    </w:p>
    <w:p w14:paraId="0A288B6C">
      <w:pPr>
        <w:pStyle w:val="75"/>
        <w:numPr>
          <w:ilvl w:val="0"/>
          <w:numId w:val="17"/>
        </w:numPr>
        <w:ind w:left="425" w:leftChars="0" w:hanging="425" w:firstLineChars="0"/>
        <w:rPr>
          <w:b w:val="0"/>
          <w:bCs/>
          <w:sz w:val="21"/>
          <w:szCs w:val="21"/>
          <w:highlight w:val="none"/>
        </w:rPr>
      </w:pPr>
      <w:r>
        <w:rPr>
          <w:rFonts w:hint="eastAsia"/>
          <w:sz w:val="21"/>
          <w:szCs w:val="21"/>
        </w:rPr>
        <w:t>商务条款偏离表（</w:t>
      </w:r>
      <w:r>
        <w:rPr>
          <w:rFonts w:hint="eastAsia"/>
          <w:b w:val="0"/>
          <w:bCs w:val="0"/>
          <w:sz w:val="21"/>
          <w:szCs w:val="21"/>
          <w:lang w:val="en-US" w:eastAsia="zh-CN"/>
        </w:rPr>
        <w:t>详见附后格式3</w:t>
      </w:r>
      <w:r>
        <w:rPr>
          <w:rFonts w:hint="eastAsia"/>
          <w:sz w:val="21"/>
          <w:szCs w:val="21"/>
        </w:rPr>
        <w:t>）</w:t>
      </w:r>
    </w:p>
    <w:p w14:paraId="0C0E1C36">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eastAsia="宋体" w:cs="Times New Roman"/>
          <w:b/>
          <w:bCs w:val="0"/>
          <w:highlight w:val="yellow"/>
        </w:rPr>
      </w:pPr>
      <w:r>
        <w:rPr>
          <w:rFonts w:hint="eastAsia" w:cs="Times New Roman"/>
          <w:b w:val="0"/>
          <w:bCs/>
          <w:highlight w:val="none"/>
          <w:lang w:val="en-US" w:eastAsia="zh-CN"/>
        </w:rPr>
        <w:t>商务报价注意内容：</w:t>
      </w:r>
      <w:r>
        <w:rPr>
          <w:rFonts w:hint="eastAsia" w:ascii="宋体" w:eastAsia="宋体" w:cs="Times New Roman"/>
          <w:b w:val="0"/>
          <w:bCs/>
          <w:highlight w:val="yellow"/>
          <w:lang w:val="en-US" w:eastAsia="zh-CN"/>
        </w:rPr>
        <w:t>项目</w:t>
      </w:r>
      <w:r>
        <w:rPr>
          <w:rFonts w:hint="eastAsia" w:ascii="宋体" w:eastAsia="宋体" w:cs="Times New Roman"/>
          <w:b w:val="0"/>
          <w:bCs/>
          <w:highlight w:val="yellow"/>
        </w:rPr>
        <w:t>内</w:t>
      </w:r>
      <w:r>
        <w:rPr>
          <w:rFonts w:hint="eastAsia" w:ascii="宋体" w:eastAsia="宋体" w:cs="Times New Roman"/>
          <w:b w:val="0"/>
          <w:bCs/>
          <w:highlight w:val="yellow"/>
          <w:lang w:val="en-US" w:eastAsia="zh-CN"/>
        </w:rPr>
        <w:t>每项工装</w:t>
      </w:r>
      <w:r>
        <w:rPr>
          <w:rFonts w:hint="eastAsia" w:ascii="宋体" w:eastAsia="宋体" w:cs="Times New Roman"/>
          <w:b w:val="0"/>
          <w:bCs/>
          <w:highlight w:val="yellow"/>
        </w:rPr>
        <w:t>最终报价</w:t>
      </w:r>
      <w:r>
        <w:rPr>
          <w:rFonts w:hint="eastAsia" w:cs="Times New Roman"/>
          <w:b w:val="0"/>
          <w:bCs/>
          <w:highlight w:val="yellow"/>
          <w:lang w:val="en-US" w:eastAsia="zh-CN"/>
        </w:rPr>
        <w:t>不可高于</w:t>
      </w:r>
      <w:r>
        <w:rPr>
          <w:rFonts w:hint="eastAsia" w:ascii="宋体" w:eastAsia="宋体" w:cs="Times New Roman"/>
          <w:b w:val="0"/>
          <w:bCs/>
          <w:highlight w:val="yellow"/>
          <w:lang w:val="en-US" w:eastAsia="zh-CN"/>
        </w:rPr>
        <w:t>招标基价</w:t>
      </w:r>
      <w:r>
        <w:rPr>
          <w:rFonts w:hint="eastAsia" w:cs="Times New Roman"/>
          <w:b/>
          <w:bCs w:val="0"/>
          <w:highlight w:val="yellow"/>
          <w:lang w:eastAsia="zh-CN"/>
        </w:rPr>
        <w:t>。</w:t>
      </w:r>
    </w:p>
    <w:p w14:paraId="0285E932">
      <w:pPr>
        <w:pStyle w:val="75"/>
        <w:keepNext w:val="0"/>
        <w:keepLines w:val="0"/>
        <w:pageBreakBefore w:val="0"/>
        <w:widowControl w:val="0"/>
        <w:numPr>
          <w:ilvl w:val="0"/>
          <w:numId w:val="14"/>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eastAsia="宋体"/>
          <w:sz w:val="21"/>
          <w:szCs w:val="21"/>
          <w:lang w:val="en-US" w:eastAsia="zh-CN"/>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r>
        <w:rPr>
          <w:rFonts w:hint="eastAsia"/>
          <w:sz w:val="21"/>
          <w:szCs w:val="21"/>
          <w:lang w:val="en-US" w:eastAsia="zh-CN"/>
        </w:rPr>
        <w:t xml:space="preserve"> </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593DB924">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716CD1C8">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0" w:leftChars="0" w:firstLine="0" w:firstLineChars="0"/>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19</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17点00分</w:t>
      </w:r>
    </w:p>
    <w:p w14:paraId="25974AAC">
      <w:pPr>
        <w:pStyle w:val="72"/>
        <w:rPr>
          <w:rFonts w:hint="eastAsia" w:hAnsi="Courier New" w:cs="Times New Roman"/>
          <w:highlight w:val="none"/>
        </w:rPr>
      </w:pPr>
      <w:bookmarkStart w:id="12"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0"/>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0"/>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19</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r>
        <w:rPr>
          <w:rFonts w:hint="eastAsia" w:ascii="宋体" w:hAnsi="宋体" w:eastAsia="宋体" w:cs="宋体"/>
          <w:b w:val="0"/>
          <w:bCs w:val="0"/>
          <w:sz w:val="21"/>
          <w:szCs w:val="21"/>
          <w:highlight w:val="yellow"/>
        </w:rPr>
        <w:br w:type="textWrapping"/>
      </w:r>
      <w:r>
        <w:rPr>
          <w:rFonts w:hint="eastAsia" w:cs="Times New Roman"/>
          <w:b/>
          <w:bCs w:val="0"/>
          <w:sz w:val="24"/>
          <w:szCs w:val="22"/>
          <w:highlight w:val="yellow"/>
          <w:lang w:val="en-US" w:eastAsia="zh-CN"/>
        </w:rPr>
        <w:t>注意：请将投标保证金回执函，放入投标文件的“资质证明文件”附件中，</w:t>
      </w:r>
      <w:r>
        <w:rPr>
          <w:rFonts w:hint="eastAsia" w:ascii="宋体" w:hAnsi="宋体" w:eastAsia="宋体" w:cs="宋体"/>
          <w:b/>
          <w:bCs w:val="0"/>
          <w:sz w:val="24"/>
          <w:szCs w:val="24"/>
          <w:highlight w:val="yellow"/>
        </w:rPr>
        <w:t>作为投标文件的一部分</w:t>
      </w:r>
      <w:r>
        <w:rPr>
          <w:rFonts w:hint="eastAsia" w:hAnsi="宋体" w:cs="宋体"/>
          <w:b/>
          <w:bCs w:val="0"/>
          <w:sz w:val="24"/>
          <w:szCs w:val="24"/>
          <w:highlight w:val="yellow"/>
          <w:lang w:val="en-US" w:eastAsia="zh-CN"/>
        </w:rPr>
        <w:t>上传至E采通系统。</w:t>
      </w:r>
    </w:p>
    <w:p w14:paraId="4C2C93DA">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2"/>
    <w:p w14:paraId="368B6990">
      <w:pPr>
        <w:pStyle w:val="72"/>
      </w:pPr>
      <w:r>
        <w:rPr>
          <w:rFonts w:hint="eastAsia"/>
          <w:lang w:val="en-US" w:eastAsia="zh-CN"/>
        </w:rPr>
        <w:t>开评标</w:t>
      </w:r>
    </w:p>
    <w:p w14:paraId="3EF8D0F8">
      <w:pPr>
        <w:pStyle w:val="72"/>
        <w:keepNext w:val="0"/>
        <w:keepLines w:val="0"/>
        <w:pageBreakBefore w:val="0"/>
        <w:widowControl w:val="0"/>
        <w:numPr>
          <w:ilvl w:val="0"/>
          <w:numId w:val="21"/>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72D1B69D">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黑体" w:eastAsia="黑体"/>
          <w:b/>
          <w:bCs/>
          <w:sz w:val="28"/>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7C05EF28">
      <w:pPr>
        <w:rPr>
          <w:rFonts w:hint="eastAsia" w:ascii="黑体" w:eastAsia="黑体"/>
          <w:b/>
          <w:bCs/>
          <w:sz w:val="28"/>
          <w:lang w:val="en-US" w:eastAsia="zh-CN"/>
        </w:rPr>
      </w:pPr>
      <w:r>
        <w:rPr>
          <w:rFonts w:hint="eastAsia" w:ascii="黑体" w:eastAsia="黑体"/>
          <w:b/>
          <w:bCs/>
          <w:sz w:val="28"/>
          <w:lang w:val="en-US" w:eastAsia="zh-CN"/>
        </w:rPr>
        <w:br w:type="page"/>
      </w:r>
    </w:p>
    <w:tbl>
      <w:tblPr>
        <w:tblStyle w:val="31"/>
        <w:tblpPr w:leftFromText="180" w:rightFromText="180" w:vertAnchor="page" w:horzAnchor="page" w:tblpX="1246" w:tblpY="442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01"/>
        <w:gridCol w:w="6207"/>
      </w:tblGrid>
      <w:tr w14:paraId="0826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48" w:type="dxa"/>
            <w:noWrap w:val="0"/>
            <w:vAlign w:val="center"/>
          </w:tcPr>
          <w:p w14:paraId="26A3B0E6">
            <w:pPr>
              <w:pStyle w:val="15"/>
              <w:spacing w:line="360" w:lineRule="auto"/>
              <w:rPr>
                <w:bCs/>
                <w:color w:val="000000"/>
                <w:sz w:val="24"/>
                <w:szCs w:val="24"/>
              </w:rPr>
            </w:pPr>
            <w:r>
              <w:rPr>
                <w:rFonts w:hint="eastAsia"/>
                <w:bCs/>
                <w:color w:val="000000"/>
                <w:sz w:val="24"/>
                <w:szCs w:val="24"/>
              </w:rPr>
              <w:t>序号</w:t>
            </w:r>
          </w:p>
        </w:tc>
        <w:tc>
          <w:tcPr>
            <w:tcW w:w="824" w:type="dxa"/>
            <w:noWrap w:val="0"/>
            <w:vAlign w:val="center"/>
          </w:tcPr>
          <w:p w14:paraId="3F952E93">
            <w:pPr>
              <w:pStyle w:val="15"/>
              <w:spacing w:line="360" w:lineRule="auto"/>
              <w:rPr>
                <w:bCs/>
                <w:color w:val="000000"/>
                <w:sz w:val="24"/>
                <w:szCs w:val="24"/>
              </w:rPr>
            </w:pPr>
            <w:r>
              <w:rPr>
                <w:rFonts w:hint="eastAsia" w:hAnsi="宋体" w:eastAsia="宋体" w:cs="宋体"/>
                <w:bCs/>
                <w:color w:val="000000"/>
                <w:sz w:val="24"/>
                <w:szCs w:val="24"/>
              </w:rPr>
              <w:t>类别</w:t>
            </w:r>
          </w:p>
        </w:tc>
        <w:tc>
          <w:tcPr>
            <w:tcW w:w="8108" w:type="dxa"/>
            <w:gridSpan w:val="2"/>
            <w:noWrap w:val="0"/>
            <w:vAlign w:val="center"/>
          </w:tcPr>
          <w:p w14:paraId="35B52978">
            <w:pPr>
              <w:pStyle w:val="15"/>
              <w:spacing w:line="360" w:lineRule="auto"/>
              <w:ind w:firstLine="2160" w:firstLineChars="900"/>
              <w:rPr>
                <w:b/>
                <w:bCs/>
                <w:color w:val="000000"/>
                <w:sz w:val="24"/>
                <w:szCs w:val="24"/>
              </w:rPr>
            </w:pPr>
            <w:r>
              <w:rPr>
                <w:rFonts w:hint="eastAsia" w:hAnsi="宋体" w:eastAsia="宋体" w:cs="宋体"/>
                <w:bCs/>
                <w:color w:val="000000"/>
                <w:sz w:val="24"/>
                <w:szCs w:val="24"/>
              </w:rPr>
              <w:t>评审内容</w:t>
            </w:r>
            <w:r>
              <w:rPr>
                <w:rFonts w:hint="eastAsia"/>
                <w:bCs/>
                <w:color w:val="000000"/>
                <w:sz w:val="24"/>
                <w:szCs w:val="24"/>
              </w:rPr>
              <w:t>(</w:t>
            </w:r>
            <w:r>
              <w:rPr>
                <w:rFonts w:hint="eastAsia"/>
                <w:bCs/>
                <w:color w:val="000000"/>
                <w:sz w:val="24"/>
                <w:szCs w:val="24"/>
                <w:lang w:val="en-US" w:eastAsia="zh-CN"/>
              </w:rPr>
              <w:t>满分</w:t>
            </w:r>
            <w:r>
              <w:rPr>
                <w:rFonts w:hint="eastAsia"/>
                <w:bCs/>
                <w:color w:val="000000"/>
                <w:sz w:val="24"/>
                <w:szCs w:val="24"/>
              </w:rPr>
              <w:t>100</w:t>
            </w:r>
            <w:r>
              <w:rPr>
                <w:rFonts w:hint="eastAsia" w:hAnsi="宋体" w:eastAsia="宋体" w:cs="宋体"/>
                <w:bCs/>
                <w:color w:val="000000"/>
                <w:sz w:val="24"/>
                <w:szCs w:val="24"/>
              </w:rPr>
              <w:t>分</w:t>
            </w:r>
            <w:r>
              <w:rPr>
                <w:rFonts w:hint="eastAsia"/>
                <w:bCs/>
                <w:color w:val="000000"/>
                <w:sz w:val="24"/>
                <w:szCs w:val="24"/>
              </w:rPr>
              <w:t>)</w:t>
            </w:r>
          </w:p>
        </w:tc>
      </w:tr>
      <w:tr w14:paraId="7709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848" w:type="dxa"/>
            <w:noWrap w:val="0"/>
            <w:vAlign w:val="center"/>
          </w:tcPr>
          <w:p w14:paraId="53E6AB35">
            <w:pPr>
              <w:pStyle w:val="1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6E4D5E1B">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技</w:t>
            </w:r>
          </w:p>
          <w:p w14:paraId="1715C554">
            <w:pPr>
              <w:pStyle w:val="15"/>
              <w:spacing w:line="360" w:lineRule="auto"/>
              <w:jc w:val="center"/>
              <w:rPr>
                <w:bCs/>
                <w:color w:val="000000"/>
                <w:sz w:val="24"/>
                <w:szCs w:val="24"/>
              </w:rPr>
            </w:pPr>
            <w:r>
              <w:rPr>
                <w:rFonts w:hint="eastAsia" w:hAnsi="宋体" w:eastAsia="宋体" w:cs="宋体"/>
                <w:bCs/>
                <w:color w:val="000000"/>
                <w:sz w:val="24"/>
                <w:szCs w:val="24"/>
              </w:rPr>
              <w:t>术</w:t>
            </w:r>
          </w:p>
          <w:p w14:paraId="5275DCD9">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部</w:t>
            </w:r>
          </w:p>
          <w:p w14:paraId="1C0320DE">
            <w:pPr>
              <w:pStyle w:val="15"/>
              <w:spacing w:line="360" w:lineRule="auto"/>
              <w:jc w:val="center"/>
              <w:rPr>
                <w:rFonts w:hint="eastAsia" w:eastAsia="宋体"/>
                <w:bCs/>
                <w:color w:val="000000"/>
                <w:sz w:val="24"/>
                <w:szCs w:val="24"/>
                <w:lang w:eastAsia="zh-CN"/>
              </w:rPr>
            </w:pPr>
            <w:r>
              <w:rPr>
                <w:rFonts w:hint="eastAsia" w:hAnsi="宋体" w:eastAsia="宋体" w:cs="宋体"/>
                <w:bCs/>
                <w:color w:val="000000"/>
                <w:sz w:val="24"/>
                <w:szCs w:val="24"/>
              </w:rPr>
              <w:t>分</w:t>
            </w:r>
          </w:p>
          <w:p w14:paraId="127C56A7">
            <w:pPr>
              <w:pStyle w:val="15"/>
              <w:spacing w:line="360" w:lineRule="auto"/>
              <w:jc w:val="center"/>
              <w:rPr>
                <w:bCs/>
                <w:color w:val="000000"/>
                <w:sz w:val="24"/>
                <w:szCs w:val="24"/>
              </w:rPr>
            </w:pPr>
          </w:p>
        </w:tc>
        <w:tc>
          <w:tcPr>
            <w:tcW w:w="1901" w:type="dxa"/>
            <w:noWrap w:val="0"/>
            <w:vAlign w:val="center"/>
          </w:tcPr>
          <w:p w14:paraId="5A37A76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关键加工设备（</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617C8E92">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提供设备品牌型号、技术参数等信息，有加工投标产品的设备能力</w:t>
            </w:r>
          </w:p>
        </w:tc>
      </w:tr>
      <w:tr w14:paraId="0362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trPr>
        <w:tc>
          <w:tcPr>
            <w:tcW w:w="848" w:type="dxa"/>
            <w:noWrap w:val="0"/>
            <w:vAlign w:val="center"/>
          </w:tcPr>
          <w:p w14:paraId="0CB1D90C">
            <w:pPr>
              <w:pStyle w:val="1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708EB066">
            <w:pPr>
              <w:pStyle w:val="15"/>
              <w:spacing w:line="360" w:lineRule="auto"/>
              <w:rPr>
                <w:bCs/>
                <w:color w:val="000000"/>
                <w:sz w:val="24"/>
                <w:szCs w:val="24"/>
              </w:rPr>
            </w:pPr>
          </w:p>
        </w:tc>
        <w:tc>
          <w:tcPr>
            <w:tcW w:w="1901" w:type="dxa"/>
            <w:noWrap w:val="0"/>
            <w:vAlign w:val="center"/>
          </w:tcPr>
          <w:p w14:paraId="79D0B0CB">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检测设备</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23B73C4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提供设备品牌型号、技术参数等信息，有检测投标产品的能力</w:t>
            </w:r>
          </w:p>
        </w:tc>
      </w:tr>
      <w:tr w14:paraId="2B1C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exact"/>
        </w:trPr>
        <w:tc>
          <w:tcPr>
            <w:tcW w:w="848" w:type="dxa"/>
            <w:noWrap w:val="0"/>
            <w:vAlign w:val="center"/>
          </w:tcPr>
          <w:p w14:paraId="7877A2C5">
            <w:pPr>
              <w:pStyle w:val="1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46307DBB">
            <w:pPr>
              <w:pStyle w:val="15"/>
              <w:spacing w:line="360" w:lineRule="auto"/>
              <w:rPr>
                <w:bCs/>
                <w:color w:val="000000"/>
                <w:sz w:val="24"/>
                <w:szCs w:val="24"/>
              </w:rPr>
            </w:pPr>
          </w:p>
        </w:tc>
        <w:tc>
          <w:tcPr>
            <w:tcW w:w="1901" w:type="dxa"/>
            <w:noWrap w:val="0"/>
            <w:vAlign w:val="center"/>
          </w:tcPr>
          <w:p w14:paraId="7443EFE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工装模具设计能力及制作工艺水平 （0-</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68D243B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提供中高级职称人员证书复印件及社保参保证明；制作工艺描述等</w:t>
            </w:r>
          </w:p>
        </w:tc>
      </w:tr>
      <w:tr w14:paraId="1F7B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4E796B8F">
            <w:pPr>
              <w:pStyle w:val="1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29198F31">
            <w:pPr>
              <w:pStyle w:val="15"/>
              <w:spacing w:line="360" w:lineRule="auto"/>
              <w:rPr>
                <w:bCs/>
                <w:color w:val="000000"/>
                <w:sz w:val="24"/>
                <w:szCs w:val="24"/>
              </w:rPr>
            </w:pPr>
          </w:p>
        </w:tc>
        <w:tc>
          <w:tcPr>
            <w:tcW w:w="1901" w:type="dxa"/>
            <w:noWrap w:val="0"/>
            <w:vAlign w:val="center"/>
          </w:tcPr>
          <w:p w14:paraId="126E3E8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计算机模拟能力：（</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7A298773">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有三维设计软件</w:t>
            </w:r>
          </w:p>
        </w:tc>
      </w:tr>
      <w:tr w14:paraId="023E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39F28C0">
            <w:pPr>
              <w:pStyle w:val="1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273EF125">
            <w:pPr>
              <w:pStyle w:val="15"/>
              <w:spacing w:line="360" w:lineRule="auto"/>
              <w:rPr>
                <w:bCs/>
                <w:color w:val="000000"/>
                <w:sz w:val="24"/>
                <w:szCs w:val="24"/>
              </w:rPr>
            </w:pPr>
          </w:p>
        </w:tc>
        <w:tc>
          <w:tcPr>
            <w:tcW w:w="1901" w:type="dxa"/>
            <w:noWrap w:val="0"/>
            <w:vAlign w:val="center"/>
          </w:tcPr>
          <w:p w14:paraId="6E070D0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类似业绩（</w:t>
            </w:r>
            <w:r>
              <w:rPr>
                <w:rFonts w:hint="eastAsia"/>
                <w:color w:val="000000"/>
                <w:sz w:val="24"/>
                <w:szCs w:val="24"/>
              </w:rPr>
              <w:t>0-</w:t>
            </w:r>
            <w:r>
              <w:rPr>
                <w:rFonts w:hint="eastAsia"/>
                <w:color w:val="000000"/>
                <w:sz w:val="24"/>
                <w:szCs w:val="24"/>
                <w:lang w:val="en-US" w:eastAsia="zh-CN"/>
              </w:rPr>
              <w:t>15</w:t>
            </w:r>
            <w:r>
              <w:rPr>
                <w:rFonts w:hint="eastAsia" w:hAnsi="宋体" w:eastAsia="宋体" w:cs="宋体"/>
                <w:color w:val="000000"/>
                <w:sz w:val="24"/>
                <w:szCs w:val="24"/>
              </w:rPr>
              <w:t>分）</w:t>
            </w:r>
          </w:p>
        </w:tc>
        <w:tc>
          <w:tcPr>
            <w:tcW w:w="6207" w:type="dxa"/>
            <w:noWrap w:val="0"/>
            <w:vAlign w:val="center"/>
          </w:tcPr>
          <w:p w14:paraId="59D4E945">
            <w:pPr>
              <w:pStyle w:val="15"/>
              <w:spacing w:line="360" w:lineRule="exact"/>
              <w:rPr>
                <w:rFonts w:hint="eastAsia" w:ascii="宋体" w:hAnsi="Courier New" w:eastAsia="宋体"/>
                <w:color w:val="000000"/>
                <w:kern w:val="2"/>
                <w:sz w:val="24"/>
                <w:szCs w:val="24"/>
                <w:lang w:val="en-US" w:eastAsia="zh-CN" w:bidi="ar-SA"/>
              </w:rPr>
            </w:pPr>
            <w:r>
              <w:rPr>
                <w:rFonts w:hint="eastAsia"/>
                <w:color w:val="000000"/>
                <w:sz w:val="24"/>
                <w:szCs w:val="24"/>
              </w:rPr>
              <w:t>与招标产品、生产设备、生产工艺类似业绩，业绩较好得</w:t>
            </w:r>
            <w:r>
              <w:rPr>
                <w:rFonts w:hint="eastAsia"/>
                <w:color w:val="000000"/>
                <w:sz w:val="24"/>
                <w:szCs w:val="24"/>
                <w:lang w:val="en-US" w:eastAsia="zh-CN"/>
              </w:rPr>
              <w:t>11</w:t>
            </w:r>
            <w:r>
              <w:rPr>
                <w:rFonts w:hint="eastAsia"/>
                <w:color w:val="000000"/>
                <w:sz w:val="24"/>
                <w:szCs w:val="24"/>
              </w:rPr>
              <w:t>-</w:t>
            </w:r>
            <w:r>
              <w:rPr>
                <w:rFonts w:hint="eastAsia"/>
                <w:color w:val="000000"/>
                <w:sz w:val="24"/>
                <w:szCs w:val="24"/>
                <w:lang w:val="en-US" w:eastAsia="zh-CN"/>
              </w:rPr>
              <w:t>15</w:t>
            </w:r>
            <w:r>
              <w:rPr>
                <w:rFonts w:hint="eastAsia" w:hAnsi="宋体" w:eastAsia="宋体" w:cs="宋体"/>
                <w:color w:val="000000"/>
                <w:sz w:val="24"/>
                <w:szCs w:val="24"/>
              </w:rPr>
              <w:t>分，业绩一般得</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分；与招标产品、生产设备、生产工艺部分类似业绩，得</w:t>
            </w:r>
            <w:r>
              <w:rPr>
                <w:rFonts w:hint="eastAsia" w:hAnsi="宋体" w:eastAsia="宋体" w:cs="宋体"/>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hAnsi="宋体" w:eastAsia="宋体" w:cs="宋体"/>
                <w:color w:val="000000"/>
                <w:sz w:val="24"/>
                <w:szCs w:val="24"/>
              </w:rPr>
              <w:t>分；无类似业绩</w:t>
            </w:r>
            <w:r>
              <w:rPr>
                <w:rFonts w:hint="eastAsia"/>
                <w:color w:val="000000"/>
                <w:sz w:val="24"/>
                <w:szCs w:val="24"/>
              </w:rPr>
              <w:t>0</w:t>
            </w:r>
            <w:r>
              <w:rPr>
                <w:rFonts w:hint="eastAsia" w:hAnsi="宋体" w:eastAsia="宋体" w:cs="宋体"/>
                <w:color w:val="000000"/>
                <w:sz w:val="24"/>
                <w:szCs w:val="24"/>
              </w:rPr>
              <w:t>分</w:t>
            </w:r>
            <w:r>
              <w:rPr>
                <w:rFonts w:hint="eastAsia" w:hAnsi="宋体" w:eastAsia="宋体" w:cs="宋体"/>
                <w:color w:val="000000"/>
                <w:sz w:val="24"/>
                <w:szCs w:val="24"/>
                <w:lang w:eastAsia="zh-CN"/>
              </w:rPr>
              <w:t>。</w:t>
            </w:r>
          </w:p>
        </w:tc>
      </w:tr>
      <w:tr w14:paraId="4F0B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trPr>
        <w:tc>
          <w:tcPr>
            <w:tcW w:w="848" w:type="dxa"/>
            <w:noWrap w:val="0"/>
            <w:vAlign w:val="center"/>
          </w:tcPr>
          <w:p w14:paraId="4100D724">
            <w:pPr>
              <w:pStyle w:val="1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05ED8431">
            <w:pPr>
              <w:pStyle w:val="15"/>
              <w:spacing w:line="360" w:lineRule="auto"/>
              <w:rPr>
                <w:bCs/>
                <w:color w:val="000000"/>
                <w:sz w:val="24"/>
                <w:szCs w:val="24"/>
              </w:rPr>
            </w:pPr>
          </w:p>
        </w:tc>
        <w:tc>
          <w:tcPr>
            <w:tcW w:w="1901" w:type="dxa"/>
            <w:noWrap w:val="0"/>
            <w:vAlign w:val="center"/>
          </w:tcPr>
          <w:p w14:paraId="067C0C2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工艺方案整体描述（</w:t>
            </w:r>
            <w:r>
              <w:rPr>
                <w:rFonts w:hint="eastAsia"/>
                <w:color w:val="000000"/>
                <w:sz w:val="24"/>
                <w:szCs w:val="24"/>
              </w:rPr>
              <w:t>0-</w:t>
            </w:r>
            <w:r>
              <w:rPr>
                <w:rFonts w:hint="eastAsia"/>
                <w:color w:val="000000"/>
                <w:sz w:val="24"/>
                <w:szCs w:val="24"/>
                <w:lang w:val="en-US" w:eastAsia="zh-CN"/>
              </w:rPr>
              <w:t>25</w:t>
            </w:r>
            <w:r>
              <w:rPr>
                <w:rFonts w:hint="eastAsia" w:hAnsi="宋体" w:eastAsia="宋体" w:cs="宋体"/>
                <w:color w:val="000000"/>
                <w:sz w:val="24"/>
                <w:szCs w:val="24"/>
              </w:rPr>
              <w:t>分）</w:t>
            </w:r>
          </w:p>
        </w:tc>
        <w:tc>
          <w:tcPr>
            <w:tcW w:w="6207" w:type="dxa"/>
            <w:noWrap w:val="0"/>
            <w:vAlign w:val="center"/>
          </w:tcPr>
          <w:p w14:paraId="4154D4AC">
            <w:pPr>
              <w:pStyle w:val="15"/>
              <w:spacing w:line="360" w:lineRule="auto"/>
              <w:rPr>
                <w:rFonts w:hint="eastAsia" w:ascii="宋体" w:hAnsi="Courier New" w:eastAsia="宋体"/>
                <w:color w:val="000000"/>
                <w:kern w:val="2"/>
                <w:sz w:val="24"/>
                <w:szCs w:val="24"/>
                <w:lang w:val="en-US" w:eastAsia="zh-CN" w:bidi="ar-SA"/>
              </w:rPr>
            </w:pPr>
            <w:r>
              <w:rPr>
                <w:rFonts w:hint="eastAsia" w:hAnsi="宋体" w:eastAsia="宋体" w:cs="宋体"/>
                <w:color w:val="000000"/>
                <w:sz w:val="24"/>
                <w:szCs w:val="24"/>
              </w:rPr>
              <w:t>根据投标书总体描述情况或现场答疑情况由专家自主综合评价</w:t>
            </w:r>
            <w:r>
              <w:rPr>
                <w:rFonts w:hint="eastAsia" w:hAnsi="宋体" w:eastAsia="宋体" w:cs="宋体"/>
                <w:color w:val="000000"/>
                <w:sz w:val="24"/>
                <w:szCs w:val="24"/>
                <w:lang w:eastAsia="zh-CN"/>
              </w:rPr>
              <w:t>。</w:t>
            </w:r>
          </w:p>
        </w:tc>
      </w:tr>
      <w:tr w14:paraId="7FDD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exact"/>
        </w:trPr>
        <w:tc>
          <w:tcPr>
            <w:tcW w:w="848" w:type="dxa"/>
            <w:noWrap w:val="0"/>
            <w:vAlign w:val="center"/>
          </w:tcPr>
          <w:p w14:paraId="3EE36675">
            <w:pPr>
              <w:pStyle w:val="1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5DF754CD">
            <w:pPr>
              <w:pStyle w:val="15"/>
              <w:spacing w:line="360" w:lineRule="auto"/>
              <w:rPr>
                <w:bCs/>
                <w:color w:val="000000"/>
                <w:sz w:val="24"/>
                <w:szCs w:val="24"/>
              </w:rPr>
            </w:pPr>
          </w:p>
        </w:tc>
        <w:tc>
          <w:tcPr>
            <w:tcW w:w="1901" w:type="dxa"/>
            <w:noWrap w:val="0"/>
            <w:vAlign w:val="center"/>
          </w:tcPr>
          <w:p w14:paraId="4CC49961">
            <w:pPr>
              <w:pStyle w:val="15"/>
              <w:spacing w:line="360" w:lineRule="auto"/>
              <w:rPr>
                <w:color w:val="000000"/>
                <w:sz w:val="24"/>
                <w:szCs w:val="24"/>
              </w:rPr>
            </w:pPr>
            <w:r>
              <w:rPr>
                <w:rFonts w:hint="eastAsia" w:hAnsi="宋体" w:eastAsia="宋体" w:cs="宋体"/>
                <w:color w:val="000000"/>
                <w:sz w:val="24"/>
                <w:szCs w:val="24"/>
              </w:rPr>
              <w:t>供货周期</w:t>
            </w:r>
          </w:p>
          <w:p w14:paraId="5AD61E5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5B8A30C5">
            <w:pPr>
              <w:pStyle w:val="15"/>
              <w:spacing w:line="360" w:lineRule="auto"/>
              <w:rPr>
                <w:rFonts w:hint="eastAsia" w:ascii="宋体" w:hAnsi="Courier New" w:eastAsia="等线"/>
                <w:color w:val="000000"/>
                <w:kern w:val="2"/>
                <w:sz w:val="24"/>
                <w:szCs w:val="24"/>
                <w:lang w:val="en-US" w:eastAsia="zh-CN" w:bidi="ar-SA"/>
              </w:rPr>
            </w:pPr>
            <w:r>
              <w:rPr>
                <w:rFonts w:hint="eastAsia" w:hAnsi="宋体" w:eastAsia="宋体" w:cs="宋体"/>
                <w:color w:val="000000"/>
                <w:sz w:val="24"/>
                <w:szCs w:val="24"/>
              </w:rPr>
              <w:t>优于招标文件要求得</w:t>
            </w:r>
            <w:r>
              <w:rPr>
                <w:rFonts w:hint="eastAsia" w:hAnsi="宋体" w:eastAsia="宋体" w:cs="宋体"/>
                <w:color w:val="000000"/>
                <w:sz w:val="24"/>
                <w:szCs w:val="24"/>
                <w:lang w:val="en-US" w:eastAsia="zh-CN"/>
              </w:rPr>
              <w:t>6</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r>
              <w:rPr>
                <w:rFonts w:hint="eastAsia"/>
                <w:color w:val="000000"/>
                <w:sz w:val="24"/>
                <w:szCs w:val="24"/>
              </w:rPr>
              <w:t xml:space="preserve">  </w:t>
            </w:r>
          </w:p>
        </w:tc>
      </w:tr>
      <w:tr w14:paraId="1A3E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E38071D">
            <w:pPr>
              <w:pStyle w:val="1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46D7E824">
            <w:pPr>
              <w:pStyle w:val="15"/>
              <w:spacing w:line="360" w:lineRule="auto"/>
              <w:rPr>
                <w:bCs/>
                <w:color w:val="000000"/>
                <w:sz w:val="24"/>
                <w:szCs w:val="24"/>
              </w:rPr>
            </w:pPr>
          </w:p>
        </w:tc>
        <w:tc>
          <w:tcPr>
            <w:tcW w:w="1901" w:type="dxa"/>
            <w:noWrap w:val="0"/>
            <w:vAlign w:val="center"/>
          </w:tcPr>
          <w:p w14:paraId="364E3A1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质保期及售后服务（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1F7E119F">
            <w:pPr>
              <w:pStyle w:val="15"/>
              <w:spacing w:line="360" w:lineRule="auto"/>
              <w:rPr>
                <w:rFonts w:hint="default" w:hAnsi="宋体" w:eastAsia="宋体" w:cs="宋体"/>
                <w:color w:val="000000"/>
                <w:sz w:val="24"/>
                <w:szCs w:val="24"/>
                <w:lang w:val="en-US"/>
              </w:rPr>
            </w:pPr>
            <w:r>
              <w:rPr>
                <w:rFonts w:hint="eastAsia" w:hAnsi="宋体" w:eastAsia="宋体" w:cs="宋体"/>
                <w:color w:val="000000"/>
                <w:sz w:val="24"/>
                <w:szCs w:val="24"/>
              </w:rPr>
              <w:t>售后服务措施得当，质保期优于招标文件要求</w:t>
            </w:r>
            <w:r>
              <w:rPr>
                <w:rFonts w:hint="eastAsia" w:hAnsi="宋体" w:eastAsia="宋体" w:cs="宋体"/>
                <w:color w:val="000000"/>
                <w:sz w:val="24"/>
                <w:szCs w:val="24"/>
                <w:lang w:val="en-US" w:eastAsia="zh-CN"/>
              </w:rPr>
              <w:t>6-10</w:t>
            </w:r>
            <w:r>
              <w:rPr>
                <w:rFonts w:hint="eastAsia" w:hAnsi="宋体" w:eastAsia="宋体" w:cs="宋体"/>
                <w:color w:val="000000"/>
                <w:sz w:val="24"/>
                <w:szCs w:val="24"/>
              </w:rPr>
              <w:t>分、满足招标文件要求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p>
          <w:p w14:paraId="0D775869">
            <w:pPr>
              <w:pStyle w:val="15"/>
              <w:spacing w:line="360" w:lineRule="auto"/>
              <w:rPr>
                <w:rFonts w:hint="eastAsia" w:ascii="宋体" w:hAnsi="Courier New"/>
                <w:color w:val="000000"/>
                <w:kern w:val="2"/>
                <w:sz w:val="24"/>
                <w:szCs w:val="24"/>
                <w:lang w:val="en-US" w:eastAsia="zh-CN" w:bidi="ar-SA"/>
              </w:rPr>
            </w:pPr>
          </w:p>
        </w:tc>
      </w:tr>
    </w:tbl>
    <w:p w14:paraId="54F8CD39">
      <w:pPr>
        <w:pStyle w:val="15"/>
        <w:spacing w:line="360" w:lineRule="auto"/>
        <w:jc w:val="center"/>
        <w:rPr>
          <w:rFonts w:hint="eastAsia" w:ascii="宋体" w:hAnsi="宋体" w:eastAsia="宋体" w:cs="Times New Roman"/>
          <w:b/>
          <w:bCs/>
          <w:color w:val="FF0000"/>
          <w:szCs w:val="22"/>
          <w:highlight w:val="none"/>
          <w:lang w:val="en-US" w:eastAsia="zh-CN"/>
        </w:rPr>
      </w:pPr>
      <w:r>
        <w:rPr>
          <w:rFonts w:hint="eastAsia" w:ascii="黑体" w:eastAsia="黑体"/>
          <w:b/>
          <w:bCs/>
          <w:sz w:val="28"/>
          <w:lang w:val="en-US" w:eastAsia="zh-CN"/>
        </w:rPr>
        <w:t>评分标准</w:t>
      </w:r>
    </w:p>
    <w:p w14:paraId="09E4644F">
      <w:pPr>
        <w:keepNext w:val="0"/>
        <w:keepLines w:val="0"/>
        <w:pageBreakBefore w:val="0"/>
        <w:widowControl/>
        <w:numPr>
          <w:ilvl w:val="0"/>
          <w:numId w:val="25"/>
        </w:numPr>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ascii="仿宋_GB2312" w:hAnsi="宋体" w:eastAsia="仿宋_GB2312" w:cs="仿宋_GB2312"/>
          <w:color w:val="FF0000"/>
          <w:kern w:val="0"/>
          <w:sz w:val="24"/>
          <w:szCs w:val="24"/>
          <w:lang w:val="en-US" w:eastAsia="zh-CN" w:bidi="ar"/>
        </w:rPr>
      </w:pPr>
      <w:r>
        <w:rPr>
          <w:rFonts w:hint="eastAsia"/>
          <w:color w:val="000000"/>
          <w:sz w:val="22"/>
          <w:szCs w:val="22"/>
          <w:lang w:val="en-US" w:eastAsia="zh-CN"/>
        </w:rPr>
        <w:t>本项目采用</w:t>
      </w:r>
      <w:r>
        <w:rPr>
          <w:rFonts w:hint="eastAsia"/>
          <w:color w:val="auto"/>
          <w:sz w:val="22"/>
          <w:szCs w:val="22"/>
          <w:highlight w:val="yellow"/>
          <w:lang w:val="en-US" w:eastAsia="zh-CN"/>
        </w:rPr>
        <w:t>技术入围合理最低价中标方式</w:t>
      </w:r>
      <w:r>
        <w:rPr>
          <w:rFonts w:hint="eastAsia" w:ascii="仿宋_GB2312" w:hAnsi="宋体" w:eastAsia="仿宋_GB2312" w:cs="仿宋_GB2312"/>
          <w:color w:val="auto"/>
          <w:kern w:val="0"/>
          <w:sz w:val="24"/>
          <w:szCs w:val="24"/>
          <w:highlight w:val="yellow"/>
          <w:lang w:val="en-US" w:eastAsia="zh-CN" w:bidi="ar"/>
        </w:rPr>
        <w:t>。</w:t>
      </w:r>
    </w:p>
    <w:p w14:paraId="0B0F1567">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eastAsia" w:ascii="宋体" w:hAnsi="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1.1技术标</w:t>
      </w:r>
      <w:r>
        <w:rPr>
          <w:rFonts w:hint="eastAsia" w:ascii="宋体" w:hAnsi="宋体" w:cs="宋体"/>
          <w:color w:val="auto"/>
          <w:sz w:val="22"/>
          <w:szCs w:val="22"/>
          <w:highlight w:val="none"/>
          <w:lang w:val="en-US" w:eastAsia="zh-CN"/>
        </w:rPr>
        <w:t>评分标准</w:t>
      </w:r>
    </w:p>
    <w:p w14:paraId="01804E7F">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eastAsia" w:ascii="宋体" w:hAnsi="宋体" w:eastAsia="宋体" w:cs="宋体"/>
          <w:color w:val="auto"/>
          <w:kern w:val="0"/>
          <w:sz w:val="22"/>
          <w:szCs w:val="22"/>
          <w:highlight w:val="none"/>
          <w:u w:val="single"/>
          <w:lang w:val="en-US" w:eastAsia="zh-CN" w:bidi="ar"/>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754FBF53">
      <w:pPr>
        <w:pStyle w:val="15"/>
        <w:spacing w:line="240" w:lineRule="auto"/>
        <w:ind w:firstLine="480" w:firstLineChars="200"/>
        <w:rPr>
          <w:rFonts w:hint="eastAsia" w:ascii="Times New Roman" w:hAnsi="Times New Roman"/>
          <w:b/>
          <w:bCs/>
          <w:color w:val="000000"/>
          <w:sz w:val="24"/>
          <w:szCs w:val="24"/>
          <w:highlight w:val="yellow"/>
          <w:lang w:val="en-US" w:eastAsia="zh-CN"/>
        </w:rPr>
      </w:pPr>
      <w:r>
        <w:rPr>
          <w:rFonts w:hint="eastAsia" w:ascii="宋体" w:hAnsi="宋体" w:eastAsia="宋体" w:cs="宋体"/>
          <w:color w:val="000000"/>
          <w:sz w:val="24"/>
          <w:szCs w:val="24"/>
          <w:lang w:val="en-US" w:eastAsia="zh-CN"/>
        </w:rPr>
        <w:t>技术评分标准：</w:t>
      </w:r>
    </w:p>
    <w:p w14:paraId="719DEC1A">
      <w:pPr>
        <w:pStyle w:val="15"/>
        <w:spacing w:line="240" w:lineRule="auto"/>
        <w:rPr>
          <w:rFonts w:hint="eastAsia" w:ascii="Times New Roman" w:hAnsi="Times New Roman"/>
          <w:b/>
          <w:bCs/>
          <w:color w:val="000000"/>
          <w:sz w:val="24"/>
          <w:szCs w:val="24"/>
          <w:highlight w:val="yellow"/>
          <w:lang w:val="en-US" w:eastAsia="zh-CN"/>
        </w:rPr>
      </w:pPr>
      <w:r>
        <w:rPr>
          <w:rFonts w:hint="eastAsia" w:ascii="Times New Roman" w:hAnsi="Times New Roman"/>
          <w:b/>
          <w:bCs/>
          <w:color w:val="000000"/>
          <w:sz w:val="24"/>
          <w:szCs w:val="24"/>
          <w:highlight w:val="yellow"/>
          <w:lang w:val="en-US" w:eastAsia="zh-CN"/>
        </w:rPr>
        <w:t>注意：达不到承诺寿命的按附件《采购产品质量保证与服务协议》考核索赔，并作为供方评价的依据。</w:t>
      </w:r>
    </w:p>
    <w:p w14:paraId="727D04CB">
      <w:pPr>
        <w:pStyle w:val="15"/>
        <w:spacing w:line="240" w:lineRule="auto"/>
        <w:ind w:firstLine="480"/>
        <w:rPr>
          <w:rFonts w:hint="eastAsia" w:ascii="Times New Roman" w:hAnsi="Times New Roman"/>
          <w:b/>
          <w:bCs/>
          <w:color w:val="000000"/>
          <w:sz w:val="24"/>
          <w:szCs w:val="24"/>
          <w:highlight w:val="yellow"/>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yellow"/>
        </w:rPr>
        <w:t>本项目产生</w:t>
      </w:r>
      <w:r>
        <w:rPr>
          <w:rFonts w:hint="eastAsia" w:ascii="宋体" w:hAnsi="宋体" w:eastAsia="宋体" w:cs="宋体"/>
          <w:b w:val="0"/>
          <w:bCs w:val="0"/>
          <w:sz w:val="21"/>
          <w:szCs w:val="21"/>
          <w:highlight w:val="yellow"/>
          <w:u w:val="single"/>
          <w:lang w:val="en-US" w:eastAsia="zh-CN"/>
        </w:rPr>
        <w:t xml:space="preserve"> 1</w:t>
      </w:r>
      <w:r>
        <w:rPr>
          <w:rFonts w:hint="eastAsia" w:ascii="宋体" w:hAnsi="宋体" w:eastAsia="宋体" w:cs="宋体"/>
          <w:b w:val="0"/>
          <w:bCs w:val="0"/>
          <w:sz w:val="21"/>
          <w:szCs w:val="21"/>
          <w:highlight w:val="yellow"/>
        </w:rPr>
        <w:t>个中标人</w:t>
      </w:r>
      <w:r>
        <w:rPr>
          <w:rFonts w:hint="eastAsia" w:ascii="宋体" w:hAnsi="宋体" w:eastAsia="宋体" w:cs="宋体"/>
          <w:b w:val="0"/>
          <w:bCs w:val="0"/>
          <w:sz w:val="21"/>
          <w:szCs w:val="21"/>
          <w:highlight w:val="none"/>
        </w:rPr>
        <w:t>。中标人签订合同前须进行最终审查。最终审查的对象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3" w:name="OLE_LINK28"/>
      <w:bookmarkStart w:id="14" w:name="OLE_LINK27"/>
      <w:bookmarkStart w:id="15" w:name="OLE_LINK25"/>
      <w:bookmarkStart w:id="16" w:name="OLE_LINK26"/>
      <w:bookmarkStart w:id="17" w:name="OLE_LINK29"/>
      <w:r>
        <w:rPr>
          <w:rFonts w:hint="eastAsia" w:ascii="宋体" w:hAnsi="宋体" w:eastAsia="宋体" w:cs="宋体"/>
          <w:bCs/>
          <w:sz w:val="21"/>
          <w:szCs w:val="21"/>
          <w:highlight w:val="none"/>
        </w:rPr>
        <w:t>；</w:t>
      </w:r>
      <w:bookmarkEnd w:id="13"/>
      <w:bookmarkEnd w:id="14"/>
      <w:bookmarkEnd w:id="15"/>
      <w:bookmarkEnd w:id="16"/>
      <w:bookmarkEnd w:id="17"/>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w:t>
      </w:r>
      <w:r>
        <w:rPr>
          <w:rFonts w:hint="eastAsia" w:ascii="宋体" w:hAnsi="Courier New" w:eastAsia="宋体" w:cs="Times New Roman"/>
          <w:color w:val="000000"/>
          <w:kern w:val="2"/>
          <w:sz w:val="24"/>
          <w:szCs w:val="24"/>
          <w:lang w:val="en-US" w:eastAsia="zh-CN" w:bidi="ar-SA"/>
        </w:rPr>
        <w:t>货期：以实际派工日期开始计算，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完成模具</w:t>
      </w:r>
      <w:r>
        <w:rPr>
          <w:rFonts w:hint="eastAsia" w:ascii="宋体" w:hAnsi="Courier New" w:cs="Times New Roman"/>
          <w:color w:val="000000"/>
          <w:kern w:val="2"/>
          <w:sz w:val="24"/>
          <w:szCs w:val="24"/>
          <w:lang w:val="en-US" w:eastAsia="zh-CN" w:bidi="ar-SA"/>
        </w:rPr>
        <w:t>制作</w:t>
      </w:r>
      <w:r>
        <w:rPr>
          <w:rFonts w:hint="eastAsia" w:ascii="宋体" w:hAnsi="Courier New" w:eastAsia="宋体" w:cs="Times New Roman"/>
          <w:color w:val="000000"/>
          <w:kern w:val="2"/>
          <w:sz w:val="24"/>
          <w:szCs w:val="24"/>
          <w:lang w:val="en-US" w:eastAsia="zh-CN" w:bidi="ar-SA"/>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D456FD4">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3CB0E3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Courier New"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w:t>
      </w:r>
      <w:r>
        <w:rPr>
          <w:rFonts w:hint="eastAsia" w:ascii="宋体" w:hAnsi="Courier New" w:eastAsia="宋体" w:cs="Times New Roman"/>
          <w:color w:val="000000"/>
          <w:kern w:val="2"/>
          <w:sz w:val="24"/>
          <w:szCs w:val="24"/>
          <w:lang w:val="en-US" w:eastAsia="zh-CN" w:bidi="ar-SA"/>
        </w:rPr>
        <w:t>结算方式：采用发票挂账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w:t>
      </w:r>
      <w:r>
        <w:rPr>
          <w:rFonts w:hint="eastAsia" w:ascii="宋体" w:hAnsi="Courier New" w:eastAsia="宋体" w:cs="Times New Roman"/>
          <w:color w:val="000000"/>
          <w:kern w:val="2"/>
          <w:sz w:val="24"/>
          <w:szCs w:val="24"/>
          <w:highlight w:val="yellow"/>
          <w:lang w:val="en-US" w:eastAsia="zh-CN" w:bidi="ar-SA"/>
        </w:rPr>
        <w:t>据实结算</w:t>
      </w:r>
      <w:r>
        <w:rPr>
          <w:rFonts w:hint="eastAsia" w:ascii="宋体" w:hAnsi="Courier New" w:eastAsia="宋体" w:cs="Times New Roman"/>
          <w:color w:val="000000"/>
          <w:kern w:val="2"/>
          <w:sz w:val="24"/>
          <w:szCs w:val="24"/>
          <w:lang w:val="en-US" w:eastAsia="zh-CN" w:bidi="ar-SA"/>
        </w:rPr>
        <w:t>。质量保证期为验收（检验）合格后一年，质量保证金在质量保证期满无质量问题后无息返还。供方开具增值税专用发票，因发票违规给需方造成的增值税、所得税等损失，由供方承担相关责任，包括但不限于税款、滞纳金、罚款及其它相关损失。</w:t>
      </w:r>
    </w:p>
    <w:p w14:paraId="31EEF4D3">
      <w:pPr>
        <w:rPr>
          <w:rFonts w:hint="eastAsia" w:ascii="仿宋" w:hAnsi="仿宋" w:eastAsia="仿宋" w:cs="仿宋"/>
        </w:rPr>
      </w:pPr>
      <w:r>
        <w:rPr>
          <w:rFonts w:hint="eastAsia" w:ascii="仿宋" w:hAnsi="仿宋" w:eastAsia="仿宋" w:cs="仿宋"/>
        </w:rPr>
        <w:br w:type="page"/>
      </w: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476A7E27">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olor w:val="000000"/>
          <w:sz w:val="24"/>
          <w:szCs w:val="24"/>
          <w:lang w:eastAsia="zh-CN"/>
        </w:rPr>
      </w:pPr>
      <w:r>
        <w:rPr>
          <w:rFonts w:hint="eastAsia"/>
          <w:color w:val="000000"/>
          <w:sz w:val="24"/>
          <w:szCs w:val="24"/>
        </w:rPr>
        <w:t>项目名称：</w:t>
      </w:r>
      <w:r>
        <w:rPr>
          <w:rFonts w:hint="eastAsia"/>
          <w:color w:val="000000"/>
          <w:sz w:val="24"/>
          <w:szCs w:val="24"/>
          <w:highlight w:val="yellow"/>
          <w:lang w:eastAsia="zh-CN"/>
        </w:rPr>
        <w:t>济南成型厂MP8000整体转向节工装制作项目</w:t>
      </w:r>
      <w:r>
        <w:rPr>
          <w:rFonts w:hint="eastAsia"/>
          <w:color w:val="000000"/>
          <w:sz w:val="24"/>
          <w:szCs w:val="24"/>
          <w:highlight w:val="yellow"/>
          <w:lang w:eastAsia="zh-CN"/>
        </w:rPr>
        <w:br w:type="textWrapping"/>
      </w:r>
      <w:r>
        <w:rPr>
          <w:rFonts w:hint="eastAsia"/>
          <w:color w:val="000000"/>
          <w:sz w:val="24"/>
          <w:szCs w:val="24"/>
          <w:lang w:val="en-US" w:eastAsia="zh-CN"/>
        </w:rPr>
        <w:t>发标方：</w:t>
      </w:r>
      <w:r>
        <w:rPr>
          <w:rFonts w:hint="eastAsia" w:ascii="宋体" w:hAnsi="宋体"/>
          <w:color w:val="000000"/>
          <w:sz w:val="24"/>
          <w:szCs w:val="24"/>
          <w:lang w:eastAsia="zh-CN"/>
        </w:rPr>
        <w:t>中国重汽集团济南动力有限公司（成型厂）</w:t>
      </w:r>
    </w:p>
    <w:p w14:paraId="1B0318EC">
      <w:pPr>
        <w:numPr>
          <w:ilvl w:val="0"/>
          <w:numId w:val="26"/>
        </w:num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招标内容</w:t>
      </w:r>
      <w:r>
        <w:rPr>
          <w:rFonts w:hint="eastAsia" w:ascii="宋体" w:hAnsi="宋体" w:eastAsia="宋体" w:cs="宋体"/>
          <w:b/>
          <w:bCs/>
          <w:sz w:val="28"/>
          <w:szCs w:val="28"/>
          <w:lang w:val="en-US" w:eastAsia="zh-CN"/>
        </w:rPr>
        <w:t>及</w:t>
      </w:r>
      <w:r>
        <w:rPr>
          <w:rFonts w:hint="eastAsia" w:ascii="宋体" w:hAnsi="宋体" w:eastAsia="宋体" w:cs="宋体"/>
          <w:b/>
          <w:bCs/>
          <w:sz w:val="28"/>
          <w:szCs w:val="28"/>
        </w:rPr>
        <w:t>形式</w:t>
      </w:r>
    </w:p>
    <w:p w14:paraId="09C08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lang w:val="en-US" w:eastAsia="zh-CN"/>
        </w:rPr>
      </w:pPr>
      <w:r>
        <w:rPr>
          <w:rFonts w:hint="eastAsia" w:ascii="宋体" w:hAnsi="宋体" w:eastAsia="宋体" w:cs="宋体"/>
          <w:b w:val="0"/>
          <w:bCs w:val="0"/>
          <w:sz w:val="24"/>
          <w:szCs w:val="24"/>
          <w:lang w:val="en-US" w:eastAsia="zh-CN"/>
        </w:rPr>
        <w:t>1、招标</w:t>
      </w:r>
      <w:r>
        <w:rPr>
          <w:rFonts w:hint="eastAsia" w:ascii="宋体" w:hAnsi="宋体" w:cs="宋体"/>
          <w:b w:val="0"/>
          <w:bCs w:val="0"/>
          <w:sz w:val="24"/>
          <w:szCs w:val="24"/>
          <w:lang w:val="en-US" w:eastAsia="zh-CN"/>
        </w:rPr>
        <w:t>内容详见招标公告。</w:t>
      </w:r>
    </w:p>
    <w:p w14:paraId="0AD69F65">
      <w:pPr>
        <w:pStyle w:val="15"/>
        <w:numPr>
          <w:ilvl w:val="0"/>
          <w:numId w:val="0"/>
        </w:numPr>
        <w:spacing w:line="360" w:lineRule="auto"/>
        <w:ind w:firstLine="480" w:firstLineChars="200"/>
        <w:rPr>
          <w:rFonts w:hint="eastAsia"/>
          <w:b/>
          <w:bCs/>
          <w:sz w:val="24"/>
          <w:szCs w:val="24"/>
        </w:rPr>
      </w:pPr>
      <w:r>
        <w:rPr>
          <w:rFonts w:hint="eastAsia"/>
          <w:color w:val="000000"/>
          <w:sz w:val="24"/>
          <w:szCs w:val="24"/>
          <w:lang w:val="en-US" w:eastAsia="zh-CN"/>
        </w:rPr>
        <w:t>2、</w:t>
      </w:r>
      <w:r>
        <w:rPr>
          <w:rFonts w:hint="eastAsia"/>
          <w:color w:val="000000"/>
          <w:sz w:val="24"/>
          <w:szCs w:val="24"/>
        </w:rPr>
        <w:t>招标形式：</w:t>
      </w:r>
      <w:r>
        <w:rPr>
          <w:rFonts w:hint="eastAsia"/>
          <w:color w:val="000000"/>
          <w:sz w:val="24"/>
          <w:szCs w:val="24"/>
          <w:lang w:val="en-US" w:eastAsia="zh-CN"/>
        </w:rPr>
        <w:t>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完成模具</w:t>
      </w:r>
      <w:r>
        <w:rPr>
          <w:rFonts w:hint="eastAsia" w:ascii="宋体" w:hAnsi="Courier New" w:cs="Times New Roman"/>
          <w:color w:val="000000"/>
          <w:kern w:val="2"/>
          <w:sz w:val="24"/>
          <w:szCs w:val="24"/>
          <w:lang w:val="en-US" w:eastAsia="zh-CN" w:bidi="ar-SA"/>
        </w:rPr>
        <w:t>制作。</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21F6BA44">
      <w:pPr>
        <w:pStyle w:val="15"/>
        <w:spacing w:line="360" w:lineRule="auto"/>
        <w:ind w:firstLine="480" w:firstLineChars="200"/>
        <w:rPr>
          <w:rFonts w:hint="eastAsia" w:ascii="宋体" w:hAnsi="Courier New" w:eastAsia="宋体" w:cs="Times New Roman"/>
          <w:color w:val="000000"/>
          <w:kern w:val="2"/>
          <w:sz w:val="24"/>
          <w:szCs w:val="24"/>
          <w:lang w:val="en-US" w:eastAsia="zh-CN" w:bidi="ar-SA"/>
        </w:rPr>
      </w:pPr>
      <w:r>
        <w:rPr>
          <w:rFonts w:hint="eastAsia"/>
          <w:color w:val="000000"/>
          <w:sz w:val="24"/>
          <w:szCs w:val="24"/>
        </w:rPr>
        <w:t>4、</w:t>
      </w:r>
      <w:r>
        <w:rPr>
          <w:rFonts w:hint="eastAsia" w:ascii="宋体" w:hAnsi="Courier New" w:eastAsia="宋体" w:cs="Times New Roman"/>
          <w:color w:val="000000"/>
          <w:kern w:val="2"/>
          <w:sz w:val="24"/>
          <w:szCs w:val="24"/>
          <w:lang w:val="en-US" w:eastAsia="zh-CN" w:bidi="ar-SA"/>
        </w:rPr>
        <w:t>结算方式：采用发票挂账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据实结算。质量保证期为验收（检验）合格后一年，质量保证金在质量保证期满无质量问题后无息返还。供方开具增值税专用发票，因发票违规给需方造成的增值税、所得税等损失，由供方承担相关责任，包括但不限于税款、滞纳金、罚款及其它相关损失。</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1E2E4730">
      <w:pPr>
        <w:spacing w:line="360" w:lineRule="auto"/>
        <w:ind w:firstLine="482" w:firstLineChars="200"/>
        <w:rPr>
          <w:rFonts w:hint="eastAsia" w:ascii="宋体" w:hAnsi="宋体"/>
          <w:b/>
          <w:bCs/>
          <w:sz w:val="24"/>
          <w:szCs w:val="24"/>
        </w:rPr>
      </w:pPr>
      <w:r>
        <w:rPr>
          <w:rFonts w:hint="eastAsia" w:ascii="宋体" w:hAnsi="宋体"/>
          <w:b/>
          <w:bCs/>
          <w:sz w:val="24"/>
          <w:lang w:val="en-US" w:eastAsia="zh-CN"/>
        </w:rPr>
        <w:t>1</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spacing w:line="360" w:lineRule="auto"/>
        <w:ind w:firstLine="480" w:firstLineChars="20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(1)工装制作（修改）方案总体描述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0CF5D71B">
      <w:pPr>
        <w:shd w:val="clear" w:color="auto" w:fill="auto"/>
        <w:spacing w:line="360" w:lineRule="auto"/>
        <w:ind w:firstLine="420" w:firstLineChars="200"/>
        <w:rPr>
          <w:rFonts w:hint="default"/>
          <w:lang w:val="en-US"/>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r>
        <w:rPr>
          <w:rFonts w:hint="eastAsia"/>
        </w:rPr>
        <w:br w:type="textWrapping"/>
      </w:r>
      <w:r>
        <w:rPr>
          <w:rFonts w:hint="eastAsia" w:ascii="宋体" w:hAnsi="宋体" w:eastAsia="宋体" w:cs="宋体"/>
          <w:color w:val="auto"/>
          <w:sz w:val="24"/>
          <w:szCs w:val="24"/>
          <w:highlight w:val="yellow"/>
          <w:u w:val="none"/>
          <w:lang w:val="en-US" w:eastAsia="zh-CN"/>
        </w:rPr>
        <w:t>*</w:t>
      </w:r>
      <w:r>
        <w:rPr>
          <w:rFonts w:hint="eastAsia" w:ascii="宋体" w:hAnsi="宋体" w:eastAsia="宋体" w:cs="宋体"/>
          <w:b/>
          <w:bCs/>
          <w:color w:val="auto"/>
          <w:sz w:val="24"/>
          <w:szCs w:val="24"/>
          <w:highlight w:val="yellow"/>
          <w:u w:val="none"/>
          <w:lang w:val="en-US" w:eastAsia="zh-CN"/>
        </w:rPr>
        <w:t>注意</w:t>
      </w:r>
      <w:r>
        <w:rPr>
          <w:rFonts w:hint="eastAsia" w:ascii="宋体" w:hAnsi="宋体" w:eastAsia="宋体" w:cs="宋体"/>
          <w:color w:val="auto"/>
          <w:sz w:val="24"/>
          <w:szCs w:val="24"/>
          <w:highlight w:val="yellow"/>
          <w:u w:val="none"/>
          <w:lang w:val="en-US" w:eastAsia="zh-CN"/>
        </w:rPr>
        <w:t>：</w:t>
      </w:r>
      <w:r>
        <w:rPr>
          <w:rFonts w:hint="eastAsia" w:ascii="宋体" w:hAnsi="宋体" w:eastAsia="宋体" w:cs="宋体"/>
          <w:color w:val="FF0000"/>
          <w:sz w:val="24"/>
          <w:szCs w:val="24"/>
          <w:highlight w:val="yellow"/>
          <w:u w:val="none"/>
          <w:lang w:val="en-US" w:eastAsia="zh-CN"/>
        </w:rPr>
        <w:t>技术要求参考</w:t>
      </w:r>
      <w:r>
        <w:rPr>
          <w:rFonts w:hint="eastAsia" w:ascii="宋体" w:hAnsi="宋体" w:cs="宋体"/>
          <w:color w:val="FF0000"/>
          <w:sz w:val="24"/>
          <w:szCs w:val="24"/>
          <w:highlight w:val="yellow"/>
          <w:u w:val="none"/>
          <w:lang w:val="en-US" w:eastAsia="zh-CN"/>
        </w:rPr>
        <w:t>附件</w:t>
      </w:r>
      <w:r>
        <w:rPr>
          <w:rFonts w:hint="eastAsia" w:ascii="宋体" w:hAnsi="宋体" w:eastAsia="宋体" w:cs="宋体"/>
          <w:color w:val="FF0000"/>
          <w:sz w:val="24"/>
          <w:szCs w:val="24"/>
          <w:highlight w:val="yellow"/>
          <w:u w:val="none"/>
          <w:lang w:val="en-US" w:eastAsia="zh-CN"/>
        </w:rPr>
        <w:t>技术协议内容</w:t>
      </w:r>
      <w:r>
        <w:rPr>
          <w:rFonts w:hint="eastAsia" w:ascii="宋体" w:hAnsi="宋体" w:cs="宋体"/>
          <w:color w:val="FF0000"/>
          <w:sz w:val="24"/>
          <w:szCs w:val="24"/>
          <w:highlight w:val="yellow"/>
          <w:u w:val="none"/>
          <w:lang w:val="en-US" w:eastAsia="zh-CN"/>
        </w:rPr>
        <w:t>、图纸要求和技术标评分标准</w:t>
      </w:r>
    </w:p>
    <w:p w14:paraId="40CB17B7">
      <w:pPr>
        <w:pStyle w:val="111"/>
        <w:spacing w:line="360" w:lineRule="auto"/>
        <w:ind w:firstLine="482" w:firstLineChars="200"/>
        <w:rPr>
          <w:rFonts w:hint="default" w:eastAsia="宋体"/>
          <w:b/>
          <w:bCs/>
          <w:lang w:val="en-US" w:eastAsia="zh-CN"/>
        </w:rPr>
      </w:pPr>
      <w:r>
        <w:rPr>
          <w:rFonts w:hint="eastAsia"/>
          <w:b/>
          <w:bCs/>
          <w:lang w:val="en-US" w:eastAsia="zh-CN"/>
        </w:rPr>
        <w:t>2</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lang w:val="en-US" w:eastAsia="zh-CN"/>
        </w:rPr>
      </w:pPr>
      <w:r>
        <w:rPr>
          <w:rFonts w:hint="eastAsia" w:ascii="宋体" w:hAnsi="宋体" w:eastAsia="宋体" w:cs="宋体"/>
        </w:rPr>
        <w:t xml:space="preserve">联 系 人： </w:t>
      </w:r>
      <w:r>
        <w:rPr>
          <w:rFonts w:hint="eastAsia" w:cs="宋体"/>
          <w:lang w:val="en-US" w:eastAsia="zh-CN"/>
        </w:rPr>
        <w:t>赵春霞</w:t>
      </w:r>
    </w:p>
    <w:p w14:paraId="03D86AF7">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2"/>
          <w:szCs w:val="22"/>
          <w:highlight w:val="none"/>
        </w:rPr>
      </w:pPr>
      <w:r>
        <w:rPr>
          <w:rFonts w:hint="eastAsia" w:ascii="宋体" w:hAnsi="宋体" w:eastAsia="宋体" w:cs="宋体"/>
        </w:rPr>
        <w:t xml:space="preserve">电    话： 0531-58061166  </w:t>
      </w:r>
      <w:bookmarkStart w:id="23" w:name="_GoBack"/>
      <w:bookmarkEnd w:id="23"/>
    </w:p>
    <w:p w14:paraId="4C26B7E0">
      <w:pPr>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五、济南成型厂对采购产品质量相关要求详见附件《采购产品质量保证与服务协议》。</w:t>
      </w:r>
    </w:p>
    <w:p w14:paraId="160FEB71">
      <w:pPr>
        <w:rPr>
          <w:rFonts w:hint="eastAsia" w:ascii="黑体" w:hAnsi="黑体" w:eastAsia="黑体"/>
          <w:b/>
          <w:bCs/>
          <w:sz w:val="44"/>
          <w:szCs w:val="44"/>
        </w:rPr>
      </w:pPr>
      <w:r>
        <w:rPr>
          <w:rFonts w:hint="eastAsia" w:ascii="黑体" w:hAnsi="黑体" w:eastAsia="黑体"/>
          <w:b/>
          <w:bCs/>
          <w:sz w:val="44"/>
          <w:szCs w:val="44"/>
        </w:rPr>
        <w:br w:type="page"/>
      </w:r>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szCs w:val="24"/>
        </w:rPr>
      </w:pPr>
      <w:r>
        <w:rPr>
          <w:rFonts w:hint="eastAsia" w:ascii="宋体" w:hAnsi="宋体"/>
          <w:sz w:val="24"/>
          <w:szCs w:val="24"/>
        </w:rPr>
        <w:t>投标人：（盖章）</w:t>
      </w:r>
    </w:p>
    <w:p w14:paraId="2D2CCA32">
      <w:pPr>
        <w:spacing w:line="660" w:lineRule="exact"/>
        <w:ind w:firstLine="480" w:firstLineChars="200"/>
        <w:rPr>
          <w:rFonts w:hint="eastAsia" w:ascii="宋体" w:hAnsi="宋体"/>
          <w:sz w:val="24"/>
          <w:szCs w:val="24"/>
        </w:rPr>
      </w:pPr>
      <w:r>
        <w:rPr>
          <w:rFonts w:hint="eastAsia" w:ascii="宋体" w:hAnsi="宋体"/>
          <w:sz w:val="24"/>
          <w:szCs w:val="24"/>
        </w:rPr>
        <w:t>法定代表人（委托代理人）：（签字）</w:t>
      </w:r>
    </w:p>
    <w:p w14:paraId="523CE009">
      <w:pPr>
        <w:pStyle w:val="113"/>
        <w:rPr>
          <w:rFonts w:hint="eastAsia"/>
          <w:sz w:val="24"/>
          <w:szCs w:val="24"/>
        </w:rPr>
      </w:pPr>
    </w:p>
    <w:p w14:paraId="1AA7C873">
      <w:pPr>
        <w:pStyle w:val="113"/>
        <w:ind w:firstLine="480" w:firstLineChars="200"/>
        <w:rPr>
          <w:rFonts w:hint="eastAsia" w:eastAsia="宋体"/>
          <w:sz w:val="24"/>
          <w:szCs w:val="24"/>
          <w:lang w:eastAsia="zh-CN"/>
        </w:rPr>
      </w:pPr>
      <w:r>
        <w:rPr>
          <w:rFonts w:hint="eastAsia"/>
          <w:sz w:val="24"/>
          <w:szCs w:val="24"/>
        </w:rPr>
        <w:t>日  期</w:t>
      </w:r>
      <w:r>
        <w:rPr>
          <w:rFonts w:hint="eastAsia"/>
          <w:sz w:val="24"/>
          <w:szCs w:val="24"/>
          <w:lang w:eastAsia="zh-CN"/>
        </w:rPr>
        <w:t>：</w:t>
      </w:r>
    </w:p>
    <w:p w14:paraId="77C84897">
      <w:pPr>
        <w:rPr>
          <w:rFonts w:hint="eastAsia" w:cs="宋体"/>
        </w:rPr>
      </w:pPr>
      <w:r>
        <w:rPr>
          <w:rFonts w:hint="eastAsia" w:cs="宋体"/>
        </w:rPr>
        <w:br w:type="page"/>
      </w: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9C43B3B">
      <w:pPr>
        <w:keepNext w:val="0"/>
        <w:keepLines w:val="0"/>
        <w:pageBreakBefore w:val="0"/>
        <w:tabs>
          <w:tab w:val="left" w:pos="2865"/>
        </w:tabs>
        <w:kinsoku/>
        <w:wordWrap/>
        <w:overflowPunct/>
        <w:topLinePunct w:val="0"/>
        <w:bidi w:val="0"/>
        <w:snapToGrid/>
        <w:spacing w:line="440" w:lineRule="exact"/>
        <w:jc w:val="both"/>
        <w:rPr>
          <w:rFonts w:hint="eastAsia" w:asciiTheme="majorEastAsia" w:hAnsiTheme="majorEastAsia" w:eastAsiaTheme="majorEastAsia" w:cstheme="majorEastAsia"/>
          <w:b/>
          <w:sz w:val="36"/>
          <w:szCs w:val="36"/>
          <w:highlight w:val="none"/>
          <w:lang w:val="en-US" w:eastAsia="zh-CN"/>
        </w:rPr>
      </w:pPr>
    </w:p>
    <w:p w14:paraId="1F838158">
      <w:pPr>
        <w:rPr>
          <w:rFonts w:hint="eastAsia" w:asciiTheme="majorEastAsia" w:hAnsiTheme="majorEastAsia" w:eastAsiaTheme="majorEastAsia" w:cstheme="majorEastAsia"/>
          <w:b/>
          <w:sz w:val="36"/>
          <w:szCs w:val="36"/>
          <w:highlight w:val="none"/>
          <w:lang w:val="en-US" w:eastAsia="zh-CN"/>
        </w:rPr>
      </w:pPr>
      <w:r>
        <w:rPr>
          <w:rFonts w:hint="eastAsia" w:asciiTheme="majorEastAsia" w:hAnsiTheme="majorEastAsia" w:eastAsiaTheme="majorEastAsia" w:cstheme="majorEastAsia"/>
          <w:b/>
          <w:sz w:val="36"/>
          <w:szCs w:val="36"/>
          <w:highlight w:val="none"/>
          <w:lang w:val="en-US" w:eastAsia="zh-CN"/>
        </w:rPr>
        <w:br w:type="page"/>
      </w:r>
    </w:p>
    <w:p w14:paraId="71B30D1F">
      <w:pPr>
        <w:keepNext w:val="0"/>
        <w:keepLines w:val="0"/>
        <w:pageBreakBefore w:val="0"/>
        <w:tabs>
          <w:tab w:val="left" w:pos="2865"/>
        </w:tabs>
        <w:kinsoku/>
        <w:wordWrap/>
        <w:overflowPunct/>
        <w:topLinePunct w:val="0"/>
        <w:bidi w:val="0"/>
        <w:snapToGrid/>
        <w:spacing w:line="440" w:lineRule="exact"/>
        <w:jc w:val="both"/>
        <w:rPr>
          <w:rFonts w:hint="default" w:asciiTheme="majorEastAsia" w:hAnsiTheme="majorEastAsia" w:eastAsiaTheme="majorEastAsia" w:cstheme="majorEastAsia"/>
          <w:b/>
          <w:sz w:val="24"/>
          <w:szCs w:val="24"/>
          <w:highlight w:val="yellow"/>
          <w:lang w:val="en-US" w:eastAsia="zh-CN"/>
        </w:rPr>
      </w:pPr>
      <w:r>
        <w:rPr>
          <w:rFonts w:hint="eastAsia" w:asciiTheme="majorEastAsia" w:hAnsiTheme="majorEastAsia" w:eastAsiaTheme="majorEastAsia" w:cstheme="majorEastAsia"/>
          <w:b/>
          <w:sz w:val="24"/>
          <w:szCs w:val="24"/>
          <w:highlight w:val="yellow"/>
          <w:lang w:val="en-US" w:eastAsia="zh-CN"/>
        </w:rPr>
        <w:t>仅供参考</w:t>
      </w:r>
    </w:p>
    <w:p w14:paraId="68090DD1">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36"/>
          <w:szCs w:val="36"/>
          <w:highlight w:val="none"/>
        </w:rPr>
      </w:pPr>
      <w:r>
        <w:rPr>
          <w:rFonts w:hint="eastAsia" w:asciiTheme="majorEastAsia" w:hAnsiTheme="majorEastAsia" w:eastAsiaTheme="majorEastAsia" w:cstheme="majorEastAsia"/>
          <w:b/>
          <w:sz w:val="36"/>
          <w:szCs w:val="36"/>
          <w:highlight w:val="none"/>
        </w:rPr>
        <w:t>技  术  协  议</w:t>
      </w:r>
    </w:p>
    <w:p w14:paraId="42D08F8B">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 xml:space="preserve">总  要  求   </w:t>
      </w:r>
    </w:p>
    <w:p w14:paraId="26D2BF7B">
      <w:pPr>
        <w:keepNext w:val="0"/>
        <w:keepLines w:val="0"/>
        <w:pageBreakBefore w:val="0"/>
        <w:tabs>
          <w:tab w:val="left" w:pos="2865"/>
        </w:tabs>
        <w:kinsoku/>
        <w:wordWrap/>
        <w:overflowPunct/>
        <w:topLinePunct w:val="0"/>
        <w:bidi w:val="0"/>
        <w:snapToGrid/>
        <w:spacing w:line="440" w:lineRule="exact"/>
        <w:textAlignment w:val="baseline"/>
        <w:rPr>
          <w:rFonts w:ascii="宋体" w:hAnsi="宋体"/>
          <w:sz w:val="21"/>
          <w:szCs w:val="21"/>
          <w:highlight w:val="none"/>
        </w:rPr>
      </w:pPr>
      <w:r>
        <w:rPr>
          <w:rFonts w:hint="eastAsia" w:ascii="宋体" w:hAnsi="宋体"/>
          <w:sz w:val="21"/>
          <w:szCs w:val="21"/>
          <w:highlight w:val="none"/>
        </w:rPr>
        <w:t xml:space="preserve">甲方：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ascii="宋体" w:hAnsi="宋体"/>
          <w:sz w:val="21"/>
          <w:szCs w:val="21"/>
          <w:highlight w:val="none"/>
        </w:rPr>
        <w:t>（以下简称甲方）</w:t>
      </w:r>
    </w:p>
    <w:p w14:paraId="6D800984">
      <w:pPr>
        <w:keepNext w:val="0"/>
        <w:keepLines w:val="0"/>
        <w:pageBreakBefore w:val="0"/>
        <w:kinsoku/>
        <w:wordWrap/>
        <w:overflowPunct/>
        <w:topLinePunct w:val="0"/>
        <w:bidi w:val="0"/>
        <w:snapToGrid/>
        <w:spacing w:line="440" w:lineRule="exact"/>
        <w:textAlignment w:val="baseline"/>
        <w:rPr>
          <w:rFonts w:ascii="宋体" w:hAnsi="宋体"/>
          <w:sz w:val="21"/>
          <w:szCs w:val="21"/>
          <w:highlight w:val="none"/>
        </w:rPr>
      </w:pPr>
      <w:r>
        <w:rPr>
          <w:rFonts w:ascii="宋体" w:hAnsi="宋体"/>
          <w:sz w:val="21"/>
          <w:szCs w:val="21"/>
          <w:highlight w:val="none"/>
        </w:rPr>
        <w:t>乙方</w:t>
      </w:r>
      <w:r>
        <w:rPr>
          <w:rFonts w:hint="eastAsia" w:ascii="宋体" w:hAnsi="宋体"/>
          <w:sz w:val="21"/>
          <w:szCs w:val="21"/>
          <w:highlight w:val="none"/>
          <w:lang w:eastAsia="zh-CN"/>
        </w:rPr>
        <w:t>：</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ascii="宋体" w:hAnsi="宋体"/>
          <w:sz w:val="21"/>
          <w:szCs w:val="21"/>
          <w:highlight w:val="none"/>
        </w:rPr>
        <w:t>（以下简称乙方）</w:t>
      </w:r>
    </w:p>
    <w:p w14:paraId="5A54A222">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ascii="宋体" w:hAnsi="宋体"/>
          <w:sz w:val="21"/>
          <w:szCs w:val="21"/>
          <w:highlight w:val="none"/>
        </w:rPr>
      </w:pPr>
      <w:r>
        <w:rPr>
          <w:rFonts w:ascii="宋体" w:hAnsi="宋体"/>
          <w:sz w:val="21"/>
          <w:szCs w:val="21"/>
          <w:highlight w:val="none"/>
        </w:rPr>
        <w:t>乙方作为合格</w:t>
      </w:r>
      <w:r>
        <w:rPr>
          <w:rFonts w:hint="eastAsia" w:ascii="宋体" w:hAnsi="宋体"/>
          <w:sz w:val="21"/>
          <w:szCs w:val="21"/>
          <w:highlight w:val="none"/>
          <w:lang w:eastAsia="zh-CN"/>
        </w:rPr>
        <w:t>乙方</w:t>
      </w:r>
      <w:r>
        <w:rPr>
          <w:rFonts w:ascii="宋体" w:hAnsi="宋体"/>
          <w:sz w:val="21"/>
          <w:szCs w:val="21"/>
          <w:highlight w:val="none"/>
        </w:rPr>
        <w:t>，其工艺保证能力、生产能力、质量保证能力须经甲方技术、生产、质量、采购等部门考察评审，并予以认可。</w:t>
      </w:r>
    </w:p>
    <w:p w14:paraId="35374423">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rPr>
      </w:pPr>
      <w:r>
        <w:rPr>
          <w:rFonts w:ascii="宋体" w:hAnsi="宋体"/>
          <w:sz w:val="21"/>
          <w:szCs w:val="21"/>
          <w:highlight w:val="none"/>
        </w:rPr>
        <w:t>为了保证模具外委制作的质量，就乙方向甲方供货的技术要求、产品技术认证、产品质量等事宜经双方充分协商达成以下协议，作为乙方今后供货时，双方共同执行的依据。</w:t>
      </w:r>
    </w:p>
    <w:p w14:paraId="7A617CE2">
      <w:pPr>
        <w:keepNext w:val="0"/>
        <w:keepLines w:val="0"/>
        <w:pageBreakBefore w:val="0"/>
        <w:tabs>
          <w:tab w:val="left" w:pos="2865"/>
        </w:tabs>
        <w:kinsoku/>
        <w:wordWrap/>
        <w:overflowPunct/>
        <w:topLinePunct w:val="0"/>
        <w:bidi w:val="0"/>
        <w:snapToGrid/>
        <w:spacing w:line="440" w:lineRule="exact"/>
        <w:jc w:val="center"/>
        <w:rPr>
          <w:rFonts w:hint="eastAsia" w:ascii="宋体" w:hAnsi="宋体"/>
          <w:b/>
          <w:color w:val="auto"/>
          <w:sz w:val="21"/>
          <w:szCs w:val="21"/>
          <w:highlight w:val="none"/>
          <w:lang w:eastAsia="zh-CN"/>
        </w:rPr>
      </w:pPr>
      <w:r>
        <w:rPr>
          <w:rFonts w:hint="eastAsia" w:ascii="宋体" w:hAnsi="宋体"/>
          <w:b/>
          <w:color w:val="auto"/>
          <w:sz w:val="21"/>
          <w:szCs w:val="21"/>
          <w:highlight w:val="none"/>
        </w:rPr>
        <w:t xml:space="preserve">第一条  </w:t>
      </w:r>
      <w:r>
        <w:rPr>
          <w:rFonts w:hint="eastAsia" w:ascii="宋体" w:hAnsi="宋体"/>
          <w:b/>
          <w:color w:val="auto"/>
          <w:sz w:val="21"/>
          <w:szCs w:val="21"/>
          <w:highlight w:val="none"/>
          <w:lang w:val="en-US" w:eastAsia="zh-CN"/>
        </w:rPr>
        <w:t>基本要求</w:t>
      </w:r>
    </w:p>
    <w:p w14:paraId="3CF8310A">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val="en-US" w:eastAsia="zh-CN"/>
        </w:rPr>
        <w:t>乙方</w:t>
      </w:r>
      <w:r>
        <w:rPr>
          <w:rFonts w:hint="eastAsia" w:ascii="宋体" w:hAnsi="宋体"/>
          <w:sz w:val="21"/>
          <w:szCs w:val="21"/>
          <w:highlight w:val="none"/>
        </w:rPr>
        <w:t>所供的货物，必须符合中国最新版的法律、法规和相关标准、规范的要求，符合项目所在地政府有关特殊要求。</w:t>
      </w:r>
    </w:p>
    <w:p w14:paraId="3A82CE7A">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lang w:eastAsia="zh-CN"/>
        </w:rPr>
      </w:pPr>
      <w:r>
        <w:rPr>
          <w:rFonts w:hint="eastAsia" w:ascii="宋体" w:hAnsi="宋体"/>
          <w:sz w:val="21"/>
          <w:szCs w:val="21"/>
          <w:highlight w:val="none"/>
          <w:lang w:val="en-US" w:eastAsia="zh-CN"/>
        </w:rPr>
        <w:t>2、乙方</w:t>
      </w:r>
      <w:r>
        <w:rPr>
          <w:rFonts w:hint="eastAsia" w:ascii="宋体" w:hAnsi="宋体"/>
          <w:sz w:val="21"/>
          <w:szCs w:val="21"/>
          <w:highlight w:val="none"/>
        </w:rPr>
        <w:t>应保证所供货物的完整性</w:t>
      </w:r>
      <w:r>
        <w:rPr>
          <w:rFonts w:hint="eastAsia" w:ascii="宋体" w:hAnsi="宋体"/>
          <w:sz w:val="21"/>
          <w:szCs w:val="21"/>
          <w:highlight w:val="none"/>
          <w:lang w:eastAsia="zh-CN"/>
        </w:rPr>
        <w:t>、</w:t>
      </w:r>
      <w:r>
        <w:rPr>
          <w:rFonts w:hint="eastAsia" w:ascii="宋体" w:hAnsi="宋体"/>
          <w:sz w:val="21"/>
          <w:szCs w:val="21"/>
          <w:highlight w:val="none"/>
        </w:rPr>
        <w:t>成套性</w:t>
      </w:r>
      <w:r>
        <w:rPr>
          <w:rFonts w:hint="eastAsia" w:ascii="宋体" w:hAnsi="宋体"/>
          <w:sz w:val="21"/>
          <w:szCs w:val="21"/>
          <w:highlight w:val="none"/>
          <w:lang w:eastAsia="zh-CN"/>
        </w:rPr>
        <w:t>、</w:t>
      </w:r>
      <w:r>
        <w:rPr>
          <w:rFonts w:hint="eastAsia" w:ascii="宋体" w:hAnsi="宋体"/>
          <w:sz w:val="21"/>
          <w:szCs w:val="21"/>
          <w:highlight w:val="none"/>
          <w:lang w:val="en-US" w:eastAsia="zh-CN"/>
        </w:rPr>
        <w:t>全新性</w:t>
      </w:r>
      <w:r>
        <w:rPr>
          <w:rFonts w:hint="eastAsia" w:ascii="宋体" w:hAnsi="宋体"/>
          <w:sz w:val="21"/>
          <w:szCs w:val="21"/>
          <w:highlight w:val="none"/>
        </w:rPr>
        <w:t>，能保证货物的正常运行、使用</w:t>
      </w:r>
      <w:r>
        <w:rPr>
          <w:rFonts w:hint="eastAsia" w:ascii="宋体" w:hAnsi="宋体"/>
          <w:sz w:val="21"/>
          <w:szCs w:val="21"/>
          <w:highlight w:val="none"/>
          <w:lang w:eastAsia="zh-CN"/>
        </w:rPr>
        <w:t>。</w:t>
      </w:r>
    </w:p>
    <w:p w14:paraId="1F22F770">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lang w:eastAsia="zh-CN"/>
        </w:rPr>
        <w:t>甲方</w:t>
      </w:r>
      <w:r>
        <w:rPr>
          <w:rFonts w:hint="eastAsia" w:ascii="宋体" w:hAnsi="宋体"/>
          <w:sz w:val="21"/>
          <w:szCs w:val="21"/>
          <w:highlight w:val="none"/>
        </w:rPr>
        <w:t>提供给</w:t>
      </w:r>
      <w:r>
        <w:rPr>
          <w:rFonts w:hint="eastAsia" w:ascii="宋体" w:hAnsi="宋体"/>
          <w:sz w:val="21"/>
          <w:szCs w:val="21"/>
          <w:highlight w:val="none"/>
          <w:lang w:eastAsia="zh-CN"/>
        </w:rPr>
        <w:t>乙方</w:t>
      </w:r>
      <w:r>
        <w:rPr>
          <w:rFonts w:hint="eastAsia" w:ascii="宋体" w:hAnsi="宋体"/>
          <w:sz w:val="21"/>
          <w:szCs w:val="21"/>
          <w:highlight w:val="none"/>
        </w:rPr>
        <w:t>PDF版图纸</w:t>
      </w:r>
      <w:r>
        <w:rPr>
          <w:rFonts w:hint="eastAsia" w:ascii="宋体" w:hAnsi="宋体"/>
          <w:sz w:val="21"/>
          <w:szCs w:val="21"/>
          <w:highlight w:val="none"/>
          <w:lang w:val="en-US" w:eastAsia="zh-CN"/>
        </w:rPr>
        <w:t>或</w:t>
      </w:r>
      <w:r>
        <w:rPr>
          <w:rFonts w:hint="eastAsia" w:ascii="宋体" w:hAnsi="宋体"/>
          <w:sz w:val="21"/>
          <w:szCs w:val="21"/>
          <w:highlight w:val="none"/>
        </w:rPr>
        <w:t>三维造型</w:t>
      </w:r>
      <w:r>
        <w:rPr>
          <w:rFonts w:hint="eastAsia" w:ascii="宋体" w:hAnsi="宋体"/>
          <w:sz w:val="21"/>
          <w:szCs w:val="21"/>
          <w:highlight w:val="none"/>
          <w:lang w:val="en-US" w:eastAsia="zh-CN"/>
        </w:rPr>
        <w:t>等</w:t>
      </w:r>
      <w:r>
        <w:rPr>
          <w:rFonts w:hint="eastAsia" w:ascii="宋体" w:hAnsi="宋体"/>
          <w:sz w:val="21"/>
          <w:szCs w:val="21"/>
          <w:highlight w:val="none"/>
        </w:rPr>
        <w:t>，</w:t>
      </w:r>
      <w:r>
        <w:rPr>
          <w:rFonts w:hint="eastAsia" w:ascii="宋体" w:hAnsi="宋体"/>
          <w:sz w:val="21"/>
          <w:szCs w:val="21"/>
          <w:highlight w:val="none"/>
          <w:lang w:eastAsia="zh-CN"/>
        </w:rPr>
        <w:t>甲方</w:t>
      </w:r>
      <w:r>
        <w:rPr>
          <w:rFonts w:hint="eastAsia" w:ascii="宋体" w:hAnsi="宋体"/>
          <w:sz w:val="21"/>
          <w:szCs w:val="21"/>
          <w:highlight w:val="none"/>
        </w:rPr>
        <w:t>拥有对图纸的知识产权，</w:t>
      </w:r>
      <w:r>
        <w:rPr>
          <w:rFonts w:hint="eastAsia" w:ascii="宋体" w:hAnsi="宋体"/>
          <w:sz w:val="21"/>
          <w:szCs w:val="21"/>
          <w:highlight w:val="none"/>
          <w:lang w:eastAsia="zh-CN"/>
        </w:rPr>
        <w:t>乙方</w:t>
      </w:r>
      <w:r>
        <w:rPr>
          <w:rFonts w:hint="eastAsia" w:ascii="宋体" w:hAnsi="宋体"/>
          <w:sz w:val="21"/>
          <w:szCs w:val="21"/>
          <w:highlight w:val="none"/>
        </w:rPr>
        <w:t>应对</w:t>
      </w:r>
      <w:r>
        <w:rPr>
          <w:rFonts w:hint="eastAsia" w:ascii="宋体" w:hAnsi="宋体"/>
          <w:sz w:val="21"/>
          <w:szCs w:val="21"/>
          <w:highlight w:val="none"/>
          <w:lang w:eastAsia="zh-CN"/>
        </w:rPr>
        <w:t>甲方</w:t>
      </w:r>
      <w:r>
        <w:rPr>
          <w:rFonts w:hint="eastAsia" w:ascii="宋体" w:hAnsi="宋体"/>
          <w:sz w:val="21"/>
          <w:szCs w:val="21"/>
          <w:highlight w:val="none"/>
        </w:rPr>
        <w:t>采购的货物所涉及的技术、产能等信息负有保密义务。</w:t>
      </w:r>
    </w:p>
    <w:p w14:paraId="6C0385F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lang w:eastAsia="zh-CN"/>
        </w:rPr>
        <w:t>乙方</w:t>
      </w:r>
      <w:r>
        <w:rPr>
          <w:rFonts w:hint="eastAsia" w:ascii="宋体" w:hAnsi="宋体"/>
          <w:sz w:val="21"/>
          <w:szCs w:val="21"/>
          <w:highlight w:val="none"/>
        </w:rPr>
        <w:t>在委托外协加工时，必须征得</w:t>
      </w:r>
      <w:r>
        <w:rPr>
          <w:rFonts w:hint="eastAsia" w:ascii="宋体" w:hAnsi="宋体"/>
          <w:sz w:val="21"/>
          <w:szCs w:val="21"/>
          <w:highlight w:val="none"/>
          <w:lang w:eastAsia="zh-CN"/>
        </w:rPr>
        <w:t>甲方</w:t>
      </w:r>
      <w:r>
        <w:rPr>
          <w:rFonts w:hint="eastAsia" w:ascii="宋体" w:hAnsi="宋体"/>
          <w:sz w:val="21"/>
          <w:szCs w:val="21"/>
          <w:highlight w:val="none"/>
        </w:rPr>
        <w:t>的书面认可，并对外协方提出技术保密要求，不得将图纸外传，加工完成后，应将外协图纸收回。</w:t>
      </w:r>
    </w:p>
    <w:p w14:paraId="4AEE179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lang w:eastAsia="zh-CN"/>
        </w:rPr>
        <w:t>乙方</w:t>
      </w:r>
      <w:r>
        <w:rPr>
          <w:rFonts w:hint="eastAsia" w:ascii="宋体" w:hAnsi="宋体"/>
          <w:sz w:val="21"/>
          <w:szCs w:val="21"/>
          <w:highlight w:val="none"/>
        </w:rPr>
        <w:t>不得自行改变</w:t>
      </w:r>
      <w:r>
        <w:rPr>
          <w:rFonts w:hint="eastAsia" w:ascii="宋体" w:hAnsi="宋体"/>
          <w:sz w:val="21"/>
          <w:szCs w:val="21"/>
          <w:highlight w:val="none"/>
          <w:lang w:eastAsia="zh-CN"/>
        </w:rPr>
        <w:t>甲方</w:t>
      </w:r>
      <w:r>
        <w:rPr>
          <w:rFonts w:hint="eastAsia" w:ascii="宋体" w:hAnsi="宋体"/>
          <w:sz w:val="21"/>
          <w:szCs w:val="21"/>
          <w:highlight w:val="none"/>
        </w:rPr>
        <w:t>提供的技术资料和技术质量要求，如确实需要更改，须事先征得</w:t>
      </w:r>
      <w:r>
        <w:rPr>
          <w:rFonts w:hint="eastAsia" w:ascii="宋体" w:hAnsi="宋体"/>
          <w:sz w:val="21"/>
          <w:szCs w:val="21"/>
          <w:highlight w:val="none"/>
          <w:lang w:eastAsia="zh-CN"/>
        </w:rPr>
        <w:t>甲方</w:t>
      </w:r>
      <w:r>
        <w:rPr>
          <w:rFonts w:hint="eastAsia" w:ascii="宋体" w:hAnsi="宋体"/>
          <w:sz w:val="21"/>
          <w:szCs w:val="21"/>
          <w:highlight w:val="none"/>
        </w:rPr>
        <w:t>的书面同意。</w:t>
      </w:r>
    </w:p>
    <w:p w14:paraId="619B4ECD">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lang w:eastAsia="zh-CN"/>
        </w:rPr>
      </w:pPr>
      <w:r>
        <w:rPr>
          <w:rFonts w:hint="eastAsia" w:ascii="宋体" w:hAnsi="宋体"/>
          <w:sz w:val="21"/>
          <w:szCs w:val="21"/>
          <w:highlight w:val="none"/>
          <w:lang w:val="en-US" w:eastAsia="zh-CN"/>
        </w:rPr>
        <w:t>6、</w:t>
      </w:r>
      <w:r>
        <w:rPr>
          <w:rFonts w:ascii="宋体" w:hAnsi="宋体"/>
          <w:sz w:val="21"/>
          <w:szCs w:val="21"/>
          <w:highlight w:val="none"/>
        </w:rPr>
        <w:t>乙方承诺：符合技术要求只是必要条件，满足使用要求和最终用户的要求是最终目的</w:t>
      </w:r>
      <w:r>
        <w:rPr>
          <w:rFonts w:hint="eastAsia" w:ascii="宋体" w:hAnsi="宋体"/>
          <w:sz w:val="21"/>
          <w:szCs w:val="21"/>
          <w:highlight w:val="none"/>
        </w:rPr>
        <w:t>。</w:t>
      </w:r>
    </w:p>
    <w:p w14:paraId="1F155FB8">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条  技术规范</w:t>
      </w:r>
    </w:p>
    <w:p w14:paraId="6380D426">
      <w:pPr>
        <w:keepNext w:val="0"/>
        <w:keepLines w:val="0"/>
        <w:pageBreakBefore w:val="0"/>
        <w:tabs>
          <w:tab w:val="left" w:pos="2865"/>
        </w:tabs>
        <w:kinsoku/>
        <w:wordWrap/>
        <w:overflowPunct/>
        <w:topLinePunct w:val="0"/>
        <w:bidi w:val="0"/>
        <w:snapToGrid/>
        <w:spacing w:line="440" w:lineRule="exact"/>
        <w:jc w:val="left"/>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一、新制模块</w:t>
      </w:r>
      <w:r>
        <w:rPr>
          <w:rFonts w:hint="eastAsia" w:ascii="宋体" w:hAnsi="宋体" w:cs="宋体"/>
          <w:b/>
          <w:color w:val="auto"/>
          <w:sz w:val="21"/>
          <w:szCs w:val="21"/>
          <w:highlight w:val="none"/>
          <w:lang w:val="en-US" w:eastAsia="zh-CN"/>
        </w:rPr>
        <w:t>技术要求</w:t>
      </w:r>
    </w:p>
    <w:p w14:paraId="1DA2DEF5">
      <w:pPr>
        <w:pStyle w:val="63"/>
        <w:keepNext w:val="0"/>
        <w:keepLines w:val="0"/>
        <w:pageBreakBefore w:val="0"/>
        <w:tabs>
          <w:tab w:val="left" w:pos="900"/>
        </w:tabs>
        <w:kinsoku/>
        <w:wordWrap/>
        <w:overflowPunct/>
        <w:topLinePunct w:val="0"/>
        <w:bidi w:val="0"/>
        <w:snapToGrid/>
        <w:spacing w:line="440" w:lineRule="exact"/>
        <w:ind w:firstLine="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提供的货物必须符合以下标准要求：</w:t>
      </w:r>
    </w:p>
    <w:p w14:paraId="584DFC65">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GB/T11880 模锻锤和大型机械压力机用模块技术条件</w:t>
      </w:r>
    </w:p>
    <w:p w14:paraId="3B8AE5D3">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GB3077 合金结构钢技术条件</w:t>
      </w:r>
    </w:p>
    <w:p w14:paraId="60C7AA73">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GB11352 一般工程用铸造碳钢件</w:t>
      </w:r>
    </w:p>
    <w:p w14:paraId="0203FDAC">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GB1184 形状和位置公差   未注公差的规定</w:t>
      </w:r>
    </w:p>
    <w:p w14:paraId="5867B59F">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GB/T1804 一般公差  线性尺寸的未注公差技术条件</w:t>
      </w:r>
    </w:p>
    <w:p w14:paraId="3C75170E">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GB/T222 钢的成品化学成分允许偏差</w:t>
      </w:r>
    </w:p>
    <w:p w14:paraId="31D010E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GB/T231.1 金属布氏硬度试验  第1部分  试验方法</w:t>
      </w:r>
    </w:p>
    <w:p w14:paraId="5651123B">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GB/T1299 合金工具钢</w:t>
      </w:r>
    </w:p>
    <w:p w14:paraId="2E24EDFE">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GB/T6402 钢锻材超声波检验方法</w:t>
      </w:r>
    </w:p>
    <w:p w14:paraId="006174E5">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GB/T10561 钢中非金属夹杂物含量的测定—标准评级图显微检验法</w:t>
      </w:r>
    </w:p>
    <w:p w14:paraId="687F456C">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16923 钢件的正火与退火</w:t>
      </w:r>
    </w:p>
    <w:p w14:paraId="352CB4FC">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T16924 钢件的淬火与回火</w:t>
      </w:r>
    </w:p>
    <w:p w14:paraId="149D2454">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GB/T15824 热作模具钢热疲劳试验方法</w:t>
      </w:r>
    </w:p>
    <w:p w14:paraId="206F6C93">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JB/T8431 锻模 热模锻用钢 技术条件</w:t>
      </w:r>
    </w:p>
    <w:p w14:paraId="35D2643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以上标准中条款</w:t>
      </w:r>
      <w:r>
        <w:rPr>
          <w:rFonts w:hint="eastAsia" w:ascii="宋体" w:hAnsi="宋体" w:eastAsia="宋体" w:cs="宋体"/>
          <w:color w:val="auto"/>
          <w:sz w:val="21"/>
          <w:szCs w:val="21"/>
          <w:highlight w:val="none"/>
          <w:lang w:val="en-US" w:eastAsia="zh-CN"/>
        </w:rPr>
        <w:t>以及其引用的标准或条款</w:t>
      </w:r>
      <w:r>
        <w:rPr>
          <w:rFonts w:hint="eastAsia" w:ascii="宋体" w:hAnsi="宋体" w:eastAsia="宋体" w:cs="宋体"/>
          <w:color w:val="auto"/>
          <w:sz w:val="21"/>
          <w:szCs w:val="21"/>
          <w:highlight w:val="none"/>
        </w:rPr>
        <w:t>通过本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的引用而成为本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的条款。凡是注日期的引用文件，其随后所有的修改单（不包括勘误的内容）或修订版均不适用于本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，凡是不注日期的引用文件，其最新版本适用于本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w:t>
      </w:r>
    </w:p>
    <w:p w14:paraId="293DB1B2">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模块材料应采用电弧炉或其他特种冶金设备冶炼，并采用炉外精炼钢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模箱、底板用模块要求采用双真空脱氧工艺或电渣重熔工艺精炼。</w:t>
      </w:r>
    </w:p>
    <w:p w14:paraId="4E4F6BF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3、模箱</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流线</w:t>
      </w:r>
      <w:r>
        <w:rPr>
          <w:rFonts w:hint="eastAsia" w:ascii="宋体" w:hAnsi="宋体" w:eastAsia="宋体" w:cs="宋体"/>
          <w:color w:val="auto"/>
          <w:sz w:val="21"/>
          <w:szCs w:val="21"/>
          <w:highlight w:val="none"/>
        </w:rPr>
        <w:t>必须符合图纸规定的要求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锻模模块材料的的流线应垂直于打击方向，对于长轴类锻件，流线方向应当与锻件轴线平行（即平行锤锻模燕尾方向）。</w:t>
      </w:r>
    </w:p>
    <w:p w14:paraId="69B7320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用钢锭锻造模块，必须</w:t>
      </w:r>
      <w:r>
        <w:rPr>
          <w:rFonts w:hint="eastAsia" w:ascii="宋体" w:hAnsi="宋体" w:eastAsia="宋体" w:cs="宋体"/>
          <w:color w:val="auto"/>
          <w:sz w:val="21"/>
          <w:szCs w:val="21"/>
          <w:highlight w:val="none"/>
          <w:lang w:val="en-US" w:eastAsia="zh-CN"/>
        </w:rPr>
        <w:t>遵循“三镦三拔”工艺</w:t>
      </w:r>
      <w:r>
        <w:rPr>
          <w:rFonts w:hint="eastAsia" w:ascii="宋体" w:hAnsi="宋体" w:eastAsia="宋体" w:cs="宋体"/>
          <w:color w:val="auto"/>
          <w:sz w:val="21"/>
          <w:szCs w:val="21"/>
          <w:highlight w:val="none"/>
        </w:rPr>
        <w:t>，锻造比≥3，</w:t>
      </w:r>
      <w:r>
        <w:rPr>
          <w:rFonts w:hint="eastAsia" w:ascii="宋体" w:hAnsi="宋体" w:eastAsia="宋体" w:cs="宋体"/>
          <w:color w:val="auto"/>
          <w:sz w:val="21"/>
          <w:szCs w:val="21"/>
          <w:highlight w:val="none"/>
          <w:lang w:val="en-US" w:eastAsia="zh-CN"/>
        </w:rPr>
        <w:t>模箱锻造比≥3.5</w:t>
      </w:r>
      <w:r>
        <w:rPr>
          <w:rFonts w:hint="eastAsia" w:ascii="宋体" w:hAnsi="宋体" w:eastAsia="宋体" w:cs="宋体"/>
          <w:color w:val="auto"/>
          <w:sz w:val="21"/>
          <w:szCs w:val="21"/>
          <w:highlight w:val="none"/>
        </w:rPr>
        <w:t>。</w:t>
      </w:r>
    </w:p>
    <w:p w14:paraId="36A791EF">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模块内部不允许有白点、裂纹、缩孔等缺陷。</w:t>
      </w:r>
    </w:p>
    <w:p w14:paraId="7AA824A0">
      <w:pPr>
        <w:pStyle w:val="11"/>
        <w:keepNext w:val="0"/>
        <w:keepLines w:val="0"/>
        <w:pageBreakBefore w:val="0"/>
        <w:kinsoku/>
        <w:wordWrap/>
        <w:overflowPunct/>
        <w:topLinePunct w:val="0"/>
        <w:bidi w:val="0"/>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6、热处理时，有效加热区的温度偏差应按照</w:t>
      </w: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16923 以及</w:t>
      </w: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16924的规定。淬火加热的温度偏差不应超出±10℃，并且保证不少于2次的回火，模箱精加工过程中增加一次低温去应力回火。</w:t>
      </w:r>
    </w:p>
    <w:p w14:paraId="4BE5B159">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模块应进行超声波探伤检查，检测方法应符合GB/T6402的相关规定，超声波探伤检查判定符合GB/T11880的规定。</w:t>
      </w:r>
    </w:p>
    <w:p w14:paraId="34857A09">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钢中的非金属夹杂物检测评级参照GB/T10561，应符合下述规定：</w:t>
      </w:r>
    </w:p>
    <w:p w14:paraId="466020A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A、B、C、D类夹杂物</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级。</w:t>
      </w:r>
    </w:p>
    <w:p w14:paraId="1C3900FC">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FF0000"/>
          <w:sz w:val="21"/>
          <w:szCs w:val="21"/>
          <w:highlight w:val="none"/>
          <w:lang w:val="en-US" w:eastAsia="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模块试验方法及验收规则：必须符合GB/T11880的相关规定。</w:t>
      </w:r>
      <w:r>
        <w:rPr>
          <w:rFonts w:hint="eastAsia" w:ascii="宋体" w:hAnsi="宋体" w:eastAsia="宋体" w:cs="宋体"/>
          <w:color w:val="auto"/>
          <w:sz w:val="21"/>
          <w:szCs w:val="21"/>
          <w:highlight w:val="none"/>
          <w:lang w:val="en-US" w:eastAsia="zh-CN"/>
        </w:rPr>
        <w:t>如图纸有明确要求按照图纸要求执行。</w:t>
      </w:r>
    </w:p>
    <w:p w14:paraId="5ADB8FF2">
      <w:pPr>
        <w:pStyle w:val="12"/>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二、新制模具技术</w:t>
      </w:r>
      <w:r>
        <w:rPr>
          <w:rFonts w:hint="eastAsia" w:ascii="宋体" w:hAnsi="宋体" w:eastAsia="宋体" w:cs="宋体"/>
          <w:b/>
          <w:bCs/>
          <w:color w:val="auto"/>
          <w:sz w:val="21"/>
          <w:szCs w:val="21"/>
          <w:highlight w:val="none"/>
          <w:lang w:val="en-US" w:eastAsia="zh-CN"/>
        </w:rPr>
        <w:t>要求</w:t>
      </w:r>
    </w:p>
    <w:p w14:paraId="784C6648">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1、锻模，主要包括镦粗模、预锻模、终锻模以及配套顶料杆（如有），材质均为5CrNiMo。</w:t>
      </w:r>
    </w:p>
    <w:p w14:paraId="39CDB994">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1.1、镦粗模、预锻模、终锻模淬火后至少两次回火，硬度要求HRC44-48；</w:t>
      </w:r>
      <w:r>
        <w:rPr>
          <w:rFonts w:hint="eastAsia" w:ascii="宋体" w:hAnsi="宋体" w:eastAsia="宋体" w:cs="宋体"/>
          <w:color w:val="auto"/>
          <w:sz w:val="21"/>
          <w:szCs w:val="21"/>
          <w:highlight w:val="none"/>
          <w:lang w:val="en-US" w:eastAsia="zh-CN"/>
        </w:rPr>
        <w:t>模具型腔表面粗糙度Ra0.8，其它Ra3.2；</w:t>
      </w:r>
      <w:r>
        <w:rPr>
          <w:rFonts w:hint="eastAsia" w:ascii="宋体" w:hAnsi="宋体" w:eastAsia="宋体" w:cs="宋体"/>
          <w:color w:val="auto"/>
          <w:kern w:val="2"/>
          <w:sz w:val="21"/>
          <w:szCs w:val="21"/>
          <w:highlight w:val="none"/>
          <w:lang w:val="en-US" w:eastAsia="zh-CN" w:bidi="ar-SA"/>
        </w:rPr>
        <w:t>模具加工完成后对模具表面进行精抛，抛光公差及加工公差合计不得超过±0.3mm。</w:t>
      </w:r>
    </w:p>
    <w:p w14:paraId="66574976">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1.2、顶料杆调质处理，硬度要求HRC43-47，</w:t>
      </w:r>
      <w:r>
        <w:rPr>
          <w:rFonts w:hint="eastAsia" w:ascii="宋体" w:hAnsi="宋体" w:eastAsia="宋体" w:cs="宋体"/>
          <w:color w:val="auto"/>
          <w:sz w:val="21"/>
          <w:szCs w:val="21"/>
          <w:highlight w:val="none"/>
          <w:lang w:val="en-US" w:eastAsia="zh-CN"/>
        </w:rPr>
        <w:t>表面粗糙度Ra1.6；顶料杆两端面无中心孔，与锻件接触面无倒角；长度公差±0.1mm，与锻模配合直径公差（+0.1，0）mm。</w:t>
      </w:r>
    </w:p>
    <w:p w14:paraId="0955B484">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2、切边模具，主要包括上下凸模（抱切上下模）、凹模、卸料板、顶杆横梁、压板、字头压块以及配套顶料杆等（如有）。压板、字头压块、卸料板材质为45#钢，其余均为5CrNiMo。</w:t>
      </w:r>
    </w:p>
    <w:p w14:paraId="61ABED00">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2.1、上下凸模（抱切上下模），调质处理HRC38-43，按照造型或图纸加工，</w:t>
      </w:r>
      <w:r>
        <w:rPr>
          <w:rFonts w:hint="eastAsia" w:ascii="宋体" w:hAnsi="宋体" w:eastAsia="宋体" w:cs="宋体"/>
          <w:color w:val="auto"/>
          <w:sz w:val="21"/>
          <w:szCs w:val="21"/>
          <w:highlight w:val="none"/>
          <w:lang w:val="en-US" w:eastAsia="zh-CN"/>
        </w:rPr>
        <w:t>冲头字头槽可直接加工也可镶焊，选用字头大小需要与目前甲方在用统一。</w:t>
      </w:r>
      <w:r>
        <w:rPr>
          <w:rFonts w:hint="eastAsia" w:ascii="宋体" w:hAnsi="宋体" w:eastAsia="宋体" w:cs="宋体"/>
          <w:color w:val="auto"/>
          <w:kern w:val="2"/>
          <w:sz w:val="21"/>
          <w:szCs w:val="21"/>
          <w:highlight w:val="none"/>
          <w:lang w:val="en-US" w:eastAsia="zh-CN" w:bidi="ar-SA"/>
        </w:rPr>
        <w:t>抛光公差及加工公差合计不得超过±0.3mm。</w:t>
      </w:r>
    </w:p>
    <w:p w14:paraId="3B38B363">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2.2、切边凹模基体调质处理，硬度要求HRC43-47，刃口堆焊HRC48-52。刃口堆焊尺寸不小于15×15mm，刃口加工精度±0.1mm。刃口</w:t>
      </w:r>
      <w:r>
        <w:rPr>
          <w:rFonts w:hint="eastAsia" w:ascii="宋体" w:hAnsi="宋体" w:eastAsia="宋体" w:cs="宋体"/>
          <w:color w:val="auto"/>
          <w:sz w:val="21"/>
          <w:szCs w:val="21"/>
          <w:highlight w:val="none"/>
          <w:lang w:val="en-US" w:eastAsia="zh-CN"/>
        </w:rPr>
        <w:t>表面粗糙度Ra0.8，其余Ra3.2。</w:t>
      </w:r>
    </w:p>
    <w:p w14:paraId="49300AD8">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2.3、压板、字头压块、卸料板调质处理HRC32-38、</w:t>
      </w:r>
      <w:r>
        <w:rPr>
          <w:rFonts w:hint="eastAsia" w:ascii="宋体" w:hAnsi="宋体" w:eastAsia="宋体" w:cs="宋体"/>
          <w:color w:val="auto"/>
          <w:sz w:val="21"/>
          <w:szCs w:val="21"/>
          <w:highlight w:val="none"/>
          <w:lang w:val="en-US" w:eastAsia="zh-CN"/>
        </w:rPr>
        <w:t>表面粗糙度Ra6.3。</w:t>
      </w:r>
    </w:p>
    <w:p w14:paraId="1B296059">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2.4、顶杆横梁调质处理HRC38-43，未注倒角C1，</w:t>
      </w:r>
      <w:r>
        <w:rPr>
          <w:rFonts w:hint="eastAsia" w:ascii="宋体" w:hAnsi="宋体" w:eastAsia="宋体" w:cs="宋体"/>
          <w:color w:val="auto"/>
          <w:sz w:val="21"/>
          <w:szCs w:val="21"/>
          <w:highlight w:val="none"/>
          <w:lang w:val="en-US" w:eastAsia="zh-CN"/>
        </w:rPr>
        <w:t>表面粗糙度Ra1.6</w:t>
      </w:r>
      <w:r>
        <w:rPr>
          <w:rFonts w:hint="eastAsia" w:ascii="宋体" w:hAnsi="宋体" w:eastAsia="宋体" w:cs="宋体"/>
          <w:color w:val="auto"/>
          <w:kern w:val="2"/>
          <w:sz w:val="21"/>
          <w:szCs w:val="21"/>
          <w:highlight w:val="none"/>
          <w:lang w:val="en-US" w:eastAsia="zh-CN" w:bidi="ar-SA"/>
        </w:rPr>
        <w:t>。</w:t>
      </w:r>
    </w:p>
    <w:p w14:paraId="552690CD">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2.5、字头压块与冲头配合使用，选用甲方在用结构。</w:t>
      </w:r>
    </w:p>
    <w:p w14:paraId="02C7BE48">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2.6、顶料杆调质处理，硬度要求HRC43-47，</w:t>
      </w:r>
      <w:r>
        <w:rPr>
          <w:rFonts w:hint="eastAsia" w:ascii="宋体" w:hAnsi="宋体" w:eastAsia="宋体" w:cs="宋体"/>
          <w:color w:val="auto"/>
          <w:sz w:val="21"/>
          <w:szCs w:val="21"/>
          <w:highlight w:val="none"/>
          <w:lang w:val="en-US" w:eastAsia="zh-CN"/>
        </w:rPr>
        <w:t>表面粗糙度Ra1.6；顶料杆两端面无中心孔，与锻件接触面无倒角；长度公差±0.1mm，与锻模配合直径公差（+0.1，0）mm。</w:t>
      </w:r>
    </w:p>
    <w:p w14:paraId="201E1F75">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2"/>
          <w:sz w:val="21"/>
          <w:szCs w:val="21"/>
          <w:highlight w:val="none"/>
          <w:lang w:val="en-US" w:eastAsia="zh-CN" w:bidi="ar-SA"/>
        </w:rPr>
        <w:t>锻模/切边模体外形（与装配相关）必须满足甲方目前通用模座/部件装配要求，</w:t>
      </w:r>
      <w:r>
        <w:rPr>
          <w:rFonts w:hint="eastAsia" w:ascii="宋体" w:hAnsi="宋体" w:eastAsia="宋体" w:cs="宋体"/>
          <w:color w:val="auto"/>
          <w:sz w:val="21"/>
          <w:szCs w:val="21"/>
          <w:highlight w:val="none"/>
          <w:lang w:val="en-US" w:eastAsia="zh-CN"/>
        </w:rPr>
        <w:t>模具安装和配合部位形位尺寸公差执行GB/T1804-f，关键配合尺寸公差见表2要求，其它外形尺寸公差执行GB/T1804-m，未注倒角1×45°。</w:t>
      </w:r>
    </w:p>
    <w:p w14:paraId="545B1567">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4、达到合同要求的模具最低寿命。</w:t>
      </w:r>
    </w:p>
    <w:p w14:paraId="50DA1E8A">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5、完工模具需要进行超声波探伤检测，确保完工成品模具无裂纹、气孔等缺陷。</w:t>
      </w:r>
    </w:p>
    <w:p w14:paraId="6050C659">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6、保证模具成套可用，其它未尽事宜双方协商处理。</w:t>
      </w:r>
    </w:p>
    <w:p w14:paraId="38F228A3">
      <w:pPr>
        <w:pStyle w:val="12"/>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三、焊修模具技术</w:t>
      </w:r>
      <w:r>
        <w:rPr>
          <w:rFonts w:hint="eastAsia" w:ascii="宋体" w:hAnsi="宋体" w:eastAsia="宋体" w:cs="宋体"/>
          <w:b/>
          <w:bCs/>
          <w:color w:val="auto"/>
          <w:sz w:val="21"/>
          <w:szCs w:val="21"/>
          <w:highlight w:val="none"/>
          <w:lang w:val="en-US" w:eastAsia="zh-CN"/>
        </w:rPr>
        <w:t>要求</w:t>
      </w:r>
    </w:p>
    <w:p w14:paraId="72B7E53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sz w:val="21"/>
          <w:szCs w:val="21"/>
          <w:highlight w:val="none"/>
          <w:lang w:val="en-US" w:eastAsia="zh-CN"/>
        </w:rPr>
        <w:t>模具焊修前进行超声波探伤检测</w:t>
      </w:r>
      <w:r>
        <w:rPr>
          <w:rFonts w:hint="eastAsia" w:ascii="宋体" w:hAnsi="宋体" w:eastAsia="宋体" w:cs="宋体"/>
          <w:color w:val="000000"/>
          <w:kern w:val="2"/>
          <w:sz w:val="21"/>
          <w:szCs w:val="21"/>
          <w:lang w:val="en-US" w:eastAsia="zh-CN" w:bidi="ar-SA"/>
        </w:rPr>
        <w:t>及目测检查</w:t>
      </w:r>
      <w:r>
        <w:rPr>
          <w:rFonts w:hint="eastAsia" w:ascii="宋体" w:hAnsi="宋体" w:eastAsia="宋体" w:cs="宋体"/>
          <w:sz w:val="21"/>
          <w:szCs w:val="21"/>
          <w:highlight w:val="none"/>
          <w:lang w:val="en-US" w:eastAsia="zh-CN"/>
        </w:rPr>
        <w:t>，检测模体表面和内部质量。</w:t>
      </w:r>
    </w:p>
    <w:p w14:paraId="60A365E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sz w:val="21"/>
          <w:szCs w:val="21"/>
          <w:highlight w:val="none"/>
          <w:lang w:val="en-US" w:eastAsia="zh-CN"/>
        </w:rPr>
        <w:t>符合焊修条件的模具，整体将疲劳层去除，若疲劳裂纹超过30mm但未达到该位置模体1/2厚度且为贯穿的，需将裂纹清理干净后焊补处理，焊修后性能不小于基体性能。裂纹深度超过该位置模体厚度1/2以上或贯穿裂纹，反馈甲方综合判定模具焊修或报废处理。</w:t>
      </w:r>
    </w:p>
    <w:p w14:paraId="5186EB2E">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000000"/>
          <w:kern w:val="2"/>
          <w:sz w:val="21"/>
          <w:szCs w:val="21"/>
          <w:lang w:val="en-US" w:eastAsia="zh-CN" w:bidi="ar-SA"/>
        </w:rPr>
        <w:t>气刨后表面要求光滑，没有尖锐的凸起和深坑，若遇到局部的缺陷需要处理的，要把周边相关联部位顺势气刨光滑，或者焊接填平。同时将型腔以及型腔以外所有部位清理干净，不得有气刨残渣和石墨残留。</w:t>
      </w:r>
    </w:p>
    <w:p w14:paraId="44ADF999">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4、模具焊修必须使用高强度、耐磨、红硬性好的焊材。焊后回火，需进行二次回火。</w:t>
      </w:r>
    </w:p>
    <w:p w14:paraId="791B4276">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sz w:val="21"/>
          <w:szCs w:val="21"/>
          <w:highlight w:val="none"/>
          <w:lang w:val="en-US" w:eastAsia="zh-CN"/>
        </w:rPr>
        <w:t>完工模具型腔焊层深度25-30mm，型腔表面硬度要求（可采用表面强化处理）48-60HRC，型腔表面粗糙度Ra0.8，其它Ra3.2；</w:t>
      </w:r>
      <w:r>
        <w:rPr>
          <w:rFonts w:hint="eastAsia" w:ascii="宋体" w:hAnsi="宋体" w:eastAsia="宋体" w:cs="宋体"/>
          <w:color w:val="auto"/>
          <w:kern w:val="2"/>
          <w:sz w:val="21"/>
          <w:szCs w:val="21"/>
          <w:highlight w:val="none"/>
          <w:lang w:val="en-US" w:eastAsia="zh-CN" w:bidi="ar-SA"/>
        </w:rPr>
        <w:t>模具加工完成后对模具表面进行精抛，抛光公差及加工公差合计不得超过±0.3mm。</w:t>
      </w:r>
    </w:p>
    <w:p w14:paraId="0F2558DA">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r>
        <w:rPr>
          <w:rFonts w:hint="eastAsia" w:ascii="宋体" w:hAnsi="宋体" w:eastAsia="宋体" w:cs="宋体"/>
          <w:color w:val="auto"/>
          <w:kern w:val="2"/>
          <w:sz w:val="21"/>
          <w:szCs w:val="21"/>
          <w:highlight w:val="none"/>
          <w:lang w:val="en-US" w:eastAsia="zh-CN" w:bidi="ar-SA"/>
        </w:rPr>
        <w:t>模体外形（与装配相关）必须满足甲方目前通用模座/部件装配要求，</w:t>
      </w:r>
      <w:r>
        <w:rPr>
          <w:rFonts w:hint="eastAsia" w:ascii="宋体" w:hAnsi="宋体" w:eastAsia="宋体" w:cs="宋体"/>
          <w:sz w:val="21"/>
          <w:szCs w:val="21"/>
          <w:highlight w:val="none"/>
          <w:lang w:val="en-US" w:eastAsia="zh-CN"/>
        </w:rPr>
        <w:t>单块模具底面找平加工量≤1mm/次；模具安装和配合部位形位尺寸采取加工和补焊方式进行修复，修复后满足图纸或者三维造型要求。模具安装和配合部位形位尺寸公差执行GB/T1804-f，关键配合尺寸公差见表2要求，其它外形尺寸公差执行GB/T1804-m，未注倒角1×45°。</w:t>
      </w:r>
    </w:p>
    <w:p w14:paraId="65DE8001">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7、模具标识、产品标识、生产单位代码、生产批次标识等</w:t>
      </w:r>
      <w:r>
        <w:rPr>
          <w:rFonts w:hint="eastAsia" w:ascii="宋体" w:hAnsi="宋体" w:eastAsia="宋体" w:cs="宋体"/>
          <w:sz w:val="21"/>
          <w:szCs w:val="21"/>
          <w:highlight w:val="none"/>
        </w:rPr>
        <w:t>可追溯性标识</w:t>
      </w:r>
      <w:r>
        <w:rPr>
          <w:rFonts w:hint="eastAsia" w:ascii="宋体" w:hAnsi="宋体" w:eastAsia="宋体" w:cs="宋体"/>
          <w:sz w:val="21"/>
          <w:szCs w:val="21"/>
          <w:highlight w:val="none"/>
          <w:lang w:val="en-US" w:eastAsia="zh-CN"/>
        </w:rPr>
        <w:t>必须</w:t>
      </w:r>
      <w:r>
        <w:rPr>
          <w:rFonts w:hint="eastAsia" w:ascii="宋体" w:hAnsi="宋体" w:eastAsia="宋体" w:cs="宋体"/>
          <w:sz w:val="21"/>
          <w:szCs w:val="21"/>
          <w:highlight w:val="none"/>
        </w:rPr>
        <w:t>满足甲方的特定标识要求。</w:t>
      </w:r>
    </w:p>
    <w:p w14:paraId="69AF21B0">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8、达到合同要求的模具最低寿命。</w:t>
      </w:r>
    </w:p>
    <w:p w14:paraId="0D6D2E9D">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9、完工模具需要进行超声波探伤检测，确保完工成品模具无裂纹、气孔等缺陷。</w:t>
      </w:r>
    </w:p>
    <w:p w14:paraId="172BD563">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10、保证模具成套可用，其它未尽事宜双方协商处理。</w:t>
      </w:r>
    </w:p>
    <w:p w14:paraId="3307162C">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w:t>
      </w:r>
      <w:r>
        <w:rPr>
          <w:rFonts w:hint="eastAsia" w:ascii="宋体" w:hAnsi="宋体" w:eastAsia="宋体" w:cs="宋体"/>
          <w:b/>
          <w:color w:val="auto"/>
          <w:sz w:val="21"/>
          <w:szCs w:val="21"/>
          <w:lang w:val="en-US" w:eastAsia="zh-CN"/>
        </w:rPr>
        <w:t>三</w:t>
      </w:r>
      <w:r>
        <w:rPr>
          <w:rFonts w:hint="eastAsia" w:ascii="宋体" w:hAnsi="宋体" w:eastAsia="宋体" w:cs="宋体"/>
          <w:b/>
          <w:color w:val="auto"/>
          <w:sz w:val="21"/>
          <w:szCs w:val="21"/>
        </w:rPr>
        <w:t xml:space="preserve">条  </w:t>
      </w:r>
      <w:r>
        <w:rPr>
          <w:rFonts w:hint="eastAsia" w:ascii="宋体" w:hAnsi="宋体" w:eastAsia="宋体" w:cs="宋体"/>
          <w:b/>
          <w:color w:val="auto"/>
          <w:sz w:val="21"/>
          <w:szCs w:val="21"/>
          <w:lang w:val="en-US" w:eastAsia="zh-CN"/>
        </w:rPr>
        <w:t>技术更改及技术文件</w:t>
      </w:r>
    </w:p>
    <w:p w14:paraId="11E6FCA6">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1、为确保产品质量乙方必须严格执行甲方提供的产品图纸、执行标准、工艺参数等相关的技术要求，并严格执行甲方评审认可的乙方提交的相关的技术文件（表1），加强生产过程中的质量控制。</w:t>
      </w:r>
    </w:p>
    <w:p w14:paraId="4E646947">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2、如在设计过程中遇到设计更改，甲方及时将技术更改通知乙方，乙方应按更改后的技术要求制造模具并负责将更改后的工装图（三维和二维）等技术文件及时提交给甲方。</w:t>
      </w:r>
    </w:p>
    <w:p w14:paraId="0D31EB13">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3、乙方不得自行改变双方共同确认的本协议附表中技术资料，如确实需要更改，应事先征得甲方同意。</w:t>
      </w:r>
    </w:p>
    <w:p w14:paraId="2AC0BADA">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4、乙方承诺：符合技术要求只是必要条件，满足使用要求和最终用户的要求是最终目的。</w:t>
      </w:r>
    </w:p>
    <w:p w14:paraId="015F6B97">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w:t>
      </w:r>
      <w:r>
        <w:rPr>
          <w:rFonts w:hint="eastAsia" w:ascii="宋体" w:hAnsi="宋体" w:eastAsia="宋体" w:cs="宋体"/>
          <w:b/>
          <w:color w:val="auto"/>
          <w:sz w:val="21"/>
          <w:szCs w:val="21"/>
          <w:lang w:val="en-US" w:eastAsia="zh-CN"/>
        </w:rPr>
        <w:t>四</w:t>
      </w:r>
      <w:r>
        <w:rPr>
          <w:rFonts w:hint="eastAsia" w:ascii="宋体" w:hAnsi="宋体" w:eastAsia="宋体" w:cs="宋体"/>
          <w:b/>
          <w:color w:val="auto"/>
          <w:sz w:val="21"/>
          <w:szCs w:val="21"/>
        </w:rPr>
        <w:t xml:space="preserve">条  </w:t>
      </w:r>
      <w:r>
        <w:rPr>
          <w:rFonts w:hint="eastAsia" w:ascii="宋体" w:hAnsi="宋体" w:eastAsia="宋体" w:cs="宋体"/>
          <w:b/>
          <w:color w:val="auto"/>
          <w:sz w:val="21"/>
          <w:szCs w:val="21"/>
          <w:lang w:val="en-US" w:eastAsia="zh-CN"/>
        </w:rPr>
        <w:t>制造过程变更</w:t>
      </w:r>
    </w:p>
    <w:p w14:paraId="71AFE92D">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1、乙方必须保证产品在生产制造过程中达到甲方规定的质量要求并检测合格。</w:t>
      </w:r>
    </w:p>
    <w:p w14:paraId="11E5E23D">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2、甲方根据产品质量升级等方面的要求，可向乙方提出对产品进行重新鉴定或认证的要求，乙方应提供足够的产品样本，并配合甲方共同完成产品的鉴定或认证工作，其结果双方共享。</w:t>
      </w:r>
    </w:p>
    <w:p w14:paraId="632C96E4">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3、如果乙方的生产基地、生产工艺、材料或配套厂商发生了改变，则应及时书面报告甲方，重新提供相关资料（表1）并取得甲方评审认可。</w:t>
      </w:r>
    </w:p>
    <w:p w14:paraId="23DE6259">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第</w:t>
      </w:r>
      <w:r>
        <w:rPr>
          <w:rFonts w:hint="eastAsia" w:ascii="宋体" w:hAnsi="宋体" w:eastAsia="宋体" w:cs="宋体"/>
          <w:b/>
          <w:sz w:val="21"/>
          <w:szCs w:val="21"/>
          <w:highlight w:val="none"/>
          <w:lang w:val="en-US" w:eastAsia="zh-CN"/>
        </w:rPr>
        <w:t>五</w:t>
      </w:r>
      <w:r>
        <w:rPr>
          <w:rFonts w:hint="eastAsia" w:ascii="宋体" w:hAnsi="宋体" w:eastAsia="宋体" w:cs="宋体"/>
          <w:b/>
          <w:sz w:val="21"/>
          <w:szCs w:val="21"/>
          <w:highlight w:val="none"/>
        </w:rPr>
        <w:t>条  产品包装</w:t>
      </w:r>
    </w:p>
    <w:p w14:paraId="1CC197F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1、乙方产品包装须严格执行甲方的企业标准或国家标准和行业有关标准及甲方的其它包装要求。</w:t>
      </w:r>
    </w:p>
    <w:p w14:paraId="7B97A35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2、乙方的产品包装必须保证产品质量在运输、储存过程中不降低。</w:t>
      </w:r>
    </w:p>
    <w:p w14:paraId="26B2CF78">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、乙方对其供给甲方的产品必须进行可追溯性标识，同时须满足甲方的特定标识要求。</w:t>
      </w:r>
    </w:p>
    <w:p w14:paraId="3A8A72C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、产品标识部位以不影响产品质量为原则，除甲方明确要求的标识部位外，乙方可自行选择部位，并将标识部位传给甲方备案。</w:t>
      </w:r>
    </w:p>
    <w:p w14:paraId="5D7FDBC7">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rPr>
        <w:t>第</w:t>
      </w:r>
      <w:r>
        <w:rPr>
          <w:rFonts w:hint="eastAsia" w:ascii="宋体" w:hAnsi="宋体" w:eastAsia="宋体" w:cs="宋体"/>
          <w:b/>
          <w:sz w:val="21"/>
          <w:szCs w:val="21"/>
          <w:highlight w:val="none"/>
          <w:lang w:val="en-US" w:eastAsia="zh-CN"/>
        </w:rPr>
        <w:t>六</w:t>
      </w:r>
      <w:r>
        <w:rPr>
          <w:rFonts w:hint="eastAsia" w:ascii="宋体" w:hAnsi="宋体" w:eastAsia="宋体" w:cs="宋体"/>
          <w:b/>
          <w:sz w:val="21"/>
          <w:szCs w:val="21"/>
          <w:highlight w:val="none"/>
        </w:rPr>
        <w:t xml:space="preserve">条  </w:t>
      </w:r>
      <w:r>
        <w:rPr>
          <w:rFonts w:hint="eastAsia" w:ascii="宋体" w:hAnsi="宋体" w:eastAsia="宋体" w:cs="宋体"/>
          <w:b/>
          <w:sz w:val="21"/>
          <w:szCs w:val="21"/>
          <w:highlight w:val="none"/>
          <w:lang w:val="en-US" w:eastAsia="zh-CN"/>
        </w:rPr>
        <w:t>交货</w:t>
      </w:r>
    </w:p>
    <w:p w14:paraId="646915F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交货地点：济南成型厂。</w:t>
      </w:r>
    </w:p>
    <w:p w14:paraId="56BE199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进厂检验：新工装到厂后，质量部核对</w:t>
      </w: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方提供自检报告（</w:t>
      </w:r>
      <w:r>
        <w:rPr>
          <w:rFonts w:hint="eastAsia" w:ascii="宋体" w:hAnsi="宋体" w:eastAsia="宋体" w:cs="宋体"/>
          <w:sz w:val="21"/>
          <w:szCs w:val="21"/>
          <w:highlight w:val="none"/>
          <w:lang w:val="en-US" w:eastAsia="zh-CN"/>
        </w:rPr>
        <w:t>表1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并进行硬度、三维扫描对比等检验。</w:t>
      </w:r>
    </w:p>
    <w:p w14:paraId="20CB346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模具做防锈处理。</w:t>
      </w:r>
    </w:p>
    <w:p w14:paraId="7968A381">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highlight w:val="none"/>
        </w:rPr>
      </w:pPr>
    </w:p>
    <w:p w14:paraId="478BB452">
      <w:pPr>
        <w:keepNext w:val="0"/>
        <w:keepLines w:val="0"/>
        <w:pageBreakBefore w:val="0"/>
        <w:kinsoku/>
        <w:wordWrap/>
        <w:overflowPunct/>
        <w:topLinePunct w:val="0"/>
        <w:bidi w:val="0"/>
        <w:snapToGrid/>
        <w:spacing w:line="440" w:lineRule="exact"/>
        <w:ind w:left="402" w:hanging="422" w:hangingChars="20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表1：</w:t>
      </w:r>
      <w:r>
        <w:rPr>
          <w:rFonts w:hint="eastAsia" w:ascii="宋体" w:hAnsi="宋体" w:eastAsia="宋体" w:cs="宋体"/>
          <w:b/>
          <w:color w:val="auto"/>
          <w:sz w:val="21"/>
          <w:szCs w:val="21"/>
          <w:highlight w:val="none"/>
        </w:rPr>
        <w:t>甲方要求乙方提交的</w:t>
      </w:r>
      <w:r>
        <w:rPr>
          <w:rFonts w:hint="eastAsia" w:ascii="宋体" w:hAnsi="宋体" w:eastAsia="宋体" w:cs="宋体"/>
          <w:b/>
          <w:color w:val="auto"/>
          <w:sz w:val="21"/>
          <w:szCs w:val="21"/>
          <w:highlight w:val="none"/>
          <w:lang w:val="en-US" w:eastAsia="zh-CN"/>
        </w:rPr>
        <w:t>资料清单</w:t>
      </w:r>
    </w:p>
    <w:tbl>
      <w:tblPr>
        <w:tblStyle w:val="31"/>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863"/>
        <w:gridCol w:w="3502"/>
      </w:tblGrid>
      <w:tr w14:paraId="06A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886" w:type="dxa"/>
            <w:noWrap w:val="0"/>
            <w:vAlign w:val="center"/>
          </w:tcPr>
          <w:p w14:paraId="3A559D1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资料明细</w:t>
            </w:r>
          </w:p>
        </w:tc>
        <w:tc>
          <w:tcPr>
            <w:tcW w:w="863" w:type="dxa"/>
            <w:noWrap w:val="0"/>
            <w:vAlign w:val="center"/>
          </w:tcPr>
          <w:p w14:paraId="714CD0F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w:t>
            </w:r>
          </w:p>
        </w:tc>
        <w:tc>
          <w:tcPr>
            <w:tcW w:w="3502" w:type="dxa"/>
            <w:noWrap w:val="0"/>
            <w:vAlign w:val="center"/>
          </w:tcPr>
          <w:p w14:paraId="09F216F3">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40D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2E6395E">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.过程流程图（或工艺卡等相关文件）</w:t>
            </w:r>
          </w:p>
        </w:tc>
        <w:tc>
          <w:tcPr>
            <w:tcW w:w="863" w:type="dxa"/>
            <w:noWrap w:val="0"/>
            <w:vAlign w:val="top"/>
          </w:tcPr>
          <w:p w14:paraId="06BDF88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502" w:type="dxa"/>
            <w:noWrap w:val="0"/>
            <w:vAlign w:val="top"/>
          </w:tcPr>
          <w:p w14:paraId="62C76677">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复印件</w:t>
            </w:r>
          </w:p>
        </w:tc>
      </w:tr>
      <w:tr w14:paraId="5FC98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4E837F5">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.控制计划（或作业指导文件等相关文件）</w:t>
            </w:r>
          </w:p>
        </w:tc>
        <w:tc>
          <w:tcPr>
            <w:tcW w:w="863" w:type="dxa"/>
            <w:noWrap w:val="0"/>
            <w:vAlign w:val="top"/>
          </w:tcPr>
          <w:p w14:paraId="7FD83020">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502" w:type="dxa"/>
            <w:noWrap w:val="0"/>
            <w:vAlign w:val="top"/>
          </w:tcPr>
          <w:p w14:paraId="438B4683">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复印件</w:t>
            </w:r>
          </w:p>
        </w:tc>
      </w:tr>
      <w:tr w14:paraId="0ABA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E13B067">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.工程变更文件，如果有</w:t>
            </w:r>
          </w:p>
        </w:tc>
        <w:tc>
          <w:tcPr>
            <w:tcW w:w="863" w:type="dxa"/>
            <w:noWrap w:val="0"/>
            <w:vAlign w:val="top"/>
          </w:tcPr>
          <w:p w14:paraId="0ECA303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762B1241">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653A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64D61425">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.全尺寸测量结果</w:t>
            </w:r>
            <w:r>
              <w:rPr>
                <w:rFonts w:hint="eastAsia" w:ascii="宋体" w:hAnsi="宋体" w:eastAsia="宋体" w:cs="宋体"/>
                <w:color w:val="auto"/>
                <w:sz w:val="21"/>
                <w:szCs w:val="21"/>
                <w:highlight w:val="none"/>
                <w:lang w:val="en-US" w:eastAsia="zh-CN"/>
              </w:rPr>
              <w:t>/三维扫描对比结果</w:t>
            </w:r>
          </w:p>
        </w:tc>
        <w:tc>
          <w:tcPr>
            <w:tcW w:w="863" w:type="dxa"/>
            <w:noWrap w:val="0"/>
            <w:vAlign w:val="top"/>
          </w:tcPr>
          <w:p w14:paraId="03B4702A">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3FE5DB1B">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18C78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5EAE0730">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5.模块</w:t>
            </w:r>
            <w:r>
              <w:rPr>
                <w:rFonts w:hint="eastAsia" w:ascii="宋体" w:hAnsi="宋体" w:eastAsia="宋体" w:cs="宋体"/>
                <w:color w:val="auto"/>
                <w:sz w:val="21"/>
                <w:szCs w:val="21"/>
                <w:highlight w:val="none"/>
              </w:rPr>
              <w:t>超声波探伤结果报告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新制</w:t>
            </w:r>
            <w:r>
              <w:rPr>
                <w:rFonts w:hint="eastAsia" w:ascii="宋体" w:hAnsi="宋体" w:eastAsia="宋体" w:cs="宋体"/>
                <w:color w:val="auto"/>
                <w:sz w:val="21"/>
                <w:szCs w:val="21"/>
                <w:highlight w:val="none"/>
                <w:lang w:eastAsia="zh-CN"/>
              </w:rPr>
              <w:t>）</w:t>
            </w:r>
          </w:p>
        </w:tc>
        <w:tc>
          <w:tcPr>
            <w:tcW w:w="863" w:type="dxa"/>
            <w:noWrap w:val="0"/>
            <w:vAlign w:val="top"/>
          </w:tcPr>
          <w:p w14:paraId="760B0E52">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26AFD41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2C57E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629BAE9D">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模块材料合格证明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新制</w:t>
            </w:r>
            <w:r>
              <w:rPr>
                <w:rFonts w:hint="eastAsia" w:ascii="宋体" w:hAnsi="宋体" w:eastAsia="宋体" w:cs="宋体"/>
                <w:color w:val="auto"/>
                <w:sz w:val="21"/>
                <w:szCs w:val="21"/>
                <w:highlight w:val="none"/>
                <w:lang w:eastAsia="zh-CN"/>
              </w:rPr>
              <w:t>）</w:t>
            </w:r>
          </w:p>
        </w:tc>
        <w:tc>
          <w:tcPr>
            <w:tcW w:w="863" w:type="dxa"/>
            <w:noWrap w:val="0"/>
            <w:vAlign w:val="center"/>
          </w:tcPr>
          <w:p w14:paraId="44BF5421">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1A74D754">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3546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7C8AB87F">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7.维修前</w:t>
            </w:r>
            <w:r>
              <w:rPr>
                <w:rFonts w:hint="eastAsia" w:ascii="宋体" w:hAnsi="宋体" w:eastAsia="宋体" w:cs="宋体"/>
                <w:color w:val="auto"/>
                <w:sz w:val="21"/>
                <w:szCs w:val="21"/>
                <w:highlight w:val="none"/>
              </w:rPr>
              <w:t>超声波探伤结果报告</w:t>
            </w:r>
          </w:p>
        </w:tc>
        <w:tc>
          <w:tcPr>
            <w:tcW w:w="863" w:type="dxa"/>
            <w:noWrap w:val="0"/>
            <w:vAlign w:val="top"/>
          </w:tcPr>
          <w:p w14:paraId="6ED8D31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25A14150">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7B90E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86" w:type="dxa"/>
            <w:noWrap w:val="0"/>
            <w:vAlign w:val="top"/>
          </w:tcPr>
          <w:p w14:paraId="059C128D">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.材料、性能试验结果</w:t>
            </w:r>
          </w:p>
        </w:tc>
        <w:tc>
          <w:tcPr>
            <w:tcW w:w="863" w:type="dxa"/>
            <w:noWrap w:val="0"/>
            <w:vAlign w:val="top"/>
          </w:tcPr>
          <w:p w14:paraId="615D1A15">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16DE2F6E">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2F0AD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B05297C">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9.最终成品超声波探伤结果报告</w:t>
            </w:r>
          </w:p>
        </w:tc>
        <w:tc>
          <w:tcPr>
            <w:tcW w:w="863" w:type="dxa"/>
            <w:noWrap w:val="0"/>
            <w:vAlign w:val="center"/>
          </w:tcPr>
          <w:p w14:paraId="1EC27E3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0AF3617E">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bl>
    <w:p w14:paraId="76E0329A">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上表中“ √”表示乙方</w:t>
      </w:r>
      <w:r>
        <w:rPr>
          <w:rFonts w:hint="eastAsia" w:ascii="宋体" w:hAnsi="宋体" w:eastAsia="宋体" w:cs="宋体"/>
          <w:sz w:val="21"/>
          <w:szCs w:val="21"/>
          <w:highlight w:val="none"/>
          <w:lang w:val="en-US" w:eastAsia="zh-CN"/>
        </w:rPr>
        <w:t>必须</w:t>
      </w:r>
      <w:r>
        <w:rPr>
          <w:rFonts w:hint="eastAsia" w:ascii="宋体" w:hAnsi="宋体" w:eastAsia="宋体" w:cs="宋体"/>
          <w:sz w:val="21"/>
          <w:szCs w:val="21"/>
          <w:highlight w:val="none"/>
        </w:rPr>
        <w:t>提交的资料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备注中填写数量、原件、复印件等说明。</w:t>
      </w:r>
    </w:p>
    <w:p w14:paraId="197043B0">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rPr>
      </w:pPr>
    </w:p>
    <w:p w14:paraId="7593E848">
      <w:pPr>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表2-MP8000生产线：关键配合尺寸公差要求</w:t>
      </w:r>
    </w:p>
    <w:tbl>
      <w:tblPr>
        <w:tblStyle w:val="31"/>
        <w:tblW w:w="8733" w:type="dxa"/>
        <w:tblInd w:w="10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75"/>
        <w:gridCol w:w="1243"/>
        <w:gridCol w:w="6815"/>
      </w:tblGrid>
      <w:tr w14:paraId="5FD5F38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85" w:hRule="atLeast"/>
        </w:trPr>
        <w:tc>
          <w:tcPr>
            <w:tcW w:w="675" w:type="dxa"/>
            <w:tcBorders>
              <w:tl2br w:val="nil"/>
              <w:tr2bl w:val="nil"/>
            </w:tcBorders>
            <w:shd w:val="clear" w:color="auto" w:fill="auto"/>
            <w:noWrap/>
            <w:vAlign w:val="center"/>
          </w:tcPr>
          <w:p w14:paraId="54029C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43" w:type="dxa"/>
            <w:tcBorders>
              <w:tl2br w:val="nil"/>
              <w:tr2bl w:val="nil"/>
            </w:tcBorders>
            <w:shd w:val="clear" w:color="auto" w:fill="auto"/>
            <w:noWrap/>
            <w:vAlign w:val="center"/>
          </w:tcPr>
          <w:p w14:paraId="239C28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模具类型</w:t>
            </w:r>
          </w:p>
        </w:tc>
        <w:tc>
          <w:tcPr>
            <w:tcW w:w="6815" w:type="dxa"/>
            <w:tcBorders>
              <w:tl2br w:val="nil"/>
              <w:tr2bl w:val="nil"/>
            </w:tcBorders>
            <w:shd w:val="clear" w:color="auto" w:fill="auto"/>
            <w:noWrap/>
            <w:vAlign w:val="center"/>
          </w:tcPr>
          <w:p w14:paraId="243C4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关键尺寸公差要求</w:t>
            </w:r>
          </w:p>
        </w:tc>
      </w:tr>
      <w:tr w14:paraId="4CD756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21A29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43" w:type="dxa"/>
            <w:vMerge w:val="restart"/>
            <w:tcBorders>
              <w:tl2br w:val="nil"/>
              <w:tr2bl w:val="nil"/>
            </w:tcBorders>
            <w:shd w:val="clear" w:color="auto" w:fill="auto"/>
            <w:noWrap/>
            <w:vAlign w:val="center"/>
          </w:tcPr>
          <w:p w14:paraId="667FA3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锻模</w:t>
            </w:r>
          </w:p>
          <w:p w14:paraId="7DC422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（MP8000）</w:t>
            </w:r>
          </w:p>
        </w:tc>
        <w:tc>
          <w:tcPr>
            <w:tcW w:w="6815" w:type="dxa"/>
            <w:tcBorders>
              <w:tl2br w:val="nil"/>
              <w:tr2bl w:val="nil"/>
            </w:tcBorders>
            <w:shd w:val="clear" w:color="auto" w:fill="auto"/>
            <w:noWrap/>
            <w:vAlign w:val="center"/>
          </w:tcPr>
          <w:p w14:paraId="51E45B14">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键槽80H7mm，底部圆角R2；φ770±0.1mm，φ710（+2，0）mm</w:t>
            </w:r>
          </w:p>
        </w:tc>
      </w:tr>
      <w:tr w14:paraId="324046D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16B92F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43" w:type="dxa"/>
            <w:vMerge w:val="continue"/>
            <w:tcBorders>
              <w:tl2br w:val="nil"/>
              <w:tr2bl w:val="nil"/>
            </w:tcBorders>
            <w:shd w:val="clear" w:color="auto" w:fill="auto"/>
            <w:noWrap/>
            <w:vAlign w:val="center"/>
          </w:tcPr>
          <w:p w14:paraId="248D9D9F">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21A02C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合模间隙预锻8mm、终锻6mm（符合造型），终锻合模615mm（包括6mm桥部），合模错移±0.2mm</w:t>
            </w:r>
          </w:p>
        </w:tc>
      </w:tr>
      <w:tr w14:paraId="1E6373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A468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3" w:type="dxa"/>
            <w:vMerge w:val="continue"/>
            <w:tcBorders>
              <w:tl2br w:val="nil"/>
              <w:tr2bl w:val="nil"/>
            </w:tcBorders>
            <w:shd w:val="clear" w:color="auto" w:fill="auto"/>
            <w:noWrap/>
            <w:vAlign w:val="center"/>
          </w:tcPr>
          <w:p w14:paraId="029A01C6">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5280D826">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桥口平面与模体底面</w:t>
            </w:r>
            <w:r>
              <w:rPr>
                <w:rFonts w:hint="eastAsia" w:ascii="宋体" w:hAnsi="宋体" w:eastAsia="宋体" w:cs="宋体"/>
                <w:i w:val="0"/>
                <w:iCs w:val="0"/>
                <w:color w:val="000000"/>
                <w:kern w:val="0"/>
                <w:sz w:val="21"/>
                <w:szCs w:val="21"/>
                <w:u w:val="none"/>
                <w:lang w:val="en-US" w:eastAsia="zh-CN" w:bidi="ar"/>
              </w:rPr>
              <w:t>尺寸公差±0.2mm、</w:t>
            </w:r>
            <w:r>
              <w:rPr>
                <w:rFonts w:hint="eastAsia" w:ascii="宋体" w:hAnsi="宋体" w:eastAsia="宋体" w:cs="宋体"/>
                <w:i w:val="0"/>
                <w:iCs w:val="0"/>
                <w:color w:val="000000"/>
                <w:sz w:val="21"/>
                <w:szCs w:val="21"/>
                <w:u w:val="none"/>
                <w:lang w:val="en-US" w:eastAsia="zh-CN"/>
              </w:rPr>
              <w:t>平行度0.2mm</w:t>
            </w:r>
          </w:p>
        </w:tc>
      </w:tr>
      <w:tr w14:paraId="4E918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705D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3" w:type="dxa"/>
            <w:vMerge w:val="restart"/>
            <w:tcBorders>
              <w:tl2br w:val="nil"/>
              <w:tr2bl w:val="nil"/>
            </w:tcBorders>
            <w:shd w:val="clear" w:color="auto" w:fill="auto"/>
            <w:noWrap/>
            <w:vAlign w:val="center"/>
          </w:tcPr>
          <w:p w14:paraId="53A63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切边模（MP8000）</w:t>
            </w:r>
          </w:p>
        </w:tc>
        <w:tc>
          <w:tcPr>
            <w:tcW w:w="6815" w:type="dxa"/>
            <w:tcBorders>
              <w:tl2br w:val="nil"/>
              <w:tr2bl w:val="nil"/>
            </w:tcBorders>
            <w:shd w:val="clear" w:color="auto" w:fill="auto"/>
            <w:vAlign w:val="center"/>
          </w:tcPr>
          <w:p w14:paraId="711C2C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凹模装配用键槽宽度36H7mm</w:t>
            </w:r>
          </w:p>
        </w:tc>
      </w:tr>
      <w:tr w14:paraId="7B99B3E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7B8D1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43" w:type="dxa"/>
            <w:vMerge w:val="continue"/>
            <w:tcBorders>
              <w:tl2br w:val="nil"/>
              <w:tr2bl w:val="nil"/>
            </w:tcBorders>
            <w:shd w:val="clear" w:color="auto" w:fill="auto"/>
            <w:noWrap/>
            <w:vAlign w:val="center"/>
          </w:tcPr>
          <w:p w14:paraId="65998B77">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6441C4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凹模刃口平面度0.05mm，底面平面度0.05mm，刃口平面与底面平行度0.05mm</w:t>
            </w:r>
          </w:p>
        </w:tc>
      </w:tr>
      <w:tr w14:paraId="4AEBFE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DB1C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43" w:type="dxa"/>
            <w:vMerge w:val="continue"/>
            <w:tcBorders>
              <w:tl2br w:val="nil"/>
              <w:tr2bl w:val="nil"/>
            </w:tcBorders>
            <w:shd w:val="clear" w:color="auto" w:fill="auto"/>
            <w:noWrap/>
            <w:vAlign w:val="center"/>
          </w:tcPr>
          <w:p w14:paraId="14F36EFD">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44B62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上下凸模（冲头）底面装配用3个键槽宽度28H7mm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2方向键槽中心线垂直度0.05mm</w:t>
            </w:r>
          </w:p>
        </w:tc>
      </w:tr>
    </w:tbl>
    <w:p w14:paraId="1D7C0357">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7326A4F9">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7FB6A14D">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328E27E6">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028C969D">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br w:type="page"/>
      </w:r>
    </w:p>
    <w:p w14:paraId="0D3C9A8C">
      <w:pPr>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表2-16T生产线：关键配合尺寸公差要求</w:t>
      </w:r>
    </w:p>
    <w:tbl>
      <w:tblPr>
        <w:tblStyle w:val="31"/>
        <w:tblW w:w="873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7"/>
        <w:gridCol w:w="1150"/>
        <w:gridCol w:w="6926"/>
      </w:tblGrid>
      <w:tr w14:paraId="6694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7"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4F3F68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50"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3592E7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模具类型</w:t>
            </w:r>
          </w:p>
        </w:tc>
        <w:tc>
          <w:tcPr>
            <w:tcW w:w="6926"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2F1F1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关键尺寸公差要求</w:t>
            </w:r>
          </w:p>
        </w:tc>
      </w:tr>
      <w:tr w14:paraId="18BD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4124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0E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辊锻模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A475C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型槽角度公差±5'</w:t>
            </w:r>
          </w:p>
        </w:tc>
      </w:tr>
      <w:tr w14:paraId="71A9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B322A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D95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DCC7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子口凸台φ799.5（-0.008，-0.025）mm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φ700.5（+0.125,0）mm</w:t>
            </w:r>
          </w:p>
        </w:tc>
      </w:tr>
      <w:tr w14:paraId="3C0E3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ECC2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4BE8">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E9D5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子口凹槽φ699（-0.08，-0.205）mm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φ800（+0.205,0）mm</w:t>
            </w:r>
          </w:p>
        </w:tc>
      </w:tr>
      <w:tr w14:paraId="1D35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104E0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B74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7A302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子口凸凹槽相互导入边缘倒角1x45°</w:t>
            </w:r>
          </w:p>
        </w:tc>
      </w:tr>
      <w:tr w14:paraId="4034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14658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685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2D12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内径φ600（-0.03，-0.10）mm</w:t>
            </w:r>
          </w:p>
        </w:tc>
      </w:tr>
      <w:tr w14:paraId="260F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EB1A9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97AA">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CFE1F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模块宽度尺寸第一道265±0.1mm，第二道250±0.10mm</w:t>
            </w:r>
          </w:p>
        </w:tc>
      </w:tr>
      <w:tr w14:paraId="3C84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DD889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2719">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8270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上下模型槽合模错移在±0.3mm以内</w:t>
            </w:r>
          </w:p>
        </w:tc>
      </w:tr>
      <w:tr w14:paraId="2891A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47416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51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BF235F1">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锁扣间隙单边0.5mm，燕尾表面硬度26-32HRC</w:t>
            </w:r>
          </w:p>
        </w:tc>
      </w:tr>
      <w:tr w14:paraId="3B0D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88B9F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CBA4">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8D508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上下模合模错移在±0.2mm以内</w:t>
            </w:r>
          </w:p>
        </w:tc>
      </w:tr>
      <w:tr w14:paraId="6B46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2AF15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5EB2">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8E9AD28">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承击面平面度0.1mm</w:t>
            </w:r>
          </w:p>
        </w:tc>
      </w:tr>
      <w:tr w14:paraId="447F5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1F7E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6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EA90059">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凸凹模间隙单边2mm，靠减小冲头尺寸获得；</w:t>
            </w:r>
          </w:p>
        </w:tc>
      </w:tr>
      <w:tr w14:paraId="5BA10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2C9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50" w:type="dxa"/>
            <w:vMerge w:val="restart"/>
            <w:tcBorders>
              <w:top w:val="single" w:color="000000" w:sz="4" w:space="0"/>
              <w:left w:val="single" w:color="000000" w:sz="4" w:space="0"/>
              <w:right w:val="single" w:color="000000" w:sz="4" w:space="0"/>
            </w:tcBorders>
            <w:shd w:val="clear" w:color="auto" w:fill="auto"/>
            <w:noWrap/>
            <w:vAlign w:val="center"/>
          </w:tcPr>
          <w:p w14:paraId="2AD1E050">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校正模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AD59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上下模合模错差在±0.2mm以内</w:t>
            </w:r>
          </w:p>
        </w:tc>
      </w:tr>
      <w:tr w14:paraId="0402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6028CD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D341">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CB14F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模具底面平面度0.1mm</w:t>
            </w:r>
          </w:p>
        </w:tc>
      </w:tr>
      <w:tr w14:paraId="7476E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7" w:type="dxa"/>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4E14606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1150" w:type="dxa"/>
            <w:vMerge w:val="continue"/>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D1F7442">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03632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锁扣间隙单边0.5mm</w:t>
            </w:r>
          </w:p>
        </w:tc>
      </w:tr>
    </w:tbl>
    <w:p w14:paraId="4D8C5D78">
      <w:pPr>
        <w:keepNext w:val="0"/>
        <w:keepLines w:val="0"/>
        <w:pageBreakBefore w:val="0"/>
        <w:kinsoku/>
        <w:wordWrap/>
        <w:overflowPunct/>
        <w:topLinePunct w:val="0"/>
        <w:bidi w:val="0"/>
        <w:snapToGrid/>
        <w:spacing w:line="440" w:lineRule="exact"/>
        <w:rPr>
          <w:rFonts w:hint="eastAsia" w:ascii="宋体" w:hAnsi="宋体"/>
          <w:sz w:val="20"/>
          <w:highlight w:val="none"/>
          <w:lang w:val="en-US" w:eastAsia="zh-CN"/>
        </w:rPr>
      </w:pPr>
    </w:p>
    <w:p w14:paraId="4DA62046">
      <w:pPr>
        <w:jc w:val="both"/>
        <w:rPr>
          <w:rFonts w:hint="eastAsia" w:ascii="黑体" w:eastAsia="黑体"/>
          <w:b/>
          <w:sz w:val="52"/>
          <w:szCs w:val="52"/>
          <w:u w:val="none"/>
        </w:rPr>
      </w:pPr>
    </w:p>
    <w:p w14:paraId="52C71CD7">
      <w:pPr>
        <w:jc w:val="both"/>
        <w:rPr>
          <w:rFonts w:hint="eastAsia" w:ascii="黑体" w:eastAsia="黑体"/>
          <w:b/>
          <w:sz w:val="52"/>
          <w:szCs w:val="52"/>
          <w:u w:val="none"/>
        </w:rPr>
      </w:pPr>
    </w:p>
    <w:p w14:paraId="1118F1A1">
      <w:pPr>
        <w:jc w:val="both"/>
        <w:rPr>
          <w:rFonts w:hint="eastAsia" w:ascii="黑体" w:eastAsia="黑体"/>
          <w:b/>
          <w:sz w:val="52"/>
          <w:szCs w:val="52"/>
          <w:u w:val="none"/>
        </w:rPr>
      </w:pPr>
    </w:p>
    <w:p w14:paraId="6B30EBD1">
      <w:pPr>
        <w:jc w:val="both"/>
        <w:rPr>
          <w:rFonts w:hint="eastAsia" w:ascii="黑体" w:eastAsia="黑体"/>
          <w:b/>
          <w:sz w:val="52"/>
          <w:szCs w:val="52"/>
          <w:u w:val="none"/>
        </w:rPr>
      </w:pPr>
    </w:p>
    <w:p w14:paraId="52A01015">
      <w:pPr>
        <w:jc w:val="both"/>
        <w:rPr>
          <w:rFonts w:hint="eastAsia" w:ascii="黑体" w:eastAsia="黑体"/>
          <w:b/>
          <w:sz w:val="52"/>
          <w:szCs w:val="52"/>
          <w:u w:val="none"/>
        </w:rPr>
      </w:pPr>
    </w:p>
    <w:p w14:paraId="78596FF6">
      <w:pPr>
        <w:jc w:val="both"/>
        <w:rPr>
          <w:rFonts w:hint="eastAsia" w:ascii="黑体" w:eastAsia="黑体"/>
          <w:b/>
          <w:sz w:val="52"/>
          <w:szCs w:val="52"/>
          <w:u w:val="none"/>
        </w:rPr>
      </w:pPr>
    </w:p>
    <w:p w14:paraId="1115BAA3">
      <w:pPr>
        <w:jc w:val="both"/>
        <w:rPr>
          <w:rFonts w:hint="eastAsia" w:ascii="黑体" w:eastAsia="黑体"/>
          <w:b/>
          <w:sz w:val="52"/>
          <w:szCs w:val="52"/>
          <w:u w:val="none"/>
        </w:rPr>
      </w:pPr>
    </w:p>
    <w:p w14:paraId="5AF61194">
      <w:pPr>
        <w:jc w:val="both"/>
        <w:rPr>
          <w:rFonts w:hint="eastAsia" w:ascii="黑体" w:eastAsia="黑体"/>
          <w:b/>
          <w:sz w:val="52"/>
          <w:szCs w:val="52"/>
          <w:u w:val="none"/>
        </w:rPr>
      </w:pPr>
    </w:p>
    <w:p w14:paraId="3644D8F2">
      <w:pPr>
        <w:jc w:val="both"/>
        <w:rPr>
          <w:rFonts w:hint="eastAsia" w:ascii="黑体" w:eastAsia="黑体"/>
          <w:b/>
          <w:sz w:val="52"/>
          <w:szCs w:val="52"/>
          <w:u w:val="none"/>
        </w:rPr>
      </w:pPr>
    </w:p>
    <w:p w14:paraId="66DB4754">
      <w:pPr>
        <w:jc w:val="both"/>
        <w:rPr>
          <w:rFonts w:hint="eastAsia" w:ascii="黑体" w:eastAsia="黑体"/>
          <w:b/>
          <w:sz w:val="52"/>
          <w:szCs w:val="52"/>
          <w:u w:val="none"/>
        </w:rPr>
      </w:pPr>
    </w:p>
    <w:p w14:paraId="656B179F">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5"/>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18" w:name="_Hlk124335919"/>
      <w:r>
        <w:rPr>
          <w:rFonts w:hint="eastAsia" w:ascii="仿宋" w:hAnsi="仿宋" w:eastAsia="仿宋" w:cs="Times New Roman"/>
          <w:sz w:val="24"/>
          <w:szCs w:val="24"/>
          <w:u w:val="none"/>
        </w:rPr>
        <w:t>。</w:t>
      </w:r>
    </w:p>
    <w:bookmarkEnd w:id="18"/>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8"/>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w:t>
      </w:r>
      <w:r>
        <w:rPr>
          <w:rFonts w:hint="eastAsia" w:ascii="仿宋" w:hAnsi="仿宋" w:eastAsia="仿宋"/>
          <w:sz w:val="24"/>
          <w:szCs w:val="24"/>
          <w:highlight w:val="none"/>
          <w:u w:val="none"/>
          <w:lang w:eastAsia="zh-CN"/>
        </w:rPr>
        <w:t>2026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19" w:name="_Toc47976615"/>
      <w:bookmarkStart w:id="20"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19"/>
      <w:r>
        <w:rPr>
          <w:rFonts w:hint="eastAsia"/>
          <w:lang w:val="en-US" w:eastAsia="zh-CN"/>
        </w:rPr>
        <w:t>投标文件附件</w:t>
      </w:r>
      <w:bookmarkEnd w:id="20"/>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1" w:name="_Toc29366869"/>
      <w:bookmarkStart w:id="22" w:name="_Toc29366865"/>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1"/>
    <w:bookmarkEnd w:id="22"/>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defaul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586D66C"/>
    <w:multiLevelType w:val="singleLevel"/>
    <w:tmpl w:val="A586D66C"/>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CF35D61"/>
    <w:multiLevelType w:val="singleLevel"/>
    <w:tmpl w:val="0CF35D61"/>
    <w:lvl w:ilvl="0" w:tentative="0">
      <w:start w:val="1"/>
      <w:numFmt w:val="decimal"/>
      <w:suff w:val="nothing"/>
      <w:lvlText w:val="%1、"/>
      <w:lvlJc w:val="left"/>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84F556F"/>
    <w:multiLevelType w:val="singleLevel"/>
    <w:tmpl w:val="184F556F"/>
    <w:lvl w:ilvl="0" w:tentative="0">
      <w:start w:val="1"/>
      <w:numFmt w:val="decimal"/>
      <w:lvlText w:val="(%1)"/>
      <w:lvlJc w:val="left"/>
      <w:pPr>
        <w:ind w:left="425" w:hanging="425"/>
      </w:pPr>
      <w:rPr>
        <w:rFonts w:hint="default"/>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C1148E"/>
    <w:multiLevelType w:val="singleLevel"/>
    <w:tmpl w:val="31C1148E"/>
    <w:lvl w:ilvl="0" w:tentative="0">
      <w:start w:val="1"/>
      <w:numFmt w:val="decimal"/>
      <w:suff w:val="nothing"/>
      <w:lvlText w:val="（%1）"/>
      <w:lvlJc w:val="left"/>
      <w:pPr>
        <w:ind w:left="0" w:firstLine="0"/>
      </w:p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05AA6F"/>
    <w:multiLevelType w:val="singleLevel"/>
    <w:tmpl w:val="4F05AA6F"/>
    <w:lvl w:ilvl="0" w:tentative="0">
      <w:start w:val="2"/>
      <w:numFmt w:val="chineseCounting"/>
      <w:suff w:val="nothing"/>
      <w:lvlText w:val="%1、"/>
      <w:lvlJc w:val="left"/>
      <w:rPr>
        <w:rFonts w:hint="eastAsia"/>
      </w:r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4"/>
  </w:num>
  <w:num w:numId="3">
    <w:abstractNumId w:val="22"/>
  </w:num>
  <w:num w:numId="4">
    <w:abstractNumId w:val="20"/>
  </w:num>
  <w:num w:numId="5">
    <w:abstractNumId w:val="11"/>
  </w:num>
  <w:num w:numId="6">
    <w:abstractNumId w:val="13"/>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2"/>
  </w:num>
  <w:num w:numId="15">
    <w:abstractNumId w:val="23"/>
  </w:num>
  <w:num w:numId="16">
    <w:abstractNumId w:val="25"/>
  </w:num>
  <w:num w:numId="17">
    <w:abstractNumId w:val="8"/>
  </w:num>
  <w:num w:numId="18">
    <w:abstractNumId w:val="7"/>
  </w:num>
  <w:num w:numId="19">
    <w:abstractNumId w:val="3"/>
  </w:num>
  <w:num w:numId="20">
    <w:abstractNumId w:val="1"/>
  </w:num>
  <w:num w:numId="21">
    <w:abstractNumId w:val="10"/>
  </w:num>
  <w:num w:numId="22">
    <w:abstractNumId w:val="6"/>
  </w:num>
  <w:num w:numId="23">
    <w:abstractNumId w:val="9"/>
  </w:num>
  <w:num w:numId="24">
    <w:abstractNumId w:val="17"/>
  </w:num>
  <w:num w:numId="25">
    <w:abstractNumId w:val="4"/>
  </w:num>
  <w:num w:numId="26">
    <w:abstractNumId w:val="19"/>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2"/>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5D9"/>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3D5820"/>
    <w:rsid w:val="014337F8"/>
    <w:rsid w:val="01E054EB"/>
    <w:rsid w:val="01F9035B"/>
    <w:rsid w:val="024A78B0"/>
    <w:rsid w:val="025816D0"/>
    <w:rsid w:val="025E4638"/>
    <w:rsid w:val="02897931"/>
    <w:rsid w:val="028A7864"/>
    <w:rsid w:val="02AD361F"/>
    <w:rsid w:val="02C7275E"/>
    <w:rsid w:val="02CC3DCA"/>
    <w:rsid w:val="02FE76EF"/>
    <w:rsid w:val="03297C71"/>
    <w:rsid w:val="032B3D13"/>
    <w:rsid w:val="03AA4003"/>
    <w:rsid w:val="03E07A24"/>
    <w:rsid w:val="03E44845"/>
    <w:rsid w:val="03EA2651"/>
    <w:rsid w:val="03F033B0"/>
    <w:rsid w:val="045A1585"/>
    <w:rsid w:val="047C21B5"/>
    <w:rsid w:val="047F0FEB"/>
    <w:rsid w:val="04D330E5"/>
    <w:rsid w:val="05323AC7"/>
    <w:rsid w:val="053B7608"/>
    <w:rsid w:val="053D1A99"/>
    <w:rsid w:val="05483AD3"/>
    <w:rsid w:val="057C1D39"/>
    <w:rsid w:val="05891259"/>
    <w:rsid w:val="05AB7BBE"/>
    <w:rsid w:val="05FD666C"/>
    <w:rsid w:val="06222576"/>
    <w:rsid w:val="064D56E6"/>
    <w:rsid w:val="0673692E"/>
    <w:rsid w:val="07AF7DC6"/>
    <w:rsid w:val="08033CE1"/>
    <w:rsid w:val="080C703A"/>
    <w:rsid w:val="0845254C"/>
    <w:rsid w:val="08633479"/>
    <w:rsid w:val="08FA1588"/>
    <w:rsid w:val="09047D11"/>
    <w:rsid w:val="0949606C"/>
    <w:rsid w:val="09740117"/>
    <w:rsid w:val="09906E6D"/>
    <w:rsid w:val="0A3D172D"/>
    <w:rsid w:val="0A880ABB"/>
    <w:rsid w:val="0ACA0AE6"/>
    <w:rsid w:val="0AD35BED"/>
    <w:rsid w:val="0AE778EA"/>
    <w:rsid w:val="0AFE70B8"/>
    <w:rsid w:val="0B1E19C8"/>
    <w:rsid w:val="0B304DED"/>
    <w:rsid w:val="0BA92DF2"/>
    <w:rsid w:val="0BB377CC"/>
    <w:rsid w:val="0BD25EA5"/>
    <w:rsid w:val="0BE635A6"/>
    <w:rsid w:val="0BEE71CA"/>
    <w:rsid w:val="0C0C541E"/>
    <w:rsid w:val="0C152235"/>
    <w:rsid w:val="0C911659"/>
    <w:rsid w:val="0CB51572"/>
    <w:rsid w:val="0CE340E1"/>
    <w:rsid w:val="0D6A2699"/>
    <w:rsid w:val="0D9A04C9"/>
    <w:rsid w:val="0DCD726B"/>
    <w:rsid w:val="0DD028B8"/>
    <w:rsid w:val="0DED5218"/>
    <w:rsid w:val="0E4D31E3"/>
    <w:rsid w:val="0E5B6625"/>
    <w:rsid w:val="0E9D0085"/>
    <w:rsid w:val="0EA44D77"/>
    <w:rsid w:val="0EF80318"/>
    <w:rsid w:val="0F136195"/>
    <w:rsid w:val="0F234C69"/>
    <w:rsid w:val="0F296723"/>
    <w:rsid w:val="0F6312C6"/>
    <w:rsid w:val="0F955B67"/>
    <w:rsid w:val="0FD77F2D"/>
    <w:rsid w:val="10240C99"/>
    <w:rsid w:val="10344C8C"/>
    <w:rsid w:val="104E5D16"/>
    <w:rsid w:val="105C6685"/>
    <w:rsid w:val="106D2640"/>
    <w:rsid w:val="10857989"/>
    <w:rsid w:val="10DB3291"/>
    <w:rsid w:val="10DC2AA3"/>
    <w:rsid w:val="10E32902"/>
    <w:rsid w:val="10FA7C8C"/>
    <w:rsid w:val="11292C5D"/>
    <w:rsid w:val="11627514"/>
    <w:rsid w:val="11812B85"/>
    <w:rsid w:val="118F65E6"/>
    <w:rsid w:val="11BB609D"/>
    <w:rsid w:val="11FF551A"/>
    <w:rsid w:val="12887C05"/>
    <w:rsid w:val="12F06D4C"/>
    <w:rsid w:val="130B198F"/>
    <w:rsid w:val="13693592"/>
    <w:rsid w:val="139D4FEA"/>
    <w:rsid w:val="142407B4"/>
    <w:rsid w:val="146D2E6E"/>
    <w:rsid w:val="146D52E8"/>
    <w:rsid w:val="14832432"/>
    <w:rsid w:val="14A625C4"/>
    <w:rsid w:val="1537321C"/>
    <w:rsid w:val="15AA30B3"/>
    <w:rsid w:val="160217A3"/>
    <w:rsid w:val="1606331B"/>
    <w:rsid w:val="166F53E7"/>
    <w:rsid w:val="16A918E4"/>
    <w:rsid w:val="17123F41"/>
    <w:rsid w:val="1726728B"/>
    <w:rsid w:val="17514A69"/>
    <w:rsid w:val="17605F8C"/>
    <w:rsid w:val="179C11B3"/>
    <w:rsid w:val="17CE7E68"/>
    <w:rsid w:val="17D966D6"/>
    <w:rsid w:val="17DC4231"/>
    <w:rsid w:val="17EA20AA"/>
    <w:rsid w:val="17EC6540"/>
    <w:rsid w:val="180C0990"/>
    <w:rsid w:val="188E75F7"/>
    <w:rsid w:val="18A706B9"/>
    <w:rsid w:val="18DA44C2"/>
    <w:rsid w:val="18F968CE"/>
    <w:rsid w:val="19866520"/>
    <w:rsid w:val="19B63992"/>
    <w:rsid w:val="19CD414F"/>
    <w:rsid w:val="1A1678A4"/>
    <w:rsid w:val="1A366198"/>
    <w:rsid w:val="1A495ECC"/>
    <w:rsid w:val="1A737C24"/>
    <w:rsid w:val="1B171B26"/>
    <w:rsid w:val="1B4B7E14"/>
    <w:rsid w:val="1B5E7755"/>
    <w:rsid w:val="1B627E53"/>
    <w:rsid w:val="1B8C2514"/>
    <w:rsid w:val="1BBE1FA1"/>
    <w:rsid w:val="1BC53E8D"/>
    <w:rsid w:val="1BC71D3B"/>
    <w:rsid w:val="1BC81072"/>
    <w:rsid w:val="1C0F4EF3"/>
    <w:rsid w:val="1C59115B"/>
    <w:rsid w:val="1C872CDB"/>
    <w:rsid w:val="1C991113"/>
    <w:rsid w:val="1CC7757C"/>
    <w:rsid w:val="1D012A8E"/>
    <w:rsid w:val="1D152095"/>
    <w:rsid w:val="1D807E56"/>
    <w:rsid w:val="1D9751A0"/>
    <w:rsid w:val="1DB7314C"/>
    <w:rsid w:val="1DCC2EA1"/>
    <w:rsid w:val="1DE933A3"/>
    <w:rsid w:val="1E2D7EB1"/>
    <w:rsid w:val="1E74103D"/>
    <w:rsid w:val="1E827BFE"/>
    <w:rsid w:val="1E8F6EB7"/>
    <w:rsid w:val="1EC10726"/>
    <w:rsid w:val="1EE00481"/>
    <w:rsid w:val="1EED6A69"/>
    <w:rsid w:val="1F2760B0"/>
    <w:rsid w:val="1F446C62"/>
    <w:rsid w:val="1FB23E60"/>
    <w:rsid w:val="20346CD6"/>
    <w:rsid w:val="204809D3"/>
    <w:rsid w:val="207B4905"/>
    <w:rsid w:val="20DF30E6"/>
    <w:rsid w:val="210E7597"/>
    <w:rsid w:val="211014F1"/>
    <w:rsid w:val="21714D2D"/>
    <w:rsid w:val="21D342CD"/>
    <w:rsid w:val="21E12EE9"/>
    <w:rsid w:val="21F66939"/>
    <w:rsid w:val="2210107D"/>
    <w:rsid w:val="22431452"/>
    <w:rsid w:val="22673393"/>
    <w:rsid w:val="22676954"/>
    <w:rsid w:val="22C2559A"/>
    <w:rsid w:val="22C5630B"/>
    <w:rsid w:val="22E70030"/>
    <w:rsid w:val="231B53C8"/>
    <w:rsid w:val="233D2346"/>
    <w:rsid w:val="234C07DB"/>
    <w:rsid w:val="235A6A54"/>
    <w:rsid w:val="236C468E"/>
    <w:rsid w:val="23865A9B"/>
    <w:rsid w:val="23867849"/>
    <w:rsid w:val="23B4085A"/>
    <w:rsid w:val="23CB2D59"/>
    <w:rsid w:val="23D83E1C"/>
    <w:rsid w:val="23EC0BA6"/>
    <w:rsid w:val="241A474A"/>
    <w:rsid w:val="241D0AD5"/>
    <w:rsid w:val="24340826"/>
    <w:rsid w:val="24392F2A"/>
    <w:rsid w:val="245621C8"/>
    <w:rsid w:val="245C67FB"/>
    <w:rsid w:val="246D0A09"/>
    <w:rsid w:val="24701A48"/>
    <w:rsid w:val="256B075E"/>
    <w:rsid w:val="25A5327F"/>
    <w:rsid w:val="25D845A8"/>
    <w:rsid w:val="25E35426"/>
    <w:rsid w:val="26461511"/>
    <w:rsid w:val="26661BB3"/>
    <w:rsid w:val="268B0052"/>
    <w:rsid w:val="269C3827"/>
    <w:rsid w:val="26EC030B"/>
    <w:rsid w:val="270D202F"/>
    <w:rsid w:val="27233601"/>
    <w:rsid w:val="27400656"/>
    <w:rsid w:val="27473793"/>
    <w:rsid w:val="27743C90"/>
    <w:rsid w:val="27826579"/>
    <w:rsid w:val="27E47234"/>
    <w:rsid w:val="27E62FAC"/>
    <w:rsid w:val="27F21951"/>
    <w:rsid w:val="27F57151"/>
    <w:rsid w:val="28072F22"/>
    <w:rsid w:val="28397580"/>
    <w:rsid w:val="29037B8D"/>
    <w:rsid w:val="291476A5"/>
    <w:rsid w:val="295F0ECA"/>
    <w:rsid w:val="29A115EE"/>
    <w:rsid w:val="29CA2459"/>
    <w:rsid w:val="29FA4AED"/>
    <w:rsid w:val="29FD45DD"/>
    <w:rsid w:val="2A094D30"/>
    <w:rsid w:val="2A1F27A5"/>
    <w:rsid w:val="2A5266D7"/>
    <w:rsid w:val="2A5F0DF4"/>
    <w:rsid w:val="2ADC41F2"/>
    <w:rsid w:val="2B271A58"/>
    <w:rsid w:val="2B2A7653"/>
    <w:rsid w:val="2B5910A8"/>
    <w:rsid w:val="2B6304A7"/>
    <w:rsid w:val="2C970D19"/>
    <w:rsid w:val="2CA64AB8"/>
    <w:rsid w:val="2CD47877"/>
    <w:rsid w:val="2CF6734C"/>
    <w:rsid w:val="2CF9552F"/>
    <w:rsid w:val="2D5459E6"/>
    <w:rsid w:val="2D546C0A"/>
    <w:rsid w:val="2D663463"/>
    <w:rsid w:val="2D811081"/>
    <w:rsid w:val="2DBF693B"/>
    <w:rsid w:val="2DEA4E78"/>
    <w:rsid w:val="2E222864"/>
    <w:rsid w:val="2E4A7CD5"/>
    <w:rsid w:val="2E6241B4"/>
    <w:rsid w:val="2EA94D33"/>
    <w:rsid w:val="2EF96EE4"/>
    <w:rsid w:val="2F006E18"/>
    <w:rsid w:val="2F176141"/>
    <w:rsid w:val="2F283EAA"/>
    <w:rsid w:val="2F3445FD"/>
    <w:rsid w:val="2F430CE4"/>
    <w:rsid w:val="2F7B66D0"/>
    <w:rsid w:val="2F7F26AB"/>
    <w:rsid w:val="2FAF1ED5"/>
    <w:rsid w:val="2FBB6ACC"/>
    <w:rsid w:val="2FD218ED"/>
    <w:rsid w:val="2FDE6C5E"/>
    <w:rsid w:val="2FFB336C"/>
    <w:rsid w:val="30231A6C"/>
    <w:rsid w:val="30260D7D"/>
    <w:rsid w:val="302E3742"/>
    <w:rsid w:val="305F3416"/>
    <w:rsid w:val="306230A2"/>
    <w:rsid w:val="30BA4FD6"/>
    <w:rsid w:val="30F151D9"/>
    <w:rsid w:val="310E5321"/>
    <w:rsid w:val="313A1C72"/>
    <w:rsid w:val="31B84B48"/>
    <w:rsid w:val="31F53D38"/>
    <w:rsid w:val="322546D1"/>
    <w:rsid w:val="322F3F6D"/>
    <w:rsid w:val="324B6E5B"/>
    <w:rsid w:val="32DD35D4"/>
    <w:rsid w:val="32F70262"/>
    <w:rsid w:val="33305A23"/>
    <w:rsid w:val="33552D94"/>
    <w:rsid w:val="339B350B"/>
    <w:rsid w:val="339F04B3"/>
    <w:rsid w:val="33A96084"/>
    <w:rsid w:val="33AD3FEE"/>
    <w:rsid w:val="33E02FA5"/>
    <w:rsid w:val="3442156A"/>
    <w:rsid w:val="345E3ECA"/>
    <w:rsid w:val="346314E0"/>
    <w:rsid w:val="34825E0A"/>
    <w:rsid w:val="349618B6"/>
    <w:rsid w:val="350E769E"/>
    <w:rsid w:val="35156C7E"/>
    <w:rsid w:val="351B0BDA"/>
    <w:rsid w:val="35496928"/>
    <w:rsid w:val="35551771"/>
    <w:rsid w:val="35643762"/>
    <w:rsid w:val="35731BF7"/>
    <w:rsid w:val="358319E6"/>
    <w:rsid w:val="359E6696"/>
    <w:rsid w:val="35CB1A33"/>
    <w:rsid w:val="36254FE4"/>
    <w:rsid w:val="36651636"/>
    <w:rsid w:val="368B6953"/>
    <w:rsid w:val="36F6488E"/>
    <w:rsid w:val="372F61E0"/>
    <w:rsid w:val="375B47B4"/>
    <w:rsid w:val="37CA01F4"/>
    <w:rsid w:val="37ED5C91"/>
    <w:rsid w:val="38190834"/>
    <w:rsid w:val="388A381C"/>
    <w:rsid w:val="390A63CE"/>
    <w:rsid w:val="39322FCA"/>
    <w:rsid w:val="393C6ED0"/>
    <w:rsid w:val="3962620A"/>
    <w:rsid w:val="39C12F31"/>
    <w:rsid w:val="39DF785B"/>
    <w:rsid w:val="39E3734B"/>
    <w:rsid w:val="39F07CBA"/>
    <w:rsid w:val="3A157721"/>
    <w:rsid w:val="3A196B22"/>
    <w:rsid w:val="3A666609"/>
    <w:rsid w:val="3A8B5922"/>
    <w:rsid w:val="3AB90991"/>
    <w:rsid w:val="3ABB2076"/>
    <w:rsid w:val="3AFA0DF0"/>
    <w:rsid w:val="3B27770B"/>
    <w:rsid w:val="3B2B34A5"/>
    <w:rsid w:val="3B467B23"/>
    <w:rsid w:val="3B497682"/>
    <w:rsid w:val="3B706131"/>
    <w:rsid w:val="3B716BD9"/>
    <w:rsid w:val="3B974891"/>
    <w:rsid w:val="3BBB7E54"/>
    <w:rsid w:val="3BF84C04"/>
    <w:rsid w:val="3C485B8B"/>
    <w:rsid w:val="3C526A0A"/>
    <w:rsid w:val="3C6727F7"/>
    <w:rsid w:val="3C8F6303"/>
    <w:rsid w:val="3C9E4341"/>
    <w:rsid w:val="3D0E0B83"/>
    <w:rsid w:val="3D141F11"/>
    <w:rsid w:val="3D663FB9"/>
    <w:rsid w:val="3D9077EA"/>
    <w:rsid w:val="3E2D13D7"/>
    <w:rsid w:val="3E304B29"/>
    <w:rsid w:val="3E3F6FCD"/>
    <w:rsid w:val="3E6C3E1E"/>
    <w:rsid w:val="3E6F041E"/>
    <w:rsid w:val="3EEB0A50"/>
    <w:rsid w:val="3F2350B4"/>
    <w:rsid w:val="3F45730B"/>
    <w:rsid w:val="3F700190"/>
    <w:rsid w:val="3F90076A"/>
    <w:rsid w:val="3F917849"/>
    <w:rsid w:val="3F9F0FA4"/>
    <w:rsid w:val="403703F1"/>
    <w:rsid w:val="40436D96"/>
    <w:rsid w:val="408D0011"/>
    <w:rsid w:val="40994C08"/>
    <w:rsid w:val="41801923"/>
    <w:rsid w:val="418B051B"/>
    <w:rsid w:val="41A03D74"/>
    <w:rsid w:val="41DF2AEE"/>
    <w:rsid w:val="42010CB6"/>
    <w:rsid w:val="423B584A"/>
    <w:rsid w:val="42743B00"/>
    <w:rsid w:val="4275481E"/>
    <w:rsid w:val="428B617A"/>
    <w:rsid w:val="428C64B5"/>
    <w:rsid w:val="42B31885"/>
    <w:rsid w:val="42E110C1"/>
    <w:rsid w:val="42ED4D97"/>
    <w:rsid w:val="42F00D2B"/>
    <w:rsid w:val="433D7BDC"/>
    <w:rsid w:val="43505326"/>
    <w:rsid w:val="43593FDA"/>
    <w:rsid w:val="437E1813"/>
    <w:rsid w:val="438D012A"/>
    <w:rsid w:val="439B2A45"/>
    <w:rsid w:val="43A64DE7"/>
    <w:rsid w:val="43CC2BFE"/>
    <w:rsid w:val="43E50164"/>
    <w:rsid w:val="440920A4"/>
    <w:rsid w:val="441B3B85"/>
    <w:rsid w:val="444004CC"/>
    <w:rsid w:val="444A47ED"/>
    <w:rsid w:val="44803B69"/>
    <w:rsid w:val="44953938"/>
    <w:rsid w:val="44B3514F"/>
    <w:rsid w:val="44E977E0"/>
    <w:rsid w:val="450E5498"/>
    <w:rsid w:val="4521341D"/>
    <w:rsid w:val="453C3DB3"/>
    <w:rsid w:val="455B692F"/>
    <w:rsid w:val="456E0DE4"/>
    <w:rsid w:val="45BD47FC"/>
    <w:rsid w:val="45CC5FB2"/>
    <w:rsid w:val="45E00128"/>
    <w:rsid w:val="46330D6C"/>
    <w:rsid w:val="46AF05B5"/>
    <w:rsid w:val="46B75BA8"/>
    <w:rsid w:val="46E97F6B"/>
    <w:rsid w:val="46F04E55"/>
    <w:rsid w:val="471A1ED2"/>
    <w:rsid w:val="471C5C4A"/>
    <w:rsid w:val="475A49C5"/>
    <w:rsid w:val="477535AD"/>
    <w:rsid w:val="47AD71EA"/>
    <w:rsid w:val="47B33460"/>
    <w:rsid w:val="47BB1907"/>
    <w:rsid w:val="47E32C0C"/>
    <w:rsid w:val="47F22031"/>
    <w:rsid w:val="47F72214"/>
    <w:rsid w:val="484C255F"/>
    <w:rsid w:val="48AD09A9"/>
    <w:rsid w:val="48C97955"/>
    <w:rsid w:val="48DB1B35"/>
    <w:rsid w:val="48FA645F"/>
    <w:rsid w:val="49423962"/>
    <w:rsid w:val="49470F79"/>
    <w:rsid w:val="4957740E"/>
    <w:rsid w:val="49725FF6"/>
    <w:rsid w:val="49880C8F"/>
    <w:rsid w:val="498F46D5"/>
    <w:rsid w:val="49B02FC2"/>
    <w:rsid w:val="49CB1BAA"/>
    <w:rsid w:val="4A1F7EB0"/>
    <w:rsid w:val="4A4D0811"/>
    <w:rsid w:val="4A657748"/>
    <w:rsid w:val="4A8835F7"/>
    <w:rsid w:val="4AE62D1C"/>
    <w:rsid w:val="4AF55F4B"/>
    <w:rsid w:val="4B4C2876"/>
    <w:rsid w:val="4B592E71"/>
    <w:rsid w:val="4B6422B6"/>
    <w:rsid w:val="4B7818BD"/>
    <w:rsid w:val="4BB56B11"/>
    <w:rsid w:val="4BD411EA"/>
    <w:rsid w:val="4BFE0015"/>
    <w:rsid w:val="4C123AC0"/>
    <w:rsid w:val="4C3C28EB"/>
    <w:rsid w:val="4C431ECB"/>
    <w:rsid w:val="4C4F46B4"/>
    <w:rsid w:val="4C5B5467"/>
    <w:rsid w:val="4C75107F"/>
    <w:rsid w:val="4CA75908"/>
    <w:rsid w:val="4CBD7ED0"/>
    <w:rsid w:val="4CFD02CC"/>
    <w:rsid w:val="4D090A1F"/>
    <w:rsid w:val="4D7D5C3D"/>
    <w:rsid w:val="4DBA7F6B"/>
    <w:rsid w:val="4DF47921"/>
    <w:rsid w:val="4E0C1808"/>
    <w:rsid w:val="4E65120B"/>
    <w:rsid w:val="4E6525CD"/>
    <w:rsid w:val="4EC16984"/>
    <w:rsid w:val="4EC2357B"/>
    <w:rsid w:val="4EEE4370"/>
    <w:rsid w:val="4F6B5987"/>
    <w:rsid w:val="4F93316A"/>
    <w:rsid w:val="4F9B5B7A"/>
    <w:rsid w:val="4FA17635"/>
    <w:rsid w:val="4FAC6626"/>
    <w:rsid w:val="4FC155E1"/>
    <w:rsid w:val="4FCE5F50"/>
    <w:rsid w:val="4FEB093B"/>
    <w:rsid w:val="50100316"/>
    <w:rsid w:val="502D7AE0"/>
    <w:rsid w:val="507C775A"/>
    <w:rsid w:val="50B128FA"/>
    <w:rsid w:val="50CE26AB"/>
    <w:rsid w:val="518E5997"/>
    <w:rsid w:val="519C4558"/>
    <w:rsid w:val="51EA6339"/>
    <w:rsid w:val="51F7178E"/>
    <w:rsid w:val="521072FC"/>
    <w:rsid w:val="526A0477"/>
    <w:rsid w:val="526D461C"/>
    <w:rsid w:val="528172AA"/>
    <w:rsid w:val="52B70F1D"/>
    <w:rsid w:val="52B9239A"/>
    <w:rsid w:val="52BE405A"/>
    <w:rsid w:val="52C50439"/>
    <w:rsid w:val="52C8312A"/>
    <w:rsid w:val="532959CD"/>
    <w:rsid w:val="534E7AD3"/>
    <w:rsid w:val="536F7A4A"/>
    <w:rsid w:val="5370130C"/>
    <w:rsid w:val="53746E0E"/>
    <w:rsid w:val="539F032F"/>
    <w:rsid w:val="53C71634"/>
    <w:rsid w:val="53EA0824"/>
    <w:rsid w:val="53F65A75"/>
    <w:rsid w:val="542E3461"/>
    <w:rsid w:val="5486504B"/>
    <w:rsid w:val="54BD78FD"/>
    <w:rsid w:val="54E20D92"/>
    <w:rsid w:val="55075A8B"/>
    <w:rsid w:val="55766E6E"/>
    <w:rsid w:val="55F85AD5"/>
    <w:rsid w:val="5604091D"/>
    <w:rsid w:val="562468CA"/>
    <w:rsid w:val="564B654C"/>
    <w:rsid w:val="56694C24"/>
    <w:rsid w:val="568832FC"/>
    <w:rsid w:val="56A143BE"/>
    <w:rsid w:val="56B04601"/>
    <w:rsid w:val="56C62507"/>
    <w:rsid w:val="56D66329"/>
    <w:rsid w:val="57087F99"/>
    <w:rsid w:val="577B076B"/>
    <w:rsid w:val="577F1B4E"/>
    <w:rsid w:val="57E502DB"/>
    <w:rsid w:val="58003CA1"/>
    <w:rsid w:val="586236D9"/>
    <w:rsid w:val="589D2963"/>
    <w:rsid w:val="58A86DDE"/>
    <w:rsid w:val="58AE4B70"/>
    <w:rsid w:val="59154AD7"/>
    <w:rsid w:val="591A2A44"/>
    <w:rsid w:val="595A2602"/>
    <w:rsid w:val="596811C3"/>
    <w:rsid w:val="59E7033A"/>
    <w:rsid w:val="5A871B1D"/>
    <w:rsid w:val="5AB83395"/>
    <w:rsid w:val="5ABE0ED6"/>
    <w:rsid w:val="5AD703AE"/>
    <w:rsid w:val="5ADF548D"/>
    <w:rsid w:val="5B8911FC"/>
    <w:rsid w:val="5BCE66EA"/>
    <w:rsid w:val="5C084598"/>
    <w:rsid w:val="5C4750C0"/>
    <w:rsid w:val="5C4C0928"/>
    <w:rsid w:val="5C877BB2"/>
    <w:rsid w:val="5CA73DB1"/>
    <w:rsid w:val="5CBF559E"/>
    <w:rsid w:val="5CE40B61"/>
    <w:rsid w:val="5CE768A3"/>
    <w:rsid w:val="5D0C6345"/>
    <w:rsid w:val="5D2E4F87"/>
    <w:rsid w:val="5D503F20"/>
    <w:rsid w:val="5D5C60B4"/>
    <w:rsid w:val="5D814602"/>
    <w:rsid w:val="5D9562FF"/>
    <w:rsid w:val="5D9C768D"/>
    <w:rsid w:val="5E3E6996"/>
    <w:rsid w:val="5E622685"/>
    <w:rsid w:val="5EB153BA"/>
    <w:rsid w:val="5F2711D9"/>
    <w:rsid w:val="5F3F29C6"/>
    <w:rsid w:val="5F4A26E1"/>
    <w:rsid w:val="5F4E0FA3"/>
    <w:rsid w:val="5F55795F"/>
    <w:rsid w:val="5FB52C88"/>
    <w:rsid w:val="600339F4"/>
    <w:rsid w:val="60561D75"/>
    <w:rsid w:val="60A71B7C"/>
    <w:rsid w:val="6115578D"/>
    <w:rsid w:val="613D1187"/>
    <w:rsid w:val="615F5145"/>
    <w:rsid w:val="61645749"/>
    <w:rsid w:val="61731DF2"/>
    <w:rsid w:val="617E77D6"/>
    <w:rsid w:val="618F5D6F"/>
    <w:rsid w:val="619743F4"/>
    <w:rsid w:val="61BA27D8"/>
    <w:rsid w:val="61F16BAE"/>
    <w:rsid w:val="623E6F65"/>
    <w:rsid w:val="62696E56"/>
    <w:rsid w:val="62946B85"/>
    <w:rsid w:val="629E7A04"/>
    <w:rsid w:val="62EC69C1"/>
    <w:rsid w:val="633F7D00"/>
    <w:rsid w:val="63A177AC"/>
    <w:rsid w:val="63AE011A"/>
    <w:rsid w:val="63EB4ECB"/>
    <w:rsid w:val="63F04A69"/>
    <w:rsid w:val="65222623"/>
    <w:rsid w:val="65404DA2"/>
    <w:rsid w:val="65C14135"/>
    <w:rsid w:val="66050E2F"/>
    <w:rsid w:val="66173D55"/>
    <w:rsid w:val="66A50B1E"/>
    <w:rsid w:val="66BA2932"/>
    <w:rsid w:val="66FE6CC3"/>
    <w:rsid w:val="672F50CE"/>
    <w:rsid w:val="673F17B5"/>
    <w:rsid w:val="674548F2"/>
    <w:rsid w:val="676D45BE"/>
    <w:rsid w:val="67705E13"/>
    <w:rsid w:val="679D64DC"/>
    <w:rsid w:val="67B2063C"/>
    <w:rsid w:val="67B654F3"/>
    <w:rsid w:val="67BF6452"/>
    <w:rsid w:val="67C97AC3"/>
    <w:rsid w:val="67E30EC1"/>
    <w:rsid w:val="680F6ECB"/>
    <w:rsid w:val="682D7860"/>
    <w:rsid w:val="68420E31"/>
    <w:rsid w:val="68725BBA"/>
    <w:rsid w:val="688D2E59"/>
    <w:rsid w:val="68CC3B98"/>
    <w:rsid w:val="68EA39A3"/>
    <w:rsid w:val="692D388F"/>
    <w:rsid w:val="6985191D"/>
    <w:rsid w:val="6A050B73"/>
    <w:rsid w:val="6A143AC3"/>
    <w:rsid w:val="6A2C3B47"/>
    <w:rsid w:val="6A425119"/>
    <w:rsid w:val="6A484E25"/>
    <w:rsid w:val="6A486BD3"/>
    <w:rsid w:val="6A49706C"/>
    <w:rsid w:val="6A4E3B2B"/>
    <w:rsid w:val="6AC60AB1"/>
    <w:rsid w:val="6B032AFA"/>
    <w:rsid w:val="6B20545A"/>
    <w:rsid w:val="6B3134EF"/>
    <w:rsid w:val="6B481C3B"/>
    <w:rsid w:val="6B882FFF"/>
    <w:rsid w:val="6BE40B7D"/>
    <w:rsid w:val="6C1331A3"/>
    <w:rsid w:val="6C9A56E0"/>
    <w:rsid w:val="6CA7188F"/>
    <w:rsid w:val="6CA727CE"/>
    <w:rsid w:val="6CA84BC1"/>
    <w:rsid w:val="6CED3A62"/>
    <w:rsid w:val="6D125276"/>
    <w:rsid w:val="6D3E4756"/>
    <w:rsid w:val="6DE2733E"/>
    <w:rsid w:val="6DF826BE"/>
    <w:rsid w:val="6E005A16"/>
    <w:rsid w:val="6E46167B"/>
    <w:rsid w:val="6E5214B9"/>
    <w:rsid w:val="6E6B2E90"/>
    <w:rsid w:val="6ECE6DEA"/>
    <w:rsid w:val="6F4648B7"/>
    <w:rsid w:val="6F5E0C47"/>
    <w:rsid w:val="6F836F24"/>
    <w:rsid w:val="6F862C8D"/>
    <w:rsid w:val="6FC523EB"/>
    <w:rsid w:val="6FF5740F"/>
    <w:rsid w:val="6FFE7CBD"/>
    <w:rsid w:val="70447E3C"/>
    <w:rsid w:val="707E5565"/>
    <w:rsid w:val="707F2C23"/>
    <w:rsid w:val="70C8281B"/>
    <w:rsid w:val="70C920F0"/>
    <w:rsid w:val="70D80D99"/>
    <w:rsid w:val="71AB7A47"/>
    <w:rsid w:val="71F02A85"/>
    <w:rsid w:val="721F290F"/>
    <w:rsid w:val="72536115"/>
    <w:rsid w:val="72677112"/>
    <w:rsid w:val="726C71D7"/>
    <w:rsid w:val="727A7B45"/>
    <w:rsid w:val="72895F2E"/>
    <w:rsid w:val="72A76461"/>
    <w:rsid w:val="72C02EBE"/>
    <w:rsid w:val="72C507AD"/>
    <w:rsid w:val="72D028D8"/>
    <w:rsid w:val="72E43211"/>
    <w:rsid w:val="7329156C"/>
    <w:rsid w:val="733D5BF1"/>
    <w:rsid w:val="733F0D8F"/>
    <w:rsid w:val="734737A0"/>
    <w:rsid w:val="734D525A"/>
    <w:rsid w:val="736B1B84"/>
    <w:rsid w:val="73C3376E"/>
    <w:rsid w:val="73D70F17"/>
    <w:rsid w:val="743E2DF5"/>
    <w:rsid w:val="745B5755"/>
    <w:rsid w:val="745D47C3"/>
    <w:rsid w:val="747131CA"/>
    <w:rsid w:val="74A215D5"/>
    <w:rsid w:val="74E53270"/>
    <w:rsid w:val="75355FA6"/>
    <w:rsid w:val="75377F70"/>
    <w:rsid w:val="758E56B6"/>
    <w:rsid w:val="7593637E"/>
    <w:rsid w:val="75E023B5"/>
    <w:rsid w:val="76285830"/>
    <w:rsid w:val="763E532E"/>
    <w:rsid w:val="76432944"/>
    <w:rsid w:val="7697322E"/>
    <w:rsid w:val="76AC3757"/>
    <w:rsid w:val="76F679B7"/>
    <w:rsid w:val="77131BA8"/>
    <w:rsid w:val="772C162A"/>
    <w:rsid w:val="77324E93"/>
    <w:rsid w:val="77330956"/>
    <w:rsid w:val="776E579F"/>
    <w:rsid w:val="77756B2D"/>
    <w:rsid w:val="77B84C6C"/>
    <w:rsid w:val="78753807"/>
    <w:rsid w:val="787C6529"/>
    <w:rsid w:val="78A21BA4"/>
    <w:rsid w:val="78AF2513"/>
    <w:rsid w:val="79A81265"/>
    <w:rsid w:val="79B80F53"/>
    <w:rsid w:val="79ED50A1"/>
    <w:rsid w:val="79F7087C"/>
    <w:rsid w:val="7A002F2D"/>
    <w:rsid w:val="7A224F34"/>
    <w:rsid w:val="7A2A1D53"/>
    <w:rsid w:val="7A721A4A"/>
    <w:rsid w:val="7A903C7E"/>
    <w:rsid w:val="7AAD6073"/>
    <w:rsid w:val="7AC51B7A"/>
    <w:rsid w:val="7AD149C3"/>
    <w:rsid w:val="7B095F0A"/>
    <w:rsid w:val="7B424F78"/>
    <w:rsid w:val="7B6273C9"/>
    <w:rsid w:val="7B7D4202"/>
    <w:rsid w:val="7B9D6653"/>
    <w:rsid w:val="7BAB6FC2"/>
    <w:rsid w:val="7BB10350"/>
    <w:rsid w:val="7C6F5090"/>
    <w:rsid w:val="7CA852AF"/>
    <w:rsid w:val="7CB4634A"/>
    <w:rsid w:val="7CB93F8E"/>
    <w:rsid w:val="7CF66B46"/>
    <w:rsid w:val="7D470F6C"/>
    <w:rsid w:val="7D4F1BCF"/>
    <w:rsid w:val="7D614BE0"/>
    <w:rsid w:val="7D7004C3"/>
    <w:rsid w:val="7D7C46F8"/>
    <w:rsid w:val="7D823D52"/>
    <w:rsid w:val="7D8A0E59"/>
    <w:rsid w:val="7D9578B2"/>
    <w:rsid w:val="7DAB14FB"/>
    <w:rsid w:val="7DBD28BA"/>
    <w:rsid w:val="7DC425BD"/>
    <w:rsid w:val="7DC75C09"/>
    <w:rsid w:val="7DE06CCB"/>
    <w:rsid w:val="7E24305B"/>
    <w:rsid w:val="7E584AB3"/>
    <w:rsid w:val="7EB634AC"/>
    <w:rsid w:val="7ED56104"/>
    <w:rsid w:val="7F1E2BE6"/>
    <w:rsid w:val="7F413799"/>
    <w:rsid w:val="7F514980"/>
    <w:rsid w:val="7F601E71"/>
    <w:rsid w:val="7FC20D7E"/>
    <w:rsid w:val="7FF66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character" w:customStyle="1" w:styleId="115">
    <w:name w:val="font31"/>
    <w:basedOn w:val="33"/>
    <w:qFormat/>
    <w:uiPriority w:val="0"/>
    <w:rPr>
      <w:rFonts w:hint="default" w:ascii="default" w:hAnsi="default" w:eastAsia="default" w:cs="default"/>
      <w:b/>
      <w:bCs/>
      <w:color w:val="000000"/>
      <w:sz w:val="18"/>
      <w:szCs w:val="18"/>
      <w:u w:val="none"/>
    </w:rPr>
  </w:style>
  <w:style w:type="character" w:customStyle="1" w:styleId="116">
    <w:name w:val="font21"/>
    <w:basedOn w:val="33"/>
    <w:qFormat/>
    <w:uiPriority w:val="0"/>
    <w:rPr>
      <w:rFonts w:hint="eastAsia" w:ascii="宋体" w:hAnsi="宋体" w:eastAsia="宋体" w:cs="宋体"/>
      <w:b/>
      <w:bCs/>
      <w:color w:val="000000"/>
      <w:sz w:val="18"/>
      <w:szCs w:val="18"/>
      <w:u w:val="none"/>
    </w:rPr>
  </w:style>
  <w:style w:type="character" w:customStyle="1" w:styleId="117">
    <w:name w:val="font11"/>
    <w:basedOn w:val="33"/>
    <w:qFormat/>
    <w:uiPriority w:val="0"/>
    <w:rPr>
      <w:rFonts w:hint="default" w:ascii="default" w:hAnsi="default" w:eastAsia="default" w:cs="default"/>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39</Pages>
  <Words>382</Words>
  <Characters>620</Characters>
  <Lines>127</Lines>
  <Paragraphs>35</Paragraphs>
  <TotalTime>14</TotalTime>
  <ScaleCrop>false</ScaleCrop>
  <LinksUpToDate>false</LinksUpToDate>
  <CharactersWithSpaces>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2026-04-08T01:20:52Z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