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6B304">
      <w:pPr>
        <w:jc w:val="center"/>
        <w:rPr>
          <w:rFonts w:ascii="方正小标宋简体" w:hAnsi="宋体" w:eastAsia="方正小标宋简体"/>
          <w:b/>
          <w:bCs/>
          <w:sz w:val="52"/>
          <w:szCs w:val="52"/>
          <w:highlight w:val="none"/>
        </w:rPr>
      </w:pPr>
    </w:p>
    <w:p w14:paraId="5821920A">
      <w:pPr>
        <w:jc w:val="center"/>
        <w:rPr>
          <w:rFonts w:hint="eastAsia" w:ascii="方正小标宋简体" w:hAnsi="宋体" w:eastAsia="方正小标宋简体"/>
          <w:b/>
          <w:bCs/>
          <w:sz w:val="40"/>
          <w:szCs w:val="40"/>
          <w:highlight w:val="none"/>
          <w:lang w:val="en-US" w:eastAsia="zh-CN"/>
        </w:rPr>
      </w:pPr>
      <w:r>
        <w:rPr>
          <w:rFonts w:hint="eastAsia" w:ascii="方正小标宋简体" w:hAnsi="宋体" w:eastAsia="方正小标宋简体"/>
          <w:b/>
          <w:bCs/>
          <w:sz w:val="40"/>
          <w:szCs w:val="40"/>
          <w:highlight w:val="none"/>
          <w:lang w:val="en-US" w:eastAsia="zh-CN"/>
        </w:rPr>
        <w:t>中国重汽工程技术人员</w:t>
      </w:r>
    </w:p>
    <w:p w14:paraId="39450705">
      <w:pPr>
        <w:jc w:val="center"/>
        <w:rPr>
          <w:rFonts w:hint="eastAsia" w:ascii="方正小标宋简体" w:hAnsi="宋体" w:eastAsia="方正小标宋简体"/>
          <w:b/>
          <w:bCs/>
          <w:sz w:val="40"/>
          <w:szCs w:val="40"/>
          <w:highlight w:val="none"/>
          <w:lang w:val="en-US" w:eastAsia="zh-CN"/>
        </w:rPr>
      </w:pPr>
      <w:r>
        <w:rPr>
          <w:rFonts w:hint="eastAsia" w:ascii="方正小标宋简体" w:hAnsi="宋体" w:eastAsia="方正小标宋简体"/>
          <w:b/>
          <w:bCs/>
          <w:sz w:val="40"/>
          <w:szCs w:val="40"/>
          <w:highlight w:val="none"/>
          <w:lang w:val="en-US" w:eastAsia="zh-CN"/>
        </w:rPr>
        <w:t>广联达BIM算量软件、新版清单计价标准及新定额应用提升课程培训服务</w:t>
      </w:r>
    </w:p>
    <w:p w14:paraId="5300EDB4">
      <w:pPr>
        <w:jc w:val="center"/>
        <w:rPr>
          <w:rFonts w:hint="eastAsia" w:ascii="宋体" w:hAnsi="宋体" w:eastAsia="宋体" w:cs="宋体"/>
          <w:b w:val="0"/>
          <w:bCs w:val="0"/>
          <w:sz w:val="28"/>
          <w:szCs w:val="28"/>
          <w:highlight w:val="yellow"/>
          <w:lang w:val="en-US" w:eastAsia="zh-CN"/>
        </w:rPr>
      </w:pPr>
      <w:r>
        <w:rPr>
          <w:rFonts w:hint="eastAsia" w:ascii="宋体" w:hAnsi="宋体" w:eastAsia="宋体" w:cs="宋体"/>
          <w:b w:val="0"/>
          <w:bCs w:val="0"/>
          <w:sz w:val="28"/>
          <w:szCs w:val="28"/>
          <w:highlight w:val="yellow"/>
          <w:lang w:val="en-US" w:eastAsia="zh-CN"/>
        </w:rPr>
        <w:t>（项目编号</w:t>
      </w:r>
      <w:r>
        <w:rPr>
          <w:rFonts w:hint="eastAsia" w:ascii="宋体" w:hAnsi="宋体" w:cs="宋体"/>
          <w:b w:val="0"/>
          <w:bCs w:val="0"/>
          <w:sz w:val="28"/>
          <w:szCs w:val="28"/>
          <w:highlight w:val="yellow"/>
          <w:lang w:val="en-US" w:eastAsia="zh-CN"/>
        </w:rPr>
        <w:t>ZBGL2026030351</w:t>
      </w:r>
      <w:r>
        <w:rPr>
          <w:rFonts w:hint="eastAsia" w:ascii="宋体" w:hAnsi="宋体" w:eastAsia="宋体" w:cs="宋体"/>
          <w:b w:val="0"/>
          <w:bCs w:val="0"/>
          <w:sz w:val="28"/>
          <w:szCs w:val="28"/>
          <w:highlight w:val="yellow"/>
          <w:lang w:val="en-US" w:eastAsia="zh-CN"/>
        </w:rPr>
        <w:t>）</w:t>
      </w:r>
    </w:p>
    <w:p w14:paraId="3D3DBB84">
      <w:pPr>
        <w:jc w:val="right"/>
        <w:rPr>
          <w:sz w:val="28"/>
          <w:szCs w:val="28"/>
          <w:highlight w:val="none"/>
        </w:rPr>
      </w:pPr>
      <w:r>
        <w:rPr>
          <w:rFonts w:hint="eastAsia"/>
          <w:sz w:val="28"/>
          <w:szCs w:val="28"/>
          <w:highlight w:val="none"/>
        </w:rPr>
        <w:t>附：技术协议书</w:t>
      </w:r>
    </w:p>
    <w:p w14:paraId="3EC14DB7">
      <w:pPr>
        <w:rPr>
          <w:sz w:val="28"/>
          <w:szCs w:val="28"/>
          <w:highlight w:val="none"/>
        </w:rPr>
      </w:pPr>
    </w:p>
    <w:p w14:paraId="05B4F1D7">
      <w:pPr>
        <w:rPr>
          <w:highlight w:val="none"/>
        </w:rPr>
      </w:pPr>
    </w:p>
    <w:p w14:paraId="2D423AAF">
      <w:pPr>
        <w:jc w:val="center"/>
        <w:rPr>
          <w:rFonts w:ascii="黑体" w:hAnsi="宋体" w:eastAsia="黑体"/>
          <w:sz w:val="84"/>
          <w:szCs w:val="84"/>
          <w:highlight w:val="none"/>
        </w:rPr>
      </w:pPr>
      <w:r>
        <w:rPr>
          <w:rFonts w:hint="eastAsia" w:ascii="黑体" w:hAnsi="宋体" w:eastAsia="黑体"/>
          <w:sz w:val="84"/>
          <w:szCs w:val="84"/>
          <w:highlight w:val="none"/>
        </w:rPr>
        <w:t>招</w:t>
      </w:r>
    </w:p>
    <w:p w14:paraId="5ADC5820">
      <w:pPr>
        <w:jc w:val="center"/>
        <w:rPr>
          <w:rFonts w:ascii="黑体" w:hAnsi="宋体" w:eastAsia="黑体"/>
          <w:sz w:val="84"/>
          <w:szCs w:val="84"/>
          <w:highlight w:val="none"/>
        </w:rPr>
      </w:pPr>
      <w:r>
        <w:rPr>
          <w:rFonts w:hint="eastAsia" w:ascii="黑体" w:hAnsi="宋体" w:eastAsia="黑体"/>
          <w:sz w:val="84"/>
          <w:szCs w:val="84"/>
          <w:highlight w:val="none"/>
        </w:rPr>
        <w:t>标</w:t>
      </w:r>
    </w:p>
    <w:p w14:paraId="6A097ADA">
      <w:pPr>
        <w:jc w:val="center"/>
        <w:rPr>
          <w:rFonts w:ascii="黑体" w:hAnsi="宋体" w:eastAsia="黑体"/>
          <w:sz w:val="84"/>
          <w:szCs w:val="84"/>
          <w:highlight w:val="none"/>
        </w:rPr>
      </w:pPr>
      <w:r>
        <w:rPr>
          <w:rFonts w:hint="eastAsia" w:ascii="黑体" w:hAnsi="宋体" w:eastAsia="黑体"/>
          <w:sz w:val="84"/>
          <w:szCs w:val="84"/>
          <w:highlight w:val="none"/>
        </w:rPr>
        <w:t>文</w:t>
      </w:r>
    </w:p>
    <w:p w14:paraId="26276283">
      <w:pPr>
        <w:jc w:val="center"/>
        <w:rPr>
          <w:rFonts w:ascii="黑体" w:hAnsi="黑体" w:eastAsia="黑体"/>
          <w:sz w:val="96"/>
          <w:highlight w:val="none"/>
        </w:rPr>
      </w:pPr>
      <w:r>
        <w:rPr>
          <w:rFonts w:hint="eastAsia" w:ascii="黑体" w:hAnsi="宋体" w:eastAsia="黑体"/>
          <w:sz w:val="84"/>
          <w:szCs w:val="84"/>
          <w:highlight w:val="none"/>
        </w:rPr>
        <w:t>件</w:t>
      </w:r>
    </w:p>
    <w:p w14:paraId="2287DE94">
      <w:pPr>
        <w:pStyle w:val="15"/>
        <w:rPr>
          <w:rFonts w:ascii="黑体" w:hAnsi="黑体" w:eastAsia="黑体"/>
          <w:b/>
          <w:sz w:val="32"/>
          <w:szCs w:val="32"/>
          <w:highlight w:val="none"/>
        </w:rPr>
      </w:pPr>
      <w:r>
        <w:rPr>
          <w:rFonts w:ascii="黑体" w:hAnsi="黑体" w:eastAsia="黑体"/>
          <w:b/>
          <w:sz w:val="32"/>
          <w:szCs w:val="32"/>
          <w:highlight w:val="none"/>
        </w:rPr>
        <w:br w:type="textWrapping"/>
      </w:r>
    </w:p>
    <w:p w14:paraId="0DD5896D">
      <w:pPr>
        <w:rPr>
          <w:rFonts w:ascii="黑体" w:hAnsi="黑体" w:eastAsia="黑体"/>
          <w:b/>
          <w:sz w:val="32"/>
          <w:szCs w:val="32"/>
          <w:highlight w:val="none"/>
        </w:rPr>
      </w:pPr>
    </w:p>
    <w:p w14:paraId="3E0D049C">
      <w:pPr>
        <w:jc w:val="center"/>
        <w:rPr>
          <w:rFonts w:ascii="宋体" w:hAnsi="宋体"/>
          <w:sz w:val="28"/>
          <w:szCs w:val="28"/>
          <w:highlight w:val="none"/>
        </w:rPr>
      </w:pPr>
      <w:r>
        <w:rPr>
          <w:rFonts w:hint="eastAsia" w:ascii="宋体" w:hAnsi="宋体"/>
          <w:sz w:val="28"/>
          <w:szCs w:val="28"/>
          <w:highlight w:val="none"/>
        </w:rPr>
        <w:t>招标人：中国重汽集团济南动力有限公司</w:t>
      </w:r>
    </w:p>
    <w:p w14:paraId="168B88F3">
      <w:pPr>
        <w:jc w:val="center"/>
        <w:rPr>
          <w:rFonts w:ascii="宋体" w:hAnsi="宋体"/>
          <w:highlight w:val="none"/>
        </w:rPr>
      </w:pPr>
      <w:r>
        <w:rPr>
          <w:rFonts w:hint="eastAsia" w:ascii="宋体" w:hAnsi="宋体"/>
          <w:sz w:val="28"/>
          <w:szCs w:val="28"/>
          <w:highlight w:val="none"/>
        </w:rPr>
        <w:t>2</w:t>
      </w:r>
      <w:r>
        <w:rPr>
          <w:rFonts w:ascii="宋体" w:hAnsi="宋体"/>
          <w:sz w:val="28"/>
          <w:szCs w:val="28"/>
          <w:highlight w:val="none"/>
        </w:rPr>
        <w:t>02</w:t>
      </w:r>
      <w:r>
        <w:rPr>
          <w:rFonts w:hint="eastAsia" w:ascii="宋体" w:hAnsi="宋体"/>
          <w:sz w:val="28"/>
          <w:szCs w:val="28"/>
          <w:highlight w:val="none"/>
          <w:lang w:val="en-US" w:eastAsia="zh-CN"/>
        </w:rPr>
        <w:t>6</w:t>
      </w:r>
      <w:r>
        <w:rPr>
          <w:rFonts w:hint="eastAsia" w:ascii="宋体" w:hAnsi="宋体"/>
          <w:sz w:val="28"/>
          <w:szCs w:val="28"/>
          <w:highlight w:val="none"/>
        </w:rPr>
        <w:t>年</w:t>
      </w:r>
      <w:r>
        <w:rPr>
          <w:rFonts w:hint="eastAsia" w:ascii="宋体" w:hAnsi="宋体"/>
          <w:sz w:val="28"/>
          <w:szCs w:val="28"/>
          <w:highlight w:val="none"/>
          <w:lang w:val="en-US" w:eastAsia="zh-CN"/>
        </w:rPr>
        <w:t>3</w:t>
      </w:r>
      <w:r>
        <w:rPr>
          <w:rFonts w:hint="eastAsia" w:ascii="宋体" w:hAnsi="宋体"/>
          <w:sz w:val="28"/>
          <w:szCs w:val="28"/>
          <w:highlight w:val="none"/>
        </w:rPr>
        <w:t>月</w:t>
      </w:r>
    </w:p>
    <w:p w14:paraId="66709E90">
      <w:pPr>
        <w:spacing w:line="500" w:lineRule="exact"/>
        <w:jc w:val="center"/>
        <w:rPr>
          <w:rFonts w:ascii="宋体" w:hAnsi="宋体" w:cs="宋体"/>
          <w:b/>
          <w:bCs/>
          <w:sz w:val="44"/>
          <w:szCs w:val="44"/>
          <w:highlight w:val="none"/>
        </w:rPr>
        <w:sectPr>
          <w:footerReference r:id="rId4" w:type="first"/>
          <w:headerReference r:id="rId3" w:type="default"/>
          <w:pgSz w:w="11906" w:h="16838"/>
          <w:pgMar w:top="1588" w:right="1418" w:bottom="1134" w:left="1418" w:header="851" w:footer="992" w:gutter="0"/>
          <w:pgNumType w:fmt="decimal"/>
          <w:cols w:space="720" w:num="1"/>
          <w:titlePg/>
          <w:docGrid w:type="lines" w:linePitch="312" w:charSpace="0"/>
        </w:sectPr>
      </w:pPr>
    </w:p>
    <w:p w14:paraId="454958F7">
      <w:pPr>
        <w:pStyle w:val="15"/>
        <w:rPr>
          <w:highlight w:val="none"/>
        </w:rPr>
      </w:pPr>
    </w:p>
    <w:p w14:paraId="480C69D1">
      <w:pPr>
        <w:spacing w:line="500" w:lineRule="exact"/>
        <w:jc w:val="center"/>
        <w:rPr>
          <w:rFonts w:ascii="宋体" w:hAnsi="宋体" w:cs="宋体"/>
          <w:b/>
          <w:bCs/>
          <w:sz w:val="44"/>
          <w:szCs w:val="44"/>
          <w:highlight w:val="none"/>
        </w:rPr>
      </w:pPr>
      <w:r>
        <w:rPr>
          <w:rFonts w:hint="eastAsia" w:ascii="宋体" w:hAnsi="宋体" w:cs="宋体"/>
          <w:b/>
          <w:bCs/>
          <w:sz w:val="44"/>
          <w:szCs w:val="44"/>
          <w:highlight w:val="none"/>
        </w:rPr>
        <w:t>目录</w:t>
      </w:r>
    </w:p>
    <w:p w14:paraId="34F1794C">
      <w:pPr>
        <w:pStyle w:val="15"/>
        <w:spacing w:line="500" w:lineRule="exact"/>
        <w:rPr>
          <w:rFonts w:ascii="宋体" w:hAnsi="宋体" w:cs="宋体"/>
          <w:b/>
          <w:bCs/>
          <w:sz w:val="30"/>
          <w:szCs w:val="30"/>
          <w:highlight w:val="none"/>
        </w:rPr>
      </w:pPr>
    </w:p>
    <w:p w14:paraId="6E8D41E8">
      <w:pPr>
        <w:pStyle w:val="15"/>
        <w:spacing w:line="500" w:lineRule="exact"/>
        <w:rPr>
          <w:rFonts w:ascii="宋体" w:hAnsi="宋体" w:cs="宋体"/>
          <w:b/>
          <w:bCs/>
          <w:sz w:val="30"/>
          <w:szCs w:val="30"/>
          <w:highlight w:val="none"/>
        </w:rPr>
      </w:pPr>
    </w:p>
    <w:p w14:paraId="4859A9CC">
      <w:pPr>
        <w:pStyle w:val="42"/>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"_Toc14413" </w:instrText>
      </w:r>
      <w:r>
        <w:rPr>
          <w:highlight w:val="none"/>
        </w:rPr>
        <w:fldChar w:fldCharType="separate"/>
      </w:r>
      <w:r>
        <w:rPr>
          <w:rFonts w:hint="eastAsia" w:ascii="仿宋_GB2312" w:hAnsi="仿宋_GB2312" w:eastAsia="仿宋_GB2312" w:cs="仿宋_GB2312"/>
          <w:bCs/>
          <w:sz w:val="30"/>
          <w:szCs w:val="30"/>
          <w:highlight w:val="none"/>
        </w:rPr>
        <w:t>一、投标人须知</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3</w:t>
      </w:r>
      <w:r>
        <w:rPr>
          <w:rFonts w:hint="eastAsia" w:ascii="仿宋_GB2312" w:hAnsi="仿宋_GB2312" w:eastAsia="仿宋_GB2312" w:cs="仿宋_GB2312"/>
          <w:bCs/>
          <w:sz w:val="30"/>
          <w:szCs w:val="30"/>
          <w:highlight w:val="none"/>
        </w:rPr>
        <w:fldChar w:fldCharType="end"/>
      </w:r>
    </w:p>
    <w:p w14:paraId="19531A13">
      <w:pPr>
        <w:pStyle w:val="42"/>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"_Toc26596" </w:instrText>
      </w:r>
      <w:r>
        <w:rPr>
          <w:highlight w:val="none"/>
        </w:rPr>
        <w:fldChar w:fldCharType="separate"/>
      </w:r>
      <w:r>
        <w:rPr>
          <w:rFonts w:hint="eastAsia" w:ascii="仿宋_GB2312" w:hAnsi="仿宋_GB2312" w:eastAsia="仿宋_GB2312" w:cs="仿宋_GB2312"/>
          <w:bCs/>
          <w:sz w:val="30"/>
          <w:szCs w:val="30"/>
          <w:highlight w:val="none"/>
        </w:rPr>
        <w:t>二、投标人资格条件及要求</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3</w:t>
      </w:r>
      <w:r>
        <w:rPr>
          <w:rFonts w:hint="eastAsia" w:ascii="仿宋_GB2312" w:hAnsi="仿宋_GB2312" w:eastAsia="仿宋_GB2312" w:cs="仿宋_GB2312"/>
          <w:bCs/>
          <w:sz w:val="30"/>
          <w:szCs w:val="30"/>
          <w:highlight w:val="none"/>
        </w:rPr>
        <w:fldChar w:fldCharType="end"/>
      </w:r>
    </w:p>
    <w:p w14:paraId="19A5B20A">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"_Toc25722" </w:instrText>
      </w:r>
      <w:r>
        <w:rPr>
          <w:highlight w:val="none"/>
        </w:rPr>
        <w:fldChar w:fldCharType="separate"/>
      </w:r>
      <w:r>
        <w:rPr>
          <w:rFonts w:hint="eastAsia" w:ascii="仿宋_GB2312" w:hAnsi="仿宋_GB2312" w:eastAsia="仿宋_GB2312" w:cs="仿宋_GB2312"/>
          <w:bCs/>
          <w:sz w:val="30"/>
          <w:szCs w:val="30"/>
          <w:highlight w:val="none"/>
        </w:rPr>
        <w:t>三、投标说明</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5</w:t>
      </w:r>
    </w:p>
    <w:p w14:paraId="683188CF">
      <w:pPr>
        <w:pStyle w:val="42"/>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"_Toc30928" </w:instrText>
      </w:r>
      <w:r>
        <w:rPr>
          <w:highlight w:val="none"/>
        </w:rPr>
        <w:fldChar w:fldCharType="separate"/>
      </w:r>
      <w:r>
        <w:rPr>
          <w:rFonts w:hint="eastAsia" w:ascii="仿宋_GB2312" w:hAnsi="仿宋_GB2312" w:eastAsia="仿宋_GB2312" w:cs="仿宋_GB2312"/>
          <w:bCs/>
          <w:sz w:val="30"/>
          <w:szCs w:val="30"/>
          <w:highlight w:val="none"/>
        </w:rPr>
        <w:t>四、投标文件</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9</w:t>
      </w:r>
      <w:r>
        <w:rPr>
          <w:rFonts w:hint="eastAsia" w:ascii="仿宋_GB2312" w:hAnsi="仿宋_GB2312" w:eastAsia="仿宋_GB2312" w:cs="仿宋_GB2312"/>
          <w:bCs/>
          <w:sz w:val="30"/>
          <w:szCs w:val="30"/>
          <w:highlight w:val="none"/>
        </w:rPr>
        <w:fldChar w:fldCharType="end"/>
      </w:r>
    </w:p>
    <w:p w14:paraId="5A9F4453">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"_Toc22774" </w:instrText>
      </w:r>
      <w:r>
        <w:rPr>
          <w:highlight w:val="none"/>
        </w:rPr>
        <w:fldChar w:fldCharType="separate"/>
      </w:r>
      <w:r>
        <w:rPr>
          <w:rFonts w:hint="eastAsia" w:ascii="仿宋_GB2312" w:hAnsi="仿宋_GB2312" w:eastAsia="仿宋_GB2312" w:cs="仿宋_GB2312"/>
          <w:bCs/>
          <w:sz w:val="30"/>
          <w:szCs w:val="30"/>
          <w:highlight w:val="none"/>
        </w:rPr>
        <w:t>五、合同签订</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1</w:t>
      </w:r>
    </w:p>
    <w:p w14:paraId="64281967">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"_Toc28350" </w:instrText>
      </w:r>
      <w:r>
        <w:rPr>
          <w:highlight w:val="none"/>
        </w:rPr>
        <w:fldChar w:fldCharType="separate"/>
      </w:r>
      <w:r>
        <w:rPr>
          <w:rFonts w:hint="eastAsia" w:ascii="仿宋_GB2312" w:hAnsi="仿宋_GB2312" w:eastAsia="仿宋_GB2312" w:cs="仿宋_GB2312"/>
          <w:bCs/>
          <w:sz w:val="30"/>
          <w:szCs w:val="30"/>
          <w:highlight w:val="none"/>
        </w:rPr>
        <w:t>六、废标及终止招标</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 w:eastAsia="仿宋_GB2312" w:cs="Times New Roman"/>
          <w:bCs w:val="0"/>
          <w:kern w:val="2"/>
          <w:sz w:val="30"/>
          <w:szCs w:val="30"/>
          <w:highlight w:val="none"/>
          <w:lang w:val="en-US" w:eastAsia="zh-CN"/>
        </w:rPr>
        <w:t>2</w:t>
      </w:r>
    </w:p>
    <w:p w14:paraId="42BAD5F6">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"_Toc8621" </w:instrText>
      </w:r>
      <w:r>
        <w:rPr>
          <w:highlight w:val="none"/>
        </w:rPr>
        <w:fldChar w:fldCharType="separate"/>
      </w:r>
      <w:r>
        <w:rPr>
          <w:rFonts w:hint="eastAsia" w:ascii="仿宋_GB2312" w:hAnsi="仿宋_GB2312" w:eastAsia="仿宋_GB2312" w:cs="仿宋_GB2312"/>
          <w:bCs/>
          <w:sz w:val="30"/>
          <w:szCs w:val="30"/>
          <w:highlight w:val="none"/>
        </w:rPr>
        <w:t>七、中标人瑕疵滞后发现的处理原则</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62984681">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"_Toc10048" </w:instrText>
      </w:r>
      <w:r>
        <w:rPr>
          <w:highlight w:val="none"/>
        </w:rPr>
        <w:fldChar w:fldCharType="separate"/>
      </w:r>
      <w:r>
        <w:rPr>
          <w:rFonts w:hint="eastAsia" w:ascii="仿宋_GB2312" w:hAnsi="仿宋_GB2312" w:eastAsia="仿宋_GB2312" w:cs="仿宋_GB2312"/>
          <w:bCs/>
          <w:sz w:val="30"/>
          <w:szCs w:val="30"/>
          <w:highlight w:val="none"/>
        </w:rPr>
        <w:t>八、投标文件格式</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3BA0FAD4">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"_Toc2515" </w:instrText>
      </w:r>
      <w:r>
        <w:rPr>
          <w:highlight w:val="none"/>
        </w:rPr>
        <w:fldChar w:fldCharType="separate"/>
      </w:r>
      <w:r>
        <w:rPr>
          <w:rFonts w:hint="eastAsia" w:ascii="仿宋_GB2312" w:hAnsi="仿宋_GB2312" w:eastAsia="仿宋_GB2312" w:cs="仿宋_GB2312"/>
          <w:bCs/>
          <w:sz w:val="30"/>
          <w:szCs w:val="30"/>
          <w:highlight w:val="none"/>
        </w:rPr>
        <w:t>九、技术协议书</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4AE55495">
      <w:pPr>
        <w:pStyle w:val="42"/>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"_Toc23780" </w:instrText>
      </w:r>
      <w:r>
        <w:rPr>
          <w:highlight w:val="none"/>
        </w:rPr>
        <w:fldChar w:fldCharType="separate"/>
      </w:r>
      <w:r>
        <w:rPr>
          <w:rFonts w:hint="eastAsia" w:ascii="仿宋_GB2312" w:hAnsi="仿宋_GB2312" w:eastAsia="仿宋_GB2312" w:cs="仿宋_GB2312"/>
          <w:bCs/>
          <w:sz w:val="30"/>
          <w:szCs w:val="30"/>
          <w:highlight w:val="none"/>
        </w:rPr>
        <w:t>十、解释权</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7CD27533">
      <w:pPr>
        <w:pStyle w:val="42"/>
        <w:tabs>
          <w:tab w:val="right" w:leader="dot" w:pos="9070"/>
        </w:tabs>
        <w:spacing w:line="500" w:lineRule="exact"/>
        <w:rPr>
          <w:rFonts w:hint="default" w:ascii="仿宋_GB2312" w:hAnsi="仿宋_GB2312" w:eastAsia="仿宋_GB2312" w:cs="仿宋_GB2312"/>
          <w:bCs/>
          <w:sz w:val="30"/>
          <w:szCs w:val="30"/>
          <w:highlight w:val="none"/>
          <w:lang w:val="en-US" w:eastAsia="zh-CN"/>
        </w:rPr>
      </w:pPr>
      <w:r>
        <w:rPr>
          <w:rFonts w:hint="eastAsia" w:ascii="仿宋_GB2312" w:hAnsi="仿宋_GB2312" w:eastAsia="仿宋_GB2312" w:cs="仿宋_GB2312"/>
          <w:bCs/>
          <w:sz w:val="30"/>
          <w:szCs w:val="30"/>
          <w:highlight w:val="none"/>
        </w:rPr>
        <w:t>附件：</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14</w:t>
      </w:r>
    </w:p>
    <w:p w14:paraId="70950F9A">
      <w:pPr>
        <w:spacing w:line="500" w:lineRule="exact"/>
        <w:ind w:firstLine="602" w:firstLineChars="200"/>
        <w:jc w:val="left"/>
        <w:rPr>
          <w:rFonts w:ascii="黑体" w:hAnsi="黑体" w:eastAsia="黑体" w:cs="黑体"/>
          <w:b/>
          <w:bCs/>
          <w:sz w:val="30"/>
          <w:szCs w:val="30"/>
          <w:highlight w:val="none"/>
        </w:rPr>
      </w:pPr>
    </w:p>
    <w:p w14:paraId="5C5039FC">
      <w:pPr>
        <w:spacing w:line="500" w:lineRule="exact"/>
        <w:ind w:firstLine="602" w:firstLineChars="200"/>
        <w:jc w:val="left"/>
        <w:rPr>
          <w:rFonts w:ascii="黑体" w:hAnsi="黑体" w:eastAsia="黑体" w:cs="黑体"/>
          <w:b/>
          <w:bCs/>
          <w:sz w:val="30"/>
          <w:szCs w:val="30"/>
          <w:highlight w:val="none"/>
        </w:rPr>
      </w:pPr>
    </w:p>
    <w:p w14:paraId="5A304190">
      <w:pPr>
        <w:spacing w:line="500" w:lineRule="exact"/>
        <w:ind w:firstLine="602" w:firstLineChars="200"/>
        <w:jc w:val="left"/>
        <w:rPr>
          <w:rFonts w:ascii="黑体" w:hAnsi="黑体" w:eastAsia="黑体" w:cs="黑体"/>
          <w:b/>
          <w:bCs/>
          <w:sz w:val="30"/>
          <w:szCs w:val="30"/>
          <w:highlight w:val="none"/>
        </w:rPr>
      </w:pPr>
    </w:p>
    <w:p w14:paraId="62192BE1">
      <w:pPr>
        <w:spacing w:line="500" w:lineRule="exact"/>
        <w:ind w:firstLine="602" w:firstLineChars="200"/>
        <w:jc w:val="left"/>
        <w:rPr>
          <w:rFonts w:ascii="黑体" w:hAnsi="黑体" w:eastAsia="黑体" w:cs="黑体"/>
          <w:b/>
          <w:bCs/>
          <w:sz w:val="30"/>
          <w:szCs w:val="30"/>
          <w:highlight w:val="none"/>
        </w:rPr>
      </w:pPr>
    </w:p>
    <w:p w14:paraId="2026F1CE">
      <w:pPr>
        <w:pStyle w:val="42"/>
        <w:tabs>
          <w:tab w:val="right" w:leader="dot" w:pos="9070"/>
        </w:tabs>
        <w:spacing w:line="500" w:lineRule="exact"/>
        <w:rPr>
          <w:rFonts w:ascii="黑体" w:hAnsi="黑体" w:eastAsia="黑体" w:cs="黑体"/>
          <w:b/>
          <w:bCs/>
          <w:sz w:val="30"/>
          <w:szCs w:val="30"/>
          <w:highlight w:val="none"/>
        </w:rPr>
      </w:pPr>
    </w:p>
    <w:p w14:paraId="67DAB09E">
      <w:pPr>
        <w:pStyle w:val="42"/>
        <w:tabs>
          <w:tab w:val="right" w:leader="dot" w:pos="9070"/>
        </w:tabs>
        <w:spacing w:line="500" w:lineRule="exact"/>
        <w:rPr>
          <w:rFonts w:ascii="黑体" w:hAnsi="黑体" w:eastAsia="黑体" w:cs="黑体"/>
          <w:b/>
          <w:bCs/>
          <w:sz w:val="30"/>
          <w:szCs w:val="30"/>
          <w:highlight w:val="none"/>
        </w:rPr>
      </w:pPr>
    </w:p>
    <w:p w14:paraId="656E9C28">
      <w:pPr>
        <w:pStyle w:val="42"/>
        <w:tabs>
          <w:tab w:val="right" w:leader="dot" w:pos="9070"/>
        </w:tabs>
        <w:spacing w:line="500" w:lineRule="exact"/>
        <w:rPr>
          <w:rFonts w:ascii="黑体" w:hAnsi="黑体" w:eastAsia="黑体" w:cs="黑体"/>
          <w:b/>
          <w:bCs/>
          <w:sz w:val="30"/>
          <w:szCs w:val="30"/>
          <w:highlight w:val="none"/>
        </w:rPr>
      </w:pPr>
    </w:p>
    <w:p w14:paraId="180B3A96">
      <w:pPr>
        <w:pStyle w:val="42"/>
        <w:tabs>
          <w:tab w:val="right" w:leader="dot" w:pos="9070"/>
        </w:tabs>
        <w:spacing w:line="500" w:lineRule="exact"/>
        <w:rPr>
          <w:rFonts w:ascii="黑体" w:hAnsi="黑体" w:eastAsia="黑体" w:cs="黑体"/>
          <w:b/>
          <w:bCs/>
          <w:sz w:val="30"/>
          <w:szCs w:val="30"/>
          <w:highlight w:val="none"/>
        </w:rPr>
      </w:pPr>
    </w:p>
    <w:p w14:paraId="4D14D20B">
      <w:pPr>
        <w:pStyle w:val="42"/>
        <w:tabs>
          <w:tab w:val="right" w:leader="dot" w:pos="9070"/>
        </w:tabs>
        <w:spacing w:line="500" w:lineRule="exact"/>
        <w:rPr>
          <w:rFonts w:ascii="黑体" w:hAnsi="黑体" w:eastAsia="黑体" w:cs="黑体"/>
          <w:b/>
          <w:bCs/>
          <w:sz w:val="30"/>
          <w:szCs w:val="30"/>
          <w:highlight w:val="none"/>
        </w:rPr>
      </w:pPr>
    </w:p>
    <w:p w14:paraId="3594E6E2">
      <w:pPr>
        <w:pStyle w:val="42"/>
        <w:tabs>
          <w:tab w:val="right" w:leader="dot" w:pos="9070"/>
        </w:tabs>
        <w:spacing w:line="500" w:lineRule="exact"/>
        <w:rPr>
          <w:rFonts w:ascii="黑体" w:hAnsi="黑体" w:eastAsia="黑体" w:cs="黑体"/>
          <w:b/>
          <w:bCs/>
          <w:sz w:val="30"/>
          <w:szCs w:val="30"/>
          <w:highlight w:val="none"/>
        </w:rPr>
      </w:pPr>
    </w:p>
    <w:p w14:paraId="284AF037">
      <w:pPr>
        <w:pStyle w:val="42"/>
        <w:tabs>
          <w:tab w:val="right" w:leader="dot" w:pos="9070"/>
        </w:tabs>
        <w:spacing w:line="500" w:lineRule="exact"/>
        <w:rPr>
          <w:rFonts w:ascii="黑体" w:hAnsi="黑体" w:eastAsia="黑体" w:cs="黑体"/>
          <w:b/>
          <w:bCs/>
          <w:sz w:val="30"/>
          <w:szCs w:val="30"/>
          <w:highlight w:val="none"/>
        </w:rPr>
      </w:pPr>
    </w:p>
    <w:p w14:paraId="351181B6">
      <w:pPr>
        <w:pStyle w:val="42"/>
        <w:tabs>
          <w:tab w:val="right" w:leader="dot" w:pos="9070"/>
        </w:tabs>
        <w:spacing w:line="500" w:lineRule="exact"/>
        <w:rPr>
          <w:rFonts w:ascii="黑体" w:hAnsi="黑体" w:eastAsia="黑体" w:cs="黑体"/>
          <w:b/>
          <w:bCs/>
          <w:sz w:val="30"/>
          <w:szCs w:val="30"/>
          <w:highlight w:val="none"/>
        </w:rPr>
      </w:pPr>
    </w:p>
    <w:p w14:paraId="228DC163">
      <w:pPr>
        <w:spacing w:line="500" w:lineRule="exact"/>
        <w:jc w:val="left"/>
        <w:rPr>
          <w:rFonts w:ascii="黑体" w:hAnsi="黑体" w:eastAsia="黑体" w:cs="黑体"/>
          <w:b/>
          <w:bCs/>
          <w:sz w:val="30"/>
          <w:szCs w:val="30"/>
          <w:highlight w:val="none"/>
        </w:rPr>
      </w:pPr>
    </w:p>
    <w:p w14:paraId="49300691">
      <w:pPr>
        <w:spacing w:line="500" w:lineRule="exact"/>
        <w:ind w:firstLine="602" w:firstLineChars="200"/>
        <w:jc w:val="left"/>
        <w:outlineLvl w:val="0"/>
        <w:rPr>
          <w:rFonts w:ascii="黑体" w:hAnsi="黑体" w:eastAsia="黑体" w:cs="黑体"/>
          <w:b/>
          <w:bCs/>
          <w:sz w:val="30"/>
          <w:szCs w:val="30"/>
          <w:highlight w:val="none"/>
        </w:rPr>
      </w:pPr>
      <w:bookmarkStart w:id="0" w:name="_Toc14413"/>
      <w:r>
        <w:rPr>
          <w:rFonts w:hint="eastAsia" w:ascii="黑体" w:hAnsi="黑体" w:eastAsia="黑体" w:cs="黑体"/>
          <w:b/>
          <w:bCs/>
          <w:sz w:val="30"/>
          <w:szCs w:val="30"/>
          <w:highlight w:val="none"/>
        </w:rPr>
        <w:t>一、投标人须知</w:t>
      </w:r>
      <w:bookmarkEnd w:id="0"/>
    </w:p>
    <w:p w14:paraId="7B15CD7E">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1.招标人：中国重汽集团济南动力有限公司</w:t>
      </w:r>
    </w:p>
    <w:p w14:paraId="65E73C97">
      <w:pPr>
        <w:spacing w:line="500" w:lineRule="exact"/>
        <w:ind w:firstLine="600" w:firstLineChars="200"/>
        <w:jc w:val="left"/>
        <w:rPr>
          <w:rFonts w:hint="default" w:ascii="仿宋_GB2312" w:hAnsi="仿宋" w:eastAsia="仿宋_GB2312"/>
          <w:sz w:val="30"/>
          <w:szCs w:val="30"/>
          <w:highlight w:val="none"/>
          <w:lang w:val="en-US"/>
        </w:rPr>
      </w:pPr>
      <w:r>
        <w:rPr>
          <w:rFonts w:hint="eastAsia" w:ascii="仿宋_GB2312" w:hAnsi="仿宋" w:eastAsia="仿宋_GB2312"/>
          <w:sz w:val="30"/>
          <w:szCs w:val="30"/>
          <w:highlight w:val="none"/>
        </w:rPr>
        <w:t>2.项目名称：</w:t>
      </w:r>
      <w:r>
        <w:rPr>
          <w:rFonts w:hint="eastAsia" w:ascii="仿宋_GB2312" w:hAnsi="仿宋" w:eastAsia="仿宋_GB2312"/>
          <w:sz w:val="30"/>
          <w:szCs w:val="30"/>
          <w:highlight w:val="none"/>
          <w:lang w:val="en-US" w:eastAsia="zh-CN"/>
        </w:rPr>
        <w:t>中国重汽工程技术人员广联达BIM算量软件、新版清单计价标准及新定额应用提升课程培训服务项目</w:t>
      </w:r>
    </w:p>
    <w:p w14:paraId="405CBA76">
      <w:pPr>
        <w:spacing w:line="500" w:lineRule="exact"/>
        <w:ind w:firstLine="600" w:firstLineChars="200"/>
        <w:jc w:val="left"/>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3.招标内容：</w:t>
      </w:r>
    </w:p>
    <w:p w14:paraId="4ADDE2A7">
      <w:pPr>
        <w:pStyle w:val="12"/>
        <w:pageBreakBefore w:val="0"/>
        <w:numPr>
          <w:ilvl w:val="0"/>
          <w:numId w:val="0"/>
        </w:numPr>
        <w:kinsoku/>
        <w:wordWrap/>
        <w:overflowPunct/>
        <w:topLinePunct w:val="0"/>
        <w:bidi w:val="0"/>
        <w:spacing w:line="520" w:lineRule="exact"/>
        <w:ind w:leftChars="0" w:firstLine="300" w:firstLineChars="10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（1）广联达（钢结构、安装等专业）BIM算量软件技能提升课程</w:t>
      </w:r>
    </w:p>
    <w:p w14:paraId="1E43655E">
      <w:pPr>
        <w:pStyle w:val="12"/>
        <w:pageBreakBefore w:val="0"/>
        <w:numPr>
          <w:ilvl w:val="0"/>
          <w:numId w:val="2"/>
        </w:numPr>
        <w:kinsoku/>
        <w:wordWrap/>
        <w:overflowPunct/>
        <w:topLinePunct w:val="0"/>
        <w:bidi w:val="0"/>
        <w:spacing w:line="520" w:lineRule="exact"/>
        <w:ind w:left="845" w:leftChars="0" w:hanging="425" w:firstLineChars="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算量软件应用过程中的重点难点</w:t>
      </w:r>
    </w:p>
    <w:p w14:paraId="355BE51E">
      <w:pPr>
        <w:pStyle w:val="12"/>
        <w:pageBreakBefore w:val="0"/>
        <w:numPr>
          <w:ilvl w:val="0"/>
          <w:numId w:val="2"/>
        </w:numPr>
        <w:kinsoku/>
        <w:wordWrap/>
        <w:overflowPunct/>
        <w:topLinePunct w:val="0"/>
        <w:bidi w:val="0"/>
        <w:spacing w:line="520" w:lineRule="exact"/>
        <w:ind w:left="845" w:leftChars="0" w:hanging="425" w:firstLineChars="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算量软件在计算设置中难点易错点解析</w:t>
      </w:r>
    </w:p>
    <w:p w14:paraId="634797CC">
      <w:pPr>
        <w:pStyle w:val="12"/>
        <w:pageBreakBefore w:val="0"/>
        <w:numPr>
          <w:ilvl w:val="0"/>
          <w:numId w:val="2"/>
        </w:numPr>
        <w:kinsoku/>
        <w:wordWrap/>
        <w:overflowPunct/>
        <w:topLinePunct w:val="0"/>
        <w:bidi w:val="0"/>
        <w:spacing w:line="520" w:lineRule="exact"/>
        <w:ind w:left="845" w:leftChars="0" w:hanging="425" w:firstLineChars="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钢结构算量的重点难点解析</w:t>
      </w:r>
    </w:p>
    <w:p w14:paraId="0AA9928D">
      <w:pPr>
        <w:pStyle w:val="12"/>
        <w:pageBreakBefore w:val="0"/>
        <w:numPr>
          <w:ilvl w:val="0"/>
          <w:numId w:val="2"/>
        </w:numPr>
        <w:kinsoku/>
        <w:wordWrap/>
        <w:overflowPunct/>
        <w:topLinePunct w:val="0"/>
        <w:bidi w:val="0"/>
        <w:spacing w:line="520" w:lineRule="exact"/>
        <w:ind w:left="845" w:leftChars="0" w:hanging="425" w:firstLineChars="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快速提取工程量的技巧</w:t>
      </w:r>
    </w:p>
    <w:p w14:paraId="0F2C920F">
      <w:pPr>
        <w:pStyle w:val="12"/>
        <w:pageBreakBefore w:val="0"/>
        <w:numPr>
          <w:ilvl w:val="0"/>
          <w:numId w:val="2"/>
        </w:numPr>
        <w:kinsoku/>
        <w:wordWrap/>
        <w:overflowPunct/>
        <w:topLinePunct w:val="0"/>
        <w:bidi w:val="0"/>
        <w:spacing w:line="520" w:lineRule="exact"/>
        <w:ind w:left="845" w:leftChars="0" w:hanging="425" w:firstLineChars="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计量过程的结算争议及解决方案</w:t>
      </w:r>
    </w:p>
    <w:p w14:paraId="13845AC5">
      <w:pPr>
        <w:pStyle w:val="12"/>
        <w:pageBreakBefore w:val="0"/>
        <w:numPr>
          <w:ilvl w:val="0"/>
          <w:numId w:val="0"/>
        </w:numPr>
        <w:kinsoku/>
        <w:wordWrap/>
        <w:overflowPunct/>
        <w:topLinePunct w:val="0"/>
        <w:bidi w:val="0"/>
        <w:spacing w:line="520" w:lineRule="exact"/>
        <w:ind w:leftChars="0" w:firstLine="300" w:firstLineChars="10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（2）新版清单计价标准及新定额应用提升课程</w:t>
      </w:r>
    </w:p>
    <w:p w14:paraId="40619737">
      <w:pPr>
        <w:pStyle w:val="12"/>
        <w:pageBreakBefore w:val="0"/>
        <w:numPr>
          <w:ilvl w:val="0"/>
          <w:numId w:val="3"/>
        </w:numPr>
        <w:kinsoku/>
        <w:wordWrap/>
        <w:overflowPunct/>
        <w:topLinePunct w:val="0"/>
        <w:bidi w:val="0"/>
        <w:spacing w:line="520" w:lineRule="exact"/>
        <w:ind w:left="845" w:leftChars="0" w:hanging="425" w:firstLineChars="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新清单应用指南重点章节解析</w:t>
      </w:r>
    </w:p>
    <w:p w14:paraId="47BF927C">
      <w:pPr>
        <w:pStyle w:val="12"/>
        <w:pageBreakBefore w:val="0"/>
        <w:kinsoku/>
        <w:wordWrap/>
        <w:overflowPunct/>
        <w:topLinePunct w:val="0"/>
        <w:bidi w:val="0"/>
        <w:spacing w:line="520" w:lineRule="exact"/>
        <w:ind w:firstLine="600" w:firstLineChars="20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 xml:space="preserve">  通过实际工程案例，讲解单价合同、总价合同、措施项目在新清单模式下的应用。</w:t>
      </w:r>
    </w:p>
    <w:p w14:paraId="5C08207A">
      <w:pPr>
        <w:pStyle w:val="12"/>
        <w:pageBreakBefore w:val="0"/>
        <w:numPr>
          <w:ilvl w:val="0"/>
          <w:numId w:val="3"/>
        </w:numPr>
        <w:kinsoku/>
        <w:wordWrap/>
        <w:overflowPunct/>
        <w:topLinePunct w:val="0"/>
        <w:bidi w:val="0"/>
        <w:spacing w:line="520" w:lineRule="exact"/>
        <w:ind w:left="845" w:leftChars="0" w:hanging="425" w:firstLineChars="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新清单在计价软件招投标和结算中的应用</w:t>
      </w:r>
    </w:p>
    <w:p w14:paraId="05AD094D">
      <w:pPr>
        <w:pStyle w:val="12"/>
        <w:pageBreakBefore w:val="0"/>
        <w:kinsoku/>
        <w:wordWrap/>
        <w:overflowPunct/>
        <w:topLinePunct w:val="0"/>
        <w:bidi w:val="0"/>
        <w:spacing w:line="520" w:lineRule="exact"/>
        <w:ind w:firstLine="600" w:firstLineChars="20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 xml:space="preserve">  新清单模式下的取费、调价、费用调整。</w:t>
      </w:r>
    </w:p>
    <w:p w14:paraId="7AFBBD47">
      <w:pPr>
        <w:pStyle w:val="12"/>
        <w:pageBreakBefore w:val="0"/>
        <w:numPr>
          <w:ilvl w:val="0"/>
          <w:numId w:val="3"/>
        </w:numPr>
        <w:kinsoku/>
        <w:wordWrap/>
        <w:overflowPunct/>
        <w:topLinePunct w:val="0"/>
        <w:bidi w:val="0"/>
        <w:spacing w:line="520" w:lineRule="exact"/>
        <w:ind w:left="845" w:leftChars="0" w:hanging="425" w:firstLineChars="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25年新定额交底资料讲解</w:t>
      </w:r>
    </w:p>
    <w:p w14:paraId="14D02AAE">
      <w:pPr>
        <w:pStyle w:val="12"/>
        <w:pageBreakBefore w:val="0"/>
        <w:kinsoku/>
        <w:wordWrap/>
        <w:overflowPunct/>
        <w:topLinePunct w:val="0"/>
        <w:bidi w:val="0"/>
        <w:spacing w:line="520" w:lineRule="exact"/>
        <w:ind w:firstLine="600" w:firstLineChars="20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 xml:space="preserve">  根据新发布的25定额及交底资料，讲解新定额在实际工程中的应用及注意事项</w:t>
      </w:r>
    </w:p>
    <w:p w14:paraId="110EDFDF">
      <w:pPr>
        <w:pStyle w:val="12"/>
        <w:pageBreakBefore w:val="0"/>
        <w:numPr>
          <w:ilvl w:val="0"/>
          <w:numId w:val="3"/>
        </w:numPr>
        <w:kinsoku/>
        <w:wordWrap/>
        <w:overflowPunct/>
        <w:topLinePunct w:val="0"/>
        <w:bidi w:val="0"/>
        <w:spacing w:line="520" w:lineRule="exact"/>
        <w:ind w:left="845" w:leftChars="0" w:hanging="425" w:firstLineChars="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讲解新版《房屋建筑与装饰工程工程量计算标准》以及《通用安装工程工程量计算标准》。</w:t>
      </w:r>
    </w:p>
    <w:p w14:paraId="055F4447">
      <w:pPr>
        <w:pStyle w:val="12"/>
        <w:pageBreakBefore w:val="0"/>
        <w:kinsoku/>
        <w:wordWrap/>
        <w:overflowPunct/>
        <w:topLinePunct w:val="0"/>
        <w:bidi w:val="0"/>
        <w:spacing w:line="520" w:lineRule="exact"/>
        <w:ind w:firstLine="600" w:firstLineChars="200"/>
        <w:textAlignment w:val="auto"/>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以上培训内容对应的配套测试题、阅卷等工作；并到场开展实操培训服务，并随时接受招标⼈咨询。配备的培训资料包含但不限于：工具书、土建及安装纸质图纸、记录本等，不少于15套。</w:t>
      </w:r>
    </w:p>
    <w:p w14:paraId="6229BA77">
      <w:pPr>
        <w:pStyle w:val="12"/>
        <w:pageBreakBefore w:val="0"/>
        <w:kinsoku/>
        <w:wordWrap/>
        <w:overflowPunct/>
        <w:topLinePunct w:val="0"/>
        <w:bidi w:val="0"/>
        <w:spacing w:line="520" w:lineRule="exact"/>
        <w:ind w:firstLine="600" w:firstLineChars="200"/>
        <w:textAlignment w:val="auto"/>
        <w:rPr>
          <w:rFonts w:hint="default"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最终选取一家中标单位并与招标人签订服务合同。</w:t>
      </w:r>
    </w:p>
    <w:p w14:paraId="0E7CF510">
      <w:pPr>
        <w:pStyle w:val="12"/>
        <w:pageBreakBefore w:val="0"/>
        <w:kinsoku/>
        <w:wordWrap/>
        <w:overflowPunct/>
        <w:topLinePunct w:val="0"/>
        <w:bidi w:val="0"/>
        <w:spacing w:line="520" w:lineRule="exact"/>
        <w:ind w:firstLine="600" w:firstLineChars="200"/>
        <w:textAlignment w:val="auto"/>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.项目周期：</w:t>
      </w:r>
      <w:r>
        <w:rPr>
          <w:rFonts w:hint="eastAsia" w:ascii="仿宋_GB2312" w:hAnsi="仿宋" w:eastAsia="仿宋_GB2312"/>
          <w:sz w:val="30"/>
          <w:szCs w:val="30"/>
          <w:highlight w:val="none"/>
          <w:lang w:val="en-US" w:eastAsia="zh-CN"/>
        </w:rPr>
        <w:t>中标后</w:t>
      </w:r>
      <w:r>
        <w:rPr>
          <w:rFonts w:hint="eastAsia" w:ascii="仿宋_GB2312" w:hAnsi="仿宋" w:eastAsia="仿宋_GB2312"/>
          <w:sz w:val="30"/>
          <w:szCs w:val="30"/>
          <w:highlight w:val="none"/>
        </w:rPr>
        <w:t>在接到甲方培训</w:t>
      </w:r>
      <w:r>
        <w:rPr>
          <w:rFonts w:hint="eastAsia" w:ascii="仿宋_GB2312" w:hAnsi="仿宋" w:eastAsia="仿宋_GB2312"/>
          <w:sz w:val="30"/>
          <w:szCs w:val="30"/>
          <w:highlight w:val="none"/>
          <w:lang w:val="en-US" w:eastAsia="zh-CN"/>
        </w:rPr>
        <w:t>开班</w:t>
      </w:r>
      <w:r>
        <w:rPr>
          <w:rFonts w:hint="eastAsia" w:ascii="仿宋_GB2312" w:hAnsi="仿宋" w:eastAsia="仿宋_GB2312"/>
          <w:sz w:val="30"/>
          <w:szCs w:val="30"/>
          <w:highlight w:val="none"/>
        </w:rPr>
        <w:t>通知之日开始，2个月内组织完成培训服务（</w:t>
      </w:r>
      <w:r>
        <w:rPr>
          <w:rFonts w:hint="eastAsia" w:ascii="仿宋_GB2312" w:hAnsi="仿宋" w:eastAsia="仿宋_GB2312"/>
          <w:sz w:val="30"/>
          <w:szCs w:val="30"/>
          <w:highlight w:val="none"/>
          <w:lang w:val="en-US" w:eastAsia="zh-CN"/>
        </w:rPr>
        <w:t>具体</w:t>
      </w:r>
      <w:r>
        <w:rPr>
          <w:rFonts w:hint="eastAsia" w:ascii="仿宋_GB2312" w:hAnsi="仿宋" w:eastAsia="仿宋_GB2312"/>
          <w:sz w:val="30"/>
          <w:szCs w:val="30"/>
          <w:highlight w:val="none"/>
        </w:rPr>
        <w:t>培训时间</w:t>
      </w:r>
      <w:r>
        <w:rPr>
          <w:rFonts w:hint="eastAsia" w:ascii="仿宋_GB2312" w:hAnsi="仿宋" w:eastAsia="仿宋_GB2312"/>
          <w:sz w:val="30"/>
          <w:szCs w:val="30"/>
          <w:highlight w:val="none"/>
          <w:lang w:val="en-US" w:eastAsia="zh-CN"/>
        </w:rPr>
        <w:t>响应甲方要求，含节假日</w:t>
      </w:r>
      <w:r>
        <w:rPr>
          <w:rFonts w:hint="eastAsia" w:ascii="仿宋_GB2312" w:hAnsi="仿宋" w:eastAsia="仿宋_GB2312"/>
          <w:sz w:val="30"/>
          <w:szCs w:val="30"/>
          <w:highlight w:val="none"/>
        </w:rPr>
        <w:t>），最终时间以中标后合同约定的时间为准</w:t>
      </w:r>
      <w:r>
        <w:rPr>
          <w:rFonts w:hint="eastAsia" w:ascii="仿宋_GB2312" w:hAnsi="仿宋" w:eastAsia="仿宋_GB2312"/>
          <w:sz w:val="30"/>
          <w:szCs w:val="30"/>
          <w:highlight w:val="none"/>
          <w:lang w:eastAsia="zh-CN"/>
        </w:rPr>
        <w:t>。</w:t>
      </w:r>
    </w:p>
    <w:p w14:paraId="2A061E4F">
      <w:pPr>
        <w:pStyle w:val="12"/>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sz w:val="30"/>
          <w:szCs w:val="30"/>
          <w:highlight w:val="none"/>
          <w:lang w:val="en-US" w:eastAsia="zh-CN"/>
        </w:rPr>
        <w:t>5</w:t>
      </w:r>
      <w:r>
        <w:rPr>
          <w:rFonts w:hint="eastAsia" w:ascii="仿宋_GB2312" w:hAnsi="仿宋" w:eastAsia="仿宋_GB2312" w:cs="Times New Roman"/>
          <w:sz w:val="30"/>
          <w:szCs w:val="30"/>
          <w:highlight w:val="none"/>
        </w:rPr>
        <w:t>.报价方式：</w:t>
      </w:r>
      <w:r>
        <w:rPr>
          <w:rFonts w:hint="eastAsia" w:ascii="仿宋_GB2312" w:hAnsi="仿宋" w:eastAsia="仿宋_GB2312" w:cs="Times New Roman"/>
          <w:sz w:val="30"/>
          <w:szCs w:val="30"/>
          <w:highlight w:val="none"/>
          <w:lang w:val="en-US" w:eastAsia="zh-CN"/>
        </w:rPr>
        <w:t>固定总价，报价需在重</w:t>
      </w:r>
      <w:r>
        <w:rPr>
          <w:rFonts w:hint="eastAsia" w:ascii="仿宋_GB2312" w:hAnsi="仿宋" w:eastAsia="仿宋_GB2312" w:cs="Times New Roman"/>
          <w:sz w:val="30"/>
          <w:szCs w:val="30"/>
          <w:highlight w:val="none"/>
        </w:rPr>
        <w:t>汽e采通</w:t>
      </w:r>
      <w:r>
        <w:rPr>
          <w:rFonts w:hint="eastAsia" w:ascii="仿宋_GB2312" w:hAnsi="仿宋" w:eastAsia="仿宋_GB2312" w:cs="Times New Roman"/>
          <w:sz w:val="30"/>
          <w:szCs w:val="30"/>
          <w:highlight w:val="none"/>
          <w:lang w:val="en-US" w:eastAsia="zh-CN"/>
        </w:rPr>
        <w:t>完成</w:t>
      </w:r>
      <w:r>
        <w:rPr>
          <w:rFonts w:hint="eastAsia" w:ascii="仿宋_GB2312" w:hAnsi="仿宋" w:eastAsia="仿宋_GB2312" w:cs="Times New Roman"/>
          <w:sz w:val="30"/>
          <w:szCs w:val="30"/>
          <w:highlight w:val="none"/>
        </w:rPr>
        <w:t>。</w:t>
      </w:r>
    </w:p>
    <w:p w14:paraId="42835F11">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.招标形式：</w:t>
      </w:r>
      <w:r>
        <w:rPr>
          <w:rFonts w:hint="eastAsia" w:ascii="仿宋_GB2312" w:hAnsi="仿宋" w:eastAsia="仿宋_GB2312"/>
          <w:sz w:val="30"/>
          <w:szCs w:val="30"/>
          <w:highlight w:val="none"/>
          <w:lang w:val="en-US" w:eastAsia="zh-CN"/>
        </w:rPr>
        <w:t>公开招标</w:t>
      </w:r>
      <w:r>
        <w:rPr>
          <w:rFonts w:hint="eastAsia" w:ascii="仿宋_GB2312" w:hAnsi="仿宋" w:eastAsia="仿宋_GB2312"/>
          <w:sz w:val="30"/>
          <w:szCs w:val="30"/>
          <w:highlight w:val="none"/>
        </w:rPr>
        <w:t>。</w:t>
      </w:r>
    </w:p>
    <w:p w14:paraId="3303E1D3">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.开标：</w:t>
      </w:r>
    </w:p>
    <w:p w14:paraId="25C30BDA">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时间：202</w:t>
      </w: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年</w:t>
      </w: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月</w:t>
      </w:r>
      <w:r>
        <w:rPr>
          <w:rFonts w:hint="eastAsia" w:ascii="仿宋_GB2312" w:hAnsi="仿宋" w:eastAsia="仿宋_GB2312"/>
          <w:sz w:val="30"/>
          <w:szCs w:val="30"/>
          <w:highlight w:val="none"/>
          <w:lang w:val="en-US" w:eastAsia="zh-CN"/>
        </w:rPr>
        <w:t>8日9:00</w:t>
      </w:r>
      <w:r>
        <w:rPr>
          <w:rFonts w:hint="eastAsia" w:ascii="仿宋_GB2312" w:hAnsi="仿宋" w:eastAsia="仿宋_GB2312"/>
          <w:sz w:val="30"/>
          <w:szCs w:val="30"/>
          <w:highlight w:val="none"/>
        </w:rPr>
        <w:t>。</w:t>
      </w:r>
    </w:p>
    <w:p w14:paraId="543B1F36">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地点：</w:t>
      </w:r>
      <w:bookmarkStart w:id="1" w:name="OLE_LINK3"/>
      <w:bookmarkStart w:id="2" w:name="OLE_LINK2"/>
      <w:r>
        <w:rPr>
          <w:rFonts w:hint="eastAsia" w:ascii="仿宋_GB2312" w:hAnsi="仿宋" w:eastAsia="仿宋_GB2312"/>
          <w:sz w:val="30"/>
          <w:szCs w:val="30"/>
          <w:highlight w:val="none"/>
        </w:rPr>
        <w:t>中国重汽科技大厦</w:t>
      </w:r>
      <w:r>
        <w:rPr>
          <w:rFonts w:hint="eastAsia" w:ascii="仿宋_GB2312" w:hAnsi="仿宋" w:eastAsia="仿宋_GB2312"/>
          <w:sz w:val="30"/>
          <w:szCs w:val="30"/>
          <w:highlight w:val="none"/>
          <w:lang w:val="en-US" w:eastAsia="zh-CN"/>
        </w:rPr>
        <w:t>1307</w:t>
      </w:r>
      <w:r>
        <w:rPr>
          <w:rFonts w:hint="eastAsia" w:ascii="仿宋_GB2312" w:hAnsi="仿宋" w:eastAsia="仿宋_GB2312"/>
          <w:sz w:val="30"/>
          <w:szCs w:val="30"/>
          <w:highlight w:val="none"/>
        </w:rPr>
        <w:t>会议室</w:t>
      </w:r>
      <w:bookmarkEnd w:id="1"/>
      <w:bookmarkEnd w:id="2"/>
      <w:r>
        <w:rPr>
          <w:rFonts w:hint="eastAsia" w:ascii="仿宋_GB2312" w:hAnsi="仿宋" w:eastAsia="仿宋_GB2312"/>
          <w:sz w:val="30"/>
          <w:szCs w:val="30"/>
          <w:highlight w:val="none"/>
        </w:rPr>
        <w:t>。</w:t>
      </w:r>
    </w:p>
    <w:p w14:paraId="5A8816D4">
      <w:pPr>
        <w:spacing w:line="500" w:lineRule="exact"/>
        <w:ind w:firstLine="600" w:firstLineChars="200"/>
        <w:jc w:val="left"/>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.联系人：</w:t>
      </w:r>
    </w:p>
    <w:p w14:paraId="477AD57A">
      <w:pPr>
        <w:spacing w:line="500" w:lineRule="exact"/>
        <w:ind w:firstLine="600" w:firstLineChars="200"/>
        <w:jc w:val="left"/>
        <w:rPr>
          <w:rFonts w:hint="default"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孙老师13573163465  邮箱：suncuifeng@sinotruk.com</w:t>
      </w:r>
    </w:p>
    <w:p w14:paraId="4C981ACD">
      <w:pPr>
        <w:spacing w:line="500" w:lineRule="exact"/>
        <w:ind w:firstLine="602" w:firstLineChars="200"/>
        <w:jc w:val="left"/>
        <w:outlineLvl w:val="0"/>
        <w:rPr>
          <w:rFonts w:ascii="黑体" w:hAnsi="黑体" w:eastAsia="黑体" w:cs="黑体"/>
          <w:b/>
          <w:bCs/>
          <w:sz w:val="30"/>
          <w:szCs w:val="30"/>
          <w:highlight w:val="none"/>
        </w:rPr>
      </w:pPr>
      <w:bookmarkStart w:id="3" w:name="_Toc26596"/>
      <w:r>
        <w:rPr>
          <w:rFonts w:hint="eastAsia" w:ascii="黑体" w:hAnsi="黑体" w:eastAsia="黑体" w:cs="黑体"/>
          <w:b/>
          <w:bCs/>
          <w:sz w:val="30"/>
          <w:szCs w:val="30"/>
          <w:highlight w:val="none"/>
        </w:rPr>
        <w:t>二、投标人资格条件及要求</w:t>
      </w:r>
      <w:bookmarkEnd w:id="3"/>
    </w:p>
    <w:p w14:paraId="0B042A0E">
      <w:pPr>
        <w:spacing w:line="500" w:lineRule="exact"/>
        <w:ind w:firstLine="600" w:firstLineChars="200"/>
        <w:jc w:val="left"/>
        <w:outlineLvl w:val="0"/>
        <w:rPr>
          <w:rFonts w:hint="eastAsia" w:ascii="仿宋_GB2312" w:hAnsi="仿宋" w:eastAsia="仿宋_GB2312" w:cs="Times New Roman"/>
          <w:sz w:val="30"/>
          <w:szCs w:val="30"/>
          <w:highlight w:val="none"/>
        </w:rPr>
      </w:pPr>
      <w:bookmarkStart w:id="4" w:name="_Toc25722"/>
      <w:r>
        <w:rPr>
          <w:rFonts w:hint="eastAsia" w:ascii="仿宋_GB2312" w:hAnsi="仿宋" w:eastAsia="仿宋_GB2312" w:cs="Times New Roman"/>
          <w:sz w:val="30"/>
          <w:szCs w:val="30"/>
          <w:highlight w:val="none"/>
        </w:rPr>
        <w:t>1.所有拟投标人需满足以下条件：</w:t>
      </w:r>
    </w:p>
    <w:p w14:paraId="08F78198">
      <w:pPr>
        <w:spacing w:line="500" w:lineRule="exact"/>
        <w:ind w:firstLine="600" w:firstLineChars="200"/>
        <w:jc w:val="left"/>
        <w:outlineLvl w:val="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（1）投标人必须是在中华人民共和国境内注册的独立法人机构，具有独立承担民事责任能力，</w:t>
      </w:r>
      <w:r>
        <w:rPr>
          <w:rFonts w:hint="eastAsia" w:ascii="仿宋_GB2312" w:hAnsi="仿宋" w:eastAsia="仿宋_GB2312" w:cs="Times New Roman"/>
          <w:sz w:val="30"/>
          <w:szCs w:val="30"/>
          <w:highlight w:val="none"/>
          <w:lang w:val="en-US" w:eastAsia="zh-CN"/>
        </w:rPr>
        <w:t>原则</w:t>
      </w:r>
      <w:r>
        <w:rPr>
          <w:rFonts w:hint="eastAsia" w:ascii="仿宋_GB2312" w:hAnsi="仿宋" w:eastAsia="仿宋_GB2312" w:cs="Times New Roman"/>
          <w:color w:val="auto"/>
          <w:sz w:val="30"/>
          <w:szCs w:val="30"/>
          <w:highlight w:val="none"/>
          <w:lang w:val="en-US" w:eastAsia="zh-CN"/>
        </w:rPr>
        <w:t>上</w:t>
      </w:r>
      <w:r>
        <w:rPr>
          <w:rFonts w:hint="eastAsia" w:ascii="仿宋_GB2312" w:hAnsi="仿宋" w:eastAsia="仿宋_GB2312" w:cs="Times New Roman"/>
          <w:color w:val="auto"/>
          <w:sz w:val="30"/>
          <w:szCs w:val="30"/>
          <w:highlight w:val="none"/>
        </w:rPr>
        <w:t>注册资金不少于</w:t>
      </w:r>
      <w:r>
        <w:rPr>
          <w:rFonts w:hint="eastAsia" w:ascii="仿宋_GB2312" w:hAnsi="仿宋" w:eastAsia="仿宋_GB2312" w:cs="Times New Roman"/>
          <w:color w:val="auto"/>
          <w:sz w:val="30"/>
          <w:szCs w:val="30"/>
          <w:highlight w:val="none"/>
          <w:lang w:val="en-US" w:eastAsia="zh-CN"/>
        </w:rPr>
        <w:t>10</w:t>
      </w:r>
      <w:r>
        <w:rPr>
          <w:rFonts w:hint="eastAsia" w:ascii="仿宋_GB2312" w:hAnsi="仿宋" w:eastAsia="仿宋_GB2312" w:cs="Times New Roman"/>
          <w:color w:val="auto"/>
          <w:sz w:val="30"/>
          <w:szCs w:val="30"/>
          <w:highlight w:val="none"/>
        </w:rPr>
        <w:t>万元；</w:t>
      </w:r>
      <w:r>
        <w:rPr>
          <w:rFonts w:hint="eastAsia" w:ascii="仿宋_GB2312" w:hAnsi="仿宋" w:eastAsia="仿宋_GB2312" w:cs="Times New Roman"/>
          <w:sz w:val="30"/>
          <w:szCs w:val="30"/>
          <w:highlight w:val="none"/>
        </w:rPr>
        <w:t>公司成立三年以上（以营业执照成立日期到开标当日满三年为准）；并在人员、设备、资金等方面具有承担本项目的能力；经营范围含造价咨询业务软件培训等相关服务内容；</w:t>
      </w:r>
    </w:p>
    <w:p w14:paraId="33764EF9">
      <w:pPr>
        <w:spacing w:line="500" w:lineRule="exact"/>
        <w:ind w:firstLine="600" w:firstLineChars="200"/>
        <w:jc w:val="left"/>
        <w:outlineLvl w:val="0"/>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（2）投标人实际开展工程造价类培训服务三年以上（含三年，自注册日期开始计算，至开标之日不少于三年）。</w:t>
      </w:r>
    </w:p>
    <w:p w14:paraId="597A9536">
      <w:pPr>
        <w:spacing w:line="500" w:lineRule="exact"/>
        <w:ind w:firstLine="600" w:firstLineChars="200"/>
        <w:jc w:val="left"/>
        <w:outlineLvl w:val="0"/>
        <w:rPr>
          <w:rFonts w:hint="eastAsia"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lang w:val="en-US" w:eastAsia="zh-CN"/>
        </w:rPr>
        <w:t>（3）项目负责人要求有五年以上相关工作经验，且无违法、违规、违纪、违约等不良行为。</w:t>
      </w:r>
    </w:p>
    <w:p w14:paraId="43888D21">
      <w:pPr>
        <w:spacing w:line="500" w:lineRule="exact"/>
        <w:ind w:firstLine="600" w:firstLineChars="200"/>
        <w:jc w:val="left"/>
        <w:outlineLvl w:val="0"/>
        <w:rPr>
          <w:rFonts w:hint="eastAsia" w:ascii="仿宋_GB2312" w:hAnsi="仿宋" w:eastAsia="仿宋_GB2312" w:cs="Times New Roman"/>
          <w:color w:val="auto"/>
          <w:sz w:val="30"/>
          <w:szCs w:val="30"/>
          <w:highlight w:val="none"/>
          <w:lang w:val="en-US" w:eastAsia="zh-CN"/>
        </w:rPr>
      </w:pPr>
      <w:r>
        <w:rPr>
          <w:rFonts w:hint="eastAsia" w:ascii="仿宋_GB2312" w:hAnsi="仿宋" w:eastAsia="仿宋_GB2312" w:cs="Times New Roman"/>
          <w:color w:val="auto"/>
          <w:sz w:val="30"/>
          <w:szCs w:val="30"/>
          <w:highlight w:val="none"/>
          <w:lang w:val="en-US" w:eastAsia="zh-CN"/>
        </w:rPr>
        <w:t>（4）自2023年1月份至今，服务过不少于2个大型企业工程造价类培训服务相关业务。</w:t>
      </w:r>
    </w:p>
    <w:p w14:paraId="3D2A4875">
      <w:pPr>
        <w:spacing w:line="500" w:lineRule="exact"/>
        <w:ind w:firstLine="600" w:firstLineChars="200"/>
        <w:jc w:val="left"/>
        <w:outlineLvl w:val="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（5）投标人应遵守《中华人民共和国招投标法》及有关的法律和法规。具备独立法人资格，具有独立承担民事责任能力、良好的财务状况并具有一定的垫资能力，能切实履行合同。</w:t>
      </w:r>
    </w:p>
    <w:p w14:paraId="6B9B2EAE">
      <w:pPr>
        <w:spacing w:line="500" w:lineRule="exact"/>
        <w:ind w:firstLine="600" w:firstLineChars="200"/>
        <w:jc w:val="left"/>
        <w:outlineLvl w:val="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（6）投标人在国家企业信用信息公示系统中有不良记录、近三年的公司财务报表异常、存在与本项目有关的违法及严重违规或被列入招标人“黑名单”的，招标人有权取消其投标资格。</w:t>
      </w:r>
    </w:p>
    <w:p w14:paraId="63DF64C9">
      <w:pPr>
        <w:spacing w:line="500" w:lineRule="exact"/>
        <w:ind w:firstLine="600" w:firstLineChars="200"/>
        <w:jc w:val="left"/>
        <w:outlineLvl w:val="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7）投标人应有策划执行类似项目的经验，具有良好的风险应对能力，能够认可招标人的工作指令，包括节假日能正常开展工作等要求，并在开标时携带以往项目策划执行资料、企业资信材料、财务报表及完税证明等备查；</w:t>
      </w:r>
    </w:p>
    <w:p w14:paraId="255D5B24">
      <w:pPr>
        <w:spacing w:line="500" w:lineRule="exact"/>
        <w:ind w:firstLine="600" w:firstLineChars="200"/>
        <w:jc w:val="left"/>
        <w:outlineLvl w:val="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（8）资格审查方式：采用资格预审，合格制。项目发标后，拟投标人须先应标，招标工作组通过重汽e采通对应标人进行资质审核，审核通过后方可投标。</w:t>
      </w:r>
    </w:p>
    <w:p w14:paraId="3EAA5D02">
      <w:pPr>
        <w:spacing w:line="500" w:lineRule="exact"/>
        <w:ind w:firstLine="600" w:firstLineChars="200"/>
        <w:jc w:val="left"/>
        <w:outlineLvl w:val="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投标人须知：应明确要求投标人提供</w:t>
      </w:r>
    </w:p>
    <w:p w14:paraId="13444C0A">
      <w:pPr>
        <w:spacing w:line="500" w:lineRule="exact"/>
        <w:ind w:firstLine="600" w:firstLineChars="200"/>
        <w:jc w:val="left"/>
        <w:outlineLvl w:val="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3638EE2D">
      <w:pPr>
        <w:spacing w:line="500" w:lineRule="exact"/>
        <w:ind w:firstLine="600" w:firstLineChars="200"/>
        <w:jc w:val="left"/>
        <w:outlineLvl w:val="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②企业最近半年完税证明、信用证明材料（中国人民银行信用代码证+征信报告）； </w:t>
      </w:r>
    </w:p>
    <w:p w14:paraId="76A78B33">
      <w:pPr>
        <w:spacing w:line="500" w:lineRule="exact"/>
        <w:ind w:firstLine="600" w:firstLineChars="200"/>
        <w:jc w:val="left"/>
        <w:outlineLvl w:val="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③年度纳税信用评价信息（可从电子税务局查询截图，需加盖公章）； </w:t>
      </w:r>
    </w:p>
    <w:p w14:paraId="0B009C5C">
      <w:pPr>
        <w:spacing w:line="500" w:lineRule="exact"/>
        <w:ind w:firstLine="600" w:firstLineChars="200"/>
        <w:jc w:val="left"/>
        <w:outlineLvl w:val="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④企业对外担保说明（写明贵单位对外有无对外担保和质押业务，需加盖公章）。</w:t>
      </w:r>
    </w:p>
    <w:p w14:paraId="0DD4CE11">
      <w:pPr>
        <w:spacing w:line="500" w:lineRule="exact"/>
        <w:ind w:firstLine="600" w:firstLineChars="200"/>
        <w:jc w:val="left"/>
        <w:outlineLvl w:val="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2.投标人对课程材料拥有合法的知识产权或具有合法的来源，有关知识产权中不存在任何侵犯第三方的权益。</w:t>
      </w:r>
    </w:p>
    <w:p w14:paraId="1E14C757">
      <w:pPr>
        <w:spacing w:line="500" w:lineRule="exact"/>
        <w:ind w:firstLine="600" w:firstLineChars="200"/>
        <w:jc w:val="left"/>
        <w:outlineLvl w:val="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3.投标方的直接或间接股东、法定代表人、董事、监事、高管非重汽员工及其亲属。 </w:t>
      </w:r>
    </w:p>
    <w:p w14:paraId="576C8BB1">
      <w:pPr>
        <w:spacing w:line="500" w:lineRule="exact"/>
        <w:ind w:firstLine="602" w:firstLineChars="200"/>
        <w:jc w:val="left"/>
        <w:outlineLvl w:val="0"/>
        <w:rPr>
          <w:rFonts w:ascii="黑体" w:hAnsi="黑体" w:eastAsia="黑体" w:cs="黑体"/>
          <w:b/>
          <w:bCs/>
          <w:sz w:val="30"/>
          <w:szCs w:val="30"/>
          <w:highlight w:val="none"/>
        </w:rPr>
      </w:pPr>
      <w:r>
        <w:rPr>
          <w:rFonts w:hint="eastAsia" w:ascii="黑体" w:hAnsi="黑体" w:eastAsia="黑体" w:cs="黑体"/>
          <w:b/>
          <w:bCs/>
          <w:sz w:val="30"/>
          <w:szCs w:val="30"/>
          <w:highlight w:val="none"/>
        </w:rPr>
        <w:t>三、投标说明</w:t>
      </w:r>
      <w:bookmarkEnd w:id="4"/>
    </w:p>
    <w:p w14:paraId="008E6E72">
      <w:pPr>
        <w:pStyle w:val="39"/>
        <w:spacing w:line="500" w:lineRule="exact"/>
        <w:ind w:firstLine="602"/>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1.招标文件获取</w:t>
      </w:r>
    </w:p>
    <w:p w14:paraId="7CC87A56">
      <w:pPr>
        <w:spacing w:line="500" w:lineRule="exact"/>
        <w:ind w:firstLine="600" w:firstLineChars="200"/>
        <w:jc w:val="left"/>
        <w:rPr>
          <w:rFonts w:ascii="仿宋_GB2312" w:hAnsi="仿宋" w:eastAsia="仿宋_GB2312"/>
          <w:sz w:val="30"/>
          <w:szCs w:val="30"/>
          <w:highlight w:val="none"/>
        </w:rPr>
      </w:pPr>
      <w:r>
        <w:rPr>
          <w:rFonts w:hint="eastAsia" w:ascii="仿宋_GB2312" w:hAnsi="黑体" w:eastAsia="仿宋_GB2312"/>
          <w:sz w:val="30"/>
          <w:szCs w:val="30"/>
          <w:highlight w:val="none"/>
        </w:rPr>
        <w:t>招标人将本项目招标文件公布至重汽e采通平台，地址如下：https://ecaitong.sinotruk.com:801</w:t>
      </w:r>
      <w:bookmarkStart w:id="30" w:name="_GoBack"/>
      <w:bookmarkEnd w:id="30"/>
      <w:r>
        <w:rPr>
          <w:rFonts w:hint="eastAsia" w:ascii="仿宋_GB2312" w:hAnsi="黑体" w:eastAsia="仿宋_GB2312"/>
          <w:sz w:val="30"/>
          <w:szCs w:val="30"/>
          <w:highlight w:val="none"/>
        </w:rPr>
        <w:t>2/#/login</w:t>
      </w:r>
      <w:r>
        <w:rPr>
          <w:rFonts w:hint="eastAsia" w:ascii="仿宋_GB2312" w:hAnsi="仿宋" w:eastAsia="仿宋_GB2312"/>
          <w:sz w:val="30"/>
          <w:szCs w:val="30"/>
          <w:highlight w:val="none"/>
        </w:rPr>
        <w:t>。投标人需注册后</w:t>
      </w:r>
      <w:r>
        <w:rPr>
          <w:rFonts w:hint="eastAsia" w:ascii="仿宋_GB2312" w:hAnsi="仿宋" w:eastAsia="仿宋_GB2312"/>
          <w:color w:val="FF0000"/>
          <w:sz w:val="30"/>
          <w:szCs w:val="30"/>
          <w:highlight w:val="none"/>
          <w:lang w:val="en-US" w:eastAsia="zh-CN"/>
        </w:rPr>
        <w:t>并应标成功后自行</w:t>
      </w:r>
      <w:r>
        <w:rPr>
          <w:rFonts w:hint="eastAsia" w:ascii="仿宋_GB2312" w:hAnsi="仿宋" w:eastAsia="仿宋_GB2312"/>
          <w:color w:val="FF0000"/>
          <w:sz w:val="30"/>
          <w:szCs w:val="30"/>
          <w:highlight w:val="none"/>
        </w:rPr>
        <w:t>获取</w:t>
      </w:r>
      <w:r>
        <w:rPr>
          <w:rFonts w:hint="eastAsia" w:ascii="仿宋_GB2312" w:hAnsi="仿宋" w:eastAsia="仿宋_GB2312"/>
          <w:sz w:val="30"/>
          <w:szCs w:val="30"/>
          <w:highlight w:val="none"/>
        </w:rPr>
        <w:t>招标文件。具体操作详看</w:t>
      </w:r>
      <w:r>
        <w:rPr>
          <w:rFonts w:hint="eastAsia" w:ascii="仿宋_GB2312" w:hAnsi="仿宋" w:eastAsia="仿宋_GB2312"/>
          <w:sz w:val="30"/>
          <w:szCs w:val="30"/>
          <w:highlight w:val="none"/>
          <w:lang w:val="en-US" w:eastAsia="zh-CN"/>
        </w:rPr>
        <w:t>招标文件末尾后</w:t>
      </w:r>
      <w:r>
        <w:rPr>
          <w:rFonts w:hint="eastAsia" w:ascii="仿宋_GB2312" w:hAnsi="仿宋" w:eastAsia="仿宋_GB2312"/>
          <w:sz w:val="30"/>
          <w:szCs w:val="30"/>
          <w:highlight w:val="none"/>
        </w:rPr>
        <w:t>附件。</w:t>
      </w:r>
    </w:p>
    <w:p w14:paraId="2C3A7650">
      <w:pPr>
        <w:pStyle w:val="39"/>
        <w:pageBreakBefore w:val="0"/>
        <w:kinsoku/>
        <w:wordWrap/>
        <w:overflowPunct/>
        <w:topLinePunct w:val="0"/>
        <w:bidi w:val="0"/>
        <w:spacing w:line="520" w:lineRule="exact"/>
        <w:ind w:firstLine="602"/>
        <w:textAlignment w:val="auto"/>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2.报名方式</w:t>
      </w:r>
    </w:p>
    <w:p w14:paraId="0F36A0CE">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投标人在“中国重汽e采通”平台报名。按照中国重汽e采通“SRM非生产供应商注册手册”进行注册，注册时请填写：项目名称和项目</w:t>
      </w:r>
      <w:r>
        <w:rPr>
          <w:rFonts w:hint="eastAsia" w:ascii="仿宋_GB2312" w:hAnsi="仿宋" w:eastAsia="仿宋_GB2312" w:cs="Times New Roman"/>
          <w:color w:val="auto"/>
          <w:sz w:val="30"/>
          <w:szCs w:val="30"/>
          <w:highlight w:val="none"/>
        </w:rPr>
        <w:t>编号，供货类别选择“非生产招标/服务/培训教学”。其他的据实填</w:t>
      </w:r>
      <w:r>
        <w:rPr>
          <w:rFonts w:hint="eastAsia" w:ascii="仿宋_GB2312" w:hAnsi="仿宋" w:eastAsia="仿宋_GB2312" w:cs="Times New Roman"/>
          <w:sz w:val="30"/>
          <w:szCs w:val="30"/>
          <w:highlight w:val="none"/>
        </w:rPr>
        <w:t>写。</w:t>
      </w:r>
    </w:p>
    <w:p w14:paraId="234ECCD5">
      <w:pPr>
        <w:widowControl/>
        <w:spacing w:line="360" w:lineRule="auto"/>
        <w:ind w:firstLine="600" w:firstLineChars="200"/>
        <w:rPr>
          <w:rFonts w:hint="eastAsia"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注册完成后登录“e采通平台”进入“供应商应标”，选择对应的项目，点击“应标”后按照投标文件组成资格证明文件要求准备资料并上传，资质审查通过即为报名成功</w:t>
      </w:r>
      <w:r>
        <w:rPr>
          <w:rFonts w:hint="eastAsia" w:ascii="仿宋_GB2312" w:hAnsi="仿宋" w:eastAsia="仿宋_GB2312" w:cs="Times New Roman"/>
          <w:sz w:val="30"/>
          <w:szCs w:val="30"/>
          <w:highlight w:val="none"/>
          <w:lang w:eastAsia="zh-CN"/>
        </w:rPr>
        <w:t>（</w:t>
      </w:r>
      <w:r>
        <w:rPr>
          <w:rFonts w:hint="eastAsia" w:ascii="仿宋_GB2312" w:hAnsi="仿宋" w:eastAsia="仿宋_GB2312" w:cs="Times New Roman"/>
          <w:color w:val="FF0000"/>
          <w:sz w:val="30"/>
          <w:szCs w:val="30"/>
          <w:highlight w:val="none"/>
        </w:rPr>
        <w:t>资料不合格的会在系统</w:t>
      </w:r>
      <w:r>
        <w:rPr>
          <w:rFonts w:hint="eastAsia" w:ascii="仿宋_GB2312" w:hAnsi="仿宋" w:eastAsia="仿宋_GB2312" w:cs="Times New Roman"/>
          <w:color w:val="FF0000"/>
          <w:sz w:val="30"/>
          <w:szCs w:val="30"/>
          <w:highlight w:val="none"/>
          <w:lang w:val="en-US" w:eastAsia="zh-CN"/>
        </w:rPr>
        <w:t>被</w:t>
      </w:r>
      <w:r>
        <w:rPr>
          <w:rFonts w:hint="eastAsia" w:ascii="仿宋_GB2312" w:hAnsi="仿宋" w:eastAsia="仿宋_GB2312" w:cs="Times New Roman"/>
          <w:color w:val="FF0000"/>
          <w:sz w:val="30"/>
          <w:szCs w:val="30"/>
          <w:highlight w:val="none"/>
        </w:rPr>
        <w:t>驳回，请及时查阅并补齐资料</w:t>
      </w:r>
      <w:r>
        <w:rPr>
          <w:rFonts w:hint="eastAsia" w:ascii="仿宋_GB2312" w:hAnsi="仿宋" w:eastAsia="仿宋_GB2312" w:cs="Times New Roman"/>
          <w:color w:val="FF0000"/>
          <w:sz w:val="30"/>
          <w:szCs w:val="30"/>
          <w:highlight w:val="none"/>
          <w:lang w:val="en-US" w:eastAsia="zh-CN"/>
        </w:rPr>
        <w:t>后重新提交审核</w:t>
      </w:r>
      <w:r>
        <w:rPr>
          <w:rFonts w:hint="eastAsia" w:ascii="仿宋_GB2312" w:hAnsi="仿宋" w:eastAsia="仿宋_GB2312" w:cs="Times New Roman"/>
          <w:color w:val="FF0000"/>
          <w:sz w:val="30"/>
          <w:szCs w:val="30"/>
          <w:highlight w:val="none"/>
        </w:rPr>
        <w:t>，不能按时补充资料的视为自动放弃本次投标</w:t>
      </w:r>
      <w:r>
        <w:rPr>
          <w:rFonts w:hint="eastAsia" w:ascii="仿宋_GB2312" w:hAnsi="仿宋" w:eastAsia="仿宋_GB2312" w:cs="Times New Roman"/>
          <w:sz w:val="30"/>
          <w:szCs w:val="30"/>
          <w:highlight w:val="none"/>
          <w:lang w:eastAsia="zh-CN"/>
        </w:rPr>
        <w:t>）</w:t>
      </w:r>
      <w:r>
        <w:rPr>
          <w:rFonts w:hint="eastAsia" w:ascii="仿宋_GB2312" w:hAnsi="仿宋" w:eastAsia="仿宋_GB2312" w:cs="Times New Roman"/>
          <w:sz w:val="30"/>
          <w:szCs w:val="30"/>
          <w:highlight w:val="none"/>
        </w:rPr>
        <w:t>；公示期间请尽快应标。</w:t>
      </w:r>
    </w:p>
    <w:p w14:paraId="10432C83">
      <w:pPr>
        <w:pStyle w:val="12"/>
        <w:pageBreakBefore w:val="0"/>
        <w:kinsoku/>
        <w:wordWrap/>
        <w:overflowPunct/>
        <w:topLinePunct w:val="0"/>
        <w:bidi w:val="0"/>
        <w:spacing w:line="520" w:lineRule="exact"/>
        <w:ind w:firstLine="600" w:firstLineChars="200"/>
        <w:textAlignment w:val="auto"/>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（1）发标时间：202</w:t>
      </w:r>
      <w:r>
        <w:rPr>
          <w:rFonts w:hint="eastAsia" w:ascii="仿宋_GB2312" w:hAnsi="仿宋" w:eastAsia="仿宋_GB2312" w:cs="Times New Roman"/>
          <w:color w:val="000000"/>
          <w:sz w:val="30"/>
          <w:szCs w:val="30"/>
          <w:highlight w:val="none"/>
          <w:lang w:val="en-US" w:eastAsia="zh-CN"/>
        </w:rPr>
        <w:t>6</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3</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26</w:t>
      </w:r>
      <w:r>
        <w:rPr>
          <w:rFonts w:hint="eastAsia" w:ascii="仿宋_GB2312" w:hAnsi="仿宋" w:eastAsia="仿宋_GB2312" w:cs="Times New Roman"/>
          <w:color w:val="000000"/>
          <w:sz w:val="30"/>
          <w:szCs w:val="30"/>
          <w:highlight w:val="none"/>
        </w:rPr>
        <w:t>日；</w:t>
      </w:r>
    </w:p>
    <w:p w14:paraId="38629AF6">
      <w:pPr>
        <w:pStyle w:val="12"/>
        <w:pageBreakBefore w:val="0"/>
        <w:kinsoku/>
        <w:wordWrap/>
        <w:overflowPunct/>
        <w:topLinePunct w:val="0"/>
        <w:bidi w:val="0"/>
        <w:spacing w:line="520" w:lineRule="exact"/>
        <w:ind w:firstLine="600" w:firstLineChars="200"/>
        <w:textAlignment w:val="auto"/>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（2）应标截止时间：202</w:t>
      </w:r>
      <w:r>
        <w:rPr>
          <w:rFonts w:hint="eastAsia" w:ascii="仿宋_GB2312" w:hAnsi="仿宋" w:eastAsia="仿宋_GB2312" w:cs="Times New Roman"/>
          <w:color w:val="000000"/>
          <w:sz w:val="30"/>
          <w:szCs w:val="30"/>
          <w:highlight w:val="none"/>
          <w:lang w:val="en-US" w:eastAsia="zh-CN"/>
        </w:rPr>
        <w:t>6</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4</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2</w:t>
      </w:r>
      <w:r>
        <w:rPr>
          <w:rFonts w:hint="eastAsia" w:ascii="仿宋_GB2312" w:hAnsi="仿宋" w:eastAsia="仿宋_GB2312" w:cs="Times New Roman"/>
          <w:color w:val="000000"/>
          <w:sz w:val="30"/>
          <w:szCs w:val="30"/>
          <w:highlight w:val="none"/>
        </w:rPr>
        <w:t>日</w:t>
      </w:r>
      <w:r>
        <w:rPr>
          <w:rFonts w:hint="eastAsia" w:ascii="仿宋_GB2312" w:hAnsi="仿宋" w:eastAsia="仿宋_GB2312" w:cs="Times New Roman"/>
          <w:color w:val="000000"/>
          <w:sz w:val="30"/>
          <w:szCs w:val="30"/>
          <w:highlight w:val="none"/>
          <w:lang w:val="en-US" w:eastAsia="zh-CN"/>
        </w:rPr>
        <w:t>16:00前</w:t>
      </w:r>
      <w:r>
        <w:rPr>
          <w:rFonts w:hint="eastAsia" w:ascii="仿宋_GB2312" w:hAnsi="仿宋" w:eastAsia="仿宋_GB2312" w:cs="Times New Roman"/>
          <w:color w:val="000000"/>
          <w:sz w:val="30"/>
          <w:szCs w:val="30"/>
          <w:highlight w:val="none"/>
        </w:rPr>
        <w:t>；</w:t>
      </w:r>
    </w:p>
    <w:p w14:paraId="4FA13F0B">
      <w:pPr>
        <w:pStyle w:val="12"/>
        <w:pageBreakBefore w:val="0"/>
        <w:kinsoku/>
        <w:wordWrap/>
        <w:overflowPunct/>
        <w:topLinePunct w:val="0"/>
        <w:bidi w:val="0"/>
        <w:spacing w:line="520" w:lineRule="exact"/>
        <w:ind w:firstLine="600" w:firstLineChars="200"/>
        <w:textAlignment w:val="auto"/>
        <w:rPr>
          <w:rFonts w:hint="eastAsia"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（3）答疑时间：如果投标人对招标文件有疑问，请各投标人在本答疑环节提出。提交疑问时间：202</w:t>
      </w:r>
      <w:r>
        <w:rPr>
          <w:rFonts w:hint="eastAsia" w:ascii="仿宋_GB2312" w:hAnsi="仿宋" w:eastAsia="仿宋_GB2312" w:cs="Times New Roman"/>
          <w:color w:val="000000"/>
          <w:sz w:val="30"/>
          <w:szCs w:val="30"/>
          <w:highlight w:val="none"/>
          <w:lang w:val="en-US" w:eastAsia="zh-CN"/>
        </w:rPr>
        <w:t>6</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4</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2</w:t>
      </w:r>
      <w:r>
        <w:rPr>
          <w:rFonts w:hint="eastAsia" w:ascii="仿宋_GB2312" w:hAnsi="仿宋" w:eastAsia="仿宋_GB2312" w:cs="Times New Roman"/>
          <w:color w:val="000000"/>
          <w:sz w:val="30"/>
          <w:szCs w:val="30"/>
          <w:highlight w:val="none"/>
        </w:rPr>
        <w:t>日</w:t>
      </w:r>
      <w:r>
        <w:rPr>
          <w:rFonts w:hint="eastAsia" w:ascii="仿宋_GB2312" w:hAnsi="仿宋" w:eastAsia="仿宋_GB2312" w:cs="Times New Roman"/>
          <w:color w:val="000000"/>
          <w:sz w:val="30"/>
          <w:szCs w:val="30"/>
          <w:highlight w:val="none"/>
          <w:lang w:val="en-US" w:eastAsia="zh-CN"/>
        </w:rPr>
        <w:t>16</w:t>
      </w:r>
      <w:r>
        <w:rPr>
          <w:rFonts w:hint="eastAsia" w:ascii="仿宋_GB2312" w:hAnsi="仿宋" w:eastAsia="仿宋_GB2312" w:cs="Times New Roman"/>
          <w:color w:val="000000"/>
          <w:sz w:val="30"/>
          <w:szCs w:val="30"/>
          <w:highlight w:val="none"/>
        </w:rPr>
        <w:t>:00前；提交疑问方式：将答疑问题以word文件格式发送至联系人</w:t>
      </w:r>
      <w:r>
        <w:rPr>
          <w:rFonts w:hint="eastAsia" w:ascii="仿宋_GB2312" w:hAnsi="仿宋" w:eastAsia="仿宋_GB2312" w:cs="Times New Roman"/>
          <w:color w:val="000000"/>
          <w:sz w:val="30"/>
          <w:szCs w:val="30"/>
          <w:highlight w:val="none"/>
          <w:lang w:val="en-US" w:eastAsia="zh-CN"/>
        </w:rPr>
        <w:t>邮箱中</w:t>
      </w:r>
      <w:r>
        <w:rPr>
          <w:rFonts w:hint="eastAsia" w:ascii="仿宋_GB2312" w:hAnsi="仿宋" w:eastAsia="仿宋_GB2312" w:cs="Times New Roman"/>
          <w:color w:val="000000"/>
          <w:sz w:val="30"/>
          <w:szCs w:val="30"/>
          <w:highlight w:val="none"/>
        </w:rPr>
        <w:t>，并电话联系工作人员查收，邮件名格式为：XXX公司（五个字以内公司简称）XX项目答疑文件。同时必须在邮件中以文字方式提供投标人全称、投标授权人姓名、联系方式（固定电话、手机、电子邮箱），并提供法定代表人授权委托书。</w:t>
      </w:r>
    </w:p>
    <w:p w14:paraId="0487DA67">
      <w:pPr>
        <w:pStyle w:val="12"/>
        <w:pageBreakBefore w:val="0"/>
        <w:kinsoku/>
        <w:wordWrap/>
        <w:overflowPunct/>
        <w:topLinePunct w:val="0"/>
        <w:bidi w:val="0"/>
        <w:spacing w:line="520" w:lineRule="exact"/>
        <w:ind w:firstLine="600" w:firstLineChars="200"/>
        <w:textAlignment w:val="auto"/>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3.投标保证金</w:t>
      </w:r>
    </w:p>
    <w:p w14:paraId="6AC01F6A">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投标人须向招标人缴纳投标保证金，投标保证金为</w:t>
      </w:r>
      <w:r>
        <w:rPr>
          <w:rFonts w:hint="eastAsia" w:ascii="仿宋_GB2312" w:hAnsi="仿宋" w:eastAsia="仿宋_GB2312" w:cs="Times New Roman"/>
          <w:sz w:val="30"/>
          <w:szCs w:val="30"/>
          <w:highlight w:val="none"/>
          <w:lang w:val="en-US" w:eastAsia="zh-CN"/>
        </w:rPr>
        <w:t>5</w:t>
      </w:r>
      <w:r>
        <w:rPr>
          <w:rFonts w:hint="eastAsia" w:ascii="仿宋_GB2312" w:hAnsi="仿宋" w:eastAsia="仿宋_GB2312" w:cs="Times New Roman"/>
          <w:sz w:val="30"/>
          <w:szCs w:val="30"/>
          <w:highlight w:val="none"/>
        </w:rPr>
        <w:t>000元（人民币大写</w:t>
      </w:r>
      <w:r>
        <w:rPr>
          <w:rFonts w:hint="eastAsia" w:ascii="仿宋_GB2312" w:hAnsi="仿宋" w:eastAsia="仿宋_GB2312" w:cs="Times New Roman"/>
          <w:sz w:val="30"/>
          <w:szCs w:val="30"/>
          <w:highlight w:val="none"/>
          <w:lang w:val="en-US" w:eastAsia="zh-CN"/>
        </w:rPr>
        <w:t>伍仟</w:t>
      </w:r>
      <w:r>
        <w:rPr>
          <w:rFonts w:hint="eastAsia" w:ascii="仿宋_GB2312" w:hAnsi="仿宋" w:eastAsia="仿宋_GB2312" w:cs="Times New Roman"/>
          <w:sz w:val="30"/>
          <w:szCs w:val="30"/>
          <w:highlight w:val="none"/>
        </w:rPr>
        <w:t>元整），本次招标收取的投标保证金公对公（基本账户）以现汇形式进行交款，不允许以个人名义交款，汇款时必须注明</w:t>
      </w:r>
      <w:r>
        <w:rPr>
          <w:rFonts w:hint="default" w:ascii="仿宋_GB2312" w:hAnsi="仿宋" w:eastAsia="仿宋_GB2312" w:cs="Times New Roman"/>
          <w:color w:val="000000"/>
          <w:sz w:val="30"/>
          <w:szCs w:val="30"/>
          <w:highlight w:val="none"/>
          <w:lang w:val="en-US" w:eastAsia="zh-CN"/>
        </w:rPr>
        <w:t>“中国重汽</w:t>
      </w:r>
      <w:r>
        <w:rPr>
          <w:rFonts w:hint="eastAsia" w:ascii="仿宋_GB2312" w:hAnsi="仿宋" w:eastAsia="仿宋_GB2312" w:cs="Times New Roman"/>
          <w:color w:val="000000"/>
          <w:sz w:val="30"/>
          <w:szCs w:val="30"/>
          <w:highlight w:val="none"/>
          <w:lang w:val="en-US" w:eastAsia="zh-CN"/>
        </w:rPr>
        <w:t>工程技术人员广联达BIM算量软件、新版清单计价标准及新定额应用提升课程培训</w:t>
      </w:r>
      <w:r>
        <w:rPr>
          <w:rFonts w:hint="default" w:ascii="仿宋_GB2312" w:hAnsi="仿宋" w:eastAsia="仿宋_GB2312" w:cs="Times New Roman"/>
          <w:color w:val="000000"/>
          <w:sz w:val="30"/>
          <w:szCs w:val="30"/>
          <w:highlight w:val="none"/>
          <w:lang w:val="en-US" w:eastAsia="zh-CN"/>
        </w:rPr>
        <w:t>服务</w:t>
      </w:r>
      <w:r>
        <w:rPr>
          <w:rFonts w:hint="eastAsia" w:ascii="仿宋_GB2312" w:hAnsi="仿宋" w:eastAsia="仿宋_GB2312" w:cs="Times New Roman"/>
          <w:color w:val="000000"/>
          <w:sz w:val="30"/>
          <w:szCs w:val="30"/>
          <w:highlight w:val="none"/>
          <w:lang w:val="en-US" w:eastAsia="zh-CN"/>
        </w:rPr>
        <w:t>保证金</w:t>
      </w:r>
      <w:r>
        <w:rPr>
          <w:rFonts w:hint="default" w:ascii="仿宋_GB2312" w:hAnsi="仿宋" w:eastAsia="仿宋_GB2312" w:cs="Times New Roman"/>
          <w:color w:val="000000"/>
          <w:sz w:val="30"/>
          <w:szCs w:val="30"/>
          <w:highlight w:val="none"/>
          <w:lang w:val="en-US" w:eastAsia="zh-CN"/>
        </w:rPr>
        <w:t>”</w:t>
      </w:r>
      <w:r>
        <w:rPr>
          <w:rFonts w:hint="eastAsia" w:ascii="仿宋_GB2312" w:hAnsi="仿宋" w:eastAsia="仿宋_GB2312" w:cs="Times New Roman"/>
          <w:sz w:val="30"/>
          <w:szCs w:val="30"/>
          <w:highlight w:val="none"/>
        </w:rPr>
        <w:t xml:space="preserve">，收款开户行及账户见下： </w:t>
      </w:r>
    </w:p>
    <w:p w14:paraId="352646DA">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名称：中国重汽集团济南动力有限公司</w:t>
      </w:r>
    </w:p>
    <w:p w14:paraId="2B75D9D0">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地址：山东省济南市高新区华奥路777号</w:t>
      </w:r>
    </w:p>
    <w:p w14:paraId="00767776">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电话：58062126</w:t>
      </w:r>
    </w:p>
    <w:p w14:paraId="5212C3F2">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账号：37001616508050150300</w:t>
      </w:r>
    </w:p>
    <w:p w14:paraId="6EE5C55E">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开户行行号：105451000362</w:t>
      </w:r>
    </w:p>
    <w:p w14:paraId="662C6D48">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财务电话：0531-58062181</w:t>
      </w:r>
    </w:p>
    <w:p w14:paraId="1AED740F">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开户行：中国建设银行济南市天桥区支行</w:t>
      </w:r>
    </w:p>
    <w:p w14:paraId="427458D6">
      <w:pPr>
        <w:pStyle w:val="41"/>
        <w:pageBreakBefore w:val="0"/>
        <w:kinsoku/>
        <w:wordWrap/>
        <w:overflowPunct/>
        <w:topLinePunct w:val="0"/>
        <w:bidi w:val="0"/>
        <w:spacing w:line="520" w:lineRule="exact"/>
        <w:ind w:firstLine="600"/>
        <w:textAlignment w:val="auto"/>
        <w:rPr>
          <w:rFonts w:hint="default"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rPr>
        <w:t>投标人需将付款证明发送至邮箱。开标时，投标人须向招标人提供付款证明。中标单位的招标保证金在</w:t>
      </w:r>
      <w:r>
        <w:rPr>
          <w:rFonts w:hint="eastAsia" w:ascii="仿宋_GB2312" w:hAnsi="仿宋" w:eastAsia="仿宋_GB2312" w:cs="Times New Roman"/>
          <w:sz w:val="30"/>
          <w:szCs w:val="30"/>
          <w:highlight w:val="none"/>
          <w:lang w:val="en-US" w:eastAsia="zh-CN"/>
        </w:rPr>
        <w:t>培训完成</w:t>
      </w:r>
      <w:r>
        <w:rPr>
          <w:rFonts w:hint="eastAsia" w:ascii="仿宋_GB2312" w:hAnsi="仿宋" w:eastAsia="仿宋_GB2312" w:cs="Times New Roman"/>
          <w:sz w:val="30"/>
          <w:szCs w:val="30"/>
          <w:highlight w:val="none"/>
        </w:rPr>
        <w:t>后的下一月返还到交纳账户；未中标单位的投标保证金在中标结果公布后的下一月返还到交纳账户；开标现场被判定为否决单位的，其投标保证金在开标之后的下一月返还到交纳账户。</w:t>
      </w:r>
      <w:r>
        <w:rPr>
          <w:rFonts w:hint="eastAsia" w:ascii="仿宋_GB2312" w:hAnsi="仿宋" w:eastAsia="仿宋_GB2312" w:cs="Times New Roman"/>
          <w:sz w:val="30"/>
          <w:szCs w:val="30"/>
          <w:highlight w:val="none"/>
          <w:lang w:val="en-US" w:eastAsia="zh-CN"/>
        </w:rPr>
        <w:t>保证金均为无息返还。</w:t>
      </w:r>
    </w:p>
    <w:p w14:paraId="2D942E92">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发生以下情况时，招标人有权没收投标保证金：</w:t>
      </w:r>
    </w:p>
    <w:p w14:paraId="31C31988">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a）截至开标前 3 天，投标人无正当理由、未以书面形式向招标人递交说明而在投标截止日不来投标的；</w:t>
      </w:r>
    </w:p>
    <w:p w14:paraId="3839AB64">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b）投标人递送投标文件后，无正当理由放弃投标的；</w:t>
      </w:r>
    </w:p>
    <w:p w14:paraId="58C9ED9F">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c）自中标通知书发出之日起 30 日内，中标人无正当理由不与招标人签订合同的；</w:t>
      </w:r>
    </w:p>
    <w:p w14:paraId="0493777D">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d）投标人在投标过程中被查实有串标、围标、陪标等违法违纪行为的；</w:t>
      </w:r>
    </w:p>
    <w:p w14:paraId="29C7CA32">
      <w:pPr>
        <w:pStyle w:val="41"/>
        <w:pageBreakBefore w:val="0"/>
        <w:kinsoku/>
        <w:wordWrap/>
        <w:overflowPunct/>
        <w:topLinePunct w:val="0"/>
        <w:bidi w:val="0"/>
        <w:spacing w:line="520" w:lineRule="exact"/>
        <w:ind w:firstLine="600"/>
        <w:textAlignment w:val="auto"/>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e）投标人有违约违规行为或被投诉、举报的，在调查处理期间，保证金暂不退还，待调查处理结束后按有关规定处理。</w:t>
      </w:r>
    </w:p>
    <w:p w14:paraId="618B389C">
      <w:pPr>
        <w:spacing w:line="500" w:lineRule="exact"/>
        <w:ind w:firstLine="602" w:firstLineChars="200"/>
        <w:jc w:val="left"/>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lang w:val="en-US" w:eastAsia="zh-CN"/>
        </w:rPr>
        <w:t>4</w:t>
      </w:r>
      <w:r>
        <w:rPr>
          <w:rFonts w:hint="eastAsia" w:ascii="楷体_GB2312" w:hAnsi="楷体_GB2312" w:eastAsia="楷体_GB2312" w:cs="楷体_GB2312"/>
          <w:b/>
          <w:bCs/>
          <w:sz w:val="30"/>
          <w:szCs w:val="30"/>
          <w:highlight w:val="none"/>
        </w:rPr>
        <w:t>.投标报价</w:t>
      </w:r>
    </w:p>
    <w:p w14:paraId="700C7772">
      <w:pPr>
        <w:pStyle w:val="12"/>
        <w:spacing w:line="500" w:lineRule="exact"/>
        <w:ind w:firstLine="600" w:firstLineChars="200"/>
        <w:rPr>
          <w:rFonts w:hint="eastAsia"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lang w:val="en-US" w:eastAsia="zh-CN"/>
        </w:rPr>
        <w:t>4</w:t>
      </w:r>
      <w:r>
        <w:rPr>
          <w:rFonts w:hint="eastAsia" w:ascii="仿宋_GB2312" w:hAnsi="仿宋" w:eastAsia="仿宋_GB2312" w:cs="Times New Roman"/>
          <w:color w:val="000000"/>
          <w:sz w:val="30"/>
          <w:szCs w:val="30"/>
          <w:highlight w:val="none"/>
        </w:rPr>
        <w:t>.1投标人</w:t>
      </w:r>
    </w:p>
    <w:p w14:paraId="584C2A2D">
      <w:pPr>
        <w:pStyle w:val="12"/>
        <w:spacing w:line="500" w:lineRule="exact"/>
        <w:ind w:firstLine="600" w:firstLineChars="200"/>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须在投标截止日期前将电子标书上传到重汽e采通平台。若逾期未完成重汽e采通上传标书，投标无效。</w:t>
      </w:r>
    </w:p>
    <w:p w14:paraId="1504D6D6">
      <w:pPr>
        <w:pStyle w:val="12"/>
        <w:spacing w:line="500" w:lineRule="exact"/>
        <w:ind w:firstLine="600" w:firstLineChars="200"/>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lang w:val="en-US" w:eastAsia="zh-CN"/>
        </w:rPr>
        <w:t>4</w:t>
      </w:r>
      <w:r>
        <w:rPr>
          <w:rFonts w:hint="eastAsia" w:ascii="仿宋_GB2312" w:hAnsi="仿宋" w:eastAsia="仿宋_GB2312" w:cs="Times New Roman"/>
          <w:color w:val="000000"/>
          <w:sz w:val="30"/>
          <w:szCs w:val="30"/>
          <w:highlight w:val="none"/>
        </w:rPr>
        <w:t>.2投标报价应包括培训课程开发及师资、培训物料等全部费用，除此之外，采购方无需支付任何费用。</w:t>
      </w:r>
    </w:p>
    <w:p w14:paraId="518E007F">
      <w:pPr>
        <w:pStyle w:val="12"/>
        <w:spacing w:line="500" w:lineRule="exact"/>
        <w:ind w:firstLine="600" w:firstLineChars="200"/>
        <w:rPr>
          <w:rFonts w:hint="eastAsia"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lang w:val="en-US" w:eastAsia="zh-CN"/>
        </w:rPr>
        <w:t>4</w:t>
      </w:r>
      <w:r>
        <w:rPr>
          <w:rFonts w:hint="eastAsia" w:ascii="仿宋_GB2312" w:hAnsi="仿宋" w:eastAsia="仿宋_GB2312" w:cs="Times New Roman"/>
          <w:color w:val="000000"/>
          <w:sz w:val="30"/>
          <w:szCs w:val="30"/>
          <w:highlight w:val="none"/>
        </w:rPr>
        <w:t>.3报价货币单位为元（人民币），报价时须注明税率等信息。</w:t>
      </w:r>
    </w:p>
    <w:p w14:paraId="6E055422">
      <w:pPr>
        <w:pStyle w:val="12"/>
        <w:spacing w:line="500" w:lineRule="exact"/>
        <w:ind w:firstLine="600" w:firstLineChars="200"/>
        <w:rPr>
          <w:rFonts w:hint="eastAsia" w:ascii="仿宋_GB2312" w:hAnsi="仿宋" w:eastAsia="仿宋_GB2312" w:cs="Times New Roman"/>
          <w:b w:val="0"/>
          <w:bCs w:val="0"/>
          <w:color w:val="auto"/>
          <w:sz w:val="30"/>
          <w:szCs w:val="30"/>
          <w:highlight w:val="none"/>
          <w:lang w:val="en-US" w:eastAsia="zh-CN"/>
        </w:rPr>
      </w:pPr>
      <w:r>
        <w:rPr>
          <w:rFonts w:hint="eastAsia" w:ascii="仿宋_GB2312" w:hAnsi="仿宋" w:eastAsia="仿宋_GB2312" w:cs="Times New Roman"/>
          <w:b w:val="0"/>
          <w:bCs w:val="0"/>
          <w:color w:val="auto"/>
          <w:sz w:val="30"/>
          <w:szCs w:val="30"/>
          <w:highlight w:val="none"/>
          <w:lang w:val="en-US" w:eastAsia="zh-CN"/>
        </w:rPr>
        <w:t>4.4项目预算：人民币8万元（含税）。</w:t>
      </w:r>
    </w:p>
    <w:p w14:paraId="761B40C9">
      <w:pPr>
        <w:pageBreakBefore w:val="0"/>
        <w:kinsoku/>
        <w:wordWrap/>
        <w:overflowPunct/>
        <w:topLinePunct w:val="0"/>
        <w:bidi w:val="0"/>
        <w:spacing w:line="560" w:lineRule="exact"/>
        <w:ind w:firstLine="602" w:firstLineChars="200"/>
        <w:jc w:val="left"/>
        <w:textAlignment w:val="auto"/>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lang w:val="en-US" w:eastAsia="zh-CN"/>
        </w:rPr>
        <w:t>5</w:t>
      </w:r>
      <w:r>
        <w:rPr>
          <w:rFonts w:hint="eastAsia" w:ascii="楷体_GB2312" w:hAnsi="楷体_GB2312" w:eastAsia="楷体_GB2312" w:cs="楷体_GB2312"/>
          <w:b/>
          <w:bCs/>
          <w:sz w:val="30"/>
          <w:szCs w:val="30"/>
          <w:highlight w:val="none"/>
        </w:rPr>
        <w:t>.评标过程</w:t>
      </w:r>
    </w:p>
    <w:p w14:paraId="15B12286">
      <w:pPr>
        <w:pageBreakBefore w:val="0"/>
        <w:kinsoku/>
        <w:wordWrap/>
        <w:overflowPunct/>
        <w:topLinePunct w:val="0"/>
        <w:bidi w:val="0"/>
        <w:spacing w:line="560" w:lineRule="exact"/>
        <w:ind w:firstLine="600" w:firstLineChars="200"/>
        <w:textAlignment w:val="auto"/>
        <w:rPr>
          <w:rFonts w:ascii="黑体" w:hAnsi="黑体" w:eastAsia="黑体" w:cs="黑体"/>
          <w:b/>
          <w:bCs/>
          <w:sz w:val="30"/>
          <w:szCs w:val="30"/>
          <w:highlight w:val="none"/>
        </w:rPr>
      </w:pPr>
      <w:r>
        <w:rPr>
          <w:rFonts w:hint="eastAsia" w:ascii="仿宋_GB2312" w:hAnsi="仿宋" w:eastAsia="仿宋_GB2312"/>
          <w:sz w:val="30"/>
          <w:szCs w:val="30"/>
          <w:highlight w:val="none"/>
        </w:rPr>
        <w:t>为保证项目顺利实施，由招标人组织、按国家法律法规及公司相关规章制度要求，设立评标工作小组，投标人在讲标时，须由拟担任招标项目的项目经理及项目组成员讲标，其中：讲标</w:t>
      </w:r>
      <w:r>
        <w:rPr>
          <w:rFonts w:hint="eastAsia" w:ascii="仿宋_GB2312" w:hAnsi="仿宋" w:eastAsia="仿宋_GB2312"/>
          <w:sz w:val="30"/>
          <w:szCs w:val="30"/>
          <w:highlight w:val="none"/>
          <w:lang w:val="en-US" w:eastAsia="zh-CN"/>
        </w:rPr>
        <w:t>15</w:t>
      </w:r>
      <w:r>
        <w:rPr>
          <w:rFonts w:hint="eastAsia" w:ascii="仿宋_GB2312" w:hAnsi="仿宋" w:eastAsia="仿宋_GB2312"/>
          <w:sz w:val="30"/>
          <w:szCs w:val="30"/>
          <w:highlight w:val="none"/>
        </w:rPr>
        <w:t>分钟，现场答疑时间</w:t>
      </w:r>
      <w:r>
        <w:rPr>
          <w:rFonts w:hint="eastAsia" w:ascii="仿宋_GB2312" w:hAnsi="仿宋" w:eastAsia="仿宋_GB2312"/>
          <w:sz w:val="30"/>
          <w:szCs w:val="30"/>
          <w:highlight w:val="none"/>
          <w:lang w:val="en-US" w:eastAsia="zh-CN"/>
        </w:rPr>
        <w:t>15</w:t>
      </w:r>
      <w:r>
        <w:rPr>
          <w:rFonts w:hint="eastAsia" w:ascii="仿宋_GB2312" w:hAnsi="仿宋" w:eastAsia="仿宋_GB2312"/>
          <w:sz w:val="30"/>
          <w:szCs w:val="30"/>
          <w:highlight w:val="none"/>
        </w:rPr>
        <w:t>分钟。</w:t>
      </w:r>
      <w:r>
        <w:rPr>
          <w:rFonts w:hint="eastAsia" w:ascii="黑体" w:hAnsi="黑体" w:eastAsia="黑体" w:cs="黑体"/>
          <w:b/>
          <w:bCs/>
          <w:sz w:val="30"/>
          <w:szCs w:val="30"/>
          <w:highlight w:val="none"/>
        </w:rPr>
        <w:t xml:space="preserve">  </w:t>
      </w:r>
    </w:p>
    <w:p w14:paraId="5CC8E1F8">
      <w:pPr>
        <w:pageBreakBefore w:val="0"/>
        <w:kinsoku/>
        <w:wordWrap/>
        <w:overflowPunct/>
        <w:topLinePunct w:val="0"/>
        <w:bidi w:val="0"/>
        <w:spacing w:line="560" w:lineRule="exact"/>
        <w:ind w:firstLine="600" w:firstLineChars="200"/>
        <w:textAlignment w:val="auto"/>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.1通过应标资格审查，报名成功的单位进入投标环节，按照“SRM系统供应商用户手册”，在重汽e采通平台投递电子标书（包含资质标、商务标），没有通过应标资质审查的单位不能进入投标环节；</w:t>
      </w:r>
    </w:p>
    <w:p w14:paraId="50386A80">
      <w:pPr>
        <w:pageBreakBefore w:val="0"/>
        <w:kinsoku/>
        <w:wordWrap/>
        <w:overflowPunct/>
        <w:topLinePunct w:val="0"/>
        <w:bidi w:val="0"/>
        <w:spacing w:line="560" w:lineRule="exact"/>
        <w:ind w:firstLine="600" w:firstLineChars="200"/>
        <w:textAlignment w:val="auto"/>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.2资质标评审：招标人通过重汽e采通平台对投标人的资质标进行审核，审核通过的单位，进入</w:t>
      </w:r>
      <w:r>
        <w:rPr>
          <w:rFonts w:hint="eastAsia" w:ascii="仿宋_GB2312" w:hAnsi="仿宋" w:eastAsia="仿宋_GB2312"/>
          <w:sz w:val="30"/>
          <w:szCs w:val="30"/>
          <w:highlight w:val="none"/>
          <w:lang w:val="en-US" w:eastAsia="zh-CN"/>
        </w:rPr>
        <w:t>技术标和商务</w:t>
      </w:r>
      <w:r>
        <w:rPr>
          <w:rFonts w:hint="eastAsia" w:ascii="仿宋_GB2312" w:hAnsi="仿宋" w:eastAsia="仿宋_GB2312"/>
          <w:sz w:val="30"/>
          <w:szCs w:val="30"/>
          <w:highlight w:val="none"/>
        </w:rPr>
        <w:t>标评审；</w:t>
      </w:r>
    </w:p>
    <w:p w14:paraId="3194864B">
      <w:pPr>
        <w:pageBreakBefore w:val="0"/>
        <w:kinsoku/>
        <w:wordWrap/>
        <w:overflowPunct/>
        <w:topLinePunct w:val="0"/>
        <w:bidi w:val="0"/>
        <w:spacing w:line="560" w:lineRule="exact"/>
        <w:ind w:firstLine="600" w:firstLineChars="200"/>
        <w:textAlignment w:val="auto"/>
        <w:rPr>
          <w:rFonts w:hint="eastAsia" w:ascii="仿宋_GB2312" w:hAnsi="仿宋" w:eastAsia="仿宋_GB2312" w:cs="Times New Roman"/>
          <w:color w:val="auto"/>
          <w:sz w:val="30"/>
          <w:szCs w:val="30"/>
          <w:highlight w:val="none"/>
        </w:rPr>
      </w:pPr>
      <w:r>
        <w:rPr>
          <w:rFonts w:hint="eastAsia" w:ascii="仿宋_GB2312" w:hAnsi="仿宋" w:eastAsia="仿宋_GB2312" w:cs="Times New Roman"/>
          <w:color w:val="auto"/>
          <w:sz w:val="30"/>
          <w:szCs w:val="30"/>
          <w:highlight w:val="none"/>
          <w:lang w:val="en-US" w:eastAsia="zh-CN"/>
        </w:rPr>
        <w:t>5.3</w:t>
      </w:r>
      <w:r>
        <w:rPr>
          <w:rFonts w:hint="eastAsia" w:ascii="仿宋_GB2312" w:hAnsi="仿宋" w:eastAsia="仿宋_GB2312" w:cs="Times New Roman"/>
          <w:color w:val="auto"/>
          <w:sz w:val="30"/>
          <w:szCs w:val="30"/>
          <w:highlight w:val="none"/>
        </w:rPr>
        <w:t>本次评标采用技术标和商务标同时开标、分阶段评标的模式。首先进行技术标评审，由评标专家组对所有投标方的技术标部分综合评定和打分，确定进入商务标评比资格的投标方（技术标评分不带入商务标）</w:t>
      </w:r>
      <w:r>
        <w:rPr>
          <w:rFonts w:hint="eastAsia" w:ascii="仿宋_GB2312" w:hAnsi="仿宋" w:eastAsia="仿宋_GB2312" w:cs="Times New Roman"/>
          <w:color w:val="auto"/>
          <w:sz w:val="30"/>
          <w:szCs w:val="30"/>
          <w:highlight w:val="none"/>
          <w:lang w:eastAsia="zh-CN"/>
        </w:rPr>
        <w:t>，</w:t>
      </w:r>
      <w:r>
        <w:rPr>
          <w:rFonts w:hint="eastAsia" w:ascii="仿宋_GB2312" w:hAnsi="仿宋" w:eastAsia="仿宋_GB2312" w:cs="Times New Roman"/>
          <w:color w:val="auto"/>
          <w:sz w:val="30"/>
          <w:szCs w:val="30"/>
          <w:highlight w:val="none"/>
        </w:rPr>
        <w:t>然后进行商务标的评标，最终根据商务标的得分确定各投标人排序，原则上按照评标合理最低价确定推荐中标人（不保证最低价格中标），对未中标单位不做任何解释。</w:t>
      </w:r>
    </w:p>
    <w:p w14:paraId="06670E75">
      <w:pPr>
        <w:pageBreakBefore w:val="0"/>
        <w:kinsoku/>
        <w:wordWrap/>
        <w:overflowPunct/>
        <w:topLinePunct w:val="0"/>
        <w:bidi w:val="0"/>
        <w:spacing w:line="560" w:lineRule="exact"/>
        <w:ind w:firstLine="600" w:firstLineChars="200"/>
        <w:textAlignment w:val="auto"/>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3</w:t>
      </w:r>
      <w:r>
        <w:rPr>
          <w:rFonts w:hint="eastAsia" w:ascii="仿宋_GB2312" w:hAnsi="仿宋" w:eastAsia="仿宋_GB2312"/>
          <w:sz w:val="30"/>
          <w:szCs w:val="30"/>
          <w:highlight w:val="none"/>
        </w:rPr>
        <w:t>商务标评审：公开唱标→商务条款相应确认→价格澄清→商务标评审，采用多</w:t>
      </w:r>
      <w:r>
        <w:rPr>
          <w:rFonts w:hint="eastAsia" w:ascii="仿宋_GB2312" w:hAnsi="仿宋" w:eastAsia="仿宋_GB2312"/>
          <w:sz w:val="30"/>
          <w:szCs w:val="30"/>
          <w:highlight w:val="none"/>
          <w:lang w:val="en-US" w:eastAsia="zh-CN"/>
        </w:rPr>
        <w:t>级多</w:t>
      </w:r>
      <w:r>
        <w:rPr>
          <w:rFonts w:hint="eastAsia" w:ascii="仿宋_GB2312" w:hAnsi="仿宋" w:eastAsia="仿宋_GB2312"/>
          <w:sz w:val="30"/>
          <w:szCs w:val="30"/>
          <w:highlight w:val="none"/>
        </w:rPr>
        <w:t>轮商务谈判。评审期间产生的商务价格澄清均由投标人在重汽e采通平台内限时完成提交；</w:t>
      </w:r>
    </w:p>
    <w:p w14:paraId="146FEDC4">
      <w:pPr>
        <w:pageBreakBefore w:val="0"/>
        <w:kinsoku/>
        <w:wordWrap/>
        <w:overflowPunct/>
        <w:topLinePunct w:val="0"/>
        <w:bidi w:val="0"/>
        <w:spacing w:line="560" w:lineRule="exact"/>
        <w:ind w:firstLine="600" w:firstLineChars="200"/>
        <w:textAlignment w:val="auto"/>
        <w:rPr>
          <w:rFonts w:ascii="仿宋_GB2312" w:hAnsi="仿宋" w:eastAsia="仿宋_GB2312"/>
          <w:sz w:val="30"/>
          <w:szCs w:val="30"/>
          <w:highlight w:val="none"/>
        </w:rPr>
      </w:pPr>
      <w:r>
        <w:rPr>
          <w:rFonts w:hint="eastAsia" w:ascii="仿宋_GB2312" w:hAnsi="仿宋" w:eastAsia="仿宋_GB2312"/>
          <w:sz w:val="30"/>
          <w:szCs w:val="30"/>
          <w:highlight w:val="none"/>
        </w:rPr>
        <w:t xml:space="preserve">注意：投标人均需自带笔记本电脑在重汽e采通平台自主进行投标和提交澄清函；投标和提交澄清函均有时间限制，超时未提交的按无效处理。  </w:t>
      </w:r>
    </w:p>
    <w:p w14:paraId="1FEB030C">
      <w:pPr>
        <w:pageBreakBefore w:val="0"/>
        <w:kinsoku/>
        <w:wordWrap/>
        <w:overflowPunct/>
        <w:topLinePunct w:val="0"/>
        <w:bidi w:val="0"/>
        <w:spacing w:line="560" w:lineRule="exact"/>
        <w:ind w:firstLine="600" w:firstLineChars="200"/>
        <w:textAlignment w:val="auto"/>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w:t>
      </w:r>
      <w:r>
        <w:rPr>
          <w:rFonts w:hint="eastAsia" w:ascii="仿宋_GB2312" w:hAnsi="仿宋" w:eastAsia="仿宋_GB2312"/>
          <w:sz w:val="30"/>
          <w:szCs w:val="30"/>
          <w:highlight w:val="none"/>
          <w:lang w:val="en-US" w:eastAsia="zh-CN"/>
        </w:rPr>
        <w:t>4</w:t>
      </w:r>
      <w:r>
        <w:rPr>
          <w:rFonts w:hint="eastAsia" w:ascii="仿宋_GB2312" w:hAnsi="仿宋" w:eastAsia="仿宋_GB2312"/>
          <w:sz w:val="30"/>
          <w:szCs w:val="30"/>
          <w:highlight w:val="none"/>
        </w:rPr>
        <w:t>中标人确定：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2BD7F038">
      <w:pPr>
        <w:spacing w:line="500" w:lineRule="exact"/>
        <w:ind w:firstLine="602" w:firstLineChars="200"/>
        <w:jc w:val="left"/>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lang w:val="en-US" w:eastAsia="zh-CN"/>
        </w:rPr>
        <w:t>6</w:t>
      </w:r>
      <w:r>
        <w:rPr>
          <w:rFonts w:hint="eastAsia" w:ascii="楷体_GB2312" w:hAnsi="楷体_GB2312" w:eastAsia="楷体_GB2312" w:cs="楷体_GB2312"/>
          <w:b/>
          <w:bCs/>
          <w:sz w:val="30"/>
          <w:szCs w:val="30"/>
          <w:highlight w:val="none"/>
        </w:rPr>
        <w:t>.付款条件及付款方式</w:t>
      </w:r>
    </w:p>
    <w:p w14:paraId="259FC049">
      <w:pPr>
        <w:autoSpaceDE w:val="0"/>
        <w:autoSpaceDN w:val="0"/>
        <w:adjustRightInd w:val="0"/>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.1付款条件：签署合同后，经甲方对</w:t>
      </w:r>
      <w:r>
        <w:rPr>
          <w:rFonts w:hint="eastAsia" w:ascii="仿宋_GB2312" w:hAnsi="仿宋" w:eastAsia="仿宋_GB2312"/>
          <w:sz w:val="30"/>
          <w:szCs w:val="30"/>
          <w:highlight w:val="none"/>
          <w:lang w:val="en-US" w:eastAsia="zh-CN"/>
        </w:rPr>
        <w:t>项目</w:t>
      </w:r>
      <w:r>
        <w:rPr>
          <w:rFonts w:hint="eastAsia" w:ascii="仿宋_GB2312" w:hAnsi="仿宋" w:eastAsia="仿宋_GB2312"/>
          <w:sz w:val="30"/>
          <w:szCs w:val="30"/>
          <w:highlight w:val="none"/>
        </w:rPr>
        <w:t>完成情况进行确认后</w:t>
      </w:r>
      <w:r>
        <w:rPr>
          <w:rFonts w:hint="eastAsia" w:ascii="仿宋_GB2312" w:hAnsi="仿宋" w:eastAsia="仿宋_GB2312"/>
          <w:sz w:val="30"/>
          <w:szCs w:val="30"/>
          <w:highlight w:val="none"/>
          <w:lang w:val="en-US" w:eastAsia="zh-CN"/>
        </w:rPr>
        <w:t>进行</w:t>
      </w:r>
      <w:r>
        <w:rPr>
          <w:rFonts w:hint="eastAsia" w:ascii="仿宋_GB2312" w:hAnsi="仿宋" w:eastAsia="仿宋_GB2312"/>
          <w:sz w:val="30"/>
          <w:szCs w:val="30"/>
          <w:highlight w:val="none"/>
        </w:rPr>
        <w:t>结算。</w:t>
      </w:r>
    </w:p>
    <w:p w14:paraId="112BDEC7">
      <w:pPr>
        <w:autoSpaceDE/>
        <w:autoSpaceDN/>
        <w:adjustRightInd/>
        <w:spacing w:beforeLines="0" w:afterLines="0" w:line="500" w:lineRule="exact"/>
        <w:ind w:firstLine="600" w:firstLineChars="200"/>
        <w:jc w:val="left"/>
        <w:rPr>
          <w:rFonts w:hint="eastAsia" w:ascii="黑体" w:hAnsi="黑体" w:eastAsia="黑体" w:cs="黑体"/>
          <w:b/>
          <w:bCs/>
          <w:sz w:val="30"/>
          <w:szCs w:val="30"/>
          <w:highlight w:val="none"/>
        </w:rPr>
      </w:pP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.2付款方式：</w:t>
      </w:r>
      <w:r>
        <w:rPr>
          <w:rFonts w:hint="eastAsia" w:ascii="黑体" w:hAnsi="黑体" w:eastAsia="黑体" w:cs="黑体"/>
          <w:b/>
          <w:bCs/>
          <w:color w:val="auto"/>
          <w:sz w:val="30"/>
          <w:szCs w:val="30"/>
          <w:highlight w:val="none"/>
          <w:lang w:val="en-US" w:eastAsia="zh-CN"/>
        </w:rPr>
        <w:t>半年期商业汇票（包含银行承兑汇票和商业承兑汇票）</w:t>
      </w:r>
      <w:r>
        <w:rPr>
          <w:rFonts w:hint="eastAsia" w:ascii="黑体" w:hAnsi="黑体" w:eastAsia="黑体" w:cs="黑体"/>
          <w:b/>
          <w:bCs/>
          <w:sz w:val="30"/>
          <w:szCs w:val="30"/>
          <w:highlight w:val="none"/>
        </w:rPr>
        <w:t>。</w:t>
      </w:r>
    </w:p>
    <w:p w14:paraId="021E6A78">
      <w:pPr>
        <w:autoSpaceDE/>
        <w:autoSpaceDN/>
        <w:adjustRightInd/>
        <w:spacing w:beforeLines="0" w:afterLines="0" w:line="500" w:lineRule="exact"/>
        <w:ind w:firstLine="600" w:firstLineChars="200"/>
        <w:jc w:val="left"/>
        <w:rPr>
          <w:rFonts w:hint="eastAsia" w:ascii="仿宋_GB2312" w:hAnsi="仿宋" w:eastAsia="仿宋_GB2312"/>
          <w:sz w:val="30"/>
          <w:szCs w:val="30"/>
          <w:highlight w:val="none"/>
        </w:rPr>
      </w:pPr>
      <w:bookmarkStart w:id="5" w:name="_Toc30928"/>
      <w:r>
        <w:rPr>
          <w:rFonts w:hint="eastAsia" w:ascii="仿宋_GB2312" w:hAnsi="仿宋" w:eastAsia="仿宋_GB2312"/>
          <w:sz w:val="30"/>
          <w:szCs w:val="30"/>
          <w:highlight w:val="none"/>
        </w:rPr>
        <w:t>乙方完成甲方的需求，乙方开具合同价款100%的收据并增值税专用发票，经甲方核对无误后支付。</w:t>
      </w:r>
    </w:p>
    <w:p w14:paraId="4455AAB4">
      <w:pPr>
        <w:autoSpaceDE/>
        <w:autoSpaceDN/>
        <w:adjustRightInd/>
        <w:spacing w:beforeLines="0" w:afterLines="0" w:line="500" w:lineRule="exact"/>
        <w:ind w:firstLine="600" w:firstLineChars="200"/>
        <w:jc w:val="left"/>
        <w:rPr>
          <w:rFonts w:hint="eastAsia" w:ascii="仿宋_GB2312" w:hAnsi="仿宋" w:eastAsia="仿宋_GB2312" w:cs="Times New Roman"/>
          <w:b w:val="0"/>
          <w:bCs w:val="0"/>
          <w:sz w:val="30"/>
          <w:szCs w:val="30"/>
          <w:highlight w:val="none"/>
        </w:rPr>
      </w:pPr>
      <w:r>
        <w:rPr>
          <w:rFonts w:hint="eastAsia" w:ascii="仿宋_GB2312" w:hAnsi="仿宋" w:eastAsia="仿宋_GB2312"/>
          <w:sz w:val="30"/>
          <w:szCs w:val="30"/>
          <w:highlight w:val="none"/>
        </w:rPr>
        <w:t>乙方按照合同约定提供培训服务，</w:t>
      </w:r>
      <w:r>
        <w:rPr>
          <w:rFonts w:hint="eastAsia" w:ascii="仿宋_GB2312" w:hAnsi="仿宋" w:eastAsia="仿宋_GB2312"/>
          <w:sz w:val="30"/>
          <w:szCs w:val="30"/>
          <w:highlight w:val="none"/>
          <w:lang w:val="en-US" w:eastAsia="zh-CN"/>
        </w:rPr>
        <w:t>项目结束后，甲方</w:t>
      </w:r>
      <w:r>
        <w:rPr>
          <w:rFonts w:hint="eastAsia" w:ascii="仿宋_GB2312" w:hAnsi="仿宋" w:eastAsia="仿宋_GB2312"/>
          <w:sz w:val="30"/>
          <w:szCs w:val="30"/>
          <w:highlight w:val="none"/>
        </w:rPr>
        <w:t>根据乙方服务质量、评价结果进行</w:t>
      </w:r>
      <w:r>
        <w:rPr>
          <w:rFonts w:hint="eastAsia" w:ascii="仿宋_GB2312" w:hAnsi="仿宋" w:eastAsia="仿宋_GB2312"/>
          <w:sz w:val="30"/>
          <w:szCs w:val="30"/>
          <w:highlight w:val="none"/>
          <w:lang w:val="en-US" w:eastAsia="zh-CN"/>
        </w:rPr>
        <w:t>费用</w:t>
      </w:r>
      <w:r>
        <w:rPr>
          <w:rFonts w:hint="eastAsia" w:ascii="仿宋_GB2312" w:hAnsi="仿宋" w:eastAsia="仿宋_GB2312"/>
          <w:sz w:val="30"/>
          <w:szCs w:val="30"/>
          <w:highlight w:val="none"/>
        </w:rPr>
        <w:t>结算</w:t>
      </w:r>
      <w:r>
        <w:rPr>
          <w:rFonts w:hint="eastAsia" w:ascii="仿宋_GB2312" w:hAnsi="仿宋" w:eastAsia="仿宋_GB2312"/>
          <w:sz w:val="30"/>
          <w:szCs w:val="30"/>
          <w:highlight w:val="none"/>
          <w:lang w:eastAsia="zh-CN"/>
        </w:rPr>
        <w:t>。</w:t>
      </w:r>
      <w:r>
        <w:rPr>
          <w:rFonts w:hint="eastAsia" w:ascii="仿宋_GB2312" w:hAnsi="仿宋" w:eastAsia="仿宋_GB2312" w:cs="Times New Roman"/>
          <w:b w:val="0"/>
          <w:bCs w:val="0"/>
          <w:sz w:val="30"/>
          <w:szCs w:val="30"/>
          <w:highlight w:val="none"/>
        </w:rPr>
        <w:t>培训过程中，对乙方的培训效果进行现场评价，评价采取计分法，满分为100分</w:t>
      </w:r>
      <w:r>
        <w:rPr>
          <w:rFonts w:hint="eastAsia" w:ascii="仿宋_GB2312" w:hAnsi="仿宋" w:eastAsia="仿宋_GB2312" w:cs="Times New Roman"/>
          <w:b w:val="0"/>
          <w:bCs w:val="0"/>
          <w:sz w:val="30"/>
          <w:szCs w:val="30"/>
          <w:highlight w:val="none"/>
          <w:lang w:eastAsia="zh-CN"/>
        </w:rPr>
        <w:t>，</w:t>
      </w:r>
      <w:r>
        <w:rPr>
          <w:rFonts w:hint="eastAsia" w:ascii="仿宋_GB2312" w:hAnsi="仿宋" w:eastAsia="仿宋_GB2312" w:cs="Times New Roman"/>
          <w:b w:val="0"/>
          <w:bCs w:val="0"/>
          <w:sz w:val="30"/>
          <w:szCs w:val="30"/>
          <w:highlight w:val="none"/>
        </w:rPr>
        <w:t>得分&gt;85分的，按合同履行金额100%支付；80≤总得分&lt;85分，按合同履行金额80%支付；总得分&lt;80分，按合同履行金额60%支付，并取消其继续合作资格，视情况列入重汽供应商黑名单。</w:t>
      </w:r>
      <w:r>
        <w:rPr>
          <w:rFonts w:hint="eastAsia" w:ascii="仿宋_GB2312" w:hAnsi="仿宋" w:eastAsia="仿宋_GB2312"/>
          <w:sz w:val="30"/>
          <w:szCs w:val="30"/>
          <w:highlight w:val="none"/>
        </w:rPr>
        <w:t>乙方按合同约定金额的</w:t>
      </w:r>
      <w:r>
        <w:rPr>
          <w:rFonts w:hint="eastAsia" w:ascii="仿宋_GB2312" w:hAnsi="仿宋" w:eastAsia="仿宋_GB2312"/>
          <w:sz w:val="30"/>
          <w:szCs w:val="30"/>
          <w:highlight w:val="none"/>
          <w:lang w:val="en-US" w:eastAsia="zh-CN"/>
        </w:rPr>
        <w:t>对应比例</w:t>
      </w:r>
      <w:r>
        <w:rPr>
          <w:rFonts w:hint="eastAsia" w:ascii="仿宋_GB2312" w:hAnsi="仿宋" w:eastAsia="仿宋_GB2312"/>
          <w:sz w:val="30"/>
          <w:szCs w:val="30"/>
          <w:highlight w:val="none"/>
        </w:rPr>
        <w:t>开具符合法律规定的增值税专用发票</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甲方收到发票后30个工作日内支付发票载明的采购费用。</w:t>
      </w:r>
    </w:p>
    <w:p w14:paraId="3428FB56">
      <w:pPr>
        <w:autoSpaceDE/>
        <w:autoSpaceDN/>
        <w:adjustRightInd/>
        <w:spacing w:beforeLines="0" w:afterLines="0" w:line="500" w:lineRule="exact"/>
        <w:ind w:firstLine="600" w:firstLineChars="200"/>
        <w:jc w:val="left"/>
        <w:rPr>
          <w:rFonts w:hint="eastAsia" w:ascii="仿宋_GB2312" w:hAnsi="仿宋" w:eastAsia="仿宋_GB2312" w:cs="Times New Roman"/>
          <w:b w:val="0"/>
          <w:bCs w:val="0"/>
          <w:sz w:val="30"/>
          <w:szCs w:val="30"/>
          <w:highlight w:val="none"/>
          <w:lang w:eastAsia="zh-CN"/>
        </w:rPr>
      </w:pPr>
      <w:r>
        <w:rPr>
          <w:rFonts w:hint="eastAsia" w:ascii="仿宋_GB2312" w:hAnsi="Calibri" w:eastAsia="仿宋_GB2312" w:cs="Times New Roman"/>
          <w:sz w:val="30"/>
          <w:szCs w:val="30"/>
          <w:highlight w:val="none"/>
        </w:rPr>
        <w:t>因发票违规给付款方造成的增值税、所得税等损失，由开票方承担相关责任，包括但不限于税款、滞纳金、罚款及其它相关损失</w:t>
      </w:r>
      <w:r>
        <w:rPr>
          <w:rFonts w:hint="eastAsia" w:ascii="仿宋_GB2312" w:hAnsi="Calibri" w:eastAsia="仿宋_GB2312" w:cs="Times New Roman"/>
          <w:sz w:val="30"/>
          <w:szCs w:val="30"/>
          <w:highlight w:val="none"/>
          <w:lang w:eastAsia="zh-CN"/>
        </w:rPr>
        <w:t>。</w:t>
      </w:r>
    </w:p>
    <w:p w14:paraId="4A989A2E">
      <w:pPr>
        <w:spacing w:line="500" w:lineRule="exact"/>
        <w:ind w:firstLine="602" w:firstLineChars="200"/>
        <w:jc w:val="left"/>
        <w:outlineLvl w:val="1"/>
        <w:rPr>
          <w:rFonts w:hint="eastAsia" w:ascii="楷体_GB2312" w:hAnsi="楷体_GB2312" w:eastAsia="楷体_GB2312" w:cs="楷体_GB2312"/>
          <w:b/>
          <w:bCs/>
          <w:sz w:val="30"/>
          <w:szCs w:val="30"/>
          <w:highlight w:val="none"/>
          <w:lang w:eastAsia="zh-CN"/>
        </w:rPr>
      </w:pPr>
      <w:r>
        <w:rPr>
          <w:rFonts w:hint="eastAsia" w:ascii="楷体_GB2312" w:hAnsi="楷体_GB2312" w:eastAsia="楷体_GB2312" w:cs="楷体_GB2312"/>
          <w:b/>
          <w:bCs/>
          <w:sz w:val="30"/>
          <w:szCs w:val="30"/>
          <w:highlight w:val="none"/>
          <w:lang w:val="en-US" w:eastAsia="zh-CN"/>
        </w:rPr>
        <w:t>7</w:t>
      </w:r>
      <w:r>
        <w:rPr>
          <w:rFonts w:hint="eastAsia" w:ascii="楷体_GB2312" w:hAnsi="楷体_GB2312" w:eastAsia="楷体_GB2312" w:cs="楷体_GB2312"/>
          <w:b/>
          <w:bCs/>
          <w:sz w:val="30"/>
          <w:szCs w:val="30"/>
          <w:highlight w:val="none"/>
        </w:rPr>
        <w:t>.评标原则和评分标准</w:t>
      </w:r>
    </w:p>
    <w:p w14:paraId="1C8ED61D">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1评标工作由招标人为该项目依法组织的、由3人及以上单数成员组成的评标工作小组负责。由评标工作小组按照国家招投标有关规定，本着公平、公正、公开、有序的原则，在最大限度地满足招标文件实质性要求的前提下，按照招标文件中规定的各项因素进行评审。</w:t>
      </w:r>
    </w:p>
    <w:p w14:paraId="1E9EED0C">
      <w:pPr>
        <w:pStyle w:val="12"/>
        <w:spacing w:line="500" w:lineRule="exact"/>
        <w:ind w:firstLine="600" w:firstLineChars="200"/>
        <w:outlineLvl w:val="2"/>
        <w:rPr>
          <w:highlight w:val="none"/>
        </w:rPr>
      </w:pPr>
      <w:r>
        <w:rPr>
          <w:rFonts w:hint="eastAsia" w:ascii="仿宋_GB2312" w:hAnsi="仿宋" w:eastAsia="仿宋_GB2312" w:cs="Times New Roman"/>
          <w:sz w:val="30"/>
          <w:szCs w:val="30"/>
          <w:highlight w:val="none"/>
        </w:rPr>
        <w:t>商务标评分标准</w:t>
      </w:r>
      <w:r>
        <w:rPr>
          <w:rFonts w:hint="eastAsia" w:ascii="仿宋_GB2312" w:hAnsi="仿宋" w:eastAsia="仿宋_GB2312" w:cs="Times New Roman"/>
          <w:sz w:val="30"/>
          <w:szCs w:val="30"/>
          <w:highlight w:val="none"/>
          <w:u w:val="none"/>
          <w:lang w:eastAsia="zh-CN"/>
        </w:rPr>
        <w:t>：商务标采用多轮评标方式。除开标唱标为公开报价方式外，后续多轮澄清报价均为非公开的方式，在重汽e采通进行提报。</w:t>
      </w:r>
    </w:p>
    <w:p w14:paraId="2F55D9F6">
      <w:pPr>
        <w:spacing w:line="500" w:lineRule="exact"/>
        <w:ind w:firstLine="600" w:firstLineChars="200"/>
        <w:rPr>
          <w:rFonts w:hint="eastAsia" w:ascii="黑体" w:hAnsi="黑体" w:eastAsia="黑体" w:cs="黑体"/>
          <w:b/>
          <w:bCs/>
          <w:sz w:val="30"/>
          <w:szCs w:val="30"/>
          <w:highlight w:val="none"/>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.2对于未能提供承诺书证明材料的，一票否决。</w:t>
      </w:r>
      <w:r>
        <w:rPr>
          <w:rFonts w:hint="eastAsia" w:ascii="仿宋_GB2312" w:hAnsi="仿宋" w:eastAsia="仿宋_GB2312"/>
          <w:color w:val="000000" w:themeColor="text1"/>
          <w:sz w:val="30"/>
          <w:szCs w:val="30"/>
          <w:highlight w:val="none"/>
          <w14:textFill>
            <w14:solidFill>
              <w14:schemeClr w14:val="tx1"/>
            </w14:solidFill>
          </w14:textFill>
        </w:rPr>
        <w:t>投标文件未密封或资料不完整、投标人对招标文件的实质性要求未做出全面响应、有迹象表明投标人串通投标、中标后无正当理由在规定的时间不签订合同的、投标人提供的投标文件弄虚作假及其它违反法律、法规规定情形的，视为无效投标。</w:t>
      </w:r>
    </w:p>
    <w:p w14:paraId="7E43E48C">
      <w:pPr>
        <w:spacing w:line="500" w:lineRule="exact"/>
        <w:ind w:firstLine="602" w:firstLineChars="200"/>
        <w:jc w:val="left"/>
        <w:outlineLvl w:val="0"/>
        <w:rPr>
          <w:rFonts w:ascii="黑体" w:hAnsi="黑体" w:eastAsia="黑体" w:cs="黑体"/>
          <w:b/>
          <w:bCs/>
          <w:sz w:val="30"/>
          <w:szCs w:val="30"/>
          <w:highlight w:val="none"/>
        </w:rPr>
      </w:pPr>
      <w:r>
        <w:rPr>
          <w:rFonts w:hint="eastAsia" w:ascii="黑体" w:hAnsi="黑体" w:eastAsia="黑体" w:cs="黑体"/>
          <w:b/>
          <w:bCs/>
          <w:sz w:val="30"/>
          <w:szCs w:val="30"/>
          <w:highlight w:val="none"/>
        </w:rPr>
        <w:t>四、投标文件</w:t>
      </w:r>
      <w:bookmarkEnd w:id="5"/>
    </w:p>
    <w:p w14:paraId="317FFA59">
      <w:pPr>
        <w:spacing w:line="500" w:lineRule="exact"/>
        <w:ind w:firstLine="600" w:firstLineChars="200"/>
        <w:jc w:val="left"/>
        <w:outlineLvl w:val="1"/>
        <w:rPr>
          <w:rFonts w:ascii="仿宋_GB2312" w:hAnsi="仿宋" w:eastAsia="仿宋_GB2312"/>
          <w:sz w:val="30"/>
          <w:szCs w:val="30"/>
          <w:highlight w:val="none"/>
        </w:rPr>
      </w:pPr>
      <w:r>
        <w:rPr>
          <w:rFonts w:hint="eastAsia" w:ascii="仿宋_GB2312" w:hAnsi="仿宋" w:eastAsia="仿宋_GB2312"/>
          <w:sz w:val="30"/>
          <w:szCs w:val="30"/>
          <w:highlight w:val="none"/>
        </w:rPr>
        <w:t>1.投标文件组成</w:t>
      </w:r>
    </w:p>
    <w:p w14:paraId="648A393F">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投标人的投标文件由资格证明文件、</w:t>
      </w:r>
      <w:r>
        <w:rPr>
          <w:rFonts w:hint="eastAsia" w:ascii="仿宋_GB2312" w:hAnsi="仿宋" w:eastAsia="仿宋_GB2312"/>
          <w:sz w:val="30"/>
          <w:szCs w:val="30"/>
          <w:highlight w:val="none"/>
          <w:lang w:val="en-US" w:eastAsia="zh-CN"/>
        </w:rPr>
        <w:t>技术标、</w:t>
      </w:r>
      <w:r>
        <w:rPr>
          <w:rFonts w:hint="eastAsia" w:ascii="仿宋_GB2312" w:hAnsi="仿宋" w:eastAsia="仿宋_GB2312"/>
          <w:sz w:val="30"/>
          <w:szCs w:val="30"/>
          <w:highlight w:val="none"/>
        </w:rPr>
        <w:t>商务</w:t>
      </w:r>
      <w:r>
        <w:rPr>
          <w:rFonts w:hint="eastAsia" w:ascii="仿宋_GB2312" w:hAnsi="仿宋" w:eastAsia="仿宋_GB2312"/>
          <w:sz w:val="30"/>
          <w:szCs w:val="30"/>
          <w:highlight w:val="none"/>
          <w:lang w:val="en-US" w:eastAsia="zh-CN"/>
        </w:rPr>
        <w:t>标共三部分</w:t>
      </w:r>
      <w:r>
        <w:rPr>
          <w:rFonts w:hint="eastAsia" w:ascii="仿宋_GB2312" w:hAnsi="仿宋" w:eastAsia="仿宋_GB2312"/>
          <w:sz w:val="30"/>
          <w:szCs w:val="30"/>
          <w:highlight w:val="none"/>
        </w:rPr>
        <w:t>构成。</w:t>
      </w:r>
    </w:p>
    <w:p w14:paraId="0A930621">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注1：招标文件给定格式的按给定的格式填写，未给定格式的，由投标人自行编制，但需包含以下内容。</w:t>
      </w:r>
    </w:p>
    <w:p w14:paraId="0EB5FE9C">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注2：以下需（可）提供的招标文件均需加盖公章。</w:t>
      </w:r>
    </w:p>
    <w:p w14:paraId="7917BEB7">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注3：为提高评标效率，请投标人按照所列的资料清单内容及顺序编制投标文件，如投标人未按照以下内容及顺序编制投标文件，可能会影响得分，请各投标单位务必注意。</w:t>
      </w:r>
    </w:p>
    <w:p w14:paraId="30F1C66A">
      <w:pPr>
        <w:spacing w:line="500" w:lineRule="exact"/>
        <w:ind w:firstLine="602" w:firstLineChars="200"/>
        <w:jc w:val="left"/>
        <w:outlineLvl w:val="2"/>
        <w:rPr>
          <w:rFonts w:ascii="仿宋_GB2312" w:hAnsi="仿宋" w:eastAsia="仿宋_GB2312"/>
          <w:b/>
          <w:bCs/>
          <w:sz w:val="30"/>
          <w:szCs w:val="30"/>
          <w:highlight w:val="none"/>
        </w:rPr>
      </w:pPr>
      <w:r>
        <w:rPr>
          <w:rFonts w:hint="eastAsia" w:ascii="仿宋_GB2312" w:hAnsi="仿宋" w:eastAsia="仿宋_GB2312"/>
          <w:b/>
          <w:bCs/>
          <w:sz w:val="30"/>
          <w:szCs w:val="30"/>
          <w:highlight w:val="none"/>
        </w:rPr>
        <w:t>1.1资格证明文件包括：</w:t>
      </w:r>
    </w:p>
    <w:p w14:paraId="06C1538A">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（1）营业执照等相关经营资质复印件；</w:t>
      </w:r>
    </w:p>
    <w:p w14:paraId="30AFBDD2">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（2）法定代表人或授权代理人身份</w:t>
      </w:r>
      <w:r>
        <w:rPr>
          <w:rFonts w:hint="eastAsia" w:ascii="仿宋_GB2312" w:hAnsi="仿宋" w:eastAsia="仿宋_GB2312"/>
          <w:sz w:val="30"/>
          <w:szCs w:val="30"/>
          <w:highlight w:val="none"/>
          <w:lang w:val="en-US" w:eastAsia="zh-CN"/>
        </w:rPr>
        <w:t>证明文件</w:t>
      </w:r>
      <w:r>
        <w:rPr>
          <w:rFonts w:hint="eastAsia" w:ascii="仿宋_GB2312" w:hAnsi="仿宋" w:eastAsia="仿宋_GB2312"/>
          <w:sz w:val="30"/>
          <w:szCs w:val="30"/>
          <w:highlight w:val="none"/>
        </w:rPr>
        <w:t>和法定代表人授权委托书；</w:t>
      </w:r>
    </w:p>
    <w:p w14:paraId="048C29FD">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（3）投标人基本情况表；</w:t>
      </w:r>
    </w:p>
    <w:p w14:paraId="10918DF0">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（4）服务承诺函；</w:t>
      </w:r>
    </w:p>
    <w:p w14:paraId="4A4194B2">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5）投标人信誉良好，无招标违法违规、谎报年度报告信息、提供虚假资质资料等行为或其他与本投标项目有关的行政处罚的证明材料；（“国家企业信用信息公示系统”、“中国执行信息公开网”、“信用中国”、“天眼查”、“判决文书网”等信息平台信用中国截图</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至少一项）；</w:t>
      </w:r>
    </w:p>
    <w:p w14:paraId="06C57CA6">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（6）投标人的直接或间接股东、法定代表人、董事、监事、高管非重汽员工及亲属的证明；</w:t>
      </w:r>
    </w:p>
    <w:p w14:paraId="03128C80">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（7）企业最近半年完税证明、信用证明材料（中国人民银行信用代码证+征信报告）；</w:t>
      </w:r>
    </w:p>
    <w:p w14:paraId="07F1F5BA">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 xml:space="preserve">（8）年度纳税信用评价信息（可从电子税务局查询截图，需加盖公章）； </w:t>
      </w:r>
    </w:p>
    <w:p w14:paraId="55E74C91">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（9）企业对外担保说明（写明贵单位对外有无对外担保和质押业务，需加盖公章）;</w:t>
      </w:r>
    </w:p>
    <w:p w14:paraId="1F6FAD64">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（10</w:t>
      </w:r>
      <w:r>
        <w:rPr>
          <w:rFonts w:ascii="仿宋_GB2312" w:hAnsi="仿宋" w:eastAsia="仿宋_GB2312"/>
          <w:sz w:val="30"/>
          <w:szCs w:val="30"/>
          <w:highlight w:val="none"/>
        </w:rPr>
        <w:t>）</w:t>
      </w:r>
      <w:r>
        <w:rPr>
          <w:rFonts w:hint="eastAsia" w:ascii="仿宋_GB2312" w:hAnsi="仿宋" w:eastAsia="仿宋_GB2312"/>
          <w:sz w:val="30"/>
          <w:szCs w:val="30"/>
          <w:highlight w:val="none"/>
        </w:rPr>
        <w:t>经会计师事务所审计且出具无保留意见的</w:t>
      </w:r>
      <w:r>
        <w:rPr>
          <w:rFonts w:hint="eastAsia" w:ascii="黑体" w:hAnsi="黑体" w:eastAsia="黑体" w:cs="黑体"/>
          <w:b/>
          <w:bCs/>
          <w:sz w:val="30"/>
          <w:szCs w:val="30"/>
          <w:highlight w:val="none"/>
        </w:rPr>
        <w:t>近三年的财务审计报告，并加盖公章</w:t>
      </w:r>
      <w:r>
        <w:rPr>
          <w:rFonts w:hint="eastAsia" w:ascii="仿宋_GB2312" w:hAnsi="仿宋" w:eastAsia="仿宋_GB2312"/>
          <w:sz w:val="30"/>
          <w:szCs w:val="30"/>
          <w:highlight w:val="none"/>
        </w:rPr>
        <w:t>，包括但不限于报告页、经审计的资产负债表、利润表、现金流量表及报表附注;</w:t>
      </w:r>
    </w:p>
    <w:p w14:paraId="0CFCE6B2">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如投标人公司没有经审计的财务报告，</w:t>
      </w:r>
      <w:r>
        <w:rPr>
          <w:rFonts w:hint="eastAsia" w:ascii="黑体" w:hAnsi="黑体" w:eastAsia="黑体" w:cs="黑体"/>
          <w:b/>
          <w:bCs/>
          <w:sz w:val="30"/>
          <w:szCs w:val="30"/>
          <w:highlight w:val="none"/>
        </w:rPr>
        <w:t>可提供加盖公章的近三年财务报表</w:t>
      </w:r>
      <w:r>
        <w:rPr>
          <w:rFonts w:hint="eastAsia" w:ascii="仿宋_GB2312" w:hAnsi="仿宋" w:eastAsia="仿宋_GB2312"/>
          <w:sz w:val="30"/>
          <w:szCs w:val="30"/>
          <w:highlight w:val="none"/>
        </w:rPr>
        <w:t>，包括但不限于资产负债表、利润表、现金流量表。应提供中文版本的审计报告或财务报表；</w:t>
      </w:r>
    </w:p>
    <w:p w14:paraId="5E546F79">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（11）投标人认为对其投标有利的其他资料；</w:t>
      </w:r>
    </w:p>
    <w:p w14:paraId="5FE59030">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（12）法律法规对合格投标人的其他要求、规定。</w:t>
      </w:r>
    </w:p>
    <w:p w14:paraId="7CBC994C">
      <w:pPr>
        <w:spacing w:line="500" w:lineRule="exact"/>
        <w:ind w:firstLine="602" w:firstLineChars="200"/>
        <w:jc w:val="left"/>
        <w:outlineLvl w:val="2"/>
        <w:rPr>
          <w:rFonts w:hint="eastAsia" w:ascii="仿宋_GB2312" w:hAnsi="仿宋" w:eastAsia="仿宋_GB2312"/>
          <w:b/>
          <w:bCs/>
          <w:color w:val="auto"/>
          <w:sz w:val="30"/>
          <w:szCs w:val="30"/>
          <w:highlight w:val="none"/>
          <w:lang w:val="en-US" w:eastAsia="zh-CN"/>
        </w:rPr>
      </w:pPr>
      <w:r>
        <w:rPr>
          <w:rFonts w:hint="eastAsia" w:ascii="仿宋_GB2312" w:hAnsi="仿宋" w:eastAsia="仿宋_GB2312"/>
          <w:b/>
          <w:bCs/>
          <w:color w:val="auto"/>
          <w:sz w:val="30"/>
          <w:szCs w:val="30"/>
          <w:highlight w:val="none"/>
        </w:rPr>
        <w:t>1.</w:t>
      </w:r>
      <w:r>
        <w:rPr>
          <w:rFonts w:hint="eastAsia" w:ascii="仿宋_GB2312" w:hAnsi="仿宋" w:eastAsia="仿宋_GB2312"/>
          <w:b/>
          <w:bCs/>
          <w:color w:val="auto"/>
          <w:sz w:val="30"/>
          <w:szCs w:val="30"/>
          <w:highlight w:val="none"/>
          <w:lang w:val="en-US" w:eastAsia="zh-CN"/>
        </w:rPr>
        <w:t>2技术标文件包括：</w:t>
      </w:r>
    </w:p>
    <w:p w14:paraId="42D58866">
      <w:pPr>
        <w:numPr>
          <w:ilvl w:val="0"/>
          <w:numId w:val="4"/>
        </w:numPr>
        <w:spacing w:line="500" w:lineRule="exact"/>
        <w:ind w:firstLine="600" w:firstLineChars="200"/>
        <w:jc w:val="left"/>
        <w:outlineLvl w:val="2"/>
        <w:rPr>
          <w:rFonts w:hint="default" w:ascii="仿宋_GB2312" w:hAnsi="仿宋" w:eastAsia="仿宋_GB2312"/>
          <w:b w:val="0"/>
          <w:bCs w:val="0"/>
          <w:color w:val="auto"/>
          <w:sz w:val="30"/>
          <w:szCs w:val="30"/>
          <w:highlight w:val="none"/>
          <w:lang w:val="en-US" w:eastAsia="zh-CN"/>
        </w:rPr>
      </w:pPr>
      <w:r>
        <w:rPr>
          <w:rFonts w:hint="eastAsia" w:ascii="仿宋_GB2312" w:hAnsi="仿宋" w:eastAsia="仿宋_GB2312"/>
          <w:b w:val="0"/>
          <w:bCs w:val="0"/>
          <w:color w:val="auto"/>
          <w:sz w:val="30"/>
          <w:szCs w:val="30"/>
          <w:highlight w:val="none"/>
          <w:lang w:val="en-US" w:eastAsia="zh-CN"/>
        </w:rPr>
        <w:t>培训方案，要求对本次招标内容进行分解，明确具体的培训计划；</w:t>
      </w:r>
    </w:p>
    <w:p w14:paraId="6E010473">
      <w:pPr>
        <w:numPr>
          <w:ilvl w:val="0"/>
          <w:numId w:val="4"/>
        </w:numPr>
        <w:spacing w:line="500" w:lineRule="exact"/>
        <w:ind w:firstLine="600" w:firstLineChars="200"/>
        <w:jc w:val="left"/>
        <w:outlineLvl w:val="2"/>
        <w:rPr>
          <w:rFonts w:hint="default" w:ascii="仿宋_GB2312" w:hAnsi="仿宋" w:eastAsia="仿宋_GB2312"/>
          <w:b w:val="0"/>
          <w:bCs w:val="0"/>
          <w:color w:val="auto"/>
          <w:sz w:val="30"/>
          <w:szCs w:val="30"/>
          <w:highlight w:val="none"/>
          <w:lang w:val="en-US" w:eastAsia="zh-CN"/>
        </w:rPr>
      </w:pPr>
      <w:r>
        <w:rPr>
          <w:rFonts w:hint="eastAsia" w:ascii="仿宋_GB2312" w:hAnsi="仿宋" w:eastAsia="仿宋_GB2312"/>
          <w:b w:val="0"/>
          <w:bCs w:val="0"/>
          <w:color w:val="auto"/>
          <w:sz w:val="30"/>
          <w:szCs w:val="30"/>
          <w:highlight w:val="none"/>
          <w:lang w:val="en-US" w:eastAsia="zh-CN"/>
        </w:rPr>
        <w:t>拟派到本项目的培训讲师履历及业绩等介绍；</w:t>
      </w:r>
    </w:p>
    <w:p w14:paraId="0F2480A1">
      <w:pPr>
        <w:numPr>
          <w:ilvl w:val="0"/>
          <w:numId w:val="4"/>
        </w:numPr>
        <w:spacing w:line="500" w:lineRule="exact"/>
        <w:ind w:firstLine="600" w:firstLineChars="200"/>
        <w:jc w:val="left"/>
        <w:outlineLvl w:val="2"/>
        <w:rPr>
          <w:rFonts w:hint="default" w:ascii="仿宋_GB2312" w:hAnsi="仿宋" w:eastAsia="仿宋_GB2312"/>
          <w:b w:val="0"/>
          <w:bCs w:val="0"/>
          <w:color w:val="auto"/>
          <w:sz w:val="30"/>
          <w:szCs w:val="30"/>
          <w:highlight w:val="none"/>
          <w:lang w:val="en-US" w:eastAsia="zh-CN"/>
        </w:rPr>
      </w:pPr>
      <w:r>
        <w:rPr>
          <w:rFonts w:hint="eastAsia" w:ascii="仿宋_GB2312" w:hAnsi="仿宋" w:eastAsia="仿宋_GB2312"/>
          <w:b w:val="0"/>
          <w:bCs w:val="0"/>
          <w:color w:val="auto"/>
          <w:sz w:val="30"/>
          <w:szCs w:val="30"/>
          <w:highlight w:val="none"/>
          <w:lang w:val="en-US" w:eastAsia="zh-CN"/>
        </w:rPr>
        <w:t>培训工期及质量保证措施；</w:t>
      </w:r>
    </w:p>
    <w:p w14:paraId="0142D01C">
      <w:pPr>
        <w:numPr>
          <w:ilvl w:val="0"/>
          <w:numId w:val="4"/>
        </w:numPr>
        <w:spacing w:line="500" w:lineRule="exact"/>
        <w:ind w:firstLine="600" w:firstLineChars="200"/>
        <w:jc w:val="left"/>
        <w:outlineLvl w:val="2"/>
        <w:rPr>
          <w:rFonts w:hint="default" w:ascii="仿宋_GB2312" w:hAnsi="仿宋" w:eastAsia="仿宋_GB2312"/>
          <w:b w:val="0"/>
          <w:bCs w:val="0"/>
          <w:color w:val="auto"/>
          <w:sz w:val="30"/>
          <w:szCs w:val="30"/>
          <w:highlight w:val="none"/>
          <w:lang w:val="en-US" w:eastAsia="zh-CN"/>
        </w:rPr>
      </w:pPr>
      <w:r>
        <w:rPr>
          <w:rFonts w:hint="eastAsia" w:ascii="仿宋_GB2312" w:hAnsi="仿宋" w:eastAsia="仿宋_GB2312"/>
          <w:b w:val="0"/>
          <w:bCs w:val="0"/>
          <w:color w:val="auto"/>
          <w:sz w:val="30"/>
          <w:szCs w:val="30"/>
          <w:highlight w:val="none"/>
          <w:lang w:val="en-US" w:eastAsia="zh-CN"/>
        </w:rPr>
        <w:t>招标文件规定的其他内容。</w:t>
      </w:r>
    </w:p>
    <w:p w14:paraId="0E0B1B75">
      <w:pPr>
        <w:spacing w:line="500" w:lineRule="exact"/>
        <w:ind w:firstLine="602" w:firstLineChars="200"/>
        <w:jc w:val="left"/>
        <w:outlineLvl w:val="2"/>
        <w:rPr>
          <w:rFonts w:ascii="仿宋_GB2312" w:hAnsi="仿宋" w:eastAsia="仿宋_GB2312"/>
          <w:b/>
          <w:bCs/>
          <w:sz w:val="30"/>
          <w:szCs w:val="30"/>
          <w:highlight w:val="none"/>
        </w:rPr>
      </w:pPr>
      <w:r>
        <w:rPr>
          <w:rFonts w:hint="eastAsia" w:ascii="仿宋_GB2312" w:hAnsi="仿宋" w:eastAsia="仿宋_GB2312"/>
          <w:b/>
          <w:bCs/>
          <w:sz w:val="30"/>
          <w:szCs w:val="30"/>
          <w:highlight w:val="none"/>
          <w:lang w:val="en-US" w:eastAsia="zh-CN"/>
        </w:rPr>
        <w:t>1.3</w:t>
      </w:r>
      <w:r>
        <w:rPr>
          <w:rFonts w:hint="eastAsia" w:ascii="仿宋_GB2312" w:hAnsi="仿宋" w:eastAsia="仿宋_GB2312"/>
          <w:b/>
          <w:bCs/>
          <w:sz w:val="30"/>
          <w:szCs w:val="30"/>
          <w:highlight w:val="none"/>
        </w:rPr>
        <w:t>商务</w:t>
      </w:r>
      <w:r>
        <w:rPr>
          <w:rFonts w:hint="eastAsia" w:ascii="仿宋_GB2312" w:hAnsi="仿宋" w:eastAsia="仿宋_GB2312"/>
          <w:b/>
          <w:bCs/>
          <w:sz w:val="30"/>
          <w:szCs w:val="30"/>
          <w:highlight w:val="none"/>
          <w:lang w:val="en-US" w:eastAsia="zh-CN"/>
        </w:rPr>
        <w:t>标</w:t>
      </w:r>
      <w:r>
        <w:rPr>
          <w:rFonts w:hint="eastAsia" w:ascii="仿宋_GB2312" w:hAnsi="仿宋" w:eastAsia="仿宋_GB2312"/>
          <w:b/>
          <w:bCs/>
          <w:sz w:val="30"/>
          <w:szCs w:val="30"/>
          <w:highlight w:val="none"/>
        </w:rPr>
        <w:t>文件包括：</w:t>
      </w:r>
    </w:p>
    <w:p w14:paraId="48403662">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（1）投标函；</w:t>
      </w:r>
    </w:p>
    <w:p w14:paraId="77E7855C">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（2）投标报价明细表</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lang w:val="en-US" w:eastAsia="zh-CN"/>
        </w:rPr>
        <w:t>报价格式见技术协议书“</w:t>
      </w:r>
      <w:r>
        <w:rPr>
          <w:rFonts w:hint="eastAsia" w:ascii="仿宋_GB2312" w:hAnsi="仿宋_GB2312" w:eastAsia="仿宋_GB2312" w:cs="仿宋_GB2312"/>
          <w:sz w:val="30"/>
          <w:szCs w:val="30"/>
          <w:highlight w:val="none"/>
          <w:lang w:eastAsia="zh-CN"/>
        </w:rPr>
        <w:t>标的组成及分类”</w:t>
      </w:r>
      <w:r>
        <w:rPr>
          <w:rFonts w:hint="eastAsia" w:ascii="仿宋_GB2312" w:hAnsi="仿宋_GB2312" w:eastAsia="仿宋_GB2312" w:cs="仿宋_GB2312"/>
          <w:sz w:val="30"/>
          <w:szCs w:val="30"/>
          <w:highlight w:val="none"/>
          <w:lang w:val="en-US" w:eastAsia="zh-CN"/>
        </w:rPr>
        <w:t>中的分项报价表格格式</w:t>
      </w:r>
      <w:r>
        <w:rPr>
          <w:rFonts w:hint="eastAsia" w:ascii="仿宋_GB2312" w:hAnsi="仿宋_GB2312" w:eastAsia="仿宋_GB2312" w:cs="仿宋_GB2312"/>
          <w:sz w:val="30"/>
          <w:szCs w:val="30"/>
          <w:highlight w:val="none"/>
          <w:lang w:eastAsia="zh-CN"/>
        </w:rPr>
        <w:t>）</w:t>
      </w:r>
      <w:r>
        <w:rPr>
          <w:rFonts w:hint="eastAsia" w:ascii="仿宋_GB2312" w:hAnsi="仿宋_GB2312" w:eastAsia="仿宋_GB2312" w:cs="仿宋_GB2312"/>
          <w:sz w:val="30"/>
          <w:szCs w:val="30"/>
          <w:highlight w:val="none"/>
        </w:rPr>
        <w:t>；</w:t>
      </w:r>
    </w:p>
    <w:p w14:paraId="441D6624">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（3）经营业绩一览表；</w:t>
      </w:r>
    </w:p>
    <w:p w14:paraId="45BB769A">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（4）对本项目招标文件及“合同条款”的认同说明。</w:t>
      </w:r>
    </w:p>
    <w:p w14:paraId="04A4B56C">
      <w:pPr>
        <w:spacing w:line="500" w:lineRule="exact"/>
        <w:ind w:firstLine="600" w:firstLineChars="200"/>
        <w:jc w:val="left"/>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2.投标文件的装订</w:t>
      </w:r>
    </w:p>
    <w:p w14:paraId="60EA08B6">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color w:val="auto"/>
          <w:sz w:val="30"/>
          <w:szCs w:val="30"/>
          <w:highlight w:val="none"/>
        </w:rPr>
        <w:t>投标人必须将投标文件按照投标文件组成的顺序装订</w:t>
      </w:r>
      <w:r>
        <w:rPr>
          <w:rFonts w:hint="eastAsia" w:ascii="仿宋_GB2312" w:hAnsi="仿宋_GB2312" w:eastAsia="仿宋_GB2312" w:cs="仿宋_GB2312"/>
          <w:color w:val="auto"/>
          <w:sz w:val="30"/>
          <w:szCs w:val="30"/>
          <w:highlight w:val="none"/>
          <w:lang w:val="en-US" w:eastAsia="zh-CN"/>
        </w:rPr>
        <w:t>成</w:t>
      </w:r>
      <w:r>
        <w:rPr>
          <w:rFonts w:hint="eastAsia" w:ascii="仿宋_GB2312" w:hAnsi="仿宋_GB2312" w:eastAsia="仿宋_GB2312" w:cs="仿宋_GB2312"/>
          <w:color w:val="auto"/>
          <w:sz w:val="30"/>
          <w:szCs w:val="30"/>
          <w:highlight w:val="none"/>
        </w:rPr>
        <w:t>册。</w:t>
      </w:r>
      <w:r>
        <w:rPr>
          <w:rFonts w:hint="eastAsia" w:ascii="仿宋_GB2312" w:hAnsi="仿宋_GB2312" w:eastAsia="仿宋_GB2312" w:cs="仿宋_GB2312"/>
          <w:color w:val="auto"/>
          <w:sz w:val="30"/>
          <w:szCs w:val="30"/>
          <w:highlight w:val="none"/>
          <w:lang w:val="en-US" w:eastAsia="zh-CN"/>
        </w:rPr>
        <w:t>资格证明文件1份；技术标和商务标各</w:t>
      </w:r>
      <w:r>
        <w:rPr>
          <w:rFonts w:hint="eastAsia" w:ascii="仿宋_GB2312" w:hAnsi="仿宋_GB2312" w:eastAsia="仿宋_GB2312" w:cs="仿宋_GB2312"/>
          <w:color w:val="auto"/>
          <w:sz w:val="30"/>
          <w:szCs w:val="30"/>
          <w:highlight w:val="none"/>
        </w:rPr>
        <w:t>一式</w:t>
      </w:r>
      <w:r>
        <w:rPr>
          <w:rFonts w:hint="eastAsia" w:ascii="仿宋_GB2312" w:hAnsi="仿宋_GB2312" w:eastAsia="仿宋_GB2312" w:cs="仿宋_GB2312"/>
          <w:color w:val="auto"/>
          <w:sz w:val="30"/>
          <w:szCs w:val="30"/>
          <w:highlight w:val="none"/>
          <w:lang w:val="en-US" w:eastAsia="zh-CN"/>
        </w:rPr>
        <w:t>2</w:t>
      </w:r>
      <w:r>
        <w:rPr>
          <w:rFonts w:hint="eastAsia" w:ascii="仿宋_GB2312" w:hAnsi="仿宋_GB2312" w:eastAsia="仿宋_GB2312" w:cs="仿宋_GB2312"/>
          <w:color w:val="auto"/>
          <w:sz w:val="30"/>
          <w:szCs w:val="30"/>
          <w:highlight w:val="none"/>
        </w:rPr>
        <w:t>份，其中正本</w:t>
      </w: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color w:val="auto"/>
          <w:sz w:val="30"/>
          <w:szCs w:val="30"/>
          <w:highlight w:val="none"/>
        </w:rPr>
        <w:t>份，副本</w:t>
      </w:r>
      <w:r>
        <w:rPr>
          <w:rFonts w:hint="eastAsia" w:ascii="仿宋_GB2312" w:hAnsi="仿宋_GB2312" w:eastAsia="仿宋_GB2312" w:cs="仿宋_GB2312"/>
          <w:color w:val="auto"/>
          <w:sz w:val="30"/>
          <w:szCs w:val="30"/>
          <w:highlight w:val="none"/>
          <w:lang w:val="en-US" w:eastAsia="zh-CN"/>
        </w:rPr>
        <w:t>1</w:t>
      </w:r>
      <w:r>
        <w:rPr>
          <w:rFonts w:hint="eastAsia" w:ascii="仿宋_GB2312" w:hAnsi="仿宋_GB2312" w:eastAsia="仿宋_GB2312" w:cs="仿宋_GB2312"/>
          <w:sz w:val="30"/>
          <w:szCs w:val="30"/>
          <w:highlight w:val="none"/>
        </w:rPr>
        <w:t>份，并提供</w:t>
      </w:r>
      <w:r>
        <w:rPr>
          <w:rFonts w:hint="eastAsia" w:ascii="仿宋_GB2312" w:hAnsi="仿宋_GB2312" w:eastAsia="仿宋_GB2312" w:cs="仿宋_GB2312"/>
          <w:sz w:val="30"/>
          <w:szCs w:val="30"/>
          <w:highlight w:val="none"/>
          <w:lang w:val="en-US" w:eastAsia="zh-CN"/>
        </w:rPr>
        <w:t>原件的</w:t>
      </w:r>
      <w:r>
        <w:rPr>
          <w:rFonts w:hint="eastAsia" w:ascii="仿宋_GB2312" w:hAnsi="仿宋_GB2312" w:eastAsia="仿宋_GB2312" w:cs="仿宋_GB2312"/>
          <w:sz w:val="30"/>
          <w:szCs w:val="30"/>
          <w:highlight w:val="none"/>
        </w:rPr>
        <w:t>扫描</w:t>
      </w:r>
      <w:r>
        <w:rPr>
          <w:rFonts w:hint="eastAsia" w:ascii="仿宋_GB2312" w:hAnsi="仿宋_GB2312" w:eastAsia="仿宋_GB2312" w:cs="仿宋_GB2312"/>
          <w:sz w:val="30"/>
          <w:szCs w:val="30"/>
          <w:highlight w:val="none"/>
          <w:lang w:val="en-US" w:eastAsia="zh-CN"/>
        </w:rPr>
        <w:t>件</w:t>
      </w:r>
      <w:r>
        <w:rPr>
          <w:rFonts w:hint="eastAsia" w:ascii="仿宋_GB2312" w:hAnsi="仿宋_GB2312" w:eastAsia="仿宋_GB2312" w:cs="仿宋_GB2312"/>
          <w:sz w:val="30"/>
          <w:szCs w:val="30"/>
          <w:highlight w:val="none"/>
        </w:rPr>
        <w:t>上传e采通系统。</w:t>
      </w:r>
    </w:p>
    <w:p w14:paraId="3D747738">
      <w:pPr>
        <w:spacing w:line="500" w:lineRule="exact"/>
        <w:ind w:firstLine="600" w:firstLineChars="200"/>
        <w:jc w:val="left"/>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3.报价注意事项</w:t>
      </w:r>
    </w:p>
    <w:p w14:paraId="78F90A5C">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3.1投标人要按投标规格名称、投标报价明细表（统一格式）的内容填写报价及其他事项，并由法人代表或授权代表签署。</w:t>
      </w:r>
    </w:p>
    <w:p w14:paraId="53ED8CEB">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3.2大写金额和小写金额不一致时，以大写金额为准。</w:t>
      </w:r>
    </w:p>
    <w:p w14:paraId="38DBC36E">
      <w:pPr>
        <w:spacing w:line="500" w:lineRule="exact"/>
        <w:ind w:firstLine="600" w:firstLineChars="200"/>
        <w:jc w:val="left"/>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4.投标文件签署</w:t>
      </w:r>
    </w:p>
    <w:p w14:paraId="156FE53F">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4.1投标文件应加盖投标人单位公章（不得使用其他形式如带有“专用章”等字样的印章）并经法定代表人或其委托代理人签字。</w:t>
      </w:r>
    </w:p>
    <w:p w14:paraId="6A97711C">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4.2本招标文件提供的投标文件式样中，标注有盖公章、签字之处，应有投标人的盖章、委托代理人的签字或法定代表人的签字。由委托代理人签字的投标资格证明文件中须附授权委托书。</w:t>
      </w:r>
    </w:p>
    <w:p w14:paraId="05D2D84F">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4.3签字须使用黑色或蓝色不可退色签字笔。</w:t>
      </w:r>
    </w:p>
    <w:p w14:paraId="0FA32CF7">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注：投标人代表必须按招标文件的规定签署投标文件，否则，其投标文件按无效投标处理。</w:t>
      </w:r>
    </w:p>
    <w:p w14:paraId="18357FBD">
      <w:pPr>
        <w:spacing w:line="500" w:lineRule="exact"/>
        <w:ind w:firstLine="602" w:firstLineChars="200"/>
        <w:jc w:val="left"/>
        <w:outlineLvl w:val="0"/>
        <w:rPr>
          <w:rFonts w:ascii="黑体" w:hAnsi="黑体" w:eastAsia="黑体" w:cs="黑体"/>
          <w:b/>
          <w:bCs/>
          <w:sz w:val="30"/>
          <w:szCs w:val="30"/>
          <w:highlight w:val="none"/>
        </w:rPr>
      </w:pPr>
      <w:bookmarkStart w:id="6" w:name="_Toc22774"/>
      <w:r>
        <w:rPr>
          <w:rFonts w:hint="eastAsia" w:ascii="黑体" w:hAnsi="黑体" w:eastAsia="黑体" w:cs="黑体"/>
          <w:b/>
          <w:bCs/>
          <w:sz w:val="30"/>
          <w:szCs w:val="30"/>
          <w:highlight w:val="none"/>
        </w:rPr>
        <w:t>五、合同签订</w:t>
      </w:r>
      <w:bookmarkEnd w:id="6"/>
    </w:p>
    <w:p w14:paraId="3658CCDB">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1.招标人根据评标工作小组的评标结果确定中标人，并书面通知中标人。</w:t>
      </w:r>
    </w:p>
    <w:p w14:paraId="6E1AB0C4">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2.中标结果将在重汽e采通平台公布。</w:t>
      </w:r>
    </w:p>
    <w:p w14:paraId="7F4A0660">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中标人收到中标结果后，应及时与招标人联系，在规定的时间内完成合同签订，如果中标人接到《中标通知书》后，无不正当理由拒签合同、在签订合同时向招标人提出无理附加条件的，取消该投标人的中标资格，该投标人2年内不得参与招标人关于该类服务和培训的招投标项目。</w:t>
      </w:r>
    </w:p>
    <w:p w14:paraId="63656B10">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4.中标人应当按照合同约定的履约责任，在保证质量的前提下完成中标项目，不得将中标项目转包或分包给他人，否则视为违约，招标人有权解除合同。</w:t>
      </w:r>
    </w:p>
    <w:p w14:paraId="13A603EB">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5.在履行合同过程中，中标人由于履行义务的能力或信用有严重缺陷，招标人有权解除合同并取消其中标资格，招标人将从中标候选单位中依序重新确定中标人，或重新组织招标。</w:t>
      </w:r>
    </w:p>
    <w:p w14:paraId="07F4A55B">
      <w:pPr>
        <w:spacing w:line="500" w:lineRule="exact"/>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rPr>
        <w:t>6.双方的权利义务以最终签署的合同为准</w:t>
      </w:r>
      <w:r>
        <w:rPr>
          <w:rFonts w:hint="eastAsia" w:ascii="仿宋_GB2312" w:hAnsi="仿宋_GB2312" w:eastAsia="仿宋_GB2312" w:cs="仿宋_GB2312"/>
          <w:sz w:val="30"/>
          <w:szCs w:val="30"/>
          <w:highlight w:val="none"/>
          <w:lang w:eastAsia="zh-CN"/>
        </w:rPr>
        <w:t>。</w:t>
      </w:r>
    </w:p>
    <w:p w14:paraId="6CB43BC8">
      <w:pPr>
        <w:pStyle w:val="12"/>
        <w:spacing w:line="500" w:lineRule="exact"/>
        <w:ind w:firstLine="602" w:firstLineChars="200"/>
        <w:outlineLvl w:val="0"/>
        <w:rPr>
          <w:rFonts w:ascii="黑体" w:hAnsi="黑体" w:eastAsia="黑体" w:cs="黑体"/>
          <w:b/>
          <w:bCs/>
          <w:sz w:val="30"/>
          <w:szCs w:val="30"/>
          <w:highlight w:val="none"/>
        </w:rPr>
      </w:pPr>
      <w:bookmarkStart w:id="7" w:name="_Toc28350"/>
      <w:r>
        <w:rPr>
          <w:rFonts w:hint="eastAsia" w:ascii="黑体" w:hAnsi="黑体" w:eastAsia="黑体" w:cs="黑体"/>
          <w:b/>
          <w:bCs/>
          <w:sz w:val="30"/>
          <w:szCs w:val="30"/>
          <w:highlight w:val="none"/>
        </w:rPr>
        <w:t>六、废标及终止招标</w:t>
      </w:r>
      <w:bookmarkEnd w:id="7"/>
    </w:p>
    <w:p w14:paraId="2354A9BB">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1.投标人有下列情形之一的，将被视为废标，招标人将按照有关法律法规行使权力。投标人给招标人造成损失的，招标人有索赔的权力，投标人应给予赔偿。</w:t>
      </w:r>
    </w:p>
    <w:p w14:paraId="31D21C86">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（1）投标人提供的有关资格、资质证明文件不全、不真实；</w:t>
      </w:r>
    </w:p>
    <w:p w14:paraId="4886145C">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（2）投标人在报价有效期内撤回投标；</w:t>
      </w:r>
    </w:p>
    <w:p w14:paraId="5CC1E00A">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（3）在评标过程中，投标人有企图影响评标结果公正性的任何项目；</w:t>
      </w:r>
    </w:p>
    <w:p w14:paraId="32C2331A">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（4）投标人以任何形式诋毁他人投标；</w:t>
      </w:r>
    </w:p>
    <w:p w14:paraId="574137D6">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（5）以他人名义投标或以任何方式骗取中标；</w:t>
      </w:r>
    </w:p>
    <w:p w14:paraId="50D48BF6">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（6）投标人对招标文件做出实质性变更</w:t>
      </w:r>
      <w:bookmarkStart w:id="8" w:name="_Hlk105656847"/>
      <w:r>
        <w:rPr>
          <w:rFonts w:hint="eastAsia" w:ascii="仿宋_GB2312" w:hAnsi="仿宋_GB2312" w:eastAsia="仿宋_GB2312" w:cs="仿宋_GB2312"/>
          <w:sz w:val="30"/>
          <w:szCs w:val="30"/>
          <w:highlight w:val="none"/>
        </w:rPr>
        <w:t>；</w:t>
      </w:r>
      <w:bookmarkEnd w:id="8"/>
    </w:p>
    <w:p w14:paraId="6E77D0F8">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（7）投标人被举报、检举，并经招标方查实无误的；</w:t>
      </w:r>
    </w:p>
    <w:p w14:paraId="1F62AE9C">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（8）投标单位负责人为同一人或存在管理关系的。</w:t>
      </w:r>
    </w:p>
    <w:p w14:paraId="2BBA4839">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（9）法律、法规规定的其他情况。</w:t>
      </w:r>
    </w:p>
    <w:p w14:paraId="3826CE61">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2.出现下列情形，招标人有权否决投标人的投标，并终止招标。</w:t>
      </w:r>
    </w:p>
    <w:p w14:paraId="45B10A7E">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（1）出现影响评审公正性的违法、违规行为；</w:t>
      </w:r>
    </w:p>
    <w:p w14:paraId="46BE3523">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（2）因重大变故，本项目取消；</w:t>
      </w:r>
    </w:p>
    <w:p w14:paraId="4B567847">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（3）符合投标条件的投标方或者对招标文件做实质响应的投标方不足3家的；</w:t>
      </w:r>
    </w:p>
    <w:p w14:paraId="1F2C95C4">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（4）不同投标人的投标文件异常一致或者投标报价呈规律性差异的；</w:t>
      </w:r>
    </w:p>
    <w:p w14:paraId="36FF5283">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（5）投标人报价均超过投标限价的；</w:t>
      </w:r>
    </w:p>
    <w:p w14:paraId="1E98FDDB">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（6）招标人认为其他应终止招标的情形。</w:t>
      </w:r>
    </w:p>
    <w:p w14:paraId="31FE448D">
      <w:pPr>
        <w:pStyle w:val="12"/>
        <w:spacing w:line="500" w:lineRule="exact"/>
        <w:ind w:firstLine="602" w:firstLineChars="200"/>
        <w:outlineLvl w:val="0"/>
        <w:rPr>
          <w:rFonts w:ascii="黑体" w:hAnsi="黑体" w:eastAsia="黑体" w:cs="黑体"/>
          <w:b/>
          <w:bCs/>
          <w:sz w:val="30"/>
          <w:szCs w:val="30"/>
          <w:highlight w:val="none"/>
        </w:rPr>
      </w:pPr>
      <w:bookmarkStart w:id="9" w:name="_Toc8621"/>
      <w:r>
        <w:rPr>
          <w:rFonts w:hint="eastAsia" w:ascii="黑体" w:hAnsi="黑体" w:eastAsia="黑体" w:cs="黑体"/>
          <w:b/>
          <w:bCs/>
          <w:sz w:val="30"/>
          <w:szCs w:val="30"/>
          <w:highlight w:val="none"/>
        </w:rPr>
        <w:t>七、中标人瑕疵滞后发现的处理原则</w:t>
      </w:r>
      <w:bookmarkEnd w:id="9"/>
    </w:p>
    <w:p w14:paraId="644C48BE">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75A5D5A">
      <w:pPr>
        <w:pStyle w:val="12"/>
        <w:spacing w:line="500" w:lineRule="exact"/>
        <w:ind w:firstLine="602" w:firstLineChars="200"/>
        <w:outlineLvl w:val="0"/>
        <w:rPr>
          <w:rFonts w:ascii="黑体" w:hAnsi="黑体" w:eastAsia="黑体" w:cs="黑体"/>
          <w:b/>
          <w:bCs/>
          <w:sz w:val="30"/>
          <w:szCs w:val="30"/>
          <w:highlight w:val="none"/>
        </w:rPr>
      </w:pPr>
      <w:bookmarkStart w:id="10" w:name="_Toc10048"/>
      <w:r>
        <w:rPr>
          <w:rFonts w:hint="eastAsia" w:ascii="黑体" w:hAnsi="黑体" w:eastAsia="黑体" w:cs="黑体"/>
          <w:b/>
          <w:bCs/>
          <w:sz w:val="30"/>
          <w:szCs w:val="30"/>
          <w:highlight w:val="none"/>
        </w:rPr>
        <w:t>八、投标文件格式</w:t>
      </w:r>
      <w:bookmarkEnd w:id="10"/>
    </w:p>
    <w:p w14:paraId="1DB13CB5">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详见附件。</w:t>
      </w:r>
    </w:p>
    <w:p w14:paraId="01D4A23E">
      <w:pPr>
        <w:pStyle w:val="12"/>
        <w:spacing w:line="500" w:lineRule="exact"/>
        <w:ind w:firstLine="602" w:firstLineChars="200"/>
        <w:outlineLvl w:val="0"/>
        <w:rPr>
          <w:rFonts w:ascii="黑体" w:hAnsi="黑体" w:eastAsia="黑体" w:cs="黑体"/>
          <w:b/>
          <w:bCs/>
          <w:sz w:val="30"/>
          <w:szCs w:val="30"/>
          <w:highlight w:val="none"/>
        </w:rPr>
      </w:pPr>
      <w:bookmarkStart w:id="11" w:name="_Toc2515"/>
      <w:r>
        <w:rPr>
          <w:rFonts w:hint="eastAsia" w:ascii="黑体" w:hAnsi="黑体" w:eastAsia="黑体" w:cs="黑体"/>
          <w:b/>
          <w:bCs/>
          <w:sz w:val="30"/>
          <w:szCs w:val="30"/>
          <w:highlight w:val="none"/>
        </w:rPr>
        <w:t>九、技术协议书</w:t>
      </w:r>
      <w:bookmarkEnd w:id="11"/>
    </w:p>
    <w:p w14:paraId="63946A40">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附后，以最后签订版本为准。</w:t>
      </w:r>
    </w:p>
    <w:p w14:paraId="278AAE8F">
      <w:pPr>
        <w:pStyle w:val="12"/>
        <w:spacing w:line="500" w:lineRule="exact"/>
        <w:ind w:firstLine="602" w:firstLineChars="200"/>
        <w:outlineLvl w:val="0"/>
        <w:rPr>
          <w:rFonts w:ascii="黑体" w:hAnsi="黑体" w:eastAsia="黑体" w:cs="黑体"/>
          <w:b/>
          <w:bCs/>
          <w:sz w:val="30"/>
          <w:szCs w:val="30"/>
          <w:highlight w:val="none"/>
        </w:rPr>
      </w:pPr>
      <w:bookmarkStart w:id="12" w:name="_Toc23780"/>
      <w:r>
        <w:rPr>
          <w:rFonts w:hint="eastAsia" w:ascii="黑体" w:hAnsi="黑体" w:eastAsia="黑体" w:cs="黑体"/>
          <w:b/>
          <w:bCs/>
          <w:sz w:val="30"/>
          <w:szCs w:val="30"/>
          <w:highlight w:val="none"/>
        </w:rPr>
        <w:t>十、本次招标最终解释权归中国重汽集团济南动力有限公司。</w:t>
      </w:r>
      <w:bookmarkEnd w:id="12"/>
    </w:p>
    <w:p w14:paraId="767116BB">
      <w:pPr>
        <w:pStyle w:val="15"/>
        <w:spacing w:line="500" w:lineRule="exact"/>
        <w:rPr>
          <w:sz w:val="30"/>
          <w:szCs w:val="30"/>
          <w:highlight w:val="none"/>
        </w:rPr>
      </w:pPr>
    </w:p>
    <w:p w14:paraId="74671AEE">
      <w:pPr>
        <w:pStyle w:val="15"/>
        <w:spacing w:line="500" w:lineRule="exact"/>
        <w:rPr>
          <w:sz w:val="30"/>
          <w:szCs w:val="30"/>
          <w:highlight w:val="none"/>
        </w:rPr>
      </w:pPr>
    </w:p>
    <w:p w14:paraId="761BAC54">
      <w:pPr>
        <w:pStyle w:val="15"/>
        <w:spacing w:line="500" w:lineRule="exact"/>
        <w:rPr>
          <w:sz w:val="30"/>
          <w:szCs w:val="30"/>
          <w:highlight w:val="none"/>
        </w:rPr>
      </w:pPr>
    </w:p>
    <w:p w14:paraId="3440BF63">
      <w:pPr>
        <w:spacing w:line="500" w:lineRule="exact"/>
        <w:ind w:firstLine="600" w:firstLineChars="200"/>
        <w:jc w:val="right"/>
        <w:rPr>
          <w:rFonts w:ascii="仿宋_GB2312" w:hAnsi="仿宋" w:eastAsia="仿宋_GB2312"/>
          <w:sz w:val="30"/>
          <w:szCs w:val="30"/>
          <w:highlight w:val="none"/>
        </w:rPr>
      </w:pPr>
      <w:r>
        <w:rPr>
          <w:rFonts w:hint="eastAsia" w:ascii="仿宋_GB2312" w:hAnsi="仿宋" w:eastAsia="仿宋_GB2312"/>
          <w:sz w:val="30"/>
          <w:szCs w:val="30"/>
          <w:highlight w:val="none"/>
        </w:rPr>
        <w:t xml:space="preserve">                       中国重汽集团济南动力有限公司</w:t>
      </w:r>
    </w:p>
    <w:p w14:paraId="2C02DEC0">
      <w:pPr>
        <w:spacing w:line="500" w:lineRule="exact"/>
        <w:ind w:firstLine="600" w:firstLineChars="200"/>
        <w:jc w:val="right"/>
        <w:rPr>
          <w:rFonts w:hint="default" w:ascii="仿宋_GB2312" w:hAnsi="Calibri" w:eastAsia="仿宋_GB2312"/>
          <w:sz w:val="30"/>
          <w:szCs w:val="30"/>
          <w:highlight w:val="none"/>
          <w:lang w:val="en-US" w:eastAsia="zh-CN"/>
        </w:rPr>
      </w:pPr>
      <w:r>
        <w:rPr>
          <w:rFonts w:hint="eastAsia" w:ascii="仿宋_GB2312" w:hAnsi="仿宋" w:eastAsia="仿宋_GB2312"/>
          <w:sz w:val="30"/>
          <w:szCs w:val="30"/>
          <w:highlight w:val="none"/>
        </w:rPr>
        <w:t xml:space="preserve">                                202</w:t>
      </w: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年</w:t>
      </w:r>
      <w:r>
        <w:rPr>
          <w:rFonts w:hint="eastAsia" w:ascii="仿宋_GB2312" w:hAnsi="仿宋" w:eastAsia="仿宋_GB2312"/>
          <w:sz w:val="30"/>
          <w:szCs w:val="30"/>
          <w:highlight w:val="none"/>
          <w:lang w:val="en-US" w:eastAsia="zh-CN"/>
        </w:rPr>
        <w:t>3</w:t>
      </w:r>
      <w:r>
        <w:rPr>
          <w:rFonts w:hint="eastAsia" w:ascii="仿宋_GB2312" w:hAnsi="仿宋" w:eastAsia="仿宋_GB2312"/>
          <w:sz w:val="30"/>
          <w:szCs w:val="30"/>
          <w:highlight w:val="none"/>
        </w:rPr>
        <w:t>月</w:t>
      </w:r>
      <w:r>
        <w:rPr>
          <w:rFonts w:hint="eastAsia" w:ascii="仿宋_GB2312" w:hAnsi="仿宋" w:eastAsia="仿宋_GB2312"/>
          <w:sz w:val="30"/>
          <w:szCs w:val="30"/>
          <w:highlight w:val="none"/>
          <w:lang w:val="en-US" w:eastAsia="zh-CN"/>
        </w:rPr>
        <w:t>26日</w:t>
      </w:r>
    </w:p>
    <w:p w14:paraId="076AB246">
      <w:pPr>
        <w:rPr>
          <w:rFonts w:ascii="宋体" w:hAnsi="宋体" w:cs="宋体"/>
          <w:sz w:val="24"/>
          <w:szCs w:val="24"/>
          <w:highlight w:val="none"/>
        </w:rPr>
      </w:pPr>
      <w:bookmarkStart w:id="13" w:name="_Toc13641"/>
      <w:r>
        <w:rPr>
          <w:rFonts w:hint="eastAsia" w:ascii="宋体" w:hAnsi="宋体" w:cs="宋体"/>
          <w:sz w:val="24"/>
          <w:szCs w:val="24"/>
          <w:highlight w:val="none"/>
        </w:rPr>
        <w:br w:type="page"/>
      </w:r>
    </w:p>
    <w:p w14:paraId="540703F8">
      <w:pPr>
        <w:rPr>
          <w:rFonts w:ascii="宋体" w:hAnsi="宋体" w:cs="宋体"/>
          <w:sz w:val="24"/>
          <w:szCs w:val="24"/>
          <w:highlight w:val="none"/>
        </w:rPr>
      </w:pPr>
      <w:r>
        <w:rPr>
          <w:rFonts w:hint="eastAsia" w:ascii="宋体" w:hAnsi="宋体" w:cs="宋体"/>
          <w:sz w:val="24"/>
          <w:szCs w:val="24"/>
          <w:highlight w:val="none"/>
        </w:rPr>
        <w:t>附件1：</w:t>
      </w:r>
      <w:bookmarkEnd w:id="13"/>
    </w:p>
    <w:p w14:paraId="2D04B272">
      <w:pPr>
        <w:pStyle w:val="10"/>
        <w:spacing w:line="460" w:lineRule="exact"/>
        <w:jc w:val="center"/>
        <w:rPr>
          <w:rFonts w:ascii="宋体" w:hAnsi="宋体" w:eastAsia="宋体"/>
          <w:b/>
          <w:bCs/>
          <w:sz w:val="36"/>
          <w:szCs w:val="36"/>
          <w:highlight w:val="none"/>
        </w:rPr>
      </w:pPr>
      <w:r>
        <w:rPr>
          <w:rFonts w:hint="eastAsia" w:ascii="宋体" w:hAnsi="宋体" w:eastAsia="宋体" w:cs="宋体"/>
          <w:b/>
          <w:bCs/>
          <w:sz w:val="36"/>
          <w:szCs w:val="36"/>
          <w:highlight w:val="none"/>
        </w:rPr>
        <w:t>法定代表人授权委托书</w:t>
      </w:r>
    </w:p>
    <w:p w14:paraId="6FD67C08">
      <w:pPr>
        <w:pStyle w:val="10"/>
        <w:spacing w:line="460" w:lineRule="exact"/>
        <w:jc w:val="center"/>
        <w:rPr>
          <w:rFonts w:ascii="宋体" w:hAnsi="宋体" w:eastAsia="宋体"/>
          <w:b/>
          <w:bCs/>
          <w:szCs w:val="32"/>
          <w:highlight w:val="none"/>
        </w:rPr>
      </w:pPr>
    </w:p>
    <w:p w14:paraId="30E47E76">
      <w:pPr>
        <w:pStyle w:val="10"/>
        <w:spacing w:line="560" w:lineRule="exact"/>
        <w:rPr>
          <w:rFonts w:ascii="宋体" w:hAnsi="宋体" w:eastAsia="宋体"/>
          <w:sz w:val="24"/>
          <w:szCs w:val="24"/>
          <w:highlight w:val="none"/>
          <w:u w:val="single"/>
        </w:rPr>
      </w:pPr>
      <w:r>
        <w:rPr>
          <w:rFonts w:hint="eastAsia" w:ascii="宋体" w:hAnsi="宋体" w:eastAsia="宋体" w:cs="宋体"/>
          <w:sz w:val="24"/>
          <w:szCs w:val="24"/>
          <w:highlight w:val="none"/>
          <w:u w:val="single"/>
        </w:rPr>
        <w:t xml:space="preserve">  中国重汽集团济南动力有限公司 ：</w:t>
      </w:r>
    </w:p>
    <w:p w14:paraId="064CBF39">
      <w:pPr>
        <w:pStyle w:val="10"/>
        <w:spacing w:line="560" w:lineRule="exact"/>
        <w:ind w:firstLine="480"/>
        <w:rPr>
          <w:rFonts w:ascii="宋体" w:hAnsi="宋体" w:eastAsia="宋体"/>
          <w:sz w:val="24"/>
          <w:szCs w:val="24"/>
          <w:highlight w:val="none"/>
        </w:rPr>
      </w:pP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（投标人名称）法定代表人</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授权我公司</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（职务或职称）</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（姓名）为我单位本次投标授权代理人，全权处理此次招标项目（项目编号：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）投标活动的一切事宜。</w:t>
      </w:r>
    </w:p>
    <w:p w14:paraId="5AA909BA">
      <w:pPr>
        <w:adjustRightInd w:val="0"/>
        <w:snapToGrid w:val="0"/>
        <w:spacing w:before="93" w:beforeLines="30" w:line="360" w:lineRule="auto"/>
        <w:ind w:firstLine="480" w:firstLineChars="200"/>
        <w:rPr>
          <w:rFonts w:ascii="宋体" w:hAnsi="宋体"/>
          <w:sz w:val="24"/>
          <w:highlight w:val="none"/>
        </w:rPr>
      </w:pPr>
      <w:r>
        <w:rPr>
          <w:rFonts w:hint="eastAsia" w:ascii="宋体" w:hAnsi="宋体"/>
          <w:sz w:val="24"/>
          <w:highlight w:val="none"/>
        </w:rPr>
        <w:t>委托期限：</w:t>
      </w:r>
      <w:r>
        <w:rPr>
          <w:rFonts w:hint="eastAsia" w:ascii="宋体" w:hAnsi="宋体"/>
          <w:sz w:val="24"/>
          <w:highlight w:val="none"/>
          <w:u w:val="single"/>
        </w:rPr>
        <w:t xml:space="preserve">                       </w:t>
      </w:r>
      <w:r>
        <w:rPr>
          <w:rFonts w:hint="eastAsia" w:ascii="宋体" w:hAnsi="宋体"/>
          <w:sz w:val="24"/>
          <w:highlight w:val="none"/>
        </w:rPr>
        <w:t xml:space="preserve">    </w:t>
      </w:r>
    </w:p>
    <w:p w14:paraId="7B68AADE">
      <w:pPr>
        <w:adjustRightInd w:val="0"/>
        <w:snapToGrid w:val="0"/>
        <w:spacing w:before="93" w:beforeLines="30" w:line="312" w:lineRule="auto"/>
        <w:ind w:firstLine="480" w:firstLineChars="200"/>
        <w:rPr>
          <w:rFonts w:ascii="宋体" w:hAnsi="宋体"/>
          <w:sz w:val="24"/>
          <w:highlight w:val="none"/>
        </w:rPr>
      </w:pPr>
      <w:r>
        <w:rPr>
          <w:rFonts w:hint="eastAsia" w:ascii="宋体" w:hAnsi="宋体"/>
          <w:sz w:val="24"/>
          <w:highlight w:val="none"/>
        </w:rPr>
        <w:t>全权代表无转委权。特此委托。</w:t>
      </w:r>
      <w:r>
        <w:rPr>
          <w:rFonts w:hint="eastAsia" w:ascii="宋体" w:hAnsi="宋体"/>
          <w:highlight w:val="none"/>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09D8B4C6">
                            <w:pPr>
                              <w:jc w:val="center"/>
                            </w:pPr>
                          </w:p>
                          <w:p w14:paraId="2D8A6820">
                            <w:pPr>
                              <w:jc w:val="center"/>
                            </w:pPr>
                          </w:p>
                          <w:p w14:paraId="3E11D85D">
                            <w:pPr>
                              <w:jc w:val="center"/>
                            </w:pPr>
                          </w:p>
                          <w:p w14:paraId="1DD814B3">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（正面）</w:t>
                            </w:r>
                          </w:p>
                          <w:p w14:paraId="0774063F">
                            <w:pPr>
                              <w:jc w:val="center"/>
                            </w:pPr>
                          </w:p>
                          <w:p w14:paraId="7BDEFBB8">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14:paraId="09D8B4C6">
                      <w:pPr>
                        <w:jc w:val="center"/>
                      </w:pPr>
                    </w:p>
                    <w:p w14:paraId="2D8A6820">
                      <w:pPr>
                        <w:jc w:val="center"/>
                      </w:pPr>
                    </w:p>
                    <w:p w14:paraId="3E11D85D">
                      <w:pPr>
                        <w:jc w:val="center"/>
                      </w:pPr>
                    </w:p>
                    <w:p w14:paraId="1DD814B3">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（正面）</w:t>
                      </w:r>
                    </w:p>
                    <w:p w14:paraId="0774063F">
                      <w:pPr>
                        <w:jc w:val="center"/>
                      </w:pPr>
                    </w:p>
                    <w:p w14:paraId="7BDEFBB8">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70060C1B">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14:paraId="70060C1B">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（正面）</w:t>
                      </w:r>
                    </w:p>
                  </w:txbxContent>
                </v:textbox>
              </v:rect>
            </w:pict>
          </mc:Fallback>
        </mc:AlternateContent>
      </w:r>
      <w:r>
        <w:rPr>
          <w:rFonts w:hint="eastAsia" w:ascii="宋体" w:hAnsi="宋体"/>
          <w:highlight w:val="none"/>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0C8D10C7">
                            <w:pPr>
                              <w:jc w:val="center"/>
                            </w:pPr>
                          </w:p>
                          <w:p w14:paraId="6436AE3F">
                            <w:pPr>
                              <w:jc w:val="center"/>
                            </w:pPr>
                          </w:p>
                          <w:p w14:paraId="230A03D5">
                            <w:pPr>
                              <w:jc w:val="center"/>
                            </w:pPr>
                          </w:p>
                          <w:p w14:paraId="629838D9">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（反面）</w:t>
                            </w:r>
                          </w:p>
                          <w:p w14:paraId="6CA2642A">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14:paraId="0C8D10C7">
                      <w:pPr>
                        <w:jc w:val="center"/>
                      </w:pPr>
                    </w:p>
                    <w:p w14:paraId="6436AE3F">
                      <w:pPr>
                        <w:jc w:val="center"/>
                      </w:pPr>
                    </w:p>
                    <w:p w14:paraId="230A03D5">
                      <w:pPr>
                        <w:jc w:val="center"/>
                      </w:pPr>
                    </w:p>
                    <w:p w14:paraId="629838D9">
                      <w:pPr>
                        <w:jc w:val="center"/>
                        <w:rPr>
                          <w:highlight w:val="yellow"/>
                        </w:rPr>
                      </w:pPr>
                      <w:r>
                        <w:rPr>
                          <w:rFonts w:hint="eastAsia"/>
                          <w:highlight w:val="yellow"/>
                        </w:rPr>
                        <w:t>法定代表人身份</w:t>
                      </w:r>
                      <w:r>
                        <w:rPr>
                          <w:rFonts w:hint="eastAsia"/>
                          <w:highlight w:val="yellow"/>
                          <w:lang w:val="en-US" w:eastAsia="zh-CN"/>
                        </w:rPr>
                        <w:t>证明文件</w:t>
                      </w:r>
                      <w:r>
                        <w:rPr>
                          <w:rFonts w:hint="eastAsia"/>
                          <w:highlight w:val="yellow"/>
                        </w:rPr>
                        <w:t>（反面）</w:t>
                      </w:r>
                    </w:p>
                    <w:p w14:paraId="6CA2642A">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13706D96">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ctpajaAAAACwEAAA8AAAAAAAAAAQAgAAAAIgAAAGRycy9kb3du&#10;cmV2LnhtbFBLAQIUABQAAAAIAIdO4kC8VCSbNgIAAHsEAAAOAAAAAAAAAAEAIAAAACkBAABkcnMv&#10;ZTJvRG9jLnhtbFBLBQYAAAAABgAGAFkBAADRBQAAAAA=&#10;">
                <v:fill on="t" focussize="0,0"/>
                <v:stroke color="#000000" miterlimit="8" joinstyle="miter"/>
                <v:imagedata o:title=""/>
                <o:lock v:ext="edit" aspectratio="f"/>
                <v:textbox>
                  <w:txbxContent>
                    <w:p w14:paraId="13706D96">
                      <w:pPr>
                        <w:jc w:val="center"/>
                      </w:pPr>
                      <w:r>
                        <w:rPr>
                          <w:rFonts w:hint="eastAsia"/>
                        </w:rPr>
                        <w:t>授权代理人</w:t>
                      </w:r>
                      <w:r>
                        <w:rPr>
                          <w:rFonts w:hint="eastAsia"/>
                          <w:highlight w:val="yellow"/>
                        </w:rPr>
                        <w:t>身份</w:t>
                      </w:r>
                      <w:r>
                        <w:rPr>
                          <w:rFonts w:hint="eastAsia"/>
                          <w:highlight w:val="yellow"/>
                          <w:lang w:val="en-US" w:eastAsia="zh-CN"/>
                        </w:rPr>
                        <w:t>证明文件</w:t>
                      </w:r>
                      <w:r>
                        <w:rPr>
                          <w:rFonts w:hint="eastAsia"/>
                        </w:rPr>
                        <w:t>（反面）</w:t>
                      </w:r>
                    </w:p>
                  </w:txbxContent>
                </v:textbox>
              </v:rect>
            </w:pict>
          </mc:Fallback>
        </mc:AlternateContent>
      </w:r>
    </w:p>
    <w:p w14:paraId="4CE3E492">
      <w:pPr>
        <w:spacing w:line="480" w:lineRule="exact"/>
        <w:ind w:firstLine="480" w:firstLineChars="200"/>
        <w:rPr>
          <w:rFonts w:ascii="宋体" w:hAnsi="宋体"/>
          <w:sz w:val="24"/>
          <w:highlight w:val="none"/>
        </w:rPr>
      </w:pPr>
    </w:p>
    <w:p w14:paraId="5525CAEE">
      <w:pPr>
        <w:spacing w:line="480" w:lineRule="exact"/>
        <w:ind w:firstLine="480" w:firstLineChars="200"/>
        <w:rPr>
          <w:rFonts w:ascii="宋体" w:hAnsi="宋体"/>
          <w:sz w:val="24"/>
          <w:highlight w:val="none"/>
        </w:rPr>
      </w:pPr>
    </w:p>
    <w:p w14:paraId="03EDAC51">
      <w:pPr>
        <w:spacing w:line="480" w:lineRule="exact"/>
        <w:ind w:firstLine="480" w:firstLineChars="200"/>
        <w:rPr>
          <w:rFonts w:ascii="宋体" w:hAnsi="宋体"/>
          <w:sz w:val="24"/>
          <w:highlight w:val="none"/>
        </w:rPr>
      </w:pPr>
    </w:p>
    <w:p w14:paraId="0355A303">
      <w:pPr>
        <w:spacing w:line="480" w:lineRule="exact"/>
        <w:ind w:firstLine="480" w:firstLineChars="200"/>
        <w:rPr>
          <w:rFonts w:ascii="宋体" w:hAnsi="宋体"/>
          <w:sz w:val="24"/>
          <w:highlight w:val="none"/>
        </w:rPr>
      </w:pPr>
    </w:p>
    <w:p w14:paraId="7ECB6285">
      <w:pPr>
        <w:spacing w:line="480" w:lineRule="exact"/>
        <w:ind w:firstLine="480" w:firstLineChars="200"/>
        <w:rPr>
          <w:rFonts w:ascii="宋体" w:hAnsi="宋体"/>
          <w:sz w:val="24"/>
          <w:highlight w:val="none"/>
        </w:rPr>
      </w:pPr>
    </w:p>
    <w:p w14:paraId="5C4DFBE7">
      <w:pPr>
        <w:spacing w:line="480" w:lineRule="exact"/>
        <w:ind w:firstLine="480" w:firstLineChars="200"/>
        <w:rPr>
          <w:rFonts w:ascii="宋体" w:hAnsi="宋体"/>
          <w:sz w:val="24"/>
          <w:highlight w:val="none"/>
        </w:rPr>
      </w:pPr>
    </w:p>
    <w:p w14:paraId="2394BE27">
      <w:pPr>
        <w:spacing w:line="480" w:lineRule="exact"/>
        <w:ind w:firstLine="480" w:firstLineChars="200"/>
        <w:rPr>
          <w:rFonts w:ascii="宋体" w:hAnsi="宋体"/>
          <w:sz w:val="24"/>
          <w:highlight w:val="none"/>
        </w:rPr>
      </w:pPr>
    </w:p>
    <w:p w14:paraId="629E0592">
      <w:pPr>
        <w:spacing w:line="480" w:lineRule="exact"/>
        <w:ind w:firstLine="480" w:firstLineChars="200"/>
        <w:rPr>
          <w:rFonts w:ascii="宋体" w:hAnsi="宋体"/>
          <w:sz w:val="24"/>
          <w:highlight w:val="none"/>
        </w:rPr>
      </w:pPr>
    </w:p>
    <w:p w14:paraId="5DAD3FFB">
      <w:pPr>
        <w:spacing w:line="480" w:lineRule="exact"/>
        <w:ind w:firstLine="480" w:firstLineChars="200"/>
        <w:rPr>
          <w:rFonts w:ascii="宋体" w:hAnsi="宋体"/>
          <w:sz w:val="24"/>
          <w:highlight w:val="none"/>
        </w:rPr>
      </w:pPr>
    </w:p>
    <w:p w14:paraId="507EE767">
      <w:pPr>
        <w:spacing w:line="480" w:lineRule="exact"/>
        <w:rPr>
          <w:rFonts w:ascii="宋体" w:hAnsi="宋体"/>
          <w:sz w:val="24"/>
          <w:highlight w:val="none"/>
        </w:rPr>
      </w:pPr>
    </w:p>
    <w:p w14:paraId="2A551044">
      <w:pPr>
        <w:pStyle w:val="10"/>
        <w:spacing w:line="560" w:lineRule="exact"/>
        <w:rPr>
          <w:rFonts w:ascii="宋体" w:hAnsi="宋体" w:eastAsia="宋体"/>
          <w:sz w:val="24"/>
          <w:szCs w:val="24"/>
          <w:highlight w:val="none"/>
        </w:rPr>
      </w:pPr>
      <w:r>
        <w:rPr>
          <w:rFonts w:hint="eastAsia" w:ascii="宋体" w:hAnsi="宋体" w:eastAsia="宋体" w:cs="宋体"/>
          <w:sz w:val="24"/>
          <w:szCs w:val="24"/>
          <w:highlight w:val="none"/>
        </w:rPr>
        <w:t>单位名称（公章）：</w:t>
      </w:r>
      <w:r>
        <w:rPr>
          <w:rFonts w:ascii="宋体" w:hAnsi="宋体" w:eastAsia="宋体" w:cs="宋体"/>
          <w:sz w:val="24"/>
          <w:szCs w:val="24"/>
          <w:highlight w:val="none"/>
          <w:u w:val="single"/>
        </w:rPr>
        <w:t xml:space="preserve">                 </w:t>
      </w:r>
    </w:p>
    <w:p w14:paraId="1FAFA5A4">
      <w:pPr>
        <w:pStyle w:val="10"/>
        <w:spacing w:line="560" w:lineRule="exact"/>
        <w:rPr>
          <w:rFonts w:ascii="宋体" w:hAnsi="宋体" w:eastAsia="宋体"/>
          <w:sz w:val="24"/>
          <w:szCs w:val="24"/>
          <w:highlight w:val="none"/>
        </w:rPr>
      </w:pPr>
      <w:r>
        <w:rPr>
          <w:rFonts w:hint="eastAsia" w:ascii="宋体" w:hAnsi="宋体" w:eastAsia="宋体" w:cs="宋体"/>
          <w:sz w:val="24"/>
          <w:szCs w:val="24"/>
          <w:highlight w:val="none"/>
        </w:rPr>
        <w:t>法定代表人签字：</w:t>
      </w:r>
      <w:r>
        <w:rPr>
          <w:rFonts w:ascii="宋体" w:hAnsi="宋体" w:eastAsia="宋体" w:cs="宋体"/>
          <w:sz w:val="24"/>
          <w:szCs w:val="24"/>
          <w:highlight w:val="none"/>
          <w:u w:val="single"/>
        </w:rPr>
        <w:t xml:space="preserve">                  </w:t>
      </w:r>
    </w:p>
    <w:p w14:paraId="735AD6EE">
      <w:pPr>
        <w:pStyle w:val="10"/>
        <w:spacing w:line="560" w:lineRule="exact"/>
        <w:rPr>
          <w:rFonts w:ascii="宋体" w:hAnsi="宋体" w:eastAsia="宋体"/>
          <w:sz w:val="24"/>
          <w:szCs w:val="24"/>
          <w:highlight w:val="none"/>
        </w:rPr>
      </w:pPr>
      <w:r>
        <w:rPr>
          <w:rFonts w:hint="eastAsia" w:ascii="宋体" w:hAnsi="宋体" w:eastAsia="宋体" w:cs="宋体"/>
          <w:sz w:val="24"/>
          <w:szCs w:val="24"/>
          <w:highlight w:val="none"/>
        </w:rPr>
        <w:t>授权代理人签字：</w:t>
      </w:r>
      <w:r>
        <w:rPr>
          <w:rFonts w:ascii="宋体" w:hAnsi="宋体" w:eastAsia="宋体" w:cs="宋体"/>
          <w:sz w:val="24"/>
          <w:szCs w:val="24"/>
          <w:highlight w:val="none"/>
          <w:u w:val="single"/>
        </w:rPr>
        <w:t xml:space="preserve">                  </w:t>
      </w:r>
    </w:p>
    <w:p w14:paraId="77A075D0">
      <w:pPr>
        <w:pStyle w:val="10"/>
        <w:spacing w:line="560" w:lineRule="exact"/>
        <w:ind w:left="5880" w:right="283" w:rightChars="135" w:firstLine="420"/>
        <w:jc w:val="right"/>
        <w:rPr>
          <w:rFonts w:ascii="宋体" w:hAnsi="宋体" w:eastAsia="宋体"/>
          <w:sz w:val="24"/>
          <w:highlight w:val="none"/>
        </w:rPr>
      </w:pPr>
      <w:r>
        <w:rPr>
          <w:rFonts w:ascii="宋体" w:hAnsi="宋体" w:eastAsia="宋体"/>
          <w:sz w:val="24"/>
          <w:highlight w:val="none"/>
        </w:rPr>
        <w:t xml:space="preserve">    </w:t>
      </w:r>
      <w:r>
        <w:rPr>
          <w:rFonts w:hint="eastAsia" w:ascii="宋体" w:hAnsi="宋体" w:eastAsia="宋体"/>
          <w:sz w:val="24"/>
          <w:highlight w:val="none"/>
        </w:rPr>
        <w:t>年</w:t>
      </w:r>
      <w:r>
        <w:rPr>
          <w:rFonts w:ascii="宋体" w:hAnsi="宋体" w:eastAsia="宋体"/>
          <w:sz w:val="24"/>
          <w:highlight w:val="none"/>
        </w:rPr>
        <w:t xml:space="preserve">  </w:t>
      </w:r>
      <w:r>
        <w:rPr>
          <w:rFonts w:hint="eastAsia" w:ascii="宋体" w:hAnsi="宋体" w:eastAsia="宋体"/>
          <w:sz w:val="24"/>
          <w:highlight w:val="none"/>
        </w:rPr>
        <w:t>月</w:t>
      </w:r>
      <w:r>
        <w:rPr>
          <w:rFonts w:ascii="宋体" w:hAnsi="宋体" w:eastAsia="宋体"/>
          <w:sz w:val="24"/>
          <w:highlight w:val="none"/>
        </w:rPr>
        <w:t xml:space="preserve">  </w:t>
      </w:r>
      <w:r>
        <w:rPr>
          <w:rFonts w:hint="eastAsia" w:ascii="宋体" w:hAnsi="宋体" w:eastAsia="宋体"/>
          <w:sz w:val="24"/>
          <w:highlight w:val="none"/>
        </w:rPr>
        <w:t>日</w:t>
      </w:r>
    </w:p>
    <w:p w14:paraId="613ADF03">
      <w:pPr>
        <w:spacing w:after="156" w:afterLines="50"/>
        <w:jc w:val="left"/>
        <w:rPr>
          <w:rFonts w:ascii="仿宋_GB2312" w:hAnsi="Calibri" w:eastAsia="仿宋_GB2312"/>
          <w:sz w:val="32"/>
          <w:szCs w:val="32"/>
          <w:highlight w:val="none"/>
        </w:rPr>
      </w:pPr>
      <w:bookmarkStart w:id="14" w:name="_Toc16307"/>
    </w:p>
    <w:p w14:paraId="4FFA30CC">
      <w:pPr>
        <w:spacing w:after="156" w:afterLines="50"/>
        <w:jc w:val="left"/>
        <w:rPr>
          <w:rFonts w:ascii="仿宋_GB2312" w:hAnsi="Calibri" w:eastAsia="仿宋_GB2312"/>
          <w:sz w:val="32"/>
          <w:szCs w:val="32"/>
          <w:highlight w:val="none"/>
        </w:rPr>
      </w:pPr>
    </w:p>
    <w:p w14:paraId="67DAB6AD">
      <w:pPr>
        <w:pStyle w:val="15"/>
        <w:rPr>
          <w:highlight w:val="none"/>
        </w:rPr>
      </w:pPr>
    </w:p>
    <w:p w14:paraId="584C5E43">
      <w:pPr>
        <w:rPr>
          <w:rFonts w:ascii="宋体" w:hAnsi="宋体" w:cs="宋体"/>
          <w:sz w:val="24"/>
          <w:szCs w:val="24"/>
          <w:highlight w:val="none"/>
        </w:rPr>
      </w:pPr>
      <w:bookmarkStart w:id="15" w:name="_Toc12670"/>
    </w:p>
    <w:p w14:paraId="3B27603A">
      <w:pPr>
        <w:rPr>
          <w:rFonts w:ascii="宋体" w:hAnsi="宋体" w:cs="宋体"/>
          <w:sz w:val="24"/>
          <w:szCs w:val="24"/>
          <w:highlight w:val="none"/>
        </w:rPr>
      </w:pPr>
    </w:p>
    <w:p w14:paraId="021A0AA4">
      <w:pPr>
        <w:rPr>
          <w:rFonts w:ascii="宋体" w:hAnsi="宋体" w:cs="宋体"/>
          <w:sz w:val="24"/>
          <w:szCs w:val="24"/>
          <w:highlight w:val="none"/>
        </w:rPr>
      </w:pPr>
      <w:r>
        <w:rPr>
          <w:rFonts w:hint="eastAsia" w:ascii="宋体" w:hAnsi="宋体" w:cs="宋体"/>
          <w:sz w:val="24"/>
          <w:szCs w:val="24"/>
          <w:highlight w:val="none"/>
        </w:rPr>
        <w:t>附件2</w:t>
      </w:r>
      <w:bookmarkEnd w:id="14"/>
      <w:bookmarkEnd w:id="15"/>
    </w:p>
    <w:p w14:paraId="330ADFA4">
      <w:pPr>
        <w:pStyle w:val="10"/>
        <w:spacing w:line="560" w:lineRule="exact"/>
        <w:ind w:right="283" w:rightChars="135"/>
        <w:jc w:val="center"/>
        <w:rPr>
          <w:rFonts w:ascii="宋体" w:hAnsi="宋体" w:eastAsia="宋体" w:cs="宋体"/>
          <w:sz w:val="36"/>
          <w:szCs w:val="36"/>
          <w:highlight w:val="none"/>
        </w:rPr>
      </w:pPr>
      <w:r>
        <w:rPr>
          <w:rFonts w:hint="eastAsia" w:ascii="宋体" w:hAnsi="宋体" w:eastAsia="宋体" w:cs="宋体"/>
          <w:b/>
          <w:bCs/>
          <w:sz w:val="36"/>
          <w:szCs w:val="36"/>
          <w:highlight w:val="none"/>
        </w:rPr>
        <w:t>投标人基本情况表</w:t>
      </w:r>
    </w:p>
    <w:tbl>
      <w:tblPr>
        <w:tblStyle w:val="20"/>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5C48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0FF9105">
            <w:pPr>
              <w:spacing w:line="276" w:lineRule="auto"/>
              <w:jc w:val="center"/>
              <w:rPr>
                <w:rFonts w:ascii="宋体" w:hAnsi="宋体" w:cs="Calibri"/>
                <w:sz w:val="24"/>
                <w:highlight w:val="none"/>
              </w:rPr>
            </w:pPr>
            <w:r>
              <w:rPr>
                <w:rFonts w:ascii="宋体" w:hAnsi="宋体" w:cs="Calibri"/>
                <w:sz w:val="24"/>
                <w:highlight w:val="none"/>
              </w:rPr>
              <w:t>投标人名称</w:t>
            </w:r>
          </w:p>
        </w:tc>
        <w:tc>
          <w:tcPr>
            <w:tcW w:w="6849" w:type="dxa"/>
            <w:gridSpan w:val="5"/>
            <w:vAlign w:val="center"/>
          </w:tcPr>
          <w:p w14:paraId="04CACF77">
            <w:pPr>
              <w:spacing w:line="276" w:lineRule="auto"/>
              <w:jc w:val="center"/>
              <w:rPr>
                <w:rFonts w:ascii="宋体" w:hAnsi="宋体" w:cs="Calibri"/>
                <w:sz w:val="24"/>
                <w:highlight w:val="none"/>
              </w:rPr>
            </w:pPr>
          </w:p>
        </w:tc>
      </w:tr>
      <w:tr w14:paraId="5BC1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ADB57B8">
            <w:pPr>
              <w:spacing w:line="276" w:lineRule="auto"/>
              <w:jc w:val="center"/>
              <w:rPr>
                <w:rFonts w:ascii="宋体" w:hAnsi="宋体" w:cs="Calibri"/>
                <w:sz w:val="24"/>
                <w:highlight w:val="none"/>
              </w:rPr>
            </w:pPr>
            <w:r>
              <w:rPr>
                <w:rFonts w:ascii="宋体" w:hAnsi="宋体" w:cs="Calibri"/>
                <w:sz w:val="24"/>
                <w:highlight w:val="none"/>
              </w:rPr>
              <w:t>注册地址</w:t>
            </w:r>
          </w:p>
        </w:tc>
        <w:tc>
          <w:tcPr>
            <w:tcW w:w="3166" w:type="dxa"/>
            <w:gridSpan w:val="3"/>
            <w:vAlign w:val="center"/>
          </w:tcPr>
          <w:p w14:paraId="4850D514">
            <w:pPr>
              <w:spacing w:line="276" w:lineRule="auto"/>
              <w:jc w:val="center"/>
              <w:rPr>
                <w:rFonts w:ascii="宋体" w:hAnsi="宋体" w:cs="Calibri"/>
                <w:sz w:val="24"/>
                <w:highlight w:val="none"/>
              </w:rPr>
            </w:pPr>
          </w:p>
        </w:tc>
        <w:tc>
          <w:tcPr>
            <w:tcW w:w="1652" w:type="dxa"/>
            <w:vAlign w:val="center"/>
          </w:tcPr>
          <w:p w14:paraId="4DD10712">
            <w:pPr>
              <w:spacing w:line="276" w:lineRule="auto"/>
              <w:jc w:val="center"/>
              <w:rPr>
                <w:rFonts w:ascii="宋体" w:hAnsi="宋体" w:cs="Calibri"/>
                <w:sz w:val="24"/>
                <w:highlight w:val="none"/>
              </w:rPr>
            </w:pPr>
            <w:r>
              <w:rPr>
                <w:rFonts w:ascii="宋体" w:hAnsi="宋体" w:cs="Calibri"/>
                <w:sz w:val="24"/>
                <w:highlight w:val="none"/>
              </w:rPr>
              <w:t>邮政编码</w:t>
            </w:r>
          </w:p>
        </w:tc>
        <w:tc>
          <w:tcPr>
            <w:tcW w:w="2031" w:type="dxa"/>
            <w:vAlign w:val="center"/>
          </w:tcPr>
          <w:p w14:paraId="22857995">
            <w:pPr>
              <w:spacing w:line="276" w:lineRule="auto"/>
              <w:jc w:val="center"/>
              <w:rPr>
                <w:rFonts w:ascii="宋体" w:hAnsi="宋体" w:cs="Calibri"/>
                <w:sz w:val="24"/>
                <w:highlight w:val="none"/>
              </w:rPr>
            </w:pPr>
          </w:p>
        </w:tc>
      </w:tr>
      <w:tr w14:paraId="5C34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74F45E70">
            <w:pPr>
              <w:spacing w:line="276" w:lineRule="auto"/>
              <w:jc w:val="center"/>
              <w:rPr>
                <w:rFonts w:ascii="宋体" w:hAnsi="宋体" w:cs="Calibri"/>
                <w:sz w:val="24"/>
                <w:highlight w:val="none"/>
              </w:rPr>
            </w:pPr>
            <w:r>
              <w:rPr>
                <w:rFonts w:ascii="宋体" w:hAnsi="宋体" w:cs="Calibri"/>
                <w:sz w:val="24"/>
                <w:highlight w:val="none"/>
              </w:rPr>
              <w:t>联系方式</w:t>
            </w:r>
          </w:p>
        </w:tc>
        <w:tc>
          <w:tcPr>
            <w:tcW w:w="1101" w:type="dxa"/>
            <w:vAlign w:val="center"/>
          </w:tcPr>
          <w:p w14:paraId="584A3E1D">
            <w:pPr>
              <w:spacing w:line="276" w:lineRule="auto"/>
              <w:jc w:val="center"/>
              <w:rPr>
                <w:rFonts w:ascii="宋体" w:hAnsi="宋体" w:cs="Calibri"/>
                <w:sz w:val="24"/>
                <w:highlight w:val="none"/>
              </w:rPr>
            </w:pPr>
            <w:r>
              <w:rPr>
                <w:rFonts w:ascii="宋体" w:hAnsi="宋体" w:cs="Calibri"/>
                <w:sz w:val="24"/>
                <w:highlight w:val="none"/>
              </w:rPr>
              <w:t>联系人</w:t>
            </w:r>
          </w:p>
        </w:tc>
        <w:tc>
          <w:tcPr>
            <w:tcW w:w="2065" w:type="dxa"/>
            <w:gridSpan w:val="2"/>
            <w:vAlign w:val="center"/>
          </w:tcPr>
          <w:p w14:paraId="2959234F">
            <w:pPr>
              <w:spacing w:line="276" w:lineRule="auto"/>
              <w:jc w:val="center"/>
              <w:rPr>
                <w:rFonts w:ascii="宋体" w:hAnsi="宋体" w:cs="Calibri"/>
                <w:sz w:val="24"/>
                <w:highlight w:val="none"/>
              </w:rPr>
            </w:pPr>
          </w:p>
        </w:tc>
        <w:tc>
          <w:tcPr>
            <w:tcW w:w="1652" w:type="dxa"/>
            <w:vAlign w:val="center"/>
          </w:tcPr>
          <w:p w14:paraId="2F4FBF24">
            <w:pPr>
              <w:spacing w:line="276" w:lineRule="auto"/>
              <w:jc w:val="center"/>
              <w:rPr>
                <w:rFonts w:ascii="宋体" w:hAnsi="宋体" w:cs="Calibri"/>
                <w:sz w:val="24"/>
                <w:highlight w:val="none"/>
              </w:rPr>
            </w:pPr>
            <w:r>
              <w:rPr>
                <w:rFonts w:ascii="宋体" w:hAnsi="宋体" w:cs="Calibri"/>
                <w:sz w:val="24"/>
                <w:highlight w:val="none"/>
              </w:rPr>
              <w:t>电话</w:t>
            </w:r>
          </w:p>
        </w:tc>
        <w:tc>
          <w:tcPr>
            <w:tcW w:w="2031" w:type="dxa"/>
            <w:vAlign w:val="center"/>
          </w:tcPr>
          <w:p w14:paraId="38C28C60">
            <w:pPr>
              <w:spacing w:line="276" w:lineRule="auto"/>
              <w:jc w:val="center"/>
              <w:rPr>
                <w:rFonts w:ascii="宋体" w:hAnsi="宋体" w:cs="Calibri"/>
                <w:sz w:val="24"/>
                <w:highlight w:val="none"/>
              </w:rPr>
            </w:pPr>
          </w:p>
        </w:tc>
      </w:tr>
      <w:tr w14:paraId="5CA5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4B6FE201">
            <w:pPr>
              <w:spacing w:line="276" w:lineRule="auto"/>
              <w:jc w:val="center"/>
              <w:rPr>
                <w:rFonts w:ascii="宋体" w:hAnsi="宋体" w:cs="Calibri"/>
                <w:sz w:val="24"/>
                <w:highlight w:val="none"/>
              </w:rPr>
            </w:pPr>
          </w:p>
        </w:tc>
        <w:tc>
          <w:tcPr>
            <w:tcW w:w="1101" w:type="dxa"/>
            <w:vAlign w:val="center"/>
          </w:tcPr>
          <w:p w14:paraId="72210AD4">
            <w:pPr>
              <w:spacing w:line="276" w:lineRule="auto"/>
              <w:jc w:val="center"/>
              <w:rPr>
                <w:rFonts w:ascii="宋体" w:hAnsi="宋体" w:cs="Calibri"/>
                <w:sz w:val="24"/>
                <w:highlight w:val="none"/>
              </w:rPr>
            </w:pPr>
            <w:r>
              <w:rPr>
                <w:rFonts w:ascii="宋体" w:hAnsi="宋体" w:cs="Calibri"/>
                <w:sz w:val="24"/>
                <w:highlight w:val="none"/>
              </w:rPr>
              <w:t>传真</w:t>
            </w:r>
          </w:p>
        </w:tc>
        <w:tc>
          <w:tcPr>
            <w:tcW w:w="2065" w:type="dxa"/>
            <w:gridSpan w:val="2"/>
            <w:vAlign w:val="center"/>
          </w:tcPr>
          <w:p w14:paraId="47A14249">
            <w:pPr>
              <w:spacing w:line="276" w:lineRule="auto"/>
              <w:jc w:val="center"/>
              <w:rPr>
                <w:rFonts w:ascii="宋体" w:hAnsi="宋体" w:cs="Calibri"/>
                <w:sz w:val="24"/>
                <w:highlight w:val="none"/>
              </w:rPr>
            </w:pPr>
          </w:p>
        </w:tc>
        <w:tc>
          <w:tcPr>
            <w:tcW w:w="1652" w:type="dxa"/>
            <w:vAlign w:val="center"/>
          </w:tcPr>
          <w:p w14:paraId="40F6E538">
            <w:pPr>
              <w:spacing w:line="276" w:lineRule="auto"/>
              <w:jc w:val="center"/>
              <w:rPr>
                <w:rFonts w:ascii="宋体" w:hAnsi="宋体" w:cs="Calibri"/>
                <w:sz w:val="24"/>
                <w:highlight w:val="none"/>
              </w:rPr>
            </w:pPr>
            <w:r>
              <w:rPr>
                <w:rFonts w:ascii="宋体" w:hAnsi="宋体" w:cs="Calibri"/>
                <w:sz w:val="24"/>
                <w:highlight w:val="none"/>
              </w:rPr>
              <w:t>网址</w:t>
            </w:r>
          </w:p>
        </w:tc>
        <w:tc>
          <w:tcPr>
            <w:tcW w:w="2031" w:type="dxa"/>
            <w:vAlign w:val="center"/>
          </w:tcPr>
          <w:p w14:paraId="5747640A">
            <w:pPr>
              <w:spacing w:line="276" w:lineRule="auto"/>
              <w:jc w:val="center"/>
              <w:rPr>
                <w:rFonts w:ascii="宋体" w:hAnsi="宋体" w:cs="Calibri"/>
                <w:sz w:val="24"/>
                <w:highlight w:val="none"/>
              </w:rPr>
            </w:pPr>
          </w:p>
        </w:tc>
      </w:tr>
      <w:tr w14:paraId="16B1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D7E8EA7">
            <w:pPr>
              <w:spacing w:line="276" w:lineRule="auto"/>
              <w:jc w:val="center"/>
              <w:rPr>
                <w:rFonts w:ascii="宋体" w:hAnsi="宋体" w:cs="Calibri"/>
                <w:sz w:val="24"/>
                <w:highlight w:val="none"/>
              </w:rPr>
            </w:pPr>
            <w:r>
              <w:rPr>
                <w:rFonts w:ascii="宋体" w:hAnsi="宋体" w:cs="Calibri"/>
                <w:sz w:val="24"/>
                <w:highlight w:val="none"/>
              </w:rPr>
              <w:t>法定代表人</w:t>
            </w:r>
          </w:p>
        </w:tc>
        <w:tc>
          <w:tcPr>
            <w:tcW w:w="1101" w:type="dxa"/>
            <w:vAlign w:val="center"/>
          </w:tcPr>
          <w:p w14:paraId="11EF6C78">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34E97D7A">
            <w:pPr>
              <w:spacing w:line="276" w:lineRule="auto"/>
              <w:jc w:val="center"/>
              <w:rPr>
                <w:rFonts w:ascii="宋体" w:hAnsi="宋体" w:cs="Calibri"/>
                <w:sz w:val="24"/>
                <w:highlight w:val="none"/>
              </w:rPr>
            </w:pPr>
          </w:p>
        </w:tc>
        <w:tc>
          <w:tcPr>
            <w:tcW w:w="1652" w:type="dxa"/>
            <w:vAlign w:val="center"/>
          </w:tcPr>
          <w:p w14:paraId="60C6470D">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7E1EB761">
            <w:pPr>
              <w:spacing w:line="276" w:lineRule="auto"/>
              <w:jc w:val="center"/>
              <w:rPr>
                <w:rFonts w:ascii="宋体" w:hAnsi="宋体" w:cs="Calibri"/>
                <w:sz w:val="24"/>
                <w:highlight w:val="none"/>
              </w:rPr>
            </w:pPr>
          </w:p>
        </w:tc>
      </w:tr>
      <w:tr w14:paraId="6138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7A9F85BE">
            <w:pPr>
              <w:spacing w:line="276" w:lineRule="auto"/>
              <w:jc w:val="center"/>
              <w:rPr>
                <w:rFonts w:ascii="宋体" w:hAnsi="宋体" w:cs="Calibri"/>
                <w:sz w:val="24"/>
                <w:highlight w:val="none"/>
              </w:rPr>
            </w:pPr>
            <w:r>
              <w:rPr>
                <w:rFonts w:ascii="宋体" w:hAnsi="宋体" w:cs="Calibri"/>
                <w:sz w:val="24"/>
                <w:highlight w:val="none"/>
              </w:rPr>
              <w:t>负责人</w:t>
            </w:r>
          </w:p>
        </w:tc>
        <w:tc>
          <w:tcPr>
            <w:tcW w:w="1101" w:type="dxa"/>
            <w:vAlign w:val="center"/>
          </w:tcPr>
          <w:p w14:paraId="19BFBC71">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440113E7">
            <w:pPr>
              <w:spacing w:line="276" w:lineRule="auto"/>
              <w:jc w:val="center"/>
              <w:rPr>
                <w:rFonts w:ascii="宋体" w:hAnsi="宋体" w:cs="Calibri"/>
                <w:sz w:val="24"/>
                <w:highlight w:val="none"/>
              </w:rPr>
            </w:pPr>
          </w:p>
        </w:tc>
        <w:tc>
          <w:tcPr>
            <w:tcW w:w="1652" w:type="dxa"/>
            <w:vAlign w:val="center"/>
          </w:tcPr>
          <w:p w14:paraId="65184BAE">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5F641F4B">
            <w:pPr>
              <w:spacing w:line="276" w:lineRule="auto"/>
              <w:jc w:val="center"/>
              <w:rPr>
                <w:rFonts w:ascii="宋体" w:hAnsi="宋体" w:cs="Calibri"/>
                <w:sz w:val="24"/>
                <w:highlight w:val="none"/>
              </w:rPr>
            </w:pPr>
          </w:p>
        </w:tc>
      </w:tr>
      <w:tr w14:paraId="6A93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6893BBF">
            <w:pPr>
              <w:spacing w:line="276" w:lineRule="auto"/>
              <w:jc w:val="center"/>
              <w:rPr>
                <w:rFonts w:ascii="宋体" w:hAnsi="宋体" w:cs="Calibri"/>
                <w:sz w:val="24"/>
                <w:highlight w:val="none"/>
              </w:rPr>
            </w:pPr>
            <w:r>
              <w:rPr>
                <w:rFonts w:ascii="宋体" w:hAnsi="宋体" w:cs="Calibri"/>
                <w:sz w:val="24"/>
                <w:highlight w:val="none"/>
              </w:rPr>
              <w:t>成立时间</w:t>
            </w:r>
          </w:p>
        </w:tc>
        <w:tc>
          <w:tcPr>
            <w:tcW w:w="2064" w:type="dxa"/>
            <w:gridSpan w:val="2"/>
            <w:vAlign w:val="center"/>
          </w:tcPr>
          <w:p w14:paraId="090D8771">
            <w:pPr>
              <w:spacing w:line="276" w:lineRule="auto"/>
              <w:jc w:val="center"/>
              <w:rPr>
                <w:rFonts w:ascii="宋体" w:hAnsi="宋体" w:cs="Calibri"/>
                <w:sz w:val="24"/>
                <w:highlight w:val="none"/>
              </w:rPr>
            </w:pPr>
          </w:p>
        </w:tc>
        <w:tc>
          <w:tcPr>
            <w:tcW w:w="1102" w:type="dxa"/>
            <w:vMerge w:val="restart"/>
            <w:vAlign w:val="center"/>
          </w:tcPr>
          <w:p w14:paraId="74A36D71">
            <w:pPr>
              <w:spacing w:line="276" w:lineRule="auto"/>
              <w:jc w:val="center"/>
              <w:rPr>
                <w:rFonts w:ascii="宋体" w:hAnsi="宋体" w:cs="Calibri"/>
                <w:sz w:val="24"/>
                <w:highlight w:val="none"/>
              </w:rPr>
            </w:pPr>
          </w:p>
          <w:p w14:paraId="31BF5195">
            <w:pPr>
              <w:spacing w:line="276" w:lineRule="auto"/>
              <w:jc w:val="center"/>
              <w:rPr>
                <w:rFonts w:ascii="宋体" w:hAnsi="宋体" w:cs="Calibri"/>
                <w:sz w:val="24"/>
                <w:highlight w:val="none"/>
              </w:rPr>
            </w:pPr>
          </w:p>
          <w:p w14:paraId="2A899EA2">
            <w:pPr>
              <w:spacing w:line="276" w:lineRule="auto"/>
              <w:jc w:val="center"/>
              <w:rPr>
                <w:rFonts w:ascii="宋体" w:hAnsi="宋体" w:cs="Calibri"/>
                <w:sz w:val="24"/>
                <w:highlight w:val="none"/>
              </w:rPr>
            </w:pPr>
          </w:p>
          <w:p w14:paraId="599FED3B">
            <w:pPr>
              <w:spacing w:line="276" w:lineRule="auto"/>
              <w:jc w:val="center"/>
              <w:rPr>
                <w:rFonts w:ascii="宋体" w:hAnsi="宋体" w:cs="Calibri"/>
                <w:sz w:val="24"/>
                <w:highlight w:val="none"/>
              </w:rPr>
            </w:pPr>
            <w:r>
              <w:rPr>
                <w:rFonts w:ascii="宋体" w:hAnsi="宋体" w:cs="Calibri"/>
                <w:sz w:val="24"/>
                <w:highlight w:val="none"/>
              </w:rPr>
              <w:t>其中</w:t>
            </w:r>
          </w:p>
        </w:tc>
        <w:tc>
          <w:tcPr>
            <w:tcW w:w="3683" w:type="dxa"/>
            <w:gridSpan w:val="2"/>
            <w:vAlign w:val="center"/>
          </w:tcPr>
          <w:p w14:paraId="48CCC110">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现在岗</w:t>
            </w:r>
            <w:r>
              <w:rPr>
                <w:rFonts w:ascii="宋体" w:hAnsi="宋体" w:cs="Calibri"/>
                <w:sz w:val="24"/>
                <w:highlight w:val="none"/>
              </w:rPr>
              <w:t>员工总人数</w:t>
            </w:r>
          </w:p>
        </w:tc>
      </w:tr>
      <w:tr w14:paraId="5BF4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85AEBC6">
            <w:pPr>
              <w:spacing w:line="276" w:lineRule="auto"/>
              <w:jc w:val="center"/>
              <w:rPr>
                <w:rFonts w:ascii="宋体" w:hAnsi="宋体" w:cs="Calibri"/>
                <w:sz w:val="24"/>
                <w:highlight w:val="none"/>
              </w:rPr>
            </w:pPr>
            <w:r>
              <w:rPr>
                <w:rFonts w:ascii="宋体" w:hAnsi="宋体" w:cs="Calibri"/>
                <w:sz w:val="24"/>
                <w:highlight w:val="none"/>
              </w:rPr>
              <w:t>企业资质等级</w:t>
            </w:r>
          </w:p>
        </w:tc>
        <w:tc>
          <w:tcPr>
            <w:tcW w:w="2064" w:type="dxa"/>
            <w:gridSpan w:val="2"/>
            <w:vAlign w:val="center"/>
          </w:tcPr>
          <w:p w14:paraId="084E2DEE">
            <w:pPr>
              <w:spacing w:line="276" w:lineRule="auto"/>
              <w:jc w:val="center"/>
              <w:rPr>
                <w:rFonts w:ascii="宋体" w:hAnsi="宋体" w:cs="Calibri"/>
                <w:sz w:val="24"/>
                <w:highlight w:val="none"/>
              </w:rPr>
            </w:pPr>
          </w:p>
        </w:tc>
        <w:tc>
          <w:tcPr>
            <w:tcW w:w="1102" w:type="dxa"/>
            <w:vMerge w:val="continue"/>
            <w:vAlign w:val="center"/>
          </w:tcPr>
          <w:p w14:paraId="4BDC74F3">
            <w:pPr>
              <w:spacing w:line="276" w:lineRule="auto"/>
              <w:jc w:val="center"/>
              <w:rPr>
                <w:rFonts w:ascii="宋体" w:hAnsi="宋体" w:cs="Calibri"/>
                <w:sz w:val="24"/>
                <w:highlight w:val="none"/>
              </w:rPr>
            </w:pPr>
          </w:p>
        </w:tc>
        <w:tc>
          <w:tcPr>
            <w:tcW w:w="1652" w:type="dxa"/>
            <w:vMerge w:val="restart"/>
            <w:vAlign w:val="center"/>
          </w:tcPr>
          <w:p w14:paraId="0CF42C56">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自有讲师</w:t>
            </w:r>
          </w:p>
        </w:tc>
        <w:tc>
          <w:tcPr>
            <w:tcW w:w="2031" w:type="dxa"/>
            <w:vMerge w:val="restart"/>
            <w:vAlign w:val="center"/>
          </w:tcPr>
          <w:p w14:paraId="22D588A5">
            <w:pPr>
              <w:tabs>
                <w:tab w:val="left" w:pos="690"/>
              </w:tabs>
              <w:spacing w:line="276" w:lineRule="auto"/>
              <w:jc w:val="center"/>
              <w:rPr>
                <w:rFonts w:ascii="宋体" w:hAnsi="宋体" w:cs="Calibri"/>
                <w:sz w:val="24"/>
                <w:highlight w:val="none"/>
              </w:rPr>
            </w:pPr>
          </w:p>
        </w:tc>
      </w:tr>
      <w:tr w14:paraId="699B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D6193D8">
            <w:pPr>
              <w:spacing w:line="276" w:lineRule="auto"/>
              <w:jc w:val="center"/>
              <w:rPr>
                <w:rFonts w:ascii="宋体" w:hAnsi="宋体" w:cs="Calibri"/>
                <w:sz w:val="24"/>
                <w:highlight w:val="none"/>
              </w:rPr>
            </w:pPr>
            <w:r>
              <w:rPr>
                <w:rFonts w:ascii="宋体" w:hAnsi="宋体" w:cs="Calibri"/>
                <w:sz w:val="24"/>
                <w:highlight w:val="none"/>
              </w:rPr>
              <w:t>营业执照号</w:t>
            </w:r>
          </w:p>
        </w:tc>
        <w:tc>
          <w:tcPr>
            <w:tcW w:w="2064" w:type="dxa"/>
            <w:gridSpan w:val="2"/>
            <w:vAlign w:val="center"/>
          </w:tcPr>
          <w:p w14:paraId="5B908CBC">
            <w:pPr>
              <w:spacing w:line="276" w:lineRule="auto"/>
              <w:jc w:val="center"/>
              <w:rPr>
                <w:rFonts w:ascii="宋体" w:hAnsi="宋体" w:cs="Calibri"/>
                <w:sz w:val="24"/>
                <w:highlight w:val="none"/>
              </w:rPr>
            </w:pPr>
          </w:p>
        </w:tc>
        <w:tc>
          <w:tcPr>
            <w:tcW w:w="1102" w:type="dxa"/>
            <w:vMerge w:val="continue"/>
            <w:vAlign w:val="center"/>
          </w:tcPr>
          <w:p w14:paraId="2D071355">
            <w:pPr>
              <w:spacing w:line="276" w:lineRule="auto"/>
              <w:jc w:val="center"/>
              <w:rPr>
                <w:rFonts w:ascii="宋体" w:hAnsi="宋体" w:cs="Calibri"/>
                <w:sz w:val="24"/>
                <w:highlight w:val="none"/>
              </w:rPr>
            </w:pPr>
          </w:p>
        </w:tc>
        <w:tc>
          <w:tcPr>
            <w:tcW w:w="1652" w:type="dxa"/>
            <w:vMerge w:val="continue"/>
            <w:vAlign w:val="center"/>
          </w:tcPr>
          <w:p w14:paraId="501C44E2">
            <w:pPr>
              <w:tabs>
                <w:tab w:val="left" w:pos="690"/>
              </w:tabs>
              <w:spacing w:line="276" w:lineRule="auto"/>
              <w:jc w:val="center"/>
              <w:rPr>
                <w:rFonts w:ascii="宋体" w:hAnsi="宋体" w:cs="Calibri"/>
                <w:sz w:val="24"/>
                <w:highlight w:val="none"/>
              </w:rPr>
            </w:pPr>
          </w:p>
        </w:tc>
        <w:tc>
          <w:tcPr>
            <w:tcW w:w="2031" w:type="dxa"/>
            <w:vMerge w:val="continue"/>
            <w:vAlign w:val="center"/>
          </w:tcPr>
          <w:p w14:paraId="74BD93DE">
            <w:pPr>
              <w:tabs>
                <w:tab w:val="left" w:pos="690"/>
              </w:tabs>
              <w:spacing w:line="276" w:lineRule="auto"/>
              <w:jc w:val="center"/>
              <w:rPr>
                <w:rFonts w:ascii="宋体" w:hAnsi="宋体" w:cs="Calibri"/>
                <w:sz w:val="24"/>
                <w:highlight w:val="none"/>
              </w:rPr>
            </w:pPr>
          </w:p>
        </w:tc>
      </w:tr>
      <w:tr w14:paraId="225A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4A0724C">
            <w:pPr>
              <w:spacing w:line="276" w:lineRule="auto"/>
              <w:jc w:val="center"/>
              <w:rPr>
                <w:rFonts w:ascii="宋体" w:hAnsi="宋体" w:cs="Calibri"/>
                <w:sz w:val="24"/>
                <w:highlight w:val="none"/>
              </w:rPr>
            </w:pPr>
            <w:r>
              <w:rPr>
                <w:rFonts w:ascii="宋体" w:hAnsi="宋体" w:cs="Calibri"/>
                <w:sz w:val="24"/>
                <w:highlight w:val="none"/>
              </w:rPr>
              <w:t>注册资金</w:t>
            </w:r>
          </w:p>
        </w:tc>
        <w:tc>
          <w:tcPr>
            <w:tcW w:w="2064" w:type="dxa"/>
            <w:gridSpan w:val="2"/>
            <w:vAlign w:val="center"/>
          </w:tcPr>
          <w:p w14:paraId="5ECBF777">
            <w:pPr>
              <w:spacing w:line="276" w:lineRule="auto"/>
              <w:jc w:val="center"/>
              <w:rPr>
                <w:rFonts w:ascii="宋体" w:hAnsi="宋体" w:cs="Calibri"/>
                <w:sz w:val="24"/>
                <w:highlight w:val="none"/>
              </w:rPr>
            </w:pPr>
          </w:p>
        </w:tc>
        <w:tc>
          <w:tcPr>
            <w:tcW w:w="1102" w:type="dxa"/>
            <w:vMerge w:val="continue"/>
            <w:vAlign w:val="center"/>
          </w:tcPr>
          <w:p w14:paraId="280D15B5">
            <w:pPr>
              <w:spacing w:line="276" w:lineRule="auto"/>
              <w:jc w:val="center"/>
              <w:rPr>
                <w:rFonts w:ascii="宋体" w:hAnsi="宋体" w:cs="Calibri"/>
                <w:sz w:val="24"/>
                <w:highlight w:val="none"/>
              </w:rPr>
            </w:pPr>
          </w:p>
        </w:tc>
        <w:tc>
          <w:tcPr>
            <w:tcW w:w="1652" w:type="dxa"/>
            <w:vMerge w:val="restart"/>
            <w:vAlign w:val="center"/>
          </w:tcPr>
          <w:p w14:paraId="2EE24181">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兼职教师</w:t>
            </w:r>
          </w:p>
        </w:tc>
        <w:tc>
          <w:tcPr>
            <w:tcW w:w="2031" w:type="dxa"/>
            <w:vMerge w:val="restart"/>
            <w:vAlign w:val="center"/>
          </w:tcPr>
          <w:p w14:paraId="20B45307">
            <w:pPr>
              <w:tabs>
                <w:tab w:val="left" w:pos="690"/>
              </w:tabs>
              <w:spacing w:line="276" w:lineRule="auto"/>
              <w:jc w:val="center"/>
              <w:rPr>
                <w:rFonts w:ascii="宋体" w:hAnsi="宋体" w:cs="Calibri"/>
                <w:sz w:val="24"/>
                <w:highlight w:val="none"/>
              </w:rPr>
            </w:pPr>
          </w:p>
        </w:tc>
      </w:tr>
      <w:tr w14:paraId="4E3E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0122AECC">
            <w:pPr>
              <w:spacing w:line="276" w:lineRule="auto"/>
              <w:jc w:val="center"/>
              <w:rPr>
                <w:rFonts w:ascii="宋体" w:hAnsi="宋体" w:cs="Calibri"/>
                <w:sz w:val="24"/>
                <w:highlight w:val="none"/>
              </w:rPr>
            </w:pPr>
            <w:r>
              <w:rPr>
                <w:rFonts w:ascii="宋体" w:hAnsi="宋体" w:cs="Calibri"/>
                <w:sz w:val="24"/>
                <w:highlight w:val="none"/>
              </w:rPr>
              <w:t>开户银行</w:t>
            </w:r>
          </w:p>
        </w:tc>
        <w:tc>
          <w:tcPr>
            <w:tcW w:w="2064" w:type="dxa"/>
            <w:gridSpan w:val="2"/>
            <w:vAlign w:val="center"/>
          </w:tcPr>
          <w:p w14:paraId="5C7BC64A">
            <w:pPr>
              <w:spacing w:line="276" w:lineRule="auto"/>
              <w:jc w:val="center"/>
              <w:rPr>
                <w:rFonts w:ascii="宋体" w:hAnsi="宋体" w:cs="Calibri"/>
                <w:sz w:val="24"/>
                <w:highlight w:val="none"/>
              </w:rPr>
            </w:pPr>
          </w:p>
        </w:tc>
        <w:tc>
          <w:tcPr>
            <w:tcW w:w="1102" w:type="dxa"/>
            <w:vMerge w:val="continue"/>
            <w:vAlign w:val="center"/>
          </w:tcPr>
          <w:p w14:paraId="5C4BA954">
            <w:pPr>
              <w:spacing w:line="276" w:lineRule="auto"/>
              <w:jc w:val="center"/>
              <w:rPr>
                <w:rFonts w:ascii="宋体" w:hAnsi="宋体" w:cs="Calibri"/>
                <w:sz w:val="24"/>
                <w:highlight w:val="none"/>
              </w:rPr>
            </w:pPr>
          </w:p>
        </w:tc>
        <w:tc>
          <w:tcPr>
            <w:tcW w:w="1652" w:type="dxa"/>
            <w:vMerge w:val="continue"/>
            <w:vAlign w:val="center"/>
          </w:tcPr>
          <w:p w14:paraId="0FCB894F">
            <w:pPr>
              <w:tabs>
                <w:tab w:val="left" w:pos="690"/>
              </w:tabs>
              <w:spacing w:line="276" w:lineRule="auto"/>
              <w:jc w:val="center"/>
              <w:rPr>
                <w:rFonts w:ascii="宋体" w:hAnsi="宋体" w:cs="Calibri"/>
                <w:sz w:val="24"/>
                <w:highlight w:val="none"/>
              </w:rPr>
            </w:pPr>
          </w:p>
        </w:tc>
        <w:tc>
          <w:tcPr>
            <w:tcW w:w="2031" w:type="dxa"/>
            <w:vMerge w:val="continue"/>
            <w:vAlign w:val="center"/>
          </w:tcPr>
          <w:p w14:paraId="7897707D">
            <w:pPr>
              <w:tabs>
                <w:tab w:val="left" w:pos="690"/>
              </w:tabs>
              <w:spacing w:line="276" w:lineRule="auto"/>
              <w:jc w:val="center"/>
              <w:rPr>
                <w:rFonts w:ascii="宋体" w:hAnsi="宋体" w:cs="Calibri"/>
                <w:sz w:val="24"/>
                <w:highlight w:val="none"/>
              </w:rPr>
            </w:pPr>
          </w:p>
        </w:tc>
      </w:tr>
      <w:tr w14:paraId="082B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1FFD0211">
            <w:pPr>
              <w:spacing w:line="276" w:lineRule="auto"/>
              <w:jc w:val="center"/>
              <w:rPr>
                <w:rFonts w:ascii="宋体" w:hAnsi="宋体" w:cs="Calibri"/>
                <w:sz w:val="24"/>
                <w:highlight w:val="none"/>
              </w:rPr>
            </w:pPr>
            <w:r>
              <w:rPr>
                <w:rFonts w:ascii="宋体" w:hAnsi="宋体" w:cs="Calibri"/>
                <w:sz w:val="24"/>
                <w:highlight w:val="none"/>
              </w:rPr>
              <w:t>银行账号</w:t>
            </w:r>
          </w:p>
        </w:tc>
        <w:tc>
          <w:tcPr>
            <w:tcW w:w="2064" w:type="dxa"/>
            <w:gridSpan w:val="2"/>
            <w:vAlign w:val="center"/>
          </w:tcPr>
          <w:p w14:paraId="1CD6CCC3">
            <w:pPr>
              <w:spacing w:line="276" w:lineRule="auto"/>
              <w:jc w:val="center"/>
              <w:rPr>
                <w:rFonts w:ascii="宋体" w:hAnsi="宋体" w:cs="Calibri"/>
                <w:sz w:val="24"/>
                <w:highlight w:val="none"/>
              </w:rPr>
            </w:pPr>
          </w:p>
        </w:tc>
        <w:tc>
          <w:tcPr>
            <w:tcW w:w="1102" w:type="dxa"/>
            <w:vMerge w:val="continue"/>
            <w:vAlign w:val="center"/>
          </w:tcPr>
          <w:p w14:paraId="2AE9B405">
            <w:pPr>
              <w:spacing w:line="276" w:lineRule="auto"/>
              <w:jc w:val="center"/>
              <w:rPr>
                <w:rFonts w:ascii="宋体" w:hAnsi="宋体" w:cs="Calibri"/>
                <w:sz w:val="24"/>
                <w:highlight w:val="none"/>
              </w:rPr>
            </w:pPr>
          </w:p>
        </w:tc>
        <w:tc>
          <w:tcPr>
            <w:tcW w:w="1652" w:type="dxa"/>
            <w:vMerge w:val="continue"/>
            <w:vAlign w:val="center"/>
          </w:tcPr>
          <w:p w14:paraId="7C30061E">
            <w:pPr>
              <w:tabs>
                <w:tab w:val="left" w:pos="690"/>
              </w:tabs>
              <w:spacing w:line="276" w:lineRule="auto"/>
              <w:jc w:val="center"/>
              <w:rPr>
                <w:rFonts w:ascii="宋体" w:hAnsi="宋体" w:cs="Calibri"/>
                <w:sz w:val="24"/>
                <w:highlight w:val="none"/>
              </w:rPr>
            </w:pPr>
          </w:p>
        </w:tc>
        <w:tc>
          <w:tcPr>
            <w:tcW w:w="2031" w:type="dxa"/>
            <w:vMerge w:val="continue"/>
            <w:vAlign w:val="center"/>
          </w:tcPr>
          <w:p w14:paraId="34FA1922">
            <w:pPr>
              <w:tabs>
                <w:tab w:val="left" w:pos="690"/>
              </w:tabs>
              <w:spacing w:line="276" w:lineRule="auto"/>
              <w:jc w:val="center"/>
              <w:rPr>
                <w:rFonts w:ascii="宋体" w:hAnsi="宋体" w:cs="Calibri"/>
                <w:sz w:val="24"/>
                <w:highlight w:val="none"/>
              </w:rPr>
            </w:pPr>
          </w:p>
        </w:tc>
      </w:tr>
      <w:tr w14:paraId="0F07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5FEF48BE">
            <w:pPr>
              <w:tabs>
                <w:tab w:val="left" w:pos="690"/>
              </w:tabs>
              <w:spacing w:line="276" w:lineRule="auto"/>
              <w:jc w:val="left"/>
              <w:rPr>
                <w:sz w:val="24"/>
                <w:szCs w:val="22"/>
                <w:highlight w:val="none"/>
              </w:rPr>
            </w:pPr>
            <w:r>
              <w:rPr>
                <w:sz w:val="24"/>
                <w:szCs w:val="22"/>
                <w:highlight w:val="none"/>
              </w:rPr>
              <w:t>经营范围</w:t>
            </w:r>
            <w:r>
              <w:rPr>
                <w:rFonts w:hint="eastAsia"/>
                <w:sz w:val="24"/>
                <w:szCs w:val="22"/>
                <w:highlight w:val="none"/>
              </w:rPr>
              <w:t>：</w:t>
            </w:r>
          </w:p>
          <w:p w14:paraId="51F63EF6">
            <w:pPr>
              <w:pStyle w:val="5"/>
              <w:rPr>
                <w:highlight w:val="none"/>
              </w:rPr>
            </w:pPr>
          </w:p>
          <w:p w14:paraId="4B407B93">
            <w:pPr>
              <w:rPr>
                <w:highlight w:val="none"/>
              </w:rPr>
            </w:pPr>
          </w:p>
          <w:p w14:paraId="7A304A91">
            <w:pPr>
              <w:pStyle w:val="5"/>
              <w:rPr>
                <w:highlight w:val="none"/>
              </w:rPr>
            </w:pPr>
          </w:p>
        </w:tc>
      </w:tr>
    </w:tbl>
    <w:p w14:paraId="7DA38140">
      <w:pPr>
        <w:pStyle w:val="10"/>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投标人：（盖章）</w:t>
      </w:r>
    </w:p>
    <w:p w14:paraId="33B08B7C">
      <w:pPr>
        <w:spacing w:line="660" w:lineRule="exact"/>
        <w:rPr>
          <w:rFonts w:ascii="宋体" w:hAnsi="宋体" w:cs="宋体"/>
          <w:sz w:val="24"/>
          <w:szCs w:val="24"/>
          <w:highlight w:val="none"/>
        </w:rPr>
      </w:pPr>
      <w:r>
        <w:rPr>
          <w:rFonts w:hint="eastAsia" w:ascii="宋体" w:hAnsi="宋体" w:cs="宋体"/>
          <w:sz w:val="24"/>
          <w:szCs w:val="24"/>
          <w:highlight w:val="none"/>
        </w:rPr>
        <w:t>法定代表人（委托代理人）：（签字）</w:t>
      </w:r>
    </w:p>
    <w:p w14:paraId="423415DB">
      <w:pPr>
        <w:pStyle w:val="10"/>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日期：    年    月   日</w:t>
      </w:r>
    </w:p>
    <w:p w14:paraId="1B4FED32">
      <w:pPr>
        <w:rPr>
          <w:rFonts w:ascii="宋体" w:hAnsi="宋体" w:cs="宋体"/>
          <w:sz w:val="24"/>
          <w:szCs w:val="24"/>
          <w:highlight w:val="none"/>
        </w:rPr>
      </w:pPr>
    </w:p>
    <w:p w14:paraId="04713590">
      <w:pPr>
        <w:pStyle w:val="15"/>
        <w:rPr>
          <w:rFonts w:ascii="宋体" w:hAnsi="宋体" w:cs="宋体"/>
          <w:sz w:val="24"/>
          <w:szCs w:val="24"/>
          <w:highlight w:val="none"/>
        </w:rPr>
      </w:pPr>
    </w:p>
    <w:p w14:paraId="1BCD1093">
      <w:pPr>
        <w:pStyle w:val="15"/>
        <w:rPr>
          <w:rFonts w:ascii="宋体" w:hAnsi="宋体" w:cs="宋体"/>
          <w:sz w:val="24"/>
          <w:szCs w:val="24"/>
          <w:highlight w:val="none"/>
        </w:rPr>
        <w:sectPr>
          <w:footerReference r:id="rId6" w:type="first"/>
          <w:footerReference r:id="rId5" w:type="default"/>
          <w:pgSz w:w="11906" w:h="16838"/>
          <w:pgMar w:top="1588" w:right="1418" w:bottom="1134" w:left="1418" w:header="851" w:footer="992" w:gutter="0"/>
          <w:pgNumType w:fmt="decimal" w:start="1"/>
          <w:cols w:space="720" w:num="1"/>
          <w:titlePg/>
          <w:docGrid w:type="lines" w:linePitch="312" w:charSpace="0"/>
        </w:sectPr>
      </w:pPr>
    </w:p>
    <w:p w14:paraId="64497CD7">
      <w:pPr>
        <w:rPr>
          <w:rFonts w:ascii="宋体" w:hAnsi="宋体" w:cs="宋体"/>
          <w:sz w:val="24"/>
          <w:szCs w:val="24"/>
          <w:highlight w:val="none"/>
        </w:rPr>
      </w:pPr>
      <w:bookmarkStart w:id="16" w:name="_Toc32286"/>
      <w:r>
        <w:rPr>
          <w:rFonts w:hint="eastAsia" w:ascii="宋体" w:hAnsi="宋体" w:cs="宋体"/>
          <w:sz w:val="24"/>
          <w:szCs w:val="24"/>
          <w:highlight w:val="none"/>
        </w:rPr>
        <w:t>附件3</w:t>
      </w:r>
      <w:bookmarkEnd w:id="16"/>
    </w:p>
    <w:p w14:paraId="7B79EF07">
      <w:pPr>
        <w:rPr>
          <w:rFonts w:eastAsia="黑体"/>
          <w:b/>
          <w:bCs/>
          <w:sz w:val="28"/>
          <w:highlight w:val="none"/>
        </w:rPr>
      </w:pPr>
      <w:r>
        <w:rPr>
          <w:rFonts w:hint="eastAsia" w:eastAsia="黑体"/>
          <w:b/>
          <w:bCs/>
          <w:sz w:val="28"/>
          <w:highlight w:val="none"/>
        </w:rPr>
        <w:t>《开标一览表》单独封存，以备唱标使用</w:t>
      </w:r>
    </w:p>
    <w:p w14:paraId="0541749B">
      <w:pPr>
        <w:jc w:val="center"/>
        <w:rPr>
          <w:rFonts w:ascii="黑体" w:eastAsia="黑体"/>
          <w:sz w:val="30"/>
          <w:highlight w:val="none"/>
        </w:rPr>
      </w:pPr>
      <w:r>
        <w:rPr>
          <w:rFonts w:hint="eastAsia" w:ascii="黑体" w:eastAsia="黑体"/>
          <w:sz w:val="30"/>
          <w:highlight w:val="none"/>
        </w:rPr>
        <w:t>开标一览表</w:t>
      </w:r>
    </w:p>
    <w:tbl>
      <w:tblPr>
        <w:tblStyle w:val="20"/>
        <w:tblpPr w:leftFromText="180" w:rightFromText="180" w:vertAnchor="text" w:horzAnchor="page" w:tblpX="1439" w:tblpY="99"/>
        <w:tblOverlap w:val="never"/>
        <w:tblW w:w="13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4813"/>
        <w:gridCol w:w="1632"/>
        <w:gridCol w:w="1382"/>
        <w:gridCol w:w="1958"/>
        <w:gridCol w:w="1837"/>
        <w:gridCol w:w="1298"/>
      </w:tblGrid>
      <w:tr w14:paraId="22E8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923" w:type="dxa"/>
            <w:vAlign w:val="center"/>
          </w:tcPr>
          <w:p w14:paraId="0C236A32">
            <w:pPr>
              <w:jc w:val="center"/>
              <w:rPr>
                <w:rFonts w:hint="eastAsia" w:ascii="黑体" w:hAnsi="黑体" w:eastAsia="黑体" w:cs="黑体"/>
                <w:sz w:val="24"/>
                <w:szCs w:val="24"/>
                <w:highlight w:val="none"/>
              </w:rPr>
            </w:pPr>
            <w:r>
              <w:rPr>
                <w:rFonts w:hint="eastAsia" w:ascii="黑体" w:hAnsi="黑体" w:eastAsia="黑体" w:cs="黑体"/>
                <w:color w:val="000000"/>
                <w:kern w:val="0"/>
                <w:sz w:val="24"/>
                <w:szCs w:val="24"/>
                <w:highlight w:val="none"/>
              </w:rPr>
              <w:t>序号</w:t>
            </w:r>
          </w:p>
        </w:tc>
        <w:tc>
          <w:tcPr>
            <w:tcW w:w="4813" w:type="dxa"/>
            <w:vAlign w:val="center"/>
          </w:tcPr>
          <w:p w14:paraId="68D42977">
            <w:pPr>
              <w:jc w:val="center"/>
              <w:rPr>
                <w:rFonts w:hint="eastAsia" w:ascii="黑体" w:hAnsi="黑体" w:eastAsia="黑体" w:cs="黑体"/>
                <w:color w:val="000000"/>
                <w:kern w:val="0"/>
                <w:sz w:val="24"/>
                <w:szCs w:val="24"/>
                <w:highlight w:val="none"/>
                <w:lang w:val="en-US" w:eastAsia="zh-CN"/>
              </w:rPr>
            </w:pPr>
            <w:r>
              <w:rPr>
                <w:rFonts w:hint="eastAsia" w:ascii="黑体" w:hAnsi="黑体" w:eastAsia="黑体" w:cs="黑体"/>
                <w:color w:val="000000"/>
                <w:kern w:val="0"/>
                <w:sz w:val="24"/>
                <w:szCs w:val="24"/>
                <w:highlight w:val="none"/>
                <w:lang w:val="en-US" w:eastAsia="zh-CN"/>
              </w:rPr>
              <w:t>物资/服务/...名称</w:t>
            </w:r>
          </w:p>
        </w:tc>
        <w:tc>
          <w:tcPr>
            <w:tcW w:w="1632" w:type="dxa"/>
            <w:vAlign w:val="center"/>
          </w:tcPr>
          <w:p w14:paraId="24155DBA">
            <w:pPr>
              <w:jc w:val="center"/>
              <w:rPr>
                <w:rFonts w:hint="eastAsia" w:ascii="黑体" w:hAnsi="黑体" w:eastAsia="黑体" w:cs="黑体"/>
                <w:sz w:val="24"/>
                <w:szCs w:val="24"/>
                <w:highlight w:val="none"/>
                <w:lang w:val="en-US" w:eastAsia="zh-CN"/>
              </w:rPr>
            </w:pPr>
            <w:r>
              <w:rPr>
                <w:rFonts w:hint="eastAsia" w:ascii="黑体" w:hAnsi="黑体" w:eastAsia="黑体" w:cs="黑体"/>
                <w:kern w:val="2"/>
                <w:sz w:val="24"/>
                <w:szCs w:val="24"/>
                <w:highlight w:val="none"/>
                <w:lang w:val="en-US" w:eastAsia="zh-CN"/>
              </w:rPr>
              <w:t>计量单位</w:t>
            </w:r>
          </w:p>
        </w:tc>
        <w:tc>
          <w:tcPr>
            <w:tcW w:w="1382" w:type="dxa"/>
            <w:vAlign w:val="center"/>
          </w:tcPr>
          <w:p w14:paraId="4003464D">
            <w:pPr>
              <w:jc w:val="center"/>
              <w:rPr>
                <w:rFonts w:hint="eastAsia" w:ascii="黑体" w:hAnsi="黑体" w:eastAsia="黑体" w:cs="黑体"/>
                <w:kern w:val="2"/>
                <w:sz w:val="24"/>
                <w:szCs w:val="24"/>
                <w:highlight w:val="none"/>
                <w:lang w:val="en-US" w:eastAsia="zh-CN"/>
              </w:rPr>
            </w:pPr>
            <w:r>
              <w:rPr>
                <w:rFonts w:hint="eastAsia" w:ascii="黑体" w:hAnsi="黑体" w:eastAsia="黑体" w:cs="黑体"/>
                <w:color w:val="000000"/>
                <w:kern w:val="2"/>
                <w:sz w:val="24"/>
                <w:szCs w:val="24"/>
                <w:highlight w:val="none"/>
              </w:rPr>
              <w:t>数量</w:t>
            </w:r>
          </w:p>
        </w:tc>
        <w:tc>
          <w:tcPr>
            <w:tcW w:w="1958" w:type="dxa"/>
            <w:vAlign w:val="center"/>
          </w:tcPr>
          <w:p w14:paraId="1113F1ED">
            <w:pPr>
              <w:jc w:val="center"/>
              <w:rPr>
                <w:rFonts w:hint="eastAsia" w:ascii="黑体" w:hAnsi="黑体" w:eastAsia="黑体" w:cs="黑体"/>
                <w:color w:val="000000"/>
                <w:kern w:val="2"/>
                <w:sz w:val="24"/>
                <w:szCs w:val="24"/>
                <w:highlight w:val="none"/>
                <w:lang w:val="en-US" w:eastAsia="zh-CN"/>
              </w:rPr>
            </w:pPr>
            <w:r>
              <w:rPr>
                <w:rFonts w:hint="eastAsia" w:ascii="黑体" w:hAnsi="黑体" w:eastAsia="黑体" w:cs="黑体"/>
                <w:color w:val="000000"/>
                <w:kern w:val="2"/>
                <w:sz w:val="24"/>
                <w:szCs w:val="24"/>
                <w:highlight w:val="none"/>
                <w:lang w:val="en-US" w:eastAsia="zh-CN"/>
              </w:rPr>
              <w:t>未税总价（元）</w:t>
            </w:r>
          </w:p>
        </w:tc>
        <w:tc>
          <w:tcPr>
            <w:tcW w:w="1837" w:type="dxa"/>
            <w:vAlign w:val="center"/>
          </w:tcPr>
          <w:p w14:paraId="50A3CD95">
            <w:pPr>
              <w:jc w:val="center"/>
              <w:rPr>
                <w:rFonts w:hint="eastAsia" w:ascii="黑体" w:hAnsi="黑体" w:eastAsia="黑体" w:cs="黑体"/>
                <w:color w:val="000000"/>
                <w:kern w:val="0"/>
                <w:sz w:val="24"/>
                <w:szCs w:val="24"/>
                <w:highlight w:val="none"/>
                <w:lang w:val="en-US" w:eastAsia="zh-CN"/>
              </w:rPr>
            </w:pPr>
            <w:r>
              <w:rPr>
                <w:rFonts w:hint="eastAsia" w:ascii="黑体" w:hAnsi="黑体" w:eastAsia="黑体" w:cs="黑体"/>
                <w:color w:val="000000"/>
                <w:kern w:val="2"/>
                <w:sz w:val="24"/>
                <w:szCs w:val="24"/>
                <w:highlight w:val="none"/>
                <w:lang w:val="en-US" w:eastAsia="zh-CN"/>
              </w:rPr>
              <w:t>含税总价（元）</w:t>
            </w:r>
          </w:p>
        </w:tc>
        <w:tc>
          <w:tcPr>
            <w:tcW w:w="1298" w:type="dxa"/>
            <w:shd w:val="clear" w:color="auto" w:fill="auto"/>
            <w:vAlign w:val="center"/>
          </w:tcPr>
          <w:p w14:paraId="78FCF473">
            <w:pPr>
              <w:jc w:val="center"/>
              <w:rPr>
                <w:rFonts w:hint="eastAsia" w:ascii="黑体" w:hAnsi="黑体" w:eastAsia="黑体" w:cs="黑体"/>
                <w:color w:val="000000"/>
                <w:kern w:val="0"/>
                <w:sz w:val="24"/>
                <w:szCs w:val="24"/>
                <w:highlight w:val="none"/>
                <w:lang w:val="en-US" w:eastAsia="zh-CN" w:bidi="ar-SA"/>
              </w:rPr>
            </w:pPr>
            <w:r>
              <w:rPr>
                <w:rFonts w:hint="eastAsia" w:ascii="黑体" w:hAnsi="黑体" w:eastAsia="黑体" w:cs="黑体"/>
                <w:color w:val="000000"/>
                <w:kern w:val="0"/>
                <w:sz w:val="24"/>
                <w:szCs w:val="24"/>
                <w:highlight w:val="none"/>
                <w:lang w:val="en-US" w:eastAsia="zh-CN"/>
              </w:rPr>
              <w:t>备注</w:t>
            </w:r>
          </w:p>
        </w:tc>
      </w:tr>
      <w:tr w14:paraId="0BDF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923" w:type="dxa"/>
            <w:vAlign w:val="center"/>
          </w:tcPr>
          <w:p w14:paraId="4718C01C">
            <w:pPr>
              <w:jc w:val="center"/>
              <w:rPr>
                <w:rFonts w:hint="eastAsia" w:ascii="宋体" w:hAnsi="宋体" w:eastAsia="宋体" w:cs="宋体"/>
                <w:b w:val="0"/>
                <w:bCs w:val="0"/>
                <w:color w:val="auto"/>
                <w:kern w:val="2"/>
                <w:sz w:val="24"/>
                <w:szCs w:val="24"/>
                <w:highlight w:val="none"/>
                <w:lang w:val="en-US" w:eastAsia="zh-CN"/>
              </w:rPr>
            </w:pPr>
            <w:r>
              <w:rPr>
                <w:rFonts w:hint="eastAsia" w:ascii="宋体" w:hAnsi="宋体" w:eastAsia="宋体" w:cs="宋体"/>
                <w:b w:val="0"/>
                <w:bCs w:val="0"/>
                <w:color w:val="auto"/>
                <w:kern w:val="2"/>
                <w:sz w:val="24"/>
                <w:szCs w:val="24"/>
                <w:highlight w:val="none"/>
                <w:lang w:val="en-US" w:eastAsia="zh-CN"/>
              </w:rPr>
              <w:t>1</w:t>
            </w:r>
          </w:p>
        </w:tc>
        <w:tc>
          <w:tcPr>
            <w:tcW w:w="4813" w:type="dxa"/>
            <w:vAlign w:val="center"/>
          </w:tcPr>
          <w:p w14:paraId="53A24232">
            <w:pPr>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广联达（钢结构、安装、精装修专业）BIM算量软件技能提升课程</w:t>
            </w:r>
          </w:p>
        </w:tc>
        <w:tc>
          <w:tcPr>
            <w:tcW w:w="1632" w:type="dxa"/>
            <w:vAlign w:val="center"/>
          </w:tcPr>
          <w:p w14:paraId="1C6FE0CE">
            <w:pPr>
              <w:jc w:val="center"/>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课</w:t>
            </w:r>
            <w:r>
              <w:rPr>
                <w:rFonts w:hint="eastAsia" w:ascii="宋体" w:hAnsi="宋体" w:eastAsia="宋体" w:cs="宋体"/>
                <w:b w:val="0"/>
                <w:bCs w:val="0"/>
                <w:color w:val="auto"/>
                <w:sz w:val="24"/>
                <w:szCs w:val="24"/>
                <w:highlight w:val="none"/>
                <w:lang w:val="en-US" w:eastAsia="zh-CN"/>
              </w:rPr>
              <w:t>时</w:t>
            </w:r>
          </w:p>
        </w:tc>
        <w:tc>
          <w:tcPr>
            <w:tcW w:w="1382" w:type="dxa"/>
            <w:vAlign w:val="center"/>
          </w:tcPr>
          <w:p w14:paraId="22E2E611">
            <w:pPr>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XX</w:t>
            </w:r>
          </w:p>
        </w:tc>
        <w:tc>
          <w:tcPr>
            <w:tcW w:w="1958" w:type="dxa"/>
            <w:vAlign w:val="center"/>
          </w:tcPr>
          <w:p w14:paraId="5C86A3F6">
            <w:pPr>
              <w:jc w:val="center"/>
              <w:rPr>
                <w:rFonts w:hint="eastAsia" w:ascii="宋体" w:hAnsi="宋体" w:eastAsia="宋体" w:cs="宋体"/>
                <w:b w:val="0"/>
                <w:bCs w:val="0"/>
                <w:color w:val="auto"/>
                <w:sz w:val="24"/>
                <w:szCs w:val="24"/>
                <w:highlight w:val="none"/>
                <w:lang w:val="en-US" w:eastAsia="zh-CN"/>
              </w:rPr>
            </w:pPr>
          </w:p>
        </w:tc>
        <w:tc>
          <w:tcPr>
            <w:tcW w:w="1837" w:type="dxa"/>
            <w:vAlign w:val="center"/>
          </w:tcPr>
          <w:p w14:paraId="2B95B9C0">
            <w:pPr>
              <w:jc w:val="center"/>
              <w:rPr>
                <w:rFonts w:hint="eastAsia" w:ascii="宋体" w:hAnsi="宋体" w:eastAsia="宋体" w:cs="宋体"/>
                <w:b w:val="0"/>
                <w:bCs w:val="0"/>
                <w:color w:val="auto"/>
                <w:sz w:val="24"/>
                <w:szCs w:val="24"/>
                <w:highlight w:val="none"/>
                <w:lang w:val="en-US" w:eastAsia="zh-CN"/>
              </w:rPr>
            </w:pPr>
          </w:p>
        </w:tc>
        <w:tc>
          <w:tcPr>
            <w:tcW w:w="1298" w:type="dxa"/>
            <w:shd w:val="clear" w:color="auto" w:fill="auto"/>
            <w:vAlign w:val="center"/>
          </w:tcPr>
          <w:p w14:paraId="4A398A60">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税率</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w:t>
            </w:r>
          </w:p>
        </w:tc>
      </w:tr>
      <w:tr w14:paraId="1179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923" w:type="dxa"/>
            <w:vAlign w:val="center"/>
          </w:tcPr>
          <w:p w14:paraId="252D079F">
            <w:pPr>
              <w:jc w:val="center"/>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2</w:t>
            </w:r>
          </w:p>
        </w:tc>
        <w:tc>
          <w:tcPr>
            <w:tcW w:w="4813" w:type="dxa"/>
            <w:vAlign w:val="center"/>
          </w:tcPr>
          <w:p w14:paraId="5517B555">
            <w:pPr>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新版清单计价标准及新定额应用提升课程</w:t>
            </w:r>
          </w:p>
        </w:tc>
        <w:tc>
          <w:tcPr>
            <w:tcW w:w="1632" w:type="dxa"/>
            <w:vAlign w:val="center"/>
          </w:tcPr>
          <w:p w14:paraId="73B5EB48">
            <w:pPr>
              <w:jc w:val="center"/>
              <w:rPr>
                <w:rFonts w:hint="eastAsia" w:ascii="宋体" w:hAnsi="宋体" w:eastAsia="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课</w:t>
            </w:r>
            <w:r>
              <w:rPr>
                <w:rFonts w:hint="eastAsia" w:ascii="宋体" w:hAnsi="宋体" w:eastAsia="宋体" w:cs="宋体"/>
                <w:b w:val="0"/>
                <w:bCs w:val="0"/>
                <w:color w:val="auto"/>
                <w:sz w:val="24"/>
                <w:szCs w:val="24"/>
                <w:highlight w:val="none"/>
                <w:lang w:val="en-US" w:eastAsia="zh-CN"/>
              </w:rPr>
              <w:t>时</w:t>
            </w:r>
          </w:p>
        </w:tc>
        <w:tc>
          <w:tcPr>
            <w:tcW w:w="1382" w:type="dxa"/>
            <w:vAlign w:val="center"/>
          </w:tcPr>
          <w:p w14:paraId="6ABFCAC1">
            <w:pPr>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XX</w:t>
            </w:r>
          </w:p>
        </w:tc>
        <w:tc>
          <w:tcPr>
            <w:tcW w:w="1958" w:type="dxa"/>
            <w:vAlign w:val="center"/>
          </w:tcPr>
          <w:p w14:paraId="645E57B1">
            <w:pPr>
              <w:rPr>
                <w:rFonts w:hint="eastAsia" w:ascii="宋体" w:hAnsi="宋体" w:eastAsia="宋体" w:cs="宋体"/>
                <w:b w:val="0"/>
                <w:bCs w:val="0"/>
                <w:color w:val="auto"/>
                <w:sz w:val="24"/>
                <w:szCs w:val="24"/>
                <w:highlight w:val="none"/>
              </w:rPr>
            </w:pPr>
          </w:p>
        </w:tc>
        <w:tc>
          <w:tcPr>
            <w:tcW w:w="1837" w:type="dxa"/>
            <w:vAlign w:val="center"/>
          </w:tcPr>
          <w:p w14:paraId="02049C24">
            <w:pPr>
              <w:jc w:val="center"/>
              <w:rPr>
                <w:rFonts w:hint="eastAsia" w:ascii="宋体" w:hAnsi="宋体" w:eastAsia="宋体" w:cs="宋体"/>
                <w:b w:val="0"/>
                <w:bCs w:val="0"/>
                <w:color w:val="auto"/>
                <w:sz w:val="24"/>
                <w:szCs w:val="24"/>
                <w:highlight w:val="none"/>
                <w:lang w:val="en-US" w:eastAsia="zh-CN"/>
              </w:rPr>
            </w:pPr>
          </w:p>
        </w:tc>
        <w:tc>
          <w:tcPr>
            <w:tcW w:w="1298" w:type="dxa"/>
            <w:shd w:val="clear" w:color="auto" w:fill="auto"/>
            <w:vAlign w:val="center"/>
          </w:tcPr>
          <w:p w14:paraId="5230E316">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税率</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w:t>
            </w:r>
          </w:p>
        </w:tc>
      </w:tr>
      <w:tr w14:paraId="6896D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923" w:type="dxa"/>
            <w:vAlign w:val="center"/>
          </w:tcPr>
          <w:p w14:paraId="7E2F5C84">
            <w:pPr>
              <w:jc w:val="center"/>
              <w:rPr>
                <w:rFonts w:hint="eastAsia" w:ascii="宋体" w:hAnsi="宋体" w:eastAsia="宋体" w:cs="宋体"/>
                <w:b w:val="0"/>
                <w:bCs w:val="0"/>
                <w:color w:val="auto"/>
                <w:kern w:val="0"/>
                <w:sz w:val="24"/>
                <w:szCs w:val="24"/>
                <w:highlight w:val="none"/>
                <w:lang w:val="en-US" w:eastAsia="zh-CN"/>
              </w:rPr>
            </w:pPr>
          </w:p>
        </w:tc>
        <w:tc>
          <w:tcPr>
            <w:tcW w:w="4813" w:type="dxa"/>
            <w:vAlign w:val="center"/>
          </w:tcPr>
          <w:p w14:paraId="55B6E523">
            <w:pPr>
              <w:jc w:val="center"/>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合计</w:t>
            </w:r>
          </w:p>
        </w:tc>
        <w:tc>
          <w:tcPr>
            <w:tcW w:w="1632" w:type="dxa"/>
            <w:vAlign w:val="center"/>
          </w:tcPr>
          <w:p w14:paraId="2B76DB70">
            <w:pPr>
              <w:jc w:val="center"/>
              <w:rPr>
                <w:rFonts w:hint="eastAsia" w:ascii="宋体" w:hAnsi="宋体" w:cs="宋体"/>
                <w:b w:val="0"/>
                <w:bCs w:val="0"/>
                <w:color w:val="auto"/>
                <w:sz w:val="24"/>
                <w:szCs w:val="24"/>
                <w:highlight w:val="none"/>
                <w:lang w:val="en-US" w:eastAsia="zh-CN"/>
              </w:rPr>
            </w:pPr>
          </w:p>
        </w:tc>
        <w:tc>
          <w:tcPr>
            <w:tcW w:w="1382" w:type="dxa"/>
            <w:vAlign w:val="center"/>
          </w:tcPr>
          <w:p w14:paraId="5FBD7E1D">
            <w:pPr>
              <w:jc w:val="center"/>
              <w:rPr>
                <w:rFonts w:hint="default" w:ascii="宋体" w:hAnsi="宋体" w:eastAsia="宋体" w:cs="宋体"/>
                <w:b w:val="0"/>
                <w:bCs w:val="0"/>
                <w:color w:val="auto"/>
                <w:sz w:val="24"/>
                <w:szCs w:val="24"/>
                <w:highlight w:val="none"/>
                <w:lang w:val="en-US" w:eastAsia="zh-CN"/>
              </w:rPr>
            </w:pPr>
          </w:p>
        </w:tc>
        <w:tc>
          <w:tcPr>
            <w:tcW w:w="1958" w:type="dxa"/>
            <w:vAlign w:val="center"/>
          </w:tcPr>
          <w:p w14:paraId="1FC423E5">
            <w:pPr>
              <w:rPr>
                <w:rFonts w:hint="eastAsia" w:ascii="宋体" w:hAnsi="宋体" w:eastAsia="宋体" w:cs="宋体"/>
                <w:b w:val="0"/>
                <w:bCs w:val="0"/>
                <w:color w:val="auto"/>
                <w:sz w:val="24"/>
                <w:szCs w:val="24"/>
                <w:highlight w:val="none"/>
              </w:rPr>
            </w:pPr>
          </w:p>
        </w:tc>
        <w:tc>
          <w:tcPr>
            <w:tcW w:w="1837" w:type="dxa"/>
            <w:vAlign w:val="center"/>
          </w:tcPr>
          <w:p w14:paraId="112261A1">
            <w:pPr>
              <w:jc w:val="center"/>
              <w:rPr>
                <w:rFonts w:hint="eastAsia" w:ascii="宋体" w:hAnsi="宋体" w:eastAsia="宋体" w:cs="宋体"/>
                <w:b w:val="0"/>
                <w:bCs w:val="0"/>
                <w:color w:val="auto"/>
                <w:sz w:val="24"/>
                <w:szCs w:val="24"/>
                <w:highlight w:val="none"/>
                <w:lang w:val="en-US" w:eastAsia="zh-CN"/>
              </w:rPr>
            </w:pPr>
          </w:p>
        </w:tc>
        <w:tc>
          <w:tcPr>
            <w:tcW w:w="1298" w:type="dxa"/>
            <w:shd w:val="clear" w:color="auto" w:fill="auto"/>
            <w:vAlign w:val="center"/>
          </w:tcPr>
          <w:p w14:paraId="0DCCBF51">
            <w:pPr>
              <w:jc w:val="center"/>
              <w:rPr>
                <w:rFonts w:hint="eastAsia" w:ascii="宋体" w:hAnsi="宋体" w:eastAsia="宋体" w:cs="宋体"/>
                <w:b w:val="0"/>
                <w:bCs w:val="0"/>
                <w:color w:val="auto"/>
                <w:sz w:val="24"/>
                <w:szCs w:val="24"/>
                <w:highlight w:val="none"/>
                <w:lang w:val="en-US" w:eastAsia="zh-CN"/>
              </w:rPr>
            </w:pPr>
          </w:p>
        </w:tc>
      </w:tr>
    </w:tbl>
    <w:p w14:paraId="5BCF906D">
      <w:pPr>
        <w:rPr>
          <w:rFonts w:ascii="宋体" w:hAnsi="宋体"/>
          <w:b/>
          <w:sz w:val="24"/>
          <w:highlight w:val="none"/>
        </w:rPr>
      </w:pPr>
    </w:p>
    <w:p w14:paraId="324E1B04">
      <w:pPr>
        <w:rPr>
          <w:rFonts w:ascii="宋体" w:hAnsi="宋体"/>
          <w:sz w:val="24"/>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投标人名称：                   授权代表签字：            日期：</w:t>
      </w:r>
    </w:p>
    <w:p w14:paraId="6FCBEFC8">
      <w:pPr>
        <w:rPr>
          <w:rFonts w:ascii="宋体" w:hAnsi="宋体"/>
          <w:sz w:val="24"/>
          <w:highlight w:val="none"/>
        </w:rPr>
      </w:pPr>
    </w:p>
    <w:p w14:paraId="2CFFDDEC">
      <w:pPr>
        <w:rPr>
          <w:rFonts w:ascii="宋体" w:hAnsi="宋体"/>
          <w:sz w:val="24"/>
          <w:highlight w:val="none"/>
        </w:rPr>
      </w:pPr>
      <w:r>
        <w:rPr>
          <w:rFonts w:hint="eastAsia" w:ascii="宋体" w:hAnsi="宋体"/>
          <w:sz w:val="24"/>
          <w:highlight w:val="none"/>
        </w:rPr>
        <w:t>注： 1</w:t>
      </w:r>
      <w:r>
        <w:rPr>
          <w:rFonts w:ascii="宋体" w:hAnsi="宋体"/>
          <w:sz w:val="24"/>
          <w:highlight w:val="none"/>
        </w:rPr>
        <w:t>.</w:t>
      </w:r>
      <w:r>
        <w:rPr>
          <w:rFonts w:hint="eastAsia" w:ascii="宋体" w:hAnsi="宋体"/>
          <w:sz w:val="24"/>
          <w:highlight w:val="none"/>
        </w:rPr>
        <w:t>请按照《技术协议书》中技术参数内容填写报价，可增项、不可缺项。</w:t>
      </w:r>
    </w:p>
    <w:p w14:paraId="7F2C694F">
      <w:pPr>
        <w:ind w:firstLine="600" w:firstLineChars="250"/>
        <w:rPr>
          <w:rFonts w:ascii="宋体" w:hAnsi="宋体"/>
          <w:sz w:val="24"/>
          <w:highlight w:val="none"/>
        </w:rPr>
      </w:pPr>
      <w:r>
        <w:rPr>
          <w:rFonts w:hint="eastAsia" w:ascii="宋体" w:hAnsi="宋体"/>
          <w:sz w:val="24"/>
          <w:highlight w:val="none"/>
        </w:rPr>
        <w:t>2.投标总价为各投标物品的合计单项价之和。</w:t>
      </w:r>
    </w:p>
    <w:p w14:paraId="4BB4ED55">
      <w:pPr>
        <w:ind w:firstLine="720" w:firstLineChars="300"/>
        <w:rPr>
          <w:highlight w:val="none"/>
        </w:rPr>
      </w:pPr>
      <w:r>
        <w:rPr>
          <w:rFonts w:hint="eastAsia" w:ascii="宋体" w:hAnsi="宋体"/>
          <w:sz w:val="24"/>
          <w:highlight w:val="none"/>
        </w:rPr>
        <w:t>3.本表用于开标宣读用，请单独封存。</w:t>
      </w:r>
    </w:p>
    <w:p w14:paraId="173E2B9D">
      <w:pPr>
        <w:rPr>
          <w:rFonts w:hint="eastAsia" w:ascii="宋体" w:hAnsi="宋体"/>
          <w:sz w:val="24"/>
          <w:highlight w:val="none"/>
        </w:rPr>
        <w:sectPr>
          <w:pgSz w:w="16838" w:h="11906" w:orient="landscape"/>
          <w:pgMar w:top="1417" w:right="1587" w:bottom="1417" w:left="1134" w:header="851" w:footer="992" w:gutter="0"/>
          <w:pgNumType w:fmt="decimal"/>
          <w:cols w:space="0" w:num="1"/>
          <w:titlePg/>
          <w:rtlGutter w:val="0"/>
          <w:docGrid w:type="lines" w:linePitch="312" w:charSpace="0"/>
        </w:sectPr>
      </w:pPr>
      <w:bookmarkStart w:id="17" w:name="_Toc8241"/>
    </w:p>
    <w:p w14:paraId="125961DD">
      <w:pPr>
        <w:rPr>
          <w:rFonts w:ascii="宋体" w:hAnsi="宋体"/>
          <w:sz w:val="24"/>
          <w:highlight w:val="none"/>
        </w:rPr>
      </w:pPr>
      <w:r>
        <w:rPr>
          <w:rFonts w:hint="eastAsia" w:ascii="宋体" w:hAnsi="宋体"/>
          <w:sz w:val="24"/>
          <w:highlight w:val="none"/>
        </w:rPr>
        <w:t>附件4</w:t>
      </w:r>
      <w:bookmarkEnd w:id="17"/>
    </w:p>
    <w:p w14:paraId="5DA09E91">
      <w:pPr>
        <w:jc w:val="center"/>
        <w:rPr>
          <w:rFonts w:eastAsia="黑体"/>
          <w:b/>
          <w:bCs/>
          <w:sz w:val="28"/>
          <w:highlight w:val="none"/>
        </w:rPr>
      </w:pPr>
      <w:r>
        <w:rPr>
          <w:rFonts w:hint="eastAsia" w:eastAsia="黑体"/>
          <w:b/>
          <w:bCs/>
          <w:sz w:val="28"/>
          <w:highlight w:val="none"/>
        </w:rPr>
        <w:t>偏离表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3EA2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240EF737">
            <w:pPr>
              <w:jc w:val="center"/>
              <w:rPr>
                <w:rFonts w:ascii="宋体" w:hAnsi="宋体"/>
                <w:sz w:val="24"/>
                <w:highlight w:val="none"/>
              </w:rPr>
            </w:pPr>
            <w:r>
              <w:rPr>
                <w:rFonts w:hint="eastAsia" w:ascii="宋体" w:hAnsi="宋体"/>
                <w:sz w:val="24"/>
                <w:highlight w:val="none"/>
              </w:rPr>
              <w:t>序号</w:t>
            </w:r>
          </w:p>
        </w:tc>
        <w:tc>
          <w:tcPr>
            <w:tcW w:w="3971" w:type="dxa"/>
            <w:gridSpan w:val="2"/>
            <w:vAlign w:val="center"/>
          </w:tcPr>
          <w:p w14:paraId="18188293">
            <w:pPr>
              <w:jc w:val="center"/>
              <w:rPr>
                <w:rFonts w:ascii="宋体" w:hAnsi="宋体"/>
                <w:sz w:val="24"/>
                <w:highlight w:val="none"/>
              </w:rPr>
            </w:pPr>
            <w:r>
              <w:rPr>
                <w:rFonts w:hint="eastAsia" w:ascii="宋体" w:hAnsi="宋体"/>
                <w:sz w:val="24"/>
                <w:highlight w:val="none"/>
              </w:rPr>
              <w:t>招标文件条款</w:t>
            </w:r>
          </w:p>
        </w:tc>
        <w:tc>
          <w:tcPr>
            <w:tcW w:w="3723" w:type="dxa"/>
            <w:gridSpan w:val="2"/>
            <w:vAlign w:val="center"/>
          </w:tcPr>
          <w:p w14:paraId="35A86B3D">
            <w:pPr>
              <w:jc w:val="center"/>
              <w:rPr>
                <w:rFonts w:ascii="宋体" w:hAnsi="宋体"/>
                <w:sz w:val="24"/>
                <w:highlight w:val="none"/>
              </w:rPr>
            </w:pPr>
            <w:r>
              <w:rPr>
                <w:rFonts w:hint="eastAsia" w:ascii="宋体" w:hAnsi="宋体"/>
                <w:sz w:val="24"/>
                <w:highlight w:val="none"/>
              </w:rPr>
              <w:t>投标书条款</w:t>
            </w:r>
          </w:p>
        </w:tc>
      </w:tr>
      <w:tr w14:paraId="514F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CF2970">
            <w:pPr>
              <w:rPr>
                <w:rFonts w:ascii="宋体" w:hAnsi="宋体"/>
                <w:sz w:val="24"/>
                <w:highlight w:val="none"/>
              </w:rPr>
            </w:pPr>
          </w:p>
        </w:tc>
        <w:tc>
          <w:tcPr>
            <w:tcW w:w="1080" w:type="dxa"/>
            <w:vAlign w:val="center"/>
          </w:tcPr>
          <w:p w14:paraId="1F82ECAD">
            <w:pPr>
              <w:jc w:val="center"/>
              <w:rPr>
                <w:rFonts w:ascii="宋体" w:hAnsi="宋体"/>
                <w:sz w:val="24"/>
                <w:highlight w:val="none"/>
              </w:rPr>
            </w:pPr>
          </w:p>
        </w:tc>
        <w:tc>
          <w:tcPr>
            <w:tcW w:w="2891" w:type="dxa"/>
            <w:vAlign w:val="center"/>
          </w:tcPr>
          <w:p w14:paraId="4B88DD0F">
            <w:pPr>
              <w:jc w:val="center"/>
              <w:rPr>
                <w:rFonts w:ascii="宋体" w:hAnsi="宋体"/>
                <w:sz w:val="24"/>
                <w:highlight w:val="none"/>
              </w:rPr>
            </w:pPr>
            <w:r>
              <w:rPr>
                <w:rFonts w:hint="eastAsia" w:ascii="宋体" w:hAnsi="宋体"/>
                <w:sz w:val="24"/>
                <w:highlight w:val="none"/>
              </w:rPr>
              <w:t>偏离</w:t>
            </w:r>
          </w:p>
        </w:tc>
        <w:tc>
          <w:tcPr>
            <w:tcW w:w="1110" w:type="dxa"/>
            <w:vAlign w:val="center"/>
          </w:tcPr>
          <w:p w14:paraId="5A159458">
            <w:pPr>
              <w:jc w:val="center"/>
              <w:rPr>
                <w:rFonts w:ascii="宋体" w:hAnsi="宋体"/>
                <w:sz w:val="24"/>
                <w:highlight w:val="none"/>
              </w:rPr>
            </w:pPr>
          </w:p>
        </w:tc>
        <w:tc>
          <w:tcPr>
            <w:tcW w:w="2613" w:type="dxa"/>
            <w:vAlign w:val="center"/>
          </w:tcPr>
          <w:p w14:paraId="2A8FF046">
            <w:pPr>
              <w:jc w:val="center"/>
              <w:rPr>
                <w:rFonts w:ascii="宋体" w:hAnsi="宋体"/>
                <w:sz w:val="24"/>
                <w:highlight w:val="none"/>
              </w:rPr>
            </w:pPr>
            <w:r>
              <w:rPr>
                <w:rFonts w:hint="eastAsia" w:ascii="宋体" w:hAnsi="宋体"/>
                <w:sz w:val="24"/>
                <w:highlight w:val="none"/>
              </w:rPr>
              <w:t>偏离</w:t>
            </w:r>
          </w:p>
        </w:tc>
      </w:tr>
      <w:tr w14:paraId="341F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C4C72D2">
            <w:pPr>
              <w:jc w:val="center"/>
              <w:rPr>
                <w:rFonts w:ascii="宋体" w:hAnsi="宋体"/>
                <w:sz w:val="24"/>
                <w:highlight w:val="none"/>
              </w:rPr>
            </w:pPr>
            <w:r>
              <w:rPr>
                <w:rFonts w:hint="eastAsia" w:ascii="宋体" w:hAnsi="宋体"/>
                <w:sz w:val="24"/>
                <w:highlight w:val="none"/>
              </w:rPr>
              <w:t>1</w:t>
            </w:r>
          </w:p>
        </w:tc>
        <w:tc>
          <w:tcPr>
            <w:tcW w:w="1080" w:type="dxa"/>
            <w:vAlign w:val="center"/>
          </w:tcPr>
          <w:p w14:paraId="581B3F43">
            <w:pPr>
              <w:rPr>
                <w:rFonts w:ascii="宋体" w:hAnsi="宋体"/>
                <w:sz w:val="24"/>
                <w:highlight w:val="none"/>
              </w:rPr>
            </w:pPr>
          </w:p>
        </w:tc>
        <w:tc>
          <w:tcPr>
            <w:tcW w:w="2891" w:type="dxa"/>
            <w:vAlign w:val="center"/>
          </w:tcPr>
          <w:p w14:paraId="5A730392">
            <w:pPr>
              <w:rPr>
                <w:rFonts w:ascii="宋体" w:hAnsi="宋体"/>
                <w:sz w:val="24"/>
                <w:highlight w:val="none"/>
              </w:rPr>
            </w:pPr>
          </w:p>
        </w:tc>
        <w:tc>
          <w:tcPr>
            <w:tcW w:w="1110" w:type="dxa"/>
            <w:vAlign w:val="center"/>
          </w:tcPr>
          <w:p w14:paraId="4A782C63">
            <w:pPr>
              <w:rPr>
                <w:rFonts w:ascii="宋体" w:hAnsi="宋体"/>
                <w:sz w:val="24"/>
                <w:highlight w:val="none"/>
              </w:rPr>
            </w:pPr>
          </w:p>
        </w:tc>
        <w:tc>
          <w:tcPr>
            <w:tcW w:w="2613" w:type="dxa"/>
            <w:vAlign w:val="center"/>
          </w:tcPr>
          <w:p w14:paraId="55D2FB36">
            <w:pPr>
              <w:rPr>
                <w:rFonts w:ascii="宋体" w:hAnsi="宋体"/>
                <w:sz w:val="24"/>
                <w:highlight w:val="none"/>
              </w:rPr>
            </w:pPr>
          </w:p>
        </w:tc>
      </w:tr>
      <w:tr w14:paraId="7F4B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1F173FD">
            <w:pPr>
              <w:jc w:val="center"/>
              <w:rPr>
                <w:rFonts w:ascii="宋体" w:hAnsi="宋体"/>
                <w:sz w:val="24"/>
                <w:highlight w:val="none"/>
              </w:rPr>
            </w:pPr>
            <w:r>
              <w:rPr>
                <w:rFonts w:hint="eastAsia" w:ascii="宋体" w:hAnsi="宋体"/>
                <w:sz w:val="24"/>
                <w:highlight w:val="none"/>
              </w:rPr>
              <w:t>2</w:t>
            </w:r>
          </w:p>
        </w:tc>
        <w:tc>
          <w:tcPr>
            <w:tcW w:w="1080" w:type="dxa"/>
            <w:vAlign w:val="center"/>
          </w:tcPr>
          <w:p w14:paraId="7C380192">
            <w:pPr>
              <w:rPr>
                <w:rFonts w:ascii="宋体" w:hAnsi="宋体"/>
                <w:sz w:val="24"/>
                <w:highlight w:val="none"/>
              </w:rPr>
            </w:pPr>
          </w:p>
        </w:tc>
        <w:tc>
          <w:tcPr>
            <w:tcW w:w="2891" w:type="dxa"/>
            <w:vAlign w:val="center"/>
          </w:tcPr>
          <w:p w14:paraId="075B1EE6">
            <w:pPr>
              <w:rPr>
                <w:rFonts w:ascii="宋体" w:hAnsi="宋体"/>
                <w:sz w:val="24"/>
                <w:highlight w:val="none"/>
              </w:rPr>
            </w:pPr>
          </w:p>
        </w:tc>
        <w:tc>
          <w:tcPr>
            <w:tcW w:w="1110" w:type="dxa"/>
            <w:vAlign w:val="center"/>
          </w:tcPr>
          <w:p w14:paraId="7EA813BF">
            <w:pPr>
              <w:rPr>
                <w:rFonts w:ascii="宋体" w:hAnsi="宋体"/>
                <w:sz w:val="24"/>
                <w:highlight w:val="none"/>
              </w:rPr>
            </w:pPr>
          </w:p>
        </w:tc>
        <w:tc>
          <w:tcPr>
            <w:tcW w:w="2613" w:type="dxa"/>
            <w:vAlign w:val="center"/>
          </w:tcPr>
          <w:p w14:paraId="25BF12E1">
            <w:pPr>
              <w:rPr>
                <w:rFonts w:ascii="宋体" w:hAnsi="宋体"/>
                <w:sz w:val="24"/>
                <w:highlight w:val="none"/>
              </w:rPr>
            </w:pPr>
          </w:p>
        </w:tc>
      </w:tr>
      <w:tr w14:paraId="75AC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3DC041">
            <w:pPr>
              <w:jc w:val="center"/>
              <w:rPr>
                <w:rFonts w:ascii="宋体" w:hAnsi="宋体"/>
                <w:sz w:val="24"/>
                <w:highlight w:val="none"/>
              </w:rPr>
            </w:pPr>
            <w:r>
              <w:rPr>
                <w:rFonts w:hint="eastAsia" w:ascii="宋体" w:hAnsi="宋体"/>
                <w:sz w:val="24"/>
                <w:highlight w:val="none"/>
              </w:rPr>
              <w:t>3</w:t>
            </w:r>
          </w:p>
        </w:tc>
        <w:tc>
          <w:tcPr>
            <w:tcW w:w="1080" w:type="dxa"/>
            <w:vAlign w:val="center"/>
          </w:tcPr>
          <w:p w14:paraId="1BA8A3B0">
            <w:pPr>
              <w:rPr>
                <w:rFonts w:ascii="宋体" w:hAnsi="宋体"/>
                <w:sz w:val="24"/>
                <w:highlight w:val="none"/>
              </w:rPr>
            </w:pPr>
          </w:p>
        </w:tc>
        <w:tc>
          <w:tcPr>
            <w:tcW w:w="2891" w:type="dxa"/>
            <w:vAlign w:val="center"/>
          </w:tcPr>
          <w:p w14:paraId="3E3D6FE4">
            <w:pPr>
              <w:rPr>
                <w:rFonts w:ascii="宋体" w:hAnsi="宋体"/>
                <w:sz w:val="24"/>
                <w:highlight w:val="none"/>
              </w:rPr>
            </w:pPr>
          </w:p>
        </w:tc>
        <w:tc>
          <w:tcPr>
            <w:tcW w:w="1110" w:type="dxa"/>
            <w:vAlign w:val="center"/>
          </w:tcPr>
          <w:p w14:paraId="1F3164E0">
            <w:pPr>
              <w:rPr>
                <w:rFonts w:ascii="宋体" w:hAnsi="宋体"/>
                <w:sz w:val="24"/>
                <w:highlight w:val="none"/>
              </w:rPr>
            </w:pPr>
          </w:p>
        </w:tc>
        <w:tc>
          <w:tcPr>
            <w:tcW w:w="2613" w:type="dxa"/>
            <w:vAlign w:val="center"/>
          </w:tcPr>
          <w:p w14:paraId="64D1397C">
            <w:pPr>
              <w:rPr>
                <w:rFonts w:ascii="宋体" w:hAnsi="宋体"/>
                <w:sz w:val="24"/>
                <w:highlight w:val="none"/>
              </w:rPr>
            </w:pPr>
          </w:p>
        </w:tc>
      </w:tr>
      <w:tr w14:paraId="7DA0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C469F41">
            <w:pPr>
              <w:jc w:val="center"/>
              <w:rPr>
                <w:rFonts w:ascii="宋体" w:hAnsi="宋体"/>
                <w:sz w:val="24"/>
                <w:highlight w:val="none"/>
              </w:rPr>
            </w:pPr>
            <w:r>
              <w:rPr>
                <w:rFonts w:hint="eastAsia" w:ascii="宋体" w:hAnsi="宋体"/>
                <w:sz w:val="24"/>
                <w:highlight w:val="none"/>
              </w:rPr>
              <w:t>4</w:t>
            </w:r>
          </w:p>
        </w:tc>
        <w:tc>
          <w:tcPr>
            <w:tcW w:w="1080" w:type="dxa"/>
            <w:vAlign w:val="center"/>
          </w:tcPr>
          <w:p w14:paraId="74D05A01">
            <w:pPr>
              <w:rPr>
                <w:rFonts w:ascii="宋体" w:hAnsi="宋体"/>
                <w:sz w:val="24"/>
                <w:highlight w:val="none"/>
              </w:rPr>
            </w:pPr>
          </w:p>
        </w:tc>
        <w:tc>
          <w:tcPr>
            <w:tcW w:w="2891" w:type="dxa"/>
            <w:vAlign w:val="center"/>
          </w:tcPr>
          <w:p w14:paraId="786DDBCB">
            <w:pPr>
              <w:rPr>
                <w:rFonts w:ascii="宋体" w:hAnsi="宋体"/>
                <w:sz w:val="24"/>
                <w:highlight w:val="none"/>
              </w:rPr>
            </w:pPr>
          </w:p>
        </w:tc>
        <w:tc>
          <w:tcPr>
            <w:tcW w:w="1110" w:type="dxa"/>
            <w:vAlign w:val="center"/>
          </w:tcPr>
          <w:p w14:paraId="0FDE5BE3">
            <w:pPr>
              <w:rPr>
                <w:rFonts w:ascii="宋体" w:hAnsi="宋体"/>
                <w:sz w:val="24"/>
                <w:highlight w:val="none"/>
              </w:rPr>
            </w:pPr>
          </w:p>
        </w:tc>
        <w:tc>
          <w:tcPr>
            <w:tcW w:w="2613" w:type="dxa"/>
            <w:vAlign w:val="center"/>
          </w:tcPr>
          <w:p w14:paraId="6484ABEB">
            <w:pPr>
              <w:rPr>
                <w:rFonts w:ascii="宋体" w:hAnsi="宋体"/>
                <w:sz w:val="24"/>
                <w:highlight w:val="none"/>
              </w:rPr>
            </w:pPr>
          </w:p>
        </w:tc>
      </w:tr>
    </w:tbl>
    <w:p w14:paraId="226AD62F">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即使投标人进行了描述，也要提报该表，</w:t>
      </w:r>
      <w:r>
        <w:rPr>
          <w:rFonts w:hint="eastAsia" w:ascii="宋体" w:hAnsi="宋体"/>
          <w:b/>
          <w:sz w:val="24"/>
          <w:highlight w:val="none"/>
        </w:rPr>
        <w:t>无该表则被视为“无偏离”。</w:t>
      </w:r>
      <w:r>
        <w:rPr>
          <w:rFonts w:hint="eastAsia" w:ascii="宋体" w:hAnsi="宋体"/>
          <w:sz w:val="24"/>
          <w:highlight w:val="none"/>
        </w:rPr>
        <w:t>如无偏离注明“无”字。</w:t>
      </w:r>
    </w:p>
    <w:p w14:paraId="346CAA24">
      <w:pPr>
        <w:pStyle w:val="12"/>
        <w:spacing w:line="360" w:lineRule="auto"/>
        <w:rPr>
          <w:rFonts w:hAnsi="宋体"/>
          <w:b/>
          <w:bCs/>
          <w:sz w:val="28"/>
          <w:szCs w:val="28"/>
          <w:highlight w:val="none"/>
        </w:rPr>
      </w:pPr>
    </w:p>
    <w:p w14:paraId="4BFC9470">
      <w:pPr>
        <w:rPr>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投标人名称：                   授权代表签字：            日期：</w:t>
      </w:r>
    </w:p>
    <w:p w14:paraId="247F0E33">
      <w:pPr>
        <w:rPr>
          <w:rFonts w:eastAsia="黑体"/>
          <w:b/>
          <w:bCs/>
          <w:sz w:val="28"/>
          <w:highlight w:val="none"/>
        </w:rPr>
      </w:pPr>
    </w:p>
    <w:p w14:paraId="5B03446D">
      <w:pPr>
        <w:rPr>
          <w:highlight w:val="none"/>
        </w:rPr>
      </w:pPr>
      <w:bookmarkStart w:id="18" w:name="_Toc32530"/>
    </w:p>
    <w:p w14:paraId="03492947">
      <w:pPr>
        <w:pStyle w:val="15"/>
        <w:rPr>
          <w:highlight w:val="none"/>
        </w:rPr>
      </w:pPr>
    </w:p>
    <w:p w14:paraId="52E0ACDA">
      <w:pPr>
        <w:rPr>
          <w:rFonts w:hint="eastAsia" w:ascii="宋体" w:hAnsi="宋体"/>
          <w:sz w:val="24"/>
          <w:highlight w:val="none"/>
        </w:rPr>
      </w:pPr>
      <w:r>
        <w:rPr>
          <w:rFonts w:hint="eastAsia" w:ascii="宋体" w:hAnsi="宋体"/>
          <w:sz w:val="24"/>
          <w:highlight w:val="none"/>
        </w:rPr>
        <w:br w:type="page"/>
      </w:r>
    </w:p>
    <w:p w14:paraId="48A7DFD7">
      <w:pPr>
        <w:rPr>
          <w:rFonts w:ascii="宋体" w:hAnsi="宋体"/>
          <w:sz w:val="24"/>
          <w:highlight w:val="none"/>
        </w:rPr>
      </w:pPr>
      <w:r>
        <w:rPr>
          <w:rFonts w:hint="eastAsia" w:ascii="宋体" w:hAnsi="宋体"/>
          <w:sz w:val="24"/>
          <w:highlight w:val="none"/>
        </w:rPr>
        <w:t>附件5</w:t>
      </w:r>
      <w:bookmarkEnd w:id="18"/>
    </w:p>
    <w:p w14:paraId="1F0F5183">
      <w:pPr>
        <w:jc w:val="center"/>
        <w:rPr>
          <w:rFonts w:eastAsia="黑体"/>
          <w:b/>
          <w:bCs/>
          <w:sz w:val="28"/>
          <w:highlight w:val="none"/>
        </w:rPr>
      </w:pPr>
      <w:r>
        <w:rPr>
          <w:rFonts w:hint="eastAsia" w:eastAsia="黑体"/>
          <w:b/>
          <w:bCs/>
          <w:sz w:val="28"/>
          <w:highlight w:val="none"/>
        </w:rPr>
        <w:t>封面格式（参考）</w:t>
      </w:r>
    </w:p>
    <w:p w14:paraId="2556BC2B">
      <w:pPr>
        <w:jc w:val="center"/>
        <w:rPr>
          <w:rFonts w:eastAsia="黑体"/>
          <w:b/>
          <w:bCs/>
          <w:sz w:val="28"/>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1BDB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6572957A">
            <w:pPr>
              <w:pStyle w:val="3"/>
              <w:ind w:firstLine="470"/>
              <w:jc w:val="left"/>
              <w:rPr>
                <w:rFonts w:ascii="宋体" w:hAnsi="宋体"/>
                <w:sz w:val="24"/>
                <w:szCs w:val="24"/>
                <w:highlight w:val="none"/>
              </w:rPr>
            </w:pPr>
          </w:p>
          <w:p w14:paraId="3CC1C6B2">
            <w:pPr>
              <w:pStyle w:val="3"/>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14:paraId="31C04996">
            <w:pPr>
              <w:pStyle w:val="3"/>
              <w:ind w:left="0" w:leftChars="0"/>
              <w:jc w:val="left"/>
              <w:rPr>
                <w:rFonts w:ascii="宋体" w:hAnsi="宋体"/>
                <w:sz w:val="30"/>
                <w:szCs w:val="30"/>
                <w:highlight w:val="none"/>
              </w:rPr>
            </w:pPr>
            <w:r>
              <w:rPr>
                <w:rFonts w:hint="eastAsia" w:ascii="宋体" w:hAnsi="宋体" w:cs="宋体"/>
                <w:b/>
                <w:bCs/>
                <w:sz w:val="30"/>
                <w:szCs w:val="30"/>
                <w:highlight w:val="none"/>
              </w:rPr>
              <w:t>（正本）</w:t>
            </w:r>
          </w:p>
          <w:p w14:paraId="72A4BFB3">
            <w:pPr>
              <w:pStyle w:val="3"/>
              <w:ind w:firstLine="353"/>
              <w:jc w:val="left"/>
              <w:rPr>
                <w:rFonts w:ascii="宋体" w:hAnsi="宋体"/>
                <w:sz w:val="18"/>
                <w:szCs w:val="18"/>
                <w:highlight w:val="none"/>
              </w:rPr>
            </w:pPr>
          </w:p>
          <w:p w14:paraId="6DF3D7C3">
            <w:pPr>
              <w:pStyle w:val="3"/>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14:paraId="1C8D821B">
            <w:pPr>
              <w:pStyle w:val="3"/>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14:paraId="7101D9E8">
            <w:pPr>
              <w:pStyle w:val="3"/>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14:paraId="41CEB76E">
            <w:pPr>
              <w:pStyle w:val="3"/>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14:paraId="34D826B1">
            <w:pPr>
              <w:pStyle w:val="3"/>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14:paraId="038D925A">
            <w:pPr>
              <w:pStyle w:val="3"/>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c>
          <w:tcPr>
            <w:tcW w:w="4775" w:type="dxa"/>
          </w:tcPr>
          <w:p w14:paraId="006BBB49">
            <w:pPr>
              <w:pStyle w:val="3"/>
              <w:ind w:firstLine="470"/>
              <w:jc w:val="left"/>
              <w:rPr>
                <w:rFonts w:ascii="宋体" w:hAnsi="宋体"/>
                <w:sz w:val="24"/>
                <w:szCs w:val="24"/>
                <w:highlight w:val="none"/>
              </w:rPr>
            </w:pPr>
          </w:p>
          <w:p w14:paraId="221AC6C3">
            <w:pPr>
              <w:pStyle w:val="3"/>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14:paraId="76CBD5E3">
            <w:pPr>
              <w:pStyle w:val="3"/>
              <w:ind w:left="0" w:leftChars="0"/>
              <w:jc w:val="left"/>
              <w:rPr>
                <w:rFonts w:ascii="宋体" w:hAnsi="宋体"/>
                <w:sz w:val="30"/>
                <w:szCs w:val="30"/>
                <w:highlight w:val="none"/>
              </w:rPr>
            </w:pPr>
            <w:r>
              <w:rPr>
                <w:rFonts w:hint="eastAsia" w:ascii="宋体" w:hAnsi="宋体" w:cs="宋体"/>
                <w:b/>
                <w:bCs/>
                <w:sz w:val="30"/>
                <w:szCs w:val="30"/>
                <w:highlight w:val="none"/>
              </w:rPr>
              <w:t>（副本）</w:t>
            </w:r>
          </w:p>
          <w:p w14:paraId="69BDAE59">
            <w:pPr>
              <w:pStyle w:val="3"/>
              <w:ind w:firstLine="353"/>
              <w:jc w:val="left"/>
              <w:rPr>
                <w:rFonts w:ascii="宋体" w:hAnsi="宋体"/>
                <w:sz w:val="18"/>
                <w:szCs w:val="18"/>
                <w:highlight w:val="none"/>
              </w:rPr>
            </w:pPr>
          </w:p>
          <w:p w14:paraId="2E464801">
            <w:pPr>
              <w:pStyle w:val="3"/>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14:paraId="2B68A6DE">
            <w:pPr>
              <w:pStyle w:val="3"/>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14:paraId="45252090">
            <w:pPr>
              <w:pStyle w:val="3"/>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14:paraId="7A89DC27">
            <w:pPr>
              <w:pStyle w:val="3"/>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14:paraId="2E739F0D">
            <w:pPr>
              <w:pStyle w:val="3"/>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14:paraId="17EFDAFD">
            <w:pPr>
              <w:pStyle w:val="3"/>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r>
    </w:tbl>
    <w:p w14:paraId="1594144B">
      <w:pPr>
        <w:pStyle w:val="3"/>
        <w:ind w:left="0" w:leftChars="0"/>
        <w:outlineLvl w:val="0"/>
        <w:rPr>
          <w:rFonts w:ascii="宋体" w:hAnsi="宋体"/>
          <w:b/>
          <w:bCs/>
          <w:sz w:val="32"/>
          <w:szCs w:val="32"/>
          <w:highlight w:val="none"/>
        </w:rPr>
      </w:pPr>
      <w:bookmarkStart w:id="19" w:name="_Toc15445"/>
      <w:r>
        <w:rPr>
          <w:rFonts w:hint="eastAsia" w:ascii="宋体" w:hAnsi="宋体" w:cs="宋体"/>
          <w:b/>
          <w:bCs/>
          <w:sz w:val="32"/>
          <w:szCs w:val="32"/>
          <w:highlight w:val="none"/>
        </w:rPr>
        <w:t>封口格式：</w:t>
      </w:r>
      <w:bookmarkEnd w:id="19"/>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66A7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2B286C9E">
            <w:pPr>
              <w:pStyle w:val="3"/>
              <w:ind w:left="0" w:leftChars="0"/>
              <w:rPr>
                <w:rFonts w:ascii="宋体" w:hAnsi="宋体"/>
                <w:sz w:val="24"/>
                <w:szCs w:val="24"/>
                <w:highlight w:val="none"/>
              </w:rPr>
            </w:pPr>
            <w:r>
              <w:rPr>
                <w:rFonts w:hint="eastAsia" w:ascii="宋体" w:hAnsi="宋体" w:cs="宋体"/>
                <w:sz w:val="24"/>
                <w:szCs w:val="24"/>
                <w:highlight w:val="none"/>
              </w:rPr>
              <w:t>……………………于</w:t>
            </w:r>
            <w:r>
              <w:rPr>
                <w:rFonts w:hint="eastAsia" w:ascii="宋体" w:hAnsi="宋体" w:cs="宋体"/>
                <w:sz w:val="24"/>
                <w:szCs w:val="24"/>
                <w:highlight w:val="none"/>
                <w:u w:val="single"/>
              </w:rPr>
              <w:t xml:space="preserve">     </w:t>
            </w:r>
            <w:r>
              <w:rPr>
                <w:rFonts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时之前不准启封（公章）…………………</w:t>
            </w:r>
          </w:p>
        </w:tc>
      </w:tr>
    </w:tbl>
    <w:p w14:paraId="395A3D66">
      <w:pPr>
        <w:tabs>
          <w:tab w:val="left" w:pos="1620"/>
        </w:tabs>
        <w:spacing w:line="400" w:lineRule="exact"/>
        <w:rPr>
          <w:rFonts w:ascii="黑体" w:hAnsi="Courier New" w:eastAsia="黑体"/>
          <w:b/>
          <w:bCs/>
          <w:sz w:val="36"/>
          <w:szCs w:val="36"/>
          <w:highlight w:val="none"/>
        </w:rPr>
      </w:pPr>
    </w:p>
    <w:p w14:paraId="247E88D6">
      <w:pPr>
        <w:rPr>
          <w:highlight w:val="none"/>
        </w:rPr>
      </w:pPr>
    </w:p>
    <w:p w14:paraId="65E8AED4">
      <w:pPr>
        <w:rPr>
          <w:rFonts w:eastAsia="黑体"/>
          <w:b/>
          <w:bCs/>
          <w:sz w:val="28"/>
          <w:highlight w:val="none"/>
        </w:rPr>
      </w:pPr>
    </w:p>
    <w:p w14:paraId="01D9B0A5">
      <w:pPr>
        <w:rPr>
          <w:rFonts w:eastAsia="黑体"/>
          <w:b/>
          <w:bCs/>
          <w:sz w:val="28"/>
          <w:highlight w:val="none"/>
        </w:rPr>
      </w:pPr>
    </w:p>
    <w:p w14:paraId="01619EE8">
      <w:pPr>
        <w:rPr>
          <w:rFonts w:eastAsia="黑体"/>
          <w:b/>
          <w:bCs/>
          <w:sz w:val="28"/>
          <w:highlight w:val="none"/>
        </w:rPr>
      </w:pPr>
    </w:p>
    <w:p w14:paraId="1BC0B5C0">
      <w:pPr>
        <w:pStyle w:val="12"/>
        <w:spacing w:line="440" w:lineRule="exact"/>
        <w:rPr>
          <w:rFonts w:ascii="Times New Roman" w:hAnsi="Times New Roman" w:eastAsia="黑体" w:cs="Times New Roman"/>
          <w:b/>
          <w:bCs/>
          <w:sz w:val="28"/>
          <w:szCs w:val="20"/>
          <w:highlight w:val="none"/>
        </w:rPr>
      </w:pPr>
    </w:p>
    <w:p w14:paraId="49CC45EF">
      <w:pPr>
        <w:pStyle w:val="12"/>
        <w:spacing w:line="440" w:lineRule="exact"/>
        <w:jc w:val="center"/>
        <w:rPr>
          <w:rFonts w:ascii="Times New Roman" w:hAnsi="Times New Roman" w:eastAsia="黑体" w:cs="Times New Roman"/>
          <w:b/>
          <w:bCs/>
          <w:sz w:val="28"/>
          <w:szCs w:val="20"/>
          <w:highlight w:val="none"/>
        </w:rPr>
      </w:pPr>
    </w:p>
    <w:p w14:paraId="4E6E4AC5">
      <w:pPr>
        <w:pStyle w:val="12"/>
        <w:spacing w:line="440" w:lineRule="exact"/>
        <w:jc w:val="center"/>
        <w:outlineLvl w:val="1"/>
        <w:rPr>
          <w:rFonts w:ascii="Times New Roman" w:hAnsi="Times New Roman" w:eastAsia="黑体" w:cs="Times New Roman"/>
          <w:b/>
          <w:bCs/>
          <w:sz w:val="36"/>
          <w:highlight w:val="none"/>
        </w:rPr>
      </w:pPr>
    </w:p>
    <w:p w14:paraId="098E2BBF">
      <w:pPr>
        <w:pStyle w:val="12"/>
        <w:spacing w:line="440" w:lineRule="exact"/>
        <w:jc w:val="center"/>
        <w:outlineLvl w:val="1"/>
        <w:rPr>
          <w:rFonts w:ascii="Times New Roman" w:hAnsi="Times New Roman" w:eastAsia="黑体" w:cs="Times New Roman"/>
          <w:b/>
          <w:bCs/>
          <w:sz w:val="36"/>
          <w:highlight w:val="none"/>
        </w:rPr>
      </w:pPr>
    </w:p>
    <w:p w14:paraId="2952FFC8">
      <w:pPr>
        <w:pStyle w:val="12"/>
        <w:spacing w:line="440" w:lineRule="exact"/>
        <w:jc w:val="center"/>
        <w:outlineLvl w:val="1"/>
        <w:rPr>
          <w:rFonts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 xml:space="preserve"> </w:t>
      </w:r>
    </w:p>
    <w:p w14:paraId="0B322C0E">
      <w:pPr>
        <w:rPr>
          <w:rFonts w:eastAsia="黑体"/>
          <w:b/>
          <w:bCs/>
          <w:sz w:val="36"/>
          <w:szCs w:val="22"/>
          <w:highlight w:val="none"/>
        </w:rPr>
      </w:pPr>
      <w:r>
        <w:rPr>
          <w:rFonts w:hint="eastAsia" w:eastAsia="黑体"/>
          <w:b/>
          <w:bCs/>
          <w:sz w:val="36"/>
          <w:szCs w:val="22"/>
          <w:highlight w:val="none"/>
        </w:rPr>
        <w:br w:type="page"/>
      </w:r>
    </w:p>
    <w:p w14:paraId="79594740">
      <w:pPr>
        <w:pStyle w:val="12"/>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2"/>
          <w:szCs w:val="21"/>
          <w:highlight w:val="none"/>
        </w:rPr>
        <w:sectPr>
          <w:pgSz w:w="11906" w:h="16838"/>
          <w:pgMar w:top="1587" w:right="1417" w:bottom="1134" w:left="1417" w:header="851" w:footer="992" w:gutter="0"/>
          <w:pgNumType w:fmt="decimal"/>
          <w:cols w:space="0" w:num="1"/>
          <w:titlePg/>
          <w:rtlGutter w:val="0"/>
          <w:docGrid w:type="lines" w:linePitch="312" w:charSpace="0"/>
        </w:sectPr>
      </w:pPr>
    </w:p>
    <w:p w14:paraId="67613390">
      <w:pPr>
        <w:pStyle w:val="12"/>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Ansi="宋体"/>
          <w:b/>
          <w:bCs/>
          <w:sz w:val="36"/>
          <w:szCs w:val="36"/>
          <w:highlight w:val="none"/>
        </w:rPr>
      </w:pPr>
      <w:r>
        <w:rPr>
          <w:rFonts w:hint="eastAsia" w:ascii="Times New Roman" w:hAnsi="Times New Roman" w:eastAsia="黑体" w:cs="Times New Roman"/>
          <w:b/>
          <w:bCs/>
          <w:sz w:val="32"/>
          <w:szCs w:val="21"/>
          <w:highlight w:val="none"/>
        </w:rPr>
        <w:t>技术协议书</w:t>
      </w:r>
    </w:p>
    <w:p w14:paraId="0B5E5429">
      <w:pPr>
        <w:pStyle w:val="12"/>
        <w:keepNext w:val="0"/>
        <w:keepLines w:val="0"/>
        <w:pageBreakBefore w:val="0"/>
        <w:widowControl w:val="0"/>
        <w:kinsoku/>
        <w:wordWrap/>
        <w:overflowPunct/>
        <w:topLinePunct w:val="0"/>
        <w:autoSpaceDE/>
        <w:autoSpaceDN/>
        <w:bidi w:val="0"/>
        <w:adjustRightInd/>
        <w:snapToGrid/>
        <w:spacing w:line="500" w:lineRule="exact"/>
        <w:ind w:left="1031" w:leftChars="200" w:hanging="611" w:hangingChars="290"/>
        <w:textAlignment w:val="auto"/>
        <w:outlineLvl w:val="1"/>
        <w:rPr>
          <w:rFonts w:ascii="黑体" w:hAnsi="黑体" w:eastAsia="黑体"/>
          <w:highlight w:val="none"/>
        </w:rPr>
      </w:pPr>
      <w:r>
        <w:rPr>
          <w:rFonts w:hint="eastAsia" w:ascii="黑体" w:hAnsi="黑体" w:eastAsia="黑体"/>
          <w:b/>
          <w:bCs/>
          <w:highlight w:val="none"/>
        </w:rPr>
        <w:t>一、项目名称</w:t>
      </w:r>
    </w:p>
    <w:p w14:paraId="584345BA">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outlineLvl w:val="1"/>
        <w:rPr>
          <w:rFonts w:hint="eastAsia" w:ascii="宋体" w:hAnsi="Courier New"/>
          <w:highlight w:val="none"/>
          <w:lang w:val="en-US" w:eastAsia="zh-CN"/>
        </w:rPr>
      </w:pPr>
      <w:r>
        <w:rPr>
          <w:rFonts w:hint="eastAsia" w:ascii="宋体" w:hAnsi="Courier New"/>
          <w:highlight w:val="none"/>
          <w:lang w:val="en-US" w:eastAsia="zh-CN"/>
        </w:rPr>
        <w:t>工程技术人员广联达BIM算量软件、新版清单计价标准及新定额应用提升课程</w:t>
      </w:r>
    </w:p>
    <w:p w14:paraId="31C77511">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firstLine="422" w:firstLineChars="200"/>
        <w:textAlignment w:val="auto"/>
        <w:outlineLvl w:val="1"/>
        <w:rPr>
          <w:rFonts w:hint="eastAsia" w:ascii="黑体" w:hAnsi="黑体" w:eastAsia="黑体" w:cstheme="minorBidi"/>
          <w:b/>
          <w:bCs/>
          <w:szCs w:val="22"/>
          <w:highlight w:val="none"/>
        </w:rPr>
      </w:pPr>
      <w:r>
        <w:rPr>
          <w:rFonts w:hint="eastAsia" w:ascii="黑体" w:hAnsi="黑体" w:eastAsia="黑体" w:cstheme="minorBidi"/>
          <w:b/>
          <w:bCs/>
          <w:szCs w:val="22"/>
          <w:highlight w:val="none"/>
        </w:rPr>
        <w:t>标的组成及分类</w:t>
      </w:r>
    </w:p>
    <w:tbl>
      <w:tblPr>
        <w:tblStyle w:val="20"/>
        <w:tblW w:w="4926" w:type="pct"/>
        <w:jc w:val="center"/>
        <w:tblBorders>
          <w:top w:val="none" w:color="auto" w:sz="4" w:space="0"/>
          <w:left w:val="none" w:color="auto" w:sz="4" w:space="0"/>
          <w:bottom w:val="none" w:color="auto" w:sz="4" w:space="0"/>
          <w:right w:val="none" w:color="auto" w:sz="4" w:space="0"/>
          <w:insideH w:val="none" w:color="auto" w:sz="4" w:space="0"/>
          <w:insideV w:val="none" w:color="auto" w:sz="4" w:space="0"/>
        </w:tblBorders>
        <w:tblLayout w:type="autofit"/>
        <w:tblCellMar>
          <w:top w:w="0" w:type="dxa"/>
          <w:left w:w="0" w:type="dxa"/>
          <w:bottom w:w="0" w:type="dxa"/>
          <w:right w:w="0" w:type="dxa"/>
        </w:tblCellMar>
      </w:tblPr>
      <w:tblGrid>
        <w:gridCol w:w="616"/>
        <w:gridCol w:w="1971"/>
        <w:gridCol w:w="5632"/>
        <w:gridCol w:w="1181"/>
        <w:gridCol w:w="942"/>
        <w:gridCol w:w="1313"/>
        <w:gridCol w:w="1299"/>
        <w:gridCol w:w="1102"/>
      </w:tblGrid>
      <w:tr w14:paraId="5593A16A">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0" w:type="dxa"/>
            <w:bottom w:w="0" w:type="dxa"/>
            <w:right w:w="0" w:type="dxa"/>
          </w:tblCellMar>
        </w:tblPrEx>
        <w:trPr>
          <w:trHeight w:val="0" w:hRule="atLeast"/>
          <w:jc w:val="center"/>
        </w:trPr>
        <w:tc>
          <w:tcPr>
            <w:tcW w:w="219" w:type="pct"/>
            <w:tcBorders>
              <w:top w:val="single" w:color="000000" w:sz="12" w:space="0"/>
              <w:left w:val="nil"/>
              <w:bottom w:val="nil"/>
              <w:right w:val="nil"/>
            </w:tcBorders>
            <w:shd w:val="clear" w:color="auto" w:fill="D7D7D7" w:themeFill="background1" w:themeFillShade="D8"/>
            <w:noWrap w:val="0"/>
            <w:tcMar>
              <w:top w:w="75" w:type="dxa"/>
              <w:left w:w="75" w:type="dxa"/>
              <w:bottom w:w="75" w:type="dxa"/>
              <w:right w:w="75" w:type="dxa"/>
            </w:tcMar>
            <w:vAlign w:val="center"/>
          </w:tcPr>
          <w:p w14:paraId="06F325DD">
            <w:pPr>
              <w:snapToGrid w:val="0"/>
              <w:jc w:val="center"/>
              <w:rPr>
                <w:rFonts w:hint="default" w:ascii="宋体" w:hAnsi="宋体" w:eastAsia="宋体" w:cs="宋体"/>
                <w:b/>
                <w:bCs/>
                <w:color w:val="000000" w:themeColor="text1"/>
                <w:kern w:val="2"/>
                <w:sz w:val="21"/>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4"/>
                <w:lang w:val="en-US" w:eastAsia="zh-CN" w:bidi="ar-SA"/>
                <w14:textFill>
                  <w14:solidFill>
                    <w14:schemeClr w14:val="tx1"/>
                  </w14:solidFill>
                </w14:textFill>
              </w:rPr>
              <w:t>序号</w:t>
            </w:r>
          </w:p>
        </w:tc>
        <w:tc>
          <w:tcPr>
            <w:tcW w:w="701" w:type="pct"/>
            <w:tcBorders>
              <w:top w:val="single" w:color="000000" w:sz="12" w:space="0"/>
              <w:left w:val="nil"/>
              <w:bottom w:val="nil"/>
              <w:right w:val="nil"/>
            </w:tcBorders>
            <w:shd w:val="clear" w:color="auto" w:fill="D7D7D7" w:themeFill="background1" w:themeFillShade="D8"/>
            <w:noWrap w:val="0"/>
            <w:tcMar>
              <w:top w:w="75" w:type="dxa"/>
              <w:left w:w="75" w:type="dxa"/>
              <w:bottom w:w="75" w:type="dxa"/>
              <w:right w:w="75" w:type="dxa"/>
            </w:tcMar>
            <w:vAlign w:val="center"/>
          </w:tcPr>
          <w:p w14:paraId="232D927A">
            <w:pPr>
              <w:snapToGrid w:val="0"/>
              <w:jc w:val="center"/>
              <w:rPr>
                <w:color w:val="000000" w:themeColor="text1"/>
                <w14:textFill>
                  <w14:solidFill>
                    <w14:schemeClr w14:val="tx1"/>
                  </w14:solidFill>
                </w14:textFill>
              </w:rPr>
            </w:pPr>
            <w:r>
              <w:rPr>
                <w:rFonts w:hint="eastAsia" w:ascii="宋体" w:hAnsi="宋体" w:eastAsia="宋体" w:cs="宋体"/>
                <w:b/>
                <w:bCs/>
                <w:color w:val="000000" w:themeColor="text1"/>
                <w:kern w:val="2"/>
                <w:sz w:val="21"/>
                <w:szCs w:val="24"/>
                <w:lang w:val="en-US" w:eastAsia="zh-CN" w:bidi="ar-SA"/>
                <w14:textFill>
                  <w14:solidFill>
                    <w14:schemeClr w14:val="tx1"/>
                  </w14:solidFill>
                </w14:textFill>
              </w:rPr>
              <w:t>课程名称</w:t>
            </w:r>
          </w:p>
        </w:tc>
        <w:tc>
          <w:tcPr>
            <w:tcW w:w="2003" w:type="pct"/>
            <w:tcBorders>
              <w:top w:val="single" w:color="000000" w:sz="12" w:space="0"/>
              <w:left w:val="nil"/>
              <w:bottom w:val="nil"/>
              <w:right w:val="nil"/>
            </w:tcBorders>
            <w:shd w:val="clear" w:color="auto" w:fill="D7D7D7" w:themeFill="background1" w:themeFillShade="D8"/>
            <w:noWrap w:val="0"/>
            <w:tcMar>
              <w:top w:w="75" w:type="dxa"/>
              <w:left w:w="75" w:type="dxa"/>
              <w:bottom w:w="75" w:type="dxa"/>
              <w:right w:w="75" w:type="dxa"/>
            </w:tcMar>
            <w:vAlign w:val="center"/>
          </w:tcPr>
          <w:p w14:paraId="7E35D958">
            <w:pPr>
              <w:snapToGrid w:val="0"/>
              <w:jc w:val="center"/>
              <w:rPr>
                <w:color w:val="000000" w:themeColor="text1"/>
                <w14:textFill>
                  <w14:solidFill>
                    <w14:schemeClr w14:val="tx1"/>
                  </w14:solidFill>
                </w14:textFill>
              </w:rPr>
            </w:pPr>
            <w:r>
              <w:rPr>
                <w:rFonts w:hint="eastAsia" w:ascii="宋体" w:hAnsi="宋体" w:eastAsia="宋体" w:cs="宋体"/>
                <w:b/>
                <w:bCs/>
                <w:color w:val="000000" w:themeColor="text1"/>
                <w:kern w:val="2"/>
                <w:sz w:val="21"/>
                <w:szCs w:val="24"/>
                <w:lang w:val="en-US" w:eastAsia="zh-CN" w:bidi="ar-SA"/>
                <w14:textFill>
                  <w14:solidFill>
                    <w14:schemeClr w14:val="tx1"/>
                  </w14:solidFill>
                </w14:textFill>
              </w:rPr>
              <w:t>课程内容</w:t>
            </w:r>
          </w:p>
        </w:tc>
        <w:tc>
          <w:tcPr>
            <w:tcW w:w="420" w:type="pct"/>
            <w:tcBorders>
              <w:top w:val="single" w:color="000000" w:sz="12" w:space="0"/>
              <w:left w:val="nil"/>
              <w:bottom w:val="nil"/>
              <w:right w:val="nil"/>
            </w:tcBorders>
            <w:shd w:val="clear" w:color="auto" w:fill="D7D7D7" w:themeFill="background1" w:themeFillShade="D8"/>
            <w:noWrap w:val="0"/>
            <w:tcMar>
              <w:top w:w="75" w:type="dxa"/>
              <w:left w:w="75" w:type="dxa"/>
              <w:bottom w:w="75" w:type="dxa"/>
              <w:right w:w="75" w:type="dxa"/>
            </w:tcMar>
            <w:vAlign w:val="center"/>
          </w:tcPr>
          <w:p w14:paraId="7759592E">
            <w:pPr>
              <w:snapToGrid w:val="0"/>
              <w:jc w:val="center"/>
              <w:rPr>
                <w:color w:val="000000" w:themeColor="text1"/>
                <w14:textFill>
                  <w14:solidFill>
                    <w14:schemeClr w14:val="tx1"/>
                  </w14:solidFill>
                </w14:textFill>
              </w:rPr>
            </w:pPr>
            <w:r>
              <w:rPr>
                <w:rFonts w:hint="eastAsia" w:ascii="宋体" w:hAnsi="宋体" w:eastAsia="宋体" w:cs="宋体"/>
                <w:b/>
                <w:bCs/>
                <w:color w:val="000000" w:themeColor="text1"/>
                <w:kern w:val="2"/>
                <w:sz w:val="21"/>
                <w:szCs w:val="24"/>
                <w:lang w:val="en-US" w:eastAsia="zh-CN" w:bidi="ar-SA"/>
                <w14:textFill>
                  <w14:solidFill>
                    <w14:schemeClr w14:val="tx1"/>
                  </w14:solidFill>
                </w14:textFill>
              </w:rPr>
              <w:t>单位</w:t>
            </w:r>
          </w:p>
        </w:tc>
        <w:tc>
          <w:tcPr>
            <w:tcW w:w="335" w:type="pct"/>
            <w:tcBorders>
              <w:top w:val="single" w:color="000000" w:sz="12" w:space="0"/>
              <w:left w:val="nil"/>
              <w:bottom w:val="nil"/>
              <w:right w:val="nil"/>
            </w:tcBorders>
            <w:shd w:val="clear" w:color="auto" w:fill="D7D7D7" w:themeFill="background1" w:themeFillShade="D8"/>
            <w:noWrap w:val="0"/>
            <w:tcMar>
              <w:top w:w="75" w:type="dxa"/>
              <w:left w:w="75" w:type="dxa"/>
              <w:bottom w:w="75" w:type="dxa"/>
              <w:right w:w="75" w:type="dxa"/>
            </w:tcMar>
            <w:vAlign w:val="center"/>
          </w:tcPr>
          <w:p w14:paraId="20CD9D4D">
            <w:pPr>
              <w:snapToGrid w:val="0"/>
              <w:jc w:val="center"/>
              <w:rPr>
                <w:color w:val="000000" w:themeColor="text1"/>
                <w14:textFill>
                  <w14:solidFill>
                    <w14:schemeClr w14:val="tx1"/>
                  </w14:solidFill>
                </w14:textFill>
              </w:rPr>
            </w:pPr>
            <w:r>
              <w:rPr>
                <w:rFonts w:hint="eastAsia" w:ascii="宋体" w:hAnsi="宋体" w:eastAsia="宋体" w:cs="宋体"/>
                <w:b/>
                <w:bCs/>
                <w:color w:val="000000" w:themeColor="text1"/>
                <w:kern w:val="2"/>
                <w:sz w:val="21"/>
                <w:szCs w:val="24"/>
                <w:lang w:val="en-US" w:eastAsia="zh-CN" w:bidi="ar-SA"/>
                <w14:textFill>
                  <w14:solidFill>
                    <w14:schemeClr w14:val="tx1"/>
                  </w14:solidFill>
                </w14:textFill>
              </w:rPr>
              <w:t>数量</w:t>
            </w:r>
          </w:p>
        </w:tc>
        <w:tc>
          <w:tcPr>
            <w:tcW w:w="467" w:type="pct"/>
            <w:tcBorders>
              <w:top w:val="single" w:color="000000" w:sz="12" w:space="0"/>
              <w:left w:val="nil"/>
              <w:bottom w:val="nil"/>
              <w:right w:val="nil"/>
            </w:tcBorders>
            <w:shd w:val="clear" w:color="auto" w:fill="D7D7D7" w:themeFill="background1" w:themeFillShade="D8"/>
            <w:noWrap w:val="0"/>
            <w:tcMar>
              <w:top w:w="75" w:type="dxa"/>
              <w:left w:w="75" w:type="dxa"/>
              <w:bottom w:w="75" w:type="dxa"/>
              <w:right w:w="75" w:type="dxa"/>
            </w:tcMar>
            <w:vAlign w:val="center"/>
          </w:tcPr>
          <w:p w14:paraId="4E512839">
            <w:pPr>
              <w:snapToGrid w:val="0"/>
              <w:jc w:val="center"/>
              <w:rPr>
                <w:color w:val="000000" w:themeColor="text1"/>
                <w14:textFill>
                  <w14:solidFill>
                    <w14:schemeClr w14:val="tx1"/>
                  </w14:solidFill>
                </w14:textFill>
              </w:rPr>
            </w:pPr>
            <w:r>
              <w:rPr>
                <w:rFonts w:hint="eastAsia" w:ascii="宋体" w:hAnsi="宋体" w:eastAsia="宋体" w:cs="宋体"/>
                <w:b/>
                <w:bCs/>
                <w:color w:val="000000" w:themeColor="text1"/>
                <w:kern w:val="2"/>
                <w:sz w:val="21"/>
                <w:szCs w:val="24"/>
                <w:lang w:val="en-US" w:eastAsia="zh-CN" w:bidi="ar-SA"/>
                <w14:textFill>
                  <w14:solidFill>
                    <w14:schemeClr w14:val="tx1"/>
                  </w14:solidFill>
                </w14:textFill>
              </w:rPr>
              <w:t>单价</w:t>
            </w:r>
          </w:p>
        </w:tc>
        <w:tc>
          <w:tcPr>
            <w:tcW w:w="462" w:type="pct"/>
            <w:tcBorders>
              <w:top w:val="single" w:color="000000" w:sz="12" w:space="0"/>
              <w:left w:val="nil"/>
              <w:bottom w:val="nil"/>
              <w:right w:val="nil"/>
            </w:tcBorders>
            <w:shd w:val="clear" w:color="auto" w:fill="D7D7D7" w:themeFill="background1" w:themeFillShade="D8"/>
            <w:noWrap w:val="0"/>
            <w:tcMar>
              <w:top w:w="75" w:type="dxa"/>
              <w:left w:w="75" w:type="dxa"/>
              <w:bottom w:w="75" w:type="dxa"/>
              <w:right w:w="75" w:type="dxa"/>
            </w:tcMar>
            <w:vAlign w:val="center"/>
          </w:tcPr>
          <w:p w14:paraId="747E54AF">
            <w:pPr>
              <w:snapToGrid w:val="0"/>
              <w:jc w:val="center"/>
              <w:rPr>
                <w:color w:val="000000" w:themeColor="text1"/>
                <w14:textFill>
                  <w14:solidFill>
                    <w14:schemeClr w14:val="tx1"/>
                  </w14:solidFill>
                </w14:textFill>
              </w:rPr>
            </w:pPr>
            <w:r>
              <w:rPr>
                <w:rFonts w:hint="eastAsia" w:ascii="宋体" w:hAnsi="宋体" w:eastAsia="宋体" w:cs="宋体"/>
                <w:b/>
                <w:bCs/>
                <w:color w:val="000000" w:themeColor="text1"/>
                <w:kern w:val="2"/>
                <w:sz w:val="21"/>
                <w:szCs w:val="24"/>
                <w:lang w:val="en-US" w:eastAsia="zh-CN" w:bidi="ar-SA"/>
                <w14:textFill>
                  <w14:solidFill>
                    <w14:schemeClr w14:val="tx1"/>
                  </w14:solidFill>
                </w14:textFill>
              </w:rPr>
              <w:t>总价</w:t>
            </w:r>
          </w:p>
        </w:tc>
        <w:tc>
          <w:tcPr>
            <w:tcW w:w="390" w:type="pct"/>
            <w:tcBorders>
              <w:top w:val="single" w:color="000000" w:sz="12" w:space="0"/>
              <w:left w:val="nil"/>
              <w:bottom w:val="nil"/>
              <w:right w:val="nil"/>
            </w:tcBorders>
            <w:shd w:val="clear" w:color="auto" w:fill="D7D7D7" w:themeFill="background1" w:themeFillShade="D8"/>
            <w:noWrap w:val="0"/>
            <w:tcMar>
              <w:top w:w="75" w:type="dxa"/>
              <w:left w:w="75" w:type="dxa"/>
              <w:bottom w:w="75" w:type="dxa"/>
              <w:right w:w="75" w:type="dxa"/>
            </w:tcMar>
            <w:vAlign w:val="center"/>
          </w:tcPr>
          <w:p w14:paraId="36937622">
            <w:pPr>
              <w:snapToGrid w:val="0"/>
              <w:jc w:val="center"/>
              <w:rPr>
                <w:color w:val="000000" w:themeColor="text1"/>
                <w14:textFill>
                  <w14:solidFill>
                    <w14:schemeClr w14:val="tx1"/>
                  </w14:solidFill>
                </w14:textFill>
              </w:rPr>
            </w:pPr>
            <w:r>
              <w:rPr>
                <w:rFonts w:hint="eastAsia" w:ascii="宋体" w:hAnsi="宋体" w:eastAsia="宋体" w:cs="宋体"/>
                <w:b/>
                <w:bCs/>
                <w:color w:val="000000" w:themeColor="text1"/>
                <w:kern w:val="2"/>
                <w:sz w:val="21"/>
                <w:szCs w:val="24"/>
                <w:lang w:val="en-US" w:eastAsia="zh-CN" w:bidi="ar-SA"/>
                <w14:textFill>
                  <w14:solidFill>
                    <w14:schemeClr w14:val="tx1"/>
                  </w14:solidFill>
                </w14:textFill>
              </w:rPr>
              <w:t>备注</w:t>
            </w:r>
          </w:p>
        </w:tc>
      </w:tr>
      <w:tr w14:paraId="1C140F2D">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0" w:type="dxa"/>
            <w:bottom w:w="0" w:type="dxa"/>
            <w:right w:w="0" w:type="dxa"/>
          </w:tblCellMar>
        </w:tblPrEx>
        <w:trPr>
          <w:trHeight w:val="0" w:hRule="atLeast"/>
          <w:jc w:val="center"/>
        </w:trPr>
        <w:tc>
          <w:tcPr>
            <w:tcW w:w="219" w:type="pct"/>
            <w:tcBorders>
              <w:top w:val="single" w:color="000000" w:sz="4" w:space="0"/>
              <w:left w:val="nil"/>
              <w:bottom w:val="nil"/>
              <w:right w:val="nil"/>
            </w:tcBorders>
            <w:shd w:val="clear" w:color="auto" w:fill="auto"/>
            <w:noWrap w:val="0"/>
            <w:tcMar>
              <w:top w:w="75" w:type="dxa"/>
              <w:left w:w="75" w:type="dxa"/>
              <w:bottom w:w="75" w:type="dxa"/>
              <w:right w:w="75" w:type="dxa"/>
            </w:tcMar>
            <w:vAlign w:val="center"/>
          </w:tcPr>
          <w:p w14:paraId="1907C4C6">
            <w:pPr>
              <w:snapToGrid w:val="0"/>
              <w:jc w:val="center"/>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1</w:t>
            </w:r>
          </w:p>
        </w:tc>
        <w:tc>
          <w:tcPr>
            <w:tcW w:w="701" w:type="pct"/>
            <w:tcBorders>
              <w:top w:val="single" w:color="000000" w:sz="4" w:space="0"/>
              <w:left w:val="nil"/>
              <w:bottom w:val="nil"/>
              <w:right w:val="nil"/>
            </w:tcBorders>
            <w:shd w:val="clear" w:color="auto" w:fill="auto"/>
            <w:noWrap w:val="0"/>
            <w:tcMar>
              <w:top w:w="75" w:type="dxa"/>
              <w:left w:w="75" w:type="dxa"/>
              <w:bottom w:w="75" w:type="dxa"/>
              <w:right w:w="75" w:type="dxa"/>
            </w:tcMar>
            <w:vAlign w:val="center"/>
          </w:tcPr>
          <w:p w14:paraId="4ED4CBB0">
            <w:pPr>
              <w:snapToGrid w:val="0"/>
              <w:jc w:val="center"/>
              <w:rPr>
                <w:color w:val="000000" w:themeColor="text1"/>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广联达（钢结构、安装</w:t>
            </w:r>
            <w:r>
              <w:rPr>
                <w:rFonts w:hint="eastAsia" w:ascii="宋体" w:hAnsi="宋体" w:cs="宋体"/>
                <w:color w:val="000000" w:themeColor="text1"/>
                <w:kern w:val="2"/>
                <w:sz w:val="21"/>
                <w:szCs w:val="24"/>
                <w:lang w:val="en-US" w:eastAsia="zh-CN" w:bidi="ar-SA"/>
                <w14:textFill>
                  <w14:solidFill>
                    <w14:schemeClr w14:val="tx1"/>
                  </w14:solidFill>
                </w14:textFill>
              </w:rPr>
              <w:t>等</w:t>
            </w:r>
            <w:r>
              <w:rPr>
                <w:rFonts w:hint="eastAsia" w:ascii="宋体" w:hAnsi="宋体" w:eastAsia="宋体" w:cs="宋体"/>
                <w:color w:val="000000" w:themeColor="text1"/>
                <w:kern w:val="2"/>
                <w:sz w:val="21"/>
                <w:szCs w:val="24"/>
                <w:lang w:val="en-US" w:eastAsia="zh-CN" w:bidi="ar-SA"/>
                <w14:textFill>
                  <w14:solidFill>
                    <w14:schemeClr w14:val="tx1"/>
                  </w14:solidFill>
                </w14:textFill>
              </w:rPr>
              <w:t>专业）BIM算量软件技能提升课程</w:t>
            </w:r>
          </w:p>
        </w:tc>
        <w:tc>
          <w:tcPr>
            <w:tcW w:w="2003" w:type="pct"/>
            <w:tcBorders>
              <w:top w:val="single" w:color="000000" w:sz="4" w:space="0"/>
              <w:left w:val="nil"/>
              <w:bottom w:val="nil"/>
              <w:right w:val="nil"/>
            </w:tcBorders>
            <w:shd w:val="clear" w:color="auto" w:fill="auto"/>
            <w:noWrap w:val="0"/>
            <w:tcMar>
              <w:top w:w="75" w:type="dxa"/>
              <w:left w:w="75" w:type="dxa"/>
              <w:bottom w:w="75" w:type="dxa"/>
              <w:right w:w="75" w:type="dxa"/>
            </w:tcMar>
            <w:vAlign w:val="center"/>
          </w:tcPr>
          <w:p w14:paraId="259149EC">
            <w:pPr>
              <w:snapToGrid w:val="0"/>
              <w:jc w:val="left"/>
              <w:rPr>
                <w:color w:val="000000" w:themeColor="text1"/>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1. 算量软件应用过程中的重点难点</w:t>
            </w:r>
            <w:r>
              <w:rPr>
                <w:rFonts w:hint="eastAsia" w:ascii="宋体" w:hAnsi="宋体" w:eastAsia="宋体" w:cs="宋体"/>
                <w:color w:val="000000" w:themeColor="text1"/>
                <w:kern w:val="2"/>
                <w:sz w:val="21"/>
                <w:szCs w:val="24"/>
                <w:lang w:val="en-US" w:eastAsia="zh-CN" w:bidi="ar-SA"/>
                <w14:textFill>
                  <w14:solidFill>
                    <w14:schemeClr w14:val="tx1"/>
                  </w14:solidFill>
                </w14:textFill>
              </w:rPr>
              <w:br w:type="textWrapping"/>
            </w:r>
            <w:r>
              <w:rPr>
                <w:rFonts w:hint="eastAsia" w:ascii="宋体" w:hAnsi="宋体" w:eastAsia="宋体" w:cs="宋体"/>
                <w:color w:val="000000" w:themeColor="text1"/>
                <w:kern w:val="2"/>
                <w:sz w:val="21"/>
                <w:szCs w:val="24"/>
                <w:lang w:val="en-US" w:eastAsia="zh-CN" w:bidi="ar-SA"/>
                <w14:textFill>
                  <w14:solidFill>
                    <w14:schemeClr w14:val="tx1"/>
                  </w14:solidFill>
                </w14:textFill>
              </w:rPr>
              <w:t>2. 算量软件在计算设置中难点易错点解析</w:t>
            </w:r>
            <w:r>
              <w:rPr>
                <w:rFonts w:hint="eastAsia" w:ascii="宋体" w:hAnsi="宋体" w:eastAsia="宋体" w:cs="宋体"/>
                <w:color w:val="000000" w:themeColor="text1"/>
                <w:kern w:val="2"/>
                <w:sz w:val="21"/>
                <w:szCs w:val="24"/>
                <w:lang w:val="en-US" w:eastAsia="zh-CN" w:bidi="ar-SA"/>
                <w14:textFill>
                  <w14:solidFill>
                    <w14:schemeClr w14:val="tx1"/>
                  </w14:solidFill>
                </w14:textFill>
              </w:rPr>
              <w:br w:type="textWrapping"/>
            </w:r>
            <w:r>
              <w:rPr>
                <w:rFonts w:hint="eastAsia" w:ascii="宋体" w:hAnsi="宋体" w:eastAsia="宋体" w:cs="宋体"/>
                <w:color w:val="000000" w:themeColor="text1"/>
                <w:kern w:val="2"/>
                <w:sz w:val="21"/>
                <w:szCs w:val="24"/>
                <w:lang w:val="en-US" w:eastAsia="zh-CN" w:bidi="ar-SA"/>
                <w14:textFill>
                  <w14:solidFill>
                    <w14:schemeClr w14:val="tx1"/>
                  </w14:solidFill>
                </w14:textFill>
              </w:rPr>
              <w:t>3. 钢结构算量的重点难点解析</w:t>
            </w:r>
            <w:r>
              <w:rPr>
                <w:rFonts w:hint="eastAsia" w:ascii="宋体" w:hAnsi="宋体" w:eastAsia="宋体" w:cs="宋体"/>
                <w:color w:val="000000" w:themeColor="text1"/>
                <w:kern w:val="2"/>
                <w:sz w:val="21"/>
                <w:szCs w:val="24"/>
                <w:lang w:val="en-US" w:eastAsia="zh-CN" w:bidi="ar-SA"/>
                <w14:textFill>
                  <w14:solidFill>
                    <w14:schemeClr w14:val="tx1"/>
                  </w14:solidFill>
                </w14:textFill>
              </w:rPr>
              <w:br w:type="textWrapping"/>
            </w:r>
            <w:r>
              <w:rPr>
                <w:rFonts w:hint="eastAsia" w:ascii="宋体" w:hAnsi="宋体" w:eastAsia="宋体" w:cs="宋体"/>
                <w:color w:val="000000" w:themeColor="text1"/>
                <w:kern w:val="2"/>
                <w:sz w:val="21"/>
                <w:szCs w:val="24"/>
                <w:lang w:val="en-US" w:eastAsia="zh-CN" w:bidi="ar-SA"/>
                <w14:textFill>
                  <w14:solidFill>
                    <w14:schemeClr w14:val="tx1"/>
                  </w14:solidFill>
                </w14:textFill>
              </w:rPr>
              <w:t>4. 快速提取工程量的技巧</w:t>
            </w:r>
            <w:r>
              <w:rPr>
                <w:rFonts w:hint="eastAsia" w:ascii="宋体" w:hAnsi="宋体" w:eastAsia="宋体" w:cs="宋体"/>
                <w:color w:val="000000" w:themeColor="text1"/>
                <w:kern w:val="2"/>
                <w:sz w:val="21"/>
                <w:szCs w:val="24"/>
                <w:lang w:val="en-US" w:eastAsia="zh-CN" w:bidi="ar-SA"/>
                <w14:textFill>
                  <w14:solidFill>
                    <w14:schemeClr w14:val="tx1"/>
                  </w14:solidFill>
                </w14:textFill>
              </w:rPr>
              <w:br w:type="textWrapping"/>
            </w:r>
            <w:r>
              <w:rPr>
                <w:rFonts w:hint="eastAsia" w:ascii="宋体" w:hAnsi="宋体" w:eastAsia="宋体" w:cs="宋体"/>
                <w:color w:val="000000" w:themeColor="text1"/>
                <w:kern w:val="2"/>
                <w:sz w:val="21"/>
                <w:szCs w:val="24"/>
                <w:lang w:val="en-US" w:eastAsia="zh-CN" w:bidi="ar-SA"/>
                <w14:textFill>
                  <w14:solidFill>
                    <w14:schemeClr w14:val="tx1"/>
                  </w14:solidFill>
                </w14:textFill>
              </w:rPr>
              <w:t>5. 计量过程的结算争议及解决方案</w:t>
            </w:r>
          </w:p>
        </w:tc>
        <w:tc>
          <w:tcPr>
            <w:tcW w:w="420" w:type="pct"/>
            <w:tcBorders>
              <w:top w:val="single" w:color="000000" w:sz="4" w:space="0"/>
              <w:left w:val="nil"/>
              <w:bottom w:val="nil"/>
              <w:right w:val="nil"/>
            </w:tcBorders>
            <w:shd w:val="clear" w:color="auto" w:fill="auto"/>
            <w:noWrap w:val="0"/>
            <w:tcMar>
              <w:top w:w="75" w:type="dxa"/>
              <w:left w:w="75" w:type="dxa"/>
              <w:bottom w:w="75" w:type="dxa"/>
              <w:right w:w="75" w:type="dxa"/>
            </w:tcMar>
            <w:vAlign w:val="center"/>
          </w:tcPr>
          <w:p w14:paraId="04E8E630">
            <w:pPr>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元/课时</w:t>
            </w:r>
          </w:p>
        </w:tc>
        <w:tc>
          <w:tcPr>
            <w:tcW w:w="335" w:type="pct"/>
            <w:tcBorders>
              <w:top w:val="single" w:color="000000" w:sz="4" w:space="0"/>
              <w:left w:val="nil"/>
              <w:bottom w:val="nil"/>
              <w:right w:val="nil"/>
            </w:tcBorders>
            <w:shd w:val="clear" w:color="auto" w:fill="auto"/>
            <w:noWrap w:val="0"/>
            <w:tcMar>
              <w:top w:w="75" w:type="dxa"/>
              <w:left w:w="75" w:type="dxa"/>
              <w:bottom w:w="75" w:type="dxa"/>
              <w:right w:w="75" w:type="dxa"/>
            </w:tcMar>
            <w:vAlign w:val="center"/>
          </w:tcPr>
          <w:p w14:paraId="0A7C1E5D">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w:t>
            </w:r>
          </w:p>
        </w:tc>
        <w:tc>
          <w:tcPr>
            <w:tcW w:w="467" w:type="pct"/>
            <w:tcBorders>
              <w:top w:val="single" w:color="000000" w:sz="4" w:space="0"/>
              <w:left w:val="nil"/>
              <w:bottom w:val="nil"/>
              <w:right w:val="nil"/>
            </w:tcBorders>
            <w:shd w:val="clear" w:color="auto" w:fill="auto"/>
            <w:noWrap w:val="0"/>
            <w:tcMar>
              <w:top w:w="75" w:type="dxa"/>
              <w:left w:w="75" w:type="dxa"/>
              <w:bottom w:w="75" w:type="dxa"/>
              <w:right w:w="75" w:type="dxa"/>
            </w:tcMar>
            <w:vAlign w:val="center"/>
          </w:tcPr>
          <w:p w14:paraId="77722DEE">
            <w:pPr>
              <w:snapToGrid w:val="0"/>
              <w:rPr>
                <w:color w:val="000000" w:themeColor="text1"/>
                <w14:textFill>
                  <w14:solidFill>
                    <w14:schemeClr w14:val="tx1"/>
                  </w14:solidFill>
                </w14:textFill>
              </w:rPr>
            </w:pPr>
          </w:p>
        </w:tc>
        <w:tc>
          <w:tcPr>
            <w:tcW w:w="462" w:type="pct"/>
            <w:tcBorders>
              <w:top w:val="single" w:color="000000" w:sz="4" w:space="0"/>
              <w:left w:val="nil"/>
              <w:bottom w:val="nil"/>
              <w:right w:val="nil"/>
            </w:tcBorders>
            <w:shd w:val="clear" w:color="auto" w:fill="auto"/>
            <w:noWrap w:val="0"/>
            <w:tcMar>
              <w:top w:w="75" w:type="dxa"/>
              <w:left w:w="75" w:type="dxa"/>
              <w:bottom w:w="75" w:type="dxa"/>
              <w:right w:w="75" w:type="dxa"/>
            </w:tcMar>
            <w:vAlign w:val="center"/>
          </w:tcPr>
          <w:p w14:paraId="34E1BCC3">
            <w:pPr>
              <w:snapToGrid w:val="0"/>
              <w:rPr>
                <w:color w:val="000000" w:themeColor="text1"/>
                <w14:textFill>
                  <w14:solidFill>
                    <w14:schemeClr w14:val="tx1"/>
                  </w14:solidFill>
                </w14:textFill>
              </w:rPr>
            </w:pPr>
          </w:p>
        </w:tc>
        <w:tc>
          <w:tcPr>
            <w:tcW w:w="390" w:type="pct"/>
            <w:tcBorders>
              <w:top w:val="single" w:color="000000" w:sz="4" w:space="0"/>
              <w:left w:val="nil"/>
              <w:bottom w:val="nil"/>
              <w:right w:val="nil"/>
            </w:tcBorders>
            <w:shd w:val="clear" w:color="auto" w:fill="auto"/>
            <w:noWrap w:val="0"/>
            <w:tcMar>
              <w:top w:w="75" w:type="dxa"/>
              <w:left w:w="75" w:type="dxa"/>
              <w:bottom w:w="75" w:type="dxa"/>
              <w:right w:w="75" w:type="dxa"/>
            </w:tcMar>
            <w:vAlign w:val="center"/>
          </w:tcPr>
          <w:p w14:paraId="71802831">
            <w:pPr>
              <w:snapToGrid w:val="0"/>
              <w:rPr>
                <w:color w:val="000000" w:themeColor="text1"/>
                <w14:textFill>
                  <w14:solidFill>
                    <w14:schemeClr w14:val="tx1"/>
                  </w14:solidFill>
                </w14:textFill>
              </w:rPr>
            </w:pPr>
          </w:p>
        </w:tc>
      </w:tr>
      <w:tr w14:paraId="7D9F29D2">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0" w:type="dxa"/>
            <w:bottom w:w="0" w:type="dxa"/>
            <w:right w:w="0" w:type="dxa"/>
          </w:tblCellMar>
        </w:tblPrEx>
        <w:trPr>
          <w:trHeight w:val="0" w:hRule="atLeast"/>
          <w:jc w:val="center"/>
        </w:trPr>
        <w:tc>
          <w:tcPr>
            <w:tcW w:w="219" w:type="pct"/>
            <w:tcBorders>
              <w:top w:val="nil"/>
              <w:left w:val="nil"/>
              <w:bottom w:val="nil"/>
              <w:right w:val="nil"/>
            </w:tcBorders>
            <w:shd w:val="clear" w:color="auto" w:fill="auto"/>
            <w:noWrap w:val="0"/>
            <w:tcMar>
              <w:top w:w="75" w:type="dxa"/>
              <w:left w:w="75" w:type="dxa"/>
              <w:bottom w:w="75" w:type="dxa"/>
              <w:right w:w="75" w:type="dxa"/>
            </w:tcMar>
            <w:vAlign w:val="center"/>
          </w:tcPr>
          <w:p w14:paraId="31A7DF12">
            <w:pPr>
              <w:snapToGrid w:val="0"/>
              <w:jc w:val="center"/>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2</w:t>
            </w:r>
          </w:p>
        </w:tc>
        <w:tc>
          <w:tcPr>
            <w:tcW w:w="701" w:type="pct"/>
            <w:tcBorders>
              <w:top w:val="nil"/>
              <w:left w:val="nil"/>
              <w:bottom w:val="nil"/>
              <w:right w:val="nil"/>
            </w:tcBorders>
            <w:shd w:val="clear" w:color="auto" w:fill="auto"/>
            <w:noWrap w:val="0"/>
            <w:tcMar>
              <w:top w:w="75" w:type="dxa"/>
              <w:left w:w="75" w:type="dxa"/>
              <w:bottom w:w="75" w:type="dxa"/>
              <w:right w:w="75" w:type="dxa"/>
            </w:tcMar>
            <w:vAlign w:val="center"/>
          </w:tcPr>
          <w:p w14:paraId="4DEEA292">
            <w:pPr>
              <w:snapToGrid w:val="0"/>
              <w:jc w:val="center"/>
              <w:rPr>
                <w:color w:val="000000" w:themeColor="text1"/>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新版清单计价标准及新定额应用提升课程</w:t>
            </w:r>
          </w:p>
        </w:tc>
        <w:tc>
          <w:tcPr>
            <w:tcW w:w="2003" w:type="pct"/>
            <w:tcBorders>
              <w:top w:val="nil"/>
              <w:left w:val="nil"/>
              <w:bottom w:val="nil"/>
              <w:right w:val="nil"/>
            </w:tcBorders>
            <w:shd w:val="clear" w:color="auto" w:fill="auto"/>
            <w:noWrap w:val="0"/>
            <w:tcMar>
              <w:top w:w="75" w:type="dxa"/>
              <w:left w:w="75" w:type="dxa"/>
              <w:bottom w:w="75" w:type="dxa"/>
              <w:right w:w="75" w:type="dxa"/>
            </w:tcMar>
            <w:vAlign w:val="center"/>
          </w:tcPr>
          <w:p w14:paraId="2B8C9715">
            <w:pPr>
              <w:numPr>
                <w:ilvl w:val="0"/>
                <w:numId w:val="6"/>
              </w:numPr>
              <w:snapToGrid w:val="0"/>
              <w:jc w:val="left"/>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新清单应用指南重点章节解析</w:t>
            </w:r>
            <w:r>
              <w:rPr>
                <w:rFonts w:hint="eastAsia" w:ascii="宋体" w:hAnsi="宋体" w:cs="宋体"/>
                <w:color w:val="000000" w:themeColor="text1"/>
                <w:kern w:val="2"/>
                <w:sz w:val="21"/>
                <w:szCs w:val="24"/>
                <w:lang w:val="en-US" w:eastAsia="zh-CN" w:bidi="ar-SA"/>
                <w14:textFill>
                  <w14:solidFill>
                    <w14:schemeClr w14:val="tx1"/>
                  </w14:solidFill>
                </w14:textFill>
              </w:rPr>
              <w:t>：</w:t>
            </w:r>
            <w:r>
              <w:rPr>
                <w:rFonts w:hint="eastAsia" w:ascii="宋体" w:hAnsi="宋体" w:eastAsia="宋体" w:cs="宋体"/>
                <w:color w:val="000000" w:themeColor="text1"/>
                <w:kern w:val="2"/>
                <w:sz w:val="21"/>
                <w:szCs w:val="24"/>
                <w:lang w:val="en-US" w:eastAsia="zh-CN" w:bidi="ar-SA"/>
                <w14:textFill>
                  <w14:solidFill>
                    <w14:schemeClr w14:val="tx1"/>
                  </w14:solidFill>
                </w14:textFill>
              </w:rPr>
              <w:t>通过实际工程案例，讲解单价合同、总价合同、措施项目在新清单模式下的应用</w:t>
            </w:r>
            <w:r>
              <w:rPr>
                <w:rFonts w:hint="eastAsia" w:ascii="宋体" w:hAnsi="宋体" w:cs="宋体"/>
                <w:color w:val="000000" w:themeColor="text1"/>
                <w:kern w:val="2"/>
                <w:sz w:val="21"/>
                <w:szCs w:val="24"/>
                <w:lang w:val="en-US" w:eastAsia="zh-CN" w:bidi="ar-SA"/>
                <w14:textFill>
                  <w14:solidFill>
                    <w14:schemeClr w14:val="tx1"/>
                  </w14:solidFill>
                </w14:textFill>
              </w:rPr>
              <w:t>。</w:t>
            </w:r>
          </w:p>
          <w:p w14:paraId="30C74E32">
            <w:pPr>
              <w:numPr>
                <w:ilvl w:val="0"/>
                <w:numId w:val="6"/>
              </w:numPr>
              <w:snapToGrid w:val="0"/>
              <w:jc w:val="left"/>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新清单在计价软件招投标和结算中的应用</w:t>
            </w:r>
            <w:r>
              <w:rPr>
                <w:rFonts w:hint="eastAsia" w:ascii="宋体" w:hAnsi="宋体" w:cs="宋体"/>
                <w:color w:val="000000" w:themeColor="text1"/>
                <w:kern w:val="2"/>
                <w:sz w:val="21"/>
                <w:szCs w:val="24"/>
                <w:lang w:val="en-US" w:eastAsia="zh-CN" w:bidi="ar-SA"/>
                <w14:textFill>
                  <w14:solidFill>
                    <w14:schemeClr w14:val="tx1"/>
                  </w14:solidFill>
                </w14:textFill>
              </w:rPr>
              <w:t>：</w:t>
            </w:r>
            <w:r>
              <w:rPr>
                <w:rFonts w:hint="eastAsia" w:ascii="宋体" w:hAnsi="宋体" w:eastAsia="宋体" w:cs="宋体"/>
                <w:color w:val="000000" w:themeColor="text1"/>
                <w:kern w:val="2"/>
                <w:sz w:val="21"/>
                <w:szCs w:val="24"/>
                <w:lang w:val="en-US" w:eastAsia="zh-CN" w:bidi="ar-SA"/>
                <w14:textFill>
                  <w14:solidFill>
                    <w14:schemeClr w14:val="tx1"/>
                  </w14:solidFill>
                </w14:textFill>
              </w:rPr>
              <w:t>新清单模式下的取费、调价、费用调整</w:t>
            </w:r>
            <w:r>
              <w:rPr>
                <w:rFonts w:hint="eastAsia" w:ascii="宋体" w:hAnsi="宋体" w:cs="宋体"/>
                <w:color w:val="000000" w:themeColor="text1"/>
                <w:kern w:val="2"/>
                <w:sz w:val="21"/>
                <w:szCs w:val="24"/>
                <w:lang w:val="en-US" w:eastAsia="zh-CN" w:bidi="ar-SA"/>
                <w14:textFill>
                  <w14:solidFill>
                    <w14:schemeClr w14:val="tx1"/>
                  </w14:solidFill>
                </w14:textFill>
              </w:rPr>
              <w:t>。</w:t>
            </w:r>
          </w:p>
          <w:p w14:paraId="60059510">
            <w:pPr>
              <w:numPr>
                <w:ilvl w:val="0"/>
                <w:numId w:val="6"/>
              </w:numPr>
              <w:snapToGrid w:val="0"/>
              <w:jc w:val="left"/>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2025年新定额交底资料讲解</w:t>
            </w:r>
            <w:r>
              <w:rPr>
                <w:rFonts w:hint="eastAsia" w:ascii="宋体" w:hAnsi="宋体" w:cs="宋体"/>
                <w:color w:val="000000" w:themeColor="text1"/>
                <w:kern w:val="2"/>
                <w:sz w:val="21"/>
                <w:szCs w:val="24"/>
                <w:lang w:val="en-US" w:eastAsia="zh-CN" w:bidi="ar-SA"/>
                <w14:textFill>
                  <w14:solidFill>
                    <w14:schemeClr w14:val="tx1"/>
                  </w14:solidFill>
                </w14:textFill>
              </w:rPr>
              <w:t>：</w:t>
            </w:r>
            <w:r>
              <w:rPr>
                <w:rFonts w:hint="eastAsia" w:ascii="宋体" w:hAnsi="宋体" w:eastAsia="宋体" w:cs="宋体"/>
                <w:color w:val="000000" w:themeColor="text1"/>
                <w:kern w:val="2"/>
                <w:sz w:val="21"/>
                <w:szCs w:val="24"/>
                <w:lang w:val="en-US" w:eastAsia="zh-CN" w:bidi="ar-SA"/>
                <w14:textFill>
                  <w14:solidFill>
                    <w14:schemeClr w14:val="tx1"/>
                  </w14:solidFill>
                </w14:textFill>
              </w:rPr>
              <w:t>根据新发布的25定额及交底资料，讲解新定额在实际工程中的应用及注意事项</w:t>
            </w:r>
            <w:r>
              <w:rPr>
                <w:rFonts w:hint="eastAsia" w:ascii="宋体" w:hAnsi="宋体" w:cs="宋体"/>
                <w:color w:val="000000" w:themeColor="text1"/>
                <w:kern w:val="2"/>
                <w:sz w:val="21"/>
                <w:szCs w:val="24"/>
                <w:lang w:val="en-US" w:eastAsia="zh-CN" w:bidi="ar-SA"/>
                <w14:textFill>
                  <w14:solidFill>
                    <w14:schemeClr w14:val="tx1"/>
                  </w14:solidFill>
                </w14:textFill>
              </w:rPr>
              <w:t>。</w:t>
            </w:r>
          </w:p>
          <w:p w14:paraId="131B3CA4">
            <w:pPr>
              <w:numPr>
                <w:ilvl w:val="0"/>
                <w:numId w:val="6"/>
              </w:numPr>
              <w:snapToGrid w:val="0"/>
              <w:jc w:val="left"/>
              <w:rPr>
                <w:rFonts w:hint="eastAsia"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讲解新版《房屋建筑与装饰工程工程量计算标准》以及《通用安装工程工程量计算标准》。</w:t>
            </w:r>
          </w:p>
        </w:tc>
        <w:tc>
          <w:tcPr>
            <w:tcW w:w="420" w:type="pct"/>
            <w:tcBorders>
              <w:top w:val="nil"/>
              <w:left w:val="nil"/>
              <w:bottom w:val="nil"/>
              <w:right w:val="nil"/>
            </w:tcBorders>
            <w:shd w:val="clear" w:color="auto" w:fill="auto"/>
            <w:noWrap w:val="0"/>
            <w:tcMar>
              <w:top w:w="75" w:type="dxa"/>
              <w:left w:w="75" w:type="dxa"/>
              <w:bottom w:w="75" w:type="dxa"/>
              <w:right w:w="75" w:type="dxa"/>
            </w:tcMar>
            <w:vAlign w:val="center"/>
          </w:tcPr>
          <w:p w14:paraId="29218F4F">
            <w:pPr>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元/课时</w:t>
            </w:r>
          </w:p>
        </w:tc>
        <w:tc>
          <w:tcPr>
            <w:tcW w:w="335" w:type="pct"/>
            <w:tcBorders>
              <w:top w:val="nil"/>
              <w:left w:val="nil"/>
              <w:bottom w:val="nil"/>
              <w:right w:val="nil"/>
            </w:tcBorders>
            <w:shd w:val="clear" w:color="auto" w:fill="auto"/>
            <w:noWrap w:val="0"/>
            <w:tcMar>
              <w:top w:w="75" w:type="dxa"/>
              <w:left w:w="75" w:type="dxa"/>
              <w:bottom w:w="75" w:type="dxa"/>
              <w:right w:w="75" w:type="dxa"/>
            </w:tcMar>
            <w:vAlign w:val="center"/>
          </w:tcPr>
          <w:p w14:paraId="725ED919">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44</w:t>
            </w:r>
          </w:p>
        </w:tc>
        <w:tc>
          <w:tcPr>
            <w:tcW w:w="467" w:type="pct"/>
            <w:tcBorders>
              <w:top w:val="nil"/>
              <w:left w:val="nil"/>
              <w:bottom w:val="nil"/>
              <w:right w:val="nil"/>
            </w:tcBorders>
            <w:shd w:val="clear" w:color="auto" w:fill="auto"/>
            <w:noWrap w:val="0"/>
            <w:tcMar>
              <w:top w:w="75" w:type="dxa"/>
              <w:left w:w="75" w:type="dxa"/>
              <w:bottom w:w="75" w:type="dxa"/>
              <w:right w:w="75" w:type="dxa"/>
            </w:tcMar>
            <w:vAlign w:val="center"/>
          </w:tcPr>
          <w:p w14:paraId="6ADFD36B">
            <w:pPr>
              <w:snapToGrid w:val="0"/>
              <w:rPr>
                <w:color w:val="000000" w:themeColor="text1"/>
                <w14:textFill>
                  <w14:solidFill>
                    <w14:schemeClr w14:val="tx1"/>
                  </w14:solidFill>
                </w14:textFill>
              </w:rPr>
            </w:pPr>
          </w:p>
        </w:tc>
        <w:tc>
          <w:tcPr>
            <w:tcW w:w="462" w:type="pct"/>
            <w:tcBorders>
              <w:top w:val="nil"/>
              <w:left w:val="nil"/>
              <w:bottom w:val="nil"/>
              <w:right w:val="nil"/>
            </w:tcBorders>
            <w:shd w:val="clear" w:color="auto" w:fill="auto"/>
            <w:noWrap w:val="0"/>
            <w:tcMar>
              <w:top w:w="75" w:type="dxa"/>
              <w:left w:w="75" w:type="dxa"/>
              <w:bottom w:w="75" w:type="dxa"/>
              <w:right w:w="75" w:type="dxa"/>
            </w:tcMar>
            <w:vAlign w:val="center"/>
          </w:tcPr>
          <w:p w14:paraId="2645BD0D">
            <w:pPr>
              <w:snapToGrid w:val="0"/>
              <w:rPr>
                <w:color w:val="000000" w:themeColor="text1"/>
                <w14:textFill>
                  <w14:solidFill>
                    <w14:schemeClr w14:val="tx1"/>
                  </w14:solidFill>
                </w14:textFill>
              </w:rPr>
            </w:pPr>
          </w:p>
        </w:tc>
        <w:tc>
          <w:tcPr>
            <w:tcW w:w="390" w:type="pct"/>
            <w:tcBorders>
              <w:top w:val="nil"/>
              <w:left w:val="nil"/>
              <w:bottom w:val="nil"/>
              <w:right w:val="nil"/>
            </w:tcBorders>
            <w:shd w:val="clear" w:color="auto" w:fill="auto"/>
            <w:noWrap w:val="0"/>
            <w:tcMar>
              <w:top w:w="75" w:type="dxa"/>
              <w:left w:w="75" w:type="dxa"/>
              <w:bottom w:w="75" w:type="dxa"/>
              <w:right w:w="75" w:type="dxa"/>
            </w:tcMar>
            <w:vAlign w:val="center"/>
          </w:tcPr>
          <w:p w14:paraId="6F80335A">
            <w:pPr>
              <w:snapToGrid w:val="0"/>
              <w:rPr>
                <w:color w:val="000000" w:themeColor="text1"/>
                <w14:textFill>
                  <w14:solidFill>
                    <w14:schemeClr w14:val="tx1"/>
                  </w14:solidFill>
                </w14:textFill>
              </w:rPr>
            </w:pPr>
          </w:p>
        </w:tc>
      </w:tr>
      <w:tr w14:paraId="6D4EB861">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0" w:type="dxa"/>
            <w:bottom w:w="0" w:type="dxa"/>
            <w:right w:w="0" w:type="dxa"/>
          </w:tblCellMar>
        </w:tblPrEx>
        <w:trPr>
          <w:trHeight w:val="397" w:hRule="atLeast"/>
          <w:jc w:val="center"/>
        </w:trPr>
        <w:tc>
          <w:tcPr>
            <w:tcW w:w="219" w:type="pct"/>
            <w:tcBorders>
              <w:top w:val="nil"/>
              <w:left w:val="nil"/>
              <w:bottom w:val="nil"/>
              <w:right w:val="nil"/>
            </w:tcBorders>
            <w:shd w:val="clear" w:color="auto" w:fill="auto"/>
            <w:noWrap w:val="0"/>
            <w:tcMar>
              <w:top w:w="75" w:type="dxa"/>
              <w:left w:w="75" w:type="dxa"/>
              <w:bottom w:w="75" w:type="dxa"/>
              <w:right w:w="75" w:type="dxa"/>
            </w:tcMar>
            <w:vAlign w:val="center"/>
          </w:tcPr>
          <w:p w14:paraId="578530BA">
            <w:pPr>
              <w:snapToGrid w:val="0"/>
              <w:jc w:val="center"/>
              <w:rPr>
                <w:rFonts w:hint="eastAsia" w:ascii="宋体" w:hAnsi="宋体" w:eastAsia="宋体" w:cs="宋体"/>
                <w:color w:val="000000" w:themeColor="text1"/>
                <w:kern w:val="2"/>
                <w:sz w:val="21"/>
                <w:szCs w:val="24"/>
                <w:lang w:val="en-US" w:eastAsia="zh-CN" w:bidi="ar-SA"/>
                <w14:textFill>
                  <w14:solidFill>
                    <w14:schemeClr w14:val="tx1"/>
                  </w14:solidFill>
                </w14:textFill>
              </w:rPr>
            </w:pPr>
          </w:p>
        </w:tc>
        <w:tc>
          <w:tcPr>
            <w:tcW w:w="701" w:type="pct"/>
            <w:tcBorders>
              <w:top w:val="nil"/>
              <w:left w:val="nil"/>
              <w:bottom w:val="nil"/>
              <w:right w:val="nil"/>
            </w:tcBorders>
            <w:shd w:val="clear" w:color="auto" w:fill="auto"/>
            <w:noWrap w:val="0"/>
            <w:tcMar>
              <w:top w:w="75" w:type="dxa"/>
              <w:left w:w="75" w:type="dxa"/>
              <w:bottom w:w="75" w:type="dxa"/>
              <w:right w:w="75" w:type="dxa"/>
            </w:tcMar>
            <w:vAlign w:val="center"/>
          </w:tcPr>
          <w:p w14:paraId="491EF7D0">
            <w:pPr>
              <w:snapToGrid w:val="0"/>
              <w:jc w:val="center"/>
              <w:rPr>
                <w:rFonts w:hint="eastAsia" w:ascii="宋体" w:hAnsi="宋体" w:eastAsia="宋体" w:cs="宋体"/>
                <w:color w:val="000000" w:themeColor="text1"/>
                <w:kern w:val="2"/>
                <w:sz w:val="21"/>
                <w:szCs w:val="24"/>
                <w:lang w:val="en-US" w:eastAsia="zh-CN" w:bidi="ar-SA"/>
                <w14:textFill>
                  <w14:solidFill>
                    <w14:schemeClr w14:val="tx1"/>
                  </w14:solidFill>
                </w14:textFill>
              </w:rPr>
            </w:pPr>
          </w:p>
        </w:tc>
        <w:tc>
          <w:tcPr>
            <w:tcW w:w="2003" w:type="pct"/>
            <w:tcBorders>
              <w:top w:val="nil"/>
              <w:left w:val="nil"/>
              <w:bottom w:val="nil"/>
              <w:right w:val="nil"/>
            </w:tcBorders>
            <w:shd w:val="clear" w:color="auto" w:fill="auto"/>
            <w:noWrap w:val="0"/>
            <w:tcMar>
              <w:top w:w="75" w:type="dxa"/>
              <w:left w:w="75" w:type="dxa"/>
              <w:bottom w:w="75" w:type="dxa"/>
              <w:right w:w="75" w:type="dxa"/>
            </w:tcMar>
            <w:vAlign w:val="center"/>
          </w:tcPr>
          <w:p w14:paraId="3AD75503">
            <w:pPr>
              <w:snapToGrid w:val="0"/>
              <w:jc w:val="left"/>
              <w:rPr>
                <w:rFonts w:hint="default" w:ascii="宋体" w:hAnsi="宋体" w:eastAsia="宋体" w:cs="宋体"/>
                <w:color w:val="000000" w:themeColor="text1"/>
                <w:kern w:val="2"/>
                <w:sz w:val="21"/>
                <w:szCs w:val="24"/>
                <w:lang w:val="en-US" w:eastAsia="zh-CN" w:bidi="ar-SA"/>
                <w14:textFill>
                  <w14:solidFill>
                    <w14:schemeClr w14:val="tx1"/>
                  </w14:solidFill>
                </w14:textFill>
              </w:rPr>
            </w:pPr>
            <w:r>
              <w:rPr>
                <w:rFonts w:hint="eastAsia" w:ascii="宋体" w:hAnsi="宋体" w:eastAsia="宋体" w:cs="宋体"/>
                <w:color w:val="000000" w:themeColor="text1"/>
                <w:kern w:val="2"/>
                <w:sz w:val="21"/>
                <w:szCs w:val="24"/>
                <w:lang w:val="en-US" w:eastAsia="zh-CN" w:bidi="ar-SA"/>
                <w14:textFill>
                  <w14:solidFill>
                    <w14:schemeClr w14:val="tx1"/>
                  </w14:solidFill>
                </w14:textFill>
              </w:rPr>
              <w:t>合计</w:t>
            </w:r>
          </w:p>
        </w:tc>
        <w:tc>
          <w:tcPr>
            <w:tcW w:w="420" w:type="pct"/>
            <w:tcBorders>
              <w:top w:val="nil"/>
              <w:left w:val="nil"/>
              <w:bottom w:val="nil"/>
              <w:right w:val="nil"/>
            </w:tcBorders>
            <w:shd w:val="clear" w:color="auto" w:fill="auto"/>
            <w:noWrap w:val="0"/>
            <w:tcMar>
              <w:top w:w="75" w:type="dxa"/>
              <w:left w:w="75" w:type="dxa"/>
              <w:bottom w:w="75" w:type="dxa"/>
              <w:right w:w="75" w:type="dxa"/>
            </w:tcMar>
            <w:vAlign w:val="center"/>
          </w:tcPr>
          <w:p w14:paraId="5480DC4A">
            <w:pPr>
              <w:snapToGrid w:val="0"/>
              <w:jc w:val="center"/>
              <w:rPr>
                <w:rFonts w:hint="eastAsia"/>
                <w:color w:val="000000" w:themeColor="text1"/>
                <w:lang w:val="en-US" w:eastAsia="zh-CN"/>
                <w14:textFill>
                  <w14:solidFill>
                    <w14:schemeClr w14:val="tx1"/>
                  </w14:solidFill>
                </w14:textFill>
              </w:rPr>
            </w:pPr>
          </w:p>
        </w:tc>
        <w:tc>
          <w:tcPr>
            <w:tcW w:w="335" w:type="pct"/>
            <w:tcBorders>
              <w:top w:val="nil"/>
              <w:left w:val="nil"/>
              <w:bottom w:val="nil"/>
              <w:right w:val="nil"/>
            </w:tcBorders>
            <w:shd w:val="clear" w:color="auto" w:fill="auto"/>
            <w:noWrap w:val="0"/>
            <w:tcMar>
              <w:top w:w="75" w:type="dxa"/>
              <w:left w:w="75" w:type="dxa"/>
              <w:bottom w:w="75" w:type="dxa"/>
              <w:right w:w="75" w:type="dxa"/>
            </w:tcMar>
            <w:vAlign w:val="center"/>
          </w:tcPr>
          <w:p w14:paraId="38CF9A41">
            <w:pPr>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88</w:t>
            </w:r>
          </w:p>
        </w:tc>
        <w:tc>
          <w:tcPr>
            <w:tcW w:w="467" w:type="pct"/>
            <w:tcBorders>
              <w:top w:val="nil"/>
              <w:left w:val="nil"/>
              <w:bottom w:val="nil"/>
              <w:right w:val="nil"/>
            </w:tcBorders>
            <w:shd w:val="clear" w:color="auto" w:fill="auto"/>
            <w:noWrap w:val="0"/>
            <w:tcMar>
              <w:top w:w="75" w:type="dxa"/>
              <w:left w:w="75" w:type="dxa"/>
              <w:bottom w:w="75" w:type="dxa"/>
              <w:right w:w="75" w:type="dxa"/>
            </w:tcMar>
            <w:vAlign w:val="center"/>
          </w:tcPr>
          <w:p w14:paraId="4B1BC662">
            <w:pPr>
              <w:snapToGrid w:val="0"/>
              <w:rPr>
                <w:color w:val="000000" w:themeColor="text1"/>
                <w14:textFill>
                  <w14:solidFill>
                    <w14:schemeClr w14:val="tx1"/>
                  </w14:solidFill>
                </w14:textFill>
              </w:rPr>
            </w:pPr>
          </w:p>
        </w:tc>
        <w:tc>
          <w:tcPr>
            <w:tcW w:w="462" w:type="pct"/>
            <w:tcBorders>
              <w:top w:val="nil"/>
              <w:left w:val="nil"/>
              <w:bottom w:val="nil"/>
              <w:right w:val="nil"/>
            </w:tcBorders>
            <w:shd w:val="clear" w:color="auto" w:fill="auto"/>
            <w:noWrap w:val="0"/>
            <w:tcMar>
              <w:top w:w="75" w:type="dxa"/>
              <w:left w:w="75" w:type="dxa"/>
              <w:bottom w:w="75" w:type="dxa"/>
              <w:right w:w="75" w:type="dxa"/>
            </w:tcMar>
            <w:vAlign w:val="center"/>
          </w:tcPr>
          <w:p w14:paraId="6B83E8CD">
            <w:pPr>
              <w:snapToGrid w:val="0"/>
              <w:rPr>
                <w:color w:val="000000" w:themeColor="text1"/>
                <w14:textFill>
                  <w14:solidFill>
                    <w14:schemeClr w14:val="tx1"/>
                  </w14:solidFill>
                </w14:textFill>
              </w:rPr>
            </w:pPr>
          </w:p>
        </w:tc>
        <w:tc>
          <w:tcPr>
            <w:tcW w:w="390" w:type="pct"/>
            <w:tcBorders>
              <w:top w:val="nil"/>
              <w:left w:val="nil"/>
              <w:bottom w:val="nil"/>
              <w:right w:val="nil"/>
            </w:tcBorders>
            <w:shd w:val="clear" w:color="auto" w:fill="auto"/>
            <w:noWrap w:val="0"/>
            <w:tcMar>
              <w:top w:w="75" w:type="dxa"/>
              <w:left w:w="75" w:type="dxa"/>
              <w:bottom w:w="75" w:type="dxa"/>
              <w:right w:w="75" w:type="dxa"/>
            </w:tcMar>
            <w:vAlign w:val="center"/>
          </w:tcPr>
          <w:p w14:paraId="7E5C190F">
            <w:pPr>
              <w:snapToGrid w:val="0"/>
              <w:rPr>
                <w:color w:val="000000" w:themeColor="text1"/>
                <w14:textFill>
                  <w14:solidFill>
                    <w14:schemeClr w14:val="tx1"/>
                  </w14:solidFill>
                </w14:textFill>
              </w:rPr>
            </w:pPr>
          </w:p>
        </w:tc>
      </w:tr>
      <w:tr w14:paraId="31CF6916">
        <w:tblPrEx>
          <w:tblBorders>
            <w:top w:val="none" w:color="auto" w:sz="4" w:space="0"/>
            <w:left w:val="none" w:color="auto" w:sz="4" w:space="0"/>
            <w:bottom w:val="none" w:color="auto" w:sz="4" w:space="0"/>
            <w:right w:val="none" w:color="auto" w:sz="4" w:space="0"/>
            <w:insideH w:val="none" w:color="auto" w:sz="4" w:space="0"/>
            <w:insideV w:val="none" w:color="auto" w:sz="4" w:space="0"/>
          </w:tblBorders>
          <w:tblCellMar>
            <w:top w:w="0" w:type="dxa"/>
            <w:left w:w="0" w:type="dxa"/>
            <w:bottom w:w="0" w:type="dxa"/>
            <w:right w:w="0" w:type="dxa"/>
          </w:tblCellMar>
        </w:tblPrEx>
        <w:trPr>
          <w:trHeight w:val="479" w:hRule="atLeast"/>
          <w:jc w:val="center"/>
        </w:trPr>
        <w:tc>
          <w:tcPr>
            <w:tcW w:w="219" w:type="pct"/>
            <w:tcBorders>
              <w:top w:val="nil"/>
              <w:left w:val="nil"/>
              <w:bottom w:val="single" w:color="auto" w:sz="12" w:space="0"/>
              <w:right w:val="nil"/>
            </w:tcBorders>
            <w:noWrap w:val="0"/>
            <w:tcMar>
              <w:top w:w="-1" w:type="dxa"/>
              <w:left w:w="108" w:type="dxa"/>
              <w:bottom w:w="-1" w:type="dxa"/>
              <w:right w:w="108" w:type="dxa"/>
            </w:tcMar>
            <w:vAlign w:val="center"/>
          </w:tcPr>
          <w:p w14:paraId="6F003BA5">
            <w:pPr>
              <w:snapToGrid w:val="0"/>
              <w:jc w:val="center"/>
              <w:rPr>
                <w:rFonts w:hint="eastAsia" w:ascii="宋体" w:hAnsi="宋体" w:eastAsia="宋体" w:cs="宋体"/>
                <w:b/>
                <w:bCs/>
                <w:color w:val="000000" w:themeColor="text1"/>
                <w:kern w:val="2"/>
                <w:sz w:val="21"/>
                <w:szCs w:val="24"/>
                <w:lang w:val="en-US" w:eastAsia="zh-CN" w:bidi="ar-SA"/>
                <w14:textFill>
                  <w14:solidFill>
                    <w14:schemeClr w14:val="tx1"/>
                  </w14:solidFill>
                </w14:textFill>
              </w:rPr>
            </w:pPr>
          </w:p>
        </w:tc>
        <w:tc>
          <w:tcPr>
            <w:tcW w:w="4780" w:type="pct"/>
            <w:gridSpan w:val="7"/>
            <w:tcBorders>
              <w:top w:val="nil"/>
              <w:left w:val="nil"/>
              <w:bottom w:val="single" w:color="auto" w:sz="12" w:space="0"/>
              <w:right w:val="nil"/>
            </w:tcBorders>
            <w:noWrap w:val="0"/>
            <w:tcMar>
              <w:top w:w="-1" w:type="dxa"/>
              <w:left w:w="108" w:type="dxa"/>
              <w:bottom w:w="-1" w:type="dxa"/>
              <w:right w:w="108" w:type="dxa"/>
            </w:tcMar>
            <w:vAlign w:val="center"/>
          </w:tcPr>
          <w:p w14:paraId="0D1A8B21">
            <w:pPr>
              <w:snapToGrid w:val="0"/>
              <w:jc w:val="center"/>
              <w:rPr>
                <w:color w:val="000000" w:themeColor="text1"/>
                <w14:textFill>
                  <w14:solidFill>
                    <w14:schemeClr w14:val="tx1"/>
                  </w14:solidFill>
                </w14:textFill>
              </w:rPr>
            </w:pPr>
            <w:r>
              <w:rPr>
                <w:rFonts w:hint="eastAsia" w:ascii="宋体" w:hAnsi="宋体" w:eastAsia="宋体" w:cs="宋体"/>
                <w:b/>
                <w:bCs/>
                <w:color w:val="000000" w:themeColor="text1"/>
                <w:kern w:val="2"/>
                <w:sz w:val="21"/>
                <w:szCs w:val="24"/>
                <w:lang w:val="en-US" w:eastAsia="zh-CN" w:bidi="ar-SA"/>
                <w14:textFill>
                  <w14:solidFill>
                    <w14:schemeClr w14:val="tx1"/>
                  </w14:solidFill>
                </w14:textFill>
              </w:rPr>
              <w:t xml:space="preserve">本报价包含增值税税率  </w:t>
            </w:r>
            <w:r>
              <w:rPr>
                <w:rFonts w:hint="eastAsia" w:ascii="宋体" w:hAnsi="宋体" w:cs="宋体"/>
                <w:b/>
                <w:bCs/>
                <w:color w:val="000000" w:themeColor="text1"/>
                <w:kern w:val="2"/>
                <w:sz w:val="21"/>
                <w:szCs w:val="24"/>
                <w:lang w:val="en-US" w:eastAsia="zh-CN" w:bidi="ar-SA"/>
                <w14:textFill>
                  <w14:solidFill>
                    <w14:schemeClr w14:val="tx1"/>
                  </w14:solidFill>
                </w14:textFill>
              </w:rPr>
              <w:t xml:space="preserve"> </w:t>
            </w:r>
            <w:r>
              <w:rPr>
                <w:rFonts w:hint="eastAsia" w:ascii="宋体" w:hAnsi="宋体" w:eastAsia="宋体" w:cs="宋体"/>
                <w:b/>
                <w:bCs/>
                <w:color w:val="000000" w:themeColor="text1"/>
                <w:kern w:val="2"/>
                <w:sz w:val="21"/>
                <w:szCs w:val="24"/>
                <w:lang w:val="en-US" w:eastAsia="zh-CN" w:bidi="ar-SA"/>
                <w14:textFill>
                  <w14:solidFill>
                    <w14:schemeClr w14:val="tx1"/>
                  </w14:solidFill>
                </w14:textFill>
              </w:rPr>
              <w:t>%</w:t>
            </w:r>
          </w:p>
        </w:tc>
      </w:tr>
    </w:tbl>
    <w:p w14:paraId="38F9D062">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hint="eastAsia" w:ascii="黑体" w:hAnsi="黑体" w:eastAsia="黑体" w:cstheme="minorBidi"/>
          <w:b/>
          <w:bCs/>
          <w:szCs w:val="22"/>
          <w:highlight w:val="none"/>
          <w:lang w:val="en-US" w:eastAsia="zh-CN"/>
        </w:rPr>
      </w:pPr>
      <w:r>
        <w:rPr>
          <w:rFonts w:hint="eastAsia" w:ascii="黑体" w:hAnsi="黑体" w:eastAsia="黑体" w:cstheme="minorBidi"/>
          <w:b/>
          <w:bCs/>
          <w:szCs w:val="22"/>
          <w:highlight w:val="none"/>
          <w:lang w:val="en-US" w:eastAsia="zh-CN"/>
        </w:rPr>
        <w:t>以上课时仅供参考，报价时可根据实际培训方案调整，总课时不得低于以上总课时数。</w:t>
      </w:r>
    </w:p>
    <w:p w14:paraId="5876A02E">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hint="eastAsia" w:ascii="黑体" w:hAnsi="黑体" w:eastAsia="黑体" w:cstheme="minorBidi"/>
          <w:b/>
          <w:bCs/>
          <w:szCs w:val="22"/>
          <w:highlight w:val="none"/>
        </w:rPr>
      </w:pPr>
      <w:r>
        <w:rPr>
          <w:rFonts w:hint="eastAsia" w:ascii="黑体" w:hAnsi="黑体" w:eastAsia="黑体" w:cstheme="minorBidi"/>
          <w:b/>
          <w:bCs/>
          <w:szCs w:val="22"/>
          <w:highlight w:val="none"/>
          <w:lang w:val="en-US" w:eastAsia="zh-CN"/>
        </w:rPr>
        <w:t>三、相关</w:t>
      </w:r>
      <w:r>
        <w:rPr>
          <w:rFonts w:hint="eastAsia" w:ascii="黑体" w:hAnsi="黑体" w:eastAsia="黑体" w:cstheme="minorBidi"/>
          <w:b/>
          <w:bCs/>
          <w:szCs w:val="22"/>
          <w:highlight w:val="none"/>
        </w:rPr>
        <w:t>要求</w:t>
      </w:r>
    </w:p>
    <w:p w14:paraId="7DA9BEFD">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outlineLvl w:val="2"/>
        <w:rPr>
          <w:rFonts w:hint="eastAsia" w:ascii="宋体" w:hAnsi="Courier New"/>
          <w:highlight w:val="none"/>
        </w:rPr>
      </w:pPr>
      <w:r>
        <w:rPr>
          <w:rFonts w:hint="eastAsia" w:ascii="宋体" w:hAnsi="Courier New"/>
          <w:highlight w:val="none"/>
        </w:rPr>
        <w:t>（1）出具详实的课程方案、价格方案。课程应根据中国重汽企业实际情况所设计，具有实战性和操作性</w:t>
      </w:r>
      <w:r>
        <w:rPr>
          <w:rFonts w:hint="eastAsia" w:ascii="宋体" w:hAnsi="Courier New"/>
          <w:color w:val="auto"/>
          <w:highlight w:val="none"/>
          <w:lang w:eastAsia="zh-CN"/>
        </w:rPr>
        <w:t>，</w:t>
      </w:r>
      <w:r>
        <w:rPr>
          <w:rFonts w:hint="eastAsia" w:ascii="宋体" w:hAnsi="Courier New"/>
          <w:b/>
          <w:bCs/>
          <w:color w:val="FF0000"/>
          <w:highlight w:val="none"/>
          <w:lang w:val="en-US" w:eastAsia="zh-CN"/>
        </w:rPr>
        <w:t>侧重讲解工业厂房类项目课程</w:t>
      </w:r>
      <w:r>
        <w:rPr>
          <w:rFonts w:hint="eastAsia" w:ascii="宋体" w:hAnsi="Courier New"/>
          <w:highlight w:val="none"/>
        </w:rPr>
        <w:t>。项目运营必须包含课前调研准备、课前实施预热、课中培训赋能、课中汇报总结、课后行动实践、课后实践跟进反馈、课程核心知识点萃取提炼。</w:t>
      </w:r>
    </w:p>
    <w:p w14:paraId="60D2CB52">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rPr>
      </w:pPr>
      <w:r>
        <w:rPr>
          <w:rFonts w:hint="eastAsia" w:ascii="宋体" w:hAnsi="Courier New"/>
          <w:highlight w:val="none"/>
        </w:rPr>
        <w:t>（</w:t>
      </w:r>
      <w:r>
        <w:rPr>
          <w:rFonts w:hint="eastAsia" w:ascii="宋体" w:hAnsi="Courier New"/>
          <w:highlight w:val="none"/>
          <w:lang w:val="en-US" w:eastAsia="zh-CN"/>
        </w:rPr>
        <w:t>2</w:t>
      </w:r>
      <w:r>
        <w:rPr>
          <w:rFonts w:hint="eastAsia" w:ascii="宋体" w:hAnsi="Courier New"/>
          <w:highlight w:val="none"/>
        </w:rPr>
        <w:t>）</w:t>
      </w:r>
      <w:r>
        <w:rPr>
          <w:rFonts w:hint="eastAsia" w:ascii="黑体" w:hAnsi="黑体" w:eastAsia="黑体" w:cs="黑体"/>
          <w:b/>
          <w:bCs/>
          <w:highlight w:val="none"/>
        </w:rPr>
        <w:t>培训讲师应具有5年以上的培训经验，</w:t>
      </w:r>
      <w:r>
        <w:rPr>
          <w:rFonts w:hint="eastAsia" w:ascii="宋体" w:hAnsi="Courier New"/>
          <w:highlight w:val="none"/>
        </w:rPr>
        <w:t>具有把教学内容与实践能力相结合的能力，可以将理论知识演绎得生动易懂。保障课程设计到执行的统一性，授课老师课前需进行课程认证，经中国重汽审核通过后才可进行授课。授课报价均为面授价格，中途不得随意更换培训讲师。</w:t>
      </w:r>
    </w:p>
    <w:p w14:paraId="193F9CA8">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宋体" w:hAnsi="Courier New"/>
          <w:highlight w:val="none"/>
        </w:rPr>
      </w:pPr>
      <w:r>
        <w:rPr>
          <w:rFonts w:hint="eastAsia" w:ascii="宋体" w:hAnsi="Courier New"/>
          <w:highlight w:val="none"/>
        </w:rPr>
        <w:t>（3）中标方应指定一名经验丰富的工作人员负责与中国重汽集团沟通和联络，每期培训前应根据中国重汽集团的要求，制定好培训计划及授课前的各项准备工作，培训现场除培训师之外应确保有1名工作人员布置会场、教具准备和签到等工作。</w:t>
      </w:r>
    </w:p>
    <w:p w14:paraId="4B3D986E">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rPr>
      </w:pPr>
      <w:r>
        <w:rPr>
          <w:rFonts w:hint="eastAsia" w:ascii="宋体" w:hAnsi="Courier New"/>
          <w:highlight w:val="none"/>
        </w:rPr>
        <w:t>（4）中标方</w:t>
      </w:r>
      <w:r>
        <w:rPr>
          <w:rFonts w:hint="eastAsia" w:ascii="宋体" w:hAnsi="Courier New"/>
          <w:highlight w:val="none"/>
          <w:lang w:val="en-US" w:eastAsia="zh-CN"/>
        </w:rPr>
        <w:t>在</w:t>
      </w:r>
      <w:r>
        <w:rPr>
          <w:rFonts w:hint="eastAsia" w:ascii="宋体" w:hAnsi="Courier New"/>
          <w:highlight w:val="none"/>
        </w:rPr>
        <w:t>培训时需提供至少</w:t>
      </w:r>
      <w:r>
        <w:rPr>
          <w:rFonts w:hint="eastAsia" w:ascii="宋体" w:hAnsi="Courier New"/>
          <w:highlight w:val="none"/>
          <w:lang w:val="en-US" w:eastAsia="zh-CN"/>
        </w:rPr>
        <w:t>15套纸质</w:t>
      </w:r>
      <w:r>
        <w:rPr>
          <w:rFonts w:hint="eastAsia" w:ascii="宋体" w:hAnsi="Courier New"/>
          <w:highlight w:val="none"/>
        </w:rPr>
        <w:t>培训教材。</w:t>
      </w:r>
    </w:p>
    <w:p w14:paraId="51FA9EBF">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宋体" w:hAnsi="Courier New"/>
          <w:highlight w:val="none"/>
        </w:rPr>
      </w:pPr>
      <w:r>
        <w:rPr>
          <w:rFonts w:hint="eastAsia" w:ascii="宋体" w:hAnsi="Courier New"/>
          <w:highlight w:val="none"/>
        </w:rPr>
        <w:t>（</w:t>
      </w:r>
      <w:r>
        <w:rPr>
          <w:rFonts w:hint="eastAsia" w:ascii="宋体" w:hAnsi="Courier New"/>
          <w:highlight w:val="none"/>
          <w:lang w:val="en-US" w:eastAsia="zh-CN"/>
        </w:rPr>
        <w:t>5</w:t>
      </w:r>
      <w:r>
        <w:rPr>
          <w:rFonts w:hint="eastAsia" w:ascii="宋体" w:hAnsi="Courier New"/>
          <w:highlight w:val="none"/>
        </w:rPr>
        <w:t>）培训结束后，需提供售后服务答疑一年，自培训结束日开始计算。</w:t>
      </w:r>
    </w:p>
    <w:p w14:paraId="0DFA9BB3">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rPr>
      </w:pPr>
      <w:r>
        <w:rPr>
          <w:rFonts w:hint="eastAsia" w:ascii="宋体" w:hAnsi="Courier New"/>
          <w:highlight w:val="none"/>
        </w:rPr>
        <w:t>（</w:t>
      </w:r>
      <w:r>
        <w:rPr>
          <w:rFonts w:hint="eastAsia" w:ascii="宋体" w:hAnsi="Courier New"/>
          <w:highlight w:val="none"/>
          <w:lang w:val="en-US" w:eastAsia="zh-CN"/>
        </w:rPr>
        <w:t>6</w:t>
      </w:r>
      <w:r>
        <w:rPr>
          <w:rFonts w:hint="eastAsia" w:ascii="宋体" w:hAnsi="Courier New"/>
          <w:highlight w:val="none"/>
        </w:rPr>
        <w:t>）未尽事宜本着友好协商原则办理。</w:t>
      </w:r>
      <w:bookmarkStart w:id="20" w:name="_Toc15177"/>
    </w:p>
    <w:p w14:paraId="2DD4E6FB">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rPr>
      </w:pPr>
    </w:p>
    <w:p w14:paraId="1A271231">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rPr>
      </w:pPr>
    </w:p>
    <w:p w14:paraId="4EEDFB53">
      <w:pPr>
        <w:rPr>
          <w:rFonts w:hint="eastAsia" w:ascii="方正小标宋简体" w:hAnsi="方正小标宋简体" w:eastAsia="方正小标宋简体" w:cs="方正小标宋简体"/>
          <w:sz w:val="40"/>
          <w:szCs w:val="21"/>
          <w:highlight w:val="none"/>
        </w:rPr>
        <w:sectPr>
          <w:pgSz w:w="16838" w:h="11906" w:orient="landscape"/>
          <w:pgMar w:top="1417" w:right="1587" w:bottom="1417" w:left="1134" w:header="851" w:footer="992" w:gutter="0"/>
          <w:pgNumType w:fmt="decimal"/>
          <w:cols w:space="0" w:num="1"/>
          <w:titlePg/>
          <w:rtlGutter w:val="0"/>
          <w:docGrid w:type="lines" w:linePitch="312" w:charSpace="0"/>
        </w:sectPr>
      </w:pPr>
      <w:r>
        <w:rPr>
          <w:rFonts w:hint="eastAsia" w:ascii="方正小标宋简体" w:hAnsi="方正小标宋简体" w:eastAsia="方正小标宋简体" w:cs="方正小标宋简体"/>
          <w:sz w:val="40"/>
          <w:szCs w:val="21"/>
          <w:highlight w:val="none"/>
        </w:rPr>
        <w:br w:type="page"/>
      </w:r>
    </w:p>
    <w:p w14:paraId="5C73443B">
      <w:pPr>
        <w:spacing w:before="118"/>
        <w:ind w:right="30"/>
        <w:jc w:val="center"/>
        <w:outlineLvl w:val="0"/>
        <w:rPr>
          <w:rFonts w:ascii="楷体" w:hAnsi="楷体" w:eastAsia="楷体" w:cs="楷体"/>
          <w:sz w:val="28"/>
          <w:szCs w:val="16"/>
          <w:highlight w:val="none"/>
        </w:rPr>
      </w:pPr>
      <w:r>
        <w:rPr>
          <w:rFonts w:hint="eastAsia" w:ascii="方正小标宋简体" w:hAnsi="方正小标宋简体" w:eastAsia="方正小标宋简体" w:cs="方正小标宋简体"/>
          <w:sz w:val="28"/>
          <w:szCs w:val="16"/>
          <w:highlight w:val="none"/>
        </w:rPr>
        <w:t>廉洁诚信协议</w:t>
      </w:r>
      <w:bookmarkEnd w:id="20"/>
    </w:p>
    <w:p w14:paraId="3A657D96">
      <w:pPr>
        <w:spacing w:line="607" w:lineRule="auto"/>
        <w:ind w:left="117" w:right="3769"/>
        <w:rPr>
          <w:rFonts w:hint="eastAsia" w:ascii="宋体" w:hAnsi="宋体" w:eastAsia="宋体" w:cs="宋体"/>
          <w:b/>
          <w:sz w:val="21"/>
          <w:szCs w:val="21"/>
          <w:highlight w:val="none"/>
        </w:rPr>
      </w:pPr>
      <w:r>
        <w:rPr>
          <w:rFonts w:hint="eastAsia" w:ascii="宋体" w:hAnsi="宋体" w:eastAsia="宋体" w:cs="宋体"/>
          <w:b/>
          <w:sz w:val="21"/>
          <w:szCs w:val="21"/>
          <w:highlight w:val="none"/>
        </w:rPr>
        <w:t>甲方：</w:t>
      </w:r>
    </w:p>
    <w:p w14:paraId="50794EF2">
      <w:pPr>
        <w:spacing w:line="607" w:lineRule="auto"/>
        <w:ind w:left="117" w:right="3769"/>
        <w:rPr>
          <w:rFonts w:hint="eastAsia" w:ascii="宋体" w:hAnsi="宋体" w:eastAsia="宋体" w:cs="宋体"/>
          <w:b/>
          <w:sz w:val="21"/>
          <w:szCs w:val="21"/>
          <w:highlight w:val="none"/>
        </w:rPr>
      </w:pPr>
      <w:r>
        <w:rPr>
          <w:rFonts w:hint="eastAsia" w:ascii="宋体" w:hAnsi="宋体" w:eastAsia="宋体" w:cs="宋体"/>
          <w:b/>
          <w:sz w:val="21"/>
          <w:szCs w:val="21"/>
          <w:highlight w:val="none"/>
        </w:rPr>
        <w:t>乙方：</w:t>
      </w:r>
    </w:p>
    <w:p w14:paraId="085A3BA2">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共同加强廉洁自律建设，甲乙双方在平等、自愿、协商一致的原则下，签订本协议。</w:t>
      </w:r>
    </w:p>
    <w:p w14:paraId="5729B3D7">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1.甲乙双方应当共同遵守国家、地方法律法规以及本协议的约定，在合同的订立、履行过程中廉洁自律，绝不弄虚作假、以次充好，虚结虚算。</w:t>
      </w:r>
    </w:p>
    <w:p w14:paraId="664FC44E">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5070E111">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虽实际工作但领取明显超出同职级标准薪酬。（若乙方为甲方新合作伙伴，如在本协议签订前乙方存在本条规定情形的，需在本协议签订后30日内，将相关情况报甲方所属重汽集团的纪委监察部门备案）。</w:t>
      </w:r>
    </w:p>
    <w:p w14:paraId="48544EA4">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3050E2FE">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5.乙方承诺不以任何理由为甲方人员及其配偶、子女及其配偶等亲属和其他特定关系人提供如下：</w:t>
      </w:r>
    </w:p>
    <w:p w14:paraId="4D151346">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a)赠送礼品、礼金、消费卡（券）、购物卡、充值卡、信用卡和有价证券、股权、其他金融产品等财物和其他贵重物品；</w:t>
      </w:r>
    </w:p>
    <w:p w14:paraId="184EB19D">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b)报销个人费用或以讲课费、课题费、咨询费等名义支付费用；</w:t>
      </w:r>
    </w:p>
    <w:p w14:paraId="65D10718">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c)以洽谈业务、签订合同等为借口宴请或邀请外出旅游、健身、娱乐和进入营业性娱乐场所；</w:t>
      </w:r>
    </w:p>
    <w:p w14:paraId="40C1749F">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d)购置或提供通讯、交通工具、钱款、住房、车辆等或提供通过民间借贷等金融助其获得大额回报；</w:t>
      </w:r>
    </w:p>
    <w:p w14:paraId="42C051F9">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e)住房装修、婚丧嫁娶、家属和子女的工作安排以及出国等提供任何金钱或非金钱方式的资助或帮助；</w:t>
      </w:r>
    </w:p>
    <w:p w14:paraId="6D387044">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f)吸收存款、推销金融产品、经营名贵特产类资源等提供帮助谋取利益；</w:t>
      </w:r>
    </w:p>
    <w:p w14:paraId="07F3C936">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g)其他可能影响甲方人员公平、公正的履行职权或者履行职责的情形。</w:t>
      </w:r>
    </w:p>
    <w:p w14:paraId="283AA233">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6.乙方应当通过正常途径开展相关业务，决不为谋取不正当利益诱使甲方人员就采购、服务或销售、经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4F736F12">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7.若乙方发现甲方人员或其配偶、子女及其配偶等亲属和其他特定关系人有任何形式的索贿受贿行为，乙方有责任向甲方所属重汽集团的纪委监察部门举报（举报电话：0531-58062233，举报邮箱：jianchabu@sinotruk.com）。甲方不得以任何借口对乙方进行报复。对举报属实和严格遵守廉洁协议的乙方，在同等条件下甲方优先考虑与乙方继续合作并给予更优惠的商务合作条件。</w:t>
      </w:r>
    </w:p>
    <w:p w14:paraId="64710FA2">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8.若乙方知悉其它与甲方合作的供应商、服务商或采购商、经销商等合作伙伴存在违反本协议规定之行为，乙方应向甲方或甲方所属重汽集团的纪委监察部门检举并提供证据。</w:t>
      </w:r>
    </w:p>
    <w:p w14:paraId="65437A90">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9.乙方承诺在双方业务往来期间，不得对甲方人员采取任何手段使其离开甲方到乙方或乙方关联企业任职，若出现上述情况，则属于乙方违约，应承担给甲方造成的一切损失。</w:t>
      </w:r>
    </w:p>
    <w:p w14:paraId="7A4C4715">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10.乙方承诺不聘任甲方内退领导干部或其他人员在乙方或乙方关联企业工作；乙方承诺不聘任甲方离职或退休三年内的领导干部或其他人员在乙方或乙方关联企业工作。</w:t>
      </w:r>
    </w:p>
    <w:p w14:paraId="2BE24CED">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962B8B4">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447BB24E">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F60E815">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F076555">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B7B686F">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14.本协议作为执行甲乙双方采购协议或其他合作合同、协议的附件，自双方签署之日起生效，此协议在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64C94FE">
      <w:pPr>
        <w:pStyle w:val="43"/>
        <w:tabs>
          <w:tab w:val="left" w:pos="1244"/>
        </w:tabs>
        <w:adjustRightInd w:val="0"/>
        <w:spacing w:line="305" w:lineRule="auto"/>
        <w:ind w:firstLine="552"/>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15.本协议一式二份，双方各执一份，具有同等法律效力。若产生争议，双方协商解决，协商不成的在甲方所在地有管辖权的法院诉讼解决。</w:t>
      </w:r>
    </w:p>
    <w:p w14:paraId="1539FAAC">
      <w:pPr>
        <w:pStyle w:val="10"/>
        <w:spacing w:before="9"/>
        <w:rPr>
          <w:rFonts w:ascii="楷体" w:hAnsi="楷体" w:eastAsia="楷体" w:cs="楷体"/>
          <w:sz w:val="40"/>
          <w:szCs w:val="28"/>
          <w:highlight w:val="none"/>
        </w:rPr>
      </w:pPr>
    </w:p>
    <w:p w14:paraId="290F6404">
      <w:pPr>
        <w:tabs>
          <w:tab w:val="left" w:pos="5457"/>
        </w:tabs>
        <w:spacing w:before="1"/>
        <w:ind w:left="117"/>
        <w:outlineLvl w:val="0"/>
        <w:rPr>
          <w:rFonts w:hint="eastAsia" w:ascii="宋体" w:hAnsi="宋体" w:eastAsia="宋体" w:cs="宋体"/>
          <w:spacing w:val="-2"/>
          <w:kern w:val="2"/>
          <w:sz w:val="21"/>
          <w:szCs w:val="21"/>
          <w:highlight w:val="none"/>
          <w:lang w:val="en-US" w:eastAsia="zh-CN" w:bidi="ar-SA"/>
        </w:rPr>
      </w:pPr>
      <w:bookmarkStart w:id="21" w:name="_Toc3301"/>
      <w:r>
        <w:rPr>
          <w:rFonts w:hint="eastAsia" w:ascii="宋体" w:hAnsi="宋体" w:eastAsia="宋体" w:cs="宋体"/>
          <w:spacing w:val="-2"/>
          <w:kern w:val="2"/>
          <w:sz w:val="21"/>
          <w:szCs w:val="21"/>
          <w:highlight w:val="none"/>
          <w:lang w:val="en-US" w:eastAsia="zh-CN" w:bidi="ar-SA"/>
        </w:rPr>
        <w:t>甲方（盖章）：</w:t>
      </w:r>
      <w:r>
        <w:rPr>
          <w:rFonts w:hint="eastAsia" w:ascii="宋体" w:hAnsi="宋体" w:eastAsia="宋体" w:cs="宋体"/>
          <w:spacing w:val="-2"/>
          <w:kern w:val="2"/>
          <w:sz w:val="21"/>
          <w:szCs w:val="21"/>
          <w:highlight w:val="none"/>
          <w:lang w:val="en-US" w:eastAsia="zh-CN" w:bidi="ar-SA"/>
        </w:rPr>
        <w:tab/>
      </w:r>
      <w:r>
        <w:rPr>
          <w:rFonts w:hint="eastAsia" w:ascii="宋体" w:hAnsi="宋体" w:eastAsia="宋体" w:cs="宋体"/>
          <w:spacing w:val="-2"/>
          <w:kern w:val="2"/>
          <w:sz w:val="21"/>
          <w:szCs w:val="21"/>
          <w:highlight w:val="none"/>
          <w:lang w:val="en-US" w:eastAsia="zh-CN" w:bidi="ar-SA"/>
        </w:rPr>
        <w:t>乙方（盖章）：</w:t>
      </w:r>
      <w:bookmarkEnd w:id="21"/>
    </w:p>
    <w:p w14:paraId="411968B3">
      <w:pPr>
        <w:pStyle w:val="10"/>
        <w:rPr>
          <w:rFonts w:hint="eastAsia" w:ascii="宋体" w:hAnsi="宋体" w:eastAsia="宋体" w:cs="宋体"/>
          <w:spacing w:val="-2"/>
          <w:kern w:val="2"/>
          <w:sz w:val="21"/>
          <w:szCs w:val="21"/>
          <w:highlight w:val="none"/>
          <w:lang w:val="en-US" w:eastAsia="zh-CN" w:bidi="ar-SA"/>
        </w:rPr>
      </w:pPr>
    </w:p>
    <w:p w14:paraId="07FE46AF">
      <w:pPr>
        <w:pStyle w:val="10"/>
        <w:spacing w:before="1"/>
        <w:rPr>
          <w:rFonts w:hint="eastAsia" w:ascii="宋体" w:hAnsi="宋体" w:eastAsia="宋体" w:cs="宋体"/>
          <w:spacing w:val="-2"/>
          <w:kern w:val="2"/>
          <w:sz w:val="21"/>
          <w:szCs w:val="21"/>
          <w:highlight w:val="none"/>
          <w:lang w:val="en-US" w:eastAsia="zh-CN" w:bidi="ar-SA"/>
        </w:rPr>
      </w:pPr>
    </w:p>
    <w:p w14:paraId="26865E10">
      <w:pPr>
        <w:tabs>
          <w:tab w:val="left" w:pos="5457"/>
        </w:tabs>
        <w:ind w:left="117"/>
        <w:outlineLvl w:val="0"/>
        <w:rPr>
          <w:rFonts w:hint="eastAsia" w:ascii="宋体" w:hAnsi="宋体" w:eastAsia="宋体" w:cs="宋体"/>
          <w:spacing w:val="-2"/>
          <w:kern w:val="2"/>
          <w:sz w:val="21"/>
          <w:szCs w:val="21"/>
          <w:highlight w:val="none"/>
          <w:lang w:val="en-US" w:eastAsia="zh-CN" w:bidi="ar-SA"/>
        </w:rPr>
      </w:pPr>
      <w:bookmarkStart w:id="22" w:name="_Toc5270"/>
      <w:r>
        <w:rPr>
          <w:rFonts w:hint="eastAsia" w:ascii="宋体" w:hAnsi="宋体" w:eastAsia="宋体" w:cs="宋体"/>
          <w:spacing w:val="-2"/>
          <w:kern w:val="2"/>
          <w:sz w:val="21"/>
          <w:szCs w:val="21"/>
          <w:highlight w:val="none"/>
          <w:lang w:val="en-US" w:eastAsia="zh-CN" w:bidi="ar-SA"/>
        </w:rPr>
        <w:t>法定代表/授权代表</w:t>
      </w:r>
      <w:r>
        <w:rPr>
          <w:rFonts w:hint="eastAsia" w:ascii="宋体" w:hAnsi="宋体" w:eastAsia="宋体" w:cs="宋体"/>
          <w:spacing w:val="-2"/>
          <w:kern w:val="2"/>
          <w:sz w:val="21"/>
          <w:szCs w:val="21"/>
          <w:highlight w:val="none"/>
          <w:lang w:val="en-US" w:eastAsia="zh-CN" w:bidi="ar-SA"/>
        </w:rPr>
        <w:tab/>
      </w:r>
      <w:r>
        <w:rPr>
          <w:rFonts w:hint="eastAsia" w:ascii="宋体" w:hAnsi="宋体" w:eastAsia="宋体" w:cs="宋体"/>
          <w:spacing w:val="-2"/>
          <w:kern w:val="2"/>
          <w:sz w:val="21"/>
          <w:szCs w:val="21"/>
          <w:highlight w:val="none"/>
          <w:lang w:val="en-US" w:eastAsia="zh-CN" w:bidi="ar-SA"/>
        </w:rPr>
        <w:t>法定代表/授权代表</w:t>
      </w:r>
      <w:bookmarkEnd w:id="22"/>
    </w:p>
    <w:p w14:paraId="54721DFD">
      <w:pPr>
        <w:pStyle w:val="10"/>
        <w:rPr>
          <w:rFonts w:hint="eastAsia" w:ascii="宋体" w:hAnsi="宋体" w:eastAsia="宋体" w:cs="宋体"/>
          <w:spacing w:val="-2"/>
          <w:kern w:val="2"/>
          <w:sz w:val="21"/>
          <w:szCs w:val="21"/>
          <w:highlight w:val="none"/>
          <w:lang w:val="en-US" w:eastAsia="zh-CN" w:bidi="ar-SA"/>
        </w:rPr>
      </w:pPr>
    </w:p>
    <w:p w14:paraId="13107DCA">
      <w:pPr>
        <w:pStyle w:val="10"/>
        <w:spacing w:before="4"/>
        <w:rPr>
          <w:rFonts w:hint="eastAsia" w:ascii="宋体" w:hAnsi="宋体" w:eastAsia="宋体" w:cs="宋体"/>
          <w:spacing w:val="-2"/>
          <w:kern w:val="2"/>
          <w:sz w:val="21"/>
          <w:szCs w:val="21"/>
          <w:highlight w:val="none"/>
          <w:lang w:val="en-US" w:eastAsia="zh-CN" w:bidi="ar-SA"/>
        </w:rPr>
      </w:pPr>
    </w:p>
    <w:p w14:paraId="18570414">
      <w:pPr>
        <w:tabs>
          <w:tab w:val="left" w:pos="5457"/>
        </w:tabs>
        <w:ind w:left="117"/>
        <w:outlineLvl w:val="0"/>
        <w:rPr>
          <w:rFonts w:hint="eastAsia" w:ascii="宋体" w:hAnsi="宋体" w:eastAsia="宋体" w:cs="宋体"/>
          <w:spacing w:val="-2"/>
          <w:kern w:val="2"/>
          <w:sz w:val="21"/>
          <w:szCs w:val="21"/>
          <w:highlight w:val="none"/>
          <w:lang w:val="en-US" w:eastAsia="zh-CN" w:bidi="ar-SA"/>
        </w:rPr>
        <w:sectPr>
          <w:pgSz w:w="11906" w:h="16838"/>
          <w:pgMar w:top="1587" w:right="1417" w:bottom="1134" w:left="1417" w:header="851" w:footer="992" w:gutter="0"/>
          <w:pgNumType w:fmt="decimal"/>
          <w:cols w:space="0" w:num="1"/>
          <w:titlePg/>
          <w:rtlGutter w:val="0"/>
          <w:docGrid w:type="lines" w:linePitch="312" w:charSpace="0"/>
        </w:sectPr>
      </w:pPr>
      <w:bookmarkStart w:id="23" w:name="_Toc4135"/>
      <w:r>
        <w:rPr>
          <w:rFonts w:hint="eastAsia" w:ascii="宋体" w:hAnsi="宋体" w:eastAsia="宋体" w:cs="宋体"/>
          <w:spacing w:val="-2"/>
          <w:kern w:val="2"/>
          <w:sz w:val="21"/>
          <w:szCs w:val="21"/>
          <w:highlight w:val="none"/>
          <w:lang w:val="en-US" w:eastAsia="zh-CN" w:bidi="ar-SA"/>
        </w:rPr>
        <w:t>日 期:</w:t>
      </w:r>
      <w:r>
        <w:rPr>
          <w:rFonts w:hint="eastAsia" w:ascii="宋体" w:hAnsi="宋体" w:eastAsia="宋体" w:cs="宋体"/>
          <w:spacing w:val="-2"/>
          <w:kern w:val="2"/>
          <w:sz w:val="21"/>
          <w:szCs w:val="21"/>
          <w:highlight w:val="none"/>
          <w:lang w:val="en-US" w:eastAsia="zh-CN" w:bidi="ar-SA"/>
        </w:rPr>
        <w:tab/>
      </w:r>
      <w:r>
        <w:rPr>
          <w:rFonts w:hint="eastAsia" w:ascii="宋体" w:hAnsi="宋体" w:eastAsia="宋体" w:cs="宋体"/>
          <w:spacing w:val="-2"/>
          <w:kern w:val="2"/>
          <w:sz w:val="21"/>
          <w:szCs w:val="21"/>
          <w:highlight w:val="none"/>
          <w:lang w:val="en-US" w:eastAsia="zh-CN" w:bidi="ar-SA"/>
        </w:rPr>
        <w:t>日 期:</w:t>
      </w:r>
      <w:bookmarkEnd w:id="23"/>
    </w:p>
    <w:p w14:paraId="1535AE2B">
      <w:pPr>
        <w:keepNext w:val="0"/>
        <w:keepLines w:val="0"/>
        <w:pageBreakBefore w:val="0"/>
        <w:widowControl w:val="0"/>
        <w:kinsoku/>
        <w:wordWrap/>
        <w:overflowPunct/>
        <w:topLinePunct w:val="0"/>
        <w:autoSpaceDE/>
        <w:autoSpaceDN/>
        <w:bidi w:val="0"/>
        <w:spacing w:line="500" w:lineRule="exact"/>
        <w:jc w:val="both"/>
        <w:textAlignment w:val="auto"/>
        <w:rPr>
          <w:rFonts w:ascii="宋体" w:hAnsi="Courier New"/>
          <w:highlight w:val="none"/>
        </w:rPr>
      </w:pPr>
    </w:p>
    <w:p w14:paraId="57DDEBE2">
      <w:pPr>
        <w:pStyle w:val="12"/>
        <w:keepNext w:val="0"/>
        <w:keepLines w:val="0"/>
        <w:pageBreakBefore w:val="0"/>
        <w:widowControl w:val="0"/>
        <w:kinsoku/>
        <w:wordWrap/>
        <w:overflowPunct/>
        <w:topLinePunct w:val="0"/>
        <w:autoSpaceDE/>
        <w:autoSpaceDN/>
        <w:bidi w:val="0"/>
        <w:spacing w:line="500" w:lineRule="exact"/>
        <w:jc w:val="center"/>
        <w:textAlignment w:val="auto"/>
        <w:outlineLvl w:val="1"/>
        <w:rPr>
          <w:rFonts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SRM非生产供应商注册操作手册</w:t>
      </w:r>
    </w:p>
    <w:p w14:paraId="18A53C03">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097A978B">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D51CD23">
      <w:pPr>
        <w:snapToGrid w:val="0"/>
        <w:spacing w:line="288" w:lineRule="auto"/>
        <w:rPr>
          <w:rFonts w:hint="eastAsia"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66EF8F54">
      <w:pPr>
        <w:pStyle w:val="2"/>
        <w:rPr>
          <w:rFonts w:hint="eastAsia"/>
        </w:rPr>
      </w:pPr>
    </w:p>
    <w:p w14:paraId="459B21F9">
      <w:pPr>
        <w:pStyle w:val="12"/>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1"/>
        <w:rPr>
          <w:rFonts w:hint="eastAsia" w:ascii="宋体" w:cs="宋体"/>
          <w:b/>
          <w:bCs/>
          <w:color w:val="FF0000"/>
          <w:sz w:val="22"/>
          <w:szCs w:val="21"/>
          <w:highlight w:val="none"/>
          <w:lang w:eastAsia="zh-CN" w:bidi="ar"/>
        </w:rPr>
      </w:pPr>
      <w:r>
        <w:rPr>
          <w:rFonts w:hint="eastAsia" w:ascii="宋体" w:cs="宋体"/>
          <w:b/>
          <w:bCs/>
          <w:color w:val="FF0000"/>
          <w:sz w:val="22"/>
          <w:szCs w:val="21"/>
          <w:highlight w:val="none"/>
          <w:lang w:bidi="ar"/>
        </w:rPr>
        <w:t>已有e采通账号缺少财务数据的请及时提交供应商变更流程，具体操作详见e采通首页《供应商用户手册》，</w:t>
      </w:r>
      <w:r>
        <w:rPr>
          <w:rFonts w:hint="eastAsia" w:ascii="宋体" w:cs="宋体"/>
          <w:b/>
          <w:bCs/>
          <w:color w:val="FF0000"/>
          <w:sz w:val="22"/>
          <w:szCs w:val="21"/>
          <w:highlight w:val="yellow"/>
          <w:lang w:bidi="ar"/>
        </w:rPr>
        <w:t>未补充财务数据的投标单位即使提交了应标资料仍视为资格预审不合格，无法参加投标</w:t>
      </w:r>
      <w:r>
        <w:rPr>
          <w:rFonts w:hint="eastAsia" w:ascii="宋体" w:cs="宋体"/>
          <w:b/>
          <w:bCs/>
          <w:color w:val="FF0000"/>
          <w:sz w:val="22"/>
          <w:szCs w:val="21"/>
          <w:highlight w:val="none"/>
          <w:lang w:bidi="ar"/>
        </w:rPr>
        <w:t>。（已有e采通账号的，应标资料和供应商数据变更流程可以同时提交，两个流程都审批通过方可报名成功；没有e采通账号</w:t>
      </w:r>
      <w:r>
        <w:rPr>
          <w:rFonts w:hint="eastAsia" w:ascii="宋体" w:cs="宋体"/>
          <w:b/>
          <w:bCs/>
          <w:color w:val="FF0000"/>
          <w:sz w:val="22"/>
          <w:szCs w:val="21"/>
          <w:highlight w:val="none"/>
          <w:lang w:val="en-US" w:eastAsia="zh-CN" w:bidi="ar"/>
        </w:rPr>
        <w:t>的</w:t>
      </w:r>
      <w:r>
        <w:rPr>
          <w:rFonts w:hint="eastAsia" w:ascii="宋体" w:cs="宋体"/>
          <w:b/>
          <w:bCs/>
          <w:color w:val="FF0000"/>
          <w:sz w:val="22"/>
          <w:szCs w:val="21"/>
          <w:highlight w:val="none"/>
          <w:lang w:bidi="ar"/>
        </w:rPr>
        <w:t>需要根据用户手册新注册账号，新账号注册审批完成后方可提交应标资料</w:t>
      </w:r>
      <w:r>
        <w:rPr>
          <w:rFonts w:hint="eastAsia" w:ascii="宋体" w:cs="宋体"/>
          <w:b/>
          <w:bCs/>
          <w:color w:val="FF0000"/>
          <w:sz w:val="22"/>
          <w:szCs w:val="21"/>
          <w:highlight w:val="none"/>
          <w:lang w:val="en-US" w:eastAsia="zh-CN" w:bidi="ar"/>
        </w:rPr>
        <w:t>进行报名</w:t>
      </w:r>
      <w:r>
        <w:rPr>
          <w:rFonts w:hint="eastAsia" w:ascii="宋体" w:cs="宋体"/>
          <w:b/>
          <w:bCs/>
          <w:color w:val="FF0000"/>
          <w:sz w:val="22"/>
          <w:szCs w:val="21"/>
          <w:highlight w:val="none"/>
          <w:lang w:bidi="ar"/>
        </w:rPr>
        <w:t>）</w:t>
      </w:r>
      <w:r>
        <w:rPr>
          <w:rFonts w:hint="eastAsia" w:ascii="宋体" w:cs="宋体"/>
          <w:b/>
          <w:bCs/>
          <w:color w:val="FF0000"/>
          <w:sz w:val="22"/>
          <w:szCs w:val="21"/>
          <w:highlight w:val="none"/>
          <w:lang w:eastAsia="zh-CN" w:bidi="ar"/>
        </w:rPr>
        <w:t>。</w:t>
      </w:r>
    </w:p>
    <w:p w14:paraId="2404FE86">
      <w:pPr>
        <w:pStyle w:val="2"/>
      </w:pPr>
    </w:p>
    <w:p w14:paraId="25FC4288">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424A772D">
      <w:pPr>
        <w:pStyle w:val="12"/>
        <w:keepNext w:val="0"/>
        <w:keepLines w:val="0"/>
        <w:pageBreakBefore w:val="0"/>
        <w:widowControl w:val="0"/>
        <w:kinsoku/>
        <w:wordWrap/>
        <w:overflowPunct/>
        <w:topLinePunct w:val="0"/>
        <w:autoSpaceDE/>
        <w:autoSpaceDN/>
        <w:bidi w:val="0"/>
        <w:spacing w:line="500" w:lineRule="exact"/>
        <w:jc w:val="both"/>
        <w:textAlignment w:val="auto"/>
        <w:rPr>
          <w:highlight w:val="none"/>
        </w:rPr>
      </w:pPr>
    </w:p>
    <w:p w14:paraId="170D8951">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rFonts w:ascii="宋体" w:hAnsi="宋体" w:cs="宋体"/>
          <w:sz w:val="24"/>
          <w:szCs w:val="24"/>
          <w:highlight w:val="none"/>
        </w:rPr>
        <w:t>浏览器中输入地址;</w:t>
      </w:r>
    </w:p>
    <w:p w14:paraId="33AFA4D0">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p>
    <w:p w14:paraId="09103FD7">
      <w:pPr>
        <w:adjustRightInd w:val="0"/>
        <w:snapToGrid w:val="0"/>
        <w:spacing w:line="360" w:lineRule="auto"/>
        <w:jc w:val="left"/>
        <w:outlineLvl w:val="1"/>
        <w:rPr>
          <w:rFonts w:ascii="宋体" w:hAnsi="宋体" w:cs="宋体"/>
          <w:sz w:val="24"/>
          <w:szCs w:val="24"/>
          <w:highlight w:val="none"/>
        </w:rPr>
      </w:pPr>
      <w:r>
        <w:rPr>
          <w:rFonts w:ascii="宋体" w:hAnsi="宋体" w:cs="宋体"/>
          <w:sz w:val="24"/>
          <w:szCs w:val="24"/>
          <w:highlight w:val="none"/>
        </w:rPr>
        <w:t>1.点击立即注册</w:t>
      </w:r>
    </w:p>
    <w:p w14:paraId="3E33DD20">
      <w:pPr>
        <w:snapToGrid w:val="0"/>
        <w:spacing w:line="312" w:lineRule="auto"/>
        <w:rPr>
          <w:highlight w:val="none"/>
        </w:rPr>
      </w:pPr>
      <w:r>
        <w:rPr>
          <w:highlight w:val="none"/>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7C5A9EC6">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填写手机号码（没有注册过的）</w:t>
      </w:r>
    </w:p>
    <w:p w14:paraId="342E1079">
      <w:pPr>
        <w:snapToGrid w:val="0"/>
        <w:spacing w:line="312" w:lineRule="auto"/>
        <w:rPr>
          <w:highlight w:val="none"/>
        </w:rPr>
      </w:pPr>
      <w:r>
        <w:rPr>
          <w:highlight w:val="none"/>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6C3860FE">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14:paraId="773F7360">
      <w:pPr>
        <w:snapToGrid w:val="0"/>
        <w:spacing w:line="312" w:lineRule="auto"/>
        <w:rPr>
          <w:highlight w:val="none"/>
        </w:rPr>
      </w:pPr>
      <w:r>
        <w:rPr>
          <w:highlight w:val="none"/>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249652A6">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14:paraId="3D8EC0E8">
      <w:pPr>
        <w:snapToGrid w:val="0"/>
        <w:spacing w:line="312" w:lineRule="auto"/>
        <w:rPr>
          <w:highlight w:val="none"/>
        </w:rPr>
      </w:pPr>
      <w:r>
        <w:rPr>
          <w:highlight w:val="none"/>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3DB0CCD2">
      <w:pPr>
        <w:spacing w:line="360" w:lineRule="auto"/>
        <w:outlineLvl w:val="1"/>
        <w:rPr>
          <w:rFonts w:ascii="宋体" w:hAnsi="宋体" w:cs="宋体"/>
          <w:sz w:val="24"/>
          <w:szCs w:val="28"/>
          <w:highlight w:val="none"/>
        </w:rPr>
      </w:pPr>
      <w:r>
        <w:rPr>
          <w:rFonts w:hint="eastAsia" w:ascii="宋体" w:hAnsi="宋体" w:cs="宋体"/>
          <w:sz w:val="24"/>
          <w:szCs w:val="28"/>
          <w:highlight w:val="none"/>
        </w:rPr>
        <w:t>5</w:t>
      </w:r>
      <w:r>
        <w:rPr>
          <w:rFonts w:hint="eastAsia" w:ascii="宋体" w:hAnsi="宋体" w:cs="宋体"/>
          <w:color w:val="000000"/>
          <w:sz w:val="24"/>
          <w:szCs w:val="28"/>
          <w:highlight w:val="none"/>
        </w:rPr>
        <w:t>.</w:t>
      </w:r>
      <w:r>
        <w:rPr>
          <w:rFonts w:ascii="宋体" w:hAnsi="宋体" w:cs="宋体"/>
          <w:color w:val="000000"/>
          <w:sz w:val="24"/>
          <w:szCs w:val="28"/>
          <w:highlight w:val="none"/>
        </w:rPr>
        <w:t>按要求填写所有信息，注意非生产类要填写合作单位，最后提交审批</w:t>
      </w:r>
    </w:p>
    <w:p w14:paraId="2B404D22">
      <w:pPr>
        <w:pStyle w:val="12"/>
        <w:rPr>
          <w:highlight w:val="none"/>
        </w:rPr>
      </w:pPr>
    </w:p>
    <w:p w14:paraId="7D12F87C">
      <w:pPr>
        <w:rPr>
          <w:highlight w:val="none"/>
        </w:rPr>
      </w:pPr>
      <w:r>
        <w:rPr>
          <w:highlight w:val="none"/>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166B9EAE">
      <w:pPr>
        <w:pStyle w:val="12"/>
        <w:rPr>
          <w:highlight w:val="none"/>
        </w:rPr>
      </w:pPr>
      <w:r>
        <w:rPr>
          <w:highlight w:val="none"/>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0DEF6503">
      <w:pPr>
        <w:pStyle w:val="12"/>
        <w:rPr>
          <w:highlight w:val="none"/>
        </w:rPr>
      </w:pPr>
    </w:p>
    <w:p w14:paraId="6873C179">
      <w:pPr>
        <w:pStyle w:val="12"/>
        <w:rPr>
          <w:rFonts w:hAnsi="宋体" w:cs="Times New Roman"/>
          <w:b/>
          <w:color w:val="000000"/>
          <w:sz w:val="24"/>
          <w:szCs w:val="24"/>
          <w:highlight w:val="none"/>
        </w:rPr>
      </w:pPr>
    </w:p>
    <w:p w14:paraId="53CB4498">
      <w:pPr>
        <w:pStyle w:val="12"/>
        <w:rPr>
          <w:rFonts w:hAnsi="宋体" w:cs="Times New Roman"/>
          <w:b/>
          <w:color w:val="000000"/>
          <w:sz w:val="24"/>
          <w:szCs w:val="24"/>
          <w:highlight w:val="none"/>
        </w:rPr>
      </w:pPr>
    </w:p>
    <w:p w14:paraId="7CF22985">
      <w:pPr>
        <w:pStyle w:val="12"/>
        <w:rPr>
          <w:rFonts w:hAnsi="宋体" w:cs="Times New Roman"/>
          <w:b/>
          <w:color w:val="000000"/>
          <w:sz w:val="24"/>
          <w:szCs w:val="24"/>
          <w:highlight w:val="none"/>
        </w:rPr>
      </w:pPr>
    </w:p>
    <w:p w14:paraId="12BE8195">
      <w:pPr>
        <w:pStyle w:val="12"/>
        <w:rPr>
          <w:rFonts w:hAnsi="宋体" w:cs="Times New Roman"/>
          <w:b/>
          <w:color w:val="000000"/>
          <w:sz w:val="24"/>
          <w:szCs w:val="24"/>
          <w:highlight w:val="none"/>
        </w:rPr>
      </w:pPr>
    </w:p>
    <w:p w14:paraId="1B9E469F">
      <w:pPr>
        <w:pStyle w:val="12"/>
        <w:rPr>
          <w:rFonts w:hAnsi="宋体" w:cs="Times New Roman"/>
          <w:b/>
          <w:color w:val="000000"/>
          <w:sz w:val="24"/>
          <w:szCs w:val="24"/>
          <w:highlight w:val="none"/>
        </w:rPr>
      </w:pPr>
    </w:p>
    <w:p w14:paraId="00613A6D">
      <w:pPr>
        <w:pStyle w:val="12"/>
        <w:rPr>
          <w:rFonts w:hAnsi="宋体" w:cs="Times New Roman"/>
          <w:b/>
          <w:color w:val="000000"/>
          <w:sz w:val="24"/>
          <w:szCs w:val="24"/>
          <w:highlight w:val="none"/>
        </w:rPr>
      </w:pPr>
    </w:p>
    <w:p w14:paraId="6F00B571">
      <w:pPr>
        <w:pStyle w:val="12"/>
        <w:rPr>
          <w:rFonts w:hAnsi="宋体" w:cs="Times New Roman"/>
          <w:b/>
          <w:color w:val="000000"/>
          <w:sz w:val="24"/>
          <w:szCs w:val="24"/>
          <w:highlight w:val="none"/>
        </w:rPr>
      </w:pPr>
    </w:p>
    <w:p w14:paraId="369A163F">
      <w:pPr>
        <w:pStyle w:val="12"/>
        <w:rPr>
          <w:rFonts w:hAnsi="宋体" w:cs="Times New Roman"/>
          <w:b/>
          <w:color w:val="000000"/>
          <w:sz w:val="24"/>
          <w:szCs w:val="24"/>
          <w:highlight w:val="none"/>
        </w:rPr>
      </w:pPr>
    </w:p>
    <w:p w14:paraId="27634882">
      <w:pPr>
        <w:pStyle w:val="12"/>
        <w:rPr>
          <w:rFonts w:hAnsi="宋体" w:cs="Times New Roman"/>
          <w:b/>
          <w:color w:val="000000"/>
          <w:sz w:val="24"/>
          <w:szCs w:val="24"/>
          <w:highlight w:val="none"/>
        </w:rPr>
      </w:pPr>
    </w:p>
    <w:p w14:paraId="344A5079">
      <w:pPr>
        <w:pStyle w:val="12"/>
        <w:rPr>
          <w:rFonts w:hAnsi="宋体" w:cs="Times New Roman"/>
          <w:b/>
          <w:color w:val="000000"/>
          <w:sz w:val="24"/>
          <w:szCs w:val="24"/>
          <w:highlight w:val="none"/>
        </w:rPr>
      </w:pPr>
    </w:p>
    <w:p w14:paraId="6A9846CD">
      <w:pPr>
        <w:pStyle w:val="12"/>
        <w:rPr>
          <w:rFonts w:hAnsi="宋体" w:cs="Times New Roman"/>
          <w:b/>
          <w:color w:val="000000"/>
          <w:sz w:val="24"/>
          <w:szCs w:val="24"/>
          <w:highlight w:val="none"/>
        </w:rPr>
      </w:pPr>
    </w:p>
    <w:p w14:paraId="556BCB29">
      <w:pPr>
        <w:pStyle w:val="12"/>
        <w:rPr>
          <w:rFonts w:hAnsi="宋体" w:cs="Times New Roman"/>
          <w:b/>
          <w:color w:val="000000"/>
          <w:sz w:val="24"/>
          <w:szCs w:val="24"/>
          <w:highlight w:val="none"/>
        </w:rPr>
      </w:pPr>
    </w:p>
    <w:p w14:paraId="1AB30B56">
      <w:pPr>
        <w:pStyle w:val="12"/>
        <w:rPr>
          <w:rFonts w:hAnsi="宋体" w:cs="Times New Roman"/>
          <w:b/>
          <w:color w:val="000000"/>
          <w:sz w:val="24"/>
          <w:szCs w:val="24"/>
          <w:highlight w:val="none"/>
        </w:rPr>
      </w:pPr>
    </w:p>
    <w:p w14:paraId="5C0BEB17">
      <w:pPr>
        <w:pStyle w:val="12"/>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Ansi="宋体" w:cs="Times New Roman"/>
          <w:b/>
          <w:color w:val="000000"/>
          <w:sz w:val="24"/>
          <w:szCs w:val="24"/>
          <w:highlight w:val="none"/>
        </w:rPr>
      </w:pPr>
    </w:p>
    <w:p w14:paraId="4F20D9F5">
      <w:pPr>
        <w:pStyle w:val="12"/>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SRM系统供应商用户手册</w:t>
      </w:r>
    </w:p>
    <w:p w14:paraId="2B596446">
      <w:pPr>
        <w:pStyle w:val="12"/>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p>
    <w:p w14:paraId="433C5736">
      <w:pPr>
        <w:spacing w:line="360" w:lineRule="auto"/>
        <w:rPr>
          <w:rFonts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24"/>
          <w:rFonts w:hint="eastAsia" w:ascii="宋体" w:hAnsi="宋体" w:cs="宋体"/>
          <w:sz w:val="24"/>
          <w:szCs w:val="24"/>
          <w:highlight w:val="none"/>
        </w:rPr>
        <w:t>https://ecaitong.sinotruk.com:8012/</w:t>
      </w:r>
      <w:r>
        <w:rPr>
          <w:rStyle w:val="24"/>
          <w:rFonts w:hint="eastAsia" w:ascii="宋体" w:hAnsi="宋体" w:cs="宋体"/>
          <w:sz w:val="24"/>
          <w:szCs w:val="24"/>
          <w:highlight w:val="none"/>
        </w:rPr>
        <w:fldChar w:fldCharType="end"/>
      </w:r>
    </w:p>
    <w:p w14:paraId="2F96C317">
      <w:pPr>
        <w:spacing w:line="360" w:lineRule="auto"/>
        <w:rPr>
          <w:rFonts w:ascii="宋体" w:hAnsi="宋体" w:cs="宋体"/>
          <w:sz w:val="24"/>
          <w:szCs w:val="24"/>
          <w:highlight w:val="none"/>
        </w:rPr>
      </w:pPr>
      <w:r>
        <w:rPr>
          <w:rFonts w:hint="eastAsia" w:ascii="宋体" w:hAnsi="宋体" w:cs="宋体"/>
          <w:color w:val="000000"/>
          <w:sz w:val="24"/>
          <w:szCs w:val="24"/>
          <w:highlight w:val="none"/>
        </w:rPr>
        <w:t>用 户 名：gys+供应商代码（</w:t>
      </w:r>
      <w:r>
        <w:rPr>
          <w:rFonts w:hint="eastAsia" w:ascii="宋体" w:hAnsi="宋体" w:cs="宋体"/>
          <w:color w:val="FF0000"/>
          <w:sz w:val="24"/>
          <w:szCs w:val="24"/>
          <w:highlight w:val="none"/>
        </w:rPr>
        <w:t>注意：注册完毕后，用户名不要用手机号登录</w:t>
      </w:r>
      <w:r>
        <w:rPr>
          <w:rFonts w:hint="eastAsia" w:ascii="宋体" w:hAnsi="宋体" w:cs="宋体"/>
          <w:color w:val="000000"/>
          <w:sz w:val="24"/>
          <w:szCs w:val="24"/>
          <w:highlight w:val="none"/>
        </w:rPr>
        <w:t>）</w:t>
      </w:r>
    </w:p>
    <w:p w14:paraId="1AA5ECF2">
      <w:pPr>
        <w:spacing w:line="360" w:lineRule="auto"/>
        <w:rPr>
          <w:rFonts w:ascii="宋体" w:hAnsi="宋体" w:cs="宋体"/>
          <w:sz w:val="24"/>
          <w:szCs w:val="24"/>
          <w:highlight w:val="none"/>
        </w:rPr>
      </w:pPr>
      <w:r>
        <w:rPr>
          <w:rFonts w:hint="eastAsia" w:ascii="宋体" w:hAnsi="宋体" w:cs="宋体"/>
          <w:color w:val="000000"/>
          <w:sz w:val="24"/>
          <w:szCs w:val="24"/>
          <w:highlight w:val="none"/>
        </w:rPr>
        <w:t>初始密码：scm@2022</w:t>
      </w:r>
    </w:p>
    <w:p w14:paraId="687DE3C3">
      <w:pPr>
        <w:spacing w:line="360" w:lineRule="auto"/>
        <w:outlineLvl w:val="0"/>
        <w:rPr>
          <w:rFonts w:ascii="宋体" w:hAnsi="宋体" w:cs="宋体"/>
          <w:b/>
          <w:bCs/>
          <w:color w:val="000000"/>
          <w:sz w:val="24"/>
          <w:szCs w:val="24"/>
          <w:highlight w:val="none"/>
        </w:rPr>
      </w:pPr>
      <w:bookmarkStart w:id="24" w:name="_Toc3323"/>
      <w:r>
        <w:rPr>
          <w:rFonts w:hint="eastAsia" w:ascii="宋体" w:hAnsi="宋体" w:cs="宋体"/>
          <w:b/>
          <w:bCs/>
          <w:color w:val="000000"/>
          <w:sz w:val="24"/>
          <w:szCs w:val="24"/>
          <w:highlight w:val="none"/>
        </w:rPr>
        <w:t>1.供应商应标</w:t>
      </w:r>
      <w:bookmarkEnd w:id="24"/>
    </w:p>
    <w:p w14:paraId="1AE2EFD3">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14:paraId="3BC3BB8E">
      <w:pPr>
        <w:spacing w:line="360" w:lineRule="auto"/>
        <w:rPr>
          <w:rFonts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14:paraId="43992532">
      <w:pPr>
        <w:rPr>
          <w:highlight w:val="none"/>
        </w:rPr>
      </w:pPr>
      <w:r>
        <w:rPr>
          <w:highlight w:val="none"/>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70D63E95">
      <w:pPr>
        <w:rPr>
          <w:highlight w:val="none"/>
        </w:rPr>
      </w:pPr>
    </w:p>
    <w:p w14:paraId="0F0F6FA3">
      <w:pPr>
        <w:spacing w:line="360" w:lineRule="auto"/>
        <w:outlineLvl w:val="0"/>
        <w:rPr>
          <w:rFonts w:ascii="宋体" w:hAnsi="宋体" w:cs="宋体"/>
          <w:b/>
          <w:bCs/>
          <w:color w:val="000000"/>
          <w:sz w:val="24"/>
          <w:szCs w:val="24"/>
          <w:highlight w:val="none"/>
        </w:rPr>
      </w:pPr>
      <w:bookmarkStart w:id="25" w:name="_Toc4507"/>
      <w:r>
        <w:rPr>
          <w:rFonts w:hint="eastAsia" w:ascii="宋体" w:hAnsi="宋体" w:cs="宋体"/>
          <w:b/>
          <w:bCs/>
          <w:color w:val="000000"/>
          <w:sz w:val="24"/>
          <w:szCs w:val="24"/>
          <w:highlight w:val="none"/>
        </w:rPr>
        <w:t>2.供应商投标</w:t>
      </w:r>
      <w:bookmarkEnd w:id="25"/>
    </w:p>
    <w:p w14:paraId="7EEE7695">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14:paraId="053646E8">
      <w:pPr>
        <w:rPr>
          <w:rFonts w:ascii="宋体" w:hAnsi="宋体" w:cs="宋体"/>
          <w:color w:val="000000"/>
          <w:highlight w:val="none"/>
        </w:rPr>
      </w:pPr>
      <w:r>
        <w:rPr>
          <w:rFonts w:ascii="宋体" w:hAnsi="宋体" w:cs="宋体"/>
          <w:color w:val="000000"/>
          <w:highlight w:val="none"/>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54214A4A">
      <w:pPr>
        <w:spacing w:line="360" w:lineRule="auto"/>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20E5413A">
      <w:pPr>
        <w:pStyle w:val="12"/>
        <w:rPr>
          <w:highlight w:val="none"/>
        </w:rPr>
      </w:pPr>
      <w:r>
        <w:rPr>
          <w:rFonts w:hint="eastAsia" w:hAnsi="宋体" w:cs="宋体"/>
          <w:color w:val="000000"/>
          <w:sz w:val="24"/>
          <w:szCs w:val="28"/>
          <w:highlight w:val="none"/>
        </w:rPr>
        <w:t>注意：系统内的投标报价单位为“万元”，如开标现场发现填错报价，即直接淘汰。</w:t>
      </w:r>
    </w:p>
    <w:p w14:paraId="270C3A6C">
      <w:pPr>
        <w:pStyle w:val="7"/>
        <w:numPr>
          <w:ilvl w:val="0"/>
          <w:numId w:val="0"/>
        </w:numPr>
        <w:rPr>
          <w:rFonts w:eastAsia="Arial" w:cs="Arial"/>
          <w:color w:val="000000"/>
          <w:highlight w:val="none"/>
        </w:rPr>
      </w:pPr>
      <w:r>
        <w:rPr>
          <w:rFonts w:eastAsia="Arial" w:cs="Arial"/>
          <w:color w:val="000000"/>
          <w:highlight w:val="none"/>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6B8E7231">
      <w:pPr>
        <w:spacing w:line="360" w:lineRule="auto"/>
        <w:outlineLvl w:val="0"/>
        <w:rPr>
          <w:rFonts w:ascii="宋体" w:hAnsi="宋体" w:cs="宋体"/>
          <w:b/>
          <w:bCs/>
          <w:color w:val="000000"/>
          <w:sz w:val="24"/>
          <w:szCs w:val="24"/>
          <w:highlight w:val="none"/>
        </w:rPr>
      </w:pPr>
      <w:bookmarkStart w:id="26" w:name="_Toc30037"/>
      <w:r>
        <w:rPr>
          <w:rFonts w:hint="eastAsia" w:ascii="宋体" w:hAnsi="宋体" w:cs="宋体"/>
          <w:b/>
          <w:bCs/>
          <w:color w:val="000000"/>
          <w:sz w:val="24"/>
          <w:szCs w:val="24"/>
          <w:highlight w:val="none"/>
        </w:rPr>
        <w:t>3.供应商技术标澄清函</w:t>
      </w:r>
      <w:bookmarkEnd w:id="26"/>
    </w:p>
    <w:p w14:paraId="6F41F14E">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14:paraId="52E7713E">
      <w:pPr>
        <w:spacing w:line="360" w:lineRule="auto"/>
        <w:rPr>
          <w:rFonts w:ascii="宋体" w:hAnsi="宋体" w:cs="宋体"/>
          <w:sz w:val="24"/>
          <w:szCs w:val="24"/>
          <w:highlight w:val="none"/>
        </w:rPr>
      </w:pPr>
      <w:r>
        <w:rPr>
          <w:rFonts w:ascii="宋体" w:hAnsi="宋体" w:cs="宋体"/>
          <w:color w:val="000000"/>
          <w:sz w:val="24"/>
          <w:szCs w:val="24"/>
          <w:highlight w:val="none"/>
        </w:rPr>
        <w:t>点击编辑按钮进入系统，上传技术标澄清函。</w:t>
      </w:r>
    </w:p>
    <w:p w14:paraId="75847679">
      <w:pPr>
        <w:spacing w:line="360" w:lineRule="auto"/>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w:t>
      </w:r>
      <w:r>
        <w:rPr>
          <w:rFonts w:hint="eastAsia" w:ascii="宋体" w:hAnsi="宋体" w:cs="宋体"/>
          <w:color w:val="000000"/>
          <w:sz w:val="24"/>
          <w:szCs w:val="24"/>
          <w:highlight w:val="none"/>
        </w:rPr>
        <w:t xml:space="preserve"> </w:t>
      </w:r>
      <w:r>
        <w:rPr>
          <w:rFonts w:ascii="宋体" w:hAnsi="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0954863E">
      <w:pPr>
        <w:spacing w:line="360" w:lineRule="auto"/>
        <w:outlineLvl w:val="0"/>
        <w:rPr>
          <w:rFonts w:ascii="宋体" w:hAnsi="宋体" w:cs="宋体"/>
          <w:b/>
          <w:bCs/>
          <w:color w:val="000000"/>
          <w:sz w:val="24"/>
          <w:szCs w:val="24"/>
          <w:highlight w:val="none"/>
        </w:rPr>
      </w:pPr>
      <w:bookmarkStart w:id="27" w:name="_Toc3204"/>
      <w:r>
        <w:rPr>
          <w:rFonts w:hint="eastAsia" w:ascii="宋体" w:hAnsi="宋体" w:cs="宋体"/>
          <w:b/>
          <w:bCs/>
          <w:color w:val="000000"/>
          <w:sz w:val="24"/>
          <w:szCs w:val="24"/>
          <w:highlight w:val="none"/>
        </w:rPr>
        <w:t>4.供应商报价</w:t>
      </w:r>
      <w:bookmarkEnd w:id="27"/>
    </w:p>
    <w:p w14:paraId="72E2966C">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14:paraId="51B53E4C">
      <w:pPr>
        <w:spacing w:line="360" w:lineRule="auto"/>
        <w:rPr>
          <w:rFonts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14:paraId="103270CC">
      <w:pPr>
        <w:spacing w:line="360" w:lineRule="auto"/>
        <w:outlineLvl w:val="0"/>
        <w:rPr>
          <w:rFonts w:ascii="宋体" w:hAnsi="宋体" w:cs="宋体"/>
          <w:b/>
          <w:bCs/>
          <w:color w:val="000000"/>
          <w:sz w:val="24"/>
          <w:szCs w:val="24"/>
          <w:highlight w:val="none"/>
        </w:rPr>
      </w:pPr>
      <w:bookmarkStart w:id="28" w:name="_Toc31317"/>
      <w:r>
        <w:rPr>
          <w:rFonts w:hint="eastAsia" w:ascii="宋体" w:hAnsi="宋体" w:cs="宋体"/>
          <w:b/>
          <w:bCs/>
          <w:color w:val="000000"/>
          <w:sz w:val="24"/>
          <w:szCs w:val="24"/>
          <w:highlight w:val="none"/>
        </w:rPr>
        <w:t>5.供应商澄清报价</w:t>
      </w:r>
      <w:bookmarkEnd w:id="28"/>
    </w:p>
    <w:p w14:paraId="514E0053">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14:paraId="011B6794">
      <w:pPr>
        <w:spacing w:line="360" w:lineRule="auto"/>
        <w:rPr>
          <w:rFonts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66AEB0E0">
      <w:pPr>
        <w:pStyle w:val="7"/>
        <w:numPr>
          <w:ilvl w:val="0"/>
          <w:numId w:val="0"/>
        </w:numPr>
        <w:rPr>
          <w:rFonts w:eastAsia="Arial" w:cs="Arial"/>
          <w:color w:val="000000"/>
          <w:highlight w:val="none"/>
        </w:rPr>
      </w:pPr>
      <w:r>
        <w:rPr>
          <w:rFonts w:eastAsia="Arial" w:cs="Arial"/>
          <w:color w:val="000000"/>
          <w:highlight w:val="none"/>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0889A20A">
      <w:pPr>
        <w:spacing w:line="360" w:lineRule="auto"/>
        <w:outlineLvl w:val="0"/>
        <w:rPr>
          <w:rFonts w:ascii="宋体" w:hAnsi="宋体" w:cs="宋体"/>
          <w:b/>
          <w:bCs/>
          <w:color w:val="000000"/>
          <w:sz w:val="24"/>
          <w:szCs w:val="24"/>
          <w:highlight w:val="none"/>
        </w:rPr>
      </w:pPr>
      <w:bookmarkStart w:id="29" w:name="_Toc26492"/>
      <w:r>
        <w:rPr>
          <w:rFonts w:hint="eastAsia" w:ascii="宋体" w:hAnsi="宋体" w:cs="宋体"/>
          <w:b/>
          <w:bCs/>
          <w:color w:val="000000"/>
          <w:sz w:val="24"/>
          <w:szCs w:val="24"/>
          <w:highlight w:val="none"/>
        </w:rPr>
        <w:t>6.供应商查看中标通知</w:t>
      </w:r>
      <w:bookmarkEnd w:id="29"/>
    </w:p>
    <w:p w14:paraId="1A6A1B69">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p>
    <w:p w14:paraId="79EFF164">
      <w:pPr>
        <w:spacing w:line="360" w:lineRule="auto"/>
        <w:rPr>
          <w:rFonts w:ascii="宋体" w:hAnsi="宋体" w:cs="宋体"/>
          <w:sz w:val="24"/>
          <w:szCs w:val="24"/>
          <w:highlight w:val="none"/>
        </w:rPr>
      </w:pPr>
      <w:r>
        <w:rPr>
          <w:rFonts w:ascii="宋体" w:hAnsi="宋体" w:cs="宋体"/>
          <w:color w:val="000000"/>
          <w:sz w:val="24"/>
          <w:szCs w:val="24"/>
          <w:highlight w:val="none"/>
        </w:rPr>
        <w:t>点击查看进入查看中标项目详情</w:t>
      </w:r>
    </w:p>
    <w:p w14:paraId="1DB1D5B1">
      <w:pPr>
        <w:rPr>
          <w:highlight w:val="none"/>
        </w:rPr>
      </w:pPr>
      <w:r>
        <w:rPr>
          <w:highlight w:val="none"/>
        </w:rPr>
        <w:drawing>
          <wp:inline distT="0" distB="0" distL="0" distR="0">
            <wp:extent cx="5760085" cy="24898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2489835"/>
                    </a:xfrm>
                    <a:prstGeom prst="rect">
                      <a:avLst/>
                    </a:prstGeom>
                  </pic:spPr>
                </pic:pic>
              </a:graphicData>
            </a:graphic>
          </wp:inline>
        </w:drawing>
      </w:r>
    </w:p>
    <w:p w14:paraId="6CB13F88">
      <w:pPr>
        <w:pStyle w:val="12"/>
        <w:rPr>
          <w:rFonts w:hAnsi="宋体" w:cs="Times New Roman"/>
          <w:b/>
          <w:color w:val="000000"/>
          <w:sz w:val="24"/>
          <w:szCs w:val="24"/>
          <w:highlight w:val="none"/>
        </w:rPr>
      </w:pPr>
    </w:p>
    <w:p w14:paraId="1E5EE144">
      <w:pPr>
        <w:spacing w:line="440" w:lineRule="exact"/>
        <w:ind w:firstLine="420" w:firstLineChars="200"/>
        <w:rPr>
          <w:rFonts w:ascii="宋体" w:hAnsi="Courier New"/>
          <w:highlight w:val="none"/>
        </w:rPr>
      </w:pPr>
    </w:p>
    <w:p w14:paraId="745497F5">
      <w:pPr>
        <w:pStyle w:val="10"/>
        <w:rPr>
          <w:rFonts w:ascii="宋体" w:hAnsi="宋体"/>
          <w:sz w:val="24"/>
          <w:highlight w:val="none"/>
        </w:rPr>
      </w:pPr>
    </w:p>
    <w:p w14:paraId="101EEAE8">
      <w:pPr>
        <w:pStyle w:val="10"/>
        <w:rPr>
          <w:highlight w:val="none"/>
        </w:rPr>
      </w:pPr>
    </w:p>
    <w:p w14:paraId="466398BE">
      <w:pPr>
        <w:rPr>
          <w:highlight w:val="none"/>
        </w:rPr>
      </w:pPr>
    </w:p>
    <w:sectPr>
      <w:pgSz w:w="11906" w:h="16838"/>
      <w:pgMar w:top="1587" w:right="1417" w:bottom="1134" w:left="1417"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KSOFF9CC6125">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0675E">
    <w:pPr>
      <w:pStyle w:val="1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863D8">
    <w:pPr>
      <w:pStyle w:val="1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AB638">
                          <w:pPr>
                            <w:pStyle w:val="15"/>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D4AB638">
                    <w:pPr>
                      <w:pStyle w:val="15"/>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5067A">
    <w:pPr>
      <w:pStyle w:val="1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A5EA1">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5AA5EA1">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9D590">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A03BC2"/>
    <w:multiLevelType w:val="singleLevel"/>
    <w:tmpl w:val="AAA03BC2"/>
    <w:lvl w:ilvl="0" w:tentative="0">
      <w:start w:val="1"/>
      <w:numFmt w:val="decimal"/>
      <w:pStyle w:val="7"/>
      <w:lvlText w:val="%1."/>
      <w:lvlJc w:val="left"/>
      <w:pPr>
        <w:ind w:left="425" w:hanging="425"/>
      </w:pPr>
      <w:rPr>
        <w:rFonts w:hint="default"/>
      </w:rPr>
    </w:lvl>
  </w:abstractNum>
  <w:abstractNum w:abstractNumId="1">
    <w:nsid w:val="0259B18E"/>
    <w:multiLevelType w:val="singleLevel"/>
    <w:tmpl w:val="0259B18E"/>
    <w:lvl w:ilvl="0" w:tentative="0">
      <w:start w:val="1"/>
      <w:numFmt w:val="decimal"/>
      <w:suff w:val="space"/>
      <w:lvlText w:val="%1."/>
      <w:lvlJc w:val="left"/>
    </w:lvl>
  </w:abstractNum>
  <w:abstractNum w:abstractNumId="2">
    <w:nsid w:val="191A2E52"/>
    <w:multiLevelType w:val="singleLevel"/>
    <w:tmpl w:val="191A2E52"/>
    <w:lvl w:ilvl="0" w:tentative="0">
      <w:start w:val="2"/>
      <w:numFmt w:val="chineseCounting"/>
      <w:suff w:val="nothing"/>
      <w:lvlText w:val="%1、"/>
      <w:lvlJc w:val="left"/>
      <w:rPr>
        <w:rFonts w:hint="eastAsia"/>
      </w:rPr>
    </w:lvl>
  </w:abstractNum>
  <w:abstractNum w:abstractNumId="3">
    <w:nsid w:val="3D3FC725"/>
    <w:multiLevelType w:val="singleLevel"/>
    <w:tmpl w:val="3D3FC725"/>
    <w:lvl w:ilvl="0" w:tentative="0">
      <w:start w:val="1"/>
      <w:numFmt w:val="lowerLetter"/>
      <w:lvlText w:val="%1."/>
      <w:lvlJc w:val="left"/>
      <w:pPr>
        <w:tabs>
          <w:tab w:val="left" w:pos="420"/>
        </w:tabs>
        <w:ind w:left="845" w:hanging="425"/>
      </w:pPr>
      <w:rPr>
        <w:rFonts w:hint="default"/>
      </w:rPr>
    </w:lvl>
  </w:abstractNum>
  <w:abstractNum w:abstractNumId="4">
    <w:nsid w:val="58A68456"/>
    <w:multiLevelType w:val="singleLevel"/>
    <w:tmpl w:val="58A68456"/>
    <w:lvl w:ilvl="0" w:tentative="0">
      <w:start w:val="1"/>
      <w:numFmt w:val="lowerLetter"/>
      <w:lvlText w:val="%1."/>
      <w:lvlJc w:val="left"/>
      <w:pPr>
        <w:tabs>
          <w:tab w:val="left" w:pos="420"/>
        </w:tabs>
        <w:ind w:left="845" w:hanging="425"/>
      </w:pPr>
      <w:rPr>
        <w:rFonts w:hint="default"/>
      </w:rPr>
    </w:lvl>
  </w:abstractNum>
  <w:abstractNum w:abstractNumId="5">
    <w:nsid w:val="607AECD5"/>
    <w:multiLevelType w:val="singleLevel"/>
    <w:tmpl w:val="607AECD5"/>
    <w:lvl w:ilvl="0" w:tentative="0">
      <w:start w:val="1"/>
      <w:numFmt w:val="decimal"/>
      <w:suff w:val="nothing"/>
      <w:lvlText w:val="（%1）"/>
      <w:lvlJc w:val="left"/>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hkMGM3MmM4NzExZDMyMDAwZjczNTM5Nzg4MzI5YTcifQ=="/>
  </w:docVars>
  <w:rsids>
    <w:rsidRoot w:val="00172A27"/>
    <w:rsid w:val="000039FD"/>
    <w:rsid w:val="000050B2"/>
    <w:rsid w:val="00015299"/>
    <w:rsid w:val="00015E0D"/>
    <w:rsid w:val="000244B3"/>
    <w:rsid w:val="00037FEA"/>
    <w:rsid w:val="00040CDD"/>
    <w:rsid w:val="00054BC1"/>
    <w:rsid w:val="00066BC6"/>
    <w:rsid w:val="000918C3"/>
    <w:rsid w:val="000A08F6"/>
    <w:rsid w:val="000A6C1D"/>
    <w:rsid w:val="000D030F"/>
    <w:rsid w:val="000D6816"/>
    <w:rsid w:val="000D7E43"/>
    <w:rsid w:val="000E11DF"/>
    <w:rsid w:val="000E1D6A"/>
    <w:rsid w:val="000E1EB0"/>
    <w:rsid w:val="000F74C7"/>
    <w:rsid w:val="001054BC"/>
    <w:rsid w:val="001111A1"/>
    <w:rsid w:val="001160A0"/>
    <w:rsid w:val="00124B86"/>
    <w:rsid w:val="00125A4C"/>
    <w:rsid w:val="0014725F"/>
    <w:rsid w:val="00161153"/>
    <w:rsid w:val="00176A3F"/>
    <w:rsid w:val="00181E01"/>
    <w:rsid w:val="00182A00"/>
    <w:rsid w:val="00187025"/>
    <w:rsid w:val="00196A2A"/>
    <w:rsid w:val="001B3716"/>
    <w:rsid w:val="001E2456"/>
    <w:rsid w:val="001E2654"/>
    <w:rsid w:val="001E2EDF"/>
    <w:rsid w:val="001F0C50"/>
    <w:rsid w:val="001F739D"/>
    <w:rsid w:val="00202D2A"/>
    <w:rsid w:val="00213DA4"/>
    <w:rsid w:val="00214C54"/>
    <w:rsid w:val="00224E70"/>
    <w:rsid w:val="00225CB4"/>
    <w:rsid w:val="00236C19"/>
    <w:rsid w:val="00255A5F"/>
    <w:rsid w:val="00257531"/>
    <w:rsid w:val="00262E60"/>
    <w:rsid w:val="00263E3C"/>
    <w:rsid w:val="00281627"/>
    <w:rsid w:val="00295568"/>
    <w:rsid w:val="00296943"/>
    <w:rsid w:val="002A46AD"/>
    <w:rsid w:val="002B42E4"/>
    <w:rsid w:val="002C4231"/>
    <w:rsid w:val="002D071B"/>
    <w:rsid w:val="002D6C16"/>
    <w:rsid w:val="002E2654"/>
    <w:rsid w:val="002E3BFB"/>
    <w:rsid w:val="00301417"/>
    <w:rsid w:val="003140E9"/>
    <w:rsid w:val="00317394"/>
    <w:rsid w:val="0032767B"/>
    <w:rsid w:val="003351E4"/>
    <w:rsid w:val="003414D2"/>
    <w:rsid w:val="00341BD2"/>
    <w:rsid w:val="00343BE5"/>
    <w:rsid w:val="00353674"/>
    <w:rsid w:val="0035570A"/>
    <w:rsid w:val="00366263"/>
    <w:rsid w:val="00367B34"/>
    <w:rsid w:val="00375545"/>
    <w:rsid w:val="0038116C"/>
    <w:rsid w:val="00381C08"/>
    <w:rsid w:val="003A0656"/>
    <w:rsid w:val="003A7560"/>
    <w:rsid w:val="003C64EB"/>
    <w:rsid w:val="003D1BDF"/>
    <w:rsid w:val="004063DD"/>
    <w:rsid w:val="00420506"/>
    <w:rsid w:val="004261A7"/>
    <w:rsid w:val="004365F7"/>
    <w:rsid w:val="00441012"/>
    <w:rsid w:val="0046389B"/>
    <w:rsid w:val="00465A2D"/>
    <w:rsid w:val="0047546E"/>
    <w:rsid w:val="00482A3B"/>
    <w:rsid w:val="00486F05"/>
    <w:rsid w:val="00487E03"/>
    <w:rsid w:val="004B546C"/>
    <w:rsid w:val="005012AB"/>
    <w:rsid w:val="00514C62"/>
    <w:rsid w:val="00530E26"/>
    <w:rsid w:val="005539A0"/>
    <w:rsid w:val="005559C2"/>
    <w:rsid w:val="0056559A"/>
    <w:rsid w:val="00572F5C"/>
    <w:rsid w:val="00573F5B"/>
    <w:rsid w:val="00587F93"/>
    <w:rsid w:val="005B6585"/>
    <w:rsid w:val="005B6F2C"/>
    <w:rsid w:val="0060686A"/>
    <w:rsid w:val="00607BC2"/>
    <w:rsid w:val="006159F9"/>
    <w:rsid w:val="00620178"/>
    <w:rsid w:val="00624856"/>
    <w:rsid w:val="00650980"/>
    <w:rsid w:val="006531A5"/>
    <w:rsid w:val="006648FD"/>
    <w:rsid w:val="00664D1E"/>
    <w:rsid w:val="00673CCD"/>
    <w:rsid w:val="0068717A"/>
    <w:rsid w:val="00696583"/>
    <w:rsid w:val="00697EA2"/>
    <w:rsid w:val="006A1773"/>
    <w:rsid w:val="006A4830"/>
    <w:rsid w:val="006A7C26"/>
    <w:rsid w:val="006B1916"/>
    <w:rsid w:val="006B45EA"/>
    <w:rsid w:val="006E22DF"/>
    <w:rsid w:val="006F2D1D"/>
    <w:rsid w:val="006F4C09"/>
    <w:rsid w:val="006F7257"/>
    <w:rsid w:val="007007DA"/>
    <w:rsid w:val="00730521"/>
    <w:rsid w:val="007407D7"/>
    <w:rsid w:val="00741A30"/>
    <w:rsid w:val="007A66C5"/>
    <w:rsid w:val="007B6415"/>
    <w:rsid w:val="007E1D25"/>
    <w:rsid w:val="007E7530"/>
    <w:rsid w:val="00805D91"/>
    <w:rsid w:val="00826C1B"/>
    <w:rsid w:val="00833CE3"/>
    <w:rsid w:val="0083414B"/>
    <w:rsid w:val="00873E3A"/>
    <w:rsid w:val="00885B23"/>
    <w:rsid w:val="008861E0"/>
    <w:rsid w:val="0088706A"/>
    <w:rsid w:val="00896D21"/>
    <w:rsid w:val="008B4C89"/>
    <w:rsid w:val="008F002C"/>
    <w:rsid w:val="008F4A28"/>
    <w:rsid w:val="00905806"/>
    <w:rsid w:val="00917EDB"/>
    <w:rsid w:val="009275EE"/>
    <w:rsid w:val="009641E2"/>
    <w:rsid w:val="009A24A5"/>
    <w:rsid w:val="009D39EF"/>
    <w:rsid w:val="009D706A"/>
    <w:rsid w:val="009E21EB"/>
    <w:rsid w:val="00A118B9"/>
    <w:rsid w:val="00A15446"/>
    <w:rsid w:val="00A52DC5"/>
    <w:rsid w:val="00A6747D"/>
    <w:rsid w:val="00A7293D"/>
    <w:rsid w:val="00A87200"/>
    <w:rsid w:val="00A9121B"/>
    <w:rsid w:val="00A93987"/>
    <w:rsid w:val="00A94E4E"/>
    <w:rsid w:val="00AA31BE"/>
    <w:rsid w:val="00AA3A13"/>
    <w:rsid w:val="00AA7B2B"/>
    <w:rsid w:val="00AD2690"/>
    <w:rsid w:val="00AE3E17"/>
    <w:rsid w:val="00AE5556"/>
    <w:rsid w:val="00B014B0"/>
    <w:rsid w:val="00B04952"/>
    <w:rsid w:val="00B27112"/>
    <w:rsid w:val="00B30BF4"/>
    <w:rsid w:val="00B4039D"/>
    <w:rsid w:val="00B47C6E"/>
    <w:rsid w:val="00B562B0"/>
    <w:rsid w:val="00B71897"/>
    <w:rsid w:val="00B71E1F"/>
    <w:rsid w:val="00B81D55"/>
    <w:rsid w:val="00B860B4"/>
    <w:rsid w:val="00B91B85"/>
    <w:rsid w:val="00B95837"/>
    <w:rsid w:val="00B97D41"/>
    <w:rsid w:val="00BB30E9"/>
    <w:rsid w:val="00BB4839"/>
    <w:rsid w:val="00C257DD"/>
    <w:rsid w:val="00C26C15"/>
    <w:rsid w:val="00C32311"/>
    <w:rsid w:val="00C55D77"/>
    <w:rsid w:val="00CE04CF"/>
    <w:rsid w:val="00CE4EB9"/>
    <w:rsid w:val="00D03851"/>
    <w:rsid w:val="00D047CB"/>
    <w:rsid w:val="00D21473"/>
    <w:rsid w:val="00D43562"/>
    <w:rsid w:val="00D5154E"/>
    <w:rsid w:val="00D56F7E"/>
    <w:rsid w:val="00D626B3"/>
    <w:rsid w:val="00D6684E"/>
    <w:rsid w:val="00D70EB3"/>
    <w:rsid w:val="00D72C39"/>
    <w:rsid w:val="00D95ED4"/>
    <w:rsid w:val="00D9637F"/>
    <w:rsid w:val="00DB02C7"/>
    <w:rsid w:val="00DC2D3B"/>
    <w:rsid w:val="00DC5E6F"/>
    <w:rsid w:val="00DF14F4"/>
    <w:rsid w:val="00DF270A"/>
    <w:rsid w:val="00E03EDC"/>
    <w:rsid w:val="00E0425B"/>
    <w:rsid w:val="00E05644"/>
    <w:rsid w:val="00E0592B"/>
    <w:rsid w:val="00E13231"/>
    <w:rsid w:val="00E15CD1"/>
    <w:rsid w:val="00E305E2"/>
    <w:rsid w:val="00E375E6"/>
    <w:rsid w:val="00E4366F"/>
    <w:rsid w:val="00E51036"/>
    <w:rsid w:val="00E51F56"/>
    <w:rsid w:val="00E67661"/>
    <w:rsid w:val="00E756A6"/>
    <w:rsid w:val="00E871EE"/>
    <w:rsid w:val="00E9166E"/>
    <w:rsid w:val="00E9543F"/>
    <w:rsid w:val="00E95900"/>
    <w:rsid w:val="00E97E73"/>
    <w:rsid w:val="00EF5FCA"/>
    <w:rsid w:val="00F05D31"/>
    <w:rsid w:val="00F22435"/>
    <w:rsid w:val="00F2273D"/>
    <w:rsid w:val="00F25542"/>
    <w:rsid w:val="00F25F15"/>
    <w:rsid w:val="00F40D51"/>
    <w:rsid w:val="00F50A8B"/>
    <w:rsid w:val="00F8614E"/>
    <w:rsid w:val="00FA4D06"/>
    <w:rsid w:val="00FC5B3D"/>
    <w:rsid w:val="00FE438B"/>
    <w:rsid w:val="00FF11E7"/>
    <w:rsid w:val="01121891"/>
    <w:rsid w:val="013435B5"/>
    <w:rsid w:val="013C06BC"/>
    <w:rsid w:val="016139CC"/>
    <w:rsid w:val="01767B23"/>
    <w:rsid w:val="01831488"/>
    <w:rsid w:val="018E7819"/>
    <w:rsid w:val="019604A9"/>
    <w:rsid w:val="01A324E9"/>
    <w:rsid w:val="02395F2F"/>
    <w:rsid w:val="023C4E17"/>
    <w:rsid w:val="02436043"/>
    <w:rsid w:val="025A529E"/>
    <w:rsid w:val="02611E54"/>
    <w:rsid w:val="026933C1"/>
    <w:rsid w:val="0279651D"/>
    <w:rsid w:val="028A0530"/>
    <w:rsid w:val="02A5425A"/>
    <w:rsid w:val="02B0568A"/>
    <w:rsid w:val="02D149AD"/>
    <w:rsid w:val="02D46657"/>
    <w:rsid w:val="02DA7875"/>
    <w:rsid w:val="02DB52BD"/>
    <w:rsid w:val="02DC2D3E"/>
    <w:rsid w:val="02E80AFB"/>
    <w:rsid w:val="02E958D7"/>
    <w:rsid w:val="02EF1E8A"/>
    <w:rsid w:val="02F05C02"/>
    <w:rsid w:val="03062D2F"/>
    <w:rsid w:val="030D0562"/>
    <w:rsid w:val="03273887"/>
    <w:rsid w:val="032853BC"/>
    <w:rsid w:val="034858F1"/>
    <w:rsid w:val="035A4CAD"/>
    <w:rsid w:val="036A5588"/>
    <w:rsid w:val="036A712A"/>
    <w:rsid w:val="039203FC"/>
    <w:rsid w:val="03C36E72"/>
    <w:rsid w:val="03D3663B"/>
    <w:rsid w:val="03FA55FA"/>
    <w:rsid w:val="03FD05D6"/>
    <w:rsid w:val="04106F71"/>
    <w:rsid w:val="04185410"/>
    <w:rsid w:val="041D2A27"/>
    <w:rsid w:val="04234C6A"/>
    <w:rsid w:val="0425785D"/>
    <w:rsid w:val="04361CF6"/>
    <w:rsid w:val="045A1585"/>
    <w:rsid w:val="04602913"/>
    <w:rsid w:val="046C12B8"/>
    <w:rsid w:val="048C0506"/>
    <w:rsid w:val="049329AF"/>
    <w:rsid w:val="04A17265"/>
    <w:rsid w:val="04A42800"/>
    <w:rsid w:val="04AB0032"/>
    <w:rsid w:val="04AE64BD"/>
    <w:rsid w:val="04B163D7"/>
    <w:rsid w:val="04B32944"/>
    <w:rsid w:val="04BF3ADE"/>
    <w:rsid w:val="04E35A1E"/>
    <w:rsid w:val="04EE3948"/>
    <w:rsid w:val="04F311AF"/>
    <w:rsid w:val="05011ADD"/>
    <w:rsid w:val="050D65F7"/>
    <w:rsid w:val="05133C63"/>
    <w:rsid w:val="051D6770"/>
    <w:rsid w:val="0557339A"/>
    <w:rsid w:val="055C132D"/>
    <w:rsid w:val="05690B31"/>
    <w:rsid w:val="057876ED"/>
    <w:rsid w:val="05850883"/>
    <w:rsid w:val="05885E20"/>
    <w:rsid w:val="058B39C0"/>
    <w:rsid w:val="059267A3"/>
    <w:rsid w:val="05A86483"/>
    <w:rsid w:val="05BB5375"/>
    <w:rsid w:val="05CE10C1"/>
    <w:rsid w:val="05D07899"/>
    <w:rsid w:val="05F509D2"/>
    <w:rsid w:val="05F62280"/>
    <w:rsid w:val="0622059D"/>
    <w:rsid w:val="063D2F0C"/>
    <w:rsid w:val="067F3525"/>
    <w:rsid w:val="06A665F7"/>
    <w:rsid w:val="06B5558D"/>
    <w:rsid w:val="06BC6527"/>
    <w:rsid w:val="06DA42BF"/>
    <w:rsid w:val="06FB3B03"/>
    <w:rsid w:val="06FE205F"/>
    <w:rsid w:val="070B2161"/>
    <w:rsid w:val="071023CF"/>
    <w:rsid w:val="0715212E"/>
    <w:rsid w:val="071B07B5"/>
    <w:rsid w:val="071F0E51"/>
    <w:rsid w:val="07342561"/>
    <w:rsid w:val="073D1FEE"/>
    <w:rsid w:val="074402CA"/>
    <w:rsid w:val="074E1599"/>
    <w:rsid w:val="07520C39"/>
    <w:rsid w:val="07532B5F"/>
    <w:rsid w:val="07660C34"/>
    <w:rsid w:val="07725F80"/>
    <w:rsid w:val="077965D0"/>
    <w:rsid w:val="077E0AE9"/>
    <w:rsid w:val="078D7484"/>
    <w:rsid w:val="079923C4"/>
    <w:rsid w:val="07A807FE"/>
    <w:rsid w:val="07B4177C"/>
    <w:rsid w:val="07CF4DE0"/>
    <w:rsid w:val="07DF75F9"/>
    <w:rsid w:val="07E43A81"/>
    <w:rsid w:val="07E84685"/>
    <w:rsid w:val="07F41CF0"/>
    <w:rsid w:val="081F675F"/>
    <w:rsid w:val="08215F31"/>
    <w:rsid w:val="082208B6"/>
    <w:rsid w:val="082F287B"/>
    <w:rsid w:val="08314CF2"/>
    <w:rsid w:val="08521B36"/>
    <w:rsid w:val="087864F3"/>
    <w:rsid w:val="0885360A"/>
    <w:rsid w:val="088B63D5"/>
    <w:rsid w:val="08901A19"/>
    <w:rsid w:val="089B216C"/>
    <w:rsid w:val="08A27337"/>
    <w:rsid w:val="08AD4471"/>
    <w:rsid w:val="08BB245F"/>
    <w:rsid w:val="08E510A5"/>
    <w:rsid w:val="08E753B1"/>
    <w:rsid w:val="08FD1FCF"/>
    <w:rsid w:val="08FF7955"/>
    <w:rsid w:val="090D306A"/>
    <w:rsid w:val="091A12E3"/>
    <w:rsid w:val="0922698B"/>
    <w:rsid w:val="092D2935"/>
    <w:rsid w:val="09532A47"/>
    <w:rsid w:val="09572537"/>
    <w:rsid w:val="096F3207"/>
    <w:rsid w:val="09756E61"/>
    <w:rsid w:val="098B21E0"/>
    <w:rsid w:val="099111BE"/>
    <w:rsid w:val="09991E4D"/>
    <w:rsid w:val="099F1469"/>
    <w:rsid w:val="09B207F9"/>
    <w:rsid w:val="09CE47AD"/>
    <w:rsid w:val="09EA5159"/>
    <w:rsid w:val="09F124DC"/>
    <w:rsid w:val="0A0124A3"/>
    <w:rsid w:val="0A062BA1"/>
    <w:rsid w:val="0A156FE1"/>
    <w:rsid w:val="0A2B13BC"/>
    <w:rsid w:val="0A3463D4"/>
    <w:rsid w:val="0A4860CC"/>
    <w:rsid w:val="0A557084"/>
    <w:rsid w:val="0A573505"/>
    <w:rsid w:val="0A641E54"/>
    <w:rsid w:val="0A6916E4"/>
    <w:rsid w:val="0A6A4E2C"/>
    <w:rsid w:val="0A937AE7"/>
    <w:rsid w:val="0AB65C6B"/>
    <w:rsid w:val="0AC018B0"/>
    <w:rsid w:val="0AEF054D"/>
    <w:rsid w:val="0B4266EB"/>
    <w:rsid w:val="0B45790A"/>
    <w:rsid w:val="0B5843AD"/>
    <w:rsid w:val="0B6017B9"/>
    <w:rsid w:val="0B8373EF"/>
    <w:rsid w:val="0B8769D7"/>
    <w:rsid w:val="0B9217AC"/>
    <w:rsid w:val="0B9335CE"/>
    <w:rsid w:val="0B971913"/>
    <w:rsid w:val="0BB53545"/>
    <w:rsid w:val="0BC32105"/>
    <w:rsid w:val="0BE47D9D"/>
    <w:rsid w:val="0BE51013"/>
    <w:rsid w:val="0C2A074F"/>
    <w:rsid w:val="0C31628E"/>
    <w:rsid w:val="0C37664F"/>
    <w:rsid w:val="0C3C7EA2"/>
    <w:rsid w:val="0C4B11C9"/>
    <w:rsid w:val="0C7451AE"/>
    <w:rsid w:val="0C853B1A"/>
    <w:rsid w:val="0C8602EC"/>
    <w:rsid w:val="0C88659A"/>
    <w:rsid w:val="0C924DEE"/>
    <w:rsid w:val="0CB3547B"/>
    <w:rsid w:val="0CB86F53"/>
    <w:rsid w:val="0CD17710"/>
    <w:rsid w:val="0CF10C4B"/>
    <w:rsid w:val="0CF84B54"/>
    <w:rsid w:val="0D011AF9"/>
    <w:rsid w:val="0D015662"/>
    <w:rsid w:val="0D053F9C"/>
    <w:rsid w:val="0D1036FE"/>
    <w:rsid w:val="0D18082E"/>
    <w:rsid w:val="0D3E2F48"/>
    <w:rsid w:val="0D4A64CC"/>
    <w:rsid w:val="0D5044E7"/>
    <w:rsid w:val="0D5613D5"/>
    <w:rsid w:val="0D731580"/>
    <w:rsid w:val="0D77682B"/>
    <w:rsid w:val="0D7A532C"/>
    <w:rsid w:val="0DBC6E0C"/>
    <w:rsid w:val="0DC63892"/>
    <w:rsid w:val="0DD40A08"/>
    <w:rsid w:val="0DDC300B"/>
    <w:rsid w:val="0DE7465B"/>
    <w:rsid w:val="0DE97B5E"/>
    <w:rsid w:val="0DEB14A0"/>
    <w:rsid w:val="0DED1503"/>
    <w:rsid w:val="0DF33CF1"/>
    <w:rsid w:val="0E0662D9"/>
    <w:rsid w:val="0E1A3BB0"/>
    <w:rsid w:val="0E484B44"/>
    <w:rsid w:val="0E552513"/>
    <w:rsid w:val="0E5B4877"/>
    <w:rsid w:val="0E6377E0"/>
    <w:rsid w:val="0E6F20D1"/>
    <w:rsid w:val="0E8813E4"/>
    <w:rsid w:val="0EB360DE"/>
    <w:rsid w:val="0EBB70C4"/>
    <w:rsid w:val="0ED131F4"/>
    <w:rsid w:val="0EF95E3E"/>
    <w:rsid w:val="0EFC5A27"/>
    <w:rsid w:val="0F0B47BD"/>
    <w:rsid w:val="0F0D2236"/>
    <w:rsid w:val="0F1550CD"/>
    <w:rsid w:val="0F2365E1"/>
    <w:rsid w:val="0F711E78"/>
    <w:rsid w:val="0F722B96"/>
    <w:rsid w:val="0F793CA1"/>
    <w:rsid w:val="0F7E78F8"/>
    <w:rsid w:val="0F8F3712"/>
    <w:rsid w:val="0FD50659"/>
    <w:rsid w:val="0FEE632A"/>
    <w:rsid w:val="0FF94348"/>
    <w:rsid w:val="10094131"/>
    <w:rsid w:val="100C62CC"/>
    <w:rsid w:val="101A3B79"/>
    <w:rsid w:val="10345380"/>
    <w:rsid w:val="1037379A"/>
    <w:rsid w:val="104D064D"/>
    <w:rsid w:val="10574D0E"/>
    <w:rsid w:val="1061099F"/>
    <w:rsid w:val="10662971"/>
    <w:rsid w:val="1074723A"/>
    <w:rsid w:val="107E484D"/>
    <w:rsid w:val="108C1EAE"/>
    <w:rsid w:val="10973B61"/>
    <w:rsid w:val="109E6D51"/>
    <w:rsid w:val="10A27D57"/>
    <w:rsid w:val="10AB4F16"/>
    <w:rsid w:val="10B503BE"/>
    <w:rsid w:val="10C14E82"/>
    <w:rsid w:val="10CC55B8"/>
    <w:rsid w:val="10F82348"/>
    <w:rsid w:val="11422A71"/>
    <w:rsid w:val="11426303"/>
    <w:rsid w:val="1149506D"/>
    <w:rsid w:val="115832F0"/>
    <w:rsid w:val="115D3D0D"/>
    <w:rsid w:val="11731ED8"/>
    <w:rsid w:val="119D105F"/>
    <w:rsid w:val="11EC3A38"/>
    <w:rsid w:val="11EE1165"/>
    <w:rsid w:val="11F1376F"/>
    <w:rsid w:val="11F55185"/>
    <w:rsid w:val="1231003F"/>
    <w:rsid w:val="123C1304"/>
    <w:rsid w:val="125E74E2"/>
    <w:rsid w:val="12687563"/>
    <w:rsid w:val="12712DC5"/>
    <w:rsid w:val="12745F08"/>
    <w:rsid w:val="12787CDD"/>
    <w:rsid w:val="128E407F"/>
    <w:rsid w:val="1295180B"/>
    <w:rsid w:val="129B6A1F"/>
    <w:rsid w:val="12BC78AF"/>
    <w:rsid w:val="12C46AD7"/>
    <w:rsid w:val="12D85778"/>
    <w:rsid w:val="12DA1AE3"/>
    <w:rsid w:val="12FC2E1F"/>
    <w:rsid w:val="12FE7EC7"/>
    <w:rsid w:val="13031357"/>
    <w:rsid w:val="13112307"/>
    <w:rsid w:val="131A6F25"/>
    <w:rsid w:val="13255180"/>
    <w:rsid w:val="13270D7A"/>
    <w:rsid w:val="13667A01"/>
    <w:rsid w:val="139634F5"/>
    <w:rsid w:val="13A33CA4"/>
    <w:rsid w:val="13A36145"/>
    <w:rsid w:val="13AA5AD0"/>
    <w:rsid w:val="13AF1D43"/>
    <w:rsid w:val="13B82867"/>
    <w:rsid w:val="13CA3E07"/>
    <w:rsid w:val="13CD6F8A"/>
    <w:rsid w:val="13D15990"/>
    <w:rsid w:val="13D502B6"/>
    <w:rsid w:val="13D639F1"/>
    <w:rsid w:val="13D7311C"/>
    <w:rsid w:val="13E9022F"/>
    <w:rsid w:val="141352AC"/>
    <w:rsid w:val="14250C9D"/>
    <w:rsid w:val="14290F74"/>
    <w:rsid w:val="142B0E90"/>
    <w:rsid w:val="146F4594"/>
    <w:rsid w:val="14A10B0A"/>
    <w:rsid w:val="14A127E5"/>
    <w:rsid w:val="14B02E00"/>
    <w:rsid w:val="14B51486"/>
    <w:rsid w:val="14BA1191"/>
    <w:rsid w:val="14DF1632"/>
    <w:rsid w:val="15030AD9"/>
    <w:rsid w:val="15090F10"/>
    <w:rsid w:val="15115C90"/>
    <w:rsid w:val="1517097B"/>
    <w:rsid w:val="15267814"/>
    <w:rsid w:val="15273D43"/>
    <w:rsid w:val="15453B8B"/>
    <w:rsid w:val="156712A9"/>
    <w:rsid w:val="157629DC"/>
    <w:rsid w:val="157D344D"/>
    <w:rsid w:val="158741A4"/>
    <w:rsid w:val="158927D7"/>
    <w:rsid w:val="15B21729"/>
    <w:rsid w:val="15C23B9A"/>
    <w:rsid w:val="15CD1CBD"/>
    <w:rsid w:val="15E433A4"/>
    <w:rsid w:val="15F86E50"/>
    <w:rsid w:val="16204FC8"/>
    <w:rsid w:val="164E6A70"/>
    <w:rsid w:val="167A7865"/>
    <w:rsid w:val="168A398A"/>
    <w:rsid w:val="16B207CA"/>
    <w:rsid w:val="16C32FBA"/>
    <w:rsid w:val="16C624EA"/>
    <w:rsid w:val="16C92C9F"/>
    <w:rsid w:val="16CB6A2E"/>
    <w:rsid w:val="16FE00C6"/>
    <w:rsid w:val="17081026"/>
    <w:rsid w:val="17092996"/>
    <w:rsid w:val="170D59F4"/>
    <w:rsid w:val="17171557"/>
    <w:rsid w:val="171844F3"/>
    <w:rsid w:val="17255D87"/>
    <w:rsid w:val="173A48D6"/>
    <w:rsid w:val="173C59AC"/>
    <w:rsid w:val="173E4D36"/>
    <w:rsid w:val="1767588B"/>
    <w:rsid w:val="17692FF8"/>
    <w:rsid w:val="17710C68"/>
    <w:rsid w:val="1776488C"/>
    <w:rsid w:val="17795919"/>
    <w:rsid w:val="17824C23"/>
    <w:rsid w:val="17825F6C"/>
    <w:rsid w:val="17912EB8"/>
    <w:rsid w:val="17C76AD9"/>
    <w:rsid w:val="17DF5199"/>
    <w:rsid w:val="17E4768B"/>
    <w:rsid w:val="180026D3"/>
    <w:rsid w:val="18137F71"/>
    <w:rsid w:val="18176D37"/>
    <w:rsid w:val="18225A6D"/>
    <w:rsid w:val="184616E2"/>
    <w:rsid w:val="18550589"/>
    <w:rsid w:val="185F480A"/>
    <w:rsid w:val="18617D0D"/>
    <w:rsid w:val="186662F2"/>
    <w:rsid w:val="1887437B"/>
    <w:rsid w:val="188E5DDF"/>
    <w:rsid w:val="18EB1E70"/>
    <w:rsid w:val="18EF137B"/>
    <w:rsid w:val="18F3727C"/>
    <w:rsid w:val="18F44CFE"/>
    <w:rsid w:val="19180BFF"/>
    <w:rsid w:val="1934019F"/>
    <w:rsid w:val="19343E52"/>
    <w:rsid w:val="193F66C8"/>
    <w:rsid w:val="19445F08"/>
    <w:rsid w:val="19570331"/>
    <w:rsid w:val="1964413C"/>
    <w:rsid w:val="196547FC"/>
    <w:rsid w:val="19782D58"/>
    <w:rsid w:val="19923117"/>
    <w:rsid w:val="19A22534"/>
    <w:rsid w:val="19A317C3"/>
    <w:rsid w:val="19A54B21"/>
    <w:rsid w:val="19AE3232"/>
    <w:rsid w:val="19B06735"/>
    <w:rsid w:val="19D52C5C"/>
    <w:rsid w:val="19EC2827"/>
    <w:rsid w:val="19ED3B3B"/>
    <w:rsid w:val="19ED659F"/>
    <w:rsid w:val="19FE0A33"/>
    <w:rsid w:val="1A08230D"/>
    <w:rsid w:val="1A141D7E"/>
    <w:rsid w:val="1A293A7B"/>
    <w:rsid w:val="1A357F21"/>
    <w:rsid w:val="1A367F46"/>
    <w:rsid w:val="1A4F2DB6"/>
    <w:rsid w:val="1A551442"/>
    <w:rsid w:val="1A55661F"/>
    <w:rsid w:val="1A5D684E"/>
    <w:rsid w:val="1A751971"/>
    <w:rsid w:val="1A79368C"/>
    <w:rsid w:val="1A930EF5"/>
    <w:rsid w:val="1A952EBF"/>
    <w:rsid w:val="1ABD41C4"/>
    <w:rsid w:val="1AC6159A"/>
    <w:rsid w:val="1AEA06BB"/>
    <w:rsid w:val="1AEC4E38"/>
    <w:rsid w:val="1B143C39"/>
    <w:rsid w:val="1B216501"/>
    <w:rsid w:val="1B253925"/>
    <w:rsid w:val="1B2D351A"/>
    <w:rsid w:val="1B4A2C53"/>
    <w:rsid w:val="1B75731B"/>
    <w:rsid w:val="1BA67AEA"/>
    <w:rsid w:val="1BAD4238"/>
    <w:rsid w:val="1BAD5FE6"/>
    <w:rsid w:val="1BB6133F"/>
    <w:rsid w:val="1BBB3798"/>
    <w:rsid w:val="1BCC2910"/>
    <w:rsid w:val="1BDC7FC4"/>
    <w:rsid w:val="1BDF56C5"/>
    <w:rsid w:val="1BE966A9"/>
    <w:rsid w:val="1BF252AE"/>
    <w:rsid w:val="1C07688A"/>
    <w:rsid w:val="1C0E2142"/>
    <w:rsid w:val="1C104F9B"/>
    <w:rsid w:val="1C117199"/>
    <w:rsid w:val="1C3715D7"/>
    <w:rsid w:val="1C4B73E9"/>
    <w:rsid w:val="1C6332CA"/>
    <w:rsid w:val="1C816553"/>
    <w:rsid w:val="1C865AAB"/>
    <w:rsid w:val="1CAF5D9E"/>
    <w:rsid w:val="1CBA6C0D"/>
    <w:rsid w:val="1CC161ED"/>
    <w:rsid w:val="1CC23D13"/>
    <w:rsid w:val="1CC2453B"/>
    <w:rsid w:val="1CC318B8"/>
    <w:rsid w:val="1CD203FA"/>
    <w:rsid w:val="1CD55894"/>
    <w:rsid w:val="1CD96BE2"/>
    <w:rsid w:val="1CDD6EB1"/>
    <w:rsid w:val="1CDF436F"/>
    <w:rsid w:val="1CE83979"/>
    <w:rsid w:val="1CE95CBC"/>
    <w:rsid w:val="1CF62125"/>
    <w:rsid w:val="1CFE13A0"/>
    <w:rsid w:val="1D201555"/>
    <w:rsid w:val="1D3F2158"/>
    <w:rsid w:val="1D434E54"/>
    <w:rsid w:val="1D436612"/>
    <w:rsid w:val="1D4C5A8B"/>
    <w:rsid w:val="1D7768AC"/>
    <w:rsid w:val="1D9C4722"/>
    <w:rsid w:val="1DA069AB"/>
    <w:rsid w:val="1DA43419"/>
    <w:rsid w:val="1DC75A85"/>
    <w:rsid w:val="1DF756C4"/>
    <w:rsid w:val="1DFD34C1"/>
    <w:rsid w:val="1E0B27D7"/>
    <w:rsid w:val="1E117F64"/>
    <w:rsid w:val="1E287B89"/>
    <w:rsid w:val="1E2C4463"/>
    <w:rsid w:val="1E2D340E"/>
    <w:rsid w:val="1E314C15"/>
    <w:rsid w:val="1E34479D"/>
    <w:rsid w:val="1E391DB3"/>
    <w:rsid w:val="1E3D5D47"/>
    <w:rsid w:val="1E856ED3"/>
    <w:rsid w:val="1EA71413"/>
    <w:rsid w:val="1EAB5EF7"/>
    <w:rsid w:val="1ECB06B1"/>
    <w:rsid w:val="1ECD2CE2"/>
    <w:rsid w:val="1EDC7DA8"/>
    <w:rsid w:val="1EEF62CD"/>
    <w:rsid w:val="1F070103"/>
    <w:rsid w:val="1F0869EA"/>
    <w:rsid w:val="1F137E76"/>
    <w:rsid w:val="1F1C3919"/>
    <w:rsid w:val="1F3025BA"/>
    <w:rsid w:val="1F4C4A3C"/>
    <w:rsid w:val="1F50503A"/>
    <w:rsid w:val="1F58785A"/>
    <w:rsid w:val="1F7A1CD0"/>
    <w:rsid w:val="1FC803E8"/>
    <w:rsid w:val="1FCA4D36"/>
    <w:rsid w:val="1FF42436"/>
    <w:rsid w:val="1FF548C8"/>
    <w:rsid w:val="1FF959A2"/>
    <w:rsid w:val="1FFF212D"/>
    <w:rsid w:val="20083FA6"/>
    <w:rsid w:val="200C6AA5"/>
    <w:rsid w:val="202D5948"/>
    <w:rsid w:val="20672C08"/>
    <w:rsid w:val="206B6068"/>
    <w:rsid w:val="206E6027"/>
    <w:rsid w:val="208D46B8"/>
    <w:rsid w:val="2091237A"/>
    <w:rsid w:val="20913154"/>
    <w:rsid w:val="209B043C"/>
    <w:rsid w:val="20AE082C"/>
    <w:rsid w:val="20B65C39"/>
    <w:rsid w:val="20CA13E8"/>
    <w:rsid w:val="20CC72B6"/>
    <w:rsid w:val="20CD2F72"/>
    <w:rsid w:val="20D970F2"/>
    <w:rsid w:val="20DC2F6A"/>
    <w:rsid w:val="20E93CF9"/>
    <w:rsid w:val="20FD3E2F"/>
    <w:rsid w:val="2101520C"/>
    <w:rsid w:val="210C7C53"/>
    <w:rsid w:val="21170748"/>
    <w:rsid w:val="211A5ECC"/>
    <w:rsid w:val="212705E9"/>
    <w:rsid w:val="21332A32"/>
    <w:rsid w:val="213A0410"/>
    <w:rsid w:val="213C5FB1"/>
    <w:rsid w:val="21457AA6"/>
    <w:rsid w:val="216A315E"/>
    <w:rsid w:val="216B6728"/>
    <w:rsid w:val="21771570"/>
    <w:rsid w:val="217B6997"/>
    <w:rsid w:val="219D5F36"/>
    <w:rsid w:val="21A34113"/>
    <w:rsid w:val="21A62FC3"/>
    <w:rsid w:val="21A659B2"/>
    <w:rsid w:val="21A72C37"/>
    <w:rsid w:val="21B96760"/>
    <w:rsid w:val="21BD5166"/>
    <w:rsid w:val="21D4251F"/>
    <w:rsid w:val="21E360C5"/>
    <w:rsid w:val="21EC5CB5"/>
    <w:rsid w:val="2206685F"/>
    <w:rsid w:val="221A6347"/>
    <w:rsid w:val="224131C1"/>
    <w:rsid w:val="22422E41"/>
    <w:rsid w:val="225C2514"/>
    <w:rsid w:val="225E4CF0"/>
    <w:rsid w:val="226C1A87"/>
    <w:rsid w:val="22837AA1"/>
    <w:rsid w:val="229B41DA"/>
    <w:rsid w:val="229D6DB5"/>
    <w:rsid w:val="22A51891"/>
    <w:rsid w:val="22AA736D"/>
    <w:rsid w:val="22AD41D9"/>
    <w:rsid w:val="22AF1419"/>
    <w:rsid w:val="22B84105"/>
    <w:rsid w:val="22BF6927"/>
    <w:rsid w:val="22C32593"/>
    <w:rsid w:val="22C8691D"/>
    <w:rsid w:val="22CE51C0"/>
    <w:rsid w:val="22D5585D"/>
    <w:rsid w:val="22EC56A6"/>
    <w:rsid w:val="22EF2384"/>
    <w:rsid w:val="230022FA"/>
    <w:rsid w:val="23222C5F"/>
    <w:rsid w:val="232748D0"/>
    <w:rsid w:val="232E2103"/>
    <w:rsid w:val="233E2EB1"/>
    <w:rsid w:val="23527219"/>
    <w:rsid w:val="235B53E0"/>
    <w:rsid w:val="235D6544"/>
    <w:rsid w:val="237B1C44"/>
    <w:rsid w:val="238B0A63"/>
    <w:rsid w:val="23B02B18"/>
    <w:rsid w:val="23B95E70"/>
    <w:rsid w:val="23BF3632"/>
    <w:rsid w:val="23D70CD9"/>
    <w:rsid w:val="23D9206E"/>
    <w:rsid w:val="23DA1C5E"/>
    <w:rsid w:val="23E435FF"/>
    <w:rsid w:val="23E46C65"/>
    <w:rsid w:val="23FB5A15"/>
    <w:rsid w:val="240F5A90"/>
    <w:rsid w:val="24140B3E"/>
    <w:rsid w:val="241D144D"/>
    <w:rsid w:val="24233357"/>
    <w:rsid w:val="24262DDA"/>
    <w:rsid w:val="243512C2"/>
    <w:rsid w:val="24885842"/>
    <w:rsid w:val="24973CD7"/>
    <w:rsid w:val="24983315"/>
    <w:rsid w:val="24AA6D8B"/>
    <w:rsid w:val="24B6415E"/>
    <w:rsid w:val="24CE594B"/>
    <w:rsid w:val="24D81B80"/>
    <w:rsid w:val="25024F43"/>
    <w:rsid w:val="250A26FB"/>
    <w:rsid w:val="250A44A9"/>
    <w:rsid w:val="250F3174"/>
    <w:rsid w:val="25186944"/>
    <w:rsid w:val="25361F1A"/>
    <w:rsid w:val="254E25E8"/>
    <w:rsid w:val="255911D5"/>
    <w:rsid w:val="256E58F7"/>
    <w:rsid w:val="25702FF9"/>
    <w:rsid w:val="25832019"/>
    <w:rsid w:val="25CD79B1"/>
    <w:rsid w:val="25E22D30"/>
    <w:rsid w:val="25E642BC"/>
    <w:rsid w:val="2604539D"/>
    <w:rsid w:val="260809E9"/>
    <w:rsid w:val="26215F4F"/>
    <w:rsid w:val="26241BA3"/>
    <w:rsid w:val="262650A6"/>
    <w:rsid w:val="263578BE"/>
    <w:rsid w:val="26361ABD"/>
    <w:rsid w:val="263B57A7"/>
    <w:rsid w:val="265448F0"/>
    <w:rsid w:val="2675601E"/>
    <w:rsid w:val="268F74A1"/>
    <w:rsid w:val="269573E0"/>
    <w:rsid w:val="26C40427"/>
    <w:rsid w:val="26CC32B5"/>
    <w:rsid w:val="26DD51A9"/>
    <w:rsid w:val="26E11223"/>
    <w:rsid w:val="26E256DE"/>
    <w:rsid w:val="26ED37EA"/>
    <w:rsid w:val="26F92A28"/>
    <w:rsid w:val="26F9507E"/>
    <w:rsid w:val="2705317A"/>
    <w:rsid w:val="271414AB"/>
    <w:rsid w:val="271C4469"/>
    <w:rsid w:val="271C4BC8"/>
    <w:rsid w:val="272A364F"/>
    <w:rsid w:val="272F01F7"/>
    <w:rsid w:val="273370CF"/>
    <w:rsid w:val="27551F14"/>
    <w:rsid w:val="2759091B"/>
    <w:rsid w:val="27705CAA"/>
    <w:rsid w:val="27826986"/>
    <w:rsid w:val="278674BE"/>
    <w:rsid w:val="278A3680"/>
    <w:rsid w:val="279D398E"/>
    <w:rsid w:val="27A22014"/>
    <w:rsid w:val="27B21B89"/>
    <w:rsid w:val="27C8781B"/>
    <w:rsid w:val="27DC6B0B"/>
    <w:rsid w:val="27F42F5B"/>
    <w:rsid w:val="280653FC"/>
    <w:rsid w:val="281A0EA7"/>
    <w:rsid w:val="2846729E"/>
    <w:rsid w:val="28602EE4"/>
    <w:rsid w:val="28634650"/>
    <w:rsid w:val="28652094"/>
    <w:rsid w:val="286F468E"/>
    <w:rsid w:val="287C7778"/>
    <w:rsid w:val="28956124"/>
    <w:rsid w:val="289A78F2"/>
    <w:rsid w:val="28A16ED3"/>
    <w:rsid w:val="28C055AB"/>
    <w:rsid w:val="28C74693"/>
    <w:rsid w:val="28CF02C4"/>
    <w:rsid w:val="28DE3F9A"/>
    <w:rsid w:val="28E31299"/>
    <w:rsid w:val="290618DB"/>
    <w:rsid w:val="294739C9"/>
    <w:rsid w:val="2964062C"/>
    <w:rsid w:val="29673C78"/>
    <w:rsid w:val="296F4668"/>
    <w:rsid w:val="297D6603"/>
    <w:rsid w:val="298A3E0B"/>
    <w:rsid w:val="29A86CB5"/>
    <w:rsid w:val="29AC1FD3"/>
    <w:rsid w:val="29B042F2"/>
    <w:rsid w:val="29E37FC4"/>
    <w:rsid w:val="2A027E45"/>
    <w:rsid w:val="2A06727F"/>
    <w:rsid w:val="2A0D248D"/>
    <w:rsid w:val="2A261D85"/>
    <w:rsid w:val="2A276A0A"/>
    <w:rsid w:val="2A2F7769"/>
    <w:rsid w:val="2A4D10C0"/>
    <w:rsid w:val="2A524E42"/>
    <w:rsid w:val="2A573E05"/>
    <w:rsid w:val="2A6D1762"/>
    <w:rsid w:val="2A790107"/>
    <w:rsid w:val="2A7C3754"/>
    <w:rsid w:val="2A88659C"/>
    <w:rsid w:val="2A8A2314"/>
    <w:rsid w:val="2A8F62DB"/>
    <w:rsid w:val="2A932F00"/>
    <w:rsid w:val="2A9A62D0"/>
    <w:rsid w:val="2A9E191C"/>
    <w:rsid w:val="2A9F6179"/>
    <w:rsid w:val="2AB31E07"/>
    <w:rsid w:val="2ACE2709"/>
    <w:rsid w:val="2AD44455"/>
    <w:rsid w:val="2AD63BA1"/>
    <w:rsid w:val="2AE546EF"/>
    <w:rsid w:val="2AF6240B"/>
    <w:rsid w:val="2B0D6C28"/>
    <w:rsid w:val="2B125E66"/>
    <w:rsid w:val="2B172940"/>
    <w:rsid w:val="2B255FBA"/>
    <w:rsid w:val="2B27334F"/>
    <w:rsid w:val="2B361147"/>
    <w:rsid w:val="2B471FB3"/>
    <w:rsid w:val="2B6006BF"/>
    <w:rsid w:val="2B690FE4"/>
    <w:rsid w:val="2B6D12EE"/>
    <w:rsid w:val="2B7E174D"/>
    <w:rsid w:val="2B8A2873"/>
    <w:rsid w:val="2B8B7A2B"/>
    <w:rsid w:val="2B9B22FF"/>
    <w:rsid w:val="2BAF21A8"/>
    <w:rsid w:val="2BBA09D7"/>
    <w:rsid w:val="2BCB1436"/>
    <w:rsid w:val="2BCB6ACF"/>
    <w:rsid w:val="2BE401FE"/>
    <w:rsid w:val="2BE45A54"/>
    <w:rsid w:val="2BE47802"/>
    <w:rsid w:val="2C01033F"/>
    <w:rsid w:val="2C1125C1"/>
    <w:rsid w:val="2C292DC5"/>
    <w:rsid w:val="2C320B0E"/>
    <w:rsid w:val="2C73669D"/>
    <w:rsid w:val="2C830D32"/>
    <w:rsid w:val="2C852F1B"/>
    <w:rsid w:val="2C8B24A1"/>
    <w:rsid w:val="2C9A25B7"/>
    <w:rsid w:val="2CA376BD"/>
    <w:rsid w:val="2CAC615D"/>
    <w:rsid w:val="2CBA556F"/>
    <w:rsid w:val="2CC05BA8"/>
    <w:rsid w:val="2CC55886"/>
    <w:rsid w:val="2CC82306"/>
    <w:rsid w:val="2CD94E8D"/>
    <w:rsid w:val="2CDE41A9"/>
    <w:rsid w:val="2CEA2186"/>
    <w:rsid w:val="2CED6B8B"/>
    <w:rsid w:val="2CF2314A"/>
    <w:rsid w:val="2CFB648A"/>
    <w:rsid w:val="2CFE72A6"/>
    <w:rsid w:val="2D0A7F39"/>
    <w:rsid w:val="2D214C54"/>
    <w:rsid w:val="2D2E5194"/>
    <w:rsid w:val="2D3A63C1"/>
    <w:rsid w:val="2D4609D6"/>
    <w:rsid w:val="2D586372"/>
    <w:rsid w:val="2D856DC3"/>
    <w:rsid w:val="2D9B2143"/>
    <w:rsid w:val="2DC21DC5"/>
    <w:rsid w:val="2DED4667"/>
    <w:rsid w:val="2E047B0F"/>
    <w:rsid w:val="2E166268"/>
    <w:rsid w:val="2E203BBC"/>
    <w:rsid w:val="2E2E1209"/>
    <w:rsid w:val="2E32193B"/>
    <w:rsid w:val="2E39231C"/>
    <w:rsid w:val="2E56209C"/>
    <w:rsid w:val="2E8337A2"/>
    <w:rsid w:val="2E8A57EA"/>
    <w:rsid w:val="2EB060C2"/>
    <w:rsid w:val="2EB4662E"/>
    <w:rsid w:val="2EC27BA3"/>
    <w:rsid w:val="2EEA5313"/>
    <w:rsid w:val="2F034443"/>
    <w:rsid w:val="2F1A1856"/>
    <w:rsid w:val="2F2925AF"/>
    <w:rsid w:val="2F2F5238"/>
    <w:rsid w:val="2F397A40"/>
    <w:rsid w:val="2F3A4309"/>
    <w:rsid w:val="2F4B7B98"/>
    <w:rsid w:val="2F4D1B62"/>
    <w:rsid w:val="2F5B483E"/>
    <w:rsid w:val="2F5D35C4"/>
    <w:rsid w:val="2F6173BC"/>
    <w:rsid w:val="2F666B63"/>
    <w:rsid w:val="2F8D6311"/>
    <w:rsid w:val="2F971030"/>
    <w:rsid w:val="2F9F78B1"/>
    <w:rsid w:val="2FC736C3"/>
    <w:rsid w:val="2FCD7301"/>
    <w:rsid w:val="2FEA3FFE"/>
    <w:rsid w:val="2FF10740"/>
    <w:rsid w:val="2FFB00F8"/>
    <w:rsid w:val="300F506A"/>
    <w:rsid w:val="300F55E6"/>
    <w:rsid w:val="30305B1B"/>
    <w:rsid w:val="30611B6D"/>
    <w:rsid w:val="30612B5B"/>
    <w:rsid w:val="306C7EFE"/>
    <w:rsid w:val="308952B0"/>
    <w:rsid w:val="308A4F2F"/>
    <w:rsid w:val="30902D45"/>
    <w:rsid w:val="3092460A"/>
    <w:rsid w:val="30956529"/>
    <w:rsid w:val="309918E9"/>
    <w:rsid w:val="309C64CF"/>
    <w:rsid w:val="30A26212"/>
    <w:rsid w:val="30A371B5"/>
    <w:rsid w:val="30A6152A"/>
    <w:rsid w:val="30A91A2E"/>
    <w:rsid w:val="30B20672"/>
    <w:rsid w:val="30E65DCB"/>
    <w:rsid w:val="30EB1633"/>
    <w:rsid w:val="30FF6E8C"/>
    <w:rsid w:val="31416C5C"/>
    <w:rsid w:val="314D7BF8"/>
    <w:rsid w:val="316B4522"/>
    <w:rsid w:val="316D0DA5"/>
    <w:rsid w:val="31813D45"/>
    <w:rsid w:val="31B3151A"/>
    <w:rsid w:val="31BA0EA5"/>
    <w:rsid w:val="31BD1E29"/>
    <w:rsid w:val="31BE6E53"/>
    <w:rsid w:val="31C02DAE"/>
    <w:rsid w:val="31CB333D"/>
    <w:rsid w:val="31CD60F6"/>
    <w:rsid w:val="31E71DFA"/>
    <w:rsid w:val="31F36A80"/>
    <w:rsid w:val="320F7194"/>
    <w:rsid w:val="32354F6B"/>
    <w:rsid w:val="32406B7F"/>
    <w:rsid w:val="32425283"/>
    <w:rsid w:val="326B1AE0"/>
    <w:rsid w:val="32812E6C"/>
    <w:rsid w:val="32904003"/>
    <w:rsid w:val="32990513"/>
    <w:rsid w:val="32AE121D"/>
    <w:rsid w:val="32B66D20"/>
    <w:rsid w:val="32D54B9D"/>
    <w:rsid w:val="330865C8"/>
    <w:rsid w:val="330B779A"/>
    <w:rsid w:val="331C1F78"/>
    <w:rsid w:val="331D184C"/>
    <w:rsid w:val="33205E2B"/>
    <w:rsid w:val="333C359F"/>
    <w:rsid w:val="335E56A9"/>
    <w:rsid w:val="338F274A"/>
    <w:rsid w:val="339935C8"/>
    <w:rsid w:val="339F6038"/>
    <w:rsid w:val="33B45F7E"/>
    <w:rsid w:val="33CC574C"/>
    <w:rsid w:val="33CF6FEA"/>
    <w:rsid w:val="33D068BE"/>
    <w:rsid w:val="33D91F25"/>
    <w:rsid w:val="34222E91"/>
    <w:rsid w:val="343018AE"/>
    <w:rsid w:val="34324DB1"/>
    <w:rsid w:val="343865BD"/>
    <w:rsid w:val="343F692D"/>
    <w:rsid w:val="34411D1D"/>
    <w:rsid w:val="345073E6"/>
    <w:rsid w:val="345614B9"/>
    <w:rsid w:val="34833930"/>
    <w:rsid w:val="34866A39"/>
    <w:rsid w:val="348817B1"/>
    <w:rsid w:val="348D4E23"/>
    <w:rsid w:val="34CC52D7"/>
    <w:rsid w:val="34D81ECE"/>
    <w:rsid w:val="34DA79F4"/>
    <w:rsid w:val="34DD4A76"/>
    <w:rsid w:val="34DE5317"/>
    <w:rsid w:val="34DF325D"/>
    <w:rsid w:val="34F442A9"/>
    <w:rsid w:val="3507608E"/>
    <w:rsid w:val="3511441F"/>
    <w:rsid w:val="35154ED0"/>
    <w:rsid w:val="3529097C"/>
    <w:rsid w:val="352E5F4D"/>
    <w:rsid w:val="35301D0A"/>
    <w:rsid w:val="3543266F"/>
    <w:rsid w:val="354632DC"/>
    <w:rsid w:val="356B4AF0"/>
    <w:rsid w:val="356D6ABA"/>
    <w:rsid w:val="358805AB"/>
    <w:rsid w:val="359A34CC"/>
    <w:rsid w:val="35AA25DF"/>
    <w:rsid w:val="35AD5109"/>
    <w:rsid w:val="35B47897"/>
    <w:rsid w:val="35B53FBD"/>
    <w:rsid w:val="35C031DF"/>
    <w:rsid w:val="35C24D96"/>
    <w:rsid w:val="35C86A1A"/>
    <w:rsid w:val="35CF1523"/>
    <w:rsid w:val="35D703D8"/>
    <w:rsid w:val="35DE3665"/>
    <w:rsid w:val="35DF02EF"/>
    <w:rsid w:val="35EB1B74"/>
    <w:rsid w:val="35F44AE6"/>
    <w:rsid w:val="36071A43"/>
    <w:rsid w:val="36546188"/>
    <w:rsid w:val="366E68DA"/>
    <w:rsid w:val="36737EBE"/>
    <w:rsid w:val="36756265"/>
    <w:rsid w:val="368262AA"/>
    <w:rsid w:val="36B6623F"/>
    <w:rsid w:val="36E865A3"/>
    <w:rsid w:val="36F05BAE"/>
    <w:rsid w:val="36F71555"/>
    <w:rsid w:val="36F853A7"/>
    <w:rsid w:val="36FB1EA4"/>
    <w:rsid w:val="36FC151F"/>
    <w:rsid w:val="37496F7A"/>
    <w:rsid w:val="374E3174"/>
    <w:rsid w:val="374E39C9"/>
    <w:rsid w:val="37503F9E"/>
    <w:rsid w:val="376D6F23"/>
    <w:rsid w:val="377040B6"/>
    <w:rsid w:val="37935876"/>
    <w:rsid w:val="37A814B8"/>
    <w:rsid w:val="37F039D3"/>
    <w:rsid w:val="37F84C01"/>
    <w:rsid w:val="38037FF5"/>
    <w:rsid w:val="3828112E"/>
    <w:rsid w:val="383270EA"/>
    <w:rsid w:val="3834566E"/>
    <w:rsid w:val="385851E1"/>
    <w:rsid w:val="387C7014"/>
    <w:rsid w:val="387F672B"/>
    <w:rsid w:val="3894625F"/>
    <w:rsid w:val="38A02C28"/>
    <w:rsid w:val="38A57162"/>
    <w:rsid w:val="38A64207"/>
    <w:rsid w:val="38AA60D6"/>
    <w:rsid w:val="38C05153"/>
    <w:rsid w:val="38F60882"/>
    <w:rsid w:val="38FC020D"/>
    <w:rsid w:val="39022116"/>
    <w:rsid w:val="39137E32"/>
    <w:rsid w:val="3937552D"/>
    <w:rsid w:val="394250FE"/>
    <w:rsid w:val="39451C2E"/>
    <w:rsid w:val="39573D9E"/>
    <w:rsid w:val="39981B30"/>
    <w:rsid w:val="39AF4AD2"/>
    <w:rsid w:val="39BA18C5"/>
    <w:rsid w:val="39C14EC0"/>
    <w:rsid w:val="39D8471E"/>
    <w:rsid w:val="39F32D23"/>
    <w:rsid w:val="39F34FED"/>
    <w:rsid w:val="39F72AA6"/>
    <w:rsid w:val="3A1B3A32"/>
    <w:rsid w:val="3A235A71"/>
    <w:rsid w:val="3A3D661B"/>
    <w:rsid w:val="3A4614A9"/>
    <w:rsid w:val="3A4B4A64"/>
    <w:rsid w:val="3A6E018B"/>
    <w:rsid w:val="3A7374AB"/>
    <w:rsid w:val="3AA70B7D"/>
    <w:rsid w:val="3AA7481D"/>
    <w:rsid w:val="3ACF78CF"/>
    <w:rsid w:val="3AD0638B"/>
    <w:rsid w:val="3AD71050"/>
    <w:rsid w:val="3AEA41B5"/>
    <w:rsid w:val="3B0357CB"/>
    <w:rsid w:val="3B27401A"/>
    <w:rsid w:val="3B522666"/>
    <w:rsid w:val="3B605478"/>
    <w:rsid w:val="3B8F3784"/>
    <w:rsid w:val="3B95318F"/>
    <w:rsid w:val="3B9D177C"/>
    <w:rsid w:val="3BA96B71"/>
    <w:rsid w:val="3BD57296"/>
    <w:rsid w:val="3BE36841"/>
    <w:rsid w:val="3BF914F4"/>
    <w:rsid w:val="3BFE509A"/>
    <w:rsid w:val="3C034C82"/>
    <w:rsid w:val="3C131844"/>
    <w:rsid w:val="3C2974B3"/>
    <w:rsid w:val="3C426361"/>
    <w:rsid w:val="3C546447"/>
    <w:rsid w:val="3C5B6745"/>
    <w:rsid w:val="3C6B3628"/>
    <w:rsid w:val="3C793F97"/>
    <w:rsid w:val="3C8B38E1"/>
    <w:rsid w:val="3C8C2991"/>
    <w:rsid w:val="3CAA05F4"/>
    <w:rsid w:val="3CC33464"/>
    <w:rsid w:val="3CCD42E3"/>
    <w:rsid w:val="3CDB69FF"/>
    <w:rsid w:val="3CDC62D4"/>
    <w:rsid w:val="3CFD37EC"/>
    <w:rsid w:val="3D281519"/>
    <w:rsid w:val="3D6574A6"/>
    <w:rsid w:val="3D6830C4"/>
    <w:rsid w:val="3D760877"/>
    <w:rsid w:val="3D772606"/>
    <w:rsid w:val="3D785FFC"/>
    <w:rsid w:val="3D8C6D07"/>
    <w:rsid w:val="3D9378F2"/>
    <w:rsid w:val="3D9A41C5"/>
    <w:rsid w:val="3DA556B2"/>
    <w:rsid w:val="3DAC3EF8"/>
    <w:rsid w:val="3DB76351"/>
    <w:rsid w:val="3DC76F84"/>
    <w:rsid w:val="3DCB0822"/>
    <w:rsid w:val="3DFA2BBE"/>
    <w:rsid w:val="3E03620E"/>
    <w:rsid w:val="3E0F7557"/>
    <w:rsid w:val="3E1B0B74"/>
    <w:rsid w:val="3E2D328B"/>
    <w:rsid w:val="3E354D8A"/>
    <w:rsid w:val="3E37533F"/>
    <w:rsid w:val="3E3A1504"/>
    <w:rsid w:val="3E3F2FBE"/>
    <w:rsid w:val="3E5E705F"/>
    <w:rsid w:val="3E6D222C"/>
    <w:rsid w:val="3E907376"/>
    <w:rsid w:val="3E965F15"/>
    <w:rsid w:val="3EA861DA"/>
    <w:rsid w:val="3EAF165A"/>
    <w:rsid w:val="3EB968CD"/>
    <w:rsid w:val="3EBC63BD"/>
    <w:rsid w:val="3ECD2378"/>
    <w:rsid w:val="3ECF4342"/>
    <w:rsid w:val="3ED82BCC"/>
    <w:rsid w:val="3EE37DED"/>
    <w:rsid w:val="3F3E5024"/>
    <w:rsid w:val="3F4E170B"/>
    <w:rsid w:val="3F67457A"/>
    <w:rsid w:val="3F782C2D"/>
    <w:rsid w:val="3F7B0026"/>
    <w:rsid w:val="3F7D7C62"/>
    <w:rsid w:val="3F87539D"/>
    <w:rsid w:val="3F8D5553"/>
    <w:rsid w:val="3F9E7BA5"/>
    <w:rsid w:val="3FE0432D"/>
    <w:rsid w:val="3FF638FD"/>
    <w:rsid w:val="40154B29"/>
    <w:rsid w:val="4039566C"/>
    <w:rsid w:val="403F7575"/>
    <w:rsid w:val="40533F5C"/>
    <w:rsid w:val="40632F94"/>
    <w:rsid w:val="40775150"/>
    <w:rsid w:val="407A02DD"/>
    <w:rsid w:val="407F405E"/>
    <w:rsid w:val="40803861"/>
    <w:rsid w:val="409370B0"/>
    <w:rsid w:val="40980F08"/>
    <w:rsid w:val="40B14030"/>
    <w:rsid w:val="40C120CD"/>
    <w:rsid w:val="40E13A86"/>
    <w:rsid w:val="40EE3E7E"/>
    <w:rsid w:val="40F869A3"/>
    <w:rsid w:val="41344930"/>
    <w:rsid w:val="4135614B"/>
    <w:rsid w:val="413F7AA0"/>
    <w:rsid w:val="41415E9E"/>
    <w:rsid w:val="414867C0"/>
    <w:rsid w:val="414A2F2A"/>
    <w:rsid w:val="414D154E"/>
    <w:rsid w:val="41686388"/>
    <w:rsid w:val="416E4E06"/>
    <w:rsid w:val="41980093"/>
    <w:rsid w:val="419D77EE"/>
    <w:rsid w:val="41A03D74"/>
    <w:rsid w:val="41A75842"/>
    <w:rsid w:val="41B54B13"/>
    <w:rsid w:val="41BC374E"/>
    <w:rsid w:val="41C16198"/>
    <w:rsid w:val="41C62F9F"/>
    <w:rsid w:val="41DA7286"/>
    <w:rsid w:val="41E41EB2"/>
    <w:rsid w:val="41F622DC"/>
    <w:rsid w:val="42092064"/>
    <w:rsid w:val="421D7172"/>
    <w:rsid w:val="42253E56"/>
    <w:rsid w:val="42442951"/>
    <w:rsid w:val="42552336"/>
    <w:rsid w:val="425863FC"/>
    <w:rsid w:val="425E290D"/>
    <w:rsid w:val="427717D3"/>
    <w:rsid w:val="427B20EB"/>
    <w:rsid w:val="427E4891"/>
    <w:rsid w:val="427F1A20"/>
    <w:rsid w:val="42814AA1"/>
    <w:rsid w:val="429F2D3C"/>
    <w:rsid w:val="42B559FF"/>
    <w:rsid w:val="42C83C9E"/>
    <w:rsid w:val="42CA46A0"/>
    <w:rsid w:val="42D02437"/>
    <w:rsid w:val="4310261D"/>
    <w:rsid w:val="43392C9A"/>
    <w:rsid w:val="433A3D54"/>
    <w:rsid w:val="43456981"/>
    <w:rsid w:val="434652EE"/>
    <w:rsid w:val="434846C3"/>
    <w:rsid w:val="43522772"/>
    <w:rsid w:val="4374370A"/>
    <w:rsid w:val="437E00E5"/>
    <w:rsid w:val="4383394D"/>
    <w:rsid w:val="438C7FE1"/>
    <w:rsid w:val="43980FC8"/>
    <w:rsid w:val="43B1111A"/>
    <w:rsid w:val="43BF2BD7"/>
    <w:rsid w:val="43D745D9"/>
    <w:rsid w:val="43DE6767"/>
    <w:rsid w:val="43E42FB9"/>
    <w:rsid w:val="43E560F1"/>
    <w:rsid w:val="43E837B0"/>
    <w:rsid w:val="43F65ECD"/>
    <w:rsid w:val="44060F86"/>
    <w:rsid w:val="4406131F"/>
    <w:rsid w:val="440A3726"/>
    <w:rsid w:val="44256EDB"/>
    <w:rsid w:val="443609BF"/>
    <w:rsid w:val="44360F15"/>
    <w:rsid w:val="44395B7B"/>
    <w:rsid w:val="44651EC3"/>
    <w:rsid w:val="4484797D"/>
    <w:rsid w:val="449175A0"/>
    <w:rsid w:val="449D39F5"/>
    <w:rsid w:val="44A377A9"/>
    <w:rsid w:val="44C53AE2"/>
    <w:rsid w:val="44CD4C98"/>
    <w:rsid w:val="44FC7513"/>
    <w:rsid w:val="450A37AA"/>
    <w:rsid w:val="450B7CFD"/>
    <w:rsid w:val="452138FB"/>
    <w:rsid w:val="454F3145"/>
    <w:rsid w:val="45546485"/>
    <w:rsid w:val="45570552"/>
    <w:rsid w:val="45631DE6"/>
    <w:rsid w:val="456F5A46"/>
    <w:rsid w:val="457A48DC"/>
    <w:rsid w:val="45852C0D"/>
    <w:rsid w:val="459D3528"/>
    <w:rsid w:val="45A523A1"/>
    <w:rsid w:val="45A73923"/>
    <w:rsid w:val="45CD7101"/>
    <w:rsid w:val="45E40FD1"/>
    <w:rsid w:val="460951E5"/>
    <w:rsid w:val="460F3276"/>
    <w:rsid w:val="461940F5"/>
    <w:rsid w:val="462078FF"/>
    <w:rsid w:val="46222FA9"/>
    <w:rsid w:val="46284338"/>
    <w:rsid w:val="46317690"/>
    <w:rsid w:val="463351B6"/>
    <w:rsid w:val="46367BC0"/>
    <w:rsid w:val="467852BF"/>
    <w:rsid w:val="46844A32"/>
    <w:rsid w:val="46875502"/>
    <w:rsid w:val="46941ED9"/>
    <w:rsid w:val="46962EBD"/>
    <w:rsid w:val="46A46BE9"/>
    <w:rsid w:val="46C77B24"/>
    <w:rsid w:val="46D01E3A"/>
    <w:rsid w:val="46F76979"/>
    <w:rsid w:val="46F81F5C"/>
    <w:rsid w:val="47095999"/>
    <w:rsid w:val="47164662"/>
    <w:rsid w:val="47236543"/>
    <w:rsid w:val="47257848"/>
    <w:rsid w:val="47285D3D"/>
    <w:rsid w:val="47291919"/>
    <w:rsid w:val="473B3050"/>
    <w:rsid w:val="473B3BEA"/>
    <w:rsid w:val="474E4E09"/>
    <w:rsid w:val="474F288B"/>
    <w:rsid w:val="478234F8"/>
    <w:rsid w:val="47831DE0"/>
    <w:rsid w:val="478C73AF"/>
    <w:rsid w:val="479E6FA7"/>
    <w:rsid w:val="47B727F3"/>
    <w:rsid w:val="47B93A3E"/>
    <w:rsid w:val="47E54403"/>
    <w:rsid w:val="47E82E09"/>
    <w:rsid w:val="47F06A54"/>
    <w:rsid w:val="47F77BA0"/>
    <w:rsid w:val="480935B8"/>
    <w:rsid w:val="48311BC9"/>
    <w:rsid w:val="48520700"/>
    <w:rsid w:val="485B6C46"/>
    <w:rsid w:val="486E0728"/>
    <w:rsid w:val="48897310"/>
    <w:rsid w:val="488E0DCA"/>
    <w:rsid w:val="48A36EB3"/>
    <w:rsid w:val="48A8119E"/>
    <w:rsid w:val="48BD0863"/>
    <w:rsid w:val="48BD7FE8"/>
    <w:rsid w:val="48CB5B7A"/>
    <w:rsid w:val="48DE6819"/>
    <w:rsid w:val="48EB00AD"/>
    <w:rsid w:val="48F30C2D"/>
    <w:rsid w:val="49061A89"/>
    <w:rsid w:val="490F4DEA"/>
    <w:rsid w:val="491C63D6"/>
    <w:rsid w:val="49316623"/>
    <w:rsid w:val="493B5C19"/>
    <w:rsid w:val="493E070A"/>
    <w:rsid w:val="494C4797"/>
    <w:rsid w:val="49635DB3"/>
    <w:rsid w:val="49755AE6"/>
    <w:rsid w:val="49836455"/>
    <w:rsid w:val="49885819"/>
    <w:rsid w:val="498B5309"/>
    <w:rsid w:val="49A44CD1"/>
    <w:rsid w:val="49AD5280"/>
    <w:rsid w:val="49AF33A2"/>
    <w:rsid w:val="49B05850"/>
    <w:rsid w:val="49B27E76"/>
    <w:rsid w:val="49BB319A"/>
    <w:rsid w:val="49C10D2B"/>
    <w:rsid w:val="49C16F7D"/>
    <w:rsid w:val="49C35B92"/>
    <w:rsid w:val="49C37D91"/>
    <w:rsid w:val="49E85F88"/>
    <w:rsid w:val="4A1E36D0"/>
    <w:rsid w:val="4A224A86"/>
    <w:rsid w:val="4A3835D3"/>
    <w:rsid w:val="4A913C61"/>
    <w:rsid w:val="4A91694F"/>
    <w:rsid w:val="4A942144"/>
    <w:rsid w:val="4A946440"/>
    <w:rsid w:val="4AA41745"/>
    <w:rsid w:val="4AA448D5"/>
    <w:rsid w:val="4AAF6DD6"/>
    <w:rsid w:val="4ABA06A9"/>
    <w:rsid w:val="4AE12CD8"/>
    <w:rsid w:val="4AE14CE5"/>
    <w:rsid w:val="4AF46CEF"/>
    <w:rsid w:val="4AF95B02"/>
    <w:rsid w:val="4B182C41"/>
    <w:rsid w:val="4B2B0B52"/>
    <w:rsid w:val="4B555BCF"/>
    <w:rsid w:val="4B582A18"/>
    <w:rsid w:val="4B7C61E8"/>
    <w:rsid w:val="4BC53274"/>
    <w:rsid w:val="4BC75484"/>
    <w:rsid w:val="4BD60E0F"/>
    <w:rsid w:val="4BDE7186"/>
    <w:rsid w:val="4BF214F2"/>
    <w:rsid w:val="4BFE1C3A"/>
    <w:rsid w:val="4C067046"/>
    <w:rsid w:val="4C15535E"/>
    <w:rsid w:val="4C167EC0"/>
    <w:rsid w:val="4C286E40"/>
    <w:rsid w:val="4C5835B8"/>
    <w:rsid w:val="4C5C7A55"/>
    <w:rsid w:val="4C8425E4"/>
    <w:rsid w:val="4C843198"/>
    <w:rsid w:val="4C84765C"/>
    <w:rsid w:val="4C8D5335"/>
    <w:rsid w:val="4CE9093D"/>
    <w:rsid w:val="4CF5694E"/>
    <w:rsid w:val="4CF77C53"/>
    <w:rsid w:val="4D0C050F"/>
    <w:rsid w:val="4D1F46E6"/>
    <w:rsid w:val="4D355F0D"/>
    <w:rsid w:val="4D414F80"/>
    <w:rsid w:val="4D761E2D"/>
    <w:rsid w:val="4D8B5F48"/>
    <w:rsid w:val="4D8C1650"/>
    <w:rsid w:val="4D933355"/>
    <w:rsid w:val="4DB04E83"/>
    <w:rsid w:val="4DB561FB"/>
    <w:rsid w:val="4DD4222A"/>
    <w:rsid w:val="4DD92AE7"/>
    <w:rsid w:val="4DE72BC1"/>
    <w:rsid w:val="4DE84AD8"/>
    <w:rsid w:val="4E1A6C5C"/>
    <w:rsid w:val="4E1F10C9"/>
    <w:rsid w:val="4E3166D6"/>
    <w:rsid w:val="4E607225"/>
    <w:rsid w:val="4E833808"/>
    <w:rsid w:val="4EA17C8F"/>
    <w:rsid w:val="4EA86291"/>
    <w:rsid w:val="4ED86247"/>
    <w:rsid w:val="4EDB463D"/>
    <w:rsid w:val="4EE80403"/>
    <w:rsid w:val="4EF84FCB"/>
    <w:rsid w:val="4EF96F78"/>
    <w:rsid w:val="4F005E52"/>
    <w:rsid w:val="4F1869D4"/>
    <w:rsid w:val="4F1D3C8E"/>
    <w:rsid w:val="4F1E3C95"/>
    <w:rsid w:val="4F2C22E7"/>
    <w:rsid w:val="4F3D0FA0"/>
    <w:rsid w:val="4F4B5D83"/>
    <w:rsid w:val="4F4E4E0F"/>
    <w:rsid w:val="4F560A37"/>
    <w:rsid w:val="4F631692"/>
    <w:rsid w:val="4F692025"/>
    <w:rsid w:val="4F7725B8"/>
    <w:rsid w:val="4F7A3E56"/>
    <w:rsid w:val="4F870321"/>
    <w:rsid w:val="4F890F7F"/>
    <w:rsid w:val="4FA63CB9"/>
    <w:rsid w:val="4FA9668F"/>
    <w:rsid w:val="4FAA5F43"/>
    <w:rsid w:val="4FB3199F"/>
    <w:rsid w:val="4FB541B4"/>
    <w:rsid w:val="4FC652ED"/>
    <w:rsid w:val="4FD028FF"/>
    <w:rsid w:val="4FD64808"/>
    <w:rsid w:val="4FD8131E"/>
    <w:rsid w:val="4FD86DCF"/>
    <w:rsid w:val="4FDB0BF1"/>
    <w:rsid w:val="4FF05EC6"/>
    <w:rsid w:val="50024FAF"/>
    <w:rsid w:val="501241CB"/>
    <w:rsid w:val="501D29FE"/>
    <w:rsid w:val="504D1B60"/>
    <w:rsid w:val="50583ADD"/>
    <w:rsid w:val="50733DC4"/>
    <w:rsid w:val="50863F0E"/>
    <w:rsid w:val="509B0528"/>
    <w:rsid w:val="509C58BA"/>
    <w:rsid w:val="509F74AB"/>
    <w:rsid w:val="50B341F7"/>
    <w:rsid w:val="50D15CF8"/>
    <w:rsid w:val="50F87728"/>
    <w:rsid w:val="512B7338"/>
    <w:rsid w:val="51311242"/>
    <w:rsid w:val="51575BFE"/>
    <w:rsid w:val="519B6B0A"/>
    <w:rsid w:val="51A4340C"/>
    <w:rsid w:val="51C365B2"/>
    <w:rsid w:val="51D15C06"/>
    <w:rsid w:val="51DC4954"/>
    <w:rsid w:val="51E7154B"/>
    <w:rsid w:val="51E754ED"/>
    <w:rsid w:val="51ED2C7A"/>
    <w:rsid w:val="520A30CD"/>
    <w:rsid w:val="5217023B"/>
    <w:rsid w:val="523C1897"/>
    <w:rsid w:val="524D2FE5"/>
    <w:rsid w:val="525E0C42"/>
    <w:rsid w:val="526B51B3"/>
    <w:rsid w:val="527346F9"/>
    <w:rsid w:val="528E38ED"/>
    <w:rsid w:val="52A1794C"/>
    <w:rsid w:val="52AA302D"/>
    <w:rsid w:val="52E141EC"/>
    <w:rsid w:val="52F70339"/>
    <w:rsid w:val="533802B0"/>
    <w:rsid w:val="533C1422"/>
    <w:rsid w:val="535F39CE"/>
    <w:rsid w:val="53844015"/>
    <w:rsid w:val="53980D4F"/>
    <w:rsid w:val="53AF2DC7"/>
    <w:rsid w:val="53B547E4"/>
    <w:rsid w:val="53C54A7E"/>
    <w:rsid w:val="53E00F74"/>
    <w:rsid w:val="53ED77E6"/>
    <w:rsid w:val="53F427B9"/>
    <w:rsid w:val="541F6D7A"/>
    <w:rsid w:val="542F397D"/>
    <w:rsid w:val="54400A9A"/>
    <w:rsid w:val="545A2356"/>
    <w:rsid w:val="54DC5F38"/>
    <w:rsid w:val="54DF2FCC"/>
    <w:rsid w:val="54E029AD"/>
    <w:rsid w:val="54F93EBC"/>
    <w:rsid w:val="550F7A5B"/>
    <w:rsid w:val="5510701F"/>
    <w:rsid w:val="551B75AE"/>
    <w:rsid w:val="55230AEC"/>
    <w:rsid w:val="55256612"/>
    <w:rsid w:val="554064E9"/>
    <w:rsid w:val="554C1BF1"/>
    <w:rsid w:val="55594E94"/>
    <w:rsid w:val="55621614"/>
    <w:rsid w:val="557650C0"/>
    <w:rsid w:val="5579070C"/>
    <w:rsid w:val="557B26D6"/>
    <w:rsid w:val="55866E0A"/>
    <w:rsid w:val="558A1367"/>
    <w:rsid w:val="55933D75"/>
    <w:rsid w:val="5599291F"/>
    <w:rsid w:val="55996042"/>
    <w:rsid w:val="55A07807"/>
    <w:rsid w:val="55BA1450"/>
    <w:rsid w:val="55BF7DAB"/>
    <w:rsid w:val="55C022BA"/>
    <w:rsid w:val="55CF47D0"/>
    <w:rsid w:val="56130B60"/>
    <w:rsid w:val="56474B1D"/>
    <w:rsid w:val="56497633"/>
    <w:rsid w:val="56520719"/>
    <w:rsid w:val="56531C0A"/>
    <w:rsid w:val="56A62938"/>
    <w:rsid w:val="56BD475C"/>
    <w:rsid w:val="56C169E5"/>
    <w:rsid w:val="56C8194B"/>
    <w:rsid w:val="56CB6225"/>
    <w:rsid w:val="56D06A51"/>
    <w:rsid w:val="56F20776"/>
    <w:rsid w:val="56F65479"/>
    <w:rsid w:val="56FA7E8B"/>
    <w:rsid w:val="56FC58A6"/>
    <w:rsid w:val="571A31DA"/>
    <w:rsid w:val="571F34FB"/>
    <w:rsid w:val="572528F9"/>
    <w:rsid w:val="57283E0B"/>
    <w:rsid w:val="572E3DFB"/>
    <w:rsid w:val="573351B0"/>
    <w:rsid w:val="57390C18"/>
    <w:rsid w:val="57571CBA"/>
    <w:rsid w:val="57905554"/>
    <w:rsid w:val="57C57C38"/>
    <w:rsid w:val="57D07475"/>
    <w:rsid w:val="57D455E1"/>
    <w:rsid w:val="58044C05"/>
    <w:rsid w:val="5814296E"/>
    <w:rsid w:val="581F1A3E"/>
    <w:rsid w:val="583C439E"/>
    <w:rsid w:val="584274DB"/>
    <w:rsid w:val="584C7F32"/>
    <w:rsid w:val="585D4208"/>
    <w:rsid w:val="586631C9"/>
    <w:rsid w:val="58840844"/>
    <w:rsid w:val="588440C7"/>
    <w:rsid w:val="58BD6B62"/>
    <w:rsid w:val="58CC3F96"/>
    <w:rsid w:val="58E70023"/>
    <w:rsid w:val="58EE5CF5"/>
    <w:rsid w:val="58FF18EE"/>
    <w:rsid w:val="592F4560"/>
    <w:rsid w:val="59417CFE"/>
    <w:rsid w:val="59462FFB"/>
    <w:rsid w:val="594A2AEB"/>
    <w:rsid w:val="595450BA"/>
    <w:rsid w:val="59587923"/>
    <w:rsid w:val="595C637A"/>
    <w:rsid w:val="59775899"/>
    <w:rsid w:val="59843C6A"/>
    <w:rsid w:val="59A07D9A"/>
    <w:rsid w:val="59B73F60"/>
    <w:rsid w:val="59BB4B5B"/>
    <w:rsid w:val="59F27B21"/>
    <w:rsid w:val="5A13112F"/>
    <w:rsid w:val="5A1804F3"/>
    <w:rsid w:val="5A18539D"/>
    <w:rsid w:val="5A1A647C"/>
    <w:rsid w:val="5A1D1FAE"/>
    <w:rsid w:val="5A2C6645"/>
    <w:rsid w:val="5A354648"/>
    <w:rsid w:val="5A394AAB"/>
    <w:rsid w:val="5A5A4FB0"/>
    <w:rsid w:val="5A6310DA"/>
    <w:rsid w:val="5A650446"/>
    <w:rsid w:val="5A6E4EEC"/>
    <w:rsid w:val="5A767910"/>
    <w:rsid w:val="5A7D3E35"/>
    <w:rsid w:val="5A8B6673"/>
    <w:rsid w:val="5A9A023F"/>
    <w:rsid w:val="5AB06B20"/>
    <w:rsid w:val="5AB67D0C"/>
    <w:rsid w:val="5ACC5D51"/>
    <w:rsid w:val="5ACE6A69"/>
    <w:rsid w:val="5AE45748"/>
    <w:rsid w:val="5AE82E61"/>
    <w:rsid w:val="5AEE74A6"/>
    <w:rsid w:val="5AFC0F7F"/>
    <w:rsid w:val="5AFE3B8D"/>
    <w:rsid w:val="5B242EC8"/>
    <w:rsid w:val="5B372BFB"/>
    <w:rsid w:val="5B4672E2"/>
    <w:rsid w:val="5B5B3870"/>
    <w:rsid w:val="5B607CF8"/>
    <w:rsid w:val="5B730F17"/>
    <w:rsid w:val="5B884084"/>
    <w:rsid w:val="5B887BB7"/>
    <w:rsid w:val="5B8A042A"/>
    <w:rsid w:val="5B900847"/>
    <w:rsid w:val="5B9E711E"/>
    <w:rsid w:val="5BDC50C3"/>
    <w:rsid w:val="5BE34A4E"/>
    <w:rsid w:val="5BEE27B5"/>
    <w:rsid w:val="5C0E1115"/>
    <w:rsid w:val="5C1B076F"/>
    <w:rsid w:val="5C3B0F83"/>
    <w:rsid w:val="5C537F09"/>
    <w:rsid w:val="5C5E2199"/>
    <w:rsid w:val="5C677226"/>
    <w:rsid w:val="5C6E6AF1"/>
    <w:rsid w:val="5C745223"/>
    <w:rsid w:val="5C8835A3"/>
    <w:rsid w:val="5C8A5083"/>
    <w:rsid w:val="5CB83619"/>
    <w:rsid w:val="5CFC40FC"/>
    <w:rsid w:val="5D1D62C3"/>
    <w:rsid w:val="5D2E7C24"/>
    <w:rsid w:val="5D49561A"/>
    <w:rsid w:val="5D647EF4"/>
    <w:rsid w:val="5D667504"/>
    <w:rsid w:val="5D706898"/>
    <w:rsid w:val="5D942587"/>
    <w:rsid w:val="5D9B1B67"/>
    <w:rsid w:val="5D9E2C70"/>
    <w:rsid w:val="5DB858CE"/>
    <w:rsid w:val="5DCF0D76"/>
    <w:rsid w:val="5DDA6435"/>
    <w:rsid w:val="5DDD390F"/>
    <w:rsid w:val="5DE51EC6"/>
    <w:rsid w:val="5DFC012C"/>
    <w:rsid w:val="5DFD1BC3"/>
    <w:rsid w:val="5E0559EE"/>
    <w:rsid w:val="5E075446"/>
    <w:rsid w:val="5E167440"/>
    <w:rsid w:val="5E280F21"/>
    <w:rsid w:val="5E2A4C99"/>
    <w:rsid w:val="5E356E2D"/>
    <w:rsid w:val="5E3929A4"/>
    <w:rsid w:val="5E415870"/>
    <w:rsid w:val="5E4B3F43"/>
    <w:rsid w:val="5E5341F0"/>
    <w:rsid w:val="5E585426"/>
    <w:rsid w:val="5E5E18DF"/>
    <w:rsid w:val="5E6957C1"/>
    <w:rsid w:val="5E6B3CD4"/>
    <w:rsid w:val="5E72551F"/>
    <w:rsid w:val="5E810B9A"/>
    <w:rsid w:val="5E8F45A3"/>
    <w:rsid w:val="5EBD78E0"/>
    <w:rsid w:val="5EC40C4A"/>
    <w:rsid w:val="5F0B0627"/>
    <w:rsid w:val="5F1C6CD8"/>
    <w:rsid w:val="5F47185C"/>
    <w:rsid w:val="5F473D4F"/>
    <w:rsid w:val="5F50072F"/>
    <w:rsid w:val="5F545A7C"/>
    <w:rsid w:val="5F5656B0"/>
    <w:rsid w:val="5F630AE5"/>
    <w:rsid w:val="5F7F34EB"/>
    <w:rsid w:val="5FDE3F8D"/>
    <w:rsid w:val="5FE252DE"/>
    <w:rsid w:val="5FE315A4"/>
    <w:rsid w:val="5FF22ABD"/>
    <w:rsid w:val="600317E9"/>
    <w:rsid w:val="603154C1"/>
    <w:rsid w:val="604D2EC1"/>
    <w:rsid w:val="606E70C0"/>
    <w:rsid w:val="607C0FE5"/>
    <w:rsid w:val="60852569"/>
    <w:rsid w:val="609561DC"/>
    <w:rsid w:val="60DC6F0C"/>
    <w:rsid w:val="60E320D0"/>
    <w:rsid w:val="60F17CF0"/>
    <w:rsid w:val="60F715A3"/>
    <w:rsid w:val="60FD0443"/>
    <w:rsid w:val="610E4B69"/>
    <w:rsid w:val="6126799A"/>
    <w:rsid w:val="61335628"/>
    <w:rsid w:val="61484B8A"/>
    <w:rsid w:val="61495B2A"/>
    <w:rsid w:val="614F1C31"/>
    <w:rsid w:val="618E3791"/>
    <w:rsid w:val="619F2CB5"/>
    <w:rsid w:val="61A56906"/>
    <w:rsid w:val="61B81661"/>
    <w:rsid w:val="61CF0A40"/>
    <w:rsid w:val="61ED04B8"/>
    <w:rsid w:val="61F01D9D"/>
    <w:rsid w:val="61FB33CF"/>
    <w:rsid w:val="622003DE"/>
    <w:rsid w:val="6220088D"/>
    <w:rsid w:val="6237500A"/>
    <w:rsid w:val="62571DD5"/>
    <w:rsid w:val="62642A4C"/>
    <w:rsid w:val="62680DB7"/>
    <w:rsid w:val="627A35A1"/>
    <w:rsid w:val="62907837"/>
    <w:rsid w:val="6295367E"/>
    <w:rsid w:val="62996751"/>
    <w:rsid w:val="629D0130"/>
    <w:rsid w:val="629D37BB"/>
    <w:rsid w:val="62E25F4B"/>
    <w:rsid w:val="62E50DCE"/>
    <w:rsid w:val="630A358C"/>
    <w:rsid w:val="638D1F52"/>
    <w:rsid w:val="639C1066"/>
    <w:rsid w:val="63B74933"/>
    <w:rsid w:val="63C67212"/>
    <w:rsid w:val="63DE512B"/>
    <w:rsid w:val="64151D68"/>
    <w:rsid w:val="6416019A"/>
    <w:rsid w:val="64212885"/>
    <w:rsid w:val="643364F2"/>
    <w:rsid w:val="64480350"/>
    <w:rsid w:val="645B63B1"/>
    <w:rsid w:val="646F08D5"/>
    <w:rsid w:val="648570CD"/>
    <w:rsid w:val="64942E6C"/>
    <w:rsid w:val="64A00B10"/>
    <w:rsid w:val="64A66831"/>
    <w:rsid w:val="64AC4EB7"/>
    <w:rsid w:val="64C71494"/>
    <w:rsid w:val="64E75D0B"/>
    <w:rsid w:val="64F06418"/>
    <w:rsid w:val="64F64031"/>
    <w:rsid w:val="651061B6"/>
    <w:rsid w:val="65136487"/>
    <w:rsid w:val="655D6EB5"/>
    <w:rsid w:val="6560355A"/>
    <w:rsid w:val="656256ED"/>
    <w:rsid w:val="656B62C3"/>
    <w:rsid w:val="657A4758"/>
    <w:rsid w:val="659D27E5"/>
    <w:rsid w:val="65A044CA"/>
    <w:rsid w:val="65AD6914"/>
    <w:rsid w:val="65C43C25"/>
    <w:rsid w:val="65D200F0"/>
    <w:rsid w:val="65E329B5"/>
    <w:rsid w:val="65FA31A3"/>
    <w:rsid w:val="65FC2771"/>
    <w:rsid w:val="66012783"/>
    <w:rsid w:val="660364FC"/>
    <w:rsid w:val="660B53B0"/>
    <w:rsid w:val="66127C81"/>
    <w:rsid w:val="6626043C"/>
    <w:rsid w:val="66344D3E"/>
    <w:rsid w:val="6639016F"/>
    <w:rsid w:val="663C56A0"/>
    <w:rsid w:val="665A1E94"/>
    <w:rsid w:val="665C267F"/>
    <w:rsid w:val="66624588"/>
    <w:rsid w:val="66A01E6F"/>
    <w:rsid w:val="66A22C57"/>
    <w:rsid w:val="66BB6DD6"/>
    <w:rsid w:val="66C20165"/>
    <w:rsid w:val="66C83F2C"/>
    <w:rsid w:val="66D24120"/>
    <w:rsid w:val="66E33816"/>
    <w:rsid w:val="66EC2F44"/>
    <w:rsid w:val="66F7176D"/>
    <w:rsid w:val="66FA7EC8"/>
    <w:rsid w:val="6701538B"/>
    <w:rsid w:val="67110EA9"/>
    <w:rsid w:val="67180AE9"/>
    <w:rsid w:val="67226E55"/>
    <w:rsid w:val="67387A63"/>
    <w:rsid w:val="6739419F"/>
    <w:rsid w:val="676818B7"/>
    <w:rsid w:val="678F02D7"/>
    <w:rsid w:val="67B36C0C"/>
    <w:rsid w:val="67B850C4"/>
    <w:rsid w:val="67CC6DC1"/>
    <w:rsid w:val="67D15A64"/>
    <w:rsid w:val="67F01298"/>
    <w:rsid w:val="67FB08EB"/>
    <w:rsid w:val="67FB3025"/>
    <w:rsid w:val="67FC3E1A"/>
    <w:rsid w:val="68017E89"/>
    <w:rsid w:val="68031524"/>
    <w:rsid w:val="68112FCA"/>
    <w:rsid w:val="68195E58"/>
    <w:rsid w:val="683E3E9A"/>
    <w:rsid w:val="683F3A37"/>
    <w:rsid w:val="685412C0"/>
    <w:rsid w:val="68691E38"/>
    <w:rsid w:val="686A7F84"/>
    <w:rsid w:val="687B1001"/>
    <w:rsid w:val="68863414"/>
    <w:rsid w:val="689A2A1B"/>
    <w:rsid w:val="68A8782A"/>
    <w:rsid w:val="68B166E3"/>
    <w:rsid w:val="68DA0494"/>
    <w:rsid w:val="68E258A1"/>
    <w:rsid w:val="68E542A7"/>
    <w:rsid w:val="68F2471A"/>
    <w:rsid w:val="68FA376A"/>
    <w:rsid w:val="6920000C"/>
    <w:rsid w:val="69230C63"/>
    <w:rsid w:val="6925180D"/>
    <w:rsid w:val="692844CB"/>
    <w:rsid w:val="692C4A1B"/>
    <w:rsid w:val="692D388F"/>
    <w:rsid w:val="692D58D3"/>
    <w:rsid w:val="69367529"/>
    <w:rsid w:val="693D6EB4"/>
    <w:rsid w:val="69811A86"/>
    <w:rsid w:val="6983762F"/>
    <w:rsid w:val="69A00505"/>
    <w:rsid w:val="69A955F8"/>
    <w:rsid w:val="69AC6C0B"/>
    <w:rsid w:val="69B31FE7"/>
    <w:rsid w:val="69B61E25"/>
    <w:rsid w:val="69BB191B"/>
    <w:rsid w:val="69CC12FA"/>
    <w:rsid w:val="69D32689"/>
    <w:rsid w:val="69DF7D42"/>
    <w:rsid w:val="69E441CA"/>
    <w:rsid w:val="69E97A00"/>
    <w:rsid w:val="6A19339F"/>
    <w:rsid w:val="6A1A0E21"/>
    <w:rsid w:val="6A2677F7"/>
    <w:rsid w:val="6A68311E"/>
    <w:rsid w:val="6A6F0AC9"/>
    <w:rsid w:val="6A703DAE"/>
    <w:rsid w:val="6A7A2B04"/>
    <w:rsid w:val="6A7D6CAF"/>
    <w:rsid w:val="6A8739D3"/>
    <w:rsid w:val="6A9042E2"/>
    <w:rsid w:val="6A973C6D"/>
    <w:rsid w:val="6A9A5533"/>
    <w:rsid w:val="6AA162E3"/>
    <w:rsid w:val="6AB51D8E"/>
    <w:rsid w:val="6AB57FE0"/>
    <w:rsid w:val="6AC344AB"/>
    <w:rsid w:val="6AD72F36"/>
    <w:rsid w:val="6AFA3FDD"/>
    <w:rsid w:val="6B1846A8"/>
    <w:rsid w:val="6B1C3093"/>
    <w:rsid w:val="6B234F4A"/>
    <w:rsid w:val="6B3320C3"/>
    <w:rsid w:val="6B344DF0"/>
    <w:rsid w:val="6B3A3476"/>
    <w:rsid w:val="6B4F341C"/>
    <w:rsid w:val="6B5B0B88"/>
    <w:rsid w:val="6B6301E4"/>
    <w:rsid w:val="6B6D0974"/>
    <w:rsid w:val="6B726E54"/>
    <w:rsid w:val="6B7439F8"/>
    <w:rsid w:val="6BA72B78"/>
    <w:rsid w:val="6BAC4F3F"/>
    <w:rsid w:val="6BBA67F4"/>
    <w:rsid w:val="6BD63A05"/>
    <w:rsid w:val="6BDA0E02"/>
    <w:rsid w:val="6BDB0A81"/>
    <w:rsid w:val="6BEA091C"/>
    <w:rsid w:val="6BF80185"/>
    <w:rsid w:val="6C1B622C"/>
    <w:rsid w:val="6C2446F9"/>
    <w:rsid w:val="6C316D02"/>
    <w:rsid w:val="6C321490"/>
    <w:rsid w:val="6C321699"/>
    <w:rsid w:val="6C336F12"/>
    <w:rsid w:val="6C3513D9"/>
    <w:rsid w:val="6C3B4144"/>
    <w:rsid w:val="6C507FC1"/>
    <w:rsid w:val="6C515AE7"/>
    <w:rsid w:val="6C670C97"/>
    <w:rsid w:val="6C693B68"/>
    <w:rsid w:val="6C733CAF"/>
    <w:rsid w:val="6C796D9F"/>
    <w:rsid w:val="6C8A7920"/>
    <w:rsid w:val="6C8B48B1"/>
    <w:rsid w:val="6C937EAD"/>
    <w:rsid w:val="6C953733"/>
    <w:rsid w:val="6CA639CD"/>
    <w:rsid w:val="6CAF42DD"/>
    <w:rsid w:val="6CB70040"/>
    <w:rsid w:val="6CB807AD"/>
    <w:rsid w:val="6CCB618B"/>
    <w:rsid w:val="6CE547B7"/>
    <w:rsid w:val="6D056989"/>
    <w:rsid w:val="6D1C7EA3"/>
    <w:rsid w:val="6D205895"/>
    <w:rsid w:val="6D216B9A"/>
    <w:rsid w:val="6D341690"/>
    <w:rsid w:val="6D4312CD"/>
    <w:rsid w:val="6D5B21F7"/>
    <w:rsid w:val="6D7C0AE9"/>
    <w:rsid w:val="6D85303B"/>
    <w:rsid w:val="6DAB327B"/>
    <w:rsid w:val="6DCC18C9"/>
    <w:rsid w:val="6DD2313B"/>
    <w:rsid w:val="6DD8201C"/>
    <w:rsid w:val="6DFA0C7A"/>
    <w:rsid w:val="6DFA2445"/>
    <w:rsid w:val="6DFC1022"/>
    <w:rsid w:val="6E027DEE"/>
    <w:rsid w:val="6E1A7569"/>
    <w:rsid w:val="6E1F5E9D"/>
    <w:rsid w:val="6E2552ED"/>
    <w:rsid w:val="6E2B704C"/>
    <w:rsid w:val="6E7946DB"/>
    <w:rsid w:val="6E7A7577"/>
    <w:rsid w:val="6E803BE8"/>
    <w:rsid w:val="6E8A28E9"/>
    <w:rsid w:val="6E9679FF"/>
    <w:rsid w:val="6EA41295"/>
    <w:rsid w:val="6EA43493"/>
    <w:rsid w:val="6EB84E89"/>
    <w:rsid w:val="6EC67C3A"/>
    <w:rsid w:val="6ED10099"/>
    <w:rsid w:val="6EEB2223"/>
    <w:rsid w:val="6EEB5D7F"/>
    <w:rsid w:val="6F1D7848"/>
    <w:rsid w:val="6F2A51A0"/>
    <w:rsid w:val="6F615376"/>
    <w:rsid w:val="6F786CEE"/>
    <w:rsid w:val="6F8C3791"/>
    <w:rsid w:val="6FCF073C"/>
    <w:rsid w:val="6FE55C0C"/>
    <w:rsid w:val="6FF6773A"/>
    <w:rsid w:val="700167C8"/>
    <w:rsid w:val="7012146B"/>
    <w:rsid w:val="70310109"/>
    <w:rsid w:val="704A3FF8"/>
    <w:rsid w:val="704B4AC8"/>
    <w:rsid w:val="70514307"/>
    <w:rsid w:val="70545BA6"/>
    <w:rsid w:val="70613C5D"/>
    <w:rsid w:val="70666977"/>
    <w:rsid w:val="70792114"/>
    <w:rsid w:val="70810925"/>
    <w:rsid w:val="7086142A"/>
    <w:rsid w:val="70893AA1"/>
    <w:rsid w:val="70A17A56"/>
    <w:rsid w:val="70E33D42"/>
    <w:rsid w:val="70F544F3"/>
    <w:rsid w:val="70FE623D"/>
    <w:rsid w:val="71041CF8"/>
    <w:rsid w:val="71202F6F"/>
    <w:rsid w:val="71211CA2"/>
    <w:rsid w:val="71270FB3"/>
    <w:rsid w:val="71351C2D"/>
    <w:rsid w:val="715A71EC"/>
    <w:rsid w:val="715B3690"/>
    <w:rsid w:val="716B13F9"/>
    <w:rsid w:val="71823031"/>
    <w:rsid w:val="7185134D"/>
    <w:rsid w:val="718C304E"/>
    <w:rsid w:val="718F49FD"/>
    <w:rsid w:val="719426FE"/>
    <w:rsid w:val="71A5490B"/>
    <w:rsid w:val="71AB378B"/>
    <w:rsid w:val="71B0505E"/>
    <w:rsid w:val="71B316DD"/>
    <w:rsid w:val="71CB25AA"/>
    <w:rsid w:val="71D83356"/>
    <w:rsid w:val="71F35EB5"/>
    <w:rsid w:val="720C4C93"/>
    <w:rsid w:val="72131EB6"/>
    <w:rsid w:val="72216C4D"/>
    <w:rsid w:val="72361171"/>
    <w:rsid w:val="72451C4A"/>
    <w:rsid w:val="725047DE"/>
    <w:rsid w:val="72712474"/>
    <w:rsid w:val="72766AE8"/>
    <w:rsid w:val="727950DD"/>
    <w:rsid w:val="72912784"/>
    <w:rsid w:val="729F57FE"/>
    <w:rsid w:val="72AC0DAF"/>
    <w:rsid w:val="72BD6ACB"/>
    <w:rsid w:val="72C154D1"/>
    <w:rsid w:val="72C33CEF"/>
    <w:rsid w:val="72D55DFF"/>
    <w:rsid w:val="72DC3AFD"/>
    <w:rsid w:val="730D7B4F"/>
    <w:rsid w:val="730E64E0"/>
    <w:rsid w:val="730F0E54"/>
    <w:rsid w:val="73155AC0"/>
    <w:rsid w:val="731F06ED"/>
    <w:rsid w:val="732706F9"/>
    <w:rsid w:val="732B4388"/>
    <w:rsid w:val="733F0D8F"/>
    <w:rsid w:val="73454032"/>
    <w:rsid w:val="735F55E5"/>
    <w:rsid w:val="73941263"/>
    <w:rsid w:val="73BB1F06"/>
    <w:rsid w:val="73D36613"/>
    <w:rsid w:val="7407365B"/>
    <w:rsid w:val="740C6EC3"/>
    <w:rsid w:val="743E4BA3"/>
    <w:rsid w:val="744639CC"/>
    <w:rsid w:val="744C5512"/>
    <w:rsid w:val="74974023"/>
    <w:rsid w:val="74A05D67"/>
    <w:rsid w:val="74C47221"/>
    <w:rsid w:val="74D72C04"/>
    <w:rsid w:val="74EF5AE6"/>
    <w:rsid w:val="74F769B5"/>
    <w:rsid w:val="7513140C"/>
    <w:rsid w:val="754461E9"/>
    <w:rsid w:val="755B649A"/>
    <w:rsid w:val="7564688B"/>
    <w:rsid w:val="75680129"/>
    <w:rsid w:val="756A505E"/>
    <w:rsid w:val="75787FC9"/>
    <w:rsid w:val="758827E2"/>
    <w:rsid w:val="759058D2"/>
    <w:rsid w:val="759365F4"/>
    <w:rsid w:val="759F0683"/>
    <w:rsid w:val="75A51ECF"/>
    <w:rsid w:val="75A90798"/>
    <w:rsid w:val="75B545AA"/>
    <w:rsid w:val="75C73909"/>
    <w:rsid w:val="75EB6C83"/>
    <w:rsid w:val="75F249EA"/>
    <w:rsid w:val="75FE0A8D"/>
    <w:rsid w:val="762322A2"/>
    <w:rsid w:val="763C747E"/>
    <w:rsid w:val="765A6015"/>
    <w:rsid w:val="765C1C80"/>
    <w:rsid w:val="76665F34"/>
    <w:rsid w:val="7680524F"/>
    <w:rsid w:val="7685754C"/>
    <w:rsid w:val="76A46917"/>
    <w:rsid w:val="76A809F9"/>
    <w:rsid w:val="76B33626"/>
    <w:rsid w:val="76C96D94"/>
    <w:rsid w:val="76D12653"/>
    <w:rsid w:val="76D417EE"/>
    <w:rsid w:val="76D9077B"/>
    <w:rsid w:val="76E840FC"/>
    <w:rsid w:val="76EB32F5"/>
    <w:rsid w:val="76EC2FDC"/>
    <w:rsid w:val="7711659E"/>
    <w:rsid w:val="771459A6"/>
    <w:rsid w:val="771D4F43"/>
    <w:rsid w:val="772A2051"/>
    <w:rsid w:val="772E0EFE"/>
    <w:rsid w:val="773A3D47"/>
    <w:rsid w:val="77607E69"/>
    <w:rsid w:val="77626DFA"/>
    <w:rsid w:val="77667AF9"/>
    <w:rsid w:val="77715B85"/>
    <w:rsid w:val="77767741"/>
    <w:rsid w:val="777D3B96"/>
    <w:rsid w:val="77A41857"/>
    <w:rsid w:val="77AE0291"/>
    <w:rsid w:val="77C11D73"/>
    <w:rsid w:val="77C47A90"/>
    <w:rsid w:val="77C96214"/>
    <w:rsid w:val="77DF1E38"/>
    <w:rsid w:val="77DF61B9"/>
    <w:rsid w:val="77E67A2B"/>
    <w:rsid w:val="781D72B5"/>
    <w:rsid w:val="783F076E"/>
    <w:rsid w:val="785E6707"/>
    <w:rsid w:val="786A5D9D"/>
    <w:rsid w:val="786B6C35"/>
    <w:rsid w:val="78746F41"/>
    <w:rsid w:val="78765133"/>
    <w:rsid w:val="787C3E98"/>
    <w:rsid w:val="789B4F81"/>
    <w:rsid w:val="789D2ED2"/>
    <w:rsid w:val="78A02A5A"/>
    <w:rsid w:val="78D53773"/>
    <w:rsid w:val="78E421BD"/>
    <w:rsid w:val="78E950F0"/>
    <w:rsid w:val="78EA354B"/>
    <w:rsid w:val="78EA52F9"/>
    <w:rsid w:val="79075EAB"/>
    <w:rsid w:val="79142376"/>
    <w:rsid w:val="791A372E"/>
    <w:rsid w:val="791B013F"/>
    <w:rsid w:val="791D69FF"/>
    <w:rsid w:val="792E135E"/>
    <w:rsid w:val="79450781"/>
    <w:rsid w:val="794B7CCC"/>
    <w:rsid w:val="79556C16"/>
    <w:rsid w:val="79612E69"/>
    <w:rsid w:val="797C365C"/>
    <w:rsid w:val="798F00FE"/>
    <w:rsid w:val="79AD1484"/>
    <w:rsid w:val="79DF58FF"/>
    <w:rsid w:val="79EF399B"/>
    <w:rsid w:val="79F42021"/>
    <w:rsid w:val="79FB5AE0"/>
    <w:rsid w:val="7A092E01"/>
    <w:rsid w:val="7A0B19CB"/>
    <w:rsid w:val="7A195E96"/>
    <w:rsid w:val="7A567350"/>
    <w:rsid w:val="7A641081"/>
    <w:rsid w:val="7A715CD2"/>
    <w:rsid w:val="7A8D0477"/>
    <w:rsid w:val="7A905722"/>
    <w:rsid w:val="7A97325F"/>
    <w:rsid w:val="7A995229"/>
    <w:rsid w:val="7A9E4A38"/>
    <w:rsid w:val="7AAE27F4"/>
    <w:rsid w:val="7ABD0F17"/>
    <w:rsid w:val="7AC00390"/>
    <w:rsid w:val="7ACD1D04"/>
    <w:rsid w:val="7AD75E97"/>
    <w:rsid w:val="7ADB231E"/>
    <w:rsid w:val="7AF379C5"/>
    <w:rsid w:val="7AF71029"/>
    <w:rsid w:val="7B0D52CF"/>
    <w:rsid w:val="7B0F1874"/>
    <w:rsid w:val="7B13027A"/>
    <w:rsid w:val="7B186900"/>
    <w:rsid w:val="7B207590"/>
    <w:rsid w:val="7B273A10"/>
    <w:rsid w:val="7B2B5921"/>
    <w:rsid w:val="7B2C39A7"/>
    <w:rsid w:val="7B2C7E4B"/>
    <w:rsid w:val="7B4F4CA9"/>
    <w:rsid w:val="7B5D73F5"/>
    <w:rsid w:val="7B615DFB"/>
    <w:rsid w:val="7B6B65C3"/>
    <w:rsid w:val="7B723B17"/>
    <w:rsid w:val="7B9D48A5"/>
    <w:rsid w:val="7BA97F26"/>
    <w:rsid w:val="7BB3231A"/>
    <w:rsid w:val="7BC167E5"/>
    <w:rsid w:val="7BDC1EC1"/>
    <w:rsid w:val="7BDD144D"/>
    <w:rsid w:val="7BE86FD9"/>
    <w:rsid w:val="7BEB7F5D"/>
    <w:rsid w:val="7BF64053"/>
    <w:rsid w:val="7C1C5D6E"/>
    <w:rsid w:val="7C312C50"/>
    <w:rsid w:val="7C336FB7"/>
    <w:rsid w:val="7C3456F4"/>
    <w:rsid w:val="7C6A2A2A"/>
    <w:rsid w:val="7C715C38"/>
    <w:rsid w:val="7C7F737F"/>
    <w:rsid w:val="7CA5738C"/>
    <w:rsid w:val="7CC46939"/>
    <w:rsid w:val="7CDD1F8D"/>
    <w:rsid w:val="7D073BAD"/>
    <w:rsid w:val="7D0C7F34"/>
    <w:rsid w:val="7D115DE1"/>
    <w:rsid w:val="7D5176F5"/>
    <w:rsid w:val="7D5207A9"/>
    <w:rsid w:val="7D5E0064"/>
    <w:rsid w:val="7D647E4E"/>
    <w:rsid w:val="7D715FE9"/>
    <w:rsid w:val="7D857221"/>
    <w:rsid w:val="7D8950E1"/>
    <w:rsid w:val="7D8D2181"/>
    <w:rsid w:val="7D905BFB"/>
    <w:rsid w:val="7D91151E"/>
    <w:rsid w:val="7D9E6463"/>
    <w:rsid w:val="7DAF7BC0"/>
    <w:rsid w:val="7DB85FB8"/>
    <w:rsid w:val="7DDD7A8F"/>
    <w:rsid w:val="7DE22616"/>
    <w:rsid w:val="7DE440B0"/>
    <w:rsid w:val="7DE44A0D"/>
    <w:rsid w:val="7E1352F2"/>
    <w:rsid w:val="7E1772DE"/>
    <w:rsid w:val="7E194CEF"/>
    <w:rsid w:val="7E436010"/>
    <w:rsid w:val="7E65736C"/>
    <w:rsid w:val="7E684A6E"/>
    <w:rsid w:val="7E6E2065"/>
    <w:rsid w:val="7E7220CC"/>
    <w:rsid w:val="7E793A93"/>
    <w:rsid w:val="7EA939AD"/>
    <w:rsid w:val="7EAD12A3"/>
    <w:rsid w:val="7EAD3051"/>
    <w:rsid w:val="7EBB22FA"/>
    <w:rsid w:val="7EBC14E6"/>
    <w:rsid w:val="7EFD4068"/>
    <w:rsid w:val="7EFE565A"/>
    <w:rsid w:val="7F0810F9"/>
    <w:rsid w:val="7F1039E4"/>
    <w:rsid w:val="7F231565"/>
    <w:rsid w:val="7F250E39"/>
    <w:rsid w:val="7F2870AA"/>
    <w:rsid w:val="7F2F5FE4"/>
    <w:rsid w:val="7F35093E"/>
    <w:rsid w:val="7F637BB3"/>
    <w:rsid w:val="7FDA2751"/>
    <w:rsid w:val="7FEA3E31"/>
    <w:rsid w:val="7FFA7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1"/>
    <w:qFormat/>
    <w:uiPriority w:val="0"/>
    <w:pPr>
      <w:keepNext/>
      <w:keepLines/>
      <w:spacing w:before="260" w:after="260" w:line="413" w:lineRule="auto"/>
      <w:outlineLvl w:val="1"/>
    </w:pPr>
    <w:rPr>
      <w:rFonts w:ascii="Arial" w:hAnsi="Arial" w:eastAsia="黑体"/>
      <w:b/>
      <w:bCs/>
      <w:sz w:val="32"/>
      <w:szCs w:val="32"/>
      <w:lang w:val="zh-CN"/>
    </w:rPr>
  </w:style>
  <w:style w:type="paragraph" w:styleId="6">
    <w:name w:val="heading 3"/>
    <w:basedOn w:val="1"/>
    <w:next w:val="1"/>
    <w:qFormat/>
    <w:uiPriority w:val="0"/>
    <w:pPr>
      <w:keepNext/>
      <w:keepLines/>
      <w:spacing w:before="260" w:after="260" w:line="416" w:lineRule="auto"/>
      <w:outlineLvl w:val="2"/>
    </w:pPr>
    <w:rPr>
      <w:b/>
      <w:bCs/>
      <w:sz w:val="32"/>
      <w:szCs w:val="32"/>
      <w:lang w:val="zh-CN"/>
    </w:rPr>
  </w:style>
  <w:style w:type="paragraph" w:styleId="7">
    <w:name w:val="heading 4"/>
    <w:basedOn w:val="1"/>
    <w:next w:val="1"/>
    <w:unhideWhenUsed/>
    <w:qFormat/>
    <w:uiPriority w:val="0"/>
    <w:pPr>
      <w:keepNext/>
      <w:keepLines/>
      <w:numPr>
        <w:ilvl w:val="0"/>
        <w:numId w:val="1"/>
      </w:numPr>
      <w:spacing w:before="280" w:after="290" w:line="372" w:lineRule="auto"/>
      <w:outlineLvl w:val="3"/>
    </w:pPr>
    <w:rPr>
      <w:rFonts w:ascii="Arial" w:hAnsi="Arial" w:eastAsia="黑体"/>
      <w:b/>
      <w:sz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link w:val="31"/>
    <w:qFormat/>
    <w:uiPriority w:val="0"/>
    <w:pPr>
      <w:spacing w:after="120"/>
      <w:ind w:left="420" w:leftChars="200"/>
    </w:pPr>
  </w:style>
  <w:style w:type="paragraph" w:styleId="4">
    <w:name w:val="toc 2"/>
    <w:basedOn w:val="1"/>
    <w:next w:val="1"/>
    <w:semiHidden/>
    <w:unhideWhenUsed/>
    <w:qFormat/>
    <w:uiPriority w:val="39"/>
    <w:pPr>
      <w:ind w:left="420" w:leftChars="200"/>
    </w:pPr>
  </w:style>
  <w:style w:type="paragraph" w:styleId="8">
    <w:name w:val="Normal Indent"/>
    <w:unhideWhenUsed/>
    <w:qFormat/>
    <w:uiPriority w:val="99"/>
    <w:pPr>
      <w:spacing w:after="200" w:line="276" w:lineRule="auto"/>
      <w:ind w:left="720"/>
    </w:pPr>
    <w:rPr>
      <w:rFonts w:ascii="Calibri" w:hAnsi="Calibri" w:eastAsia="Calibri" w:cs="Times New Roman"/>
      <w:sz w:val="22"/>
      <w:szCs w:val="22"/>
      <w:lang w:val="en-US" w:eastAsia="en-US" w:bidi="ar-SA"/>
    </w:rPr>
  </w:style>
  <w:style w:type="paragraph" w:styleId="9">
    <w:name w:val="annotation text"/>
    <w:basedOn w:val="1"/>
    <w:link w:val="34"/>
    <w:semiHidden/>
    <w:unhideWhenUsed/>
    <w:qFormat/>
    <w:uiPriority w:val="99"/>
    <w:pPr>
      <w:jc w:val="left"/>
    </w:pPr>
  </w:style>
  <w:style w:type="paragraph" w:styleId="10">
    <w:name w:val="Body Text"/>
    <w:basedOn w:val="1"/>
    <w:link w:val="30"/>
    <w:qFormat/>
    <w:uiPriority w:val="0"/>
    <w:rPr>
      <w:rFonts w:ascii="仿宋_GB2312" w:eastAsia="仿宋_GB2312"/>
      <w:sz w:val="32"/>
    </w:rPr>
  </w:style>
  <w:style w:type="paragraph" w:styleId="11">
    <w:name w:val="toc 3"/>
    <w:basedOn w:val="1"/>
    <w:next w:val="1"/>
    <w:semiHidden/>
    <w:unhideWhenUsed/>
    <w:qFormat/>
    <w:uiPriority w:val="39"/>
    <w:pPr>
      <w:ind w:left="840" w:leftChars="400"/>
    </w:pPr>
  </w:style>
  <w:style w:type="paragraph" w:styleId="12">
    <w:name w:val="Plain Text"/>
    <w:basedOn w:val="1"/>
    <w:link w:val="28"/>
    <w:qFormat/>
    <w:uiPriority w:val="0"/>
    <w:rPr>
      <w:rFonts w:ascii="宋体" w:hAnsi="Courier New" w:cstheme="minorBidi"/>
      <w:szCs w:val="22"/>
    </w:rPr>
  </w:style>
  <w:style w:type="paragraph" w:styleId="13">
    <w:name w:val="Date"/>
    <w:basedOn w:val="1"/>
    <w:next w:val="1"/>
    <w:link w:val="29"/>
    <w:unhideWhenUsed/>
    <w:qFormat/>
    <w:uiPriority w:val="0"/>
    <w:pPr>
      <w:ind w:left="100" w:leftChars="2500"/>
    </w:pPr>
  </w:style>
  <w:style w:type="paragraph" w:styleId="14">
    <w:name w:val="Balloon Text"/>
    <w:basedOn w:val="1"/>
    <w:link w:val="33"/>
    <w:semiHidden/>
    <w:unhideWhenUsed/>
    <w:qFormat/>
    <w:uiPriority w:val="99"/>
    <w:rPr>
      <w:sz w:val="18"/>
      <w:szCs w:val="18"/>
    </w:rPr>
  </w:style>
  <w:style w:type="paragraph" w:styleId="15">
    <w:name w:val="footer"/>
    <w:basedOn w:val="1"/>
    <w:link w:val="27"/>
    <w:unhideWhenUsed/>
    <w:qFormat/>
    <w:uiPriority w:val="99"/>
    <w:pPr>
      <w:tabs>
        <w:tab w:val="center" w:pos="4153"/>
        <w:tab w:val="right" w:pos="8306"/>
      </w:tabs>
      <w:snapToGrid w:val="0"/>
      <w:jc w:val="left"/>
    </w:pPr>
    <w:rPr>
      <w:sz w:val="18"/>
      <w:szCs w:val="18"/>
    </w:rPr>
  </w:style>
  <w:style w:type="paragraph" w:styleId="16">
    <w:name w:val="header"/>
    <w:basedOn w:val="1"/>
    <w:link w:val="2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7">
    <w:name w:val="toc 1"/>
    <w:basedOn w:val="1"/>
    <w:next w:val="1"/>
    <w:semiHidden/>
    <w:unhideWhenUsed/>
    <w:qFormat/>
    <w:uiPriority w:val="39"/>
  </w:style>
  <w:style w:type="paragraph" w:styleId="18">
    <w:name w:val="List"/>
    <w:basedOn w:val="1"/>
    <w:qFormat/>
    <w:uiPriority w:val="0"/>
    <w:pPr>
      <w:ind w:left="200" w:hanging="200" w:hangingChars="200"/>
    </w:pPr>
    <w:rPr>
      <w:szCs w:val="21"/>
    </w:rPr>
  </w:style>
  <w:style w:type="paragraph" w:styleId="19">
    <w:name w:val="annotation subject"/>
    <w:basedOn w:val="9"/>
    <w:next w:val="9"/>
    <w:link w:val="35"/>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rPr>
  </w:style>
  <w:style w:type="character" w:styleId="24">
    <w:name w:val="Hyperlink"/>
    <w:basedOn w:val="22"/>
    <w:unhideWhenUsed/>
    <w:qFormat/>
    <w:uiPriority w:val="99"/>
    <w:rPr>
      <w:color w:val="0563C1" w:themeColor="hyperlink"/>
      <w:u w:val="single"/>
      <w14:textFill>
        <w14:solidFill>
          <w14:schemeClr w14:val="hlink"/>
        </w14:solidFill>
      </w14:textFill>
    </w:rPr>
  </w:style>
  <w:style w:type="character" w:styleId="25">
    <w:name w:val="annotation reference"/>
    <w:basedOn w:val="22"/>
    <w:semiHidden/>
    <w:unhideWhenUsed/>
    <w:qFormat/>
    <w:uiPriority w:val="99"/>
    <w:rPr>
      <w:sz w:val="21"/>
      <w:szCs w:val="21"/>
    </w:rPr>
  </w:style>
  <w:style w:type="character" w:customStyle="1" w:styleId="26">
    <w:name w:val="页眉 字符"/>
    <w:basedOn w:val="22"/>
    <w:link w:val="16"/>
    <w:qFormat/>
    <w:uiPriority w:val="99"/>
    <w:rPr>
      <w:sz w:val="18"/>
      <w:szCs w:val="18"/>
    </w:rPr>
  </w:style>
  <w:style w:type="character" w:customStyle="1" w:styleId="27">
    <w:name w:val="页脚 字符"/>
    <w:basedOn w:val="22"/>
    <w:link w:val="15"/>
    <w:qFormat/>
    <w:uiPriority w:val="99"/>
    <w:rPr>
      <w:sz w:val="18"/>
      <w:szCs w:val="18"/>
    </w:rPr>
  </w:style>
  <w:style w:type="character" w:customStyle="1" w:styleId="28">
    <w:name w:val="纯文本 字符"/>
    <w:basedOn w:val="22"/>
    <w:link w:val="12"/>
    <w:qFormat/>
    <w:uiPriority w:val="0"/>
    <w:rPr>
      <w:rFonts w:ascii="宋体" w:hAnsi="Courier New" w:eastAsia="宋体"/>
    </w:rPr>
  </w:style>
  <w:style w:type="character" w:customStyle="1" w:styleId="29">
    <w:name w:val="日期 字符"/>
    <w:basedOn w:val="22"/>
    <w:link w:val="13"/>
    <w:qFormat/>
    <w:uiPriority w:val="99"/>
    <w:rPr>
      <w:rFonts w:ascii="Times New Roman" w:hAnsi="Times New Roman" w:eastAsia="宋体" w:cs="Times New Roman"/>
      <w:szCs w:val="20"/>
    </w:rPr>
  </w:style>
  <w:style w:type="character" w:customStyle="1" w:styleId="30">
    <w:name w:val="正文文本 字符"/>
    <w:basedOn w:val="22"/>
    <w:link w:val="10"/>
    <w:qFormat/>
    <w:uiPriority w:val="0"/>
    <w:rPr>
      <w:rFonts w:ascii="仿宋_GB2312" w:hAnsi="Times New Roman" w:eastAsia="仿宋_GB2312" w:cs="Times New Roman"/>
      <w:sz w:val="32"/>
      <w:szCs w:val="20"/>
    </w:rPr>
  </w:style>
  <w:style w:type="character" w:customStyle="1" w:styleId="31">
    <w:name w:val="正文文本缩进 字符"/>
    <w:basedOn w:val="22"/>
    <w:link w:val="3"/>
    <w:qFormat/>
    <w:uiPriority w:val="0"/>
    <w:rPr>
      <w:rFonts w:ascii="Times New Roman" w:hAnsi="Times New Roman" w:eastAsia="宋体" w:cs="Times New Roman"/>
      <w:szCs w:val="20"/>
    </w:rPr>
  </w:style>
  <w:style w:type="character" w:customStyle="1" w:styleId="32">
    <w:name w:val="未处理的提及1"/>
    <w:basedOn w:val="22"/>
    <w:semiHidden/>
    <w:unhideWhenUsed/>
    <w:qFormat/>
    <w:uiPriority w:val="99"/>
    <w:rPr>
      <w:color w:val="605E5C"/>
      <w:shd w:val="clear" w:color="auto" w:fill="E1DFDD"/>
    </w:rPr>
  </w:style>
  <w:style w:type="character" w:customStyle="1" w:styleId="33">
    <w:name w:val="批注框文本 字符"/>
    <w:basedOn w:val="22"/>
    <w:link w:val="14"/>
    <w:semiHidden/>
    <w:qFormat/>
    <w:uiPriority w:val="99"/>
    <w:rPr>
      <w:rFonts w:ascii="Times New Roman" w:hAnsi="Times New Roman" w:eastAsia="宋体" w:cs="Times New Roman"/>
      <w:sz w:val="18"/>
      <w:szCs w:val="18"/>
    </w:rPr>
  </w:style>
  <w:style w:type="character" w:customStyle="1" w:styleId="34">
    <w:name w:val="批注文字 字符"/>
    <w:basedOn w:val="22"/>
    <w:link w:val="9"/>
    <w:semiHidden/>
    <w:qFormat/>
    <w:uiPriority w:val="99"/>
    <w:rPr>
      <w:rFonts w:ascii="Times New Roman" w:hAnsi="Times New Roman" w:eastAsia="宋体" w:cs="Times New Roman"/>
      <w:szCs w:val="20"/>
    </w:rPr>
  </w:style>
  <w:style w:type="character" w:customStyle="1" w:styleId="35">
    <w:name w:val="批注主题 字符"/>
    <w:basedOn w:val="34"/>
    <w:link w:val="19"/>
    <w:semiHidden/>
    <w:qFormat/>
    <w:uiPriority w:val="99"/>
    <w:rPr>
      <w:rFonts w:ascii="Times New Roman" w:hAnsi="Times New Roman" w:eastAsia="宋体" w:cs="Times New Roman"/>
      <w:b/>
      <w:bCs/>
      <w:szCs w:val="20"/>
    </w:rPr>
  </w:style>
  <w:style w:type="paragraph" w:customStyle="1" w:styleId="36">
    <w:name w:val="修订1"/>
    <w:hidden/>
    <w:semiHidden/>
    <w:qFormat/>
    <w:uiPriority w:val="99"/>
    <w:rPr>
      <w:rFonts w:ascii="Times New Roman" w:hAnsi="Times New Roman" w:eastAsia="宋体" w:cs="Times New Roman"/>
      <w:kern w:val="2"/>
      <w:sz w:val="21"/>
      <w:lang w:val="en-US" w:eastAsia="zh-CN" w:bidi="ar-SA"/>
    </w:rPr>
  </w:style>
  <w:style w:type="character" w:customStyle="1" w:styleId="37">
    <w:name w:val="未处理的提及2"/>
    <w:basedOn w:val="22"/>
    <w:semiHidden/>
    <w:unhideWhenUsed/>
    <w:qFormat/>
    <w:uiPriority w:val="99"/>
    <w:rPr>
      <w:color w:val="605E5C"/>
      <w:shd w:val="clear" w:color="auto" w:fill="E1DFDD"/>
    </w:rPr>
  </w:style>
  <w:style w:type="paragraph" w:customStyle="1" w:styleId="38">
    <w:name w:val="修订2"/>
    <w:hidden/>
    <w:semiHidden/>
    <w:qFormat/>
    <w:uiPriority w:val="99"/>
    <w:rPr>
      <w:rFonts w:ascii="Times New Roman" w:hAnsi="Times New Roman" w:eastAsia="宋体" w:cs="Times New Roman"/>
      <w:kern w:val="2"/>
      <w:sz w:val="21"/>
      <w:lang w:val="en-US" w:eastAsia="zh-CN" w:bidi="ar-SA"/>
    </w:rPr>
  </w:style>
  <w:style w:type="paragraph" w:customStyle="1" w:styleId="39">
    <w:name w:val="标三级标题"/>
    <w:basedOn w:val="40"/>
    <w:qFormat/>
    <w:uiPriority w:val="0"/>
  </w:style>
  <w:style w:type="paragraph" w:customStyle="1" w:styleId="40">
    <w:name w:val="标书三级标题"/>
    <w:basedOn w:val="6"/>
    <w:next w:val="41"/>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41">
    <w:name w:val="标书正文格式"/>
    <w:basedOn w:val="12"/>
    <w:qFormat/>
    <w:uiPriority w:val="0"/>
    <w:pPr>
      <w:spacing w:line="360" w:lineRule="auto"/>
      <w:ind w:firstLine="200" w:firstLineChars="200"/>
    </w:pPr>
    <w:rPr>
      <w:rFonts w:hAnsi="宋体" w:eastAsiaTheme="minorEastAsia"/>
      <w:color w:val="000000"/>
      <w:sz w:val="24"/>
      <w:szCs w:val="24"/>
    </w:rPr>
  </w:style>
  <w:style w:type="paragraph" w:customStyle="1" w:styleId="42">
    <w:name w:val="WPSOffice手动目录 1"/>
    <w:qFormat/>
    <w:uiPriority w:val="0"/>
    <w:rPr>
      <w:rFonts w:ascii="Times New Roman" w:hAnsi="Times New Roman" w:eastAsia="宋体" w:cs="Times New Roman"/>
      <w:lang w:val="en-US" w:eastAsia="zh-CN" w:bidi="ar-SA"/>
    </w:rPr>
  </w:style>
  <w:style w:type="paragraph" w:styleId="43">
    <w:name w:val="List Paragraph"/>
    <w:basedOn w:val="1"/>
    <w:qFormat/>
    <w:uiPriority w:val="99"/>
    <w:pPr>
      <w:ind w:firstLine="420" w:firstLineChars="200"/>
    </w:pPr>
  </w:style>
  <w:style w:type="paragraph" w:customStyle="1" w:styleId="4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6">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10519</Words>
  <Characters>10908</Characters>
  <Lines>114</Lines>
  <Paragraphs>32</Paragraphs>
  <TotalTime>2</TotalTime>
  <ScaleCrop>false</ScaleCrop>
  <LinksUpToDate>false</LinksUpToDate>
  <CharactersWithSpaces>11292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2023-04-11T10:39:00Z</dcterms:created>
  <dc:creator>李保龙</dc:creator>
  <cp:lastModifiedBy>LENOVO</cp:lastModifiedBy>
  <cp:lastPrinted>2025-01-14T08:46:00Z</cp:lastPrinted>
  <dcterms:modified xsi:type="dcterms:W3CDTF">2026-03-26T01:42:46Z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7E64A274714748618F1DDC4891A4F8EC_13</vt:lpwstr>
  </property>
  <property fmtid="{D5CDD505-2E9C-101B-9397-08002B2CF9AE}" pid="4" name="KSOTemplateDocerSaveRecord">
    <vt:lpwstr>eyJoZGlkIjoiMDBkY2Q2ZGRmN2ZkNGIwYjQyNGVmMjAyY2NiZDQ0NDYiLCJ1c2VySWQiOiIxNzY1NTI5ODgxIn0=</vt:lpwstr>
  </property>
</Properties>
</file>