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r>
        <w:rPr>
          <w:rFonts w:hint="eastAsia" w:ascii="楷体_GB2312" w:hAnsi="宋体" w:eastAsia="楷体_GB2312" w:cs="Times New Roman"/>
          <w:sz w:val="52"/>
          <w:szCs w:val="52"/>
        </w:rPr>
        <w:t>中国重汽集团济南商用车有限公司</w:t>
      </w:r>
    </w:p>
    <w:p w14:paraId="7F61D713">
      <w:pPr>
        <w:ind w:right="280"/>
        <w:jc w:val="center"/>
        <w:rPr>
          <w:rFonts w:ascii="楷体_GB2312" w:hAnsi="宋体" w:eastAsia="楷体_GB2312"/>
          <w:sz w:val="52"/>
          <w:szCs w:val="52"/>
        </w:rPr>
      </w:pPr>
      <w:r>
        <w:rPr>
          <w:rFonts w:hint="eastAsia" w:ascii="楷体_GB2312" w:hAnsi="宋体" w:eastAsia="楷体_GB2312"/>
          <w:sz w:val="52"/>
          <w:szCs w:val="52"/>
        </w:rPr>
        <w:t>总装一线中置电池助力机械手改造技改项目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项目编号：ZBGL2026020202</w:t>
      </w:r>
    </w:p>
    <w:p w14:paraId="10A10BCC">
      <w:pPr>
        <w:jc w:val="center"/>
        <w:rPr>
          <w:rFonts w:ascii="宋体" w:hAnsi="宋体"/>
          <w:sz w:val="48"/>
          <w:szCs w:val="48"/>
        </w:rPr>
      </w:pPr>
    </w:p>
    <w:p w14:paraId="12CB50D1">
      <w:pPr>
        <w:jc w:val="both"/>
        <w:rPr>
          <w:rFonts w:ascii="宋体" w:hAnsi="宋体"/>
          <w:sz w:val="28"/>
          <w:szCs w:val="28"/>
        </w:rPr>
      </w:pPr>
    </w:p>
    <w:p w14:paraId="0D8A0D9A">
      <w:pPr>
        <w:jc w:val="center"/>
        <w:rPr>
          <w:rFonts w:ascii="宋体" w:hAnsi="宋体"/>
          <w:sz w:val="28"/>
          <w:szCs w:val="28"/>
        </w:rPr>
      </w:pPr>
      <w:r>
        <w:rPr>
          <w:rFonts w:hint="eastAsia" w:ascii="宋体" w:hAnsi="宋体"/>
          <w:sz w:val="28"/>
          <w:szCs w:val="28"/>
        </w:rPr>
        <w:t>招 标 人：中国重汽集团济南商用车有限公司</w:t>
      </w:r>
    </w:p>
    <w:p w14:paraId="0438957B">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02</w:t>
      </w:r>
      <w:r>
        <w:rPr>
          <w:rFonts w:hint="eastAsia" w:ascii="宋体" w:hAnsi="宋体"/>
          <w:sz w:val="28"/>
          <w:szCs w:val="28"/>
          <w:highlight w:val="none"/>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76C6FA01">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_Toc7748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_Toc7748 \h </w:instrText>
          </w:r>
          <w:r>
            <w:fldChar w:fldCharType="separate"/>
          </w:r>
          <w:r>
            <w:t>- 1 -</w:t>
          </w:r>
          <w:r>
            <w:fldChar w:fldCharType="end"/>
          </w:r>
          <w:r>
            <w:rPr>
              <w:rFonts w:hint="eastAsia" w:ascii="Calibri" w:hAnsi="Calibri"/>
              <w:bCs/>
              <w:kern w:val="44"/>
              <w:szCs w:val="44"/>
            </w:rPr>
            <w:fldChar w:fldCharType="end"/>
          </w:r>
        </w:p>
        <w:p w14:paraId="7E297458">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_Toc4637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_Toc4637 \h </w:instrText>
          </w:r>
          <w:r>
            <w:fldChar w:fldCharType="separate"/>
          </w:r>
          <w:r>
            <w:t>- 5 -</w:t>
          </w:r>
          <w:r>
            <w:fldChar w:fldCharType="end"/>
          </w:r>
          <w:r>
            <w:rPr>
              <w:rFonts w:hint="eastAsia" w:ascii="Calibri" w:hAnsi="Calibri" w:eastAsia="宋体" w:cs="Times New Roman"/>
              <w:bCs/>
              <w:kern w:val="44"/>
              <w:szCs w:val="44"/>
            </w:rPr>
            <w:fldChar w:fldCharType="end"/>
          </w:r>
        </w:p>
        <w:p w14:paraId="17396EC5">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_Toc30838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_Toc30838 \h </w:instrText>
          </w:r>
          <w:r>
            <w:fldChar w:fldCharType="separate"/>
          </w:r>
          <w:r>
            <w:t>- 16 -</w:t>
          </w:r>
          <w:r>
            <w:fldChar w:fldCharType="end"/>
          </w:r>
          <w:r>
            <w:rPr>
              <w:rFonts w:hint="eastAsia" w:ascii="Calibri" w:hAnsi="Calibri" w:eastAsia="宋体" w:cs="Times New Roman"/>
              <w:bCs/>
              <w:kern w:val="44"/>
              <w:szCs w:val="44"/>
            </w:rPr>
            <w:fldChar w:fldCharType="end"/>
          </w:r>
        </w:p>
        <w:p w14:paraId="784C1D7F">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_Toc4073 </w:instrText>
          </w:r>
          <w:r>
            <w:rPr>
              <w:rFonts w:hint="eastAsia" w:ascii="Calibri" w:hAnsi="Calibri" w:eastAsia="宋体" w:cs="Times New Roman"/>
              <w:bCs/>
              <w:kern w:val="44"/>
              <w:szCs w:val="44"/>
            </w:rPr>
            <w:fldChar w:fldCharType="separate"/>
          </w:r>
          <w:r>
            <w:rPr>
              <w:rFonts w:hint="eastAsia" w:ascii="宋体" w:hAnsi="宋体" w:cs="Times New Roman"/>
              <w:highlight w:val="none"/>
            </w:rPr>
            <w:t>一、货物需求概况</w:t>
          </w:r>
          <w:r>
            <w:tab/>
          </w:r>
          <w:r>
            <w:fldChar w:fldCharType="begin"/>
          </w:r>
          <w:r>
            <w:instrText xml:space="preserve"> PAGEREF _Toc4073 \h </w:instrText>
          </w:r>
          <w:r>
            <w:fldChar w:fldCharType="separate"/>
          </w:r>
          <w:r>
            <w:t>- 16 -</w:t>
          </w:r>
          <w:r>
            <w:fldChar w:fldCharType="end"/>
          </w:r>
          <w:r>
            <w:rPr>
              <w:rFonts w:hint="eastAsia" w:ascii="Calibri" w:hAnsi="Calibri" w:eastAsia="宋体" w:cs="Times New Roman"/>
              <w:bCs/>
              <w:kern w:val="44"/>
              <w:szCs w:val="44"/>
            </w:rPr>
            <w:fldChar w:fldCharType="end"/>
          </w:r>
        </w:p>
        <w:p w14:paraId="22C43511">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_Toc31114 </w:instrText>
          </w:r>
          <w:r>
            <w:rPr>
              <w:rFonts w:hint="eastAsia" w:ascii="Calibri" w:hAnsi="Calibri" w:eastAsia="宋体" w:cs="Times New Roman"/>
              <w:bCs/>
              <w:kern w:val="44"/>
              <w:szCs w:val="44"/>
            </w:rPr>
            <w:fldChar w:fldCharType="separate"/>
          </w:r>
          <w:r>
            <w:rPr>
              <w:rFonts w:hint="eastAsia" w:ascii="宋体" w:hAnsi="宋体" w:cs="Times New Roman"/>
              <w:highlight w:val="none"/>
            </w:rPr>
            <w:t>二、通用要求</w:t>
          </w:r>
          <w:r>
            <w:tab/>
          </w:r>
          <w:r>
            <w:fldChar w:fldCharType="begin"/>
          </w:r>
          <w:r>
            <w:instrText xml:space="preserve"> PAGEREF _Toc31114 \h </w:instrText>
          </w:r>
          <w:r>
            <w:fldChar w:fldCharType="separate"/>
          </w:r>
          <w:r>
            <w:t>- 16 -</w:t>
          </w:r>
          <w:r>
            <w:fldChar w:fldCharType="end"/>
          </w:r>
          <w:r>
            <w:rPr>
              <w:rFonts w:hint="eastAsia" w:ascii="Calibri" w:hAnsi="Calibri" w:eastAsia="宋体" w:cs="Times New Roman"/>
              <w:bCs/>
              <w:kern w:val="44"/>
              <w:szCs w:val="44"/>
            </w:rPr>
            <w:fldChar w:fldCharType="end"/>
          </w:r>
        </w:p>
        <w:p w14:paraId="358B9C10">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_Toc15980 </w:instrText>
          </w:r>
          <w:r>
            <w:rPr>
              <w:rFonts w:hint="eastAsia" w:ascii="Calibri" w:hAnsi="Calibri" w:eastAsia="宋体" w:cs="Times New Roman"/>
              <w:bCs/>
              <w:kern w:val="44"/>
              <w:szCs w:val="44"/>
            </w:rPr>
            <w:fldChar w:fldCharType="separate"/>
          </w:r>
          <w:r>
            <w:rPr>
              <w:rFonts w:hint="eastAsia" w:ascii="宋体" w:hAnsi="宋体"/>
              <w:highlight w:val="none"/>
            </w:rPr>
            <w:t>三、技术要求</w:t>
          </w:r>
          <w:r>
            <w:tab/>
          </w:r>
          <w:r>
            <w:fldChar w:fldCharType="begin"/>
          </w:r>
          <w:r>
            <w:instrText xml:space="preserve"> PAGEREF _Toc15980 \h </w:instrText>
          </w:r>
          <w:r>
            <w:fldChar w:fldCharType="separate"/>
          </w:r>
          <w:r>
            <w:t>- 19 -</w:t>
          </w:r>
          <w:r>
            <w:fldChar w:fldCharType="end"/>
          </w:r>
          <w:r>
            <w:rPr>
              <w:rFonts w:hint="eastAsia" w:ascii="Calibri" w:hAnsi="Calibri" w:eastAsia="宋体" w:cs="Times New Roman"/>
              <w:bCs/>
              <w:kern w:val="44"/>
              <w:szCs w:val="44"/>
            </w:rPr>
            <w:fldChar w:fldCharType="end"/>
          </w:r>
        </w:p>
        <w:p w14:paraId="7129CE4E">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_Toc30052 </w:instrText>
          </w:r>
          <w:r>
            <w:rPr>
              <w:rFonts w:hint="eastAsia" w:ascii="Calibri" w:hAnsi="Calibri" w:eastAsia="宋体" w:cs="Times New Roman"/>
              <w:bCs/>
              <w:kern w:val="44"/>
              <w:szCs w:val="44"/>
            </w:rPr>
            <w:fldChar w:fldCharType="separate"/>
          </w:r>
          <w:r>
            <w:rPr>
              <w:rFonts w:hint="eastAsia" w:ascii="宋体" w:hAnsi="宋体"/>
              <w:highlight w:val="none"/>
            </w:rPr>
            <w:t>四、供货范围及要求</w:t>
          </w:r>
          <w:r>
            <w:tab/>
          </w:r>
          <w:r>
            <w:fldChar w:fldCharType="begin"/>
          </w:r>
          <w:r>
            <w:instrText xml:space="preserve"> PAGEREF _Toc30052 \h </w:instrText>
          </w:r>
          <w:r>
            <w:fldChar w:fldCharType="separate"/>
          </w:r>
          <w:r>
            <w:t>- 26 -</w:t>
          </w:r>
          <w:r>
            <w:fldChar w:fldCharType="end"/>
          </w:r>
          <w:r>
            <w:rPr>
              <w:rFonts w:hint="eastAsia" w:ascii="Calibri" w:hAnsi="Calibri" w:eastAsia="宋体" w:cs="Times New Roman"/>
              <w:bCs/>
              <w:kern w:val="44"/>
              <w:szCs w:val="44"/>
            </w:rPr>
            <w:fldChar w:fldCharType="end"/>
          </w:r>
        </w:p>
        <w:p w14:paraId="774FB838">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_Toc24273 </w:instrText>
          </w:r>
          <w:r>
            <w:rPr>
              <w:rFonts w:hint="eastAsia" w:ascii="Calibri" w:hAnsi="Calibri" w:eastAsia="宋体" w:cs="Times New Roman"/>
              <w:bCs/>
              <w:kern w:val="44"/>
              <w:szCs w:val="44"/>
            </w:rPr>
            <w:fldChar w:fldCharType="separate"/>
          </w:r>
          <w:r>
            <w:rPr>
              <w:rFonts w:hint="eastAsia" w:ascii="宋体" w:hAnsi="宋体"/>
            </w:rPr>
            <w:t>五、</w:t>
          </w:r>
          <w:r>
            <w:rPr>
              <w:rFonts w:hint="eastAsia" w:ascii="宋体" w:hAnsi="宋体"/>
              <w:highlight w:val="none"/>
            </w:rPr>
            <w:t>服务范围及要求</w:t>
          </w:r>
          <w:r>
            <w:tab/>
          </w:r>
          <w:r>
            <w:fldChar w:fldCharType="begin"/>
          </w:r>
          <w:r>
            <w:instrText xml:space="preserve"> PAGEREF _Toc24273 \h </w:instrText>
          </w:r>
          <w:r>
            <w:fldChar w:fldCharType="separate"/>
          </w:r>
          <w:r>
            <w:t>- 29 -</w:t>
          </w:r>
          <w:r>
            <w:fldChar w:fldCharType="end"/>
          </w:r>
          <w:r>
            <w:rPr>
              <w:rFonts w:hint="eastAsia" w:ascii="Calibri" w:hAnsi="Calibri" w:eastAsia="宋体" w:cs="Times New Roman"/>
              <w:bCs/>
              <w:kern w:val="44"/>
              <w:szCs w:val="44"/>
            </w:rPr>
            <w:fldChar w:fldCharType="end"/>
          </w:r>
        </w:p>
        <w:p w14:paraId="3424A7F0">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_Toc23034 </w:instrText>
          </w:r>
          <w:r>
            <w:rPr>
              <w:rFonts w:hint="eastAsia" w:ascii="Calibri" w:hAnsi="Calibri" w:eastAsia="宋体" w:cs="Times New Roman"/>
              <w:bCs/>
              <w:kern w:val="44"/>
              <w:szCs w:val="44"/>
            </w:rPr>
            <w:fldChar w:fldCharType="separate"/>
          </w:r>
          <w:r>
            <w:rPr>
              <w:rFonts w:hint="eastAsia" w:ascii="宋体" w:hAnsi="宋体"/>
              <w:highlight w:val="none"/>
            </w:rPr>
            <w:t>六、预验收和终验收要求</w:t>
          </w:r>
          <w:r>
            <w:tab/>
          </w:r>
          <w:r>
            <w:fldChar w:fldCharType="begin"/>
          </w:r>
          <w:r>
            <w:instrText xml:space="preserve"> PAGEREF _Toc23034 \h </w:instrText>
          </w:r>
          <w:r>
            <w:fldChar w:fldCharType="separate"/>
          </w:r>
          <w:r>
            <w:t>- 30 -</w:t>
          </w:r>
          <w:r>
            <w:fldChar w:fldCharType="end"/>
          </w:r>
          <w:r>
            <w:rPr>
              <w:rFonts w:hint="eastAsia" w:ascii="Calibri" w:hAnsi="Calibri" w:eastAsia="宋体" w:cs="Times New Roman"/>
              <w:bCs/>
              <w:kern w:val="44"/>
              <w:szCs w:val="44"/>
            </w:rPr>
            <w:fldChar w:fldCharType="end"/>
          </w:r>
        </w:p>
        <w:p w14:paraId="424A7C12">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_Toc23267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_Toc23267 \h </w:instrText>
          </w:r>
          <w:r>
            <w:fldChar w:fldCharType="separate"/>
          </w:r>
          <w:r>
            <w:t>- 35 -</w:t>
          </w:r>
          <w:r>
            <w:fldChar w:fldCharType="end"/>
          </w:r>
          <w:r>
            <w:rPr>
              <w:rFonts w:hint="eastAsia" w:ascii="Calibri" w:hAnsi="Calibri" w:eastAsia="宋体" w:cs="Times New Roman"/>
              <w:bCs/>
              <w:kern w:val="44"/>
              <w:szCs w:val="44"/>
            </w:rPr>
            <w:fldChar w:fldCharType="end"/>
          </w:r>
        </w:p>
        <w:p w14:paraId="5125C87F">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_Toc6709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_Toc6709 \h </w:instrText>
          </w:r>
          <w:r>
            <w:fldChar w:fldCharType="separate"/>
          </w:r>
          <w:r>
            <w:t>- 51 -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748"/>
      <w:r>
        <w:rPr>
          <w:rFonts w:hint="eastAsia"/>
        </w:rPr>
        <w:t>招标公告</w:t>
      </w:r>
      <w:bookmarkEnd w:id="0"/>
      <w:bookmarkEnd w:id="1"/>
    </w:p>
    <w:p w14:paraId="3B867C39">
      <w:pPr>
        <w:pStyle w:val="71"/>
        <w:jc w:val="both"/>
        <w:rPr>
          <w:rFonts w:hint="eastAsia"/>
        </w:rPr>
      </w:pPr>
    </w:p>
    <w:p w14:paraId="2A47C58A">
      <w:pPr>
        <w:pStyle w:val="72"/>
      </w:pPr>
      <w:bookmarkStart w:id="2" w:name="_Toc47976588"/>
      <w:r>
        <w:rPr>
          <w:rFonts w:hint="eastAsia"/>
        </w:rPr>
        <w:t>项目名称及项目编号</w:t>
      </w:r>
      <w:bookmarkEnd w:id="2"/>
    </w:p>
    <w:p w14:paraId="1E71F649">
      <w:pPr>
        <w:pStyle w:val="73"/>
        <w:rPr>
          <w:sz w:val="24"/>
          <w:szCs w:val="24"/>
          <w:highlight w:val="none"/>
        </w:rPr>
      </w:pPr>
      <w:r>
        <w:rPr>
          <w:rFonts w:hint="eastAsia"/>
          <w:sz w:val="24"/>
          <w:szCs w:val="24"/>
        </w:rPr>
        <w:t>项</w:t>
      </w:r>
      <w:r>
        <w:rPr>
          <w:rFonts w:hint="eastAsia"/>
          <w:sz w:val="24"/>
          <w:szCs w:val="24"/>
          <w:highlight w:val="none"/>
        </w:rPr>
        <w:t>目名称：总装一线中置电池助力机械手改造技改项目</w:t>
      </w:r>
    </w:p>
    <w:p w14:paraId="15020D03">
      <w:pPr>
        <w:pStyle w:val="73"/>
        <w:rPr>
          <w:sz w:val="24"/>
          <w:szCs w:val="24"/>
        </w:rPr>
      </w:pPr>
      <w:r>
        <w:rPr>
          <w:rFonts w:hint="eastAsia"/>
          <w:sz w:val="24"/>
          <w:szCs w:val="24"/>
          <w:highlight w:val="none"/>
        </w:rPr>
        <w:t>项目编号：Z</w:t>
      </w:r>
      <w:r>
        <w:rPr>
          <w:rFonts w:hint="eastAsia"/>
          <w:sz w:val="24"/>
          <w:szCs w:val="24"/>
        </w:rPr>
        <w:t>BGL2026020202</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rPr>
          <w:sz w:val="24"/>
          <w:szCs w:val="24"/>
        </w:rPr>
      </w:pPr>
      <w:r>
        <w:rPr>
          <w:rFonts w:hint="eastAsia"/>
          <w:sz w:val="24"/>
          <w:szCs w:val="24"/>
        </w:rPr>
        <w:t>招标内容：</w:t>
      </w:r>
      <w:r>
        <w:rPr>
          <w:rFonts w:hint="eastAsia"/>
          <w:sz w:val="24"/>
          <w:szCs w:val="24"/>
          <w:lang w:val="en-US" w:eastAsia="zh-CN"/>
        </w:rPr>
        <w:t>对总</w:t>
      </w:r>
      <w:r>
        <w:rPr>
          <w:rFonts w:hint="eastAsia"/>
          <w:sz w:val="24"/>
          <w:szCs w:val="24"/>
          <w:highlight w:val="none"/>
        </w:rPr>
        <w:t>装一线中置电池助力机械手</w:t>
      </w:r>
      <w:r>
        <w:rPr>
          <w:rFonts w:hint="eastAsia"/>
          <w:sz w:val="24"/>
          <w:szCs w:val="24"/>
          <w:highlight w:val="none"/>
          <w:lang w:val="en-US" w:eastAsia="zh-CN"/>
        </w:rPr>
        <w:t>进行改造，以满足新能源车型电池安装的需求。</w:t>
      </w:r>
    </w:p>
    <w:p w14:paraId="4EC58B63">
      <w:pPr>
        <w:pStyle w:val="73"/>
        <w:rPr>
          <w:sz w:val="24"/>
          <w:szCs w:val="24"/>
        </w:rPr>
      </w:pPr>
      <w:r>
        <w:rPr>
          <w:rFonts w:hint="eastAsia"/>
          <w:sz w:val="24"/>
          <w:szCs w:val="24"/>
        </w:rPr>
        <w:t>招标形式：</w:t>
      </w:r>
      <w:r>
        <w:rPr>
          <w:rFonts w:hint="eastAsia"/>
          <w:sz w:val="24"/>
          <w:szCs w:val="24"/>
          <w:lang w:val="en-US" w:eastAsia="zh-CN"/>
        </w:rPr>
        <w:t>公开招标</w:t>
      </w:r>
    </w:p>
    <w:p w14:paraId="0B813421">
      <w:pPr>
        <w:pStyle w:val="72"/>
        <w:rPr>
          <w:highlight w:val="none"/>
        </w:rPr>
      </w:pPr>
      <w:bookmarkStart w:id="4" w:name="_Toc47976590"/>
      <w:r>
        <w:rPr>
          <w:rFonts w:hint="eastAsia"/>
          <w:highlight w:val="none"/>
        </w:rPr>
        <w:t>投标人资格要求</w:t>
      </w:r>
      <w:bookmarkEnd w:id="4"/>
      <w:r>
        <w:rPr>
          <w:rFonts w:hint="eastAsia"/>
          <w:highlight w:val="none"/>
          <w:lang w:eastAsia="zh-CN"/>
        </w:rPr>
        <w:t>：</w:t>
      </w:r>
    </w:p>
    <w:p w14:paraId="20657036">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bookmarkStart w:id="5" w:name="_Toc47976591"/>
      <w:r>
        <w:rPr>
          <w:rFonts w:hint="eastAsia" w:ascii="宋体" w:hAnsi="Courier New" w:eastAsia="宋体" w:cs="Times New Roman"/>
          <w:b w:val="0"/>
          <w:bCs/>
          <w:strike w:val="0"/>
          <w:dstrike w:val="0"/>
          <w:highlight w:val="none"/>
        </w:rPr>
        <w:t>拟投标人必须是在中华人民共和国境内注册的独立法人机构，具有独立承担民事责任能力；注册资金不少于500万人民币（或等值其他货币）；公司成立三年以上（以营业执照成立日期到开标当日满三年为准），且经营范围符合项目要求。并在人员、设备、资金等方面具有承担本项目的能力，且满足技术、质量、资金等要求，财务状况良好、经营稳定，具有全面履约的能力，能提供相关信用等级和完税证明。拟投标人为该标的物的设计和制造商或其在中国境内有完善的技术以及售后服务体系，该项目不允许代理商参标；</w:t>
      </w:r>
    </w:p>
    <w:p w14:paraId="678B14CD">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拟投标人应提供营业执照副本原件和扫描件（需盖章）；</w:t>
      </w:r>
    </w:p>
    <w:p w14:paraId="3AD6E5C3">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拟投标人应提供法定代表人资格证明文件；</w:t>
      </w:r>
    </w:p>
    <w:p w14:paraId="1AD7B3BA">
      <w:pPr>
        <w:pStyle w:val="73"/>
        <w:numPr>
          <w:ilvl w:val="0"/>
          <w:numId w:val="10"/>
        </w:numPr>
        <w:ind w:left="0" w:firstLine="0"/>
        <w:rPr>
          <w:b w:val="0"/>
          <w:bCs/>
        </w:rPr>
      </w:pPr>
      <w:r>
        <w:rPr>
          <w:rFonts w:hint="eastAsia" w:ascii="宋体" w:hAnsi="Courier New" w:eastAsia="宋体" w:cs="Times New Roman"/>
          <w:b w:val="0"/>
          <w:bCs/>
          <w:strike w:val="0"/>
          <w:dstrike w:val="0"/>
          <w:highlight w:val="none"/>
        </w:rPr>
        <w:t>拟投标人在“国家企业信用信息公示系统”、“中国执行信息公开网”、“信用中国”、“天眼查”“裁判文书网”等信息平台中，无行政处罚及失信记录等信息；</w:t>
      </w:r>
    </w:p>
    <w:p w14:paraId="26DB04CF">
      <w:pPr>
        <w:pStyle w:val="73"/>
        <w:numPr>
          <w:ilvl w:val="0"/>
          <w:numId w:val="10"/>
        </w:numPr>
        <w:ind w:left="0" w:firstLine="0"/>
        <w:rPr>
          <w:rFonts w:hint="eastAsia" w:ascii="宋体" w:hAnsi="Courier New" w:eastAsia="宋体" w:cs="Times New Roman"/>
          <w:b w:val="0"/>
          <w:bCs/>
          <w:strike w:val="0"/>
          <w:dstrike w:val="0"/>
          <w:highlight w:val="none"/>
        </w:rPr>
      </w:pPr>
      <w:r>
        <w:rPr>
          <w:rFonts w:hint="eastAsia"/>
          <w:b w:val="0"/>
          <w:bCs/>
          <w:lang w:eastAsia="zh-CN"/>
        </w:rPr>
        <w:t>拟投标人不存在严重违规或被列入招标人“黑名单”的声明；</w:t>
      </w:r>
    </w:p>
    <w:p w14:paraId="289F54E6">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2022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202797">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拟投标人2022年1月1日至今，有与本次招标内容相同或类似项目业绩，且近3年内无因服务不当而造成重大事故；</w:t>
      </w:r>
    </w:p>
    <w:p w14:paraId="4A68BEA4">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拟投标人近三年内在经营活动中无招标违规、谎报年度报告信息、提供虚假资质资料等行为或其他行政处罚记录；</w:t>
      </w:r>
    </w:p>
    <w:p w14:paraId="6411B339">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拟投标人须认可招标人的工作指令，包括节、假日能正常开展工作的要求；</w:t>
      </w:r>
    </w:p>
    <w:p w14:paraId="4B30D5E2">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拟投标人最近半年纳税正常；</w:t>
      </w:r>
    </w:p>
    <w:p w14:paraId="79E64F13">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lang w:eastAsia="zh-CN"/>
        </w:rPr>
        <w:t>拟投标人信用证明材料（征信报告）未显示异常；</w:t>
      </w:r>
    </w:p>
    <w:p w14:paraId="563CAAA9">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拟投标人的直接或间接股东、法定代表人、董事、监事、高管非重汽员工及其亲属。</w:t>
      </w:r>
    </w:p>
    <w:p w14:paraId="6D0DA0F6">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拟投标人必须是最终投标单位和签订合同单位，不得以任何理由将已中标项目以任何形式分包或转包给其他单位；</w:t>
      </w:r>
    </w:p>
    <w:p w14:paraId="6B998DFC">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rFonts w:hint="eastAsia"/>
          <w:b w:val="0"/>
          <w:bCs/>
          <w:highlight w:val="none"/>
          <w:lang w:val="en-US" w:eastAsia="zh-CN"/>
        </w:rPr>
      </w:pPr>
      <w:r>
        <w:rPr>
          <w:rFonts w:hint="eastAsia"/>
          <w:b w:val="0"/>
          <w:bCs/>
          <w:highlight w:val="none"/>
          <w:lang w:eastAsia="zh-CN"/>
        </w:rPr>
        <w:t>与招标人存在利害关系可能影响招标公正性的法人、其他组织或者个人，不得参加投标。</w:t>
      </w:r>
    </w:p>
    <w:p w14:paraId="76B97D53">
      <w:pPr>
        <w:pStyle w:val="72"/>
        <w:rPr>
          <w:highlight w:val="none"/>
        </w:rPr>
      </w:pPr>
      <w:r>
        <w:rPr>
          <w:rFonts w:hint="eastAsia"/>
          <w:highlight w:val="none"/>
        </w:rPr>
        <w:t>报名</w:t>
      </w:r>
      <w:bookmarkEnd w:id="5"/>
    </w:p>
    <w:p w14:paraId="47DCB6DC">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拟投标人根据招标人在中国重汽官网等公开媒体上发布的招标信息，在“中国重汽e采通”平台报名。按照中国重汽e采通“SRM非生产供应商注册手册”（附件15）进行注册，注册完毕后按照“SRM系统供应商用户手册（附件16）”，登录重汽e采通平台后进入“供应商应标”，选择对应的项目，点击“应标”后按照招标文件第三部分投标文件组成资格证明文件中的1.1-1.13准备资料并上传，资质审查通过即为报名成功；公示期间请尽快报名。</w:t>
      </w:r>
    </w:p>
    <w:p w14:paraId="2B02498B">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报名时提供的资料不合格的会在系统被驳回，请及时查阅审核状态并及时补齐资料，不能按时补充资料的视为自动放弃本次投标。</w:t>
      </w:r>
    </w:p>
    <w:p w14:paraId="0BB7111E">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请投标人自行确认中国重汽e采通系统中供应商信息完整、准确，因供应商信息不全或错误导致的报名不成功，由投标人自行承担。</w:t>
      </w:r>
    </w:p>
    <w:p w14:paraId="5D616507">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highlight w:val="green"/>
        </w:rPr>
        <w:t>已注册的投标人注意去重汽e采通平台检查更新近三年的经营概况，财务信息更新到近三年，且不许有空余，若因此造成应标不成功，后果由投标人自行承担。</w:t>
      </w:r>
      <w:r>
        <w:rPr>
          <w:rFonts w:hint="eastAsia" w:ascii="宋体" w:hAnsi="宋体" w:eastAsia="宋体" w:cs="宋体"/>
          <w:b w:val="0"/>
          <w:bCs w:val="0"/>
          <w:color w:val="000000"/>
          <w:sz w:val="24"/>
          <w:szCs w:val="24"/>
        </w:rPr>
        <w:t>（更新路径：重汽e采通-供应商中心-供应商变更-供应商财务数据变更管理-右上角：发起变更；详见SRM系统供应商用户近三年财务数据更新）</w:t>
      </w:r>
    </w:p>
    <w:p w14:paraId="4509C0DA">
      <w:pPr>
        <w:pStyle w:val="72"/>
        <w:rPr>
          <w:rFonts w:hint="eastAsia" w:cs="Times New Roman"/>
          <w:highlight w:val="none"/>
        </w:rPr>
      </w:pPr>
      <w:bookmarkStart w:id="6" w:name="_Toc47976592"/>
      <w:r>
        <w:rPr>
          <w:rFonts w:hint="eastAsia" w:cs="Times New Roman"/>
          <w:highlight w:val="none"/>
        </w:rPr>
        <w:t>投标文件的递交</w:t>
      </w:r>
      <w:bookmarkEnd w:id="6"/>
    </w:p>
    <w:p w14:paraId="67405165">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bCs/>
          <w:color w:val="000000"/>
          <w:sz w:val="24"/>
          <w:szCs w:val="24"/>
          <w:lang w:val="en-US" w:eastAsia="zh-CN"/>
        </w:rPr>
        <w:t>1、</w:t>
      </w:r>
      <w:r>
        <w:rPr>
          <w:rFonts w:hint="eastAsia" w:ascii="宋体" w:hAnsi="宋体" w:eastAsia="宋体" w:cs="宋体"/>
          <w:b/>
          <w:bCs/>
          <w:color w:val="000000"/>
          <w:sz w:val="24"/>
          <w:szCs w:val="24"/>
          <w:highlight w:val="yellow"/>
          <w:lang w:val="en-US" w:eastAsia="zh-CN"/>
        </w:rPr>
        <w:t>应标截止时间</w:t>
      </w:r>
      <w:r>
        <w:rPr>
          <w:rFonts w:hint="eastAsia" w:ascii="宋体" w:hAnsi="宋体" w:eastAsia="宋体" w:cs="宋体"/>
          <w:b w:val="0"/>
          <w:bCs w:val="0"/>
          <w:color w:val="000000"/>
          <w:sz w:val="24"/>
          <w:szCs w:val="24"/>
          <w:highlight w:val="yellow"/>
          <w:lang w:val="en-US" w:eastAsia="zh-CN"/>
        </w:rPr>
        <w:t>：2026年</w:t>
      </w:r>
      <w:r>
        <w:rPr>
          <w:rFonts w:hint="eastAsia" w:hAnsi="宋体" w:cs="宋体"/>
          <w:b w:val="0"/>
          <w:bCs w:val="0"/>
          <w:color w:val="000000"/>
          <w:sz w:val="24"/>
          <w:szCs w:val="24"/>
          <w:highlight w:val="yellow"/>
          <w:lang w:val="en-US" w:eastAsia="zh-CN"/>
        </w:rPr>
        <w:t>3</w:t>
      </w:r>
      <w:r>
        <w:rPr>
          <w:rFonts w:hint="eastAsia" w:ascii="宋体" w:hAnsi="宋体" w:eastAsia="宋体" w:cs="宋体"/>
          <w:b w:val="0"/>
          <w:bCs w:val="0"/>
          <w:color w:val="000000"/>
          <w:sz w:val="24"/>
          <w:szCs w:val="24"/>
          <w:highlight w:val="yellow"/>
          <w:lang w:val="en-US" w:eastAsia="zh-CN"/>
        </w:rPr>
        <w:t>月</w:t>
      </w:r>
      <w:r>
        <w:rPr>
          <w:rFonts w:hint="eastAsia" w:hAnsi="宋体" w:cs="宋体"/>
          <w:b w:val="0"/>
          <w:bCs w:val="0"/>
          <w:color w:val="000000"/>
          <w:sz w:val="24"/>
          <w:szCs w:val="24"/>
          <w:highlight w:val="yellow"/>
          <w:lang w:val="en-US" w:eastAsia="zh-CN"/>
        </w:rPr>
        <w:t>13</w:t>
      </w:r>
      <w:r>
        <w:rPr>
          <w:rFonts w:hint="eastAsia" w:ascii="宋体" w:hAnsi="宋体" w:eastAsia="宋体" w:cs="宋体"/>
          <w:b w:val="0"/>
          <w:bCs w:val="0"/>
          <w:color w:val="000000"/>
          <w:sz w:val="24"/>
          <w:szCs w:val="24"/>
          <w:highlight w:val="yellow"/>
          <w:lang w:val="en-US" w:eastAsia="zh-CN"/>
        </w:rPr>
        <w:t>日17</w:t>
      </w:r>
      <w:r>
        <w:rPr>
          <w:rFonts w:hint="eastAsia" w:hAnsi="宋体" w:cs="宋体"/>
          <w:b w:val="0"/>
          <w:bCs w:val="0"/>
          <w:color w:val="000000"/>
          <w:sz w:val="24"/>
          <w:szCs w:val="24"/>
          <w:highlight w:val="yellow"/>
          <w:lang w:val="en-US" w:eastAsia="zh-CN"/>
        </w:rPr>
        <w:t>：</w:t>
      </w:r>
      <w:r>
        <w:rPr>
          <w:rFonts w:hint="eastAsia" w:ascii="宋体" w:hAnsi="宋体" w:eastAsia="宋体" w:cs="宋体"/>
          <w:b w:val="0"/>
          <w:bCs w:val="0"/>
          <w:color w:val="000000"/>
          <w:sz w:val="24"/>
          <w:szCs w:val="24"/>
          <w:highlight w:val="yellow"/>
          <w:lang w:val="en-US" w:eastAsia="zh-CN"/>
        </w:rPr>
        <w:t>00</w:t>
      </w:r>
      <w:r>
        <w:rPr>
          <w:rFonts w:hint="eastAsia" w:hAnsi="宋体" w:cs="宋体"/>
          <w:b w:val="0"/>
          <w:bCs w:val="0"/>
          <w:color w:val="000000"/>
          <w:sz w:val="24"/>
          <w:szCs w:val="24"/>
          <w:highlight w:val="yellow"/>
          <w:lang w:val="en-US" w:eastAsia="zh-CN"/>
        </w:rPr>
        <w:t>：</w:t>
      </w:r>
      <w:r>
        <w:rPr>
          <w:rFonts w:hint="eastAsia" w:ascii="宋体" w:hAnsi="宋体" w:eastAsia="宋体" w:cs="宋体"/>
          <w:b w:val="0"/>
          <w:bCs w:val="0"/>
          <w:color w:val="000000"/>
          <w:sz w:val="24"/>
          <w:szCs w:val="24"/>
          <w:highlight w:val="yellow"/>
          <w:lang w:val="en-US" w:eastAsia="zh-CN"/>
        </w:rPr>
        <w:t>00</w:t>
      </w:r>
    </w:p>
    <w:p w14:paraId="12959CF4">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注：请务必在应标截止时间前完成注册及应标操作，注册审核需2-4日，应标截止时间精确到秒，逾期将无法应标。请自行掌握时间，避免无法应标。</w:t>
      </w:r>
    </w:p>
    <w:p w14:paraId="700EB19F">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hAnsi="宋体" w:cs="宋体"/>
          <w:b/>
          <w:bCs/>
          <w:color w:val="000000"/>
          <w:sz w:val="24"/>
          <w:szCs w:val="24"/>
          <w:lang w:val="en-US" w:eastAsia="zh-CN"/>
        </w:rPr>
        <w:t>2</w:t>
      </w:r>
      <w:r>
        <w:rPr>
          <w:rFonts w:hint="eastAsia" w:ascii="宋体" w:hAnsi="宋体" w:eastAsia="宋体" w:cs="宋体"/>
          <w:b/>
          <w:bCs/>
          <w:color w:val="000000"/>
          <w:sz w:val="24"/>
          <w:szCs w:val="24"/>
          <w:lang w:val="en-US" w:eastAsia="zh-CN"/>
        </w:rPr>
        <w:t>、投标方式</w:t>
      </w:r>
      <w:r>
        <w:rPr>
          <w:rFonts w:hint="eastAsia" w:ascii="宋体" w:hAnsi="宋体" w:eastAsia="宋体" w:cs="宋体"/>
          <w:b w:val="0"/>
          <w:bCs w:val="0"/>
          <w:color w:val="000000"/>
          <w:sz w:val="24"/>
          <w:szCs w:val="24"/>
          <w:lang w:val="en-US" w:eastAsia="zh-CN"/>
        </w:rPr>
        <w:t>：</w:t>
      </w:r>
      <w:r>
        <w:rPr>
          <w:rFonts w:hint="eastAsia" w:ascii="宋体" w:hAnsi="宋体" w:eastAsia="宋体" w:cs="宋体"/>
          <w:b/>
          <w:bCs/>
          <w:color w:val="000000"/>
          <w:sz w:val="24"/>
          <w:szCs w:val="24"/>
          <w:highlight w:val="none"/>
          <w:lang w:val="en-US" w:eastAsia="zh-CN"/>
        </w:rPr>
        <w:t>在中国重汽e采通平台应标成功后，进入“供应商投标”环节，投递盖章扫描版电子标书（包含资质标书、技术标书、商务标书）</w:t>
      </w:r>
      <w:r>
        <w:rPr>
          <w:rFonts w:hint="eastAsia" w:ascii="宋体" w:hAnsi="宋体" w:eastAsia="宋体" w:cs="宋体"/>
          <w:b w:val="0"/>
          <w:bCs w:val="0"/>
          <w:color w:val="000000"/>
          <w:sz w:val="24"/>
          <w:szCs w:val="24"/>
          <w:lang w:val="en-US" w:eastAsia="zh-CN"/>
        </w:rPr>
        <w:t>，若逾期未在中国重汽e采通平台上传电子标书，即便递交了纸版投标文件，一律视为无效投标。</w:t>
      </w:r>
    </w:p>
    <w:p w14:paraId="40141445">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纸质版投标文件的份数要求为正本一份，副本四份，资质投标书、技术投标书及商务投标书的同类文件封装在一个包封里，包封表面按照附件13标注文件信息；共计三个包封。</w:t>
      </w:r>
    </w:p>
    <w:p w14:paraId="64E5D85A">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如选择到场参与开标，自行携带纸质投标文件于开标前至开标地点即可。</w:t>
      </w:r>
    </w:p>
    <w:p w14:paraId="69C65734">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如选择线上参与开标，纸质投标文件需在开标日前两天，邮寄到指定地址。</w:t>
      </w:r>
    </w:p>
    <w:p w14:paraId="28CA4BC0">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邮寄地址：山东省济南市章丘区潘王路东园区十一号路北，重汽（济南）轻卡有限公司</w:t>
      </w:r>
    </w:p>
    <w:p w14:paraId="2DC5F1AF">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联系人及联系方式：许娅楠/15002582216</w:t>
      </w:r>
    </w:p>
    <w:p w14:paraId="4E2904DA">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p w14:paraId="0BDBF25C">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Ansi="宋体" w:eastAsia="宋体" w:cs="宋体"/>
          <w:sz w:val="24"/>
          <w:szCs w:val="24"/>
        </w:rPr>
      </w:pPr>
      <w:r>
        <w:rPr>
          <w:rFonts w:hint="eastAsia" w:hAnsi="宋体" w:cs="宋体"/>
          <w:b/>
          <w:bCs/>
          <w:color w:val="000000"/>
          <w:sz w:val="24"/>
          <w:szCs w:val="24"/>
          <w:lang w:val="en-US" w:eastAsia="zh-CN"/>
        </w:rPr>
        <w:t>3、</w:t>
      </w:r>
      <w:r>
        <w:rPr>
          <w:rFonts w:hint="eastAsia" w:hAnsi="宋体" w:eastAsia="宋体" w:cs="宋体"/>
          <w:b/>
          <w:bCs/>
          <w:sz w:val="24"/>
          <w:szCs w:val="24"/>
          <w:highlight w:val="yellow"/>
        </w:rPr>
        <w:t>投标文件递交截止时间：</w:t>
      </w:r>
      <w:r>
        <w:rPr>
          <w:rFonts w:hint="eastAsia" w:ascii="宋体" w:hAnsi="宋体" w:eastAsia="宋体" w:cs="宋体"/>
          <w:bCs/>
          <w:sz w:val="24"/>
          <w:szCs w:val="24"/>
          <w:highlight w:val="yellow"/>
        </w:rPr>
        <w:t>202</w:t>
      </w:r>
      <w:r>
        <w:rPr>
          <w:rFonts w:hint="eastAsia"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hAnsi="宋体" w:cs="宋体"/>
          <w:bCs/>
          <w:sz w:val="24"/>
          <w:szCs w:val="24"/>
          <w:highlight w:val="yellow"/>
          <w:lang w:val="en-US" w:eastAsia="zh-CN"/>
        </w:rPr>
        <w:t>3</w:t>
      </w:r>
      <w:r>
        <w:rPr>
          <w:rFonts w:hint="eastAsia" w:ascii="宋体" w:hAnsi="宋体" w:eastAsia="宋体" w:cs="宋体"/>
          <w:bCs/>
          <w:sz w:val="24"/>
          <w:szCs w:val="24"/>
          <w:highlight w:val="yellow"/>
        </w:rPr>
        <w:t>月</w:t>
      </w:r>
      <w:r>
        <w:rPr>
          <w:rFonts w:hint="eastAsia" w:hAnsi="宋体" w:cs="宋体"/>
          <w:bCs/>
          <w:sz w:val="24"/>
          <w:szCs w:val="24"/>
          <w:highlight w:val="yellow"/>
          <w:u w:val="none"/>
          <w:lang w:val="en-US" w:eastAsia="zh-CN"/>
        </w:rPr>
        <w:t>17</w:t>
      </w:r>
      <w:r>
        <w:rPr>
          <w:rFonts w:hint="eastAsia" w:ascii="宋体" w:hAnsi="宋体" w:eastAsia="宋体" w:cs="宋体"/>
          <w:bCs/>
          <w:sz w:val="24"/>
          <w:szCs w:val="24"/>
          <w:highlight w:val="yellow"/>
        </w:rPr>
        <w:t>日</w:t>
      </w:r>
      <w:r>
        <w:rPr>
          <w:rFonts w:hint="eastAsia" w:hAnsi="宋体" w:eastAsia="宋体" w:cs="宋体"/>
          <w:kern w:val="0"/>
          <w:sz w:val="24"/>
          <w:szCs w:val="24"/>
          <w:highlight w:val="yellow"/>
          <w:shd w:val="clear"/>
        </w:rPr>
        <w:t>上午9</w:t>
      </w:r>
      <w:r>
        <w:rPr>
          <w:rFonts w:hint="eastAsia" w:hAnsi="宋体" w:eastAsia="宋体" w:cs="宋体"/>
          <w:sz w:val="24"/>
          <w:szCs w:val="24"/>
          <w:highlight w:val="yellow"/>
          <w:shd w:val="clear"/>
        </w:rPr>
        <w:t>:00:00</w:t>
      </w:r>
    </w:p>
    <w:p w14:paraId="33A24519">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 w:val="0"/>
          <w:bCs w:val="0"/>
          <w:color w:val="000000"/>
          <w:sz w:val="24"/>
          <w:szCs w:val="24"/>
          <w:lang w:val="en-US" w:eastAsia="zh-CN"/>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p w14:paraId="27B65ABD">
      <w:pPr>
        <w:pStyle w:val="72"/>
        <w:rPr>
          <w:highlight w:val="none"/>
        </w:rPr>
      </w:pPr>
      <w:r>
        <w:rPr>
          <w:rFonts w:hint="eastAsia"/>
          <w:highlight w:val="none"/>
          <w:lang w:val="en-US" w:eastAsia="zh-CN"/>
        </w:rPr>
        <w:t>开标时间和地点</w:t>
      </w:r>
    </w:p>
    <w:p w14:paraId="560C27C9">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开标时间：2026年</w:t>
      </w:r>
      <w:r>
        <w:rPr>
          <w:rFonts w:hint="eastAsia" w:hAnsi="宋体" w:cs="宋体"/>
          <w:b w:val="0"/>
          <w:bCs w:val="0"/>
          <w:color w:val="000000"/>
          <w:sz w:val="24"/>
          <w:szCs w:val="24"/>
          <w:highlight w:val="yellow"/>
          <w:lang w:val="en-US" w:eastAsia="zh-CN"/>
        </w:rPr>
        <w:t>3</w:t>
      </w:r>
      <w:r>
        <w:rPr>
          <w:rFonts w:hint="eastAsia" w:ascii="宋体" w:hAnsi="宋体" w:eastAsia="宋体" w:cs="宋体"/>
          <w:b w:val="0"/>
          <w:bCs w:val="0"/>
          <w:color w:val="000000"/>
          <w:sz w:val="24"/>
          <w:szCs w:val="24"/>
          <w:highlight w:val="yellow"/>
        </w:rPr>
        <w:t>月</w:t>
      </w:r>
      <w:r>
        <w:rPr>
          <w:rFonts w:hint="eastAsia" w:hAnsi="宋体" w:cs="宋体"/>
          <w:b w:val="0"/>
          <w:bCs w:val="0"/>
          <w:color w:val="000000"/>
          <w:sz w:val="24"/>
          <w:szCs w:val="24"/>
          <w:highlight w:val="yellow"/>
          <w:lang w:val="en-US" w:eastAsia="zh-CN"/>
        </w:rPr>
        <w:t>17</w:t>
      </w:r>
      <w:r>
        <w:rPr>
          <w:rFonts w:hint="eastAsia" w:ascii="宋体" w:hAnsi="宋体" w:eastAsia="宋体" w:cs="宋体"/>
          <w:b w:val="0"/>
          <w:bCs w:val="0"/>
          <w:color w:val="000000"/>
          <w:sz w:val="24"/>
          <w:szCs w:val="24"/>
          <w:highlight w:val="yellow"/>
        </w:rPr>
        <w:t>日9:</w:t>
      </w:r>
      <w:r>
        <w:rPr>
          <w:rFonts w:hint="eastAsia" w:hAnsi="宋体" w:cs="宋体"/>
          <w:b w:val="0"/>
          <w:bCs w:val="0"/>
          <w:color w:val="000000"/>
          <w:sz w:val="24"/>
          <w:szCs w:val="24"/>
          <w:highlight w:val="yellow"/>
          <w:lang w:val="en-US" w:eastAsia="zh-CN"/>
        </w:rPr>
        <w:t>3</w:t>
      </w:r>
      <w:r>
        <w:rPr>
          <w:rFonts w:hint="eastAsia" w:ascii="宋体" w:hAnsi="宋体" w:eastAsia="宋体" w:cs="宋体"/>
          <w:b w:val="0"/>
          <w:bCs w:val="0"/>
          <w:color w:val="000000"/>
          <w:sz w:val="24"/>
          <w:szCs w:val="24"/>
          <w:highlight w:val="yellow"/>
        </w:rPr>
        <w:t>0:00。</w:t>
      </w:r>
    </w:p>
    <w:p w14:paraId="3BD030B0">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开标地点：山东省济南市章丘区潘王路东园区十一号路北，济南轻卡制造公司</w:t>
      </w:r>
    </w:p>
    <w:p w14:paraId="22385406">
      <w:pPr>
        <w:pStyle w:val="72"/>
      </w:pPr>
      <w:bookmarkStart w:id="7" w:name="_Toc47976593"/>
      <w:r>
        <w:rPr>
          <w:rFonts w:hint="eastAsia"/>
        </w:rPr>
        <w:t>招标公告发布媒介</w:t>
      </w:r>
      <w:bookmarkEnd w:id="7"/>
    </w:p>
    <w:p w14:paraId="15C59335">
      <w:pPr>
        <w:pStyle w:val="73"/>
        <w:keepNext w:val="0"/>
        <w:keepLines w:val="0"/>
        <w:pageBreakBefore w:val="0"/>
        <w:widowControl w:val="0"/>
        <w:numPr>
          <w:ilvl w:val="0"/>
          <w:numId w:val="0"/>
        </w:numPr>
        <w:kinsoku/>
        <w:wordWrap/>
        <w:overflowPunct/>
        <w:topLinePunct w:val="0"/>
        <w:autoSpaceDE/>
        <w:autoSpaceDN/>
        <w:bidi w:val="0"/>
        <w:adjustRightInd/>
        <w:snapToGrid/>
        <w:ind w:left="0" w:firstLine="480" w:firstLine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中国重汽e采通公布</w:t>
      </w:r>
    </w:p>
    <w:p w14:paraId="65FC2213">
      <w:pPr>
        <w:pStyle w:val="72"/>
        <w:rPr>
          <w:highlight w:val="none"/>
        </w:rPr>
      </w:pPr>
      <w:bookmarkStart w:id="8" w:name="_Toc47976594"/>
      <w:r>
        <w:rPr>
          <w:rFonts w:hint="eastAsia"/>
          <w:highlight w:val="none"/>
        </w:rPr>
        <w:t>联系方式</w:t>
      </w:r>
      <w:bookmarkEnd w:id="8"/>
    </w:p>
    <w:p w14:paraId="4860353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2DE6C24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14:paraId="7C80DE9B">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Cs/>
          <w:snapToGrid w:val="0"/>
          <w:kern w:val="0"/>
          <w:sz w:val="24"/>
          <w:szCs w:val="24"/>
          <w:highlight w:val="none"/>
          <w:lang w:val="en-US" w:eastAsia="zh-CN"/>
        </w:rPr>
        <w:t>许娅楠</w:t>
      </w:r>
    </w:p>
    <w:p w14:paraId="2D176DF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15002582216</w:t>
      </w:r>
    </w:p>
    <w:p w14:paraId="15D87240">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"mailto:xuyanan@sinotruk.com"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xuyanan@sinotruk.com</w:t>
      </w:r>
      <w:r>
        <w:rPr>
          <w:rFonts w:hint="eastAsia" w:ascii="宋体" w:hAnsi="宋体" w:eastAsia="宋体" w:cs="宋体"/>
          <w:bCs/>
          <w:snapToGrid w:val="0"/>
          <w:kern w:val="0"/>
          <w:sz w:val="24"/>
          <w:szCs w:val="24"/>
          <w:highlight w:val="none"/>
          <w:lang w:val="en-US" w:eastAsia="zh-CN"/>
        </w:rPr>
        <w:fldChar w:fldCharType="end"/>
      </w:r>
    </w:p>
    <w:p w14:paraId="6782BA33">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cs="宋体"/>
          <w:bCs/>
          <w:snapToGrid w:val="0"/>
          <w:kern w:val="0"/>
          <w:sz w:val="24"/>
          <w:szCs w:val="24"/>
          <w:highlight w:val="none"/>
          <w:lang w:val="en-US" w:eastAsia="zh-CN"/>
        </w:rPr>
        <w:t>程前</w:t>
      </w:r>
    </w:p>
    <w:p w14:paraId="662F72A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cs="宋体"/>
          <w:bCs/>
          <w:snapToGrid w:val="0"/>
          <w:kern w:val="0"/>
          <w:sz w:val="24"/>
          <w:szCs w:val="24"/>
          <w:highlight w:val="none"/>
          <w:lang w:val="en-US" w:eastAsia="zh-CN"/>
        </w:rPr>
        <w:t>17518917957</w:t>
      </w:r>
    </w:p>
    <w:p w14:paraId="05357BC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cs="宋体"/>
          <w:bCs/>
          <w:snapToGrid w:val="0"/>
          <w:kern w:val="0"/>
          <w:sz w:val="24"/>
          <w:szCs w:val="24"/>
          <w:highlight w:val="none"/>
          <w:lang w:val="en-US" w:eastAsia="zh-CN"/>
        </w:rPr>
        <w:t>chengqian@sinotruk.com</w:t>
      </w: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2026</w:t>
      </w:r>
      <w:r>
        <w:rPr>
          <w:rFonts w:hint="eastAsia"/>
        </w:rPr>
        <w:t>年</w:t>
      </w:r>
      <w:r>
        <w:rPr>
          <w:rFonts w:hint="eastAsia"/>
          <w:u w:val="single"/>
          <w:lang w:val="en-US" w:eastAsia="zh-CN"/>
        </w:rPr>
        <w:t>02</w:t>
      </w:r>
      <w:r>
        <w:rPr>
          <w:rFonts w:hint="eastAsia"/>
        </w:rPr>
        <w:t>月</w:t>
      </w:r>
      <w:r>
        <w:rPr>
          <w:rFonts w:hint="eastAsia"/>
          <w:u w:val="single"/>
          <w:lang w:val="en-US" w:eastAsia="zh-CN"/>
        </w:rPr>
        <w:t>XX</w:t>
      </w:r>
      <w:r>
        <w:rPr>
          <w:rFonts w:hint="eastAsia"/>
        </w:rPr>
        <w:t>日</w:t>
      </w:r>
    </w:p>
    <w:p w14:paraId="04C96706">
      <w:pPr>
        <w:pStyle w:val="76"/>
      </w:pPr>
    </w:p>
    <w:p w14:paraId="58FAC62D">
      <w:pPr>
        <w:pStyle w:val="76"/>
        <w:sectPr>
          <w:headerReference r:id="rId7" w:type="first"/>
          <w:footerReference r:id="rId9" w:type="first"/>
          <w:footerReference r:id="rId8" w:type="default"/>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9" w:name="_Toc47976595"/>
      <w:bookmarkStart w:id="10" w:name="_Toc4637"/>
      <w:r>
        <w:rPr>
          <w:rFonts w:hint="eastAsia"/>
        </w:rPr>
        <w:t>第一部分  投标人须知</w:t>
      </w:r>
      <w:bookmarkEnd w:id="9"/>
      <w:bookmarkEnd w:id="10"/>
    </w:p>
    <w:p w14:paraId="418340FC">
      <w:pPr>
        <w:pStyle w:val="72"/>
        <w:numPr>
          <w:ilvl w:val="0"/>
          <w:numId w:val="11"/>
        </w:numPr>
        <w:ind w:left="420"/>
        <w:jc w:val="left"/>
      </w:pPr>
      <w:bookmarkStart w:id="11" w:name="_Toc47976596"/>
      <w:r>
        <w:rPr>
          <w:rFonts w:hint="eastAsia"/>
        </w:rPr>
        <w:t>项目介绍</w:t>
      </w:r>
      <w:bookmarkEnd w:id="11"/>
    </w:p>
    <w:p w14:paraId="6360E7CD">
      <w:pPr>
        <w:pStyle w:val="76"/>
        <w:numPr>
          <w:ilvl w:val="0"/>
          <w:numId w:val="12"/>
        </w:numPr>
        <w:ind w:left="425" w:leftChars="0" w:hanging="425" w:firstLineChars="0"/>
        <w:rPr>
          <w:b/>
          <w:bCs/>
          <w:sz w:val="24"/>
          <w:szCs w:val="24"/>
          <w:highlight w:val="none"/>
        </w:rPr>
      </w:pPr>
      <w:r>
        <w:rPr>
          <w:rFonts w:hint="eastAsia"/>
          <w:b/>
          <w:bCs/>
          <w:sz w:val="24"/>
          <w:szCs w:val="24"/>
          <w:highlight w:val="none"/>
        </w:rPr>
        <w:t>项目名称：总装一线中置电池助力机械手改造技改项目</w:t>
      </w:r>
    </w:p>
    <w:p w14:paraId="17A97EAA">
      <w:pPr>
        <w:pStyle w:val="76"/>
        <w:numPr>
          <w:ilvl w:val="0"/>
          <w:numId w:val="12"/>
        </w:numPr>
        <w:ind w:left="425" w:leftChars="0" w:hanging="425" w:firstLineChars="0"/>
        <w:rPr>
          <w:b/>
          <w:bCs/>
          <w:sz w:val="24"/>
          <w:szCs w:val="24"/>
          <w:highlight w:val="none"/>
        </w:rPr>
      </w:pPr>
      <w:r>
        <w:rPr>
          <w:rFonts w:hint="eastAsia"/>
          <w:b/>
          <w:bCs/>
          <w:sz w:val="24"/>
          <w:szCs w:val="24"/>
          <w:highlight w:val="none"/>
        </w:rPr>
        <w:t>项目编号</w:t>
      </w:r>
      <w:r>
        <w:rPr>
          <w:rFonts w:hint="eastAsia"/>
          <w:b/>
          <w:bCs/>
          <w:sz w:val="24"/>
          <w:szCs w:val="24"/>
          <w:highlight w:val="none"/>
        </w:rPr>
        <w:t>：ZBGL2026020202</w:t>
      </w:r>
    </w:p>
    <w:p w14:paraId="5C6CF568">
      <w:pPr>
        <w:pStyle w:val="76"/>
        <w:numPr>
          <w:ilvl w:val="0"/>
          <w:numId w:val="12"/>
        </w:numPr>
        <w:ind w:left="425" w:leftChars="0" w:hanging="425" w:firstLineChars="0"/>
        <w:rPr>
          <w:b/>
          <w:bCs/>
          <w:sz w:val="24"/>
          <w:szCs w:val="24"/>
          <w:highlight w:val="none"/>
        </w:rPr>
      </w:pPr>
      <w:r>
        <w:rPr>
          <w:rFonts w:hint="eastAsia"/>
          <w:b/>
          <w:bCs/>
          <w:sz w:val="24"/>
          <w:szCs w:val="24"/>
          <w:highlight w:val="none"/>
        </w:rPr>
        <w:t>招标形式：</w:t>
      </w:r>
      <w:bookmarkStart w:id="12" w:name="_Toc47112482"/>
      <w:r>
        <w:rPr>
          <w:rFonts w:hint="eastAsia" w:hAnsi="宋体" w:cs="宋体"/>
          <w:b/>
          <w:bCs/>
          <w:sz w:val="24"/>
          <w:szCs w:val="24"/>
          <w:highlight w:val="none"/>
          <w:lang w:val="en-US" w:eastAsia="zh-CN"/>
        </w:rPr>
        <w:t>公开招标</w:t>
      </w:r>
    </w:p>
    <w:p w14:paraId="742B3A80">
      <w:pPr>
        <w:pStyle w:val="76"/>
        <w:numPr>
          <w:ilvl w:val="0"/>
          <w:numId w:val="12"/>
        </w:numPr>
        <w:ind w:left="425" w:leftChars="0" w:hanging="425" w:firstLineChars="0"/>
        <w:rPr>
          <w:b/>
          <w:bCs/>
          <w:sz w:val="24"/>
          <w:szCs w:val="24"/>
          <w:highlight w:val="none"/>
        </w:rPr>
      </w:pPr>
      <w:r>
        <w:rPr>
          <w:rFonts w:hint="eastAsia"/>
          <w:b/>
          <w:bCs/>
          <w:sz w:val="24"/>
          <w:szCs w:val="24"/>
          <w:highlight w:val="none"/>
          <w:lang w:val="en-US" w:eastAsia="zh-CN"/>
        </w:rPr>
        <w:t>项目概况：对总装一线中置电池助力机械手进行改造，以满足新能源车型电池安装的需求。</w:t>
      </w:r>
    </w:p>
    <w:p w14:paraId="151561C8">
      <w:pPr>
        <w:pStyle w:val="76"/>
        <w:numPr>
          <w:ilvl w:val="0"/>
          <w:numId w:val="12"/>
        </w:numPr>
        <w:ind w:left="425" w:leftChars="0" w:hanging="425" w:firstLineChars="0"/>
        <w:rPr>
          <w:rFonts w:hint="default" w:ascii="宋体" w:hAnsi="Courier New" w:eastAsia="宋体" w:cs="Times New Roman"/>
          <w:b/>
          <w:bCs/>
          <w:sz w:val="24"/>
          <w:szCs w:val="24"/>
          <w:highlight w:val="none"/>
          <w:lang w:val="en-US" w:eastAsia="zh-CN"/>
        </w:rPr>
      </w:pPr>
      <w:r>
        <w:rPr>
          <w:rFonts w:hint="eastAsia" w:cs="Times New Roman"/>
          <w:b/>
          <w:bCs/>
          <w:sz w:val="24"/>
          <w:szCs w:val="24"/>
          <w:highlight w:val="none"/>
          <w:lang w:val="en-US" w:eastAsia="zh-CN"/>
        </w:rPr>
        <w:t>招标内容</w:t>
      </w:r>
      <w:r>
        <w:rPr>
          <w:rFonts w:hint="eastAsia" w:ascii="宋体" w:hAnsi="Courier New" w:eastAsia="宋体" w:cs="Times New Roman"/>
          <w:b/>
          <w:bCs/>
          <w:sz w:val="24"/>
          <w:szCs w:val="24"/>
          <w:highlight w:val="none"/>
          <w:lang w:val="en-US" w:eastAsia="zh-CN"/>
        </w:rPr>
        <w:t>具体要求详见《技术标书》。</w:t>
      </w:r>
    </w:p>
    <w:p w14:paraId="49F41294">
      <w:pPr>
        <w:pStyle w:val="76"/>
        <w:numPr>
          <w:ilvl w:val="0"/>
          <w:numId w:val="12"/>
        </w:numPr>
        <w:ind w:left="425" w:leftChars="0" w:hanging="425" w:firstLineChars="0"/>
        <w:rPr>
          <w:rFonts w:hint="default" w:cs="Times New Roman"/>
          <w:b/>
          <w:bCs/>
          <w:sz w:val="24"/>
          <w:szCs w:val="24"/>
          <w:highlight w:val="none"/>
          <w:u w:val="none"/>
          <w:lang w:val="en-US" w:eastAsia="zh-CN"/>
        </w:rPr>
      </w:pPr>
      <w:r>
        <w:rPr>
          <w:rFonts w:hint="eastAsia"/>
          <w:b/>
          <w:bCs/>
          <w:sz w:val="24"/>
          <w:szCs w:val="24"/>
          <w:highlight w:val="none"/>
          <w:lang w:val="en-US" w:eastAsia="zh-CN"/>
        </w:rPr>
        <w:t>报价：</w:t>
      </w:r>
    </w:p>
    <w:p w14:paraId="75266BA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839D4BF">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2A2F2260">
      <w:pPr>
        <w:pStyle w:val="76"/>
        <w:numPr>
          <w:ilvl w:val="0"/>
          <w:numId w:val="12"/>
        </w:numPr>
        <w:ind w:left="425" w:leftChars="0" w:hanging="425" w:firstLineChars="0"/>
        <w:rPr>
          <w:rFonts w:hint="eastAsia" w:cs="Times New Roman"/>
          <w:b/>
          <w:bCs/>
          <w:sz w:val="24"/>
          <w:szCs w:val="24"/>
          <w:highlight w:val="none"/>
          <w:lang w:val="en-US" w:eastAsia="zh-CN"/>
        </w:rPr>
      </w:pPr>
      <w:r>
        <w:rPr>
          <w:rFonts w:hint="eastAsia" w:ascii="宋体" w:hAnsi="Courier New" w:eastAsia="宋体" w:cs="Times New Roman"/>
          <w:b/>
          <w:bCs/>
          <w:sz w:val="24"/>
          <w:szCs w:val="24"/>
          <w:highlight w:val="none"/>
          <w:lang w:val="en-US" w:eastAsia="zh-CN"/>
        </w:rPr>
        <w:t>招标人信息：</w:t>
      </w:r>
    </w:p>
    <w:p w14:paraId="61C5318D">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098F6EE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14:paraId="3C87EDA1">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Cs/>
          <w:snapToGrid w:val="0"/>
          <w:kern w:val="0"/>
          <w:sz w:val="24"/>
          <w:szCs w:val="24"/>
          <w:highlight w:val="none"/>
          <w:lang w:val="en-US" w:eastAsia="zh-CN"/>
        </w:rPr>
        <w:t>许娅楠</w:t>
      </w:r>
    </w:p>
    <w:p w14:paraId="3396882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15002582216</w:t>
      </w:r>
    </w:p>
    <w:p w14:paraId="2F63AB79">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"mailto:xuyanan@sinotruk.com"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xuyanan@sinotruk.com</w:t>
      </w:r>
      <w:r>
        <w:rPr>
          <w:rFonts w:hint="eastAsia" w:ascii="宋体" w:hAnsi="宋体" w:eastAsia="宋体" w:cs="宋体"/>
          <w:bCs/>
          <w:snapToGrid w:val="0"/>
          <w:kern w:val="0"/>
          <w:sz w:val="24"/>
          <w:szCs w:val="24"/>
          <w:highlight w:val="none"/>
          <w:lang w:val="en-US" w:eastAsia="zh-CN"/>
        </w:rPr>
        <w:fldChar w:fldCharType="end"/>
      </w:r>
    </w:p>
    <w:bookmarkEnd w:id="12"/>
    <w:p w14:paraId="0268C183">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bookmarkStart w:id="13" w:name="_Toc47976598"/>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cs="宋体"/>
          <w:bCs/>
          <w:snapToGrid w:val="0"/>
          <w:kern w:val="0"/>
          <w:sz w:val="24"/>
          <w:szCs w:val="24"/>
          <w:highlight w:val="none"/>
          <w:lang w:val="en-US" w:eastAsia="zh-CN"/>
        </w:rPr>
        <w:t>程前</w:t>
      </w:r>
    </w:p>
    <w:p w14:paraId="05BA05BB">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cs="宋体"/>
          <w:bCs/>
          <w:snapToGrid w:val="0"/>
          <w:kern w:val="0"/>
          <w:sz w:val="24"/>
          <w:szCs w:val="24"/>
          <w:highlight w:val="none"/>
          <w:lang w:val="en-US" w:eastAsia="zh-CN"/>
        </w:rPr>
        <w:t>17518917957</w:t>
      </w:r>
    </w:p>
    <w:p w14:paraId="31E3CEC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cs="宋体"/>
          <w:bCs/>
          <w:snapToGrid w:val="0"/>
          <w:kern w:val="0"/>
          <w:sz w:val="24"/>
          <w:szCs w:val="24"/>
          <w:highlight w:val="none"/>
          <w:lang w:val="en-US" w:eastAsia="zh-CN"/>
        </w:rPr>
        <w:t>chengqian@sinotruk.com</w:t>
      </w:r>
    </w:p>
    <w:p w14:paraId="50DC6C75">
      <w:pPr>
        <w:pStyle w:val="72"/>
      </w:pPr>
      <w:r>
        <w:rPr>
          <w:rFonts w:hint="eastAsia"/>
        </w:rPr>
        <w:t>合格的投标人。</w:t>
      </w:r>
      <w:bookmarkEnd w:id="13"/>
    </w:p>
    <w:p w14:paraId="651923FE">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投标人必须是在中华人民共和国境内注册的独立法人机构，具有独立承担民事责任能力；注册资金不少于500万人民币（或等值其他货币）；公司成立三年以上（以营业执照成立日期到开标当日满三年为准），且经营范围符合项目要求。并在人员、设备、资金等方面具有承担本项目的能力，且满足技术、质量、资金等要求，财务状况良好、经营稳定，具有全面履约的能力，能提供相关信用等级和完税证明。拟投标人为该标的物的设计和制造商或其在中国境内有完善的技术以及售后服务体系，该项目不允许代理商参标；</w:t>
      </w:r>
    </w:p>
    <w:p w14:paraId="40D0A8E9">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拟投标人应提供营业执照副本原件和扫描件（需盖章）；</w:t>
      </w:r>
    </w:p>
    <w:p w14:paraId="27A7C1D6">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拟投标人应提供法定代表人资格证明文件；</w:t>
      </w:r>
    </w:p>
    <w:p w14:paraId="693975D3">
      <w:pPr>
        <w:pStyle w:val="73"/>
        <w:numPr>
          <w:ilvl w:val="0"/>
          <w:numId w:val="13"/>
        </w:numPr>
        <w:ind w:left="0" w:firstLine="0"/>
        <w:rPr>
          <w:b w:val="0"/>
          <w:bCs/>
        </w:rPr>
      </w:pPr>
      <w:r>
        <w:rPr>
          <w:rFonts w:hint="eastAsia" w:ascii="宋体" w:hAnsi="Courier New" w:eastAsia="宋体" w:cs="Times New Roman"/>
          <w:b w:val="0"/>
          <w:bCs/>
          <w:strike w:val="0"/>
          <w:dstrike w:val="0"/>
          <w:highlight w:val="none"/>
        </w:rPr>
        <w:t>拟投标人在“国家企业信用信息公示系统”、“中国执行信息公开网”、“信用中国”、“天眼查”“裁判文书网”等信息平台中，无行政处罚及失信记录等信息；</w:t>
      </w:r>
    </w:p>
    <w:p w14:paraId="66A9C45B">
      <w:pPr>
        <w:pStyle w:val="73"/>
        <w:numPr>
          <w:ilvl w:val="0"/>
          <w:numId w:val="13"/>
        </w:numPr>
        <w:ind w:left="0" w:firstLine="0"/>
        <w:rPr>
          <w:rFonts w:hint="eastAsia" w:ascii="宋体" w:hAnsi="Courier New" w:eastAsia="宋体" w:cs="Times New Roman"/>
          <w:b w:val="0"/>
          <w:bCs/>
          <w:strike w:val="0"/>
          <w:dstrike w:val="0"/>
          <w:highlight w:val="none"/>
        </w:rPr>
      </w:pPr>
      <w:r>
        <w:rPr>
          <w:rFonts w:hint="eastAsia"/>
          <w:b w:val="0"/>
          <w:bCs/>
          <w:lang w:eastAsia="zh-CN"/>
        </w:rPr>
        <w:t>拟投标人不存在严重违规或被列入招标人“黑名单”的声明；</w:t>
      </w:r>
    </w:p>
    <w:p w14:paraId="328933A0">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2022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7C373CFB">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拟投标人2022年1月1日至今，有与本次招标内容相同或类似项目业绩，且近3年内无因服务不当而造成重大事故；</w:t>
      </w:r>
    </w:p>
    <w:p w14:paraId="1731EE39">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拟投标人近三年内在经营活动中无招标违规、谎报年度报告信息、提供虚假资质资料等行为或其他行政处罚记录；</w:t>
      </w:r>
    </w:p>
    <w:p w14:paraId="52E3D4D4">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拟投标人须认可招标人的工作指令，包括节、假日能正常开展工作的要求；</w:t>
      </w:r>
    </w:p>
    <w:p w14:paraId="36DA9C2D">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拟投标人最近半年纳税正常；</w:t>
      </w:r>
    </w:p>
    <w:p w14:paraId="5078976D">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lang w:eastAsia="zh-CN"/>
        </w:rPr>
        <w:t>拟投标人信用证明材料（征信报告）未显示异常；</w:t>
      </w:r>
    </w:p>
    <w:p w14:paraId="77AA9EE8">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拟投标人的直接或间接股东、法定代表人、董事、监事、高管非重汽员工及其亲属。</w:t>
      </w:r>
    </w:p>
    <w:p w14:paraId="02C01303">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rFonts w:hint="eastAsia"/>
          <w:b w:val="0"/>
          <w:bCs/>
          <w:sz w:val="21"/>
          <w:szCs w:val="21"/>
          <w:highlight w:val="none"/>
          <w:lang w:val="en-US" w:eastAsia="zh-CN"/>
        </w:rPr>
      </w:pPr>
      <w:r>
        <w:rPr>
          <w:rFonts w:hint="eastAsia" w:ascii="宋体" w:hAnsi="Courier New" w:eastAsia="宋体" w:cs="Times New Roman"/>
          <w:b w:val="0"/>
          <w:bCs/>
          <w:strike w:val="0"/>
          <w:dstrike w:val="0"/>
          <w:highlight w:val="none"/>
          <w:lang w:val="en-US" w:eastAsia="zh-CN"/>
        </w:rPr>
        <w:t>拟投标人必须是最终投标单位和签订合同单位，不得以任何理由将已中标项目以任何形式分包或转包给其他单位；</w:t>
      </w:r>
    </w:p>
    <w:p w14:paraId="037C47DB">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rFonts w:hint="eastAsia"/>
          <w:b w:val="0"/>
          <w:bCs/>
          <w:sz w:val="21"/>
          <w:szCs w:val="21"/>
          <w:highlight w:val="none"/>
          <w:lang w:val="en-US" w:eastAsia="zh-CN"/>
        </w:rPr>
      </w:pPr>
      <w:r>
        <w:rPr>
          <w:rFonts w:hint="eastAsia"/>
          <w:b w:val="0"/>
          <w:bCs/>
          <w:highlight w:val="none"/>
          <w:lang w:eastAsia="zh-CN"/>
        </w:rPr>
        <w:t>与招标人存在利害关系可能影响招标公正性的法人、其他组织或者个人，不得参加投标</w:t>
      </w:r>
      <w:r>
        <w:rPr>
          <w:rFonts w:hint="eastAsia"/>
          <w:b w:val="0"/>
          <w:bCs/>
          <w:sz w:val="21"/>
          <w:szCs w:val="21"/>
          <w:highlight w:val="none"/>
          <w:lang w:eastAsia="zh-CN"/>
        </w:rPr>
        <w:t>。</w:t>
      </w:r>
    </w:p>
    <w:p w14:paraId="31CA8C38">
      <w:pPr>
        <w:pStyle w:val="72"/>
        <w:rPr>
          <w:rFonts w:hint="eastAsia" w:cs="Times New Roman"/>
        </w:rPr>
      </w:pPr>
      <w:r>
        <w:rPr>
          <w:rFonts w:hint="eastAsia" w:cs="Times New Roman"/>
        </w:rPr>
        <w:t>招标文件的</w:t>
      </w:r>
      <w:r>
        <w:rPr>
          <w:rFonts w:hint="eastAsia" w:cs="Times New Roman"/>
          <w:lang w:val="en-US" w:eastAsia="zh-CN"/>
        </w:rPr>
        <w:t>领取、</w:t>
      </w:r>
      <w:r>
        <w:rPr>
          <w:rFonts w:hint="eastAsia" w:cs="Times New Roman"/>
        </w:rPr>
        <w:t>答疑、</w:t>
      </w:r>
      <w:r>
        <w:rPr>
          <w:rFonts w:hint="eastAsia" w:cs="Times New Roman"/>
          <w:lang w:val="en-US" w:eastAsia="zh-CN"/>
        </w:rPr>
        <w:t>应标</w:t>
      </w:r>
      <w:r>
        <w:rPr>
          <w:rFonts w:hint="eastAsia" w:cs="Times New Roman"/>
        </w:rPr>
        <w:t>及投标报名</w:t>
      </w:r>
    </w:p>
    <w:p w14:paraId="09A92690">
      <w:pPr>
        <w:pStyle w:val="76"/>
        <w:numPr>
          <w:ilvl w:val="0"/>
          <w:numId w:val="14"/>
        </w:numPr>
        <w:ind w:left="425" w:leftChars="0" w:hanging="425" w:firstLineChars="0"/>
        <w:jc w:val="both"/>
        <w:rPr>
          <w:rFonts w:hint="eastAsia"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发标时间：</w:t>
      </w:r>
      <w:r>
        <w:rPr>
          <w:rFonts w:hint="eastAsia" w:ascii="宋体" w:hAnsi="Courier New" w:eastAsia="宋体" w:cs="Times New Roman"/>
          <w:sz w:val="21"/>
          <w:szCs w:val="21"/>
          <w:highlight w:val="yellow"/>
          <w:lang w:val="en-US" w:eastAsia="zh-CN"/>
        </w:rPr>
        <w:t>2026年</w:t>
      </w:r>
      <w:r>
        <w:rPr>
          <w:rFonts w:hint="eastAsia" w:cs="Times New Roman"/>
          <w:sz w:val="21"/>
          <w:szCs w:val="21"/>
          <w:highlight w:val="yellow"/>
          <w:lang w:val="en-US" w:eastAsia="zh-CN"/>
        </w:rPr>
        <w:t>2</w:t>
      </w:r>
      <w:r>
        <w:rPr>
          <w:rFonts w:hint="eastAsia" w:ascii="宋体" w:hAnsi="Courier New" w:eastAsia="宋体" w:cs="Times New Roman"/>
          <w:sz w:val="21"/>
          <w:szCs w:val="21"/>
          <w:highlight w:val="yellow"/>
          <w:lang w:val="en-US" w:eastAsia="zh-CN"/>
        </w:rPr>
        <w:t>月</w:t>
      </w:r>
      <w:r>
        <w:rPr>
          <w:rFonts w:hint="eastAsia" w:cs="Times New Roman"/>
          <w:sz w:val="21"/>
          <w:szCs w:val="21"/>
          <w:highlight w:val="yellow"/>
          <w:lang w:val="en-US" w:eastAsia="zh-CN"/>
        </w:rPr>
        <w:t>14</w:t>
      </w:r>
      <w:r>
        <w:rPr>
          <w:rFonts w:hint="eastAsia" w:ascii="宋体" w:hAnsi="Courier New" w:eastAsia="宋体" w:cs="Times New Roman"/>
          <w:sz w:val="21"/>
          <w:szCs w:val="21"/>
          <w:highlight w:val="yellow"/>
          <w:lang w:val="en-US" w:eastAsia="zh-CN"/>
        </w:rPr>
        <w:t>日</w:t>
      </w:r>
    </w:p>
    <w:p w14:paraId="3E83CBE4">
      <w:pPr>
        <w:pStyle w:val="76"/>
        <w:numPr>
          <w:ilvl w:val="0"/>
          <w:numId w:val="14"/>
        </w:numPr>
        <w:ind w:left="425" w:leftChars="0" w:hanging="425" w:firstLineChars="0"/>
        <w:jc w:val="both"/>
        <w:rPr>
          <w:b/>
          <w:bCs/>
          <w:sz w:val="21"/>
          <w:szCs w:val="21"/>
          <w:highlight w:val="none"/>
        </w:rPr>
      </w:pPr>
      <w:r>
        <w:rPr>
          <w:rFonts w:hint="eastAsia" w:ascii="宋体" w:hAnsi="Courier New" w:eastAsia="宋体" w:cs="Times New Roman"/>
          <w:b/>
          <w:bCs/>
          <w:sz w:val="21"/>
          <w:szCs w:val="21"/>
          <w:highlight w:val="none"/>
          <w:lang w:val="en-US" w:eastAsia="zh-CN"/>
        </w:rPr>
        <w:t>招标文件领取方式、地点及领取截止时间</w:t>
      </w:r>
      <w:r>
        <w:rPr>
          <w:rFonts w:hint="eastAsia" w:cs="Times New Roman"/>
          <w:b/>
          <w:bCs/>
          <w:sz w:val="21"/>
          <w:szCs w:val="21"/>
          <w:highlight w:val="none"/>
          <w:lang w:val="en-US" w:eastAsia="zh-CN"/>
        </w:rPr>
        <w:t>：</w:t>
      </w:r>
    </w:p>
    <w:p w14:paraId="2A86024D">
      <w:pPr>
        <w:pStyle w:val="76"/>
        <w:ind w:firstLine="211" w:firstLineChars="100"/>
        <w:jc w:val="both"/>
        <w:rPr>
          <w:rFonts w:hint="default" w:eastAsia="宋体"/>
          <w:sz w:val="21"/>
          <w:szCs w:val="21"/>
          <w:highlight w:val="none"/>
          <w:lang w:val="en-US" w:eastAsia="zh-CN"/>
        </w:rPr>
      </w:pPr>
      <w:r>
        <w:rPr>
          <w:rFonts w:hint="eastAsia"/>
          <w:b/>
          <w:bCs/>
          <w:sz w:val="21"/>
          <w:szCs w:val="21"/>
          <w:highlight w:val="none"/>
        </w:rPr>
        <w:t>地点</w:t>
      </w:r>
      <w:r>
        <w:rPr>
          <w:rFonts w:hint="eastAsia"/>
          <w:b/>
          <w:bCs/>
          <w:sz w:val="21"/>
          <w:szCs w:val="21"/>
          <w:highlight w:val="none"/>
          <w:lang w:eastAsia="zh-CN"/>
        </w:rPr>
        <w:t>（</w:t>
      </w:r>
      <w:r>
        <w:rPr>
          <w:rFonts w:hint="eastAsia"/>
          <w:b/>
          <w:bCs/>
          <w:sz w:val="21"/>
          <w:szCs w:val="21"/>
          <w:highlight w:val="none"/>
          <w:lang w:val="en-US" w:eastAsia="zh-CN"/>
        </w:rPr>
        <w:t>线上</w:t>
      </w:r>
      <w:r>
        <w:rPr>
          <w:rFonts w:hint="eastAsia"/>
          <w:b/>
          <w:bCs/>
          <w:sz w:val="21"/>
          <w:szCs w:val="21"/>
          <w:highlight w:val="none"/>
          <w:lang w:eastAsia="zh-CN"/>
        </w:rPr>
        <w:t>）</w:t>
      </w:r>
      <w:r>
        <w:rPr>
          <w:rFonts w:hint="eastAsia"/>
          <w:b/>
          <w:bCs/>
          <w:sz w:val="21"/>
          <w:szCs w:val="21"/>
          <w:highlight w:val="none"/>
        </w:rPr>
        <w:t>：</w:t>
      </w:r>
      <w:r>
        <w:rPr>
          <w:rFonts w:hint="eastAsia"/>
          <w:sz w:val="21"/>
          <w:szCs w:val="21"/>
          <w:highlight w:val="none"/>
        </w:rPr>
        <w:t>中国重汽e采通平台</w:t>
      </w:r>
    </w:p>
    <w:p w14:paraId="62084E4B">
      <w:pPr>
        <w:pStyle w:val="76"/>
        <w:numPr>
          <w:ilvl w:val="0"/>
          <w:numId w:val="14"/>
        </w:numPr>
        <w:ind w:left="425" w:leftChars="0" w:hanging="425" w:firstLineChars="0"/>
        <w:jc w:val="both"/>
        <w:rPr>
          <w:rFonts w:hint="eastAsia" w:ascii="宋体" w:hAnsi="Courier New" w:eastAsia="宋体" w:cs="Times New Roman"/>
          <w:b w:val="0"/>
          <w:bCs w:val="0"/>
          <w:sz w:val="21"/>
          <w:szCs w:val="21"/>
          <w:highlight w:val="none"/>
          <w:lang w:val="en-US" w:eastAsia="zh-CN"/>
        </w:rPr>
      </w:pPr>
      <w:r>
        <w:rPr>
          <w:rFonts w:hint="eastAsia" w:ascii="宋体" w:hAnsi="Courier New" w:eastAsia="宋体" w:cs="Times New Roman"/>
          <w:b/>
          <w:bCs/>
          <w:sz w:val="21"/>
          <w:szCs w:val="21"/>
          <w:highlight w:val="none"/>
          <w:lang w:val="en-US" w:eastAsia="zh-CN"/>
        </w:rPr>
        <w:t>答疑时间：</w:t>
      </w:r>
      <w:r>
        <w:rPr>
          <w:rFonts w:hint="eastAsia" w:ascii="宋体" w:hAnsi="Courier New" w:eastAsia="宋体" w:cs="Times New Roman"/>
          <w:sz w:val="21"/>
          <w:szCs w:val="21"/>
          <w:highlight w:val="none"/>
          <w:lang w:val="en-US" w:eastAsia="zh-CN"/>
        </w:rPr>
        <w:t>2026年</w:t>
      </w:r>
      <w:r>
        <w:rPr>
          <w:rFonts w:hint="eastAsia" w:cs="Times New Roman"/>
          <w:sz w:val="21"/>
          <w:szCs w:val="21"/>
          <w:highlight w:val="none"/>
          <w:lang w:val="en-US" w:eastAsia="zh-CN"/>
        </w:rPr>
        <w:t>3</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13</w:t>
      </w:r>
      <w:r>
        <w:rPr>
          <w:rFonts w:hint="eastAsia" w:ascii="宋体" w:hAnsi="Courier New" w:eastAsia="宋体" w:cs="Times New Roman"/>
          <w:sz w:val="21"/>
          <w:szCs w:val="21"/>
          <w:highlight w:val="none"/>
          <w:lang w:val="en-US" w:eastAsia="zh-CN"/>
        </w:rPr>
        <w:t>日</w:t>
      </w:r>
      <w:r>
        <w:rPr>
          <w:rFonts w:hint="eastAsia" w:cs="Times New Roman"/>
          <w:sz w:val="21"/>
          <w:szCs w:val="21"/>
          <w:highlight w:val="none"/>
          <w:lang w:val="en-US" w:eastAsia="zh-CN"/>
        </w:rPr>
        <w:t>17</w:t>
      </w:r>
      <w:r>
        <w:rPr>
          <w:rFonts w:hint="eastAsia" w:cs="Times New Roman"/>
          <w:b w:val="0"/>
          <w:bCs w:val="0"/>
          <w:sz w:val="21"/>
          <w:szCs w:val="21"/>
          <w:highlight w:val="none"/>
          <w:lang w:val="en-US" w:eastAsia="zh-CN"/>
        </w:rPr>
        <w:t>:00前</w:t>
      </w:r>
    </w:p>
    <w:p w14:paraId="62CB87C4">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b/>
          <w:bCs/>
          <w:sz w:val="21"/>
          <w:szCs w:val="21"/>
          <w:highlight w:val="none"/>
          <w:lang w:val="en-US" w:eastAsia="zh-CN"/>
        </w:rPr>
      </w:pPr>
      <w:r>
        <w:rPr>
          <w:rFonts w:hint="eastAsia" w:cs="Times New Roman"/>
          <w:b/>
          <w:bCs/>
          <w:sz w:val="21"/>
          <w:szCs w:val="21"/>
          <w:highlight w:val="none"/>
          <w:lang w:val="en-US" w:eastAsia="zh-CN"/>
        </w:rPr>
        <w:t>提交疑问</w:t>
      </w:r>
      <w:r>
        <w:rPr>
          <w:rFonts w:hint="eastAsia" w:ascii="宋体" w:hAnsi="Courier New" w:eastAsia="宋体" w:cs="Times New Roman"/>
          <w:b/>
          <w:bCs/>
          <w:sz w:val="21"/>
          <w:szCs w:val="21"/>
          <w:highlight w:val="none"/>
          <w:lang w:val="en-US" w:eastAsia="zh-CN"/>
        </w:rPr>
        <w:t>方式</w:t>
      </w:r>
      <w:r>
        <w:rPr>
          <w:rFonts w:hint="eastAsia" w:cs="Times New Roman"/>
          <w:b/>
          <w:bCs/>
          <w:sz w:val="21"/>
          <w:szCs w:val="21"/>
          <w:highlight w:val="none"/>
          <w:lang w:val="en-US" w:eastAsia="zh-CN"/>
        </w:rPr>
        <w:t>：</w:t>
      </w:r>
    </w:p>
    <w:p w14:paraId="24D6AE88">
      <w:pPr>
        <w:pStyle w:val="76"/>
        <w:ind w:firstLine="210" w:firstLineChars="100"/>
        <w:jc w:val="both"/>
        <w:rPr>
          <w:rFonts w:hint="eastAsia" w:ascii="宋体" w:eastAsia="宋体" w:cs="Times New Roman"/>
          <w:sz w:val="21"/>
          <w:szCs w:val="21"/>
          <w:highlight w:val="none"/>
        </w:rPr>
      </w:pPr>
      <w:r>
        <w:rPr>
          <w:rFonts w:hint="eastAsia" w:ascii="宋体" w:eastAsia="宋体" w:cs="Times New Roman"/>
          <w:sz w:val="21"/>
          <w:szCs w:val="21"/>
          <w:highlight w:val="none"/>
        </w:rPr>
        <w:t>如果投标人对招标文件商务部分、技术部分有疑问，请各投标人在本答疑环节提出。</w:t>
      </w:r>
    </w:p>
    <w:p w14:paraId="5AF25D50">
      <w:pPr>
        <w:pStyle w:val="7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提交疑问时间：</w:t>
      </w:r>
      <w:r>
        <w:rPr>
          <w:rFonts w:hint="eastAsia" w:ascii="宋体" w:eastAsia="宋体" w:cs="Times New Roman"/>
          <w:sz w:val="21"/>
          <w:szCs w:val="21"/>
          <w:highlight w:val="yellow"/>
        </w:rPr>
        <w:t>202</w:t>
      </w:r>
      <w:r>
        <w:rPr>
          <w:rFonts w:hint="eastAsia" w:ascii="宋体" w:eastAsia="宋体" w:cs="Times New Roman"/>
          <w:sz w:val="21"/>
          <w:szCs w:val="21"/>
          <w:highlight w:val="yellow"/>
          <w:lang w:val="en-US" w:eastAsia="zh-CN"/>
        </w:rPr>
        <w:t>6</w:t>
      </w:r>
      <w:r>
        <w:rPr>
          <w:rFonts w:hint="eastAsia" w:ascii="宋体" w:eastAsia="宋体" w:cs="Times New Roman"/>
          <w:sz w:val="21"/>
          <w:szCs w:val="21"/>
          <w:highlight w:val="yellow"/>
        </w:rPr>
        <w:t>年</w:t>
      </w:r>
      <w:r>
        <w:rPr>
          <w:rFonts w:hint="eastAsia" w:cs="Times New Roman"/>
          <w:sz w:val="21"/>
          <w:szCs w:val="21"/>
          <w:highlight w:val="yellow"/>
          <w:lang w:val="en-US" w:eastAsia="zh-CN"/>
        </w:rPr>
        <w:t>3</w:t>
      </w:r>
      <w:r>
        <w:rPr>
          <w:rFonts w:hint="eastAsia" w:ascii="宋体" w:eastAsia="宋体" w:cs="Times New Roman"/>
          <w:sz w:val="21"/>
          <w:szCs w:val="21"/>
          <w:highlight w:val="yellow"/>
        </w:rPr>
        <w:t>月</w:t>
      </w:r>
      <w:r>
        <w:rPr>
          <w:rFonts w:hint="eastAsia" w:cs="Times New Roman"/>
          <w:sz w:val="21"/>
          <w:szCs w:val="21"/>
          <w:highlight w:val="yellow"/>
          <w:lang w:val="en-US" w:eastAsia="zh-CN"/>
        </w:rPr>
        <w:t>10</w:t>
      </w:r>
      <w:r>
        <w:rPr>
          <w:rFonts w:hint="eastAsia" w:ascii="宋体" w:eastAsia="宋体" w:cs="Times New Roman"/>
          <w:sz w:val="21"/>
          <w:szCs w:val="21"/>
          <w:highlight w:val="yellow"/>
        </w:rPr>
        <w:t>日12:00前</w:t>
      </w:r>
    </w:p>
    <w:p w14:paraId="1EF2B1F6">
      <w:pPr>
        <w:pStyle w:val="7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提交疑问方式：</w:t>
      </w:r>
      <w:r>
        <w:rPr>
          <w:rFonts w:hint="eastAsia" w:ascii="宋体" w:eastAsia="宋体" w:cs="Times New Roman"/>
          <w:sz w:val="21"/>
          <w:szCs w:val="21"/>
          <w:highlight w:val="none"/>
        </w:rPr>
        <w:t>将答疑问题以word文件格式发送至联系人邮件内，</w:t>
      </w:r>
      <w:r>
        <w:rPr>
          <w:rFonts w:hint="eastAsia" w:ascii="宋体" w:eastAsia="宋体" w:cs="Times New Roman"/>
          <w:sz w:val="21"/>
          <w:szCs w:val="21"/>
          <w:highlight w:val="none"/>
          <w:lang w:val="en-US" w:eastAsia="zh-CN"/>
        </w:rPr>
        <w:t>同时发送技术联系人及商务联系人，并</w:t>
      </w:r>
      <w:r>
        <w:rPr>
          <w:rFonts w:hint="eastAsia" w:ascii="宋体" w:eastAsia="宋体" w:cs="Times New Roman"/>
          <w:sz w:val="21"/>
          <w:szCs w:val="21"/>
          <w:highlight w:val="none"/>
        </w:rPr>
        <w:t>电话联系工作人员查收，邮件名格式为：XXX公司（五个字以内公司简称）XX项目答疑文件。</w:t>
      </w:r>
    </w:p>
    <w:p w14:paraId="17E8B3FF">
      <w:pPr>
        <w:pStyle w:val="76"/>
        <w:ind w:firstLine="210" w:firstLineChars="100"/>
        <w:jc w:val="both"/>
        <w:rPr>
          <w:rFonts w:hint="eastAsia" w:ascii="宋体" w:eastAsia="宋体" w:cs="Times New Roman"/>
          <w:sz w:val="21"/>
          <w:szCs w:val="21"/>
          <w:highlight w:val="none"/>
          <w:lang w:val="en-US" w:eastAsia="zh-CN"/>
        </w:rPr>
      </w:pPr>
      <w:r>
        <w:rPr>
          <w:rFonts w:hint="eastAsia" w:ascii="宋体" w:eastAsia="宋体" w:cs="Times New Roman"/>
          <w:sz w:val="21"/>
          <w:szCs w:val="21"/>
          <w:highlight w:val="none"/>
        </w:rPr>
        <w:t>同时必须在邮件中以文字方式提供投标人全称、投标授权人姓名、联系方式（固定电话、手机、电子邮箱），并提供附件2法定代表人授权委托书。</w:t>
      </w:r>
    </w:p>
    <w:p w14:paraId="07C0B551">
      <w:pPr>
        <w:pStyle w:val="76"/>
        <w:numPr>
          <w:ilvl w:val="0"/>
          <w:numId w:val="14"/>
        </w:numPr>
        <w:ind w:left="425" w:leftChars="0" w:hanging="425" w:firstLineChars="0"/>
        <w:jc w:val="both"/>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领取答疑、澄清和修改文件时间</w:t>
      </w:r>
      <w:r>
        <w:rPr>
          <w:rFonts w:hint="eastAsia" w:ascii="宋体" w:hAnsi="Courier New" w:eastAsia="宋体" w:cs="Times New Roman"/>
          <w:sz w:val="21"/>
          <w:szCs w:val="21"/>
          <w:highlight w:val="none"/>
          <w:lang w:val="en-US" w:eastAsia="zh-CN"/>
        </w:rPr>
        <w:t>：</w:t>
      </w:r>
      <w:r>
        <w:rPr>
          <w:rFonts w:hint="eastAsia" w:ascii="宋体" w:hAnsi="Courier New" w:eastAsia="宋体" w:cs="Times New Roman"/>
          <w:sz w:val="21"/>
          <w:szCs w:val="21"/>
          <w:highlight w:val="yellow"/>
          <w:lang w:val="en-US" w:eastAsia="zh-CN"/>
        </w:rPr>
        <w:t>20</w:t>
      </w:r>
      <w:r>
        <w:rPr>
          <w:rFonts w:hint="eastAsia" w:cs="Times New Roman"/>
          <w:sz w:val="21"/>
          <w:szCs w:val="21"/>
          <w:highlight w:val="yellow"/>
          <w:lang w:val="en-US" w:eastAsia="zh-CN"/>
        </w:rPr>
        <w:t>26</w:t>
      </w:r>
      <w:r>
        <w:rPr>
          <w:rFonts w:hint="eastAsia" w:ascii="宋体" w:hAnsi="Courier New" w:eastAsia="宋体" w:cs="Times New Roman"/>
          <w:sz w:val="21"/>
          <w:szCs w:val="21"/>
          <w:highlight w:val="yellow"/>
          <w:lang w:val="en-US" w:eastAsia="zh-CN"/>
        </w:rPr>
        <w:t>年</w:t>
      </w:r>
      <w:r>
        <w:rPr>
          <w:rFonts w:hint="eastAsia" w:cs="Times New Roman"/>
          <w:sz w:val="21"/>
          <w:szCs w:val="21"/>
          <w:highlight w:val="yellow"/>
          <w:lang w:val="en-US" w:eastAsia="zh-CN"/>
        </w:rPr>
        <w:t>3</w:t>
      </w:r>
      <w:r>
        <w:rPr>
          <w:rFonts w:hint="eastAsia" w:ascii="宋体" w:hAnsi="Courier New" w:eastAsia="宋体" w:cs="Times New Roman"/>
          <w:sz w:val="21"/>
          <w:szCs w:val="21"/>
          <w:highlight w:val="yellow"/>
          <w:lang w:val="en-US" w:eastAsia="zh-CN"/>
        </w:rPr>
        <w:t>月</w:t>
      </w:r>
      <w:r>
        <w:rPr>
          <w:rFonts w:hint="eastAsia" w:cs="Times New Roman"/>
          <w:sz w:val="21"/>
          <w:szCs w:val="21"/>
          <w:highlight w:val="yellow"/>
          <w:lang w:val="en-US" w:eastAsia="zh-CN"/>
        </w:rPr>
        <w:t>13</w:t>
      </w:r>
      <w:r>
        <w:rPr>
          <w:rFonts w:hint="eastAsia" w:ascii="宋体" w:hAnsi="Courier New" w:eastAsia="宋体" w:cs="Times New Roman"/>
          <w:sz w:val="21"/>
          <w:szCs w:val="21"/>
          <w:highlight w:val="yellow"/>
          <w:lang w:val="en-US" w:eastAsia="zh-CN"/>
        </w:rPr>
        <w:t>日</w:t>
      </w:r>
      <w:r>
        <w:rPr>
          <w:rFonts w:hint="eastAsia" w:cs="Times New Roman"/>
          <w:sz w:val="21"/>
          <w:szCs w:val="21"/>
          <w:highlight w:val="yellow"/>
          <w:lang w:val="en-US" w:eastAsia="zh-CN"/>
        </w:rPr>
        <w:t>17:00</w:t>
      </w:r>
      <w:r>
        <w:rPr>
          <w:rFonts w:hint="eastAsia" w:ascii="宋体" w:hAnsi="Courier New" w:eastAsia="宋体" w:cs="Times New Roman"/>
          <w:sz w:val="21"/>
          <w:szCs w:val="21"/>
          <w:highlight w:val="yellow"/>
          <w:lang w:val="en-US" w:eastAsia="zh-CN"/>
        </w:rPr>
        <w:t>前</w:t>
      </w:r>
      <w:r>
        <w:rPr>
          <w:rFonts w:hint="eastAsia" w:cs="Times New Roman"/>
          <w:sz w:val="21"/>
          <w:szCs w:val="21"/>
          <w:highlight w:val="yellow"/>
          <w:lang w:val="en-US" w:eastAsia="zh-CN"/>
        </w:rPr>
        <w:t>；</w:t>
      </w:r>
    </w:p>
    <w:p w14:paraId="59AC1516">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答疑、澄清和修改文件方式</w:t>
      </w:r>
      <w:r>
        <w:rPr>
          <w:rFonts w:hint="eastAsia" w:ascii="宋体" w:hAnsi="Courier New" w:eastAsia="宋体" w:cs="Times New Roman"/>
          <w:sz w:val="21"/>
          <w:szCs w:val="21"/>
          <w:highlight w:val="none"/>
          <w:lang w:val="en-US" w:eastAsia="zh-CN"/>
        </w:rPr>
        <w:t>：招标人将以电子邮件的方式将招标文件的答疑澄清文件发送至答疑文件提交时登记的电子邮箱。</w:t>
      </w:r>
    </w:p>
    <w:p w14:paraId="7AB51490">
      <w:pPr>
        <w:pStyle w:val="76"/>
        <w:numPr>
          <w:ilvl w:val="0"/>
          <w:numId w:val="14"/>
        </w:numPr>
        <w:ind w:left="425" w:leftChars="0" w:hanging="425" w:firstLineChars="0"/>
        <w:jc w:val="both"/>
        <w:rPr>
          <w:rFonts w:hint="eastAsia" w:ascii="宋体" w:hAnsi="Courier New" w:eastAsia="宋体" w:cs="Times New Roman"/>
          <w:b/>
          <w:bCs/>
          <w:sz w:val="21"/>
          <w:szCs w:val="21"/>
          <w:highlight w:val="yellow"/>
          <w:lang w:val="en-US" w:eastAsia="zh-CN"/>
        </w:rPr>
      </w:pPr>
      <w:r>
        <w:rPr>
          <w:rFonts w:hint="eastAsia" w:ascii="宋体" w:hAnsi="Courier New" w:eastAsia="宋体" w:cs="Times New Roman"/>
          <w:b/>
          <w:bCs/>
          <w:sz w:val="21"/>
          <w:szCs w:val="21"/>
          <w:highlight w:val="yellow"/>
          <w:lang w:val="en-US" w:eastAsia="zh-CN"/>
        </w:rPr>
        <w:t>报名方式</w:t>
      </w:r>
      <w:r>
        <w:rPr>
          <w:rFonts w:hint="eastAsia" w:cs="Times New Roman"/>
          <w:b/>
          <w:bCs/>
          <w:sz w:val="21"/>
          <w:szCs w:val="21"/>
          <w:highlight w:val="yellow"/>
          <w:lang w:val="en-US" w:eastAsia="zh-CN"/>
        </w:rPr>
        <w:t>：</w:t>
      </w:r>
    </w:p>
    <w:p w14:paraId="76035EE9">
      <w:pPr>
        <w:pStyle w:val="111"/>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拟投标人根据招标人在中国重汽官网等公开媒体上发布的招标信息，在“中国重汽e采通”平台报名。</w:t>
      </w:r>
      <w:r>
        <w:rPr>
          <w:rFonts w:hint="eastAsia" w:ascii="宋体" w:hAnsi="宋体" w:eastAsia="宋体" w:cs="宋体"/>
          <w:b/>
          <w:bCs/>
          <w:sz w:val="21"/>
          <w:szCs w:val="21"/>
        </w:rPr>
        <w:t>按照中国重汽e采通“SRM非生产供应商注册手册”（附件15）进行注册</w:t>
      </w:r>
      <w:r>
        <w:rPr>
          <w:rFonts w:hint="eastAsia" w:ascii="宋体" w:hAnsi="宋体" w:eastAsia="宋体" w:cs="宋体"/>
          <w:sz w:val="21"/>
          <w:szCs w:val="21"/>
        </w:rPr>
        <w:t>，注册完毕后按照</w:t>
      </w:r>
      <w:r>
        <w:rPr>
          <w:rFonts w:hint="eastAsia" w:ascii="宋体" w:hAnsi="宋体" w:eastAsia="宋体" w:cs="宋体"/>
          <w:b/>
          <w:sz w:val="21"/>
          <w:szCs w:val="21"/>
        </w:rPr>
        <w:t>“SRM系统供应商用户手册（附件16）”，</w:t>
      </w:r>
      <w:r>
        <w:rPr>
          <w:rFonts w:hint="eastAsia" w:ascii="宋体" w:hAnsi="宋体" w:eastAsia="宋体" w:cs="宋体"/>
          <w:sz w:val="21"/>
          <w:szCs w:val="21"/>
        </w:rPr>
        <w:t>登录</w:t>
      </w:r>
      <w:r>
        <w:rPr>
          <w:rFonts w:hint="eastAsia" w:ascii="宋体" w:hAnsi="宋体" w:eastAsia="宋体" w:cs="宋体"/>
          <w:b/>
          <w:sz w:val="21"/>
          <w:szCs w:val="21"/>
        </w:rPr>
        <w:t>重汽e采通平台</w:t>
      </w:r>
      <w:r>
        <w:rPr>
          <w:rFonts w:hint="eastAsia" w:ascii="宋体" w:hAnsi="宋体" w:eastAsia="宋体" w:cs="宋体"/>
          <w:sz w:val="21"/>
          <w:szCs w:val="21"/>
        </w:rPr>
        <w:t>后进入“供应商应标”，选择对应的项目，点击“</w:t>
      </w:r>
      <w:r>
        <w:rPr>
          <w:rFonts w:hint="eastAsia" w:ascii="宋体" w:hAnsi="宋体" w:eastAsia="宋体" w:cs="宋体"/>
          <w:b/>
          <w:bCs/>
          <w:sz w:val="21"/>
          <w:szCs w:val="21"/>
        </w:rPr>
        <w:t>应标</w:t>
      </w:r>
      <w:r>
        <w:rPr>
          <w:rFonts w:hint="eastAsia" w:ascii="宋体" w:hAnsi="宋体" w:eastAsia="宋体" w:cs="宋体"/>
          <w:sz w:val="21"/>
          <w:szCs w:val="21"/>
        </w:rPr>
        <w:t>”</w:t>
      </w:r>
      <w:r>
        <w:rPr>
          <w:rFonts w:hint="eastAsia" w:ascii="宋体" w:hAnsi="宋体" w:eastAsia="宋体" w:cs="宋体"/>
          <w:b/>
          <w:bCs/>
          <w:sz w:val="21"/>
          <w:szCs w:val="21"/>
        </w:rPr>
        <w:t>后按照</w:t>
      </w:r>
      <w:r>
        <w:rPr>
          <w:rFonts w:hint="eastAsia" w:ascii="宋体" w:hAnsi="宋体" w:eastAsia="宋体" w:cs="宋体"/>
          <w:b/>
          <w:bCs/>
          <w:sz w:val="21"/>
          <w:szCs w:val="21"/>
          <w:highlight w:val="green"/>
        </w:rPr>
        <w:t>招标文件第三部分投标文件组成资格证明文件中的1.1-1.13</w:t>
      </w:r>
      <w:r>
        <w:rPr>
          <w:rFonts w:hint="eastAsia" w:ascii="宋体" w:hAnsi="宋体" w:eastAsia="宋体" w:cs="宋体"/>
          <w:b/>
          <w:bCs/>
          <w:sz w:val="21"/>
          <w:szCs w:val="21"/>
        </w:rPr>
        <w:t>准备资料并</w:t>
      </w:r>
      <w:r>
        <w:rPr>
          <w:rFonts w:hint="eastAsia" w:ascii="宋体" w:hAnsi="宋体" w:eastAsia="宋体" w:cs="宋体"/>
          <w:sz w:val="21"/>
          <w:szCs w:val="21"/>
        </w:rPr>
        <w:t>上传，资质审查通过即为报名成功；公示期间请尽快报名。</w:t>
      </w:r>
    </w:p>
    <w:p w14:paraId="0999CAE3">
      <w:pPr>
        <w:pStyle w:val="111"/>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报名时提供的资料不合格的会在系统被驳回，请及时查阅审核状态并及时补齐资料，不能按时补充资料的视为自动放弃本次投标。</w:t>
      </w:r>
    </w:p>
    <w:p w14:paraId="787B56BC">
      <w:pPr>
        <w:pStyle w:val="111"/>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请投标人自行确认中国重汽e采通系统中供应商信息完整、准确，因供应商信息不全或错误导致的报名不成功，由投标人自行承担。</w:t>
      </w:r>
    </w:p>
    <w:p w14:paraId="3336D7C8">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DC2B408">
      <w:pPr>
        <w:pStyle w:val="76"/>
        <w:numPr>
          <w:ilvl w:val="0"/>
          <w:numId w:val="14"/>
        </w:numPr>
        <w:ind w:left="425" w:leftChars="0" w:hanging="425" w:firstLineChars="0"/>
        <w:jc w:val="both"/>
        <w:rPr>
          <w:rFonts w:hint="eastAsia" w:ascii="宋体" w:hAnsi="Courier New" w:eastAsia="宋体" w:cs="Times New Roman"/>
          <w:b/>
          <w:bCs/>
          <w:color w:val="auto"/>
          <w:sz w:val="21"/>
          <w:szCs w:val="21"/>
          <w:highlight w:val="none"/>
          <w:lang w:val="en-US" w:eastAsia="zh-CN"/>
        </w:rPr>
      </w:pPr>
      <w:r>
        <w:rPr>
          <w:rFonts w:hint="eastAsia" w:ascii="宋体" w:hAnsi="Courier New" w:eastAsia="宋体" w:cs="Times New Roman"/>
          <w:b/>
          <w:bCs/>
          <w:color w:val="auto"/>
          <w:sz w:val="21"/>
          <w:szCs w:val="21"/>
          <w:highlight w:val="none"/>
          <w:lang w:val="en-US" w:eastAsia="zh-CN"/>
        </w:rPr>
        <w:t>应标截止时间</w:t>
      </w:r>
    </w:p>
    <w:p w14:paraId="0131723F">
      <w:pPr>
        <w:pStyle w:val="111"/>
        <w:keepNext w:val="0"/>
        <w:keepLines w:val="0"/>
        <w:pageBreakBefore w:val="0"/>
        <w:widowControl w:val="0"/>
        <w:kinsoku/>
        <w:wordWrap/>
        <w:overflowPunct/>
        <w:topLinePunct w:val="0"/>
        <w:autoSpaceDE/>
        <w:autoSpaceDN/>
        <w:bidi w:val="0"/>
        <w:adjustRightInd/>
        <w:snapToGrid/>
        <w:spacing w:after="0" w:line="240" w:lineRule="auto"/>
        <w:ind w:firstLine="482"/>
        <w:textAlignment w:val="auto"/>
        <w:rPr>
          <w:rFonts w:hint="default" w:eastAsia="宋体" w:cs="宋体"/>
          <w:sz w:val="21"/>
          <w:szCs w:val="21"/>
          <w:highlight w:val="yellow"/>
          <w:lang w:val="en-US" w:eastAsia="zh-CN"/>
        </w:rPr>
      </w:pPr>
      <w:r>
        <w:rPr>
          <w:rFonts w:hint="eastAsia" w:ascii="宋体" w:hAnsi="宋体" w:eastAsia="宋体" w:cs="宋体"/>
          <w:bCs/>
          <w:sz w:val="21"/>
          <w:szCs w:val="21"/>
          <w:highlight w:val="yellow"/>
        </w:rPr>
        <w:t>202</w:t>
      </w:r>
      <w:r>
        <w:rPr>
          <w:rFonts w:hint="eastAsia" w:eastAsia="宋体" w:cs="宋体"/>
          <w:bCs/>
          <w:sz w:val="21"/>
          <w:szCs w:val="21"/>
          <w:highlight w:val="yellow"/>
          <w:lang w:val="en-US" w:eastAsia="zh-CN"/>
        </w:rPr>
        <w:t>6</w:t>
      </w:r>
      <w:r>
        <w:rPr>
          <w:rFonts w:hint="eastAsia" w:ascii="宋体" w:hAnsi="宋体" w:eastAsia="宋体" w:cs="宋体"/>
          <w:bCs/>
          <w:sz w:val="21"/>
          <w:szCs w:val="21"/>
          <w:highlight w:val="yellow"/>
        </w:rPr>
        <w:t>年</w:t>
      </w:r>
      <w:r>
        <w:rPr>
          <w:rFonts w:hint="eastAsia" w:cs="宋体"/>
          <w:bCs/>
          <w:sz w:val="21"/>
          <w:szCs w:val="21"/>
          <w:highlight w:val="yellow"/>
          <w:lang w:val="en-US" w:eastAsia="zh-CN"/>
        </w:rPr>
        <w:t>3</w:t>
      </w:r>
      <w:r>
        <w:rPr>
          <w:rFonts w:hint="eastAsia" w:ascii="宋体" w:hAnsi="宋体" w:eastAsia="宋体" w:cs="宋体"/>
          <w:bCs/>
          <w:sz w:val="21"/>
          <w:szCs w:val="21"/>
          <w:highlight w:val="yellow"/>
        </w:rPr>
        <w:t>月</w:t>
      </w:r>
      <w:r>
        <w:rPr>
          <w:rFonts w:hint="eastAsia" w:cs="宋体"/>
          <w:bCs/>
          <w:sz w:val="21"/>
          <w:szCs w:val="21"/>
          <w:highlight w:val="yellow"/>
          <w:lang w:val="en-US" w:eastAsia="zh-CN"/>
        </w:rPr>
        <w:t>13</w:t>
      </w:r>
      <w:r>
        <w:rPr>
          <w:rFonts w:hint="eastAsia" w:ascii="宋体" w:hAnsi="宋体" w:eastAsia="宋体" w:cs="宋体"/>
          <w:bCs/>
          <w:sz w:val="21"/>
          <w:szCs w:val="21"/>
          <w:highlight w:val="yellow"/>
        </w:rPr>
        <w:t>日</w:t>
      </w:r>
      <w:r>
        <w:rPr>
          <w:rFonts w:hint="eastAsia" w:eastAsia="宋体" w:cs="宋体"/>
          <w:sz w:val="21"/>
          <w:szCs w:val="21"/>
          <w:highlight w:val="yellow"/>
          <w:shd w:val="clear"/>
        </w:rPr>
        <w:t>17</w:t>
      </w:r>
      <w:r>
        <w:rPr>
          <w:rFonts w:hint="eastAsia" w:cs="宋体"/>
          <w:sz w:val="21"/>
          <w:szCs w:val="21"/>
          <w:highlight w:val="yellow"/>
          <w:shd w:val="clear"/>
          <w:lang w:eastAsia="zh-CN"/>
        </w:rPr>
        <w:t>：</w:t>
      </w:r>
      <w:r>
        <w:rPr>
          <w:rFonts w:hint="eastAsia" w:cs="宋体"/>
          <w:sz w:val="21"/>
          <w:szCs w:val="21"/>
          <w:highlight w:val="yellow"/>
          <w:shd w:val="clear"/>
          <w:lang w:val="en-US" w:eastAsia="zh-CN"/>
        </w:rPr>
        <w:t>00:00</w:t>
      </w:r>
    </w:p>
    <w:p w14:paraId="73A7FB78">
      <w:pPr>
        <w:pStyle w:val="76"/>
        <w:numPr>
          <w:ilvl w:val="0"/>
          <w:numId w:val="0"/>
        </w:numPr>
        <w:ind w:leftChars="0"/>
        <w:jc w:val="both"/>
        <w:rPr>
          <w:rFonts w:hint="eastAsia" w:ascii="宋体" w:hAnsi="Courier New" w:eastAsia="宋体" w:cs="Times New Roman"/>
          <w:sz w:val="21"/>
          <w:szCs w:val="21"/>
          <w:highlight w:val="yellow"/>
          <w:lang w:val="en-US" w:eastAsia="zh-CN"/>
        </w:rPr>
      </w:pPr>
      <w:r>
        <w:rPr>
          <w:rFonts w:hint="eastAsia" w:eastAsia="宋体" w:cs="宋体"/>
          <w:b/>
          <w:bCs/>
          <w:sz w:val="21"/>
          <w:szCs w:val="21"/>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w:t>
      </w:r>
      <w:r>
        <w:rPr>
          <w:rFonts w:hint="eastAsia" w:ascii="宋体" w:hAnsi="Courier New" w:eastAsia="宋体" w:cs="Times New Roman"/>
          <w:b/>
          <w:bCs w:val="0"/>
          <w:highlight w:val="none"/>
          <w:lang w:val="en-US" w:eastAsia="zh-CN"/>
        </w:rPr>
        <w:t>《投标文件（资质标）》、《投标文件（技术标）》、《投标文件（商务标）》（开标一览表）</w:t>
      </w:r>
      <w:r>
        <w:rPr>
          <w:rFonts w:hint="eastAsia" w:ascii="宋体" w:hAnsi="Courier New" w:eastAsia="宋体" w:cs="Times New Roman"/>
          <w:b w:val="0"/>
          <w:bCs/>
          <w:highlight w:val="none"/>
          <w:lang w:val="en-US" w:eastAsia="zh-CN"/>
        </w:rPr>
        <w:t>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bCs w:val="0"/>
          <w:highlight w:val="none"/>
        </w:rPr>
      </w:pPr>
      <w:r>
        <w:rPr>
          <w:rFonts w:hint="eastAsia"/>
          <w:b/>
          <w:bCs w:val="0"/>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4598C8A">
      <w:pPr>
        <w:pStyle w:val="75"/>
        <w:numPr>
          <w:ilvl w:val="0"/>
          <w:numId w:val="17"/>
        </w:numPr>
        <w:ind w:left="425" w:leftChars="0" w:hanging="425" w:firstLineChars="0"/>
        <w:rPr>
          <w:b w:val="0"/>
          <w:bCs/>
          <w:highlight w:val="none"/>
        </w:rPr>
      </w:pPr>
      <w:r>
        <w:rPr>
          <w:rFonts w:hint="eastAsia"/>
          <w:b w:val="0"/>
          <w:bCs/>
          <w:highlight w:val="none"/>
        </w:rPr>
        <w:t>投标函（附件1）；</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企业近三年同类项目业绩证明，须提供用户清单、采购合同复印件；</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11459DF">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近三年内在经营活动中无与本项目有关的违法及重大违规行为的声明；</w:t>
      </w:r>
    </w:p>
    <w:p w14:paraId="48D2A718">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投标人在国家企业信用信息公示系统中无与本项目有关的行政处罚、经营异常和失信信息的声明；（附投标当日系统内相关截图或报告）</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企业信用证明材料（征信中心出具的信用报告）；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w:t>
      </w:r>
      <w:r>
        <w:rPr>
          <w:rFonts w:hint="eastAsia"/>
          <w:b w:val="0"/>
          <w:bCs/>
          <w:highlight w:val="none"/>
          <w:lang w:eastAsia="zh-CN"/>
        </w:rPr>
        <w:t>，</w:t>
      </w:r>
      <w:r>
        <w:rPr>
          <w:rFonts w:hint="eastAsia"/>
          <w:b w:val="0"/>
          <w:bCs/>
          <w:highlight w:val="none"/>
          <w:lang w:val="en-US" w:eastAsia="zh-CN"/>
        </w:rPr>
        <w:t>并附</w:t>
      </w: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177BD7B8">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保密承诺函（附件4）；</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170B48B4">
      <w:pPr>
        <w:pStyle w:val="75"/>
        <w:numPr>
          <w:ilvl w:val="0"/>
          <w:numId w:val="17"/>
        </w:numPr>
        <w:ind w:left="425" w:leftChars="0" w:hanging="425" w:firstLineChars="0"/>
        <w:rPr>
          <w:rFonts w:hint="eastAsia"/>
          <w:b w:val="0"/>
          <w:bCs/>
          <w:highlight w:val="none"/>
        </w:rPr>
      </w:pPr>
      <w:r>
        <w:rPr>
          <w:rFonts w:hint="eastAsia"/>
          <w:b w:val="0"/>
          <w:bCs/>
          <w:highlight w:val="none"/>
        </w:rPr>
        <w:t>有效期内的生产许可证（实行生产许可制度的企业提供）加盖公章（如需）；</w:t>
      </w:r>
    </w:p>
    <w:p w14:paraId="658F5222">
      <w:pPr>
        <w:pStyle w:val="75"/>
        <w:numPr>
          <w:ilvl w:val="0"/>
          <w:numId w:val="17"/>
        </w:numPr>
        <w:ind w:left="425" w:leftChars="0" w:hanging="425" w:firstLineChars="0"/>
        <w:rPr>
          <w:rFonts w:hint="eastAsia"/>
          <w:b w:val="0"/>
          <w:bCs/>
          <w:highlight w:val="none"/>
        </w:rPr>
      </w:pPr>
      <w:r>
        <w:rPr>
          <w:rFonts w:hint="eastAsia"/>
          <w:b w:val="0"/>
          <w:bCs/>
          <w:highlight w:val="none"/>
        </w:rPr>
        <w:t>产品鉴定证书（如需）；</w:t>
      </w:r>
    </w:p>
    <w:p w14:paraId="76A5AD45">
      <w:pPr>
        <w:pStyle w:val="75"/>
        <w:numPr>
          <w:ilvl w:val="0"/>
          <w:numId w:val="17"/>
        </w:numPr>
        <w:ind w:left="425" w:leftChars="0" w:hanging="425" w:firstLineChars="0"/>
        <w:rPr>
          <w:rFonts w:hint="eastAsia"/>
          <w:b w:val="0"/>
          <w:bCs/>
          <w:highlight w:val="none"/>
        </w:rPr>
      </w:pPr>
      <w:r>
        <w:rPr>
          <w:rFonts w:hint="eastAsia"/>
          <w:b w:val="0"/>
          <w:bCs/>
          <w:highlight w:val="none"/>
        </w:rPr>
        <w:t>质量体系认证证书（如需）；</w:t>
      </w:r>
    </w:p>
    <w:p w14:paraId="39B4FD7F">
      <w:pPr>
        <w:pStyle w:val="75"/>
        <w:numPr>
          <w:ilvl w:val="0"/>
          <w:numId w:val="17"/>
        </w:numPr>
        <w:ind w:left="425" w:leftChars="0" w:hanging="425" w:firstLineChars="0"/>
        <w:rPr>
          <w:rFonts w:hint="eastAsia"/>
          <w:b w:val="0"/>
          <w:bCs/>
          <w:highlight w:val="none"/>
        </w:rPr>
      </w:pPr>
      <w:r>
        <w:rPr>
          <w:rFonts w:hint="eastAsia"/>
          <w:b w:val="0"/>
          <w:bCs/>
          <w:highlight w:val="none"/>
        </w:rPr>
        <w:t>产品和主要元器件“CCC”认证证书（如需）；</w:t>
      </w:r>
    </w:p>
    <w:p w14:paraId="6E11CA39">
      <w:pPr>
        <w:pStyle w:val="75"/>
        <w:numPr>
          <w:ilvl w:val="0"/>
          <w:numId w:val="17"/>
        </w:numPr>
        <w:ind w:left="425" w:leftChars="0" w:hanging="425" w:firstLineChars="0"/>
        <w:rPr>
          <w:rFonts w:hint="eastAsia"/>
          <w:b w:val="0"/>
          <w:bCs/>
          <w:highlight w:val="none"/>
        </w:rPr>
      </w:pPr>
      <w:r>
        <w:rPr>
          <w:rFonts w:hint="eastAsia"/>
          <w:b w:val="0"/>
          <w:bCs/>
          <w:highlight w:val="none"/>
        </w:rPr>
        <w:t>产品的检测、检验报告复印件（如有，需权威部门出具）；</w:t>
      </w:r>
    </w:p>
    <w:p w14:paraId="53557C77">
      <w:pPr>
        <w:pStyle w:val="75"/>
        <w:numPr>
          <w:ilvl w:val="0"/>
          <w:numId w:val="17"/>
        </w:numPr>
        <w:ind w:left="425" w:leftChars="0" w:hanging="425" w:firstLineChars="0"/>
        <w:rPr>
          <w:rFonts w:hint="eastAsia"/>
          <w:b w:val="0"/>
          <w:bCs/>
          <w:highlight w:val="none"/>
        </w:rPr>
      </w:pPr>
      <w:r>
        <w:rPr>
          <w:rFonts w:hint="eastAsia"/>
          <w:b w:val="0"/>
          <w:bCs/>
          <w:highlight w:val="none"/>
        </w:rPr>
        <w:t>招标文件要求的其它必要资格文件（如需）；</w:t>
      </w:r>
    </w:p>
    <w:p w14:paraId="67772FFE">
      <w:pPr>
        <w:pStyle w:val="75"/>
        <w:numPr>
          <w:ilvl w:val="0"/>
          <w:numId w:val="17"/>
        </w:numPr>
        <w:ind w:left="425" w:leftChars="0" w:hanging="425" w:firstLineChars="0"/>
        <w:rPr>
          <w:rFonts w:hint="eastAsia"/>
          <w:b w:val="0"/>
          <w:bCs/>
          <w:highlight w:val="none"/>
        </w:rPr>
      </w:pPr>
      <w:r>
        <w:rPr>
          <w:rFonts w:hint="eastAsia"/>
          <w:b w:val="0"/>
          <w:bCs/>
          <w:highlight w:val="none"/>
        </w:rPr>
        <w:t>投标方认为对其投标有利的其他资料（如需）；</w:t>
      </w:r>
    </w:p>
    <w:p w14:paraId="00A299A2">
      <w:pPr>
        <w:pStyle w:val="75"/>
        <w:numPr>
          <w:ilvl w:val="0"/>
          <w:numId w:val="17"/>
        </w:numPr>
        <w:ind w:left="425" w:leftChars="0" w:hanging="425" w:firstLineChars="0"/>
        <w:rPr>
          <w:b w:val="0"/>
          <w:bCs/>
          <w:highlight w:val="yellow"/>
        </w:rPr>
      </w:pPr>
      <w:r>
        <w:rPr>
          <w:rFonts w:hint="eastAsia"/>
          <w:b w:val="0"/>
          <w:bCs/>
          <w:highlight w:val="yellow"/>
        </w:rPr>
        <w:t>投标保证金缴纳凭证，同时正文描述付款账号、户名、开户行名称、开户行行号、保证金金额。</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6"/>
        </w:numPr>
        <w:ind w:left="425" w:leftChars="0" w:hanging="425" w:firstLineChars="0"/>
        <w:rPr>
          <w:rFonts w:hint="eastAsia" w:cs="Times New Roman"/>
          <w:b/>
          <w:bCs w:val="0"/>
          <w:highlight w:val="none"/>
        </w:rPr>
      </w:pPr>
      <w:r>
        <w:rPr>
          <w:rFonts w:hint="eastAsia" w:cs="Times New Roman"/>
          <w:b/>
          <w:bCs w:val="0"/>
          <w:highlight w:val="none"/>
        </w:rPr>
        <w:t>技术标：</w:t>
      </w:r>
    </w:p>
    <w:p w14:paraId="7CB8DE54">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sz w:val="21"/>
          <w:szCs w:val="21"/>
          <w:highlight w:val="none"/>
        </w:rPr>
      </w:pPr>
      <w:r>
        <w:rPr>
          <w:rFonts w:hint="eastAsia"/>
          <w:b w:val="0"/>
          <w:bCs/>
          <w:sz w:val="21"/>
          <w:szCs w:val="21"/>
          <w:highlight w:val="none"/>
        </w:rPr>
        <w:t>技术配置对比表。</w:t>
      </w:r>
    </w:p>
    <w:p w14:paraId="1058197F">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技术规格偏离表</w:t>
      </w:r>
      <w:r>
        <w:rPr>
          <w:rFonts w:hint="eastAsia" w:ascii="宋体" w:hAnsi="宋体" w:eastAsia="宋体" w:cs="宋体"/>
          <w:color w:val="000000"/>
          <w:sz w:val="21"/>
          <w:szCs w:val="21"/>
          <w:highlight w:val="none"/>
        </w:rPr>
        <w:t>（附件5-1），</w:t>
      </w:r>
      <w:r>
        <w:rPr>
          <w:rFonts w:hint="eastAsia" w:ascii="宋体" w:hAnsi="宋体" w:eastAsia="宋体" w:cs="宋体"/>
          <w:b/>
          <w:color w:val="000000"/>
          <w:sz w:val="21"/>
          <w:szCs w:val="21"/>
          <w:highlight w:val="none"/>
        </w:rPr>
        <w:t>必须先进行两列要求一一对照，不允许直接写无偏离；</w:t>
      </w:r>
    </w:p>
    <w:p w14:paraId="69AE970B">
      <w:pPr>
        <w:pStyle w:val="75"/>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sz w:val="21"/>
          <w:szCs w:val="21"/>
          <w:highlight w:val="none"/>
        </w:rPr>
        <w:t>投标设备配置明细表</w:t>
      </w:r>
      <w:r>
        <w:rPr>
          <w:rFonts w:hint="eastAsia" w:ascii="宋体" w:hAnsi="宋体" w:eastAsia="宋体" w:cs="宋体"/>
          <w:color w:val="000000"/>
          <w:sz w:val="21"/>
          <w:szCs w:val="21"/>
          <w:highlight w:val="none"/>
        </w:rPr>
        <w:t>（附件5-2）</w:t>
      </w:r>
      <w:r>
        <w:rPr>
          <w:rFonts w:hint="eastAsia" w:hAnsi="宋体" w:eastAsia="宋体" w:cs="宋体"/>
          <w:color w:val="000000"/>
          <w:sz w:val="21"/>
          <w:szCs w:val="21"/>
          <w:highlight w:val="none"/>
        </w:rPr>
        <w:t>，列明项目设备分项配置规格型号、品牌等信息，非标机械部件提供单件图纸（要求分项明细与附表9-1完全对应），但</w:t>
      </w:r>
      <w:r>
        <w:rPr>
          <w:rFonts w:hint="eastAsia" w:ascii="宋体" w:hAnsi="宋体" w:eastAsia="宋体" w:cs="宋体"/>
          <w:b/>
          <w:color w:val="000000"/>
          <w:sz w:val="21"/>
          <w:szCs w:val="21"/>
          <w:highlight w:val="none"/>
        </w:rPr>
        <w:t>注意：</w:t>
      </w:r>
      <w:r>
        <w:rPr>
          <w:rFonts w:hint="eastAsia" w:hAnsi="宋体" w:eastAsia="宋体" w:cs="宋体"/>
          <w:b/>
          <w:color w:val="000000"/>
          <w:sz w:val="21"/>
          <w:szCs w:val="21"/>
          <w:highlight w:val="none"/>
        </w:rPr>
        <w:t>此表在技术标书中，禁止出现任何分项价格及项目总价；</w:t>
      </w:r>
    </w:p>
    <w:p w14:paraId="5D2BBFAC">
      <w:pPr>
        <w:pStyle w:val="75"/>
        <w:numPr>
          <w:ilvl w:val="0"/>
          <w:numId w:val="19"/>
        </w:numPr>
        <w:ind w:left="425" w:leftChars="0" w:hanging="425" w:firstLineChars="0"/>
        <w:rPr>
          <w:b w:val="0"/>
          <w:bCs/>
          <w:sz w:val="21"/>
          <w:szCs w:val="21"/>
          <w:highlight w:val="none"/>
        </w:rPr>
      </w:pPr>
      <w:r>
        <w:rPr>
          <w:rFonts w:hint="eastAsia"/>
          <w:b w:val="0"/>
          <w:bCs/>
          <w:sz w:val="21"/>
          <w:szCs w:val="21"/>
          <w:highlight w:val="none"/>
        </w:rPr>
        <w:t>技术性能、参数的描述；</w:t>
      </w:r>
      <w:r>
        <w:rPr>
          <w:b w:val="0"/>
          <w:bCs/>
          <w:sz w:val="21"/>
          <w:szCs w:val="21"/>
          <w:highlight w:val="none"/>
        </w:rPr>
        <w:t xml:space="preserve"> </w:t>
      </w:r>
    </w:p>
    <w:p w14:paraId="6E70AD99">
      <w:pPr>
        <w:pStyle w:val="75"/>
        <w:numPr>
          <w:ilvl w:val="0"/>
          <w:numId w:val="19"/>
        </w:numPr>
        <w:ind w:left="425" w:leftChars="0" w:hanging="425" w:firstLineChars="0"/>
        <w:rPr>
          <w:b w:val="0"/>
          <w:bCs/>
          <w:sz w:val="21"/>
          <w:szCs w:val="21"/>
          <w:highlight w:val="none"/>
        </w:rPr>
      </w:pPr>
      <w:r>
        <w:rPr>
          <w:rFonts w:hint="eastAsia"/>
          <w:b w:val="0"/>
          <w:bCs/>
          <w:sz w:val="21"/>
          <w:szCs w:val="21"/>
          <w:highlight w:val="none"/>
        </w:rPr>
        <w:t>备品备件工具材料明细表；</w:t>
      </w:r>
      <w:r>
        <w:rPr>
          <w:b w:val="0"/>
          <w:bCs/>
          <w:sz w:val="21"/>
          <w:szCs w:val="21"/>
          <w:highlight w:val="none"/>
        </w:rPr>
        <w:t xml:space="preserve"> </w:t>
      </w:r>
    </w:p>
    <w:p w14:paraId="01FC52A9">
      <w:pPr>
        <w:pStyle w:val="75"/>
        <w:numPr>
          <w:ilvl w:val="0"/>
          <w:numId w:val="19"/>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供货期及保证措施；</w:t>
      </w:r>
    </w:p>
    <w:p w14:paraId="6C93BF9F">
      <w:pPr>
        <w:pStyle w:val="75"/>
        <w:numPr>
          <w:ilvl w:val="0"/>
          <w:numId w:val="19"/>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产品的技术服务和售后服务内容及措施</w:t>
      </w:r>
      <w:r>
        <w:rPr>
          <w:rFonts w:hint="eastAsia" w:ascii="宋体" w:hAnsi="宋体" w:eastAsia="宋体" w:cs="宋体"/>
          <w:color w:val="000000"/>
          <w:sz w:val="21"/>
          <w:szCs w:val="21"/>
          <w:highlight w:val="none"/>
          <w:lang w:val="en-US" w:eastAsia="zh-CN"/>
        </w:rPr>
        <w:t>;</w:t>
      </w:r>
    </w:p>
    <w:p w14:paraId="1137C2E2">
      <w:pPr>
        <w:pStyle w:val="75"/>
        <w:numPr>
          <w:ilvl w:val="0"/>
          <w:numId w:val="19"/>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交货进度及计划；</w:t>
      </w:r>
    </w:p>
    <w:p w14:paraId="076FA705">
      <w:pPr>
        <w:pStyle w:val="75"/>
        <w:numPr>
          <w:ilvl w:val="0"/>
          <w:numId w:val="19"/>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投标产品技术支持材料；</w:t>
      </w:r>
    </w:p>
    <w:p w14:paraId="5C7DACD3">
      <w:pPr>
        <w:pStyle w:val="75"/>
        <w:numPr>
          <w:ilvl w:val="0"/>
          <w:numId w:val="19"/>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设备质量承诺函（附件7）；</w:t>
      </w:r>
    </w:p>
    <w:p w14:paraId="47175D6D">
      <w:pPr>
        <w:pStyle w:val="74"/>
        <w:numPr>
          <w:ilvl w:val="0"/>
          <w:numId w:val="16"/>
        </w:numPr>
        <w:ind w:left="425" w:leftChars="0" w:hanging="425" w:firstLineChars="0"/>
        <w:rPr>
          <w:rFonts w:hint="eastAsia" w:cs="Times New Roman"/>
          <w:b/>
          <w:bCs w:val="0"/>
          <w:highlight w:val="none"/>
        </w:rPr>
      </w:pPr>
      <w:r>
        <w:rPr>
          <w:rFonts w:hint="eastAsia" w:cs="Times New Roman"/>
          <w:b/>
          <w:bCs w:val="0"/>
          <w:highlight w:val="none"/>
        </w:rPr>
        <w:t>商务标：</w:t>
      </w:r>
    </w:p>
    <w:p w14:paraId="1FEC8CF2">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开标一览表（附件8）;</w:t>
      </w:r>
    </w:p>
    <w:p w14:paraId="0DFA5CBE">
      <w:pPr>
        <w:pStyle w:val="75"/>
        <w:numPr>
          <w:ilvl w:val="0"/>
          <w:numId w:val="20"/>
        </w:numPr>
        <w:ind w:left="425" w:leftChars="0" w:hanging="425" w:firstLineChars="0"/>
        <w:rPr>
          <w:b w:val="0"/>
          <w:bCs/>
          <w:sz w:val="21"/>
          <w:szCs w:val="21"/>
          <w:highlight w:val="none"/>
        </w:rPr>
      </w:pPr>
      <w:r>
        <w:rPr>
          <w:rFonts w:hint="eastAsia"/>
          <w:b w:val="0"/>
          <w:bCs/>
          <w:sz w:val="21"/>
          <w:szCs w:val="21"/>
          <w:highlight w:val="none"/>
        </w:rPr>
        <w:t>投标函（附件</w:t>
      </w:r>
      <w:r>
        <w:rPr>
          <w:rFonts w:hint="eastAsia"/>
          <w:b w:val="0"/>
          <w:bCs/>
          <w:sz w:val="21"/>
          <w:szCs w:val="21"/>
          <w:highlight w:val="none"/>
          <w:lang w:val="en-US" w:eastAsia="zh-CN"/>
        </w:rPr>
        <w:t>1</w:t>
      </w:r>
      <w:r>
        <w:rPr>
          <w:rFonts w:hint="eastAsia"/>
          <w:b w:val="0"/>
          <w:bCs/>
          <w:sz w:val="21"/>
          <w:szCs w:val="21"/>
          <w:highlight w:val="none"/>
        </w:rPr>
        <w:t>）;</w:t>
      </w:r>
    </w:p>
    <w:p w14:paraId="647E2259">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bCs/>
          <w:sz w:val="21"/>
          <w:szCs w:val="21"/>
          <w:highlight w:val="none"/>
        </w:rPr>
      </w:pPr>
      <w:r>
        <w:rPr>
          <w:rFonts w:hint="eastAsia"/>
          <w:b w:val="0"/>
          <w:bCs/>
          <w:sz w:val="21"/>
          <w:szCs w:val="21"/>
          <w:highlight w:val="none"/>
        </w:rPr>
        <w:t>投标报价明细表（附件9-1至9-5）</w:t>
      </w:r>
      <w:r>
        <w:rPr>
          <w:rFonts w:hint="eastAsia"/>
          <w:b/>
          <w:bCs w:val="0"/>
          <w:sz w:val="21"/>
          <w:szCs w:val="21"/>
          <w:highlight w:val="none"/>
        </w:rPr>
        <w:t>【分项报价中需明确：规格型号、材质、重量、数量、品牌、价格等信息，注明是否包含加工费等其他费用】</w:t>
      </w:r>
      <w:r>
        <w:rPr>
          <w:rFonts w:hint="eastAsia"/>
          <w:b w:val="0"/>
          <w:bCs/>
          <w:sz w:val="21"/>
          <w:szCs w:val="21"/>
          <w:highlight w:val="none"/>
        </w:rPr>
        <w:t>；</w:t>
      </w:r>
    </w:p>
    <w:p w14:paraId="5C36F232">
      <w:pPr>
        <w:pStyle w:val="75"/>
        <w:numPr>
          <w:ilvl w:val="0"/>
          <w:numId w:val="20"/>
        </w:numPr>
        <w:ind w:left="425" w:leftChars="0" w:hanging="425" w:firstLineChars="0"/>
        <w:rPr>
          <w:b w:val="0"/>
          <w:bCs/>
          <w:sz w:val="21"/>
          <w:szCs w:val="21"/>
          <w:highlight w:val="none"/>
        </w:rPr>
      </w:pPr>
      <w:r>
        <w:rPr>
          <w:rFonts w:hint="eastAsia"/>
          <w:b w:val="0"/>
          <w:bCs/>
          <w:sz w:val="21"/>
          <w:szCs w:val="21"/>
          <w:highlight w:val="none"/>
        </w:rPr>
        <w:t>商务条款偏离表</w:t>
      </w:r>
      <w:r>
        <w:rPr>
          <w:rFonts w:hint="eastAsia" w:ascii="宋体" w:hAnsi="宋体" w:eastAsia="宋体" w:cs="宋体"/>
          <w:color w:val="000000"/>
          <w:sz w:val="21"/>
          <w:szCs w:val="21"/>
        </w:rPr>
        <w:t>（附件10）</w:t>
      </w:r>
      <w:r>
        <w:rPr>
          <w:rFonts w:hint="eastAsia"/>
          <w:b w:val="0"/>
          <w:bCs/>
          <w:sz w:val="21"/>
          <w:szCs w:val="21"/>
          <w:highlight w:val="none"/>
        </w:rPr>
        <w:t>；</w:t>
      </w:r>
    </w:p>
    <w:p w14:paraId="365CA05E">
      <w:pPr>
        <w:pStyle w:val="75"/>
        <w:numPr>
          <w:ilvl w:val="0"/>
          <w:numId w:val="20"/>
        </w:numPr>
        <w:ind w:left="425" w:leftChars="0" w:hanging="425" w:firstLineChars="0"/>
        <w:rPr>
          <w:b w:val="0"/>
          <w:bCs/>
          <w:sz w:val="21"/>
          <w:szCs w:val="21"/>
          <w:highlight w:val="none"/>
        </w:rPr>
      </w:pPr>
      <w:r>
        <w:rPr>
          <w:rFonts w:hint="eastAsia" w:ascii="宋体" w:hAnsi="宋体" w:eastAsia="宋体" w:cs="宋体"/>
          <w:color w:val="000000"/>
          <w:sz w:val="21"/>
          <w:szCs w:val="21"/>
        </w:rPr>
        <w:t>投标人承诺（附件11）</w:t>
      </w:r>
    </w:p>
    <w:p w14:paraId="0BD75519">
      <w:pPr>
        <w:pStyle w:val="75"/>
        <w:numPr>
          <w:ilvl w:val="0"/>
          <w:numId w:val="20"/>
        </w:numPr>
        <w:ind w:left="425" w:leftChars="0" w:hanging="425" w:firstLineChars="0"/>
        <w:rPr>
          <w:rFonts w:hint="eastAsia" w:ascii="宋体" w:hAnsi="Courier New" w:eastAsia="宋体" w:cs="Times New Roman"/>
          <w:b w:val="0"/>
          <w:bCs/>
          <w:sz w:val="21"/>
          <w:szCs w:val="21"/>
          <w:highlight w:val="none"/>
          <w:lang w:val="en-US" w:eastAsia="zh-CN"/>
        </w:rPr>
      </w:pPr>
      <w:r>
        <w:rPr>
          <w:rFonts w:hint="eastAsia"/>
          <w:b w:val="0"/>
          <w:bCs/>
          <w:sz w:val="21"/>
          <w:szCs w:val="21"/>
          <w:highlight w:val="none"/>
        </w:rPr>
        <w:t>备配件目录价格及折扣报价表</w:t>
      </w:r>
    </w:p>
    <w:p w14:paraId="6D87D854">
      <w:pPr>
        <w:pStyle w:val="75"/>
        <w:numPr>
          <w:ilvl w:val="0"/>
          <w:numId w:val="20"/>
        </w:numPr>
        <w:ind w:left="425" w:leftChars="0" w:hanging="425" w:firstLineChars="0"/>
        <w:rPr>
          <w:rFonts w:hint="eastAsia" w:ascii="宋体" w:hAnsi="Courier New" w:eastAsia="宋体" w:cs="Times New Roman"/>
          <w:b w:val="0"/>
          <w:bCs/>
          <w:sz w:val="21"/>
          <w:szCs w:val="21"/>
          <w:highlight w:val="none"/>
          <w:lang w:val="en-US" w:eastAsia="zh-CN"/>
        </w:rPr>
      </w:pPr>
      <w:r>
        <w:rPr>
          <w:rFonts w:hint="eastAsia" w:ascii="宋体" w:hAnsi="宋体" w:eastAsia="宋体" w:cs="宋体"/>
          <w:color w:val="000000"/>
          <w:sz w:val="21"/>
          <w:szCs w:val="21"/>
        </w:rPr>
        <w:t>服务承诺函（附件12），</w:t>
      </w:r>
      <w:r>
        <w:rPr>
          <w:rFonts w:hint="eastAsia" w:ascii="宋体" w:hAnsi="宋体" w:eastAsia="宋体" w:cs="宋体"/>
          <w:b/>
          <w:color w:val="000000"/>
          <w:sz w:val="21"/>
          <w:szCs w:val="21"/>
        </w:rPr>
        <w:t>需写明质保期以外服务费用情况</w:t>
      </w:r>
      <w:r>
        <w:rPr>
          <w:rFonts w:hint="eastAsia" w:ascii="宋体" w:hAnsi="宋体" w:eastAsia="宋体" w:cs="宋体"/>
          <w:color w:val="000000"/>
          <w:sz w:val="21"/>
          <w:szCs w:val="21"/>
        </w:rPr>
        <w:t>；</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none"/>
          <w:u w:val="single"/>
          <w:lang w:val="en-US" w:eastAsia="zh-CN"/>
        </w:rPr>
        <w:t xml:space="preserve">  49.7  </w:t>
      </w:r>
      <w:r>
        <w:rPr>
          <w:rFonts w:hint="eastAsia" w:cs="Times New Roman"/>
          <w:b w:val="0"/>
          <w:bCs/>
          <w:highlight w:val="none"/>
        </w:rPr>
        <w:t>万元（含</w:t>
      </w:r>
      <w:r>
        <w:rPr>
          <w:rFonts w:hint="eastAsia" w:cs="Times New Roman"/>
          <w:b w:val="0"/>
          <w:bCs/>
          <w:highlight w:val="none"/>
          <w:u w:val="single"/>
          <w:lang w:val="en-US" w:eastAsia="zh-CN"/>
        </w:rPr>
        <w:t>13</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75"/>
        <w:numPr>
          <w:ilvl w:val="0"/>
          <w:numId w:val="21"/>
        </w:numPr>
        <w:ind w:left="425" w:leftChars="0" w:hanging="425" w:firstLineChars="0"/>
        <w:rPr>
          <w:rFonts w:hint="eastAsia" w:ascii="宋体" w:hAnsi="Courier New" w:eastAsia="宋体" w:cs="Times New Roman"/>
          <w:b/>
          <w:bCs w:val="0"/>
          <w:highlight w:val="none"/>
          <w:lang w:val="en-US" w:eastAsia="zh-CN"/>
        </w:rPr>
      </w:pPr>
      <w:r>
        <w:rPr>
          <w:rFonts w:hint="eastAsia" w:ascii="宋体" w:hAnsi="Courier New" w:eastAsia="宋体" w:cs="Times New Roman"/>
          <w:b/>
          <w:bCs w:val="0"/>
          <w:highlight w:val="none"/>
          <w:lang w:val="en-US" w:eastAsia="zh-CN"/>
        </w:rPr>
        <w:t>投标方式：</w:t>
      </w:r>
    </w:p>
    <w:p w14:paraId="66ACCFCD">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eastAsia="宋体" w:cs="宋体"/>
          <w:bCs/>
          <w:sz w:val="21"/>
          <w:szCs w:val="21"/>
          <w:highlight w:val="none"/>
        </w:rPr>
      </w:pPr>
      <w:r>
        <w:rPr>
          <w:rFonts w:hint="eastAsia" w:eastAsia="宋体" w:cs="宋体"/>
          <w:b/>
          <w:sz w:val="21"/>
          <w:szCs w:val="21"/>
          <w:highlight w:val="none"/>
        </w:rPr>
        <w:t>在中国重汽e采通平台应标成功后，进入“供应商投标”环节，投递盖章扫描版电子标书（包含资质标书、技术标书、商务标书），</w:t>
      </w:r>
      <w:r>
        <w:rPr>
          <w:rFonts w:ascii="宋体" w:hAnsi="宋体" w:eastAsia="宋体" w:cs="宋体"/>
          <w:sz w:val="21"/>
          <w:szCs w:val="21"/>
          <w:highlight w:val="none"/>
        </w:rPr>
        <w:t>若逾期未</w:t>
      </w:r>
      <w:r>
        <w:rPr>
          <w:rFonts w:hint="eastAsia" w:ascii="宋体" w:hAnsi="宋体" w:eastAsia="宋体" w:cs="宋体"/>
          <w:sz w:val="21"/>
          <w:szCs w:val="21"/>
          <w:highlight w:val="none"/>
        </w:rPr>
        <w:t>在中国</w:t>
      </w:r>
      <w:r>
        <w:rPr>
          <w:rFonts w:ascii="宋体" w:hAnsi="宋体" w:eastAsia="宋体" w:cs="宋体"/>
          <w:sz w:val="21"/>
          <w:szCs w:val="21"/>
          <w:highlight w:val="none"/>
        </w:rPr>
        <w:t>重汽e采通</w:t>
      </w:r>
      <w:r>
        <w:rPr>
          <w:rFonts w:hint="eastAsia" w:ascii="宋体" w:hAnsi="宋体" w:eastAsia="宋体" w:cs="宋体"/>
          <w:sz w:val="21"/>
          <w:szCs w:val="21"/>
          <w:highlight w:val="none"/>
        </w:rPr>
        <w:t>平台</w:t>
      </w:r>
      <w:r>
        <w:rPr>
          <w:rFonts w:ascii="宋体" w:hAnsi="宋体" w:eastAsia="宋体" w:cs="宋体"/>
          <w:sz w:val="21"/>
          <w:szCs w:val="21"/>
          <w:highlight w:val="none"/>
        </w:rPr>
        <w:t>上传</w:t>
      </w:r>
      <w:r>
        <w:rPr>
          <w:rFonts w:hint="eastAsia" w:ascii="宋体" w:hAnsi="宋体" w:eastAsia="宋体" w:cs="宋体"/>
          <w:sz w:val="21"/>
          <w:szCs w:val="21"/>
          <w:highlight w:val="none"/>
        </w:rPr>
        <w:t>电子</w:t>
      </w:r>
      <w:r>
        <w:rPr>
          <w:rFonts w:ascii="宋体" w:hAnsi="宋体" w:eastAsia="宋体" w:cs="宋体"/>
          <w:sz w:val="21"/>
          <w:szCs w:val="21"/>
          <w:highlight w:val="none"/>
        </w:rPr>
        <w:t>标书，即便递交了纸版投标文件，一律视为无效投标</w:t>
      </w:r>
      <w:r>
        <w:rPr>
          <w:rFonts w:hint="eastAsia" w:eastAsia="宋体" w:cs="宋体"/>
          <w:b/>
          <w:sz w:val="21"/>
          <w:szCs w:val="21"/>
          <w:highlight w:val="none"/>
        </w:rPr>
        <w:t>。</w:t>
      </w:r>
    </w:p>
    <w:p w14:paraId="26662468">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bCs/>
          <w:sz w:val="21"/>
          <w:szCs w:val="21"/>
          <w:highlight w:val="none"/>
        </w:rPr>
      </w:pPr>
      <w:r>
        <w:rPr>
          <w:rFonts w:hint="eastAsia" w:eastAsia="宋体" w:cs="宋体"/>
          <w:bCs/>
          <w:sz w:val="21"/>
          <w:szCs w:val="21"/>
          <w:highlight w:val="none"/>
        </w:rPr>
        <w:t>纸质版投标文件的份数要求为</w:t>
      </w:r>
      <w:r>
        <w:rPr>
          <w:rFonts w:hint="eastAsia" w:ascii="宋体" w:hAnsi="宋体" w:eastAsia="宋体" w:cs="宋体"/>
          <w:b/>
          <w:sz w:val="21"/>
          <w:szCs w:val="21"/>
          <w:highlight w:val="none"/>
        </w:rPr>
        <w:t>正本一份，副本</w:t>
      </w:r>
      <w:r>
        <w:rPr>
          <w:rFonts w:hint="eastAsia" w:ascii="宋体" w:hAnsi="宋体" w:eastAsia="宋体" w:cs="宋体"/>
          <w:b/>
          <w:sz w:val="21"/>
          <w:szCs w:val="21"/>
          <w:highlight w:val="none"/>
          <w:lang w:val="en-US" w:eastAsia="zh-CN"/>
        </w:rPr>
        <w:t>四</w:t>
      </w:r>
      <w:r>
        <w:rPr>
          <w:rFonts w:hint="eastAsia" w:ascii="宋体" w:hAnsi="宋体" w:eastAsia="宋体" w:cs="宋体"/>
          <w:b/>
          <w:sz w:val="21"/>
          <w:szCs w:val="21"/>
          <w:highlight w:val="none"/>
        </w:rPr>
        <w:t>份</w:t>
      </w:r>
      <w:r>
        <w:rPr>
          <w:rFonts w:hint="eastAsia" w:ascii="宋体" w:hAnsi="宋体" w:eastAsia="宋体" w:cs="宋体"/>
          <w:b/>
          <w:sz w:val="21"/>
          <w:szCs w:val="21"/>
          <w:highlight w:val="none"/>
          <w:lang w:eastAsia="zh-CN"/>
        </w:rPr>
        <w:t>，</w:t>
      </w:r>
      <w:r>
        <w:rPr>
          <w:rFonts w:hint="eastAsia" w:ascii="宋体" w:hAnsi="宋体" w:eastAsia="宋体" w:cs="宋体"/>
          <w:bCs/>
          <w:sz w:val="21"/>
          <w:szCs w:val="21"/>
          <w:highlight w:val="none"/>
        </w:rPr>
        <w:t>资质投标书、技术投标书及商务投标书的</w:t>
      </w:r>
      <w:r>
        <w:rPr>
          <w:rFonts w:hint="eastAsia" w:eastAsia="宋体" w:cs="宋体"/>
          <w:b/>
          <w:sz w:val="21"/>
          <w:szCs w:val="21"/>
          <w:highlight w:val="none"/>
        </w:rPr>
        <w:t>同类文件封装在一个包封里，包封表面按照附件13标注文件信息；共计三个包封</w:t>
      </w:r>
      <w:r>
        <w:rPr>
          <w:rFonts w:hint="eastAsia" w:eastAsia="宋体" w:cs="宋体"/>
          <w:bCs/>
          <w:sz w:val="21"/>
          <w:szCs w:val="21"/>
          <w:highlight w:val="none"/>
        </w:rPr>
        <w:t>。</w:t>
      </w:r>
    </w:p>
    <w:p w14:paraId="5F9B5E05">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asciiTheme="minorHAnsi" w:hAnsiTheme="minorHAnsi"/>
          <w:bCs/>
          <w:sz w:val="21"/>
          <w:szCs w:val="21"/>
          <w:highlight w:val="none"/>
        </w:rPr>
      </w:pPr>
      <w:r>
        <w:rPr>
          <w:rFonts w:hint="eastAsia" w:eastAsia="宋体" w:cs="宋体" w:asciiTheme="minorHAnsi" w:hAnsiTheme="minorHAnsi"/>
          <w:bCs/>
          <w:sz w:val="21"/>
          <w:szCs w:val="21"/>
          <w:highlight w:val="none"/>
        </w:rPr>
        <w:t>如选择到场参与开标，自行携带纸质投标文件于开标前至开标地点即可。</w:t>
      </w:r>
    </w:p>
    <w:p w14:paraId="50A15930">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Courier New" w:eastAsia="宋体" w:cs="Times New Roman"/>
          <w:b w:val="0"/>
          <w:bCs/>
          <w:sz w:val="21"/>
          <w:szCs w:val="21"/>
          <w:highlight w:val="none"/>
          <w:lang w:val="en-US" w:eastAsia="zh-CN"/>
        </w:rPr>
      </w:pPr>
      <w:r>
        <w:rPr>
          <w:rFonts w:hint="eastAsia" w:eastAsia="宋体" w:cs="宋体" w:asciiTheme="minorHAnsi" w:hAnsiTheme="minorHAnsi"/>
          <w:bCs/>
          <w:sz w:val="21"/>
          <w:szCs w:val="21"/>
          <w:highlight w:val="none"/>
        </w:rPr>
        <w:t>如选择线上参与开标，纸质投标文件需在开标日前两天，邮寄到指定地址。</w:t>
      </w:r>
    </w:p>
    <w:p w14:paraId="430BD106">
      <w:pPr>
        <w:pStyle w:val="75"/>
        <w:numPr>
          <w:ilvl w:val="0"/>
          <w:numId w:val="21"/>
        </w:numPr>
        <w:ind w:left="425" w:leftChars="0" w:hanging="425" w:firstLineChars="0"/>
        <w:rPr>
          <w:rFonts w:hint="eastAsia" w:ascii="宋体" w:hAnsi="Courier New" w:eastAsia="宋体" w:cs="Times New Roman"/>
          <w:b w:val="0"/>
          <w:bCs/>
          <w:highlight w:val="none"/>
        </w:rPr>
      </w:pPr>
      <w:r>
        <w:rPr>
          <w:rFonts w:hint="eastAsia" w:ascii="宋体" w:hAnsi="Courier New" w:eastAsia="宋体" w:cs="Times New Roman"/>
          <w:b/>
          <w:bCs w:val="0"/>
          <w:highlight w:val="none"/>
          <w:lang w:val="en-US" w:eastAsia="zh-CN"/>
        </w:rPr>
        <w:t>邮寄地址：</w:t>
      </w:r>
      <w:r>
        <w:rPr>
          <w:rFonts w:hint="eastAsia" w:ascii="宋体" w:hAnsi="Courier New" w:eastAsia="宋体" w:cs="Times New Roman"/>
          <w:b w:val="0"/>
          <w:bCs/>
          <w:highlight w:val="none"/>
          <w:lang w:val="en-US" w:eastAsia="zh-CN"/>
        </w:rPr>
        <w:t>山东省济南市章丘区潘王路东园区十一号路北，重汽（济南）轻卡有限公司</w:t>
      </w:r>
    </w:p>
    <w:p w14:paraId="2079F016">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联系人及联系方式：</w:t>
      </w:r>
      <w:r>
        <w:rPr>
          <w:rFonts w:hint="eastAsia" w:ascii="宋体" w:hAnsi="Courier New" w:eastAsia="宋体" w:cs="Times New Roman"/>
          <w:b w:val="0"/>
          <w:bCs/>
          <w:highlight w:val="none"/>
          <w:lang w:val="en-US" w:eastAsia="zh-CN"/>
        </w:rPr>
        <w:t>许娅楠/15002582216</w:t>
      </w:r>
    </w:p>
    <w:p w14:paraId="4AAA3F9B">
      <w:pPr>
        <w:pStyle w:val="75"/>
        <w:numPr>
          <w:ilvl w:val="0"/>
          <w:numId w:val="21"/>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bCs w:val="0"/>
          <w:highlight w:val="yellow"/>
          <w:lang w:val="en-US" w:eastAsia="zh-CN"/>
        </w:rPr>
        <w:t>投标文件递交截止时间：</w:t>
      </w:r>
      <w:r>
        <w:rPr>
          <w:rFonts w:hint="eastAsia" w:ascii="宋体" w:hAnsi="Courier New" w:eastAsia="宋体" w:cs="Times New Roman"/>
          <w:b w:val="0"/>
          <w:bCs/>
          <w:highlight w:val="yellow"/>
          <w:lang w:val="en-US" w:eastAsia="zh-CN"/>
        </w:rPr>
        <w:t>2026年</w:t>
      </w:r>
      <w:r>
        <w:rPr>
          <w:rFonts w:hint="eastAsia" w:cs="Times New Roman"/>
          <w:b w:val="0"/>
          <w:bCs/>
          <w:highlight w:val="yellow"/>
          <w:lang w:val="en-US" w:eastAsia="zh-CN"/>
        </w:rPr>
        <w:t>3</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17</w:t>
      </w:r>
      <w:r>
        <w:rPr>
          <w:rFonts w:hint="eastAsia" w:ascii="宋体" w:hAnsi="Courier New" w:eastAsia="宋体" w:cs="Times New Roman"/>
          <w:b w:val="0"/>
          <w:bCs/>
          <w:highlight w:val="yellow"/>
          <w:lang w:val="en-US" w:eastAsia="zh-CN"/>
        </w:rPr>
        <w:t>日上午9:00:00</w:t>
      </w:r>
    </w:p>
    <w:p w14:paraId="7C4A86A7">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投标文件有效期：</w:t>
      </w:r>
      <w:r>
        <w:rPr>
          <w:rFonts w:hint="eastAsia" w:ascii="宋体" w:hAnsi="Courier New" w:eastAsia="宋体" w:cs="Times New Roman"/>
          <w:b w:val="0"/>
          <w:bCs/>
          <w:highlight w:val="none"/>
          <w:lang w:val="en-US" w:eastAsia="zh-CN"/>
        </w:rPr>
        <w:t>自开标之日起90个日历日</w:t>
      </w:r>
    </w:p>
    <w:p w14:paraId="1A6981D7">
      <w:pPr>
        <w:pStyle w:val="75"/>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纸质版投标文件和电子版投标文件必须保证内容一致；如确实存在不一致的，以电子标书为准，同时要求投标人对纸版标书做出修正。</w:t>
      </w:r>
    </w:p>
    <w:p w14:paraId="16AF48F3">
      <w:pPr>
        <w:pStyle w:val="75"/>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ascii="宋体" w:hAnsi="宋体" w:eastAsia="宋体" w:cs="宋体"/>
          <w:sz w:val="21"/>
          <w:szCs w:val="21"/>
        </w:rPr>
      </w:pPr>
      <w:r>
        <w:rPr>
          <w:rFonts w:hint="eastAsia" w:ascii="宋体" w:hAnsi="宋体" w:eastAsia="宋体" w:cs="宋体"/>
          <w:b/>
          <w:bCs/>
          <w:sz w:val="21"/>
          <w:szCs w:val="21"/>
        </w:rPr>
        <w:t>投标文件的装订：</w:t>
      </w:r>
      <w:r>
        <w:rPr>
          <w:rFonts w:hint="eastAsia" w:ascii="宋体" w:hAnsi="宋体" w:eastAsia="宋体" w:cs="宋体"/>
          <w:sz w:val="21"/>
          <w:szCs w:val="21"/>
        </w:rPr>
        <w:t>投标人必须将投标文件按照资质标文件1册、技术标文件1册、商务标文件1册</w:t>
      </w:r>
      <w:r>
        <w:rPr>
          <w:rFonts w:hint="eastAsia" w:ascii="宋体" w:hAnsi="宋体" w:eastAsia="宋体" w:cs="宋体"/>
          <w:b/>
          <w:bCs/>
          <w:sz w:val="21"/>
          <w:szCs w:val="21"/>
        </w:rPr>
        <w:t>分别进行</w:t>
      </w:r>
      <w:r>
        <w:rPr>
          <w:rFonts w:hint="eastAsia" w:ascii="宋体" w:hAnsi="宋体" w:eastAsia="宋体" w:cs="宋体"/>
          <w:bCs/>
          <w:sz w:val="21"/>
          <w:szCs w:val="21"/>
        </w:rPr>
        <w:t>胶装</w:t>
      </w:r>
      <w:r>
        <w:rPr>
          <w:rFonts w:hint="eastAsia" w:ascii="宋体" w:hAnsi="宋体" w:eastAsia="宋体" w:cs="宋体"/>
          <w:sz w:val="21"/>
          <w:szCs w:val="21"/>
        </w:rPr>
        <w:t>，各自不允许超过两册。</w:t>
      </w:r>
    </w:p>
    <w:p w14:paraId="695FE65D">
      <w:pPr>
        <w:pStyle w:val="75"/>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Courier New" w:eastAsia="宋体" w:cs="Times New Roman"/>
          <w:b w:val="0"/>
          <w:bCs/>
          <w:sz w:val="21"/>
          <w:szCs w:val="21"/>
          <w:highlight w:val="none"/>
          <w:lang w:val="en-US" w:eastAsia="zh-CN"/>
        </w:rPr>
      </w:pPr>
      <w:r>
        <w:rPr>
          <w:rFonts w:hint="eastAsia" w:hAnsi="宋体" w:eastAsia="宋体" w:cs="宋体"/>
          <w:b/>
          <w:bCs/>
          <w:sz w:val="21"/>
          <w:szCs w:val="21"/>
        </w:rPr>
        <w:t>技术标书和商务标书不单独装订的，投标文件做无效标处理。</w:t>
      </w:r>
    </w:p>
    <w:p w14:paraId="25974AAC">
      <w:pPr>
        <w:pStyle w:val="72"/>
        <w:rPr>
          <w:rFonts w:hint="eastAsia" w:hAnsi="Courier New" w:cs="Times New Roman"/>
          <w:highlight w:val="none"/>
        </w:rPr>
      </w:pPr>
      <w:bookmarkStart w:id="14"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w:t>
      </w:r>
      <w:r>
        <w:rPr>
          <w:rFonts w:hint="eastAsia" w:ascii="宋体" w:hAnsi="宋体" w:eastAsia="宋体" w:cs="宋体"/>
          <w:b/>
          <w:bCs/>
          <w:sz w:val="21"/>
          <w:szCs w:val="21"/>
          <w:highlight w:val="none"/>
          <w:lang w:val="en-US" w:eastAsia="zh-CN"/>
        </w:rPr>
        <w:t>的缴纳</w:t>
      </w:r>
      <w:r>
        <w:rPr>
          <w:rFonts w:hint="eastAsia" w:ascii="宋体" w:hAnsi="宋体" w:eastAsia="宋体" w:cs="宋体"/>
          <w:b/>
          <w:bCs/>
          <w:sz w:val="21"/>
          <w:szCs w:val="21"/>
          <w:highlight w:val="none"/>
        </w:rPr>
        <w:t>形式：电汇</w:t>
      </w:r>
    </w:p>
    <w:p w14:paraId="04CD311F">
      <w:pPr>
        <w:pStyle w:val="72"/>
        <w:numPr>
          <w:ilvl w:val="0"/>
          <w:numId w:val="23"/>
        </w:numPr>
        <w:ind w:left="425" w:leftChars="0" w:hanging="425" w:firstLineChars="0"/>
        <w:rPr>
          <w:rFonts w:hint="default" w:ascii="宋体" w:hAnsi="宋体" w:eastAsia="宋体" w:cs="宋体"/>
          <w:b/>
          <w:bCs/>
          <w:sz w:val="21"/>
          <w:szCs w:val="21"/>
          <w:highlight w:val="yellow"/>
          <w:u w:val="single"/>
          <w:lang w:val="en-US" w:eastAsia="zh-CN"/>
        </w:rPr>
      </w:pPr>
      <w:r>
        <w:rPr>
          <w:rFonts w:hint="eastAsia" w:ascii="宋体" w:hAnsi="宋体" w:eastAsia="宋体" w:cs="宋体"/>
          <w:b/>
          <w:bCs/>
          <w:sz w:val="21"/>
          <w:szCs w:val="21"/>
          <w:highlight w:val="none"/>
        </w:rPr>
        <w:t>投标保证金的金额：人民币</w:t>
      </w:r>
      <w:r>
        <w:rPr>
          <w:rFonts w:hint="eastAsia" w:ascii="宋体" w:hAnsi="宋体" w:eastAsia="宋体" w:cs="宋体"/>
          <w:b/>
          <w:bCs/>
          <w:sz w:val="21"/>
          <w:szCs w:val="21"/>
          <w:highlight w:val="yellow"/>
          <w:u w:val="single"/>
          <w:lang w:val="en-US" w:eastAsia="zh-CN"/>
        </w:rPr>
        <w:t xml:space="preserve"> 5000 </w:t>
      </w:r>
      <w:r>
        <w:rPr>
          <w:rFonts w:hint="eastAsia" w:ascii="宋体" w:hAnsi="宋体" w:eastAsia="宋体" w:cs="宋体"/>
          <w:b/>
          <w:bCs/>
          <w:sz w:val="21"/>
          <w:szCs w:val="21"/>
          <w:highlight w:val="none"/>
        </w:rPr>
        <w:t>元</w:t>
      </w:r>
    </w:p>
    <w:p w14:paraId="2F610038">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开户名称：中国重汽集团济南商用车有限公司</w:t>
      </w:r>
    </w:p>
    <w:p w14:paraId="302C9541">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开户银行：中国银行股份有限公司济南分行</w:t>
      </w:r>
    </w:p>
    <w:p w14:paraId="20810528">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银行账号：237744219844</w:t>
      </w:r>
    </w:p>
    <w:p w14:paraId="2D61FFA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联行号：104451039687</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投标保证金应从投标人的基本账户转出至上述账户并到账，否则视为无效投标。转账附言：公司名称+项目名称+投标保证金。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yellow"/>
        </w:rPr>
        <w:t>保证金缴纳截止时间：202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13</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17:00</w:t>
      </w:r>
      <w:r>
        <w:rPr>
          <w:rFonts w:hint="eastAsia" w:ascii="宋体" w:hAnsi="宋体" w:eastAsia="宋体" w:cs="宋体"/>
          <w:b w:val="0"/>
          <w:bCs w:val="0"/>
          <w:sz w:val="21"/>
          <w:szCs w:val="21"/>
          <w:highlight w:val="yellow"/>
          <w:lang w:eastAsia="zh-CN"/>
        </w:rPr>
        <w:t>（</w:t>
      </w:r>
      <w:r>
        <w:rPr>
          <w:rFonts w:hint="eastAsia" w:ascii="宋体" w:hAnsi="宋体" w:eastAsia="宋体" w:cs="宋体"/>
          <w:b w:val="0"/>
          <w:bCs w:val="0"/>
          <w:sz w:val="21"/>
          <w:szCs w:val="21"/>
          <w:highlight w:val="yellow"/>
          <w:lang w:val="en-US" w:eastAsia="zh-CN"/>
        </w:rPr>
        <w:t>同应标截止时间</w:t>
      </w:r>
      <w:r>
        <w:rPr>
          <w:rFonts w:hint="eastAsia" w:ascii="宋体" w:hAnsi="宋体" w:eastAsia="宋体" w:cs="宋体"/>
          <w:b w:val="0"/>
          <w:bCs w:val="0"/>
          <w:sz w:val="21"/>
          <w:szCs w:val="21"/>
          <w:highlight w:val="yellow"/>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①供应商在提交响应文件截止时间后撤回响应文件的；投标人递送投标文件后，无正当理由放弃投标的；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4"/>
    <w:p w14:paraId="368B6990">
      <w:pPr>
        <w:pStyle w:val="72"/>
      </w:pPr>
      <w:r>
        <w:rPr>
          <w:rFonts w:hint="eastAsia"/>
          <w:lang w:val="en-US" w:eastAsia="zh-CN"/>
        </w:rPr>
        <w:t>开评标</w:t>
      </w:r>
    </w:p>
    <w:p w14:paraId="009655B5">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开标时间：2026年3月17日9:3</w:t>
      </w:r>
      <w:bookmarkStart w:id="165" w:name="_GoBack"/>
      <w:bookmarkEnd w:id="165"/>
      <w:r>
        <w:rPr>
          <w:rFonts w:hint="eastAsia" w:ascii="宋体" w:hAnsi="宋体" w:eastAsia="宋体" w:cs="宋体"/>
          <w:b w:val="0"/>
          <w:bCs w:val="0"/>
          <w:sz w:val="21"/>
          <w:szCs w:val="21"/>
          <w:highlight w:val="yellow"/>
          <w:lang w:val="en-US" w:eastAsia="zh-CN"/>
        </w:rPr>
        <w:t>0:00（暂定，以实际通知为准）</w:t>
      </w:r>
    </w:p>
    <w:p w14:paraId="06F7B67A">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开标地点：山东省济南市章丘区潘王路东园区十一号路北，济南轻卡制造公司</w:t>
      </w:r>
    </w:p>
    <w:p w14:paraId="420F0E0C">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4DCBC48A">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14:paraId="3EF8D0F8">
      <w:pPr>
        <w:pStyle w:val="72"/>
        <w:keepNext w:val="0"/>
        <w:keepLines w:val="0"/>
        <w:pageBreakBefore w:val="0"/>
        <w:widowControl w:val="0"/>
        <w:numPr>
          <w:ilvl w:val="0"/>
          <w:numId w:val="25"/>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33F41722">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sz w:val="21"/>
          <w:szCs w:val="21"/>
          <w:highlight w:val="none"/>
          <w:lang w:val="en-US" w:eastAsia="zh-CN"/>
        </w:rPr>
      </w:pPr>
      <w:r>
        <w:rPr>
          <w:rFonts w:hint="eastAsia" w:ascii="宋体" w:hAnsi="宋体" w:eastAsia="宋体" w:cs="宋体"/>
          <w:b/>
          <w:bCs/>
          <w:sz w:val="21"/>
          <w:szCs w:val="21"/>
        </w:rPr>
        <w:t>资质标审核</w:t>
      </w:r>
      <w:bookmarkStart w:id="15" w:name="OLE_LINK2"/>
      <w:r>
        <w:rPr>
          <w:rFonts w:hint="eastAsia" w:ascii="宋体" w:hAnsi="宋体" w:eastAsia="宋体" w:cs="宋体"/>
          <w:b/>
          <w:bCs/>
          <w:sz w:val="21"/>
          <w:szCs w:val="21"/>
        </w:rPr>
        <w:t>→</w:t>
      </w:r>
      <w:bookmarkEnd w:id="15"/>
      <w:r>
        <w:rPr>
          <w:rFonts w:hint="eastAsia" w:ascii="宋体" w:hAnsi="宋体" w:eastAsia="宋体" w:cs="宋体"/>
          <w:b/>
          <w:bCs/>
          <w:sz w:val="21"/>
          <w:szCs w:val="21"/>
        </w:rPr>
        <w:t>唱标→技术标评审→商务标评审。</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7DFEB4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w:t>
      </w:r>
      <w:r>
        <w:rPr>
          <w:rFonts w:hint="eastAsia" w:ascii="宋体" w:hAnsi="宋体" w:cs="宋体"/>
          <w:b/>
          <w:bCs/>
          <w:color w:val="000000"/>
          <w:sz w:val="21"/>
          <w:szCs w:val="21"/>
          <w:highlight w:val="none"/>
          <w:lang w:val="en-US" w:eastAsia="zh-CN"/>
        </w:rPr>
        <w:t>23</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bCs/>
          <w:sz w:val="21"/>
          <w:szCs w:val="21"/>
          <w:highlight w:val="yellow"/>
          <w:lang w:val="en-US" w:eastAsia="zh-CN"/>
        </w:rPr>
        <w:t>评分标准</w:t>
      </w:r>
    </w:p>
    <w:tbl>
      <w:tblPr>
        <w:tblStyle w:val="30"/>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rFonts w:hint="eastAsia" w:eastAsia="宋体"/>
                <w:b/>
                <w:szCs w:val="21"/>
                <w:lang w:eastAsia="zh-CN"/>
              </w:rPr>
            </w:pPr>
            <w:r>
              <w:rPr>
                <w:rFonts w:hint="eastAsia"/>
                <w:b/>
                <w:lang w:val="en-US" w:eastAsia="zh-CN"/>
              </w:rPr>
              <w:t>占比</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5C3A41D4">
            <w:pPr>
              <w:spacing w:line="320" w:lineRule="exact"/>
              <w:ind w:right="34" w:rightChars="16"/>
              <w:jc w:val="center"/>
              <w:rPr>
                <w:b/>
                <w:szCs w:val="21"/>
              </w:rPr>
            </w:pPr>
            <w:r>
              <w:rPr>
                <w:rFonts w:hint="eastAsia"/>
                <w:b/>
              </w:rPr>
              <w:t>最高</w:t>
            </w:r>
          </w:p>
          <w:p w14:paraId="2F5235E4">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sz w:val="21"/>
                <w:szCs w:val="21"/>
                <w:lang w:val="en-US" w:eastAsia="zh-CN"/>
              </w:rPr>
            </w:pPr>
            <w:r>
              <w:rPr>
                <w:rFonts w:hint="eastAsia" w:ascii="宋体"/>
                <w:b/>
                <w:bCs/>
                <w:sz w:val="21"/>
                <w:szCs w:val="21"/>
                <w:lang w:val="en-US" w:eastAsia="zh-CN"/>
              </w:rPr>
              <w:t>40%</w:t>
            </w:r>
          </w:p>
        </w:tc>
        <w:tc>
          <w:tcPr>
            <w:tcW w:w="970" w:type="dxa"/>
            <w:tcBorders>
              <w:top w:val="single" w:color="auto" w:sz="4" w:space="0"/>
              <w:left w:val="single" w:color="auto" w:sz="4" w:space="0"/>
              <w:right w:val="single" w:color="auto" w:sz="4" w:space="0"/>
            </w:tcBorders>
            <w:shd w:val="clear" w:color="auto" w:fill="auto"/>
            <w:vAlign w:val="center"/>
          </w:tcPr>
          <w:p w14:paraId="5BF07162">
            <w:pPr>
              <w:pStyle w:val="10"/>
              <w:spacing w:after="0" w:line="32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sz w:val="21"/>
                <w:szCs w:val="21"/>
                <w:lang w:val="en-US" w:eastAsia="zh-CN"/>
              </w:rPr>
            </w:pPr>
            <w:r>
              <w:rPr>
                <w:rFonts w:hint="eastAsia" w:ascii="宋体"/>
                <w:sz w:val="21"/>
                <w:szCs w:val="21"/>
                <w:lang w:val="en-US" w:eastAsia="zh-CN"/>
              </w:rPr>
              <w:t>60</w:t>
            </w:r>
          </w:p>
        </w:tc>
        <w:tc>
          <w:tcPr>
            <w:tcW w:w="6153" w:type="dxa"/>
            <w:tcBorders>
              <w:top w:val="single" w:color="auto" w:sz="4" w:space="0"/>
              <w:left w:val="single" w:color="auto" w:sz="4" w:space="0"/>
              <w:bottom w:val="single" w:color="auto" w:sz="4" w:space="0"/>
              <w:right w:val="single" w:color="auto" w:sz="4" w:space="0"/>
            </w:tcBorders>
            <w:shd w:val="clear" w:color="auto" w:fill="auto"/>
            <w:vAlign w:val="center"/>
          </w:tcPr>
          <w:p w14:paraId="0D3158A6">
            <w:pPr>
              <w:pStyle w:val="10"/>
              <w:spacing w:after="0" w:line="32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24E38C93">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产品质量及保证措施</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eastAsia="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63E546">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51BDE9C">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default" w:ascii="宋体"/>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5A5091">
            <w:pPr>
              <w:pStyle w:val="10"/>
              <w:spacing w:after="0" w:line="340" w:lineRule="exac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DA920A2">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供货周期</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6B47D799">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3C5F9C32">
            <w:pPr>
              <w:pStyle w:val="10"/>
              <w:spacing w:after="0" w:line="34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质保期及售后服务</w:t>
            </w:r>
          </w:p>
        </w:tc>
        <w:tc>
          <w:tcPr>
            <w:tcW w:w="650" w:type="dxa"/>
            <w:tcBorders>
              <w:top w:val="single" w:color="auto" w:sz="4" w:space="0"/>
              <w:left w:val="single" w:color="auto" w:sz="4" w:space="0"/>
              <w:bottom w:val="nil"/>
              <w:right w:val="single" w:color="auto" w:sz="4" w:space="0"/>
            </w:tcBorders>
            <w:vAlign w:val="center"/>
          </w:tcPr>
          <w:p w14:paraId="3205E9E1">
            <w:pPr>
              <w:jc w:val="center"/>
              <w:rPr>
                <w:rFonts w:hint="default" w:ascii="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220B1BA5">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520" w:type="dxa"/>
            <w:tcBorders>
              <w:top w:val="single" w:color="auto" w:sz="4" w:space="0"/>
              <w:left w:val="single" w:color="auto" w:sz="4" w:space="0"/>
              <w:bottom w:val="single" w:color="auto" w:sz="4" w:space="0"/>
              <w:right w:val="single" w:color="auto" w:sz="4" w:space="0"/>
            </w:tcBorders>
            <w:vAlign w:val="center"/>
          </w:tcPr>
          <w:p w14:paraId="1C62CC87">
            <w:pPr>
              <w:jc w:val="center"/>
              <w:rPr>
                <w:rFonts w:hint="default" w:ascii="宋体" w:eastAsia="宋体"/>
                <w:b/>
                <w:szCs w:val="21"/>
                <w:highlight w:val="none"/>
                <w:lang w:val="en-US" w:eastAsia="zh-CN"/>
              </w:rPr>
            </w:pPr>
            <w:r>
              <w:rPr>
                <w:rFonts w:hint="eastAsia" w:ascii="宋体"/>
                <w:b/>
                <w:szCs w:val="21"/>
                <w:highlight w:val="none"/>
                <w:lang w:val="en-US" w:eastAsia="zh-CN"/>
              </w:rPr>
              <w:t>40%</w:t>
            </w:r>
          </w:p>
        </w:tc>
        <w:tc>
          <w:tcPr>
            <w:tcW w:w="970" w:type="dxa"/>
            <w:tcBorders>
              <w:top w:val="single" w:color="auto" w:sz="4" w:space="0"/>
              <w:left w:val="single" w:color="auto" w:sz="4" w:space="0"/>
              <w:bottom w:val="single" w:color="auto" w:sz="4" w:space="0"/>
              <w:right w:val="single" w:color="auto" w:sz="4" w:space="0"/>
            </w:tcBorders>
            <w:vAlign w:val="center"/>
          </w:tcPr>
          <w:p w14:paraId="154D28CB">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nil"/>
              <w:right w:val="single" w:color="auto" w:sz="4" w:space="0"/>
            </w:tcBorders>
            <w:vAlign w:val="center"/>
          </w:tcPr>
          <w:p w14:paraId="4C22ADBD">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6153" w:type="dxa"/>
            <w:tcBorders>
              <w:top w:val="single" w:color="auto" w:sz="4" w:space="0"/>
              <w:left w:val="single" w:color="auto" w:sz="4" w:space="0"/>
              <w:bottom w:val="nil"/>
              <w:right w:val="single" w:color="auto" w:sz="4" w:space="0"/>
            </w:tcBorders>
            <w:vAlign w:val="center"/>
          </w:tcPr>
          <w:p w14:paraId="6246645D">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1F5BA08A">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70D663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1B6935E1">
            <w:pPr>
              <w:rPr>
                <w:rFonts w:ascii="宋体"/>
                <w:szCs w:val="21"/>
              </w:rPr>
            </w:pPr>
            <w:r>
              <w:rPr>
                <w:rFonts w:hint="eastAsia" w:ascii="宋体" w:hAnsi="宋体"/>
              </w:rPr>
              <w:t>备注：</w:t>
            </w:r>
          </w:p>
          <w:p w14:paraId="2E44C0D2">
            <w:pPr>
              <w:rPr>
                <w:rFonts w:ascii="宋体"/>
              </w:rPr>
            </w:pPr>
            <w:r>
              <w:rPr>
                <w:rFonts w:hint="eastAsia" w:ascii="宋体" w:hAnsi="宋体"/>
              </w:rPr>
              <w:t>1、通过初审者为有效投标。</w:t>
            </w:r>
          </w:p>
          <w:p w14:paraId="1EA60817">
            <w:pPr>
              <w:rPr>
                <w:rFonts w:hint="eastAsia" w:ascii="宋体" w:eastAsia="宋体"/>
                <w:b/>
                <w:bCs/>
                <w:color w:val="FF0000"/>
                <w:sz w:val="18"/>
                <w:szCs w:val="18"/>
                <w:lang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14:paraId="1A30FA18">
            <w:pPr>
              <w:rPr>
                <w:rFonts w:hint="eastAsia" w:ascii="宋体" w:hAnsi="宋体"/>
              </w:rPr>
            </w:pPr>
            <w:r>
              <w:rPr>
                <w:rFonts w:hint="eastAsia" w:ascii="宋体" w:hAnsi="宋体"/>
              </w:rPr>
              <w:t>3、评委打分超过得分界限或未按本方法赋分时，该评委的打分按废票处理。</w:t>
            </w:r>
          </w:p>
          <w:p w14:paraId="745EB86F">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4376CE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2DC546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6"/>
      <w:bookmarkStart w:id="17" w:name="OLE_LINK27"/>
      <w:bookmarkStart w:id="18" w:name="OLE_LINK28"/>
      <w:bookmarkStart w:id="19" w:name="OLE_LINK25"/>
      <w:bookmarkStart w:id="20" w:name="OLE_LINK29"/>
      <w:r>
        <w:rPr>
          <w:rFonts w:hint="eastAsia" w:ascii="宋体" w:hAnsi="宋体" w:eastAsia="宋体" w:cs="宋体"/>
          <w:bCs/>
          <w:sz w:val="21"/>
          <w:szCs w:val="21"/>
          <w:highlight w:val="none"/>
        </w:rPr>
        <w:t>；</w:t>
      </w:r>
      <w:bookmarkEnd w:id="16"/>
      <w:bookmarkEnd w:id="17"/>
      <w:bookmarkEnd w:id="18"/>
      <w:bookmarkEnd w:id="19"/>
      <w:bookmarkEnd w:id="20"/>
    </w:p>
    <w:p w14:paraId="24E36D3A">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bCs/>
          <w:kern w:val="2"/>
          <w:sz w:val="21"/>
          <w:szCs w:val="21"/>
          <w:lang w:val="en-US" w:eastAsia="zh-CN" w:bidi="ar-SA"/>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kern w:val="2"/>
          <w:sz w:val="21"/>
          <w:szCs w:val="21"/>
          <w:highlight w:val="none"/>
          <w:lang w:val="en-US" w:eastAsia="zh-CN" w:bidi="ar-SA"/>
        </w:rPr>
        <w:t>投标人投标文件付款方式偏离招标文件的；</w:t>
      </w:r>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eastAsia" w:hAnsi="宋体" w:cs="宋体"/>
          <w:bCs/>
          <w:sz w:val="21"/>
          <w:szCs w:val="21"/>
          <w:highlight w:val="none"/>
          <w:lang w:val="en-US" w:eastAsia="zh-CN"/>
        </w:rPr>
        <w:t>(6)</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val="0"/>
          <w:bCs/>
          <w:sz w:val="21"/>
          <w:szCs w:val="21"/>
        </w:rPr>
      </w:pPr>
      <w:r>
        <w:rPr>
          <w:rFonts w:hint="eastAsia" w:ascii="宋体" w:hAnsi="宋体" w:cs="宋体"/>
          <w:b w:val="0"/>
          <w:bCs/>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5.合同以双方最终签署的版本为准。</w:t>
      </w:r>
    </w:p>
    <w:p w14:paraId="610E8BB3">
      <w:pPr>
        <w:pStyle w:val="72"/>
      </w:pPr>
      <w:r>
        <w:rPr>
          <w:rFonts w:hint="eastAsia"/>
          <w:lang w:val="en-US" w:eastAsia="zh-CN"/>
        </w:rPr>
        <w:t>交货及付款</w:t>
      </w:r>
    </w:p>
    <w:p w14:paraId="0DD46053">
      <w:pPr>
        <w:pStyle w:val="72"/>
        <w:numPr>
          <w:ilvl w:val="0"/>
          <w:numId w:val="28"/>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交货期：</w:t>
      </w:r>
    </w:p>
    <w:p w14:paraId="26F1805D">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Ansi="宋体" w:eastAsia="宋体" w:cs="宋体"/>
          <w:b w:val="0"/>
          <w:bCs w:val="0"/>
          <w:color w:val="000000"/>
          <w:sz w:val="21"/>
          <w:szCs w:val="21"/>
          <w:highlight w:val="none"/>
        </w:rPr>
      </w:pPr>
      <w:r>
        <w:rPr>
          <w:rFonts w:hint="eastAsia" w:ascii="宋体" w:hAnsi="宋体" w:eastAsia="宋体"/>
          <w:b w:val="0"/>
          <w:bCs w:val="0"/>
          <w:sz w:val="21"/>
          <w:szCs w:val="21"/>
          <w:highlight w:val="none"/>
        </w:rPr>
        <w:t>投标方收到中标通知书后</w:t>
      </w:r>
      <w:r>
        <w:rPr>
          <w:rFonts w:hint="eastAsia" w:hAnsi="宋体" w:eastAsia="宋体" w:cs="宋体"/>
          <w:b w:val="0"/>
          <w:bCs w:val="0"/>
          <w:color w:val="000000"/>
          <w:sz w:val="21"/>
          <w:szCs w:val="21"/>
          <w:highlight w:val="none"/>
        </w:rPr>
        <w:t>，</w:t>
      </w:r>
      <w:r>
        <w:rPr>
          <w:rFonts w:hint="eastAsia" w:hAnsi="宋体" w:cs="宋体"/>
          <w:b/>
          <w:bCs/>
          <w:color w:val="000000"/>
          <w:sz w:val="21"/>
          <w:szCs w:val="21"/>
          <w:highlight w:val="none"/>
          <w:lang w:val="en-US" w:eastAsia="zh-CN"/>
        </w:rPr>
        <w:t>3</w:t>
      </w:r>
      <w:r>
        <w:rPr>
          <w:rFonts w:hint="eastAsia" w:hAnsi="宋体" w:eastAsia="宋体" w:cs="宋体"/>
          <w:b/>
          <w:bCs/>
          <w:color w:val="000000"/>
          <w:sz w:val="21"/>
          <w:szCs w:val="21"/>
          <w:highlight w:val="none"/>
        </w:rPr>
        <w:t>个</w:t>
      </w:r>
      <w:r>
        <w:rPr>
          <w:rFonts w:hint="eastAsia" w:hAnsi="宋体" w:cs="宋体"/>
          <w:b/>
          <w:bCs/>
          <w:color w:val="000000"/>
          <w:sz w:val="21"/>
          <w:szCs w:val="21"/>
          <w:highlight w:val="none"/>
          <w:lang w:val="en-US" w:eastAsia="zh-CN"/>
        </w:rPr>
        <w:t>月</w:t>
      </w:r>
      <w:r>
        <w:rPr>
          <w:rFonts w:hint="eastAsia" w:hAnsi="宋体" w:eastAsia="宋体" w:cs="宋体"/>
          <w:b w:val="0"/>
          <w:bCs w:val="0"/>
          <w:color w:val="000000"/>
          <w:sz w:val="21"/>
          <w:szCs w:val="21"/>
          <w:highlight w:val="none"/>
        </w:rPr>
        <w:t>之内交货至供货地点。</w:t>
      </w:r>
    </w:p>
    <w:p w14:paraId="2A3E3A16">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hAnsi="宋体" w:eastAsia="宋体" w:cs="宋体"/>
          <w:b w:val="0"/>
          <w:bCs w:val="0"/>
          <w:color w:val="000000"/>
          <w:sz w:val="21"/>
          <w:szCs w:val="21"/>
          <w:highlight w:val="none"/>
        </w:rPr>
        <w:t>安装调试工期超过规定时间的，投标人应当随标书提供详细的工期计划。</w:t>
      </w:r>
    </w:p>
    <w:p w14:paraId="6AAC4A46">
      <w:pPr>
        <w:pStyle w:val="72"/>
        <w:numPr>
          <w:ilvl w:val="0"/>
          <w:numId w:val="28"/>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山东省济南市章丘区圣井街道潘王路西，济南轻卡制造公司。</w:t>
      </w:r>
    </w:p>
    <w:p w14:paraId="6C8560A2">
      <w:pPr>
        <w:pStyle w:val="72"/>
        <w:numPr>
          <w:ilvl w:val="0"/>
          <w:numId w:val="28"/>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交货方式：</w:t>
      </w:r>
      <w:r>
        <w:rPr>
          <w:rFonts w:hint="eastAsia" w:ascii="宋体" w:hAnsi="宋体" w:eastAsia="宋体" w:cs="宋体"/>
          <w:b w:val="0"/>
          <w:bCs w:val="0"/>
          <w:sz w:val="21"/>
          <w:szCs w:val="21"/>
          <w:highlight w:val="none"/>
          <w:lang w:val="en-US" w:eastAsia="zh-CN"/>
        </w:rPr>
        <w:t>交钥匙方式；</w:t>
      </w:r>
    </w:p>
    <w:p w14:paraId="43B2BED5">
      <w:pPr>
        <w:pStyle w:val="72"/>
        <w:numPr>
          <w:ilvl w:val="0"/>
          <w:numId w:val="28"/>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bCs/>
          <w:sz w:val="21"/>
          <w:szCs w:val="21"/>
          <w:highlight w:val="none"/>
          <w:lang w:eastAsia="zh-CN"/>
        </w:rPr>
        <w:t>：</w:t>
      </w: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kern w:val="2"/>
          <w:sz w:val="21"/>
          <w:szCs w:val="21"/>
          <w:highlight w:val="none"/>
          <w:lang w:val="en-US" w:eastAsia="zh-CN" w:bidi="ar-SA"/>
        </w:rPr>
        <w:t>5</w:t>
      </w:r>
      <w:r>
        <w:rPr>
          <w:rFonts w:hint="default" w:ascii="宋体" w:hAnsi="宋体" w:eastAsia="宋体" w:cs="宋体"/>
          <w:b/>
          <w:bCs/>
          <w:kern w:val="2"/>
          <w:sz w:val="21"/>
          <w:szCs w:val="21"/>
          <w:highlight w:val="none"/>
          <w:lang w:val="en-US" w:eastAsia="zh-CN" w:bidi="ar-SA"/>
        </w:rPr>
        <w:t>.</w:t>
      </w:r>
      <w:r>
        <w:rPr>
          <w:rFonts w:hint="eastAsia" w:ascii="宋体" w:hAnsi="宋体" w:eastAsia="宋体" w:cs="宋体"/>
          <w:b/>
          <w:bCs/>
          <w:sz w:val="21"/>
          <w:szCs w:val="21"/>
          <w:highlight w:val="none"/>
          <w:lang w:val="en-US" w:eastAsia="zh-CN"/>
        </w:rPr>
        <w:t>付款节点：</w:t>
      </w:r>
    </w:p>
    <w:p w14:paraId="2E70A5B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A.设备全部到货后，无质量问题最终验收合格后，中标人提交金额为合同含税价款100%的增值税专用发票（含复印件二份），经招标人依照财务制度审核通过后支付90%；</w:t>
      </w:r>
    </w:p>
    <w:p w14:paraId="130D177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支付。如有质量问题，质量保证金予以相应扣除。</w:t>
      </w:r>
    </w:p>
    <w:p w14:paraId="11A96CBD">
      <w:pPr>
        <w:pStyle w:val="72"/>
        <w:rPr>
          <w:rFonts w:hint="eastAsia"/>
          <w:lang w:val="en-US" w:eastAsia="zh-CN"/>
        </w:rPr>
      </w:pPr>
      <w:r>
        <w:rPr>
          <w:rFonts w:hint="eastAsia"/>
          <w:lang w:val="en-US" w:eastAsia="zh-CN"/>
        </w:rPr>
        <w:t>质保期</w:t>
      </w:r>
    </w:p>
    <w:p w14:paraId="4E01C3B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质保期：</w:t>
      </w:r>
      <w:r>
        <w:rPr>
          <w:rFonts w:hint="eastAsia" w:ascii="宋体" w:hAnsi="宋体" w:eastAsia="宋体" w:cs="宋体"/>
          <w:b w:val="0"/>
          <w:bCs w:val="0"/>
          <w:sz w:val="21"/>
          <w:szCs w:val="21"/>
          <w:lang w:val="en-US" w:eastAsia="zh-CN"/>
        </w:rPr>
        <w:t>自设备验收文件最终签署之日起2年。（投标人可在满足上述最短质保期基础上竞报）</w:t>
      </w:r>
    </w:p>
    <w:p w14:paraId="6E0D7439">
      <w:pPr>
        <w:pStyle w:val="72"/>
        <w:rPr>
          <w:rFonts w:hint="eastAsia"/>
          <w:lang w:val="en-US" w:eastAsia="zh-CN"/>
        </w:rPr>
      </w:pPr>
      <w:r>
        <w:rPr>
          <w:rFonts w:hint="eastAsia"/>
          <w:lang w:val="en-US" w:eastAsia="zh-CN"/>
        </w:rPr>
        <w:t>本次招标最终解释权归中国重汽集团济南商用车有限公司。</w:t>
      </w:r>
    </w:p>
    <w:p w14:paraId="66BCACD8">
      <w:pPr>
        <w:pStyle w:val="76"/>
      </w:pPr>
    </w:p>
    <w:p w14:paraId="07A4B493">
      <w:pPr>
        <w:pStyle w:val="71"/>
        <w:jc w:val="both"/>
        <w:rPr>
          <w:rFonts w:hint="eastAsia"/>
        </w:rPr>
      </w:pPr>
      <w:bookmarkStart w:id="21" w:name="_Toc47976607"/>
    </w:p>
    <w:p w14:paraId="243FF35F">
      <w:pPr>
        <w:pStyle w:val="71"/>
        <w:jc w:val="both"/>
        <w:rPr>
          <w:rFonts w:hint="eastAsia"/>
        </w:rPr>
        <w:sectPr>
          <w:pgSz w:w="11906" w:h="16838"/>
          <w:pgMar w:top="1701" w:right="1418" w:bottom="1134" w:left="1418" w:header="851" w:footer="992" w:gutter="0"/>
          <w:pgNumType w:fmt="numberInDash"/>
          <w:cols w:space="720" w:num="1"/>
          <w:titlePg/>
          <w:docGrid w:type="lines" w:linePitch="312" w:charSpace="0"/>
        </w:sectPr>
      </w:pPr>
    </w:p>
    <w:p w14:paraId="1FB6CA61">
      <w:pPr>
        <w:pStyle w:val="71"/>
        <w:jc w:val="center"/>
        <w:rPr>
          <w:rFonts w:hint="default" w:eastAsia="黑体"/>
          <w:lang w:val="en-US" w:eastAsia="zh-CN"/>
        </w:rPr>
      </w:pPr>
      <w:bookmarkStart w:id="22" w:name="_Toc30838"/>
      <w:r>
        <w:rPr>
          <w:rFonts w:hint="eastAsia"/>
        </w:rPr>
        <w:t>第二部分　</w:t>
      </w:r>
      <w:bookmarkEnd w:id="21"/>
      <w:r>
        <w:rPr>
          <w:rFonts w:hint="eastAsia"/>
          <w:lang w:val="en-US" w:eastAsia="zh-CN"/>
        </w:rPr>
        <w:t>技术标书</w:t>
      </w:r>
      <w:bookmarkEnd w:id="22"/>
    </w:p>
    <w:p w14:paraId="02A3DA60">
      <w:pPr>
        <w:pStyle w:val="2"/>
        <w:tabs>
          <w:tab w:val="left" w:pos="2400"/>
        </w:tabs>
        <w:spacing w:line="360" w:lineRule="auto"/>
        <w:jc w:val="both"/>
        <w:rPr>
          <w:rFonts w:hint="eastAsia" w:ascii="宋体" w:hAnsi="宋体" w:cs="Times New Roman"/>
          <w:sz w:val="24"/>
          <w:highlight w:val="none"/>
        </w:rPr>
      </w:pPr>
      <w:bookmarkStart w:id="23" w:name="_Toc4073"/>
      <w:bookmarkStart w:id="24" w:name="_Toc44953430"/>
      <w:bookmarkStart w:id="25" w:name="_Toc159998018"/>
      <w:bookmarkStart w:id="26" w:name="_Toc22184"/>
      <w:r>
        <w:rPr>
          <w:rFonts w:hint="eastAsia" w:ascii="宋体" w:hAnsi="宋体" w:cs="Times New Roman"/>
          <w:sz w:val="24"/>
          <w:highlight w:val="none"/>
        </w:rPr>
        <w:t>一、货物需求概况</w:t>
      </w:r>
      <w:bookmarkEnd w:id="23"/>
      <w:bookmarkEnd w:id="24"/>
      <w:bookmarkEnd w:id="25"/>
      <w:bookmarkEnd w:id="26"/>
    </w:p>
    <w:p w14:paraId="1C168D62">
      <w:pPr>
        <w:spacing w:line="360" w:lineRule="auto"/>
        <w:rPr>
          <w:rFonts w:ascii="宋体" w:hAnsi="宋体"/>
          <w:b/>
          <w:bCs/>
          <w:sz w:val="24"/>
          <w:szCs w:val="24"/>
          <w:highlight w:val="none"/>
        </w:rPr>
      </w:pPr>
      <w:bookmarkStart w:id="27" w:name="_Toc159998020"/>
      <w:r>
        <w:rPr>
          <w:rFonts w:hint="eastAsia" w:ascii="宋体" w:hAnsi="宋体"/>
          <w:b/>
          <w:bCs/>
          <w:sz w:val="24"/>
          <w:szCs w:val="24"/>
          <w:highlight w:val="none"/>
        </w:rPr>
        <w:t>1.项目概况</w:t>
      </w:r>
    </w:p>
    <w:p w14:paraId="0A9609A9">
      <w:pPr>
        <w:spacing w:line="360" w:lineRule="auto"/>
        <w:rPr>
          <w:rFonts w:ascii="宋体" w:hAnsi="宋体"/>
          <w:sz w:val="24"/>
          <w:szCs w:val="24"/>
          <w:highlight w:val="none"/>
        </w:rPr>
      </w:pPr>
      <w:r>
        <w:rPr>
          <w:rFonts w:hint="eastAsia" w:ascii="宋体" w:hAnsi="宋体"/>
          <w:sz w:val="24"/>
          <w:szCs w:val="24"/>
          <w:highlight w:val="none"/>
        </w:rPr>
        <w:t>1.1项目名称：</w:t>
      </w:r>
      <w:r>
        <w:rPr>
          <w:rFonts w:hint="eastAsia" w:ascii="宋体" w:hAnsi="宋体"/>
          <w:sz w:val="24"/>
          <w:szCs w:val="24"/>
          <w:highlight w:val="none"/>
          <w:lang w:eastAsia="zh-CN"/>
        </w:rPr>
        <w:t>中置电池助力机械手改造</w:t>
      </w:r>
      <w:r>
        <w:rPr>
          <w:rFonts w:hint="eastAsia" w:ascii="宋体" w:hAnsi="宋体"/>
          <w:sz w:val="24"/>
          <w:szCs w:val="24"/>
          <w:highlight w:val="none"/>
        </w:rPr>
        <w:t>项目</w:t>
      </w:r>
    </w:p>
    <w:p w14:paraId="32070266">
      <w:pPr>
        <w:spacing w:line="360" w:lineRule="auto"/>
        <w:rPr>
          <w:rFonts w:hint="eastAsia" w:ascii="宋体" w:hAnsi="宋体" w:eastAsia="宋体"/>
          <w:sz w:val="24"/>
          <w:szCs w:val="24"/>
          <w:highlight w:val="none"/>
          <w:lang w:val="en-US" w:eastAsia="zh-CN"/>
        </w:rPr>
      </w:pPr>
      <w:r>
        <w:rPr>
          <w:rFonts w:hint="eastAsia" w:ascii="宋体" w:hAnsi="宋体"/>
          <w:sz w:val="24"/>
          <w:szCs w:val="24"/>
          <w:highlight w:val="none"/>
        </w:rPr>
        <w:t>1.2建设地点：济南轻卡制造公司</w:t>
      </w:r>
      <w:r>
        <w:rPr>
          <w:rFonts w:hint="eastAsia" w:ascii="宋体" w:hAnsi="宋体"/>
          <w:sz w:val="24"/>
          <w:szCs w:val="24"/>
          <w:highlight w:val="none"/>
          <w:lang w:val="en-US" w:eastAsia="zh-CN"/>
        </w:rPr>
        <w:t>总装车间</w:t>
      </w:r>
    </w:p>
    <w:p w14:paraId="3EB0B738">
      <w:pPr>
        <w:spacing w:line="360" w:lineRule="auto"/>
        <w:rPr>
          <w:rFonts w:hint="eastAsia" w:ascii="宋体" w:hAnsi="宋体"/>
          <w:sz w:val="24"/>
          <w:szCs w:val="24"/>
          <w:highlight w:val="none"/>
          <w:lang w:eastAsia="zh-CN"/>
        </w:rPr>
      </w:pPr>
      <w:r>
        <w:rPr>
          <w:rFonts w:hint="eastAsia" w:ascii="宋体" w:hAnsi="宋体"/>
          <w:sz w:val="24"/>
          <w:szCs w:val="24"/>
          <w:highlight w:val="none"/>
        </w:rPr>
        <w:t>1.3使用地点：济南轻卡制造公司</w:t>
      </w:r>
      <w:r>
        <w:rPr>
          <w:rFonts w:hint="eastAsia" w:ascii="宋体" w:hAnsi="宋体"/>
          <w:sz w:val="24"/>
          <w:szCs w:val="24"/>
          <w:highlight w:val="none"/>
          <w:lang w:eastAsia="zh-CN"/>
        </w:rPr>
        <w:t>总装车间一线</w:t>
      </w:r>
    </w:p>
    <w:p w14:paraId="4C815C13">
      <w:pPr>
        <w:spacing w:line="360" w:lineRule="auto"/>
        <w:rPr>
          <w:rFonts w:ascii="宋体" w:hAnsi="宋体"/>
          <w:sz w:val="24"/>
          <w:szCs w:val="24"/>
          <w:highlight w:val="none"/>
        </w:rPr>
      </w:pPr>
      <w:r>
        <w:rPr>
          <w:rFonts w:hint="eastAsia" w:ascii="宋体" w:hAnsi="宋体"/>
          <w:sz w:val="24"/>
          <w:szCs w:val="24"/>
          <w:highlight w:val="none"/>
        </w:rPr>
        <w:t>1.4生产节拍： 3min</w:t>
      </w:r>
      <w:r>
        <w:rPr>
          <w:rFonts w:ascii="宋体" w:hAnsi="宋体"/>
          <w:sz w:val="24"/>
          <w:szCs w:val="24"/>
          <w:highlight w:val="none"/>
        </w:rPr>
        <w:t>/</w:t>
      </w:r>
      <w:r>
        <w:rPr>
          <w:rFonts w:hint="eastAsia" w:ascii="宋体" w:hAnsi="宋体"/>
          <w:sz w:val="24"/>
          <w:szCs w:val="24"/>
          <w:highlight w:val="none"/>
        </w:rPr>
        <w:t>辆份；</w:t>
      </w:r>
    </w:p>
    <w:p w14:paraId="72B7D524">
      <w:pPr>
        <w:spacing w:line="480" w:lineRule="exact"/>
        <w:rPr>
          <w:rFonts w:hint="eastAsia" w:ascii="宋体" w:hAnsi="宋体"/>
          <w:sz w:val="24"/>
          <w:szCs w:val="24"/>
          <w:highlight w:val="none"/>
        </w:rPr>
      </w:pPr>
      <w:r>
        <w:rPr>
          <w:rFonts w:hint="eastAsia" w:ascii="宋体" w:hAnsi="宋体"/>
          <w:sz w:val="24"/>
          <w:szCs w:val="24"/>
          <w:highlight w:val="none"/>
        </w:rPr>
        <w:t>1.5工作制度：全年工作300天、2两班23小时/工作日，设备年时基数6900小时，动力电池合装节拍30JPH。</w:t>
      </w:r>
    </w:p>
    <w:p w14:paraId="17367108">
      <w:pPr>
        <w:spacing w:line="360" w:lineRule="auto"/>
        <w:rPr>
          <w:rFonts w:ascii="宋体" w:hAnsi="宋体"/>
          <w:b/>
          <w:bCs/>
          <w:sz w:val="24"/>
          <w:szCs w:val="24"/>
          <w:highlight w:val="none"/>
        </w:rPr>
      </w:pPr>
      <w:r>
        <w:rPr>
          <w:rFonts w:hint="eastAsia" w:ascii="宋体" w:hAnsi="宋体"/>
          <w:b/>
          <w:bCs/>
          <w:sz w:val="24"/>
          <w:szCs w:val="24"/>
          <w:highlight w:val="none"/>
        </w:rPr>
        <w:t>2．货物需求一览表</w:t>
      </w:r>
    </w:p>
    <w:tbl>
      <w:tblPr>
        <w:tblStyle w:val="30"/>
        <w:tblW w:w="8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391"/>
        <w:gridCol w:w="816"/>
        <w:gridCol w:w="816"/>
        <w:gridCol w:w="816"/>
        <w:gridCol w:w="2181"/>
        <w:gridCol w:w="1134"/>
      </w:tblGrid>
      <w:tr w14:paraId="243A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14:paraId="5469AA76">
            <w:pPr>
              <w:jc w:val="center"/>
              <w:rPr>
                <w:rFonts w:ascii="宋体" w:hAnsi="宋体"/>
                <w:highlight w:val="none"/>
              </w:rPr>
            </w:pPr>
            <w:r>
              <w:rPr>
                <w:rFonts w:hint="eastAsia" w:ascii="宋体" w:hAnsi="宋体"/>
                <w:highlight w:val="none"/>
              </w:rPr>
              <w:t>序号</w:t>
            </w:r>
          </w:p>
        </w:tc>
        <w:tc>
          <w:tcPr>
            <w:tcW w:w="2391" w:type="dxa"/>
            <w:vAlign w:val="center"/>
          </w:tcPr>
          <w:p w14:paraId="75C0BEE4">
            <w:pPr>
              <w:jc w:val="center"/>
              <w:rPr>
                <w:rFonts w:ascii="宋体" w:hAnsi="宋体"/>
                <w:highlight w:val="none"/>
              </w:rPr>
            </w:pPr>
            <w:r>
              <w:rPr>
                <w:rFonts w:hint="eastAsia" w:ascii="宋体" w:hAnsi="宋体"/>
                <w:highlight w:val="none"/>
              </w:rPr>
              <w:t>名称</w:t>
            </w:r>
          </w:p>
        </w:tc>
        <w:tc>
          <w:tcPr>
            <w:tcW w:w="816" w:type="dxa"/>
            <w:vAlign w:val="center"/>
          </w:tcPr>
          <w:p w14:paraId="7722E7D6">
            <w:pPr>
              <w:jc w:val="center"/>
              <w:rPr>
                <w:rFonts w:ascii="宋体" w:hAnsi="宋体"/>
                <w:highlight w:val="none"/>
              </w:rPr>
            </w:pPr>
            <w:r>
              <w:rPr>
                <w:rFonts w:hint="eastAsia" w:ascii="宋体" w:hAnsi="宋体"/>
                <w:highlight w:val="none"/>
              </w:rPr>
              <w:t>规格</w:t>
            </w:r>
          </w:p>
        </w:tc>
        <w:tc>
          <w:tcPr>
            <w:tcW w:w="816" w:type="dxa"/>
            <w:vAlign w:val="center"/>
          </w:tcPr>
          <w:p w14:paraId="46E31336">
            <w:pPr>
              <w:jc w:val="center"/>
              <w:rPr>
                <w:rFonts w:ascii="宋体" w:hAnsi="宋体"/>
                <w:highlight w:val="none"/>
              </w:rPr>
            </w:pPr>
            <w:r>
              <w:rPr>
                <w:rFonts w:hint="eastAsia" w:ascii="宋体" w:hAnsi="宋体"/>
                <w:highlight w:val="none"/>
              </w:rPr>
              <w:t>单位</w:t>
            </w:r>
          </w:p>
        </w:tc>
        <w:tc>
          <w:tcPr>
            <w:tcW w:w="816" w:type="dxa"/>
            <w:vAlign w:val="center"/>
          </w:tcPr>
          <w:p w14:paraId="1E59F9F1">
            <w:pPr>
              <w:jc w:val="center"/>
              <w:rPr>
                <w:rFonts w:ascii="宋体" w:hAnsi="宋体"/>
                <w:highlight w:val="none"/>
              </w:rPr>
            </w:pPr>
            <w:r>
              <w:rPr>
                <w:rFonts w:hint="eastAsia" w:ascii="宋体" w:hAnsi="宋体"/>
                <w:highlight w:val="none"/>
              </w:rPr>
              <w:t>数量</w:t>
            </w:r>
          </w:p>
        </w:tc>
        <w:tc>
          <w:tcPr>
            <w:tcW w:w="2181" w:type="dxa"/>
            <w:vAlign w:val="center"/>
          </w:tcPr>
          <w:p w14:paraId="62F0C1EB">
            <w:pPr>
              <w:jc w:val="center"/>
              <w:rPr>
                <w:rFonts w:ascii="宋体" w:hAnsi="宋体"/>
                <w:highlight w:val="none"/>
              </w:rPr>
            </w:pPr>
            <w:r>
              <w:rPr>
                <w:rFonts w:hint="eastAsia" w:ascii="宋体" w:hAnsi="宋体"/>
                <w:highlight w:val="none"/>
              </w:rPr>
              <w:t>安装地点/服务对象</w:t>
            </w:r>
          </w:p>
        </w:tc>
        <w:tc>
          <w:tcPr>
            <w:tcW w:w="1134" w:type="dxa"/>
            <w:vAlign w:val="center"/>
          </w:tcPr>
          <w:p w14:paraId="76F3B481">
            <w:pPr>
              <w:jc w:val="center"/>
              <w:rPr>
                <w:rFonts w:ascii="宋体" w:hAnsi="宋体"/>
                <w:highlight w:val="none"/>
              </w:rPr>
            </w:pPr>
            <w:r>
              <w:rPr>
                <w:rFonts w:hint="eastAsia" w:ascii="宋体" w:hAnsi="宋体"/>
                <w:highlight w:val="none"/>
              </w:rPr>
              <w:t>备注</w:t>
            </w:r>
          </w:p>
        </w:tc>
      </w:tr>
      <w:tr w14:paraId="2F3D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14:paraId="0EF2F6FC">
            <w:pPr>
              <w:jc w:val="center"/>
              <w:rPr>
                <w:rFonts w:ascii="宋体" w:hAnsi="宋体"/>
                <w:highlight w:val="none"/>
              </w:rPr>
            </w:pPr>
            <w:r>
              <w:rPr>
                <w:rFonts w:hint="eastAsia" w:ascii="宋体" w:hAnsi="宋体"/>
                <w:highlight w:val="none"/>
              </w:rPr>
              <w:t>1</w:t>
            </w:r>
          </w:p>
        </w:tc>
        <w:tc>
          <w:tcPr>
            <w:tcW w:w="2391" w:type="dxa"/>
            <w:vAlign w:val="center"/>
          </w:tcPr>
          <w:p w14:paraId="5895BB26">
            <w:pPr>
              <w:jc w:val="center"/>
              <w:rPr>
                <w:rFonts w:hint="eastAsia" w:ascii="宋体" w:hAnsi="宋体" w:eastAsia="宋体"/>
                <w:highlight w:val="none"/>
                <w:lang w:eastAsia="zh-CN"/>
              </w:rPr>
            </w:pPr>
            <w:r>
              <w:rPr>
                <w:rFonts w:hint="eastAsia" w:ascii="宋体" w:hAnsi="宋体"/>
                <w:highlight w:val="none"/>
                <w:lang w:eastAsia="zh-CN"/>
              </w:rPr>
              <w:t>中置助力机械手改造</w:t>
            </w:r>
          </w:p>
        </w:tc>
        <w:tc>
          <w:tcPr>
            <w:tcW w:w="816" w:type="dxa"/>
            <w:vAlign w:val="center"/>
          </w:tcPr>
          <w:p w14:paraId="111BBE52">
            <w:pPr>
              <w:jc w:val="center"/>
              <w:rPr>
                <w:rFonts w:ascii="宋体" w:hAnsi="宋体"/>
                <w:highlight w:val="none"/>
              </w:rPr>
            </w:pPr>
            <w:r>
              <w:rPr>
                <w:rFonts w:hint="eastAsia" w:ascii="宋体" w:hAnsi="宋体"/>
                <w:highlight w:val="none"/>
              </w:rPr>
              <w:t>非标</w:t>
            </w:r>
          </w:p>
        </w:tc>
        <w:tc>
          <w:tcPr>
            <w:tcW w:w="816" w:type="dxa"/>
            <w:vAlign w:val="center"/>
          </w:tcPr>
          <w:p w14:paraId="2B133736">
            <w:pPr>
              <w:jc w:val="center"/>
              <w:rPr>
                <w:highlight w:val="none"/>
              </w:rPr>
            </w:pPr>
            <w:r>
              <w:rPr>
                <w:rFonts w:hint="eastAsia" w:ascii="宋体" w:hAnsi="宋体"/>
                <w:highlight w:val="none"/>
              </w:rPr>
              <w:t>台</w:t>
            </w:r>
          </w:p>
        </w:tc>
        <w:tc>
          <w:tcPr>
            <w:tcW w:w="816" w:type="dxa"/>
            <w:vAlign w:val="center"/>
          </w:tcPr>
          <w:p w14:paraId="146BBE68">
            <w:pPr>
              <w:jc w:val="center"/>
              <w:rPr>
                <w:rFonts w:ascii="宋体" w:hAnsi="宋体"/>
                <w:highlight w:val="none"/>
              </w:rPr>
            </w:pPr>
            <w:r>
              <w:rPr>
                <w:rFonts w:hint="eastAsia" w:ascii="宋体" w:hAnsi="宋体"/>
                <w:highlight w:val="none"/>
              </w:rPr>
              <w:t>1</w:t>
            </w:r>
          </w:p>
        </w:tc>
        <w:tc>
          <w:tcPr>
            <w:tcW w:w="2181" w:type="dxa"/>
            <w:vAlign w:val="center"/>
          </w:tcPr>
          <w:p w14:paraId="1A4200FA">
            <w:pPr>
              <w:jc w:val="center"/>
              <w:rPr>
                <w:rFonts w:ascii="宋体" w:hAnsi="宋体"/>
                <w:highlight w:val="none"/>
              </w:rPr>
            </w:pPr>
            <w:r>
              <w:rPr>
                <w:rFonts w:hint="eastAsia" w:ascii="宋体" w:hAnsi="宋体"/>
                <w:highlight w:val="none"/>
              </w:rPr>
              <w:t>章丘/济南轻卡制造公司</w:t>
            </w:r>
          </w:p>
        </w:tc>
        <w:tc>
          <w:tcPr>
            <w:tcW w:w="1134" w:type="dxa"/>
            <w:vAlign w:val="center"/>
          </w:tcPr>
          <w:p w14:paraId="5413B499">
            <w:pPr>
              <w:rPr>
                <w:rFonts w:ascii="宋体" w:hAnsi="宋体"/>
                <w:highlight w:val="none"/>
              </w:rPr>
            </w:pPr>
            <w:r>
              <w:rPr>
                <w:rFonts w:hint="eastAsia" w:ascii="宋体" w:hAnsi="宋体"/>
                <w:highlight w:val="none"/>
              </w:rPr>
              <w:t>交钥匙工程</w:t>
            </w:r>
          </w:p>
        </w:tc>
      </w:tr>
      <w:tr w14:paraId="601D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8796" w:type="dxa"/>
            <w:gridSpan w:val="7"/>
            <w:vAlign w:val="center"/>
          </w:tcPr>
          <w:p w14:paraId="0DB2F380">
            <w:pPr>
              <w:rPr>
                <w:rFonts w:hint="default" w:ascii="宋体" w:hAnsi="宋体" w:eastAsia="宋体"/>
                <w:highlight w:val="none"/>
                <w:lang w:val="en-US" w:eastAsia="zh-CN"/>
              </w:rPr>
            </w:pPr>
            <w:r>
              <w:rPr>
                <w:rFonts w:hint="eastAsia" w:ascii="宋体" w:hAnsi="宋体"/>
                <w:b/>
                <w:bCs/>
                <w:sz w:val="24"/>
                <w:szCs w:val="22"/>
                <w:highlight w:val="red"/>
                <w:lang w:val="en-US" w:eastAsia="zh-CN"/>
              </w:rPr>
              <w:t>备注：由于原中置电池助力机械手项目目前尚未进行终验收，如果本次改造项目出现问题，需由中标单位及原项目中标单位上海永乾机电有限公司双方共同承担。</w:t>
            </w:r>
          </w:p>
        </w:tc>
      </w:tr>
    </w:tbl>
    <w:p w14:paraId="6E178C17">
      <w:pPr>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备注：</w:t>
      </w:r>
    </w:p>
    <w:p w14:paraId="6B45D13A">
      <w:pPr>
        <w:spacing w:line="360" w:lineRule="auto"/>
        <w:ind w:firstLine="480" w:firstLineChars="200"/>
        <w:rPr>
          <w:rFonts w:ascii="宋体" w:hAnsi="宋体"/>
          <w:sz w:val="24"/>
          <w:szCs w:val="24"/>
          <w:highlight w:val="none"/>
        </w:rPr>
      </w:pPr>
      <w:bookmarkStart w:id="28" w:name="_Toc44953431"/>
      <w:r>
        <w:rPr>
          <w:rFonts w:hint="eastAsia" w:ascii="宋体" w:hAnsi="宋体"/>
          <w:sz w:val="24"/>
          <w:szCs w:val="24"/>
          <w:highlight w:val="none"/>
        </w:rPr>
        <w:t>1、本表所列采购设备仅为总装部</w:t>
      </w:r>
      <w:r>
        <w:rPr>
          <w:rFonts w:hint="eastAsia" w:ascii="宋体" w:hAnsi="宋体"/>
          <w:sz w:val="24"/>
          <w:szCs w:val="24"/>
          <w:highlight w:val="none"/>
          <w:lang w:eastAsia="zh-CN"/>
        </w:rPr>
        <w:t>中置助力机械手改造</w:t>
      </w:r>
      <w:r>
        <w:rPr>
          <w:rFonts w:hint="eastAsia" w:ascii="宋体" w:hAnsi="宋体"/>
          <w:sz w:val="24"/>
          <w:szCs w:val="24"/>
          <w:highlight w:val="none"/>
        </w:rPr>
        <w:t>及相关配套设施购置的基本需求，应配套供货以及招标方所列其它货物（或设备）和服务，请投标方认真阅读“供货范围”。若有异议，不管是多么微小，都应在投标文件“商务偏离”章节中予以详细说明。</w:t>
      </w:r>
    </w:p>
    <w:p w14:paraId="6B2F4E84">
      <w:pPr>
        <w:spacing w:line="360" w:lineRule="auto"/>
        <w:ind w:firstLine="480" w:firstLineChars="200"/>
        <w:rPr>
          <w:rFonts w:ascii="宋体" w:hAnsi="宋体"/>
          <w:sz w:val="24"/>
          <w:szCs w:val="24"/>
          <w:highlight w:val="none"/>
        </w:rPr>
      </w:pPr>
      <w:r>
        <w:rPr>
          <w:rFonts w:hint="eastAsia" w:ascii="宋体" w:hAnsi="宋体"/>
          <w:sz w:val="24"/>
          <w:szCs w:val="24"/>
          <w:highlight w:val="none"/>
        </w:rPr>
        <w:t>2、本表“供货方式”指：交钥匙方式——投标方负责设备的设计、制造、运输、卸载、安装、调试、试运行、验收以及培训等直至达到招标方的各项要求并交付使用。</w:t>
      </w:r>
    </w:p>
    <w:p w14:paraId="7D22F0AC">
      <w:pPr>
        <w:spacing w:line="360" w:lineRule="auto"/>
        <w:rPr>
          <w:rFonts w:ascii="宋体" w:hAnsi="宋体"/>
          <w:sz w:val="24"/>
          <w:szCs w:val="24"/>
          <w:highlight w:val="none"/>
        </w:rPr>
      </w:pPr>
      <w:r>
        <w:rPr>
          <w:rFonts w:ascii="宋体" w:hAnsi="宋体"/>
          <w:sz w:val="24"/>
          <w:szCs w:val="24"/>
          <w:highlight w:val="none"/>
        </w:rPr>
        <w:t>2.2</w:t>
      </w:r>
      <w:r>
        <w:rPr>
          <w:rFonts w:hint="eastAsia" w:ascii="宋体" w:hAnsi="宋体"/>
          <w:sz w:val="24"/>
          <w:szCs w:val="24"/>
          <w:highlight w:val="none"/>
        </w:rPr>
        <w:t>交货地点：济南轻卡制造公司</w:t>
      </w:r>
    </w:p>
    <w:p w14:paraId="5216300B">
      <w:pPr>
        <w:spacing w:line="360" w:lineRule="auto"/>
        <w:rPr>
          <w:rFonts w:ascii="宋体" w:hAnsi="宋体"/>
          <w:sz w:val="24"/>
          <w:szCs w:val="24"/>
          <w:highlight w:val="none"/>
        </w:rPr>
      </w:pPr>
      <w:r>
        <w:rPr>
          <w:rFonts w:hint="eastAsia" w:ascii="宋体" w:hAnsi="宋体"/>
          <w:sz w:val="24"/>
          <w:szCs w:val="24"/>
          <w:highlight w:val="none"/>
        </w:rPr>
        <w:t>2.3交货期：中标通知书发布后</w:t>
      </w:r>
      <w:r>
        <w:rPr>
          <w:rFonts w:ascii="宋体" w:hAnsi="宋体"/>
          <w:sz w:val="24"/>
          <w:szCs w:val="24"/>
          <w:highlight w:val="none"/>
        </w:rPr>
        <w:t>3</w:t>
      </w:r>
      <w:r>
        <w:rPr>
          <w:rFonts w:hint="eastAsia" w:ascii="宋体" w:hAnsi="宋体"/>
          <w:sz w:val="24"/>
          <w:szCs w:val="24"/>
          <w:highlight w:val="none"/>
        </w:rPr>
        <w:t>个月</w:t>
      </w:r>
      <w:r>
        <w:rPr>
          <w:rFonts w:ascii="宋体" w:hAnsi="宋体"/>
          <w:sz w:val="24"/>
          <w:szCs w:val="24"/>
          <w:highlight w:val="none"/>
        </w:rPr>
        <w:t>(</w:t>
      </w:r>
      <w:r>
        <w:rPr>
          <w:rFonts w:hint="eastAsia" w:ascii="宋体" w:hAnsi="宋体"/>
          <w:sz w:val="24"/>
          <w:szCs w:val="24"/>
          <w:highlight w:val="none"/>
        </w:rPr>
        <w:t>包含设计、制造、运输、安装、调试、试运行、培训等，直至交付使用</w:t>
      </w:r>
      <w:r>
        <w:rPr>
          <w:rFonts w:ascii="宋体" w:hAnsi="宋体"/>
          <w:sz w:val="24"/>
          <w:szCs w:val="24"/>
          <w:highlight w:val="none"/>
        </w:rPr>
        <w:t>)</w:t>
      </w:r>
    </w:p>
    <w:p w14:paraId="4B216C89">
      <w:pPr>
        <w:pStyle w:val="2"/>
        <w:tabs>
          <w:tab w:val="left" w:pos="2400"/>
        </w:tabs>
        <w:spacing w:line="360" w:lineRule="auto"/>
        <w:jc w:val="both"/>
        <w:rPr>
          <w:rFonts w:hint="eastAsia" w:ascii="宋体" w:hAnsi="宋体" w:cs="Times New Roman"/>
          <w:sz w:val="24"/>
          <w:highlight w:val="none"/>
        </w:rPr>
      </w:pPr>
      <w:bookmarkStart w:id="29" w:name="_Toc31114"/>
      <w:bookmarkStart w:id="30" w:name="_Toc27677"/>
      <w:r>
        <w:rPr>
          <w:rFonts w:hint="eastAsia" w:ascii="宋体" w:hAnsi="宋体" w:cs="Times New Roman"/>
          <w:sz w:val="24"/>
          <w:highlight w:val="none"/>
        </w:rPr>
        <w:t>二、通用要求</w:t>
      </w:r>
      <w:bookmarkEnd w:id="28"/>
      <w:bookmarkEnd w:id="29"/>
      <w:bookmarkEnd w:id="30"/>
    </w:p>
    <w:p w14:paraId="10798974">
      <w:pPr>
        <w:spacing w:line="360" w:lineRule="auto"/>
        <w:rPr>
          <w:rFonts w:ascii="宋体" w:hAnsi="宋体"/>
          <w:b/>
          <w:bCs/>
          <w:sz w:val="24"/>
          <w:szCs w:val="24"/>
          <w:highlight w:val="none"/>
        </w:rPr>
      </w:pPr>
      <w:r>
        <w:rPr>
          <w:rFonts w:ascii="宋体" w:hAnsi="宋体"/>
          <w:b/>
          <w:bCs/>
          <w:sz w:val="24"/>
          <w:szCs w:val="24"/>
          <w:highlight w:val="none"/>
        </w:rPr>
        <w:t>1.</w:t>
      </w:r>
      <w:bookmarkStart w:id="31" w:name="_Hlk33102507"/>
      <w:r>
        <w:rPr>
          <w:rFonts w:hint="eastAsia" w:ascii="宋体" w:hAnsi="宋体"/>
          <w:b/>
          <w:bCs/>
          <w:sz w:val="24"/>
          <w:szCs w:val="24"/>
          <w:highlight w:val="none"/>
        </w:rPr>
        <w:t>使用环境与能源供给</w:t>
      </w:r>
      <w:bookmarkEnd w:id="31"/>
      <w:r>
        <w:rPr>
          <w:rFonts w:hint="eastAsia" w:ascii="宋体" w:hAnsi="宋体"/>
          <w:b/>
          <w:bCs/>
          <w:sz w:val="24"/>
          <w:szCs w:val="24"/>
          <w:highlight w:val="none"/>
        </w:rPr>
        <w:t>（适用于济南轻卡制造公司）</w:t>
      </w:r>
    </w:p>
    <w:p w14:paraId="4CEE3670">
      <w:pPr>
        <w:spacing w:line="360" w:lineRule="auto"/>
        <w:rPr>
          <w:rFonts w:hint="eastAsia" w:ascii="宋体" w:hAnsi="宋体"/>
          <w:sz w:val="24"/>
          <w:szCs w:val="24"/>
          <w:highlight w:val="none"/>
        </w:rPr>
      </w:pPr>
      <w:r>
        <w:rPr>
          <w:rFonts w:hint="eastAsia" w:ascii="宋体" w:hAnsi="宋体"/>
          <w:sz w:val="24"/>
          <w:szCs w:val="24"/>
          <w:highlight w:val="none"/>
        </w:rPr>
        <w:t>1、海拨高度：1000m以下</w:t>
      </w:r>
    </w:p>
    <w:p w14:paraId="647DAAAA">
      <w:pPr>
        <w:spacing w:line="360" w:lineRule="auto"/>
        <w:rPr>
          <w:rFonts w:hint="eastAsia" w:ascii="宋体" w:hAnsi="宋体"/>
          <w:sz w:val="24"/>
          <w:szCs w:val="24"/>
          <w:highlight w:val="none"/>
          <w:lang w:eastAsia="zh-CN"/>
        </w:rPr>
      </w:pPr>
      <w:r>
        <w:rPr>
          <w:rFonts w:hint="eastAsia" w:ascii="宋体" w:hAnsi="宋体"/>
          <w:sz w:val="24"/>
          <w:szCs w:val="24"/>
          <w:highlight w:val="none"/>
        </w:rPr>
        <w:t>2、环境温度：</w:t>
      </w:r>
      <w:r>
        <w:rPr>
          <w:rFonts w:hint="eastAsia" w:ascii="宋体" w:hAnsi="宋体"/>
          <w:sz w:val="24"/>
          <w:szCs w:val="24"/>
          <w:highlight w:val="none"/>
          <w:lang w:eastAsia="zh-CN"/>
        </w:rPr>
        <w:t>室外</w:t>
      </w:r>
      <w:r>
        <w:rPr>
          <w:rFonts w:hint="eastAsia" w:ascii="宋体" w:hAnsi="宋体"/>
          <w:sz w:val="24"/>
          <w:szCs w:val="24"/>
          <w:highlight w:val="none"/>
        </w:rPr>
        <w:t>极端最低温度-</w:t>
      </w:r>
      <w:r>
        <w:rPr>
          <w:rFonts w:hint="eastAsia" w:ascii="宋体" w:hAnsi="宋体"/>
          <w:sz w:val="24"/>
          <w:szCs w:val="24"/>
          <w:highlight w:val="none"/>
          <w:lang w:val="en-US" w:eastAsia="zh-CN"/>
        </w:rPr>
        <w:t>20</w:t>
      </w:r>
      <w:r>
        <w:rPr>
          <w:rFonts w:hint="eastAsia" w:ascii="宋体" w:hAnsi="宋体"/>
          <w:sz w:val="24"/>
          <w:szCs w:val="24"/>
          <w:highlight w:val="none"/>
        </w:rPr>
        <w:t>℃，极端最高温度</w:t>
      </w:r>
      <w:r>
        <w:rPr>
          <w:rFonts w:hint="eastAsia" w:ascii="宋体" w:hAnsi="宋体"/>
          <w:sz w:val="24"/>
          <w:szCs w:val="24"/>
          <w:highlight w:val="none"/>
          <w:lang w:val="en-US" w:eastAsia="zh-CN"/>
        </w:rPr>
        <w:t>50</w:t>
      </w:r>
      <w:r>
        <w:rPr>
          <w:rFonts w:hint="eastAsia" w:ascii="宋体" w:hAnsi="宋体"/>
          <w:sz w:val="24"/>
          <w:szCs w:val="24"/>
          <w:highlight w:val="none"/>
        </w:rPr>
        <w:t>℃</w:t>
      </w:r>
      <w:r>
        <w:rPr>
          <w:rFonts w:hint="eastAsia" w:ascii="宋体" w:hAnsi="宋体"/>
          <w:sz w:val="24"/>
          <w:szCs w:val="24"/>
          <w:highlight w:val="none"/>
          <w:lang w:eastAsia="zh-CN"/>
        </w:rPr>
        <w:t>，室内</w:t>
      </w:r>
      <w:r>
        <w:rPr>
          <w:rFonts w:hint="eastAsia" w:ascii="宋体" w:hAnsi="宋体"/>
          <w:sz w:val="24"/>
          <w:szCs w:val="24"/>
          <w:highlight w:val="none"/>
        </w:rPr>
        <w:t>极端最低温度-</w:t>
      </w:r>
      <w:r>
        <w:rPr>
          <w:rFonts w:hint="eastAsia" w:ascii="宋体" w:hAnsi="宋体"/>
          <w:sz w:val="24"/>
          <w:szCs w:val="24"/>
          <w:highlight w:val="none"/>
          <w:lang w:val="en-US" w:eastAsia="zh-CN"/>
        </w:rPr>
        <w:t>20</w:t>
      </w:r>
      <w:r>
        <w:rPr>
          <w:rFonts w:hint="eastAsia" w:ascii="宋体" w:hAnsi="宋体"/>
          <w:sz w:val="24"/>
          <w:szCs w:val="24"/>
          <w:highlight w:val="none"/>
        </w:rPr>
        <w:t>℃，极端最高温度</w:t>
      </w:r>
      <w:r>
        <w:rPr>
          <w:rFonts w:hint="eastAsia" w:ascii="宋体" w:hAnsi="宋体"/>
          <w:sz w:val="24"/>
          <w:szCs w:val="24"/>
          <w:highlight w:val="none"/>
          <w:lang w:val="en-US" w:eastAsia="zh-CN"/>
        </w:rPr>
        <w:t>50</w:t>
      </w:r>
      <w:r>
        <w:rPr>
          <w:rFonts w:hint="eastAsia" w:ascii="宋体" w:hAnsi="宋体"/>
          <w:sz w:val="24"/>
          <w:szCs w:val="24"/>
          <w:highlight w:val="none"/>
        </w:rPr>
        <w:t>℃</w:t>
      </w:r>
    </w:p>
    <w:p w14:paraId="394DD48C">
      <w:pPr>
        <w:spacing w:line="360" w:lineRule="auto"/>
        <w:rPr>
          <w:rFonts w:hint="eastAsia" w:ascii="宋体" w:hAnsi="宋体"/>
          <w:sz w:val="24"/>
          <w:szCs w:val="24"/>
          <w:highlight w:val="none"/>
        </w:rPr>
      </w:pPr>
      <w:r>
        <w:rPr>
          <w:rFonts w:hint="eastAsia" w:ascii="宋体" w:hAnsi="宋体"/>
          <w:sz w:val="24"/>
          <w:szCs w:val="24"/>
          <w:highlight w:val="none"/>
        </w:rPr>
        <w:t>3、相对湿度：</w:t>
      </w:r>
      <w:r>
        <w:rPr>
          <w:rFonts w:hint="eastAsia" w:ascii="宋体" w:hAnsi="宋体"/>
          <w:sz w:val="24"/>
          <w:szCs w:val="24"/>
          <w:highlight w:val="none"/>
          <w:lang w:val="en-US" w:eastAsia="zh-CN"/>
        </w:rPr>
        <w:t>90</w:t>
      </w:r>
      <w:r>
        <w:rPr>
          <w:rFonts w:hint="eastAsia" w:ascii="宋体" w:hAnsi="宋体"/>
          <w:sz w:val="24"/>
          <w:szCs w:val="24"/>
          <w:highlight w:val="none"/>
        </w:rPr>
        <w:t>%（20℃时最大湿度）</w:t>
      </w:r>
    </w:p>
    <w:p w14:paraId="484C917F">
      <w:pPr>
        <w:spacing w:line="360" w:lineRule="auto"/>
        <w:rPr>
          <w:rFonts w:hint="eastAsia" w:ascii="宋体" w:hAnsi="宋体"/>
          <w:sz w:val="24"/>
          <w:szCs w:val="24"/>
          <w:highlight w:val="none"/>
        </w:rPr>
      </w:pPr>
      <w:r>
        <w:rPr>
          <w:rFonts w:hint="eastAsia" w:ascii="宋体" w:hAnsi="宋体"/>
          <w:sz w:val="24"/>
          <w:szCs w:val="24"/>
          <w:highlight w:val="none"/>
        </w:rPr>
        <w:t>4、地震裂度：七度</w:t>
      </w:r>
    </w:p>
    <w:p w14:paraId="07ACE480">
      <w:pPr>
        <w:spacing w:line="360" w:lineRule="auto"/>
        <w:rPr>
          <w:rFonts w:hint="eastAsia" w:ascii="宋体" w:hAnsi="宋体"/>
          <w:sz w:val="24"/>
          <w:szCs w:val="24"/>
          <w:highlight w:val="none"/>
        </w:rPr>
      </w:pPr>
      <w:r>
        <w:rPr>
          <w:rFonts w:hint="eastAsia" w:ascii="宋体" w:hAnsi="宋体"/>
          <w:sz w:val="24"/>
          <w:szCs w:val="24"/>
          <w:highlight w:val="none"/>
        </w:rPr>
        <w:t>5、使用地点：总装车间（室内）</w:t>
      </w:r>
    </w:p>
    <w:p w14:paraId="7234A650">
      <w:pPr>
        <w:spacing w:line="360" w:lineRule="auto"/>
        <w:rPr>
          <w:rFonts w:hint="eastAsia" w:ascii="宋体" w:hAnsi="宋体"/>
          <w:sz w:val="24"/>
          <w:szCs w:val="24"/>
          <w:highlight w:val="none"/>
        </w:rPr>
      </w:pPr>
      <w:r>
        <w:rPr>
          <w:rFonts w:hint="eastAsia" w:ascii="宋体" w:hAnsi="宋体"/>
          <w:sz w:val="24"/>
          <w:szCs w:val="24"/>
          <w:highlight w:val="none"/>
        </w:rPr>
        <w:t>6、电源：三相五线制，符合中国制式，供电电压：AC380V±10%，供电频率：50Hz±2%，单相电：AC220V±10%，供电频率：50Hz±2%。</w:t>
      </w:r>
    </w:p>
    <w:p w14:paraId="2AD6DCF8">
      <w:pPr>
        <w:spacing w:line="360" w:lineRule="auto"/>
        <w:rPr>
          <w:rFonts w:hint="eastAsia" w:ascii="宋体" w:hAnsi="宋体"/>
          <w:sz w:val="24"/>
          <w:szCs w:val="24"/>
          <w:highlight w:val="none"/>
        </w:rPr>
      </w:pPr>
      <w:r>
        <w:rPr>
          <w:rFonts w:hint="eastAsia" w:ascii="宋体" w:hAnsi="宋体"/>
          <w:sz w:val="24"/>
          <w:szCs w:val="24"/>
          <w:highlight w:val="none"/>
        </w:rPr>
        <w:t>7、压缩空气:0.4Mpa~0.6MPa</w:t>
      </w:r>
    </w:p>
    <w:p w14:paraId="69E63964">
      <w:pPr>
        <w:spacing w:line="360" w:lineRule="auto"/>
        <w:rPr>
          <w:rFonts w:ascii="宋体" w:hAnsi="宋体"/>
          <w:b/>
          <w:bCs/>
          <w:sz w:val="24"/>
          <w:szCs w:val="24"/>
          <w:highlight w:val="none"/>
        </w:rPr>
      </w:pPr>
      <w:r>
        <w:rPr>
          <w:rFonts w:hint="eastAsia" w:ascii="宋体" w:hAnsi="宋体"/>
          <w:b/>
          <w:bCs/>
          <w:sz w:val="24"/>
          <w:szCs w:val="24"/>
          <w:highlight w:val="none"/>
        </w:rPr>
        <w:t>2、自动化控制系统</w:t>
      </w:r>
    </w:p>
    <w:p w14:paraId="06A8D455">
      <w:pPr>
        <w:spacing w:line="360" w:lineRule="auto"/>
        <w:ind w:firstLine="480" w:firstLineChars="200"/>
        <w:rPr>
          <w:rFonts w:ascii="宋体" w:hAnsi="宋体"/>
          <w:sz w:val="24"/>
          <w:szCs w:val="24"/>
          <w:highlight w:val="none"/>
        </w:rPr>
      </w:pPr>
      <w:r>
        <w:rPr>
          <w:rFonts w:hint="eastAsia" w:ascii="宋体" w:hAnsi="宋体"/>
          <w:sz w:val="24"/>
          <w:szCs w:val="24"/>
          <w:highlight w:val="none"/>
          <w:lang w:eastAsia="zh-CN"/>
        </w:rPr>
        <w:t>使用西门子</w:t>
      </w:r>
      <w:r>
        <w:rPr>
          <w:rFonts w:hint="eastAsia" w:ascii="宋体" w:hAnsi="宋体"/>
          <w:sz w:val="24"/>
          <w:szCs w:val="24"/>
          <w:highlight w:val="none"/>
          <w:lang w:val="en-US" w:eastAsia="zh-CN"/>
        </w:rPr>
        <w:t>PLC</w:t>
      </w:r>
      <w:r>
        <w:rPr>
          <w:rFonts w:hint="eastAsia" w:ascii="宋体" w:hAnsi="宋体"/>
          <w:sz w:val="24"/>
          <w:szCs w:val="24"/>
          <w:highlight w:val="none"/>
        </w:rPr>
        <w:t>控制系统。</w:t>
      </w:r>
    </w:p>
    <w:p w14:paraId="2437761C">
      <w:pPr>
        <w:spacing w:line="360" w:lineRule="auto"/>
        <w:rPr>
          <w:rFonts w:ascii="宋体" w:hAnsi="宋体"/>
          <w:b/>
          <w:bCs/>
          <w:sz w:val="24"/>
          <w:szCs w:val="24"/>
          <w:highlight w:val="none"/>
        </w:rPr>
      </w:pPr>
      <w:r>
        <w:rPr>
          <w:rFonts w:hint="eastAsia" w:ascii="宋体" w:hAnsi="宋体"/>
          <w:b/>
          <w:bCs/>
          <w:sz w:val="24"/>
          <w:szCs w:val="24"/>
          <w:highlight w:val="none"/>
        </w:rPr>
        <w:t>3、全生命周期费用（LCC）</w:t>
      </w:r>
    </w:p>
    <w:p w14:paraId="6C42F563">
      <w:pPr>
        <w:spacing w:line="360" w:lineRule="auto"/>
        <w:rPr>
          <w:rFonts w:ascii="宋体" w:hAnsi="宋体"/>
          <w:sz w:val="24"/>
          <w:szCs w:val="24"/>
          <w:highlight w:val="none"/>
        </w:rPr>
      </w:pPr>
      <w:r>
        <w:rPr>
          <w:rFonts w:hint="eastAsia" w:ascii="宋体" w:hAnsi="宋体"/>
          <w:sz w:val="24"/>
          <w:szCs w:val="24"/>
          <w:highlight w:val="none"/>
        </w:rPr>
        <w:t>3.1 投标方应测算设备的全生命周期费用（LCC）、运行维持费用及费用分解构成，并在投标文件中列出。</w:t>
      </w:r>
    </w:p>
    <w:p w14:paraId="08F4FCC9">
      <w:pPr>
        <w:spacing w:line="360" w:lineRule="auto"/>
        <w:rPr>
          <w:rFonts w:ascii="宋体" w:hAnsi="宋体"/>
          <w:sz w:val="24"/>
          <w:szCs w:val="24"/>
          <w:highlight w:val="none"/>
        </w:rPr>
      </w:pPr>
      <w:r>
        <w:rPr>
          <w:rFonts w:hint="eastAsia" w:ascii="宋体" w:hAnsi="宋体"/>
          <w:sz w:val="24"/>
          <w:szCs w:val="24"/>
          <w:highlight w:val="none"/>
        </w:rPr>
        <w:t>3.2 全生命周期费用（LCC）主要指设备的维持费用，包括设备在设计使用寿命内的备品备件投入，日常维护（维保）费用，大（项）修费用，及检修方法。</w:t>
      </w:r>
    </w:p>
    <w:p w14:paraId="709A208E">
      <w:pPr>
        <w:spacing w:line="360" w:lineRule="auto"/>
        <w:rPr>
          <w:rFonts w:ascii="宋体" w:hAnsi="宋体"/>
          <w:b/>
          <w:bCs/>
          <w:sz w:val="24"/>
          <w:szCs w:val="24"/>
          <w:highlight w:val="none"/>
        </w:rPr>
      </w:pPr>
      <w:r>
        <w:rPr>
          <w:rFonts w:hint="eastAsia" w:ascii="宋体" w:hAnsi="宋体"/>
          <w:b/>
          <w:bCs/>
          <w:sz w:val="24"/>
          <w:szCs w:val="24"/>
          <w:highlight w:val="none"/>
        </w:rPr>
        <w:t>4、备件供给</w:t>
      </w:r>
    </w:p>
    <w:p w14:paraId="5CCDAA4A">
      <w:pPr>
        <w:spacing w:line="360" w:lineRule="auto"/>
        <w:rPr>
          <w:rFonts w:ascii="宋体" w:hAnsi="宋体"/>
          <w:sz w:val="24"/>
          <w:szCs w:val="24"/>
          <w:highlight w:val="none"/>
        </w:rPr>
      </w:pPr>
      <w:r>
        <w:rPr>
          <w:rFonts w:hint="eastAsia" w:ascii="宋体" w:hAnsi="宋体"/>
          <w:sz w:val="24"/>
          <w:szCs w:val="24"/>
          <w:highlight w:val="none"/>
        </w:rPr>
        <w:t>4.1 投标方应保证备品备件长期稳定的供货。对主要设备或与主设备功能相同的兼容性替代品，其备品的供货期至少是设备验收后十五年或该设备退出市场后五年(二者之中取时间长的一种)。当投标方决定中断所提供的备品备件供应时，应预先告知招标方，以便招标方增加这些备品备件储备。</w:t>
      </w:r>
    </w:p>
    <w:p w14:paraId="481BB010">
      <w:pPr>
        <w:spacing w:line="360" w:lineRule="auto"/>
        <w:rPr>
          <w:rFonts w:ascii="宋体" w:hAnsi="宋体"/>
          <w:sz w:val="24"/>
          <w:szCs w:val="24"/>
          <w:highlight w:val="none"/>
        </w:rPr>
      </w:pPr>
      <w:r>
        <w:rPr>
          <w:rFonts w:hint="eastAsia" w:ascii="宋体" w:hAnsi="宋体"/>
          <w:sz w:val="24"/>
          <w:szCs w:val="24"/>
          <w:highlight w:val="none"/>
        </w:rPr>
        <w:t>4.2 投标方应提供有关备品备件的保管资料，如：存放期限、温度、湿度、是否需干燥剂等。</w:t>
      </w:r>
    </w:p>
    <w:p w14:paraId="262EDA29">
      <w:pPr>
        <w:spacing w:line="360" w:lineRule="auto"/>
        <w:rPr>
          <w:rFonts w:ascii="宋体" w:hAnsi="宋体"/>
          <w:sz w:val="24"/>
          <w:szCs w:val="24"/>
          <w:highlight w:val="none"/>
        </w:rPr>
      </w:pPr>
      <w:r>
        <w:rPr>
          <w:rFonts w:hint="eastAsia" w:ascii="宋体" w:hAnsi="宋体"/>
          <w:sz w:val="24"/>
          <w:szCs w:val="24"/>
          <w:highlight w:val="none"/>
        </w:rPr>
        <w:t>4.3 招标文件所指备品备件、易损件和专用耗材，是招标方为保证设备质保期之后正常运行一年所自备自用的备品备件、易损件和专用耗材；质保期内需更换的备品备件、易损件和专用耗材等均应包含在总价内，招标方不承担质保期内费用。</w:t>
      </w:r>
    </w:p>
    <w:p w14:paraId="59E12C6C">
      <w:pPr>
        <w:spacing w:line="360" w:lineRule="auto"/>
        <w:rPr>
          <w:rFonts w:ascii="宋体" w:hAnsi="宋体"/>
          <w:sz w:val="24"/>
          <w:szCs w:val="24"/>
          <w:highlight w:val="none"/>
        </w:rPr>
      </w:pPr>
      <w:r>
        <w:rPr>
          <w:rFonts w:hint="eastAsia" w:ascii="宋体" w:hAnsi="宋体"/>
          <w:sz w:val="24"/>
          <w:szCs w:val="24"/>
          <w:highlight w:val="none"/>
        </w:rPr>
        <w:t>4.4 投标方应免费提供满足设备正常运行一年所需的备品备件、易损件和专用耗材，并附详细清单（包括名称、型号、规格、单位、数量、生产厂家、单价、总价等条目）。</w:t>
      </w:r>
    </w:p>
    <w:p w14:paraId="5CA699BB">
      <w:pPr>
        <w:spacing w:line="360" w:lineRule="auto"/>
        <w:rPr>
          <w:rFonts w:ascii="宋体" w:hAnsi="宋体"/>
          <w:sz w:val="24"/>
          <w:szCs w:val="24"/>
          <w:highlight w:val="none"/>
        </w:rPr>
      </w:pPr>
      <w:r>
        <w:rPr>
          <w:rFonts w:hint="eastAsia" w:ascii="宋体" w:hAnsi="宋体"/>
          <w:sz w:val="24"/>
          <w:szCs w:val="24"/>
          <w:highlight w:val="none"/>
        </w:rPr>
        <w:t>4.5</w:t>
      </w:r>
      <w:r>
        <w:rPr>
          <w:rFonts w:hint="eastAsia" w:ascii="宋体" w:hAnsi="宋体" w:cs="宋体"/>
          <w:kern w:val="0"/>
          <w:sz w:val="24"/>
          <w:szCs w:val="24"/>
          <w:highlight w:val="none"/>
          <w:lang w:val="it-IT" w:eastAsia="it-IT"/>
        </w:rPr>
        <w:t>随</w:t>
      </w:r>
      <w:r>
        <w:rPr>
          <w:rFonts w:hint="eastAsia" w:ascii="宋体" w:hAnsi="宋体"/>
          <w:kern w:val="0"/>
          <w:sz w:val="24"/>
          <w:szCs w:val="24"/>
          <w:highlight w:val="none"/>
          <w:lang w:val="it-IT" w:eastAsia="it-IT"/>
        </w:rPr>
        <w:t>机备件和易损件占本项目合同总价</w:t>
      </w:r>
      <w:r>
        <w:rPr>
          <w:kern w:val="0"/>
          <w:sz w:val="24"/>
          <w:szCs w:val="24"/>
          <w:highlight w:val="none"/>
          <w:lang w:val="it-IT"/>
        </w:rPr>
        <w:t>1</w:t>
      </w:r>
      <w:r>
        <w:rPr>
          <w:kern w:val="0"/>
          <w:sz w:val="24"/>
          <w:szCs w:val="24"/>
          <w:highlight w:val="none"/>
          <w:lang w:val="it-IT" w:eastAsia="it-IT"/>
        </w:rPr>
        <w:t>%</w:t>
      </w:r>
      <w:r>
        <w:rPr>
          <w:rFonts w:hint="eastAsia" w:ascii="宋体" w:hAnsi="宋体"/>
          <w:kern w:val="0"/>
          <w:sz w:val="24"/>
          <w:szCs w:val="24"/>
          <w:highlight w:val="none"/>
          <w:lang w:val="it-IT" w:eastAsia="it-IT"/>
        </w:rPr>
        <w:t>，在图纸会签时，</w:t>
      </w:r>
      <w:r>
        <w:rPr>
          <w:rFonts w:hint="eastAsia" w:ascii="宋体" w:hAnsi="宋体"/>
          <w:kern w:val="0"/>
          <w:sz w:val="24"/>
          <w:szCs w:val="24"/>
          <w:highlight w:val="none"/>
          <w:lang w:val="it-IT"/>
        </w:rPr>
        <w:t>投标</w:t>
      </w:r>
      <w:r>
        <w:rPr>
          <w:rFonts w:hint="eastAsia" w:ascii="宋体" w:hAnsi="宋体"/>
          <w:kern w:val="0"/>
          <w:sz w:val="24"/>
          <w:szCs w:val="24"/>
          <w:highlight w:val="none"/>
          <w:lang w:val="it-IT" w:eastAsia="it-IT"/>
        </w:rPr>
        <w:t>方应提供所有机械和电气元件清单（备件名称、型号规格或订货号、装机数量、生产厂家、单价、金额），由</w:t>
      </w:r>
      <w:r>
        <w:rPr>
          <w:rFonts w:hint="eastAsia" w:ascii="宋体" w:hAnsi="宋体"/>
          <w:kern w:val="0"/>
          <w:sz w:val="24"/>
          <w:szCs w:val="24"/>
          <w:highlight w:val="none"/>
          <w:lang w:val="it-IT"/>
        </w:rPr>
        <w:t>招标方</w:t>
      </w:r>
      <w:r>
        <w:rPr>
          <w:rFonts w:hint="eastAsia" w:ascii="宋体" w:hAnsi="宋体"/>
          <w:kern w:val="0"/>
          <w:sz w:val="24"/>
          <w:szCs w:val="24"/>
          <w:highlight w:val="none"/>
          <w:lang w:val="it-IT" w:eastAsia="it-IT"/>
        </w:rPr>
        <w:t>挑选、确认。</w:t>
      </w:r>
    </w:p>
    <w:p w14:paraId="7C301B54">
      <w:pPr>
        <w:spacing w:line="360" w:lineRule="auto"/>
        <w:rPr>
          <w:rFonts w:ascii="宋体" w:hAnsi="宋体"/>
          <w:sz w:val="24"/>
          <w:szCs w:val="24"/>
          <w:highlight w:val="none"/>
        </w:rPr>
      </w:pPr>
      <w:r>
        <w:rPr>
          <w:rFonts w:hint="eastAsia" w:ascii="宋体" w:hAnsi="宋体"/>
          <w:sz w:val="24"/>
          <w:szCs w:val="24"/>
          <w:highlight w:val="none"/>
        </w:rPr>
        <w:t>4.6投标方应提供易损件和专用耗材的制造图纸及其技术要求等资料。</w:t>
      </w:r>
    </w:p>
    <w:p w14:paraId="0D6EDE1F">
      <w:pPr>
        <w:spacing w:line="360" w:lineRule="auto"/>
        <w:rPr>
          <w:rFonts w:ascii="宋体" w:hAnsi="宋体"/>
          <w:b/>
          <w:bCs/>
          <w:sz w:val="24"/>
          <w:szCs w:val="24"/>
          <w:highlight w:val="none"/>
        </w:rPr>
      </w:pPr>
      <w:r>
        <w:rPr>
          <w:rFonts w:hint="eastAsia" w:ascii="宋体" w:hAnsi="宋体"/>
          <w:b/>
          <w:bCs/>
          <w:sz w:val="24"/>
          <w:szCs w:val="24"/>
          <w:highlight w:val="none"/>
        </w:rPr>
        <w:t>5、节能</w:t>
      </w:r>
    </w:p>
    <w:p w14:paraId="6E23EFC8">
      <w:pPr>
        <w:spacing w:line="360" w:lineRule="auto"/>
        <w:rPr>
          <w:rFonts w:ascii="宋体" w:hAnsi="宋体"/>
          <w:sz w:val="24"/>
          <w:szCs w:val="24"/>
          <w:highlight w:val="none"/>
        </w:rPr>
      </w:pPr>
      <w:r>
        <w:rPr>
          <w:rFonts w:hint="eastAsia" w:ascii="宋体" w:hAnsi="宋体"/>
          <w:sz w:val="24"/>
          <w:szCs w:val="24"/>
          <w:highlight w:val="none"/>
        </w:rPr>
        <w:t>5.1 优先采购节能产品和环境标志产品。可参照节能机电设备（产品）推荐目录（工信部）、“能效之星”产品目录（工信部）。</w:t>
      </w:r>
    </w:p>
    <w:p w14:paraId="42AFE9BA">
      <w:pPr>
        <w:spacing w:line="360" w:lineRule="auto"/>
        <w:rPr>
          <w:rFonts w:ascii="宋体" w:hAnsi="宋体"/>
          <w:sz w:val="24"/>
          <w:szCs w:val="24"/>
          <w:highlight w:val="none"/>
        </w:rPr>
      </w:pPr>
      <w:r>
        <w:rPr>
          <w:rFonts w:hint="eastAsia" w:ascii="宋体" w:hAnsi="宋体"/>
          <w:sz w:val="24"/>
          <w:szCs w:val="24"/>
          <w:highlight w:val="none"/>
        </w:rPr>
        <w:t>5.2 建议电动机等部件的能效等级不低于国家现行标准二级能效。进口产品的能效不应低于原产国现行能效标准二级能效。如：对应欧洲标准电动机的能效等级不低于IE3。</w:t>
      </w:r>
    </w:p>
    <w:p w14:paraId="48E05A0C">
      <w:pPr>
        <w:spacing w:line="360" w:lineRule="auto"/>
        <w:rPr>
          <w:rFonts w:ascii="宋体" w:hAnsi="宋体"/>
          <w:sz w:val="24"/>
          <w:szCs w:val="24"/>
          <w:highlight w:val="none"/>
        </w:rPr>
      </w:pPr>
      <w:r>
        <w:rPr>
          <w:rFonts w:hint="eastAsia" w:ascii="宋体" w:hAnsi="宋体"/>
          <w:sz w:val="24"/>
          <w:szCs w:val="24"/>
          <w:highlight w:val="none"/>
        </w:rPr>
        <w:t>5.3 不应采购列入国家高耗能落后机电设备（产品）淘汰目录的产品（工信部）</w:t>
      </w:r>
    </w:p>
    <w:p w14:paraId="4FDDF586">
      <w:pPr>
        <w:spacing w:line="360" w:lineRule="auto"/>
        <w:rPr>
          <w:rFonts w:ascii="宋体" w:hAnsi="宋体"/>
          <w:sz w:val="24"/>
          <w:szCs w:val="24"/>
          <w:highlight w:val="none"/>
        </w:rPr>
      </w:pPr>
      <w:r>
        <w:rPr>
          <w:rFonts w:hint="eastAsia" w:ascii="宋体" w:hAnsi="宋体"/>
          <w:sz w:val="24"/>
          <w:szCs w:val="24"/>
          <w:highlight w:val="none"/>
        </w:rPr>
        <w:t>5.4 能源计量</w:t>
      </w:r>
    </w:p>
    <w:p w14:paraId="03986309">
      <w:pPr>
        <w:spacing w:line="360" w:lineRule="auto"/>
        <w:rPr>
          <w:rFonts w:ascii="宋体" w:hAnsi="宋体"/>
          <w:sz w:val="24"/>
          <w:szCs w:val="24"/>
          <w:highlight w:val="none"/>
        </w:rPr>
      </w:pPr>
      <w:r>
        <w:rPr>
          <w:rFonts w:hint="eastAsia" w:ascii="宋体" w:hAnsi="宋体"/>
          <w:sz w:val="24"/>
          <w:szCs w:val="24"/>
          <w:highlight w:val="none"/>
        </w:rPr>
        <w:t>5.4.1 主要用能设备应当按照GB17167《用能单位能源计量器具配备和管理通则》的要求配备能源计量器具。</w:t>
      </w:r>
    </w:p>
    <w:p w14:paraId="16F4A8CA">
      <w:pPr>
        <w:spacing w:line="360" w:lineRule="auto"/>
        <w:rPr>
          <w:rFonts w:ascii="宋体" w:hAnsi="宋体"/>
          <w:sz w:val="24"/>
          <w:szCs w:val="24"/>
          <w:highlight w:val="none"/>
        </w:rPr>
      </w:pPr>
      <w:r>
        <w:rPr>
          <w:rFonts w:hint="eastAsia" w:ascii="宋体" w:hAnsi="宋体"/>
          <w:sz w:val="24"/>
          <w:szCs w:val="24"/>
          <w:highlight w:val="none"/>
        </w:rPr>
        <w:t>5.4.2 当主要用能设备能源消耗量（或功率）达到下列限定值时，应当配备能源计量器具：</w:t>
      </w:r>
    </w:p>
    <w:p w14:paraId="3858A46B">
      <w:pPr>
        <w:spacing w:line="360" w:lineRule="auto"/>
        <w:rPr>
          <w:rFonts w:ascii="宋体" w:hAnsi="宋体"/>
          <w:sz w:val="24"/>
          <w:szCs w:val="24"/>
          <w:highlight w:val="none"/>
        </w:rPr>
      </w:pPr>
      <w:r>
        <w:rPr>
          <w:rFonts w:hint="eastAsia" w:ascii="宋体" w:hAnsi="宋体"/>
          <w:sz w:val="24"/>
          <w:szCs w:val="24"/>
          <w:highlight w:val="none"/>
        </w:rPr>
        <w:t>--电力：100KW; 多功能电能表的准确度等级应不低于2.0级。</w:t>
      </w:r>
    </w:p>
    <w:p w14:paraId="74705AA5">
      <w:pPr>
        <w:spacing w:line="360" w:lineRule="auto"/>
        <w:rPr>
          <w:rFonts w:ascii="宋体" w:hAnsi="宋体"/>
          <w:sz w:val="24"/>
          <w:szCs w:val="24"/>
          <w:highlight w:val="none"/>
        </w:rPr>
      </w:pPr>
      <w:r>
        <w:rPr>
          <w:rFonts w:hint="eastAsia" w:ascii="宋体" w:hAnsi="宋体"/>
          <w:sz w:val="24"/>
          <w:szCs w:val="24"/>
          <w:highlight w:val="none"/>
        </w:rPr>
        <w:t>--其他：29.26GJ/h；计量表的准确度等级应不低于2.0级。</w:t>
      </w:r>
    </w:p>
    <w:p w14:paraId="543BC7F8">
      <w:pPr>
        <w:spacing w:line="360" w:lineRule="auto"/>
        <w:rPr>
          <w:rFonts w:ascii="宋体" w:hAnsi="宋体"/>
          <w:sz w:val="24"/>
          <w:szCs w:val="24"/>
          <w:highlight w:val="none"/>
        </w:rPr>
      </w:pPr>
      <w:r>
        <w:rPr>
          <w:rFonts w:hint="eastAsia" w:ascii="宋体" w:hAnsi="宋体"/>
          <w:sz w:val="24"/>
          <w:szCs w:val="24"/>
          <w:highlight w:val="none"/>
        </w:rPr>
        <w:t>5.4.3 设备能源消耗（或功率）虽达不到5.4.2的要求，但对需要测量能源消耗或能效的关键设备应当加装能源计量仪表。</w:t>
      </w:r>
    </w:p>
    <w:p w14:paraId="59D4AD89">
      <w:pPr>
        <w:spacing w:line="360" w:lineRule="auto"/>
        <w:rPr>
          <w:rFonts w:ascii="宋体" w:hAnsi="宋体"/>
          <w:sz w:val="24"/>
          <w:szCs w:val="24"/>
          <w:highlight w:val="none"/>
        </w:rPr>
      </w:pPr>
      <w:r>
        <w:rPr>
          <w:rFonts w:hint="eastAsia" w:ascii="宋体" w:hAnsi="宋体"/>
          <w:sz w:val="24"/>
          <w:szCs w:val="24"/>
          <w:highlight w:val="none"/>
        </w:rPr>
        <w:t>5.4.4 能源计量仪表应带远传功能，通讯应满足工业通讯的要求。</w:t>
      </w:r>
    </w:p>
    <w:p w14:paraId="7FC8B392">
      <w:pPr>
        <w:spacing w:line="360" w:lineRule="auto"/>
        <w:rPr>
          <w:rFonts w:ascii="宋体" w:hAnsi="宋体"/>
          <w:sz w:val="24"/>
          <w:szCs w:val="24"/>
          <w:highlight w:val="none"/>
        </w:rPr>
      </w:pPr>
      <w:r>
        <w:rPr>
          <w:rFonts w:hint="eastAsia" w:ascii="宋体" w:hAnsi="宋体"/>
          <w:sz w:val="24"/>
          <w:szCs w:val="24"/>
          <w:highlight w:val="none"/>
        </w:rPr>
        <w:t>5.4.5 加装能源计量仪表的要求应写入设备招标文件，并包含在投标价格内。</w:t>
      </w:r>
    </w:p>
    <w:p w14:paraId="4E8280FE">
      <w:pPr>
        <w:spacing w:line="360" w:lineRule="auto"/>
        <w:rPr>
          <w:rFonts w:ascii="宋体" w:hAnsi="宋体"/>
          <w:b/>
          <w:bCs/>
          <w:sz w:val="24"/>
          <w:szCs w:val="24"/>
          <w:highlight w:val="none"/>
        </w:rPr>
      </w:pPr>
      <w:r>
        <w:rPr>
          <w:rFonts w:hint="eastAsia" w:ascii="宋体" w:hAnsi="宋体"/>
          <w:b/>
          <w:bCs/>
          <w:sz w:val="24"/>
          <w:szCs w:val="24"/>
          <w:highlight w:val="none"/>
        </w:rPr>
        <w:t>6、设备设计使用寿命（年限）</w:t>
      </w:r>
    </w:p>
    <w:p w14:paraId="38D3025D">
      <w:pPr>
        <w:spacing w:line="360" w:lineRule="auto"/>
        <w:ind w:firstLine="480" w:firstLineChars="200"/>
        <w:rPr>
          <w:rFonts w:ascii="宋体" w:hAnsi="宋体"/>
          <w:sz w:val="24"/>
          <w:szCs w:val="24"/>
          <w:highlight w:val="none"/>
        </w:rPr>
      </w:pPr>
      <w:r>
        <w:rPr>
          <w:rFonts w:hint="eastAsia" w:ascii="宋体" w:hAnsi="宋体"/>
          <w:sz w:val="24"/>
          <w:szCs w:val="24"/>
          <w:highlight w:val="none"/>
        </w:rPr>
        <w:t>设备设计使用寿命不应低于</w:t>
      </w:r>
      <w:r>
        <w:rPr>
          <w:rFonts w:ascii="宋体" w:hAnsi="宋体"/>
          <w:sz w:val="24"/>
          <w:szCs w:val="24"/>
          <w:highlight w:val="none"/>
        </w:rPr>
        <w:t>15</w:t>
      </w:r>
      <w:r>
        <w:rPr>
          <w:rFonts w:hint="eastAsia" w:ascii="宋体" w:hAnsi="宋体"/>
          <w:sz w:val="24"/>
          <w:szCs w:val="24"/>
          <w:highlight w:val="none"/>
        </w:rPr>
        <w:t>年。</w:t>
      </w:r>
    </w:p>
    <w:p w14:paraId="6DC0AD17">
      <w:pPr>
        <w:spacing w:line="360" w:lineRule="auto"/>
        <w:rPr>
          <w:rFonts w:ascii="宋体" w:hAnsi="宋体"/>
          <w:b/>
          <w:bCs/>
          <w:sz w:val="24"/>
          <w:szCs w:val="24"/>
          <w:highlight w:val="none"/>
        </w:rPr>
      </w:pPr>
      <w:r>
        <w:rPr>
          <w:rFonts w:hint="eastAsia" w:ascii="宋体" w:hAnsi="宋体"/>
          <w:b/>
          <w:bCs/>
          <w:sz w:val="24"/>
          <w:szCs w:val="24"/>
          <w:highlight w:val="none"/>
        </w:rPr>
        <w:t>7、易维修性</w:t>
      </w:r>
    </w:p>
    <w:p w14:paraId="75E4C782">
      <w:pPr>
        <w:spacing w:line="360" w:lineRule="auto"/>
        <w:rPr>
          <w:rFonts w:ascii="宋体" w:hAnsi="宋体"/>
          <w:sz w:val="24"/>
          <w:szCs w:val="24"/>
          <w:highlight w:val="none"/>
        </w:rPr>
      </w:pPr>
      <w:r>
        <w:rPr>
          <w:rFonts w:hint="eastAsia" w:ascii="宋体" w:hAnsi="宋体"/>
          <w:sz w:val="24"/>
          <w:szCs w:val="24"/>
          <w:highlight w:val="none"/>
        </w:rPr>
        <w:t>7.1 投标方对设备可维修性进行描述，设备在设计、制造、布局、安装时应充分考虑了后续维修的易维修性、可修复性和维修作业的安全、可操作性。</w:t>
      </w:r>
    </w:p>
    <w:p w14:paraId="7822E9AC">
      <w:pPr>
        <w:spacing w:line="360" w:lineRule="auto"/>
        <w:rPr>
          <w:rFonts w:ascii="宋体" w:hAnsi="宋体"/>
          <w:sz w:val="24"/>
          <w:szCs w:val="24"/>
          <w:highlight w:val="none"/>
        </w:rPr>
      </w:pPr>
      <w:r>
        <w:rPr>
          <w:rFonts w:hint="eastAsia" w:ascii="宋体" w:hAnsi="宋体"/>
          <w:sz w:val="24"/>
          <w:szCs w:val="24"/>
          <w:highlight w:val="none"/>
        </w:rPr>
        <w:t>7.2 在正式提交的设备资料中应当包含设备的维修作业文件。</w:t>
      </w:r>
    </w:p>
    <w:p w14:paraId="35864ADE">
      <w:pPr>
        <w:spacing w:line="360" w:lineRule="auto"/>
        <w:rPr>
          <w:rFonts w:ascii="宋体" w:hAnsi="宋体"/>
          <w:sz w:val="24"/>
          <w:szCs w:val="24"/>
          <w:highlight w:val="none"/>
        </w:rPr>
      </w:pPr>
      <w:r>
        <w:rPr>
          <w:rFonts w:hint="eastAsia" w:ascii="宋体" w:hAnsi="宋体"/>
          <w:sz w:val="24"/>
          <w:szCs w:val="24"/>
          <w:highlight w:val="none"/>
        </w:rPr>
        <w:t>7.3 投标方在投标文件中应说明设备在维保方面的信息，包含但不限于：易损件清单、耗材清单、定期维保项目清单等，上述清单应包含单价。</w:t>
      </w:r>
    </w:p>
    <w:bookmarkEnd w:id="27"/>
    <w:p w14:paraId="07BBEABA">
      <w:pPr>
        <w:pStyle w:val="2"/>
        <w:tabs>
          <w:tab w:val="left" w:pos="2400"/>
        </w:tabs>
        <w:spacing w:line="360" w:lineRule="auto"/>
        <w:jc w:val="both"/>
        <w:rPr>
          <w:rFonts w:ascii="宋体" w:hAnsi="宋体"/>
          <w:sz w:val="24"/>
          <w:highlight w:val="none"/>
        </w:rPr>
      </w:pPr>
      <w:bookmarkStart w:id="32" w:name="_Toc15980"/>
      <w:bookmarkStart w:id="33" w:name="_Toc159998021"/>
      <w:bookmarkStart w:id="34" w:name="_Toc44953432"/>
      <w:bookmarkStart w:id="35" w:name="_Toc11727"/>
      <w:r>
        <w:rPr>
          <w:rFonts w:hint="eastAsia" w:ascii="宋体" w:hAnsi="宋体"/>
          <w:sz w:val="24"/>
          <w:highlight w:val="none"/>
        </w:rPr>
        <w:t>三、技术要求</w:t>
      </w:r>
      <w:bookmarkEnd w:id="32"/>
      <w:bookmarkEnd w:id="33"/>
      <w:bookmarkEnd w:id="34"/>
      <w:bookmarkEnd w:id="35"/>
    </w:p>
    <w:p w14:paraId="5E688E0D">
      <w:pPr>
        <w:spacing w:line="360" w:lineRule="auto"/>
        <w:rPr>
          <w:rFonts w:ascii="宋体" w:hAnsi="宋体"/>
          <w:sz w:val="24"/>
          <w:szCs w:val="24"/>
          <w:highlight w:val="none"/>
        </w:rPr>
      </w:pPr>
      <w:r>
        <w:rPr>
          <w:rFonts w:hint="eastAsia" w:ascii="宋体" w:hAnsi="宋体"/>
          <w:b/>
          <w:bCs/>
          <w:sz w:val="24"/>
          <w:szCs w:val="24"/>
          <w:highlight w:val="none"/>
        </w:rPr>
        <w:t>1.招标设备（或材料）技术要求</w:t>
      </w:r>
    </w:p>
    <w:p w14:paraId="34EAF39D">
      <w:pPr>
        <w:spacing w:line="360" w:lineRule="auto"/>
        <w:rPr>
          <w:rFonts w:ascii="宋体" w:hAnsi="宋体"/>
          <w:b/>
          <w:sz w:val="24"/>
          <w:szCs w:val="24"/>
          <w:highlight w:val="none"/>
        </w:rPr>
      </w:pPr>
      <w:r>
        <w:rPr>
          <w:rFonts w:hint="eastAsia" w:ascii="宋体" w:hAnsi="宋体"/>
          <w:b/>
          <w:sz w:val="24"/>
          <w:szCs w:val="24"/>
          <w:highlight w:val="none"/>
        </w:rPr>
        <w:t>1.1 基本要求</w:t>
      </w:r>
    </w:p>
    <w:p w14:paraId="705D6350">
      <w:pPr>
        <w:spacing w:line="360" w:lineRule="auto"/>
        <w:rPr>
          <w:rFonts w:ascii="宋体" w:hAnsi="宋体"/>
          <w:sz w:val="24"/>
          <w:szCs w:val="24"/>
          <w:highlight w:val="none"/>
        </w:rPr>
      </w:pPr>
      <w:r>
        <w:rPr>
          <w:rFonts w:hint="eastAsia" w:ascii="宋体" w:hAnsi="宋体"/>
          <w:sz w:val="24"/>
          <w:szCs w:val="24"/>
          <w:highlight w:val="none"/>
        </w:rPr>
        <w:t>1.1.1 投标方所供设备（或材料），必须符合中国最新版的法律、法规和相关标准、规范的要求，符合项目所在地政府有关特殊要求；</w:t>
      </w:r>
    </w:p>
    <w:p w14:paraId="4F226C41">
      <w:pPr>
        <w:spacing w:line="360" w:lineRule="auto"/>
        <w:rPr>
          <w:rFonts w:ascii="宋体" w:hAnsi="宋体"/>
          <w:sz w:val="24"/>
          <w:szCs w:val="24"/>
          <w:highlight w:val="none"/>
        </w:rPr>
      </w:pPr>
      <w:r>
        <w:rPr>
          <w:rFonts w:hint="eastAsia" w:ascii="宋体" w:hAnsi="宋体"/>
          <w:sz w:val="24"/>
          <w:szCs w:val="24"/>
          <w:highlight w:val="none"/>
        </w:rPr>
        <w:t>1.1.2 投标方应对招标方提出的各项技术要求同意进行技术（担保）承诺，并保证招标方不因此受到任何侵权指控和实际损失；</w:t>
      </w:r>
    </w:p>
    <w:p w14:paraId="6637BE1E">
      <w:pPr>
        <w:spacing w:line="360" w:lineRule="auto"/>
        <w:rPr>
          <w:rFonts w:ascii="宋体" w:hAnsi="宋体"/>
          <w:sz w:val="24"/>
          <w:szCs w:val="24"/>
          <w:highlight w:val="none"/>
        </w:rPr>
      </w:pPr>
      <w:r>
        <w:rPr>
          <w:rFonts w:hint="eastAsia" w:ascii="宋体" w:hAnsi="宋体"/>
          <w:sz w:val="24"/>
          <w:szCs w:val="24"/>
          <w:highlight w:val="none"/>
        </w:rPr>
        <w:t>1.1.3 投标方应保证所供设备（或材料）的先进性、可靠性、经济性和实用性，并为全新设备（或材料）；</w:t>
      </w:r>
    </w:p>
    <w:p w14:paraId="393DBB33">
      <w:pPr>
        <w:spacing w:line="360" w:lineRule="auto"/>
        <w:jc w:val="left"/>
        <w:rPr>
          <w:rFonts w:ascii="宋体" w:hAnsi="宋体"/>
          <w:b/>
          <w:sz w:val="24"/>
          <w:szCs w:val="24"/>
          <w:highlight w:val="none"/>
        </w:rPr>
      </w:pPr>
      <w:r>
        <w:rPr>
          <w:rFonts w:hint="eastAsia" w:ascii="宋体" w:hAnsi="宋体"/>
          <w:b/>
          <w:sz w:val="24"/>
          <w:szCs w:val="24"/>
          <w:highlight w:val="none"/>
        </w:rPr>
        <w:t>1.2 执行标准</w:t>
      </w:r>
    </w:p>
    <w:p w14:paraId="5F17CD1B">
      <w:pPr>
        <w:spacing w:line="360" w:lineRule="auto"/>
        <w:ind w:firstLine="480" w:firstLineChars="200"/>
        <w:rPr>
          <w:rFonts w:ascii="宋体" w:hAnsi="宋体"/>
          <w:sz w:val="24"/>
          <w:szCs w:val="24"/>
          <w:highlight w:val="none"/>
        </w:rPr>
      </w:pPr>
      <w:r>
        <w:rPr>
          <w:rFonts w:hint="eastAsia" w:ascii="宋体" w:hAnsi="宋体"/>
          <w:sz w:val="24"/>
          <w:szCs w:val="24"/>
          <w:highlight w:val="none"/>
        </w:rPr>
        <w:t>投标方应提供与设备设计、制造、安装相关的国家、行业的标准，标准应为有效的。设备制造、安装调试、检验和验收按下列标准、规范、规程等技术文件执行。若中标方厂标高于所述标准时优先选用厂家标准。</w:t>
      </w:r>
    </w:p>
    <w:p w14:paraId="49FD8922">
      <w:pPr>
        <w:spacing w:line="360" w:lineRule="auto"/>
        <w:ind w:firstLine="480" w:firstLineChars="200"/>
        <w:rPr>
          <w:rFonts w:ascii="宋体" w:hAnsi="宋体"/>
          <w:sz w:val="24"/>
          <w:szCs w:val="24"/>
          <w:highlight w:val="none"/>
        </w:rPr>
      </w:pPr>
      <w:r>
        <w:rPr>
          <w:rFonts w:hint="eastAsia" w:ascii="宋体" w:hAnsi="宋体"/>
          <w:sz w:val="24"/>
          <w:szCs w:val="24"/>
          <w:highlight w:val="none"/>
        </w:rPr>
        <w:t>设备颜色标识满足重汽《设备设施颜色标识》标准Q/ZZ 30070-2020。</w:t>
      </w:r>
    </w:p>
    <w:p w14:paraId="5D296F1D">
      <w:pPr>
        <w:spacing w:line="360" w:lineRule="auto"/>
        <w:jc w:val="left"/>
        <w:rPr>
          <w:rFonts w:ascii="宋体" w:hAnsi="宋体"/>
          <w:b/>
          <w:sz w:val="24"/>
          <w:szCs w:val="24"/>
          <w:highlight w:val="none"/>
        </w:rPr>
      </w:pPr>
      <w:r>
        <w:rPr>
          <w:rFonts w:hint="eastAsia" w:ascii="宋体" w:hAnsi="宋体"/>
          <w:b/>
          <w:sz w:val="24"/>
          <w:szCs w:val="24"/>
          <w:highlight w:val="none"/>
        </w:rPr>
        <w:t>1.3.项目内容</w:t>
      </w:r>
    </w:p>
    <w:p w14:paraId="07D0E7EB">
      <w:pPr>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本项目的总体设计和项目管理，提供以下供货范围涉及的所有具体设计、项目管理、制造、包装、运输、存储、安装、调试、培训、试生产、验收、生产陪伴及售后服务等工作。</w:t>
      </w:r>
    </w:p>
    <w:p w14:paraId="440F669C">
      <w:pPr>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项目工作内容包括但不限于以下部分，投标方对方案的完整性负责。</w:t>
      </w:r>
    </w:p>
    <w:p w14:paraId="28380C1A">
      <w:pPr>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1）工艺方案的详细设计；</w:t>
      </w:r>
    </w:p>
    <w:p w14:paraId="682DE39A">
      <w:pPr>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2）</w:t>
      </w:r>
      <w:r>
        <w:rPr>
          <w:rFonts w:hint="eastAsia" w:ascii="宋体" w:hAnsi="宋体"/>
          <w:sz w:val="24"/>
          <w:szCs w:val="24"/>
          <w:highlight w:val="none"/>
          <w:lang w:eastAsia="zh-CN"/>
        </w:rPr>
        <w:t>机械手</w:t>
      </w:r>
      <w:r>
        <w:rPr>
          <w:rFonts w:hint="eastAsia" w:ascii="宋体" w:hAnsi="宋体"/>
          <w:sz w:val="24"/>
          <w:szCs w:val="24"/>
          <w:highlight w:val="none"/>
        </w:rPr>
        <w:t>安装到位后的试生产陪伴、验收及项目管理。</w:t>
      </w:r>
    </w:p>
    <w:p w14:paraId="456D295E">
      <w:pPr>
        <w:spacing w:line="360" w:lineRule="auto"/>
        <w:jc w:val="left"/>
        <w:rPr>
          <w:rFonts w:ascii="宋体" w:hAnsi="宋体"/>
          <w:b/>
          <w:sz w:val="24"/>
          <w:szCs w:val="24"/>
          <w:highlight w:val="none"/>
        </w:rPr>
      </w:pPr>
      <w:r>
        <w:rPr>
          <w:rFonts w:hint="eastAsia" w:ascii="宋体" w:hAnsi="宋体"/>
          <w:b/>
          <w:sz w:val="24"/>
          <w:szCs w:val="24"/>
          <w:highlight w:val="none"/>
        </w:rPr>
        <w:t>1.4方案</w:t>
      </w:r>
    </w:p>
    <w:p w14:paraId="1047AE27">
      <w:pPr>
        <w:spacing w:line="360" w:lineRule="auto"/>
        <w:ind w:firstLine="480" w:firstLineChars="200"/>
        <w:rPr>
          <w:rFonts w:ascii="宋体" w:hAnsi="宋体"/>
          <w:sz w:val="24"/>
          <w:szCs w:val="24"/>
          <w:highlight w:val="none"/>
        </w:rPr>
      </w:pPr>
      <w:r>
        <w:rPr>
          <w:rFonts w:hint="eastAsia" w:ascii="宋体" w:hAnsi="宋体"/>
          <w:sz w:val="24"/>
          <w:szCs w:val="24"/>
          <w:highlight w:val="none"/>
        </w:rPr>
        <w:t>1、</w:t>
      </w:r>
      <w:r>
        <w:rPr>
          <w:rFonts w:hint="eastAsia" w:ascii="宋体" w:hAnsi="宋体"/>
          <w:sz w:val="24"/>
          <w:szCs w:val="24"/>
          <w:highlight w:val="none"/>
          <w:lang w:eastAsia="zh-CN"/>
        </w:rPr>
        <w:t>对现有中置电池助力机械手项目进行改造，通过改造机械手本体及运行轨道，已满足现有右置储气筒车型安装的需要，满足日益增多的车辆种类。</w:t>
      </w:r>
    </w:p>
    <w:p w14:paraId="7357CC68">
      <w:pPr>
        <w:spacing w:line="360" w:lineRule="auto"/>
        <w:ind w:firstLine="482" w:firstLineChars="200"/>
        <w:rPr>
          <w:rFonts w:ascii="宋体" w:hAnsi="宋体"/>
          <w:b/>
          <w:sz w:val="24"/>
          <w:szCs w:val="24"/>
          <w:highlight w:val="none"/>
        </w:rPr>
      </w:pPr>
      <w:r>
        <w:rPr>
          <w:rFonts w:hint="eastAsia" w:ascii="宋体" w:hAnsi="宋体"/>
          <w:b/>
          <w:sz w:val="24"/>
          <w:szCs w:val="24"/>
          <w:highlight w:val="none"/>
        </w:rPr>
        <w:t>1.5工艺简介</w:t>
      </w:r>
    </w:p>
    <w:p w14:paraId="2E0E8926">
      <w:pPr>
        <w:spacing w:line="360" w:lineRule="auto"/>
        <w:ind w:firstLine="422" w:firstLineChars="200"/>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电池在线安装工艺</w:t>
      </w:r>
    </w:p>
    <w:p w14:paraId="0075CD25">
      <w:pPr>
        <w:spacing w:line="360" w:lineRule="auto"/>
        <w:ind w:firstLine="480" w:firstLineChars="200"/>
        <w:jc w:val="left"/>
        <w:rPr>
          <w:rFonts w:hint="default" w:ascii="宋体" w:hAnsi="宋体"/>
          <w:sz w:val="24"/>
          <w:szCs w:val="24"/>
          <w:highlight w:val="none"/>
          <w:lang w:val="en-US" w:eastAsia="zh-CN"/>
        </w:rPr>
      </w:pPr>
      <w:r>
        <w:rPr>
          <w:rFonts w:hint="eastAsia" w:ascii="宋体" w:hAnsi="宋体"/>
          <w:sz w:val="24"/>
          <w:szCs w:val="24"/>
          <w:highlight w:val="none"/>
        </w:rPr>
        <w:t>利用</w:t>
      </w:r>
      <w:r>
        <w:rPr>
          <w:rFonts w:hint="eastAsia" w:ascii="宋体" w:hAnsi="宋体"/>
          <w:sz w:val="24"/>
          <w:szCs w:val="24"/>
          <w:highlight w:val="none"/>
          <w:lang w:val="en-US" w:eastAsia="zh-CN"/>
        </w:rPr>
        <w:t>电池分装设备</w:t>
      </w:r>
      <w:r>
        <w:rPr>
          <w:rFonts w:hint="eastAsia" w:ascii="宋体" w:hAnsi="宋体"/>
          <w:sz w:val="24"/>
          <w:szCs w:val="24"/>
          <w:highlight w:val="none"/>
        </w:rPr>
        <w:t>将</w:t>
      </w:r>
      <w:r>
        <w:rPr>
          <w:rFonts w:hint="eastAsia" w:ascii="宋体" w:hAnsi="宋体"/>
          <w:sz w:val="24"/>
          <w:szCs w:val="24"/>
          <w:highlight w:val="none"/>
          <w:lang w:val="en-US" w:eastAsia="zh-CN"/>
        </w:rPr>
        <w:t>电池支架吊到转运小车上，再将电池吊到转运小车的电池支架上，操作者完成分装。</w:t>
      </w:r>
    </w:p>
    <w:p w14:paraId="71F0AD92">
      <w:pPr>
        <w:spacing w:line="360" w:lineRule="auto"/>
        <w:ind w:firstLine="480" w:firstLineChars="200"/>
        <w:jc w:val="left"/>
        <w:rPr>
          <w:rFonts w:hint="eastAsia" w:ascii="宋体" w:hAnsi="宋体"/>
          <w:sz w:val="24"/>
          <w:szCs w:val="24"/>
          <w:highlight w:val="none"/>
          <w:lang w:eastAsia="zh-CN"/>
        </w:rPr>
      </w:pPr>
      <w:r>
        <w:rPr>
          <w:rFonts w:hint="eastAsia" w:ascii="宋体" w:hAnsi="宋体"/>
          <w:sz w:val="24"/>
          <w:szCs w:val="24"/>
          <w:highlight w:val="none"/>
        </w:rPr>
        <w:t>大电池通过转运台车人工推到工位边，定好位后，机械手从台车上取下大电池移载到车架底部进行安装，设备X向、Y向</w:t>
      </w:r>
      <w:r>
        <w:rPr>
          <w:rFonts w:hint="eastAsia" w:ascii="宋体" w:hAnsi="宋体"/>
          <w:sz w:val="24"/>
          <w:szCs w:val="24"/>
          <w:highlight w:val="none"/>
          <w:lang w:eastAsia="zh-CN"/>
        </w:rPr>
        <w:t>、</w:t>
      </w:r>
      <w:r>
        <w:rPr>
          <w:rFonts w:hint="eastAsia" w:ascii="宋体" w:hAnsi="宋体"/>
          <w:sz w:val="24"/>
          <w:szCs w:val="24"/>
          <w:highlight w:val="none"/>
          <w:lang w:val="en-US" w:eastAsia="zh-CN"/>
        </w:rPr>
        <w:t>Z向</w:t>
      </w:r>
      <w:r>
        <w:rPr>
          <w:rFonts w:hint="eastAsia" w:ascii="宋体" w:hAnsi="宋体"/>
          <w:sz w:val="24"/>
          <w:szCs w:val="24"/>
          <w:highlight w:val="none"/>
        </w:rPr>
        <w:t>均可通过力觉控制手柄来轻松控制行走；</w:t>
      </w:r>
    </w:p>
    <w:p w14:paraId="09C0B629">
      <w:pPr>
        <w:spacing w:line="360" w:lineRule="auto"/>
        <w:ind w:firstLine="480" w:firstLineChars="200"/>
        <w:jc w:val="left"/>
        <w:rPr>
          <w:rFonts w:hint="eastAsia" w:ascii="宋体" w:hAnsi="宋体" w:eastAsia="宋体" w:cs="Times New Roman"/>
          <w:szCs w:val="21"/>
          <w:lang w:val="en-US" w:eastAsia="zh-CN"/>
        </w:rPr>
      </w:pPr>
      <w:r>
        <w:rPr>
          <w:rFonts w:hint="eastAsia" w:ascii="宋体" w:hAnsi="宋体"/>
          <w:sz w:val="24"/>
          <w:szCs w:val="24"/>
          <w:highlight w:val="none"/>
        </w:rPr>
        <w:t>机械手运行回到初始位置等待装车</w:t>
      </w:r>
      <w:r>
        <w:rPr>
          <w:rFonts w:hint="eastAsia" w:ascii="宋体" w:hAnsi="宋体"/>
          <w:sz w:val="24"/>
          <w:szCs w:val="24"/>
          <w:highlight w:val="none"/>
          <w:lang w:eastAsia="zh-CN"/>
        </w:rPr>
        <w:t>。</w:t>
      </w:r>
    </w:p>
    <w:p w14:paraId="4CEA5524">
      <w:pPr>
        <w:spacing w:line="360" w:lineRule="auto"/>
        <w:ind w:firstLine="482" w:firstLineChars="200"/>
        <w:rPr>
          <w:rFonts w:ascii="宋体" w:hAnsi="宋体"/>
          <w:b/>
          <w:bCs/>
          <w:sz w:val="24"/>
          <w:szCs w:val="24"/>
          <w:highlight w:val="none"/>
        </w:rPr>
      </w:pPr>
      <w:r>
        <w:rPr>
          <w:rFonts w:hint="eastAsia" w:ascii="宋体" w:hAnsi="宋体"/>
          <w:b/>
          <w:bCs/>
          <w:sz w:val="24"/>
          <w:szCs w:val="24"/>
          <w:highlight w:val="none"/>
        </w:rPr>
        <w:t>1.6.设备明细</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2856"/>
        <w:gridCol w:w="1176"/>
        <w:gridCol w:w="1896"/>
        <w:gridCol w:w="696"/>
      </w:tblGrid>
      <w:tr w14:paraId="3138A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tcBorders>
              <w:top w:val="single" w:color="auto" w:sz="12" w:space="0"/>
              <w:left w:val="single" w:color="auto" w:sz="4" w:space="0"/>
              <w:bottom w:val="single" w:color="auto" w:sz="4" w:space="0"/>
              <w:right w:val="single" w:color="auto" w:sz="4" w:space="0"/>
            </w:tcBorders>
            <w:vAlign w:val="center"/>
          </w:tcPr>
          <w:p w14:paraId="70E3701E">
            <w:pPr>
              <w:spacing w:line="360" w:lineRule="auto"/>
              <w:jc w:val="center"/>
              <w:rPr>
                <w:rFonts w:ascii="宋体" w:hAnsi="宋体"/>
                <w:sz w:val="24"/>
                <w:szCs w:val="24"/>
                <w:highlight w:val="none"/>
              </w:rPr>
            </w:pPr>
            <w:r>
              <w:rPr>
                <w:rFonts w:hint="eastAsia" w:ascii="宋体" w:hAnsi="宋体"/>
                <w:sz w:val="24"/>
                <w:szCs w:val="24"/>
                <w:highlight w:val="none"/>
              </w:rPr>
              <w:t>序号</w:t>
            </w:r>
          </w:p>
        </w:tc>
        <w:tc>
          <w:tcPr>
            <w:tcW w:w="0" w:type="auto"/>
            <w:tcBorders>
              <w:top w:val="single" w:color="auto" w:sz="12" w:space="0"/>
              <w:left w:val="single" w:color="auto" w:sz="4" w:space="0"/>
              <w:bottom w:val="single" w:color="auto" w:sz="4" w:space="0"/>
              <w:right w:val="single" w:color="auto" w:sz="4" w:space="0"/>
            </w:tcBorders>
            <w:vAlign w:val="center"/>
          </w:tcPr>
          <w:p w14:paraId="40EF69E6">
            <w:pPr>
              <w:spacing w:line="360" w:lineRule="auto"/>
              <w:jc w:val="center"/>
              <w:rPr>
                <w:rFonts w:ascii="宋体" w:hAnsi="宋体"/>
                <w:sz w:val="24"/>
                <w:szCs w:val="24"/>
                <w:highlight w:val="none"/>
              </w:rPr>
            </w:pPr>
            <w:r>
              <w:rPr>
                <w:rFonts w:hint="eastAsia" w:ascii="宋体" w:hAnsi="宋体"/>
                <w:sz w:val="24"/>
                <w:szCs w:val="24"/>
                <w:highlight w:val="none"/>
              </w:rPr>
              <w:t>设备名称</w:t>
            </w:r>
          </w:p>
        </w:tc>
        <w:tc>
          <w:tcPr>
            <w:tcW w:w="0" w:type="auto"/>
            <w:tcBorders>
              <w:top w:val="single" w:color="auto" w:sz="12" w:space="0"/>
              <w:left w:val="single" w:color="auto" w:sz="4" w:space="0"/>
              <w:bottom w:val="single" w:color="auto" w:sz="4" w:space="0"/>
              <w:right w:val="single" w:color="auto" w:sz="4" w:space="0"/>
            </w:tcBorders>
            <w:vAlign w:val="center"/>
          </w:tcPr>
          <w:p w14:paraId="4E894A83">
            <w:pPr>
              <w:spacing w:line="360" w:lineRule="auto"/>
              <w:jc w:val="center"/>
              <w:rPr>
                <w:rFonts w:ascii="宋体" w:hAnsi="宋体"/>
                <w:sz w:val="24"/>
                <w:szCs w:val="24"/>
                <w:highlight w:val="none"/>
              </w:rPr>
            </w:pPr>
            <w:r>
              <w:rPr>
                <w:rFonts w:hint="eastAsia" w:ascii="宋体" w:hAnsi="宋体"/>
                <w:sz w:val="24"/>
                <w:szCs w:val="24"/>
                <w:highlight w:val="none"/>
              </w:rPr>
              <w:t>规格型号</w:t>
            </w:r>
          </w:p>
        </w:tc>
        <w:tc>
          <w:tcPr>
            <w:tcW w:w="0" w:type="auto"/>
            <w:tcBorders>
              <w:top w:val="single" w:color="auto" w:sz="12" w:space="0"/>
              <w:left w:val="single" w:color="auto" w:sz="4" w:space="0"/>
              <w:bottom w:val="single" w:color="auto" w:sz="4" w:space="0"/>
              <w:right w:val="single" w:color="auto" w:sz="4" w:space="0"/>
            </w:tcBorders>
            <w:vAlign w:val="center"/>
          </w:tcPr>
          <w:p w14:paraId="75DED37B">
            <w:pPr>
              <w:spacing w:line="360" w:lineRule="auto"/>
              <w:jc w:val="center"/>
              <w:rPr>
                <w:rFonts w:ascii="宋体" w:hAnsi="宋体"/>
                <w:sz w:val="24"/>
                <w:szCs w:val="24"/>
                <w:highlight w:val="none"/>
              </w:rPr>
            </w:pPr>
            <w:r>
              <w:rPr>
                <w:rFonts w:hint="eastAsia" w:ascii="宋体" w:hAnsi="宋体"/>
                <w:sz w:val="24"/>
                <w:szCs w:val="24"/>
                <w:highlight w:val="none"/>
              </w:rPr>
              <w:t>数量（台、套）</w:t>
            </w:r>
          </w:p>
        </w:tc>
        <w:tc>
          <w:tcPr>
            <w:tcW w:w="0" w:type="auto"/>
            <w:tcBorders>
              <w:top w:val="single" w:color="auto" w:sz="12" w:space="0"/>
              <w:left w:val="single" w:color="auto" w:sz="4" w:space="0"/>
              <w:bottom w:val="single" w:color="auto" w:sz="4" w:space="0"/>
              <w:right w:val="single" w:color="auto" w:sz="4" w:space="0"/>
            </w:tcBorders>
            <w:vAlign w:val="center"/>
          </w:tcPr>
          <w:p w14:paraId="20218BBD">
            <w:pPr>
              <w:spacing w:line="360" w:lineRule="auto"/>
              <w:jc w:val="center"/>
              <w:rPr>
                <w:rFonts w:ascii="宋体" w:hAnsi="宋体"/>
                <w:sz w:val="24"/>
                <w:szCs w:val="24"/>
                <w:highlight w:val="none"/>
              </w:rPr>
            </w:pPr>
            <w:r>
              <w:rPr>
                <w:rFonts w:hint="eastAsia" w:ascii="宋体" w:hAnsi="宋体"/>
                <w:sz w:val="24"/>
                <w:szCs w:val="24"/>
                <w:highlight w:val="none"/>
              </w:rPr>
              <w:t>备注</w:t>
            </w:r>
          </w:p>
        </w:tc>
      </w:tr>
      <w:tr w14:paraId="673F4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12" w:space="0"/>
              <w:left w:val="single" w:color="auto" w:sz="4" w:space="0"/>
              <w:bottom w:val="single" w:color="auto" w:sz="12" w:space="0"/>
              <w:right w:val="single" w:color="auto" w:sz="4" w:space="0"/>
            </w:tcBorders>
            <w:vAlign w:val="center"/>
          </w:tcPr>
          <w:p w14:paraId="6DAE6437">
            <w:pPr>
              <w:spacing w:line="360" w:lineRule="auto"/>
              <w:jc w:val="center"/>
              <w:rPr>
                <w:rFonts w:ascii="宋体" w:hAnsi="宋体"/>
                <w:sz w:val="24"/>
                <w:szCs w:val="24"/>
                <w:highlight w:val="none"/>
              </w:rPr>
            </w:pPr>
            <w:r>
              <w:rPr>
                <w:rFonts w:ascii="宋体" w:hAnsi="宋体"/>
                <w:sz w:val="24"/>
                <w:szCs w:val="24"/>
                <w:highlight w:val="none"/>
              </w:rPr>
              <w:t>1</w:t>
            </w:r>
          </w:p>
        </w:tc>
        <w:tc>
          <w:tcPr>
            <w:tcW w:w="0" w:type="auto"/>
            <w:tcBorders>
              <w:top w:val="single" w:color="auto" w:sz="12" w:space="0"/>
              <w:left w:val="single" w:color="auto" w:sz="4" w:space="0"/>
              <w:bottom w:val="single" w:color="auto" w:sz="12" w:space="0"/>
              <w:right w:val="single" w:color="auto" w:sz="4" w:space="0"/>
            </w:tcBorders>
            <w:vAlign w:val="center"/>
          </w:tcPr>
          <w:p w14:paraId="29772FCB">
            <w:pPr>
              <w:spacing w:line="360" w:lineRule="auto"/>
              <w:jc w:val="center"/>
              <w:rPr>
                <w:rFonts w:hint="eastAsia" w:ascii="宋体" w:hAnsi="宋体" w:eastAsia="宋体"/>
                <w:sz w:val="24"/>
                <w:szCs w:val="24"/>
                <w:highlight w:val="none"/>
                <w:lang w:eastAsia="zh-CN"/>
              </w:rPr>
            </w:pPr>
            <w:r>
              <w:rPr>
                <w:rFonts w:hint="eastAsia" w:ascii="宋体" w:hAnsi="宋体"/>
                <w:sz w:val="24"/>
                <w:szCs w:val="24"/>
                <w:highlight w:val="none"/>
                <w:lang w:eastAsia="zh-CN"/>
              </w:rPr>
              <w:t>中置电池助力机械手改造</w:t>
            </w:r>
          </w:p>
        </w:tc>
        <w:tc>
          <w:tcPr>
            <w:tcW w:w="0" w:type="auto"/>
            <w:tcBorders>
              <w:top w:val="single" w:color="auto" w:sz="12" w:space="0"/>
              <w:left w:val="single" w:color="auto" w:sz="4" w:space="0"/>
              <w:bottom w:val="single" w:color="auto" w:sz="12" w:space="0"/>
              <w:right w:val="single" w:color="auto" w:sz="4" w:space="0"/>
            </w:tcBorders>
            <w:vAlign w:val="center"/>
          </w:tcPr>
          <w:p w14:paraId="7F366A42">
            <w:pPr>
              <w:spacing w:line="360" w:lineRule="auto"/>
              <w:jc w:val="center"/>
              <w:rPr>
                <w:rFonts w:hint="eastAsia" w:ascii="宋体" w:hAnsi="宋体" w:eastAsia="宋体"/>
                <w:sz w:val="24"/>
                <w:szCs w:val="24"/>
                <w:highlight w:val="none"/>
                <w:lang w:eastAsia="zh-CN"/>
              </w:rPr>
            </w:pPr>
            <w:r>
              <w:rPr>
                <w:rFonts w:hint="eastAsia" w:ascii="宋体" w:hAnsi="宋体"/>
                <w:sz w:val="24"/>
                <w:szCs w:val="24"/>
                <w:highlight w:val="none"/>
                <w:lang w:eastAsia="zh-CN"/>
              </w:rPr>
              <w:t>非标</w:t>
            </w:r>
          </w:p>
        </w:tc>
        <w:tc>
          <w:tcPr>
            <w:tcW w:w="0" w:type="auto"/>
            <w:tcBorders>
              <w:top w:val="single" w:color="auto" w:sz="12" w:space="0"/>
              <w:left w:val="single" w:color="auto" w:sz="4" w:space="0"/>
              <w:bottom w:val="single" w:color="auto" w:sz="12" w:space="0"/>
              <w:right w:val="single" w:color="auto" w:sz="4" w:space="0"/>
            </w:tcBorders>
            <w:vAlign w:val="center"/>
          </w:tcPr>
          <w:p w14:paraId="7D7DDB97">
            <w:pPr>
              <w:spacing w:line="360" w:lineRule="auto"/>
              <w:jc w:val="center"/>
              <w:rPr>
                <w:rFonts w:ascii="宋体" w:hAnsi="宋体"/>
                <w:sz w:val="24"/>
                <w:szCs w:val="24"/>
                <w:highlight w:val="none"/>
              </w:rPr>
            </w:pPr>
            <w:r>
              <w:rPr>
                <w:rFonts w:hint="eastAsia" w:ascii="宋体" w:hAnsi="宋体"/>
                <w:sz w:val="24"/>
                <w:szCs w:val="24"/>
                <w:highlight w:val="none"/>
              </w:rPr>
              <w:t>1</w:t>
            </w:r>
          </w:p>
        </w:tc>
        <w:tc>
          <w:tcPr>
            <w:tcW w:w="0" w:type="auto"/>
            <w:tcBorders>
              <w:top w:val="single" w:color="auto" w:sz="12" w:space="0"/>
              <w:left w:val="single" w:color="auto" w:sz="4" w:space="0"/>
              <w:bottom w:val="single" w:color="auto" w:sz="12" w:space="0"/>
              <w:right w:val="single" w:color="auto" w:sz="4" w:space="0"/>
            </w:tcBorders>
            <w:vAlign w:val="center"/>
          </w:tcPr>
          <w:p w14:paraId="0ACBF764">
            <w:pPr>
              <w:spacing w:line="360" w:lineRule="auto"/>
              <w:ind w:firstLine="480" w:firstLineChars="200"/>
              <w:jc w:val="center"/>
              <w:rPr>
                <w:rFonts w:ascii="宋体" w:hAnsi="宋体"/>
                <w:sz w:val="24"/>
                <w:szCs w:val="24"/>
                <w:highlight w:val="none"/>
              </w:rPr>
            </w:pPr>
          </w:p>
        </w:tc>
      </w:tr>
    </w:tbl>
    <w:p w14:paraId="13CB4902">
      <w:pPr>
        <w:spacing w:line="360" w:lineRule="auto"/>
        <w:rPr>
          <w:rFonts w:ascii="宋体" w:hAnsi="宋体"/>
          <w:b/>
          <w:bCs/>
          <w:sz w:val="24"/>
          <w:szCs w:val="24"/>
          <w:highlight w:val="none"/>
        </w:rPr>
      </w:pPr>
      <w:r>
        <w:rPr>
          <w:rFonts w:hint="eastAsia" w:ascii="宋体" w:hAnsi="宋体"/>
          <w:b/>
          <w:bCs/>
          <w:sz w:val="24"/>
          <w:szCs w:val="24"/>
          <w:highlight w:val="none"/>
        </w:rPr>
        <w:t>2设备说明及规格配置</w:t>
      </w:r>
    </w:p>
    <w:p w14:paraId="4CFC0BBF">
      <w:pPr>
        <w:spacing w:line="360" w:lineRule="auto"/>
        <w:rPr>
          <w:rFonts w:hint="eastAsia" w:ascii="宋体" w:hAnsi="宋体"/>
          <w:b/>
          <w:bCs/>
          <w:sz w:val="24"/>
          <w:szCs w:val="24"/>
          <w:highlight w:val="none"/>
          <w:lang w:eastAsia="zh-CN"/>
        </w:rPr>
      </w:pPr>
      <w:r>
        <w:rPr>
          <w:rFonts w:hint="eastAsia" w:ascii="宋体" w:hAnsi="宋体"/>
          <w:b/>
          <w:bCs/>
          <w:sz w:val="24"/>
          <w:szCs w:val="24"/>
          <w:highlight w:val="none"/>
        </w:rPr>
        <w:t>2.1</w:t>
      </w:r>
      <w:r>
        <w:rPr>
          <w:rFonts w:hint="eastAsia" w:ascii="宋体" w:hAnsi="宋体"/>
          <w:b/>
          <w:bCs/>
          <w:sz w:val="24"/>
          <w:szCs w:val="24"/>
          <w:highlight w:val="none"/>
          <w:lang w:eastAsia="zh-CN"/>
        </w:rPr>
        <w:t>中置电池助力机械手改造</w:t>
      </w:r>
    </w:p>
    <w:p w14:paraId="6ABB6A2B">
      <w:pPr>
        <w:spacing w:line="360" w:lineRule="auto"/>
        <w:rPr>
          <w:rFonts w:ascii="宋体" w:hAnsi="宋体"/>
          <w:sz w:val="24"/>
          <w:szCs w:val="24"/>
          <w:highlight w:val="none"/>
        </w:rPr>
      </w:pPr>
      <w:r>
        <w:rPr>
          <w:rFonts w:hint="eastAsia" w:ascii="宋体" w:hAnsi="宋体"/>
          <w:sz w:val="24"/>
          <w:szCs w:val="24"/>
          <w:highlight w:val="none"/>
        </w:rPr>
        <w:t>2</w:t>
      </w:r>
      <w:r>
        <w:rPr>
          <w:rFonts w:ascii="宋体" w:hAnsi="宋体"/>
          <w:sz w:val="24"/>
          <w:szCs w:val="24"/>
          <w:highlight w:val="none"/>
        </w:rPr>
        <w:t>.1.1</w:t>
      </w:r>
      <w:r>
        <w:rPr>
          <w:rFonts w:hint="eastAsia" w:ascii="宋体" w:hAnsi="宋体"/>
          <w:sz w:val="24"/>
          <w:szCs w:val="24"/>
          <w:highlight w:val="none"/>
        </w:rPr>
        <w:t>技术原则</w:t>
      </w:r>
    </w:p>
    <w:p w14:paraId="4C6A4615">
      <w:pPr>
        <w:spacing w:line="360" w:lineRule="auto"/>
        <w:rPr>
          <w:rFonts w:hint="eastAsia" w:ascii="宋体" w:hAnsi="宋体"/>
          <w:sz w:val="24"/>
          <w:szCs w:val="24"/>
          <w:highlight w:val="none"/>
          <w:lang w:eastAsia="zh-CN"/>
        </w:rPr>
      </w:pPr>
      <w:r>
        <w:rPr>
          <w:rFonts w:hint="eastAsia" w:ascii="宋体" w:hAnsi="宋体"/>
          <w:sz w:val="24"/>
          <w:szCs w:val="24"/>
          <w:highlight w:val="none"/>
          <w:lang w:eastAsia="zh-CN"/>
        </w:rPr>
        <w:t>在现有中置机械手项目基础上进行改造，以适应全中置电池车型安装为导向进行改造，已满足现有中置电池的在线高效安装。</w:t>
      </w:r>
    </w:p>
    <w:p w14:paraId="4B5C0815">
      <w:pPr>
        <w:spacing w:line="360" w:lineRule="auto"/>
        <w:rPr>
          <w:rFonts w:ascii="宋体" w:hAnsi="宋体"/>
          <w:sz w:val="24"/>
          <w:szCs w:val="24"/>
          <w:highlight w:val="none"/>
        </w:rPr>
      </w:pPr>
      <w:r>
        <w:rPr>
          <w:rFonts w:hint="eastAsia" w:ascii="宋体" w:hAnsi="宋体"/>
          <w:sz w:val="24"/>
          <w:szCs w:val="24"/>
          <w:highlight w:val="none"/>
        </w:rPr>
        <w:t>2</w:t>
      </w:r>
      <w:r>
        <w:rPr>
          <w:rFonts w:ascii="宋体" w:hAnsi="宋体"/>
          <w:sz w:val="24"/>
          <w:szCs w:val="24"/>
          <w:highlight w:val="none"/>
        </w:rPr>
        <w:t>.1.2</w:t>
      </w:r>
      <w:r>
        <w:rPr>
          <w:rFonts w:hint="eastAsia" w:ascii="宋体" w:hAnsi="宋体"/>
          <w:sz w:val="24"/>
          <w:szCs w:val="24"/>
          <w:highlight w:val="none"/>
        </w:rPr>
        <w:t>基本构成</w:t>
      </w:r>
    </w:p>
    <w:p w14:paraId="34096188">
      <w:pPr>
        <w:spacing w:line="360" w:lineRule="auto"/>
        <w:rPr>
          <w:rFonts w:hint="eastAsia" w:ascii="宋体" w:hAnsi="宋体" w:eastAsia="宋体"/>
          <w:sz w:val="24"/>
          <w:szCs w:val="24"/>
          <w:highlight w:val="none"/>
          <w:lang w:eastAsia="zh-CN"/>
        </w:rPr>
      </w:pPr>
      <w:r>
        <w:rPr>
          <w:rFonts w:hint="eastAsia" w:ascii="宋体" w:hAnsi="宋体"/>
          <w:sz w:val="24"/>
          <w:szCs w:val="24"/>
          <w:highlight w:val="none"/>
        </w:rPr>
        <w:t>基本构成包括：</w:t>
      </w:r>
      <w:r>
        <w:rPr>
          <w:rFonts w:hint="eastAsia" w:ascii="宋体" w:hAnsi="宋体"/>
          <w:sz w:val="24"/>
          <w:szCs w:val="24"/>
          <w:highlight w:val="none"/>
          <w:lang w:eastAsia="zh-CN"/>
        </w:rPr>
        <w:t>中置电池助力机械手本体、转运小车、轨道、钢构。</w:t>
      </w:r>
    </w:p>
    <w:p w14:paraId="40BEF17A">
      <w:pPr>
        <w:spacing w:line="360" w:lineRule="auto"/>
        <w:rPr>
          <w:rFonts w:hint="eastAsia" w:ascii="宋体" w:hAnsi="宋体"/>
          <w:sz w:val="24"/>
          <w:szCs w:val="24"/>
          <w:highlight w:val="none"/>
        </w:rPr>
      </w:pPr>
      <w:r>
        <w:rPr>
          <w:rFonts w:hint="eastAsia" w:ascii="宋体" w:hAnsi="宋体"/>
          <w:sz w:val="24"/>
          <w:szCs w:val="24"/>
          <w:highlight w:val="none"/>
        </w:rPr>
        <w:t>2.1.</w:t>
      </w:r>
      <w:r>
        <w:rPr>
          <w:rFonts w:ascii="宋体" w:hAnsi="宋体"/>
          <w:sz w:val="24"/>
          <w:szCs w:val="24"/>
          <w:highlight w:val="none"/>
        </w:rPr>
        <w:t>3</w:t>
      </w:r>
      <w:r>
        <w:rPr>
          <w:rFonts w:hint="eastAsia" w:ascii="宋体" w:hAnsi="宋体"/>
          <w:sz w:val="24"/>
          <w:szCs w:val="24"/>
          <w:highlight w:val="none"/>
        </w:rPr>
        <w:t>技术参数</w:t>
      </w:r>
    </w:p>
    <w:p w14:paraId="099381C5">
      <w:pPr>
        <w:spacing w:line="360" w:lineRule="auto"/>
        <w:ind w:firstLine="422" w:firstLineChars="200"/>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重载机械臂本体</w:t>
      </w:r>
    </w:p>
    <w:p w14:paraId="4638E53A">
      <w:pPr>
        <w:spacing w:line="360" w:lineRule="auto"/>
        <w:ind w:firstLine="480" w:firstLineChars="200"/>
        <w:jc w:val="left"/>
        <w:rPr>
          <w:rFonts w:hint="eastAsia" w:ascii="宋体" w:hAnsi="宋体"/>
          <w:sz w:val="24"/>
          <w:szCs w:val="24"/>
          <w:highlight w:val="none"/>
          <w:lang w:val="en-US" w:eastAsia="zh-CN"/>
        </w:rPr>
      </w:pPr>
      <w:r>
        <w:rPr>
          <w:rFonts w:hint="eastAsia" w:ascii="宋体" w:hAnsi="宋体"/>
          <w:sz w:val="24"/>
          <w:szCs w:val="24"/>
          <w:highlight w:val="none"/>
          <w:lang w:val="en-US" w:eastAsia="zh-CN"/>
        </w:rPr>
        <w:t>单包电池产品安装结构为车架纵梁底部安装，为满足该结构需要在动力电池上线区新增安装机械手，满足动力电池合装节拍30JPH。</w:t>
      </w:r>
    </w:p>
    <w:p w14:paraId="30821232">
      <w:pPr>
        <w:spacing w:line="360" w:lineRule="auto"/>
        <w:ind w:firstLine="480" w:firstLineChars="200"/>
        <w:jc w:val="left"/>
        <w:rPr>
          <w:rFonts w:hint="default" w:ascii="宋体" w:hAnsi="宋体"/>
          <w:sz w:val="24"/>
          <w:szCs w:val="24"/>
          <w:highlight w:val="none"/>
          <w:lang w:val="en-US" w:eastAsia="zh-CN"/>
        </w:rPr>
      </w:pPr>
      <w:r>
        <w:rPr>
          <w:rFonts w:hint="eastAsia" w:ascii="宋体" w:hAnsi="宋体"/>
          <w:sz w:val="24"/>
          <w:szCs w:val="24"/>
          <w:highlight w:val="none"/>
          <w:lang w:val="en-US" w:eastAsia="zh-CN"/>
        </w:rPr>
        <w:t>设备整体采用T型垂直升降助力臂，设备具有随行功能，可随板链同步运行，可处理工件重量1000KG。</w:t>
      </w:r>
    </w:p>
    <w:p w14:paraId="2BDBBCA9">
      <w:pPr>
        <w:spacing w:line="360" w:lineRule="auto"/>
        <w:ind w:firstLine="480" w:firstLineChars="200"/>
        <w:jc w:val="left"/>
        <w:rPr>
          <w:rFonts w:hint="default" w:ascii="宋体" w:hAnsi="宋体"/>
          <w:sz w:val="24"/>
          <w:szCs w:val="24"/>
          <w:highlight w:val="none"/>
          <w:lang w:val="en-US" w:eastAsia="zh-CN"/>
        </w:rPr>
      </w:pPr>
      <w:r>
        <w:rPr>
          <w:rFonts w:hint="eastAsia" w:ascii="宋体" w:hAnsi="宋体"/>
          <w:sz w:val="24"/>
          <w:szCs w:val="24"/>
          <w:highlight w:val="none"/>
          <w:lang w:val="en-US" w:eastAsia="zh-CN"/>
        </w:rPr>
        <w:t>控制系统采用PLC伺服控制X、Y方向各执行单元的动作，Z向（高度）由人工控制，在垂直于车架方向，即Y向，具备调整角度功能，以方便机械手对孔。</w:t>
      </w:r>
    </w:p>
    <w:p w14:paraId="3BDED22D">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设备主要由导轨系统、主机主体、夹具及吊具、电气系统部分组成。在使用过程中，方便灵活，不与生产线上的其他器械干涉，不使用时不影响人的走动及物料的输送。</w:t>
      </w:r>
    </w:p>
    <w:p w14:paraId="6F1E644E">
      <w:pPr>
        <w:spacing w:line="360" w:lineRule="auto"/>
        <w:ind w:firstLine="480" w:firstLineChars="200"/>
        <w:jc w:val="left"/>
        <w:rPr>
          <w:rFonts w:hint="default" w:ascii="宋体" w:hAnsi="宋体"/>
          <w:sz w:val="24"/>
          <w:szCs w:val="24"/>
          <w:highlight w:val="none"/>
          <w:lang w:val="en-US" w:eastAsia="zh-CN"/>
        </w:rPr>
      </w:pPr>
      <w:r>
        <w:rPr>
          <w:rFonts w:hint="eastAsia" w:ascii="宋体" w:hAnsi="宋体"/>
          <w:sz w:val="24"/>
          <w:szCs w:val="24"/>
          <w:highlight w:val="none"/>
          <w:lang w:val="en-US" w:eastAsia="zh-CN"/>
        </w:rPr>
        <w:t>设备</w:t>
      </w:r>
      <w:r>
        <w:rPr>
          <w:rFonts w:hint="eastAsia" w:ascii="宋体" w:hAnsi="宋体"/>
          <w:sz w:val="24"/>
          <w:szCs w:val="24"/>
          <w:highlight w:val="none"/>
        </w:rPr>
        <w:t>所运行的实际工作范围应达到使用要求，在行程内的任何范围内均处于平衡状态，便于其移动及定位。</w:t>
      </w:r>
    </w:p>
    <w:p w14:paraId="6E29D9D5">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lang w:val="en-US" w:eastAsia="zh-CN"/>
        </w:rPr>
        <w:t>机械手能根据车型快速切换适应不同车型的负载。</w:t>
      </w:r>
      <w:r>
        <w:rPr>
          <w:rFonts w:hint="eastAsia" w:ascii="宋体" w:hAnsi="宋体"/>
          <w:sz w:val="24"/>
          <w:szCs w:val="24"/>
          <w:highlight w:val="none"/>
        </w:rPr>
        <w:t>整机主体装配完后各个活动关节不得有晃动、异响或倾斜现象。各回转关节可使装夹具方便的移到所需的位置及转动到合适的操作角度，并且主回转关节带有刹车装置，使其在闲置状态时，不会产生漂移，设计的回转角度参数需要根据现场确定并由</w:t>
      </w:r>
      <w:r>
        <w:rPr>
          <w:rFonts w:hint="eastAsia" w:ascii="宋体" w:hAnsi="宋体"/>
          <w:sz w:val="24"/>
          <w:szCs w:val="24"/>
          <w:highlight w:val="none"/>
          <w:lang w:eastAsia="zh-CN"/>
        </w:rPr>
        <w:t>甲方</w:t>
      </w:r>
      <w:r>
        <w:rPr>
          <w:rFonts w:hint="eastAsia" w:ascii="宋体" w:hAnsi="宋体"/>
          <w:sz w:val="24"/>
          <w:szCs w:val="24"/>
          <w:highlight w:val="none"/>
        </w:rPr>
        <w:t>认可。</w:t>
      </w:r>
    </w:p>
    <w:p w14:paraId="14045E60">
      <w:pPr>
        <w:spacing w:line="360" w:lineRule="auto"/>
        <w:ind w:firstLine="480" w:firstLineChars="200"/>
        <w:jc w:val="left"/>
        <w:rPr>
          <w:rFonts w:hint="eastAsia" w:ascii="宋体" w:hAnsi="宋体"/>
          <w:sz w:val="24"/>
          <w:szCs w:val="24"/>
          <w:highlight w:val="none"/>
          <w:lang w:val="en-US" w:eastAsia="zh-CN"/>
        </w:rPr>
      </w:pPr>
      <w:r>
        <w:rPr>
          <w:rFonts w:hint="eastAsia" w:ascii="宋体" w:hAnsi="宋体"/>
          <w:sz w:val="24"/>
          <w:szCs w:val="24"/>
          <w:highlight w:val="none"/>
          <w:lang w:val="en-US" w:eastAsia="zh-CN"/>
        </w:rPr>
        <w:t>系统配备断气保护功能；系统配有二联件、单向阀、储气罐，稳定系统的压缩空气，当主供气源突然断气时，主机臂杆和夹具不会突然坠落，并使该系统有足够动力完成本次操作。</w:t>
      </w:r>
    </w:p>
    <w:p w14:paraId="1FE3904F">
      <w:pPr>
        <w:spacing w:line="360" w:lineRule="auto"/>
        <w:ind w:firstLine="480" w:firstLineChars="200"/>
        <w:jc w:val="left"/>
        <w:rPr>
          <w:rFonts w:hint="eastAsia" w:ascii="宋体" w:hAnsi="宋体"/>
          <w:sz w:val="24"/>
          <w:szCs w:val="24"/>
          <w:highlight w:val="none"/>
          <w:lang w:val="en-US" w:eastAsia="zh-CN"/>
        </w:rPr>
      </w:pPr>
      <w:r>
        <w:rPr>
          <w:rFonts w:hint="eastAsia" w:ascii="宋体" w:hAnsi="宋体"/>
          <w:sz w:val="24"/>
          <w:szCs w:val="24"/>
          <w:highlight w:val="none"/>
          <w:lang w:val="en-US" w:eastAsia="zh-CN"/>
        </w:rPr>
        <w:t>设备具有上下限位装置；设有防撞限位；配备防脱轨装置，保证安全可靠；具备超载限制功能；连接及吊点标配二次防护。</w:t>
      </w:r>
    </w:p>
    <w:p w14:paraId="7AC98534">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设备具备自保护功能，</w:t>
      </w:r>
      <w:r>
        <w:rPr>
          <w:rFonts w:hint="eastAsia" w:ascii="宋体" w:hAnsi="宋体"/>
          <w:sz w:val="24"/>
          <w:szCs w:val="24"/>
          <w:highlight w:val="none"/>
          <w:lang w:val="en-US" w:eastAsia="zh-CN"/>
        </w:rPr>
        <w:t>同时具备误操作保护和报警功能，</w:t>
      </w:r>
      <w:r>
        <w:rPr>
          <w:rFonts w:hint="eastAsia" w:ascii="宋体" w:hAnsi="宋体"/>
          <w:sz w:val="24"/>
          <w:szCs w:val="24"/>
          <w:highlight w:val="none"/>
        </w:rPr>
        <w:t>防止在漂移状态下，与线体干涉，造成设备损坏。</w:t>
      </w:r>
    </w:p>
    <w:p w14:paraId="4249E4EC">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系统具有运动平滑、结构刚性等特点，使物料的移载、装配等轻松快捷、运行平稳（不得有机械装配不合理所产生的异响）。</w:t>
      </w:r>
    </w:p>
    <w:p w14:paraId="169A9F57">
      <w:pPr>
        <w:spacing w:line="360" w:lineRule="auto"/>
        <w:ind w:firstLine="480" w:firstLineChars="200"/>
        <w:jc w:val="left"/>
        <w:rPr>
          <w:rFonts w:hint="eastAsia" w:ascii="宋体" w:hAnsi="宋体"/>
          <w:sz w:val="24"/>
          <w:szCs w:val="24"/>
          <w:highlight w:val="none"/>
          <w:lang w:val="en-US" w:eastAsia="zh-CN"/>
        </w:rPr>
      </w:pPr>
      <w:r>
        <w:rPr>
          <w:rFonts w:hint="eastAsia" w:ascii="宋体" w:hAnsi="宋体"/>
          <w:sz w:val="24"/>
          <w:szCs w:val="24"/>
          <w:highlight w:val="none"/>
          <w:lang w:val="en-US" w:eastAsia="zh-CN"/>
        </w:rPr>
        <w:t>设备配备力觉手柄控制系统，</w:t>
      </w:r>
      <w:r>
        <w:rPr>
          <w:rFonts w:hint="eastAsia" w:ascii="宋体" w:hAnsi="宋体"/>
          <w:sz w:val="24"/>
          <w:szCs w:val="24"/>
          <w:highlight w:val="none"/>
        </w:rPr>
        <w:t>控制手柄和定制夹具集成为一体，操作人员可同时用双手控制物料的定位</w:t>
      </w:r>
      <w:r>
        <w:rPr>
          <w:rFonts w:hint="eastAsia" w:ascii="宋体" w:hAnsi="宋体"/>
          <w:sz w:val="24"/>
          <w:szCs w:val="24"/>
          <w:highlight w:val="none"/>
          <w:lang w:eastAsia="zh-CN"/>
        </w:rPr>
        <w:t>，</w:t>
      </w:r>
      <w:r>
        <w:rPr>
          <w:rFonts w:hint="eastAsia" w:ascii="宋体" w:hAnsi="宋体"/>
          <w:sz w:val="24"/>
          <w:szCs w:val="24"/>
          <w:highlight w:val="none"/>
          <w:lang w:val="en-US" w:eastAsia="zh-CN"/>
        </w:rPr>
        <w:t>通过装有力觉传感器的手柄控制设备两个方向的行走。</w:t>
      </w:r>
    </w:p>
    <w:p w14:paraId="46AF09A6">
      <w:pPr>
        <w:spacing w:line="360" w:lineRule="auto"/>
        <w:ind w:firstLine="480" w:firstLineChars="200"/>
        <w:jc w:val="left"/>
        <w:rPr>
          <w:rFonts w:hint="eastAsia" w:ascii="宋体" w:hAnsi="宋体"/>
          <w:sz w:val="24"/>
          <w:szCs w:val="24"/>
          <w:highlight w:val="none"/>
          <w:lang w:val="en-US" w:eastAsia="zh-CN"/>
        </w:rPr>
      </w:pPr>
      <w:r>
        <w:rPr>
          <w:rFonts w:hint="eastAsia" w:ascii="宋体" w:hAnsi="宋体"/>
          <w:sz w:val="24"/>
          <w:szCs w:val="24"/>
          <w:highlight w:val="none"/>
          <w:lang w:val="en-US" w:eastAsia="zh-CN"/>
        </w:rPr>
        <w:t>控制系统通过特定控制算式的加持，实时解读操作者的控制意图，控制设备做出符合操作者预期的动作，实现“得心应手” 的极致操控感受。</w:t>
      </w:r>
    </w:p>
    <w:p w14:paraId="7FD1B853">
      <w:pPr>
        <w:spacing w:line="360" w:lineRule="auto"/>
        <w:ind w:firstLine="480" w:firstLineChars="200"/>
        <w:jc w:val="left"/>
        <w:rPr>
          <w:rFonts w:hint="eastAsia" w:ascii="宋体" w:hAnsi="宋体"/>
          <w:sz w:val="24"/>
          <w:szCs w:val="24"/>
          <w:highlight w:val="none"/>
          <w:lang w:val="en-US" w:eastAsia="zh-CN"/>
        </w:rPr>
      </w:pPr>
      <w:r>
        <w:rPr>
          <w:rFonts w:hint="eastAsia" w:ascii="宋体" w:hAnsi="宋体"/>
          <w:sz w:val="24"/>
          <w:szCs w:val="24"/>
          <w:highlight w:val="none"/>
          <w:lang w:val="en-US" w:eastAsia="zh-CN"/>
        </w:rPr>
        <w:t>所传递和执行的动作不仅仅是方向和速度，还包括加减速的力度等非常细腻的反应，同时需做到两轴联动，可以根据操作意图走任意角度斜线、曲线，同时微动、快速行走转换流畅，无丝毫顿挫。</w:t>
      </w:r>
    </w:p>
    <w:p w14:paraId="6240718F">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设备设计载荷至少留有</w:t>
      </w:r>
      <w:r>
        <w:rPr>
          <w:rFonts w:hint="eastAsia" w:ascii="宋体" w:hAnsi="宋体"/>
          <w:sz w:val="24"/>
          <w:szCs w:val="24"/>
          <w:highlight w:val="none"/>
          <w:lang w:val="en-US" w:eastAsia="zh-CN"/>
        </w:rPr>
        <w:t>1</w:t>
      </w:r>
      <w:r>
        <w:rPr>
          <w:rFonts w:hint="eastAsia" w:ascii="宋体" w:hAnsi="宋体"/>
          <w:sz w:val="24"/>
          <w:szCs w:val="24"/>
          <w:highlight w:val="none"/>
        </w:rPr>
        <w:t>0%余量，且不能因车型变化引起的零部件重量、重心和外形尺寸变化而影响设备的正常使用。</w:t>
      </w:r>
    </w:p>
    <w:p w14:paraId="5454A343">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 xml:space="preserve">夹具的设计必须满足所有车型需求，夹紧可靠，使用方便。配置专用夹具,采用动力、机械夹持式结构，并配有相应的夹持缓冲装置，实现工件的有效安全抓取。夹具应具备一定的刚性以防止由于重复使用和受力过大导致变形。 </w:t>
      </w:r>
    </w:p>
    <w:p w14:paraId="2A181965">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夹具、吊具上所做的防护或定位装夹应科学合理，安全可靠，不得有对工件划伤、干涉或定位装夹不足的现象；同时夹具、吊具必要时在左右方向、前后方向</w:t>
      </w:r>
      <w:r>
        <w:rPr>
          <w:rFonts w:hint="eastAsia" w:ascii="宋体" w:hAnsi="宋体"/>
          <w:sz w:val="24"/>
          <w:szCs w:val="24"/>
          <w:highlight w:val="none"/>
          <w:lang w:val="en-US" w:eastAsia="zh-CN"/>
        </w:rPr>
        <w:t>等</w:t>
      </w:r>
      <w:r>
        <w:rPr>
          <w:rFonts w:hint="eastAsia" w:ascii="宋体" w:hAnsi="宋体"/>
          <w:sz w:val="24"/>
          <w:szCs w:val="24"/>
          <w:highlight w:val="none"/>
        </w:rPr>
        <w:t>有一定的微调空间，</w:t>
      </w:r>
      <w:r>
        <w:rPr>
          <w:rFonts w:hint="eastAsia" w:ascii="宋体" w:hAnsi="宋体"/>
          <w:sz w:val="24"/>
          <w:szCs w:val="24"/>
          <w:highlight w:val="none"/>
          <w:lang w:val="en-US" w:eastAsia="zh-CN"/>
        </w:rPr>
        <w:t>满足车架螺栓孔位与电池支架螺栓孔位对准找正，</w:t>
      </w:r>
      <w:r>
        <w:rPr>
          <w:rFonts w:hint="eastAsia" w:ascii="宋体" w:hAnsi="宋体"/>
          <w:sz w:val="24"/>
          <w:szCs w:val="24"/>
          <w:highlight w:val="none"/>
        </w:rPr>
        <w:t>方便工件的安装。设备的夹具能够进行拆换，便于</w:t>
      </w:r>
      <w:r>
        <w:rPr>
          <w:rFonts w:hint="eastAsia" w:ascii="宋体" w:hAnsi="宋体"/>
          <w:sz w:val="24"/>
          <w:szCs w:val="24"/>
          <w:highlight w:val="none"/>
          <w:lang w:val="en-US" w:eastAsia="zh-CN"/>
        </w:rPr>
        <w:t>维修保养及后续改造</w:t>
      </w:r>
      <w:r>
        <w:rPr>
          <w:rFonts w:hint="eastAsia" w:ascii="宋体" w:hAnsi="宋体"/>
          <w:sz w:val="24"/>
          <w:szCs w:val="24"/>
          <w:highlight w:val="none"/>
        </w:rPr>
        <w:t>。</w:t>
      </w:r>
    </w:p>
    <w:p w14:paraId="7ABB9513">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螺纹连接件采用防松措施，相对滑动部位具有良好的润滑和防护措施。所有紧固螺栓在调试后紧固并做好标记。</w:t>
      </w:r>
    </w:p>
    <w:p w14:paraId="3849FCF4">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设备在不进行操作的时候都必须在安全区域处于锁紧状态，设备必须具有锁紧与操作的手动切换功能。</w:t>
      </w:r>
    </w:p>
    <w:p w14:paraId="6863E343">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开关箱就近安装，便于工人下班后切断电源。</w:t>
      </w:r>
    </w:p>
    <w:p w14:paraId="2DC46102">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控制柜配备空调降温；控制柜内设置照明装置。系统各部件要求接地良好，电缆桥架、电柜、钢管之间必须做接地跨接。</w:t>
      </w:r>
    </w:p>
    <w:p w14:paraId="1A5EE0ED">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所有输送线体按钮站、控制柜、线束桥架全部符合国标要求，各设备和控制系统之间不允许有控制方式、接口不相容因素。所有电器、气动元件需要标识清晰，方便维修人员处理故障。</w:t>
      </w:r>
    </w:p>
    <w:p w14:paraId="07CC8A2C">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控制柜外壳防护等级：柜内采用空调恒温（30℃~35℃），控制柜的外壳防护等级不宜低于IP55；室外环境，控制柜的外壳防护等级不宜低于</w:t>
      </w:r>
      <w:r>
        <w:rPr>
          <w:rFonts w:hint="eastAsia" w:ascii="宋体" w:hAnsi="宋体"/>
          <w:sz w:val="24"/>
          <w:szCs w:val="24"/>
          <w:highlight w:val="none"/>
        </w:rPr>
        <w:fldChar w:fldCharType="begin"/>
      </w:r>
      <w:r>
        <w:rPr>
          <w:rFonts w:hint="eastAsia" w:ascii="宋体" w:hAnsi="宋体"/>
          <w:sz w:val="24"/>
          <w:szCs w:val="24"/>
          <w:highlight w:val="none"/>
        </w:rPr>
        <w:instrText xml:space="preserve"> HYPERLINK "名词释义3.13.xlsx" </w:instrText>
      </w:r>
      <w:r>
        <w:rPr>
          <w:rFonts w:hint="eastAsia" w:ascii="宋体" w:hAnsi="宋体"/>
          <w:sz w:val="24"/>
          <w:szCs w:val="24"/>
          <w:highlight w:val="none"/>
        </w:rPr>
        <w:fldChar w:fldCharType="separate"/>
      </w:r>
      <w:r>
        <w:rPr>
          <w:rFonts w:hint="eastAsia" w:ascii="宋体" w:hAnsi="宋体"/>
          <w:sz w:val="24"/>
          <w:szCs w:val="24"/>
          <w:highlight w:val="none"/>
        </w:rPr>
        <w:t>IP67</w:t>
      </w:r>
      <w:r>
        <w:rPr>
          <w:rFonts w:hint="eastAsia" w:ascii="宋体" w:hAnsi="宋体"/>
          <w:sz w:val="24"/>
          <w:szCs w:val="24"/>
          <w:highlight w:val="none"/>
        </w:rPr>
        <w:fldChar w:fldCharType="end"/>
      </w:r>
      <w:r>
        <w:rPr>
          <w:rFonts w:hint="eastAsia" w:ascii="宋体" w:hAnsi="宋体"/>
          <w:sz w:val="24"/>
          <w:szCs w:val="24"/>
          <w:highlight w:val="none"/>
        </w:rPr>
        <w:t>。</w:t>
      </w:r>
    </w:p>
    <w:p w14:paraId="60890803">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控制柜内的端子排应布置在易于安装接线的地方，即为离柜底300mm以上和距柜顶150mm以下，控制柜（控制台）尺寸、颜色、外形结构相同，其控制柜、控制台颜色由甲方确定。控制柜内附有关本控制柜情况的资料袋。</w:t>
      </w:r>
    </w:p>
    <w:p w14:paraId="7FC23C92">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所有外部接线至少满足1.5mm2线芯截面的接线要求。</w:t>
      </w:r>
    </w:p>
    <w:p w14:paraId="73306181">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控制柜内的每个电气元件、端子排和端子都有清晰的标志，并与图纸和接线表相符。</w:t>
      </w:r>
    </w:p>
    <w:p w14:paraId="0D5498DB">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端子排、电缆夹头、电缆走线槽及接线槽均由“阻燃”型材料制造。</w:t>
      </w:r>
    </w:p>
    <w:p w14:paraId="02864C55">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所有I/O模块和现场信号的接线接口应为接线端子排，卡件和端子排之间的连线在制造厂内接好，并在端子排上注有明显标记。</w:t>
      </w:r>
    </w:p>
    <w:p w14:paraId="6E7A182E">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控制柜内应预留充足的空间，元器件安装裕量大于20%，使甲方能增加部分元器件，方便地接线、汇线、布线和查线。所有信号屏蔽层接地应在控制柜侧完成。</w:t>
      </w:r>
    </w:p>
    <w:p w14:paraId="4843935F">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设备自动化控制系统（PLC、工业软件）的品牌推荐见具体配置，是根据公司设备使用习惯、实现设备（生产线）控制目的、维修技术人员的知识结构、备件储备与易获得性、易维修性和价格等因素综合权衡后确定的，并非设置壁垒，阻止采用其它品牌。当设备必须选用其它品牌的PLC产品才能满足设备安全、质量、工艺要求时，亦可以选择其它品牌产品，但应当考虑维修、备件、易维修性等因素，控制系统通讯应当满足本文内工业通讯的要求。</w:t>
      </w:r>
    </w:p>
    <w:p w14:paraId="6BDE49CC">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数据采集与监视控制系统（SCADA）选用</w:t>
      </w:r>
      <w:r>
        <w:rPr>
          <w:rFonts w:hint="eastAsia" w:ascii="宋体" w:hAnsi="宋体"/>
          <w:sz w:val="24"/>
          <w:szCs w:val="24"/>
          <w:highlight w:val="none"/>
        </w:rPr>
        <w:fldChar w:fldCharType="begin"/>
      </w:r>
      <w:r>
        <w:rPr>
          <w:rFonts w:hint="eastAsia" w:ascii="宋体" w:hAnsi="宋体"/>
          <w:sz w:val="24"/>
          <w:szCs w:val="24"/>
          <w:highlight w:val="none"/>
        </w:rPr>
        <w:instrText xml:space="preserve"> HYPERLINK "名词释义3.13.xlsx" </w:instrText>
      </w:r>
      <w:r>
        <w:rPr>
          <w:rFonts w:hint="eastAsia" w:ascii="宋体" w:hAnsi="宋体"/>
          <w:sz w:val="24"/>
          <w:szCs w:val="24"/>
          <w:highlight w:val="none"/>
        </w:rPr>
        <w:fldChar w:fldCharType="separate"/>
      </w:r>
      <w:r>
        <w:rPr>
          <w:rFonts w:hint="eastAsia" w:ascii="宋体" w:hAnsi="宋体"/>
          <w:sz w:val="24"/>
          <w:szCs w:val="24"/>
          <w:highlight w:val="none"/>
        </w:rPr>
        <w:t>西门子WINCC组态</w:t>
      </w:r>
      <w:r>
        <w:rPr>
          <w:rFonts w:hint="eastAsia" w:ascii="宋体" w:hAnsi="宋体"/>
          <w:sz w:val="24"/>
          <w:szCs w:val="24"/>
          <w:highlight w:val="none"/>
        </w:rPr>
        <w:fldChar w:fldCharType="end"/>
      </w:r>
      <w:r>
        <w:rPr>
          <w:rFonts w:hint="eastAsia" w:ascii="宋体" w:hAnsi="宋体"/>
          <w:sz w:val="24"/>
          <w:szCs w:val="24"/>
          <w:highlight w:val="none"/>
        </w:rPr>
        <w:t>，建议PLC和界面组态软件统一使用博图。</w:t>
      </w:r>
    </w:p>
    <w:p w14:paraId="5CA56716">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编程组态工具：选用西门子TIA博图软件进行开发。PLC编程语言，符合</w:t>
      </w:r>
      <w:r>
        <w:rPr>
          <w:rFonts w:hint="eastAsia" w:ascii="宋体" w:hAnsi="宋体"/>
          <w:sz w:val="24"/>
          <w:szCs w:val="24"/>
          <w:highlight w:val="none"/>
        </w:rPr>
        <w:fldChar w:fldCharType="begin"/>
      </w:r>
      <w:r>
        <w:rPr>
          <w:rFonts w:hint="eastAsia" w:ascii="宋体" w:hAnsi="宋体"/>
          <w:sz w:val="24"/>
          <w:szCs w:val="24"/>
          <w:highlight w:val="none"/>
        </w:rPr>
        <w:instrText xml:space="preserve"> HYPERLINK "名词释义3.13.xlsx" </w:instrText>
      </w:r>
      <w:r>
        <w:rPr>
          <w:rFonts w:hint="eastAsia" w:ascii="宋体" w:hAnsi="宋体"/>
          <w:sz w:val="24"/>
          <w:szCs w:val="24"/>
          <w:highlight w:val="none"/>
        </w:rPr>
        <w:fldChar w:fldCharType="separate"/>
      </w:r>
      <w:r>
        <w:rPr>
          <w:rFonts w:hint="eastAsia" w:ascii="宋体" w:hAnsi="宋体"/>
          <w:sz w:val="24"/>
          <w:szCs w:val="24"/>
          <w:highlight w:val="none"/>
        </w:rPr>
        <w:t>GB/T 15969.3-2017 《可编程序控制器第3部分：编程语言》</w:t>
      </w:r>
      <w:r>
        <w:rPr>
          <w:rFonts w:hint="eastAsia" w:ascii="宋体" w:hAnsi="宋体"/>
          <w:sz w:val="24"/>
          <w:szCs w:val="24"/>
          <w:highlight w:val="none"/>
        </w:rPr>
        <w:fldChar w:fldCharType="end"/>
      </w:r>
      <w:r>
        <w:rPr>
          <w:rFonts w:hint="eastAsia" w:ascii="宋体" w:hAnsi="宋体"/>
          <w:sz w:val="24"/>
          <w:szCs w:val="24"/>
          <w:highlight w:val="none"/>
        </w:rPr>
        <w:t>（等同采用IEC61131-3标准）的梯形图（优选）及其它PLC常用语言。</w:t>
      </w:r>
    </w:p>
    <w:p w14:paraId="365047C8">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控制系统应采取有效措施，以防止各类计算机病毒的侵害和PLC系统内各存储器的数据丢失。系统设计应满足工业信息安全标准、规范。</w:t>
      </w:r>
    </w:p>
    <w:p w14:paraId="6B28895C">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控制系统应当留有以下的裕量：最忙时，CPU的负荷率不大于50%；内部存储器占用容量不大于50%，外部存储器占有容量不大于40%；通讯总线负荷率不大于40%；每种I/O点裕量大于20%（具体根据项目确定，下同）；I/O模块槽裕量大于20%（备用插槽应配置必要的硬件，保证今后插入模块即能投入运行）；电源负荷裕量大于40％〔备用模块插入后的裕量〕。以上这些参数都应是按系统正式投运时的最终容量计算的百分比值。</w:t>
      </w:r>
    </w:p>
    <w:p w14:paraId="634CEE10">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控制系统包含在设备内，控制系统设计使用寿命应满足设备整体设计使用寿命的要求；独立采购的控制系统设计使用寿命应不低于15年,PLC所有模块（板）的</w:t>
      </w:r>
      <w:r>
        <w:rPr>
          <w:rFonts w:hint="eastAsia" w:ascii="宋体" w:hAnsi="宋体"/>
          <w:sz w:val="24"/>
          <w:szCs w:val="24"/>
          <w:highlight w:val="none"/>
        </w:rPr>
        <w:fldChar w:fldCharType="begin"/>
      </w:r>
      <w:r>
        <w:rPr>
          <w:rFonts w:hint="eastAsia" w:ascii="宋体" w:hAnsi="宋体"/>
          <w:sz w:val="24"/>
          <w:szCs w:val="24"/>
          <w:highlight w:val="none"/>
        </w:rPr>
        <w:instrText xml:space="preserve"> HYPERLINK "名词释义3.13.xlsx" </w:instrText>
      </w:r>
      <w:r>
        <w:rPr>
          <w:rFonts w:hint="eastAsia" w:ascii="宋体" w:hAnsi="宋体"/>
          <w:sz w:val="24"/>
          <w:szCs w:val="24"/>
          <w:highlight w:val="none"/>
        </w:rPr>
        <w:fldChar w:fldCharType="separate"/>
      </w:r>
      <w:r>
        <w:rPr>
          <w:rFonts w:hint="eastAsia" w:ascii="宋体" w:hAnsi="宋体"/>
          <w:sz w:val="24"/>
          <w:szCs w:val="24"/>
          <w:highlight w:val="none"/>
        </w:rPr>
        <w:t>平均无故障时间(MTBF)</w:t>
      </w:r>
      <w:r>
        <w:rPr>
          <w:rFonts w:hint="eastAsia" w:ascii="宋体" w:hAnsi="宋体"/>
          <w:sz w:val="24"/>
          <w:szCs w:val="24"/>
          <w:highlight w:val="none"/>
        </w:rPr>
        <w:fldChar w:fldCharType="end"/>
      </w:r>
      <w:r>
        <w:rPr>
          <w:rFonts w:hint="eastAsia" w:ascii="宋体" w:hAnsi="宋体"/>
          <w:sz w:val="24"/>
          <w:szCs w:val="24"/>
          <w:highlight w:val="none"/>
        </w:rPr>
        <w:t>不小于20万小时。</w:t>
      </w:r>
    </w:p>
    <w:p w14:paraId="0886F61E">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在执行合同的过程中，随着项目设计进程和技术资料逐渐完善，在不超出I/O信号总量的前提下，硬件、软件冻结前后，甲方对I/O信号及控制要求的变更，乙方应及时更新设计。在保证大于20%备用量的前提下不增加费用。</w:t>
      </w:r>
    </w:p>
    <w:p w14:paraId="23E3AA14">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环境及抗干扰，系统能在电子噪声、射频干扰及振动都很大的现场环境中连续运行，且不降低系统的性能。</w:t>
      </w:r>
    </w:p>
    <w:p w14:paraId="456C61ED">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系统设计应采用各种抗噪声技术，包括</w:t>
      </w:r>
      <w:r>
        <w:rPr>
          <w:rFonts w:hint="eastAsia" w:ascii="宋体" w:hAnsi="宋体"/>
          <w:sz w:val="24"/>
          <w:szCs w:val="24"/>
          <w:highlight w:val="none"/>
        </w:rPr>
        <w:fldChar w:fldCharType="begin"/>
      </w:r>
      <w:r>
        <w:rPr>
          <w:rFonts w:hint="eastAsia" w:ascii="宋体" w:hAnsi="宋体"/>
          <w:sz w:val="24"/>
          <w:szCs w:val="24"/>
          <w:highlight w:val="none"/>
        </w:rPr>
        <w:instrText xml:space="preserve"> HYPERLINK "名词释义3.13.xlsx" </w:instrText>
      </w:r>
      <w:r>
        <w:rPr>
          <w:rFonts w:hint="eastAsia" w:ascii="宋体" w:hAnsi="宋体"/>
          <w:sz w:val="24"/>
          <w:szCs w:val="24"/>
          <w:highlight w:val="none"/>
        </w:rPr>
        <w:fldChar w:fldCharType="separate"/>
      </w:r>
      <w:r>
        <w:rPr>
          <w:rFonts w:hint="eastAsia" w:ascii="宋体" w:hAnsi="宋体"/>
          <w:sz w:val="24"/>
          <w:szCs w:val="24"/>
          <w:highlight w:val="none"/>
        </w:rPr>
        <w:t>光电隔离</w:t>
      </w:r>
      <w:r>
        <w:rPr>
          <w:rFonts w:hint="eastAsia" w:ascii="宋体" w:hAnsi="宋体"/>
          <w:sz w:val="24"/>
          <w:szCs w:val="24"/>
          <w:highlight w:val="none"/>
        </w:rPr>
        <w:fldChar w:fldCharType="end"/>
      </w:r>
      <w:r>
        <w:rPr>
          <w:rFonts w:hint="eastAsia" w:ascii="宋体" w:hAnsi="宋体"/>
          <w:sz w:val="24"/>
          <w:szCs w:val="24"/>
          <w:highlight w:val="none"/>
        </w:rPr>
        <w:t>、高共模抑制比、合理的接地和屏蔽。</w:t>
      </w:r>
    </w:p>
    <w:p w14:paraId="1BFC93AD">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在距电子设备1.2m以外发出的工作频率达470MHz、功率输出达5W的电磁干扰和射频干扰，不会影响系统正常工作。系统应能在环境温度-20℃～45℃（控制站-20℃～50℃），相对湿度10～95%（不结露）的环境中连续运行。</w:t>
      </w:r>
    </w:p>
    <w:p w14:paraId="0D50D890">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系统抗干扰能力：</w:t>
      </w:r>
      <w:r>
        <w:rPr>
          <w:rFonts w:hint="eastAsia" w:ascii="宋体" w:hAnsi="宋体"/>
          <w:sz w:val="24"/>
          <w:szCs w:val="24"/>
          <w:highlight w:val="none"/>
        </w:rPr>
        <w:fldChar w:fldCharType="begin"/>
      </w:r>
      <w:r>
        <w:rPr>
          <w:rFonts w:hint="eastAsia" w:ascii="宋体" w:hAnsi="宋体"/>
          <w:sz w:val="24"/>
          <w:szCs w:val="24"/>
          <w:highlight w:val="none"/>
        </w:rPr>
        <w:instrText xml:space="preserve"> HYPERLINK "名词释义3.13.xlsx" </w:instrText>
      </w:r>
      <w:r>
        <w:rPr>
          <w:rFonts w:hint="eastAsia" w:ascii="宋体" w:hAnsi="宋体"/>
          <w:sz w:val="24"/>
          <w:szCs w:val="24"/>
          <w:highlight w:val="none"/>
        </w:rPr>
        <w:fldChar w:fldCharType="separate"/>
      </w:r>
      <w:r>
        <w:rPr>
          <w:rFonts w:hint="eastAsia" w:ascii="宋体" w:hAnsi="宋体"/>
          <w:sz w:val="24"/>
          <w:szCs w:val="24"/>
          <w:highlight w:val="none"/>
        </w:rPr>
        <w:t>共模电压</w:t>
      </w:r>
      <w:r>
        <w:rPr>
          <w:rFonts w:hint="eastAsia" w:ascii="宋体" w:hAnsi="宋体"/>
          <w:sz w:val="24"/>
          <w:szCs w:val="24"/>
          <w:highlight w:val="none"/>
        </w:rPr>
        <w:fldChar w:fldCharType="end"/>
      </w:r>
      <w:r>
        <w:rPr>
          <w:rFonts w:hint="eastAsia" w:ascii="宋体" w:hAnsi="宋体"/>
          <w:sz w:val="24"/>
          <w:szCs w:val="24"/>
          <w:highlight w:val="none"/>
        </w:rPr>
        <w:t>不小于500V，继电器输出350V；</w:t>
      </w:r>
      <w:r>
        <w:rPr>
          <w:rFonts w:hint="eastAsia" w:ascii="宋体" w:hAnsi="宋体"/>
          <w:sz w:val="24"/>
          <w:szCs w:val="24"/>
          <w:highlight w:val="none"/>
        </w:rPr>
        <w:fldChar w:fldCharType="begin"/>
      </w:r>
      <w:r>
        <w:rPr>
          <w:rFonts w:hint="eastAsia" w:ascii="宋体" w:hAnsi="宋体"/>
          <w:sz w:val="24"/>
          <w:szCs w:val="24"/>
          <w:highlight w:val="none"/>
        </w:rPr>
        <w:instrText xml:space="preserve"> HYPERLINK "名词释义3.13.xlsx" </w:instrText>
      </w:r>
      <w:r>
        <w:rPr>
          <w:rFonts w:hint="eastAsia" w:ascii="宋体" w:hAnsi="宋体"/>
          <w:sz w:val="24"/>
          <w:szCs w:val="24"/>
          <w:highlight w:val="none"/>
        </w:rPr>
        <w:fldChar w:fldCharType="separate"/>
      </w:r>
      <w:r>
        <w:rPr>
          <w:rFonts w:hint="eastAsia" w:ascii="宋体" w:hAnsi="宋体"/>
          <w:sz w:val="24"/>
          <w:szCs w:val="24"/>
          <w:highlight w:val="none"/>
        </w:rPr>
        <w:t>共模抑制比</w:t>
      </w:r>
      <w:r>
        <w:rPr>
          <w:rFonts w:hint="eastAsia" w:ascii="宋体" w:hAnsi="宋体"/>
          <w:sz w:val="24"/>
          <w:szCs w:val="24"/>
          <w:highlight w:val="none"/>
        </w:rPr>
        <w:fldChar w:fldCharType="end"/>
      </w:r>
      <w:r>
        <w:rPr>
          <w:rFonts w:hint="eastAsia" w:ascii="宋体" w:hAnsi="宋体"/>
          <w:sz w:val="24"/>
          <w:szCs w:val="24"/>
          <w:highlight w:val="none"/>
        </w:rPr>
        <w:t>不小于120dB，50Hz；差模电压不小于60V；差模抑制比不小于60dB；50Hz。</w:t>
      </w:r>
    </w:p>
    <w:p w14:paraId="4BDF6371">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控制系统应留有与SAP、MES系统的通讯接口。如需要则应提供冗余光纤、通讯电缆和全部通讯附件。乙方应根据甲方提供的SAP、MES、ERP或工厂自动化数据集成商给出的数据采集规范，将设备的过程数据、状态数据整理，写入PLC的存储区。乙方应保证无条件的与甲方选定的数据采集系统集成商、SAP、MES、ERP等软件供应商配合。数据交换规范以SAP、MES系统供应商提出的标准为准（或集团公司制造执行系统现场设备数据交换（采集）标准）。</w:t>
      </w:r>
    </w:p>
    <w:p w14:paraId="381A53EC">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设备控制系统向MES主控PLC（或</w:t>
      </w:r>
      <w:r>
        <w:rPr>
          <w:rFonts w:hint="eastAsia" w:ascii="宋体" w:hAnsi="宋体"/>
          <w:sz w:val="24"/>
          <w:szCs w:val="24"/>
          <w:highlight w:val="none"/>
        </w:rPr>
        <w:fldChar w:fldCharType="begin"/>
      </w:r>
      <w:r>
        <w:rPr>
          <w:rFonts w:hint="eastAsia" w:ascii="宋体" w:hAnsi="宋体"/>
          <w:sz w:val="24"/>
          <w:szCs w:val="24"/>
          <w:highlight w:val="none"/>
        </w:rPr>
        <w:instrText xml:space="preserve"> HYPERLINK "名词释义3.13.xlsx" </w:instrText>
      </w:r>
      <w:r>
        <w:rPr>
          <w:rFonts w:hint="eastAsia" w:ascii="宋体" w:hAnsi="宋体"/>
          <w:sz w:val="24"/>
          <w:szCs w:val="24"/>
          <w:highlight w:val="none"/>
        </w:rPr>
        <w:fldChar w:fldCharType="separate"/>
      </w:r>
      <w:r>
        <w:rPr>
          <w:rFonts w:hint="eastAsia" w:ascii="宋体" w:hAnsi="宋体"/>
          <w:sz w:val="24"/>
          <w:szCs w:val="24"/>
          <w:highlight w:val="none"/>
        </w:rPr>
        <w:t>上位机</w:t>
      </w:r>
      <w:r>
        <w:rPr>
          <w:rFonts w:hint="eastAsia" w:ascii="宋体" w:hAnsi="宋体"/>
          <w:sz w:val="24"/>
          <w:szCs w:val="24"/>
          <w:highlight w:val="none"/>
        </w:rPr>
        <w:fldChar w:fldCharType="end"/>
      </w:r>
      <w:r>
        <w:rPr>
          <w:rFonts w:hint="eastAsia" w:ascii="宋体" w:hAnsi="宋体"/>
          <w:sz w:val="24"/>
          <w:szCs w:val="24"/>
          <w:highlight w:val="none"/>
        </w:rPr>
        <w:t>）提供的状态信息包含但不限于：设备启动、停机信息；上位机心跳：如0.5Hz,占空比50%的方波；</w:t>
      </w:r>
      <w:r>
        <w:rPr>
          <w:rFonts w:hint="eastAsia" w:ascii="宋体" w:hAnsi="宋体"/>
          <w:sz w:val="24"/>
          <w:szCs w:val="24"/>
          <w:highlight w:val="none"/>
        </w:rPr>
        <w:fldChar w:fldCharType="begin"/>
      </w:r>
      <w:r>
        <w:rPr>
          <w:rFonts w:hint="eastAsia" w:ascii="宋体" w:hAnsi="宋体"/>
          <w:sz w:val="24"/>
          <w:szCs w:val="24"/>
          <w:highlight w:val="none"/>
        </w:rPr>
        <w:instrText xml:space="preserve"> HYPERLINK "名词释义3.13.xlsx" </w:instrText>
      </w:r>
      <w:r>
        <w:rPr>
          <w:rFonts w:hint="eastAsia" w:ascii="宋体" w:hAnsi="宋体"/>
          <w:sz w:val="24"/>
          <w:szCs w:val="24"/>
          <w:highlight w:val="none"/>
        </w:rPr>
        <w:fldChar w:fldCharType="separate"/>
      </w:r>
      <w:r>
        <w:rPr>
          <w:rFonts w:hint="eastAsia" w:ascii="宋体" w:hAnsi="宋体"/>
          <w:sz w:val="24"/>
          <w:szCs w:val="24"/>
          <w:highlight w:val="none"/>
        </w:rPr>
        <w:t>控制器（PLC）心跳</w:t>
      </w:r>
      <w:r>
        <w:rPr>
          <w:rFonts w:hint="eastAsia" w:ascii="宋体" w:hAnsi="宋体"/>
          <w:sz w:val="24"/>
          <w:szCs w:val="24"/>
          <w:highlight w:val="none"/>
        </w:rPr>
        <w:fldChar w:fldCharType="end"/>
      </w:r>
      <w:r>
        <w:rPr>
          <w:rFonts w:hint="eastAsia" w:ascii="宋体" w:hAnsi="宋体"/>
          <w:sz w:val="24"/>
          <w:szCs w:val="24"/>
          <w:highlight w:val="none"/>
        </w:rPr>
        <w:t>：如0.5Hz,占空比50%的方波；控制器与设备（如：机器人）、HMI等设备间的心跳信号由系统集成商确定；故障状态信息；故障代码；故障时间；加工时间；累计运行时间；生产计数（或加工循环计数）。</w:t>
      </w:r>
    </w:p>
    <w:p w14:paraId="0299C116">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设备控制系统应支持常用</w:t>
      </w:r>
      <w:r>
        <w:rPr>
          <w:rFonts w:hint="eastAsia" w:ascii="宋体" w:hAnsi="宋体"/>
          <w:sz w:val="24"/>
          <w:szCs w:val="24"/>
          <w:highlight w:val="none"/>
        </w:rPr>
        <w:fldChar w:fldCharType="begin"/>
      </w:r>
      <w:r>
        <w:rPr>
          <w:rFonts w:hint="eastAsia" w:ascii="宋体" w:hAnsi="宋体"/>
          <w:sz w:val="24"/>
          <w:szCs w:val="24"/>
          <w:highlight w:val="none"/>
        </w:rPr>
        <w:instrText xml:space="preserve"> HYPERLINK "名词释义3.13.xlsx" </w:instrText>
      </w:r>
      <w:r>
        <w:rPr>
          <w:rFonts w:hint="eastAsia" w:ascii="宋体" w:hAnsi="宋体"/>
          <w:sz w:val="24"/>
          <w:szCs w:val="24"/>
          <w:highlight w:val="none"/>
        </w:rPr>
        <w:fldChar w:fldCharType="separate"/>
      </w:r>
      <w:r>
        <w:rPr>
          <w:rFonts w:hint="eastAsia" w:ascii="宋体" w:hAnsi="宋体"/>
          <w:sz w:val="24"/>
          <w:szCs w:val="24"/>
          <w:highlight w:val="none"/>
        </w:rPr>
        <w:t>OPC服务器</w:t>
      </w:r>
      <w:r>
        <w:rPr>
          <w:rFonts w:hint="eastAsia" w:ascii="宋体" w:hAnsi="宋体"/>
          <w:sz w:val="24"/>
          <w:szCs w:val="24"/>
          <w:highlight w:val="none"/>
        </w:rPr>
        <w:fldChar w:fldCharType="end"/>
      </w:r>
      <w:r>
        <w:rPr>
          <w:rFonts w:hint="eastAsia" w:ascii="宋体" w:hAnsi="宋体"/>
          <w:sz w:val="24"/>
          <w:szCs w:val="24"/>
          <w:highlight w:val="none"/>
        </w:rPr>
        <w:t>（如：SIMATIC NET）将PLC的内存数据映射到上位机的OPC服务器中；或与MES主控PLC通讯，实现MES对设备过程、状态信息数据采集和控制信息的交互。</w:t>
      </w:r>
    </w:p>
    <w:p w14:paraId="1F37BA72">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PLC控制系统应结合系统特点并按功能分散和物理分散的原则进行设计。</w:t>
      </w:r>
    </w:p>
    <w:p w14:paraId="4C4698E6">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设备、控制系统宜选用工业以太网，小型设备可选用</w:t>
      </w:r>
      <w:r>
        <w:rPr>
          <w:rFonts w:hint="eastAsia" w:ascii="宋体" w:hAnsi="宋体"/>
          <w:sz w:val="24"/>
          <w:szCs w:val="24"/>
          <w:highlight w:val="none"/>
        </w:rPr>
        <w:fldChar w:fldCharType="begin"/>
      </w:r>
      <w:r>
        <w:rPr>
          <w:rFonts w:hint="eastAsia" w:ascii="宋体" w:hAnsi="宋体"/>
          <w:sz w:val="24"/>
          <w:szCs w:val="24"/>
          <w:highlight w:val="none"/>
        </w:rPr>
        <w:instrText xml:space="preserve"> HYPERLINK "名词释义3.13.xlsx" </w:instrText>
      </w:r>
      <w:r>
        <w:rPr>
          <w:rFonts w:hint="eastAsia" w:ascii="宋体" w:hAnsi="宋体"/>
          <w:sz w:val="24"/>
          <w:szCs w:val="24"/>
          <w:highlight w:val="none"/>
        </w:rPr>
        <w:fldChar w:fldCharType="separate"/>
      </w:r>
      <w:r>
        <w:rPr>
          <w:rFonts w:hint="eastAsia" w:ascii="宋体" w:hAnsi="宋体"/>
          <w:sz w:val="24"/>
          <w:szCs w:val="24"/>
          <w:highlight w:val="none"/>
        </w:rPr>
        <w:t>RS485串行总线通讯方式</w:t>
      </w:r>
      <w:r>
        <w:rPr>
          <w:rFonts w:hint="eastAsia" w:ascii="宋体" w:hAnsi="宋体"/>
          <w:sz w:val="24"/>
          <w:szCs w:val="24"/>
          <w:highlight w:val="none"/>
        </w:rPr>
        <w:fldChar w:fldCharType="end"/>
      </w:r>
      <w:r>
        <w:rPr>
          <w:rFonts w:hint="eastAsia" w:ascii="宋体" w:hAnsi="宋体"/>
          <w:sz w:val="24"/>
          <w:szCs w:val="24"/>
          <w:highlight w:val="none"/>
        </w:rPr>
        <w:t>。</w:t>
      </w:r>
    </w:p>
    <w:p w14:paraId="0B24D847">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通讯协议：采用ProfiNet；设备因实现特定应用，必须采用其它通讯协议的，项目实施部门应当充分论证。但设备与上位机（系统）通讯协议宜采用工业以太网，</w:t>
      </w:r>
      <w:r>
        <w:rPr>
          <w:rFonts w:hint="eastAsia" w:ascii="宋体" w:hAnsi="宋体"/>
          <w:sz w:val="24"/>
          <w:szCs w:val="24"/>
          <w:highlight w:val="none"/>
        </w:rPr>
        <w:fldChar w:fldCharType="begin"/>
      </w:r>
      <w:r>
        <w:rPr>
          <w:rFonts w:hint="eastAsia" w:ascii="宋体" w:hAnsi="宋体"/>
          <w:sz w:val="24"/>
          <w:szCs w:val="24"/>
          <w:highlight w:val="none"/>
        </w:rPr>
        <w:instrText xml:space="preserve"> HYPERLINK "名词释义3.13.xlsx" </w:instrText>
      </w:r>
      <w:r>
        <w:rPr>
          <w:rFonts w:hint="eastAsia" w:ascii="宋体" w:hAnsi="宋体"/>
          <w:sz w:val="24"/>
          <w:szCs w:val="24"/>
          <w:highlight w:val="none"/>
        </w:rPr>
        <w:fldChar w:fldCharType="separate"/>
      </w:r>
      <w:r>
        <w:rPr>
          <w:rFonts w:hint="eastAsia" w:ascii="宋体" w:hAnsi="宋体"/>
          <w:sz w:val="24"/>
          <w:szCs w:val="24"/>
          <w:highlight w:val="none"/>
        </w:rPr>
        <w:t>ProfiNet</w:t>
      </w:r>
      <w:r>
        <w:rPr>
          <w:rFonts w:hint="eastAsia" w:ascii="宋体" w:hAnsi="宋体"/>
          <w:sz w:val="24"/>
          <w:szCs w:val="24"/>
          <w:highlight w:val="none"/>
        </w:rPr>
        <w:fldChar w:fldCharType="end"/>
      </w:r>
      <w:r>
        <w:rPr>
          <w:rFonts w:hint="eastAsia" w:ascii="宋体" w:hAnsi="宋体"/>
          <w:sz w:val="24"/>
          <w:szCs w:val="24"/>
          <w:highlight w:val="none"/>
        </w:rPr>
        <w:t>通讯协议。</w:t>
      </w:r>
    </w:p>
    <w:p w14:paraId="27623520">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能源采集通讯协议：采用Modbus-RTU、Modbus-TCP。</w:t>
      </w:r>
    </w:p>
    <w:p w14:paraId="15BF45BD">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电力计量采集通讯协议：采用</w:t>
      </w:r>
      <w:r>
        <w:rPr>
          <w:rFonts w:hint="eastAsia" w:ascii="宋体" w:hAnsi="宋体"/>
          <w:sz w:val="24"/>
          <w:szCs w:val="24"/>
          <w:highlight w:val="none"/>
        </w:rPr>
        <w:fldChar w:fldCharType="begin"/>
      </w:r>
      <w:r>
        <w:rPr>
          <w:rFonts w:hint="eastAsia" w:ascii="宋体" w:hAnsi="宋体"/>
          <w:sz w:val="24"/>
          <w:szCs w:val="24"/>
          <w:highlight w:val="none"/>
        </w:rPr>
        <w:instrText xml:space="preserve"> HYPERLINK "名词释义3.13.xlsx" </w:instrText>
      </w:r>
      <w:r>
        <w:rPr>
          <w:rFonts w:hint="eastAsia" w:ascii="宋体" w:hAnsi="宋体"/>
          <w:sz w:val="24"/>
          <w:szCs w:val="24"/>
          <w:highlight w:val="none"/>
        </w:rPr>
        <w:fldChar w:fldCharType="separate"/>
      </w:r>
      <w:r>
        <w:rPr>
          <w:rFonts w:hint="eastAsia" w:ascii="宋体" w:hAnsi="宋体"/>
          <w:sz w:val="24"/>
          <w:szCs w:val="24"/>
          <w:highlight w:val="none"/>
        </w:rPr>
        <w:t>DL/T645-97、DL/T645-07</w:t>
      </w:r>
      <w:r>
        <w:rPr>
          <w:rFonts w:hint="eastAsia" w:ascii="宋体" w:hAnsi="宋体"/>
          <w:sz w:val="24"/>
          <w:szCs w:val="24"/>
          <w:highlight w:val="none"/>
        </w:rPr>
        <w:fldChar w:fldCharType="end"/>
      </w:r>
      <w:r>
        <w:rPr>
          <w:rFonts w:hint="eastAsia" w:ascii="宋体" w:hAnsi="宋体"/>
          <w:sz w:val="24"/>
          <w:szCs w:val="24"/>
          <w:highlight w:val="none"/>
        </w:rPr>
        <w:t>规约。</w:t>
      </w:r>
    </w:p>
    <w:p w14:paraId="0ED7A57D">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设备过程数据、状态数据的采集，宜采用OPC方式。</w:t>
      </w:r>
    </w:p>
    <w:p w14:paraId="0EB302FE">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设备控制系统应预留一个工业以太网接口，用于与上位系统（如：MES）通讯。</w:t>
      </w:r>
    </w:p>
    <w:p w14:paraId="5EF6B4C4">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规划时通过工业控制网络边界防护设备对工业控制网络与企业网或互联网之间的边界进行安全防护，禁止没有防护的工业控制网络与互联网连接。</w:t>
      </w:r>
    </w:p>
    <w:p w14:paraId="69F6571E">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通过设置工业防火墙、网闸等设备对工业控制网络与企业网之间进行逻辑隔离安全防护。</w:t>
      </w:r>
    </w:p>
    <w:p w14:paraId="1C13C618">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乙方在设计规划时，对工程师站、工业数据库、服务器等核心工业控制软硬件所在区域应采取访问控制、视频监控、专人值守等物理安全防护措施。</w:t>
      </w:r>
    </w:p>
    <w:p w14:paraId="36A9EAE3">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较大规模的生产线，在工业主机登录、应用服务资源访问、SCADA软件登陆、控制系统维护等过程中应设计身份认证管理。对于关键设备、系统和平台的访问宜采用多因素认证。</w:t>
      </w:r>
    </w:p>
    <w:p w14:paraId="0AA3C0CF">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根据应用的重要性，对关键系统、网络设备、控制系统组件选择冗余配置。</w:t>
      </w:r>
    </w:p>
    <w:p w14:paraId="2CCB2B93">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乙方在设计规划时，应考虑重要工业数据进行保护，定期备份关键业务数据。</w:t>
      </w:r>
    </w:p>
    <w:p w14:paraId="0860E843">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助力机械手可防止误动作对人身或设备造成伤害；在操作者未对安装状况进行确认前，即工件未安装到位前，如果工人误操作松开按钮，工件不能被卸载。只有当工件被放置到位，负载显示器变白后，按松开按钮，工件才可被卸载。</w:t>
      </w:r>
    </w:p>
    <w:p w14:paraId="3BBDFA81">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在任何情况下，只有工件被放置在接触面上时，工件才能被释放。</w:t>
      </w:r>
    </w:p>
    <w:p w14:paraId="41F09D22">
      <w:pPr>
        <w:spacing w:line="360" w:lineRule="auto"/>
        <w:ind w:firstLine="480" w:firstLineChars="200"/>
        <w:jc w:val="left"/>
        <w:rPr>
          <w:rFonts w:hint="eastAsia" w:ascii="宋体" w:hAnsi="宋体" w:eastAsia="宋体" w:cs="Times New Roman"/>
          <w:szCs w:val="21"/>
          <w:lang w:val="en-US" w:eastAsia="zh-CN"/>
        </w:rPr>
      </w:pPr>
      <w:r>
        <w:rPr>
          <w:rFonts w:hint="eastAsia" w:ascii="宋体" w:hAnsi="宋体"/>
          <w:sz w:val="24"/>
          <w:szCs w:val="24"/>
          <w:highlight w:val="none"/>
        </w:rPr>
        <w:t>制动器：用来锁紧机械臂并阻止其各个方向的运动。当机械手在停止使用的情况下被意外的触摸或碰撞，可以阻止回转臂晃动。当按下制动按钮时，机械手应处于自锁状态。</w:t>
      </w:r>
    </w:p>
    <w:p w14:paraId="18654302">
      <w:pPr>
        <w:spacing w:line="360" w:lineRule="auto"/>
        <w:ind w:firstLine="422" w:firstLineChars="200"/>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气路控制系统</w:t>
      </w:r>
    </w:p>
    <w:p w14:paraId="7A49158B">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气路平衡控制系统：确保设备在设计行程范围内的任何状态、任何位置均可处于平衡状态，便于精确定位；操作工在对工件进行搬运、装配操作时，所用的操作保持力不大于3kg。</w:t>
      </w:r>
    </w:p>
    <w:p w14:paraId="59B69471">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夹具上具有防误操作装置，防止因误操作导致的工件脱落。</w:t>
      </w:r>
    </w:p>
    <w:p w14:paraId="0AC21F31">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设备具有压缩空气过滤装置，保证设备气动系统正常工作不受影响。</w:t>
      </w:r>
    </w:p>
    <w:p w14:paraId="2E23F1EA">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设备控制系统应能够实现夹紧、松开、吸附等动作（根据需要）。</w:t>
      </w:r>
    </w:p>
    <w:p w14:paraId="32AB30BA">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气动元件做编号标记，并与图纸保持一致。</w:t>
      </w:r>
    </w:p>
    <w:p w14:paraId="4E4E95C8">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系统配有负载显示器，可指示负载状态。</w:t>
      </w:r>
    </w:p>
    <w:p w14:paraId="3AD5F9A2">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系统气路应排布整齐，方便维修，所有连接的气管两端均套有编号，控制箱内备放一份气路原理图，且气路原理图中各气管编号与实际安装的气管标号一致，所有编号清晰易懂，以便维护人员日常维护及故障排除。</w:t>
      </w:r>
    </w:p>
    <w:p w14:paraId="4E3C4BB1">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主要易损气动、电气元器件均置于保护盒内，避免灰尘、油污的沉积以及意外的碰撞。各个压缩空气接头要做好密封，气管管路上不得有压折、虚接等现象</w:t>
      </w:r>
    </w:p>
    <w:p w14:paraId="76468C12">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系统有负载压力控制部分应装有负载压力表，在有真空回路的位置设置真空压力表，指示气体工作状况，可实现低压报警。</w:t>
      </w:r>
    </w:p>
    <w:tbl>
      <w:tblPr>
        <w:tblStyle w:val="30"/>
        <w:tblW w:w="8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908"/>
        <w:gridCol w:w="1227"/>
        <w:gridCol w:w="3296"/>
        <w:gridCol w:w="950"/>
      </w:tblGrid>
      <w:tr w14:paraId="7ABD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31" w:type="dxa"/>
            <w:vAlign w:val="center"/>
          </w:tcPr>
          <w:p w14:paraId="16BE9B52">
            <w:pPr>
              <w:jc w:val="center"/>
              <w:rPr>
                <w:rFonts w:ascii="宋体" w:hAnsi="宋体" w:cs="宋体"/>
                <w:color w:val="000000"/>
                <w:highlight w:val="none"/>
              </w:rPr>
            </w:pPr>
            <w:r>
              <w:rPr>
                <w:rFonts w:hint="eastAsia" w:ascii="宋体" w:hAnsi="宋体" w:cs="宋体"/>
                <w:color w:val="000000"/>
                <w:highlight w:val="none"/>
              </w:rPr>
              <w:t>序号</w:t>
            </w:r>
          </w:p>
        </w:tc>
        <w:tc>
          <w:tcPr>
            <w:tcW w:w="1908" w:type="dxa"/>
            <w:vAlign w:val="center"/>
          </w:tcPr>
          <w:p w14:paraId="2C2E616B">
            <w:pPr>
              <w:jc w:val="center"/>
              <w:rPr>
                <w:rFonts w:ascii="宋体" w:hAnsi="宋体" w:cs="宋体"/>
                <w:color w:val="000000"/>
                <w:highlight w:val="none"/>
              </w:rPr>
            </w:pPr>
            <w:r>
              <w:rPr>
                <w:rFonts w:hint="eastAsia" w:ascii="宋体" w:hAnsi="宋体" w:cs="宋体"/>
                <w:color w:val="000000"/>
                <w:highlight w:val="none"/>
              </w:rPr>
              <w:t>项      目</w:t>
            </w:r>
          </w:p>
        </w:tc>
        <w:tc>
          <w:tcPr>
            <w:tcW w:w="1227" w:type="dxa"/>
            <w:vAlign w:val="center"/>
          </w:tcPr>
          <w:p w14:paraId="0FF5D55A">
            <w:pPr>
              <w:jc w:val="center"/>
              <w:rPr>
                <w:rFonts w:ascii="宋体" w:hAnsi="宋体" w:cs="宋体"/>
                <w:color w:val="000000"/>
                <w:highlight w:val="none"/>
              </w:rPr>
            </w:pPr>
            <w:r>
              <w:rPr>
                <w:rFonts w:hint="eastAsia" w:ascii="宋体" w:hAnsi="宋体" w:cs="宋体"/>
                <w:color w:val="000000"/>
                <w:highlight w:val="none"/>
              </w:rPr>
              <w:t>单位</w:t>
            </w:r>
          </w:p>
        </w:tc>
        <w:tc>
          <w:tcPr>
            <w:tcW w:w="3296" w:type="dxa"/>
            <w:vAlign w:val="center"/>
          </w:tcPr>
          <w:p w14:paraId="43C2E732">
            <w:pPr>
              <w:jc w:val="center"/>
              <w:rPr>
                <w:rFonts w:ascii="宋体" w:hAnsi="宋体" w:cs="宋体"/>
                <w:color w:val="000000"/>
                <w:highlight w:val="none"/>
              </w:rPr>
            </w:pPr>
            <w:r>
              <w:rPr>
                <w:rFonts w:hint="eastAsia" w:ascii="宋体" w:hAnsi="宋体" w:cs="宋体"/>
                <w:color w:val="000000"/>
                <w:highlight w:val="none"/>
              </w:rPr>
              <w:t>标准参数值</w:t>
            </w:r>
          </w:p>
        </w:tc>
        <w:tc>
          <w:tcPr>
            <w:tcW w:w="950" w:type="dxa"/>
            <w:vAlign w:val="center"/>
          </w:tcPr>
          <w:p w14:paraId="7CCBECF4">
            <w:pPr>
              <w:jc w:val="center"/>
              <w:rPr>
                <w:rFonts w:ascii="宋体" w:hAnsi="宋体" w:cs="宋体"/>
                <w:color w:val="000000"/>
                <w:highlight w:val="none"/>
              </w:rPr>
            </w:pPr>
            <w:r>
              <w:rPr>
                <w:rFonts w:hint="eastAsia" w:ascii="宋体" w:hAnsi="宋体" w:cs="宋体"/>
                <w:color w:val="000000"/>
                <w:highlight w:val="none"/>
              </w:rPr>
              <w:t>备注</w:t>
            </w:r>
          </w:p>
        </w:tc>
      </w:tr>
      <w:tr w14:paraId="4616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31" w:type="dxa"/>
            <w:vAlign w:val="center"/>
          </w:tcPr>
          <w:p w14:paraId="55DEAC68">
            <w:pPr>
              <w:jc w:val="center"/>
              <w:rPr>
                <w:rFonts w:ascii="宋体" w:hAnsi="宋体" w:cs="宋体"/>
                <w:color w:val="000000"/>
                <w:highlight w:val="none"/>
              </w:rPr>
            </w:pPr>
            <w:r>
              <w:rPr>
                <w:rFonts w:hint="eastAsia" w:ascii="宋体" w:hAnsi="宋体" w:cs="宋体"/>
                <w:color w:val="000000"/>
                <w:highlight w:val="none"/>
              </w:rPr>
              <w:t>1</w:t>
            </w:r>
          </w:p>
        </w:tc>
        <w:tc>
          <w:tcPr>
            <w:tcW w:w="1908" w:type="dxa"/>
            <w:vAlign w:val="center"/>
          </w:tcPr>
          <w:p w14:paraId="53D8527E">
            <w:pPr>
              <w:jc w:val="center"/>
              <w:rPr>
                <w:rFonts w:hint="eastAsia" w:ascii="宋体" w:hAnsi="宋体" w:eastAsia="宋体" w:cs="宋体"/>
                <w:color w:val="000000"/>
                <w:highlight w:val="none"/>
                <w:lang w:eastAsia="zh-CN"/>
              </w:rPr>
            </w:pPr>
            <w:r>
              <w:rPr>
                <w:rFonts w:hint="eastAsia" w:ascii="宋体" w:hAnsi="宋体" w:cs="宋体"/>
                <w:color w:val="000000"/>
                <w:highlight w:val="none"/>
                <w:lang w:eastAsia="zh-CN"/>
              </w:rPr>
              <w:t>中置电池助力机械手改造</w:t>
            </w:r>
          </w:p>
        </w:tc>
        <w:tc>
          <w:tcPr>
            <w:tcW w:w="1227" w:type="dxa"/>
            <w:vAlign w:val="center"/>
          </w:tcPr>
          <w:p w14:paraId="2A95468E">
            <w:pPr>
              <w:jc w:val="center"/>
              <w:rPr>
                <w:rFonts w:hint="eastAsia" w:ascii="宋体" w:hAnsi="宋体" w:eastAsia="宋体" w:cs="宋体"/>
                <w:color w:val="000000"/>
                <w:highlight w:val="none"/>
                <w:lang w:val="en-US" w:eastAsia="zh-CN"/>
              </w:rPr>
            </w:pPr>
            <w:r>
              <w:rPr>
                <w:rFonts w:hint="eastAsia" w:ascii="宋体" w:hAnsi="宋体" w:cs="宋体"/>
                <w:color w:val="000000"/>
                <w:highlight w:val="none"/>
                <w:lang w:val="en-US" w:eastAsia="zh-CN"/>
              </w:rPr>
              <w:t>1</w:t>
            </w:r>
          </w:p>
        </w:tc>
        <w:tc>
          <w:tcPr>
            <w:tcW w:w="3296" w:type="dxa"/>
            <w:vAlign w:val="center"/>
          </w:tcPr>
          <w:p w14:paraId="2F44889F">
            <w:pPr>
              <w:jc w:val="both"/>
              <w:rPr>
                <w:rFonts w:hint="default" w:ascii="宋体" w:hAnsi="宋体" w:eastAsia="宋体" w:cs="宋体"/>
                <w:color w:val="000000"/>
                <w:highlight w:val="none"/>
                <w:lang w:val="en-US" w:eastAsia="zh-CN"/>
              </w:rPr>
            </w:pPr>
            <w:r>
              <w:rPr>
                <w:rFonts w:hint="eastAsia" w:ascii="宋体" w:hAnsi="宋体" w:cs="宋体"/>
                <w:color w:val="000000"/>
                <w:highlight w:val="none"/>
                <w:lang w:eastAsia="zh-CN"/>
              </w:rPr>
              <w:t>材料</w:t>
            </w:r>
            <w:r>
              <w:rPr>
                <w:rFonts w:hint="eastAsia" w:ascii="宋体" w:hAnsi="宋体" w:cs="宋体"/>
                <w:color w:val="000000"/>
                <w:highlight w:val="none"/>
                <w:lang w:val="en-US" w:eastAsia="zh-CN"/>
              </w:rPr>
              <w:t xml:space="preserve">:Q235  </w:t>
            </w:r>
            <w:r>
              <w:rPr>
                <w:rFonts w:hint="eastAsia" w:ascii="宋体" w:hAnsi="宋体"/>
                <w:szCs w:val="21"/>
              </w:rPr>
              <w:t>额定负载</w:t>
            </w:r>
            <w:r>
              <w:rPr>
                <w:rFonts w:hint="eastAsia" w:ascii="宋体" w:hAnsi="宋体" w:cs="宋体"/>
                <w:color w:val="000000"/>
                <w:highlight w:val="none"/>
                <w:lang w:val="en-US" w:eastAsia="zh-CN"/>
              </w:rPr>
              <w:t>：</w:t>
            </w:r>
            <w:r>
              <w:rPr>
                <w:rFonts w:hint="eastAsia" w:ascii="宋体" w:hAnsi="宋体"/>
                <w:szCs w:val="21"/>
              </w:rPr>
              <w:t>1000</w:t>
            </w:r>
            <w:r>
              <w:rPr>
                <w:rFonts w:ascii="宋体" w:hAnsi="宋体"/>
                <w:szCs w:val="21"/>
              </w:rPr>
              <w:t>kg</w:t>
            </w:r>
          </w:p>
        </w:tc>
        <w:tc>
          <w:tcPr>
            <w:tcW w:w="950" w:type="dxa"/>
            <w:vAlign w:val="center"/>
          </w:tcPr>
          <w:p w14:paraId="7A75BC17">
            <w:pPr>
              <w:jc w:val="center"/>
              <w:rPr>
                <w:rFonts w:ascii="宋体" w:hAnsi="宋体" w:cs="宋体"/>
                <w:color w:val="000000"/>
                <w:highlight w:val="none"/>
              </w:rPr>
            </w:pPr>
          </w:p>
        </w:tc>
      </w:tr>
    </w:tbl>
    <w:p w14:paraId="6D72A0B3">
      <w:pPr>
        <w:spacing w:line="360" w:lineRule="auto"/>
        <w:rPr>
          <w:rFonts w:ascii="宋体" w:hAnsi="宋体"/>
          <w:sz w:val="24"/>
          <w:szCs w:val="24"/>
          <w:highlight w:val="none"/>
        </w:rPr>
      </w:pPr>
      <w:r>
        <w:rPr>
          <w:rFonts w:hint="eastAsia" w:ascii="宋体" w:hAnsi="宋体"/>
          <w:sz w:val="24"/>
          <w:szCs w:val="24"/>
          <w:highlight w:val="none"/>
        </w:rPr>
        <w:t>2</w:t>
      </w:r>
      <w:r>
        <w:rPr>
          <w:rFonts w:ascii="宋体" w:hAnsi="宋体"/>
          <w:sz w:val="24"/>
          <w:szCs w:val="24"/>
          <w:highlight w:val="none"/>
        </w:rPr>
        <w:t>.1.4</w:t>
      </w:r>
      <w:r>
        <w:rPr>
          <w:rFonts w:hint="eastAsia" w:ascii="宋体" w:hAnsi="宋体"/>
          <w:sz w:val="24"/>
          <w:szCs w:val="24"/>
          <w:highlight w:val="none"/>
        </w:rPr>
        <w:t>功能要求</w:t>
      </w:r>
    </w:p>
    <w:tbl>
      <w:tblPr>
        <w:tblStyle w:val="30"/>
        <w:tblW w:w="8191" w:type="dxa"/>
        <w:jc w:val="center"/>
        <w:tblLayout w:type="fixed"/>
        <w:tblCellMar>
          <w:top w:w="0" w:type="dxa"/>
          <w:left w:w="108" w:type="dxa"/>
          <w:bottom w:w="0" w:type="dxa"/>
          <w:right w:w="108" w:type="dxa"/>
        </w:tblCellMar>
      </w:tblPr>
      <w:tblGrid>
        <w:gridCol w:w="819"/>
        <w:gridCol w:w="1897"/>
        <w:gridCol w:w="5475"/>
      </w:tblGrid>
      <w:tr w14:paraId="57B447AE">
        <w:tblPrEx>
          <w:tblCellMar>
            <w:top w:w="0" w:type="dxa"/>
            <w:left w:w="108" w:type="dxa"/>
            <w:bottom w:w="0" w:type="dxa"/>
            <w:right w:w="108" w:type="dxa"/>
          </w:tblCellMar>
        </w:tblPrEx>
        <w:trPr>
          <w:trHeight w:val="436" w:hRule="atLeast"/>
          <w:jc w:val="center"/>
        </w:trPr>
        <w:tc>
          <w:tcPr>
            <w:tcW w:w="819" w:type="dxa"/>
            <w:tcBorders>
              <w:top w:val="single" w:color="auto" w:sz="4" w:space="0"/>
              <w:left w:val="single" w:color="auto" w:sz="4" w:space="0"/>
              <w:bottom w:val="single" w:color="auto" w:sz="4" w:space="0"/>
              <w:right w:val="single" w:color="auto" w:sz="4" w:space="0"/>
            </w:tcBorders>
            <w:vAlign w:val="center"/>
          </w:tcPr>
          <w:p w14:paraId="141B5C2B">
            <w:pPr>
              <w:spacing w:line="360" w:lineRule="exact"/>
              <w:jc w:val="center"/>
              <w:rPr>
                <w:rFonts w:ascii="宋体" w:hAnsi="宋体" w:cs="宋体"/>
                <w:b/>
                <w:bCs/>
                <w:color w:val="000000"/>
                <w:highlight w:val="none"/>
              </w:rPr>
            </w:pPr>
            <w:r>
              <w:rPr>
                <w:rFonts w:hint="eastAsia" w:ascii="宋体" w:hAnsi="宋体" w:cs="宋体"/>
                <w:b/>
                <w:bCs/>
                <w:color w:val="000000"/>
                <w:highlight w:val="none"/>
              </w:rPr>
              <w:t>序号</w:t>
            </w:r>
          </w:p>
        </w:tc>
        <w:tc>
          <w:tcPr>
            <w:tcW w:w="1897" w:type="dxa"/>
            <w:tcBorders>
              <w:top w:val="single" w:color="auto" w:sz="4" w:space="0"/>
              <w:left w:val="nil"/>
              <w:bottom w:val="single" w:color="auto" w:sz="4" w:space="0"/>
              <w:right w:val="single" w:color="auto" w:sz="4" w:space="0"/>
            </w:tcBorders>
            <w:vAlign w:val="center"/>
          </w:tcPr>
          <w:p w14:paraId="63751BE0">
            <w:pPr>
              <w:spacing w:line="360" w:lineRule="exact"/>
              <w:jc w:val="center"/>
              <w:rPr>
                <w:rFonts w:ascii="宋体" w:hAnsi="宋体" w:cs="宋体"/>
                <w:b/>
                <w:bCs/>
                <w:color w:val="000000"/>
                <w:highlight w:val="none"/>
              </w:rPr>
            </w:pPr>
            <w:r>
              <w:rPr>
                <w:rFonts w:hint="eastAsia" w:ascii="宋体" w:hAnsi="宋体" w:cs="宋体"/>
                <w:b/>
                <w:bCs/>
                <w:color w:val="000000"/>
                <w:highlight w:val="none"/>
              </w:rPr>
              <w:t>设备功能名称</w:t>
            </w:r>
          </w:p>
        </w:tc>
        <w:tc>
          <w:tcPr>
            <w:tcW w:w="5475" w:type="dxa"/>
            <w:tcBorders>
              <w:top w:val="single" w:color="auto" w:sz="4" w:space="0"/>
              <w:left w:val="nil"/>
              <w:bottom w:val="single" w:color="auto" w:sz="4" w:space="0"/>
              <w:right w:val="single" w:color="auto" w:sz="4" w:space="0"/>
            </w:tcBorders>
            <w:vAlign w:val="center"/>
          </w:tcPr>
          <w:p w14:paraId="7B83931C">
            <w:pPr>
              <w:spacing w:line="360" w:lineRule="exact"/>
              <w:jc w:val="center"/>
              <w:rPr>
                <w:rFonts w:ascii="宋体" w:hAnsi="宋体" w:cs="宋体"/>
                <w:b/>
                <w:bCs/>
                <w:color w:val="000000"/>
                <w:highlight w:val="none"/>
              </w:rPr>
            </w:pPr>
            <w:r>
              <w:rPr>
                <w:rFonts w:hint="eastAsia" w:ascii="宋体" w:hAnsi="宋体" w:cs="宋体"/>
                <w:b/>
                <w:bCs/>
                <w:color w:val="000000"/>
                <w:highlight w:val="none"/>
              </w:rPr>
              <w:t>基本功能</w:t>
            </w:r>
          </w:p>
        </w:tc>
      </w:tr>
      <w:tr w14:paraId="304112CE">
        <w:tblPrEx>
          <w:tblCellMar>
            <w:top w:w="0" w:type="dxa"/>
            <w:left w:w="108" w:type="dxa"/>
            <w:bottom w:w="0" w:type="dxa"/>
            <w:right w:w="108" w:type="dxa"/>
          </w:tblCellMar>
        </w:tblPrEx>
        <w:trPr>
          <w:trHeight w:val="771" w:hRule="atLeast"/>
          <w:jc w:val="center"/>
        </w:trPr>
        <w:tc>
          <w:tcPr>
            <w:tcW w:w="819" w:type="dxa"/>
            <w:tcBorders>
              <w:top w:val="single" w:color="auto" w:sz="4" w:space="0"/>
              <w:left w:val="single" w:color="auto" w:sz="4" w:space="0"/>
              <w:bottom w:val="single" w:color="auto" w:sz="4" w:space="0"/>
              <w:right w:val="single" w:color="auto" w:sz="4" w:space="0"/>
            </w:tcBorders>
            <w:noWrap/>
            <w:vAlign w:val="center"/>
          </w:tcPr>
          <w:p w14:paraId="7B601E88">
            <w:pPr>
              <w:spacing w:line="360" w:lineRule="exact"/>
              <w:jc w:val="center"/>
              <w:rPr>
                <w:rFonts w:ascii="宋体" w:hAnsi="宋体" w:cs="宋体"/>
                <w:b/>
                <w:color w:val="000000"/>
                <w:highlight w:val="none"/>
              </w:rPr>
            </w:pPr>
            <w:r>
              <w:rPr>
                <w:rFonts w:hint="eastAsia" w:ascii="宋体" w:hAnsi="宋体" w:cs="宋体"/>
                <w:b/>
                <w:color w:val="000000"/>
                <w:highlight w:val="none"/>
              </w:rPr>
              <w:t>1</w:t>
            </w:r>
          </w:p>
        </w:tc>
        <w:tc>
          <w:tcPr>
            <w:tcW w:w="1897" w:type="dxa"/>
            <w:tcBorders>
              <w:top w:val="single" w:color="auto" w:sz="4" w:space="0"/>
              <w:left w:val="nil"/>
              <w:bottom w:val="single" w:color="auto" w:sz="4" w:space="0"/>
              <w:right w:val="single" w:color="auto" w:sz="4" w:space="0"/>
            </w:tcBorders>
            <w:noWrap/>
            <w:vAlign w:val="center"/>
          </w:tcPr>
          <w:p w14:paraId="79AEB618">
            <w:pPr>
              <w:spacing w:line="360" w:lineRule="exact"/>
              <w:jc w:val="center"/>
              <w:rPr>
                <w:rFonts w:hint="eastAsia" w:ascii="宋体" w:hAnsi="宋体" w:eastAsia="宋体" w:cs="宋体"/>
                <w:b/>
                <w:color w:val="000000"/>
                <w:highlight w:val="none"/>
                <w:lang w:eastAsia="zh-CN"/>
              </w:rPr>
            </w:pPr>
            <w:r>
              <w:rPr>
                <w:rFonts w:hint="eastAsia" w:ascii="宋体" w:hAnsi="宋体" w:cs="宋体"/>
                <w:b/>
                <w:color w:val="000000"/>
                <w:highlight w:val="none"/>
                <w:lang w:eastAsia="zh-CN"/>
              </w:rPr>
              <w:t>移动电池</w:t>
            </w:r>
          </w:p>
        </w:tc>
        <w:tc>
          <w:tcPr>
            <w:tcW w:w="5475" w:type="dxa"/>
            <w:tcBorders>
              <w:top w:val="single" w:color="auto" w:sz="4" w:space="0"/>
              <w:left w:val="nil"/>
              <w:bottom w:val="single" w:color="auto" w:sz="4" w:space="0"/>
              <w:right w:val="single" w:color="auto" w:sz="4" w:space="0"/>
            </w:tcBorders>
            <w:vAlign w:val="center"/>
          </w:tcPr>
          <w:p w14:paraId="75483962">
            <w:pPr>
              <w:spacing w:line="360" w:lineRule="exact"/>
              <w:rPr>
                <w:rFonts w:hint="eastAsia" w:ascii="宋体" w:hAnsi="宋体" w:eastAsia="宋体" w:cs="宋体"/>
                <w:color w:val="000000"/>
                <w:highlight w:val="none"/>
                <w:lang w:eastAsia="zh-CN"/>
              </w:rPr>
            </w:pPr>
            <w:r>
              <w:rPr>
                <w:rFonts w:hint="eastAsia" w:ascii="宋体" w:hAnsi="宋体" w:cs="宋体"/>
                <w:color w:val="000000"/>
                <w:highlight w:val="none"/>
                <w:lang w:eastAsia="zh-CN"/>
              </w:rPr>
              <w:t>可将电池移动至合适安装位置，保证电池与车架顺利合装</w:t>
            </w:r>
          </w:p>
        </w:tc>
      </w:tr>
    </w:tbl>
    <w:p w14:paraId="636627EF">
      <w:pPr>
        <w:spacing w:line="360" w:lineRule="auto"/>
        <w:rPr>
          <w:rFonts w:hint="eastAsia" w:ascii="宋体" w:hAnsi="宋体"/>
          <w:sz w:val="24"/>
          <w:szCs w:val="24"/>
          <w:highlight w:val="none"/>
        </w:rPr>
      </w:pPr>
      <w:r>
        <w:rPr>
          <w:rFonts w:hint="eastAsia" w:ascii="宋体" w:hAnsi="宋体"/>
          <w:sz w:val="24"/>
          <w:szCs w:val="24"/>
          <w:highlight w:val="none"/>
        </w:rPr>
        <w:t>2</w:t>
      </w:r>
      <w:r>
        <w:rPr>
          <w:rFonts w:ascii="宋体" w:hAnsi="宋体"/>
          <w:sz w:val="24"/>
          <w:szCs w:val="24"/>
          <w:highlight w:val="none"/>
        </w:rPr>
        <w:t>.1.</w:t>
      </w:r>
      <w:r>
        <w:rPr>
          <w:rFonts w:hint="eastAsia" w:ascii="宋体" w:hAnsi="宋体"/>
          <w:sz w:val="24"/>
          <w:szCs w:val="24"/>
          <w:highlight w:val="none"/>
          <w:lang w:val="en-US" w:eastAsia="zh-CN"/>
        </w:rPr>
        <w:t>5</w:t>
      </w:r>
      <w:r>
        <w:rPr>
          <w:rFonts w:hint="eastAsia" w:ascii="宋体" w:hAnsi="宋体"/>
          <w:sz w:val="24"/>
          <w:szCs w:val="24"/>
          <w:highlight w:val="none"/>
        </w:rPr>
        <w:t>安全要求</w:t>
      </w:r>
    </w:p>
    <w:p w14:paraId="3517D226">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外形结构保护：装置对于人员、工件和车身可能构成危险的地方都有保护。</w:t>
      </w:r>
    </w:p>
    <w:p w14:paraId="1A4C9BED">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行程保护：系统采用悬挂移动式安装结构，轨道与行走小车配合实现行走。系统在轨道末端设有行程限位开关，当移动小车移至限位开关时，将发出蜂鸣报警；当小车行至轨道末端时，末端机械限位可以阻止设备滑落轨道。</w:t>
      </w:r>
    </w:p>
    <w:p w14:paraId="5CC2D96C">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所有与工件、车体接触（或可能接触）部位都要求裹以软性材料，并经过去毛刺、去棱角处理，避免损伤工件及车体的面漆或留下压痕。</w:t>
      </w:r>
    </w:p>
    <w:p w14:paraId="50C6061B">
      <w:pPr>
        <w:spacing w:line="360" w:lineRule="auto"/>
        <w:ind w:firstLine="480" w:firstLineChars="200"/>
        <w:jc w:val="left"/>
        <w:rPr>
          <w:rFonts w:hint="eastAsia" w:ascii="宋体" w:hAnsi="宋体"/>
          <w:sz w:val="24"/>
          <w:szCs w:val="24"/>
          <w:highlight w:val="none"/>
        </w:rPr>
      </w:pPr>
      <w:r>
        <w:rPr>
          <w:rFonts w:hint="eastAsia" w:ascii="宋体" w:hAnsi="宋体"/>
          <w:sz w:val="24"/>
          <w:szCs w:val="24"/>
          <w:highlight w:val="none"/>
        </w:rPr>
        <w:t>压缩空气的异常波动不会对机械手造成损坏或导致机械手出现意外动作（如突然下坠或上升等伤及操作工或工件的动作），同时可避免因压力不足造成夹具夹持失效、工件脱落，造成人员伤害。</w:t>
      </w:r>
    </w:p>
    <w:p w14:paraId="3A10F7D9">
      <w:pPr>
        <w:pStyle w:val="2"/>
        <w:tabs>
          <w:tab w:val="left" w:pos="2400"/>
        </w:tabs>
        <w:spacing w:line="360" w:lineRule="auto"/>
        <w:jc w:val="both"/>
        <w:rPr>
          <w:rFonts w:ascii="宋体" w:hAnsi="宋体"/>
          <w:sz w:val="24"/>
          <w:highlight w:val="none"/>
        </w:rPr>
      </w:pPr>
      <w:bookmarkStart w:id="36" w:name="_Toc16187"/>
      <w:bookmarkStart w:id="37" w:name="_Toc30052"/>
      <w:bookmarkStart w:id="38" w:name="_Toc44953433"/>
      <w:r>
        <w:rPr>
          <w:rFonts w:hint="eastAsia" w:ascii="宋体" w:hAnsi="宋体"/>
          <w:sz w:val="24"/>
          <w:highlight w:val="none"/>
        </w:rPr>
        <w:t>四、供货范围及要求</w:t>
      </w:r>
      <w:bookmarkEnd w:id="36"/>
      <w:bookmarkEnd w:id="37"/>
      <w:bookmarkEnd w:id="38"/>
    </w:p>
    <w:p w14:paraId="2117479A">
      <w:pPr>
        <w:spacing w:line="360" w:lineRule="auto"/>
        <w:rPr>
          <w:rFonts w:ascii="宋体" w:hAnsi="宋体"/>
          <w:b/>
          <w:bCs/>
          <w:sz w:val="24"/>
          <w:szCs w:val="24"/>
          <w:highlight w:val="none"/>
        </w:rPr>
      </w:pPr>
      <w:r>
        <w:rPr>
          <w:rFonts w:hint="eastAsia" w:ascii="宋体" w:hAnsi="宋体"/>
          <w:b/>
          <w:bCs/>
          <w:sz w:val="24"/>
          <w:szCs w:val="24"/>
          <w:highlight w:val="none"/>
        </w:rPr>
        <w:t>1.供货地点</w:t>
      </w:r>
    </w:p>
    <w:p w14:paraId="5E2E4122">
      <w:pPr>
        <w:spacing w:line="360" w:lineRule="auto"/>
        <w:ind w:firstLine="120" w:firstLineChars="50"/>
        <w:rPr>
          <w:rFonts w:ascii="宋体" w:hAnsi="宋体"/>
          <w:sz w:val="24"/>
          <w:szCs w:val="24"/>
          <w:highlight w:val="none"/>
        </w:rPr>
      </w:pPr>
      <w:r>
        <w:rPr>
          <w:rFonts w:hint="eastAsia" w:ascii="宋体" w:hAnsi="宋体"/>
          <w:sz w:val="24"/>
          <w:szCs w:val="24"/>
          <w:highlight w:val="none"/>
          <w:u w:val="single"/>
        </w:rPr>
        <w:t>济南轻卡制造公司</w:t>
      </w:r>
      <w:r>
        <w:rPr>
          <w:rFonts w:hint="eastAsia" w:ascii="宋体" w:hAnsi="宋体"/>
          <w:sz w:val="24"/>
          <w:szCs w:val="24"/>
          <w:highlight w:val="none"/>
        </w:rPr>
        <w:t>。</w:t>
      </w:r>
    </w:p>
    <w:p w14:paraId="20A96B02">
      <w:pPr>
        <w:spacing w:line="360" w:lineRule="auto"/>
        <w:jc w:val="left"/>
        <w:rPr>
          <w:rFonts w:ascii="宋体" w:hAnsi="宋体"/>
          <w:sz w:val="24"/>
          <w:szCs w:val="24"/>
          <w:highlight w:val="none"/>
        </w:rPr>
      </w:pPr>
      <w:r>
        <w:rPr>
          <w:rFonts w:hint="eastAsia" w:ascii="宋体" w:hAnsi="宋体"/>
          <w:b/>
          <w:bCs/>
          <w:sz w:val="24"/>
          <w:szCs w:val="24"/>
          <w:highlight w:val="none"/>
        </w:rPr>
        <w:t>2.供货时间</w:t>
      </w:r>
    </w:p>
    <w:p w14:paraId="6A280D75">
      <w:pPr>
        <w:spacing w:line="360" w:lineRule="auto"/>
        <w:rPr>
          <w:rFonts w:ascii="宋体" w:hAnsi="宋体"/>
          <w:sz w:val="24"/>
          <w:szCs w:val="24"/>
          <w:highlight w:val="none"/>
        </w:rPr>
      </w:pPr>
      <w:r>
        <w:rPr>
          <w:rFonts w:hint="eastAsia" w:ascii="宋体" w:hAnsi="宋体"/>
          <w:sz w:val="24"/>
          <w:szCs w:val="24"/>
          <w:highlight w:val="none"/>
        </w:rPr>
        <w:t>中标通知书下发3个月内完成设备安装调试，具备预验收条件。</w:t>
      </w:r>
    </w:p>
    <w:p w14:paraId="4E3A6F7C">
      <w:pPr>
        <w:spacing w:line="360" w:lineRule="auto"/>
        <w:jc w:val="left"/>
        <w:rPr>
          <w:rFonts w:ascii="宋体" w:hAnsi="宋体"/>
          <w:b/>
          <w:bCs/>
          <w:sz w:val="24"/>
          <w:szCs w:val="24"/>
          <w:highlight w:val="none"/>
        </w:rPr>
      </w:pPr>
      <w:r>
        <w:rPr>
          <w:rFonts w:hint="eastAsia" w:ascii="宋体" w:hAnsi="宋体"/>
          <w:b/>
          <w:bCs/>
          <w:sz w:val="24"/>
          <w:szCs w:val="24"/>
          <w:highlight w:val="none"/>
        </w:rPr>
        <w:t>3.质保期</w:t>
      </w:r>
    </w:p>
    <w:p w14:paraId="3948CA0C">
      <w:pPr>
        <w:spacing w:line="360" w:lineRule="auto"/>
        <w:ind w:firstLine="480" w:firstLineChars="200"/>
        <w:rPr>
          <w:rFonts w:ascii="宋体" w:hAnsi="宋体"/>
          <w:sz w:val="24"/>
          <w:szCs w:val="24"/>
          <w:highlight w:val="none"/>
        </w:rPr>
      </w:pPr>
      <w:r>
        <w:rPr>
          <w:rFonts w:hint="eastAsia" w:ascii="宋体" w:hAnsi="宋体"/>
          <w:sz w:val="24"/>
          <w:szCs w:val="24"/>
          <w:highlight w:val="none"/>
        </w:rPr>
        <w:t>投标方所提供设备（或材料）涉及的全部供货范围内的设备、材料、资料、技术等，除合同特别约定外，均自设备（或材料）终验收签字生效之日起，不低于12个月（如有更长时间质保期，可在投标文件中说明）。</w:t>
      </w:r>
    </w:p>
    <w:p w14:paraId="78643DCC">
      <w:pPr>
        <w:spacing w:line="360" w:lineRule="auto"/>
        <w:jc w:val="left"/>
        <w:rPr>
          <w:rFonts w:ascii="宋体" w:hAnsi="宋体"/>
          <w:b/>
          <w:bCs/>
          <w:sz w:val="24"/>
          <w:szCs w:val="24"/>
          <w:highlight w:val="none"/>
        </w:rPr>
      </w:pPr>
      <w:r>
        <w:rPr>
          <w:rFonts w:hint="eastAsia" w:ascii="宋体" w:hAnsi="宋体"/>
          <w:b/>
          <w:bCs/>
          <w:sz w:val="24"/>
          <w:szCs w:val="24"/>
          <w:highlight w:val="none"/>
        </w:rPr>
        <w:t>4.备品备件、易损件和专用耗材范围</w:t>
      </w:r>
    </w:p>
    <w:p w14:paraId="1691A72B">
      <w:pPr>
        <w:spacing w:line="360" w:lineRule="auto"/>
        <w:rPr>
          <w:rFonts w:ascii="宋体" w:hAnsi="宋体"/>
          <w:sz w:val="24"/>
          <w:szCs w:val="24"/>
          <w:highlight w:val="none"/>
        </w:rPr>
      </w:pPr>
      <w:r>
        <w:rPr>
          <w:rFonts w:hint="eastAsia" w:ascii="宋体" w:hAnsi="宋体"/>
          <w:sz w:val="24"/>
          <w:szCs w:val="24"/>
          <w:highlight w:val="none"/>
        </w:rPr>
        <w:t>4.1招标方招标文件所指备品备件、易损件和专用耗材，是招标方为保证设备质保期之后正常运行一年所自备自用的备品备件、易损件和专用耗材；</w:t>
      </w:r>
    </w:p>
    <w:p w14:paraId="7A82A6A9">
      <w:pPr>
        <w:spacing w:line="360" w:lineRule="auto"/>
        <w:rPr>
          <w:rFonts w:ascii="宋体" w:hAnsi="宋体"/>
          <w:sz w:val="24"/>
          <w:szCs w:val="24"/>
          <w:highlight w:val="none"/>
        </w:rPr>
      </w:pPr>
      <w:r>
        <w:rPr>
          <w:rFonts w:hint="eastAsia" w:ascii="宋体" w:hAnsi="宋体"/>
          <w:sz w:val="24"/>
          <w:szCs w:val="24"/>
          <w:highlight w:val="none"/>
        </w:rPr>
        <w:t>4.2投标方应提供易损件和专用耗材的制造图纸及其技术要求等资料；</w:t>
      </w:r>
    </w:p>
    <w:p w14:paraId="274248C9">
      <w:pPr>
        <w:spacing w:line="360" w:lineRule="auto"/>
        <w:rPr>
          <w:rFonts w:ascii="宋体" w:hAnsi="宋体"/>
          <w:sz w:val="24"/>
          <w:szCs w:val="24"/>
          <w:highlight w:val="none"/>
        </w:rPr>
      </w:pPr>
      <w:r>
        <w:rPr>
          <w:rFonts w:hint="eastAsia" w:ascii="宋体" w:hAnsi="宋体"/>
          <w:sz w:val="24"/>
          <w:szCs w:val="24"/>
          <w:highlight w:val="none"/>
        </w:rPr>
        <w:t>4.3投标方需提供必须的备品备件清单（备品备件明确规格、厂家、产地、价格，单独报价），以及有关备品备件的保管资料，如：存放期限、温度、湿度、是否需干燥剂等。</w:t>
      </w:r>
    </w:p>
    <w:p w14:paraId="2120D6D4">
      <w:pPr>
        <w:spacing w:line="360" w:lineRule="auto"/>
        <w:rPr>
          <w:rFonts w:ascii="宋体" w:hAnsi="宋体"/>
          <w:sz w:val="24"/>
          <w:szCs w:val="24"/>
          <w:highlight w:val="none"/>
        </w:rPr>
      </w:pPr>
      <w:r>
        <w:rPr>
          <w:rFonts w:hint="eastAsia" w:ascii="宋体" w:hAnsi="宋体"/>
          <w:sz w:val="24"/>
          <w:szCs w:val="24"/>
          <w:highlight w:val="none"/>
        </w:rPr>
        <w:t>4.4投标方应保证备品备件长期稳定的供货。对主要设备或与主设备功能相同的兼容性替代品，其备品的供货期至少是设备验收后十五年或该设备退出市场后五年(二者之中取时间长的一种)。当投标方决定中断所提供的备品备件供应时，应预先告知招标方，以便招标方增加这些备品备件储备。</w:t>
      </w:r>
    </w:p>
    <w:p w14:paraId="5A516E6D">
      <w:pPr>
        <w:spacing w:line="360" w:lineRule="auto"/>
        <w:rPr>
          <w:rFonts w:ascii="宋体" w:hAnsi="宋体"/>
          <w:highlight w:val="none"/>
        </w:rPr>
      </w:pPr>
      <w:r>
        <w:rPr>
          <w:rFonts w:hint="eastAsia" w:ascii="宋体" w:hAnsi="宋体"/>
          <w:sz w:val="24"/>
          <w:szCs w:val="24"/>
          <w:highlight w:val="none"/>
        </w:rPr>
        <w:t>4.5投标方应免费提供满足设备正常运行一年所需的备品备件、易损件和专用耗材，并附详细清单（包括名称、型号、规格、单位、数量、生产厂家、单价、总价等条目）。</w:t>
      </w:r>
    </w:p>
    <w:p w14:paraId="282EBFBE">
      <w:pPr>
        <w:spacing w:line="360" w:lineRule="auto"/>
        <w:jc w:val="left"/>
        <w:rPr>
          <w:rFonts w:ascii="宋体" w:hAnsi="宋体"/>
          <w:b/>
          <w:bCs/>
          <w:sz w:val="24"/>
          <w:szCs w:val="24"/>
          <w:highlight w:val="none"/>
        </w:rPr>
      </w:pPr>
      <w:r>
        <w:rPr>
          <w:rFonts w:hint="eastAsia" w:ascii="宋体" w:hAnsi="宋体"/>
          <w:b/>
          <w:bCs/>
          <w:sz w:val="24"/>
          <w:szCs w:val="24"/>
          <w:highlight w:val="none"/>
        </w:rPr>
        <w:t>5.技术资料范围</w:t>
      </w:r>
    </w:p>
    <w:p w14:paraId="69FBFE5A">
      <w:pPr>
        <w:spacing w:line="360" w:lineRule="auto"/>
        <w:rPr>
          <w:rFonts w:ascii="宋体" w:hAnsi="宋体"/>
          <w:sz w:val="24"/>
          <w:szCs w:val="24"/>
          <w:highlight w:val="none"/>
        </w:rPr>
      </w:pPr>
      <w:bookmarkStart w:id="39" w:name="_Toc44953434"/>
      <w:r>
        <w:rPr>
          <w:rFonts w:hint="eastAsia" w:ascii="宋体" w:hAnsi="宋体"/>
          <w:sz w:val="24"/>
          <w:szCs w:val="24"/>
          <w:highlight w:val="none"/>
        </w:rPr>
        <w:t>5.1 硬件资料</w:t>
      </w:r>
    </w:p>
    <w:p w14:paraId="3B22691F">
      <w:pPr>
        <w:spacing w:line="360" w:lineRule="auto"/>
        <w:ind w:firstLine="480" w:firstLineChars="200"/>
        <w:rPr>
          <w:rFonts w:ascii="宋体" w:hAnsi="宋体"/>
          <w:sz w:val="24"/>
          <w:szCs w:val="24"/>
          <w:highlight w:val="none"/>
        </w:rPr>
      </w:pPr>
      <w:r>
        <w:rPr>
          <w:rFonts w:hint="eastAsia" w:ascii="宋体" w:hAnsi="宋体"/>
          <w:sz w:val="24"/>
          <w:szCs w:val="24"/>
          <w:highlight w:val="none"/>
        </w:rPr>
        <w:t>投标方提供的资料应包括涉及所有系统部件的安装、运行、注意事项和维护方法的详细说明，此外还应包括所购设备的完整设备清单和详细指南。与设备清单相对应的设备项目代号应在所有相关图纸上表示出来，投标方还应根据要求提供其设备代号与市场上可买到的该设备型号间的参照表。</w:t>
      </w:r>
    </w:p>
    <w:p w14:paraId="2E828321">
      <w:pPr>
        <w:spacing w:line="360" w:lineRule="auto"/>
        <w:rPr>
          <w:rFonts w:ascii="宋体" w:hAnsi="宋体"/>
          <w:sz w:val="24"/>
          <w:szCs w:val="24"/>
          <w:highlight w:val="none"/>
        </w:rPr>
      </w:pPr>
      <w:r>
        <w:rPr>
          <w:rFonts w:hint="eastAsia" w:ascii="宋体" w:hAnsi="宋体"/>
          <w:sz w:val="24"/>
          <w:szCs w:val="24"/>
          <w:highlight w:val="none"/>
        </w:rPr>
        <w:t>投标方至少应提供下列手册和图纸：</w:t>
      </w:r>
    </w:p>
    <w:p w14:paraId="052A5B3D">
      <w:pPr>
        <w:spacing w:line="360" w:lineRule="auto"/>
        <w:rPr>
          <w:rFonts w:ascii="宋体" w:hAnsi="宋体"/>
          <w:sz w:val="24"/>
          <w:szCs w:val="24"/>
          <w:highlight w:val="none"/>
        </w:rPr>
      </w:pPr>
      <w:r>
        <w:rPr>
          <w:rFonts w:hint="eastAsia" w:ascii="宋体" w:hAnsi="宋体"/>
          <w:sz w:val="24"/>
          <w:szCs w:val="24"/>
          <w:highlight w:val="none"/>
        </w:rPr>
        <w:t>--设备竣工图（包括总图、基础图、装配图、机械原理图、气动、液压原理图、电气原理图、接线图和元器件布置图、PLC 梯形图、变频器的组态文件、HMI 的组态文件等）</w:t>
      </w:r>
    </w:p>
    <w:p w14:paraId="0C317144">
      <w:pPr>
        <w:spacing w:line="360" w:lineRule="auto"/>
        <w:rPr>
          <w:rFonts w:ascii="宋体" w:hAnsi="宋体"/>
          <w:sz w:val="24"/>
          <w:szCs w:val="24"/>
          <w:highlight w:val="none"/>
        </w:rPr>
      </w:pPr>
      <w:r>
        <w:rPr>
          <w:rFonts w:hint="eastAsia" w:ascii="宋体" w:hAnsi="宋体"/>
          <w:sz w:val="24"/>
          <w:szCs w:val="24"/>
          <w:highlight w:val="none"/>
        </w:rPr>
        <w:t>--设备硬件手册。</w:t>
      </w:r>
    </w:p>
    <w:p w14:paraId="1459EF34">
      <w:pPr>
        <w:spacing w:line="360" w:lineRule="auto"/>
        <w:rPr>
          <w:rFonts w:ascii="宋体" w:hAnsi="宋体"/>
          <w:sz w:val="24"/>
          <w:szCs w:val="24"/>
          <w:highlight w:val="none"/>
        </w:rPr>
      </w:pPr>
      <w:r>
        <w:rPr>
          <w:rFonts w:hint="eastAsia" w:ascii="宋体" w:hAnsi="宋体"/>
          <w:sz w:val="24"/>
          <w:szCs w:val="24"/>
          <w:highlight w:val="none"/>
        </w:rPr>
        <w:t>--设备操作手册（含安全操作规程、操作和安全事项的使用说明书）。</w:t>
      </w:r>
    </w:p>
    <w:p w14:paraId="2C4374F6">
      <w:pPr>
        <w:spacing w:line="360" w:lineRule="auto"/>
        <w:rPr>
          <w:rFonts w:ascii="宋体" w:hAnsi="宋体"/>
          <w:sz w:val="24"/>
          <w:szCs w:val="24"/>
          <w:highlight w:val="none"/>
        </w:rPr>
      </w:pPr>
      <w:r>
        <w:rPr>
          <w:rFonts w:hint="eastAsia" w:ascii="宋体" w:hAnsi="宋体"/>
          <w:sz w:val="24"/>
          <w:szCs w:val="24"/>
          <w:highlight w:val="none"/>
        </w:rPr>
        <w:t>--设备维护手册（含润滑图表、含有易损件的检查更换指南、易损件使用时间）。</w:t>
      </w:r>
    </w:p>
    <w:p w14:paraId="54F48BD7">
      <w:pPr>
        <w:spacing w:line="360" w:lineRule="auto"/>
        <w:rPr>
          <w:rFonts w:ascii="宋体" w:hAnsi="宋体"/>
          <w:sz w:val="24"/>
          <w:szCs w:val="24"/>
          <w:highlight w:val="none"/>
        </w:rPr>
      </w:pPr>
      <w:r>
        <w:rPr>
          <w:rFonts w:hint="eastAsia" w:ascii="宋体" w:hAnsi="宋体"/>
          <w:sz w:val="24"/>
          <w:szCs w:val="24"/>
          <w:highlight w:val="none"/>
        </w:rPr>
        <w:t>--设备组态手册。</w:t>
      </w:r>
    </w:p>
    <w:p w14:paraId="04EA5FCE">
      <w:pPr>
        <w:spacing w:line="360" w:lineRule="auto"/>
        <w:rPr>
          <w:rFonts w:ascii="宋体" w:hAnsi="宋体"/>
          <w:sz w:val="24"/>
          <w:szCs w:val="24"/>
          <w:highlight w:val="none"/>
        </w:rPr>
      </w:pPr>
      <w:r>
        <w:rPr>
          <w:rFonts w:hint="eastAsia" w:ascii="宋体" w:hAnsi="宋体"/>
          <w:sz w:val="24"/>
          <w:szCs w:val="24"/>
          <w:highlight w:val="none"/>
        </w:rPr>
        <w:t>--仪器仪表检定证书和使用维修说明书。</w:t>
      </w:r>
    </w:p>
    <w:p w14:paraId="09327121">
      <w:pPr>
        <w:spacing w:line="360" w:lineRule="auto"/>
        <w:rPr>
          <w:rFonts w:ascii="宋体" w:hAnsi="宋体"/>
          <w:sz w:val="24"/>
          <w:szCs w:val="24"/>
          <w:highlight w:val="none"/>
        </w:rPr>
      </w:pPr>
      <w:r>
        <w:rPr>
          <w:rFonts w:hint="eastAsia" w:ascii="宋体" w:hAnsi="宋体"/>
          <w:sz w:val="24"/>
          <w:szCs w:val="24"/>
          <w:highlight w:val="none"/>
        </w:rPr>
        <w:t>--构成设备所有部件的原理图。</w:t>
      </w:r>
    </w:p>
    <w:p w14:paraId="6ACD3471">
      <w:pPr>
        <w:spacing w:line="360" w:lineRule="auto"/>
        <w:rPr>
          <w:rFonts w:ascii="宋体" w:hAnsi="宋体"/>
          <w:sz w:val="24"/>
          <w:szCs w:val="24"/>
          <w:highlight w:val="none"/>
        </w:rPr>
      </w:pPr>
      <w:r>
        <w:rPr>
          <w:rFonts w:hint="eastAsia" w:ascii="宋体" w:hAnsi="宋体"/>
          <w:sz w:val="24"/>
          <w:szCs w:val="24"/>
          <w:highlight w:val="none"/>
        </w:rPr>
        <w:t>--内部布置图。</w:t>
      </w:r>
    </w:p>
    <w:p w14:paraId="7A0CD4B0">
      <w:pPr>
        <w:spacing w:line="360" w:lineRule="auto"/>
        <w:rPr>
          <w:rFonts w:ascii="宋体" w:hAnsi="宋体"/>
          <w:sz w:val="24"/>
          <w:szCs w:val="24"/>
          <w:highlight w:val="none"/>
        </w:rPr>
      </w:pPr>
      <w:r>
        <w:rPr>
          <w:rFonts w:hint="eastAsia" w:ascii="宋体" w:hAnsi="宋体"/>
          <w:sz w:val="24"/>
          <w:szCs w:val="24"/>
          <w:highlight w:val="none"/>
        </w:rPr>
        <w:t>--符合招标方要求格式的外部连接图，图上应有电缆编号和端子编号。</w:t>
      </w:r>
    </w:p>
    <w:p w14:paraId="63ECB6A7">
      <w:pPr>
        <w:spacing w:line="360" w:lineRule="auto"/>
        <w:rPr>
          <w:rFonts w:ascii="宋体" w:hAnsi="宋体"/>
          <w:sz w:val="24"/>
          <w:szCs w:val="24"/>
          <w:highlight w:val="none"/>
        </w:rPr>
      </w:pPr>
      <w:r>
        <w:rPr>
          <w:rFonts w:hint="eastAsia" w:ascii="宋体" w:hAnsi="宋体"/>
          <w:sz w:val="24"/>
          <w:szCs w:val="24"/>
          <w:highlight w:val="none"/>
        </w:rPr>
        <w:t>--每只控制柜、操作台的总布置图，这些图中应标明各模件和组装件的编号，并包括正视图、后视图、开孔图、总尺寸及开门所需的净空距离。</w:t>
      </w:r>
    </w:p>
    <w:p w14:paraId="38A73753">
      <w:pPr>
        <w:spacing w:line="360" w:lineRule="auto"/>
        <w:rPr>
          <w:rFonts w:ascii="宋体" w:hAnsi="宋体"/>
          <w:sz w:val="24"/>
          <w:szCs w:val="24"/>
          <w:highlight w:val="none"/>
        </w:rPr>
      </w:pPr>
      <w:r>
        <w:rPr>
          <w:rFonts w:hint="eastAsia" w:ascii="宋体" w:hAnsi="宋体"/>
          <w:sz w:val="24"/>
          <w:szCs w:val="24"/>
          <w:highlight w:val="none"/>
        </w:rPr>
        <w:t>--所有控制和调整装置在维护时所需的校验曲线。</w:t>
      </w:r>
    </w:p>
    <w:p w14:paraId="31926F9A">
      <w:pPr>
        <w:spacing w:line="360" w:lineRule="auto"/>
        <w:rPr>
          <w:rFonts w:ascii="宋体" w:hAnsi="宋体"/>
          <w:sz w:val="24"/>
          <w:szCs w:val="24"/>
          <w:highlight w:val="none"/>
        </w:rPr>
      </w:pPr>
      <w:r>
        <w:rPr>
          <w:rFonts w:hint="eastAsia" w:ascii="宋体" w:hAnsi="宋体"/>
          <w:sz w:val="24"/>
          <w:szCs w:val="24"/>
          <w:highlight w:val="none"/>
        </w:rPr>
        <w:t>--所有投标方外购设备手册。</w:t>
      </w:r>
    </w:p>
    <w:p w14:paraId="3D4327C2">
      <w:pPr>
        <w:spacing w:line="360" w:lineRule="auto"/>
        <w:rPr>
          <w:rFonts w:ascii="宋体" w:hAnsi="宋体"/>
          <w:sz w:val="24"/>
          <w:szCs w:val="24"/>
          <w:highlight w:val="none"/>
        </w:rPr>
      </w:pPr>
      <w:r>
        <w:rPr>
          <w:rFonts w:hint="eastAsia" w:ascii="宋体" w:hAnsi="宋体"/>
          <w:sz w:val="24"/>
          <w:szCs w:val="24"/>
          <w:highlight w:val="none"/>
        </w:rPr>
        <w:t>-- PLC使用的部件详图。</w:t>
      </w:r>
    </w:p>
    <w:p w14:paraId="3C92F721">
      <w:pPr>
        <w:spacing w:line="360" w:lineRule="auto"/>
        <w:rPr>
          <w:rFonts w:ascii="宋体" w:hAnsi="宋体"/>
          <w:sz w:val="24"/>
          <w:szCs w:val="24"/>
          <w:highlight w:val="none"/>
        </w:rPr>
      </w:pPr>
      <w:r>
        <w:rPr>
          <w:rFonts w:hint="eastAsia" w:ascii="宋体" w:hAnsi="宋体"/>
          <w:sz w:val="24"/>
          <w:szCs w:val="24"/>
          <w:highlight w:val="none"/>
        </w:rPr>
        <w:t>--安装步骤、包括装配细节、设备散热和设备重量等。</w:t>
      </w:r>
    </w:p>
    <w:p w14:paraId="3BB04CC2">
      <w:pPr>
        <w:spacing w:line="360" w:lineRule="auto"/>
        <w:rPr>
          <w:rFonts w:ascii="宋体" w:hAnsi="宋体"/>
          <w:sz w:val="24"/>
          <w:szCs w:val="24"/>
          <w:highlight w:val="none"/>
        </w:rPr>
      </w:pPr>
      <w:r>
        <w:rPr>
          <w:rFonts w:hint="eastAsia" w:ascii="宋体" w:hAnsi="宋体"/>
          <w:sz w:val="24"/>
          <w:szCs w:val="24"/>
          <w:highlight w:val="none"/>
        </w:rPr>
        <w:t>--材料清册，包括备件、易损件和耗材清单。</w:t>
      </w:r>
    </w:p>
    <w:p w14:paraId="581944C6">
      <w:pPr>
        <w:spacing w:line="360" w:lineRule="auto"/>
        <w:rPr>
          <w:rFonts w:ascii="宋体" w:hAnsi="宋体"/>
          <w:sz w:val="24"/>
          <w:szCs w:val="24"/>
          <w:highlight w:val="none"/>
        </w:rPr>
      </w:pPr>
      <w:r>
        <w:rPr>
          <w:rFonts w:hint="eastAsia" w:ascii="宋体" w:hAnsi="宋体"/>
          <w:sz w:val="24"/>
          <w:szCs w:val="24"/>
          <w:highlight w:val="none"/>
        </w:rPr>
        <w:t>--所有外围设备的样本（包括主机、显示器、键盘、打印机等）。</w:t>
      </w:r>
    </w:p>
    <w:p w14:paraId="25049D4F">
      <w:pPr>
        <w:spacing w:line="360" w:lineRule="auto"/>
        <w:rPr>
          <w:rFonts w:ascii="宋体" w:hAnsi="宋体"/>
          <w:sz w:val="24"/>
          <w:szCs w:val="24"/>
          <w:highlight w:val="none"/>
        </w:rPr>
      </w:pPr>
      <w:r>
        <w:rPr>
          <w:rFonts w:hint="eastAsia" w:ascii="宋体" w:hAnsi="宋体"/>
          <w:sz w:val="24"/>
          <w:szCs w:val="24"/>
          <w:highlight w:val="none"/>
        </w:rPr>
        <w:t>--产品合格证。</w:t>
      </w:r>
    </w:p>
    <w:p w14:paraId="41E84366">
      <w:pPr>
        <w:spacing w:line="360" w:lineRule="auto"/>
        <w:rPr>
          <w:rFonts w:ascii="宋体" w:hAnsi="宋体"/>
          <w:sz w:val="24"/>
          <w:szCs w:val="24"/>
          <w:highlight w:val="none"/>
        </w:rPr>
      </w:pPr>
      <w:r>
        <w:rPr>
          <w:rFonts w:hint="eastAsia" w:ascii="宋体" w:hAnsi="宋体"/>
          <w:sz w:val="24"/>
          <w:szCs w:val="24"/>
          <w:highlight w:val="none"/>
        </w:rPr>
        <w:t>--开箱记录等随机文件材料。</w:t>
      </w:r>
    </w:p>
    <w:p w14:paraId="5F37BB4C">
      <w:pPr>
        <w:spacing w:line="360" w:lineRule="auto"/>
        <w:rPr>
          <w:rFonts w:ascii="宋体" w:hAnsi="宋体"/>
          <w:sz w:val="24"/>
          <w:szCs w:val="24"/>
          <w:highlight w:val="none"/>
        </w:rPr>
      </w:pPr>
      <w:r>
        <w:rPr>
          <w:rFonts w:hint="eastAsia" w:ascii="宋体" w:hAnsi="宋体"/>
          <w:sz w:val="24"/>
          <w:szCs w:val="24"/>
          <w:highlight w:val="none"/>
        </w:rPr>
        <w:t>--施工文件。</w:t>
      </w:r>
    </w:p>
    <w:p w14:paraId="1851CE8A">
      <w:pPr>
        <w:spacing w:line="360" w:lineRule="auto"/>
        <w:rPr>
          <w:rFonts w:ascii="宋体" w:hAnsi="宋体"/>
          <w:sz w:val="24"/>
          <w:szCs w:val="24"/>
          <w:highlight w:val="none"/>
        </w:rPr>
      </w:pPr>
      <w:r>
        <w:rPr>
          <w:rFonts w:hint="eastAsia" w:ascii="宋体" w:hAnsi="宋体"/>
          <w:sz w:val="24"/>
          <w:szCs w:val="24"/>
          <w:highlight w:val="none"/>
        </w:rPr>
        <w:t>--用于说明采购件名称、型号、规格、厂家等的采购件明细表。</w:t>
      </w:r>
    </w:p>
    <w:p w14:paraId="7CC83FAB">
      <w:pPr>
        <w:spacing w:line="360" w:lineRule="auto"/>
        <w:rPr>
          <w:rFonts w:ascii="宋体" w:hAnsi="宋体"/>
          <w:sz w:val="24"/>
          <w:szCs w:val="24"/>
          <w:highlight w:val="none"/>
        </w:rPr>
      </w:pPr>
      <w:r>
        <w:rPr>
          <w:rFonts w:hint="eastAsia" w:ascii="宋体" w:hAnsi="宋体"/>
          <w:sz w:val="24"/>
          <w:szCs w:val="24"/>
          <w:highlight w:val="none"/>
        </w:rPr>
        <w:t>--设备出厂所必须的精度检验证书、性能测试记录和报告。</w:t>
      </w:r>
    </w:p>
    <w:p w14:paraId="744ECFAD">
      <w:pPr>
        <w:spacing w:line="360" w:lineRule="auto"/>
        <w:rPr>
          <w:rFonts w:ascii="宋体" w:hAnsi="宋体"/>
          <w:sz w:val="24"/>
          <w:szCs w:val="24"/>
          <w:highlight w:val="none"/>
        </w:rPr>
      </w:pPr>
      <w:r>
        <w:rPr>
          <w:rFonts w:hint="eastAsia" w:ascii="宋体" w:hAnsi="宋体"/>
          <w:sz w:val="24"/>
          <w:szCs w:val="24"/>
          <w:highlight w:val="none"/>
        </w:rPr>
        <w:t>--设备分支动力管线的设计竣工图。</w:t>
      </w:r>
    </w:p>
    <w:p w14:paraId="765438F2">
      <w:pPr>
        <w:spacing w:line="360" w:lineRule="auto"/>
        <w:rPr>
          <w:rFonts w:ascii="宋体" w:hAnsi="宋体"/>
          <w:sz w:val="24"/>
          <w:szCs w:val="24"/>
          <w:highlight w:val="none"/>
        </w:rPr>
      </w:pPr>
      <w:r>
        <w:rPr>
          <w:rFonts w:hint="eastAsia" w:ascii="宋体" w:hAnsi="宋体"/>
          <w:sz w:val="24"/>
          <w:szCs w:val="24"/>
          <w:highlight w:val="none"/>
        </w:rPr>
        <w:t>5.2 软件资料</w:t>
      </w:r>
    </w:p>
    <w:p w14:paraId="7781BE0A">
      <w:pPr>
        <w:spacing w:line="360" w:lineRule="auto"/>
        <w:rPr>
          <w:rFonts w:ascii="宋体" w:hAnsi="宋体"/>
          <w:sz w:val="24"/>
          <w:szCs w:val="24"/>
          <w:highlight w:val="none"/>
        </w:rPr>
      </w:pPr>
      <w:r>
        <w:rPr>
          <w:rFonts w:hint="eastAsia" w:ascii="宋体" w:hAnsi="宋体"/>
          <w:sz w:val="24"/>
          <w:szCs w:val="24"/>
          <w:highlight w:val="none"/>
        </w:rPr>
        <w:t>5.2.1 投标方应提供足以使招标方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14:paraId="4D0089C6">
      <w:pPr>
        <w:spacing w:line="360" w:lineRule="auto"/>
        <w:rPr>
          <w:rFonts w:ascii="宋体" w:hAnsi="宋体"/>
          <w:sz w:val="24"/>
          <w:szCs w:val="24"/>
          <w:highlight w:val="none"/>
        </w:rPr>
      </w:pPr>
      <w:r>
        <w:rPr>
          <w:rFonts w:hint="eastAsia" w:ascii="宋体" w:hAnsi="宋体"/>
          <w:sz w:val="24"/>
          <w:szCs w:val="24"/>
          <w:highlight w:val="none"/>
        </w:rPr>
        <w:t>5.2.2 设备可编程器件（PLC、触摸屏、伺服器等）的原控制程序、组态程序电子文档。</w:t>
      </w:r>
    </w:p>
    <w:p w14:paraId="7CF39185">
      <w:pPr>
        <w:spacing w:line="360" w:lineRule="auto"/>
        <w:rPr>
          <w:rFonts w:ascii="宋体" w:hAnsi="宋体"/>
          <w:sz w:val="24"/>
          <w:szCs w:val="24"/>
          <w:highlight w:val="none"/>
        </w:rPr>
      </w:pPr>
      <w:r>
        <w:rPr>
          <w:rFonts w:hint="eastAsia" w:ascii="宋体" w:hAnsi="宋体"/>
          <w:sz w:val="24"/>
          <w:szCs w:val="24"/>
          <w:highlight w:val="none"/>
        </w:rPr>
        <w:t>5.2.3 编程指导材料，投标方应提供用于各系统程序的源码说明，包括交互在程序中的注释，以便整个程序的理解，这一资料应存放在工程师站和U盘内提供给招标方。</w:t>
      </w:r>
    </w:p>
    <w:p w14:paraId="7AACA68B">
      <w:pPr>
        <w:spacing w:line="360" w:lineRule="auto"/>
        <w:rPr>
          <w:rFonts w:ascii="宋体" w:hAnsi="宋体"/>
          <w:sz w:val="24"/>
          <w:szCs w:val="24"/>
          <w:highlight w:val="none"/>
        </w:rPr>
      </w:pPr>
      <w:r>
        <w:rPr>
          <w:rFonts w:hint="eastAsia" w:ascii="宋体" w:hAnsi="宋体"/>
          <w:sz w:val="24"/>
          <w:szCs w:val="24"/>
          <w:highlight w:val="none"/>
        </w:rPr>
        <w:t>5.2.4 投标方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等。</w:t>
      </w:r>
    </w:p>
    <w:p w14:paraId="6A8F57B3">
      <w:pPr>
        <w:spacing w:line="360" w:lineRule="auto"/>
        <w:rPr>
          <w:rFonts w:ascii="宋体" w:hAnsi="宋体"/>
          <w:sz w:val="24"/>
          <w:szCs w:val="24"/>
          <w:highlight w:val="none"/>
        </w:rPr>
      </w:pPr>
      <w:r>
        <w:rPr>
          <w:rFonts w:hint="eastAsia" w:ascii="宋体" w:hAnsi="宋体"/>
          <w:sz w:val="24"/>
          <w:szCs w:val="24"/>
          <w:highlight w:val="none"/>
        </w:rPr>
        <w:t>5.3其他资料</w:t>
      </w:r>
    </w:p>
    <w:p w14:paraId="0B382D03">
      <w:pPr>
        <w:spacing w:line="360" w:lineRule="auto"/>
        <w:rPr>
          <w:rFonts w:ascii="宋体" w:hAnsi="宋体"/>
          <w:sz w:val="24"/>
          <w:szCs w:val="24"/>
          <w:highlight w:val="none"/>
        </w:rPr>
      </w:pPr>
      <w:r>
        <w:rPr>
          <w:rFonts w:hint="eastAsia" w:ascii="宋体" w:hAnsi="宋体"/>
          <w:sz w:val="24"/>
          <w:szCs w:val="24"/>
          <w:highlight w:val="none"/>
        </w:rPr>
        <w:t>5.3.1投标方须负责在合同签订后 7 日内，提供设备（或材料）基础及相关的安装、设计资料；并同时提出对厂房、基础、公用设施、消防、环保等不超出招标文件、投标文件、答疑文件、技术交流文件、技术协议书和合同等规定的、有特殊要求的解释、说明和要求；</w:t>
      </w:r>
    </w:p>
    <w:p w14:paraId="0914CB84">
      <w:pPr>
        <w:spacing w:line="360" w:lineRule="auto"/>
        <w:rPr>
          <w:rFonts w:ascii="宋体" w:hAnsi="宋体"/>
          <w:sz w:val="24"/>
          <w:szCs w:val="24"/>
          <w:highlight w:val="none"/>
        </w:rPr>
      </w:pPr>
      <w:r>
        <w:rPr>
          <w:rFonts w:hint="eastAsia" w:ascii="宋体" w:hAnsi="宋体"/>
          <w:sz w:val="24"/>
          <w:szCs w:val="24"/>
          <w:highlight w:val="none"/>
        </w:rPr>
        <w:t>5.3.2本“技术资料范围”所列的技术资料、图等，投标方应各提供4套纸质资料及3套电子版资料（光盘或u盘等），每份技术文件应装有目录清单。</w:t>
      </w:r>
    </w:p>
    <w:p w14:paraId="0AC78359">
      <w:pPr>
        <w:pStyle w:val="2"/>
        <w:numPr>
          <w:ilvl w:val="0"/>
          <w:numId w:val="29"/>
        </w:numPr>
        <w:tabs>
          <w:tab w:val="left" w:pos="2400"/>
        </w:tabs>
        <w:spacing w:line="360" w:lineRule="auto"/>
        <w:jc w:val="both"/>
        <w:rPr>
          <w:rFonts w:hint="eastAsia" w:ascii="宋体" w:hAnsi="宋体"/>
          <w:sz w:val="24"/>
          <w:highlight w:val="none"/>
        </w:rPr>
      </w:pPr>
      <w:bookmarkStart w:id="40" w:name="_Toc12641"/>
      <w:bookmarkStart w:id="41" w:name="_Toc24273"/>
      <w:r>
        <w:rPr>
          <w:rFonts w:hint="eastAsia" w:ascii="宋体" w:hAnsi="宋体"/>
          <w:sz w:val="24"/>
          <w:highlight w:val="none"/>
        </w:rPr>
        <w:t>服务范围及要求</w:t>
      </w:r>
      <w:bookmarkEnd w:id="39"/>
      <w:bookmarkEnd w:id="40"/>
      <w:bookmarkEnd w:id="41"/>
    </w:p>
    <w:p w14:paraId="4C764E49">
      <w:pPr>
        <w:spacing w:line="360" w:lineRule="auto"/>
        <w:rPr>
          <w:rFonts w:ascii="宋体" w:hAnsi="宋体"/>
          <w:b/>
          <w:bCs/>
          <w:szCs w:val="21"/>
        </w:rPr>
      </w:pPr>
      <w:r>
        <w:rPr>
          <w:rFonts w:hint="eastAsia" w:ascii="宋体" w:hAnsi="宋体"/>
          <w:b/>
          <w:bCs/>
          <w:szCs w:val="21"/>
        </w:rPr>
        <w:t>1.乙方培训职责</w:t>
      </w:r>
    </w:p>
    <w:p w14:paraId="38346C1B">
      <w:pPr>
        <w:spacing w:line="360" w:lineRule="auto"/>
        <w:ind w:firstLine="480" w:firstLineChars="200"/>
        <w:rPr>
          <w:rFonts w:ascii="宋体" w:hAnsi="宋体"/>
          <w:szCs w:val="21"/>
        </w:rPr>
      </w:pPr>
      <w:r>
        <w:rPr>
          <w:rFonts w:hint="eastAsia" w:ascii="宋体" w:hAnsi="宋体"/>
          <w:sz w:val="24"/>
          <w:szCs w:val="24"/>
          <w:highlight w:val="none"/>
        </w:rPr>
        <w:t>乙方必须对甲方提供全面的培训，从而确保甲方的操作工、维修人员、工程师等能完全正确的操作，保养，维护设备。</w:t>
      </w:r>
      <w:bookmarkStart w:id="42" w:name="_Toc428683124"/>
      <w:bookmarkEnd w:id="42"/>
    </w:p>
    <w:p w14:paraId="6A0DA229">
      <w:pPr>
        <w:spacing w:line="360" w:lineRule="auto"/>
        <w:rPr>
          <w:rFonts w:ascii="宋体" w:hAnsi="宋体"/>
          <w:b/>
          <w:bCs/>
          <w:szCs w:val="21"/>
        </w:rPr>
      </w:pPr>
      <w:r>
        <w:rPr>
          <w:rFonts w:hint="eastAsia" w:ascii="宋体" w:hAnsi="宋体"/>
          <w:b/>
          <w:bCs/>
          <w:szCs w:val="21"/>
        </w:rPr>
        <w:t>2.培训要求</w:t>
      </w:r>
    </w:p>
    <w:p w14:paraId="4595E9A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rPr>
        <w:t>2.1乙方必须在其项目组织机构图中指定一名培训负责人及多名培训讲师。</w:t>
      </w:r>
    </w:p>
    <w:p w14:paraId="2DFD56A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rPr>
        <w:t>2.2乙方必须提供必要的培训资料，包括以下内容：</w:t>
      </w:r>
    </w:p>
    <w:p w14:paraId="57F82D2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rPr>
        <w:t>培训计划。</w:t>
      </w:r>
    </w:p>
    <w:p w14:paraId="7D559F3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rPr>
        <w:t>培训课件。</w:t>
      </w:r>
    </w:p>
    <w:p w14:paraId="3401880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rPr>
        <w:t>时间节点及交付物。</w:t>
      </w:r>
    </w:p>
    <w:p w14:paraId="32EBC63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bookmarkStart w:id="43" w:name="_Toc432900284"/>
      <w:bookmarkStart w:id="44" w:name="_Toc435410205"/>
      <w:r>
        <w:rPr>
          <w:rFonts w:hint="eastAsia" w:ascii="宋体" w:hAnsi="宋体"/>
          <w:sz w:val="24"/>
          <w:szCs w:val="24"/>
          <w:highlight w:val="none"/>
        </w:rPr>
        <w:t>2.3培训范围</w:t>
      </w:r>
    </w:p>
    <w:bookmarkEnd w:id="43"/>
    <w:bookmarkEnd w:id="44"/>
    <w:p w14:paraId="68C1BDB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rPr>
        <w:t>2.3.1电控系统的使用操作；</w:t>
      </w:r>
    </w:p>
    <w:p w14:paraId="5E671CC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rPr>
        <w:t>2.3.2设备的使用；</w:t>
      </w:r>
    </w:p>
    <w:p w14:paraId="20ABB61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rPr>
        <w:t>2.3.3设备的维护和保养；</w:t>
      </w:r>
    </w:p>
    <w:p w14:paraId="18D7732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rPr>
        <w:t>2.3.4设备的维修和零部件更换；</w:t>
      </w:r>
    </w:p>
    <w:p w14:paraId="22F1A51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rPr>
        <w:t>2.4培训的时间</w:t>
      </w:r>
    </w:p>
    <w:p w14:paraId="3DD7D4F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rPr>
        <w:t>2.4.1在合同授予给乙方后、设备到甲方厂区前，乙方必须向甲方提供培训资料、支持文档、培训项目时间计划表、培训方法等具体内容。</w:t>
      </w:r>
    </w:p>
    <w:p w14:paraId="60BA209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rPr>
        <w:t>2.4.1乙方应在设备安装的最后阶段对设备维修和操作人员进行机械和电气培训，设备的操作培训不少于4课时；维护维修培训不少于1周，乙方根据设备复杂程度拟定培训计划。</w:t>
      </w:r>
    </w:p>
    <w:p w14:paraId="3CF2305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rPr>
        <w:t>2.5培训人次</w:t>
      </w:r>
    </w:p>
    <w:p w14:paraId="2401897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rPr>
        <w:t>操作培训不少于20人；维护维修培训不少于25人。</w:t>
      </w:r>
    </w:p>
    <w:p w14:paraId="399C3D0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rPr>
        <w:t>2.6安装调试过程疑问解答</w:t>
      </w:r>
    </w:p>
    <w:p w14:paraId="6DC21C0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szCs w:val="21"/>
        </w:rPr>
      </w:pPr>
      <w:r>
        <w:rPr>
          <w:rFonts w:hint="eastAsia" w:ascii="宋体" w:hAnsi="宋体"/>
          <w:sz w:val="24"/>
          <w:szCs w:val="24"/>
          <w:highlight w:val="none"/>
        </w:rPr>
        <w:t>乙方技术人员有义务对甲方的现场人员的技术问题进行解答、培训，使甲方人员熟悉、掌握该设备的结构、性能和常见故障的分析、判断、排除技能。</w:t>
      </w:r>
    </w:p>
    <w:p w14:paraId="03E3FCAF">
      <w:pPr>
        <w:spacing w:line="360" w:lineRule="auto"/>
        <w:rPr>
          <w:rFonts w:ascii="宋体" w:hAnsi="宋体"/>
          <w:b/>
          <w:bCs/>
          <w:szCs w:val="21"/>
        </w:rPr>
      </w:pPr>
      <w:r>
        <w:rPr>
          <w:rFonts w:ascii="宋体" w:hAnsi="宋体"/>
          <w:b/>
          <w:bCs/>
          <w:szCs w:val="21"/>
        </w:rPr>
        <w:t>3</w:t>
      </w:r>
      <w:r>
        <w:rPr>
          <w:rFonts w:hint="eastAsia" w:ascii="宋体" w:hAnsi="宋体"/>
          <w:b/>
          <w:bCs/>
          <w:szCs w:val="21"/>
        </w:rPr>
        <w:t>.质保</w:t>
      </w:r>
    </w:p>
    <w:p w14:paraId="6BD3821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rPr>
        <w:t>3.1设备及电气部分质保期为终验收合格之日起12个月。合同范围内的一切货物（易损件及消耗品除外）均属质保范围。</w:t>
      </w:r>
    </w:p>
    <w:p w14:paraId="28F8ACE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lang w:val="en-US" w:eastAsia="zh-CN"/>
        </w:rPr>
        <w:t>3</w:t>
      </w:r>
      <w:r>
        <w:rPr>
          <w:rFonts w:hint="eastAsia" w:ascii="宋体" w:hAnsi="宋体"/>
          <w:sz w:val="24"/>
          <w:szCs w:val="24"/>
          <w:highlight w:val="none"/>
        </w:rPr>
        <w:t>.2 在质保期内，如因乙方原因造成设备不能正常运行，乙方应在接到甲方通知1小时内给予电话答复，如有需要按甲方要求8小时内派出技术人员到甲方工厂进行维修，乙方承担维修、更换损坏部件以及其维修人员差旅费，以及其它由此产生的直接费用。</w:t>
      </w:r>
    </w:p>
    <w:p w14:paraId="3B7C6FF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lang w:val="en-US" w:eastAsia="zh-CN"/>
        </w:rPr>
        <w:t>3</w:t>
      </w:r>
      <w:r>
        <w:rPr>
          <w:rFonts w:hint="eastAsia" w:ascii="宋体" w:hAnsi="宋体"/>
          <w:sz w:val="24"/>
          <w:szCs w:val="24"/>
          <w:highlight w:val="none"/>
        </w:rPr>
        <w:t>.3在质保期内，甲方按照设备或机器使用说明书在正常条件下按照其购买目的使用，由于乙方设计或制造上的缺陷而发生的损坏造成的直接损失由乙方负责。</w:t>
      </w:r>
    </w:p>
    <w:p w14:paraId="6187ACB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lang w:val="en-US" w:eastAsia="zh-CN"/>
        </w:rPr>
        <w:t>3</w:t>
      </w:r>
      <w:r>
        <w:rPr>
          <w:rFonts w:hint="eastAsia" w:ascii="宋体" w:hAnsi="宋体"/>
          <w:sz w:val="24"/>
          <w:szCs w:val="24"/>
          <w:highlight w:val="none"/>
        </w:rPr>
        <w:t>.4质保服务包括质保期内协助甲方免费维修、免费更换设备因故障造成的损坏部件（提供易损件及消耗品除外，并提供易损件明细清单、更换周期）。</w:t>
      </w:r>
    </w:p>
    <w:p w14:paraId="73A8F0F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lang w:val="en-US" w:eastAsia="zh-CN"/>
        </w:rPr>
        <w:t>3</w:t>
      </w:r>
      <w:r>
        <w:rPr>
          <w:rFonts w:hint="eastAsia" w:ascii="宋体" w:hAnsi="宋体"/>
          <w:sz w:val="24"/>
          <w:szCs w:val="24"/>
          <w:highlight w:val="none"/>
        </w:rPr>
        <w:t>.5售后服务人员须具备足以解决现场问题的能力和经验，接到甲方通知后应在8小时内到现场协助处理问题。</w:t>
      </w:r>
    </w:p>
    <w:p w14:paraId="01A2A49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sz w:val="24"/>
          <w:szCs w:val="24"/>
          <w:highlight w:val="none"/>
        </w:rPr>
      </w:pPr>
      <w:r>
        <w:rPr>
          <w:rFonts w:hint="eastAsia" w:ascii="宋体" w:hAnsi="宋体"/>
          <w:sz w:val="24"/>
          <w:szCs w:val="24"/>
          <w:highlight w:val="none"/>
          <w:lang w:val="en-US" w:eastAsia="zh-CN"/>
        </w:rPr>
        <w:t>3</w:t>
      </w:r>
      <w:r>
        <w:rPr>
          <w:rFonts w:hint="eastAsia" w:ascii="宋体" w:hAnsi="宋体"/>
          <w:sz w:val="24"/>
          <w:szCs w:val="24"/>
          <w:highlight w:val="none"/>
        </w:rPr>
        <w:t>.6乙方须安排合理的回访机制，质保期内每3个月免费回访一次，提供设备运行状况检查、维护、培训等技术支持和服务。</w:t>
      </w:r>
    </w:p>
    <w:p w14:paraId="63053DC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pPr>
      <w:r>
        <w:rPr>
          <w:rFonts w:hint="eastAsia" w:ascii="宋体" w:hAnsi="宋体"/>
          <w:sz w:val="24"/>
          <w:szCs w:val="24"/>
          <w:highlight w:val="none"/>
          <w:lang w:val="en-US" w:eastAsia="zh-CN"/>
        </w:rPr>
        <w:t>3</w:t>
      </w:r>
      <w:r>
        <w:rPr>
          <w:rFonts w:hint="eastAsia" w:ascii="宋体" w:hAnsi="宋体"/>
          <w:sz w:val="24"/>
          <w:szCs w:val="24"/>
          <w:highlight w:val="none"/>
        </w:rPr>
        <w:t>.7乙方对标的设备提供终身维修，在质量保证期外，甲方根据维修情况支付乙方更换零件或提供服务的费用。乙方保证甲方能在10年内购买到相关备件或更新替代零件（匹配原系统）。</w:t>
      </w:r>
    </w:p>
    <w:p w14:paraId="3A3A32DA">
      <w:pPr>
        <w:tabs>
          <w:tab w:val="left" w:pos="840"/>
        </w:tabs>
        <w:jc w:val="left"/>
        <w:rPr>
          <w:rFonts w:ascii="宋体" w:hAnsi="宋体"/>
          <w:color w:val="000000"/>
          <w:sz w:val="24"/>
          <w:szCs w:val="24"/>
          <w:highlight w:val="none"/>
        </w:rPr>
      </w:pPr>
    </w:p>
    <w:p w14:paraId="255CE838">
      <w:pPr>
        <w:pStyle w:val="2"/>
        <w:tabs>
          <w:tab w:val="left" w:pos="2400"/>
        </w:tabs>
        <w:spacing w:line="360" w:lineRule="auto"/>
        <w:jc w:val="both"/>
        <w:rPr>
          <w:rFonts w:ascii="宋体" w:hAnsi="宋体"/>
          <w:sz w:val="24"/>
          <w:highlight w:val="none"/>
        </w:rPr>
      </w:pPr>
      <w:bookmarkStart w:id="45" w:name="_Toc44953435"/>
      <w:bookmarkStart w:id="46" w:name="_Toc23034"/>
      <w:bookmarkStart w:id="47" w:name="_Toc10718"/>
      <w:r>
        <w:rPr>
          <w:rFonts w:hint="eastAsia" w:ascii="宋体" w:hAnsi="宋体"/>
          <w:sz w:val="24"/>
          <w:highlight w:val="none"/>
        </w:rPr>
        <w:t>六、预验收和终验收要求</w:t>
      </w:r>
      <w:bookmarkEnd w:id="45"/>
      <w:bookmarkEnd w:id="46"/>
      <w:bookmarkEnd w:id="47"/>
    </w:p>
    <w:p w14:paraId="3D1C93F9">
      <w:pPr>
        <w:spacing w:line="360" w:lineRule="auto"/>
        <w:rPr>
          <w:rFonts w:ascii="宋体" w:hAnsi="宋体"/>
          <w:sz w:val="24"/>
          <w:szCs w:val="24"/>
          <w:highlight w:val="none"/>
        </w:rPr>
      </w:pPr>
      <w:r>
        <w:rPr>
          <w:rFonts w:hint="eastAsia" w:ascii="宋体" w:hAnsi="宋体"/>
          <w:sz w:val="24"/>
          <w:szCs w:val="24"/>
          <w:highlight w:val="none"/>
        </w:rPr>
        <w:t>按照参考招标文件、投标文件、答疑文件、技术交流文件等形成并达成一致的技术协议书和合同规定验收。</w:t>
      </w:r>
    </w:p>
    <w:p w14:paraId="768A084C">
      <w:pPr>
        <w:pStyle w:val="3"/>
        <w:jc w:val="left"/>
        <w:rPr>
          <w:rFonts w:ascii="宋体" w:hAnsi="宋体" w:cs="宋体"/>
          <w:sz w:val="21"/>
          <w:szCs w:val="21"/>
        </w:rPr>
      </w:pPr>
      <w:bookmarkStart w:id="48" w:name="_Toc24317"/>
      <w:bookmarkStart w:id="49" w:name="_Toc77081999"/>
      <w:bookmarkStart w:id="50" w:name="_Toc15317"/>
      <w:r>
        <w:rPr>
          <w:rFonts w:hint="eastAsia"/>
          <w:sz w:val="21"/>
          <w:szCs w:val="21"/>
        </w:rPr>
        <w:t>（</w:t>
      </w:r>
      <w:r>
        <w:rPr>
          <w:rFonts w:hint="eastAsia" w:ascii="宋体" w:hAnsi="宋体" w:cs="宋体"/>
          <w:sz w:val="21"/>
          <w:szCs w:val="21"/>
        </w:rPr>
        <w:t>一）预验收</w:t>
      </w:r>
      <w:bookmarkEnd w:id="48"/>
      <w:bookmarkEnd w:id="49"/>
      <w:bookmarkEnd w:id="50"/>
    </w:p>
    <w:p w14:paraId="554843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highlight w:val="none"/>
        </w:rPr>
      </w:pPr>
      <w:r>
        <w:rPr>
          <w:rFonts w:hint="eastAsia" w:ascii="宋体" w:hAnsi="宋体"/>
          <w:sz w:val="24"/>
          <w:szCs w:val="24"/>
          <w:highlight w:val="none"/>
        </w:rPr>
        <w:t>预验收应在乙方自行检验合格后通知甲方；在预验收过程中发现的问题，乙方应进行改进；预验收合格后形成预验收报告，由乙方组织发货；</w:t>
      </w:r>
    </w:p>
    <w:p w14:paraId="46DE55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highlight w:val="none"/>
        </w:rPr>
      </w:pPr>
      <w:r>
        <w:rPr>
          <w:rFonts w:hint="eastAsia" w:ascii="宋体" w:hAnsi="宋体"/>
          <w:sz w:val="24"/>
          <w:szCs w:val="24"/>
          <w:highlight w:val="none"/>
        </w:rPr>
        <w:t>1.1 在乙方制作现场的预验收</w:t>
      </w:r>
    </w:p>
    <w:p w14:paraId="1B2D1C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highlight w:val="none"/>
        </w:rPr>
      </w:pPr>
      <w:r>
        <w:rPr>
          <w:rFonts w:hint="eastAsia" w:ascii="宋体" w:hAnsi="宋体"/>
          <w:sz w:val="24"/>
          <w:szCs w:val="24"/>
          <w:highlight w:val="none"/>
        </w:rPr>
        <w:t>1.1.1 对于主要材料及零部件在预制、组装设备之前，乙方必须及时通知甲方到制作现场，根据有关供货明细及技术要求等进行预验收确认；</w:t>
      </w:r>
    </w:p>
    <w:p w14:paraId="32F232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highlight w:val="none"/>
        </w:rPr>
      </w:pPr>
      <w:r>
        <w:rPr>
          <w:rFonts w:hint="eastAsia" w:ascii="宋体" w:hAnsi="宋体"/>
          <w:sz w:val="24"/>
          <w:szCs w:val="24"/>
          <w:highlight w:val="none"/>
        </w:rPr>
        <w:t>1.1.2 在设备预制及零部件组装过程中，乙方必须及时通知甲方到制作现场；</w:t>
      </w:r>
    </w:p>
    <w:p w14:paraId="417305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highlight w:val="none"/>
        </w:rPr>
      </w:pPr>
      <w:r>
        <w:rPr>
          <w:rFonts w:hint="eastAsia" w:ascii="宋体" w:hAnsi="宋体"/>
          <w:sz w:val="24"/>
          <w:szCs w:val="24"/>
          <w:highlight w:val="none"/>
        </w:rPr>
        <w:t>1.1.3 双方根据预验收情况签署预验收报告（工程终验收文件之一），但这不能减免乙方对产品的终验收责任。对预验收合格的预制件及组装设备，由甲方监督进行包装；对预验收中存在的问题，乙方必须及时整改，直至完全达到甲方的要求。在乙方工厂制造的设备、预制件须经甲方对质量认可后方可发往现场安装。</w:t>
      </w:r>
    </w:p>
    <w:p w14:paraId="510A78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highlight w:val="none"/>
        </w:rPr>
      </w:pPr>
      <w:r>
        <w:rPr>
          <w:rFonts w:hint="eastAsia" w:ascii="宋体" w:hAnsi="宋体"/>
          <w:sz w:val="24"/>
          <w:szCs w:val="24"/>
          <w:highlight w:val="none"/>
        </w:rPr>
        <w:t>1.1.4预验收所需的工具、量具等必要仪器由乙方提供。</w:t>
      </w:r>
    </w:p>
    <w:p w14:paraId="10626F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highlight w:val="none"/>
        </w:rPr>
      </w:pPr>
      <w:r>
        <w:rPr>
          <w:rFonts w:hint="eastAsia" w:ascii="宋体" w:hAnsi="宋体"/>
          <w:sz w:val="24"/>
          <w:szCs w:val="24"/>
          <w:highlight w:val="none"/>
        </w:rPr>
        <w:t>1.2 在甲方安装现场的预验收</w:t>
      </w:r>
    </w:p>
    <w:p w14:paraId="1DD482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highlight w:val="none"/>
        </w:rPr>
      </w:pPr>
      <w:r>
        <w:rPr>
          <w:rFonts w:hint="eastAsia" w:ascii="宋体" w:hAnsi="宋体"/>
          <w:sz w:val="24"/>
          <w:szCs w:val="24"/>
          <w:highlight w:val="none"/>
        </w:rPr>
        <w:t>对无需预制及组装的材料和零部件，在进入甲方现场安装前，由双方共同在甲方现场对设备、材料暂存地进行开箱预验收，并填写开箱验收单（工程终验收文件之一）。</w:t>
      </w:r>
    </w:p>
    <w:p w14:paraId="7517A3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highlight w:val="none"/>
        </w:rPr>
      </w:pPr>
      <w:r>
        <w:rPr>
          <w:rFonts w:hint="eastAsia" w:ascii="宋体" w:hAnsi="宋体"/>
          <w:sz w:val="24"/>
          <w:szCs w:val="24"/>
          <w:highlight w:val="none"/>
        </w:rPr>
        <w:t>1.3 主要验收内容</w:t>
      </w:r>
    </w:p>
    <w:p w14:paraId="2BC54A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highlight w:val="none"/>
        </w:rPr>
      </w:pPr>
      <w:r>
        <w:rPr>
          <w:rFonts w:hint="eastAsia" w:ascii="宋体" w:hAnsi="宋体"/>
          <w:sz w:val="24"/>
          <w:szCs w:val="24"/>
          <w:highlight w:val="none"/>
        </w:rPr>
        <w:t>1.3.1 材料质量及其合格证；</w:t>
      </w:r>
    </w:p>
    <w:p w14:paraId="40501A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highlight w:val="none"/>
        </w:rPr>
      </w:pPr>
      <w:r>
        <w:rPr>
          <w:rFonts w:hint="eastAsia" w:ascii="宋体" w:hAnsi="宋体"/>
          <w:sz w:val="24"/>
          <w:szCs w:val="24"/>
          <w:highlight w:val="none"/>
        </w:rPr>
        <w:t>1.3.2 产品结构形式是否符合要求；</w:t>
      </w:r>
    </w:p>
    <w:p w14:paraId="79241D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highlight w:val="none"/>
        </w:rPr>
      </w:pPr>
      <w:r>
        <w:rPr>
          <w:rFonts w:hint="eastAsia" w:ascii="宋体" w:hAnsi="宋体"/>
          <w:sz w:val="24"/>
          <w:szCs w:val="24"/>
          <w:highlight w:val="none"/>
        </w:rPr>
        <w:t>1.3.3 功能要求的符合性；</w:t>
      </w:r>
    </w:p>
    <w:p w14:paraId="035998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highlight w:val="none"/>
        </w:rPr>
      </w:pPr>
      <w:r>
        <w:rPr>
          <w:rFonts w:hint="eastAsia" w:ascii="宋体" w:hAnsi="宋体"/>
          <w:sz w:val="24"/>
          <w:szCs w:val="24"/>
          <w:highlight w:val="none"/>
        </w:rPr>
        <w:t>1.3.4 技术参数的符合性；</w:t>
      </w:r>
    </w:p>
    <w:p w14:paraId="405B93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highlight w:val="none"/>
        </w:rPr>
      </w:pPr>
      <w:r>
        <w:rPr>
          <w:rFonts w:hint="eastAsia" w:ascii="宋体" w:hAnsi="宋体"/>
          <w:sz w:val="24"/>
          <w:szCs w:val="24"/>
          <w:highlight w:val="none"/>
        </w:rPr>
        <w:t>1.3.5 特殊要求项目的符合性；</w:t>
      </w:r>
    </w:p>
    <w:p w14:paraId="4443BD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highlight w:val="none"/>
        </w:rPr>
      </w:pPr>
      <w:r>
        <w:rPr>
          <w:rFonts w:hint="eastAsia" w:ascii="宋体" w:hAnsi="宋体"/>
          <w:sz w:val="24"/>
          <w:szCs w:val="24"/>
          <w:highlight w:val="none"/>
        </w:rPr>
        <w:t>1.3.6 甲乙双方核实备件/易损件；</w:t>
      </w:r>
    </w:p>
    <w:p w14:paraId="2EBC01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1"/>
          <w:szCs w:val="21"/>
        </w:rPr>
      </w:pPr>
      <w:r>
        <w:rPr>
          <w:rFonts w:hint="eastAsia" w:ascii="宋体" w:hAnsi="宋体"/>
          <w:sz w:val="24"/>
          <w:szCs w:val="24"/>
          <w:highlight w:val="none"/>
        </w:rPr>
        <w:t>1.3.7 设备预验收合格后，甲方授权代表签字认可，出具预验收报告（但这不能减免乙方对产品的终验收责任）。</w:t>
      </w:r>
    </w:p>
    <w:p w14:paraId="686BE568">
      <w:pPr>
        <w:pStyle w:val="3"/>
        <w:jc w:val="left"/>
        <w:rPr>
          <w:rFonts w:ascii="宋体" w:hAnsi="宋体" w:cs="宋体"/>
          <w:sz w:val="21"/>
          <w:szCs w:val="21"/>
        </w:rPr>
      </w:pPr>
      <w:bookmarkStart w:id="51" w:name="_Toc77082000"/>
      <w:bookmarkStart w:id="52" w:name="_Toc508694115"/>
      <w:bookmarkStart w:id="53" w:name="_Toc508828395"/>
      <w:bookmarkStart w:id="54" w:name="_Toc508889868"/>
      <w:bookmarkStart w:id="55" w:name="_Toc508353321"/>
      <w:bookmarkStart w:id="56" w:name="_Toc25084"/>
      <w:bookmarkStart w:id="57" w:name="_Toc25625"/>
      <w:r>
        <w:rPr>
          <w:rFonts w:hint="eastAsia" w:ascii="宋体" w:hAnsi="宋体" w:cs="宋体"/>
          <w:sz w:val="21"/>
          <w:szCs w:val="21"/>
        </w:rPr>
        <w:t>（二）初验收</w:t>
      </w:r>
      <w:bookmarkEnd w:id="51"/>
      <w:bookmarkEnd w:id="52"/>
      <w:bookmarkEnd w:id="53"/>
      <w:bookmarkEnd w:id="54"/>
      <w:bookmarkEnd w:id="55"/>
      <w:bookmarkEnd w:id="56"/>
      <w:bookmarkEnd w:id="57"/>
    </w:p>
    <w:p w14:paraId="344F46C2">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2.1 初验收在设备安装调试完成、设备调试合格后进行。</w:t>
      </w:r>
    </w:p>
    <w:p w14:paraId="30C28662">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2.2 初验收时乙方还需向甲方提供所有的预验收、调试报告及完整操作说明书。</w:t>
      </w:r>
    </w:p>
    <w:p w14:paraId="0B46BE61">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2.3 接到乙方初验收申请，根据合同条款</w:t>
      </w:r>
    </w:p>
    <w:p w14:paraId="48A0F476">
      <w:pPr>
        <w:pStyle w:val="115"/>
        <w:ind w:firstLine="420"/>
        <w:jc w:val="both"/>
        <w:rPr>
          <w:rFonts w:hint="eastAsia" w:ascii="宋体" w:hAnsi="宋体" w:eastAsia="宋体" w:cs="Times New Roman"/>
          <w:snapToGrid/>
          <w:kern w:val="2"/>
          <w:sz w:val="24"/>
          <w:szCs w:val="24"/>
          <w:highlight w:val="none"/>
          <w:lang w:val="en-US" w:eastAsia="zh-CN" w:bidi="ar-SA"/>
        </w:rPr>
      </w:pPr>
    </w:p>
    <w:p w14:paraId="03C1F603">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约定时间，由甲方组织按合同附件及技术协议中相关要求及参数进行初验收，在双方确认达到合同条款等要求以后，由乙方和甲方代表签署初验收报告（但这不能减免乙方对产品的终验收责任）。</w:t>
      </w:r>
    </w:p>
    <w:p w14:paraId="76D7861C">
      <w:pPr>
        <w:adjustRightInd w:val="0"/>
        <w:snapToGrid w:val="0"/>
        <w:spacing w:line="360" w:lineRule="auto"/>
        <w:ind w:firstLine="480" w:firstLineChars="200"/>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2.4初验收的一般标准与要求：</w:t>
      </w:r>
    </w:p>
    <w:p w14:paraId="38479B24">
      <w:pPr>
        <w:adjustRightInd w:val="0"/>
        <w:snapToGrid w:val="0"/>
        <w:spacing w:line="360" w:lineRule="auto"/>
        <w:ind w:firstLine="480" w:firstLineChars="200"/>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a.初验收在设备安装及运行一段时间后进行；</w:t>
      </w:r>
    </w:p>
    <w:p w14:paraId="235915AF">
      <w:pPr>
        <w:adjustRightInd w:val="0"/>
        <w:snapToGrid w:val="0"/>
        <w:spacing w:line="360" w:lineRule="auto"/>
        <w:ind w:firstLine="480" w:firstLineChars="200"/>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b.资料齐全性、完整性和有效性。按照“技术资料范围”等的规定验收；</w:t>
      </w:r>
    </w:p>
    <w:p w14:paraId="7CADE8C0">
      <w:pPr>
        <w:adjustRightInd w:val="0"/>
        <w:snapToGrid w:val="0"/>
        <w:spacing w:line="360" w:lineRule="auto"/>
        <w:ind w:firstLine="480" w:firstLineChars="200"/>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c.设备应运行灵活、稳定、可靠、安全，无异常声音和非正常振动。运动的零部件（如链条、联轴器、离合器等）应动作平稳、没有异常声音，不松动或易于调整；</w:t>
      </w:r>
    </w:p>
    <w:p w14:paraId="249E9AB2">
      <w:pPr>
        <w:adjustRightInd w:val="0"/>
        <w:snapToGrid w:val="0"/>
        <w:spacing w:line="360" w:lineRule="auto"/>
        <w:ind w:firstLine="480" w:firstLineChars="200"/>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d.设备外观应无损伤，应该涂满同种明亮清晰的油漆（特殊标志除外）。设备应该完整且所有的零部件应该安装牢固，所有的焊缝饱满、无残渣等缺陷；</w:t>
      </w:r>
    </w:p>
    <w:p w14:paraId="6D8A29E9">
      <w:pPr>
        <w:adjustRightInd w:val="0"/>
        <w:snapToGrid w:val="0"/>
        <w:spacing w:line="360" w:lineRule="auto"/>
        <w:ind w:firstLine="480" w:firstLineChars="200"/>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e.所有的管道和电缆线等，应排列有序（正确、牢固、整齐）无皱褶、收缩和裂缝，电缆线在整个长度范围内，所有的接头应完全正确、可靠接地连接；</w:t>
      </w:r>
    </w:p>
    <w:p w14:paraId="20F8C646">
      <w:pPr>
        <w:adjustRightInd w:val="0"/>
        <w:snapToGrid w:val="0"/>
        <w:spacing w:line="360" w:lineRule="auto"/>
        <w:ind w:firstLine="480" w:firstLineChars="200"/>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f.设备应有完整的标牌，且清晰易见；</w:t>
      </w:r>
    </w:p>
    <w:p w14:paraId="4AE1415A">
      <w:pPr>
        <w:adjustRightInd w:val="0"/>
        <w:snapToGrid w:val="0"/>
        <w:spacing w:line="360" w:lineRule="auto"/>
        <w:ind w:firstLine="480" w:firstLineChars="200"/>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g.设备的润滑系统工作可靠，润滑点易于到达；</w:t>
      </w:r>
    </w:p>
    <w:p w14:paraId="13A2A65D">
      <w:pPr>
        <w:adjustRightInd w:val="0"/>
        <w:snapToGrid w:val="0"/>
        <w:spacing w:line="360" w:lineRule="auto"/>
        <w:ind w:firstLine="480" w:firstLineChars="200"/>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h.设备的安全要求符合中国最新的相关法律、法规、标准和规范以及合同要求；</w:t>
      </w:r>
    </w:p>
    <w:p w14:paraId="55E59B9E">
      <w:pPr>
        <w:adjustRightInd w:val="0"/>
        <w:snapToGrid w:val="0"/>
        <w:spacing w:line="360" w:lineRule="auto"/>
        <w:ind w:firstLine="480" w:firstLineChars="200"/>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i.地线连接和地极符合国际（ISO/IEC）标准规范；</w:t>
      </w:r>
    </w:p>
    <w:p w14:paraId="55AFB82E">
      <w:pPr>
        <w:adjustRightInd w:val="0"/>
        <w:snapToGrid w:val="0"/>
        <w:spacing w:line="360" w:lineRule="auto"/>
        <w:ind w:firstLine="480" w:firstLineChars="200"/>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j.在整个初验收过程中没有维修、更换零部件或元件行为；</w:t>
      </w:r>
    </w:p>
    <w:p w14:paraId="1BA1B2E4">
      <w:pPr>
        <w:adjustRightInd w:val="0"/>
        <w:snapToGrid w:val="0"/>
        <w:spacing w:line="360" w:lineRule="auto"/>
        <w:ind w:firstLine="480" w:firstLineChars="200"/>
        <w:rPr>
          <w:rFonts w:ascii="宋体" w:hAnsi="宋体" w:cs="宋体"/>
          <w:szCs w:val="21"/>
        </w:rPr>
      </w:pPr>
      <w:r>
        <w:rPr>
          <w:rFonts w:hint="eastAsia" w:ascii="宋体" w:hAnsi="宋体" w:eastAsia="宋体" w:cs="Times New Roman"/>
          <w:snapToGrid/>
          <w:kern w:val="2"/>
          <w:sz w:val="24"/>
          <w:szCs w:val="24"/>
          <w:highlight w:val="none"/>
          <w:lang w:val="en-US" w:eastAsia="zh-CN" w:bidi="ar-SA"/>
        </w:rPr>
        <w:t>k.供货范围内的全部设备及配套工艺台车、吊具等设备设施的结构、配置满足技术协议要求，生产节拍满足技术协议要求。</w:t>
      </w:r>
    </w:p>
    <w:p w14:paraId="3291292E">
      <w:pPr>
        <w:pStyle w:val="3"/>
        <w:jc w:val="left"/>
        <w:rPr>
          <w:rFonts w:ascii="宋体" w:hAnsi="宋体" w:cs="宋体"/>
          <w:sz w:val="21"/>
          <w:szCs w:val="21"/>
          <w:highlight w:val="none"/>
        </w:rPr>
      </w:pPr>
      <w:bookmarkStart w:id="58" w:name="_Toc77082001"/>
      <w:bookmarkStart w:id="59" w:name="_Toc23436"/>
      <w:bookmarkStart w:id="60" w:name="_Toc18294"/>
      <w:r>
        <w:rPr>
          <w:rFonts w:hint="eastAsia" w:ascii="宋体" w:hAnsi="宋体" w:cs="宋体"/>
          <w:sz w:val="21"/>
          <w:szCs w:val="21"/>
          <w:highlight w:val="none"/>
        </w:rPr>
        <w:t>（三）终验收</w:t>
      </w:r>
      <w:bookmarkEnd w:id="58"/>
      <w:bookmarkEnd w:id="59"/>
      <w:bookmarkEnd w:id="60"/>
    </w:p>
    <w:p w14:paraId="5F5C821B">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3.1终验收在安装调试完成后的甲方现场进行；乙方在合同签定之前，提供最终验收标准并得到甲方认可；不能预验收的项目和预验收通过的项目都在终验收时重新检验，最终只以终验收为准。</w:t>
      </w:r>
    </w:p>
    <w:p w14:paraId="21BCE7FE">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3.2调试完成后，如生产线连续运转正常，设备没有发生故障，进入终验收。如试运转期内设备发生故障，乙方应立即予以排除。</w:t>
      </w:r>
    </w:p>
    <w:p w14:paraId="75928AEB">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 xml:space="preserve">3.3 终验收条件： </w:t>
      </w:r>
    </w:p>
    <w:p w14:paraId="145ABCFE">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（1）所有设备到货，并安装、调试完毕；设备安装、调试符合国家相关法规及标准和甲方要求；</w:t>
      </w:r>
    </w:p>
    <w:p w14:paraId="01E0487F">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（2）所有设备的整改项目实施完毕，无重大遗留问题，对于小的不影响生产的问题，须限期解决；</w:t>
      </w:r>
    </w:p>
    <w:p w14:paraId="1C02A5B7">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（3）所有设备的文件，图纸提供(流程图/工艺仪表图、系统配置图、基础载荷平面图、系统说明、操作规程、机电部分的相关说明、零备件清单、电气设备资料/ CAD系统接线图、控制柜设计图、电气工程图、PLC程序和人机界面程序（含修改密码）等)，并交接完毕；</w:t>
      </w:r>
    </w:p>
    <w:p w14:paraId="33D727BB">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（4）所有设备的预验收、调试报告及初验收完成，并交接完毕；</w:t>
      </w:r>
    </w:p>
    <w:p w14:paraId="462468AC">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（5）提供所有仪器仪表的合格证及相关部门校验报告；</w:t>
      </w:r>
    </w:p>
    <w:p w14:paraId="7635886B">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3.4 以上3.2和3.3条同时满足后达到终验收条件，由甲方组织相关专业人员进行终验收，并签订终验收合格报告；对设备终验收过程中发现的安装、质量、运行问题，乙方无条件组织人员整改直至合格，相关费用由乙方负责。</w:t>
      </w:r>
    </w:p>
    <w:p w14:paraId="6D1FBEB2">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3.5终验收规程：</w:t>
      </w:r>
    </w:p>
    <w:p w14:paraId="360883CA">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①  设备允许情况下，一般先连续空运转 8 小时，然后再进行负荷运行；</w:t>
      </w:r>
    </w:p>
    <w:p w14:paraId="36BA4057">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②  负荷运行时，设备连续运行 30 工作日，除用户方面因素外，必须达到以下要求：</w:t>
      </w:r>
    </w:p>
    <w:p w14:paraId="6662825A">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a.在整个验收过程中没有维修、更换零部件或元件行为；</w:t>
      </w:r>
    </w:p>
    <w:p w14:paraId="4C74B9C2">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b.所有出现的调整，每次调整时间均不超过 30 分钟；</w:t>
      </w:r>
    </w:p>
    <w:p w14:paraId="3A6F5B31">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c.所有调整时间的总和不超过总运行时间的 2 %；</w:t>
      </w:r>
    </w:p>
    <w:p w14:paraId="0D746F21">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d.累计负载运行实际性能（或生产率）达到合同规定；</w:t>
      </w:r>
    </w:p>
    <w:p w14:paraId="38238C06">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e.终验收原则上要求一次完成。若一次验收不成功，最多允许两次（验收多次处理方式）；</w:t>
      </w:r>
    </w:p>
    <w:p w14:paraId="5B30F50D">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f.终验收通过后买卖双方共同签署终验收报告。</w:t>
      </w:r>
    </w:p>
    <w:p w14:paraId="456BB4A3">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3.6终验收的一般验收标准与要求：</w:t>
      </w:r>
    </w:p>
    <w:p w14:paraId="79307DC7">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a.资料齐全性、完整性和有效性。按照 “技术资料范围”等的规定验收；</w:t>
      </w:r>
    </w:p>
    <w:p w14:paraId="01EE63A7">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b.设备应运行灵活、稳定、可靠、安全，无异常声音和非正常振动。设备不允许出现漏水、漏液、漏气（汽）。运动的零部件（如链条、联轴器、离合器等）应动作平稳、没有异常声音，不松动或易于调整；</w:t>
      </w:r>
    </w:p>
    <w:p w14:paraId="2537243A">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c.设备外观应无损伤，应该涂满同种明亮清晰的油漆（特殊标志除外）。设备应该完整且所有的零部件应该安装牢固，所有的焊缝饱满、无残渣等缺陷；</w:t>
      </w:r>
    </w:p>
    <w:p w14:paraId="3192FDF2">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d.所有的管道和电缆线等，应排列有序（正确、牢固、整齐）无皱褶、收缩和裂缝，电缆线在整个长度范围内，所有的接头应完全正确地连接；</w:t>
      </w:r>
    </w:p>
    <w:p w14:paraId="27C9C2E7">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e.设备应有完整的标牌，且清晰易见；</w:t>
      </w:r>
    </w:p>
    <w:p w14:paraId="78E9CB75">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f.设备的润滑系统工作可靠，润滑点易于到达；</w:t>
      </w:r>
    </w:p>
    <w:p w14:paraId="6AA59683">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g.设备的安全要求符合中国最新的相关法律、法规、标准和规范以及合同要求；</w:t>
      </w:r>
    </w:p>
    <w:p w14:paraId="5CA6530F">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h.地线连接和地极符合国际（ISO/IEC）标准规范；</w:t>
      </w:r>
    </w:p>
    <w:p w14:paraId="72702DB1">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i.设备正常运行时，噪音不超过等效连续A声级80dB（A）；</w:t>
      </w:r>
    </w:p>
    <w:p w14:paraId="0389CA62">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j.计量仪器、仪表配套合理，采用中国的法定计量单位，计量准确、灵敏可靠，计量仪器仪表由乙方提供合格证。</w:t>
      </w:r>
    </w:p>
    <w:p w14:paraId="1D0AB2D4">
      <w:pPr>
        <w:pStyle w:val="115"/>
        <w:ind w:firstLine="420"/>
        <w:jc w:val="both"/>
        <w:rPr>
          <w:rFonts w:hint="eastAsia" w:ascii="宋体" w:hAnsi="宋体" w:eastAsia="宋体" w:cs="Times New Roman"/>
          <w:snapToGrid/>
          <w:kern w:val="2"/>
          <w:sz w:val="24"/>
          <w:szCs w:val="24"/>
          <w:highlight w:val="none"/>
          <w:lang w:val="en-US" w:eastAsia="zh-CN" w:bidi="ar-SA"/>
        </w:rPr>
      </w:pPr>
      <w:r>
        <w:rPr>
          <w:rFonts w:hint="eastAsia" w:ascii="宋体" w:hAnsi="宋体" w:eastAsia="宋体" w:cs="Times New Roman"/>
          <w:snapToGrid/>
          <w:kern w:val="2"/>
          <w:sz w:val="24"/>
          <w:szCs w:val="24"/>
          <w:highlight w:val="none"/>
          <w:lang w:val="en-US" w:eastAsia="zh-CN" w:bidi="ar-SA"/>
        </w:rPr>
        <w:t>k.保证设计指标和仪器说明书的参数的实现，要求竣工验收交付一次合格，返修更换校调不超过 8 小时，特殊情况除外；</w:t>
      </w:r>
    </w:p>
    <w:p w14:paraId="74F2FD79">
      <w:pPr>
        <w:pStyle w:val="115"/>
        <w:ind w:firstLine="420"/>
        <w:jc w:val="both"/>
        <w:rPr>
          <w:rFonts w:hint="eastAsia" w:ascii="文鼎大标宋简" w:hAnsi="华文中宋" w:eastAsia="文鼎大标宋简"/>
          <w:b/>
          <w:spacing w:val="4"/>
          <w:w w:val="90"/>
          <w:sz w:val="52"/>
          <w:szCs w:val="52"/>
        </w:rPr>
      </w:pPr>
      <w:r>
        <w:rPr>
          <w:rFonts w:hint="eastAsia" w:ascii="宋体" w:hAnsi="宋体" w:eastAsia="宋体" w:cs="Times New Roman"/>
          <w:snapToGrid/>
          <w:kern w:val="2"/>
          <w:sz w:val="24"/>
          <w:szCs w:val="24"/>
          <w:highlight w:val="none"/>
          <w:lang w:val="en-US" w:eastAsia="zh-CN" w:bidi="ar-SA"/>
        </w:rPr>
        <w:t>l.设备质量、技术性能等，按照签定的技术协议书和合同规定的终验收标准验收。</w:t>
      </w:r>
    </w:p>
    <w:p w14:paraId="084B2556">
      <w:pPr>
        <w:spacing w:line="276" w:lineRule="auto"/>
        <w:jc w:val="center"/>
        <w:rPr>
          <w:rFonts w:hint="eastAsia" w:ascii="文鼎大标宋简" w:hAnsi="华文中宋" w:eastAsia="文鼎大标宋简"/>
          <w:b/>
          <w:spacing w:val="4"/>
          <w:w w:val="90"/>
          <w:sz w:val="52"/>
          <w:szCs w:val="52"/>
        </w:rPr>
      </w:pPr>
    </w:p>
    <w:p w14:paraId="02BD3AF4">
      <w:pPr>
        <w:tabs>
          <w:tab w:val="right" w:leader="dot" w:pos="9061"/>
        </w:tabs>
        <w:ind w:firstLine="480" w:firstLineChars="200"/>
        <w:outlineLvl w:val="0"/>
        <w:rPr>
          <w:rFonts w:hint="eastAsia" w:ascii="宋体" w:hAnsi="宋体"/>
          <w:sz w:val="24"/>
          <w:szCs w:val="24"/>
        </w:rPr>
      </w:pPr>
    </w:p>
    <w:p w14:paraId="104A88C0">
      <w:pPr>
        <w:sectPr>
          <w:pgSz w:w="11906" w:h="16838"/>
          <w:pgMar w:top="1440" w:right="1800" w:bottom="1440" w:left="1800" w:header="851" w:footer="992" w:gutter="0"/>
          <w:pgNumType w:fmt="numberInDash"/>
          <w:cols w:space="425" w:num="1"/>
          <w:docGrid w:type="lines" w:linePitch="312" w:charSpace="0"/>
        </w:sectPr>
      </w:pPr>
    </w:p>
    <w:p w14:paraId="5871DF53">
      <w:pPr>
        <w:pStyle w:val="71"/>
      </w:pPr>
      <w:bookmarkStart w:id="61" w:name="_Toc23267"/>
      <w:bookmarkStart w:id="62" w:name="_Toc47976609"/>
      <w:r>
        <w:rPr>
          <w:rFonts w:hint="eastAsia"/>
        </w:rPr>
        <w:t>第三部分　合同主要条款</w:t>
      </w:r>
      <w:bookmarkEnd w:id="61"/>
      <w:bookmarkEnd w:id="62"/>
    </w:p>
    <w:p w14:paraId="773DAAD2">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7F94AB8B">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4BA9B943">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3D6EBEBF">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14"/>
        <w:jc w:val="center"/>
      </w:pPr>
      <w:r>
        <w:rPr>
          <w:rFonts w:hint="eastAsia" w:hAnsi="宋体" w:eastAsia="宋体" w:cs="宋体"/>
          <w:b/>
          <w:sz w:val="24"/>
          <w:szCs w:val="24"/>
        </w:rPr>
        <w:t>（合同以双方最终签署的版本为准）</w:t>
      </w:r>
    </w:p>
    <w:p w14:paraId="2FD99DA6">
      <w:pPr>
        <w:spacing w:line="360" w:lineRule="auto"/>
        <w:jc w:val="both"/>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272D762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7385E1F3">
      <w:pPr>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
          <w:sz w:val="24"/>
          <w:szCs w:val="24"/>
          <w:u w:val="single"/>
          <w:lang w:val="en-US" w:eastAsia="zh-CN"/>
        </w:rPr>
        <w:br w:type="page"/>
      </w:r>
    </w:p>
    <w:p w14:paraId="5F7FEE93">
      <w:pPr>
        <w:keepNext w:val="0"/>
        <w:keepLines w:val="0"/>
        <w:pageBreakBefore w:val="0"/>
        <w:widowControl w:val="0"/>
        <w:kinsoku/>
        <w:wordWrap/>
        <w:overflowPunct/>
        <w:topLinePunct w:val="0"/>
        <w:autoSpaceDE/>
        <w:autoSpaceDN/>
        <w:bidi w:val="0"/>
        <w:adjustRightInd/>
        <w:snapToGrid/>
        <w:spacing w:line="360" w:lineRule="auto"/>
        <w:ind w:firstLine="3564" w:firstLineChars="900"/>
        <w:jc w:val="left"/>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1D15530">
      <w:pPr>
        <w:spacing w:after="0"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68806B0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0" w:edGrp="everyone"/>
      <w:r>
        <w:rPr>
          <w:rFonts w:hint="eastAsia" w:ascii="仿宋_GB2312" w:hAnsi="仿宋_GB2312" w:eastAsia="仿宋_GB2312" w:cs="仿宋_GB2312"/>
          <w:b/>
          <w:bCs/>
          <w:sz w:val="24"/>
          <w:szCs w:val="24"/>
          <w:u w:val="single"/>
        </w:rPr>
        <w:t>设备名称概括</w:t>
      </w:r>
      <w:permEnd w:id="0"/>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2D24A3E">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3" w:name="_Toc30443"/>
      <w:r>
        <w:rPr>
          <w:rFonts w:hint="eastAsia" w:ascii="黑体" w:hAnsi="黑体" w:eastAsia="黑体" w:cs="黑体"/>
          <w:b w:val="0"/>
          <w:iCs/>
          <w:kern w:val="2"/>
          <w:sz w:val="24"/>
          <w:szCs w:val="24"/>
          <w:lang w:val="en-US" w:eastAsia="zh-CN" w:bidi="ar-SA"/>
        </w:rPr>
        <w:t>1.合同设备标的</w:t>
      </w:r>
      <w:bookmarkEnd w:id="63"/>
    </w:p>
    <w:p w14:paraId="077CDF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permStart w:id="1" w:edGrp="everyone"/>
      <w:r>
        <w:rPr>
          <w:rFonts w:hint="eastAsia" w:ascii="仿宋_GB2312" w:hAnsi="仿宋_GB2312" w:eastAsia="仿宋_GB2312" w:cs="仿宋_GB2312"/>
          <w:b/>
          <w:bCs/>
          <w:sz w:val="24"/>
          <w:szCs w:val="24"/>
          <w:u w:val="single"/>
        </w:rPr>
        <w:t>合同项目名称</w:t>
      </w:r>
      <w:permEnd w:id="1"/>
      <w:r>
        <w:rPr>
          <w:rFonts w:hint="eastAsia" w:ascii="仿宋_GB2312" w:hAnsi="仿宋_GB2312" w:eastAsia="仿宋_GB2312" w:cs="仿宋_GB2312"/>
          <w:sz w:val="24"/>
          <w:szCs w:val="24"/>
        </w:rPr>
        <w:t>，买方向卖方购买设备一宗，详见附件《设备清单明细表》，本合同不含税总价为</w:t>
      </w:r>
      <w:permStart w:id="2" w:edGrp="everyone"/>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2"/>
      <w:r>
        <w:rPr>
          <w:rFonts w:hint="eastAsia" w:ascii="仿宋_GB2312" w:hAnsi="仿宋_GB2312" w:eastAsia="仿宋_GB2312" w:cs="仿宋_GB2312"/>
          <w:sz w:val="24"/>
          <w:szCs w:val="24"/>
        </w:rPr>
        <w:t>元，税额</w:t>
      </w:r>
      <w:permStart w:id="3" w:edGrp="everyone"/>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3"/>
      <w:r>
        <w:rPr>
          <w:rFonts w:hint="eastAsia" w:ascii="仿宋_GB2312" w:hAnsi="仿宋_GB2312" w:eastAsia="仿宋_GB2312" w:cs="仿宋_GB2312"/>
          <w:sz w:val="24"/>
          <w:szCs w:val="24"/>
        </w:rPr>
        <w:t>元，含税总价</w:t>
      </w:r>
      <w:permStart w:id="4" w:edGrp="everyone"/>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4"/>
      <w:r>
        <w:rPr>
          <w:rFonts w:hint="eastAsia" w:ascii="仿宋_GB2312" w:hAnsi="仿宋_GB2312" w:eastAsia="仿宋_GB2312" w:cs="仿宋_GB2312"/>
          <w:sz w:val="24"/>
          <w:szCs w:val="24"/>
        </w:rPr>
        <w:t>元（大写：</w:t>
      </w:r>
      <w:permStart w:id="5" w:edGrp="everyone"/>
      <w:r>
        <w:rPr>
          <w:rFonts w:hint="eastAsia" w:ascii="仿宋_GB2312" w:hAnsi="仿宋_GB2312" w:eastAsia="仿宋_GB2312" w:cs="仿宋_GB2312"/>
          <w:b/>
          <w:bCs/>
          <w:sz w:val="24"/>
          <w:szCs w:val="24"/>
          <w:u w:val="single"/>
        </w:rPr>
        <w:t>含税总价大写</w:t>
      </w:r>
      <w:permEnd w:id="5"/>
      <w:r>
        <w:rPr>
          <w:rFonts w:hint="eastAsia" w:ascii="仿宋_GB2312" w:hAnsi="仿宋_GB2312" w:eastAsia="仿宋_GB2312" w:cs="仿宋_GB2312"/>
          <w:sz w:val="24"/>
          <w:szCs w:val="24"/>
        </w:rPr>
        <w:t>）。</w:t>
      </w:r>
    </w:p>
    <w:p w14:paraId="3C4959E9">
      <w:pPr>
        <w:spacing w:after="0" w:line="360" w:lineRule="auto"/>
        <w:ind w:firstLine="480" w:firstLineChars="200"/>
        <w:rPr>
          <w:rFonts w:hint="eastAsia" w:ascii="方正小标宋简体" w:hAnsi="宋体" w:eastAsia="仿宋_GB2312" w:cs="Times New Roman"/>
          <w:sz w:val="24"/>
          <w:szCs w:val="24"/>
          <w:u w:val="thick"/>
          <w:lang w:eastAsia="zh-CN"/>
        </w:rPr>
      </w:pPr>
      <w:r>
        <w:rPr>
          <w:rFonts w:hint="eastAsia" w:ascii="仿宋_GB2312" w:hAnsi="宋体" w:eastAsia="仿宋_GB2312" w:cs="宋体"/>
          <w:sz w:val="24"/>
          <w:szCs w:val="24"/>
          <w:lang w:val="en-US" w:eastAsia="zh-CN"/>
        </w:rPr>
        <w:t>1.2</w:t>
      </w:r>
      <w:r>
        <w:rPr>
          <w:rFonts w:hint="eastAsia" w:ascii="仿宋_GB2312" w:hAnsi="宋体" w:eastAsia="仿宋_GB2312" w:cs="宋体"/>
          <w:sz w:val="24"/>
          <w:szCs w:val="24"/>
        </w:rPr>
        <w:t>交货方式</w:t>
      </w:r>
      <w:r>
        <w:rPr>
          <w:rFonts w:hint="eastAsia" w:ascii="仿宋_GB2312" w:hAnsi="宋体" w:eastAsia="仿宋_GB2312" w:cs="宋体"/>
          <w:bCs/>
          <w:sz w:val="24"/>
          <w:szCs w:val="24"/>
        </w:rPr>
        <w:t>：</w:t>
      </w:r>
      <w:permStart w:id="6" w:edGrp="everyone"/>
      <w:r>
        <w:rPr>
          <w:rFonts w:hint="eastAsia" w:ascii="仿宋_GB2312" w:hAnsi="宋体" w:eastAsia="仿宋_GB2312" w:cs="Times New Roman"/>
          <w:b/>
          <w:bCs/>
          <w:sz w:val="24"/>
          <w:szCs w:val="24"/>
          <w:u w:val="single"/>
        </w:rPr>
        <w:t>据实选择，可填写</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交钥匙方式</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指定地点交货</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自提</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lang w:val="en-US" w:eastAsia="zh-CN"/>
        </w:rPr>
        <w:t>任一方式</w:t>
      </w:r>
      <w:r>
        <w:rPr>
          <w:rFonts w:hint="eastAsia" w:ascii="仿宋_GB2312" w:hAnsi="宋体" w:eastAsia="仿宋_GB2312" w:cs="Times New Roman"/>
          <w:b/>
          <w:bCs/>
          <w:sz w:val="24"/>
          <w:szCs w:val="24"/>
          <w:u w:val="single"/>
        </w:rPr>
        <w:t>，其他情况请据实填写</w:t>
      </w:r>
      <w:permEnd w:id="6"/>
      <w:r>
        <w:rPr>
          <w:rFonts w:hint="eastAsia" w:ascii="仿宋_GB2312" w:hAnsi="宋体" w:eastAsia="仿宋_GB2312" w:cs="Times New Roman"/>
          <w:b/>
          <w:bCs/>
          <w:sz w:val="24"/>
          <w:szCs w:val="24"/>
          <w:u w:val="single"/>
          <w:lang w:eastAsia="zh-CN"/>
        </w:rPr>
        <w:t>。</w:t>
      </w:r>
    </w:p>
    <w:p w14:paraId="29A341A7">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1.3</w:t>
      </w:r>
      <w:r>
        <w:rPr>
          <w:rFonts w:hint="eastAsia" w:ascii="仿宋_GB2312" w:hAnsi="宋体" w:eastAsia="仿宋_GB2312" w:cs="宋体"/>
          <w:sz w:val="24"/>
          <w:szCs w:val="24"/>
        </w:rPr>
        <w:t>交货地点：</w:t>
      </w:r>
      <w:permStart w:id="7" w:edGrp="everyone"/>
      <w:r>
        <w:rPr>
          <w:rFonts w:hint="eastAsia" w:ascii="仿宋_GB2312" w:hAnsi="宋体" w:eastAsia="仿宋_GB2312" w:cs="宋体"/>
          <w:b/>
          <w:bCs/>
          <w:sz w:val="24"/>
          <w:szCs w:val="24"/>
          <w:u w:val="single"/>
        </w:rPr>
        <w:t>交货详细地址信息，除列明省市县/区外，</w:t>
      </w:r>
      <w:r>
        <w:rPr>
          <w:rFonts w:hint="eastAsia" w:ascii="仿宋_GB2312" w:hAnsi="宋体" w:eastAsia="仿宋_GB2312" w:cs="宋体"/>
          <w:b/>
          <w:bCs/>
          <w:sz w:val="24"/>
          <w:szCs w:val="24"/>
          <w:u w:val="single"/>
          <w:lang w:val="en-US" w:eastAsia="zh-CN"/>
        </w:rPr>
        <w:t>应</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val="en-US" w:eastAsia="zh-CN"/>
        </w:rPr>
        <w:t>至不致产生歧义的</w:t>
      </w:r>
      <w:r>
        <w:rPr>
          <w:rFonts w:hint="eastAsia" w:ascii="仿宋_GB2312" w:hAnsi="宋体" w:eastAsia="仿宋_GB2312" w:cs="宋体"/>
          <w:b/>
          <w:bCs/>
          <w:sz w:val="24"/>
          <w:szCs w:val="24"/>
          <w:u w:val="single"/>
        </w:rPr>
        <w:t>具体</w:t>
      </w:r>
      <w:r>
        <w:rPr>
          <w:rFonts w:hint="eastAsia" w:ascii="仿宋_GB2312" w:hAnsi="宋体" w:eastAsia="仿宋_GB2312" w:cs="宋体"/>
          <w:b/>
          <w:bCs/>
          <w:sz w:val="24"/>
          <w:szCs w:val="24"/>
          <w:u w:val="single"/>
          <w:lang w:val="en-US" w:eastAsia="zh-CN"/>
        </w:rPr>
        <w:t>位置指向</w:t>
      </w:r>
      <w:permEnd w:id="7"/>
      <w:r>
        <w:rPr>
          <w:rFonts w:hint="eastAsia" w:ascii="仿宋_GB2312" w:hAnsi="宋体" w:eastAsia="仿宋_GB2312" w:cs="宋体"/>
          <w:b/>
          <w:bCs/>
          <w:sz w:val="24"/>
          <w:szCs w:val="24"/>
          <w:u w:val="single"/>
          <w:lang w:eastAsia="zh-CN"/>
        </w:rPr>
        <w:t>。</w:t>
      </w:r>
      <w:r>
        <w:rPr>
          <w:rFonts w:hint="eastAsia" w:ascii="仿宋_GB2312" w:hAnsi="宋体" w:eastAsia="仿宋_GB2312" w:cs="宋体"/>
          <w:sz w:val="24"/>
          <w:szCs w:val="24"/>
        </w:rPr>
        <w:t xml:space="preserve">    </w:t>
      </w:r>
    </w:p>
    <w:p w14:paraId="347CCF57">
      <w:pPr>
        <w:spacing w:after="0" w:line="360" w:lineRule="auto"/>
        <w:ind w:firstLine="480" w:firstLineChars="200"/>
        <w:rPr>
          <w:rFonts w:ascii="方正小标宋简体" w:hAnsi="宋体" w:eastAsia="仿宋_GB2312" w:cs="Times New Roman"/>
          <w:sz w:val="24"/>
          <w:szCs w:val="24"/>
          <w:u w:val="thick"/>
        </w:rPr>
      </w:pPr>
      <w:r>
        <w:rPr>
          <w:rFonts w:hint="eastAsia" w:ascii="仿宋_GB2312" w:hAnsi="宋体" w:eastAsia="仿宋_GB2312" w:cs="宋体"/>
          <w:sz w:val="24"/>
          <w:szCs w:val="24"/>
          <w:lang w:val="en-US" w:eastAsia="zh-CN"/>
        </w:rPr>
        <w:t>1.4</w:t>
      </w:r>
      <w:r>
        <w:rPr>
          <w:rFonts w:hint="eastAsia" w:ascii="仿宋_GB2312" w:hAnsi="宋体" w:eastAsia="仿宋_GB2312" w:cs="宋体"/>
          <w:sz w:val="24"/>
          <w:szCs w:val="24"/>
        </w:rPr>
        <w:t>到货时间：</w:t>
      </w:r>
      <w:permStart w:id="8" w:edGrp="everyone"/>
      <w:r>
        <w:rPr>
          <w:rFonts w:hint="eastAsia" w:ascii="仿宋_GB2312" w:hAnsi="宋体" w:eastAsia="仿宋_GB2312" w:cs="宋体"/>
          <w:b/>
          <w:bCs/>
          <w:sz w:val="24"/>
          <w:szCs w:val="24"/>
          <w:u w:val="single"/>
        </w:rPr>
        <w:t>填写具体年月日。存在分批次到货情形</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8"/>
      <w:r>
        <w:rPr>
          <w:rFonts w:hint="eastAsia" w:ascii="仿宋_GB2312" w:hAnsi="宋体" w:eastAsia="仿宋_GB2312" w:cs="宋体"/>
          <w:b/>
          <w:bCs/>
          <w:sz w:val="24"/>
          <w:szCs w:val="24"/>
          <w:u w:val="single"/>
          <w:lang w:eastAsia="zh-CN"/>
        </w:rPr>
        <w:t>。</w:t>
      </w:r>
    </w:p>
    <w:p w14:paraId="2C887D45">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lang w:val="en-US" w:eastAsia="zh-CN" w:bidi="ar-SA"/>
        </w:rPr>
        <w:t>1.5</w:t>
      </w:r>
      <w:r>
        <w:rPr>
          <w:rFonts w:ascii="仿宋_GB2312" w:hAnsi="宋体" w:eastAsia="仿宋_GB2312" w:cs="宋体"/>
          <w:kern w:val="2"/>
          <w:sz w:val="24"/>
          <w:szCs w:val="24"/>
          <w:lang w:val="en-US" w:eastAsia="zh-CN" w:bidi="ar-SA"/>
        </w:rPr>
        <w:t xml:space="preserve"> </w:t>
      </w:r>
      <w:r>
        <w:rPr>
          <w:rFonts w:hint="eastAsia" w:ascii="仿宋_GB2312" w:hAnsi="宋体" w:eastAsia="仿宋_GB2312" w:cs="宋体"/>
          <w:kern w:val="2"/>
          <w:sz w:val="24"/>
          <w:szCs w:val="24"/>
          <w:lang w:val="en-US" w:eastAsia="zh-CN" w:bidi="ar-SA"/>
        </w:rPr>
        <w:t>安装调试时长：</w:t>
      </w:r>
      <w:r>
        <w:rPr>
          <w:rFonts w:ascii="仿宋_GB2312" w:hAnsi="宋体" w:eastAsia="仿宋_GB2312" w:cs="宋体"/>
          <w:kern w:val="2"/>
          <w:sz w:val="24"/>
          <w:szCs w:val="24"/>
          <w:lang w:val="en-US" w:eastAsia="zh-CN" w:bidi="ar-SA"/>
        </w:rPr>
        <w:t>卖方须在到货后</w:t>
      </w:r>
      <w:permStart w:id="9" w:edGrp="everyone"/>
      <w:r>
        <w:rPr>
          <w:rFonts w:hint="eastAsia" w:ascii="仿宋_GB2312" w:hAnsi="宋体" w:eastAsia="仿宋_GB2312" w:cs="宋体"/>
          <w:b/>
          <w:bCs/>
          <w:kern w:val="0"/>
          <w:sz w:val="24"/>
          <w:szCs w:val="24"/>
          <w:u w:val="single"/>
          <w:lang w:val="en-US" w:eastAsia="zh-CN" w:bidi="ar-SA"/>
        </w:rPr>
        <w:t>填写时长，单位“日历日”。存在分批次安装调试情形的，填写“详见特殊条款约定”，须于专用条款第4条特殊约定条款特别约定</w:t>
      </w:r>
      <w:permEnd w:id="9"/>
      <w:r>
        <w:rPr>
          <w:rFonts w:hint="eastAsia" w:ascii="仿宋_GB2312" w:hAnsi="宋体" w:eastAsia="仿宋_GB2312" w:cs="宋体"/>
          <w:kern w:val="0"/>
          <w:sz w:val="24"/>
          <w:szCs w:val="24"/>
          <w:lang w:val="en-US" w:eastAsia="zh-CN" w:bidi="ar-SA"/>
        </w:rPr>
        <w:t>个日历日</w:t>
      </w:r>
      <w:r>
        <w:rPr>
          <w:rFonts w:hint="eastAsia" w:ascii="仿宋_GB2312" w:hAnsi="宋体" w:eastAsia="仿宋_GB2312" w:cs="宋体"/>
          <w:kern w:val="2"/>
          <w:sz w:val="24"/>
          <w:szCs w:val="24"/>
          <w:lang w:val="en-US" w:eastAsia="zh-CN" w:bidi="ar-SA"/>
        </w:rPr>
        <w:t>内完成设备安装，</w:t>
      </w:r>
      <w:r>
        <w:rPr>
          <w:rFonts w:hint="eastAsia" w:ascii="仿宋_GB2312" w:hAnsi="宋体" w:eastAsia="仿宋_GB2312" w:cs="宋体"/>
          <w:kern w:val="2"/>
          <w:sz w:val="24"/>
          <w:szCs w:val="24"/>
          <w:highlight w:val="none"/>
          <w:lang w:val="en-US" w:eastAsia="zh-CN" w:bidi="ar-SA"/>
        </w:rPr>
        <w:t>安装完成后</w:t>
      </w:r>
      <w:permStart w:id="10" w:edGrp="everyone"/>
      <w:r>
        <w:rPr>
          <w:rFonts w:hint="eastAsia" w:ascii="仿宋_GB2312" w:hAnsi="宋体" w:eastAsia="仿宋_GB2312" w:cs="宋体"/>
          <w:b/>
          <w:bCs/>
          <w:kern w:val="0"/>
          <w:sz w:val="24"/>
          <w:szCs w:val="24"/>
          <w:highlight w:val="none"/>
          <w:u w:val="single"/>
          <w:lang w:val="en-US" w:eastAsia="zh-CN" w:bidi="ar-SA"/>
        </w:rPr>
        <w:t>填写时长，单位“日历日”。存在分批次调试情形的，填写“详见特殊条款约定”，须于专用条款第4条特殊约定条款特别约定</w:t>
      </w:r>
      <w:permEnd w:id="10"/>
      <w:r>
        <w:rPr>
          <w:rFonts w:hint="eastAsia" w:ascii="仿宋_GB2312" w:hAnsi="宋体" w:eastAsia="仿宋_GB2312" w:cs="宋体"/>
          <w:kern w:val="2"/>
          <w:sz w:val="24"/>
          <w:szCs w:val="24"/>
          <w:highlight w:val="none"/>
          <w:lang w:val="en-US" w:eastAsia="zh-CN" w:bidi="ar-SA"/>
        </w:rPr>
        <w:t>日历日内完成设备调试。</w:t>
      </w:r>
    </w:p>
    <w:p w14:paraId="7BAFB3D3">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highlight w:val="none"/>
          <w:lang w:val="en-US" w:eastAsia="zh-CN" w:bidi="ar-SA"/>
        </w:rPr>
        <w:t>调试完成。</w:t>
      </w:r>
    </w:p>
    <w:p w14:paraId="4A7139D4">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1.6调试消耗产品数量：</w:t>
      </w:r>
      <w:r>
        <w:rPr>
          <w:rFonts w:ascii="仿宋_GB2312" w:hAnsi="宋体" w:eastAsia="仿宋_GB2312" w:cs="宋体"/>
          <w:sz w:val="24"/>
          <w:szCs w:val="24"/>
        </w:rPr>
        <w:t>若设备安装、调试过程中需使用买方产品的，买方提供调试所用产品数量</w:t>
      </w:r>
      <w:permStart w:id="11" w:edGrp="everyone"/>
      <w:r>
        <w:rPr>
          <w:rFonts w:hint="eastAsia" w:ascii="仿宋_GB2312" w:hAnsi="宋体" w:eastAsia="仿宋_GB2312" w:cs="宋体"/>
          <w:b/>
          <w:bCs/>
          <w:sz w:val="24"/>
          <w:szCs w:val="24"/>
          <w:u w:val="single"/>
        </w:rPr>
        <w:t>甲方提供调试产品</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件数，不</w:t>
      </w:r>
      <w:r>
        <w:rPr>
          <w:rFonts w:hint="eastAsia" w:ascii="仿宋_GB2312" w:hAnsi="宋体" w:eastAsia="仿宋_GB2312" w:cs="宋体"/>
          <w:b/>
          <w:bCs/>
          <w:sz w:val="24"/>
          <w:szCs w:val="24"/>
          <w:u w:val="single"/>
          <w:lang w:val="en-US" w:eastAsia="zh-CN"/>
        </w:rPr>
        <w:t>需要的</w:t>
      </w:r>
      <w:r>
        <w:rPr>
          <w:rFonts w:hint="eastAsia" w:ascii="仿宋_GB2312" w:hAnsi="宋体" w:eastAsia="仿宋_GB2312" w:cs="宋体"/>
          <w:b/>
          <w:bCs/>
          <w:sz w:val="24"/>
          <w:szCs w:val="24"/>
          <w:u w:val="single"/>
        </w:rPr>
        <w:t>，</w:t>
      </w:r>
      <w:r>
        <w:rPr>
          <w:rFonts w:hint="eastAsia" w:ascii="仿宋_GB2312" w:hAnsi="宋体" w:eastAsia="仿宋_GB2312" w:cs="宋体"/>
          <w:b/>
          <w:bCs/>
          <w:sz w:val="24"/>
          <w:szCs w:val="24"/>
          <w:u w:val="single"/>
          <w:lang w:val="en-US" w:eastAsia="zh-CN"/>
        </w:rPr>
        <w:t>此处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0</w:t>
      </w:r>
      <w:r>
        <w:rPr>
          <w:rFonts w:hint="eastAsia" w:ascii="仿宋_GB2312" w:hAnsi="宋体" w:eastAsia="仿宋_GB2312" w:cs="宋体"/>
          <w:b/>
          <w:bCs/>
          <w:sz w:val="24"/>
          <w:szCs w:val="24"/>
          <w:u w:val="single"/>
          <w:lang w:eastAsia="zh-CN"/>
        </w:rPr>
        <w:t>”</w:t>
      </w:r>
      <w:permEnd w:id="11"/>
      <w:r>
        <w:rPr>
          <w:rFonts w:ascii="仿宋_GB2312" w:hAnsi="宋体" w:eastAsia="仿宋_GB2312" w:cs="宋体"/>
          <w:sz w:val="24"/>
          <w:szCs w:val="24"/>
        </w:rPr>
        <w:t>件，超出此数量部分由卖方提供，由此产生的相关费用由卖方承担。</w:t>
      </w:r>
    </w:p>
    <w:p w14:paraId="45153F52">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1.7</w:t>
      </w:r>
      <w:r>
        <w:rPr>
          <w:rFonts w:hint="eastAsia" w:ascii="仿宋_GB2312" w:hAnsi="黑体" w:eastAsia="仿宋_GB2312" w:cs="宋体"/>
          <w:sz w:val="24"/>
          <w:szCs w:val="24"/>
        </w:rPr>
        <w:t>设备质量保证期：自最终验收报告签署之日（</w:t>
      </w:r>
      <w:r>
        <w:rPr>
          <w:rFonts w:hint="eastAsia" w:ascii="仿宋_GB2312" w:hAnsi="黑体" w:eastAsia="仿宋_GB2312" w:cs="宋体"/>
          <w:sz w:val="24"/>
          <w:szCs w:val="24"/>
          <w:lang w:val="en-US" w:eastAsia="zh-CN"/>
        </w:rPr>
        <w:t>存在分批次到货安装调试情形的，</w:t>
      </w:r>
      <w:r>
        <w:rPr>
          <w:rFonts w:hint="eastAsia" w:ascii="仿宋_GB2312" w:hAnsi="黑体" w:eastAsia="仿宋_GB2312" w:cs="宋体"/>
          <w:sz w:val="24"/>
          <w:szCs w:val="24"/>
        </w:rPr>
        <w:t>以</w:t>
      </w:r>
      <w:r>
        <w:rPr>
          <w:rFonts w:hint="eastAsia" w:ascii="仿宋_GB2312" w:hAnsi="黑体" w:eastAsia="仿宋_GB2312" w:cs="宋体"/>
          <w:sz w:val="24"/>
          <w:szCs w:val="24"/>
          <w:lang w:val="en-US" w:eastAsia="zh-CN"/>
        </w:rPr>
        <w:t>验收报告</w:t>
      </w:r>
      <w:r>
        <w:rPr>
          <w:rFonts w:hint="eastAsia" w:ascii="仿宋_GB2312" w:hAnsi="黑体" w:eastAsia="仿宋_GB2312" w:cs="宋体"/>
          <w:sz w:val="24"/>
          <w:szCs w:val="24"/>
        </w:rPr>
        <w:t>签署日期最晚者为准）起</w:t>
      </w:r>
      <w:permStart w:id="12" w:edGrp="everyone"/>
      <w:r>
        <w:rPr>
          <w:rFonts w:hint="eastAsia" w:ascii="仿宋_GB2312" w:hAnsi="宋体" w:eastAsia="仿宋_GB2312" w:cs="宋体"/>
          <w:b/>
          <w:bCs/>
          <w:sz w:val="24"/>
          <w:szCs w:val="24"/>
          <w:u w:val="single"/>
        </w:rPr>
        <w:t>卖方承诺的质保期月数</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rPr>
        <w:t>存在</w:t>
      </w:r>
      <w:r>
        <w:rPr>
          <w:rFonts w:hint="eastAsia" w:ascii="仿宋_GB2312" w:hAnsi="宋体" w:eastAsia="仿宋_GB2312" w:cs="宋体"/>
          <w:b/>
          <w:bCs/>
          <w:sz w:val="24"/>
          <w:szCs w:val="24"/>
          <w:u w:val="single"/>
          <w:lang w:val="en-US" w:eastAsia="zh-CN"/>
        </w:rPr>
        <w:t>分批次设备质保期约定分批次到期情形的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12"/>
      <w:r>
        <w:rPr>
          <w:rFonts w:hint="eastAsia" w:ascii="仿宋_GB2312" w:hAnsi="宋体" w:eastAsia="仿宋_GB2312" w:cs="宋体"/>
          <w:sz w:val="24"/>
          <w:szCs w:val="24"/>
        </w:rPr>
        <w:t>个月</w:t>
      </w:r>
      <w:r>
        <w:rPr>
          <w:rFonts w:hint="eastAsia" w:ascii="仿宋_GB2312" w:hAnsi="黑体" w:eastAsia="仿宋_GB2312" w:cs="宋体"/>
          <w:sz w:val="24"/>
          <w:szCs w:val="24"/>
        </w:rPr>
        <w:t>。</w:t>
      </w:r>
    </w:p>
    <w:p w14:paraId="216CBDD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4" w:name="_Toc9403"/>
      <w:r>
        <w:rPr>
          <w:rFonts w:hint="eastAsia" w:ascii="黑体" w:hAnsi="黑体" w:eastAsia="黑体" w:cs="黑体"/>
          <w:b w:val="0"/>
          <w:iCs/>
          <w:kern w:val="2"/>
          <w:sz w:val="24"/>
          <w:szCs w:val="24"/>
          <w:lang w:val="en-US" w:eastAsia="zh-CN" w:bidi="ar-SA"/>
        </w:rPr>
        <w:t>2.结算付款约定</w:t>
      </w:r>
      <w:bookmarkEnd w:id="64"/>
    </w:p>
    <w:p w14:paraId="32D085B5">
      <w:pPr>
        <w:spacing w:after="0" w:line="360" w:lineRule="auto"/>
        <w:ind w:firstLine="480" w:firstLineChars="200"/>
        <w:rPr>
          <w:rFonts w:hint="eastAsia" w:ascii="仿宋_GB2312" w:hAnsi="黑体" w:eastAsia="仿宋_GB2312" w:cs="宋体"/>
          <w:b/>
          <w:bCs/>
          <w:sz w:val="24"/>
          <w:szCs w:val="24"/>
          <w:u w:val="single"/>
          <w:lang w:eastAsia="zh-CN"/>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.1结算方式：</w:t>
      </w:r>
      <w:permStart w:id="13" w:edGrp="everyone"/>
      <w:r>
        <w:rPr>
          <w:rFonts w:hint="eastAsia" w:ascii="仿宋_GB2312" w:hAnsi="黑体" w:eastAsia="仿宋_GB2312" w:cs="宋体"/>
          <w:b/>
          <w:bCs/>
          <w:sz w:val="24"/>
          <w:szCs w:val="24"/>
          <w:u w:val="single"/>
        </w:rPr>
        <w:t>填写</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rPr>
        <w:t>半年期商业汇票（包括银行承兑汇票和商业承兑汇票）</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转账</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财司内转</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三种方式</w:t>
      </w:r>
      <w:r>
        <w:rPr>
          <w:rFonts w:hint="eastAsia" w:ascii="仿宋_GB2312" w:hAnsi="黑体" w:eastAsia="仿宋_GB2312" w:cs="宋体"/>
          <w:b/>
          <w:bCs/>
          <w:sz w:val="24"/>
          <w:szCs w:val="24"/>
          <w:u w:val="single"/>
        </w:rPr>
        <w:t>任一种</w:t>
      </w:r>
      <w:permEnd w:id="13"/>
      <w:r>
        <w:rPr>
          <w:rFonts w:hint="eastAsia" w:ascii="仿宋_GB2312" w:hAnsi="黑体" w:eastAsia="仿宋_GB2312" w:cs="宋体"/>
          <w:b/>
          <w:bCs/>
          <w:sz w:val="24"/>
          <w:szCs w:val="24"/>
          <w:u w:val="single"/>
          <w:lang w:eastAsia="zh-CN"/>
        </w:rPr>
        <w:t>。</w:t>
      </w:r>
    </w:p>
    <w:p w14:paraId="65DE910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permStart w:id="14" w:edGrp="everyone"/>
      <w:r>
        <w:rPr>
          <w:rFonts w:hint="eastAsia" w:ascii="仿宋_GB2312" w:hAnsi="仿宋_GB2312" w:eastAsia="仿宋_GB2312" w:cs="仿宋_GB2312"/>
          <w:b/>
          <w:bCs/>
          <w:sz w:val="24"/>
          <w:szCs w:val="24"/>
          <w:u w:val="single"/>
        </w:rPr>
        <w:t>币种</w:t>
      </w:r>
      <w:permEnd w:id="14"/>
      <w:r>
        <w:rPr>
          <w:rFonts w:hint="eastAsia" w:ascii="仿宋_GB2312" w:hAnsi="仿宋_GB2312" w:eastAsia="仿宋_GB2312" w:cs="仿宋_GB2312"/>
          <w:sz w:val="24"/>
          <w:szCs w:val="24"/>
        </w:rPr>
        <w:t>进行结算。</w:t>
      </w:r>
    </w:p>
    <w:p w14:paraId="580CCD56">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合同价款支付：</w:t>
      </w:r>
    </w:p>
    <w:p w14:paraId="7A515493">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w:t>
      </w:r>
      <w:permStart w:id="15" w:edGrp="everyone"/>
      <w:r>
        <w:rPr>
          <w:rFonts w:hint="eastAsia" w:ascii="仿宋_GB2312" w:hAnsi="黑体" w:eastAsia="仿宋_GB2312" w:cs="宋体"/>
          <w:b/>
          <w:bCs/>
          <w:sz w:val="24"/>
          <w:szCs w:val="24"/>
          <w:u w:val="single"/>
        </w:rPr>
        <w:t>填写第</w:t>
      </w:r>
      <w:r>
        <w:rPr>
          <w:rFonts w:hint="eastAsia" w:ascii="仿宋_GB2312" w:hAnsi="黑体" w:eastAsia="仿宋_GB2312" w:cs="宋体"/>
          <w:b/>
          <w:bCs/>
          <w:sz w:val="24"/>
          <w:szCs w:val="24"/>
          <w:u w:val="single"/>
          <w:lang w:val="en-US" w:eastAsia="zh-CN"/>
        </w:rPr>
        <w:t>一</w:t>
      </w:r>
      <w:r>
        <w:rPr>
          <w:rFonts w:hint="eastAsia" w:ascii="仿宋_GB2312" w:hAnsi="黑体" w:eastAsia="仿宋_GB2312" w:cs="宋体"/>
          <w:b/>
          <w:bCs/>
          <w:sz w:val="24"/>
          <w:szCs w:val="24"/>
          <w:u w:val="single"/>
        </w:rPr>
        <w:t>笔付款的满足要件，如</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rPr>
        <w:t>设备全部到齐无质量问题，经安装、调试最终验收合格后</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lang w:val="en-US" w:eastAsia="zh-CN"/>
        </w:rPr>
        <w:t>若存在价款支付的发票及财务审核条件与本条格式条款存有变动调整的，须在</w:t>
      </w:r>
      <w:r>
        <w:rPr>
          <w:rFonts w:hint="eastAsia" w:ascii="仿宋_GB2312" w:hAnsi="宋体" w:eastAsia="仿宋_GB2312" w:cs="宋体"/>
          <w:b/>
          <w:bCs/>
          <w:sz w:val="24"/>
          <w:szCs w:val="24"/>
          <w:u w:val="single"/>
          <w:lang w:val="en-US" w:eastAsia="zh-CN"/>
        </w:rPr>
        <w:t>专用条款第4条</w:t>
      </w:r>
      <w:r>
        <w:rPr>
          <w:rFonts w:hint="eastAsia" w:ascii="仿宋_GB2312" w:hAnsi="黑体" w:eastAsia="仿宋_GB2312" w:cs="宋体"/>
          <w:b/>
          <w:bCs/>
          <w:sz w:val="24"/>
          <w:szCs w:val="24"/>
          <w:u w:val="single"/>
          <w:lang w:val="en-US" w:eastAsia="zh-CN"/>
        </w:rPr>
        <w:t>特殊约定条款中特别约定</w:t>
      </w:r>
      <w:permEnd w:id="15"/>
      <w:r>
        <w:rPr>
          <w:rFonts w:hint="eastAsia" w:ascii="仿宋_GB2312" w:hAnsi="黑体" w:eastAsia="仿宋_GB2312" w:cs="宋体"/>
          <w:sz w:val="24"/>
          <w:szCs w:val="24"/>
        </w:rPr>
        <w:t>,卖方提交金额为合同含税</w:t>
      </w:r>
      <w:r>
        <w:rPr>
          <w:rFonts w:hint="eastAsia" w:ascii="仿宋_GB2312" w:hAnsi="黑体" w:eastAsia="仿宋_GB2312" w:cs="宋体"/>
          <w:sz w:val="24"/>
          <w:szCs w:val="24"/>
          <w:lang w:val="en-US" w:eastAsia="zh-CN"/>
        </w:rPr>
        <w:t>总</w:t>
      </w:r>
      <w:r>
        <w:rPr>
          <w:rFonts w:hint="eastAsia" w:ascii="仿宋_GB2312" w:hAnsi="黑体" w:eastAsia="仿宋_GB2312" w:cs="宋体"/>
          <w:sz w:val="24"/>
          <w:szCs w:val="24"/>
        </w:rPr>
        <w:t>价款</w:t>
      </w:r>
      <w:permStart w:id="16" w:edGrp="everyone"/>
      <w:r>
        <w:rPr>
          <w:rFonts w:hint="eastAsia" w:ascii="仿宋_GB2312" w:hAnsi="黑体" w:eastAsia="仿宋_GB2312" w:cs="宋体"/>
          <w:b/>
          <w:bCs/>
          <w:sz w:val="24"/>
          <w:szCs w:val="24"/>
          <w:u w:val="single"/>
        </w:rPr>
        <w:t>第一笔付款的比例，数值</w:t>
      </w:r>
      <w:permEnd w:id="16"/>
      <w:r>
        <w:rPr>
          <w:rFonts w:hint="eastAsia" w:ascii="仿宋_GB2312" w:hAnsi="黑体" w:eastAsia="仿宋_GB2312" w:cs="宋体"/>
          <w:sz w:val="24"/>
          <w:szCs w:val="24"/>
        </w:rPr>
        <w:t>%即</w:t>
      </w:r>
      <w:permStart w:id="17" w:edGrp="everyone"/>
      <w:r>
        <w:rPr>
          <w:rFonts w:hint="eastAsia" w:ascii="仿宋_GB2312" w:hAnsi="黑体" w:eastAsia="仿宋_GB2312" w:cs="宋体"/>
          <w:b/>
          <w:bCs/>
          <w:sz w:val="24"/>
          <w:szCs w:val="24"/>
          <w:u w:val="single"/>
        </w:rPr>
        <w:t>第一笔付款金额</w:t>
      </w:r>
      <w:permEnd w:id="17"/>
      <w:r>
        <w:rPr>
          <w:rFonts w:hint="eastAsia" w:ascii="仿宋_GB2312" w:hAnsi="黑体" w:eastAsia="仿宋_GB2312" w:cs="宋体"/>
          <w:sz w:val="24"/>
          <w:szCs w:val="24"/>
        </w:rPr>
        <w:t>元的</w:t>
      </w:r>
      <w:r>
        <w:rPr>
          <w:rFonts w:hint="eastAsia" w:ascii="仿宋_GB2312" w:hAnsi="黑体" w:eastAsia="仿宋_GB2312" w:cs="宋体"/>
          <w:sz w:val="24"/>
          <w:szCs w:val="24"/>
          <w:lang w:val="en-US" w:eastAsia="zh-CN"/>
        </w:rPr>
        <w:t>合同全额增值税专用发票</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买</w:t>
      </w:r>
      <w:r>
        <w:rPr>
          <w:rFonts w:hint="eastAsia" w:ascii="仿宋_GB2312" w:hAnsi="黑体" w:eastAsia="仿宋_GB2312" w:cs="宋体"/>
          <w:sz w:val="24"/>
          <w:szCs w:val="24"/>
        </w:rPr>
        <w:t>方收到</w:t>
      </w:r>
      <w:r>
        <w:rPr>
          <w:rFonts w:hint="eastAsia" w:ascii="仿宋_GB2312" w:hAnsi="黑体" w:eastAsia="仿宋_GB2312" w:cs="宋体"/>
          <w:sz w:val="24"/>
          <w:szCs w:val="24"/>
          <w:lang w:val="en-US" w:eastAsia="zh-CN"/>
        </w:rPr>
        <w:t>卖</w:t>
      </w:r>
      <w:r>
        <w:rPr>
          <w:rFonts w:hint="eastAsia" w:ascii="仿宋_GB2312" w:hAnsi="黑体" w:eastAsia="仿宋_GB2312" w:cs="宋体"/>
          <w:sz w:val="24"/>
          <w:szCs w:val="24"/>
        </w:rPr>
        <w:t>方提供的</w:t>
      </w:r>
      <w:r>
        <w:rPr>
          <w:rFonts w:hint="eastAsia" w:ascii="仿宋_GB2312" w:hAnsi="黑体" w:eastAsia="仿宋_GB2312" w:cs="宋体"/>
          <w:sz w:val="24"/>
          <w:szCs w:val="24"/>
          <w:lang w:val="en-US" w:eastAsia="zh-CN"/>
        </w:rPr>
        <w:t>合同全额</w:t>
      </w:r>
      <w:r>
        <w:rPr>
          <w:rFonts w:hint="eastAsia" w:ascii="仿宋_GB2312" w:hAnsi="黑体" w:eastAsia="仿宋_GB2312" w:cs="宋体"/>
          <w:sz w:val="24"/>
          <w:szCs w:val="24"/>
        </w:rPr>
        <w:t>增值税专用发票及完整报账材料后提交报账流程</w:t>
      </w:r>
      <w:r>
        <w:rPr>
          <w:rFonts w:hint="eastAsia" w:ascii="仿宋_GB2312" w:hAnsi="黑体" w:eastAsia="仿宋_GB2312" w:cs="宋体"/>
          <w:sz w:val="24"/>
          <w:szCs w:val="24"/>
          <w:lang w:eastAsia="zh-CN"/>
        </w:rPr>
        <w:t>，</w:t>
      </w:r>
      <w:r>
        <w:rPr>
          <w:rFonts w:hint="eastAsia" w:ascii="仿宋_GB2312" w:hAnsi="黑体" w:eastAsia="仿宋_GB2312" w:cs="宋体"/>
          <w:sz w:val="24"/>
          <w:szCs w:val="24"/>
        </w:rPr>
        <w:t>经买方财务审核无误后按照</w:t>
      </w:r>
      <w:permStart w:id="18" w:edGrp="everyone"/>
      <w:r>
        <w:rPr>
          <w:rFonts w:hint="eastAsia" w:ascii="仿宋_GB2312" w:hAnsi="黑体" w:eastAsia="仿宋_GB2312" w:cs="宋体"/>
          <w:b/>
          <w:bCs/>
          <w:sz w:val="24"/>
          <w:szCs w:val="24"/>
          <w:u w:val="single"/>
        </w:rPr>
        <w:t>约定的财务付款条件</w:t>
      </w:r>
      <w:permEnd w:id="18"/>
      <w:r>
        <w:rPr>
          <w:rFonts w:hint="eastAsia" w:ascii="仿宋_GB2312" w:hAnsi="黑体" w:eastAsia="仿宋_GB2312" w:cs="宋体"/>
          <w:sz w:val="24"/>
          <w:szCs w:val="24"/>
        </w:rPr>
        <w:t>执行。</w:t>
      </w:r>
    </w:p>
    <w:p w14:paraId="486AF78B">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合同含税总价款的</w:t>
      </w:r>
      <w:permStart w:id="19"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笔付款的比例，数值</w:t>
      </w:r>
      <w:permEnd w:id="19"/>
      <w:r>
        <w:rPr>
          <w:rFonts w:hint="eastAsia" w:ascii="仿宋_GB2312" w:hAnsi="黑体" w:eastAsia="仿宋_GB2312" w:cs="宋体"/>
          <w:sz w:val="24"/>
          <w:szCs w:val="24"/>
        </w:rPr>
        <w:t>%即</w:t>
      </w:r>
      <w:permStart w:id="20"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笔付款金额</w:t>
      </w:r>
      <w:permEnd w:id="20"/>
      <w:r>
        <w:rPr>
          <w:rFonts w:hint="eastAsia" w:ascii="仿宋_GB2312" w:hAnsi="黑体" w:eastAsia="仿宋_GB2312" w:cs="宋体"/>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宋体"/>
          <w:sz w:val="24"/>
          <w:szCs w:val="24"/>
          <w:lang w:val="en-US" w:eastAsia="zh-CN"/>
        </w:rPr>
        <w:t>质量保证金的收款凭证</w:t>
      </w:r>
      <w:r>
        <w:rPr>
          <w:rFonts w:hint="eastAsia" w:ascii="仿宋_GB2312" w:hAnsi="黑体" w:eastAsia="仿宋_GB2312" w:cs="宋体"/>
          <w:sz w:val="24"/>
          <w:szCs w:val="24"/>
        </w:rPr>
        <w:t>及设备使用单位的使用情况说明，经买方财务审核无误后按照</w:t>
      </w:r>
      <w:permStart w:id="21" w:edGrp="everyone"/>
      <w:r>
        <w:rPr>
          <w:rFonts w:hint="eastAsia" w:ascii="仿宋_GB2312" w:hAnsi="黑体" w:eastAsia="仿宋_GB2312" w:cs="宋体"/>
          <w:b/>
          <w:bCs/>
          <w:sz w:val="24"/>
          <w:szCs w:val="24"/>
          <w:u w:val="single"/>
        </w:rPr>
        <w:t>约定的财务付款条件</w:t>
      </w:r>
      <w:permEnd w:id="21"/>
      <w:r>
        <w:rPr>
          <w:rFonts w:hint="eastAsia" w:ascii="仿宋_GB2312" w:hAnsi="黑体" w:eastAsia="仿宋_GB2312" w:cs="宋体"/>
          <w:sz w:val="24"/>
          <w:szCs w:val="24"/>
        </w:rPr>
        <w:t>执行。如有质量问题，质量保证金予以相应扣除。</w:t>
      </w:r>
    </w:p>
    <w:p w14:paraId="358520E1">
      <w:pPr>
        <w:spacing w:after="0"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3690"/>
        <w:gridCol w:w="3690"/>
      </w:tblGrid>
      <w:tr w14:paraId="099E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24797D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75CEE86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693BAA9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B07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872047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7698683D">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2" w:edGrp="everyone"/>
            <w:r>
              <w:rPr>
                <w:rFonts w:hint="eastAsia" w:ascii="仿宋_GB2312" w:hAnsi="仿宋_GB2312" w:eastAsia="仿宋_GB2312" w:cs="仿宋_GB2312"/>
                <w:b/>
                <w:bCs/>
                <w:w w:val="90"/>
                <w:sz w:val="24"/>
                <w:szCs w:val="24"/>
                <w:u w:val="single"/>
                <w:vertAlign w:val="baseline"/>
                <w:lang w:val="en-US" w:eastAsia="zh-CN"/>
              </w:rPr>
              <w:t>甲方单位全称</w:t>
            </w:r>
            <w:permEnd w:id="22"/>
          </w:p>
        </w:tc>
        <w:tc>
          <w:tcPr>
            <w:tcW w:w="3690" w:type="dxa"/>
            <w:vAlign w:val="bottom"/>
          </w:tcPr>
          <w:p w14:paraId="5F702FC0">
            <w:pPr>
              <w:spacing w:after="200" w:line="360" w:lineRule="auto"/>
              <w:jc w:val="center"/>
              <w:rPr>
                <w:rFonts w:hint="eastAsia" w:ascii="仿宋_GB2312" w:hAnsi="仿宋_GB2312" w:eastAsia="仿宋_GB2312" w:cs="仿宋_GB2312"/>
                <w:w w:val="90"/>
                <w:sz w:val="24"/>
                <w:szCs w:val="24"/>
                <w:vertAlign w:val="baseline"/>
              </w:rPr>
            </w:pPr>
            <w:permStart w:id="23" w:edGrp="everyone"/>
            <w:r>
              <w:rPr>
                <w:rFonts w:hint="eastAsia" w:ascii="仿宋_GB2312" w:hAnsi="仿宋_GB2312" w:eastAsia="仿宋_GB2312" w:cs="仿宋_GB2312"/>
                <w:b/>
                <w:bCs/>
                <w:w w:val="90"/>
                <w:sz w:val="24"/>
                <w:szCs w:val="24"/>
                <w:u w:val="single"/>
                <w:vertAlign w:val="baseline"/>
                <w:lang w:val="en-US" w:eastAsia="zh-CN"/>
              </w:rPr>
              <w:t>乙方单位全称</w:t>
            </w:r>
            <w:permEnd w:id="23"/>
          </w:p>
        </w:tc>
      </w:tr>
      <w:tr w14:paraId="4BA8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10475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046A2EE0">
            <w:pPr>
              <w:spacing w:after="200" w:line="360" w:lineRule="auto"/>
              <w:jc w:val="center"/>
              <w:rPr>
                <w:rFonts w:hint="default" w:ascii="仿宋_GB2312" w:hAnsi="仿宋_GB2312" w:eastAsia="仿宋_GB2312" w:cs="仿宋_GB2312"/>
                <w:w w:val="90"/>
                <w:sz w:val="24"/>
                <w:szCs w:val="24"/>
                <w:vertAlign w:val="baseline"/>
                <w:lang w:val="en-US"/>
              </w:rPr>
            </w:pPr>
            <w:permStart w:id="24" w:edGrp="everyone"/>
            <w:r>
              <w:rPr>
                <w:rFonts w:hint="eastAsia" w:ascii="仿宋_GB2312" w:hAnsi="仿宋_GB2312" w:eastAsia="仿宋_GB2312" w:cs="仿宋_GB2312"/>
                <w:b/>
                <w:bCs/>
                <w:w w:val="90"/>
                <w:sz w:val="24"/>
                <w:szCs w:val="24"/>
                <w:u w:val="single"/>
                <w:vertAlign w:val="baseline"/>
                <w:lang w:val="en-US" w:eastAsia="zh-CN"/>
              </w:rPr>
              <w:t>甲方注册地址，营业执照住所地</w:t>
            </w:r>
            <w:permEnd w:id="24"/>
          </w:p>
        </w:tc>
        <w:tc>
          <w:tcPr>
            <w:tcW w:w="3690" w:type="dxa"/>
            <w:vAlign w:val="bottom"/>
          </w:tcPr>
          <w:p w14:paraId="44C2DEE7">
            <w:pPr>
              <w:spacing w:after="200" w:line="360" w:lineRule="auto"/>
              <w:jc w:val="center"/>
              <w:rPr>
                <w:rFonts w:hint="eastAsia" w:ascii="仿宋_GB2312" w:hAnsi="仿宋_GB2312" w:eastAsia="仿宋_GB2312" w:cs="仿宋_GB2312"/>
                <w:w w:val="90"/>
                <w:sz w:val="24"/>
                <w:szCs w:val="24"/>
                <w:vertAlign w:val="baseline"/>
              </w:rPr>
            </w:pPr>
            <w:permStart w:id="25" w:edGrp="everyone"/>
            <w:r>
              <w:rPr>
                <w:rFonts w:hint="eastAsia" w:ascii="仿宋_GB2312" w:hAnsi="仿宋_GB2312" w:eastAsia="仿宋_GB2312" w:cs="仿宋_GB2312"/>
                <w:b/>
                <w:bCs/>
                <w:w w:val="90"/>
                <w:sz w:val="24"/>
                <w:szCs w:val="24"/>
                <w:u w:val="single"/>
                <w:vertAlign w:val="baseline"/>
                <w:lang w:val="en-US" w:eastAsia="zh-CN"/>
              </w:rPr>
              <w:t>乙方注册地址，营业执照住所地</w:t>
            </w:r>
            <w:permEnd w:id="25"/>
          </w:p>
        </w:tc>
      </w:tr>
      <w:tr w14:paraId="5464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34E0D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0FD92C3F">
            <w:pPr>
              <w:spacing w:after="200" w:line="360" w:lineRule="auto"/>
              <w:jc w:val="center"/>
              <w:rPr>
                <w:rFonts w:hint="default" w:ascii="仿宋_GB2312" w:hAnsi="仿宋_GB2312" w:eastAsia="仿宋_GB2312" w:cs="仿宋_GB2312"/>
                <w:w w:val="90"/>
                <w:sz w:val="24"/>
                <w:szCs w:val="24"/>
                <w:vertAlign w:val="baseline"/>
                <w:lang w:val="en-US"/>
              </w:rPr>
            </w:pPr>
            <w:permStart w:id="26" w:edGrp="everyone"/>
            <w:r>
              <w:rPr>
                <w:rFonts w:hint="eastAsia" w:ascii="仿宋_GB2312" w:hAnsi="仿宋_GB2312" w:eastAsia="仿宋_GB2312" w:cs="仿宋_GB2312"/>
                <w:b/>
                <w:bCs/>
                <w:w w:val="90"/>
                <w:sz w:val="24"/>
                <w:szCs w:val="24"/>
                <w:u w:val="single"/>
                <w:vertAlign w:val="baseline"/>
                <w:lang w:val="en-US" w:eastAsia="zh-CN"/>
              </w:rPr>
              <w:t>甲方通讯地址，实际联系地址</w:t>
            </w:r>
            <w:permEnd w:id="26"/>
          </w:p>
        </w:tc>
        <w:tc>
          <w:tcPr>
            <w:tcW w:w="3690" w:type="dxa"/>
            <w:vAlign w:val="bottom"/>
          </w:tcPr>
          <w:p w14:paraId="17993BD7">
            <w:pPr>
              <w:spacing w:after="200" w:line="360" w:lineRule="auto"/>
              <w:jc w:val="center"/>
              <w:rPr>
                <w:rFonts w:hint="eastAsia" w:ascii="仿宋_GB2312" w:hAnsi="仿宋_GB2312" w:eastAsia="仿宋_GB2312" w:cs="仿宋_GB2312"/>
                <w:w w:val="90"/>
                <w:sz w:val="24"/>
                <w:szCs w:val="24"/>
                <w:vertAlign w:val="baseline"/>
              </w:rPr>
            </w:pPr>
            <w:permStart w:id="27" w:edGrp="everyone"/>
            <w:r>
              <w:rPr>
                <w:rFonts w:hint="eastAsia" w:ascii="仿宋_GB2312" w:hAnsi="仿宋_GB2312" w:eastAsia="仿宋_GB2312" w:cs="仿宋_GB2312"/>
                <w:b/>
                <w:bCs/>
                <w:w w:val="90"/>
                <w:sz w:val="24"/>
                <w:szCs w:val="24"/>
                <w:u w:val="single"/>
                <w:vertAlign w:val="baseline"/>
                <w:lang w:val="en-US" w:eastAsia="zh-CN"/>
              </w:rPr>
              <w:t>乙方通讯地址，实际联系地址</w:t>
            </w:r>
            <w:permEnd w:id="27"/>
          </w:p>
        </w:tc>
      </w:tr>
      <w:tr w14:paraId="5430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F74712F">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3537678F">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8" w:edGrp="everyone"/>
            <w:r>
              <w:rPr>
                <w:rFonts w:hint="eastAsia" w:ascii="仿宋_GB2312" w:hAnsi="仿宋_GB2312" w:eastAsia="仿宋_GB2312" w:cs="仿宋_GB2312"/>
                <w:b/>
                <w:bCs/>
                <w:w w:val="90"/>
                <w:sz w:val="24"/>
                <w:szCs w:val="24"/>
                <w:u w:val="single"/>
                <w:vertAlign w:val="baseline"/>
                <w:lang w:val="en-US" w:eastAsia="zh-CN"/>
              </w:rPr>
              <w:t>甲方法定代表人姓名</w:t>
            </w:r>
            <w:permEnd w:id="28"/>
          </w:p>
        </w:tc>
        <w:tc>
          <w:tcPr>
            <w:tcW w:w="3690" w:type="dxa"/>
            <w:vAlign w:val="bottom"/>
          </w:tcPr>
          <w:p w14:paraId="359ACBC0">
            <w:pPr>
              <w:spacing w:after="200" w:line="360" w:lineRule="auto"/>
              <w:jc w:val="center"/>
              <w:rPr>
                <w:rFonts w:hint="eastAsia" w:ascii="仿宋_GB2312" w:hAnsi="仿宋_GB2312" w:eastAsia="仿宋_GB2312" w:cs="仿宋_GB2312"/>
                <w:w w:val="90"/>
                <w:sz w:val="24"/>
                <w:szCs w:val="24"/>
                <w:vertAlign w:val="baseline"/>
              </w:rPr>
            </w:pPr>
            <w:permStart w:id="29" w:edGrp="everyone"/>
            <w:r>
              <w:rPr>
                <w:rFonts w:hint="eastAsia" w:ascii="仿宋_GB2312" w:hAnsi="仿宋_GB2312" w:eastAsia="仿宋_GB2312" w:cs="仿宋_GB2312"/>
                <w:b/>
                <w:bCs/>
                <w:w w:val="90"/>
                <w:sz w:val="24"/>
                <w:szCs w:val="24"/>
                <w:u w:val="single"/>
                <w:vertAlign w:val="baseline"/>
                <w:lang w:val="en-US" w:eastAsia="zh-CN"/>
              </w:rPr>
              <w:t>乙方法定代表人姓名</w:t>
            </w:r>
            <w:permEnd w:id="29"/>
          </w:p>
        </w:tc>
      </w:tr>
      <w:tr w14:paraId="3415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2BF73C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277FA318">
            <w:pPr>
              <w:spacing w:after="200" w:line="360" w:lineRule="auto"/>
              <w:jc w:val="center"/>
              <w:rPr>
                <w:rFonts w:hint="eastAsia" w:ascii="仿宋_GB2312" w:hAnsi="仿宋_GB2312" w:eastAsia="仿宋_GB2312" w:cs="仿宋_GB2312"/>
                <w:w w:val="90"/>
                <w:sz w:val="24"/>
                <w:szCs w:val="24"/>
                <w:vertAlign w:val="baseline"/>
              </w:rPr>
            </w:pPr>
            <w:permStart w:id="30" w:edGrp="everyone"/>
            <w:r>
              <w:rPr>
                <w:rFonts w:hint="eastAsia" w:ascii="仿宋_GB2312" w:hAnsi="仿宋_GB2312" w:eastAsia="仿宋_GB2312" w:cs="仿宋_GB2312"/>
                <w:b/>
                <w:bCs/>
                <w:w w:val="90"/>
                <w:sz w:val="24"/>
                <w:szCs w:val="24"/>
                <w:u w:val="single"/>
                <w:vertAlign w:val="baseline"/>
                <w:lang w:val="en-US" w:eastAsia="zh-CN"/>
              </w:rPr>
              <w:t>甲方授权代表姓名</w:t>
            </w:r>
            <w:permEnd w:id="30"/>
          </w:p>
        </w:tc>
        <w:tc>
          <w:tcPr>
            <w:tcW w:w="3690" w:type="dxa"/>
            <w:vAlign w:val="bottom"/>
          </w:tcPr>
          <w:p w14:paraId="04527BEC">
            <w:pPr>
              <w:spacing w:after="200" w:line="360" w:lineRule="auto"/>
              <w:jc w:val="center"/>
              <w:rPr>
                <w:rFonts w:hint="eastAsia" w:ascii="仿宋_GB2312" w:hAnsi="仿宋_GB2312" w:eastAsia="仿宋_GB2312" w:cs="仿宋_GB2312"/>
                <w:w w:val="90"/>
                <w:sz w:val="24"/>
                <w:szCs w:val="24"/>
                <w:vertAlign w:val="baseline"/>
              </w:rPr>
            </w:pPr>
            <w:permStart w:id="31" w:edGrp="everyone"/>
            <w:r>
              <w:rPr>
                <w:rFonts w:hint="eastAsia" w:ascii="仿宋_GB2312" w:hAnsi="仿宋_GB2312" w:eastAsia="仿宋_GB2312" w:cs="仿宋_GB2312"/>
                <w:b/>
                <w:bCs/>
                <w:w w:val="90"/>
                <w:sz w:val="24"/>
                <w:szCs w:val="24"/>
                <w:u w:val="single"/>
                <w:vertAlign w:val="baseline"/>
                <w:lang w:val="en-US" w:eastAsia="zh-CN"/>
              </w:rPr>
              <w:t>乙方授权代表姓名</w:t>
            </w:r>
            <w:permEnd w:id="31"/>
          </w:p>
        </w:tc>
      </w:tr>
      <w:tr w14:paraId="5649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CBAE9A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6C2D6216">
            <w:pPr>
              <w:spacing w:after="200" w:line="360" w:lineRule="auto"/>
              <w:jc w:val="center"/>
              <w:rPr>
                <w:rFonts w:hint="default" w:ascii="仿宋_GB2312" w:hAnsi="仿宋_GB2312" w:eastAsia="仿宋_GB2312" w:cs="仿宋_GB2312"/>
                <w:w w:val="90"/>
                <w:sz w:val="24"/>
                <w:szCs w:val="24"/>
                <w:vertAlign w:val="baseline"/>
                <w:lang w:val="en-US"/>
              </w:rPr>
            </w:pPr>
            <w:permStart w:id="32" w:edGrp="everyone"/>
            <w:r>
              <w:rPr>
                <w:rFonts w:hint="eastAsia" w:ascii="仿宋_GB2312" w:hAnsi="仿宋_GB2312" w:eastAsia="仿宋_GB2312" w:cs="仿宋_GB2312"/>
                <w:b/>
                <w:bCs/>
                <w:w w:val="90"/>
                <w:sz w:val="24"/>
                <w:szCs w:val="24"/>
                <w:u w:val="single"/>
                <w:vertAlign w:val="baseline"/>
                <w:lang w:val="en-US" w:eastAsia="zh-CN"/>
              </w:rPr>
              <w:t>甲方授权代表手机号码</w:t>
            </w:r>
            <w:permEnd w:id="32"/>
          </w:p>
        </w:tc>
        <w:tc>
          <w:tcPr>
            <w:tcW w:w="3690" w:type="dxa"/>
            <w:vAlign w:val="bottom"/>
          </w:tcPr>
          <w:p w14:paraId="482FA214">
            <w:pPr>
              <w:spacing w:after="200" w:line="360" w:lineRule="auto"/>
              <w:jc w:val="center"/>
              <w:rPr>
                <w:rFonts w:hint="eastAsia" w:ascii="仿宋_GB2312" w:hAnsi="仿宋_GB2312" w:eastAsia="仿宋_GB2312" w:cs="仿宋_GB2312"/>
                <w:w w:val="90"/>
                <w:sz w:val="24"/>
                <w:szCs w:val="24"/>
                <w:vertAlign w:val="baseline"/>
              </w:rPr>
            </w:pPr>
            <w:permStart w:id="33" w:edGrp="everyone"/>
            <w:r>
              <w:rPr>
                <w:rFonts w:hint="eastAsia" w:ascii="仿宋_GB2312" w:hAnsi="仿宋_GB2312" w:eastAsia="仿宋_GB2312" w:cs="仿宋_GB2312"/>
                <w:b/>
                <w:bCs/>
                <w:w w:val="90"/>
                <w:sz w:val="24"/>
                <w:szCs w:val="24"/>
                <w:u w:val="single"/>
                <w:vertAlign w:val="baseline"/>
                <w:lang w:val="en-US" w:eastAsia="zh-CN"/>
              </w:rPr>
              <w:t>乙方授权代表手机号码</w:t>
            </w:r>
            <w:permEnd w:id="33"/>
          </w:p>
        </w:tc>
      </w:tr>
      <w:tr w14:paraId="088A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056490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53E1BEE9">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4" w:edGrp="everyone"/>
            <w:r>
              <w:rPr>
                <w:rFonts w:hint="eastAsia" w:ascii="仿宋_GB2312" w:hAnsi="仿宋_GB2312" w:eastAsia="仿宋_GB2312" w:cs="仿宋_GB2312"/>
                <w:b/>
                <w:bCs/>
                <w:w w:val="90"/>
                <w:sz w:val="24"/>
                <w:szCs w:val="24"/>
                <w:u w:val="single"/>
                <w:vertAlign w:val="baseline"/>
                <w:lang w:val="en-US" w:eastAsia="zh-CN"/>
              </w:rPr>
              <w:t>甲方授权代表联系邮箱（非必填）</w:t>
            </w:r>
            <w:permEnd w:id="34"/>
          </w:p>
        </w:tc>
        <w:tc>
          <w:tcPr>
            <w:tcW w:w="3690" w:type="dxa"/>
            <w:vAlign w:val="bottom"/>
          </w:tcPr>
          <w:p w14:paraId="4359CA4D">
            <w:pPr>
              <w:spacing w:after="200" w:line="360" w:lineRule="auto"/>
              <w:jc w:val="center"/>
              <w:rPr>
                <w:rFonts w:hint="eastAsia" w:ascii="仿宋_GB2312" w:hAnsi="仿宋_GB2312" w:eastAsia="仿宋_GB2312" w:cs="仿宋_GB2312"/>
                <w:w w:val="90"/>
                <w:sz w:val="24"/>
                <w:szCs w:val="24"/>
                <w:vertAlign w:val="baseline"/>
              </w:rPr>
            </w:pPr>
            <w:permStart w:id="35" w:edGrp="everyone"/>
            <w:r>
              <w:rPr>
                <w:rFonts w:hint="eastAsia" w:ascii="仿宋_GB2312" w:hAnsi="仿宋_GB2312" w:eastAsia="仿宋_GB2312" w:cs="仿宋_GB2312"/>
                <w:b/>
                <w:bCs/>
                <w:w w:val="90"/>
                <w:sz w:val="24"/>
                <w:szCs w:val="24"/>
                <w:u w:val="single"/>
                <w:vertAlign w:val="baseline"/>
                <w:lang w:val="en-US" w:eastAsia="zh-CN"/>
              </w:rPr>
              <w:t>乙方授权代表联系邮箱（非必填）</w:t>
            </w:r>
            <w:permEnd w:id="35"/>
          </w:p>
        </w:tc>
      </w:tr>
      <w:tr w14:paraId="54BA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22CAC1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72AD2E83">
            <w:pPr>
              <w:spacing w:after="200" w:line="360" w:lineRule="auto"/>
              <w:jc w:val="center"/>
              <w:rPr>
                <w:rFonts w:hint="eastAsia" w:ascii="仿宋_GB2312" w:hAnsi="仿宋_GB2312" w:eastAsia="仿宋_GB2312" w:cs="仿宋_GB2312"/>
                <w:w w:val="90"/>
                <w:sz w:val="24"/>
                <w:szCs w:val="24"/>
                <w:vertAlign w:val="baseline"/>
              </w:rPr>
            </w:pPr>
            <w:permStart w:id="36" w:edGrp="everyone"/>
            <w:r>
              <w:rPr>
                <w:rFonts w:hint="eastAsia" w:ascii="仿宋_GB2312" w:hAnsi="仿宋_GB2312" w:eastAsia="仿宋_GB2312" w:cs="仿宋_GB2312"/>
                <w:b/>
                <w:bCs/>
                <w:w w:val="90"/>
                <w:sz w:val="24"/>
                <w:szCs w:val="24"/>
                <w:u w:val="single"/>
                <w:vertAlign w:val="baseline"/>
                <w:lang w:val="en-US" w:eastAsia="zh-CN"/>
              </w:rPr>
              <w:t>甲方开户银行规范全称（非必填）</w:t>
            </w:r>
            <w:permEnd w:id="36"/>
          </w:p>
        </w:tc>
        <w:tc>
          <w:tcPr>
            <w:tcW w:w="3690" w:type="dxa"/>
            <w:vAlign w:val="bottom"/>
          </w:tcPr>
          <w:p w14:paraId="3A5C7A96">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7" w:edGrp="everyone"/>
            <w:r>
              <w:rPr>
                <w:rFonts w:hint="eastAsia" w:ascii="仿宋_GB2312" w:hAnsi="仿宋_GB2312" w:eastAsia="仿宋_GB2312" w:cs="仿宋_GB2312"/>
                <w:b/>
                <w:bCs/>
                <w:w w:val="90"/>
                <w:sz w:val="24"/>
                <w:szCs w:val="24"/>
                <w:u w:val="single"/>
                <w:vertAlign w:val="baseline"/>
                <w:lang w:val="en-US" w:eastAsia="zh-CN"/>
              </w:rPr>
              <w:t>乙方开户银行规范全称</w:t>
            </w:r>
            <w:permEnd w:id="37"/>
          </w:p>
        </w:tc>
      </w:tr>
      <w:tr w14:paraId="53AF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1F8055E">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7C9AE074">
            <w:pPr>
              <w:spacing w:after="200" w:line="360" w:lineRule="auto"/>
              <w:jc w:val="center"/>
              <w:rPr>
                <w:rFonts w:hint="eastAsia" w:ascii="仿宋_GB2312" w:hAnsi="仿宋_GB2312" w:eastAsia="仿宋_GB2312" w:cs="仿宋_GB2312"/>
                <w:w w:val="90"/>
                <w:sz w:val="24"/>
                <w:szCs w:val="24"/>
                <w:vertAlign w:val="baseline"/>
              </w:rPr>
            </w:pPr>
            <w:permStart w:id="38" w:edGrp="everyone"/>
            <w:r>
              <w:rPr>
                <w:rFonts w:hint="eastAsia" w:ascii="仿宋_GB2312" w:hAnsi="仿宋_GB2312" w:eastAsia="仿宋_GB2312" w:cs="仿宋_GB2312"/>
                <w:b/>
                <w:bCs/>
                <w:w w:val="90"/>
                <w:sz w:val="24"/>
                <w:szCs w:val="24"/>
                <w:u w:val="single"/>
                <w:vertAlign w:val="baseline"/>
                <w:lang w:val="en-US" w:eastAsia="zh-CN"/>
              </w:rPr>
              <w:t>甲方开户银行联行号（非必填）</w:t>
            </w:r>
            <w:permEnd w:id="38"/>
          </w:p>
        </w:tc>
        <w:tc>
          <w:tcPr>
            <w:tcW w:w="3690" w:type="dxa"/>
            <w:vAlign w:val="bottom"/>
          </w:tcPr>
          <w:p w14:paraId="380F274C">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9" w:edGrp="everyone"/>
            <w:r>
              <w:rPr>
                <w:rFonts w:hint="eastAsia" w:ascii="仿宋_GB2312" w:hAnsi="仿宋_GB2312" w:eastAsia="仿宋_GB2312" w:cs="仿宋_GB2312"/>
                <w:b/>
                <w:bCs/>
                <w:w w:val="90"/>
                <w:sz w:val="24"/>
                <w:szCs w:val="24"/>
                <w:u w:val="single"/>
                <w:vertAlign w:val="baseline"/>
                <w:lang w:val="en-US" w:eastAsia="zh-CN"/>
              </w:rPr>
              <w:t>乙方开户银行联行号</w:t>
            </w:r>
            <w:permEnd w:id="39"/>
          </w:p>
        </w:tc>
      </w:tr>
      <w:tr w14:paraId="7B32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5D24BE0">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8BA9A81">
            <w:pPr>
              <w:spacing w:after="200" w:line="360" w:lineRule="auto"/>
              <w:jc w:val="center"/>
              <w:rPr>
                <w:rFonts w:hint="eastAsia" w:ascii="仿宋_GB2312" w:hAnsi="仿宋_GB2312" w:eastAsia="仿宋_GB2312" w:cs="仿宋_GB2312"/>
                <w:w w:val="90"/>
                <w:sz w:val="24"/>
                <w:szCs w:val="24"/>
                <w:vertAlign w:val="baseline"/>
              </w:rPr>
            </w:pPr>
            <w:permStart w:id="40" w:edGrp="everyone"/>
            <w:r>
              <w:rPr>
                <w:rFonts w:hint="eastAsia" w:ascii="仿宋_GB2312" w:hAnsi="仿宋_GB2312" w:eastAsia="仿宋_GB2312" w:cs="仿宋_GB2312"/>
                <w:b/>
                <w:bCs/>
                <w:w w:val="90"/>
                <w:sz w:val="24"/>
                <w:szCs w:val="24"/>
                <w:u w:val="single"/>
                <w:vertAlign w:val="baseline"/>
                <w:lang w:val="en-US" w:eastAsia="zh-CN"/>
              </w:rPr>
              <w:t>甲方银行账号（非必填）</w:t>
            </w:r>
            <w:permEnd w:id="40"/>
          </w:p>
        </w:tc>
        <w:tc>
          <w:tcPr>
            <w:tcW w:w="3690" w:type="dxa"/>
            <w:vAlign w:val="bottom"/>
          </w:tcPr>
          <w:p w14:paraId="2D07FE1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1" w:edGrp="everyone"/>
            <w:r>
              <w:rPr>
                <w:rFonts w:hint="eastAsia" w:ascii="仿宋_GB2312" w:hAnsi="仿宋_GB2312" w:eastAsia="仿宋_GB2312" w:cs="仿宋_GB2312"/>
                <w:b/>
                <w:bCs/>
                <w:w w:val="90"/>
                <w:sz w:val="24"/>
                <w:szCs w:val="24"/>
                <w:u w:val="single"/>
                <w:vertAlign w:val="baseline"/>
                <w:lang w:val="en-US" w:eastAsia="zh-CN"/>
              </w:rPr>
              <w:t>乙方银行账号</w:t>
            </w:r>
            <w:permEnd w:id="41"/>
          </w:p>
        </w:tc>
      </w:tr>
      <w:tr w14:paraId="2F23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F75428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491DA939">
            <w:pPr>
              <w:spacing w:after="200" w:line="360" w:lineRule="auto"/>
              <w:jc w:val="center"/>
              <w:rPr>
                <w:rFonts w:hint="eastAsia" w:ascii="仿宋_GB2312" w:hAnsi="仿宋_GB2312" w:eastAsia="仿宋_GB2312" w:cs="仿宋_GB2312"/>
                <w:w w:val="90"/>
                <w:sz w:val="24"/>
                <w:szCs w:val="24"/>
                <w:vertAlign w:val="baseline"/>
              </w:rPr>
            </w:pPr>
            <w:permStart w:id="42" w:edGrp="everyone"/>
            <w:r>
              <w:rPr>
                <w:rFonts w:hint="eastAsia" w:ascii="仿宋_GB2312" w:hAnsi="仿宋_GB2312" w:eastAsia="仿宋_GB2312" w:cs="仿宋_GB2312"/>
                <w:b/>
                <w:bCs/>
                <w:w w:val="90"/>
                <w:sz w:val="24"/>
                <w:szCs w:val="24"/>
                <w:u w:val="single"/>
                <w:vertAlign w:val="baseline"/>
                <w:lang w:val="en-US" w:eastAsia="zh-CN"/>
              </w:rPr>
              <w:t>甲方其他需列明企业信息（非必填）</w:t>
            </w:r>
            <w:permEnd w:id="42"/>
          </w:p>
        </w:tc>
        <w:tc>
          <w:tcPr>
            <w:tcW w:w="3690" w:type="dxa"/>
            <w:vAlign w:val="bottom"/>
          </w:tcPr>
          <w:p w14:paraId="1B21BC76">
            <w:pPr>
              <w:spacing w:after="200" w:line="360" w:lineRule="auto"/>
              <w:jc w:val="center"/>
              <w:rPr>
                <w:rFonts w:hint="eastAsia" w:ascii="仿宋_GB2312" w:hAnsi="仿宋_GB2312" w:eastAsia="仿宋_GB2312" w:cs="仿宋_GB2312"/>
                <w:w w:val="90"/>
                <w:sz w:val="24"/>
                <w:szCs w:val="24"/>
                <w:vertAlign w:val="baseline"/>
              </w:rPr>
            </w:pPr>
            <w:permStart w:id="43" w:edGrp="everyone"/>
            <w:r>
              <w:rPr>
                <w:rFonts w:hint="eastAsia" w:ascii="仿宋_GB2312" w:hAnsi="仿宋_GB2312" w:eastAsia="仿宋_GB2312" w:cs="仿宋_GB2312"/>
                <w:b/>
                <w:bCs/>
                <w:w w:val="90"/>
                <w:sz w:val="24"/>
                <w:szCs w:val="24"/>
                <w:u w:val="single"/>
                <w:vertAlign w:val="baseline"/>
                <w:lang w:val="en-US" w:eastAsia="zh-CN"/>
              </w:rPr>
              <w:t>乙方其他需列明企业信息（非必填）</w:t>
            </w:r>
            <w:permEnd w:id="43"/>
          </w:p>
        </w:tc>
      </w:tr>
    </w:tbl>
    <w:p w14:paraId="079BF74C">
      <w:pPr>
        <w:spacing w:after="0"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55699ED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5" w:name="_Toc15100"/>
      <w:r>
        <w:rPr>
          <w:rFonts w:hint="eastAsia" w:ascii="黑体" w:hAnsi="黑体" w:eastAsia="黑体" w:cs="黑体"/>
          <w:b w:val="0"/>
          <w:iCs/>
          <w:kern w:val="2"/>
          <w:sz w:val="24"/>
          <w:szCs w:val="24"/>
          <w:lang w:val="en-US" w:eastAsia="zh-CN" w:bidi="ar-SA"/>
        </w:rPr>
        <w:t>3.生效条款</w:t>
      </w:r>
      <w:bookmarkEnd w:id="65"/>
    </w:p>
    <w:p w14:paraId="50A02FFD">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.1本合同经双方签署后生效。</w:t>
      </w:r>
    </w:p>
    <w:p w14:paraId="54EED010">
      <w:pPr>
        <w:spacing w:after="0" w:line="360" w:lineRule="auto"/>
        <w:ind w:firstLine="480" w:firstLineChars="200"/>
        <w:rPr>
          <w:rFonts w:hint="default" w:ascii="仿宋_GB2312" w:hAnsi="黑体" w:eastAsia="仿宋_GB2312" w:cs="宋体"/>
          <w:sz w:val="24"/>
          <w:szCs w:val="24"/>
          <w:lang w:val="en-US" w:eastAsia="zh-CN"/>
        </w:rPr>
      </w:pPr>
      <w:r>
        <w:rPr>
          <w:rFonts w:hint="eastAsia" w:ascii="仿宋_GB2312" w:hAnsi="黑体" w:eastAsia="仿宋_GB2312" w:cs="宋体"/>
          <w:sz w:val="24"/>
          <w:szCs w:val="24"/>
          <w:lang w:val="en-US" w:eastAsia="zh-CN"/>
        </w:rPr>
        <w:t>3.2本合同一式四份，甲乙双方各执两份，具有同等法律效力。</w:t>
      </w:r>
    </w:p>
    <w:p w14:paraId="76E03001">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kern w:val="2"/>
          <w:sz w:val="24"/>
          <w:szCs w:val="20"/>
          <w:lang w:val="en-US" w:eastAsia="zh-CN" w:bidi="ar-SA"/>
        </w:rPr>
      </w:pPr>
      <w:bookmarkStart w:id="66" w:name="_Toc26842"/>
      <w:r>
        <w:rPr>
          <w:rFonts w:hint="eastAsia" w:ascii="黑体" w:hAnsi="黑体" w:eastAsia="黑体" w:cs="黑体"/>
          <w:b w:val="0"/>
          <w:iCs/>
          <w:kern w:val="2"/>
          <w:sz w:val="24"/>
          <w:szCs w:val="24"/>
          <w:lang w:val="en-US" w:eastAsia="zh-CN" w:bidi="ar-SA"/>
        </w:rPr>
        <w:t>4.特殊约定</w:t>
      </w:r>
      <w:bookmarkEnd w:id="66"/>
    </w:p>
    <w:p w14:paraId="36F53247">
      <w:pPr>
        <w:spacing w:after="0" w:line="360" w:lineRule="auto"/>
        <w:ind w:firstLine="434" w:firstLineChars="200"/>
        <w:rPr>
          <w:rFonts w:ascii="宋体" w:hAnsi="宋体" w:eastAsia="宋体" w:cs="Times New Roman"/>
          <w:snapToGrid w:val="0"/>
          <w:kern w:val="0"/>
          <w:sz w:val="20"/>
          <w:szCs w:val="20"/>
          <w:lang w:eastAsia="zh-Hans"/>
        </w:rPr>
      </w:pPr>
      <w:permStart w:id="44" w:edGrp="everyone"/>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无</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专用条款、通用条款中需进行修改的部分应在此处予以体现</w:t>
      </w:r>
      <w:permEnd w:id="44"/>
      <w:r>
        <w:rPr>
          <w:rFonts w:hint="eastAsia" w:ascii="仿宋_GB2312" w:hAnsi="宋体" w:eastAsia="仿宋_GB2312" w:cs="宋体"/>
          <w:b/>
          <w:bCs/>
          <w:sz w:val="24"/>
          <w:szCs w:val="24"/>
          <w:u w:val="single"/>
          <w:lang w:eastAsia="zh-CN"/>
        </w:rPr>
        <w:t>。</w:t>
      </w:r>
    </w:p>
    <w:p w14:paraId="5025C2D5">
      <w:pPr>
        <w:spacing w:after="0" w:line="360" w:lineRule="auto"/>
        <w:rPr>
          <w:rFonts w:ascii="宋体" w:hAnsi="宋体" w:eastAsia="宋体" w:cs="Times New Roman"/>
          <w:snapToGrid w:val="0"/>
          <w:kern w:val="0"/>
          <w:sz w:val="20"/>
          <w:szCs w:val="20"/>
          <w:lang w:eastAsia="zh-Hans"/>
        </w:rPr>
      </w:pPr>
    </w:p>
    <w:p w14:paraId="5704EFE5">
      <w:pPr>
        <w:spacing w:after="0" w:line="360" w:lineRule="auto"/>
        <w:rPr>
          <w:rFonts w:ascii="宋体" w:hAnsi="宋体" w:eastAsia="宋体" w:cs="Times New Roman"/>
          <w:snapToGrid w:val="0"/>
          <w:kern w:val="0"/>
          <w:sz w:val="20"/>
          <w:szCs w:val="20"/>
          <w:lang w:eastAsia="zh-Hans"/>
        </w:rPr>
      </w:pPr>
    </w:p>
    <w:p w14:paraId="486A967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5"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5"/>
    </w:p>
    <w:p w14:paraId="261BFD14">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1DA8CF14">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263D3F07">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14:paraId="0342411E">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p>
    <w:p w14:paraId="0E754B1C">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A5DD4FD">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6"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6"/>
    </w:p>
    <w:p w14:paraId="6A463A2A">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30B7E0A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4BC55393">
      <w:pPr>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br w:type="page"/>
      </w:r>
    </w:p>
    <w:p w14:paraId="235ECD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8498677">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5E1B703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7" w:name="_Toc16330018"/>
      <w:bookmarkStart w:id="68" w:name="_Toc17619"/>
      <w:bookmarkStart w:id="69" w:name="_Toc24144"/>
      <w:bookmarkStart w:id="70" w:name="_Toc11823"/>
      <w:bookmarkStart w:id="71" w:name="_Toc11930"/>
      <w:r>
        <w:rPr>
          <w:rFonts w:hint="eastAsia" w:ascii="黑体" w:hAnsi="黑体" w:eastAsia="黑体" w:cs="黑体"/>
          <w:b w:val="0"/>
          <w:iCs/>
          <w:kern w:val="2"/>
          <w:sz w:val="24"/>
          <w:szCs w:val="24"/>
          <w:lang w:val="en-US" w:eastAsia="zh-CN" w:bidi="ar-SA"/>
        </w:rPr>
        <w:t>1 合同设备</w:t>
      </w:r>
      <w:bookmarkEnd w:id="67"/>
      <w:bookmarkEnd w:id="68"/>
      <w:bookmarkEnd w:id="69"/>
      <w:bookmarkEnd w:id="70"/>
      <w:bookmarkEnd w:id="71"/>
    </w:p>
    <w:p w14:paraId="06EA1B5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72" w:name="_Toc29026"/>
      <w:bookmarkStart w:id="73" w:name="_Toc32510"/>
      <w:bookmarkStart w:id="74" w:name="_Toc22800"/>
      <w:r>
        <w:rPr>
          <w:rFonts w:hint="eastAsia" w:ascii="仿宋_GB2312" w:hAnsi="仿宋_GB2312" w:eastAsia="仿宋_GB2312" w:cs="仿宋_GB2312"/>
          <w:sz w:val="24"/>
          <w:szCs w:val="24"/>
        </w:rPr>
        <w:t>本合同约定设备的技术规格详见附件二《技术协议书》。</w:t>
      </w:r>
    </w:p>
    <w:p w14:paraId="61F026C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0EB61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972171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5" w:name="_Toc16330019"/>
      <w:bookmarkStart w:id="76" w:name="_Toc19946"/>
      <w:r>
        <w:rPr>
          <w:rFonts w:hint="eastAsia" w:ascii="黑体" w:hAnsi="黑体" w:eastAsia="黑体" w:cs="黑体"/>
          <w:b w:val="0"/>
          <w:iCs/>
          <w:kern w:val="2"/>
          <w:sz w:val="24"/>
          <w:szCs w:val="24"/>
          <w:lang w:val="en-US" w:eastAsia="zh-CN" w:bidi="ar-SA"/>
        </w:rPr>
        <w:t>2 包装</w:t>
      </w:r>
      <w:bookmarkEnd w:id="72"/>
      <w:bookmarkEnd w:id="73"/>
      <w:bookmarkEnd w:id="74"/>
      <w:bookmarkEnd w:id="75"/>
      <w:bookmarkEnd w:id="76"/>
    </w:p>
    <w:p w14:paraId="16CE4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024677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1D53823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7" w:name="_Toc27453"/>
      <w:bookmarkStart w:id="78" w:name="_Toc16330020"/>
      <w:bookmarkStart w:id="79" w:name="_Toc27144"/>
      <w:bookmarkStart w:id="80" w:name="_Toc26521"/>
      <w:bookmarkStart w:id="81" w:name="_Toc2833"/>
      <w:r>
        <w:rPr>
          <w:rFonts w:hint="eastAsia" w:ascii="黑体" w:hAnsi="黑体" w:eastAsia="黑体" w:cs="黑体"/>
          <w:b w:val="0"/>
          <w:iCs/>
          <w:kern w:val="2"/>
          <w:sz w:val="24"/>
          <w:szCs w:val="24"/>
          <w:lang w:val="en-US" w:eastAsia="zh-CN" w:bidi="ar-SA"/>
        </w:rPr>
        <w:t>3 运输标记</w:t>
      </w:r>
      <w:bookmarkEnd w:id="77"/>
      <w:bookmarkEnd w:id="78"/>
      <w:bookmarkEnd w:id="79"/>
      <w:bookmarkEnd w:id="80"/>
      <w:bookmarkEnd w:id="81"/>
    </w:p>
    <w:p w14:paraId="189335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67F054C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0CEB39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281E57F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6F566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235508F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4E5B3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7F393D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8EF264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2" w:name="_Toc6083"/>
      <w:bookmarkStart w:id="83" w:name="_Toc16133"/>
      <w:bookmarkStart w:id="84" w:name="_Toc10630"/>
      <w:bookmarkStart w:id="85" w:name="_Toc16330021"/>
      <w:bookmarkStart w:id="86" w:name="_Toc7431"/>
      <w:r>
        <w:rPr>
          <w:rFonts w:hint="eastAsia" w:ascii="黑体" w:hAnsi="黑体" w:eastAsia="黑体" w:cs="黑体"/>
          <w:b w:val="0"/>
          <w:iCs/>
          <w:kern w:val="2"/>
          <w:sz w:val="24"/>
          <w:szCs w:val="24"/>
          <w:lang w:val="en-US" w:eastAsia="zh-CN" w:bidi="ar-SA"/>
        </w:rPr>
        <w:t>4 检验</w:t>
      </w:r>
      <w:bookmarkEnd w:id="82"/>
      <w:bookmarkEnd w:id="83"/>
      <w:bookmarkEnd w:id="84"/>
      <w:bookmarkEnd w:id="85"/>
      <w:bookmarkEnd w:id="86"/>
    </w:p>
    <w:p w14:paraId="467FC68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45D6E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F3DD45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7" w:name="_Toc24467"/>
      <w:bookmarkStart w:id="88" w:name="_Toc16330022"/>
      <w:bookmarkStart w:id="89" w:name="_Toc11156"/>
      <w:bookmarkStart w:id="90" w:name="_Toc11217"/>
      <w:bookmarkStart w:id="91" w:name="_Toc19850"/>
      <w:r>
        <w:rPr>
          <w:rFonts w:hint="eastAsia" w:ascii="黑体" w:hAnsi="黑体" w:eastAsia="黑体" w:cs="黑体"/>
          <w:b w:val="0"/>
          <w:iCs/>
          <w:kern w:val="2"/>
          <w:sz w:val="24"/>
          <w:szCs w:val="24"/>
          <w:lang w:val="en-US" w:eastAsia="zh-CN" w:bidi="ar-SA"/>
        </w:rPr>
        <w:t>5 权利担保</w:t>
      </w:r>
      <w:bookmarkEnd w:id="87"/>
      <w:bookmarkEnd w:id="88"/>
      <w:bookmarkEnd w:id="89"/>
      <w:bookmarkEnd w:id="90"/>
      <w:bookmarkEnd w:id="91"/>
    </w:p>
    <w:p w14:paraId="1D2AAD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9982A1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5B16E3B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0261629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76C6FF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3E18F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2" w:name="_Toc11759"/>
      <w:bookmarkStart w:id="93" w:name="_Toc16330023"/>
      <w:bookmarkStart w:id="94" w:name="_Toc27500"/>
      <w:bookmarkStart w:id="95" w:name="_Toc28519"/>
      <w:bookmarkStart w:id="96" w:name="_Toc14809"/>
      <w:r>
        <w:rPr>
          <w:rFonts w:hint="eastAsia" w:ascii="黑体" w:hAnsi="黑体" w:eastAsia="黑体" w:cs="黑体"/>
          <w:b w:val="0"/>
          <w:iCs/>
          <w:kern w:val="2"/>
          <w:sz w:val="24"/>
          <w:szCs w:val="24"/>
          <w:lang w:val="en-US" w:eastAsia="zh-CN" w:bidi="ar-SA"/>
        </w:rPr>
        <w:t>6 交货</w:t>
      </w:r>
      <w:bookmarkEnd w:id="92"/>
      <w:bookmarkEnd w:id="93"/>
      <w:bookmarkEnd w:id="94"/>
      <w:bookmarkEnd w:id="95"/>
      <w:bookmarkEnd w:id="96"/>
    </w:p>
    <w:p w14:paraId="24F173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E349E3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53496ED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823AAF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9C3C2A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AC161D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CA2428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352FEA4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3513CEF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1FCBFCF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4491AB7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6DA48A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7" w:name="_Toc16330024"/>
      <w:bookmarkStart w:id="98" w:name="_Toc8581"/>
      <w:bookmarkStart w:id="99" w:name="_Toc2984"/>
      <w:bookmarkStart w:id="100" w:name="_Toc8024"/>
      <w:bookmarkStart w:id="101" w:name="_Toc25510"/>
      <w:r>
        <w:rPr>
          <w:rFonts w:hint="eastAsia" w:ascii="黑体" w:hAnsi="黑体" w:eastAsia="黑体" w:cs="黑体"/>
          <w:b w:val="0"/>
          <w:iCs/>
          <w:kern w:val="2"/>
          <w:sz w:val="24"/>
          <w:szCs w:val="24"/>
          <w:lang w:val="en-US" w:eastAsia="zh-CN" w:bidi="ar-SA"/>
        </w:rPr>
        <w:t>7 安装、调试</w:t>
      </w:r>
      <w:bookmarkEnd w:id="97"/>
      <w:bookmarkEnd w:id="98"/>
      <w:bookmarkEnd w:id="99"/>
      <w:bookmarkEnd w:id="100"/>
      <w:bookmarkEnd w:id="101"/>
    </w:p>
    <w:p w14:paraId="607F3FE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FC4277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50CF805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4415048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2" w:name="_Toc14260"/>
      <w:bookmarkStart w:id="103" w:name="_Toc14098"/>
      <w:bookmarkStart w:id="104" w:name="_Toc24597"/>
      <w:bookmarkStart w:id="105" w:name="_Toc6350"/>
      <w:bookmarkStart w:id="106" w:name="_Toc16330025"/>
      <w:r>
        <w:rPr>
          <w:rFonts w:hint="eastAsia" w:ascii="黑体" w:hAnsi="黑体" w:eastAsia="黑体" w:cs="黑体"/>
          <w:b w:val="0"/>
          <w:iCs/>
          <w:kern w:val="2"/>
          <w:sz w:val="24"/>
          <w:szCs w:val="24"/>
          <w:lang w:val="en-US" w:eastAsia="zh-CN" w:bidi="ar-SA"/>
        </w:rPr>
        <w:t>8 价款与支付</w:t>
      </w:r>
      <w:bookmarkEnd w:id="102"/>
      <w:bookmarkEnd w:id="103"/>
      <w:bookmarkEnd w:id="104"/>
      <w:bookmarkEnd w:id="105"/>
      <w:bookmarkEnd w:id="106"/>
    </w:p>
    <w:p w14:paraId="7664B64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16B5C86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40179EE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295B7C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5EBC167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7" w:name="_Toc16330026"/>
      <w:bookmarkStart w:id="108" w:name="_Toc31899"/>
      <w:bookmarkStart w:id="109" w:name="_Toc6726"/>
      <w:bookmarkStart w:id="110" w:name="_Toc25708"/>
      <w:bookmarkStart w:id="111" w:name="_Toc24085"/>
      <w:r>
        <w:rPr>
          <w:rFonts w:hint="eastAsia" w:ascii="黑体" w:hAnsi="黑体" w:eastAsia="黑体" w:cs="黑体"/>
          <w:b w:val="0"/>
          <w:iCs/>
          <w:kern w:val="2"/>
          <w:sz w:val="24"/>
          <w:szCs w:val="24"/>
          <w:lang w:val="en-US" w:eastAsia="zh-CN" w:bidi="ar-SA"/>
        </w:rPr>
        <w:t>9 质量保证及售后服务</w:t>
      </w:r>
      <w:bookmarkEnd w:id="107"/>
      <w:bookmarkEnd w:id="108"/>
      <w:bookmarkEnd w:id="109"/>
      <w:bookmarkEnd w:id="110"/>
      <w:bookmarkEnd w:id="111"/>
    </w:p>
    <w:p w14:paraId="47C3ED6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998FB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AF301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6C9EDE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411535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773944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F77A40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281AD89F">
      <w:pPr>
        <w:widowControl w:val="0"/>
        <w:tabs>
          <w:tab w:val="right" w:leader="dot" w:pos="9061"/>
        </w:tabs>
        <w:spacing w:line="360" w:lineRule="auto"/>
        <w:ind w:left="0" w:firstLine="480" w:firstLineChars="200"/>
        <w:jc w:val="both"/>
        <w:outlineLvl w:val="0"/>
        <w:rPr>
          <w:rFonts w:hint="default" w:ascii="黑体" w:hAnsi="黑体" w:eastAsia="黑体" w:cs="黑体"/>
          <w:b w:val="0"/>
          <w:iCs/>
          <w:kern w:val="2"/>
          <w:sz w:val="24"/>
          <w:szCs w:val="24"/>
          <w:lang w:val="en-US" w:eastAsia="zh-CN" w:bidi="ar-SA"/>
        </w:rPr>
      </w:pPr>
      <w:bookmarkStart w:id="112" w:name="_Toc12927"/>
      <w:bookmarkStart w:id="113" w:name="_Toc16330027"/>
      <w:bookmarkStart w:id="114" w:name="_Toc10359"/>
      <w:bookmarkStart w:id="115" w:name="_Toc15570"/>
      <w:bookmarkStart w:id="116" w:name="_Toc22937"/>
      <w:r>
        <w:rPr>
          <w:rFonts w:hint="eastAsia" w:ascii="黑体" w:hAnsi="黑体" w:eastAsia="黑体" w:cs="黑体"/>
          <w:b w:val="0"/>
          <w:iCs/>
          <w:kern w:val="2"/>
          <w:sz w:val="24"/>
          <w:szCs w:val="24"/>
          <w:lang w:val="en-US" w:eastAsia="zh-CN" w:bidi="ar-SA"/>
        </w:rPr>
        <w:t>10法定责任</w:t>
      </w:r>
      <w:bookmarkEnd w:id="112"/>
      <w:bookmarkEnd w:id="113"/>
      <w:bookmarkEnd w:id="114"/>
      <w:bookmarkEnd w:id="115"/>
      <w:r>
        <w:rPr>
          <w:rFonts w:hint="eastAsia" w:ascii="黑体" w:hAnsi="黑体" w:eastAsia="黑体" w:cs="黑体"/>
          <w:b w:val="0"/>
          <w:iCs/>
          <w:kern w:val="2"/>
          <w:sz w:val="24"/>
          <w:szCs w:val="24"/>
          <w:lang w:val="en-US" w:eastAsia="zh-CN" w:bidi="ar-SA"/>
        </w:rPr>
        <w:t>及合规责任</w:t>
      </w:r>
      <w:bookmarkEnd w:id="116"/>
    </w:p>
    <w:p w14:paraId="152CCF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489D40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EA3096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FDDF9C8">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28E4A941">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5CE128B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033C273">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0D74628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0FBEBF90">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596C582B">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4F6DCBA8">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111BC57">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41A61733">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11574F14">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130B929F">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55CC988E">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3E7EDC30">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62D91E3">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0168F35">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60F3BE28">
      <w:pPr>
        <w:spacing w:after="0"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2E86E5E">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D17C76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7" w:name="_Toc14685"/>
      <w:bookmarkStart w:id="118" w:name="_Toc16330028"/>
      <w:bookmarkStart w:id="119" w:name="_Toc27314"/>
      <w:bookmarkStart w:id="120" w:name="_Toc30381"/>
      <w:bookmarkStart w:id="121" w:name="_Toc9708"/>
      <w:r>
        <w:rPr>
          <w:rFonts w:hint="eastAsia" w:ascii="黑体" w:hAnsi="黑体" w:eastAsia="黑体" w:cs="黑体"/>
          <w:b w:val="0"/>
          <w:iCs/>
          <w:kern w:val="2"/>
          <w:sz w:val="24"/>
          <w:szCs w:val="24"/>
          <w:lang w:val="en-US" w:eastAsia="zh-CN" w:bidi="ar-SA"/>
        </w:rPr>
        <w:t>11 违约责任</w:t>
      </w:r>
      <w:bookmarkEnd w:id="117"/>
      <w:bookmarkEnd w:id="118"/>
      <w:bookmarkEnd w:id="119"/>
      <w:bookmarkEnd w:id="120"/>
      <w:bookmarkEnd w:id="121"/>
    </w:p>
    <w:p w14:paraId="60826F6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464D3C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288780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16D4B78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87AAE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A33339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131A99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3D97CBC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73F3AB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0C233D9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上述约定或其他约定（包括本合同及所有附件）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除应按本合同约定赔偿损失及违约金外，还应赔偿包括但不限于</w:t>
      </w:r>
      <w:r>
        <w:rPr>
          <w:rFonts w:hint="eastAsia" w:ascii="仿宋_GB2312" w:hAnsi="仿宋_GB2312" w:eastAsia="仿宋_GB2312" w:cs="仿宋_GB2312"/>
          <w:sz w:val="24"/>
          <w:szCs w:val="24"/>
          <w:lang w:val="en-US" w:eastAsia="zh-CN"/>
        </w:rPr>
        <w:t>买</w:t>
      </w:r>
      <w:r>
        <w:rPr>
          <w:rFonts w:hint="eastAsia" w:ascii="仿宋_GB2312" w:hAnsi="仿宋_GB2312" w:eastAsia="仿宋_GB2312" w:cs="仿宋_GB2312"/>
          <w:sz w:val="24"/>
          <w:szCs w:val="24"/>
        </w:rPr>
        <w:t>方因此支出的或预计支付的诉讼费、保全申请费、保全保险费、鉴定费、评估费、司法审计费、拍卖费、律师费等一切费用。</w:t>
      </w:r>
    </w:p>
    <w:p w14:paraId="6723DDA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22" w:name="_Toc9172"/>
      <w:bookmarkStart w:id="123" w:name="_Toc1827"/>
      <w:bookmarkStart w:id="124" w:name="_Toc31554"/>
      <w:bookmarkStart w:id="125" w:name="_Toc16330029"/>
      <w:bookmarkStart w:id="126" w:name="_Toc19081"/>
      <w:r>
        <w:rPr>
          <w:rFonts w:hint="eastAsia" w:ascii="黑体" w:hAnsi="黑体" w:eastAsia="黑体" w:cs="黑体"/>
          <w:b w:val="0"/>
          <w:iCs/>
          <w:kern w:val="2"/>
          <w:sz w:val="24"/>
          <w:szCs w:val="24"/>
          <w:lang w:val="en-US" w:eastAsia="zh-CN" w:bidi="ar-SA"/>
        </w:rPr>
        <w:t>12 合同的终止与解除</w:t>
      </w:r>
      <w:bookmarkEnd w:id="122"/>
      <w:bookmarkEnd w:id="123"/>
      <w:bookmarkEnd w:id="124"/>
      <w:bookmarkEnd w:id="125"/>
      <w:bookmarkEnd w:id="126"/>
    </w:p>
    <w:p w14:paraId="768D967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6742EC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03E77E4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17BFC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14:paraId="529ED23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w:t>
      </w:r>
      <w:r>
        <w:rPr>
          <w:rFonts w:hint="eastAsia" w:ascii="仿宋_GB2312" w:hAnsi="仿宋_GB2312" w:eastAsia="仿宋_GB2312" w:cs="仿宋_GB2312"/>
          <w:sz w:val="24"/>
          <w:szCs w:val="24"/>
          <w:lang w:val="en-US" w:eastAsia="zh-CN"/>
        </w:rPr>
        <w:t>交付</w:t>
      </w:r>
      <w:r>
        <w:rPr>
          <w:rFonts w:hint="eastAsia" w:ascii="仿宋_GB2312" w:hAnsi="仿宋_GB2312" w:eastAsia="仿宋_GB2312" w:cs="仿宋_GB2312"/>
          <w:sz w:val="24"/>
          <w:szCs w:val="24"/>
        </w:rPr>
        <w:t>的设备不符合本合同约定的质量要求或屡次验收不合格或达不到验收标准的；</w:t>
      </w:r>
    </w:p>
    <w:p w14:paraId="0441152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543020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2269501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630B96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7E0170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704FD6E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7A595B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27" w:name="_Toc8620"/>
      <w:bookmarkStart w:id="128" w:name="_Toc13671"/>
      <w:bookmarkStart w:id="129" w:name="_Toc31945"/>
      <w:bookmarkStart w:id="130" w:name="_Toc16330030"/>
      <w:bookmarkStart w:id="131" w:name="_Toc1934"/>
      <w:r>
        <w:rPr>
          <w:rFonts w:hint="eastAsia" w:ascii="黑体" w:hAnsi="黑体" w:eastAsia="黑体" w:cs="黑体"/>
          <w:b w:val="0"/>
          <w:iCs/>
          <w:kern w:val="2"/>
          <w:sz w:val="24"/>
          <w:szCs w:val="24"/>
          <w:lang w:val="en-US" w:eastAsia="zh-CN" w:bidi="ar-SA"/>
        </w:rPr>
        <w:t>13 不可抗力</w:t>
      </w:r>
      <w:bookmarkEnd w:id="127"/>
      <w:bookmarkEnd w:id="128"/>
      <w:bookmarkEnd w:id="129"/>
      <w:bookmarkEnd w:id="130"/>
      <w:bookmarkEnd w:id="131"/>
    </w:p>
    <w:p w14:paraId="2D1A22E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63C553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685FB9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32" w:name="_Toc637"/>
      <w:bookmarkStart w:id="133" w:name="_Toc16330031"/>
      <w:bookmarkStart w:id="134" w:name="_Toc14613"/>
      <w:bookmarkStart w:id="135" w:name="_Toc30389"/>
      <w:bookmarkStart w:id="136" w:name="_Toc31243"/>
      <w:r>
        <w:rPr>
          <w:rFonts w:hint="eastAsia" w:ascii="黑体" w:hAnsi="黑体" w:eastAsia="黑体" w:cs="黑体"/>
          <w:b w:val="0"/>
          <w:iCs/>
          <w:kern w:val="2"/>
          <w:sz w:val="24"/>
          <w:szCs w:val="24"/>
          <w:lang w:val="en-US" w:eastAsia="zh-CN" w:bidi="ar-SA"/>
        </w:rPr>
        <w:t>14 通讯</w:t>
      </w:r>
      <w:bookmarkEnd w:id="132"/>
      <w:bookmarkEnd w:id="133"/>
      <w:bookmarkEnd w:id="134"/>
      <w:bookmarkEnd w:id="135"/>
      <w:bookmarkEnd w:id="136"/>
    </w:p>
    <w:p w14:paraId="1AD868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4BFA8C5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0659E87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CB9BD3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01420D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6773672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1E00B4A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81F8EC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4AB375CC">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37" w:name="_Toc31789"/>
      <w:bookmarkStart w:id="138" w:name="_Toc11290"/>
      <w:bookmarkStart w:id="139" w:name="_Toc9915"/>
      <w:bookmarkStart w:id="140" w:name="_Toc12984"/>
      <w:bookmarkStart w:id="141" w:name="_Toc16330032"/>
      <w:r>
        <w:rPr>
          <w:rFonts w:hint="eastAsia" w:ascii="黑体" w:hAnsi="黑体" w:eastAsia="黑体" w:cs="黑体"/>
          <w:b w:val="0"/>
          <w:iCs/>
          <w:kern w:val="2"/>
          <w:sz w:val="24"/>
          <w:szCs w:val="24"/>
          <w:lang w:val="en-US" w:eastAsia="zh-CN" w:bidi="ar-SA"/>
        </w:rPr>
        <w:t>15 适用法律及争议解决</w:t>
      </w:r>
      <w:bookmarkEnd w:id="137"/>
      <w:bookmarkEnd w:id="138"/>
      <w:bookmarkEnd w:id="139"/>
      <w:bookmarkEnd w:id="140"/>
      <w:bookmarkEnd w:id="141"/>
    </w:p>
    <w:p w14:paraId="052F979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30A5CC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26A704A">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42" w:name="_Toc23906"/>
      <w:bookmarkStart w:id="143" w:name="_Toc23765"/>
      <w:bookmarkStart w:id="144" w:name="_Toc14217"/>
      <w:bookmarkStart w:id="145" w:name="_Toc16330033"/>
      <w:bookmarkStart w:id="146" w:name="_Toc18207"/>
      <w:r>
        <w:rPr>
          <w:rFonts w:hint="eastAsia" w:ascii="黑体" w:hAnsi="黑体" w:eastAsia="黑体" w:cs="黑体"/>
          <w:b w:val="0"/>
          <w:iCs/>
          <w:kern w:val="2"/>
          <w:sz w:val="24"/>
          <w:szCs w:val="24"/>
          <w:lang w:val="en-US" w:eastAsia="zh-CN" w:bidi="ar-SA"/>
        </w:rPr>
        <w:t>16 附件</w:t>
      </w:r>
      <w:bookmarkEnd w:id="142"/>
      <w:bookmarkEnd w:id="143"/>
      <w:bookmarkEnd w:id="144"/>
      <w:bookmarkEnd w:id="145"/>
      <w:bookmarkEnd w:id="146"/>
    </w:p>
    <w:p w14:paraId="322599F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078CE65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676EC2C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3CC056D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1CF0580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2336F2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440F29E6">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47" w:name="_Toc5245"/>
      <w:bookmarkStart w:id="148" w:name="_Toc17656"/>
      <w:bookmarkStart w:id="149" w:name="_Toc31331"/>
      <w:bookmarkStart w:id="150" w:name="_Toc16330034"/>
      <w:bookmarkStart w:id="151" w:name="_Toc27202"/>
      <w:r>
        <w:rPr>
          <w:rFonts w:hint="eastAsia" w:ascii="黑体" w:hAnsi="黑体" w:eastAsia="黑体" w:cs="黑体"/>
          <w:b w:val="0"/>
          <w:iCs/>
          <w:kern w:val="2"/>
          <w:sz w:val="24"/>
          <w:szCs w:val="24"/>
          <w:lang w:val="en-US" w:eastAsia="zh-CN" w:bidi="ar-SA"/>
        </w:rPr>
        <w:t>17 其他规定</w:t>
      </w:r>
      <w:bookmarkEnd w:id="147"/>
      <w:bookmarkEnd w:id="148"/>
      <w:bookmarkEnd w:id="149"/>
      <w:bookmarkEnd w:id="150"/>
      <w:bookmarkEnd w:id="151"/>
    </w:p>
    <w:p w14:paraId="419082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1F8605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0DB7AA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58219D4">
      <w:pPr>
        <w:spacing w:after="0" w:line="360" w:lineRule="auto"/>
        <w:ind w:firstLine="480" w:firstLineChars="200"/>
        <w:rPr>
          <w:rFonts w:ascii="仿宋_GB2312" w:hAnsi="仿宋_GB2312" w:eastAsia="仿宋_GB2312" w:cs="仿宋_GB2312"/>
          <w:sz w:val="24"/>
          <w:szCs w:val="24"/>
        </w:rPr>
      </w:pPr>
      <w:bookmarkStart w:id="152" w:name="_Toc19077"/>
      <w:bookmarkStart w:id="153" w:name="_Toc16330035"/>
      <w:bookmarkStart w:id="154" w:name="_Toc17952"/>
      <w:bookmarkStart w:id="155"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4789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0F105A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56" w:name="_Toc14775"/>
      <w:r>
        <w:rPr>
          <w:rFonts w:hint="eastAsia" w:ascii="黑体" w:hAnsi="黑体" w:eastAsia="黑体" w:cs="黑体"/>
          <w:b w:val="0"/>
          <w:iCs/>
          <w:kern w:val="2"/>
          <w:sz w:val="24"/>
          <w:szCs w:val="24"/>
          <w:lang w:val="en-US" w:eastAsia="zh-CN" w:bidi="ar-SA"/>
        </w:rPr>
        <w:t>18 签署事项</w:t>
      </w:r>
      <w:bookmarkEnd w:id="152"/>
      <w:bookmarkEnd w:id="153"/>
      <w:bookmarkEnd w:id="154"/>
      <w:bookmarkEnd w:id="155"/>
      <w:bookmarkEnd w:id="156"/>
    </w:p>
    <w:p w14:paraId="74BF4ED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rPr>
        <w:t>本合同所有的手写涂改、一方擅自增加、删改、篡改部分无效（个人手写签名除外）</w:t>
      </w:r>
      <w:r>
        <w:rPr>
          <w:rFonts w:hint="eastAsia" w:ascii="仿宋_GB2312" w:hAnsi="仿宋_GB2312" w:eastAsia="仿宋_GB2312" w:cs="仿宋_GB2312"/>
          <w:sz w:val="24"/>
          <w:szCs w:val="24"/>
        </w:rPr>
        <w:t>。</w:t>
      </w:r>
    </w:p>
    <w:p w14:paraId="3009A56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1DE6FD41">
      <w:pPr>
        <w:widowControl/>
        <w:adjustRightInd w:val="0"/>
        <w:snapToGrid w:val="0"/>
        <w:spacing w:after="0" w:line="360" w:lineRule="auto"/>
        <w:jc w:val="left"/>
        <w:rPr>
          <w:rFonts w:hint="eastAsia" w:ascii="仿宋_GB2312" w:hAnsi="仿宋_GB2312" w:eastAsia="仿宋_GB2312" w:cs="仿宋_GB2312"/>
          <w:snapToGrid w:val="0"/>
          <w:kern w:val="0"/>
          <w:sz w:val="24"/>
          <w:szCs w:val="24"/>
          <w:lang w:eastAsia="zh-Hans"/>
        </w:rPr>
      </w:pPr>
    </w:p>
    <w:p w14:paraId="3D785BB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7"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7"/>
    </w:p>
    <w:p w14:paraId="4DA486E9">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6F97B9D8">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5D7DC7A9">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0E811AC">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8"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8"/>
    </w:p>
    <w:p w14:paraId="5BED1BEC">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1B221314">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53AB4F82">
      <w:pPr>
        <w:rPr>
          <w:rFonts w:hint="eastAsia" w:ascii="黑体" w:hAnsi="黑体" w:eastAsia="黑体" w:cs="宋体"/>
          <w:sz w:val="28"/>
          <w:szCs w:val="28"/>
        </w:rPr>
      </w:pPr>
      <w:r>
        <w:rPr>
          <w:rFonts w:hint="eastAsia" w:ascii="黑体" w:hAnsi="黑体" w:eastAsia="黑体" w:cs="宋体"/>
          <w:sz w:val="28"/>
          <w:szCs w:val="28"/>
        </w:rPr>
        <w:br w:type="page"/>
      </w:r>
    </w:p>
    <w:p w14:paraId="6CB7F347">
      <w:pPr>
        <w:spacing w:after="0" w:line="240" w:lineRule="auto"/>
        <w:rPr>
          <w:rFonts w:ascii="Calibri" w:hAnsi="Calibri" w:eastAsia="宋体" w:cs="Times New Roman"/>
          <w:highlight w:val="yellow"/>
        </w:rPr>
      </w:pPr>
      <w:r>
        <w:rPr>
          <w:rFonts w:hint="eastAsia" w:ascii="黑体" w:hAnsi="黑体" w:eastAsia="黑体" w:cs="宋体"/>
          <w:sz w:val="28"/>
          <w:szCs w:val="28"/>
        </w:rPr>
        <w:t>附件一：设备清单明细表【作为附件另附】</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5"/>
        <w:gridCol w:w="977"/>
        <w:gridCol w:w="880"/>
        <w:gridCol w:w="997"/>
        <w:gridCol w:w="676"/>
        <w:gridCol w:w="676"/>
      </w:tblGrid>
      <w:tr w14:paraId="6094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77BEF0B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序号</w:t>
            </w:r>
          </w:p>
        </w:tc>
        <w:tc>
          <w:tcPr>
            <w:tcW w:w="756" w:type="dxa"/>
            <w:vAlign w:val="center"/>
          </w:tcPr>
          <w:p w14:paraId="04CAAE4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产品及部件名称</w:t>
            </w:r>
          </w:p>
        </w:tc>
        <w:tc>
          <w:tcPr>
            <w:tcW w:w="790" w:type="dxa"/>
            <w:vAlign w:val="center"/>
          </w:tcPr>
          <w:p w14:paraId="1FDEAF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规格型号及技术参数</w:t>
            </w:r>
          </w:p>
        </w:tc>
        <w:tc>
          <w:tcPr>
            <w:tcW w:w="701" w:type="dxa"/>
            <w:vAlign w:val="center"/>
          </w:tcPr>
          <w:p w14:paraId="162D369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单位</w:t>
            </w:r>
          </w:p>
        </w:tc>
        <w:tc>
          <w:tcPr>
            <w:tcW w:w="1066" w:type="dxa"/>
            <w:vAlign w:val="center"/>
          </w:tcPr>
          <w:p w14:paraId="229427C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数量</w:t>
            </w:r>
          </w:p>
        </w:tc>
        <w:tc>
          <w:tcPr>
            <w:tcW w:w="1046" w:type="dxa"/>
            <w:vAlign w:val="center"/>
          </w:tcPr>
          <w:p w14:paraId="1C6566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不含税</w:t>
            </w:r>
          </w:p>
          <w:p w14:paraId="1358C9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977" w:type="dxa"/>
            <w:vAlign w:val="center"/>
          </w:tcPr>
          <w:p w14:paraId="276ED4B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税率</w:t>
            </w:r>
          </w:p>
        </w:tc>
        <w:tc>
          <w:tcPr>
            <w:tcW w:w="881" w:type="dxa"/>
            <w:vAlign w:val="center"/>
          </w:tcPr>
          <w:p w14:paraId="1E445D0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税额</w:t>
            </w:r>
          </w:p>
        </w:tc>
        <w:tc>
          <w:tcPr>
            <w:tcW w:w="997" w:type="dxa"/>
            <w:vAlign w:val="center"/>
          </w:tcPr>
          <w:p w14:paraId="74B9F0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含税</w:t>
            </w:r>
          </w:p>
          <w:p w14:paraId="51ED308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677" w:type="dxa"/>
            <w:vAlign w:val="center"/>
          </w:tcPr>
          <w:p w14:paraId="787020F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品牌</w:t>
            </w:r>
          </w:p>
        </w:tc>
        <w:tc>
          <w:tcPr>
            <w:tcW w:w="677" w:type="dxa"/>
            <w:vAlign w:val="center"/>
          </w:tcPr>
          <w:p w14:paraId="00C460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其他</w:t>
            </w:r>
          </w:p>
        </w:tc>
      </w:tr>
      <w:tr w14:paraId="62EE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9904AAA">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1</w:t>
            </w:r>
          </w:p>
        </w:tc>
        <w:tc>
          <w:tcPr>
            <w:tcW w:w="756" w:type="dxa"/>
            <w:vAlign w:val="center"/>
          </w:tcPr>
          <w:p w14:paraId="145F10F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58771A7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1FF731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5F8D307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64B8C5D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35EE30C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1AACC77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2D94EC6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3C33387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6855BBD8">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2767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31D3892">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2</w:t>
            </w:r>
          </w:p>
        </w:tc>
        <w:tc>
          <w:tcPr>
            <w:tcW w:w="756" w:type="dxa"/>
            <w:vAlign w:val="center"/>
          </w:tcPr>
          <w:p w14:paraId="509609A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719E967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40025EC7">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62B0AE2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489DAF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4677FDA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56F1A98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6FF11B6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725187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00CA8A7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30D7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706C067">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w:t>
            </w:r>
          </w:p>
        </w:tc>
        <w:tc>
          <w:tcPr>
            <w:tcW w:w="756" w:type="dxa"/>
            <w:vAlign w:val="center"/>
          </w:tcPr>
          <w:p w14:paraId="3438DAF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4477B9D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7397AE0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6E209FA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3101317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6583D0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7455194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68F86E4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280716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650A03E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6577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11CFEF">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合计</w:t>
            </w:r>
          </w:p>
        </w:tc>
        <w:tc>
          <w:tcPr>
            <w:tcW w:w="756" w:type="dxa"/>
            <w:vAlign w:val="center"/>
          </w:tcPr>
          <w:p w14:paraId="798510D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49D16A1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71FF67A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5B6E8FE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77792998">
            <w:pPr>
              <w:spacing w:after="0" w:line="360" w:lineRule="auto"/>
              <w:jc w:val="center"/>
              <w:rPr>
                <w:rFonts w:ascii="仿宋_GB2312" w:hAnsi="宋体" w:eastAsia="仿宋_GB2312" w:cs="宋体"/>
              </w:rPr>
            </w:pPr>
          </w:p>
        </w:tc>
        <w:tc>
          <w:tcPr>
            <w:tcW w:w="977" w:type="dxa"/>
            <w:vAlign w:val="center"/>
          </w:tcPr>
          <w:p w14:paraId="6E220184">
            <w:pPr>
              <w:spacing w:after="0" w:line="360" w:lineRule="auto"/>
              <w:jc w:val="center"/>
              <w:rPr>
                <w:rFonts w:ascii="仿宋_GB2312" w:hAnsi="宋体" w:eastAsia="仿宋_GB2312" w:cs="宋体"/>
              </w:rPr>
            </w:pPr>
          </w:p>
        </w:tc>
        <w:tc>
          <w:tcPr>
            <w:tcW w:w="881" w:type="dxa"/>
            <w:vAlign w:val="center"/>
          </w:tcPr>
          <w:p w14:paraId="4A5B8689">
            <w:pPr>
              <w:spacing w:after="0" w:line="360" w:lineRule="auto"/>
              <w:jc w:val="center"/>
              <w:rPr>
                <w:rFonts w:ascii="仿宋_GB2312" w:hAnsi="宋体" w:eastAsia="仿宋_GB2312" w:cs="宋体"/>
              </w:rPr>
            </w:pPr>
          </w:p>
        </w:tc>
        <w:tc>
          <w:tcPr>
            <w:tcW w:w="997" w:type="dxa"/>
            <w:vAlign w:val="center"/>
          </w:tcPr>
          <w:p w14:paraId="7E32BC93">
            <w:pPr>
              <w:spacing w:after="0" w:line="360" w:lineRule="auto"/>
              <w:jc w:val="center"/>
              <w:rPr>
                <w:rFonts w:ascii="仿宋_GB2312" w:hAnsi="宋体" w:eastAsia="仿宋_GB2312" w:cs="宋体"/>
              </w:rPr>
            </w:pPr>
          </w:p>
        </w:tc>
        <w:tc>
          <w:tcPr>
            <w:tcW w:w="677" w:type="dxa"/>
            <w:vAlign w:val="center"/>
          </w:tcPr>
          <w:p w14:paraId="5A8B913F">
            <w:pPr>
              <w:spacing w:after="0" w:line="360" w:lineRule="auto"/>
              <w:jc w:val="center"/>
              <w:rPr>
                <w:rFonts w:ascii="仿宋_GB2312" w:hAnsi="宋体" w:eastAsia="仿宋_GB2312" w:cs="宋体"/>
              </w:rPr>
            </w:pPr>
          </w:p>
        </w:tc>
        <w:tc>
          <w:tcPr>
            <w:tcW w:w="677" w:type="dxa"/>
            <w:vAlign w:val="center"/>
          </w:tcPr>
          <w:p w14:paraId="6FB02EC3">
            <w:pPr>
              <w:spacing w:after="0" w:line="360" w:lineRule="auto"/>
              <w:jc w:val="center"/>
              <w:rPr>
                <w:rFonts w:ascii="仿宋_GB2312" w:hAnsi="宋体" w:eastAsia="仿宋_GB2312" w:cs="宋体"/>
              </w:rPr>
            </w:pPr>
          </w:p>
        </w:tc>
      </w:tr>
    </w:tbl>
    <w:p w14:paraId="7693454E">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p>
    <w:p w14:paraId="485A778B">
      <w:pPr>
        <w:spacing w:after="0" w:line="240" w:lineRule="auto"/>
        <w:rPr>
          <w:rFonts w:ascii="宋体" w:hAnsi="宋体" w:eastAsia="宋体" w:cs="宋体"/>
          <w:sz w:val="20"/>
        </w:rPr>
      </w:pPr>
    </w:p>
    <w:p w14:paraId="49A0C834">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207BA57">
      <w:pPr>
        <w:widowControl/>
        <w:adjustRightInd w:val="0"/>
        <w:snapToGrid w:val="0"/>
        <w:spacing w:after="0"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2316B5BB">
      <w:pPr>
        <w:widowControl/>
        <w:adjustRightInd w:val="0"/>
        <w:snapToGrid w:val="0"/>
        <w:spacing w:after="0"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1ED7970A">
      <w:pPr>
        <w:widowControl/>
        <w:adjustRightInd w:val="0"/>
        <w:snapToGrid w:val="0"/>
        <w:spacing w:after="0"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9F7E6D0">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7D1A8A26">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01774755">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56F1D9C0">
      <w:pPr>
        <w:widowControl/>
        <w:adjustRightInd w:val="0"/>
        <w:snapToGrid w:val="0"/>
        <w:spacing w:after="0"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7AFA55D">
      <w:pPr>
        <w:widowControl/>
        <w:adjustRightInd w:val="0"/>
        <w:snapToGrid w:val="0"/>
        <w:spacing w:after="0" w:line="360" w:lineRule="auto"/>
        <w:ind w:firstLine="482" w:firstLineChars="200"/>
        <w:jc w:val="left"/>
        <w:rPr>
          <w:rFonts w:hint="eastAsia" w:ascii="仿宋_GB2312" w:hAnsi="仿宋_GB2312" w:eastAsia="仿宋_GB2312" w:cs="仿宋_GB2312"/>
          <w:b/>
          <w:sz w:val="24"/>
          <w:szCs w:val="24"/>
          <w:u w:val="single"/>
        </w:rPr>
      </w:pPr>
    </w:p>
    <w:p w14:paraId="12C57460">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6F77CD5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B50E1F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C1947DD">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6A0A90B0">
      <w:pPr>
        <w:widowControl/>
        <w:adjustRightInd/>
        <w:snapToGrid/>
        <w:spacing w:after="0" w:line="240" w:lineRule="auto"/>
        <w:jc w:val="left"/>
        <w:rPr>
          <w:rFonts w:hint="eastAsia" w:ascii="黑体" w:hAnsi="黑体" w:eastAsia="黑体" w:cs="宋体"/>
          <w:sz w:val="28"/>
          <w:szCs w:val="28"/>
          <w:lang w:eastAsia="zh-CN"/>
        </w:rPr>
      </w:pPr>
      <w:r>
        <w:rPr>
          <w:rFonts w:hint="eastAsia" w:ascii="黑体" w:hAnsi="黑体" w:eastAsia="黑体" w:cs="宋体"/>
          <w:sz w:val="28"/>
          <w:szCs w:val="28"/>
        </w:rPr>
        <w:t>附件二 技术协议书</w:t>
      </w:r>
      <w:r>
        <w:rPr>
          <w:rFonts w:hint="eastAsia" w:ascii="黑体" w:hAnsi="黑体" w:eastAsia="黑体" w:cs="宋体"/>
          <w:sz w:val="28"/>
          <w:szCs w:val="28"/>
          <w:lang w:eastAsia="zh-CN"/>
        </w:rPr>
        <w:t>【</w:t>
      </w:r>
      <w:r>
        <w:rPr>
          <w:rFonts w:hint="eastAsia" w:ascii="黑体" w:hAnsi="黑体" w:eastAsia="黑体" w:cs="宋体"/>
          <w:sz w:val="28"/>
          <w:szCs w:val="28"/>
        </w:rPr>
        <w:t>作为附件另附</w:t>
      </w:r>
      <w:r>
        <w:rPr>
          <w:rFonts w:hint="eastAsia" w:ascii="黑体" w:hAnsi="黑体" w:eastAsia="黑体" w:cs="宋体"/>
          <w:sz w:val="28"/>
          <w:szCs w:val="28"/>
          <w:lang w:eastAsia="zh-CN"/>
        </w:rPr>
        <w:t>】</w:t>
      </w:r>
    </w:p>
    <w:p w14:paraId="66358E74">
      <w:pPr>
        <w:rPr>
          <w:rFonts w:hint="eastAsia" w:ascii="黑体" w:hAnsi="黑体" w:eastAsia="黑体" w:cs="宋体"/>
          <w:sz w:val="28"/>
          <w:szCs w:val="28"/>
          <w:lang w:eastAsia="zh-CN"/>
        </w:rPr>
      </w:pPr>
      <w:r>
        <w:rPr>
          <w:rFonts w:hint="eastAsia" w:ascii="黑体" w:hAnsi="黑体" w:eastAsia="黑体" w:cs="宋体"/>
          <w:sz w:val="28"/>
          <w:szCs w:val="28"/>
          <w:lang w:eastAsia="zh-CN"/>
        </w:rPr>
        <w:br w:type="page"/>
      </w:r>
    </w:p>
    <w:p w14:paraId="0EB8BBEB">
      <w:pPr>
        <w:pStyle w:val="71"/>
        <w:rPr>
          <w:rFonts w:hint="default" w:eastAsia="黑体"/>
          <w:lang w:val="en-US" w:eastAsia="zh-CN"/>
        </w:rPr>
      </w:pPr>
      <w:bookmarkStart w:id="157" w:name="_Toc47976615"/>
      <w:bookmarkStart w:id="158" w:name="_Toc6709"/>
      <w:r>
        <w:rPr>
          <w:rFonts w:hint="eastAsia"/>
        </w:rPr>
        <w:t>第四部分　</w:t>
      </w:r>
      <w:bookmarkEnd w:id="157"/>
      <w:r>
        <w:rPr>
          <w:rFonts w:hint="eastAsia"/>
          <w:lang w:val="en-US" w:eastAsia="zh-CN"/>
        </w:rPr>
        <w:t>投标文件附件</w:t>
      </w:r>
      <w:bookmarkEnd w:id="158"/>
    </w:p>
    <w:p w14:paraId="600DE1DD">
      <w:pPr>
        <w:pStyle w:val="71"/>
        <w:jc w:val="left"/>
        <w:rPr>
          <w:rFonts w:hint="eastAsia" w:ascii="宋体" w:hAnsi="宋体" w:eastAsia="宋体" w:cs="宋体"/>
          <w:sz w:val="32"/>
          <w:szCs w:val="32"/>
          <w:highlight w:val="none"/>
          <w:lang w:eastAsia="zh-CN"/>
        </w:rPr>
      </w:pPr>
      <w:bookmarkStart w:id="159" w:name="_Toc4225"/>
      <w:bookmarkStart w:id="160" w:name="_Toc47976616"/>
      <w:bookmarkStart w:id="161" w:name="_Toc15077"/>
      <w:r>
        <w:rPr>
          <w:rFonts w:hint="eastAsia" w:ascii="宋体" w:hAnsi="宋体" w:eastAsia="宋体" w:cs="宋体"/>
          <w:sz w:val="32"/>
          <w:szCs w:val="32"/>
          <w:highlight w:val="none"/>
        </w:rPr>
        <w:t>附件</w:t>
      </w:r>
      <w:bookmarkEnd w:id="159"/>
      <w:bookmarkEnd w:id="160"/>
      <w:r>
        <w:rPr>
          <w:rFonts w:hint="eastAsia" w:ascii="宋体" w:hAnsi="宋体" w:eastAsia="宋体" w:cs="宋体"/>
          <w:sz w:val="32"/>
          <w:szCs w:val="32"/>
          <w:highlight w:val="none"/>
          <w:lang w:val="en-US" w:eastAsia="zh-CN"/>
        </w:rPr>
        <w:t>1</w:t>
      </w:r>
      <w:bookmarkEnd w:id="161"/>
    </w:p>
    <w:p w14:paraId="3D26BC99">
      <w:pPr>
        <w:keepNext/>
        <w:keepLines/>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14:paraId="0B39DB8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有限公司：</w:t>
      </w:r>
    </w:p>
    <w:p w14:paraId="7F916B1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份、副本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份；电子版投标文件一份。</w:t>
      </w:r>
    </w:p>
    <w:p w14:paraId="26D6294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1FBB53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w:t>
      </w:r>
      <w:r>
        <w:rPr>
          <w:rFonts w:hint="eastAsia" w:ascii="宋体" w:hAnsi="宋体" w:cs="Times New Roman"/>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个日历日。</w:t>
      </w:r>
    </w:p>
    <w:p w14:paraId="459E3F15">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24E63A1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40F28EC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1D482AF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43152E4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F8C4A4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446231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704567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284F62A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50D9D845">
      <w:pPr>
        <w:rPr>
          <w:rFonts w:ascii="黑体" w:hAnsi="Calibri" w:eastAsia="黑体" w:cs="Times New Roman"/>
          <w:color w:val="000000"/>
          <w:sz w:val="24"/>
          <w:szCs w:val="24"/>
          <w:highlight w:val="none"/>
        </w:rPr>
      </w:pPr>
    </w:p>
    <w:p w14:paraId="32681108">
      <w:pPr>
        <w:jc w:val="both"/>
        <w:rPr>
          <w:rFonts w:ascii="宋体"/>
          <w:b/>
          <w:color w:val="000000"/>
          <w:szCs w:val="24"/>
          <w:highlight w:val="none"/>
        </w:rPr>
      </w:pPr>
    </w:p>
    <w:p w14:paraId="57006D89">
      <w:pPr>
        <w:pStyle w:val="72"/>
        <w:numPr>
          <w:ilvl w:val="0"/>
          <w:numId w:val="0"/>
        </w:numPr>
        <w:ind w:leftChars="0"/>
        <w:rPr>
          <w:rFonts w:hint="eastAsia" w:ascii="宋体" w:hAnsi="宋体" w:eastAsia="宋体" w:cs="宋体"/>
          <w:sz w:val="32"/>
          <w:szCs w:val="32"/>
          <w:highlight w:val="none"/>
          <w:lang w:val="en-US" w:eastAsia="zh-CN"/>
        </w:rPr>
      </w:pPr>
      <w:bookmarkStart w:id="162" w:name="_Toc47976618"/>
      <w:bookmarkStart w:id="163" w:name="_Toc29366869"/>
      <w:bookmarkStart w:id="164" w:name="_Toc29366865"/>
      <w:r>
        <w:rPr>
          <w:rFonts w:hint="eastAsia" w:ascii="宋体" w:hAnsi="宋体" w:eastAsia="宋体" w:cs="宋体"/>
          <w:sz w:val="32"/>
          <w:szCs w:val="32"/>
          <w:highlight w:val="none"/>
          <w:lang w:val="en-US" w:eastAsia="zh-CN"/>
        </w:rPr>
        <w:t>附件2</w:t>
      </w:r>
      <w:bookmarkEnd w:id="162"/>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Times New Roman"/>
          <w:color w:val="000000"/>
          <w:sz w:val="24"/>
          <w:szCs w:val="24"/>
          <w:lang w:val="en-US" w:eastAsia="zh-CN"/>
        </w:rPr>
        <w:t>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163"/>
    <w:bookmarkEnd w:id="164"/>
    <w:p w14:paraId="33174FF7">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12"/>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1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12"/>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1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12"/>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12"/>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12"/>
              <w:spacing w:before="111"/>
              <w:ind w:left="509"/>
            </w:pPr>
            <w:r>
              <w:t xml:space="preserve">企业法人代表  </w:t>
            </w:r>
          </w:p>
        </w:tc>
        <w:tc>
          <w:tcPr>
            <w:tcW w:w="4680" w:type="dxa"/>
            <w:gridSpan w:val="4"/>
          </w:tcPr>
          <w:p w14:paraId="19E9CD95">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12"/>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12"/>
              <w:spacing w:before="114"/>
              <w:ind w:left="720"/>
            </w:pPr>
            <w:r>
              <w:t xml:space="preserve">品牌区分 </w:t>
            </w:r>
          </w:p>
        </w:tc>
        <w:tc>
          <w:tcPr>
            <w:tcW w:w="7500" w:type="dxa"/>
            <w:gridSpan w:val="6"/>
          </w:tcPr>
          <w:p w14:paraId="6CB73591">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12"/>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12"/>
              <w:spacing w:before="15"/>
              <w:ind w:left="279"/>
            </w:pPr>
            <w:r>
              <w:rPr>
                <w:spacing w:val="-2"/>
              </w:rPr>
              <w:t>质量</w:t>
            </w:r>
            <w:r>
              <w:t xml:space="preserve"> </w:t>
            </w:r>
          </w:p>
          <w:p w14:paraId="7E67F972">
            <w:pPr>
              <w:pStyle w:val="112"/>
              <w:spacing w:before="30" w:line="277" w:lineRule="exact"/>
              <w:ind w:left="279"/>
            </w:pPr>
            <w:r>
              <w:rPr>
                <w:rFonts w:hint="eastAsia"/>
              </w:rPr>
              <w:t>体系</w:t>
            </w:r>
          </w:p>
        </w:tc>
        <w:tc>
          <w:tcPr>
            <w:tcW w:w="2820" w:type="dxa"/>
            <w:gridSpan w:val="2"/>
          </w:tcPr>
          <w:p w14:paraId="75D97D6D">
            <w:pPr>
              <w:pStyle w:val="112"/>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12"/>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6D8FE5C8">
      <w:pPr>
        <w:rPr>
          <w:rFonts w:hAnsi="宋体" w:eastAsia="宋体" w:cs="宋体"/>
          <w:spacing w:val="-9"/>
          <w:sz w:val="24"/>
          <w:szCs w:val="24"/>
          <w14:textOutline w14:w="4356" w14:cap="flat" w14:cmpd="sng" w14:algn="ctr">
            <w14:solidFill>
              <w14:srgbClr w14:val="000000"/>
            </w14:solidFill>
            <w14:prstDash w14:val="solid"/>
            <w14:miter w14:val="0"/>
          </w14:textOutline>
        </w:rPr>
      </w:pPr>
      <w:r>
        <w:rPr>
          <w:rFonts w:hAnsi="宋体" w:eastAsia="宋体" w:cs="宋体"/>
          <w:spacing w:val="-9"/>
          <w:sz w:val="24"/>
          <w:szCs w:val="24"/>
          <w14:textOutline w14:w="4356" w14:cap="flat" w14:cmpd="sng" w14:algn="ctr">
            <w14:solidFill>
              <w14:srgbClr w14:val="000000"/>
            </w14:solidFill>
            <w14:prstDash w14:val="solid"/>
            <w14:miter w14:val="0"/>
          </w14:textOutline>
        </w:rPr>
        <w:br w:type="page"/>
      </w:r>
    </w:p>
    <w:p w14:paraId="3AF3DD77">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14"/>
        <w:rPr>
          <w:rFonts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48B63AC">
            <w:pPr>
              <w:spacing w:line="440" w:lineRule="exact"/>
              <w:jc w:val="center"/>
              <w:rPr>
                <w:rFonts w:ascii="宋体" w:hAnsi="宋体"/>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7C3827E">
            <w:pPr>
              <w:spacing w:line="440" w:lineRule="exact"/>
              <w:jc w:val="center"/>
              <w:rPr>
                <w:rFonts w:ascii="宋体" w:hAnsi="宋体"/>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64720DD">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41C48CBC">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C57E8F5">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F8980BD">
            <w:pPr>
              <w:spacing w:line="440" w:lineRule="exact"/>
              <w:jc w:val="center"/>
              <w:rPr>
                <w:rFonts w:ascii="宋体" w:hAnsi="宋体"/>
                <w:color w:val="000000"/>
                <w:sz w:val="24"/>
                <w:szCs w:val="24"/>
              </w:rPr>
            </w:pPr>
          </w:p>
        </w:tc>
        <w:tc>
          <w:tcPr>
            <w:tcW w:w="1288" w:type="dxa"/>
          </w:tcPr>
          <w:p w14:paraId="291C90DA">
            <w:pPr>
              <w:spacing w:line="440" w:lineRule="exact"/>
              <w:jc w:val="center"/>
              <w:rPr>
                <w:rFonts w:ascii="宋体" w:hAnsi="宋体"/>
                <w:color w:val="000000"/>
                <w:sz w:val="24"/>
                <w:szCs w:val="24"/>
              </w:rPr>
            </w:pPr>
          </w:p>
        </w:tc>
        <w:tc>
          <w:tcPr>
            <w:tcW w:w="1288" w:type="dxa"/>
          </w:tcPr>
          <w:p w14:paraId="47EDCBE5">
            <w:pPr>
              <w:spacing w:line="440" w:lineRule="exact"/>
              <w:jc w:val="center"/>
              <w:rPr>
                <w:rFonts w:ascii="宋体" w:hAnsi="宋体"/>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C4E3409">
            <w:pPr>
              <w:spacing w:line="440" w:lineRule="exact"/>
              <w:jc w:val="center"/>
              <w:rPr>
                <w:rFonts w:ascii="宋体" w:hAnsi="宋体"/>
                <w:color w:val="000000"/>
                <w:sz w:val="24"/>
                <w:szCs w:val="24"/>
              </w:rPr>
            </w:pPr>
          </w:p>
        </w:tc>
        <w:tc>
          <w:tcPr>
            <w:tcW w:w="1288" w:type="dxa"/>
          </w:tcPr>
          <w:p w14:paraId="5F2F372D">
            <w:pPr>
              <w:spacing w:line="440" w:lineRule="exact"/>
              <w:jc w:val="center"/>
              <w:rPr>
                <w:rFonts w:ascii="宋体" w:hAnsi="宋体"/>
                <w:color w:val="000000"/>
                <w:sz w:val="24"/>
                <w:szCs w:val="24"/>
              </w:rPr>
            </w:pPr>
          </w:p>
        </w:tc>
        <w:tc>
          <w:tcPr>
            <w:tcW w:w="1288" w:type="dxa"/>
          </w:tcPr>
          <w:p w14:paraId="3164A792">
            <w:pPr>
              <w:spacing w:line="440" w:lineRule="exact"/>
              <w:jc w:val="center"/>
              <w:rPr>
                <w:rFonts w:ascii="宋体" w:hAnsi="宋体"/>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C6D2C3">
            <w:pPr>
              <w:spacing w:line="440" w:lineRule="exact"/>
              <w:jc w:val="center"/>
              <w:rPr>
                <w:rFonts w:ascii="宋体" w:hAnsi="宋体"/>
                <w:color w:val="000000"/>
                <w:sz w:val="24"/>
                <w:szCs w:val="24"/>
              </w:rPr>
            </w:pPr>
          </w:p>
        </w:tc>
        <w:tc>
          <w:tcPr>
            <w:tcW w:w="1288" w:type="dxa"/>
          </w:tcPr>
          <w:p w14:paraId="73907D1F">
            <w:pPr>
              <w:spacing w:line="440" w:lineRule="exact"/>
              <w:jc w:val="center"/>
              <w:rPr>
                <w:rFonts w:ascii="宋体" w:hAnsi="宋体"/>
                <w:color w:val="000000"/>
                <w:sz w:val="24"/>
                <w:szCs w:val="24"/>
              </w:rPr>
            </w:pPr>
          </w:p>
        </w:tc>
        <w:tc>
          <w:tcPr>
            <w:tcW w:w="1288" w:type="dxa"/>
          </w:tcPr>
          <w:p w14:paraId="091CF8E3">
            <w:pPr>
              <w:spacing w:line="440" w:lineRule="exact"/>
              <w:jc w:val="center"/>
              <w:rPr>
                <w:rFonts w:ascii="宋体" w:hAnsi="宋体"/>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8CAB6A">
            <w:pPr>
              <w:spacing w:line="440" w:lineRule="exact"/>
              <w:jc w:val="center"/>
              <w:rPr>
                <w:rFonts w:ascii="宋体" w:hAnsi="宋体"/>
                <w:color w:val="000000"/>
                <w:sz w:val="24"/>
                <w:szCs w:val="24"/>
              </w:rPr>
            </w:pPr>
          </w:p>
        </w:tc>
        <w:tc>
          <w:tcPr>
            <w:tcW w:w="1288" w:type="dxa"/>
          </w:tcPr>
          <w:p w14:paraId="029904DC">
            <w:pPr>
              <w:spacing w:line="440" w:lineRule="exact"/>
              <w:jc w:val="center"/>
              <w:rPr>
                <w:rFonts w:ascii="宋体" w:hAnsi="宋体"/>
                <w:color w:val="000000"/>
                <w:sz w:val="24"/>
                <w:szCs w:val="24"/>
              </w:rPr>
            </w:pPr>
          </w:p>
        </w:tc>
        <w:tc>
          <w:tcPr>
            <w:tcW w:w="1288" w:type="dxa"/>
          </w:tcPr>
          <w:p w14:paraId="435C2F6F">
            <w:pPr>
              <w:spacing w:line="440" w:lineRule="exact"/>
              <w:jc w:val="center"/>
              <w:rPr>
                <w:rFonts w:ascii="宋体" w:hAnsi="宋体"/>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DD10C49">
            <w:pPr>
              <w:spacing w:line="440" w:lineRule="exact"/>
              <w:jc w:val="center"/>
              <w:rPr>
                <w:rFonts w:ascii="宋体" w:hAnsi="宋体"/>
                <w:color w:val="000000"/>
                <w:sz w:val="24"/>
                <w:szCs w:val="24"/>
              </w:rPr>
            </w:pPr>
          </w:p>
        </w:tc>
        <w:tc>
          <w:tcPr>
            <w:tcW w:w="1288" w:type="dxa"/>
          </w:tcPr>
          <w:p w14:paraId="27D1005F">
            <w:pPr>
              <w:spacing w:line="440" w:lineRule="exact"/>
              <w:jc w:val="center"/>
              <w:rPr>
                <w:rFonts w:ascii="宋体" w:hAnsi="宋体"/>
                <w:color w:val="000000"/>
                <w:sz w:val="24"/>
                <w:szCs w:val="24"/>
              </w:rPr>
            </w:pPr>
          </w:p>
        </w:tc>
        <w:tc>
          <w:tcPr>
            <w:tcW w:w="1288" w:type="dxa"/>
          </w:tcPr>
          <w:p w14:paraId="18080AAA">
            <w:pPr>
              <w:spacing w:line="440" w:lineRule="exact"/>
              <w:jc w:val="center"/>
              <w:rPr>
                <w:rFonts w:ascii="宋体" w:hAnsi="宋体"/>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84" w:type="dxa"/>
            <w:vAlign w:val="center"/>
          </w:tcPr>
          <w:p w14:paraId="68EC049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1791BBA">
            <w:pPr>
              <w:spacing w:line="440" w:lineRule="exact"/>
              <w:jc w:val="center"/>
              <w:rPr>
                <w:rFonts w:ascii="宋体" w:hAnsi="宋体"/>
                <w:color w:val="000000"/>
                <w:sz w:val="24"/>
                <w:szCs w:val="24"/>
              </w:rPr>
            </w:pPr>
          </w:p>
        </w:tc>
        <w:tc>
          <w:tcPr>
            <w:tcW w:w="1288" w:type="dxa"/>
          </w:tcPr>
          <w:p w14:paraId="5E29869C">
            <w:pPr>
              <w:spacing w:line="440" w:lineRule="exact"/>
              <w:jc w:val="center"/>
              <w:rPr>
                <w:rFonts w:ascii="宋体" w:hAnsi="宋体"/>
                <w:color w:val="000000"/>
                <w:sz w:val="24"/>
                <w:szCs w:val="24"/>
              </w:rPr>
            </w:pPr>
          </w:p>
        </w:tc>
        <w:tc>
          <w:tcPr>
            <w:tcW w:w="1288" w:type="dxa"/>
          </w:tcPr>
          <w:p w14:paraId="7A1DF8EB">
            <w:pPr>
              <w:spacing w:line="440" w:lineRule="exact"/>
              <w:jc w:val="center"/>
              <w:rPr>
                <w:rFonts w:ascii="宋体" w:hAnsi="宋体"/>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584" w:type="dxa"/>
            <w:vAlign w:val="center"/>
          </w:tcPr>
          <w:p w14:paraId="2AF268D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0AD9A83">
            <w:pPr>
              <w:spacing w:line="440" w:lineRule="exact"/>
              <w:jc w:val="center"/>
              <w:rPr>
                <w:rFonts w:ascii="宋体" w:hAnsi="宋体"/>
                <w:color w:val="000000"/>
                <w:sz w:val="24"/>
                <w:szCs w:val="24"/>
              </w:rPr>
            </w:pPr>
          </w:p>
        </w:tc>
        <w:tc>
          <w:tcPr>
            <w:tcW w:w="1288" w:type="dxa"/>
          </w:tcPr>
          <w:p w14:paraId="0F0D5E39">
            <w:pPr>
              <w:spacing w:line="440" w:lineRule="exact"/>
              <w:jc w:val="center"/>
              <w:rPr>
                <w:rFonts w:ascii="宋体" w:hAnsi="宋体"/>
                <w:color w:val="000000"/>
                <w:sz w:val="24"/>
                <w:szCs w:val="24"/>
              </w:rPr>
            </w:pPr>
          </w:p>
        </w:tc>
        <w:tc>
          <w:tcPr>
            <w:tcW w:w="1288" w:type="dxa"/>
          </w:tcPr>
          <w:p w14:paraId="0EE460E4">
            <w:pPr>
              <w:spacing w:line="440" w:lineRule="exact"/>
              <w:jc w:val="center"/>
              <w:rPr>
                <w:rFonts w:ascii="宋体" w:hAnsi="宋体"/>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4871F99">
            <w:pPr>
              <w:spacing w:line="440" w:lineRule="exact"/>
              <w:jc w:val="center"/>
              <w:rPr>
                <w:rFonts w:ascii="宋体" w:hAnsi="宋体"/>
                <w:color w:val="000000"/>
                <w:sz w:val="24"/>
                <w:szCs w:val="24"/>
              </w:rPr>
            </w:pPr>
          </w:p>
        </w:tc>
        <w:tc>
          <w:tcPr>
            <w:tcW w:w="1288" w:type="dxa"/>
          </w:tcPr>
          <w:p w14:paraId="0ED3FDD6">
            <w:pPr>
              <w:spacing w:line="440" w:lineRule="exact"/>
              <w:jc w:val="center"/>
              <w:rPr>
                <w:rFonts w:ascii="宋体" w:hAnsi="宋体"/>
                <w:color w:val="000000"/>
                <w:sz w:val="24"/>
                <w:szCs w:val="24"/>
              </w:rPr>
            </w:pPr>
          </w:p>
        </w:tc>
        <w:tc>
          <w:tcPr>
            <w:tcW w:w="1288" w:type="dxa"/>
          </w:tcPr>
          <w:p w14:paraId="75BDB8A1">
            <w:pPr>
              <w:spacing w:line="440" w:lineRule="exact"/>
              <w:jc w:val="center"/>
              <w:rPr>
                <w:rFonts w:ascii="宋体" w:hAnsi="宋体"/>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584" w:type="dxa"/>
            <w:vAlign w:val="center"/>
          </w:tcPr>
          <w:p w14:paraId="45652DB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97CEC0">
            <w:pPr>
              <w:spacing w:line="440" w:lineRule="exact"/>
              <w:jc w:val="center"/>
              <w:rPr>
                <w:rFonts w:ascii="宋体" w:hAnsi="宋体"/>
                <w:color w:val="000000"/>
                <w:sz w:val="24"/>
                <w:szCs w:val="24"/>
              </w:rPr>
            </w:pPr>
          </w:p>
        </w:tc>
        <w:tc>
          <w:tcPr>
            <w:tcW w:w="1288" w:type="dxa"/>
          </w:tcPr>
          <w:p w14:paraId="3BE36C99">
            <w:pPr>
              <w:spacing w:line="440" w:lineRule="exact"/>
              <w:jc w:val="center"/>
              <w:rPr>
                <w:rFonts w:ascii="宋体" w:hAnsi="宋体"/>
                <w:color w:val="000000"/>
                <w:sz w:val="24"/>
                <w:szCs w:val="24"/>
              </w:rPr>
            </w:pPr>
          </w:p>
        </w:tc>
        <w:tc>
          <w:tcPr>
            <w:tcW w:w="1288" w:type="dxa"/>
          </w:tcPr>
          <w:p w14:paraId="1ECA030C">
            <w:pPr>
              <w:spacing w:line="440" w:lineRule="exact"/>
              <w:jc w:val="center"/>
              <w:rPr>
                <w:rFonts w:ascii="宋体" w:hAnsi="宋体"/>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4521BB3">
            <w:pPr>
              <w:spacing w:line="440" w:lineRule="exact"/>
              <w:jc w:val="center"/>
              <w:rPr>
                <w:rFonts w:ascii="宋体" w:hAnsi="宋体"/>
                <w:color w:val="000000"/>
                <w:sz w:val="24"/>
                <w:szCs w:val="24"/>
              </w:rPr>
            </w:pPr>
          </w:p>
        </w:tc>
        <w:tc>
          <w:tcPr>
            <w:tcW w:w="1288" w:type="dxa"/>
          </w:tcPr>
          <w:p w14:paraId="2CFD5907">
            <w:pPr>
              <w:spacing w:line="440" w:lineRule="exact"/>
              <w:jc w:val="center"/>
              <w:rPr>
                <w:rFonts w:ascii="宋体" w:hAnsi="宋体"/>
                <w:color w:val="000000"/>
                <w:sz w:val="24"/>
                <w:szCs w:val="24"/>
              </w:rPr>
            </w:pPr>
          </w:p>
        </w:tc>
        <w:tc>
          <w:tcPr>
            <w:tcW w:w="1288" w:type="dxa"/>
          </w:tcPr>
          <w:p w14:paraId="0E4D2176">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A04B7FF">
      <w:pPr>
        <w:spacing w:line="660" w:lineRule="exact"/>
        <w:ind w:firstLine="240" w:firstLineChars="100"/>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8232209">
      <w:pPr>
        <w:rPr>
          <w:rFonts w:hint="eastAsia" w:ascii="宋体" w:hAnsi="宋体" w:eastAsia="宋体" w:cs="Times New Roman"/>
          <w:sz w:val="24"/>
          <w:szCs w:val="20"/>
        </w:rPr>
      </w:pPr>
      <w:r>
        <w:rPr>
          <w:rFonts w:hint="eastAsia" w:ascii="宋体" w:hAnsi="宋体" w:eastAsia="宋体" w:cs="Times New Roman"/>
          <w:sz w:val="24"/>
          <w:szCs w:val="20"/>
        </w:rPr>
        <w:br w:type="page"/>
      </w: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76BA2708">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2000F02">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572BC8C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5C1C4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7F649D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E7AFA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EE2E1E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w:t>
            </w:r>
          </w:p>
        </w:tc>
        <w:tc>
          <w:tcPr>
            <w:tcW w:w="3449" w:type="dxa"/>
          </w:tcPr>
          <w:p w14:paraId="37179F11">
            <w:pPr>
              <w:jc w:val="center"/>
              <w:rPr>
                <w:rFonts w:ascii="Times New Roman" w:hAnsi="Times New Roman" w:eastAsia="宋体" w:cs="Times New Roman"/>
                <w:b/>
                <w:sz w:val="24"/>
                <w:szCs w:val="20"/>
              </w:rPr>
            </w:pPr>
          </w:p>
        </w:tc>
        <w:tc>
          <w:tcPr>
            <w:tcW w:w="2414" w:type="dxa"/>
          </w:tcPr>
          <w:p w14:paraId="203E3096">
            <w:pPr>
              <w:jc w:val="center"/>
              <w:rPr>
                <w:rFonts w:ascii="Times New Roman" w:hAnsi="Times New Roman" w:eastAsia="宋体" w:cs="Times New Roman"/>
                <w:b/>
                <w:sz w:val="24"/>
                <w:szCs w:val="20"/>
              </w:rPr>
            </w:pPr>
          </w:p>
        </w:tc>
        <w:tc>
          <w:tcPr>
            <w:tcW w:w="1608" w:type="dxa"/>
          </w:tcPr>
          <w:p w14:paraId="0CDAA311">
            <w:pPr>
              <w:jc w:val="center"/>
              <w:rPr>
                <w:rFonts w:ascii="Times New Roman" w:hAnsi="Times New Roman" w:eastAsia="宋体" w:cs="Times New Roman"/>
                <w:b/>
                <w:sz w:val="24"/>
                <w:szCs w:val="20"/>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2</w:t>
            </w:r>
          </w:p>
        </w:tc>
        <w:tc>
          <w:tcPr>
            <w:tcW w:w="3449" w:type="dxa"/>
          </w:tcPr>
          <w:p w14:paraId="15895F3C">
            <w:pPr>
              <w:jc w:val="center"/>
              <w:rPr>
                <w:rFonts w:ascii="Times New Roman" w:hAnsi="Times New Roman" w:eastAsia="宋体" w:cs="Times New Roman"/>
                <w:b/>
                <w:sz w:val="24"/>
                <w:szCs w:val="20"/>
              </w:rPr>
            </w:pPr>
          </w:p>
        </w:tc>
        <w:tc>
          <w:tcPr>
            <w:tcW w:w="2414" w:type="dxa"/>
          </w:tcPr>
          <w:p w14:paraId="52174342">
            <w:pPr>
              <w:jc w:val="center"/>
              <w:rPr>
                <w:rFonts w:ascii="Times New Roman" w:hAnsi="Times New Roman" w:eastAsia="宋体" w:cs="Times New Roman"/>
                <w:b/>
                <w:sz w:val="24"/>
                <w:szCs w:val="20"/>
              </w:rPr>
            </w:pPr>
          </w:p>
        </w:tc>
        <w:tc>
          <w:tcPr>
            <w:tcW w:w="1608" w:type="dxa"/>
          </w:tcPr>
          <w:p w14:paraId="617C193C">
            <w:pPr>
              <w:jc w:val="center"/>
              <w:rPr>
                <w:rFonts w:ascii="Times New Roman" w:hAnsi="Times New Roman" w:eastAsia="宋体" w:cs="Times New Roman"/>
                <w:b/>
                <w:sz w:val="24"/>
                <w:szCs w:val="20"/>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3</w:t>
            </w:r>
          </w:p>
        </w:tc>
        <w:tc>
          <w:tcPr>
            <w:tcW w:w="3449" w:type="dxa"/>
          </w:tcPr>
          <w:p w14:paraId="64B667A5">
            <w:pPr>
              <w:jc w:val="center"/>
              <w:rPr>
                <w:rFonts w:ascii="Times New Roman" w:hAnsi="Times New Roman" w:eastAsia="宋体" w:cs="Times New Roman"/>
                <w:b/>
                <w:sz w:val="24"/>
                <w:szCs w:val="20"/>
              </w:rPr>
            </w:pPr>
          </w:p>
        </w:tc>
        <w:tc>
          <w:tcPr>
            <w:tcW w:w="2414" w:type="dxa"/>
          </w:tcPr>
          <w:p w14:paraId="44B3071A">
            <w:pPr>
              <w:jc w:val="center"/>
              <w:rPr>
                <w:rFonts w:ascii="Times New Roman" w:hAnsi="Times New Roman" w:eastAsia="宋体" w:cs="Times New Roman"/>
                <w:b/>
                <w:sz w:val="24"/>
                <w:szCs w:val="20"/>
              </w:rPr>
            </w:pPr>
          </w:p>
        </w:tc>
        <w:tc>
          <w:tcPr>
            <w:tcW w:w="1608" w:type="dxa"/>
          </w:tcPr>
          <w:p w14:paraId="232438FA">
            <w:pPr>
              <w:jc w:val="center"/>
              <w:rPr>
                <w:rFonts w:ascii="Times New Roman" w:hAnsi="Times New Roman" w:eastAsia="宋体" w:cs="Times New Roman"/>
                <w:b/>
                <w:sz w:val="24"/>
                <w:szCs w:val="20"/>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4</w:t>
            </w:r>
          </w:p>
        </w:tc>
        <w:tc>
          <w:tcPr>
            <w:tcW w:w="3449" w:type="dxa"/>
          </w:tcPr>
          <w:p w14:paraId="0C3A5831">
            <w:pPr>
              <w:jc w:val="center"/>
              <w:rPr>
                <w:rFonts w:ascii="Times New Roman" w:hAnsi="Times New Roman" w:eastAsia="宋体" w:cs="Times New Roman"/>
                <w:b/>
                <w:sz w:val="24"/>
                <w:szCs w:val="20"/>
              </w:rPr>
            </w:pPr>
          </w:p>
        </w:tc>
        <w:tc>
          <w:tcPr>
            <w:tcW w:w="2414" w:type="dxa"/>
          </w:tcPr>
          <w:p w14:paraId="3555FD0F">
            <w:pPr>
              <w:jc w:val="center"/>
              <w:rPr>
                <w:rFonts w:ascii="Times New Roman" w:hAnsi="Times New Roman" w:eastAsia="宋体" w:cs="Times New Roman"/>
                <w:b/>
                <w:sz w:val="24"/>
                <w:szCs w:val="20"/>
              </w:rPr>
            </w:pPr>
          </w:p>
        </w:tc>
        <w:tc>
          <w:tcPr>
            <w:tcW w:w="1608" w:type="dxa"/>
          </w:tcPr>
          <w:p w14:paraId="3ED9F733">
            <w:pPr>
              <w:jc w:val="center"/>
              <w:rPr>
                <w:rFonts w:ascii="Times New Roman" w:hAnsi="Times New Roman" w:eastAsia="宋体" w:cs="Times New Roman"/>
                <w:b/>
                <w:sz w:val="24"/>
                <w:szCs w:val="20"/>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5</w:t>
            </w:r>
          </w:p>
        </w:tc>
        <w:tc>
          <w:tcPr>
            <w:tcW w:w="3449" w:type="dxa"/>
          </w:tcPr>
          <w:p w14:paraId="5518B909">
            <w:pPr>
              <w:jc w:val="center"/>
              <w:rPr>
                <w:rFonts w:ascii="Times New Roman" w:hAnsi="Times New Roman" w:eastAsia="宋体" w:cs="Times New Roman"/>
                <w:b/>
                <w:sz w:val="24"/>
                <w:szCs w:val="20"/>
              </w:rPr>
            </w:pPr>
          </w:p>
        </w:tc>
        <w:tc>
          <w:tcPr>
            <w:tcW w:w="2414" w:type="dxa"/>
          </w:tcPr>
          <w:p w14:paraId="307F7080">
            <w:pPr>
              <w:jc w:val="center"/>
              <w:rPr>
                <w:rFonts w:ascii="Times New Roman" w:hAnsi="Times New Roman" w:eastAsia="宋体" w:cs="Times New Roman"/>
                <w:b/>
                <w:sz w:val="24"/>
                <w:szCs w:val="20"/>
              </w:rPr>
            </w:pPr>
          </w:p>
        </w:tc>
        <w:tc>
          <w:tcPr>
            <w:tcW w:w="1608" w:type="dxa"/>
          </w:tcPr>
          <w:p w14:paraId="240BBD5C">
            <w:pPr>
              <w:jc w:val="center"/>
              <w:rPr>
                <w:rFonts w:ascii="Times New Roman" w:hAnsi="Times New Roman" w:eastAsia="宋体" w:cs="Times New Roman"/>
                <w:b/>
                <w:sz w:val="24"/>
                <w:szCs w:val="20"/>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6</w:t>
            </w:r>
          </w:p>
        </w:tc>
        <w:tc>
          <w:tcPr>
            <w:tcW w:w="3449" w:type="dxa"/>
          </w:tcPr>
          <w:p w14:paraId="1319CAE3">
            <w:pPr>
              <w:jc w:val="center"/>
              <w:rPr>
                <w:rFonts w:ascii="Times New Roman" w:hAnsi="Times New Roman" w:eastAsia="宋体" w:cs="Times New Roman"/>
                <w:b/>
                <w:sz w:val="24"/>
                <w:szCs w:val="20"/>
              </w:rPr>
            </w:pPr>
          </w:p>
        </w:tc>
        <w:tc>
          <w:tcPr>
            <w:tcW w:w="2414" w:type="dxa"/>
          </w:tcPr>
          <w:p w14:paraId="5F892C72">
            <w:pPr>
              <w:jc w:val="center"/>
              <w:rPr>
                <w:rFonts w:ascii="Times New Roman" w:hAnsi="Times New Roman" w:eastAsia="宋体" w:cs="Times New Roman"/>
                <w:b/>
                <w:sz w:val="24"/>
                <w:szCs w:val="20"/>
              </w:rPr>
            </w:pPr>
          </w:p>
        </w:tc>
        <w:tc>
          <w:tcPr>
            <w:tcW w:w="1608" w:type="dxa"/>
          </w:tcPr>
          <w:p w14:paraId="2C7B0448">
            <w:pPr>
              <w:jc w:val="center"/>
              <w:rPr>
                <w:rFonts w:ascii="Times New Roman" w:hAnsi="Times New Roman" w:eastAsia="宋体" w:cs="Times New Roman"/>
                <w:b/>
                <w:sz w:val="24"/>
                <w:szCs w:val="20"/>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7</w:t>
            </w:r>
          </w:p>
        </w:tc>
        <w:tc>
          <w:tcPr>
            <w:tcW w:w="3449" w:type="dxa"/>
          </w:tcPr>
          <w:p w14:paraId="7C823F97">
            <w:pPr>
              <w:jc w:val="center"/>
              <w:rPr>
                <w:rFonts w:ascii="Times New Roman" w:hAnsi="Times New Roman" w:eastAsia="宋体" w:cs="Times New Roman"/>
                <w:b/>
                <w:sz w:val="24"/>
                <w:szCs w:val="20"/>
              </w:rPr>
            </w:pPr>
          </w:p>
        </w:tc>
        <w:tc>
          <w:tcPr>
            <w:tcW w:w="2414" w:type="dxa"/>
          </w:tcPr>
          <w:p w14:paraId="2BCE8303">
            <w:pPr>
              <w:jc w:val="center"/>
              <w:rPr>
                <w:rFonts w:ascii="Times New Roman" w:hAnsi="Times New Roman" w:eastAsia="宋体" w:cs="Times New Roman"/>
                <w:b/>
                <w:sz w:val="24"/>
                <w:szCs w:val="20"/>
              </w:rPr>
            </w:pPr>
          </w:p>
        </w:tc>
        <w:tc>
          <w:tcPr>
            <w:tcW w:w="1608" w:type="dxa"/>
          </w:tcPr>
          <w:p w14:paraId="2C84C702">
            <w:pPr>
              <w:jc w:val="center"/>
              <w:rPr>
                <w:rFonts w:ascii="Times New Roman" w:hAnsi="Times New Roman" w:eastAsia="宋体" w:cs="Times New Roman"/>
                <w:b/>
                <w:sz w:val="24"/>
                <w:szCs w:val="20"/>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8</w:t>
            </w:r>
          </w:p>
        </w:tc>
        <w:tc>
          <w:tcPr>
            <w:tcW w:w="3449" w:type="dxa"/>
          </w:tcPr>
          <w:p w14:paraId="12F0B10F">
            <w:pPr>
              <w:jc w:val="center"/>
              <w:rPr>
                <w:rFonts w:ascii="Times New Roman" w:hAnsi="Times New Roman" w:eastAsia="宋体" w:cs="Times New Roman"/>
                <w:b/>
                <w:sz w:val="24"/>
                <w:szCs w:val="20"/>
              </w:rPr>
            </w:pPr>
          </w:p>
        </w:tc>
        <w:tc>
          <w:tcPr>
            <w:tcW w:w="2414" w:type="dxa"/>
          </w:tcPr>
          <w:p w14:paraId="36C54971">
            <w:pPr>
              <w:jc w:val="center"/>
              <w:rPr>
                <w:rFonts w:ascii="Times New Roman" w:hAnsi="Times New Roman" w:eastAsia="宋体" w:cs="Times New Roman"/>
                <w:b/>
                <w:sz w:val="24"/>
                <w:szCs w:val="20"/>
              </w:rPr>
            </w:pPr>
          </w:p>
        </w:tc>
        <w:tc>
          <w:tcPr>
            <w:tcW w:w="1608" w:type="dxa"/>
          </w:tcPr>
          <w:p w14:paraId="499F4858">
            <w:pPr>
              <w:jc w:val="center"/>
              <w:rPr>
                <w:rFonts w:ascii="Times New Roman" w:hAnsi="Times New Roman" w:eastAsia="宋体" w:cs="Times New Roman"/>
                <w:b/>
                <w:sz w:val="24"/>
                <w:szCs w:val="20"/>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B6CFA">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9</w:t>
            </w:r>
          </w:p>
        </w:tc>
        <w:tc>
          <w:tcPr>
            <w:tcW w:w="3449" w:type="dxa"/>
          </w:tcPr>
          <w:p w14:paraId="2A00B220">
            <w:pPr>
              <w:jc w:val="center"/>
              <w:rPr>
                <w:rFonts w:ascii="Times New Roman" w:hAnsi="Times New Roman" w:eastAsia="宋体" w:cs="Times New Roman"/>
                <w:b/>
                <w:sz w:val="24"/>
                <w:szCs w:val="20"/>
              </w:rPr>
            </w:pPr>
          </w:p>
        </w:tc>
        <w:tc>
          <w:tcPr>
            <w:tcW w:w="2414" w:type="dxa"/>
          </w:tcPr>
          <w:p w14:paraId="77BE407A">
            <w:pPr>
              <w:jc w:val="center"/>
              <w:rPr>
                <w:rFonts w:ascii="Times New Roman" w:hAnsi="Times New Roman" w:eastAsia="宋体" w:cs="Times New Roman"/>
                <w:b/>
                <w:sz w:val="24"/>
                <w:szCs w:val="20"/>
              </w:rPr>
            </w:pPr>
          </w:p>
        </w:tc>
        <w:tc>
          <w:tcPr>
            <w:tcW w:w="1608" w:type="dxa"/>
          </w:tcPr>
          <w:p w14:paraId="58BC73C4">
            <w:pPr>
              <w:jc w:val="center"/>
              <w:rPr>
                <w:rFonts w:ascii="Times New Roman" w:hAnsi="Times New Roman" w:eastAsia="宋体" w:cs="Times New Roman"/>
                <w:b/>
                <w:sz w:val="24"/>
                <w:szCs w:val="20"/>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10</w:t>
            </w:r>
          </w:p>
        </w:tc>
        <w:tc>
          <w:tcPr>
            <w:tcW w:w="3449" w:type="dxa"/>
          </w:tcPr>
          <w:p w14:paraId="75F0A1D4">
            <w:pPr>
              <w:jc w:val="center"/>
              <w:rPr>
                <w:rFonts w:ascii="Times New Roman" w:hAnsi="Times New Roman" w:eastAsia="宋体" w:cs="Times New Roman"/>
                <w:b/>
                <w:sz w:val="24"/>
                <w:szCs w:val="20"/>
              </w:rPr>
            </w:pPr>
          </w:p>
        </w:tc>
        <w:tc>
          <w:tcPr>
            <w:tcW w:w="2414" w:type="dxa"/>
          </w:tcPr>
          <w:p w14:paraId="2B7D454B">
            <w:pPr>
              <w:jc w:val="center"/>
              <w:rPr>
                <w:rFonts w:ascii="Times New Roman" w:hAnsi="Times New Roman" w:eastAsia="宋体" w:cs="Times New Roman"/>
                <w:b/>
                <w:sz w:val="24"/>
                <w:szCs w:val="20"/>
              </w:rPr>
            </w:pPr>
          </w:p>
        </w:tc>
        <w:tc>
          <w:tcPr>
            <w:tcW w:w="1608" w:type="dxa"/>
          </w:tcPr>
          <w:p w14:paraId="7FD80AB6">
            <w:pPr>
              <w:jc w:val="center"/>
              <w:rPr>
                <w:rFonts w:ascii="Times New Roman" w:hAnsi="Times New Roman" w:eastAsia="宋体" w:cs="Times New Roman"/>
                <w:b/>
                <w:sz w:val="24"/>
                <w:szCs w:val="20"/>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rPr>
            </w:pPr>
          </w:p>
        </w:tc>
        <w:tc>
          <w:tcPr>
            <w:tcW w:w="3449" w:type="dxa"/>
          </w:tcPr>
          <w:p w14:paraId="3A04244A">
            <w:pPr>
              <w:jc w:val="center"/>
              <w:rPr>
                <w:rFonts w:ascii="Times New Roman" w:hAnsi="Times New Roman" w:eastAsia="宋体" w:cs="Times New Roman"/>
                <w:b/>
                <w:sz w:val="24"/>
                <w:szCs w:val="20"/>
              </w:rPr>
            </w:pPr>
          </w:p>
        </w:tc>
        <w:tc>
          <w:tcPr>
            <w:tcW w:w="2414" w:type="dxa"/>
          </w:tcPr>
          <w:p w14:paraId="4BF0EDCB">
            <w:pPr>
              <w:jc w:val="center"/>
              <w:rPr>
                <w:rFonts w:ascii="Times New Roman" w:hAnsi="Times New Roman" w:eastAsia="宋体" w:cs="Times New Roman"/>
                <w:b/>
                <w:sz w:val="24"/>
                <w:szCs w:val="20"/>
              </w:rPr>
            </w:pPr>
          </w:p>
        </w:tc>
        <w:tc>
          <w:tcPr>
            <w:tcW w:w="1608" w:type="dxa"/>
          </w:tcPr>
          <w:p w14:paraId="74DF6673">
            <w:pPr>
              <w:jc w:val="center"/>
              <w:rPr>
                <w:rFonts w:ascii="Times New Roman" w:hAnsi="Times New Roman" w:eastAsia="宋体" w:cs="Times New Roman"/>
                <w:b/>
                <w:sz w:val="24"/>
                <w:szCs w:val="20"/>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rPr>
            </w:pPr>
          </w:p>
        </w:tc>
        <w:tc>
          <w:tcPr>
            <w:tcW w:w="3449" w:type="dxa"/>
          </w:tcPr>
          <w:p w14:paraId="786109B0">
            <w:pPr>
              <w:jc w:val="center"/>
              <w:rPr>
                <w:rFonts w:ascii="Times New Roman" w:hAnsi="Times New Roman" w:eastAsia="宋体" w:cs="Times New Roman"/>
                <w:b/>
                <w:sz w:val="24"/>
                <w:szCs w:val="20"/>
              </w:rPr>
            </w:pPr>
          </w:p>
        </w:tc>
        <w:tc>
          <w:tcPr>
            <w:tcW w:w="2414" w:type="dxa"/>
          </w:tcPr>
          <w:p w14:paraId="3DBDA0CB">
            <w:pPr>
              <w:jc w:val="center"/>
              <w:rPr>
                <w:rFonts w:ascii="Times New Roman" w:hAnsi="Times New Roman" w:eastAsia="宋体" w:cs="Times New Roman"/>
                <w:b/>
                <w:sz w:val="24"/>
                <w:szCs w:val="20"/>
              </w:rPr>
            </w:pPr>
          </w:p>
        </w:tc>
        <w:tc>
          <w:tcPr>
            <w:tcW w:w="1608" w:type="dxa"/>
          </w:tcPr>
          <w:p w14:paraId="2ECE6F54">
            <w:pPr>
              <w:jc w:val="center"/>
              <w:rPr>
                <w:rFonts w:ascii="Times New Roman" w:hAnsi="Times New Roman" w:eastAsia="宋体" w:cs="Times New Roman"/>
                <w:b/>
                <w:sz w:val="24"/>
                <w:szCs w:val="20"/>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rPr>
            </w:pPr>
          </w:p>
        </w:tc>
        <w:tc>
          <w:tcPr>
            <w:tcW w:w="3449" w:type="dxa"/>
          </w:tcPr>
          <w:p w14:paraId="6EF521E3">
            <w:pPr>
              <w:jc w:val="center"/>
              <w:rPr>
                <w:rFonts w:ascii="Times New Roman" w:hAnsi="Times New Roman" w:eastAsia="宋体" w:cs="Times New Roman"/>
                <w:b/>
                <w:sz w:val="24"/>
                <w:szCs w:val="20"/>
              </w:rPr>
            </w:pPr>
          </w:p>
        </w:tc>
        <w:tc>
          <w:tcPr>
            <w:tcW w:w="2414" w:type="dxa"/>
          </w:tcPr>
          <w:p w14:paraId="4D21F621">
            <w:pPr>
              <w:jc w:val="center"/>
              <w:rPr>
                <w:rFonts w:ascii="Times New Roman" w:hAnsi="Times New Roman" w:eastAsia="宋体" w:cs="Times New Roman"/>
                <w:b/>
                <w:sz w:val="24"/>
                <w:szCs w:val="20"/>
              </w:rPr>
            </w:pPr>
          </w:p>
        </w:tc>
        <w:tc>
          <w:tcPr>
            <w:tcW w:w="1608" w:type="dxa"/>
          </w:tcPr>
          <w:p w14:paraId="2AEC22C9">
            <w:pPr>
              <w:jc w:val="center"/>
              <w:rPr>
                <w:rFonts w:ascii="Times New Roman" w:hAnsi="Times New Roman" w:eastAsia="宋体" w:cs="Times New Roman"/>
                <w:b/>
                <w:sz w:val="24"/>
                <w:szCs w:val="20"/>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rPr>
            </w:pPr>
          </w:p>
        </w:tc>
        <w:tc>
          <w:tcPr>
            <w:tcW w:w="3449" w:type="dxa"/>
          </w:tcPr>
          <w:p w14:paraId="612E39AE">
            <w:pPr>
              <w:jc w:val="center"/>
              <w:rPr>
                <w:rFonts w:ascii="Times New Roman" w:hAnsi="Times New Roman" w:eastAsia="宋体" w:cs="Times New Roman"/>
                <w:b/>
                <w:sz w:val="24"/>
                <w:szCs w:val="20"/>
              </w:rPr>
            </w:pPr>
          </w:p>
        </w:tc>
        <w:tc>
          <w:tcPr>
            <w:tcW w:w="2414" w:type="dxa"/>
          </w:tcPr>
          <w:p w14:paraId="4567AC17">
            <w:pPr>
              <w:jc w:val="center"/>
              <w:rPr>
                <w:rFonts w:ascii="Times New Roman" w:hAnsi="Times New Roman" w:eastAsia="宋体" w:cs="Times New Roman"/>
                <w:b/>
                <w:sz w:val="24"/>
                <w:szCs w:val="20"/>
              </w:rPr>
            </w:pPr>
          </w:p>
        </w:tc>
        <w:tc>
          <w:tcPr>
            <w:tcW w:w="1608" w:type="dxa"/>
          </w:tcPr>
          <w:p w14:paraId="3541CD11">
            <w:pPr>
              <w:jc w:val="center"/>
              <w:rPr>
                <w:rFonts w:ascii="Times New Roman" w:hAnsi="Times New Roman" w:eastAsia="宋体" w:cs="Times New Roman"/>
                <w:b/>
                <w:sz w:val="24"/>
                <w:szCs w:val="20"/>
              </w:rPr>
            </w:pPr>
          </w:p>
        </w:tc>
      </w:tr>
    </w:tbl>
    <w:p w14:paraId="0E76890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47391C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AB8C82">
      <w:pPr>
        <w:rPr>
          <w:rFonts w:ascii="宋体" w:hAnsi="Calibri" w:eastAsia="宋体" w:cs="宋体"/>
          <w:b/>
          <w:bCs/>
          <w:color w:val="000000"/>
          <w:sz w:val="28"/>
          <w:szCs w:val="20"/>
        </w:rPr>
      </w:pPr>
    </w:p>
    <w:p w14:paraId="53398DE2">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747E19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0"/>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8" w:hRule="atLeast"/>
          <w:jc w:val="center"/>
        </w:trPr>
        <w:tc>
          <w:tcPr>
            <w:tcW w:w="860" w:type="dxa"/>
            <w:vAlign w:val="center"/>
          </w:tcPr>
          <w:p w14:paraId="72E65017">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项目名称</w:t>
            </w:r>
          </w:p>
          <w:p w14:paraId="67C283A0">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联系人及</w:t>
            </w:r>
          </w:p>
          <w:p w14:paraId="7657C40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4B3589">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3C0E09DE">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b/>
          <w:color w:val="000000"/>
          <w:sz w:val="24"/>
          <w:szCs w:val="24"/>
          <w:u w:val="single"/>
        </w:rPr>
        <w:t xml:space="preserve">            </w:t>
      </w:r>
    </w:p>
    <w:p w14:paraId="019D66F0">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E82BE2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84294DB">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0"/>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7"/>
        <w:gridCol w:w="777"/>
        <w:gridCol w:w="2373"/>
        <w:gridCol w:w="1118"/>
        <w:gridCol w:w="1398"/>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46"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27"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77"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373"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18"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98"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46"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27" w:type="dxa"/>
            <w:vAlign w:val="center"/>
          </w:tcPr>
          <w:p w14:paraId="26AEA32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777" w:type="dxa"/>
            <w:vAlign w:val="center"/>
          </w:tcPr>
          <w:p w14:paraId="14B69725">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373"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18" w:type="dxa"/>
            <w:vAlign w:val="center"/>
          </w:tcPr>
          <w:p w14:paraId="36FA7CE1">
            <w:pPr>
              <w:jc w:val="center"/>
              <w:rPr>
                <w:rFonts w:ascii="Times New Roman" w:hAnsi="Times New Roman" w:eastAsia="宋体" w:cs="Times New Roman"/>
                <w:b/>
                <w:szCs w:val="20"/>
              </w:rPr>
            </w:pPr>
          </w:p>
        </w:tc>
        <w:tc>
          <w:tcPr>
            <w:tcW w:w="1398"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宋体" w:hAnsi="Calibri" w:eastAsia="宋体" w:cs="Times New Roman"/>
          <w:szCs w:val="21"/>
        </w:rPr>
      </w:pPr>
      <w:r>
        <w:rPr>
          <w:rFonts w:hint="eastAsia" w:ascii="宋体" w:hAnsi="宋体" w:eastAsia="宋体" w:cs="Times New Roman"/>
          <w:b/>
          <w:bCs/>
          <w:szCs w:val="21"/>
        </w:rPr>
        <w:t>注：</w:t>
      </w:r>
    </w:p>
    <w:p w14:paraId="29C32E3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70278D2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05F39440">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484D92EC">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164498C5">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14"/>
        <w:keepNext w:val="0"/>
        <w:keepLines w:val="0"/>
        <w:pageBreakBefore w:val="0"/>
        <w:widowControl w:val="0"/>
        <w:kinsoku/>
        <w:wordWrap/>
        <w:overflowPunct/>
        <w:topLinePunct w:val="0"/>
        <w:autoSpaceDE/>
        <w:autoSpaceDN/>
        <w:bidi w:val="0"/>
        <w:adjustRightInd/>
        <w:snapToGrid/>
        <w:spacing w:after="0"/>
        <w:textAlignment w:val="auto"/>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2DE0CEA5">
      <w:pPr>
        <w:pStyle w:val="14"/>
        <w:sectPr>
          <w:footerReference r:id="rId12" w:type="first"/>
          <w:headerReference r:id="rId10" w:type="default"/>
          <w:footerReference r:id="rId11" w:type="default"/>
          <w:pgSz w:w="11906" w:h="16838"/>
          <w:pgMar w:top="1588" w:right="1418" w:bottom="1134" w:left="1418" w:header="851" w:footer="992" w:gutter="0"/>
          <w:pgNumType w:fmt="numberInDash"/>
          <w:cols w:space="720" w:num="1"/>
          <w:titlePg/>
          <w:docGrid w:type="lines" w:linePitch="312" w:charSpace="0"/>
        </w:sectPr>
      </w:pPr>
    </w:p>
    <w:p w14:paraId="3807B430">
      <w:pPr>
        <w:pStyle w:val="4"/>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A986012">
      <w:pPr>
        <w:pStyle w:val="5"/>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2AA42B7">
      <w:pPr>
        <w:keepNext/>
        <w:keepLines/>
        <w:pageBreakBefore w:val="0"/>
        <w:widowControl w:val="0"/>
        <w:kinsoku/>
        <w:wordWrap/>
        <w:overflowPunct/>
        <w:topLinePunct w:val="0"/>
        <w:autoSpaceDE/>
        <w:autoSpaceDN/>
        <w:bidi w:val="0"/>
        <w:spacing w:after="0" w:line="400" w:lineRule="exact"/>
        <w:jc w:val="center"/>
        <w:textAlignment w:val="auto"/>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8CE5ED1">
      <w:pPr>
        <w:pageBreakBefore w:val="0"/>
        <w:widowControl w:val="0"/>
        <w:kinsoku/>
        <w:wordWrap/>
        <w:overflowPunct/>
        <w:topLinePunct w:val="0"/>
        <w:autoSpaceDE/>
        <w:autoSpaceDN/>
        <w:bidi w:val="0"/>
        <w:spacing w:before="52" w:after="0" w:line="221" w:lineRule="auto"/>
        <w:ind w:left="9"/>
        <w:jc w:val="right"/>
        <w:textAlignment w:val="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13"/>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pageBreakBefore w:val="0"/>
              <w:widowControl w:val="0"/>
              <w:kinsoku/>
              <w:wordWrap/>
              <w:overflowPunct/>
              <w:topLinePunct w:val="0"/>
              <w:autoSpaceDE/>
              <w:autoSpaceDN/>
              <w:bidi w:val="0"/>
              <w:spacing w:after="0" w:line="186" w:lineRule="auto"/>
              <w:jc w:val="center"/>
              <w:textAlignment w:val="auto"/>
              <w:rPr>
                <w:rFonts w:ascii="宋体" w:hAnsi="宋体" w:eastAsia="宋体" w:cs="宋体"/>
                <w:szCs w:val="21"/>
              </w:rPr>
            </w:pPr>
            <w:r>
              <w:rPr>
                <w:rFonts w:ascii="宋体" w:hAnsi="宋体" w:eastAsia="宋体" w:cs="宋体"/>
                <w:szCs w:val="21"/>
              </w:rPr>
              <w:t>1</w:t>
            </w:r>
          </w:p>
        </w:tc>
        <w:tc>
          <w:tcPr>
            <w:tcW w:w="2315" w:type="dxa"/>
            <w:gridSpan w:val="2"/>
            <w:vAlign w:val="center"/>
          </w:tcPr>
          <w:p w14:paraId="1E61F0C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2</w:t>
            </w:r>
          </w:p>
        </w:tc>
        <w:tc>
          <w:tcPr>
            <w:tcW w:w="1722" w:type="dxa"/>
            <w:vAlign w:val="center"/>
          </w:tcPr>
          <w:p w14:paraId="2E5E0FBB">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3</w:t>
            </w:r>
          </w:p>
        </w:tc>
        <w:tc>
          <w:tcPr>
            <w:tcW w:w="703" w:type="dxa"/>
            <w:vAlign w:val="center"/>
          </w:tcPr>
          <w:p w14:paraId="698E36D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4</w:t>
            </w:r>
          </w:p>
        </w:tc>
        <w:tc>
          <w:tcPr>
            <w:tcW w:w="550" w:type="dxa"/>
            <w:vAlign w:val="center"/>
          </w:tcPr>
          <w:p w14:paraId="0FDA17D8">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hint="eastAsia" w:ascii="宋体" w:hAnsi="宋体" w:eastAsia="宋体" w:cs="宋体"/>
                <w:szCs w:val="21"/>
              </w:rPr>
              <w:t>5</w:t>
            </w:r>
          </w:p>
        </w:tc>
        <w:tc>
          <w:tcPr>
            <w:tcW w:w="2550" w:type="dxa"/>
            <w:vAlign w:val="center"/>
          </w:tcPr>
          <w:p w14:paraId="3CD16F1E">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49A0ADD6">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3439BFB6">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ascii="宋体" w:hAnsi="宋体" w:eastAsia="宋体" w:cs="宋体"/>
                <w:szCs w:val="21"/>
              </w:rPr>
              <w:t>8</w:t>
            </w:r>
          </w:p>
        </w:tc>
        <w:tc>
          <w:tcPr>
            <w:tcW w:w="964" w:type="dxa"/>
            <w:vAlign w:val="center"/>
          </w:tcPr>
          <w:p w14:paraId="267C8235">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hint="eastAsia" w:ascii="宋体" w:hAnsi="宋体" w:eastAsia="宋体" w:cs="宋体"/>
                <w:szCs w:val="21"/>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29511D55">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27DF105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3383620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525480C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0EDC60A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3773C546">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6F63DE8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单价（不含税）</w:t>
            </w:r>
          </w:p>
          <w:p w14:paraId="655CC18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327A1644">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总价[4×7]（不含税）</w:t>
            </w:r>
          </w:p>
          <w:p w14:paraId="10B4F29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08CB5410">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6359B62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03AD3DF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282F4A7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9482B8B">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0BB407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AA44428">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AD79E35">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5CDD0B6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10B05B15">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58A2E0C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B957227">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2F492FCA">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5BB2855">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1807177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631B770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2FB363F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00D32B6E">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4035B93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80FF4F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47354F38">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32CE69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C981BFB">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02764B32">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0F2F7CE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599C685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05C358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C7EB7BD">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45BA7E0">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3B440A8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3C54A1D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5D1121E">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0B0C30C">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2573CB86">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65398E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301E1C8E">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0E3A3B5F">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B045F6F">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21CE20C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7BCD65DC">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1C99FC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27415522">
            <w:pPr>
              <w:pageBreakBefore w:val="0"/>
              <w:widowControl w:val="0"/>
              <w:kinsoku/>
              <w:wordWrap/>
              <w:overflowPunct/>
              <w:topLinePunct w:val="0"/>
              <w:autoSpaceDE/>
              <w:autoSpaceDN/>
              <w:bidi w:val="0"/>
              <w:spacing w:after="0"/>
              <w:textAlignment w:val="auto"/>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106BAEA1">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703" w:type="dxa"/>
          </w:tcPr>
          <w:p w14:paraId="0E170F96">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550" w:type="dxa"/>
          </w:tcPr>
          <w:p w14:paraId="25BDB0B4">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2550" w:type="dxa"/>
          </w:tcPr>
          <w:p w14:paraId="7930C09B">
            <w:pPr>
              <w:pageBreakBefore w:val="0"/>
              <w:widowControl w:val="0"/>
              <w:kinsoku/>
              <w:wordWrap/>
              <w:overflowPunct/>
              <w:topLinePunct w:val="0"/>
              <w:autoSpaceDE/>
              <w:autoSpaceDN/>
              <w:bidi w:val="0"/>
              <w:spacing w:after="0"/>
              <w:textAlignment w:val="auto"/>
              <w:rPr>
                <w:rFonts w:ascii="Arial"/>
              </w:rPr>
            </w:pPr>
          </w:p>
        </w:tc>
        <w:tc>
          <w:tcPr>
            <w:tcW w:w="2510" w:type="dxa"/>
            <w:tcBorders>
              <w:right w:val="single" w:color="000000" w:sz="4" w:space="0"/>
            </w:tcBorders>
          </w:tcPr>
          <w:p w14:paraId="5E59E4A1">
            <w:pPr>
              <w:pageBreakBefore w:val="0"/>
              <w:widowControl w:val="0"/>
              <w:kinsoku/>
              <w:wordWrap/>
              <w:overflowPunct/>
              <w:topLinePunct w:val="0"/>
              <w:autoSpaceDE/>
              <w:autoSpaceDN/>
              <w:bidi w:val="0"/>
              <w:spacing w:after="0"/>
              <w:textAlignment w:val="auto"/>
              <w:rPr>
                <w:rFonts w:ascii="Arial"/>
              </w:rPr>
            </w:pPr>
          </w:p>
        </w:tc>
        <w:tc>
          <w:tcPr>
            <w:tcW w:w="2196" w:type="dxa"/>
            <w:tcBorders>
              <w:left w:val="single" w:color="000000" w:sz="4" w:space="0"/>
            </w:tcBorders>
          </w:tcPr>
          <w:p w14:paraId="39A4EB1A">
            <w:pPr>
              <w:pageBreakBefore w:val="0"/>
              <w:widowControl w:val="0"/>
              <w:kinsoku/>
              <w:wordWrap/>
              <w:overflowPunct/>
              <w:topLinePunct w:val="0"/>
              <w:autoSpaceDE/>
              <w:autoSpaceDN/>
              <w:bidi w:val="0"/>
              <w:spacing w:after="0"/>
              <w:textAlignment w:val="auto"/>
              <w:rPr>
                <w:rFonts w:ascii="Arial"/>
              </w:rPr>
            </w:pPr>
          </w:p>
        </w:tc>
        <w:tc>
          <w:tcPr>
            <w:tcW w:w="964" w:type="dxa"/>
          </w:tcPr>
          <w:p w14:paraId="06DC0C88">
            <w:pPr>
              <w:pageBreakBefore w:val="0"/>
              <w:widowControl w:val="0"/>
              <w:kinsoku/>
              <w:wordWrap/>
              <w:overflowPunct/>
              <w:topLinePunct w:val="0"/>
              <w:autoSpaceDE/>
              <w:autoSpaceDN/>
              <w:bidi w:val="0"/>
              <w:spacing w:after="0"/>
              <w:textAlignment w:val="auto"/>
              <w:rPr>
                <w:rFonts w:ascii="Arial"/>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pageBreakBefore w:val="0"/>
              <w:widowControl w:val="0"/>
              <w:kinsoku/>
              <w:wordWrap/>
              <w:overflowPunct/>
              <w:topLinePunct w:val="0"/>
              <w:autoSpaceDE/>
              <w:autoSpaceDN/>
              <w:bidi w:val="0"/>
              <w:spacing w:after="0"/>
              <w:jc w:val="center"/>
              <w:textAlignment w:val="auto"/>
              <w:rPr>
                <w:rFonts w:ascii="宋体" w:hAnsi="宋体" w:eastAsia="宋体" w:cs="宋体"/>
                <w:spacing w:val="-6"/>
                <w:szCs w:val="21"/>
              </w:rPr>
            </w:pPr>
          </w:p>
        </w:tc>
        <w:tc>
          <w:tcPr>
            <w:tcW w:w="9440" w:type="dxa"/>
            <w:gridSpan w:val="6"/>
            <w:tcBorders>
              <w:right w:val="single" w:color="000000" w:sz="4" w:space="0"/>
            </w:tcBorders>
          </w:tcPr>
          <w:p w14:paraId="44A79AF8">
            <w:pPr>
              <w:pageBreakBefore w:val="0"/>
              <w:widowControl w:val="0"/>
              <w:kinsoku/>
              <w:wordWrap/>
              <w:overflowPunct/>
              <w:topLinePunct w:val="0"/>
              <w:autoSpaceDE/>
              <w:autoSpaceDN/>
              <w:bidi w:val="0"/>
              <w:spacing w:after="0"/>
              <w:jc w:val="center"/>
              <w:textAlignment w:val="auto"/>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6CF104D7">
            <w:pPr>
              <w:pageBreakBefore w:val="0"/>
              <w:widowControl w:val="0"/>
              <w:kinsoku/>
              <w:wordWrap/>
              <w:overflowPunct/>
              <w:topLinePunct w:val="0"/>
              <w:autoSpaceDE/>
              <w:autoSpaceDN/>
              <w:bidi w:val="0"/>
              <w:spacing w:after="0"/>
              <w:textAlignment w:val="auto"/>
              <w:rPr>
                <w:rFonts w:ascii="Arial"/>
              </w:rPr>
            </w:pPr>
          </w:p>
        </w:tc>
        <w:tc>
          <w:tcPr>
            <w:tcW w:w="964" w:type="dxa"/>
          </w:tcPr>
          <w:p w14:paraId="7553A9C2">
            <w:pPr>
              <w:pageBreakBefore w:val="0"/>
              <w:widowControl w:val="0"/>
              <w:kinsoku/>
              <w:wordWrap/>
              <w:overflowPunct/>
              <w:topLinePunct w:val="0"/>
              <w:autoSpaceDE/>
              <w:autoSpaceDN/>
              <w:bidi w:val="0"/>
              <w:spacing w:after="0"/>
              <w:textAlignment w:val="auto"/>
              <w:rPr>
                <w:rFonts w:ascii="Arial"/>
              </w:rPr>
            </w:pPr>
          </w:p>
        </w:tc>
      </w:tr>
    </w:tbl>
    <w:p w14:paraId="2F56F991">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8"/>
          <w:szCs w:val="21"/>
        </w:rPr>
      </w:pPr>
    </w:p>
    <w:p w14:paraId="36B0F403">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D8DE3BE">
      <w:pPr>
        <w:pageBreakBefore w:val="0"/>
        <w:widowControl w:val="0"/>
        <w:kinsoku/>
        <w:wordWrap/>
        <w:overflowPunct/>
        <w:topLinePunct w:val="0"/>
        <w:autoSpaceDE/>
        <w:autoSpaceDN/>
        <w:bidi w:val="0"/>
        <w:spacing w:after="0" w:line="219" w:lineRule="auto"/>
        <w:ind w:left="431"/>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766C2E6">
      <w:pPr>
        <w:pageBreakBefore w:val="0"/>
        <w:widowControl w:val="0"/>
        <w:kinsoku/>
        <w:wordWrap/>
        <w:overflowPunct/>
        <w:topLinePunct w:val="0"/>
        <w:autoSpaceDE/>
        <w:autoSpaceDN/>
        <w:bidi w:val="0"/>
        <w:spacing w:before="85" w:after="0" w:line="198" w:lineRule="auto"/>
        <w:ind w:left="432"/>
        <w:textAlignment w:val="auto"/>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C4FA0FD">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5DFBC8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51B20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028C9D0">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5B724C6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4AEA3AF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16E552B4">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76A27A9C">
      <w:pPr>
        <w:pageBreakBefore w:val="0"/>
        <w:widowControl w:val="0"/>
        <w:kinsoku/>
        <w:wordWrap/>
        <w:overflowPunct/>
        <w:topLinePunct w:val="0"/>
        <w:autoSpaceDE/>
        <w:autoSpaceDN/>
        <w:bidi w:val="0"/>
        <w:spacing w:before="85" w:after="0" w:line="198" w:lineRule="auto"/>
        <w:ind w:firstLine="696" w:firstLineChars="300"/>
        <w:textAlignment w:val="auto"/>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5246ADDA">
      <w:pPr>
        <w:rPr>
          <w:rFonts w:ascii="宋体" w:hAnsi="宋体" w:eastAsia="宋体" w:cs="宋体"/>
          <w:sz w:val="24"/>
          <w:szCs w:val="24"/>
        </w:rPr>
      </w:pPr>
    </w:p>
    <w:p w14:paraId="1A18A814">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EF4BC8A">
      <w:pPr>
        <w:pageBreakBefore w:val="0"/>
        <w:widowControl w:val="0"/>
        <w:kinsoku/>
        <w:wordWrap/>
        <w:overflowPunct/>
        <w:topLinePunct w:val="0"/>
        <w:autoSpaceDE/>
        <w:autoSpaceDN/>
        <w:bidi w:val="0"/>
        <w:adjustRightInd/>
        <w:snapToGrid/>
        <w:spacing w:before="186" w:after="0" w:line="224" w:lineRule="auto"/>
        <w:ind w:left="5342"/>
        <w:textAlignment w:val="auto"/>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4DF1D997">
      <w:pPr>
        <w:pageBreakBefore w:val="0"/>
        <w:widowControl w:val="0"/>
        <w:kinsoku/>
        <w:wordWrap/>
        <w:overflowPunct/>
        <w:topLinePunct w:val="0"/>
        <w:autoSpaceDE/>
        <w:autoSpaceDN/>
        <w:bidi w:val="0"/>
        <w:adjustRightInd/>
        <w:snapToGrid/>
        <w:spacing w:before="132" w:after="0" w:line="221" w:lineRule="auto"/>
        <w:ind w:left="310"/>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1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pageBreakBefore w:val="0"/>
              <w:widowControl w:val="0"/>
              <w:kinsoku/>
              <w:wordWrap/>
              <w:overflowPunct/>
              <w:topLinePunct w:val="0"/>
              <w:autoSpaceDE/>
              <w:autoSpaceDN/>
              <w:bidi w:val="0"/>
              <w:adjustRightInd/>
              <w:snapToGrid/>
              <w:spacing w:after="0" w:line="296" w:lineRule="auto"/>
              <w:textAlignment w:val="auto"/>
              <w:rPr>
                <w:rFonts w:ascii="Arial"/>
              </w:rPr>
            </w:pPr>
          </w:p>
          <w:p w14:paraId="649AD62D">
            <w:pPr>
              <w:pageBreakBefore w:val="0"/>
              <w:widowControl w:val="0"/>
              <w:kinsoku/>
              <w:wordWrap/>
              <w:overflowPunct/>
              <w:topLinePunct w:val="0"/>
              <w:autoSpaceDE/>
              <w:autoSpaceDN/>
              <w:bidi w:val="0"/>
              <w:adjustRightInd/>
              <w:snapToGrid/>
              <w:spacing w:before="68" w:after="0" w:line="222" w:lineRule="auto"/>
              <w:ind w:left="194"/>
              <w:textAlignment w:val="auto"/>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231766AC">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53CAA4A8">
            <w:pPr>
              <w:pageBreakBefore w:val="0"/>
              <w:widowControl w:val="0"/>
              <w:kinsoku/>
              <w:wordWrap/>
              <w:overflowPunct/>
              <w:topLinePunct w:val="0"/>
              <w:autoSpaceDE/>
              <w:autoSpaceDN/>
              <w:bidi w:val="0"/>
              <w:adjustRightInd/>
              <w:snapToGrid/>
              <w:spacing w:before="68" w:after="0" w:line="221" w:lineRule="auto"/>
              <w:ind w:left="1476"/>
              <w:textAlignment w:val="auto"/>
              <w:rPr>
                <w:rFonts w:ascii="宋体" w:hAnsi="宋体" w:eastAsia="宋体" w:cs="宋体"/>
                <w:szCs w:val="21"/>
              </w:rPr>
            </w:pPr>
            <w:r>
              <w:rPr>
                <w:rFonts w:ascii="宋体" w:hAnsi="宋体" w:eastAsia="宋体" w:cs="宋体"/>
                <w:spacing w:val="-1"/>
                <w:szCs w:val="21"/>
              </w:rPr>
              <w:t>内  容</w:t>
            </w:r>
          </w:p>
        </w:tc>
        <w:tc>
          <w:tcPr>
            <w:tcW w:w="2159" w:type="dxa"/>
          </w:tcPr>
          <w:p w14:paraId="201BA882">
            <w:pPr>
              <w:pageBreakBefore w:val="0"/>
              <w:widowControl w:val="0"/>
              <w:kinsoku/>
              <w:wordWrap/>
              <w:overflowPunct/>
              <w:topLinePunct w:val="0"/>
              <w:autoSpaceDE/>
              <w:autoSpaceDN/>
              <w:bidi w:val="0"/>
              <w:adjustRightInd/>
              <w:snapToGrid/>
              <w:spacing w:before="130" w:after="0" w:line="221" w:lineRule="auto"/>
              <w:ind w:left="766"/>
              <w:textAlignment w:val="auto"/>
              <w:rPr>
                <w:rFonts w:ascii="宋体" w:hAnsi="宋体" w:eastAsia="宋体" w:cs="宋体"/>
                <w:szCs w:val="21"/>
              </w:rPr>
            </w:pPr>
            <w:r>
              <w:rPr>
                <w:rFonts w:ascii="宋体" w:hAnsi="宋体" w:eastAsia="宋体" w:cs="宋体"/>
                <w:spacing w:val="-1"/>
                <w:szCs w:val="21"/>
              </w:rPr>
              <w:t>数  量</w:t>
            </w:r>
          </w:p>
        </w:tc>
        <w:tc>
          <w:tcPr>
            <w:tcW w:w="2186" w:type="dxa"/>
          </w:tcPr>
          <w:p w14:paraId="601C5725">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3A481111">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79C37EDB">
            <w:pPr>
              <w:pageBreakBefore w:val="0"/>
              <w:widowControl w:val="0"/>
              <w:kinsoku/>
              <w:wordWrap/>
              <w:overflowPunct/>
              <w:topLinePunct w:val="0"/>
              <w:autoSpaceDE/>
              <w:autoSpaceDN/>
              <w:bidi w:val="0"/>
              <w:adjustRightInd/>
              <w:snapToGrid/>
              <w:spacing w:before="130" w:after="0" w:line="222" w:lineRule="auto"/>
              <w:ind w:left="770"/>
              <w:textAlignment w:val="auto"/>
              <w:rPr>
                <w:rFonts w:ascii="宋体" w:hAnsi="宋体" w:eastAsia="宋体" w:cs="宋体"/>
                <w:szCs w:val="21"/>
              </w:rPr>
            </w:pPr>
            <w:r>
              <w:rPr>
                <w:rFonts w:ascii="宋体" w:hAnsi="宋体" w:eastAsia="宋体" w:cs="宋体"/>
                <w:spacing w:val="-1"/>
                <w:szCs w:val="21"/>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pageBreakBefore w:val="0"/>
              <w:widowControl w:val="0"/>
              <w:kinsoku/>
              <w:wordWrap/>
              <w:overflowPunct/>
              <w:topLinePunct w:val="0"/>
              <w:autoSpaceDE/>
              <w:autoSpaceDN/>
              <w:bidi w:val="0"/>
              <w:adjustRightInd/>
              <w:snapToGrid/>
              <w:spacing w:after="0"/>
              <w:textAlignment w:val="auto"/>
              <w:rPr>
                <w:rFonts w:ascii="Arial"/>
              </w:rPr>
            </w:pPr>
          </w:p>
        </w:tc>
        <w:tc>
          <w:tcPr>
            <w:tcW w:w="3530" w:type="dxa"/>
            <w:vMerge w:val="continue"/>
            <w:tcBorders>
              <w:top w:val="nil"/>
            </w:tcBorders>
          </w:tcPr>
          <w:p w14:paraId="66F8D401">
            <w:pPr>
              <w:pageBreakBefore w:val="0"/>
              <w:widowControl w:val="0"/>
              <w:kinsoku/>
              <w:wordWrap/>
              <w:overflowPunct/>
              <w:topLinePunct w:val="0"/>
              <w:autoSpaceDE/>
              <w:autoSpaceDN/>
              <w:bidi w:val="0"/>
              <w:adjustRightInd/>
              <w:snapToGrid/>
              <w:spacing w:after="0"/>
              <w:textAlignment w:val="auto"/>
              <w:rPr>
                <w:rFonts w:ascii="Arial"/>
              </w:rPr>
            </w:pPr>
          </w:p>
        </w:tc>
        <w:tc>
          <w:tcPr>
            <w:tcW w:w="2159" w:type="dxa"/>
          </w:tcPr>
          <w:p w14:paraId="72EA0C97">
            <w:pPr>
              <w:pageBreakBefore w:val="0"/>
              <w:widowControl w:val="0"/>
              <w:kinsoku/>
              <w:wordWrap/>
              <w:overflowPunct/>
              <w:topLinePunct w:val="0"/>
              <w:autoSpaceDE/>
              <w:autoSpaceDN/>
              <w:bidi w:val="0"/>
              <w:adjustRightInd/>
              <w:snapToGrid/>
              <w:spacing w:before="160" w:after="0" w:line="186" w:lineRule="auto"/>
              <w:ind w:left="1044"/>
              <w:textAlignment w:val="auto"/>
              <w:rPr>
                <w:rFonts w:ascii="宋体" w:hAnsi="宋体" w:eastAsia="宋体" w:cs="宋体"/>
                <w:szCs w:val="21"/>
              </w:rPr>
            </w:pPr>
            <w:r>
              <w:rPr>
                <w:rFonts w:ascii="宋体" w:hAnsi="宋体" w:eastAsia="宋体" w:cs="宋体"/>
                <w:szCs w:val="21"/>
              </w:rPr>
              <w:t>1</w:t>
            </w:r>
          </w:p>
        </w:tc>
        <w:tc>
          <w:tcPr>
            <w:tcW w:w="2186" w:type="dxa"/>
          </w:tcPr>
          <w:p w14:paraId="17F20215">
            <w:pPr>
              <w:pageBreakBefore w:val="0"/>
              <w:widowControl w:val="0"/>
              <w:kinsoku/>
              <w:wordWrap/>
              <w:overflowPunct/>
              <w:topLinePunct w:val="0"/>
              <w:autoSpaceDE/>
              <w:autoSpaceDN/>
              <w:bidi w:val="0"/>
              <w:adjustRightInd/>
              <w:snapToGrid/>
              <w:spacing w:before="161" w:after="0" w:line="185" w:lineRule="auto"/>
              <w:ind w:left="1047"/>
              <w:textAlignment w:val="auto"/>
              <w:rPr>
                <w:rFonts w:ascii="宋体" w:hAnsi="宋体" w:eastAsia="宋体" w:cs="宋体"/>
                <w:szCs w:val="21"/>
              </w:rPr>
            </w:pPr>
            <w:r>
              <w:rPr>
                <w:rFonts w:ascii="宋体" w:hAnsi="宋体" w:eastAsia="宋体" w:cs="宋体"/>
                <w:szCs w:val="21"/>
              </w:rPr>
              <w:t>2</w:t>
            </w:r>
          </w:p>
        </w:tc>
        <w:tc>
          <w:tcPr>
            <w:tcW w:w="2596" w:type="dxa"/>
          </w:tcPr>
          <w:p w14:paraId="3A46919B">
            <w:pPr>
              <w:pageBreakBefore w:val="0"/>
              <w:widowControl w:val="0"/>
              <w:kinsoku/>
              <w:wordWrap/>
              <w:overflowPunct/>
              <w:topLinePunct w:val="0"/>
              <w:autoSpaceDE/>
              <w:autoSpaceDN/>
              <w:bidi w:val="0"/>
              <w:adjustRightInd/>
              <w:snapToGrid/>
              <w:spacing w:before="126" w:after="0" w:line="223" w:lineRule="auto"/>
              <w:ind w:left="835"/>
              <w:textAlignment w:val="auto"/>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04CC711">
            <w:pPr>
              <w:pageBreakBefore w:val="0"/>
              <w:widowControl w:val="0"/>
              <w:kinsoku/>
              <w:wordWrap/>
              <w:overflowPunct/>
              <w:topLinePunct w:val="0"/>
              <w:autoSpaceDE/>
              <w:autoSpaceDN/>
              <w:bidi w:val="0"/>
              <w:adjustRightInd/>
              <w:snapToGrid/>
              <w:spacing w:before="161" w:after="0" w:line="185" w:lineRule="auto"/>
              <w:ind w:left="1031"/>
              <w:textAlignment w:val="auto"/>
              <w:rPr>
                <w:rFonts w:ascii="宋体" w:hAnsi="宋体" w:eastAsia="宋体" w:cs="宋体"/>
                <w:szCs w:val="21"/>
              </w:rPr>
            </w:pPr>
            <w:r>
              <w:rPr>
                <w:rFonts w:ascii="宋体" w:hAnsi="宋体" w:eastAsia="宋体" w:cs="宋体"/>
                <w:szCs w:val="21"/>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pageBreakBefore w:val="0"/>
              <w:widowControl w:val="0"/>
              <w:kinsoku/>
              <w:wordWrap/>
              <w:overflowPunct/>
              <w:topLinePunct w:val="0"/>
              <w:autoSpaceDE/>
              <w:autoSpaceDN/>
              <w:bidi w:val="0"/>
              <w:adjustRightInd/>
              <w:snapToGrid/>
              <w:spacing w:before="244" w:after="0" w:line="185" w:lineRule="auto"/>
              <w:ind w:left="353"/>
              <w:textAlignment w:val="auto"/>
              <w:rPr>
                <w:rFonts w:ascii="宋体" w:hAnsi="宋体" w:eastAsia="宋体" w:cs="宋体"/>
                <w:szCs w:val="21"/>
              </w:rPr>
            </w:pPr>
            <w:r>
              <w:rPr>
                <w:rFonts w:hint="eastAsia" w:ascii="宋体" w:hAnsi="宋体" w:eastAsia="宋体" w:cs="宋体"/>
                <w:szCs w:val="21"/>
              </w:rPr>
              <w:t>1</w:t>
            </w:r>
          </w:p>
        </w:tc>
        <w:tc>
          <w:tcPr>
            <w:tcW w:w="3530" w:type="dxa"/>
          </w:tcPr>
          <w:p w14:paraId="0D71715D">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416BEDF">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07A552CC">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6C661128">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2AD1C73">
            <w:pPr>
              <w:pageBreakBefore w:val="0"/>
              <w:widowControl w:val="0"/>
              <w:kinsoku/>
              <w:wordWrap/>
              <w:overflowPunct/>
              <w:topLinePunct w:val="0"/>
              <w:autoSpaceDE/>
              <w:autoSpaceDN/>
              <w:bidi w:val="0"/>
              <w:adjustRightInd/>
              <w:snapToGrid/>
              <w:spacing w:after="0"/>
              <w:textAlignment w:val="auto"/>
              <w:rPr>
                <w:rFonts w:ascii="Arial"/>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pageBreakBefore w:val="0"/>
              <w:widowControl w:val="0"/>
              <w:kinsoku/>
              <w:wordWrap/>
              <w:overflowPunct/>
              <w:topLinePunct w:val="0"/>
              <w:autoSpaceDE/>
              <w:autoSpaceDN/>
              <w:bidi w:val="0"/>
              <w:adjustRightInd/>
              <w:snapToGrid/>
              <w:spacing w:before="245" w:after="0" w:line="183" w:lineRule="auto"/>
              <w:ind w:left="355"/>
              <w:textAlignment w:val="auto"/>
              <w:rPr>
                <w:rFonts w:ascii="宋体" w:hAnsi="宋体" w:eastAsia="宋体" w:cs="宋体"/>
                <w:szCs w:val="21"/>
              </w:rPr>
            </w:pPr>
            <w:r>
              <w:rPr>
                <w:rFonts w:hint="eastAsia" w:ascii="宋体" w:hAnsi="宋体" w:eastAsia="宋体" w:cs="宋体"/>
                <w:szCs w:val="21"/>
              </w:rPr>
              <w:t>2</w:t>
            </w:r>
          </w:p>
        </w:tc>
        <w:tc>
          <w:tcPr>
            <w:tcW w:w="3530" w:type="dxa"/>
          </w:tcPr>
          <w:p w14:paraId="772476CC">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CEE581C">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6EB70881">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7ECE3100">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restart"/>
            <w:tcBorders>
              <w:bottom w:val="nil"/>
            </w:tcBorders>
          </w:tcPr>
          <w:p w14:paraId="473ABBD2">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334433A4">
            <w:pPr>
              <w:pageBreakBefore w:val="0"/>
              <w:widowControl w:val="0"/>
              <w:kinsoku/>
              <w:wordWrap/>
              <w:overflowPunct/>
              <w:topLinePunct w:val="0"/>
              <w:autoSpaceDE/>
              <w:autoSpaceDN/>
              <w:bidi w:val="0"/>
              <w:adjustRightInd/>
              <w:snapToGrid/>
              <w:spacing w:before="68" w:after="0" w:line="300" w:lineRule="auto"/>
              <w:ind w:left="873" w:right="133" w:hanging="734"/>
              <w:textAlignment w:val="auto"/>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pageBreakBefore w:val="0"/>
              <w:widowControl w:val="0"/>
              <w:kinsoku/>
              <w:wordWrap/>
              <w:overflowPunct/>
              <w:topLinePunct w:val="0"/>
              <w:autoSpaceDE/>
              <w:autoSpaceDN/>
              <w:bidi w:val="0"/>
              <w:adjustRightInd/>
              <w:snapToGrid/>
              <w:spacing w:before="248" w:after="0" w:line="185" w:lineRule="auto"/>
              <w:ind w:left="350"/>
              <w:textAlignment w:val="auto"/>
              <w:rPr>
                <w:rFonts w:ascii="宋体" w:hAnsi="宋体" w:eastAsia="宋体" w:cs="宋体"/>
                <w:szCs w:val="21"/>
              </w:rPr>
            </w:pPr>
            <w:r>
              <w:rPr>
                <w:rFonts w:hint="eastAsia" w:ascii="宋体" w:hAnsi="宋体" w:eastAsia="宋体" w:cs="宋体"/>
                <w:szCs w:val="21"/>
              </w:rPr>
              <w:t>3</w:t>
            </w:r>
          </w:p>
        </w:tc>
        <w:tc>
          <w:tcPr>
            <w:tcW w:w="3530" w:type="dxa"/>
          </w:tcPr>
          <w:p w14:paraId="11EEE4C0">
            <w:pPr>
              <w:pageBreakBefore w:val="0"/>
              <w:widowControl w:val="0"/>
              <w:kinsoku/>
              <w:wordWrap/>
              <w:overflowPunct/>
              <w:topLinePunct w:val="0"/>
              <w:autoSpaceDE/>
              <w:autoSpaceDN/>
              <w:bidi w:val="0"/>
              <w:adjustRightInd/>
              <w:snapToGrid/>
              <w:spacing w:before="212" w:after="0" w:line="221" w:lineRule="auto"/>
              <w:ind w:left="1241"/>
              <w:textAlignment w:val="auto"/>
              <w:rPr>
                <w:rFonts w:ascii="宋体" w:hAnsi="宋体" w:eastAsia="宋体" w:cs="宋体"/>
                <w:szCs w:val="21"/>
              </w:rPr>
            </w:pPr>
            <w:r>
              <w:rPr>
                <w:rFonts w:ascii="宋体" w:hAnsi="宋体" w:eastAsia="宋体" w:cs="宋体"/>
                <w:spacing w:val="-1"/>
                <w:szCs w:val="21"/>
              </w:rPr>
              <w:t>运输保险费</w:t>
            </w:r>
          </w:p>
        </w:tc>
        <w:tc>
          <w:tcPr>
            <w:tcW w:w="2159" w:type="dxa"/>
          </w:tcPr>
          <w:p w14:paraId="14CA5339">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0E77166">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9F618AB">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continue"/>
            <w:tcBorders>
              <w:top w:val="nil"/>
            </w:tcBorders>
          </w:tcPr>
          <w:p w14:paraId="311D1DF5">
            <w:pPr>
              <w:pageBreakBefore w:val="0"/>
              <w:widowControl w:val="0"/>
              <w:kinsoku/>
              <w:wordWrap/>
              <w:overflowPunct/>
              <w:topLinePunct w:val="0"/>
              <w:autoSpaceDE/>
              <w:autoSpaceDN/>
              <w:bidi w:val="0"/>
              <w:adjustRightInd/>
              <w:snapToGrid/>
              <w:spacing w:after="0"/>
              <w:textAlignment w:val="auto"/>
              <w:rPr>
                <w:rFonts w:ascii="Arial"/>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pageBreakBefore w:val="0"/>
              <w:widowControl w:val="0"/>
              <w:kinsoku/>
              <w:wordWrap/>
              <w:overflowPunct/>
              <w:topLinePunct w:val="0"/>
              <w:autoSpaceDE/>
              <w:autoSpaceDN/>
              <w:bidi w:val="0"/>
              <w:adjustRightInd/>
              <w:snapToGrid/>
              <w:spacing w:before="247" w:after="0" w:line="182" w:lineRule="auto"/>
              <w:ind w:left="355"/>
              <w:textAlignment w:val="auto"/>
              <w:rPr>
                <w:rFonts w:ascii="宋体" w:hAnsi="宋体" w:eastAsia="宋体" w:cs="宋体"/>
                <w:szCs w:val="21"/>
              </w:rPr>
            </w:pPr>
            <w:r>
              <w:rPr>
                <w:rFonts w:hint="eastAsia" w:ascii="宋体" w:hAnsi="宋体" w:eastAsia="宋体" w:cs="宋体"/>
                <w:szCs w:val="21"/>
              </w:rPr>
              <w:t>4</w:t>
            </w:r>
          </w:p>
        </w:tc>
        <w:tc>
          <w:tcPr>
            <w:tcW w:w="3530" w:type="dxa"/>
          </w:tcPr>
          <w:p w14:paraId="5FF1BF44">
            <w:pPr>
              <w:pageBreakBefore w:val="0"/>
              <w:widowControl w:val="0"/>
              <w:kinsoku/>
              <w:wordWrap/>
              <w:overflowPunct/>
              <w:topLinePunct w:val="0"/>
              <w:autoSpaceDE/>
              <w:autoSpaceDN/>
              <w:bidi w:val="0"/>
              <w:adjustRightInd/>
              <w:snapToGrid/>
              <w:spacing w:before="210" w:after="0" w:line="221" w:lineRule="auto"/>
              <w:ind w:left="1450"/>
              <w:textAlignment w:val="auto"/>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8437303">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2EA015BB">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E6E6007">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7B66D61D">
            <w:pPr>
              <w:pageBreakBefore w:val="0"/>
              <w:widowControl w:val="0"/>
              <w:kinsoku/>
              <w:wordWrap/>
              <w:overflowPunct/>
              <w:topLinePunct w:val="0"/>
              <w:autoSpaceDE/>
              <w:autoSpaceDN/>
              <w:bidi w:val="0"/>
              <w:adjustRightInd/>
              <w:snapToGrid/>
              <w:spacing w:before="210" w:after="0" w:line="221" w:lineRule="auto"/>
              <w:ind w:left="457"/>
              <w:textAlignment w:val="auto"/>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5</w:t>
            </w:r>
          </w:p>
        </w:tc>
        <w:tc>
          <w:tcPr>
            <w:tcW w:w="3530" w:type="dxa"/>
          </w:tcPr>
          <w:p w14:paraId="598B7618">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zCs w:val="21"/>
              </w:rPr>
            </w:pPr>
            <w:r>
              <w:rPr>
                <w:rFonts w:hint="eastAsia" w:ascii="宋体" w:hAnsi="宋体" w:eastAsia="宋体" w:cs="宋体"/>
                <w:spacing w:val="-2"/>
                <w:szCs w:val="21"/>
              </w:rPr>
              <w:t>土建</w:t>
            </w:r>
          </w:p>
        </w:tc>
        <w:tc>
          <w:tcPr>
            <w:tcW w:w="2159" w:type="dxa"/>
          </w:tcPr>
          <w:p w14:paraId="563E5E58">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1B637D4">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6887C09">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D0B2BB4">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E1C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E7A42E">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6</w:t>
            </w:r>
          </w:p>
        </w:tc>
        <w:tc>
          <w:tcPr>
            <w:tcW w:w="3530" w:type="dxa"/>
          </w:tcPr>
          <w:p w14:paraId="7E9232A1">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pacing w:val="-2"/>
                <w:szCs w:val="21"/>
              </w:rPr>
            </w:pPr>
            <w:r>
              <w:rPr>
                <w:rFonts w:ascii="宋体" w:hAnsi="宋体" w:eastAsia="宋体" w:cs="宋体"/>
                <w:spacing w:val="-2"/>
                <w:szCs w:val="21"/>
              </w:rPr>
              <w:t>其他</w:t>
            </w:r>
          </w:p>
        </w:tc>
        <w:tc>
          <w:tcPr>
            <w:tcW w:w="2159" w:type="dxa"/>
          </w:tcPr>
          <w:p w14:paraId="49AD33FD">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14B04129">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8C089FA">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1D7A0B9F">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pageBreakBefore w:val="0"/>
              <w:widowControl w:val="0"/>
              <w:kinsoku/>
              <w:wordWrap/>
              <w:overflowPunct/>
              <w:topLinePunct w:val="0"/>
              <w:autoSpaceDE/>
              <w:autoSpaceDN/>
              <w:bidi w:val="0"/>
              <w:adjustRightInd/>
              <w:snapToGrid/>
              <w:spacing w:before="211" w:after="0" w:line="219" w:lineRule="auto"/>
              <w:ind w:left="3008"/>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D4B4CE">
            <w:pPr>
              <w:pageBreakBefore w:val="0"/>
              <w:widowControl w:val="0"/>
              <w:kinsoku/>
              <w:wordWrap/>
              <w:overflowPunct/>
              <w:topLinePunct w:val="0"/>
              <w:autoSpaceDE/>
              <w:autoSpaceDN/>
              <w:bidi w:val="0"/>
              <w:adjustRightInd/>
              <w:snapToGrid/>
              <w:spacing w:before="211"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9E782E3">
      <w:pPr>
        <w:pageBreakBefore w:val="0"/>
        <w:widowControl w:val="0"/>
        <w:kinsoku/>
        <w:wordWrap/>
        <w:overflowPunct/>
        <w:topLinePunct w:val="0"/>
        <w:autoSpaceDE/>
        <w:autoSpaceDN/>
        <w:bidi w:val="0"/>
        <w:adjustRightInd/>
        <w:snapToGrid/>
        <w:spacing w:after="0" w:line="172" w:lineRule="exact"/>
        <w:textAlignment w:val="auto"/>
      </w:pPr>
    </w:p>
    <w:p w14:paraId="41953141">
      <w:pPr>
        <w:pageBreakBefore w:val="0"/>
        <w:widowControl w:val="0"/>
        <w:kinsoku/>
        <w:wordWrap/>
        <w:overflowPunct/>
        <w:topLinePunct w:val="0"/>
        <w:autoSpaceDE/>
        <w:autoSpaceDN/>
        <w:bidi w:val="0"/>
        <w:adjustRightInd/>
        <w:snapToGrid/>
        <w:spacing w:before="59" w:after="0" w:line="219" w:lineRule="auto"/>
        <w:ind w:left="211"/>
        <w:textAlignment w:val="auto"/>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38F6EF2">
      <w:pPr>
        <w:pageBreakBefore w:val="0"/>
        <w:widowControl w:val="0"/>
        <w:kinsoku/>
        <w:wordWrap/>
        <w:overflowPunct/>
        <w:topLinePunct w:val="0"/>
        <w:autoSpaceDE/>
        <w:autoSpaceDN/>
        <w:bidi w:val="0"/>
        <w:adjustRightInd/>
        <w:snapToGrid/>
        <w:spacing w:before="77" w:after="0"/>
        <w:ind w:left="633"/>
        <w:textAlignment w:val="auto"/>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09FF5B6">
      <w:pPr>
        <w:pageBreakBefore w:val="0"/>
        <w:widowControl w:val="0"/>
        <w:kinsoku/>
        <w:wordWrap/>
        <w:overflowPunct/>
        <w:topLinePunct w:val="0"/>
        <w:autoSpaceDE/>
        <w:autoSpaceDN/>
        <w:bidi w:val="0"/>
        <w:adjustRightInd/>
        <w:snapToGrid/>
        <w:spacing w:before="64" w:after="0" w:line="198" w:lineRule="auto"/>
        <w:ind w:firstLine="606" w:firstLineChars="300"/>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3A1F8A6">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7CCAE4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245D09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1B5EF77C">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5491B5A">
      <w:pPr>
        <w:rPr>
          <w:sz w:val="24"/>
          <w:szCs w:val="24"/>
        </w:rPr>
        <w:sectPr>
          <w:headerReference r:id="rId13" w:type="default"/>
          <w:footerReference r:id="rId14" w:type="default"/>
          <w:pgSz w:w="16841" w:h="11907"/>
          <w:pgMar w:top="400" w:right="1699" w:bottom="1184" w:left="1481" w:header="0" w:footer="1022" w:gutter="0"/>
          <w:pgNumType w:fmt="numberInDash"/>
          <w:cols w:space="720" w:num="1"/>
        </w:sectPr>
      </w:pPr>
    </w:p>
    <w:p w14:paraId="00AB143B">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3E33C851">
      <w:pPr>
        <w:pageBreakBefore w:val="0"/>
        <w:widowControl w:val="0"/>
        <w:kinsoku/>
        <w:wordWrap/>
        <w:overflowPunct/>
        <w:topLinePunct w:val="0"/>
        <w:autoSpaceDE/>
        <w:autoSpaceDN/>
        <w:bidi w:val="0"/>
        <w:adjustRightInd/>
        <w:snapToGrid/>
        <w:spacing w:before="104" w:after="0" w:line="224" w:lineRule="auto"/>
        <w:ind w:left="5024"/>
        <w:textAlignment w:val="auto"/>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3989DB2">
      <w:pPr>
        <w:pageBreakBefore w:val="0"/>
        <w:widowControl w:val="0"/>
        <w:kinsoku/>
        <w:wordWrap/>
        <w:overflowPunct/>
        <w:topLinePunct w:val="0"/>
        <w:autoSpaceDE/>
        <w:autoSpaceDN/>
        <w:bidi w:val="0"/>
        <w:adjustRightInd/>
        <w:snapToGrid/>
        <w:spacing w:before="134" w:after="0" w:line="221" w:lineRule="auto"/>
        <w:ind w:left="212"/>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E6ABE6">
      <w:pPr>
        <w:pageBreakBefore w:val="0"/>
        <w:widowControl w:val="0"/>
        <w:kinsoku/>
        <w:wordWrap/>
        <w:overflowPunct/>
        <w:topLinePunct w:val="0"/>
        <w:autoSpaceDE/>
        <w:autoSpaceDN/>
        <w:bidi w:val="0"/>
        <w:adjustRightInd/>
        <w:snapToGrid/>
        <w:spacing w:after="0"/>
        <w:textAlignment w:val="auto"/>
      </w:pPr>
    </w:p>
    <w:p w14:paraId="5C5D8885">
      <w:pPr>
        <w:pageBreakBefore w:val="0"/>
        <w:widowControl w:val="0"/>
        <w:kinsoku/>
        <w:wordWrap/>
        <w:overflowPunct/>
        <w:topLinePunct w:val="0"/>
        <w:autoSpaceDE/>
        <w:autoSpaceDN/>
        <w:bidi w:val="0"/>
        <w:adjustRightInd/>
        <w:snapToGrid/>
        <w:spacing w:after="0" w:line="20" w:lineRule="exact"/>
        <w:textAlignment w:val="auto"/>
      </w:pPr>
    </w:p>
    <w:tbl>
      <w:tblPr>
        <w:tblStyle w:val="11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1B6DD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751A0C2">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190E92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53E06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pageBreakBefore w:val="0"/>
              <w:widowControl w:val="0"/>
              <w:kinsoku/>
              <w:wordWrap/>
              <w:overflowPunct/>
              <w:topLinePunct w:val="0"/>
              <w:autoSpaceDE/>
              <w:autoSpaceDN/>
              <w:bidi w:val="0"/>
              <w:adjustRightInd/>
              <w:snapToGrid/>
              <w:spacing w:before="300" w:after="0" w:line="186" w:lineRule="auto"/>
              <w:jc w:val="center"/>
              <w:textAlignment w:val="auto"/>
              <w:rPr>
                <w:rFonts w:ascii="宋体" w:hAnsi="宋体" w:eastAsia="宋体" w:cs="宋体"/>
                <w:szCs w:val="21"/>
              </w:rPr>
            </w:pPr>
            <w:r>
              <w:rPr>
                <w:rFonts w:ascii="宋体" w:hAnsi="宋体" w:eastAsia="宋体" w:cs="宋体"/>
                <w:szCs w:val="21"/>
              </w:rPr>
              <w:t>1</w:t>
            </w:r>
          </w:p>
        </w:tc>
        <w:tc>
          <w:tcPr>
            <w:tcW w:w="3625" w:type="dxa"/>
            <w:vAlign w:val="center"/>
          </w:tcPr>
          <w:p w14:paraId="521003B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4B6B621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19FDC2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CCED54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45D82B41">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1003422">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pageBreakBefore w:val="0"/>
              <w:widowControl w:val="0"/>
              <w:kinsoku/>
              <w:wordWrap/>
              <w:overflowPunct/>
              <w:topLinePunct w:val="0"/>
              <w:autoSpaceDE/>
              <w:autoSpaceDN/>
              <w:bidi w:val="0"/>
              <w:adjustRightInd/>
              <w:snapToGrid/>
              <w:spacing w:before="302" w:after="0" w:line="185" w:lineRule="auto"/>
              <w:jc w:val="center"/>
              <w:textAlignment w:val="auto"/>
              <w:rPr>
                <w:rFonts w:ascii="宋体" w:hAnsi="宋体" w:eastAsia="宋体" w:cs="宋体"/>
                <w:szCs w:val="21"/>
              </w:rPr>
            </w:pPr>
            <w:r>
              <w:rPr>
                <w:rFonts w:ascii="宋体" w:hAnsi="宋体" w:eastAsia="宋体" w:cs="宋体"/>
                <w:szCs w:val="21"/>
              </w:rPr>
              <w:t>2</w:t>
            </w:r>
          </w:p>
        </w:tc>
        <w:tc>
          <w:tcPr>
            <w:tcW w:w="3625" w:type="dxa"/>
            <w:vAlign w:val="center"/>
          </w:tcPr>
          <w:p w14:paraId="4117359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326F5AF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501744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53D754C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06DC8075">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5438CF6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pageBreakBefore w:val="0"/>
              <w:widowControl w:val="0"/>
              <w:kinsoku/>
              <w:wordWrap/>
              <w:overflowPunct/>
              <w:topLinePunct w:val="0"/>
              <w:autoSpaceDE/>
              <w:autoSpaceDN/>
              <w:bidi w:val="0"/>
              <w:adjustRightInd/>
              <w:snapToGrid/>
              <w:spacing w:before="303" w:after="0" w:line="183" w:lineRule="auto"/>
              <w:jc w:val="center"/>
              <w:textAlignment w:val="auto"/>
              <w:rPr>
                <w:rFonts w:ascii="宋体" w:hAnsi="宋体" w:eastAsia="宋体" w:cs="宋体"/>
                <w:szCs w:val="21"/>
              </w:rPr>
            </w:pPr>
            <w:r>
              <w:rPr>
                <w:rFonts w:ascii="宋体" w:hAnsi="宋体" w:eastAsia="宋体" w:cs="宋体"/>
                <w:szCs w:val="21"/>
              </w:rPr>
              <w:t>3</w:t>
            </w:r>
          </w:p>
        </w:tc>
        <w:tc>
          <w:tcPr>
            <w:tcW w:w="3625" w:type="dxa"/>
            <w:vAlign w:val="center"/>
          </w:tcPr>
          <w:p w14:paraId="583B240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6FE1A82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EFE012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317EBBD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65F8E0F3">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7DAACD0">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pageBreakBefore w:val="0"/>
              <w:widowControl w:val="0"/>
              <w:kinsoku/>
              <w:wordWrap/>
              <w:overflowPunct/>
              <w:topLinePunct w:val="0"/>
              <w:autoSpaceDE/>
              <w:autoSpaceDN/>
              <w:bidi w:val="0"/>
              <w:adjustRightInd/>
              <w:snapToGrid/>
              <w:spacing w:before="306" w:after="0" w:line="182" w:lineRule="auto"/>
              <w:jc w:val="center"/>
              <w:textAlignment w:val="auto"/>
              <w:rPr>
                <w:rFonts w:ascii="宋体" w:hAnsi="宋体" w:eastAsia="宋体" w:cs="宋体"/>
                <w:szCs w:val="21"/>
              </w:rPr>
            </w:pPr>
            <w:r>
              <w:rPr>
                <w:rFonts w:hint="eastAsia" w:ascii="宋体" w:hAnsi="宋体" w:eastAsia="宋体" w:cs="宋体"/>
                <w:szCs w:val="21"/>
              </w:rPr>
              <w:t>4</w:t>
            </w:r>
          </w:p>
        </w:tc>
        <w:tc>
          <w:tcPr>
            <w:tcW w:w="3625" w:type="dxa"/>
            <w:vAlign w:val="center"/>
          </w:tcPr>
          <w:p w14:paraId="48F837B5">
            <w:pPr>
              <w:pageBreakBefore w:val="0"/>
              <w:widowControl w:val="0"/>
              <w:kinsoku/>
              <w:wordWrap/>
              <w:overflowPunct/>
              <w:topLinePunct w:val="0"/>
              <w:autoSpaceDE/>
              <w:autoSpaceDN/>
              <w:bidi w:val="0"/>
              <w:adjustRightInd/>
              <w:snapToGrid/>
              <w:spacing w:before="268" w:after="0" w:line="221" w:lineRule="auto"/>
              <w:jc w:val="center"/>
              <w:textAlignment w:val="auto"/>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57DF3F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C063DEC">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682813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27A500C4">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001B1F7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FC97697">
      <w:pPr>
        <w:pageBreakBefore w:val="0"/>
        <w:widowControl w:val="0"/>
        <w:kinsoku/>
        <w:wordWrap/>
        <w:overflowPunct/>
        <w:topLinePunct w:val="0"/>
        <w:autoSpaceDE/>
        <w:autoSpaceDN/>
        <w:bidi w:val="0"/>
        <w:adjustRightInd/>
        <w:snapToGrid/>
        <w:spacing w:before="78" w:after="0" w:line="224" w:lineRule="auto"/>
        <w:ind w:firstLine="178" w:firstLineChars="100"/>
        <w:textAlignment w:val="auto"/>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D74391">
      <w:pPr>
        <w:pageBreakBefore w:val="0"/>
        <w:widowControl w:val="0"/>
        <w:kinsoku/>
        <w:wordWrap/>
        <w:overflowPunct/>
        <w:topLinePunct w:val="0"/>
        <w:autoSpaceDE/>
        <w:autoSpaceDN/>
        <w:bidi w:val="0"/>
        <w:adjustRightInd/>
        <w:snapToGrid/>
        <w:spacing w:before="75" w:after="0" w:line="219" w:lineRule="auto"/>
        <w:ind w:left="409" w:firstLine="396" w:firstLineChars="200"/>
        <w:textAlignment w:val="auto"/>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347DACE">
      <w:pPr>
        <w:pageBreakBefore w:val="0"/>
        <w:widowControl w:val="0"/>
        <w:kinsoku/>
        <w:wordWrap/>
        <w:overflowPunct/>
        <w:topLinePunct w:val="0"/>
        <w:autoSpaceDE/>
        <w:autoSpaceDN/>
        <w:bidi w:val="0"/>
        <w:adjustRightInd/>
        <w:snapToGrid/>
        <w:spacing w:before="35" w:after="0" w:line="239" w:lineRule="auto"/>
        <w:ind w:firstLine="824" w:firstLineChars="400"/>
        <w:textAlignment w:val="auto"/>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A1F577">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E52ADF9">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E8F7D5">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8788011">
      <w:pPr>
        <w:pageBreakBefore w:val="0"/>
        <w:widowControl w:val="0"/>
        <w:kinsoku/>
        <w:wordWrap/>
        <w:overflowPunct/>
        <w:topLinePunct w:val="0"/>
        <w:autoSpaceDE/>
        <w:autoSpaceDN/>
        <w:bidi w:val="0"/>
        <w:adjustRightInd/>
        <w:snapToGrid/>
        <w:spacing w:after="0"/>
        <w:textAlignment w:val="auto"/>
      </w:pPr>
    </w:p>
    <w:p w14:paraId="71D5F646">
      <w:pPr>
        <w:pStyle w:val="14"/>
        <w:pageBreakBefore w:val="0"/>
        <w:widowControl w:val="0"/>
        <w:kinsoku/>
        <w:wordWrap/>
        <w:overflowPunct/>
        <w:topLinePunct w:val="0"/>
        <w:autoSpaceDE/>
        <w:autoSpaceDN/>
        <w:bidi w:val="0"/>
        <w:adjustRightInd/>
        <w:snapToGrid/>
        <w:spacing w:after="0"/>
        <w:textAlignment w:val="auto"/>
      </w:pPr>
    </w:p>
    <w:p w14:paraId="3855BD10">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C42DC5D">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sectPr>
          <w:footerReference r:id="rId15" w:type="default"/>
          <w:pgSz w:w="16841" w:h="11907"/>
          <w:pgMar w:top="400" w:right="1699" w:bottom="1184" w:left="1481" w:header="0" w:footer="1022" w:gutter="0"/>
          <w:pgNumType w:fmt="numberInDash"/>
          <w:cols w:space="720" w:num="1"/>
        </w:sectPr>
      </w:pPr>
    </w:p>
    <w:p w14:paraId="3C0CB58D">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4E9DACED">
      <w:pPr>
        <w:pageBreakBefore w:val="0"/>
        <w:widowControl w:val="0"/>
        <w:kinsoku/>
        <w:wordWrap/>
        <w:overflowPunct/>
        <w:topLinePunct w:val="0"/>
        <w:autoSpaceDE/>
        <w:autoSpaceDN/>
        <w:bidi w:val="0"/>
        <w:adjustRightInd/>
        <w:snapToGrid/>
        <w:spacing w:before="125" w:after="0" w:line="294" w:lineRule="auto"/>
        <w:ind w:left="6150" w:right="1626" w:hanging="4500"/>
        <w:textAlignment w:val="auto"/>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1FFDD9C">
      <w:pPr>
        <w:pageBreakBefore w:val="0"/>
        <w:widowControl w:val="0"/>
        <w:kinsoku/>
        <w:wordWrap/>
        <w:overflowPunct/>
        <w:topLinePunct w:val="0"/>
        <w:autoSpaceDE/>
        <w:autoSpaceDN/>
        <w:bidi w:val="0"/>
        <w:adjustRightInd/>
        <w:snapToGrid/>
        <w:spacing w:after="0" w:line="220" w:lineRule="auto"/>
        <w:ind w:left="1"/>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FE57786">
      <w:pPr>
        <w:pageBreakBefore w:val="0"/>
        <w:widowControl w:val="0"/>
        <w:kinsoku/>
        <w:wordWrap/>
        <w:overflowPunct/>
        <w:topLinePunct w:val="0"/>
        <w:autoSpaceDE/>
        <w:autoSpaceDN/>
        <w:bidi w:val="0"/>
        <w:adjustRightInd/>
        <w:snapToGrid/>
        <w:spacing w:after="0" w:line="172" w:lineRule="exact"/>
        <w:textAlignment w:val="auto"/>
      </w:pPr>
    </w:p>
    <w:tbl>
      <w:tblPr>
        <w:tblStyle w:val="11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pageBreakBefore w:val="0"/>
              <w:widowControl w:val="0"/>
              <w:kinsoku/>
              <w:wordWrap/>
              <w:overflowPunct/>
              <w:topLinePunct w:val="0"/>
              <w:autoSpaceDE/>
              <w:autoSpaceDN/>
              <w:bidi w:val="0"/>
              <w:adjustRightInd/>
              <w:snapToGrid/>
              <w:spacing w:before="100" w:after="0" w:line="186" w:lineRule="auto"/>
              <w:ind w:left="223"/>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4DB573A">
            <w:pPr>
              <w:pageBreakBefore w:val="0"/>
              <w:widowControl w:val="0"/>
              <w:kinsoku/>
              <w:wordWrap/>
              <w:overflowPunct/>
              <w:topLinePunct w:val="0"/>
              <w:autoSpaceDE/>
              <w:autoSpaceDN/>
              <w:bidi w:val="0"/>
              <w:adjustRightInd/>
              <w:snapToGrid/>
              <w:spacing w:before="101" w:after="0" w:line="185" w:lineRule="auto"/>
              <w:ind w:left="122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DAE04B7">
            <w:pPr>
              <w:pageBreakBefore w:val="0"/>
              <w:widowControl w:val="0"/>
              <w:kinsoku/>
              <w:wordWrap/>
              <w:overflowPunct/>
              <w:topLinePunct w:val="0"/>
              <w:autoSpaceDE/>
              <w:autoSpaceDN/>
              <w:bidi w:val="0"/>
              <w:adjustRightInd/>
              <w:snapToGrid/>
              <w:spacing w:before="102" w:after="0" w:line="183" w:lineRule="auto"/>
              <w:ind w:left="100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7F7C69B">
            <w:pPr>
              <w:pageBreakBefore w:val="0"/>
              <w:widowControl w:val="0"/>
              <w:kinsoku/>
              <w:wordWrap/>
              <w:overflowPunct/>
              <w:topLinePunct w:val="0"/>
              <w:autoSpaceDE/>
              <w:autoSpaceDN/>
              <w:bidi w:val="0"/>
              <w:adjustRightInd/>
              <w:snapToGrid/>
              <w:spacing w:before="101" w:after="0" w:line="185" w:lineRule="auto"/>
              <w:ind w:left="371"/>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78B1840">
            <w:pPr>
              <w:pageBreakBefore w:val="0"/>
              <w:widowControl w:val="0"/>
              <w:kinsoku/>
              <w:wordWrap/>
              <w:overflowPunct/>
              <w:topLinePunct w:val="0"/>
              <w:autoSpaceDE/>
              <w:autoSpaceDN/>
              <w:bidi w:val="0"/>
              <w:adjustRightInd/>
              <w:snapToGrid/>
              <w:spacing w:before="103" w:after="0" w:line="182" w:lineRule="auto"/>
              <w:ind w:left="107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E2E3754">
            <w:pPr>
              <w:pageBreakBefore w:val="0"/>
              <w:widowControl w:val="0"/>
              <w:kinsoku/>
              <w:wordWrap/>
              <w:overflowPunct/>
              <w:topLinePunct w:val="0"/>
              <w:autoSpaceDE/>
              <w:autoSpaceDN/>
              <w:bidi w:val="0"/>
              <w:adjustRightInd/>
              <w:snapToGrid/>
              <w:spacing w:before="102" w:after="0" w:line="183" w:lineRule="auto"/>
              <w:ind w:left="58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1E0D5075">
            <w:pPr>
              <w:pageBreakBefore w:val="0"/>
              <w:widowControl w:val="0"/>
              <w:kinsoku/>
              <w:wordWrap/>
              <w:overflowPunct/>
              <w:topLinePunct w:val="0"/>
              <w:autoSpaceDE/>
              <w:autoSpaceDN/>
              <w:bidi w:val="0"/>
              <w:adjustRightInd/>
              <w:snapToGrid/>
              <w:spacing w:before="103" w:after="0" w:line="182" w:lineRule="auto"/>
              <w:ind w:left="1010"/>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FD46228">
            <w:pPr>
              <w:pageBreakBefore w:val="0"/>
              <w:widowControl w:val="0"/>
              <w:kinsoku/>
              <w:wordWrap/>
              <w:overflowPunct/>
              <w:topLinePunct w:val="0"/>
              <w:autoSpaceDE/>
              <w:autoSpaceDN/>
              <w:bidi w:val="0"/>
              <w:adjustRightInd/>
              <w:snapToGrid/>
              <w:spacing w:before="102" w:after="0" w:line="183" w:lineRule="auto"/>
              <w:ind w:left="516"/>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1C68794">
            <w:pPr>
              <w:pageBreakBefore w:val="0"/>
              <w:widowControl w:val="0"/>
              <w:kinsoku/>
              <w:wordWrap/>
              <w:overflowPunct/>
              <w:topLinePunct w:val="0"/>
              <w:autoSpaceDE/>
              <w:autoSpaceDN/>
              <w:bidi w:val="0"/>
              <w:adjustRightInd/>
              <w:snapToGrid/>
              <w:spacing w:before="102" w:after="0" w:line="183" w:lineRule="auto"/>
              <w:ind w:left="51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729E2C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39229D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FF1403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539550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638089E5">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536FC8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9833EF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B13FEE4">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4ADFBE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1A691A9">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pageBreakBefore w:val="0"/>
              <w:widowControl w:val="0"/>
              <w:kinsoku/>
              <w:wordWrap/>
              <w:overflowPunct/>
              <w:topLinePunct w:val="0"/>
              <w:autoSpaceDE/>
              <w:autoSpaceDN/>
              <w:bidi w:val="0"/>
              <w:adjustRightInd/>
              <w:snapToGrid/>
              <w:spacing w:before="237" w:after="0" w:line="186" w:lineRule="auto"/>
              <w:ind w:left="223"/>
              <w:textAlignment w:val="auto"/>
              <w:rPr>
                <w:rFonts w:ascii="宋体" w:hAnsi="宋体" w:eastAsia="宋体" w:cs="宋体"/>
                <w:szCs w:val="21"/>
              </w:rPr>
            </w:pPr>
            <w:r>
              <w:rPr>
                <w:rFonts w:ascii="宋体" w:hAnsi="宋体" w:eastAsia="宋体" w:cs="宋体"/>
                <w:szCs w:val="21"/>
              </w:rPr>
              <w:t>1</w:t>
            </w:r>
          </w:p>
        </w:tc>
        <w:tc>
          <w:tcPr>
            <w:tcW w:w="2543" w:type="dxa"/>
          </w:tcPr>
          <w:p w14:paraId="3621449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35519AF8">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16B2D97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664D54A3">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FB4EA13">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1A84B438">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70028F99">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2D4BD6D2">
            <w:pPr>
              <w:pageBreakBefore w:val="0"/>
              <w:widowControl w:val="0"/>
              <w:kinsoku/>
              <w:wordWrap/>
              <w:overflowPunct/>
              <w:topLinePunct w:val="0"/>
              <w:autoSpaceDE/>
              <w:autoSpaceDN/>
              <w:bidi w:val="0"/>
              <w:adjustRightInd/>
              <w:snapToGrid/>
              <w:spacing w:after="0"/>
              <w:textAlignment w:val="auto"/>
              <w:rPr>
                <w:rFonts w:ascii="Arial"/>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42BF9">
            <w:pPr>
              <w:pageBreakBefore w:val="0"/>
              <w:widowControl w:val="0"/>
              <w:kinsoku/>
              <w:wordWrap/>
              <w:overflowPunct/>
              <w:topLinePunct w:val="0"/>
              <w:autoSpaceDE/>
              <w:autoSpaceDN/>
              <w:bidi w:val="0"/>
              <w:adjustRightInd/>
              <w:snapToGrid/>
              <w:spacing w:before="239" w:after="0" w:line="185" w:lineRule="auto"/>
              <w:ind w:left="210"/>
              <w:textAlignment w:val="auto"/>
              <w:rPr>
                <w:rFonts w:ascii="宋体" w:hAnsi="宋体" w:eastAsia="宋体" w:cs="宋体"/>
                <w:szCs w:val="21"/>
              </w:rPr>
            </w:pPr>
            <w:r>
              <w:rPr>
                <w:rFonts w:ascii="宋体" w:hAnsi="宋体" w:eastAsia="宋体" w:cs="宋体"/>
                <w:szCs w:val="21"/>
              </w:rPr>
              <w:t>2</w:t>
            </w:r>
          </w:p>
        </w:tc>
        <w:tc>
          <w:tcPr>
            <w:tcW w:w="2543" w:type="dxa"/>
          </w:tcPr>
          <w:p w14:paraId="57D7D057">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0D606E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476D9745">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250FD25">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080C4E6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5B29B191">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698DFF2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783A36A">
            <w:pPr>
              <w:pageBreakBefore w:val="0"/>
              <w:widowControl w:val="0"/>
              <w:kinsoku/>
              <w:wordWrap/>
              <w:overflowPunct/>
              <w:topLinePunct w:val="0"/>
              <w:autoSpaceDE/>
              <w:autoSpaceDN/>
              <w:bidi w:val="0"/>
              <w:adjustRightInd/>
              <w:snapToGrid/>
              <w:spacing w:after="0"/>
              <w:textAlignment w:val="auto"/>
              <w:rPr>
                <w:rFonts w:ascii="Arial"/>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7632AD95">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113A2B29">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F968B73">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4D70A68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5B1444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C967E8A">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24814715">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E90A708">
            <w:pPr>
              <w:pageBreakBefore w:val="0"/>
              <w:widowControl w:val="0"/>
              <w:kinsoku/>
              <w:wordWrap/>
              <w:overflowPunct/>
              <w:topLinePunct w:val="0"/>
              <w:autoSpaceDE/>
              <w:autoSpaceDN/>
              <w:bidi w:val="0"/>
              <w:adjustRightInd/>
              <w:snapToGrid/>
              <w:spacing w:after="0"/>
              <w:textAlignment w:val="auto"/>
              <w:rPr>
                <w:rFonts w:ascii="Arial"/>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6C76CF">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616C00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51D1F5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EB5E759">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237944E8">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E55509E">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A02C386">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713A48D">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579C89E4">
            <w:pPr>
              <w:pageBreakBefore w:val="0"/>
              <w:widowControl w:val="0"/>
              <w:kinsoku/>
              <w:wordWrap/>
              <w:overflowPunct/>
              <w:topLinePunct w:val="0"/>
              <w:autoSpaceDE/>
              <w:autoSpaceDN/>
              <w:bidi w:val="0"/>
              <w:adjustRightInd/>
              <w:snapToGrid/>
              <w:spacing w:after="0"/>
              <w:textAlignment w:val="auto"/>
              <w:rPr>
                <w:rFonts w:ascii="Arial"/>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29EE8ED">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455A7E4D">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3BAC1E4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512362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6B43E06">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3BBC4D70">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1F392A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384F2AFA">
            <w:pPr>
              <w:pageBreakBefore w:val="0"/>
              <w:widowControl w:val="0"/>
              <w:kinsoku/>
              <w:wordWrap/>
              <w:overflowPunct/>
              <w:topLinePunct w:val="0"/>
              <w:autoSpaceDE/>
              <w:autoSpaceDN/>
              <w:bidi w:val="0"/>
              <w:adjustRightInd/>
              <w:snapToGrid/>
              <w:spacing w:after="0"/>
              <w:textAlignment w:val="auto"/>
              <w:rPr>
                <w:rFonts w:ascii="Arial"/>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pageBreakBefore w:val="0"/>
              <w:widowControl w:val="0"/>
              <w:kinsoku/>
              <w:wordWrap/>
              <w:overflowPunct/>
              <w:topLinePunct w:val="0"/>
              <w:autoSpaceDE/>
              <w:autoSpaceDN/>
              <w:bidi w:val="0"/>
              <w:adjustRightInd/>
              <w:snapToGrid/>
              <w:spacing w:before="207" w:after="0" w:line="219" w:lineRule="auto"/>
              <w:ind w:left="3416"/>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A06535F">
            <w:pPr>
              <w:pageBreakBefore w:val="0"/>
              <w:widowControl w:val="0"/>
              <w:kinsoku/>
              <w:wordWrap/>
              <w:overflowPunct/>
              <w:topLinePunct w:val="0"/>
              <w:autoSpaceDE/>
              <w:autoSpaceDN/>
              <w:bidi w:val="0"/>
              <w:adjustRightInd/>
              <w:snapToGrid/>
              <w:spacing w:before="207"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0903613">
      <w:pPr>
        <w:pageBreakBefore w:val="0"/>
        <w:widowControl w:val="0"/>
        <w:kinsoku/>
        <w:wordWrap/>
        <w:overflowPunct/>
        <w:topLinePunct w:val="0"/>
        <w:autoSpaceDE/>
        <w:autoSpaceDN/>
        <w:bidi w:val="0"/>
        <w:adjustRightInd/>
        <w:snapToGrid/>
        <w:spacing w:before="69" w:after="0" w:line="219" w:lineRule="auto"/>
        <w:textAlignment w:val="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7774D72">
      <w:pPr>
        <w:pageBreakBefore w:val="0"/>
        <w:widowControl w:val="0"/>
        <w:kinsoku/>
        <w:wordWrap/>
        <w:overflowPunct/>
        <w:topLinePunct w:val="0"/>
        <w:autoSpaceDE/>
        <w:autoSpaceDN/>
        <w:bidi w:val="0"/>
        <w:adjustRightInd/>
        <w:snapToGrid/>
        <w:spacing w:before="75" w:after="0" w:line="219" w:lineRule="auto"/>
        <w:ind w:left="409"/>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6E2E063">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8C704DD">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6127664">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D54A793">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3ADBD05">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B394428">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EF8761E">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CD83098">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sectPr>
          <w:footerReference r:id="rId16" w:type="default"/>
          <w:pgSz w:w="16841" w:h="11907"/>
          <w:pgMar w:top="400" w:right="1500" w:bottom="1184" w:left="1480" w:header="0" w:footer="1022" w:gutter="0"/>
          <w:pgNumType w:fmt="numberInDash"/>
          <w:cols w:space="720" w:num="1"/>
        </w:sectPr>
      </w:pPr>
    </w:p>
    <w:p w14:paraId="7CCD0CEF">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176253B">
      <w:pPr>
        <w:pageBreakBefore w:val="0"/>
        <w:widowControl w:val="0"/>
        <w:kinsoku/>
        <w:wordWrap/>
        <w:overflowPunct/>
        <w:topLinePunct w:val="0"/>
        <w:autoSpaceDE/>
        <w:autoSpaceDN/>
        <w:bidi w:val="0"/>
        <w:adjustRightInd/>
        <w:snapToGrid/>
        <w:spacing w:before="253" w:after="0" w:line="224" w:lineRule="auto"/>
        <w:ind w:left="6488"/>
        <w:textAlignment w:val="auto"/>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7F44BE">
      <w:pPr>
        <w:pageBreakBefore w:val="0"/>
        <w:widowControl w:val="0"/>
        <w:kinsoku/>
        <w:wordWrap/>
        <w:overflowPunct/>
        <w:topLinePunct w:val="0"/>
        <w:autoSpaceDE/>
        <w:autoSpaceDN/>
        <w:bidi w:val="0"/>
        <w:adjustRightInd/>
        <w:snapToGrid/>
        <w:spacing w:before="24" w:after="0" w:line="221" w:lineRule="auto"/>
        <w:ind w:left="211" w:firstLine="2310" w:firstLineChars="1100"/>
        <w:jc w:val="right"/>
        <w:textAlignment w:val="auto"/>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97CED9E">
      <w:pPr>
        <w:pageBreakBefore w:val="0"/>
        <w:widowControl w:val="0"/>
        <w:kinsoku/>
        <w:wordWrap/>
        <w:overflowPunct/>
        <w:topLinePunct w:val="0"/>
        <w:autoSpaceDE/>
        <w:autoSpaceDN/>
        <w:bidi w:val="0"/>
        <w:adjustRightInd/>
        <w:snapToGrid/>
        <w:spacing w:after="0" w:line="127" w:lineRule="exact"/>
        <w:textAlignment w:val="auto"/>
      </w:pPr>
    </w:p>
    <w:tbl>
      <w:tblPr>
        <w:tblStyle w:val="11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pageBreakBefore w:val="0"/>
              <w:widowControl w:val="0"/>
              <w:kinsoku/>
              <w:wordWrap/>
              <w:overflowPunct/>
              <w:topLinePunct w:val="0"/>
              <w:autoSpaceDE/>
              <w:autoSpaceDN/>
              <w:bidi w:val="0"/>
              <w:adjustRightInd/>
              <w:snapToGrid/>
              <w:spacing w:before="276" w:after="0" w:line="222" w:lineRule="auto"/>
              <w:ind w:left="334"/>
              <w:textAlignment w:val="auto"/>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C41B43D">
            <w:pPr>
              <w:pageBreakBefore w:val="0"/>
              <w:widowControl w:val="0"/>
              <w:kinsoku/>
              <w:wordWrap/>
              <w:overflowPunct/>
              <w:topLinePunct w:val="0"/>
              <w:autoSpaceDE/>
              <w:autoSpaceDN/>
              <w:bidi w:val="0"/>
              <w:adjustRightInd/>
              <w:snapToGrid/>
              <w:spacing w:before="276" w:after="0" w:line="221" w:lineRule="auto"/>
              <w:ind w:left="2544"/>
              <w:textAlignment w:val="auto"/>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FAC7195">
            <w:pPr>
              <w:pageBreakBefore w:val="0"/>
              <w:widowControl w:val="0"/>
              <w:kinsoku/>
              <w:wordWrap/>
              <w:overflowPunct/>
              <w:topLinePunct w:val="0"/>
              <w:autoSpaceDE/>
              <w:autoSpaceDN/>
              <w:bidi w:val="0"/>
              <w:adjustRightInd/>
              <w:snapToGrid/>
              <w:spacing w:before="276" w:after="0" w:line="219" w:lineRule="auto"/>
              <w:jc w:val="center"/>
              <w:textAlignment w:val="auto"/>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58E50C5">
            <w:pPr>
              <w:pageBreakBefore w:val="0"/>
              <w:widowControl w:val="0"/>
              <w:kinsoku/>
              <w:wordWrap/>
              <w:overflowPunct/>
              <w:topLinePunct w:val="0"/>
              <w:autoSpaceDE/>
              <w:autoSpaceDN/>
              <w:bidi w:val="0"/>
              <w:adjustRightInd/>
              <w:snapToGrid/>
              <w:spacing w:before="276" w:after="0" w:line="222" w:lineRule="auto"/>
              <w:ind w:left="1215"/>
              <w:textAlignment w:val="auto"/>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pageBreakBefore w:val="0"/>
              <w:widowControl w:val="0"/>
              <w:kinsoku/>
              <w:wordWrap/>
              <w:overflowPunct/>
              <w:topLinePunct w:val="0"/>
              <w:autoSpaceDE/>
              <w:autoSpaceDN/>
              <w:bidi w:val="0"/>
              <w:adjustRightInd/>
              <w:snapToGrid/>
              <w:spacing w:before="309" w:after="0" w:line="186" w:lineRule="auto"/>
              <w:ind w:left="508"/>
              <w:textAlignment w:val="auto"/>
              <w:rPr>
                <w:rFonts w:ascii="宋体" w:hAnsi="宋体" w:eastAsia="宋体" w:cs="宋体"/>
                <w:szCs w:val="21"/>
              </w:rPr>
            </w:pPr>
            <w:r>
              <w:rPr>
                <w:rFonts w:ascii="宋体" w:hAnsi="宋体" w:eastAsia="宋体" w:cs="宋体"/>
                <w:szCs w:val="21"/>
              </w:rPr>
              <w:t>1</w:t>
            </w:r>
          </w:p>
        </w:tc>
        <w:tc>
          <w:tcPr>
            <w:tcW w:w="5765" w:type="dxa"/>
          </w:tcPr>
          <w:p w14:paraId="3A302D65">
            <w:pPr>
              <w:pageBreakBefore w:val="0"/>
              <w:widowControl w:val="0"/>
              <w:kinsoku/>
              <w:wordWrap/>
              <w:overflowPunct/>
              <w:topLinePunct w:val="0"/>
              <w:autoSpaceDE/>
              <w:autoSpaceDN/>
              <w:bidi w:val="0"/>
              <w:adjustRightInd/>
              <w:snapToGrid/>
              <w:spacing w:before="275" w:after="0" w:line="222" w:lineRule="auto"/>
              <w:ind w:left="2378"/>
              <w:textAlignment w:val="auto"/>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54A554E">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6FB77477">
            <w:pPr>
              <w:pageBreakBefore w:val="0"/>
              <w:widowControl w:val="0"/>
              <w:kinsoku/>
              <w:wordWrap/>
              <w:overflowPunct/>
              <w:topLinePunct w:val="0"/>
              <w:autoSpaceDE/>
              <w:autoSpaceDN/>
              <w:bidi w:val="0"/>
              <w:adjustRightInd/>
              <w:snapToGrid/>
              <w:spacing w:after="0"/>
              <w:textAlignment w:val="auto"/>
              <w:rPr>
                <w:rFonts w:ascii="Arial"/>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pageBreakBefore w:val="0"/>
              <w:widowControl w:val="0"/>
              <w:kinsoku/>
              <w:wordWrap/>
              <w:overflowPunct/>
              <w:topLinePunct w:val="0"/>
              <w:autoSpaceDE/>
              <w:autoSpaceDN/>
              <w:bidi w:val="0"/>
              <w:adjustRightInd/>
              <w:snapToGrid/>
              <w:spacing w:before="299" w:after="0" w:line="185" w:lineRule="auto"/>
              <w:ind w:left="495"/>
              <w:textAlignment w:val="auto"/>
              <w:rPr>
                <w:rFonts w:ascii="宋体" w:hAnsi="宋体" w:eastAsia="宋体" w:cs="宋体"/>
                <w:szCs w:val="21"/>
              </w:rPr>
            </w:pPr>
            <w:r>
              <w:rPr>
                <w:rFonts w:ascii="宋体" w:hAnsi="宋体" w:eastAsia="宋体" w:cs="宋体"/>
                <w:szCs w:val="21"/>
              </w:rPr>
              <w:t>2</w:t>
            </w:r>
          </w:p>
        </w:tc>
        <w:tc>
          <w:tcPr>
            <w:tcW w:w="5765" w:type="dxa"/>
          </w:tcPr>
          <w:p w14:paraId="5B911470">
            <w:pPr>
              <w:pageBreakBefore w:val="0"/>
              <w:widowControl w:val="0"/>
              <w:kinsoku/>
              <w:wordWrap/>
              <w:overflowPunct/>
              <w:topLinePunct w:val="0"/>
              <w:autoSpaceDE/>
              <w:autoSpaceDN/>
              <w:bidi w:val="0"/>
              <w:adjustRightInd/>
              <w:snapToGrid/>
              <w:spacing w:before="263"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7C9EED7">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48DCAC5C">
            <w:pPr>
              <w:pageBreakBefore w:val="0"/>
              <w:widowControl w:val="0"/>
              <w:kinsoku/>
              <w:wordWrap/>
              <w:overflowPunct/>
              <w:topLinePunct w:val="0"/>
              <w:autoSpaceDE/>
              <w:autoSpaceDN/>
              <w:bidi w:val="0"/>
              <w:adjustRightInd/>
              <w:snapToGrid/>
              <w:spacing w:after="0"/>
              <w:textAlignment w:val="auto"/>
              <w:rPr>
                <w:rFonts w:ascii="Arial"/>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pageBreakBefore w:val="0"/>
              <w:widowControl w:val="0"/>
              <w:kinsoku/>
              <w:wordWrap/>
              <w:overflowPunct/>
              <w:topLinePunct w:val="0"/>
              <w:autoSpaceDE/>
              <w:autoSpaceDN/>
              <w:bidi w:val="0"/>
              <w:adjustRightInd/>
              <w:snapToGrid/>
              <w:spacing w:after="0"/>
              <w:textAlignment w:val="auto"/>
              <w:rPr>
                <w:rFonts w:ascii="Arial"/>
              </w:rPr>
            </w:pPr>
          </w:p>
          <w:p w14:paraId="340735DF">
            <w:pPr>
              <w:pageBreakBefore w:val="0"/>
              <w:widowControl w:val="0"/>
              <w:kinsoku/>
              <w:wordWrap/>
              <w:overflowPunct/>
              <w:topLinePunct w:val="0"/>
              <w:autoSpaceDE/>
              <w:autoSpaceDN/>
              <w:bidi w:val="0"/>
              <w:adjustRightInd/>
              <w:snapToGrid/>
              <w:spacing w:before="68" w:after="0" w:line="183" w:lineRule="auto"/>
              <w:ind w:left="497"/>
              <w:textAlignment w:val="auto"/>
              <w:rPr>
                <w:rFonts w:ascii="宋体" w:hAnsi="宋体" w:eastAsia="宋体" w:cs="宋体"/>
                <w:szCs w:val="21"/>
              </w:rPr>
            </w:pPr>
            <w:r>
              <w:rPr>
                <w:rFonts w:ascii="宋体" w:hAnsi="宋体" w:eastAsia="宋体" w:cs="宋体"/>
                <w:szCs w:val="21"/>
              </w:rPr>
              <w:t>3</w:t>
            </w:r>
          </w:p>
        </w:tc>
        <w:tc>
          <w:tcPr>
            <w:tcW w:w="5765" w:type="dxa"/>
          </w:tcPr>
          <w:p w14:paraId="13AA869A">
            <w:pPr>
              <w:pageBreakBefore w:val="0"/>
              <w:widowControl w:val="0"/>
              <w:kinsoku/>
              <w:wordWrap/>
              <w:overflowPunct/>
              <w:topLinePunct w:val="0"/>
              <w:autoSpaceDE/>
              <w:autoSpaceDN/>
              <w:bidi w:val="0"/>
              <w:adjustRightInd/>
              <w:snapToGrid/>
              <w:spacing w:before="274"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FFA8C94">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19EFB9F2">
            <w:pPr>
              <w:pageBreakBefore w:val="0"/>
              <w:widowControl w:val="0"/>
              <w:kinsoku/>
              <w:wordWrap/>
              <w:overflowPunct/>
              <w:topLinePunct w:val="0"/>
              <w:autoSpaceDE/>
              <w:autoSpaceDN/>
              <w:bidi w:val="0"/>
              <w:adjustRightInd/>
              <w:snapToGrid/>
              <w:spacing w:after="0"/>
              <w:textAlignment w:val="auto"/>
              <w:rPr>
                <w:rFonts w:ascii="Arial"/>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pageBreakBefore w:val="0"/>
              <w:widowControl w:val="0"/>
              <w:kinsoku/>
              <w:wordWrap/>
              <w:overflowPunct/>
              <w:topLinePunct w:val="0"/>
              <w:autoSpaceDE/>
              <w:autoSpaceDN/>
              <w:bidi w:val="0"/>
              <w:adjustRightInd/>
              <w:snapToGrid/>
              <w:spacing w:before="300" w:after="0" w:line="185" w:lineRule="auto"/>
              <w:ind w:left="492"/>
              <w:textAlignment w:val="auto"/>
              <w:rPr>
                <w:rFonts w:ascii="宋体" w:hAnsi="宋体" w:eastAsia="宋体" w:cs="宋体"/>
                <w:szCs w:val="21"/>
              </w:rPr>
            </w:pPr>
            <w:r>
              <w:rPr>
                <w:rFonts w:ascii="宋体" w:hAnsi="宋体" w:eastAsia="宋体" w:cs="宋体"/>
                <w:szCs w:val="21"/>
              </w:rPr>
              <w:t>4</w:t>
            </w:r>
          </w:p>
        </w:tc>
        <w:tc>
          <w:tcPr>
            <w:tcW w:w="5765" w:type="dxa"/>
          </w:tcPr>
          <w:p w14:paraId="74B094E3">
            <w:pPr>
              <w:pageBreakBefore w:val="0"/>
              <w:widowControl w:val="0"/>
              <w:kinsoku/>
              <w:wordWrap/>
              <w:overflowPunct/>
              <w:topLinePunct w:val="0"/>
              <w:autoSpaceDE/>
              <w:autoSpaceDN/>
              <w:bidi w:val="0"/>
              <w:adjustRightInd/>
              <w:snapToGrid/>
              <w:spacing w:before="265"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54CBC15">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5BD82F98">
            <w:pPr>
              <w:pageBreakBefore w:val="0"/>
              <w:widowControl w:val="0"/>
              <w:kinsoku/>
              <w:wordWrap/>
              <w:overflowPunct/>
              <w:topLinePunct w:val="0"/>
              <w:autoSpaceDE/>
              <w:autoSpaceDN/>
              <w:bidi w:val="0"/>
              <w:adjustRightInd/>
              <w:snapToGrid/>
              <w:spacing w:after="0"/>
              <w:textAlignment w:val="auto"/>
              <w:rPr>
                <w:rFonts w:ascii="Arial"/>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5E19697">
      <w:pPr>
        <w:pageBreakBefore w:val="0"/>
        <w:widowControl w:val="0"/>
        <w:kinsoku/>
        <w:wordWrap/>
        <w:overflowPunct/>
        <w:topLinePunct w:val="0"/>
        <w:autoSpaceDE/>
        <w:autoSpaceDN/>
        <w:bidi w:val="0"/>
        <w:adjustRightInd/>
        <w:snapToGrid/>
        <w:spacing w:after="0" w:line="291" w:lineRule="auto"/>
        <w:textAlignment w:val="auto"/>
        <w:rPr>
          <w:rFonts w:ascii="Arial"/>
        </w:rPr>
      </w:pPr>
    </w:p>
    <w:p w14:paraId="3A5AD7BA">
      <w:pPr>
        <w:pageBreakBefore w:val="0"/>
        <w:widowControl w:val="0"/>
        <w:kinsoku/>
        <w:wordWrap/>
        <w:overflowPunct/>
        <w:topLinePunct w:val="0"/>
        <w:autoSpaceDE/>
        <w:autoSpaceDN/>
        <w:bidi w:val="0"/>
        <w:adjustRightInd/>
        <w:snapToGrid/>
        <w:spacing w:before="78" w:after="0" w:line="198" w:lineRule="auto"/>
        <w:ind w:left="211" w:firstLine="202" w:firstLineChars="100"/>
        <w:textAlignment w:val="auto"/>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A12CF3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EA53AB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3CB4DDC">
      <w:pPr>
        <w:pStyle w:val="14"/>
        <w:pageBreakBefore w:val="0"/>
        <w:widowControl w:val="0"/>
        <w:kinsoku/>
        <w:wordWrap/>
        <w:overflowPunct/>
        <w:topLinePunct w:val="0"/>
        <w:autoSpaceDE/>
        <w:autoSpaceDN/>
        <w:bidi w:val="0"/>
        <w:adjustRightInd/>
        <w:snapToGrid/>
        <w:spacing w:after="0"/>
        <w:textAlignment w:val="auto"/>
      </w:pPr>
    </w:p>
    <w:p w14:paraId="1976CBAA">
      <w:pPr>
        <w:pStyle w:val="14"/>
        <w:pageBreakBefore w:val="0"/>
        <w:widowControl w:val="0"/>
        <w:kinsoku/>
        <w:wordWrap/>
        <w:overflowPunct/>
        <w:topLinePunct w:val="0"/>
        <w:autoSpaceDE/>
        <w:autoSpaceDN/>
        <w:bidi w:val="0"/>
        <w:adjustRightInd/>
        <w:snapToGrid/>
        <w:spacing w:after="0"/>
        <w:textAlignment w:val="auto"/>
      </w:pPr>
    </w:p>
    <w:p w14:paraId="7D6FEAF5">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Cs w:val="21"/>
        </w:rPr>
        <w:sectPr>
          <w:footerReference r:id="rId17" w:type="default"/>
          <w:pgSz w:w="16841" w:h="11907"/>
          <w:pgMar w:top="400" w:right="1699" w:bottom="1168" w:left="1481" w:header="0" w:footer="990" w:gutter="0"/>
          <w:pgNumType w:fmt="numberInDash"/>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995ADAB">
      <w:pPr>
        <w:keepNext/>
        <w:keepLines/>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pageBreakBefore w:val="0"/>
        <w:kinsoku/>
        <w:wordWrap/>
        <w:overflowPunct/>
        <w:topLinePunct w:val="0"/>
        <w:autoSpaceDE/>
        <w:autoSpaceDN/>
        <w:bidi w:val="0"/>
        <w:spacing w:after="0"/>
        <w:rPr>
          <w:rFonts w:ascii="Calibri" w:hAnsi="Calibri" w:eastAsia="宋体" w:cs="Times New Roman"/>
          <w:szCs w:val="20"/>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4"/>
        <w:gridCol w:w="2622"/>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0751453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lang w:val="en-US" w:eastAsia="zh-CN"/>
              </w:rPr>
              <w:t>项目</w:t>
            </w:r>
          </w:p>
        </w:tc>
        <w:tc>
          <w:tcPr>
            <w:tcW w:w="2622" w:type="dxa"/>
            <w:tcBorders>
              <w:top w:val="single" w:color="auto" w:sz="4" w:space="0"/>
              <w:left w:val="single" w:color="auto" w:sz="4" w:space="0"/>
              <w:bottom w:val="single" w:color="auto" w:sz="4" w:space="0"/>
              <w:right w:val="single" w:color="auto" w:sz="4" w:space="0"/>
            </w:tcBorders>
            <w:vAlign w:val="center"/>
          </w:tcPr>
          <w:p w14:paraId="53D86C4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7B1366CF">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质保期</w:t>
            </w:r>
          </w:p>
        </w:tc>
        <w:tc>
          <w:tcPr>
            <w:tcW w:w="2622" w:type="dxa"/>
            <w:tcBorders>
              <w:top w:val="single" w:color="auto" w:sz="4" w:space="0"/>
              <w:left w:val="single" w:color="auto" w:sz="4" w:space="0"/>
              <w:bottom w:val="single" w:color="auto" w:sz="4" w:space="0"/>
              <w:right w:val="single" w:color="auto" w:sz="4" w:space="0"/>
            </w:tcBorders>
            <w:vAlign w:val="center"/>
          </w:tcPr>
          <w:p w14:paraId="325C2025">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6D01C9C4">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622" w:type="dxa"/>
            <w:tcBorders>
              <w:top w:val="single" w:color="auto" w:sz="4" w:space="0"/>
              <w:left w:val="single" w:color="auto" w:sz="4" w:space="0"/>
              <w:bottom w:val="single" w:color="auto" w:sz="4" w:space="0"/>
              <w:right w:val="single" w:color="auto" w:sz="4" w:space="0"/>
            </w:tcBorders>
            <w:vAlign w:val="center"/>
          </w:tcPr>
          <w:p w14:paraId="78A643B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r>
      <w:tr w14:paraId="3139CE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1351C12D">
            <w:pPr>
              <w:pageBreakBefore w:val="0"/>
              <w:kinsoku/>
              <w:wordWrap/>
              <w:overflowPunct/>
              <w:topLinePunct w:val="0"/>
              <w:autoSpaceDE/>
              <w:autoSpaceDN/>
              <w:bidi w:val="0"/>
              <w:spacing w:after="0"/>
              <w:jc w:val="center"/>
              <w:rPr>
                <w:rFonts w:hint="eastAsia" w:ascii="宋体" w:hAnsi="宋体" w:eastAsia="宋体" w:cs="宋体"/>
                <w:b/>
                <w:szCs w:val="20"/>
                <w:lang w:val="en-US" w:eastAsia="zh-CN"/>
              </w:rPr>
            </w:pPr>
            <w:r>
              <w:rPr>
                <w:rFonts w:hint="eastAsia" w:ascii="宋体" w:hAnsi="宋体" w:eastAsia="宋体" w:cs="宋体"/>
                <w:b/>
                <w:szCs w:val="20"/>
                <w:lang w:val="en-US" w:eastAsia="zh-CN"/>
              </w:rPr>
              <w:t>付款方式</w:t>
            </w:r>
          </w:p>
        </w:tc>
        <w:tc>
          <w:tcPr>
            <w:tcW w:w="2622" w:type="dxa"/>
            <w:tcBorders>
              <w:top w:val="single" w:color="auto" w:sz="4" w:space="0"/>
              <w:left w:val="single" w:color="auto" w:sz="4" w:space="0"/>
              <w:bottom w:val="single" w:color="auto" w:sz="4" w:space="0"/>
              <w:right w:val="single" w:color="auto" w:sz="4" w:space="0"/>
            </w:tcBorders>
          </w:tcPr>
          <w:p w14:paraId="4DE440C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D4DC2EB">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377B23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C6DEAD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622" w:type="dxa"/>
            <w:tcBorders>
              <w:top w:val="single" w:color="auto" w:sz="4" w:space="0"/>
              <w:left w:val="single" w:color="auto" w:sz="4" w:space="0"/>
              <w:bottom w:val="single" w:color="auto" w:sz="4" w:space="0"/>
              <w:right w:val="single" w:color="auto" w:sz="4" w:space="0"/>
            </w:tcBorders>
          </w:tcPr>
          <w:p w14:paraId="0FD7ECA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032F46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622" w:type="dxa"/>
            <w:tcBorders>
              <w:top w:val="single" w:color="auto" w:sz="4" w:space="0"/>
              <w:left w:val="single" w:color="auto" w:sz="4" w:space="0"/>
              <w:bottom w:val="single" w:color="auto" w:sz="4" w:space="0"/>
              <w:right w:val="single" w:color="auto" w:sz="4" w:space="0"/>
            </w:tcBorders>
            <w:vAlign w:val="center"/>
          </w:tcPr>
          <w:p w14:paraId="5DD6F97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3B87EF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67EAB0B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18AACDB">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0162CD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DC41C49">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7DFBF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388F65">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FE1ECE8">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794A6A9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6E88C7C">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262325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C30E28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A7043F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FEC478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680D5F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79E43D8">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5186D04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622" w:type="dxa"/>
            <w:tcBorders>
              <w:top w:val="single" w:color="auto" w:sz="4" w:space="0"/>
              <w:left w:val="single" w:color="auto" w:sz="4" w:space="0"/>
              <w:bottom w:val="single" w:color="auto" w:sz="4" w:space="0"/>
              <w:right w:val="single" w:color="auto" w:sz="4" w:space="0"/>
            </w:tcBorders>
            <w:vAlign w:val="center"/>
          </w:tcPr>
          <w:p w14:paraId="3BEFF780">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25ACA41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pageBreakBefore w:val="0"/>
        <w:kinsoku/>
        <w:wordWrap/>
        <w:overflowPunct/>
        <w:topLinePunct w:val="0"/>
        <w:autoSpaceDE/>
        <w:autoSpaceDN/>
        <w:bidi w:val="0"/>
        <w:spacing w:after="0"/>
        <w:rPr>
          <w:rFonts w:ascii="宋体" w:hAnsi="Calibri" w:eastAsia="宋体" w:cs="Times New Roman"/>
          <w:szCs w:val="20"/>
        </w:rPr>
      </w:pPr>
    </w:p>
    <w:p w14:paraId="06591881">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4DEF86A">
      <w:pPr>
        <w:pageBreakBefore w:val="0"/>
        <w:kinsoku/>
        <w:wordWrap/>
        <w:overflowPunct/>
        <w:topLinePunct w:val="0"/>
        <w:autoSpaceDE/>
        <w:autoSpaceDN/>
        <w:bidi w:val="0"/>
        <w:spacing w:before="110" w:after="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ECDBFD">
      <w:pPr>
        <w:pageBreakBefore w:val="0"/>
        <w:kinsoku/>
        <w:wordWrap/>
        <w:overflowPunct/>
        <w:topLinePunct w:val="0"/>
        <w:autoSpaceDE/>
        <w:autoSpaceDN/>
        <w:bidi w:val="0"/>
        <w:spacing w:after="0" w:line="272" w:lineRule="auto"/>
        <w:rPr>
          <w:rFonts w:ascii="Arial"/>
        </w:rPr>
      </w:pPr>
    </w:p>
    <w:p w14:paraId="11C05ED1">
      <w:pPr>
        <w:pageBreakBefore w:val="0"/>
        <w:kinsoku/>
        <w:wordWrap/>
        <w:overflowPunct/>
        <w:topLinePunct w:val="0"/>
        <w:autoSpaceDE/>
        <w:autoSpaceDN/>
        <w:bidi w:val="0"/>
        <w:spacing w:before="75" w:after="0"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Times New Roman"/>
          <w:b/>
          <w:color w:val="000000"/>
          <w:sz w:val="24"/>
          <w:szCs w:val="24"/>
          <w:u w:val="single"/>
        </w:rPr>
        <w:t xml:space="preserve">            </w:t>
      </w:r>
    </w:p>
    <w:p w14:paraId="1C022C9A">
      <w:pPr>
        <w:pageBreakBefore w:val="0"/>
        <w:kinsoku/>
        <w:wordWrap/>
        <w:overflowPunct/>
        <w:topLinePunct w:val="0"/>
        <w:autoSpaceDE/>
        <w:autoSpaceDN/>
        <w:bidi w:val="0"/>
        <w:spacing w:before="306" w:after="0"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A75DE06">
      <w:pPr>
        <w:pageBreakBefore w:val="0"/>
        <w:kinsoku/>
        <w:wordWrap/>
        <w:overflowPunct/>
        <w:topLinePunct w:val="0"/>
        <w:autoSpaceDE/>
        <w:autoSpaceDN/>
        <w:bidi w:val="0"/>
        <w:spacing w:after="0"/>
      </w:pPr>
    </w:p>
    <w:p w14:paraId="36D349FF">
      <w:pPr>
        <w:pageBreakBefore w:val="0"/>
        <w:kinsoku/>
        <w:wordWrap/>
        <w:overflowPunct/>
        <w:topLinePunct w:val="0"/>
        <w:autoSpaceDE/>
        <w:autoSpaceDN/>
        <w:bidi w:val="0"/>
        <w:spacing w:after="0" w:line="109" w:lineRule="exact"/>
      </w:pPr>
    </w:p>
    <w:tbl>
      <w:tblPr>
        <w:tblStyle w:val="11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pageBreakBefore w:val="0"/>
              <w:kinsoku/>
              <w:wordWrap/>
              <w:overflowPunct/>
              <w:topLinePunct w:val="0"/>
              <w:autoSpaceDE/>
              <w:autoSpaceDN/>
              <w:bidi w:val="0"/>
              <w:spacing w:before="52" w:after="0"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FDA4B2">
            <w:pPr>
              <w:pageBreakBefore w:val="0"/>
              <w:kinsoku/>
              <w:wordWrap/>
              <w:overflowPunct/>
              <w:topLinePunct w:val="0"/>
              <w:autoSpaceDE/>
              <w:autoSpaceDN/>
              <w:bidi w:val="0"/>
              <w:spacing w:before="48" w:after="0"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D1BF7C6">
      <w:pPr>
        <w:keepNext/>
        <w:keepLines/>
        <w:pageBreakBefore w:val="0"/>
        <w:kinsoku/>
        <w:wordWrap/>
        <w:overflowPunct/>
        <w:topLinePunct w:val="0"/>
        <w:autoSpaceDE/>
        <w:autoSpaceDN/>
        <w:bidi w:val="0"/>
        <w:spacing w:after="0"/>
        <w:rPr>
          <w:rFonts w:ascii="Times New Roman" w:hAnsi="Times New Roman" w:eastAsia="宋体" w:cs="Times New Roman"/>
          <w:b/>
          <w:bCs/>
          <w:color w:val="000000"/>
          <w:sz w:val="24"/>
          <w:szCs w:val="24"/>
        </w:rPr>
      </w:pPr>
    </w:p>
    <w:p w14:paraId="34FD54A0">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75A454F7">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58CE7B3D">
      <w:pPr>
        <w:pageBreakBefore w:val="0"/>
        <w:kinsoku/>
        <w:wordWrap/>
        <w:overflowPunct/>
        <w:topLinePunct w:val="0"/>
        <w:autoSpaceDE/>
        <w:autoSpaceDN/>
        <w:bidi w:val="0"/>
        <w:spacing w:before="75" w:after="0" w:line="227" w:lineRule="auto"/>
        <w:ind w:left="135"/>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C1AED88">
      <w:pPr>
        <w:rPr>
          <w:rFonts w:hint="eastAsia" w:ascii="宋体" w:hAnsi="宋体" w:eastAsia="宋体" w:cs="宋体"/>
          <w:sz w:val="24"/>
          <w:szCs w:val="24"/>
        </w:rPr>
      </w:pPr>
      <w:r>
        <w:rPr>
          <w:rFonts w:hint="eastAsia" w:ascii="宋体" w:hAnsi="宋体" w:eastAsia="宋体" w:cs="宋体"/>
          <w:sz w:val="24"/>
          <w:szCs w:val="24"/>
        </w:rPr>
        <w:br w:type="page"/>
      </w:r>
    </w:p>
    <w:p w14:paraId="42176D55">
      <w:pPr>
        <w:pageBreakBefore w:val="0"/>
        <w:kinsoku/>
        <w:wordWrap/>
        <w:overflowPunct/>
        <w:topLinePunct w:val="0"/>
        <w:autoSpaceDE/>
        <w:autoSpaceDN/>
        <w:bidi w:val="0"/>
        <w:spacing w:before="75" w:after="0" w:line="227" w:lineRule="auto"/>
        <w:ind w:left="135"/>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pageBreakBefore w:val="0"/>
        <w:kinsoku/>
        <w:wordWrap/>
        <w:overflowPunct/>
        <w:topLinePunct w:val="0"/>
        <w:autoSpaceDE/>
        <w:autoSpaceDN/>
        <w:bidi w:val="0"/>
        <w:spacing w:after="0" w:line="240" w:lineRule="exact"/>
        <w:jc w:val="center"/>
        <w:rPr>
          <w:rFonts w:ascii="宋体" w:hAnsi="Calibri" w:eastAsia="宋体" w:cs="Times New Roman"/>
          <w:b/>
          <w:bCs/>
          <w:sz w:val="36"/>
          <w:szCs w:val="20"/>
        </w:rPr>
      </w:pPr>
    </w:p>
    <w:p w14:paraId="40AFAD5F">
      <w:pPr>
        <w:pageBreakBefore w:val="0"/>
        <w:kinsoku/>
        <w:wordWrap/>
        <w:overflowPunct/>
        <w:topLinePunct w:val="0"/>
        <w:autoSpaceDE/>
        <w:autoSpaceDN/>
        <w:bidi w:val="0"/>
        <w:spacing w:after="0"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2E9AF4D2">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9AEF7EE">
      <w:pPr>
        <w:pageBreakBefore w:val="0"/>
        <w:kinsoku/>
        <w:wordWrap/>
        <w:overflowPunct/>
        <w:topLinePunct w:val="0"/>
        <w:autoSpaceDE/>
        <w:autoSpaceDN/>
        <w:bidi w:val="0"/>
        <w:spacing w:after="0"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p>
    <w:p w14:paraId="24DFB37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pageBreakBefore w:val="0"/>
        <w:kinsoku/>
        <w:wordWrap/>
        <w:overflowPunct/>
        <w:topLinePunct w:val="0"/>
        <w:autoSpaceDE/>
        <w:autoSpaceDN/>
        <w:bidi w:val="0"/>
        <w:spacing w:after="0"/>
        <w:rPr>
          <w:rFonts w:ascii="宋体" w:hAnsi="Calibri" w:eastAsia="宋体" w:cs="宋体"/>
          <w:b/>
          <w:bCs/>
          <w:color w:val="000000"/>
          <w:sz w:val="28"/>
          <w:szCs w:val="20"/>
        </w:rPr>
      </w:pPr>
    </w:p>
    <w:p w14:paraId="3142B742">
      <w:pPr>
        <w:pStyle w:val="14"/>
        <w:pageBreakBefore w:val="0"/>
        <w:kinsoku/>
        <w:wordWrap/>
        <w:overflowPunct/>
        <w:topLinePunct w:val="0"/>
        <w:autoSpaceDE/>
        <w:autoSpaceDN/>
        <w:bidi w:val="0"/>
        <w:spacing w:after="0"/>
        <w:rPr>
          <w:rFonts w:hAnsi="Calibri" w:eastAsia="宋体" w:cs="宋体"/>
          <w:b/>
          <w:bCs/>
          <w:color w:val="000000"/>
          <w:sz w:val="28"/>
          <w:szCs w:val="20"/>
        </w:rPr>
      </w:pPr>
    </w:p>
    <w:p w14:paraId="677D2A47">
      <w:pPr>
        <w:pageBreakBefore w:val="0"/>
        <w:kinsoku/>
        <w:wordWrap/>
        <w:overflowPunct/>
        <w:topLinePunct w:val="0"/>
        <w:autoSpaceDE/>
        <w:autoSpaceDN/>
        <w:bidi w:val="0"/>
        <w:spacing w:after="0"/>
        <w:rPr>
          <w:rFonts w:ascii="宋体" w:hAnsi="Calibri" w:eastAsia="宋体" w:cs="宋体"/>
          <w:b/>
          <w:bCs/>
          <w:color w:val="000000"/>
          <w:sz w:val="28"/>
          <w:szCs w:val="20"/>
        </w:rPr>
      </w:pPr>
    </w:p>
    <w:p w14:paraId="47CBD4B0">
      <w:pPr>
        <w:pageBreakBefore w:val="0"/>
        <w:kinsoku/>
        <w:wordWrap/>
        <w:overflowPunct/>
        <w:topLinePunct w:val="0"/>
        <w:autoSpaceDE/>
        <w:autoSpaceDN/>
        <w:bidi w:val="0"/>
        <w:spacing w:after="0"/>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1AB372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142892E5">
            <w:pPr>
              <w:pageBreakBefore w:val="0"/>
              <w:kinsoku/>
              <w:wordWrap/>
              <w:overflowPunct/>
              <w:topLinePunct w:val="0"/>
              <w:autoSpaceDE/>
              <w:autoSpaceDN/>
              <w:bidi w:val="0"/>
              <w:spacing w:after="0"/>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3981662">
            <w:pPr>
              <w:pageBreakBefore w:val="0"/>
              <w:kinsoku/>
              <w:wordWrap/>
              <w:overflowPunct/>
              <w:topLinePunct w:val="0"/>
              <w:autoSpaceDE/>
              <w:autoSpaceDN/>
              <w:bidi w:val="0"/>
              <w:spacing w:after="0"/>
              <w:rPr>
                <w:rFonts w:ascii="Times New Roman" w:hAnsi="Times New Roman" w:eastAsia="等线" w:cs="Times New Roman"/>
                <w:b/>
                <w:sz w:val="30"/>
                <w:szCs w:val="30"/>
              </w:rPr>
            </w:pPr>
          </w:p>
          <w:p w14:paraId="2C9F9A79">
            <w:pPr>
              <w:pageBreakBefore w:val="0"/>
              <w:kinsoku/>
              <w:wordWrap/>
              <w:overflowPunct/>
              <w:topLinePunct w:val="0"/>
              <w:autoSpaceDE/>
              <w:autoSpaceDN/>
              <w:bidi w:val="0"/>
              <w:spacing w:after="0"/>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hint="eastAsia" w:ascii="等线" w:hAnsi="等线" w:eastAsia="等线" w:cs="Times New Roman"/>
                <w:b/>
                <w:sz w:val="30"/>
                <w:szCs w:val="30"/>
                <w:u w:val="single"/>
                <w:lang w:val="en-US" w:eastAsia="zh-CN"/>
              </w:rPr>
              <w:t xml:space="preserve">   </w:t>
            </w:r>
            <w:r>
              <w:rPr>
                <w:rFonts w:hint="eastAsia" w:ascii="宋体" w:hAnsi="宋体" w:eastAsia="宋体" w:cs="宋体"/>
                <w:b/>
                <w:sz w:val="30"/>
                <w:szCs w:val="30"/>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 xml:space="preserve"> </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524341B2">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793C2633">
            <w:pPr>
              <w:pageBreakBefore w:val="0"/>
              <w:kinsoku/>
              <w:wordWrap/>
              <w:overflowPunct/>
              <w:topLinePunct w:val="0"/>
              <w:autoSpaceDE/>
              <w:autoSpaceDN/>
              <w:bidi w:val="0"/>
              <w:spacing w:after="0"/>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项目名称：</w:t>
            </w:r>
          </w:p>
          <w:p w14:paraId="13926FE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3DB069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地址：</w:t>
            </w:r>
          </w:p>
          <w:p w14:paraId="3498D8B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授权代表电话：</w:t>
            </w:r>
          </w:p>
          <w:p w14:paraId="66BF137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传真：</w:t>
            </w:r>
          </w:p>
          <w:p w14:paraId="4B598E8C">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45BE690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4D9C60D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33B44A4">
      <w:pPr>
        <w:pStyle w:val="14"/>
        <w:pageBreakBefore w:val="0"/>
        <w:kinsoku/>
        <w:wordWrap/>
        <w:overflowPunct/>
        <w:topLinePunct w:val="0"/>
        <w:autoSpaceDE/>
        <w:autoSpaceDN/>
        <w:bidi w:val="0"/>
        <w:spacing w:after="0"/>
      </w:pPr>
    </w:p>
    <w:p w14:paraId="13C4EDB8">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04E070C9">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31537755">
      <w:pPr>
        <w:pageBreakBefore w:val="0"/>
        <w:kinsoku/>
        <w:wordWrap/>
        <w:overflowPunct/>
        <w:topLinePunct w:val="0"/>
        <w:autoSpaceDE/>
        <w:autoSpaceDN/>
        <w:bidi w:val="0"/>
        <w:spacing w:after="0"/>
        <w:sectPr>
          <w:headerReference r:id="rId19" w:type="first"/>
          <w:footerReference r:id="rId21" w:type="first"/>
          <w:headerReference r:id="rId18" w:type="default"/>
          <w:footerReference r:id="rId20" w:type="default"/>
          <w:pgSz w:w="11906" w:h="16838"/>
          <w:pgMar w:top="1588" w:right="1418" w:bottom="1134" w:left="1418" w:header="851" w:footer="992" w:gutter="0"/>
          <w:pgNumType w:fmt="numberInDash"/>
          <w:cols w:space="720" w:num="1"/>
          <w:titlePg/>
          <w:docGrid w:type="lines" w:linePitch="312" w:charSpace="0"/>
        </w:sectPr>
      </w:pPr>
    </w:p>
    <w:p w14:paraId="6F222FE8">
      <w:pPr>
        <w:pageBreakBefore w:val="0"/>
        <w:kinsoku/>
        <w:wordWrap/>
        <w:overflowPunct/>
        <w:topLinePunct w:val="0"/>
        <w:autoSpaceDE/>
        <w:autoSpaceDN/>
        <w:bidi w:val="0"/>
        <w:spacing w:after="0"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3904A8E4">
      <w:pPr>
        <w:pageBreakBefore w:val="0"/>
        <w:kinsoku/>
        <w:wordWrap/>
        <w:overflowPunct/>
        <w:topLinePunct w:val="0"/>
        <w:autoSpaceDE/>
        <w:autoSpaceDN/>
        <w:bidi w:val="0"/>
        <w:spacing w:after="0"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5103D175">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p>
    <w:p w14:paraId="4DF9E1C6">
      <w:pPr>
        <w:pageBreakBefore w:val="0"/>
        <w:kinsoku/>
        <w:wordWrap/>
        <w:overflowPunct/>
        <w:topLinePunct w:val="0"/>
        <w:autoSpaceDE/>
        <w:autoSpaceDN/>
        <w:bidi w:val="0"/>
        <w:spacing w:after="0"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（投标单位名称）</w:t>
      </w:r>
      <w:r>
        <w:rPr>
          <w:rFonts w:hint="eastAsia" w:ascii="宋体" w:hAnsi="宋体" w:eastAsia="宋体" w:cs="Times New Roman"/>
          <w:sz w:val="24"/>
          <w:szCs w:val="20"/>
        </w:rPr>
        <w:t>对中标合同产品的服务作如下承诺：</w:t>
      </w:r>
    </w:p>
    <w:p w14:paraId="47736DB8">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67A0CCB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pageBreakBefore w:val="0"/>
        <w:tabs>
          <w:tab w:val="right" w:leader="dot" w:pos="9061"/>
        </w:tabs>
        <w:kinsoku/>
        <w:wordWrap/>
        <w:overflowPunct/>
        <w:topLinePunct w:val="0"/>
        <w:autoSpaceDE/>
        <w:autoSpaceDN/>
        <w:bidi w:val="0"/>
        <w:spacing w:after="0"/>
      </w:pPr>
    </w:p>
    <w:p w14:paraId="47CD582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B9CA3D1">
      <w:pPr>
        <w:pageBreakBefore w:val="0"/>
        <w:kinsoku/>
        <w:wordWrap/>
        <w:overflowPunct/>
        <w:topLinePunct w:val="0"/>
        <w:autoSpaceDE/>
        <w:autoSpaceDN/>
        <w:bidi w:val="0"/>
        <w:spacing w:after="0"/>
        <w:sectPr>
          <w:pgSz w:w="11906" w:h="16838"/>
          <w:pgMar w:top="1587" w:right="1417" w:bottom="1134" w:left="1417" w:header="850" w:footer="992" w:gutter="0"/>
          <w:pgNumType w:fmt="numberInDash"/>
          <w:cols w:space="0" w:num="1"/>
          <w:titlePg/>
          <w:docGrid w:type="lines" w:linePitch="324" w:charSpace="0"/>
        </w:sectPr>
      </w:pPr>
    </w:p>
    <w:p w14:paraId="67164DC8">
      <w:pPr>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14:paraId="5E39ACE7">
      <w:pPr>
        <w:pageBreakBefore w:val="0"/>
        <w:kinsoku/>
        <w:wordWrap/>
        <w:overflowPunct/>
        <w:topLinePunct w:val="0"/>
        <w:autoSpaceDE/>
        <w:autoSpaceDN/>
        <w:bidi w:val="0"/>
        <w:spacing w:after="0"/>
        <w:jc w:val="center"/>
        <w:outlineLvl w:val="2"/>
        <w:rPr>
          <w:rFonts w:ascii="宋体" w:hAnsi="宋体" w:eastAsia="宋体"/>
          <w:b/>
          <w:bCs/>
          <w:sz w:val="28"/>
          <w:szCs w:val="28"/>
        </w:rPr>
      </w:pPr>
      <w:r>
        <w:rPr>
          <w:rFonts w:hint="eastAsia" w:ascii="宋体" w:hAnsi="宋体" w:eastAsia="宋体"/>
          <w:b/>
          <w:bCs/>
          <w:sz w:val="28"/>
          <w:szCs w:val="28"/>
        </w:rPr>
        <w:t>技术标评审表（</w:t>
      </w:r>
      <w:r>
        <w:rPr>
          <w:rFonts w:hint="eastAsia" w:ascii="宋体" w:hAnsi="宋体" w:eastAsia="宋体"/>
          <w:b/>
          <w:bCs/>
          <w:sz w:val="28"/>
          <w:szCs w:val="28"/>
          <w:lang w:val="en-US" w:eastAsia="zh-CN"/>
        </w:rPr>
        <w:t>10</w:t>
      </w:r>
      <w:r>
        <w:rPr>
          <w:rFonts w:hint="eastAsia" w:ascii="宋体" w:hAnsi="宋体" w:eastAsia="宋体"/>
          <w:b/>
          <w:bCs/>
          <w:sz w:val="28"/>
          <w:szCs w:val="28"/>
        </w:rPr>
        <w:t>0分）</w:t>
      </w:r>
    </w:p>
    <w:tbl>
      <w:tblPr>
        <w:tblStyle w:val="30"/>
        <w:tblW w:w="14237" w:type="dxa"/>
        <w:tblInd w:w="93" w:type="dxa"/>
        <w:tblLayout w:type="autofit"/>
        <w:tblCellMar>
          <w:top w:w="0" w:type="dxa"/>
          <w:left w:w="108" w:type="dxa"/>
          <w:bottom w:w="0" w:type="dxa"/>
          <w:right w:w="108" w:type="dxa"/>
        </w:tblCellMar>
      </w:tblPr>
      <w:tblGrid>
        <w:gridCol w:w="760"/>
        <w:gridCol w:w="608"/>
        <w:gridCol w:w="2225"/>
        <w:gridCol w:w="933"/>
        <w:gridCol w:w="9711"/>
      </w:tblGrid>
      <w:tr w14:paraId="345096FB">
        <w:tblPrEx>
          <w:tblCellMar>
            <w:top w:w="0" w:type="dxa"/>
            <w:left w:w="108" w:type="dxa"/>
            <w:bottom w:w="0" w:type="dxa"/>
            <w:right w:w="108" w:type="dxa"/>
          </w:tblCellMar>
        </w:tblPrEx>
        <w:trPr>
          <w:trHeight w:val="329" w:hRule="atLeast"/>
        </w:trPr>
        <w:tc>
          <w:tcPr>
            <w:tcW w:w="76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6C1CB77">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14"/>
                <w:rFonts w:hint="default"/>
                <w:lang w:bidi="ar"/>
              </w:rPr>
              <w:t>评价类型</w:t>
            </w:r>
          </w:p>
        </w:tc>
        <w:tc>
          <w:tcPr>
            <w:tcW w:w="608"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C05C5E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14"/>
                <w:rFonts w:hint="default"/>
                <w:lang w:bidi="ar"/>
              </w:rPr>
              <w:t>序号</w:t>
            </w:r>
          </w:p>
        </w:tc>
        <w:tc>
          <w:tcPr>
            <w:tcW w:w="222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6223464">
            <w:pPr>
              <w:pageBreakBefore w:val="0"/>
              <w:widowControl/>
              <w:kinsoku/>
              <w:wordWrap/>
              <w:overflowPunct/>
              <w:topLinePunct w:val="0"/>
              <w:autoSpaceDE/>
              <w:autoSpaceDN/>
              <w:bidi w:val="0"/>
              <w:spacing w:after="0"/>
              <w:jc w:val="center"/>
              <w:textAlignment w:val="center"/>
              <w:rPr>
                <w:rFonts w:hint="default" w:ascii="宋体" w:hAnsi="宋体" w:eastAsia="宋体" w:cs="宋体"/>
                <w:b/>
                <w:bCs/>
                <w:color w:val="000000"/>
                <w:kern w:val="2"/>
                <w:sz w:val="21"/>
                <w:szCs w:val="21"/>
                <w:lang w:val="en-US" w:eastAsia="zh-CN" w:bidi="ar-SA"/>
              </w:rPr>
            </w:pPr>
            <w:r>
              <w:rPr>
                <w:rStyle w:val="114"/>
                <w:rFonts w:hint="default"/>
                <w:spacing w:val="315"/>
                <w:kern w:val="0"/>
                <w:fitText w:val="1050" w:id="1133589033"/>
                <w:lang w:bidi="ar"/>
              </w:rPr>
              <w:t>内</w:t>
            </w:r>
            <w:r>
              <w:rPr>
                <w:rStyle w:val="114"/>
                <w:rFonts w:hint="default"/>
                <w:spacing w:val="0"/>
                <w:kern w:val="0"/>
                <w:fitText w:val="1050" w:id="1133589033"/>
                <w:lang w:bidi="ar"/>
              </w:rPr>
              <w:t>容</w:t>
            </w:r>
          </w:p>
        </w:tc>
        <w:tc>
          <w:tcPr>
            <w:tcW w:w="93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297D05E">
            <w:pPr>
              <w:pageBreakBefore w:val="0"/>
              <w:widowControl/>
              <w:kinsoku/>
              <w:wordWrap/>
              <w:overflowPunct/>
              <w:topLinePunct w:val="0"/>
              <w:autoSpaceDE/>
              <w:autoSpaceDN/>
              <w:bidi w:val="0"/>
              <w:spacing w:after="0"/>
              <w:jc w:val="center"/>
              <w:textAlignment w:val="center"/>
              <w:rPr>
                <w:rStyle w:val="114"/>
                <w:rFonts w:hint="eastAsia" w:eastAsia="宋体"/>
                <w:lang w:val="en-US" w:eastAsia="zh-CN" w:bidi="ar"/>
              </w:rPr>
            </w:pPr>
            <w:r>
              <w:rPr>
                <w:rStyle w:val="114"/>
                <w:rFonts w:hint="eastAsia" w:eastAsia="宋体"/>
                <w:lang w:val="en-US" w:eastAsia="zh-CN" w:bidi="ar"/>
              </w:rPr>
              <w:t>标准分</w:t>
            </w:r>
          </w:p>
        </w:tc>
        <w:tc>
          <w:tcPr>
            <w:tcW w:w="971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2F10D5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14"/>
                <w:rFonts w:hint="default"/>
                <w:lang w:bidi="ar"/>
              </w:rPr>
              <w:t>评分标准</w:t>
            </w:r>
          </w:p>
        </w:tc>
      </w:tr>
      <w:tr w14:paraId="66BC5D88">
        <w:tblPrEx>
          <w:tblCellMar>
            <w:top w:w="0" w:type="dxa"/>
            <w:left w:w="108" w:type="dxa"/>
            <w:bottom w:w="0" w:type="dxa"/>
            <w:right w:w="108" w:type="dxa"/>
          </w:tblCellMar>
        </w:tblPrEx>
        <w:trPr>
          <w:trHeight w:val="723" w:hRule="atLeast"/>
        </w:trPr>
        <w:tc>
          <w:tcPr>
            <w:tcW w:w="760" w:type="dxa"/>
            <w:vMerge w:val="restart"/>
            <w:tcBorders>
              <w:top w:val="single" w:color="000000" w:sz="4" w:space="0"/>
              <w:left w:val="single" w:color="000000" w:sz="8" w:space="0"/>
              <w:right w:val="single" w:color="000000" w:sz="4" w:space="0"/>
            </w:tcBorders>
            <w:shd w:val="clear" w:color="auto" w:fill="auto"/>
            <w:vAlign w:val="center"/>
          </w:tcPr>
          <w:p w14:paraId="31B977C3">
            <w:pPr>
              <w:pStyle w:val="10"/>
              <w:spacing w:after="0" w:line="340" w:lineRule="exact"/>
              <w:jc w:val="center"/>
              <w:rPr>
                <w:rFonts w:ascii="宋体" w:hAnsi="宋体" w:eastAsia="宋体" w:cs="宋体"/>
                <w:color w:val="000000"/>
                <w:szCs w:val="21"/>
              </w:rPr>
            </w:pP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lang w:eastAsia="zh-CN"/>
              </w:rPr>
              <w:t>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E226">
            <w:pPr>
              <w:pageBreakBefore w:val="0"/>
              <w:widowControl/>
              <w:kinsoku/>
              <w:wordWrap/>
              <w:overflowPunct/>
              <w:topLinePunct w:val="0"/>
              <w:autoSpaceDE/>
              <w:autoSpaceDN/>
              <w:bidi w:val="0"/>
              <w:spacing w:after="0"/>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0903">
            <w:pPr>
              <w:pStyle w:val="10"/>
              <w:spacing w:after="0" w:line="32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技术方案</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271C">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60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69B1C0C">
            <w:pPr>
              <w:pStyle w:val="10"/>
              <w:spacing w:after="0" w:line="32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274CF4DC">
        <w:tblPrEx>
          <w:tblCellMar>
            <w:top w:w="0" w:type="dxa"/>
            <w:left w:w="108" w:type="dxa"/>
            <w:bottom w:w="0" w:type="dxa"/>
            <w:right w:w="108" w:type="dxa"/>
          </w:tblCellMar>
        </w:tblPrEx>
        <w:trPr>
          <w:trHeight w:val="456" w:hRule="atLeast"/>
        </w:trPr>
        <w:tc>
          <w:tcPr>
            <w:tcW w:w="760" w:type="dxa"/>
            <w:vMerge w:val="continue"/>
            <w:tcBorders>
              <w:left w:val="single" w:color="000000" w:sz="8" w:space="0"/>
              <w:right w:val="single" w:color="000000" w:sz="4" w:space="0"/>
            </w:tcBorders>
            <w:shd w:val="clear" w:color="auto" w:fill="auto"/>
            <w:vAlign w:val="center"/>
          </w:tcPr>
          <w:p w14:paraId="0DE299C8">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D002">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2</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8F04">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产品质量及保证措施</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A96B">
            <w:pPr>
              <w:spacing w:line="440" w:lineRule="exact"/>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7E334FA">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9AA8FD0">
        <w:tblPrEx>
          <w:tblCellMar>
            <w:top w:w="0" w:type="dxa"/>
            <w:left w:w="108" w:type="dxa"/>
            <w:bottom w:w="0" w:type="dxa"/>
            <w:right w:w="108" w:type="dxa"/>
          </w:tblCellMar>
        </w:tblPrEx>
        <w:trPr>
          <w:trHeight w:val="90" w:hRule="atLeast"/>
        </w:trPr>
        <w:tc>
          <w:tcPr>
            <w:tcW w:w="760" w:type="dxa"/>
            <w:vMerge w:val="continue"/>
            <w:tcBorders>
              <w:left w:val="single" w:color="000000" w:sz="8" w:space="0"/>
              <w:right w:val="single" w:color="000000" w:sz="4" w:space="0"/>
            </w:tcBorders>
            <w:shd w:val="clear" w:color="auto" w:fill="auto"/>
            <w:vAlign w:val="center"/>
          </w:tcPr>
          <w:p w14:paraId="48C7E36C">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245B">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3</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B4EE">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业绩</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5EF6">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C479A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0BC54098">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5BCBD399">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D96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4</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BA87">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供货周期</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84EE">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EB63323">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60FE1E4B">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7A24A177">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387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5</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BDDC">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质保期及售后服务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F9C3">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2317B2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bl>
    <w:p w14:paraId="0CA3D3AC">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评标过程中必须确保推荐的入围候选中标人，在功能、质量、先进性、业绩等方面均符合招标标准要求。</w:t>
      </w:r>
    </w:p>
    <w:p w14:paraId="755B50CE">
      <w:pPr>
        <w:pageBreakBefore w:val="0"/>
        <w:kinsoku/>
        <w:wordWrap/>
        <w:overflowPunct/>
        <w:topLinePunct w:val="0"/>
        <w:autoSpaceDE/>
        <w:autoSpaceDN/>
        <w:bidi w:val="0"/>
        <w:spacing w:after="0"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406074D2">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04D17F3A">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E04EE08">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14:paraId="774A3460">
      <w:pPr>
        <w:pageBreakBefore w:val="0"/>
        <w:kinsoku/>
        <w:wordWrap/>
        <w:overflowPunct/>
        <w:topLinePunct w:val="0"/>
        <w:autoSpaceDE/>
        <w:autoSpaceDN/>
        <w:bidi w:val="0"/>
        <w:spacing w:after="0"/>
      </w:pPr>
    </w:p>
    <w:p w14:paraId="5267ACD6">
      <w:pPr>
        <w:pageBreakBefore w:val="0"/>
        <w:kinsoku/>
        <w:wordWrap/>
        <w:overflowPunct/>
        <w:topLinePunct w:val="0"/>
        <w:autoSpaceDE/>
        <w:autoSpaceDN/>
        <w:bidi w:val="0"/>
        <w:spacing w:after="0"/>
        <w:sectPr>
          <w:pgSz w:w="16838" w:h="11906" w:orient="landscape"/>
          <w:pgMar w:top="1417" w:right="1588" w:bottom="1417" w:left="1134" w:header="851" w:footer="992" w:gutter="0"/>
          <w:pgBorders>
            <w:top w:val="none" w:sz="0" w:space="0"/>
            <w:left w:val="none" w:sz="0" w:space="0"/>
            <w:bottom w:val="none" w:sz="0" w:space="0"/>
            <w:right w:val="none" w:sz="0" w:space="0"/>
          </w:pgBorders>
          <w:pgNumType w:fmt="numberInDash"/>
          <w:cols w:space="0" w:num="1"/>
          <w:titlePg/>
          <w:rtlGutter w:val="0"/>
          <w:docGrid w:type="lines" w:linePitch="312" w:charSpace="0"/>
        </w:sectPr>
      </w:pPr>
    </w:p>
    <w:p w14:paraId="6AD07233">
      <w:pPr>
        <w:pStyle w:val="14"/>
        <w:pageBreakBefore w:val="0"/>
        <w:kinsoku/>
        <w:wordWrap/>
        <w:overflowPunct/>
        <w:topLinePunct w:val="0"/>
        <w:autoSpaceDE/>
        <w:autoSpaceDN/>
        <w:bidi w:val="0"/>
        <w:spacing w:after="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59B9F5A1">
      <w:pPr>
        <w:pStyle w:val="14"/>
        <w:pageBreakBefore w:val="0"/>
        <w:kinsoku/>
        <w:wordWrap/>
        <w:overflowPunct/>
        <w:topLinePunct w:val="0"/>
        <w:autoSpaceDE/>
        <w:autoSpaceDN/>
        <w:bidi w:val="0"/>
        <w:spacing w:after="0"/>
        <w:rPr>
          <w:rFonts w:eastAsia="宋体"/>
        </w:rPr>
      </w:pPr>
    </w:p>
    <w:p w14:paraId="4E10F8EE">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pageBreakBefore w:val="0"/>
        <w:kinsoku/>
        <w:wordWrap/>
        <w:overflowPunct/>
        <w:topLinePunct w:val="0"/>
        <w:autoSpaceDE/>
        <w:autoSpaceDN/>
        <w:bidi w:val="0"/>
        <w:snapToGrid w:val="0"/>
        <w:spacing w:after="0" w:line="312" w:lineRule="auto"/>
      </w:pPr>
      <w:r>
        <w:drawing>
          <wp:inline distT="0" distB="0" distL="0" distR="0">
            <wp:extent cx="5760085" cy="2933065"/>
            <wp:effectExtent l="0" t="0" r="12065" b="63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4"/>
                    <a:stretch>
                      <a:fillRect/>
                    </a:stretch>
                  </pic:blipFill>
                  <pic:spPr>
                    <a:xfrm>
                      <a:off x="0" y="0"/>
                      <a:ext cx="5760085" cy="2933377"/>
                    </a:xfrm>
                    <a:prstGeom prst="rect">
                      <a:avLst/>
                    </a:prstGeom>
                  </pic:spPr>
                </pic:pic>
              </a:graphicData>
            </a:graphic>
          </wp:inline>
        </w:drawing>
      </w:r>
    </w:p>
    <w:p w14:paraId="51B83E57">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pageBreakBefore w:val="0"/>
        <w:kinsoku/>
        <w:wordWrap/>
        <w:overflowPunct/>
        <w:topLinePunct w:val="0"/>
        <w:autoSpaceDE/>
        <w:autoSpaceDN/>
        <w:bidi w:val="0"/>
        <w:snapToGrid w:val="0"/>
        <w:spacing w:after="0" w:line="312" w:lineRule="auto"/>
      </w:pPr>
      <w:r>
        <w:drawing>
          <wp:inline distT="0" distB="0" distL="0" distR="0">
            <wp:extent cx="5760085" cy="2766695"/>
            <wp:effectExtent l="0" t="0" r="1206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766707"/>
                    </a:xfrm>
                    <a:prstGeom prst="rect">
                      <a:avLst/>
                    </a:prstGeom>
                  </pic:spPr>
                </pic:pic>
              </a:graphicData>
            </a:graphic>
          </wp:inline>
        </w:drawing>
      </w:r>
    </w:p>
    <w:p w14:paraId="3B081EB6">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pageBreakBefore w:val="0"/>
        <w:kinsoku/>
        <w:wordWrap/>
        <w:overflowPunct/>
        <w:topLinePunct w:val="0"/>
        <w:autoSpaceDE/>
        <w:autoSpaceDN/>
        <w:bidi w:val="0"/>
        <w:snapToGrid w:val="0"/>
        <w:spacing w:after="0" w:line="312" w:lineRule="auto"/>
      </w:pPr>
      <w:r>
        <w:drawing>
          <wp:inline distT="0" distB="0" distL="0" distR="0">
            <wp:extent cx="5760085" cy="2869565"/>
            <wp:effectExtent l="0" t="0" r="12065" b="698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760085" cy="2870054"/>
                    </a:xfrm>
                    <a:prstGeom prst="rect">
                      <a:avLst/>
                    </a:prstGeom>
                  </pic:spPr>
                </pic:pic>
              </a:graphicData>
            </a:graphic>
          </wp:inline>
        </w:drawing>
      </w:r>
    </w:p>
    <w:p w14:paraId="23C53DA1">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pageBreakBefore w:val="0"/>
        <w:kinsoku/>
        <w:wordWrap/>
        <w:overflowPunct/>
        <w:topLinePunct w:val="0"/>
        <w:autoSpaceDE/>
        <w:autoSpaceDN/>
        <w:bidi w:val="0"/>
        <w:snapToGrid w:val="0"/>
        <w:spacing w:after="0" w:line="312" w:lineRule="auto"/>
      </w:pPr>
      <w:r>
        <w:drawing>
          <wp:inline distT="0" distB="0" distL="0" distR="0">
            <wp:extent cx="5760085" cy="2853055"/>
            <wp:effectExtent l="0" t="0" r="12065" b="444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760085" cy="2853375"/>
                    </a:xfrm>
                    <a:prstGeom prst="rect">
                      <a:avLst/>
                    </a:prstGeom>
                  </pic:spPr>
                </pic:pic>
              </a:graphicData>
            </a:graphic>
          </wp:inline>
        </w:drawing>
      </w:r>
    </w:p>
    <w:p w14:paraId="2AAFA905">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FF3DE23">
      <w:pPr>
        <w:pStyle w:val="14"/>
        <w:pageBreakBefore w:val="0"/>
        <w:kinsoku/>
        <w:wordWrap/>
        <w:overflowPunct/>
        <w:topLinePunct w:val="0"/>
        <w:autoSpaceDE/>
        <w:autoSpaceDN/>
        <w:bidi w:val="0"/>
        <w:spacing w:after="0"/>
      </w:pPr>
    </w:p>
    <w:p w14:paraId="399DBCD5">
      <w:pPr>
        <w:pageBreakBefore w:val="0"/>
        <w:kinsoku/>
        <w:wordWrap/>
        <w:overflowPunct/>
        <w:topLinePunct w:val="0"/>
        <w:autoSpaceDE/>
        <w:autoSpaceDN/>
        <w:bidi w:val="0"/>
        <w:spacing w:after="0"/>
      </w:pPr>
      <w:r>
        <w:drawing>
          <wp:inline distT="0" distB="0" distL="0" distR="0">
            <wp:extent cx="5760085" cy="2809875"/>
            <wp:effectExtent l="0" t="0" r="12065" b="952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760085" cy="2810122"/>
                    </a:xfrm>
                    <a:prstGeom prst="rect">
                      <a:avLst/>
                    </a:prstGeom>
                  </pic:spPr>
                </pic:pic>
              </a:graphicData>
            </a:graphic>
          </wp:inline>
        </w:drawing>
      </w:r>
    </w:p>
    <w:p w14:paraId="7362023B">
      <w:pPr>
        <w:pStyle w:val="14"/>
        <w:pageBreakBefore w:val="0"/>
        <w:kinsoku/>
        <w:wordWrap/>
        <w:overflowPunct/>
        <w:topLinePunct w:val="0"/>
        <w:autoSpaceDE/>
        <w:autoSpaceDN/>
        <w:bidi w:val="0"/>
        <w:spacing w:after="0"/>
      </w:pPr>
      <w:r>
        <w:drawing>
          <wp:inline distT="0" distB="0" distL="0" distR="0">
            <wp:extent cx="5760085" cy="2820035"/>
            <wp:effectExtent l="0" t="0" r="12065" b="184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2820042"/>
                    </a:xfrm>
                    <a:prstGeom prst="rect">
                      <a:avLst/>
                    </a:prstGeom>
                  </pic:spPr>
                </pic:pic>
              </a:graphicData>
            </a:graphic>
          </wp:inline>
        </w:drawing>
      </w:r>
    </w:p>
    <w:p w14:paraId="11FC7CE2">
      <w:pPr>
        <w:pStyle w:val="14"/>
        <w:pageBreakBefore w:val="0"/>
        <w:kinsoku/>
        <w:wordWrap/>
        <w:overflowPunct/>
        <w:topLinePunct w:val="0"/>
        <w:autoSpaceDE/>
        <w:autoSpaceDN/>
        <w:bidi w:val="0"/>
        <w:spacing w:after="0"/>
      </w:pPr>
    </w:p>
    <w:p w14:paraId="1E4FAFDD">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14"/>
        <w:pageBreakBefore w:val="0"/>
        <w:kinsoku/>
        <w:wordWrap/>
        <w:overflowPunct/>
        <w:topLinePunct w:val="0"/>
        <w:autoSpaceDE/>
        <w:autoSpaceDN/>
        <w:bidi w:val="0"/>
        <w:spacing w:after="0"/>
      </w:pPr>
      <w:r>
        <w:rPr>
          <w:rFonts w:hint="eastAsia" w:hAnsi="宋体" w:eastAsia="宋体" w:cs="宋体"/>
          <w:b/>
          <w:bCs/>
          <w:color w:val="000000"/>
          <w:sz w:val="24"/>
          <w:szCs w:val="28"/>
        </w:rPr>
        <w:t>2.配套能力“供货类别”填“工艺装备”，业务主管部门选择“工艺工匠研究院”。</w:t>
      </w:r>
    </w:p>
    <w:p w14:paraId="168F610B">
      <w:pPr>
        <w:pStyle w:val="14"/>
        <w:pageBreakBefore w:val="0"/>
        <w:kinsoku/>
        <w:wordWrap/>
        <w:overflowPunct/>
        <w:topLinePunct w:val="0"/>
        <w:autoSpaceDE/>
        <w:autoSpaceDN/>
        <w:bidi w:val="0"/>
        <w:spacing w:after="0"/>
        <w:sectPr>
          <w:pgSz w:w="11906" w:h="16838"/>
          <w:pgMar w:top="1588" w:right="1418" w:bottom="1134" w:left="1418" w:header="851" w:footer="992" w:gutter="0"/>
          <w:pgNumType w:fmt="numberInDash"/>
          <w:cols w:space="720" w:num="1"/>
          <w:titlePg/>
          <w:docGrid w:type="lines" w:linePitch="312" w:charSpace="0"/>
        </w:sectPr>
      </w:pPr>
    </w:p>
    <w:p w14:paraId="158AA682">
      <w:pPr>
        <w:pStyle w:val="14"/>
        <w:pageBreakBefore w:val="0"/>
        <w:kinsoku/>
        <w:wordWrap/>
        <w:overflowPunct/>
        <w:topLinePunct w:val="0"/>
        <w:autoSpaceDE/>
        <w:autoSpaceDN/>
        <w:bidi w:val="0"/>
        <w:spacing w:after="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032295F5">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0DF8B7A">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AF6BF5B">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717F673">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pageBreakBefore w:val="0"/>
        <w:kinsoku/>
        <w:wordWrap/>
        <w:overflowPunct/>
        <w:topLinePunct w:val="0"/>
        <w:autoSpaceDE/>
        <w:autoSpaceDN/>
        <w:bidi w:val="0"/>
        <w:spacing w:after="0"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pPr>
        <w:pageBreakBefore w:val="0"/>
        <w:kinsoku/>
        <w:wordWrap/>
        <w:overflowPunct/>
        <w:topLinePunct w:val="0"/>
        <w:autoSpaceDE/>
        <w:autoSpaceDN/>
        <w:bidi w:val="0"/>
        <w:spacing w:after="0"/>
      </w:pPr>
      <w:r>
        <w:drawing>
          <wp:inline distT="0" distB="0" distL="0" distR="0">
            <wp:extent cx="5760085" cy="2269490"/>
            <wp:effectExtent l="0" t="0" r="12065" b="1651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0"/>
                    <a:stretch>
                      <a:fillRect/>
                    </a:stretch>
                  </pic:blipFill>
                  <pic:spPr>
                    <a:xfrm>
                      <a:off x="0" y="0"/>
                      <a:ext cx="5760085" cy="2269864"/>
                    </a:xfrm>
                    <a:prstGeom prst="rect">
                      <a:avLst/>
                    </a:prstGeom>
                  </pic:spPr>
                </pic:pic>
              </a:graphicData>
            </a:graphic>
          </wp:inline>
        </w:drawing>
      </w:r>
    </w:p>
    <w:p w14:paraId="30C4DD8A">
      <w:pPr>
        <w:pageBreakBefore w:val="0"/>
        <w:kinsoku/>
        <w:wordWrap/>
        <w:overflowPunct/>
        <w:topLinePunct w:val="0"/>
        <w:autoSpaceDE/>
        <w:autoSpaceDN/>
        <w:bidi w:val="0"/>
        <w:spacing w:after="0"/>
      </w:pPr>
    </w:p>
    <w:p w14:paraId="0B73CFC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pageBreakBefore w:val="0"/>
        <w:kinsoku/>
        <w:wordWrap/>
        <w:overflowPunct/>
        <w:topLinePunct w:val="0"/>
        <w:autoSpaceDE/>
        <w:autoSpaceDN/>
        <w:bidi w:val="0"/>
        <w:spacing w:after="0"/>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1"/>
                    <a:stretch>
                      <a:fillRect/>
                    </a:stretch>
                  </pic:blipFill>
                  <pic:spPr>
                    <a:xfrm>
                      <a:off x="0" y="0"/>
                      <a:ext cx="5760085" cy="2125673"/>
                    </a:xfrm>
                    <a:prstGeom prst="rect">
                      <a:avLst/>
                    </a:prstGeom>
                  </pic:spPr>
                </pic:pic>
              </a:graphicData>
            </a:graphic>
          </wp:inline>
        </w:drawing>
      </w:r>
    </w:p>
    <w:p w14:paraId="3F28D54B">
      <w:pPr>
        <w:pageBreakBefore w:val="0"/>
        <w:kinsoku/>
        <w:wordWrap/>
        <w:overflowPunct/>
        <w:topLinePunct w:val="0"/>
        <w:autoSpaceDE/>
        <w:autoSpaceDN/>
        <w:bidi w:val="0"/>
        <w:spacing w:after="0"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4"/>
        <w:pageBreakBefore w:val="0"/>
        <w:kinsoku/>
        <w:wordWrap/>
        <w:overflowPunct/>
        <w:topLinePunct w:val="0"/>
        <w:autoSpaceDE/>
        <w:autoSpaceDN/>
        <w:bidi w:val="0"/>
        <w:spacing w:after="0"/>
      </w:pPr>
      <w:r>
        <w:rPr>
          <w:rFonts w:hint="eastAsia" w:hAnsi="宋体" w:eastAsia="宋体" w:cs="宋体"/>
          <w:color w:val="000000"/>
          <w:sz w:val="24"/>
          <w:szCs w:val="28"/>
        </w:rPr>
        <w:t>注意：系统内的投标报价单位为“万元”，如开标现场发现填错报价，即直接淘汰。</w:t>
      </w:r>
    </w:p>
    <w:p w14:paraId="2F2B82EA">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490210" cy="2668905"/>
            <wp:effectExtent l="0" t="0" r="15240" b="1714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2"/>
                    <a:stretch>
                      <a:fillRect/>
                    </a:stretch>
                  </pic:blipFill>
                  <pic:spPr>
                    <a:xfrm>
                      <a:off x="0" y="0"/>
                      <a:ext cx="5490210" cy="2669498"/>
                    </a:xfrm>
                    <a:prstGeom prst="rect">
                      <a:avLst/>
                    </a:prstGeom>
                  </pic:spPr>
                </pic:pic>
              </a:graphicData>
            </a:graphic>
          </wp:inline>
        </w:drawing>
      </w:r>
    </w:p>
    <w:p w14:paraId="334A0E4B">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D8A2ECE">
      <w:pPr>
        <w:pageBreakBefore w:val="0"/>
        <w:kinsoku/>
        <w:wordWrap/>
        <w:overflowPunct/>
        <w:topLinePunct w:val="0"/>
        <w:autoSpaceDE/>
        <w:autoSpaceDN/>
        <w:bidi w:val="0"/>
        <w:spacing w:after="0"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33"/>
                    <a:stretch>
                      <a:fillRect/>
                    </a:stretch>
                  </pic:blipFill>
                  <pic:spPr>
                    <a:xfrm>
                      <a:off x="0" y="0"/>
                      <a:ext cx="5490210" cy="1992743"/>
                    </a:xfrm>
                    <a:prstGeom prst="rect">
                      <a:avLst/>
                    </a:prstGeom>
                  </pic:spPr>
                </pic:pic>
              </a:graphicData>
            </a:graphic>
          </wp:inline>
        </w:drawing>
      </w:r>
    </w:p>
    <w:p w14:paraId="693278CA">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758180" cy="2379345"/>
            <wp:effectExtent l="0" t="0" r="13970" b="1905"/>
            <wp:docPr id="40" name="picture" descr="descript"/>
            <wp:cNvGraphicFramePr/>
            <a:graphic xmlns:a="http://schemas.openxmlformats.org/drawingml/2006/main">
              <a:graphicData uri="http://schemas.openxmlformats.org/drawingml/2006/picture">
                <pic:pic xmlns:pic="http://schemas.openxmlformats.org/drawingml/2006/picture">
                  <pic:nvPicPr>
                    <pic:cNvPr id="40" name="picture" descr="descript"/>
                    <pic:cNvPicPr/>
                  </pic:nvPicPr>
                  <pic:blipFill>
                    <a:blip r:embed="rId34"/>
                    <a:stretch>
                      <a:fillRect/>
                    </a:stretch>
                  </pic:blipFill>
                  <pic:spPr>
                    <a:xfrm>
                      <a:off x="0" y="0"/>
                      <a:ext cx="5758180" cy="2379345"/>
                    </a:xfrm>
                    <a:prstGeom prst="rect">
                      <a:avLst/>
                    </a:prstGeom>
                  </pic:spPr>
                </pic:pic>
              </a:graphicData>
            </a:graphic>
          </wp:inline>
        </w:drawing>
      </w:r>
    </w:p>
    <w:p w14:paraId="2228558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4C5B691">
      <w:pPr>
        <w:pageBreakBefore w:val="0"/>
        <w:kinsoku/>
        <w:wordWrap/>
        <w:overflowPunct/>
        <w:topLinePunct w:val="0"/>
        <w:autoSpaceDE/>
        <w:autoSpaceDN/>
        <w:bidi w:val="0"/>
        <w:spacing w:after="0"/>
        <w:rPr>
          <w:rFonts w:hint="eastAsia" w:ascii="宋体" w:hAnsi="宋体" w:eastAsia="宋体" w:cs="Times New Roman"/>
          <w:b/>
          <w:sz w:val="36"/>
          <w:szCs w:val="36"/>
        </w:rPr>
      </w:pPr>
      <w:r>
        <w:drawing>
          <wp:inline distT="0" distB="0" distL="0" distR="0">
            <wp:extent cx="6002655" cy="2518410"/>
            <wp:effectExtent l="0" t="0" r="17145" b="1524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35"/>
                    <a:stretch>
                      <a:fillRect/>
                    </a:stretch>
                  </pic:blipFill>
                  <pic:spPr>
                    <a:xfrm>
                      <a:off x="0" y="0"/>
                      <a:ext cx="6002655" cy="2518410"/>
                    </a:xfrm>
                    <a:prstGeom prst="rect">
                      <a:avLst/>
                    </a:prstGeom>
                  </pic:spPr>
                </pic:pic>
              </a:graphicData>
            </a:graphic>
          </wp:inline>
        </w:drawing>
      </w:r>
    </w:p>
    <w:p w14:paraId="3121E729">
      <w:pPr>
        <w:pStyle w:val="76"/>
        <w:rPr>
          <w:rFonts w:hint="default" w:hAnsi="宋体"/>
          <w:sz w:val="24"/>
          <w:lang w:val="en-US"/>
        </w:rPr>
      </w:pPr>
    </w:p>
    <w:sectPr>
      <w:pgSz w:w="11906" w:h="16838"/>
      <w:pgMar w:top="1701" w:right="1418" w:bottom="1134" w:left="1418" w:header="851" w:footer="992"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E34091C-5298-4CA3-9A89-BFDBB95C1CCB}"/>
  </w:font>
  <w:font w:name="黑体">
    <w:panose1 w:val="02010609060101010101"/>
    <w:charset w:val="86"/>
    <w:family w:val="auto"/>
    <w:pitch w:val="default"/>
    <w:sig w:usb0="800002BF" w:usb1="38CF7CFA" w:usb2="00000016" w:usb3="00000000" w:csb0="00040001" w:csb1="00000000"/>
    <w:embedRegular r:id="rId2" w:fontKey="{51769077-9DBF-433C-B47C-924A3CD43BFA}"/>
  </w:font>
  <w:font w:name="Courier New">
    <w:panose1 w:val="02070309020205020404"/>
    <w:charset w:val="01"/>
    <w:family w:val="modern"/>
    <w:pitch w:val="default"/>
    <w:sig w:usb0="E0002EFF" w:usb1="C0007843" w:usb2="00000009" w:usb3="00000000" w:csb0="400001FF" w:csb1="FFFF0000"/>
    <w:embedRegular r:id="rId3" w:fontKey="{E42937A2-200C-44A6-84D8-4403D16B170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38744BB9-0185-4490-B213-C2150A0B6596}"/>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0E0859EE-B249-4E41-B2AA-B39B09EC9D71}"/>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embedRegular r:id="rId6" w:fontKey="{76AC1BB6-80B5-4DAC-8F64-CA12C58E5865}"/>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embedRegular r:id="rId7" w:fontKey="{ED868ACC-E86E-4CFA-BCB3-6C2D3FDFF0AC}"/>
  </w:font>
  <w:font w:name="??">
    <w:altName w:val="Times New Roman"/>
    <w:panose1 w:val="00000000000000000000"/>
    <w:charset w:val="00"/>
    <w:family w:val="roman"/>
    <w:pitch w:val="default"/>
    <w:sig w:usb0="00000000" w:usb1="00000000" w:usb2="00000000" w:usb3="00000000" w:csb0="00000001" w:csb1="00000000"/>
  </w:font>
  <w:font w:name="文鼎大标宋简">
    <w:altName w:val="宋体"/>
    <w:panose1 w:val="00000000000000000000"/>
    <w:charset w:val="86"/>
    <w:family w:val="modern"/>
    <w:pitch w:val="default"/>
    <w:sig w:usb0="00000000" w:usb1="00000000" w:usb2="00000010" w:usb3="00000000" w:csb0="00040000" w:csb1="00000000"/>
    <w:embedRegular r:id="rId8" w:fontKey="{48477087-FF6E-402C-8560-D23CEE1AD42B}"/>
  </w:font>
  <w:font w:name="华文中宋">
    <w:panose1 w:val="02010600040101010101"/>
    <w:charset w:val="86"/>
    <w:family w:val="auto"/>
    <w:pitch w:val="default"/>
    <w:sig w:usb0="00000287" w:usb1="080F0000" w:usb2="00000000" w:usb3="00000000" w:csb0="0004009F" w:csb1="DFD70000"/>
    <w:embedRegular r:id="rId9" w:fontKey="{BD30156C-56E5-4592-AD2E-F4FCBDE2F7EE}"/>
  </w:font>
  <w:font w:name="方正小标宋简体">
    <w:panose1 w:val="02000000000000000000"/>
    <w:charset w:val="86"/>
    <w:family w:val="script"/>
    <w:pitch w:val="default"/>
    <w:sig w:usb0="00000001" w:usb1="08000000" w:usb2="00000000" w:usb3="00000000" w:csb0="00040000" w:csb1="00000000"/>
    <w:embedRegular r:id="rId10" w:fontKey="{49DFCB5F-E51C-4264-A52C-2A4495B551C4}"/>
  </w:font>
  <w:font w:name="Wingdings 2">
    <w:panose1 w:val="05020102010507070707"/>
    <w:charset w:val="02"/>
    <w:family w:val="roman"/>
    <w:pitch w:val="default"/>
    <w:sig w:usb0="00000000" w:usb1="00000000" w:usb2="00000000" w:usb3="00000000" w:csb0="80000000" w:csb1="00000000"/>
    <w:embedRegular r:id="rId11" w:fontKey="{72AB3DA7-BFE3-4E01-842A-7DC8DC41ED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38C4C">
                          <w:pPr>
                            <w:pStyle w:val="18"/>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6738C4C">
                    <w:pPr>
                      <w:pStyle w:val="18"/>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4A1B9">
                          <w:pPr>
                            <w:pStyle w:val="18"/>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724A1B9">
                    <w:pPr>
                      <w:pStyle w:val="18"/>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18"/>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18"/>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AF636">
    <w:pPr>
      <w:pStyle w:val="18"/>
      <w:jc w:val="center"/>
      <w:rPr>
        <w:sz w:val="21"/>
        <w:szCs w:val="20"/>
      </w:rPr>
    </w:pP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32"/>
                          </w:sdtPr>
                          <w:sdtContent>
                            <w:p w14:paraId="63614A2D">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41F298B5"/>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147482032"/>
                    </w:sdtPr>
                    <w:sdtContent>
                      <w:p w14:paraId="63614A2D">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41F298B5"/>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18"/>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6596"/>
                          </w:sdtPr>
                          <w:sdtContent>
                            <w:sdt>
                              <w:sdtPr>
                                <w:id w:val="147473185"/>
                              </w:sdtPr>
                              <w:sdtContent>
                                <w:p w14:paraId="79AC390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7D6E6A3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47466596"/>
                    </w:sdtPr>
                    <w:sdtContent>
                      <w:sdt>
                        <w:sdtPr>
                          <w:id w:val="147473185"/>
                        </w:sdtPr>
                        <w:sdtContent>
                          <w:p w14:paraId="79AC390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7D6E6A3F"/>
                </w:txbxContent>
              </v:textbox>
            </v:shape>
          </w:pict>
        </mc:Fallback>
      </mc:AlternateContent>
    </w:r>
  </w:p>
  <w:p w14:paraId="651627BB">
    <w:pPr>
      <w:pStyle w:val="18"/>
      <w:jc w:val="center"/>
    </w:pPr>
  </w:p>
  <w:p w14:paraId="1DFF0D79"/>
  <w:p w14:paraId="5CB49AF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95E">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C893">
    <w:pPr>
      <w:pStyle w:val="1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tabs>
        <w:tab w:val="left" w:pos="7187"/>
      </w:tabs>
      <w:spacing w:line="188" w:lineRule="auto"/>
      <w:ind w:left="6854"/>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017F9">
                          <w:pPr>
                            <w:pStyle w:val="18"/>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47017F9">
                    <w:pPr>
                      <w:pStyle w:val="18"/>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E71B3">
                          <w:pPr>
                            <w:pStyle w:val="1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25E71B3">
                    <w:pPr>
                      <w:pStyle w:val="1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B2D89">
    <w:pPr>
      <w:pStyle w:val="19"/>
      <w:ind w:firstLine="360"/>
      <w:jc w:val="right"/>
    </w:pPr>
    <w:r>
      <w:rPr>
        <w:rFonts w:hint="eastAsia"/>
      </w:rPr>
      <w:t>中国重汽集团济南商用车有限公司总装一线中置电池助力机械手改造技改项目招标书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10961">
    <w:pPr>
      <w:pStyle w:val="19"/>
      <w:ind w:firstLine="360"/>
      <w:jc w:val="right"/>
    </w:pPr>
    <w:r>
      <w:rPr>
        <w:rFonts w:hint="eastAsia"/>
      </w:rPr>
      <w:t>中国重汽集团济南商用车有限公司总装一线中置电池助力机械手改造技改项目招标书</w:t>
    </w:r>
  </w:p>
  <w:p w14:paraId="418EF7C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8D830">
    <w:pPr>
      <w:pStyle w:val="19"/>
      <w:ind w:firstLine="360"/>
      <w:jc w:val="right"/>
    </w:pPr>
    <w:r>
      <w:rPr>
        <w:rFonts w:hint="eastAsia"/>
      </w:rPr>
      <w:t>中国重汽集团济南商用车有限公司总装一线中置电池助力机械手改造技改项目招标书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FDB2D">
    <w:pPr>
      <w:pStyle w:val="19"/>
      <w:ind w:firstLine="360"/>
      <w:jc w:val="right"/>
    </w:pPr>
    <w:r>
      <w:rPr>
        <w:rFonts w:hint="eastAsia"/>
      </w:rPr>
      <w:t>中国重汽集团济南商用车有限公司总装一线中置电池助力机械手改造技改项目招标书</w:t>
    </w:r>
  </w:p>
  <w:p w14:paraId="03D525B1">
    <w:pPr>
      <w:pStyle w:val="19"/>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63516">
    <w:pPr>
      <w:pStyle w:val="19"/>
      <w:ind w:firstLine="360"/>
      <w:jc w:val="right"/>
    </w:pPr>
    <w:r>
      <w:rPr>
        <w:rFonts w:hint="eastAsia"/>
      </w:rPr>
      <w:t>中国重汽集团济南商用车有限公司总装一线中置电池助力机械手改造技改项目招标书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78BC5">
    <w:pPr>
      <w:pStyle w:val="19"/>
      <w:ind w:firstLine="360"/>
      <w:jc w:val="right"/>
    </w:pPr>
    <w:r>
      <w:rPr>
        <w:rFonts w:hint="eastAsia"/>
      </w:rPr>
      <w:t>中国重汽集团济南商用车有限公司总装一线中置电池助力机械手改造技改项目招标书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2712A00E"/>
    <w:multiLevelType w:val="singleLevel"/>
    <w:tmpl w:val="2712A00E"/>
    <w:lvl w:ilvl="0" w:tentative="0">
      <w:start w:val="5"/>
      <w:numFmt w:val="chineseCounting"/>
      <w:suff w:val="nothing"/>
      <w:lvlText w:val="%1、"/>
      <w:lvlJc w:val="left"/>
      <w:rPr>
        <w:rFonts w:hint="eastAsia"/>
      </w:rPr>
    </w:lvl>
  </w:abstractNum>
  <w:abstractNum w:abstractNumId="15">
    <w:nsid w:val="3265E1EC"/>
    <w:multiLevelType w:val="singleLevel"/>
    <w:tmpl w:val="3265E1EC"/>
    <w:lvl w:ilvl="0" w:tentative="0">
      <w:start w:val="1"/>
      <w:numFmt w:val="decimal"/>
      <w:lvlText w:val="(%1)"/>
      <w:lvlJc w:val="left"/>
      <w:pPr>
        <w:ind w:left="425" w:hanging="425"/>
      </w:pPr>
      <w:rPr>
        <w:rFonts w:hint="default"/>
      </w:rPr>
    </w:lvl>
  </w:abstractNum>
  <w:abstractNum w:abstractNumId="16">
    <w:nsid w:val="3CF6EF77"/>
    <w:multiLevelType w:val="singleLevel"/>
    <w:tmpl w:val="3CF6EF77"/>
    <w:lvl w:ilvl="0" w:tentative="0">
      <w:start w:val="1"/>
      <w:numFmt w:val="decimal"/>
      <w:lvlText w:val="%1."/>
      <w:lvlJc w:val="left"/>
      <w:pPr>
        <w:ind w:left="425" w:hanging="425"/>
      </w:pPr>
      <w:rPr>
        <w:rFonts w:hint="default"/>
      </w:rPr>
    </w:lvl>
  </w:abstractNum>
  <w:abstractNum w:abstractNumId="17">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8">
    <w:nsid w:val="453EE493"/>
    <w:multiLevelType w:val="singleLevel"/>
    <w:tmpl w:val="453EE493"/>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1"/>
  </w:num>
  <w:num w:numId="6">
    <w:abstractNumId w:val="12"/>
  </w:num>
  <w:num w:numId="7">
    <w:abstractNumId w:val="13"/>
  </w:num>
  <w:num w:numId="8">
    <w:abstractNumId w:val="2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8"/>
  </w:num>
  <w:num w:numId="14">
    <w:abstractNumId w:val="4"/>
  </w:num>
  <w:num w:numId="15">
    <w:abstractNumId w:val="0"/>
  </w:num>
  <w:num w:numId="16">
    <w:abstractNumId w:val="2"/>
  </w:num>
  <w:num w:numId="17">
    <w:abstractNumId w:val="24"/>
  </w:num>
  <w:num w:numId="18">
    <w:abstractNumId w:val="26"/>
  </w:num>
  <w:num w:numId="19">
    <w:abstractNumId w:val="15"/>
  </w:num>
  <w:num w:numId="20">
    <w:abstractNumId w:val="8"/>
  </w:num>
  <w:num w:numId="21">
    <w:abstractNumId w:val="7"/>
  </w:num>
  <w:num w:numId="22">
    <w:abstractNumId w:val="3"/>
  </w:num>
  <w:num w:numId="23">
    <w:abstractNumId w:val="1"/>
  </w:num>
  <w:num w:numId="24">
    <w:abstractNumId w:val="5"/>
  </w:num>
  <w:num w:numId="25">
    <w:abstractNumId w:val="10"/>
  </w:num>
  <w:num w:numId="26">
    <w:abstractNumId w:val="9"/>
  </w:num>
  <w:num w:numId="27">
    <w:abstractNumId w:val="19"/>
  </w:num>
  <w:num w:numId="28">
    <w:abstractNumId w:val="16"/>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4970B8"/>
    <w:rsid w:val="02CC3DCA"/>
    <w:rsid w:val="02FE76EF"/>
    <w:rsid w:val="03263EE8"/>
    <w:rsid w:val="03F033B0"/>
    <w:rsid w:val="057C1D39"/>
    <w:rsid w:val="05891259"/>
    <w:rsid w:val="08633479"/>
    <w:rsid w:val="0CB51572"/>
    <w:rsid w:val="0E4D31E3"/>
    <w:rsid w:val="10DC2AA3"/>
    <w:rsid w:val="10FA7C8C"/>
    <w:rsid w:val="11205904"/>
    <w:rsid w:val="130B198F"/>
    <w:rsid w:val="148F1E49"/>
    <w:rsid w:val="161A6DC6"/>
    <w:rsid w:val="162B4B2F"/>
    <w:rsid w:val="16A918E4"/>
    <w:rsid w:val="17D966D6"/>
    <w:rsid w:val="1BC71D3B"/>
    <w:rsid w:val="1C185B56"/>
    <w:rsid w:val="1C59115B"/>
    <w:rsid w:val="1FB23E60"/>
    <w:rsid w:val="20587468"/>
    <w:rsid w:val="22C5630B"/>
    <w:rsid w:val="23EC0BA6"/>
    <w:rsid w:val="24701A48"/>
    <w:rsid w:val="268B0052"/>
    <w:rsid w:val="27743C90"/>
    <w:rsid w:val="29CA2459"/>
    <w:rsid w:val="29F2050F"/>
    <w:rsid w:val="2B271A58"/>
    <w:rsid w:val="2B6304A7"/>
    <w:rsid w:val="2CF6734C"/>
    <w:rsid w:val="2D663463"/>
    <w:rsid w:val="2DD31D6D"/>
    <w:rsid w:val="2EA53648"/>
    <w:rsid w:val="2EF96EE4"/>
    <w:rsid w:val="345117AD"/>
    <w:rsid w:val="35152803"/>
    <w:rsid w:val="36254FE4"/>
    <w:rsid w:val="372F61E0"/>
    <w:rsid w:val="39322FCA"/>
    <w:rsid w:val="3AB90991"/>
    <w:rsid w:val="3B706131"/>
    <w:rsid w:val="3B94517F"/>
    <w:rsid w:val="3DA9265A"/>
    <w:rsid w:val="3E6F041E"/>
    <w:rsid w:val="4275481E"/>
    <w:rsid w:val="428B617A"/>
    <w:rsid w:val="433D7BDC"/>
    <w:rsid w:val="437E1813"/>
    <w:rsid w:val="43983BC1"/>
    <w:rsid w:val="45BD47FC"/>
    <w:rsid w:val="45CC5FB2"/>
    <w:rsid w:val="45F97C5A"/>
    <w:rsid w:val="46B75BA8"/>
    <w:rsid w:val="48C97955"/>
    <w:rsid w:val="49880C8F"/>
    <w:rsid w:val="49A03331"/>
    <w:rsid w:val="4A8835F7"/>
    <w:rsid w:val="4ABE7D41"/>
    <w:rsid w:val="4AF40C8C"/>
    <w:rsid w:val="4B592E71"/>
    <w:rsid w:val="4BDE5BC4"/>
    <w:rsid w:val="4D5B02A0"/>
    <w:rsid w:val="4E4C78C8"/>
    <w:rsid w:val="52B9239A"/>
    <w:rsid w:val="536C7F5A"/>
    <w:rsid w:val="54BD78FD"/>
    <w:rsid w:val="553C4D53"/>
    <w:rsid w:val="56A94824"/>
    <w:rsid w:val="58A86DDE"/>
    <w:rsid w:val="59154AD7"/>
    <w:rsid w:val="5ADF548D"/>
    <w:rsid w:val="5D5C60B4"/>
    <w:rsid w:val="5DD3777C"/>
    <w:rsid w:val="61AB57EF"/>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AD425B4"/>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next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正文格式"/>
    <w:basedOn w:val="14"/>
    <w:qFormat/>
    <w:uiPriority w:val="0"/>
    <w:pPr>
      <w:spacing w:line="360" w:lineRule="auto"/>
      <w:ind w:firstLine="200" w:firstLineChars="200"/>
    </w:pPr>
    <w:rPr>
      <w:rFonts w:hAnsi="宋体"/>
      <w:color w:val="000000"/>
      <w:sz w:val="24"/>
      <w:szCs w:val="24"/>
    </w:rPr>
  </w:style>
  <w:style w:type="paragraph" w:customStyle="1" w:styleId="112">
    <w:name w:val="Table Paragraph"/>
    <w:basedOn w:val="1"/>
    <w:qFormat/>
    <w:uiPriority w:val="1"/>
    <w:rPr>
      <w:rFonts w:ascii="宋体" w:hAnsi="宋体" w:eastAsia="宋体" w:cs="宋体"/>
    </w:rPr>
  </w:style>
  <w:style w:type="table" w:customStyle="1" w:styleId="113">
    <w:name w:val="Table Normal"/>
    <w:semiHidden/>
    <w:unhideWhenUsed/>
    <w:qFormat/>
    <w:uiPriority w:val="0"/>
    <w:tblPr>
      <w:tblCellMar>
        <w:top w:w="0" w:type="dxa"/>
        <w:left w:w="0" w:type="dxa"/>
        <w:bottom w:w="0" w:type="dxa"/>
        <w:right w:w="0" w:type="dxa"/>
      </w:tblCellMar>
    </w:tblPr>
  </w:style>
  <w:style w:type="character" w:customStyle="1" w:styleId="114">
    <w:name w:val="font11"/>
    <w:basedOn w:val="32"/>
    <w:qFormat/>
    <w:uiPriority w:val="0"/>
    <w:rPr>
      <w:rFonts w:hint="eastAsia" w:ascii="宋体" w:hAnsi="宋体" w:eastAsia="宋体" w:cs="宋体"/>
      <w:b/>
      <w:bCs/>
      <w:color w:val="000000"/>
      <w:sz w:val="21"/>
      <w:szCs w:val="21"/>
      <w:u w:val="none"/>
    </w:rPr>
  </w:style>
  <w:style w:type="paragraph" w:customStyle="1" w:styleId="115">
    <w:name w:val="1正文段落"/>
    <w:basedOn w:val="1"/>
    <w:qFormat/>
    <w:uiPriority w:val="0"/>
    <w:pPr>
      <w:spacing w:line="360" w:lineRule="auto"/>
      <w:ind w:firstLine="480" w:firstLineChars="200"/>
      <w:jc w:val="left"/>
    </w:pPr>
    <w:rPr>
      <w:snapToGrid w:val="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78</Pages>
  <Words>17894</Words>
  <Characters>18924</Characters>
  <Lines>127</Lines>
  <Paragraphs>35</Paragraphs>
  <TotalTime>5</TotalTime>
  <ScaleCrop>false</ScaleCrop>
  <LinksUpToDate>false</LinksUpToDate>
  <CharactersWithSpaces>19050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Administrator</cp:lastModifiedBy>
  <cp:lastPrinted>2020-06-28T02:28:00Z</cp:lastPrinted>
  <dcterms:modified xsi:type="dcterms:W3CDTF">2026-02-13T08:32:27Z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B50C4199567C436CAFEB2A4BB5FF9FAB_13</vt:lpwstr>
  </property>
  <property fmtid="{D5CDD505-2E9C-101B-9397-08002B2CF9AE}" pid="4" name="KSOTemplateDocerSaveRecord">
    <vt:lpwstr>eyJoZGlkIjoiMjA3MjRkZTcwNjVhMmUwMDJjMWUwZGM1M2I0MzhjMzgiLCJ1c2VySWQiOiIyMzMwMTE5NTEifQ==</vt:lpwstr>
  </property>
</Properties>
</file>