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pPr>
      <w:r>
        <w:rPr>
          <w:rFonts w:ascii="Helvetica" w:hAnsi="Helvetica" w:eastAsia="Helvetica" w:cs="Helvetica"/>
          <w:i w:val="0"/>
          <w:iCs w:val="0"/>
          <w:caps w:val="0"/>
          <w:color w:val="0A7CFF"/>
          <w:spacing w:val="0"/>
          <w:sz w:val="18"/>
          <w:szCs w:val="18"/>
          <w:shd w:val="clear" w:fill="FFFFFF"/>
        </w:rPr>
        <w:t>ZBGL2026020060</w:t>
      </w: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pPr>
        <w:ind w:right="280"/>
        <w:jc w:val="center"/>
        <w:rPr>
          <w:rFonts w:ascii="宋体" w:hAnsi="宋体"/>
          <w:sz w:val="48"/>
          <w:szCs w:val="48"/>
        </w:rPr>
      </w:pPr>
    </w:p>
    <w:p>
      <w:pPr>
        <w:ind w:right="280"/>
        <w:jc w:val="center"/>
        <w:rPr>
          <w:rFonts w:ascii="宋体" w:hAnsi="宋体"/>
          <w:sz w:val="48"/>
          <w:szCs w:val="48"/>
        </w:rPr>
      </w:pPr>
    </w:p>
    <w:p>
      <w:pPr>
        <w:ind w:right="280"/>
        <w:jc w:val="center"/>
        <w:rPr>
          <w:rFonts w:ascii="宋体" w:hAnsi="宋体"/>
          <w:sz w:val="48"/>
          <w:szCs w:val="48"/>
        </w:rPr>
      </w:pPr>
    </w:p>
    <w:p>
      <w:pPr>
        <w:ind w:right="280"/>
        <w:jc w:val="center"/>
        <w:rPr>
          <w:rFonts w:ascii="宋体" w:hAnsi="宋体"/>
          <w:sz w:val="48"/>
          <w:szCs w:val="48"/>
        </w:rPr>
      </w:pPr>
    </w:p>
    <w:p>
      <w:pPr>
        <w:ind w:right="280"/>
        <w:jc w:val="center"/>
        <w:rPr>
          <w:rFonts w:ascii="楷体_GB2312" w:hAnsi="宋体" w:eastAsia="楷体_GB2312"/>
          <w:sz w:val="52"/>
          <w:szCs w:val="52"/>
        </w:rPr>
      </w:pPr>
    </w:p>
    <w:p>
      <w:pPr>
        <w:ind w:right="280"/>
        <w:jc w:val="center"/>
        <w:rPr>
          <w:rFonts w:ascii="楷体_GB2312" w:hAnsi="宋体" w:eastAsia="楷体_GB2312"/>
          <w:sz w:val="52"/>
          <w:szCs w:val="52"/>
          <w:highlight w:val="none"/>
        </w:rPr>
      </w:pPr>
      <w:r>
        <w:rPr>
          <w:rFonts w:hint="eastAsia" w:ascii="楷体_GB2312" w:hAnsi="宋体" w:eastAsia="楷体_GB2312"/>
          <w:sz w:val="52"/>
          <w:szCs w:val="52"/>
          <w:highlight w:val="none"/>
          <w:lang w:val="en-US" w:eastAsia="zh-CN"/>
        </w:rPr>
        <w:t>中国重汽集团济南卡车股份有限公司绵阳分公司自来水管道维修</w:t>
      </w:r>
      <w:r>
        <w:rPr>
          <w:rFonts w:hint="eastAsia" w:ascii="楷体_GB2312" w:hAnsi="宋体" w:eastAsia="楷体_GB2312"/>
          <w:sz w:val="52"/>
          <w:szCs w:val="52"/>
          <w:highlight w:val="none"/>
        </w:rPr>
        <w:t>项目</w:t>
      </w:r>
    </w:p>
    <w:p>
      <w:pPr>
        <w:ind w:right="280"/>
        <w:jc w:val="center"/>
        <w:rPr>
          <w:sz w:val="28"/>
          <w:szCs w:val="28"/>
          <w:highlight w:val="none"/>
        </w:rPr>
      </w:pPr>
    </w:p>
    <w:p>
      <w:pPr>
        <w:ind w:right="280"/>
        <w:jc w:val="center"/>
        <w:rPr>
          <w:sz w:val="28"/>
          <w:szCs w:val="28"/>
        </w:rPr>
      </w:pPr>
    </w:p>
    <w:p>
      <w:pPr>
        <w:jc w:val="center"/>
        <w:rPr>
          <w:rFonts w:ascii="宋体" w:hAnsi="宋体" w:cs="宋体"/>
          <w:sz w:val="72"/>
          <w:szCs w:val="72"/>
        </w:rPr>
      </w:pPr>
      <w:r>
        <w:rPr>
          <w:rFonts w:hint="eastAsia" w:ascii="宋体" w:hAnsi="宋体" w:cs="宋体"/>
          <w:sz w:val="72"/>
          <w:szCs w:val="72"/>
        </w:rPr>
        <w:t>招标文件</w:t>
      </w:r>
    </w:p>
    <w:p>
      <w:pPr>
        <w:jc w:val="center"/>
        <w:rPr>
          <w:rFonts w:ascii="宋体" w:hAnsi="宋体"/>
          <w:sz w:val="48"/>
          <w:szCs w:val="48"/>
        </w:rPr>
      </w:pPr>
    </w:p>
    <w:p>
      <w:pPr>
        <w:jc w:val="center"/>
        <w:rPr>
          <w:rFonts w:ascii="宋体" w:hAnsi="宋体"/>
          <w:sz w:val="48"/>
          <w:szCs w:val="48"/>
        </w:rPr>
      </w:pPr>
    </w:p>
    <w:p>
      <w:pPr>
        <w:widowControl/>
        <w:spacing w:line="360" w:lineRule="auto"/>
        <w:jc w:val="center"/>
        <w:rPr>
          <w:rFonts w:hint="eastAsia" w:ascii="宋体" w:hAnsi="宋体" w:eastAsia="宋体" w:cs="宋体"/>
          <w:b/>
          <w:bCs/>
          <w:kern w:val="0"/>
          <w:sz w:val="32"/>
          <w:szCs w:val="32"/>
          <w:u w:val="single"/>
        </w:rPr>
      </w:pPr>
      <w:r>
        <w:rPr>
          <w:rFonts w:hint="eastAsia" w:ascii="宋体" w:hAnsi="宋体" w:cs="宋体"/>
          <w:b/>
          <w:bCs/>
          <w:kern w:val="0"/>
          <w:sz w:val="32"/>
          <w:szCs w:val="32"/>
        </w:rPr>
        <w:t>项目编号：</w:t>
      </w:r>
      <w:r>
        <w:rPr>
          <w:rFonts w:hint="eastAsia" w:ascii="宋体" w:hAnsi="宋体" w:eastAsia="宋体" w:cs="宋体"/>
          <w:b/>
          <w:bCs/>
          <w:i w:val="0"/>
          <w:iCs w:val="0"/>
          <w:caps w:val="0"/>
          <w:color w:val="auto"/>
          <w:spacing w:val="0"/>
          <w:sz w:val="32"/>
          <w:szCs w:val="32"/>
          <w:shd w:val="clear" w:fill="FFFFFF"/>
        </w:rPr>
        <w:t>ZBGL2026020060</w:t>
      </w:r>
    </w:p>
    <w:p>
      <w:pPr>
        <w:jc w:val="center"/>
        <w:rPr>
          <w:rFonts w:ascii="宋体" w:hAnsi="宋体"/>
          <w:sz w:val="48"/>
          <w:szCs w:val="48"/>
        </w:rPr>
      </w:pPr>
    </w:p>
    <w:p>
      <w:pPr>
        <w:jc w:val="center"/>
        <w:rPr>
          <w:rFonts w:ascii="宋体" w:hAnsi="宋体"/>
          <w:sz w:val="48"/>
          <w:szCs w:val="48"/>
        </w:rPr>
      </w:pPr>
    </w:p>
    <w:p>
      <w:pPr>
        <w:jc w:val="center"/>
        <w:rPr>
          <w:rFonts w:ascii="宋体" w:hAnsi="宋体"/>
          <w:sz w:val="28"/>
          <w:szCs w:val="28"/>
        </w:rPr>
      </w:pPr>
    </w:p>
    <w:p>
      <w:pPr>
        <w:jc w:val="center"/>
        <w:rPr>
          <w:rFonts w:ascii="宋体" w:hAnsi="宋体"/>
          <w:sz w:val="28"/>
          <w:szCs w:val="28"/>
        </w:rPr>
      </w:pPr>
    </w:p>
    <w:p>
      <w:pPr>
        <w:jc w:val="center"/>
        <w:rPr>
          <w:rFonts w:hint="default" w:ascii="宋体" w:hAnsi="宋体" w:eastAsia="宋体"/>
          <w:sz w:val="28"/>
          <w:szCs w:val="28"/>
          <w:lang w:val="en-US" w:eastAsia="zh-CN"/>
        </w:rPr>
      </w:pPr>
      <w:r>
        <w:rPr>
          <w:rFonts w:hint="eastAsia" w:ascii="宋体" w:hAnsi="宋体"/>
          <w:sz w:val="28"/>
          <w:szCs w:val="28"/>
        </w:rPr>
        <w:t>招 标 人：中国重汽</w:t>
      </w:r>
      <w:r>
        <w:rPr>
          <w:rFonts w:hint="eastAsia" w:ascii="宋体" w:hAnsi="宋体"/>
          <w:sz w:val="28"/>
          <w:szCs w:val="28"/>
          <w:lang w:val="en-US" w:eastAsia="zh-CN"/>
        </w:rPr>
        <w:t>集团济南卡车股份</w:t>
      </w:r>
      <w:r>
        <w:rPr>
          <w:rFonts w:hint="eastAsia" w:ascii="宋体" w:hAnsi="宋体"/>
          <w:sz w:val="28"/>
          <w:szCs w:val="28"/>
        </w:rPr>
        <w:t>有限公司</w:t>
      </w:r>
      <w:r>
        <w:rPr>
          <w:rFonts w:hint="eastAsia" w:ascii="宋体" w:hAnsi="宋体"/>
          <w:sz w:val="28"/>
          <w:szCs w:val="28"/>
          <w:lang w:val="en-US" w:eastAsia="zh-CN"/>
        </w:rPr>
        <w:t>绵阳分公司</w:t>
      </w:r>
    </w:p>
    <w:p>
      <w:pPr>
        <w:jc w:val="center"/>
        <w:rPr>
          <w:rFonts w:ascii="宋体" w:hAnsi="宋体"/>
          <w:sz w:val="28"/>
          <w:szCs w:val="28"/>
        </w:rPr>
      </w:pPr>
    </w:p>
    <w:p>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highlight w:val="none"/>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2</w:t>
      </w:r>
      <w:r>
        <w:rPr>
          <w:rFonts w:hint="eastAsia" w:ascii="宋体" w:hAnsi="宋体"/>
          <w:sz w:val="28"/>
          <w:szCs w:val="28"/>
          <w:u w:val="single"/>
        </w:rPr>
        <w:t>月</w:t>
      </w:r>
    </w:p>
    <w:p>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8"/>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pPr>
            <w:pStyle w:val="20"/>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pPr>
            <w:pStyle w:val="20"/>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pPr>
            <w:pStyle w:val="20"/>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pPr>
            <w:pStyle w:val="20"/>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pPr>
            <w:pStyle w:val="20"/>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pPr>
            <w:pStyle w:val="20"/>
          </w:pPr>
          <w:r>
            <w:rPr>
              <w:rFonts w:hint="eastAsia" w:ascii="Calibri" w:hAnsi="Calibri" w:eastAsia="宋体" w:cs="Times New Roman"/>
              <w:bCs/>
              <w:kern w:val="44"/>
              <w:szCs w:val="44"/>
            </w:rPr>
            <w:fldChar w:fldCharType="end"/>
          </w:r>
        </w:p>
      </w:sdtContent>
    </w:sdt>
    <w:p>
      <w:pPr>
        <w:pStyle w:val="15"/>
        <w:tabs>
          <w:tab w:val="left" w:pos="2940"/>
        </w:tabs>
        <w:spacing w:line="360" w:lineRule="auto"/>
      </w:pPr>
      <w:r>
        <w:tab/>
      </w:r>
    </w:p>
    <w:p>
      <w:pPr>
        <w:pStyle w:val="15"/>
        <w:spacing w:line="360" w:lineRule="auto"/>
        <w:jc w:val="center"/>
      </w:pPr>
    </w:p>
    <w:p>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pPr>
        <w:pStyle w:val="71"/>
        <w:rPr>
          <w:rFonts w:hint="eastAsia"/>
          <w:sz w:val="36"/>
          <w:szCs w:val="36"/>
          <w:u w:val="none"/>
        </w:rPr>
      </w:pPr>
      <w:bookmarkStart w:id="0" w:name="_Toc32474"/>
      <w:r>
        <w:rPr>
          <w:rFonts w:hint="eastAsia"/>
          <w:sz w:val="36"/>
          <w:szCs w:val="36"/>
          <w:highlight w:val="none"/>
          <w:u w:val="none"/>
          <w:lang w:val="en-US" w:eastAsia="zh-CN"/>
        </w:rPr>
        <w:t>绵阳分公司自来水管道维修项目</w:t>
      </w:r>
      <w:r>
        <w:rPr>
          <w:rFonts w:hint="eastAsia"/>
          <w:sz w:val="36"/>
          <w:szCs w:val="36"/>
          <w:highlight w:val="none"/>
          <w:u w:val="none"/>
        </w:rPr>
        <w:t>招</w:t>
      </w:r>
      <w:r>
        <w:rPr>
          <w:rFonts w:hint="eastAsia"/>
          <w:sz w:val="36"/>
          <w:szCs w:val="36"/>
          <w:u w:val="none"/>
        </w:rPr>
        <w:t>标公告</w:t>
      </w:r>
      <w:bookmarkEnd w:id="0"/>
    </w:p>
    <w:p>
      <w:pPr>
        <w:pStyle w:val="71"/>
        <w:rPr>
          <w:rFonts w:hint="eastAsia"/>
        </w:rPr>
      </w:pPr>
    </w:p>
    <w:p>
      <w:pPr>
        <w:pStyle w:val="72"/>
      </w:pPr>
      <w:bookmarkStart w:id="1" w:name="_Toc47976588"/>
      <w:r>
        <w:rPr>
          <w:rFonts w:hint="eastAsia"/>
        </w:rPr>
        <w:t>项目名称及项目编号</w:t>
      </w:r>
      <w:bookmarkEnd w:id="1"/>
    </w:p>
    <w:p>
      <w:pPr>
        <w:pStyle w:val="71"/>
        <w:ind w:firstLine="632" w:firstLineChars="300"/>
        <w:jc w:val="both"/>
        <w:rPr>
          <w:rFonts w:hint="eastAsia" w:ascii="宋体" w:hAnsi="宋体" w:eastAsia="宋体" w:cs="宋体"/>
          <w:sz w:val="21"/>
          <w:szCs w:val="21"/>
          <w:u w:val="none"/>
        </w:rPr>
      </w:pPr>
      <w:r>
        <w:rPr>
          <w:rFonts w:hint="eastAsia" w:ascii="宋体" w:hAnsi="宋体" w:eastAsia="宋体" w:cs="宋体"/>
          <w:sz w:val="21"/>
          <w:szCs w:val="21"/>
        </w:rPr>
        <w:t>项目名称：</w:t>
      </w:r>
      <w:r>
        <w:rPr>
          <w:rFonts w:hint="eastAsia" w:ascii="宋体" w:hAnsi="宋体" w:eastAsia="宋体" w:cs="宋体"/>
          <w:sz w:val="21"/>
          <w:szCs w:val="21"/>
          <w:highlight w:val="none"/>
          <w:u w:val="none"/>
          <w:lang w:val="en-US" w:eastAsia="zh-CN"/>
        </w:rPr>
        <w:t>绵阳分公司自来水管道维修项目</w:t>
      </w:r>
    </w:p>
    <w:p>
      <w:pPr>
        <w:pStyle w:val="72"/>
      </w:pPr>
      <w:bookmarkStart w:id="2" w:name="_Toc47976589"/>
      <w:r>
        <w:rPr>
          <w:rFonts w:hint="eastAsia"/>
          <w:lang w:val="en-US" w:eastAsia="zh-CN"/>
        </w:rPr>
        <w:t>项目概况</w:t>
      </w:r>
      <w:r>
        <w:rPr>
          <w:rFonts w:hint="eastAsia"/>
        </w:rPr>
        <w:t>及招标形式</w:t>
      </w:r>
      <w:bookmarkEnd w:id="2"/>
    </w:p>
    <w:p>
      <w:pPr>
        <w:pStyle w:val="73"/>
        <w:numPr>
          <w:ilvl w:val="0"/>
          <w:numId w:val="9"/>
        </w:numPr>
        <w:rPr>
          <w:highlight w:val="none"/>
        </w:rPr>
      </w:pPr>
      <w:r>
        <w:rPr>
          <w:rFonts w:hint="eastAsia"/>
          <w:highlight w:val="none"/>
        </w:rPr>
        <w:t>招标内容：</w:t>
      </w:r>
      <w:r>
        <w:rPr>
          <w:rFonts w:hint="eastAsia"/>
          <w:highlight w:val="none"/>
          <w:lang w:val="en-US" w:eastAsia="zh-CN"/>
        </w:rPr>
        <w:t>沟槽开挖、给水管道安装、栽植灌木等</w:t>
      </w:r>
    </w:p>
    <w:p>
      <w:pPr>
        <w:pStyle w:val="73"/>
        <w:rPr>
          <w:highlight w:val="none"/>
        </w:rPr>
      </w:pPr>
      <w:r>
        <w:rPr>
          <w:rFonts w:hint="eastAsia"/>
          <w:highlight w:val="none"/>
        </w:rPr>
        <w:t>招标形式：</w:t>
      </w:r>
      <w:r>
        <w:rPr>
          <w:rFonts w:hint="eastAsia"/>
          <w:highlight w:val="none"/>
          <w:lang w:val="en-US" w:eastAsia="zh-CN"/>
        </w:rPr>
        <w:t>邀请招标</w:t>
      </w:r>
      <w:r>
        <w:rPr>
          <w:rStyle w:val="97"/>
          <w:rFonts w:hint="eastAsia"/>
          <w:b w:val="0"/>
          <w:highlight w:val="none"/>
        </w:rPr>
        <w:t>。</w:t>
      </w:r>
    </w:p>
    <w:p>
      <w:pPr>
        <w:pStyle w:val="72"/>
        <w:rPr>
          <w:highlight w:val="none"/>
        </w:rPr>
      </w:pPr>
      <w:bookmarkStart w:id="3" w:name="_Toc47976590"/>
      <w:r>
        <w:rPr>
          <w:rFonts w:hint="eastAsia"/>
          <w:highlight w:val="none"/>
        </w:rPr>
        <w:t>投标人资格要求</w:t>
      </w:r>
      <w:bookmarkEnd w:id="3"/>
      <w:r>
        <w:rPr>
          <w:rFonts w:hint="eastAsia"/>
          <w:highlight w:val="none"/>
          <w:lang w:eastAsia="zh-CN"/>
        </w:rPr>
        <w:t>：</w:t>
      </w:r>
      <w:r>
        <w:rPr>
          <w:rFonts w:hint="eastAsia"/>
          <w:highlight w:val="none"/>
          <w:lang w:val="en-US" w:eastAsia="zh-CN"/>
        </w:rPr>
        <w:t>见投标人须知</w:t>
      </w:r>
    </w:p>
    <w:p>
      <w:pPr>
        <w:pStyle w:val="72"/>
        <w:rPr>
          <w:highlight w:val="none"/>
        </w:rPr>
      </w:pPr>
      <w:bookmarkStart w:id="4" w:name="_Toc47976591"/>
      <w:r>
        <w:rPr>
          <w:rFonts w:hint="eastAsia"/>
          <w:highlight w:val="none"/>
        </w:rPr>
        <w:t>报名及招标文件的获取</w:t>
      </w:r>
      <w:bookmarkEnd w:id="4"/>
      <w:r>
        <w:rPr>
          <w:rFonts w:hint="eastAsia"/>
          <w:highlight w:val="none"/>
          <w:lang w:eastAsia="zh-CN"/>
        </w:rPr>
        <w:t>：</w:t>
      </w:r>
      <w:r>
        <w:rPr>
          <w:rFonts w:hint="eastAsia"/>
          <w:highlight w:val="none"/>
          <w:lang w:val="en-US" w:eastAsia="zh-CN"/>
        </w:rPr>
        <w:t>见投标人须知</w:t>
      </w:r>
    </w:p>
    <w:p>
      <w:pPr>
        <w:pStyle w:val="72"/>
        <w:rPr>
          <w:highlight w:val="none"/>
        </w:rPr>
      </w:pPr>
      <w:bookmarkStart w:id="5" w:name="_Toc47976592"/>
      <w:r>
        <w:rPr>
          <w:rFonts w:hint="eastAsia"/>
          <w:highlight w:val="none"/>
        </w:rPr>
        <w:t>投标文件的递交</w:t>
      </w:r>
      <w:bookmarkEnd w:id="5"/>
      <w:r>
        <w:rPr>
          <w:rFonts w:hint="eastAsia"/>
          <w:highlight w:val="none"/>
          <w:lang w:eastAsia="zh-CN"/>
        </w:rPr>
        <w:t>：</w:t>
      </w:r>
      <w:r>
        <w:rPr>
          <w:rFonts w:hint="eastAsia"/>
          <w:highlight w:val="none"/>
          <w:lang w:val="en-US" w:eastAsia="zh-CN"/>
        </w:rPr>
        <w:t>见投标人须知</w:t>
      </w:r>
    </w:p>
    <w:p>
      <w:pPr>
        <w:pStyle w:val="72"/>
        <w:rPr>
          <w:highlight w:val="none"/>
        </w:rPr>
      </w:pPr>
      <w:r>
        <w:rPr>
          <w:rFonts w:hint="eastAsia"/>
          <w:highlight w:val="none"/>
          <w:lang w:val="en-US" w:eastAsia="zh-CN"/>
        </w:rPr>
        <w:t>开标时间和地点：见投标人须知</w:t>
      </w:r>
    </w:p>
    <w:p>
      <w:pPr>
        <w:pStyle w:val="72"/>
        <w:rPr>
          <w:highlight w:val="none"/>
        </w:rPr>
      </w:pPr>
      <w:bookmarkStart w:id="6" w:name="_Toc47976593"/>
      <w:r>
        <w:rPr>
          <w:rFonts w:hint="eastAsia"/>
          <w:highlight w:val="none"/>
        </w:rPr>
        <w:t>招标公告发布媒介</w:t>
      </w:r>
      <w:bookmarkEnd w:id="6"/>
    </w:p>
    <w:p>
      <w:pPr>
        <w:pStyle w:val="73"/>
        <w:numPr>
          <w:ilvl w:val="0"/>
          <w:numId w:val="0"/>
        </w:numPr>
        <w:ind w:left="1130" w:hanging="420"/>
        <w:rPr>
          <w:rFonts w:hint="eastAsia"/>
          <w:highlight w:val="none"/>
        </w:rPr>
      </w:pPr>
      <w:r>
        <w:rPr>
          <w:rFonts w:hint="eastAsia"/>
          <w:highlight w:val="none"/>
        </w:rPr>
        <w:t>本次招标公告在</w:t>
      </w:r>
      <w:r>
        <w:rPr>
          <w:rFonts w:hint="eastAsia"/>
          <w:highlight w:val="none"/>
          <w:lang w:val="en-US" w:eastAsia="zh-CN"/>
        </w:rPr>
        <w:t>中国重汽集团官网</w:t>
      </w:r>
      <w:r>
        <w:rPr>
          <w:rFonts w:hint="eastAsia"/>
          <w:highlight w:val="none"/>
        </w:rPr>
        <w:t>上发布。</w:t>
      </w:r>
    </w:p>
    <w:p>
      <w:pPr>
        <w:pStyle w:val="72"/>
        <w:rPr>
          <w:highlight w:val="none"/>
        </w:rPr>
      </w:pPr>
      <w:bookmarkStart w:id="7" w:name="_Toc47976594"/>
      <w:r>
        <w:rPr>
          <w:rFonts w:hint="eastAsia"/>
          <w:highlight w:val="none"/>
        </w:rPr>
        <w:t>联系方式</w:t>
      </w:r>
      <w:bookmarkEnd w:id="7"/>
      <w:r>
        <w:rPr>
          <w:rFonts w:hint="eastAsia"/>
          <w:highlight w:val="none"/>
          <w:lang w:eastAsia="zh-CN"/>
        </w:rPr>
        <w:t>：</w:t>
      </w:r>
      <w:r>
        <w:rPr>
          <w:rFonts w:hint="eastAsia"/>
          <w:highlight w:val="none"/>
          <w:lang w:val="en-US" w:eastAsia="zh-CN"/>
        </w:rPr>
        <w:t>见投标人须知</w:t>
      </w:r>
    </w:p>
    <w:p>
      <w:pPr>
        <w:pStyle w:val="76"/>
        <w:rPr>
          <w:highlight w:val="none"/>
        </w:rPr>
      </w:pPr>
    </w:p>
    <w:p>
      <w:pPr>
        <w:pStyle w:val="76"/>
        <w:rPr>
          <w:highlight w:val="none"/>
        </w:rPr>
      </w:pPr>
    </w:p>
    <w:p>
      <w:pPr>
        <w:pStyle w:val="76"/>
        <w:jc w:val="both"/>
        <w:rPr>
          <w:rFonts w:hint="default"/>
          <w:highlight w:val="none"/>
          <w:u w:val="single"/>
          <w:lang w:val="en-US" w:eastAsia="zh-CN"/>
        </w:rPr>
      </w:pPr>
    </w:p>
    <w:p>
      <w:pPr>
        <w:pStyle w:val="76"/>
        <w:jc w:val="right"/>
        <w:rPr>
          <w:rFonts w:hint="eastAsia"/>
          <w:highlight w:val="cyan"/>
          <w:u w:val="single"/>
          <w:lang w:val="en-US" w:eastAsia="zh-CN"/>
        </w:rPr>
      </w:pPr>
    </w:p>
    <w:p>
      <w:pPr>
        <w:pStyle w:val="76"/>
        <w:jc w:val="right"/>
        <w:rPr>
          <w:rFonts w:hint="eastAsia"/>
          <w:highlight w:val="cyan"/>
          <w:u w:val="single"/>
          <w:lang w:val="en-US" w:eastAsia="zh-CN"/>
        </w:rPr>
      </w:pPr>
    </w:p>
    <w:p>
      <w:pPr>
        <w:pStyle w:val="71"/>
        <w:rPr>
          <w:rFonts w:hint="eastAsia"/>
        </w:rPr>
      </w:pPr>
      <w:bookmarkStart w:id="8" w:name="_Toc47976595"/>
      <w:bookmarkStart w:id="9" w:name="_Toc7753"/>
    </w:p>
    <w:p>
      <w:pPr>
        <w:pStyle w:val="71"/>
        <w:rPr>
          <w:rFonts w:hint="eastAsia"/>
        </w:rPr>
      </w:pPr>
    </w:p>
    <w:p>
      <w:pPr>
        <w:pStyle w:val="71"/>
        <w:rPr>
          <w:rFonts w:hint="eastAsia"/>
        </w:rPr>
      </w:pPr>
    </w:p>
    <w:p>
      <w:pPr>
        <w:pStyle w:val="71"/>
        <w:rPr>
          <w:rFonts w:hint="eastAsia"/>
        </w:rPr>
      </w:pPr>
    </w:p>
    <w:p>
      <w:pPr>
        <w:pStyle w:val="71"/>
        <w:rPr>
          <w:rFonts w:hint="eastAsia"/>
        </w:rPr>
      </w:pPr>
    </w:p>
    <w:p>
      <w:pPr>
        <w:pStyle w:val="71"/>
        <w:jc w:val="center"/>
      </w:pPr>
      <w:r>
        <w:rPr>
          <w:rFonts w:hint="eastAsia"/>
        </w:rPr>
        <w:t>第一部分  投标人须知</w:t>
      </w:r>
      <w:bookmarkEnd w:id="8"/>
      <w:bookmarkEnd w:id="9"/>
    </w:p>
    <w:p>
      <w:pPr>
        <w:pStyle w:val="72"/>
        <w:numPr>
          <w:ilvl w:val="0"/>
          <w:numId w:val="10"/>
        </w:numPr>
        <w:ind w:left="420"/>
        <w:jc w:val="left"/>
      </w:pPr>
      <w:bookmarkStart w:id="10" w:name="_Toc47976596"/>
      <w:r>
        <w:rPr>
          <w:rFonts w:hint="eastAsia"/>
        </w:rPr>
        <w:t>项目介绍</w:t>
      </w:r>
      <w:bookmarkEnd w:id="10"/>
    </w:p>
    <w:p>
      <w:pPr>
        <w:pStyle w:val="76"/>
        <w:numPr>
          <w:ilvl w:val="0"/>
          <w:numId w:val="11"/>
        </w:numPr>
        <w:ind w:left="425" w:leftChars="0" w:hanging="425" w:firstLineChars="0"/>
      </w:pPr>
      <w:r>
        <w:rPr>
          <w:rFonts w:hint="eastAsia"/>
        </w:rPr>
        <w:t>项目名称：</w:t>
      </w:r>
      <w:r>
        <w:rPr>
          <w:rFonts w:hint="eastAsia"/>
          <w:lang w:val="en-US" w:eastAsia="zh-CN"/>
        </w:rPr>
        <w:t>绵阳分公司自来水管道维修项目</w:t>
      </w:r>
    </w:p>
    <w:p>
      <w:pPr>
        <w:widowControl/>
        <w:spacing w:line="360" w:lineRule="auto"/>
        <w:ind w:firstLine="210" w:firstLineChars="100"/>
        <w:jc w:val="both"/>
      </w:pPr>
      <w:r>
        <w:rPr>
          <w:rFonts w:hint="eastAsia"/>
        </w:rPr>
        <w:t>项目编号：</w:t>
      </w:r>
      <w:r>
        <w:rPr>
          <w:rFonts w:hint="eastAsia" w:ascii="宋体" w:hAnsi="宋体" w:eastAsia="宋体" w:cs="宋体"/>
          <w:b/>
          <w:bCs/>
          <w:i w:val="0"/>
          <w:iCs w:val="0"/>
          <w:caps w:val="0"/>
          <w:color w:val="auto"/>
          <w:spacing w:val="0"/>
          <w:sz w:val="24"/>
          <w:szCs w:val="24"/>
          <w:shd w:val="clear" w:fill="FFFFFF"/>
        </w:rPr>
        <w:t>ZBGL2026020060</w:t>
      </w:r>
    </w:p>
    <w:p>
      <w:pPr>
        <w:pStyle w:val="76"/>
        <w:numPr>
          <w:ilvl w:val="0"/>
          <w:numId w:val="11"/>
        </w:numPr>
        <w:ind w:left="425" w:leftChars="0" w:hanging="425" w:firstLineChars="0"/>
      </w:pPr>
      <w:r>
        <w:rPr>
          <w:rFonts w:hint="eastAsia"/>
        </w:rPr>
        <w:t>招标形式</w:t>
      </w:r>
      <w:r>
        <w:rPr>
          <w:rFonts w:hint="eastAsia"/>
          <w:highlight w:val="none"/>
        </w:rPr>
        <w:t>：</w:t>
      </w:r>
      <w:bookmarkStart w:id="11" w:name="_Toc47112482"/>
      <w:r>
        <w:rPr>
          <w:rFonts w:hint="eastAsia"/>
          <w:highlight w:val="none"/>
          <w:lang w:val="en-US" w:eastAsia="zh-CN"/>
        </w:rPr>
        <w:t>邀请招标</w:t>
      </w:r>
    </w:p>
    <w:p>
      <w:pPr>
        <w:pStyle w:val="76"/>
        <w:numPr>
          <w:ilvl w:val="0"/>
          <w:numId w:val="11"/>
        </w:numPr>
        <w:ind w:left="425" w:leftChars="0" w:hanging="425" w:firstLineChars="0"/>
      </w:pPr>
      <w:r>
        <w:rPr>
          <w:rFonts w:hint="eastAsia"/>
          <w:lang w:val="en-US" w:eastAsia="zh-CN"/>
        </w:rPr>
        <w:t>项目概况：</w:t>
      </w:r>
      <w:r>
        <w:rPr>
          <w:rFonts w:hint="eastAsia"/>
          <w:highlight w:val="none"/>
          <w:lang w:val="en-US" w:eastAsia="zh-CN"/>
        </w:rPr>
        <w:t>该项目位于绵阳市永兴镇辽宁大道100号，对厂区内给水主管道进行全面更换。</w:t>
      </w:r>
    </w:p>
    <w:p>
      <w:pPr>
        <w:pStyle w:val="76"/>
        <w:numPr>
          <w:ilvl w:val="0"/>
          <w:numId w:val="11"/>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pPr>
        <w:pStyle w:val="76"/>
        <w:numPr>
          <w:ilvl w:val="0"/>
          <w:numId w:val="11"/>
        </w:numPr>
        <w:ind w:left="425" w:leftChars="0" w:hanging="425" w:firstLineChars="0"/>
        <w:rPr>
          <w:rFonts w:hint="default" w:cs="Times New Roman"/>
          <w:color w:val="auto"/>
          <w:highlight w:val="none"/>
          <w:u w:val="none"/>
          <w:lang w:val="en-US" w:eastAsia="zh-CN"/>
        </w:rPr>
      </w:pPr>
      <w:r>
        <w:rPr>
          <w:rFonts w:hint="eastAsia"/>
          <w:lang w:val="en-US" w:eastAsia="zh-CN"/>
        </w:rPr>
        <w:t>报价：</w:t>
      </w:r>
      <w:r>
        <w:rPr>
          <w:rFonts w:hint="eastAsia" w:cs="Times New Roman"/>
          <w:b/>
          <w:bCs/>
          <w:color w:val="auto"/>
          <w:highlight w:val="none"/>
          <w:u w:val="none"/>
          <w:lang w:val="en-US" w:eastAsia="zh-CN"/>
        </w:rPr>
        <w:t>报价应包含币种、不含税金额、税率及价税合计金额</w:t>
      </w:r>
    </w:p>
    <w:p>
      <w:pPr>
        <w:pStyle w:val="76"/>
        <w:numPr>
          <w:ilvl w:val="0"/>
          <w:numId w:val="11"/>
        </w:numPr>
        <w:ind w:left="425" w:leftChars="0" w:hanging="425" w:firstLineChars="0"/>
        <w:rPr>
          <w:rFonts w:hint="eastAsia" w:cs="Times New Roman"/>
          <w:color w:val="auto"/>
          <w:highlight w:val="none"/>
          <w:lang w:val="en-US" w:eastAsia="zh-CN"/>
        </w:rPr>
      </w:pPr>
      <w:r>
        <w:rPr>
          <w:rFonts w:hint="eastAsia" w:ascii="宋体" w:hAnsi="Courier New" w:eastAsia="宋体" w:cs="Times New Roman"/>
          <w:highlight w:val="none"/>
          <w:lang w:val="en-US" w:eastAsia="zh-CN"/>
        </w:rPr>
        <w:t>招标人信息：</w:t>
      </w:r>
      <w:r>
        <w:rPr>
          <w:rFonts w:hint="eastAsia" w:ascii="宋体" w:hAnsi="Courier New" w:eastAsia="宋体" w:cs="Times New Roman"/>
          <w:b/>
          <w:bCs/>
          <w:color w:val="auto"/>
          <w:highlight w:val="none"/>
          <w:lang w:val="en-US" w:eastAsia="zh-CN"/>
        </w:rPr>
        <w:t>招标人名称、地址、联系人、电话、邮箱</w:t>
      </w:r>
      <w:r>
        <w:rPr>
          <w:rFonts w:hint="eastAsia" w:cs="Times New Roman"/>
          <w:b/>
          <w:bCs/>
          <w:color w:val="auto"/>
          <w:highlight w:val="none"/>
          <w:lang w:val="en-US" w:eastAsia="zh-CN"/>
        </w:rPr>
        <w:t>等</w:t>
      </w:r>
    </w:p>
    <w:bookmarkEnd w:id="11"/>
    <w:p>
      <w:pPr>
        <w:pStyle w:val="72"/>
      </w:pPr>
      <w:bookmarkStart w:id="12" w:name="_Toc47976598"/>
      <w:r>
        <w:rPr>
          <w:rFonts w:hint="eastAsia"/>
        </w:rPr>
        <w:t>合格的投标人。</w:t>
      </w:r>
      <w:bookmarkEnd w:id="12"/>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cs="Times New Roman"/>
          <w:b w:val="0"/>
          <w:bCs/>
          <w:strike w:val="0"/>
          <w:dstrike w:val="0"/>
          <w:highlight w:val="none"/>
          <w:u w:val="single"/>
          <w:lang w:val="en-US" w:eastAsia="zh-CN"/>
        </w:rPr>
        <w:t>100</w:t>
      </w:r>
      <w:r>
        <w:rPr>
          <w:rFonts w:hint="eastAsia" w:ascii="宋体" w:hAnsi="Courier New" w:eastAsia="宋体" w:cs="Times New Roman"/>
          <w:b w:val="0"/>
          <w:bCs/>
          <w:strike w:val="0"/>
          <w:dstrike w:val="0"/>
          <w:highlight w:val="none"/>
        </w:rPr>
        <w:t>万人民币（或等值其他货币）；公司成立</w:t>
      </w:r>
      <w:r>
        <w:rPr>
          <w:rFonts w:hint="eastAsia" w:cs="Times New Roman"/>
          <w:b w:val="0"/>
          <w:bCs/>
          <w:strike w:val="0"/>
          <w:dstrike w:val="0"/>
          <w:highlight w:val="none"/>
          <w:u w:val="single"/>
          <w:lang w:val="en-US" w:eastAsia="zh-CN"/>
        </w:rPr>
        <w:t>5</w:t>
      </w:r>
      <w:r>
        <w:rPr>
          <w:rFonts w:hint="eastAsia" w:ascii="宋体" w:hAnsi="Courier New" w:eastAsia="宋体" w:cs="Times New Roman"/>
          <w:b w:val="0"/>
          <w:bCs/>
          <w:strike w:val="0"/>
          <w:dstrike w:val="0"/>
          <w:highlight w:val="none"/>
        </w:rPr>
        <w:t>年以上（以营业执照成立日期到开标当日满</w:t>
      </w:r>
      <w:r>
        <w:rPr>
          <w:rFonts w:hint="eastAsia" w:cs="Times New Roman"/>
          <w:b w:val="0"/>
          <w:bCs/>
          <w:strike w:val="0"/>
          <w:dstrike w:val="0"/>
          <w:highlight w:val="none"/>
          <w:u w:val="single"/>
          <w:lang w:val="en-US" w:eastAsia="zh-CN"/>
        </w:rPr>
        <w:t>5</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pPr>
        <w:pStyle w:val="73"/>
        <w:numPr>
          <w:ilvl w:val="0"/>
          <w:numId w:val="12"/>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pPr>
        <w:pStyle w:val="73"/>
        <w:numPr>
          <w:ilvl w:val="0"/>
          <w:numId w:val="12"/>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none"/>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pPr>
        <w:pStyle w:val="73"/>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pPr>
        <w:pStyle w:val="72"/>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pPr>
        <w:pStyle w:val="76"/>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2</w:t>
      </w:r>
      <w:r>
        <w:rPr>
          <w:rFonts w:hint="eastAsia" w:ascii="宋体" w:hAnsi="Courier New" w:eastAsia="宋体" w:cs="Times New Roman"/>
          <w:highlight w:val="none"/>
          <w:lang w:val="en-US" w:eastAsia="zh-CN"/>
        </w:rPr>
        <w:t>月</w:t>
      </w:r>
      <w:r>
        <w:rPr>
          <w:rFonts w:hint="eastAsia" w:cs="Times New Roman"/>
          <w:highlight w:val="none"/>
          <w:u w:val="none"/>
          <w:lang w:val="en-US" w:eastAsia="zh-CN"/>
        </w:rPr>
        <w:t>24</w:t>
      </w:r>
      <w:r>
        <w:rPr>
          <w:rFonts w:hint="eastAsia" w:ascii="宋体" w:hAnsi="Courier New" w:eastAsia="宋体" w:cs="Times New Roman"/>
          <w:highlight w:val="none"/>
          <w:lang w:val="en-US" w:eastAsia="zh-CN"/>
        </w:rPr>
        <w:t>日</w:t>
      </w:r>
    </w:p>
    <w:p>
      <w:pPr>
        <w:pStyle w:val="76"/>
        <w:numPr>
          <w:ilvl w:val="0"/>
          <w:numId w:val="13"/>
        </w:numPr>
        <w:ind w:left="425" w:leftChars="0" w:hanging="425" w:firstLineChars="0"/>
        <w:jc w:val="both"/>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招标文件领取方式</w:t>
      </w:r>
      <w:r>
        <w:rPr>
          <w:rFonts w:hint="eastAsia" w:cs="Times New Roman"/>
          <w:highlight w:val="none"/>
          <w:lang w:val="en-US" w:eastAsia="zh-CN"/>
        </w:rPr>
        <w:t>：电子标书；</w:t>
      </w:r>
      <w:r>
        <w:rPr>
          <w:rFonts w:hint="eastAsia" w:ascii="宋体" w:hAnsi="Courier New" w:eastAsia="宋体" w:cs="Times New Roman"/>
          <w:highlight w:val="none"/>
          <w:lang w:val="en-US" w:eastAsia="zh-CN"/>
        </w:rPr>
        <w:t>领取截止时间</w:t>
      </w:r>
      <w:r>
        <w:rPr>
          <w:rFonts w:hint="eastAsia" w:cs="Times New Roman"/>
          <w:highlight w:val="none"/>
          <w:lang w:val="en-US" w:eastAsia="zh-CN"/>
        </w:rPr>
        <w:t>：</w:t>
      </w:r>
      <w:r>
        <w:rPr>
          <w:rFonts w:hint="eastAsia" w:ascii="宋体" w:hAnsi="Courier New" w:eastAsia="宋体" w:cs="Times New Roman"/>
          <w:highlight w:val="none"/>
          <w:lang w:val="en-US" w:eastAsia="zh-CN"/>
        </w:rPr>
        <w:t>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3</w:t>
      </w:r>
      <w:r>
        <w:rPr>
          <w:rFonts w:hint="eastAsia" w:ascii="宋体" w:hAnsi="Courier New" w:eastAsia="宋体" w:cs="Times New Roman"/>
          <w:highlight w:val="none"/>
          <w:lang w:val="en-US" w:eastAsia="zh-CN"/>
        </w:rPr>
        <w:t>月</w:t>
      </w:r>
      <w:r>
        <w:rPr>
          <w:rFonts w:hint="eastAsia" w:cs="Times New Roman"/>
          <w:highlight w:val="none"/>
          <w:u w:val="none"/>
          <w:lang w:val="en-US" w:eastAsia="zh-CN"/>
        </w:rPr>
        <w:t>2</w:t>
      </w:r>
      <w:r>
        <w:rPr>
          <w:rFonts w:hint="eastAsia" w:ascii="宋体" w:hAnsi="Courier New" w:eastAsia="宋体" w:cs="Times New Roman"/>
          <w:highlight w:val="none"/>
          <w:lang w:val="en-US" w:eastAsia="zh-CN"/>
        </w:rPr>
        <w:t>日</w:t>
      </w:r>
    </w:p>
    <w:p>
      <w:pPr>
        <w:pStyle w:val="76"/>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3</w:t>
      </w:r>
      <w:r>
        <w:rPr>
          <w:rFonts w:hint="eastAsia" w:ascii="宋体" w:hAnsi="Courier New" w:eastAsia="宋体" w:cs="Times New Roman"/>
          <w:highlight w:val="none"/>
          <w:lang w:val="en-US" w:eastAsia="zh-CN"/>
        </w:rPr>
        <w:t>月</w:t>
      </w:r>
      <w:r>
        <w:rPr>
          <w:rFonts w:hint="eastAsia" w:cs="Times New Roman"/>
          <w:highlight w:val="none"/>
          <w:lang w:val="en-US" w:eastAsia="zh-CN"/>
        </w:rPr>
        <w:t>2</w:t>
      </w:r>
      <w:r>
        <w:rPr>
          <w:rFonts w:hint="eastAsia" w:ascii="宋体" w:hAnsi="Courier New" w:eastAsia="宋体" w:cs="Times New Roman"/>
          <w:highlight w:val="none"/>
          <w:lang w:val="en-US" w:eastAsia="zh-CN"/>
        </w:rPr>
        <w:t>日前</w:t>
      </w:r>
    </w:p>
    <w:p>
      <w:pPr>
        <w:pStyle w:val="76"/>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pPr>
        <w:pStyle w:val="76"/>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3</w:t>
      </w:r>
      <w:r>
        <w:rPr>
          <w:rFonts w:hint="eastAsia" w:ascii="宋体" w:hAnsi="Courier New" w:eastAsia="宋体" w:cs="Times New Roman"/>
          <w:highlight w:val="none"/>
          <w:lang w:val="en-US" w:eastAsia="zh-CN"/>
        </w:rPr>
        <w:t>月</w:t>
      </w:r>
      <w:r>
        <w:rPr>
          <w:rFonts w:hint="eastAsia" w:cs="Times New Roman"/>
          <w:highlight w:val="none"/>
          <w:lang w:val="en-US" w:eastAsia="zh-CN"/>
        </w:rPr>
        <w:t>2</w:t>
      </w:r>
      <w:r>
        <w:rPr>
          <w:rFonts w:hint="eastAsia" w:ascii="宋体" w:hAnsi="Courier New" w:eastAsia="宋体" w:cs="Times New Roman"/>
          <w:highlight w:val="none"/>
          <w:lang w:val="en-US" w:eastAsia="zh-CN"/>
        </w:rPr>
        <w:t>日前</w:t>
      </w:r>
      <w:r>
        <w:rPr>
          <w:rFonts w:hint="eastAsia" w:cs="Times New Roman"/>
          <w:highlight w:val="none"/>
          <w:lang w:val="en-US" w:eastAsia="zh-CN"/>
        </w:rPr>
        <w:t>。</w:t>
      </w:r>
    </w:p>
    <w:p>
      <w:pPr>
        <w:pStyle w:val="76"/>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pPr>
        <w:pStyle w:val="76"/>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：电话联系招标人，联系人：赵培江，联系电话：15681235198</w:t>
      </w:r>
    </w:p>
    <w:p>
      <w:pPr>
        <w:pStyle w:val="76"/>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eastAsia" w:ascii="宋体" w:hAnsi="Courier New" w:eastAsia="宋体" w:cs="Times New Roman"/>
          <w:highlight w:val="none"/>
          <w:lang w:val="en-US" w:eastAsia="zh-CN"/>
        </w:rPr>
        <w:t>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3</w:t>
      </w:r>
      <w:r>
        <w:rPr>
          <w:rFonts w:hint="eastAsia" w:ascii="宋体" w:hAnsi="Courier New" w:eastAsia="宋体" w:cs="Times New Roman"/>
          <w:highlight w:val="none"/>
          <w:lang w:val="en-US" w:eastAsia="zh-CN"/>
        </w:rPr>
        <w:t>月</w:t>
      </w:r>
      <w:r>
        <w:rPr>
          <w:rFonts w:hint="eastAsia" w:cs="Times New Roman"/>
          <w:highlight w:val="none"/>
          <w:lang w:val="en-US" w:eastAsia="zh-CN"/>
        </w:rPr>
        <w:t>2</w:t>
      </w:r>
      <w:r>
        <w:rPr>
          <w:rFonts w:hint="eastAsia" w:ascii="宋体" w:hAnsi="Courier New" w:eastAsia="宋体" w:cs="Times New Roman"/>
          <w:highlight w:val="none"/>
          <w:lang w:val="en-US" w:eastAsia="zh-CN"/>
        </w:rPr>
        <w:t>日</w:t>
      </w:r>
      <w:r>
        <w:rPr>
          <w:rFonts w:hint="eastAsia" w:cs="Times New Roman"/>
          <w:highlight w:val="none"/>
          <w:lang w:val="en-US" w:eastAsia="zh-CN"/>
        </w:rPr>
        <w:t>前。</w:t>
      </w:r>
    </w:p>
    <w:p>
      <w:pPr>
        <w:pStyle w:val="72"/>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投标人编写的投标文件由《投标文件（资质标）》、《投标文件（技术标）》(若有）、《投标文件（商务标）》（开标一览表）文件组成，共计</w:t>
      </w:r>
      <w:r>
        <w:rPr>
          <w:rFonts w:hint="eastAsia" w:cs="Times New Roman"/>
          <w:b w:val="0"/>
          <w:bCs/>
          <w:highlight w:val="none"/>
          <w:u w:val="single"/>
          <w:lang w:val="en-US" w:eastAsia="zh-CN"/>
        </w:rPr>
        <w:t>3</w:t>
      </w:r>
      <w:r>
        <w:rPr>
          <w:rFonts w:hint="eastAsia" w:ascii="宋体" w:hAnsi="Courier New" w:eastAsia="宋体" w:cs="Times New Roman"/>
          <w:b w:val="0"/>
          <w:bCs/>
          <w:highlight w:val="none"/>
          <w:lang w:val="en-US" w:eastAsia="zh-CN"/>
        </w:rPr>
        <w:t>个文件。</w:t>
      </w:r>
    </w:p>
    <w:p>
      <w:pPr>
        <w:pStyle w:val="74"/>
        <w:numPr>
          <w:ilvl w:val="0"/>
          <w:numId w:val="15"/>
        </w:numPr>
        <w:ind w:left="425" w:leftChars="0" w:hanging="425" w:firstLineChars="0"/>
        <w:rPr>
          <w:b w:val="0"/>
          <w:bCs/>
          <w:highlight w:val="none"/>
        </w:rPr>
      </w:pPr>
      <w:r>
        <w:rPr>
          <w:rFonts w:hint="eastAsia"/>
          <w:b w:val="0"/>
          <w:bCs/>
          <w:highlight w:val="none"/>
        </w:rPr>
        <w:t>资质文件：</w:t>
      </w:r>
    </w:p>
    <w:p>
      <w:pPr>
        <w:pStyle w:val="75"/>
        <w:numPr>
          <w:ilvl w:val="0"/>
          <w:numId w:val="16"/>
        </w:numPr>
        <w:ind w:left="425" w:leftChars="0" w:hanging="425" w:firstLineChars="0"/>
        <w:rPr>
          <w:b w:val="0"/>
          <w:bCs/>
          <w:highlight w:val="none"/>
        </w:rPr>
      </w:pPr>
      <w:r>
        <w:rPr>
          <w:rFonts w:hint="eastAsia"/>
          <w:b w:val="0"/>
          <w:bCs/>
          <w:highlight w:val="none"/>
        </w:rPr>
        <w:t>法定代表人身份证明；</w:t>
      </w:r>
    </w:p>
    <w:p>
      <w:pPr>
        <w:pStyle w:val="75"/>
        <w:numPr>
          <w:ilvl w:val="0"/>
          <w:numId w:val="16"/>
        </w:numPr>
        <w:ind w:left="425" w:leftChars="0" w:hanging="425" w:firstLineChars="0"/>
        <w:rPr>
          <w:b w:val="0"/>
          <w:bCs/>
          <w:highlight w:val="none"/>
        </w:rPr>
      </w:pPr>
      <w:r>
        <w:rPr>
          <w:rFonts w:hint="eastAsia"/>
          <w:b w:val="0"/>
          <w:bCs/>
          <w:highlight w:val="none"/>
        </w:rPr>
        <w:t>法定代表人授权委托书（授权人需带身份证原件）；</w:t>
      </w:r>
    </w:p>
    <w:p>
      <w:pPr>
        <w:pStyle w:val="75"/>
        <w:numPr>
          <w:ilvl w:val="0"/>
          <w:numId w:val="16"/>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pPr>
        <w:pStyle w:val="75"/>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pPr>
        <w:pStyle w:val="75"/>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pPr>
        <w:pStyle w:val="75"/>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pPr>
        <w:pStyle w:val="75"/>
        <w:numPr>
          <w:ilvl w:val="0"/>
          <w:numId w:val="16"/>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pPr>
        <w:pStyle w:val="75"/>
        <w:numPr>
          <w:ilvl w:val="0"/>
          <w:numId w:val="16"/>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pPr>
        <w:pStyle w:val="75"/>
        <w:numPr>
          <w:ilvl w:val="0"/>
          <w:numId w:val="16"/>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pPr>
        <w:pStyle w:val="75"/>
        <w:numPr>
          <w:ilvl w:val="0"/>
          <w:numId w:val="16"/>
        </w:numPr>
        <w:ind w:left="425" w:leftChars="0" w:hanging="425" w:firstLineChars="0"/>
        <w:rPr>
          <w:b w:val="0"/>
          <w:bCs/>
          <w:highlight w:val="none"/>
        </w:rPr>
      </w:pPr>
      <w:r>
        <w:rPr>
          <w:rFonts w:hint="eastAsia"/>
          <w:b w:val="0"/>
          <w:bCs/>
          <w:highlight w:val="none"/>
        </w:rPr>
        <w:t>信用中国截图或国家企业信用信息公示系统截图；</w:t>
      </w:r>
    </w:p>
    <w:p>
      <w:pPr>
        <w:pStyle w:val="75"/>
        <w:numPr>
          <w:ilvl w:val="0"/>
          <w:numId w:val="16"/>
        </w:numPr>
        <w:ind w:left="425" w:leftChars="0" w:hanging="425" w:firstLineChars="0"/>
        <w:rPr>
          <w:b w:val="0"/>
          <w:bCs/>
          <w:highlight w:val="none"/>
        </w:rPr>
      </w:pPr>
      <w:r>
        <w:rPr>
          <w:rFonts w:hint="eastAsia"/>
          <w:b w:val="0"/>
          <w:bCs/>
          <w:highlight w:val="none"/>
        </w:rPr>
        <w:t>招标文件中要求的其它资格证明文件。</w:t>
      </w:r>
    </w:p>
    <w:p>
      <w:pPr>
        <w:pStyle w:val="75"/>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pPr>
        <w:pStyle w:val="74"/>
        <w:numPr>
          <w:ilvl w:val="0"/>
          <w:numId w:val="15"/>
        </w:numPr>
        <w:ind w:left="425" w:leftChars="0" w:hanging="425" w:firstLineChars="0"/>
        <w:rPr>
          <w:rFonts w:hint="eastAsia" w:cs="Times New Roman"/>
          <w:b w:val="0"/>
          <w:bCs/>
          <w:highlight w:val="none"/>
        </w:rPr>
      </w:pPr>
      <w:r>
        <w:rPr>
          <w:rFonts w:hint="eastAsia" w:cs="Times New Roman"/>
          <w:b w:val="0"/>
          <w:bCs/>
          <w:highlight w:val="none"/>
        </w:rPr>
        <w:t>技术标：</w:t>
      </w:r>
    </w:p>
    <w:p>
      <w:pPr>
        <w:pStyle w:val="75"/>
        <w:numPr>
          <w:ilvl w:val="0"/>
          <w:numId w:val="18"/>
        </w:numPr>
        <w:ind w:left="425" w:leftChars="0" w:hanging="425" w:firstLineChars="0"/>
        <w:rPr>
          <w:b w:val="0"/>
          <w:bCs/>
          <w:highlight w:val="none"/>
        </w:rPr>
      </w:pPr>
      <w:r>
        <w:rPr>
          <w:rFonts w:hint="eastAsia"/>
          <w:b w:val="0"/>
          <w:bCs/>
          <w:highlight w:val="none"/>
        </w:rPr>
        <w:t>技术配置对比表。</w:t>
      </w:r>
    </w:p>
    <w:p>
      <w:pPr>
        <w:pStyle w:val="75"/>
        <w:numPr>
          <w:ilvl w:val="0"/>
          <w:numId w:val="18"/>
        </w:numPr>
        <w:ind w:left="425" w:leftChars="0" w:hanging="425" w:firstLineChars="0"/>
        <w:rPr>
          <w:b w:val="0"/>
          <w:bCs/>
          <w:highlight w:val="none"/>
        </w:rPr>
      </w:pPr>
      <w:r>
        <w:rPr>
          <w:rFonts w:hint="eastAsia"/>
          <w:b w:val="0"/>
          <w:bCs/>
          <w:highlight w:val="none"/>
        </w:rPr>
        <w:t>投标设备配置明细表；</w:t>
      </w:r>
    </w:p>
    <w:p>
      <w:pPr>
        <w:pStyle w:val="75"/>
        <w:numPr>
          <w:ilvl w:val="0"/>
          <w:numId w:val="18"/>
        </w:numPr>
        <w:ind w:left="425" w:leftChars="0" w:hanging="425" w:firstLineChars="0"/>
        <w:rPr>
          <w:b w:val="0"/>
          <w:bCs/>
          <w:highlight w:val="none"/>
        </w:rPr>
      </w:pPr>
      <w:r>
        <w:rPr>
          <w:rFonts w:hint="eastAsia"/>
          <w:b w:val="0"/>
          <w:bCs/>
          <w:highlight w:val="none"/>
        </w:rPr>
        <w:t>技术规格偏离表；</w:t>
      </w:r>
    </w:p>
    <w:p>
      <w:pPr>
        <w:pStyle w:val="75"/>
        <w:numPr>
          <w:ilvl w:val="0"/>
          <w:numId w:val="18"/>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pPr>
        <w:pStyle w:val="75"/>
        <w:numPr>
          <w:ilvl w:val="0"/>
          <w:numId w:val="18"/>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pPr>
        <w:pStyle w:val="74"/>
        <w:numPr>
          <w:ilvl w:val="0"/>
          <w:numId w:val="15"/>
        </w:numPr>
        <w:ind w:left="425" w:leftChars="0" w:hanging="425" w:firstLineChars="0"/>
        <w:rPr>
          <w:rFonts w:hint="eastAsia" w:cs="Times New Roman"/>
          <w:b w:val="0"/>
          <w:bCs/>
          <w:highlight w:val="none"/>
        </w:rPr>
      </w:pPr>
      <w:r>
        <w:rPr>
          <w:rFonts w:hint="eastAsia" w:cs="Times New Roman"/>
          <w:b w:val="0"/>
          <w:bCs/>
          <w:highlight w:val="none"/>
        </w:rPr>
        <w:t>商务标：</w:t>
      </w:r>
    </w:p>
    <w:p>
      <w:pPr>
        <w:pStyle w:val="75"/>
        <w:keepNext w:val="0"/>
        <w:keepLines w:val="0"/>
        <w:pageBreakBefore w:val="0"/>
        <w:widowControl w:val="0"/>
        <w:numPr>
          <w:ilvl w:val="0"/>
          <w:numId w:val="19"/>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pPr>
        <w:pStyle w:val="75"/>
        <w:numPr>
          <w:ilvl w:val="0"/>
          <w:numId w:val="19"/>
        </w:numPr>
        <w:ind w:left="425" w:leftChars="0" w:hanging="425" w:firstLineChars="0"/>
        <w:rPr>
          <w:b w:val="0"/>
          <w:bCs/>
          <w:highlight w:val="none"/>
        </w:rPr>
      </w:pPr>
      <w:r>
        <w:rPr>
          <w:rFonts w:hint="eastAsia"/>
          <w:b w:val="0"/>
          <w:bCs/>
          <w:highlight w:val="none"/>
        </w:rPr>
        <w:t>投标函（格式见附件）;</w:t>
      </w:r>
    </w:p>
    <w:p>
      <w:pPr>
        <w:pStyle w:val="75"/>
        <w:numPr>
          <w:ilvl w:val="0"/>
          <w:numId w:val="19"/>
        </w:numPr>
        <w:ind w:left="425" w:leftChars="0" w:hanging="425" w:firstLineChars="0"/>
        <w:rPr>
          <w:b w:val="0"/>
          <w:bCs/>
          <w:highlight w:val="none"/>
        </w:rPr>
      </w:pPr>
      <w:r>
        <w:rPr>
          <w:rFonts w:hint="eastAsia"/>
          <w:b w:val="0"/>
          <w:bCs/>
          <w:highlight w:val="none"/>
        </w:rPr>
        <w:t>商务条款偏离表；</w:t>
      </w:r>
    </w:p>
    <w:p>
      <w:pPr>
        <w:pStyle w:val="75"/>
        <w:numPr>
          <w:ilvl w:val="0"/>
          <w:numId w:val="19"/>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备配件目录价格及折扣报价表</w:t>
      </w:r>
    </w:p>
    <w:p>
      <w:pPr>
        <w:pStyle w:val="73"/>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pPr>
        <w:pStyle w:val="75"/>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w:t>
      </w:r>
      <w:r>
        <w:rPr>
          <w:rFonts w:hint="eastAsia" w:cs="Times New Roman"/>
          <w:b w:val="0"/>
          <w:bCs/>
          <w:highlight w:val="none"/>
          <w:lang w:val="en-US" w:eastAsia="zh-CN"/>
        </w:rPr>
        <w:t>通过中国重汽E采通上传</w:t>
      </w:r>
    </w:p>
    <w:p>
      <w:pPr>
        <w:pStyle w:val="75"/>
        <w:numPr>
          <w:ilvl w:val="0"/>
          <w:numId w:val="20"/>
        </w:numPr>
        <w:ind w:left="425" w:leftChars="0" w:hanging="425" w:firstLineChars="0"/>
        <w:rPr>
          <w:rFonts w:hint="eastAsia" w:ascii="宋体" w:hAnsi="Courier New" w:eastAsia="宋体" w:cs="Times New Roman"/>
          <w:b w:val="0"/>
          <w:bCs/>
          <w:highlight w:val="none"/>
        </w:rPr>
      </w:pPr>
      <w:r>
        <w:rPr>
          <w:rFonts w:hint="eastAsia" w:cs="Times New Roman"/>
          <w:b w:val="0"/>
          <w:bCs/>
          <w:highlight w:val="none"/>
          <w:lang w:val="en-US" w:eastAsia="zh-CN"/>
        </w:rPr>
        <w:t>网址</w:t>
      </w:r>
      <w:r>
        <w:rPr>
          <w:rFonts w:hint="eastAsia" w:ascii="宋体" w:hAnsi="Courier New" w:eastAsia="宋体" w:cs="Times New Roman"/>
          <w:b w:val="0"/>
          <w:bCs/>
          <w:highlight w:val="none"/>
          <w:lang w:val="en-US" w:eastAsia="zh-CN"/>
        </w:rPr>
        <w:t>：https://ecaitong.sinotruk.com:8012/#/login</w:t>
      </w:r>
    </w:p>
    <w:p>
      <w:pPr>
        <w:pStyle w:val="75"/>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赵培江  15681235198</w:t>
      </w:r>
    </w:p>
    <w:p>
      <w:pPr>
        <w:pStyle w:val="75"/>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投标文件递交截止时间：20</w:t>
      </w:r>
      <w:r>
        <w:rPr>
          <w:rFonts w:hint="eastAsia" w:cs="Times New Roman"/>
          <w:b w:val="0"/>
          <w:bCs/>
          <w:highlight w:val="none"/>
          <w:lang w:val="en-US" w:eastAsia="zh-CN"/>
        </w:rPr>
        <w:t>26</w:t>
      </w:r>
      <w:r>
        <w:rPr>
          <w:rFonts w:hint="eastAsia" w:ascii="宋体" w:hAnsi="Courier New" w:eastAsia="宋体" w:cs="Times New Roman"/>
          <w:b w:val="0"/>
          <w:bCs/>
          <w:highlight w:val="none"/>
          <w:lang w:val="en-US" w:eastAsia="zh-CN"/>
        </w:rPr>
        <w:t>年</w:t>
      </w:r>
      <w:r>
        <w:rPr>
          <w:rFonts w:hint="eastAsia" w:cs="Times New Roman"/>
          <w:b w:val="0"/>
          <w:bCs/>
          <w:highlight w:val="none"/>
          <w:lang w:val="en-US" w:eastAsia="zh-CN"/>
        </w:rPr>
        <w:t>3</w:t>
      </w:r>
      <w:r>
        <w:rPr>
          <w:rFonts w:hint="eastAsia" w:ascii="宋体" w:hAnsi="Courier New" w:eastAsia="宋体" w:cs="Times New Roman"/>
          <w:b w:val="0"/>
          <w:bCs/>
          <w:highlight w:val="none"/>
          <w:lang w:val="en-US" w:eastAsia="zh-CN"/>
        </w:rPr>
        <w:t>月</w:t>
      </w:r>
      <w:r>
        <w:rPr>
          <w:rFonts w:hint="eastAsia" w:cs="Times New Roman"/>
          <w:b w:val="0"/>
          <w:bCs/>
          <w:highlight w:val="none"/>
          <w:lang w:val="en-US" w:eastAsia="zh-CN"/>
        </w:rPr>
        <w:t>3</w:t>
      </w:r>
      <w:r>
        <w:rPr>
          <w:rFonts w:hint="eastAsia" w:ascii="宋体" w:hAnsi="Courier New" w:eastAsia="宋体" w:cs="Times New Roman"/>
          <w:b w:val="0"/>
          <w:bCs/>
          <w:highlight w:val="none"/>
          <w:lang w:val="en-US" w:eastAsia="zh-CN"/>
        </w:rPr>
        <w:t>日</w:t>
      </w:r>
      <w:r>
        <w:rPr>
          <w:rFonts w:hint="eastAsia" w:cs="Times New Roman"/>
          <w:b w:val="0"/>
          <w:bCs/>
          <w:highlight w:val="none"/>
          <w:lang w:val="en-US" w:eastAsia="zh-CN"/>
        </w:rPr>
        <w:t>8</w:t>
      </w:r>
      <w:r>
        <w:rPr>
          <w:rFonts w:hint="eastAsia" w:ascii="宋体" w:hAnsi="Courier New" w:eastAsia="宋体" w:cs="Times New Roman"/>
          <w:b w:val="0"/>
          <w:bCs/>
          <w:highlight w:val="none"/>
          <w:lang w:val="en-US" w:eastAsia="zh-CN"/>
        </w:rPr>
        <w:t>:</w:t>
      </w:r>
      <w:r>
        <w:rPr>
          <w:rFonts w:hint="eastAsia" w:cs="Times New Roman"/>
          <w:b w:val="0"/>
          <w:bCs/>
          <w:highlight w:val="none"/>
          <w:lang w:val="en-US" w:eastAsia="zh-CN"/>
        </w:rPr>
        <w:t>00</w:t>
      </w:r>
    </w:p>
    <w:p>
      <w:pPr>
        <w:pStyle w:val="72"/>
        <w:rPr>
          <w:rFonts w:hint="eastAsia" w:hAnsi="Courier New" w:cs="Times New Roman"/>
          <w:highlight w:val="none"/>
        </w:rPr>
      </w:pPr>
      <w:bookmarkStart w:id="13" w:name="_Toc47976601"/>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pPr>
        <w:pStyle w:val="15"/>
        <w:spacing w:line="360" w:lineRule="auto"/>
        <w:ind w:firstLine="420" w:firstLineChars="200"/>
        <w:rPr>
          <w:rFonts w:hint="eastAsia"/>
          <w:highlight w:val="none"/>
        </w:rPr>
      </w:pPr>
      <w:r>
        <w:rPr>
          <w:rFonts w:hint="eastAsia" w:hAnsi="宋体"/>
          <w:highlight w:val="none"/>
        </w:rPr>
        <w:t>⑴</w:t>
      </w:r>
      <w:r>
        <w:rPr>
          <w:rFonts w:hint="eastAsia"/>
          <w:highlight w:val="none"/>
        </w:rPr>
        <w:t>投标人向招标人财务部门缴</w:t>
      </w:r>
      <w:r>
        <w:rPr>
          <w:rFonts w:hint="eastAsia"/>
          <w:szCs w:val="22"/>
          <w:highlight w:val="none"/>
        </w:rPr>
        <w:t>纳</w:t>
      </w:r>
      <w:r>
        <w:rPr>
          <w:rFonts w:hint="eastAsia"/>
          <w:szCs w:val="22"/>
          <w:highlight w:val="none"/>
          <w:lang w:val="en-US" w:eastAsia="zh-CN"/>
        </w:rPr>
        <w:t>5000</w:t>
      </w:r>
      <w:r>
        <w:rPr>
          <w:rFonts w:hint="eastAsia"/>
          <w:szCs w:val="22"/>
          <w:highlight w:val="none"/>
        </w:rPr>
        <w:t>元（人</w:t>
      </w:r>
      <w:r>
        <w:rPr>
          <w:rFonts w:hint="eastAsia"/>
          <w:highlight w:val="none"/>
        </w:rPr>
        <w:t>民币），作为投标人本次投标的保证金。投标保证金截止时间为：202</w:t>
      </w:r>
      <w:r>
        <w:rPr>
          <w:rFonts w:hint="eastAsia"/>
          <w:highlight w:val="none"/>
          <w:lang w:val="en-US" w:eastAsia="zh-CN"/>
        </w:rPr>
        <w:t>6</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w:t>
      </w:r>
      <w:r>
        <w:rPr>
          <w:rFonts w:hint="eastAsia"/>
          <w:highlight w:val="none"/>
        </w:rPr>
        <w:t>日17:00前，汇入以下账户，过期视为放弃。（以汇款凭证转账的具体时间为准）</w:t>
      </w:r>
    </w:p>
    <w:p>
      <w:pPr>
        <w:pStyle w:val="15"/>
        <w:spacing w:line="360" w:lineRule="auto"/>
        <w:ind w:firstLine="420" w:firstLineChars="200"/>
        <w:rPr>
          <w:rFonts w:hint="eastAsia"/>
          <w:highlight w:val="none"/>
        </w:rPr>
      </w:pPr>
      <w:r>
        <w:rPr>
          <w:rFonts w:hint="eastAsia" w:hAnsi="宋体"/>
          <w:highlight w:val="none"/>
        </w:rPr>
        <w:t>⑵</w:t>
      </w:r>
      <w:r>
        <w:rPr>
          <w:rFonts w:hint="eastAsia"/>
          <w:highlight w:val="none"/>
        </w:rPr>
        <w:t>缴纳方式：银行转账（</w:t>
      </w:r>
      <w:r>
        <w:rPr>
          <w:rFonts w:hint="eastAsia"/>
          <w:b/>
          <w:bCs/>
          <w:color w:val="FF0000"/>
          <w:highlight w:val="none"/>
        </w:rPr>
        <w:t>投标保证金需从投标人单位账户转出，不接受私人汇款</w:t>
      </w:r>
      <w:r>
        <w:rPr>
          <w:rFonts w:hint="eastAsia"/>
          <w:highlight w:val="none"/>
        </w:rPr>
        <w:t>）</w:t>
      </w:r>
    </w:p>
    <w:p>
      <w:pPr>
        <w:pStyle w:val="15"/>
        <w:spacing w:line="360" w:lineRule="auto"/>
        <w:ind w:firstLine="422" w:firstLineChars="200"/>
        <w:rPr>
          <w:b/>
          <w:bCs/>
          <w:color w:val="FF0000"/>
          <w:highlight w:val="none"/>
        </w:rPr>
      </w:pPr>
      <w:r>
        <w:rPr>
          <w:rFonts w:hint="eastAsia"/>
          <w:b/>
          <w:bCs/>
          <w:color w:val="FF0000"/>
          <w:highlight w:val="none"/>
        </w:rPr>
        <w:t>转账备注请写明项目名称：</w:t>
      </w:r>
      <w:r>
        <w:rPr>
          <w:rFonts w:hint="eastAsia"/>
          <w:b/>
          <w:bCs/>
          <w:color w:val="FF0000"/>
          <w:szCs w:val="21"/>
          <w:highlight w:val="none"/>
        </w:rPr>
        <w:t>中国重汽</w:t>
      </w:r>
      <w:r>
        <w:rPr>
          <w:rFonts w:hint="eastAsia"/>
          <w:b/>
          <w:bCs/>
          <w:color w:val="FF0000"/>
          <w:szCs w:val="21"/>
          <w:highlight w:val="none"/>
          <w:lang w:val="en-US" w:eastAsia="zh-CN"/>
        </w:rPr>
        <w:t>集团济南卡车股份有限公司绵阳分公司自来水管道维修</w:t>
      </w:r>
      <w:r>
        <w:rPr>
          <w:rFonts w:hint="eastAsia"/>
          <w:b/>
          <w:bCs/>
          <w:color w:val="FF0000"/>
          <w:szCs w:val="21"/>
          <w:highlight w:val="none"/>
        </w:rPr>
        <w:t>项目</w:t>
      </w:r>
      <w:r>
        <w:rPr>
          <w:rFonts w:hint="eastAsia"/>
          <w:b/>
          <w:bCs/>
          <w:color w:val="FF0000"/>
          <w:highlight w:val="none"/>
        </w:rPr>
        <w:t>投标保证金</w:t>
      </w:r>
    </w:p>
    <w:p>
      <w:pPr>
        <w:pStyle w:val="15"/>
        <w:spacing w:line="360" w:lineRule="auto"/>
        <w:ind w:firstLine="420" w:firstLineChars="200"/>
        <w:rPr>
          <w:rFonts w:hint="default" w:eastAsia="宋体"/>
          <w:highlight w:val="none"/>
          <w:lang w:val="en-US" w:eastAsia="zh-CN"/>
        </w:rPr>
      </w:pPr>
      <w:r>
        <w:rPr>
          <w:rFonts w:hint="eastAsia" w:hAnsi="宋体"/>
          <w:highlight w:val="none"/>
        </w:rPr>
        <w:t>⑶</w:t>
      </w:r>
      <w:r>
        <w:rPr>
          <w:rFonts w:hint="eastAsia"/>
          <w:highlight w:val="none"/>
        </w:rPr>
        <w:t>接收单位：</w:t>
      </w:r>
      <w:r>
        <w:rPr>
          <w:rFonts w:hint="eastAsia" w:hAnsi="宋体" w:cs="宋体"/>
          <w:szCs w:val="21"/>
          <w:highlight w:val="none"/>
        </w:rPr>
        <w:t>中国重汽集团济南</w:t>
      </w:r>
      <w:r>
        <w:rPr>
          <w:rFonts w:hint="eastAsia" w:hAnsi="宋体" w:cs="宋体"/>
          <w:szCs w:val="21"/>
          <w:highlight w:val="none"/>
          <w:lang w:val="en-US" w:eastAsia="zh-CN"/>
        </w:rPr>
        <w:t>卡车股份</w:t>
      </w:r>
      <w:r>
        <w:rPr>
          <w:rFonts w:hint="eastAsia" w:hAnsi="宋体" w:cs="宋体"/>
          <w:szCs w:val="21"/>
          <w:highlight w:val="none"/>
        </w:rPr>
        <w:t>有限公司</w:t>
      </w:r>
      <w:r>
        <w:rPr>
          <w:rFonts w:hint="eastAsia" w:hAnsi="宋体" w:cs="宋体"/>
          <w:szCs w:val="21"/>
          <w:highlight w:val="none"/>
          <w:lang w:val="en-US" w:eastAsia="zh-CN"/>
        </w:rPr>
        <w:t>绵阳分公司</w:t>
      </w:r>
    </w:p>
    <w:p>
      <w:pPr>
        <w:pStyle w:val="15"/>
        <w:spacing w:line="360" w:lineRule="auto"/>
        <w:ind w:firstLine="420" w:firstLineChars="200"/>
        <w:rPr>
          <w:highlight w:val="none"/>
        </w:rPr>
      </w:pPr>
      <w:r>
        <w:rPr>
          <w:rFonts w:hint="eastAsia" w:hAnsi="宋体"/>
          <w:highlight w:val="none"/>
        </w:rPr>
        <w:t>⑷</w:t>
      </w:r>
      <w:r>
        <w:rPr>
          <w:rFonts w:hint="eastAsia"/>
          <w:highlight w:val="none"/>
        </w:rPr>
        <w:t>转账信息：</w:t>
      </w:r>
    </w:p>
    <w:tbl>
      <w:tblPr>
        <w:tblStyle w:val="30"/>
        <w:tblW w:w="834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346" w:type="dxa"/>
            <w:noWrap w:val="0"/>
            <w:vAlign w:val="center"/>
          </w:tcPr>
          <w:p>
            <w:pPr>
              <w:rPr>
                <w:rFonts w:hint="default" w:ascii="宋体" w:hAnsi="宋体" w:eastAsia="宋体" w:cs="宋体"/>
                <w:szCs w:val="21"/>
                <w:highlight w:val="none"/>
                <w:lang w:val="en-US" w:eastAsia="zh-CN"/>
              </w:rPr>
            </w:pPr>
            <w:r>
              <w:rPr>
                <w:rFonts w:hint="eastAsia" w:ascii="宋体" w:hAnsi="宋体" w:cs="宋体"/>
                <w:szCs w:val="21"/>
                <w:highlight w:val="none"/>
              </w:rPr>
              <w:t>开户银行：中国银行</w:t>
            </w:r>
            <w:r>
              <w:rPr>
                <w:rFonts w:hint="eastAsia" w:ascii="宋体" w:hAnsi="宋体" w:cs="宋体"/>
                <w:szCs w:val="21"/>
                <w:highlight w:val="none"/>
                <w:lang w:val="en-US" w:eastAsia="zh-CN"/>
              </w:rPr>
              <w:t>绵阳高新技术产业开发区支行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346" w:type="dxa"/>
            <w:noWrap w:val="0"/>
            <w:vAlign w:val="center"/>
          </w:tcPr>
          <w:p>
            <w:pPr>
              <w:rPr>
                <w:rFonts w:hint="default" w:ascii="宋体" w:hAnsi="宋体" w:eastAsia="宋体" w:cs="宋体"/>
                <w:szCs w:val="21"/>
                <w:highlight w:val="none"/>
                <w:lang w:val="en-US" w:eastAsia="zh-CN"/>
              </w:rPr>
            </w:pPr>
            <w:r>
              <w:rPr>
                <w:rFonts w:hint="eastAsia" w:ascii="宋体" w:hAnsi="宋体" w:cs="宋体"/>
                <w:szCs w:val="21"/>
                <w:highlight w:val="none"/>
              </w:rPr>
              <w:t>户名：</w:t>
            </w:r>
            <w:bookmarkStart w:id="14" w:name="_Hlk39586973"/>
            <w:r>
              <w:rPr>
                <w:rFonts w:hint="eastAsia" w:ascii="宋体" w:hAnsi="宋体" w:cs="宋体"/>
                <w:szCs w:val="21"/>
                <w:highlight w:val="none"/>
              </w:rPr>
              <w:t>中国重汽集团</w:t>
            </w:r>
            <w:bookmarkEnd w:id="14"/>
            <w:r>
              <w:rPr>
                <w:rFonts w:hint="eastAsia" w:ascii="宋体" w:hAnsi="宋体" w:cs="宋体"/>
                <w:szCs w:val="21"/>
                <w:highlight w:val="none"/>
                <w:lang w:val="en-US" w:eastAsia="zh-CN"/>
              </w:rPr>
              <w:t>济南卡车股份有限公司绵阳分公司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46" w:type="dxa"/>
            <w:noWrap w:val="0"/>
            <w:vAlign w:val="center"/>
          </w:tcPr>
          <w:p>
            <w:pPr>
              <w:rPr>
                <w:rFonts w:hint="default" w:ascii="宋体" w:hAnsi="宋体" w:eastAsia="宋体" w:cs="宋体"/>
                <w:szCs w:val="21"/>
                <w:highlight w:val="none"/>
                <w:lang w:val="en-US" w:eastAsia="zh-CN"/>
              </w:rPr>
            </w:pPr>
            <w:r>
              <w:rPr>
                <w:rFonts w:hint="eastAsia" w:ascii="宋体" w:hAnsi="宋体" w:cs="宋体"/>
                <w:szCs w:val="21"/>
                <w:highlight w:val="none"/>
              </w:rPr>
              <w:t>账号：</w:t>
            </w:r>
            <w:r>
              <w:rPr>
                <w:rFonts w:hint="eastAsia" w:ascii="宋体" w:hAnsi="宋体" w:cs="宋体"/>
                <w:szCs w:val="21"/>
                <w:highlight w:val="none"/>
                <w:lang w:val="en-US" w:eastAsia="zh-CN"/>
              </w:rPr>
              <w:t>115811235239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346" w:type="dxa"/>
            <w:noWrap w:val="0"/>
            <w:vAlign w:val="center"/>
          </w:tcPr>
          <w:p>
            <w:pPr>
              <w:rPr>
                <w:rFonts w:hint="default" w:ascii="宋体" w:hAnsi="宋体" w:eastAsia="宋体" w:cs="宋体"/>
                <w:szCs w:val="21"/>
                <w:highlight w:val="none"/>
                <w:lang w:val="en-US" w:eastAsia="zh-CN"/>
              </w:rPr>
            </w:pPr>
            <w:r>
              <w:rPr>
                <w:rFonts w:hint="eastAsia" w:ascii="宋体" w:hAnsi="宋体" w:cs="宋体"/>
                <w:szCs w:val="21"/>
                <w:highlight w:val="none"/>
              </w:rPr>
              <w:t>纳税人识别号：</w:t>
            </w:r>
            <w:r>
              <w:rPr>
                <w:rFonts w:hint="eastAsia" w:ascii="宋体" w:hAnsi="宋体" w:cs="宋体"/>
                <w:szCs w:val="21"/>
                <w:highlight w:val="none"/>
                <w:lang w:val="en-US" w:eastAsia="zh-CN"/>
              </w:rPr>
              <w:t>91510700563264026A</w:t>
            </w:r>
          </w:p>
        </w:tc>
      </w:tr>
    </w:tbl>
    <w:p>
      <w:pPr>
        <w:pStyle w:val="72"/>
        <w:numPr>
          <w:ilvl w:val="0"/>
          <w:numId w:val="0"/>
        </w:numPr>
        <w:rPr>
          <w:rFonts w:hint="eastAsia" w:ascii="宋体" w:hAnsi="宋体" w:eastAsia="宋体" w:cs="宋体"/>
          <w:b w:val="0"/>
          <w:bCs w:val="0"/>
          <w:sz w:val="21"/>
          <w:szCs w:val="21"/>
          <w:highlight w:val="none"/>
        </w:rPr>
      </w:pPr>
    </w:p>
    <w:p>
      <w:pPr>
        <w:pStyle w:val="72"/>
        <w:keepNext w:val="0"/>
        <w:keepLines w:val="0"/>
        <w:pageBreakBefore w:val="0"/>
        <w:widowControl w:val="0"/>
        <w:numPr>
          <w:ilvl w:val="0"/>
          <w:numId w:val="21"/>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pPr>
        <w:pStyle w:val="72"/>
        <w:keepNext w:val="0"/>
        <w:keepLines w:val="0"/>
        <w:pageBreakBefore w:val="0"/>
        <w:widowControl w:val="0"/>
        <w:numPr>
          <w:ilvl w:val="0"/>
          <w:numId w:val="21"/>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pPr>
        <w:pStyle w:val="72"/>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none"/>
          <w:u w:val="single"/>
          <w:lang w:val="en-US" w:eastAsia="zh-CN"/>
        </w:rPr>
        <w:t>30</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none"/>
          <w:u w:val="single"/>
          <w:lang w:val="en-US" w:eastAsia="zh-CN"/>
        </w:rPr>
        <w:t>30</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pPr>
        <w:pStyle w:val="72"/>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3"/>
    <w:p>
      <w:pPr>
        <w:pStyle w:val="72"/>
      </w:pPr>
      <w:r>
        <w:rPr>
          <w:rFonts w:hint="eastAsia"/>
          <w:lang w:val="en-US" w:eastAsia="zh-CN"/>
        </w:rPr>
        <w:t>开评标</w:t>
      </w:r>
    </w:p>
    <w:p>
      <w:pPr>
        <w:pStyle w:val="72"/>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开标时间：2026年3月3日上午10:00</w:t>
      </w:r>
    </w:p>
    <w:p>
      <w:pPr>
        <w:pStyle w:val="72"/>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开标地点：绵阳分公司第二会议室</w:t>
      </w:r>
    </w:p>
    <w:p>
      <w:pPr>
        <w:pStyle w:val="72"/>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开标方式：</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现场招</w:t>
      </w:r>
      <w:r>
        <w:rPr>
          <w:rFonts w:hint="eastAsia" w:ascii="宋体" w:hAnsi="宋体" w:eastAsia="宋体" w:cs="宋体"/>
          <w:b w:val="0"/>
          <w:bCs w:val="0"/>
          <w:sz w:val="21"/>
          <w:szCs w:val="21"/>
          <w:highlight w:val="none"/>
          <w:lang w:val="en-US" w:eastAsia="zh-CN"/>
        </w:rPr>
        <w:t>标：</w:t>
      </w:r>
      <w:r>
        <w:rPr>
          <w:rFonts w:hint="eastAsia" w:ascii="宋体" w:hAnsi="宋体" w:eastAsia="宋体" w:cs="宋体"/>
          <w:color w:val="000000"/>
          <w:sz w:val="21"/>
          <w:szCs w:val="21"/>
          <w:highlight w:val="none"/>
        </w:rPr>
        <w:t>原则上来现场参与开标。如因特殊情况无法现场参与，需在开标前三日，通知招标人，由招标人创建视频链接，并在报名结束后统一通知。</w:t>
      </w:r>
    </w:p>
    <w:p>
      <w:pPr>
        <w:pStyle w:val="72"/>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pPr>
        <w:pStyle w:val="15"/>
        <w:spacing w:line="360" w:lineRule="auto"/>
        <w:ind w:firstLine="420" w:firstLineChars="200"/>
        <w:rPr>
          <w:rFonts w:hint="eastAsia"/>
          <w:highlight w:val="none"/>
        </w:rPr>
      </w:pPr>
      <w:r>
        <w:rPr>
          <w:rFonts w:hint="eastAsia"/>
          <w:highlight w:val="none"/>
        </w:rPr>
        <w:t>1.开标</w:t>
      </w:r>
    </w:p>
    <w:p>
      <w:pPr>
        <w:pStyle w:val="15"/>
        <w:spacing w:line="360" w:lineRule="auto"/>
        <w:ind w:firstLine="420" w:firstLineChars="200"/>
        <w:rPr>
          <w:rFonts w:hint="eastAsia"/>
          <w:highlight w:val="none"/>
        </w:rPr>
      </w:pPr>
      <w:r>
        <w:rPr>
          <w:rFonts w:hint="eastAsia"/>
          <w:highlight w:val="none"/>
        </w:rPr>
        <w:t>除</w:t>
      </w:r>
      <w:r>
        <w:rPr>
          <w:rFonts w:hint="eastAsia"/>
          <w:b/>
          <w:bCs/>
          <w:color w:val="000000"/>
          <w:sz w:val="24"/>
          <w:szCs w:val="24"/>
          <w:highlight w:val="none"/>
        </w:rPr>
        <w:t>投标报价明细表</w:t>
      </w:r>
      <w:r>
        <w:rPr>
          <w:rFonts w:hint="eastAsia"/>
          <w:color w:val="000000"/>
          <w:sz w:val="24"/>
          <w:szCs w:val="24"/>
          <w:highlight w:val="none"/>
        </w:rPr>
        <w:t>中单位为元外，</w:t>
      </w:r>
      <w:r>
        <w:rPr>
          <w:rFonts w:hint="eastAsia"/>
          <w:highlight w:val="none"/>
        </w:rPr>
        <w:t>其余报价货币单位为： 万元（</w:t>
      </w:r>
      <w:r>
        <w:rPr>
          <w:rFonts w:hint="eastAsia"/>
          <w:b/>
          <w:bCs/>
          <w:highlight w:val="none"/>
        </w:rPr>
        <w:t>人民币不含税价、含税价，注明税率</w:t>
      </w:r>
      <w:r>
        <w:rPr>
          <w:rFonts w:hint="eastAsia"/>
          <w:highlight w:val="none"/>
        </w:rPr>
        <w:t>）；填写“中国重汽E采通”系统中报价均为：万元（含税价）。</w:t>
      </w:r>
    </w:p>
    <w:p>
      <w:pPr>
        <w:pStyle w:val="15"/>
        <w:spacing w:line="360" w:lineRule="auto"/>
        <w:ind w:firstLine="420" w:firstLineChars="200"/>
        <w:rPr>
          <w:highlight w:val="none"/>
        </w:rPr>
      </w:pPr>
      <w:r>
        <w:rPr>
          <w:rFonts w:hint="eastAsia"/>
          <w:highlight w:val="none"/>
        </w:rPr>
        <w:t>开标方式：现场</w:t>
      </w:r>
      <w:r>
        <w:rPr>
          <w:rFonts w:hint="eastAsia"/>
          <w:highlight w:val="none"/>
          <w:lang w:val="en-US" w:eastAsia="zh-CN"/>
        </w:rPr>
        <w:t>或者视频</w:t>
      </w:r>
      <w:r>
        <w:rPr>
          <w:rFonts w:hint="eastAsia"/>
          <w:highlight w:val="none"/>
        </w:rPr>
        <w:t>参与开标。</w:t>
      </w:r>
    </w:p>
    <w:p>
      <w:pPr>
        <w:pStyle w:val="15"/>
        <w:spacing w:line="360" w:lineRule="auto"/>
        <w:ind w:firstLine="420" w:firstLineChars="200"/>
        <w:rPr>
          <w:rFonts w:hint="eastAsia"/>
          <w:highlight w:val="none"/>
        </w:rPr>
      </w:pPr>
      <w:r>
        <w:rPr>
          <w:rFonts w:hint="eastAsia"/>
          <w:highlight w:val="none"/>
        </w:rPr>
        <w:t>2.评标</w:t>
      </w:r>
    </w:p>
    <w:p>
      <w:pPr>
        <w:pStyle w:val="15"/>
        <w:spacing w:line="360" w:lineRule="auto"/>
        <w:rPr>
          <w:rFonts w:hint="eastAsia"/>
          <w:highlight w:val="none"/>
        </w:rPr>
      </w:pPr>
      <w:r>
        <w:rPr>
          <w:rFonts w:hint="eastAsia" w:hAnsi="宋体"/>
          <w:highlight w:val="none"/>
          <w:lang w:eastAsia="zh-CN"/>
        </w:rPr>
        <w:t>（</w:t>
      </w:r>
      <w:r>
        <w:rPr>
          <w:rFonts w:hint="eastAsia" w:hAnsi="宋体"/>
          <w:highlight w:val="none"/>
          <w:lang w:val="en-US" w:eastAsia="zh-CN"/>
        </w:rPr>
        <w:t>1</w:t>
      </w:r>
      <w:r>
        <w:rPr>
          <w:rFonts w:hint="eastAsia" w:hAnsi="宋体"/>
          <w:highlight w:val="none"/>
          <w:lang w:eastAsia="zh-CN"/>
        </w:rPr>
        <w:t>）</w:t>
      </w:r>
      <w:r>
        <w:rPr>
          <w:rFonts w:hint="eastAsia" w:hAnsi="宋体"/>
          <w:szCs w:val="21"/>
          <w:highlight w:val="none"/>
        </w:rPr>
        <w:t>评标工作由招标人为该项目依法组织的单数成员组成的评标工作小组负责，</w:t>
      </w:r>
      <w:r>
        <w:rPr>
          <w:rFonts w:hint="eastAsia"/>
          <w:highlight w:val="none"/>
        </w:rPr>
        <w:t>由评标工作小组按照国家招投标有关规定，本着公平、公正、公开、有序的原则，在满足招标文件实质性要求的</w:t>
      </w:r>
      <w:r>
        <w:rPr>
          <w:rFonts w:hint="eastAsia"/>
          <w:szCs w:val="21"/>
          <w:highlight w:val="none"/>
        </w:rPr>
        <w:t>前提下，按照招标文件中规定的各项因素</w:t>
      </w:r>
      <w:r>
        <w:rPr>
          <w:rFonts w:hint="eastAsia"/>
          <w:highlight w:val="none"/>
        </w:rPr>
        <w:t>进行评审。</w:t>
      </w:r>
    </w:p>
    <w:p>
      <w:pPr>
        <w:pStyle w:val="15"/>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（2）评标流程</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pPr>
        <w:pStyle w:val="75"/>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pPr>
        <w:pStyle w:val="72"/>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评分标准</w:t>
      </w:r>
    </w:p>
    <w:tbl>
      <w:tblPr>
        <w:tblStyle w:val="30"/>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ind w:right="34" w:rightChars="16"/>
              <w:jc w:val="center"/>
              <w:rPr>
                <w:b/>
                <w:szCs w:val="21"/>
              </w:rPr>
            </w:pPr>
            <w:r>
              <w:rPr>
                <w:rFonts w:hint="eastAsia"/>
                <w:b/>
              </w:rPr>
              <w:t>最高</w:t>
            </w:r>
          </w:p>
          <w:p>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pPr>
              <w:spacing w:line="320" w:lineRule="exact"/>
              <w:ind w:right="34" w:rightChars="16"/>
              <w:jc w:val="center"/>
              <w:rPr>
                <w:b/>
                <w:szCs w:val="21"/>
              </w:rPr>
            </w:pPr>
            <w:r>
              <w:rPr>
                <w:rFonts w:hint="eastAsia"/>
                <w:b/>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rPr>
            </w:pPr>
            <w:r>
              <w:rPr>
                <w:rFonts w:hint="eastAsia" w:ascii="宋体"/>
              </w:rPr>
              <w:t>技术标</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eastAsia="宋体"/>
                <w:lang w:eastAsia="zh-CN"/>
              </w:rPr>
            </w:pPr>
          </w:p>
        </w:tc>
        <w:tc>
          <w:tcPr>
            <w:tcW w:w="520" w:type="dxa"/>
            <w:vMerge w:val="restart"/>
            <w:tcBorders>
              <w:top w:val="single" w:color="auto" w:sz="4" w:space="0"/>
              <w:left w:val="single" w:color="auto" w:sz="4" w:space="0"/>
              <w:right w:val="single" w:color="auto" w:sz="4" w:space="0"/>
            </w:tcBorders>
            <w:vAlign w:val="center"/>
          </w:tcPr>
          <w:p>
            <w:pPr>
              <w:spacing w:line="440" w:lineRule="exact"/>
              <w:jc w:val="center"/>
              <w:rPr>
                <w:rFonts w:hint="default" w:ascii="宋体" w:eastAsia="宋体"/>
                <w:lang w:val="en-US" w:eastAsia="zh-CN"/>
              </w:rPr>
            </w:pPr>
            <w:r>
              <w:rPr>
                <w:rFonts w:hint="eastAsia" w:ascii="宋体"/>
                <w:lang w:val="en-US" w:eastAsia="zh-CN"/>
              </w:rPr>
              <w:t>40</w:t>
            </w:r>
          </w:p>
        </w:tc>
        <w:tc>
          <w:tcPr>
            <w:tcW w:w="970" w:type="dxa"/>
            <w:tcBorders>
              <w:top w:val="single" w:color="auto" w:sz="4" w:space="0"/>
              <w:left w:val="single" w:color="auto" w:sz="4" w:space="0"/>
              <w:right w:val="single" w:color="auto" w:sz="4" w:space="0"/>
            </w:tcBorders>
            <w:vAlign w:val="center"/>
          </w:tcPr>
          <w:p>
            <w:pPr>
              <w:jc w:val="center"/>
              <w:rPr>
                <w:rFonts w:ascii="宋体"/>
              </w:rPr>
            </w:pPr>
            <w:r>
              <w:rPr>
                <w:rFonts w:hint="eastAsia" w:ascii="宋体" w:hAnsi="宋体" w:cs="宋体"/>
                <w:color w:val="000000"/>
                <w:kern w:val="0"/>
                <w:szCs w:val="21"/>
                <w:lang w:bidi="ar"/>
              </w:rPr>
              <w:t>技术方案</w:t>
            </w:r>
          </w:p>
        </w:tc>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szCs w:val="21"/>
                <w:lang w:val="en-US" w:eastAsia="zh-CN"/>
              </w:rPr>
            </w:pPr>
            <w:r>
              <w:rPr>
                <w:rFonts w:hint="eastAsia" w:ascii="宋体"/>
                <w:lang w:val="en-US" w:eastAsia="zh-CN"/>
              </w:rPr>
              <w:t>15</w:t>
            </w:r>
          </w:p>
        </w:tc>
        <w:tc>
          <w:tcPr>
            <w:tcW w:w="6153" w:type="dxa"/>
            <w:tcBorders>
              <w:top w:val="single" w:color="auto" w:sz="4" w:space="0"/>
              <w:left w:val="single" w:color="auto" w:sz="4" w:space="0"/>
              <w:bottom w:val="single" w:color="auto" w:sz="4" w:space="0"/>
              <w:right w:val="single" w:color="auto" w:sz="4" w:space="0"/>
            </w:tcBorders>
            <w:vAlign w:val="center"/>
          </w:tcPr>
          <w:p>
            <w:pPr>
              <w:numPr>
                <w:ilvl w:val="0"/>
                <w:numId w:val="26"/>
              </w:numPr>
              <w:tabs>
                <w:tab w:val="left" w:pos="7854"/>
              </w:tabs>
              <w:spacing w:line="280" w:lineRule="exact"/>
              <w:rPr>
                <w:rFonts w:hint="eastAsia"/>
              </w:rPr>
            </w:pPr>
            <w:r>
              <w:rPr>
                <w:rFonts w:hint="eastAsia"/>
              </w:rPr>
              <w:t>1</w:t>
            </w:r>
            <w:r>
              <w:rPr>
                <w:rFonts w:hint="eastAsia"/>
                <w:lang w:val="en-US" w:eastAsia="zh-CN"/>
              </w:rPr>
              <w:t>0-15</w:t>
            </w:r>
            <w:r>
              <w:rPr>
                <w:rFonts w:hint="eastAsia"/>
              </w:rPr>
              <w:t>分：技术方案完全匹配项目需求，实施思路清晰，对项目重难点有精准、可落地的解决方案，技术路线先进且具备创新性</w:t>
            </w:r>
            <w:r>
              <w:rPr>
                <w:rFonts w:hint="eastAsia"/>
                <w:lang w:eastAsia="zh-CN"/>
              </w:rPr>
              <w:t>。</w:t>
            </w:r>
          </w:p>
          <w:p>
            <w:pPr>
              <w:numPr>
                <w:ilvl w:val="0"/>
                <w:numId w:val="0"/>
              </w:numPr>
              <w:tabs>
                <w:tab w:val="left" w:pos="7854"/>
              </w:tabs>
              <w:spacing w:line="280" w:lineRule="exact"/>
              <w:rPr>
                <w:rFonts w:hint="eastAsia" w:eastAsia="宋体"/>
                <w:lang w:eastAsia="zh-CN"/>
              </w:rPr>
            </w:pPr>
            <w:r>
              <w:rPr>
                <w:rFonts w:hint="eastAsia"/>
              </w:rPr>
              <w:t>2.</w:t>
            </w:r>
            <w:r>
              <w:rPr>
                <w:rFonts w:hint="eastAsia"/>
                <w:lang w:val="en-US" w:eastAsia="zh-CN"/>
              </w:rPr>
              <w:t>8-12</w:t>
            </w:r>
            <w:r>
              <w:rPr>
                <w:rFonts w:hint="eastAsia"/>
              </w:rPr>
              <w:t>分：技术方案基本满足项目需求，实施思路较清晰，能覆盖主要实施环节，具备常规的重难点应对措施</w:t>
            </w:r>
            <w:r>
              <w:rPr>
                <w:rFonts w:hint="eastAsia"/>
                <w:lang w:eastAsia="zh-CN"/>
              </w:rPr>
              <w:t>。</w:t>
            </w:r>
          </w:p>
          <w:p>
            <w:pPr>
              <w:numPr>
                <w:ilvl w:val="0"/>
                <w:numId w:val="0"/>
              </w:numPr>
              <w:tabs>
                <w:tab w:val="left" w:pos="7854"/>
              </w:tabs>
              <w:spacing w:line="280" w:lineRule="exact"/>
              <w:rPr>
                <w:rFonts w:hint="eastAsia" w:eastAsia="宋体"/>
                <w:lang w:eastAsia="zh-CN"/>
              </w:rPr>
            </w:pPr>
            <w:r>
              <w:rPr>
                <w:rFonts w:hint="eastAsia"/>
              </w:rPr>
              <w:t xml:space="preserve">3. </w:t>
            </w:r>
            <w:r>
              <w:rPr>
                <w:rFonts w:hint="eastAsia"/>
                <w:lang w:val="en-US" w:eastAsia="zh-CN"/>
              </w:rPr>
              <w:t>6</w:t>
            </w:r>
            <w:r>
              <w:rPr>
                <w:rFonts w:hint="eastAsia"/>
              </w:rPr>
              <w:t>-11分：技术方案存在部分疏漏，实施思路不够明确，对部分重难点的应对措施可行性不足</w:t>
            </w:r>
            <w:r>
              <w:rPr>
                <w:rFonts w:hint="eastAsia"/>
                <w:lang w:eastAsia="zh-CN"/>
              </w:rPr>
              <w:t>。</w:t>
            </w:r>
          </w:p>
          <w:p>
            <w:pPr>
              <w:numPr>
                <w:ilvl w:val="0"/>
                <w:numId w:val="0"/>
              </w:numPr>
              <w:tabs>
                <w:tab w:val="left" w:pos="7854"/>
              </w:tabs>
              <w:spacing w:line="280" w:lineRule="exact"/>
              <w:rPr>
                <w:rFonts w:hint="eastAsia" w:eastAsia="宋体"/>
                <w:lang w:eastAsia="zh-CN"/>
              </w:rPr>
            </w:pPr>
            <w:r>
              <w:rPr>
                <w:rFonts w:hint="eastAsia"/>
              </w:rPr>
              <w:t>4. 0-7分：技术方案严重偏离项目需求，实施思路混乱，无有效应对项目重难点的措施</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pPr>
              <w:widowControl/>
              <w:jc w:val="center"/>
              <w:rPr>
                <w:rFonts w:ascii="宋体"/>
              </w:rPr>
            </w:pPr>
          </w:p>
        </w:tc>
        <w:tc>
          <w:tcPr>
            <w:tcW w:w="520" w:type="dxa"/>
            <w:vMerge w:val="continue"/>
            <w:tcBorders>
              <w:left w:val="single" w:color="auto" w:sz="4" w:space="0"/>
              <w:right w:val="single" w:color="auto" w:sz="4" w:space="0"/>
            </w:tcBorders>
            <w:vAlign w:val="center"/>
          </w:tcPr>
          <w:p>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rPr>
              <w:t>质量保障</w:t>
            </w:r>
          </w:p>
        </w:tc>
        <w:tc>
          <w:tcPr>
            <w:tcW w:w="650" w:type="dxa"/>
            <w:tcBorders>
              <w:top w:val="single" w:color="auto" w:sz="4" w:space="0"/>
              <w:left w:val="single" w:color="auto" w:sz="4" w:space="0"/>
              <w:bottom w:val="nil"/>
              <w:right w:val="single" w:color="auto" w:sz="4" w:space="0"/>
            </w:tcBorders>
            <w:vAlign w:val="center"/>
          </w:tcPr>
          <w:p>
            <w:pPr>
              <w:spacing w:line="440" w:lineRule="exact"/>
              <w:jc w:val="center"/>
              <w:rPr>
                <w:rFonts w:hint="default" w:ascii="宋体"/>
                <w:szCs w:val="21"/>
                <w:lang w:val="en-US"/>
              </w:rPr>
            </w:pPr>
            <w:r>
              <w:rPr>
                <w:rFonts w:hint="eastAsia" w:ascii="宋体"/>
                <w:lang w:val="en-US" w:eastAsia="zh-CN"/>
              </w:rPr>
              <w:t>10</w:t>
            </w:r>
          </w:p>
        </w:tc>
        <w:tc>
          <w:tcPr>
            <w:tcW w:w="6153" w:type="dxa"/>
            <w:tcBorders>
              <w:top w:val="single" w:color="auto" w:sz="4" w:space="0"/>
              <w:left w:val="single" w:color="auto" w:sz="4" w:space="0"/>
              <w:bottom w:val="nil"/>
              <w:right w:val="single" w:color="auto" w:sz="4" w:space="0"/>
            </w:tcBorders>
            <w:vAlign w:val="center"/>
          </w:tcPr>
          <w:p>
            <w:pPr>
              <w:numPr>
                <w:ilvl w:val="0"/>
                <w:numId w:val="27"/>
              </w:numPr>
              <w:tabs>
                <w:tab w:val="left" w:pos="7854"/>
              </w:tabs>
              <w:spacing w:line="280" w:lineRule="exact"/>
              <w:rPr>
                <w:rFonts w:hint="eastAsia"/>
              </w:rPr>
            </w:pPr>
            <w:r>
              <w:rPr>
                <w:rFonts w:hint="eastAsia"/>
                <w:lang w:val="en-US" w:eastAsia="zh-CN"/>
              </w:rPr>
              <w:t>10</w:t>
            </w:r>
            <w:r>
              <w:rPr>
                <w:rFonts w:hint="eastAsia"/>
              </w:rPr>
              <w:t>分：建立了完善的质量管控体系，检验检测流程严谨，不合格品处置机制健全，质量承诺具体且有较高约束力</w:t>
            </w:r>
            <w:r>
              <w:rPr>
                <w:rFonts w:hint="eastAsia"/>
                <w:lang w:eastAsia="zh-CN"/>
              </w:rPr>
              <w:t>。</w:t>
            </w:r>
          </w:p>
          <w:p>
            <w:pPr>
              <w:numPr>
                <w:ilvl w:val="0"/>
                <w:numId w:val="27"/>
              </w:numPr>
              <w:tabs>
                <w:tab w:val="left" w:pos="7854"/>
              </w:tabs>
              <w:spacing w:line="280" w:lineRule="exact"/>
              <w:ind w:left="0" w:leftChars="0" w:firstLine="0" w:firstLineChars="0"/>
              <w:rPr>
                <w:rFonts w:hint="eastAsia"/>
              </w:rPr>
            </w:pPr>
            <w:r>
              <w:rPr>
                <w:rFonts w:hint="eastAsia"/>
                <w:lang w:val="en-US" w:eastAsia="zh-CN"/>
              </w:rPr>
              <w:t>8-9</w:t>
            </w:r>
            <w:r>
              <w:rPr>
                <w:rFonts w:hint="eastAsia"/>
              </w:rPr>
              <w:t>分：具备基本的质量管控体系，检验检测流程完整，有明确的不合格品处置方式，质量承诺合理</w:t>
            </w:r>
            <w:r>
              <w:rPr>
                <w:rFonts w:hint="eastAsia"/>
                <w:lang w:eastAsia="zh-CN"/>
              </w:rPr>
              <w:t>。</w:t>
            </w:r>
          </w:p>
          <w:p>
            <w:pPr>
              <w:numPr>
                <w:ilvl w:val="0"/>
                <w:numId w:val="27"/>
              </w:numPr>
              <w:tabs>
                <w:tab w:val="left" w:pos="7854"/>
              </w:tabs>
              <w:spacing w:line="280" w:lineRule="exact"/>
              <w:ind w:left="0" w:leftChars="0" w:firstLine="0" w:firstLineChars="0"/>
              <w:rPr>
                <w:rFonts w:hint="eastAsia"/>
              </w:rPr>
            </w:pPr>
            <w:r>
              <w:rPr>
                <w:rFonts w:hint="eastAsia"/>
              </w:rPr>
              <w:t>6-</w:t>
            </w:r>
            <w:r>
              <w:rPr>
                <w:rFonts w:hint="eastAsia"/>
                <w:lang w:val="en-US" w:eastAsia="zh-CN"/>
              </w:rPr>
              <w:t>7</w:t>
            </w:r>
            <w:r>
              <w:rPr>
                <w:rFonts w:hint="eastAsia"/>
              </w:rPr>
              <w:t>分：质量管控体系存在缺陷，检验检测流程不够完善，不合格品处置机制较粗糙，质量承诺不够具体</w:t>
            </w:r>
            <w:r>
              <w:rPr>
                <w:rFonts w:hint="eastAsia"/>
                <w:lang w:eastAsia="zh-CN"/>
              </w:rPr>
              <w:t>。</w:t>
            </w:r>
          </w:p>
          <w:p>
            <w:pPr>
              <w:numPr>
                <w:ilvl w:val="0"/>
                <w:numId w:val="0"/>
              </w:numPr>
              <w:tabs>
                <w:tab w:val="left" w:pos="7854"/>
              </w:tabs>
              <w:spacing w:line="280" w:lineRule="exact"/>
              <w:ind w:leftChars="0"/>
              <w:rPr>
                <w:rFonts w:hint="eastAsia" w:eastAsia="宋体"/>
                <w:lang w:eastAsia="zh-CN"/>
              </w:rPr>
            </w:pPr>
            <w:r>
              <w:rPr>
                <w:rFonts w:hint="eastAsia"/>
              </w:rPr>
              <w:t>4. 0-5分：无清晰的质量管控体系，检验检测流程缺失，无有效不合格品处置机制，质量承诺模糊</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pPr>
              <w:widowControl/>
              <w:jc w:val="center"/>
              <w:rPr>
                <w:rFonts w:ascii="宋体"/>
              </w:rPr>
            </w:pPr>
          </w:p>
        </w:tc>
        <w:tc>
          <w:tcPr>
            <w:tcW w:w="520" w:type="dxa"/>
            <w:vMerge w:val="continue"/>
            <w:tcBorders>
              <w:left w:val="single" w:color="auto" w:sz="4" w:space="0"/>
              <w:right w:val="single" w:color="auto" w:sz="4" w:space="0"/>
            </w:tcBorders>
            <w:vAlign w:val="center"/>
          </w:tcPr>
          <w:p>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rPr>
              <w:t>业绩</w:t>
            </w:r>
          </w:p>
        </w:tc>
        <w:tc>
          <w:tcPr>
            <w:tcW w:w="650" w:type="dxa"/>
            <w:tcBorders>
              <w:top w:val="single" w:color="auto" w:sz="4" w:space="0"/>
              <w:left w:val="single" w:color="auto" w:sz="4" w:space="0"/>
              <w:bottom w:val="nil"/>
              <w:right w:val="single" w:color="auto" w:sz="4" w:space="0"/>
            </w:tcBorders>
            <w:vAlign w:val="center"/>
          </w:tcPr>
          <w:p>
            <w:pPr>
              <w:jc w:val="center"/>
              <w:rPr>
                <w:rFonts w:hint="default" w:ascii="宋体"/>
                <w:szCs w:val="21"/>
                <w:lang w:val="en-US"/>
              </w:rPr>
            </w:pPr>
            <w:r>
              <w:rPr>
                <w:rFonts w:hint="eastAsia" w:ascii="宋体"/>
                <w:lang w:val="en-US" w:eastAsia="zh-CN"/>
              </w:rPr>
              <w:t>10</w:t>
            </w:r>
          </w:p>
        </w:tc>
        <w:tc>
          <w:tcPr>
            <w:tcW w:w="6153" w:type="dxa"/>
            <w:tcBorders>
              <w:top w:val="single" w:color="auto" w:sz="4" w:space="0"/>
              <w:left w:val="single" w:color="auto" w:sz="4" w:space="0"/>
              <w:bottom w:val="nil"/>
              <w:right w:val="single" w:color="auto" w:sz="4" w:space="0"/>
            </w:tcBorders>
            <w:vAlign w:val="center"/>
          </w:tcPr>
          <w:p>
            <w:pPr>
              <w:numPr>
                <w:ilvl w:val="0"/>
                <w:numId w:val="28"/>
              </w:numPr>
              <w:tabs>
                <w:tab w:val="left" w:pos="7854"/>
              </w:tabs>
              <w:spacing w:line="280" w:lineRule="exact"/>
              <w:rPr>
                <w:rFonts w:hint="eastAsia"/>
              </w:rPr>
            </w:pPr>
            <w:r>
              <w:rPr>
                <w:rFonts w:hint="eastAsia"/>
              </w:rPr>
              <w:t>10分：近5年完成过3个及以上与本项目规模、类型高度一致的类似项目，合同金额累计较高，且项目均获得业主好评</w:t>
            </w:r>
            <w:r>
              <w:rPr>
                <w:rFonts w:hint="eastAsia"/>
                <w:lang w:eastAsia="zh-CN"/>
              </w:rPr>
              <w:t>。</w:t>
            </w:r>
          </w:p>
          <w:p>
            <w:pPr>
              <w:numPr>
                <w:ilvl w:val="0"/>
                <w:numId w:val="28"/>
              </w:numPr>
              <w:tabs>
                <w:tab w:val="left" w:pos="7854"/>
              </w:tabs>
              <w:spacing w:line="280" w:lineRule="exact"/>
              <w:rPr>
                <w:rFonts w:hint="eastAsia"/>
              </w:rPr>
            </w:pPr>
            <w:r>
              <w:rPr>
                <w:rFonts w:hint="eastAsia"/>
              </w:rPr>
              <w:t>7-9分：近5年完成过2个类似项目，合同金额累计适中，项目运行效果良好</w:t>
            </w:r>
            <w:r>
              <w:rPr>
                <w:rFonts w:hint="eastAsia"/>
                <w:lang w:eastAsia="zh-CN"/>
              </w:rPr>
              <w:t>。</w:t>
            </w:r>
          </w:p>
          <w:p>
            <w:pPr>
              <w:numPr>
                <w:ilvl w:val="0"/>
                <w:numId w:val="28"/>
              </w:numPr>
              <w:tabs>
                <w:tab w:val="left" w:pos="7854"/>
              </w:tabs>
              <w:spacing w:line="280" w:lineRule="exact"/>
              <w:ind w:left="0" w:leftChars="0" w:firstLine="0" w:firstLineChars="0"/>
              <w:rPr>
                <w:rFonts w:hint="eastAsia"/>
              </w:rPr>
            </w:pPr>
            <w:r>
              <w:rPr>
                <w:rFonts w:hint="eastAsia"/>
              </w:rPr>
              <w:t>4-6分：近5年完成过1个类似项目，合同金额一般，项目无重大负面反馈</w:t>
            </w:r>
            <w:r>
              <w:rPr>
                <w:rFonts w:hint="eastAsia"/>
                <w:lang w:eastAsia="zh-CN"/>
              </w:rPr>
              <w:t>。</w:t>
            </w:r>
          </w:p>
          <w:p>
            <w:pPr>
              <w:numPr>
                <w:ilvl w:val="0"/>
                <w:numId w:val="0"/>
              </w:numPr>
              <w:tabs>
                <w:tab w:val="left" w:pos="7854"/>
              </w:tabs>
              <w:spacing w:line="280" w:lineRule="exact"/>
              <w:ind w:leftChars="0"/>
              <w:rPr>
                <w:rFonts w:hint="eastAsia" w:eastAsia="宋体"/>
                <w:lang w:eastAsia="zh-CN"/>
              </w:rPr>
            </w:pPr>
            <w:r>
              <w:rPr>
                <w:rFonts w:hint="eastAsia"/>
              </w:rPr>
              <w:t>4. 0-3分：无相关类似项目</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pPr>
              <w:widowControl/>
              <w:jc w:val="center"/>
              <w:rPr>
                <w:rFonts w:ascii="宋体"/>
              </w:rPr>
            </w:pPr>
          </w:p>
        </w:tc>
        <w:tc>
          <w:tcPr>
            <w:tcW w:w="520" w:type="dxa"/>
            <w:vMerge w:val="continue"/>
            <w:tcBorders>
              <w:left w:val="single" w:color="auto" w:sz="4" w:space="0"/>
              <w:right w:val="single" w:color="auto" w:sz="4" w:space="0"/>
            </w:tcBorders>
            <w:vAlign w:val="center"/>
          </w:tcPr>
          <w:p>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交货期</w:t>
            </w:r>
          </w:p>
        </w:tc>
        <w:tc>
          <w:tcPr>
            <w:tcW w:w="650" w:type="dxa"/>
            <w:tcBorders>
              <w:top w:val="single" w:color="auto" w:sz="4" w:space="0"/>
              <w:left w:val="single" w:color="auto" w:sz="4" w:space="0"/>
              <w:bottom w:val="nil"/>
              <w:right w:val="single" w:color="auto" w:sz="4" w:space="0"/>
            </w:tcBorders>
            <w:vAlign w:val="center"/>
          </w:tcPr>
          <w:p>
            <w:pPr>
              <w:jc w:val="center"/>
              <w:rPr>
                <w:rFonts w:hint="default"/>
                <w:lang w:val="en-US"/>
              </w:rPr>
            </w:pPr>
            <w:r>
              <w:rPr>
                <w:rFonts w:hint="eastAsia" w:ascii="宋体"/>
                <w:lang w:val="en-US" w:eastAsia="zh-CN"/>
              </w:rPr>
              <w:t>5</w:t>
            </w:r>
          </w:p>
        </w:tc>
        <w:tc>
          <w:tcPr>
            <w:tcW w:w="6153" w:type="dxa"/>
            <w:tcBorders>
              <w:top w:val="single" w:color="auto" w:sz="4" w:space="0"/>
              <w:left w:val="single" w:color="auto" w:sz="4" w:space="0"/>
              <w:bottom w:val="nil"/>
              <w:right w:val="single" w:color="auto" w:sz="4" w:space="0"/>
            </w:tcBorders>
            <w:vAlign w:val="center"/>
          </w:tcPr>
          <w:p>
            <w:pPr>
              <w:pStyle w:val="94"/>
              <w:numPr>
                <w:ilvl w:val="0"/>
                <w:numId w:val="29"/>
              </w:numPr>
              <w:rPr>
                <w:rFonts w:hint="eastAsia"/>
                <w:lang w:val="en-US" w:eastAsia="zh-CN"/>
              </w:rPr>
            </w:pPr>
            <w:r>
              <w:rPr>
                <w:rFonts w:hint="eastAsia"/>
                <w:lang w:val="en-US" w:eastAsia="zh-CN"/>
              </w:rPr>
              <w:t>4-5分：交货期完全满足招标文件要求，进度保障措施完善，具备应对突发情况的应急预案，可提前交货且有明确保障。</w:t>
            </w:r>
          </w:p>
          <w:p>
            <w:pPr>
              <w:pStyle w:val="94"/>
              <w:numPr>
                <w:ilvl w:val="0"/>
                <w:numId w:val="29"/>
              </w:numPr>
              <w:ind w:left="0" w:leftChars="0" w:firstLine="0" w:firstLineChars="0"/>
              <w:rPr>
                <w:rFonts w:hint="eastAsia"/>
                <w:lang w:val="en-US" w:eastAsia="zh-CN"/>
              </w:rPr>
            </w:pPr>
            <w:r>
              <w:rPr>
                <w:rFonts w:hint="eastAsia"/>
                <w:lang w:val="en-US" w:eastAsia="zh-CN"/>
              </w:rPr>
              <w:t>3-4分：交货期满足招标文件要求，进度保障措施较完善，有基本的应急调整方案。</w:t>
            </w:r>
          </w:p>
          <w:p>
            <w:pPr>
              <w:pStyle w:val="94"/>
              <w:numPr>
                <w:ilvl w:val="0"/>
                <w:numId w:val="29"/>
              </w:numPr>
              <w:ind w:left="0" w:leftChars="0" w:firstLine="0" w:firstLineChars="0"/>
              <w:rPr>
                <w:rFonts w:hint="eastAsia"/>
                <w:lang w:val="en-US" w:eastAsia="zh-CN"/>
              </w:rPr>
            </w:pPr>
            <w:r>
              <w:rPr>
                <w:rFonts w:hint="eastAsia"/>
                <w:lang w:val="en-US" w:eastAsia="zh-CN"/>
              </w:rPr>
              <w:t>2-3分：交货期基本满足要求，但进度保障措施存在一定风险，应急方案不够具体。</w:t>
            </w:r>
          </w:p>
          <w:p>
            <w:pPr>
              <w:pStyle w:val="94"/>
              <w:numPr>
                <w:ilvl w:val="0"/>
                <w:numId w:val="0"/>
              </w:numPr>
              <w:ind w:leftChars="0"/>
            </w:pPr>
            <w:r>
              <w:rPr>
                <w:rFonts w:hint="eastAsia"/>
                <w:lang w:val="en-US" w:eastAsia="zh-CN"/>
              </w:rPr>
              <w:t>4. 0-2分：交货期无法满足招标文件要求，无有效进度保障措施</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Cs w:val="21"/>
                <w:highlight w:val="none"/>
              </w:rPr>
            </w:pPr>
            <w:r>
              <w:rPr>
                <w:rFonts w:hint="eastAsia" w:ascii="宋体"/>
                <w:szCs w:val="21"/>
                <w:highlight w:val="none"/>
              </w:rPr>
              <w:t>商务标</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eastAsia="宋体"/>
                <w:szCs w:val="21"/>
                <w:highlight w:val="none"/>
                <w:lang w:eastAsia="zh-CN"/>
              </w:rPr>
            </w:pPr>
          </w:p>
        </w:tc>
        <w:tc>
          <w:tcPr>
            <w:tcW w:w="5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b/>
                <w:szCs w:val="21"/>
                <w:highlight w:val="none"/>
                <w:lang w:val="en-US"/>
              </w:rPr>
            </w:pPr>
            <w:r>
              <w:rPr>
                <w:rFonts w:hint="eastAsia" w:ascii="宋体"/>
                <w:lang w:val="en-US" w:eastAsia="zh-CN"/>
              </w:rPr>
              <w:t>60</w:t>
            </w:r>
          </w:p>
        </w:tc>
        <w:tc>
          <w:tcPr>
            <w:tcW w:w="970" w:type="dxa"/>
            <w:tcBorders>
              <w:top w:val="single" w:color="auto" w:sz="4" w:space="0"/>
              <w:left w:val="single" w:color="auto" w:sz="4" w:space="0"/>
              <w:bottom w:val="single" w:color="auto" w:sz="4" w:space="0"/>
              <w:right w:val="single" w:color="auto" w:sz="4" w:space="0"/>
            </w:tcBorders>
            <w:vAlign w:val="center"/>
          </w:tcPr>
          <w:p>
            <w:pPr>
              <w:jc w:val="center"/>
              <w:rPr>
                <w:rFonts w:ascii="宋体"/>
                <w:b/>
                <w:szCs w:val="21"/>
                <w:highlight w:val="none"/>
              </w:rPr>
            </w:pPr>
            <w:r>
              <w:rPr>
                <w:rFonts w:hint="eastAsia" w:ascii="宋体" w:hAnsi="宋体"/>
                <w:highlight w:val="none"/>
              </w:rPr>
              <w:t>投标报价</w:t>
            </w:r>
          </w:p>
        </w:tc>
        <w:tc>
          <w:tcPr>
            <w:tcW w:w="650" w:type="dxa"/>
            <w:tcBorders>
              <w:top w:val="single" w:color="auto" w:sz="4" w:space="0"/>
              <w:left w:val="single" w:color="auto" w:sz="4" w:space="0"/>
              <w:bottom w:val="nil"/>
              <w:right w:val="single" w:color="auto" w:sz="4" w:space="0"/>
            </w:tcBorders>
            <w:vAlign w:val="center"/>
          </w:tcPr>
          <w:p>
            <w:pPr>
              <w:spacing w:line="440" w:lineRule="exact"/>
              <w:jc w:val="center"/>
              <w:rPr>
                <w:rFonts w:hint="default" w:ascii="宋体" w:hAnsi="宋体" w:eastAsia="宋体"/>
                <w:highlight w:val="none"/>
                <w:lang w:val="en-US" w:eastAsia="zh-CN"/>
              </w:rPr>
            </w:pPr>
            <w:r>
              <w:rPr>
                <w:rFonts w:hint="eastAsia" w:ascii="宋体" w:hAnsi="宋体"/>
                <w:highlight w:val="none"/>
                <w:lang w:val="en-US" w:eastAsia="zh-CN"/>
              </w:rPr>
              <w:t>30</w:t>
            </w:r>
          </w:p>
        </w:tc>
        <w:tc>
          <w:tcPr>
            <w:tcW w:w="6153" w:type="dxa"/>
            <w:tcBorders>
              <w:top w:val="single" w:color="auto" w:sz="4" w:space="0"/>
              <w:left w:val="single" w:color="auto" w:sz="4" w:space="0"/>
              <w:bottom w:val="nil"/>
              <w:right w:val="single" w:color="auto" w:sz="4" w:space="0"/>
            </w:tcBorders>
            <w:vAlign w:val="center"/>
          </w:tcPr>
          <w:p>
            <w:pPr>
              <w:widowControl/>
              <w:jc w:val="left"/>
              <w:rPr>
                <w:rFonts w:ascii="Arial" w:hAnsi="Arial" w:cs="Arial"/>
                <w:kern w:val="0"/>
                <w:szCs w:val="21"/>
              </w:rPr>
            </w:pPr>
            <w:r>
              <w:rPr>
                <w:rFonts w:hint="eastAsia" w:ascii="仿宋" w:hAnsi="仿宋" w:eastAsia="仿宋" w:cs="仿宋"/>
                <w:kern w:val="0"/>
                <w:szCs w:val="21"/>
              </w:rPr>
              <w:t>1.</w:t>
            </w:r>
            <w:r>
              <w:rPr>
                <w:rFonts w:hint="eastAsia" w:ascii="宋体" w:hAnsi="宋体" w:eastAsia="宋体" w:cs="Times New Roman"/>
                <w:kern w:val="2"/>
                <w:sz w:val="21"/>
                <w:szCs w:val="30"/>
                <w:lang w:val="en-US" w:eastAsia="zh-CN" w:bidi="ar-SA"/>
              </w:rPr>
              <w:t>商务</w:t>
            </w:r>
            <w:r>
              <w:rPr>
                <w:rFonts w:hint="eastAsia" w:ascii="Arial" w:hAnsi="Arial" w:cs="Arial"/>
                <w:kern w:val="0"/>
                <w:szCs w:val="21"/>
              </w:rPr>
              <w:t>标得分=当前轮次最低价/供方投标价X商务标总分。</w:t>
            </w:r>
          </w:p>
          <w:p>
            <w:pPr>
              <w:tabs>
                <w:tab w:val="left" w:pos="7854"/>
              </w:tabs>
              <w:spacing w:line="280" w:lineRule="exact"/>
              <w:rPr>
                <w:rFonts w:ascii="Arial" w:hAnsi="Arial" w:cs="Arial"/>
                <w:kern w:val="0"/>
                <w:szCs w:val="21"/>
              </w:rPr>
            </w:pPr>
            <w:r>
              <w:rPr>
                <w:rFonts w:hint="eastAsia" w:ascii="仿宋" w:hAnsi="仿宋" w:eastAsia="仿宋" w:cs="仿宋"/>
                <w:kern w:val="0"/>
                <w:szCs w:val="21"/>
              </w:rPr>
              <w:t>2.</w:t>
            </w:r>
            <w:r>
              <w:rPr>
                <w:rFonts w:ascii="Arial" w:hAnsi="Arial" w:cs="Arial"/>
                <w:kern w:val="0"/>
                <w:szCs w:val="21"/>
              </w:rPr>
              <w:t>评标价格均以元（RMB）为单位计算，百分率、得分值小数点后保留二位，第三位四舍五入。</w:t>
            </w:r>
          </w:p>
          <w:p>
            <w:pPr>
              <w:pStyle w:val="15"/>
              <w:rPr>
                <w:rFonts w:hint="eastAsia" w:eastAsia="宋体"/>
                <w:lang w:val="en-US" w:eastAsia="zh-CN"/>
              </w:rPr>
            </w:pPr>
            <w:r>
              <w:rPr>
                <w:rFonts w:hint="eastAsia" w:ascii="仿宋" w:hAnsi="仿宋" w:eastAsia="仿宋" w:cs="仿宋"/>
                <w:kern w:val="0"/>
                <w:szCs w:val="21"/>
                <w:lang w:val="en-US" w:eastAsia="zh-CN"/>
              </w:rPr>
              <w:t>3.</w:t>
            </w:r>
            <w:r>
              <w:rPr>
                <w:rFonts w:hint="eastAsia" w:ascii="Arial" w:hAnsi="Arial" w:cs="Arial"/>
                <w:kern w:val="0"/>
                <w:szCs w:val="21"/>
                <w:lang w:val="en-US" w:eastAsia="zh-CN"/>
              </w:rPr>
              <w:t>若投标报价存在计算错误、漏项等问题，每出现1处扣2分，最多扣10分。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pPr>
              <w:rPr>
                <w:rFonts w:ascii="宋体"/>
                <w:szCs w:val="21"/>
              </w:rPr>
            </w:pPr>
            <w:r>
              <w:rPr>
                <w:rFonts w:hint="eastAsia" w:ascii="宋体" w:hAnsi="宋体"/>
              </w:rPr>
              <w:t>备注：</w:t>
            </w:r>
          </w:p>
          <w:p>
            <w:pPr>
              <w:rPr>
                <w:rFonts w:ascii="宋体"/>
              </w:rPr>
            </w:pPr>
            <w:r>
              <w:rPr>
                <w:rFonts w:hint="eastAsia" w:ascii="宋体" w:hAnsi="宋体"/>
              </w:rPr>
              <w:t>1、通过初审者为有效投标。</w:t>
            </w:r>
          </w:p>
          <w:p>
            <w:pPr>
              <w:rPr>
                <w:rFonts w:hint="eastAsia" w:ascii="宋体" w:hAnsi="宋体"/>
              </w:rPr>
            </w:pPr>
            <w:r>
              <w:rPr>
                <w:rFonts w:hint="eastAsia" w:ascii="宋体" w:hAnsi="宋体"/>
                <w:lang w:val="en-US" w:eastAsia="zh-CN"/>
              </w:rPr>
              <w:t>2</w:t>
            </w:r>
            <w:r>
              <w:rPr>
                <w:rFonts w:hint="eastAsia" w:ascii="宋体" w:hAnsi="宋体"/>
              </w:rPr>
              <w:t>、评委打分超过得分界限或未按本方法赋分时，该评委的打分按废票处理。</w:t>
            </w:r>
          </w:p>
          <w:p>
            <w:pPr>
              <w:rPr>
                <w:rFonts w:ascii="宋体"/>
                <w:szCs w:val="21"/>
              </w:rPr>
            </w:pPr>
            <w:r>
              <w:rPr>
                <w:rFonts w:hint="eastAsia" w:ascii="宋体" w:hAnsi="宋体"/>
                <w:lang w:val="en-US" w:eastAsia="zh-CN"/>
              </w:rPr>
              <w:t>3</w:t>
            </w:r>
            <w:r>
              <w:rPr>
                <w:rFonts w:hint="eastAsia" w:ascii="宋体" w:hAnsi="宋体"/>
              </w:rPr>
              <w:t>、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pPr>
        <w:pStyle w:val="72"/>
        <w:numPr>
          <w:ilvl w:val="0"/>
          <w:numId w:val="0"/>
        </w:numPr>
        <w:rPr>
          <w:rFonts w:hint="default" w:ascii="宋体" w:hAnsi="宋体" w:eastAsia="宋体" w:cs="宋体"/>
          <w:b w:val="0"/>
          <w:bCs w:val="0"/>
          <w:sz w:val="24"/>
          <w:szCs w:val="24"/>
          <w:highlight w:val="none"/>
          <w:lang w:val="en-US" w:eastAsia="zh-CN"/>
        </w:rPr>
      </w:pPr>
    </w:p>
    <w:p>
      <w:pPr>
        <w:pStyle w:val="72"/>
      </w:pPr>
      <w:r>
        <w:rPr>
          <w:rFonts w:hint="eastAsia"/>
          <w:lang w:val="en-US" w:eastAsia="zh-CN"/>
        </w:rPr>
        <w:t>定标</w:t>
      </w:r>
    </w:p>
    <w:p>
      <w:pPr>
        <w:pStyle w:val="72"/>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none"/>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pPr>
        <w:pStyle w:val="72"/>
      </w:pPr>
      <w:r>
        <w:rPr>
          <w:rFonts w:hint="eastAsia"/>
          <w:lang w:val="en-US" w:eastAsia="zh-CN"/>
        </w:rPr>
        <w:t>废标及终止招标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sz w:val="21"/>
          <w:szCs w:val="21"/>
          <w:highlight w:val="none"/>
        </w:rPr>
        <w:t>符合条件的投标人或者对招标文件做实质响应的投标人不足三家的；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5" w:name="OLE_LINK25"/>
      <w:bookmarkStart w:id="16" w:name="OLE_LINK29"/>
      <w:bookmarkStart w:id="17" w:name="OLE_LINK27"/>
      <w:bookmarkStart w:id="18" w:name="OLE_LINK28"/>
      <w:bookmarkStart w:id="19" w:name="OLE_LINK26"/>
      <w:r>
        <w:rPr>
          <w:rFonts w:hint="eastAsia" w:ascii="宋体" w:hAnsi="宋体" w:eastAsia="宋体" w:cs="宋体"/>
          <w:bCs/>
          <w:sz w:val="21"/>
          <w:szCs w:val="21"/>
          <w:highlight w:val="none"/>
        </w:rPr>
        <w:t>；</w:t>
      </w:r>
      <w:bookmarkEnd w:id="15"/>
      <w:bookmarkEnd w:id="16"/>
      <w:bookmarkEnd w:id="17"/>
      <w:bookmarkEnd w:id="18"/>
      <w:bookmarkEnd w:id="19"/>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pPr>
        <w:pStyle w:val="72"/>
      </w:pPr>
      <w:r>
        <w:rPr>
          <w:rFonts w:hint="eastAsia"/>
          <w:lang w:val="en-US" w:eastAsia="zh-CN"/>
        </w:rPr>
        <w:t>合同签订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pPr>
        <w:pStyle w:val="72"/>
      </w:pPr>
      <w:r>
        <w:rPr>
          <w:rFonts w:hint="eastAsia"/>
          <w:lang w:val="en-US" w:eastAsia="zh-CN"/>
        </w:rPr>
        <w:t>交付及付款（以合同签署日期为准）</w:t>
      </w:r>
    </w:p>
    <w:p>
      <w:pPr>
        <w:pStyle w:val="72"/>
        <w:numPr>
          <w:ilvl w:val="0"/>
          <w:numId w:val="30"/>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交付期：2026年3月30日</w:t>
      </w:r>
    </w:p>
    <w:p>
      <w:pPr>
        <w:pStyle w:val="72"/>
        <w:numPr>
          <w:ilvl w:val="0"/>
          <w:numId w:val="30"/>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交付地点：辽宁大道100号</w:t>
      </w:r>
    </w:p>
    <w:p>
      <w:pPr>
        <w:pStyle w:val="72"/>
        <w:numPr>
          <w:ilvl w:val="0"/>
          <w:numId w:val="30"/>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交付方式：现场验收测试</w:t>
      </w:r>
      <w:bookmarkStart w:id="36" w:name="_GoBack"/>
      <w:bookmarkEnd w:id="36"/>
    </w:p>
    <w:p>
      <w:pPr>
        <w:pStyle w:val="72"/>
        <w:numPr>
          <w:ilvl w:val="0"/>
          <w:numId w:val="0"/>
        </w:numPr>
        <w:ind w:leftChars="0"/>
        <w:rPr>
          <w:rFonts w:hint="eastAsia" w:ascii="宋体" w:hAnsi="宋体" w:eastAsia="宋体" w:cs="宋体"/>
          <w:b/>
          <w:bCs/>
          <w:color w:val="FF0000"/>
          <w:sz w:val="21"/>
          <w:szCs w:val="21"/>
          <w:highlight w:val="none"/>
          <w:lang w:val="en-US" w:eastAsia="zh-CN"/>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付款方式</w:t>
      </w:r>
      <w:r>
        <w:rPr>
          <w:rFonts w:hint="eastAsia" w:ascii="宋体" w:hAnsi="宋体" w:eastAsia="宋体" w:cs="宋体"/>
          <w:b w:val="0"/>
          <w:bCs w:val="0"/>
          <w:sz w:val="21"/>
          <w:szCs w:val="21"/>
          <w:highlight w:val="none"/>
          <w:lang w:eastAsia="zh-CN"/>
        </w:rPr>
        <w:t>：银行转账。</w:t>
      </w:r>
    </w:p>
    <w:p>
      <w:pPr>
        <w:pStyle w:val="72"/>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5</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lang w:val="en-US" w:eastAsia="zh-CN"/>
        </w:rPr>
        <w:t>付款节点：</w:t>
      </w:r>
    </w:p>
    <w:p>
      <w:pPr>
        <w:pStyle w:val="6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预付款：</w:t>
      </w:r>
      <w:r>
        <w:rPr>
          <w:rFonts w:hint="eastAsia" w:ascii="宋体" w:hAnsi="宋体" w:cs="宋体"/>
          <w:b/>
          <w:bCs/>
          <w:color w:val="FF0000"/>
          <w:sz w:val="21"/>
          <w:szCs w:val="21"/>
          <w:highlight w:val="none"/>
          <w:lang w:val="en-US" w:eastAsia="zh-CN"/>
        </w:rPr>
        <w:t>无</w:t>
      </w:r>
    </w:p>
    <w:p>
      <w:pPr>
        <w:pStyle w:val="62"/>
        <w:keepNext w:val="0"/>
        <w:keepLines w:val="0"/>
        <w:pageBreakBefore w:val="0"/>
        <w:widowControl w:val="0"/>
        <w:numPr>
          <w:ilvl w:val="0"/>
          <w:numId w:val="31"/>
        </w:numPr>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其他付款节点：</w:t>
      </w:r>
    </w:p>
    <w:p>
      <w:pPr>
        <w:pStyle w:val="62"/>
        <w:keepNext w:val="0"/>
        <w:keepLines w:val="0"/>
        <w:pageBreakBefore w:val="0"/>
        <w:widowControl w:val="0"/>
        <w:kinsoku/>
        <w:wordWrap/>
        <w:overflowPunct/>
        <w:topLinePunct w:val="0"/>
        <w:autoSpaceDE/>
        <w:autoSpaceDN/>
        <w:bidi w:val="0"/>
        <w:adjustRightInd/>
        <w:snapToGrid w:val="0"/>
        <w:spacing w:line="360" w:lineRule="auto"/>
        <w:ind w:left="0" w:leftChars="0"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9：1：乙方完成甲方的需求，乙方开具合同价款90%的收据并100%的增值税专用发票，经甲方核对无误后支付90%。质保金10%在质保期届满后开具合同价款10%的收据后支付。</w:t>
      </w:r>
    </w:p>
    <w:p>
      <w:pPr>
        <w:pStyle w:val="72"/>
        <w:rPr>
          <w:rFonts w:hint="eastAsia"/>
          <w:lang w:val="en-US" w:eastAsia="zh-CN"/>
        </w:rPr>
      </w:pPr>
      <w:r>
        <w:rPr>
          <w:rFonts w:hint="eastAsia"/>
          <w:lang w:val="en-US" w:eastAsia="zh-CN"/>
        </w:rPr>
        <w:t>质保金</w:t>
      </w:r>
    </w:p>
    <w:p>
      <w:pPr>
        <w:pStyle w:val="72"/>
        <w:numPr>
          <w:ilvl w:val="0"/>
          <w:numId w:val="0"/>
        </w:numPr>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质量保证金按结算总价 10% 预留，缺陷责任期 24 个月，自竣工验收合格之日起算。期满无质量问题，发包人在 14 个工作日内无息返还；承包人未及时维修的，发包人可委托第三方，费用从质保金中扣除。</w:t>
      </w:r>
    </w:p>
    <w:p>
      <w:pPr>
        <w:pStyle w:val="72"/>
        <w:rPr>
          <w:rFonts w:hint="eastAsia"/>
          <w:lang w:val="en-US" w:eastAsia="zh-CN"/>
        </w:rPr>
      </w:pPr>
      <w:r>
        <w:rPr>
          <w:rFonts w:hint="eastAsia"/>
          <w:lang w:val="en-US" w:eastAsia="zh-CN"/>
        </w:rPr>
        <w:t>本次招标最终解释权归中国重汽集团济南卡车股份有限公司绵阳分公司。</w:t>
      </w:r>
    </w:p>
    <w:p>
      <w:pPr>
        <w:pStyle w:val="71"/>
        <w:jc w:val="both"/>
        <w:rPr>
          <w:rFonts w:hint="eastAsia"/>
        </w:rPr>
      </w:pPr>
      <w:bookmarkStart w:id="20" w:name="_Toc47976607"/>
      <w:bookmarkStart w:id="21" w:name="_Toc1910"/>
    </w:p>
    <w:p>
      <w:pPr>
        <w:pStyle w:val="71"/>
        <w:jc w:val="center"/>
        <w:rPr>
          <w:b/>
          <w:bCs/>
        </w:rPr>
      </w:pPr>
      <w:r>
        <w:rPr>
          <w:rFonts w:hint="eastAsia"/>
        </w:rPr>
        <w:t>第二部分　</w:t>
      </w:r>
      <w:bookmarkEnd w:id="20"/>
      <w:r>
        <w:rPr>
          <w:rFonts w:hint="eastAsia"/>
          <w:lang w:val="en-US" w:eastAsia="zh-CN"/>
        </w:rPr>
        <w:t>技术</w:t>
      </w:r>
      <w:bookmarkEnd w:id="21"/>
      <w:r>
        <w:rPr>
          <w:rFonts w:hint="eastAsia"/>
          <w:lang w:val="en-US" w:eastAsia="zh-CN"/>
        </w:rPr>
        <w:t>部分</w:t>
      </w:r>
    </w:p>
    <w:p>
      <w:pPr>
        <w:ind w:firstLine="422" w:firstLineChars="200"/>
        <w:rPr>
          <w:rFonts w:ascii="宋体" w:hAnsi="宋体"/>
          <w:b/>
          <w:bCs/>
          <w:szCs w:val="21"/>
        </w:rPr>
      </w:pPr>
      <w:r>
        <w:rPr>
          <w:rFonts w:hint="eastAsia" w:ascii="宋体" w:hAnsi="宋体" w:cs="宋体"/>
          <w:b/>
          <w:bCs/>
          <w:szCs w:val="21"/>
        </w:rPr>
        <w:t>为提高评标效率，请投标人按照技术部分所列的资料清单内容及顺序编制技术部分投标文件，如投标人未按照以下内容及顺序编制</w:t>
      </w:r>
      <w:r>
        <w:rPr>
          <w:rFonts w:hint="eastAsia" w:ascii="宋体" w:hAnsi="宋体"/>
          <w:b/>
          <w:bCs/>
          <w:szCs w:val="21"/>
        </w:rPr>
        <w:t>投标文件技术部分，可能会影响技术部分评审结果，请各投标单位务必注意。</w:t>
      </w:r>
    </w:p>
    <w:p>
      <w:pPr>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施工组织</w:t>
      </w:r>
    </w:p>
    <w:p>
      <w:pPr>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（1）确保施工工程质量的技术组织措施；</w:t>
      </w:r>
    </w:p>
    <w:p>
      <w:pPr>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（2）确保施工安全的技术组织措施；</w:t>
      </w:r>
    </w:p>
    <w:p>
      <w:pPr>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（3）确保文明施工的技术组织措施；</w:t>
      </w:r>
    </w:p>
    <w:p>
      <w:pPr>
        <w:ind w:firstLine="420" w:firstLineChars="200"/>
        <w:rPr>
          <w:rFonts w:hint="eastAsia" w:ascii="宋体" w:hAnsi="宋体"/>
          <w:szCs w:val="21"/>
        </w:rPr>
      </w:pPr>
      <w:r>
        <w:rPr>
          <w:rFonts w:hint="eastAsia" w:ascii="宋体" w:hAnsi="宋体"/>
          <w:szCs w:val="21"/>
        </w:rPr>
        <w:t>投标人应根据招标文件和对现场的勘察情况，采用文字并结合图表形式，参考以下要点编制本工程的施工组织设计：</w:t>
      </w:r>
    </w:p>
    <w:p>
      <w:pPr>
        <w:ind w:firstLine="495" w:firstLineChars="236"/>
        <w:rPr>
          <w:rFonts w:hint="eastAsia" w:ascii="宋体" w:hAnsi="宋体"/>
          <w:szCs w:val="21"/>
        </w:rPr>
      </w:pPr>
      <w:r>
        <w:rPr>
          <w:rFonts w:hint="eastAsia" w:ascii="宋体" w:hAnsi="宋体"/>
          <w:szCs w:val="21"/>
        </w:rPr>
        <w:t>1）对本次招标的认识（无格式要求）</w:t>
      </w:r>
    </w:p>
    <w:p>
      <w:pPr>
        <w:ind w:firstLine="495" w:firstLineChars="236"/>
        <w:rPr>
          <w:rFonts w:hint="eastAsia" w:ascii="宋体" w:hAnsi="宋体"/>
          <w:szCs w:val="21"/>
        </w:rPr>
      </w:pPr>
      <w:r>
        <w:rPr>
          <w:rFonts w:hint="eastAsia" w:ascii="宋体" w:hAnsi="宋体"/>
          <w:szCs w:val="21"/>
        </w:rPr>
        <w:t>2）施工组织概述（无格式要求）</w:t>
      </w:r>
    </w:p>
    <w:p>
      <w:pPr>
        <w:ind w:firstLine="499" w:firstLineChars="238"/>
        <w:rPr>
          <w:rFonts w:ascii="宋体" w:hAnsi="宋体"/>
          <w:szCs w:val="21"/>
        </w:rPr>
      </w:pPr>
      <w:r>
        <w:rPr>
          <w:rFonts w:ascii="宋体" w:hAnsi="宋体"/>
          <w:szCs w:val="21"/>
        </w:rPr>
        <w:t>3</w:t>
      </w:r>
      <w:r>
        <w:rPr>
          <w:rFonts w:hint="eastAsia" w:ascii="宋体" w:hAnsi="宋体"/>
          <w:szCs w:val="21"/>
        </w:rPr>
        <w:t>）劳动力安排计划；</w:t>
      </w:r>
    </w:p>
    <w:p>
      <w:pPr>
        <w:ind w:firstLine="420" w:firstLineChars="200"/>
        <w:rPr>
          <w:rFonts w:hint="eastAsia" w:ascii="宋体" w:hAnsi="宋体"/>
          <w:szCs w:val="21"/>
        </w:rPr>
      </w:pPr>
      <w:r>
        <w:rPr>
          <w:rFonts w:hint="eastAsia" w:ascii="宋体" w:hAnsi="宋体"/>
          <w:szCs w:val="21"/>
        </w:rPr>
        <w:t>4）确保</w:t>
      </w:r>
      <w:r>
        <w:rPr>
          <w:rFonts w:hint="eastAsia" w:ascii="宋体" w:hAnsi="宋体"/>
          <w:szCs w:val="21"/>
          <w:lang w:val="en-US" w:eastAsia="zh-CN"/>
        </w:rPr>
        <w:t>施工</w:t>
      </w:r>
      <w:r>
        <w:rPr>
          <w:rFonts w:hint="eastAsia" w:ascii="宋体" w:hAnsi="宋体"/>
          <w:szCs w:val="21"/>
        </w:rPr>
        <w:t>效率的措施；</w:t>
      </w:r>
    </w:p>
    <w:p>
      <w:pPr>
        <w:ind w:firstLine="420" w:firstLineChars="200"/>
        <w:rPr>
          <w:rFonts w:hint="eastAsia" w:ascii="宋体" w:hAnsi="宋体"/>
          <w:szCs w:val="21"/>
        </w:rPr>
      </w:pPr>
      <w:r>
        <w:rPr>
          <w:rFonts w:hint="eastAsia" w:ascii="宋体" w:hAnsi="宋体"/>
          <w:szCs w:val="21"/>
        </w:rPr>
        <w:t>5）确保</w:t>
      </w:r>
      <w:r>
        <w:rPr>
          <w:rFonts w:hint="eastAsia" w:ascii="宋体" w:hAnsi="宋体"/>
          <w:szCs w:val="21"/>
          <w:lang w:val="en-US" w:eastAsia="zh-CN"/>
        </w:rPr>
        <w:t>施工</w:t>
      </w:r>
      <w:r>
        <w:rPr>
          <w:rFonts w:hint="eastAsia" w:ascii="宋体" w:hAnsi="宋体"/>
          <w:szCs w:val="21"/>
        </w:rPr>
        <w:t>工程质量的技术组织措施；</w:t>
      </w:r>
    </w:p>
    <w:p>
      <w:pPr>
        <w:ind w:firstLine="420" w:firstLineChars="200"/>
        <w:rPr>
          <w:rFonts w:hint="eastAsia" w:ascii="宋体" w:hAnsi="宋体"/>
          <w:szCs w:val="21"/>
        </w:rPr>
      </w:pPr>
      <w:r>
        <w:rPr>
          <w:rFonts w:hint="eastAsia" w:ascii="宋体" w:hAnsi="宋体"/>
          <w:szCs w:val="21"/>
        </w:rPr>
        <w:t>6）确保安全生产的技术组织措施；</w:t>
      </w:r>
    </w:p>
    <w:p>
      <w:pPr>
        <w:ind w:firstLine="420" w:firstLineChars="200"/>
        <w:rPr>
          <w:rFonts w:hint="eastAsia" w:ascii="宋体" w:hAnsi="宋体"/>
          <w:szCs w:val="21"/>
        </w:rPr>
      </w:pPr>
      <w:r>
        <w:rPr>
          <w:rFonts w:hint="eastAsia" w:ascii="宋体" w:hAnsi="宋体"/>
          <w:szCs w:val="21"/>
        </w:rPr>
        <w:t>7）确保文明施工的技术组织措施；</w:t>
      </w:r>
      <w:bookmarkStart w:id="22" w:name="_Toc47976609"/>
      <w:bookmarkStart w:id="23" w:name="_Toc20595"/>
    </w:p>
    <w:p>
      <w:pPr>
        <w:pStyle w:val="2"/>
        <w:rPr>
          <w:rFonts w:hint="default" w:eastAsia="宋体"/>
          <w:lang w:val="en-US" w:eastAsia="zh-CN"/>
        </w:rPr>
      </w:pPr>
      <w:r>
        <w:rPr>
          <w:rFonts w:hint="eastAsia" w:ascii="宋体" w:hAnsi="宋体"/>
          <w:szCs w:val="21"/>
          <w:lang w:val="en-US" w:eastAsia="zh-CN"/>
        </w:rPr>
        <w:t>特别说明：具体请投标单位到现场确认后编制技术部分</w:t>
      </w:r>
    </w:p>
    <w:p>
      <w:pPr>
        <w:pStyle w:val="2"/>
        <w:rPr>
          <w:rFonts w:hint="eastAsia"/>
        </w:rPr>
      </w:pPr>
    </w:p>
    <w:p>
      <w:pPr>
        <w:pStyle w:val="12"/>
        <w:rPr>
          <w:rFonts w:hint="eastAsia"/>
        </w:rPr>
      </w:pPr>
    </w:p>
    <w:p>
      <w:pPr>
        <w:pStyle w:val="71"/>
        <w:numPr>
          <w:ilvl w:val="0"/>
          <w:numId w:val="32"/>
        </w:numPr>
        <w:jc w:val="center"/>
        <w:rPr>
          <w:rFonts w:hint="eastAsia"/>
        </w:rPr>
      </w:pPr>
      <w:r>
        <w:rPr>
          <w:rFonts w:hint="eastAsia"/>
        </w:rPr>
        <w:t>合同主要条款</w:t>
      </w:r>
      <w:bookmarkEnd w:id="22"/>
      <w:bookmarkEnd w:id="23"/>
    </w:p>
    <w:p>
      <w:pPr>
        <w:pStyle w:val="71"/>
        <w:numPr>
          <w:ilvl w:val="0"/>
          <w:numId w:val="0"/>
        </w:numPr>
        <w:jc w:val="center"/>
        <w:rPr>
          <w:rFonts w:hint="eastAsia" w:eastAsia="黑体"/>
          <w:lang w:eastAsia="zh-CN"/>
        </w:rPr>
      </w:pPr>
      <w:r>
        <w:rPr>
          <w:rFonts w:hint="eastAsia"/>
          <w:lang w:eastAsia="zh-CN"/>
        </w:rPr>
        <w:t>（</w:t>
      </w:r>
      <w:r>
        <w:rPr>
          <w:rFonts w:hint="eastAsia"/>
          <w:lang w:val="en-US" w:eastAsia="zh-CN"/>
        </w:rPr>
        <w:t>以实际签署为准</w:t>
      </w:r>
      <w:r>
        <w:rPr>
          <w:rFonts w:hint="eastAsia"/>
          <w:lang w:eastAsia="zh-CN"/>
        </w:rPr>
        <w:t>）</w:t>
      </w:r>
    </w:p>
    <w:p>
      <w:pPr>
        <w:adjustRightInd w:val="0"/>
        <w:snapToGrid w:val="0"/>
        <w:spacing w:line="520" w:lineRule="exact"/>
        <w:ind w:firstLine="482"/>
        <w:rPr>
          <w:rFonts w:ascii="仿宋" w:hAnsi="仿宋" w:eastAsia="仿宋" w:cs="仿宋"/>
          <w:b/>
          <w:sz w:val="24"/>
          <w:szCs w:val="24"/>
          <w:u w:val="single"/>
        </w:rPr>
      </w:pPr>
      <w:r>
        <w:rPr>
          <w:rFonts w:hint="eastAsia" w:ascii="仿宋" w:hAnsi="仿宋" w:eastAsia="仿宋" w:cs="仿宋"/>
          <w:b/>
          <w:sz w:val="24"/>
          <w:szCs w:val="24"/>
        </w:rPr>
        <w:t>发包人（全称）：</w:t>
      </w:r>
      <w:r>
        <w:rPr>
          <w:rFonts w:hint="eastAsia" w:ascii="仿宋" w:hAnsi="仿宋" w:eastAsia="仿宋" w:cs="仿宋"/>
          <w:b/>
          <w:sz w:val="24"/>
          <w:szCs w:val="24"/>
          <w:u w:val="single"/>
        </w:rPr>
        <w:t>         </w:t>
      </w:r>
    </w:p>
    <w:p>
      <w:pPr>
        <w:pStyle w:val="12"/>
        <w:ind w:firstLine="482"/>
      </w:pPr>
      <w:r>
        <w:rPr>
          <w:rFonts w:ascii="仿宋" w:hAnsi="仿宋" w:eastAsia="仿宋" w:cs="仿宋"/>
          <w:b/>
          <w:sz w:val="24"/>
          <w:szCs w:val="24"/>
        </w:rPr>
        <w:t>住所</w:t>
      </w:r>
      <w:r>
        <w:rPr>
          <w:rFonts w:hint="eastAsia" w:ascii="仿宋" w:hAnsi="仿宋" w:eastAsia="仿宋" w:cs="仿宋"/>
          <w:b/>
          <w:sz w:val="24"/>
          <w:szCs w:val="24"/>
        </w:rPr>
        <w:t>：</w:t>
      </w:r>
      <w:r>
        <w:rPr>
          <w:rFonts w:hint="eastAsia" w:ascii="仿宋" w:hAnsi="仿宋" w:eastAsia="仿宋" w:cs="仿宋"/>
          <w:b/>
          <w:sz w:val="24"/>
          <w:szCs w:val="24"/>
          <w:u w:val="single"/>
        </w:rPr>
        <w:t xml:space="preserve">          </w:t>
      </w:r>
      <w:r>
        <w:rPr>
          <w:rFonts w:ascii="仿宋" w:hAnsi="仿宋" w:eastAsia="仿宋" w:cs="仿宋"/>
          <w:b/>
          <w:sz w:val="24"/>
          <w:szCs w:val="24"/>
          <w:u w:val="single"/>
        </w:rPr>
        <w:t xml:space="preserve">         </w:t>
      </w:r>
    </w:p>
    <w:p>
      <w:pPr>
        <w:pStyle w:val="12"/>
        <w:ind w:firstLine="482"/>
        <w:rPr>
          <w:rFonts w:ascii="仿宋" w:hAnsi="仿宋" w:eastAsia="仿宋" w:cs="仿宋"/>
          <w:b/>
          <w:sz w:val="24"/>
          <w:szCs w:val="24"/>
          <w:u w:val="single"/>
        </w:rPr>
      </w:pPr>
    </w:p>
    <w:p>
      <w:pPr>
        <w:adjustRightInd w:val="0"/>
        <w:snapToGrid w:val="0"/>
        <w:spacing w:line="520" w:lineRule="exact"/>
        <w:ind w:firstLine="482"/>
        <w:rPr>
          <w:rFonts w:ascii="仿宋" w:hAnsi="仿宋" w:eastAsia="仿宋" w:cs="仿宋"/>
          <w:b/>
          <w:sz w:val="24"/>
          <w:szCs w:val="24"/>
          <w:u w:val="single"/>
        </w:rPr>
      </w:pPr>
      <w:r>
        <w:rPr>
          <w:rFonts w:hint="eastAsia" w:ascii="仿宋" w:hAnsi="仿宋" w:eastAsia="仿宋" w:cs="仿宋"/>
          <w:b/>
          <w:sz w:val="24"/>
          <w:szCs w:val="24"/>
        </w:rPr>
        <w:t>承包人（全称）：</w:t>
      </w:r>
      <w:r>
        <w:rPr>
          <w:rFonts w:hint="eastAsia" w:ascii="仿宋" w:hAnsi="仿宋" w:eastAsia="仿宋" w:cs="仿宋"/>
          <w:b/>
          <w:sz w:val="24"/>
          <w:szCs w:val="24"/>
          <w:u w:val="single"/>
        </w:rPr>
        <w:t>     </w:t>
      </w:r>
    </w:p>
    <w:p>
      <w:pPr>
        <w:pStyle w:val="12"/>
        <w:ind w:firstLine="482"/>
        <w:rPr>
          <w:rFonts w:ascii="仿宋" w:hAnsi="仿宋" w:eastAsia="仿宋" w:cs="仿宋"/>
          <w:b/>
          <w:sz w:val="24"/>
          <w:szCs w:val="24"/>
          <w:u w:val="single"/>
        </w:rPr>
      </w:pPr>
      <w:r>
        <w:rPr>
          <w:rFonts w:ascii="仿宋" w:hAnsi="仿宋" w:eastAsia="仿宋" w:cs="仿宋"/>
          <w:b/>
          <w:sz w:val="24"/>
          <w:szCs w:val="24"/>
        </w:rPr>
        <w:t>住所</w:t>
      </w:r>
      <w:r>
        <w:rPr>
          <w:rFonts w:hint="eastAsia" w:ascii="仿宋" w:hAnsi="仿宋" w:eastAsia="仿宋" w:cs="仿宋"/>
          <w:b/>
          <w:sz w:val="24"/>
          <w:szCs w:val="24"/>
        </w:rPr>
        <w:t>：</w:t>
      </w:r>
      <w:r>
        <w:rPr>
          <w:rFonts w:hint="eastAsia" w:ascii="仿宋" w:hAnsi="仿宋" w:eastAsia="仿宋" w:cs="仿宋"/>
          <w:b/>
          <w:sz w:val="24"/>
          <w:szCs w:val="24"/>
          <w:u w:val="single"/>
        </w:rPr>
        <w:t xml:space="preserve">          </w:t>
      </w:r>
      <w:r>
        <w:rPr>
          <w:rFonts w:ascii="仿宋" w:hAnsi="仿宋" w:eastAsia="仿宋" w:cs="仿宋"/>
          <w:b/>
          <w:sz w:val="24"/>
          <w:szCs w:val="24"/>
          <w:u w:val="single"/>
        </w:rPr>
        <w:t xml:space="preserve">     </w:t>
      </w:r>
    </w:p>
    <w:p>
      <w:pPr>
        <w:adjustRightInd w:val="0"/>
        <w:snapToGrid w:val="0"/>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根据《中华人民共和国民法典》《中华人民共和国建筑法》及有关法律规定，遵循平等、自愿、公平和诚实信用的原则，双方就</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工程施工及有关事项协商一致，共同达成如下协议：</w:t>
      </w:r>
    </w:p>
    <w:p>
      <w:pPr>
        <w:pStyle w:val="6"/>
        <w:adjustRightInd w:val="0"/>
        <w:snapToGrid w:val="0"/>
        <w:spacing w:before="120" w:after="120" w:line="520" w:lineRule="exact"/>
        <w:rPr>
          <w:rFonts w:ascii="仿宋" w:hAnsi="仿宋" w:eastAsia="仿宋" w:cs="仿宋"/>
          <w:sz w:val="24"/>
          <w:szCs w:val="24"/>
        </w:rPr>
      </w:pPr>
      <w:bookmarkStart w:id="24" w:name="_Toc351203481"/>
      <w:r>
        <w:rPr>
          <w:rFonts w:hint="eastAsia" w:ascii="仿宋" w:hAnsi="仿宋" w:eastAsia="仿宋" w:cs="仿宋"/>
          <w:sz w:val="24"/>
          <w:szCs w:val="24"/>
        </w:rPr>
        <w:t>一、工程概况</w:t>
      </w:r>
      <w:bookmarkEnd w:id="24"/>
    </w:p>
    <w:p>
      <w:pPr>
        <w:adjustRightInd w:val="0"/>
        <w:snapToGrid w:val="0"/>
        <w:spacing w:line="520" w:lineRule="exact"/>
        <w:ind w:firstLine="470" w:firstLineChars="196"/>
        <w:rPr>
          <w:rFonts w:ascii="仿宋" w:hAnsi="仿宋" w:eastAsia="仿宋" w:cs="仿宋"/>
          <w:sz w:val="24"/>
          <w:szCs w:val="24"/>
          <w:u w:val="single"/>
        </w:rPr>
      </w:pPr>
      <w:r>
        <w:rPr>
          <w:rFonts w:hint="eastAsia" w:ascii="仿宋" w:hAnsi="仿宋" w:eastAsia="仿宋" w:cs="仿宋"/>
          <w:bCs/>
          <w:sz w:val="24"/>
          <w:szCs w:val="24"/>
        </w:rPr>
        <w:t>1.1工程名称</w:t>
      </w:r>
      <w:r>
        <w:rPr>
          <w:rFonts w:hint="eastAsia" w:ascii="仿宋" w:hAnsi="仿宋" w:eastAsia="仿宋" w:cs="仿宋"/>
          <w:sz w:val="24"/>
          <w:szCs w:val="24"/>
        </w:rPr>
        <w:t>：</w:t>
      </w:r>
      <w:r>
        <w:rPr>
          <w:rFonts w:hint="eastAsia" w:ascii="仿宋" w:hAnsi="仿宋" w:eastAsia="仿宋" w:cs="仿宋"/>
          <w:i/>
          <w:iCs/>
          <w:sz w:val="24"/>
          <w:szCs w:val="24"/>
          <w:u w:val="single"/>
        </w:rPr>
        <w:t>与外部立项（若有）、内部立项文件或招标文件填写一致</w:t>
      </w:r>
      <w:r>
        <w:rPr>
          <w:rFonts w:hint="eastAsia" w:ascii="仿宋" w:hAnsi="仿宋" w:eastAsia="仿宋" w:cs="仿宋"/>
          <w:sz w:val="24"/>
          <w:szCs w:val="24"/>
        </w:rPr>
        <w:t>。</w:t>
      </w:r>
    </w:p>
    <w:p>
      <w:pPr>
        <w:adjustRightInd w:val="0"/>
        <w:snapToGrid w:val="0"/>
        <w:spacing w:line="520" w:lineRule="exact"/>
        <w:ind w:firstLine="470" w:firstLineChars="196"/>
        <w:rPr>
          <w:rFonts w:ascii="仿宋" w:hAnsi="仿宋" w:eastAsia="仿宋" w:cs="仿宋"/>
          <w:bCs/>
          <w:sz w:val="24"/>
          <w:szCs w:val="24"/>
        </w:rPr>
      </w:pPr>
      <w:r>
        <w:rPr>
          <w:rFonts w:hint="eastAsia" w:ascii="仿宋" w:hAnsi="仿宋" w:eastAsia="仿宋" w:cs="仿宋"/>
          <w:bCs/>
          <w:sz w:val="24"/>
          <w:szCs w:val="24"/>
        </w:rPr>
        <w:t>1.2工程地点：</w:t>
      </w:r>
      <w:r>
        <w:rPr>
          <w:rFonts w:hint="eastAsia" w:ascii="仿宋" w:hAnsi="仿宋" w:eastAsia="仿宋" w:cs="仿宋"/>
          <w:i/>
          <w:iCs/>
          <w:sz w:val="24"/>
          <w:szCs w:val="24"/>
          <w:u w:val="single"/>
        </w:rPr>
        <w:t>据实填写</w:t>
      </w:r>
      <w:r>
        <w:rPr>
          <w:rFonts w:hint="eastAsia" w:ascii="仿宋" w:hAnsi="仿宋" w:eastAsia="仿宋" w:cs="仿宋"/>
          <w:sz w:val="24"/>
          <w:szCs w:val="24"/>
        </w:rPr>
        <w:t>。</w:t>
      </w:r>
    </w:p>
    <w:p>
      <w:pPr>
        <w:adjustRightInd w:val="0"/>
        <w:snapToGrid w:val="0"/>
        <w:spacing w:line="520" w:lineRule="exact"/>
        <w:ind w:firstLine="470" w:firstLineChars="196"/>
        <w:rPr>
          <w:rFonts w:ascii="仿宋" w:hAnsi="仿宋" w:eastAsia="仿宋" w:cs="仿宋"/>
          <w:bCs/>
          <w:sz w:val="24"/>
          <w:szCs w:val="24"/>
        </w:rPr>
      </w:pPr>
      <w:r>
        <w:rPr>
          <w:rFonts w:hint="eastAsia" w:ascii="仿宋" w:hAnsi="仿宋" w:eastAsia="仿宋" w:cs="仿宋"/>
          <w:bCs/>
          <w:sz w:val="24"/>
          <w:szCs w:val="24"/>
        </w:rPr>
        <w:t>1.3资金来源：</w:t>
      </w:r>
      <w:r>
        <w:rPr>
          <w:rFonts w:hint="eastAsia" w:ascii="仿宋" w:hAnsi="仿宋" w:eastAsia="仿宋" w:cs="仿宋"/>
          <w:sz w:val="24"/>
          <w:szCs w:val="24"/>
          <w:u w:val="single"/>
        </w:rPr>
        <w:t>企业自筹</w:t>
      </w:r>
      <w:r>
        <w:rPr>
          <w:rFonts w:hint="eastAsia" w:ascii="仿宋" w:hAnsi="仿宋" w:eastAsia="仿宋" w:cs="仿宋"/>
          <w:bCs/>
          <w:sz w:val="24"/>
          <w:szCs w:val="24"/>
        </w:rPr>
        <w:t>。</w:t>
      </w:r>
    </w:p>
    <w:p>
      <w:pPr>
        <w:adjustRightInd w:val="0"/>
        <w:snapToGrid w:val="0"/>
        <w:spacing w:line="520" w:lineRule="exact"/>
        <w:ind w:firstLine="470" w:firstLineChars="196"/>
        <w:rPr>
          <w:rFonts w:ascii="仿宋" w:hAnsi="仿宋" w:eastAsia="仿宋" w:cs="仿宋"/>
          <w:bCs/>
          <w:sz w:val="24"/>
          <w:szCs w:val="24"/>
        </w:rPr>
      </w:pPr>
      <w:r>
        <w:rPr>
          <w:rFonts w:hint="eastAsia" w:ascii="仿宋" w:hAnsi="仿宋" w:eastAsia="仿宋" w:cs="仿宋"/>
          <w:bCs/>
          <w:sz w:val="24"/>
          <w:szCs w:val="24"/>
        </w:rPr>
        <w:t>1.4工程承包范围：</w:t>
      </w:r>
    </w:p>
    <w:p>
      <w:pPr>
        <w:adjustRightInd w:val="0"/>
        <w:snapToGrid w:val="0"/>
        <w:spacing w:line="520" w:lineRule="exact"/>
        <w:ind w:firstLine="470" w:firstLineChars="196"/>
        <w:rPr>
          <w:rFonts w:ascii="仿宋" w:hAnsi="仿宋" w:eastAsia="仿宋" w:cs="仿宋"/>
          <w:sz w:val="24"/>
          <w:szCs w:val="24"/>
          <w:u w:val="single"/>
        </w:rPr>
      </w:pPr>
      <w:r>
        <w:rPr>
          <w:rFonts w:hint="eastAsia" w:ascii="仿宋" w:hAnsi="仿宋" w:eastAsia="仿宋" w:cs="仿宋"/>
          <w:sz w:val="24"/>
          <w:szCs w:val="24"/>
          <w:u w:val="single"/>
        </w:rPr>
        <w:t>设计图纸范围内的********工程施工内容，包括但不限于发包人设计变更、联系单安排的施工内容等。</w:t>
      </w:r>
      <w:r>
        <w:rPr>
          <w:rFonts w:hint="eastAsia" w:ascii="仿宋" w:hAnsi="仿宋" w:eastAsia="仿宋" w:cs="仿宋"/>
          <w:i/>
          <w:sz w:val="24"/>
          <w:szCs w:val="24"/>
          <w:u w:val="single"/>
        </w:rPr>
        <w:t>（</w:t>
      </w:r>
      <w:r>
        <w:rPr>
          <w:rFonts w:hint="eastAsia" w:ascii="仿宋" w:hAnsi="仿宋" w:eastAsia="仿宋" w:cs="仿宋"/>
          <w:i/>
          <w:sz w:val="24"/>
          <w:szCs w:val="24"/>
          <w:highlight w:val="yellow"/>
          <w:u w:val="single"/>
        </w:rPr>
        <w:t>按招标文件填写）</w:t>
      </w:r>
      <w:r>
        <w:rPr>
          <w:rFonts w:hint="eastAsia" w:ascii="仿宋" w:hAnsi="仿宋" w:eastAsia="仿宋" w:cs="仿宋"/>
          <w:i/>
          <w:iCs/>
          <w:sz w:val="24"/>
          <w:szCs w:val="24"/>
          <w:u w:val="single"/>
        </w:rPr>
        <w:t>。</w:t>
      </w:r>
    </w:p>
    <w:p>
      <w:pPr>
        <w:pStyle w:val="6"/>
        <w:adjustRightInd w:val="0"/>
        <w:snapToGrid w:val="0"/>
        <w:spacing w:before="120" w:after="120" w:line="520" w:lineRule="exact"/>
        <w:rPr>
          <w:rFonts w:ascii="仿宋" w:hAnsi="仿宋" w:eastAsia="仿宋" w:cs="仿宋"/>
          <w:sz w:val="24"/>
          <w:szCs w:val="24"/>
        </w:rPr>
      </w:pPr>
      <w:bookmarkStart w:id="25" w:name="_Toc351203482"/>
      <w:r>
        <w:rPr>
          <w:rFonts w:hint="eastAsia" w:ascii="仿宋" w:hAnsi="仿宋" w:eastAsia="仿宋" w:cs="仿宋"/>
          <w:sz w:val="24"/>
          <w:szCs w:val="24"/>
        </w:rPr>
        <w:t>二、合同工期</w:t>
      </w:r>
      <w:bookmarkEnd w:id="25"/>
    </w:p>
    <w:p>
      <w:pPr>
        <w:adjustRightInd w:val="0"/>
        <w:snapToGrid w:val="0"/>
        <w:spacing w:line="520" w:lineRule="exact"/>
        <w:ind w:firstLine="480"/>
        <w:rPr>
          <w:rFonts w:ascii="仿宋" w:hAnsi="仿宋" w:eastAsia="仿宋" w:cs="仿宋"/>
          <w:sz w:val="24"/>
          <w:szCs w:val="24"/>
        </w:rPr>
      </w:pPr>
      <w:r>
        <w:rPr>
          <w:rFonts w:hint="eastAsia" w:ascii="仿宋" w:hAnsi="仿宋" w:eastAsia="仿宋" w:cs="仿宋"/>
          <w:sz w:val="24"/>
          <w:szCs w:val="24"/>
        </w:rPr>
        <w:t>2.1计划开工日期：</w:t>
      </w:r>
      <w:r>
        <w:rPr>
          <w:rFonts w:hint="eastAsia" w:ascii="仿宋" w:hAnsi="仿宋" w:eastAsia="仿宋" w:cs="仿宋"/>
          <w:sz w:val="24"/>
          <w:szCs w:val="24"/>
          <w:u w:val="single"/>
        </w:rPr>
        <w:t></w:t>
      </w:r>
      <w:r>
        <w:rPr>
          <w:rFonts w:hint="eastAsia" w:ascii="仿宋" w:hAnsi="仿宋" w:eastAsia="仿宋" w:cs="仿宋"/>
          <w:sz w:val="24"/>
          <w:szCs w:val="24"/>
        </w:rPr>
        <w:t>年</w:t>
      </w:r>
      <w:r>
        <w:rPr>
          <w:rFonts w:hint="eastAsia" w:ascii="仿宋" w:hAnsi="仿宋" w:eastAsia="仿宋" w:cs="仿宋"/>
          <w:sz w:val="24"/>
          <w:szCs w:val="24"/>
          <w:u w:val="single"/>
        </w:rPr>
        <w:t></w:t>
      </w:r>
      <w:r>
        <w:rPr>
          <w:rFonts w:hint="eastAsia" w:ascii="仿宋" w:hAnsi="仿宋" w:eastAsia="仿宋" w:cs="仿宋"/>
          <w:sz w:val="24"/>
          <w:szCs w:val="24"/>
        </w:rPr>
        <w:t>月</w:t>
      </w:r>
      <w:r>
        <w:rPr>
          <w:rFonts w:hint="eastAsia" w:ascii="仿宋" w:hAnsi="仿宋" w:eastAsia="仿宋" w:cs="仿宋"/>
          <w:sz w:val="24"/>
          <w:szCs w:val="24"/>
          <w:u w:val="single"/>
        </w:rPr>
        <w:t></w:t>
      </w:r>
      <w:r>
        <w:rPr>
          <w:rFonts w:hint="eastAsia" w:ascii="仿宋" w:hAnsi="仿宋" w:eastAsia="仿宋" w:cs="仿宋"/>
          <w:sz w:val="24"/>
          <w:szCs w:val="24"/>
        </w:rPr>
        <w:t>日。</w:t>
      </w:r>
    </w:p>
    <w:p>
      <w:pPr>
        <w:adjustRightInd w:val="0"/>
        <w:snapToGrid w:val="0"/>
        <w:spacing w:line="520" w:lineRule="exact"/>
        <w:ind w:firstLine="480"/>
        <w:rPr>
          <w:rFonts w:ascii="仿宋" w:hAnsi="仿宋" w:eastAsia="仿宋" w:cs="仿宋"/>
          <w:sz w:val="24"/>
          <w:szCs w:val="24"/>
        </w:rPr>
      </w:pPr>
      <w:r>
        <w:rPr>
          <w:rFonts w:hint="eastAsia" w:ascii="仿宋" w:hAnsi="仿宋" w:eastAsia="仿宋" w:cs="仿宋"/>
          <w:sz w:val="24"/>
          <w:szCs w:val="24"/>
        </w:rPr>
        <w:t>计划竣工日期：</w:t>
      </w:r>
      <w:r>
        <w:rPr>
          <w:rFonts w:hint="eastAsia" w:ascii="仿宋" w:hAnsi="仿宋" w:eastAsia="仿宋" w:cs="仿宋"/>
          <w:sz w:val="24"/>
          <w:szCs w:val="24"/>
          <w:u w:val="single"/>
        </w:rPr>
        <w:t></w:t>
      </w:r>
      <w:r>
        <w:rPr>
          <w:rFonts w:hint="eastAsia" w:ascii="仿宋" w:hAnsi="仿宋" w:eastAsia="仿宋" w:cs="仿宋"/>
          <w:sz w:val="24"/>
          <w:szCs w:val="24"/>
        </w:rPr>
        <w:t>年</w:t>
      </w:r>
      <w:r>
        <w:rPr>
          <w:rFonts w:hint="eastAsia" w:ascii="仿宋" w:hAnsi="仿宋" w:eastAsia="仿宋" w:cs="仿宋"/>
          <w:sz w:val="24"/>
          <w:szCs w:val="24"/>
          <w:u w:val="single"/>
        </w:rPr>
        <w:t></w:t>
      </w:r>
      <w:r>
        <w:rPr>
          <w:rFonts w:hint="eastAsia" w:ascii="仿宋" w:hAnsi="仿宋" w:eastAsia="仿宋" w:cs="仿宋"/>
          <w:sz w:val="24"/>
          <w:szCs w:val="24"/>
        </w:rPr>
        <w:t>月</w:t>
      </w:r>
      <w:r>
        <w:rPr>
          <w:rFonts w:hint="eastAsia" w:ascii="仿宋" w:hAnsi="仿宋" w:eastAsia="仿宋" w:cs="仿宋"/>
          <w:sz w:val="24"/>
          <w:szCs w:val="24"/>
          <w:u w:val="single"/>
        </w:rPr>
        <w:t></w:t>
      </w:r>
      <w:r>
        <w:rPr>
          <w:rFonts w:hint="eastAsia" w:ascii="仿宋" w:hAnsi="仿宋" w:eastAsia="仿宋" w:cs="仿宋"/>
          <w:sz w:val="24"/>
          <w:szCs w:val="24"/>
        </w:rPr>
        <w:t>日。</w:t>
      </w:r>
    </w:p>
    <w:p>
      <w:pPr>
        <w:adjustRightInd w:val="0"/>
        <w:snapToGrid w:val="0"/>
        <w:spacing w:line="520" w:lineRule="exact"/>
        <w:ind w:firstLine="480"/>
        <w:rPr>
          <w:rFonts w:ascii="仿宋" w:hAnsi="仿宋" w:eastAsia="仿宋" w:cs="仿宋"/>
          <w:sz w:val="24"/>
          <w:szCs w:val="24"/>
        </w:rPr>
      </w:pPr>
      <w:r>
        <w:rPr>
          <w:rFonts w:hint="eastAsia" w:ascii="仿宋" w:hAnsi="仿宋" w:eastAsia="仿宋" w:cs="仿宋"/>
          <w:sz w:val="24"/>
          <w:szCs w:val="24"/>
        </w:rPr>
        <w:t>工期总日历天数：</w:t>
      </w:r>
      <w:r>
        <w:rPr>
          <w:rFonts w:hint="eastAsia" w:ascii="仿宋" w:hAnsi="仿宋" w:eastAsia="仿宋" w:cs="仿宋"/>
          <w:sz w:val="24"/>
          <w:szCs w:val="24"/>
          <w:u w:val="single"/>
        </w:rPr>
        <w:t></w:t>
      </w:r>
      <w:r>
        <w:rPr>
          <w:rFonts w:hint="eastAsia" w:ascii="仿宋" w:hAnsi="仿宋" w:eastAsia="仿宋" w:cs="仿宋"/>
          <w:sz w:val="24"/>
          <w:szCs w:val="24"/>
        </w:rPr>
        <w:t>天。工期总日历天数与根据前述计划开竣工日期计算的工期天数不一致的，以工期总日历天数为准。</w:t>
      </w:r>
    </w:p>
    <w:p>
      <w:pPr>
        <w:adjustRightInd w:val="0"/>
        <w:snapToGrid w:val="0"/>
        <w:spacing w:line="520" w:lineRule="exact"/>
        <w:ind w:firstLine="480"/>
        <w:rPr>
          <w:rFonts w:ascii="仿宋" w:hAnsi="仿宋" w:eastAsia="仿宋" w:cs="仿宋"/>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其中关键节点工期计划：</w:t>
      </w:r>
      <w:r>
        <w:rPr>
          <w:rFonts w:hint="eastAsia" w:ascii="仿宋" w:hAnsi="仿宋" w:eastAsia="仿宋" w:cs="仿宋"/>
          <w:i/>
          <w:sz w:val="24"/>
          <w:szCs w:val="24"/>
          <w:highlight w:val="yellow"/>
          <w:u w:val="single"/>
        </w:rPr>
        <w:t>根据项目实际情况列出里程碑进度节点</w:t>
      </w:r>
      <w:r>
        <w:rPr>
          <w:rFonts w:hint="eastAsia" w:ascii="仿宋" w:hAnsi="仿宋" w:eastAsia="仿宋" w:cs="仿宋"/>
          <w:sz w:val="24"/>
          <w:szCs w:val="24"/>
        </w:rPr>
        <w:t>。</w:t>
      </w:r>
    </w:p>
    <w:p>
      <w:pPr>
        <w:adjustRightInd w:val="0"/>
        <w:snapToGrid w:val="0"/>
        <w:spacing w:line="520" w:lineRule="exact"/>
        <w:ind w:firstLine="420" w:firstLineChars="175"/>
        <w:rPr>
          <w:rFonts w:ascii="仿宋" w:hAnsi="仿宋" w:eastAsia="仿宋" w:cs="仿宋"/>
          <w:sz w:val="24"/>
          <w:szCs w:val="24"/>
        </w:rPr>
      </w:pPr>
      <w:r>
        <w:rPr>
          <w:rFonts w:hint="eastAsia" w:ascii="仿宋" w:hAnsi="仿宋" w:eastAsia="仿宋" w:cs="仿宋"/>
          <w:sz w:val="24"/>
          <w:szCs w:val="24"/>
        </w:rPr>
        <w:t>2.2承包人应在</w:t>
      </w:r>
      <w:r>
        <w:rPr>
          <w:rFonts w:hint="eastAsia" w:ascii="仿宋" w:hAnsi="仿宋" w:eastAsia="仿宋" w:cs="仿宋"/>
          <w:i/>
          <w:iCs/>
          <w:sz w:val="24"/>
          <w:szCs w:val="24"/>
          <w:u w:val="single"/>
        </w:rPr>
        <w:t>进场后3日内或工地第一次例会前</w:t>
      </w:r>
      <w:r>
        <w:rPr>
          <w:rFonts w:hint="eastAsia" w:ascii="仿宋" w:hAnsi="仿宋" w:eastAsia="仿宋" w:cs="仿宋"/>
          <w:sz w:val="24"/>
          <w:szCs w:val="24"/>
        </w:rPr>
        <w:t>内将详细的施工组织设计（或施工方案）和进度计划提交发包人审核，承包人必须按经发包人确认的进度计划组织施工，并接受发包人的检查、监督。工程实际进度计划不相符时，承包人应按发包人的要求提出改进措施，经发包人确认后执行。</w:t>
      </w:r>
    </w:p>
    <w:p>
      <w:pPr>
        <w:adjustRightInd w:val="0"/>
        <w:snapToGrid w:val="0"/>
        <w:spacing w:line="520" w:lineRule="exact"/>
        <w:ind w:firstLine="420" w:firstLineChars="175"/>
        <w:rPr>
          <w:rFonts w:ascii="仿宋" w:hAnsi="仿宋" w:eastAsia="仿宋" w:cs="仿宋"/>
          <w:sz w:val="24"/>
          <w:szCs w:val="24"/>
        </w:rPr>
      </w:pPr>
      <w:r>
        <w:rPr>
          <w:rFonts w:hint="eastAsia" w:ascii="仿宋" w:hAnsi="仿宋" w:eastAsia="仿宋" w:cs="仿宋"/>
          <w:sz w:val="24"/>
          <w:szCs w:val="24"/>
        </w:rPr>
        <w:t>2.3因承包人原因造成不能按期开工或中途无故停工的，工期不能顺延，由此引起的赶工等费用由承包人自行承担。</w:t>
      </w:r>
    </w:p>
    <w:p>
      <w:pPr>
        <w:adjustRightInd w:val="0"/>
        <w:snapToGrid w:val="0"/>
        <w:spacing w:line="520" w:lineRule="exact"/>
        <w:ind w:firstLine="420" w:firstLineChars="175"/>
        <w:rPr>
          <w:rFonts w:ascii="仿宋" w:hAnsi="仿宋" w:eastAsia="仿宋" w:cs="仿宋"/>
          <w:sz w:val="24"/>
          <w:szCs w:val="24"/>
        </w:rPr>
      </w:pPr>
      <w:r>
        <w:rPr>
          <w:rFonts w:hint="eastAsia" w:ascii="仿宋" w:hAnsi="仿宋" w:eastAsia="仿宋" w:cs="仿宋"/>
          <w:sz w:val="24"/>
          <w:szCs w:val="24"/>
        </w:rPr>
        <w:t>除不可抗力原因外，因任何因素造成的工期延误，总工期均不予顺延，停工费用损失不予计取；承包人不能按合同约定的工期完成任一关键里程碑节点的，各里程碑节点每逾期一天按合同最终结算价款</w:t>
      </w:r>
      <w:r>
        <w:rPr>
          <w:rFonts w:ascii="仿宋" w:hAnsi="仿宋" w:eastAsia="仿宋" w:cs="仿宋"/>
          <w:sz w:val="24"/>
          <w:szCs w:val="24"/>
        </w:rPr>
        <w:t>0.5</w:t>
      </w:r>
      <w:r>
        <w:rPr>
          <w:rFonts w:hint="eastAsia" w:ascii="仿宋" w:hAnsi="仿宋" w:eastAsia="仿宋" w:cs="仿宋"/>
          <w:sz w:val="24"/>
          <w:szCs w:val="24"/>
        </w:rPr>
        <w:t>‰的金额向发包人支付违约金，没有最终结算价的，按合同签约暂定价的</w:t>
      </w:r>
      <w:r>
        <w:rPr>
          <w:rFonts w:ascii="仿宋" w:hAnsi="仿宋" w:eastAsia="仿宋" w:cs="仿宋"/>
          <w:sz w:val="24"/>
          <w:szCs w:val="24"/>
        </w:rPr>
        <w:t>0.5</w:t>
      </w:r>
      <w:r>
        <w:rPr>
          <w:rFonts w:hint="eastAsia" w:ascii="仿宋" w:hAnsi="仿宋" w:eastAsia="仿宋" w:cs="仿宋"/>
          <w:sz w:val="24"/>
          <w:szCs w:val="24"/>
        </w:rPr>
        <w:t>‰计算；各里程碑节点逾期超过</w:t>
      </w:r>
      <w:r>
        <w:rPr>
          <w:rFonts w:ascii="仿宋" w:hAnsi="仿宋" w:eastAsia="仿宋" w:cs="仿宋"/>
          <w:sz w:val="24"/>
          <w:szCs w:val="24"/>
        </w:rPr>
        <w:t>90</w:t>
      </w:r>
      <w:r>
        <w:rPr>
          <w:rFonts w:hint="eastAsia" w:ascii="仿宋" w:hAnsi="仿宋" w:eastAsia="仿宋" w:cs="仿宋"/>
          <w:sz w:val="24"/>
          <w:szCs w:val="24"/>
        </w:rPr>
        <w:t>天，每逾期一天按合同最终结算价款</w:t>
      </w:r>
      <w:r>
        <w:rPr>
          <w:rFonts w:ascii="仿宋" w:hAnsi="仿宋" w:eastAsia="仿宋" w:cs="仿宋"/>
          <w:sz w:val="24"/>
          <w:szCs w:val="24"/>
        </w:rPr>
        <w:t>1</w:t>
      </w:r>
      <w:r>
        <w:rPr>
          <w:rFonts w:hint="eastAsia" w:ascii="仿宋" w:hAnsi="仿宋" w:eastAsia="仿宋" w:cs="仿宋"/>
          <w:sz w:val="24"/>
          <w:szCs w:val="24"/>
        </w:rPr>
        <w:t>‰的金额向发包人支付违约金，没有最终结算价的，按合同签约暂定价的</w:t>
      </w:r>
      <w:r>
        <w:rPr>
          <w:rFonts w:ascii="仿宋" w:hAnsi="仿宋" w:eastAsia="仿宋" w:cs="仿宋"/>
          <w:sz w:val="24"/>
          <w:szCs w:val="24"/>
        </w:rPr>
        <w:t>1</w:t>
      </w:r>
      <w:r>
        <w:rPr>
          <w:rFonts w:hint="eastAsia" w:ascii="仿宋" w:hAnsi="仿宋" w:eastAsia="仿宋" w:cs="仿宋"/>
          <w:sz w:val="24"/>
          <w:szCs w:val="24"/>
        </w:rPr>
        <w:t>‰计算，发包人并有权书面通知单方面解除未完成部分工程的合同。若某个节点未完成，但后续节点按期完成且不影响整体工程如期竣工验收合格的，发包人可以向承包人无息返还之前未完成节点违约金</w:t>
      </w:r>
      <w:r>
        <w:rPr>
          <w:rFonts w:ascii="仿宋" w:hAnsi="仿宋" w:eastAsia="仿宋" w:cs="仿宋"/>
          <w:sz w:val="24"/>
          <w:szCs w:val="24"/>
        </w:rPr>
        <w:t xml:space="preserve"> </w:t>
      </w:r>
      <w:r>
        <w:rPr>
          <w:rFonts w:hint="eastAsia" w:ascii="仿宋" w:hAnsi="仿宋" w:eastAsia="仿宋" w:cs="仿宋"/>
          <w:sz w:val="24"/>
          <w:szCs w:val="24"/>
        </w:rPr>
        <w:t>，但造成发包人的损失部分不予免除。</w:t>
      </w:r>
    </w:p>
    <w:p>
      <w:pPr>
        <w:pStyle w:val="6"/>
        <w:adjustRightInd w:val="0"/>
        <w:snapToGrid w:val="0"/>
        <w:spacing w:before="120" w:after="120" w:line="520" w:lineRule="exact"/>
        <w:rPr>
          <w:rFonts w:ascii="仿宋" w:hAnsi="仿宋" w:eastAsia="仿宋" w:cs="仿宋"/>
          <w:sz w:val="24"/>
          <w:szCs w:val="24"/>
        </w:rPr>
      </w:pPr>
      <w:bookmarkStart w:id="26" w:name="_Toc351203483"/>
      <w:r>
        <w:rPr>
          <w:rFonts w:hint="eastAsia" w:ascii="仿宋" w:hAnsi="仿宋" w:eastAsia="仿宋" w:cs="仿宋"/>
          <w:sz w:val="24"/>
          <w:szCs w:val="24"/>
        </w:rPr>
        <w:t>三、质量标准</w:t>
      </w:r>
      <w:bookmarkEnd w:id="26"/>
    </w:p>
    <w:p>
      <w:pPr>
        <w:adjustRightInd w:val="0"/>
        <w:snapToGrid w:val="0"/>
        <w:spacing w:line="520" w:lineRule="exact"/>
        <w:ind w:firstLine="480"/>
        <w:rPr>
          <w:rFonts w:ascii="仿宋" w:hAnsi="仿宋" w:eastAsia="仿宋" w:cs="仿宋"/>
          <w:sz w:val="24"/>
          <w:szCs w:val="24"/>
        </w:rPr>
      </w:pPr>
      <w:r>
        <w:rPr>
          <w:rFonts w:hint="eastAsia" w:ascii="仿宋" w:hAnsi="仿宋" w:eastAsia="仿宋" w:cs="仿宋"/>
          <w:sz w:val="24"/>
          <w:szCs w:val="24"/>
        </w:rPr>
        <w:t>3.1工程质量要求：</w:t>
      </w:r>
      <w:r>
        <w:rPr>
          <w:rFonts w:hint="eastAsia" w:ascii="仿宋" w:hAnsi="仿宋" w:eastAsia="仿宋" w:cs="仿宋"/>
          <w:sz w:val="24"/>
          <w:szCs w:val="24"/>
          <w:u w:val="single"/>
        </w:rPr>
        <w:t>工程质量达到合格等级标准</w:t>
      </w:r>
      <w:r>
        <w:rPr>
          <w:rFonts w:hint="eastAsia" w:ascii="仿宋" w:hAnsi="仿宋" w:eastAsia="仿宋" w:cs="仿宋"/>
          <w:sz w:val="24"/>
          <w:szCs w:val="24"/>
        </w:rPr>
        <w:t>。质量标准的评定以现行国家、地方政府以及行业的质量检验评定标准为依据。</w:t>
      </w:r>
    </w:p>
    <w:p>
      <w:pPr>
        <w:adjustRightInd w:val="0"/>
        <w:snapToGrid w:val="0"/>
        <w:spacing w:line="520" w:lineRule="exact"/>
        <w:ind w:firstLine="480"/>
        <w:rPr>
          <w:rFonts w:ascii="仿宋" w:hAnsi="仿宋" w:eastAsia="仿宋" w:cs="仿宋"/>
          <w:sz w:val="24"/>
          <w:szCs w:val="24"/>
        </w:rPr>
      </w:pPr>
      <w:r>
        <w:rPr>
          <w:rFonts w:hint="eastAsia" w:ascii="仿宋" w:hAnsi="仿宋" w:eastAsia="仿宋" w:cs="仿宋"/>
          <w:sz w:val="24"/>
          <w:szCs w:val="24"/>
        </w:rPr>
        <w:t>3.2经检查对于出现质量不符合要求的部位，发包人有权向承包人发出整改通知，承包人必须无条件返工，直至达到合同约定的质量标准为止。承包人承担由此增加的费用，工期不予顺延。如承包人收到整改通知单24小时内仍无任何整改措施，发包人有权请第三方整改或自行代为整改，由此发生的费用将从承包人的未付工程款中扣除，同时不免除发包人就该事宜对承包人处以金额不超过 5000元/次</w:t>
      </w:r>
      <w:r>
        <w:rPr>
          <w:rFonts w:hint="eastAsia" w:ascii="仿宋" w:hAnsi="仿宋" w:eastAsia="仿宋" w:cs="仿宋"/>
          <w:color w:val="FFFF00"/>
          <w:sz w:val="24"/>
          <w:szCs w:val="24"/>
        </w:rPr>
        <w:t>（根据项目据实调整）</w:t>
      </w:r>
      <w:r>
        <w:rPr>
          <w:rFonts w:hint="eastAsia" w:ascii="仿宋" w:hAnsi="仿宋" w:eastAsia="仿宋" w:cs="仿宋"/>
          <w:sz w:val="24"/>
          <w:szCs w:val="24"/>
        </w:rPr>
        <w:t>的罚款，该款项从承包人工程款结算中扣除。</w:t>
      </w:r>
    </w:p>
    <w:p>
      <w:pPr>
        <w:adjustRightInd w:val="0"/>
        <w:snapToGrid w:val="0"/>
        <w:spacing w:line="520" w:lineRule="exact"/>
        <w:ind w:firstLine="480"/>
        <w:rPr>
          <w:rFonts w:ascii="仿宋" w:hAnsi="仿宋" w:eastAsia="仿宋" w:cs="仿宋"/>
          <w:sz w:val="24"/>
          <w:szCs w:val="24"/>
        </w:rPr>
      </w:pPr>
      <w:r>
        <w:rPr>
          <w:rFonts w:hint="eastAsia" w:ascii="仿宋" w:hAnsi="仿宋" w:eastAsia="仿宋" w:cs="仿宋"/>
          <w:sz w:val="24"/>
          <w:szCs w:val="24"/>
        </w:rPr>
        <w:t>3.3若承包人的工程质量不符合合同约定的质量标准或工程质量经验收不合格或达不到竣工验收条件的，承包人须负责返工、修理、重做；情况严重或导致发包人被政府相关部门责令通报、处罚的或造成重大工程质量事故的，发包人有权视情况解除合同，或/并要求承包人除停工整改、补交罚款外，还应按工程结算价款或合同约定总价款的5%-10%向发包人支付违约金。</w:t>
      </w:r>
    </w:p>
    <w:p>
      <w:pPr>
        <w:pStyle w:val="6"/>
        <w:adjustRightInd w:val="0"/>
        <w:snapToGrid w:val="0"/>
        <w:spacing w:before="120" w:after="120" w:line="520" w:lineRule="exact"/>
        <w:rPr>
          <w:rFonts w:ascii="仿宋" w:hAnsi="仿宋" w:eastAsia="仿宋" w:cs="仿宋"/>
          <w:sz w:val="24"/>
          <w:szCs w:val="24"/>
        </w:rPr>
      </w:pPr>
      <w:r>
        <w:rPr>
          <w:rFonts w:hint="eastAsia" w:ascii="仿宋" w:hAnsi="仿宋" w:eastAsia="仿宋" w:cs="仿宋"/>
          <w:sz w:val="24"/>
          <w:szCs w:val="24"/>
        </w:rPr>
        <w:t>四、合同价款与支付方式</w:t>
      </w:r>
    </w:p>
    <w:p>
      <w:pPr>
        <w:adjustRightInd w:val="0"/>
        <w:snapToGrid w:val="0"/>
        <w:spacing w:line="520" w:lineRule="exact"/>
        <w:ind w:firstLine="422" w:firstLineChars="175"/>
        <w:rPr>
          <w:rFonts w:ascii="仿宋" w:hAnsi="仿宋" w:eastAsia="仿宋" w:cs="仿宋"/>
          <w:b/>
          <w:bCs/>
          <w:sz w:val="24"/>
          <w:szCs w:val="24"/>
        </w:rPr>
      </w:pPr>
      <w:r>
        <w:rPr>
          <w:rFonts w:hint="eastAsia" w:ascii="仿宋" w:hAnsi="仿宋" w:eastAsia="仿宋" w:cs="仿宋"/>
          <w:b/>
          <w:bCs/>
          <w:sz w:val="24"/>
          <w:szCs w:val="24"/>
        </w:rPr>
        <w:t>固定总价合同</w:t>
      </w:r>
    </w:p>
    <w:p>
      <w:pPr>
        <w:adjustRightInd w:val="0"/>
        <w:snapToGrid w:val="0"/>
        <w:spacing w:line="520" w:lineRule="exact"/>
        <w:ind w:firstLine="420" w:firstLineChars="175"/>
        <w:rPr>
          <w:rFonts w:ascii="仿宋" w:hAnsi="仿宋" w:eastAsia="仿宋" w:cs="仿宋"/>
          <w:sz w:val="24"/>
          <w:szCs w:val="24"/>
        </w:rPr>
      </w:pPr>
      <w:r>
        <w:rPr>
          <w:rFonts w:hint="eastAsia" w:ascii="仿宋" w:hAnsi="仿宋" w:eastAsia="仿宋" w:cs="仿宋"/>
          <w:sz w:val="24"/>
          <w:szCs w:val="24"/>
        </w:rPr>
        <w:t>4.1合同价款：</w:t>
      </w:r>
    </w:p>
    <w:p>
      <w:pPr>
        <w:adjustRightInd w:val="0"/>
        <w:snapToGrid w:val="0"/>
        <w:spacing w:line="520" w:lineRule="exact"/>
        <w:ind w:firstLine="420" w:firstLineChars="175"/>
        <w:rPr>
          <w:rFonts w:ascii="仿宋" w:hAnsi="仿宋" w:eastAsia="仿宋" w:cs="仿宋"/>
          <w:sz w:val="24"/>
          <w:szCs w:val="24"/>
        </w:rPr>
      </w:pPr>
      <w:r>
        <w:rPr>
          <w:rFonts w:hint="eastAsia" w:ascii="仿宋" w:hAnsi="仿宋" w:eastAsia="仿宋" w:cs="仿宋"/>
          <w:sz w:val="24"/>
          <w:szCs w:val="24"/>
        </w:rPr>
        <w:t>本工程合同价</w:t>
      </w:r>
      <w:r>
        <w:rPr>
          <w:rFonts w:ascii="仿宋" w:hAnsi="仿宋" w:eastAsia="仿宋" w:cs="仿宋"/>
          <w:sz w:val="24"/>
          <w:szCs w:val="24"/>
        </w:rPr>
        <w:t>款</w:t>
      </w:r>
      <w:r>
        <w:rPr>
          <w:rFonts w:hint="eastAsia" w:ascii="仿宋" w:hAnsi="仿宋" w:eastAsia="仿宋" w:cs="仿宋"/>
          <w:sz w:val="24"/>
          <w:szCs w:val="24"/>
        </w:rPr>
        <w:t>为：￥</w:t>
      </w:r>
      <w:r>
        <w:rPr>
          <w:rFonts w:hint="eastAsia" w:ascii="仿宋" w:hAnsi="仿宋" w:eastAsia="仿宋" w:cs="仿宋"/>
          <w:sz w:val="24"/>
          <w:szCs w:val="24"/>
          <w:u w:val="single"/>
        </w:rPr>
        <w:t xml:space="preserve">             元(大写金额：            </w:t>
      </w:r>
      <w:r>
        <w:rPr>
          <w:rFonts w:hint="eastAsia" w:ascii="仿宋" w:hAnsi="仿宋" w:eastAsia="仿宋" w:cs="仿宋"/>
          <w:sz w:val="24"/>
          <w:szCs w:val="24"/>
        </w:rPr>
        <w:t>)。</w:t>
      </w:r>
    </w:p>
    <w:p>
      <w:pPr>
        <w:adjustRightInd w:val="0"/>
        <w:snapToGrid w:val="0"/>
        <w:spacing w:line="520" w:lineRule="exact"/>
        <w:ind w:firstLine="420" w:firstLineChars="175"/>
        <w:rPr>
          <w:rFonts w:ascii="仿宋" w:hAnsi="仿宋" w:eastAsia="仿宋" w:cs="仿宋"/>
          <w:sz w:val="24"/>
          <w:szCs w:val="24"/>
        </w:rPr>
      </w:pPr>
      <w:r>
        <w:rPr>
          <w:rFonts w:hint="eastAsia" w:ascii="仿宋" w:hAnsi="仿宋" w:eastAsia="仿宋" w:cs="仿宋"/>
          <w:sz w:val="24"/>
          <w:szCs w:val="24"/>
        </w:rPr>
        <w:t>4.2本工程合同价格形式为：</w:t>
      </w:r>
      <w:r>
        <w:rPr>
          <w:rFonts w:hint="eastAsia" w:ascii="仿宋" w:hAnsi="仿宋" w:eastAsia="仿宋" w:cs="仿宋"/>
          <w:sz w:val="24"/>
          <w:szCs w:val="24"/>
          <w:u w:val="single"/>
        </w:rPr>
        <w:t>固定总价。</w:t>
      </w:r>
      <w:r>
        <w:rPr>
          <w:rFonts w:hint="eastAsia" w:ascii="仿宋" w:hAnsi="仿宋" w:eastAsia="仿宋" w:cs="仿宋"/>
          <w:i/>
          <w:iCs/>
          <w:sz w:val="24"/>
          <w:szCs w:val="24"/>
          <w:u w:val="single"/>
        </w:rPr>
        <w:t>合同价格包括本合同中承包人的全部责任和义务所需发生的所有费用，而且本工程报价中包含了为完成本工程所需的各种施工项目相关的费用。合同价款包括</w:t>
      </w:r>
      <w:r>
        <w:rPr>
          <w:rFonts w:hint="eastAsia" w:ascii="仿宋" w:hAnsi="仿宋" w:eastAsia="仿宋" w:cs="仿宋"/>
          <w:bCs/>
          <w:i/>
          <w:iCs/>
          <w:sz w:val="24"/>
          <w:szCs w:val="24"/>
          <w:u w:val="single"/>
        </w:rPr>
        <w:t>但不限于：深化设计费、人工费、材料费（损耗费、辅材费、制作加工费、包装费、运输费、装卸费、采购保管费、试验及检测费、安装费、样品费）、机械费、</w:t>
      </w:r>
      <w:r>
        <w:rPr>
          <w:rFonts w:hint="eastAsia" w:ascii="仿宋" w:hAnsi="仿宋" w:eastAsia="仿宋" w:cs="仿宋"/>
          <w:i/>
          <w:iCs/>
          <w:sz w:val="24"/>
          <w:szCs w:val="24"/>
          <w:u w:val="single"/>
        </w:rPr>
        <w:t>措施费（包含赶工措施费、安全文明施工、临时设施、</w:t>
      </w:r>
      <w:r>
        <w:rPr>
          <w:rFonts w:hint="eastAsia" w:ascii="仿宋" w:hAnsi="仿宋" w:eastAsia="仿宋" w:cs="仿宋"/>
          <w:bCs/>
          <w:i/>
          <w:iCs/>
          <w:sz w:val="24"/>
          <w:szCs w:val="24"/>
          <w:u w:val="single"/>
        </w:rPr>
        <w:t>半成品及成品保护、</w:t>
      </w:r>
      <w:r>
        <w:rPr>
          <w:rFonts w:hint="eastAsia" w:ascii="仿宋" w:hAnsi="仿宋" w:eastAsia="仿宋" w:cs="仿宋"/>
          <w:i/>
          <w:iCs/>
          <w:sz w:val="24"/>
          <w:szCs w:val="24"/>
          <w:u w:val="single"/>
        </w:rPr>
        <w:t>垃圾清运）、企业管理费、利润、规费、税金、保险、</w:t>
      </w:r>
      <w:r>
        <w:rPr>
          <w:rFonts w:hint="eastAsia" w:ascii="仿宋" w:hAnsi="仿宋" w:eastAsia="仿宋" w:cs="仿宋"/>
          <w:bCs/>
          <w:i/>
          <w:iCs/>
          <w:sz w:val="24"/>
          <w:szCs w:val="24"/>
          <w:u w:val="single"/>
        </w:rPr>
        <w:t>技术资料费、竣工资料费、</w:t>
      </w:r>
      <w:r>
        <w:rPr>
          <w:rFonts w:hint="eastAsia" w:ascii="仿宋" w:hAnsi="仿宋" w:eastAsia="仿宋" w:cs="仿宋"/>
          <w:i/>
          <w:iCs/>
          <w:sz w:val="24"/>
          <w:szCs w:val="24"/>
          <w:u w:val="single"/>
        </w:rPr>
        <w:t>质量保修、配合其他单位施工的相关费用及人工材料涨价、汇率变动、政策性文件规定等不可预见费用的所有费用</w:t>
      </w:r>
      <w:r>
        <w:rPr>
          <w:rFonts w:hint="eastAsia" w:ascii="仿宋" w:hAnsi="仿宋" w:eastAsia="仿宋" w:cs="仿宋"/>
          <w:bCs/>
          <w:i/>
          <w:iCs/>
          <w:sz w:val="24"/>
          <w:szCs w:val="24"/>
          <w:u w:val="single"/>
        </w:rPr>
        <w:t>。</w:t>
      </w:r>
    </w:p>
    <w:p>
      <w:pPr>
        <w:adjustRightInd w:val="0"/>
        <w:snapToGrid w:val="0"/>
        <w:spacing w:line="520" w:lineRule="exact"/>
        <w:ind w:firstLine="420" w:firstLineChars="175"/>
        <w:jc w:val="left"/>
        <w:rPr>
          <w:rFonts w:ascii="仿宋" w:hAnsi="仿宋" w:eastAsia="仿宋" w:cs="仿宋"/>
          <w:sz w:val="24"/>
          <w:szCs w:val="24"/>
        </w:rPr>
      </w:pPr>
      <w:r>
        <w:rPr>
          <w:rFonts w:hint="eastAsia" w:ascii="仿宋" w:hAnsi="仿宋" w:eastAsia="仿宋" w:cs="仿宋"/>
          <w:sz w:val="24"/>
          <w:szCs w:val="24"/>
        </w:rPr>
        <w:t>本合同内工作范围按照发包人在招标文件中给定的范围最终确定，发包人不接受由于承包人对招标范围的理解存在偏差而导致的任何索赔或价格上调。</w:t>
      </w:r>
    </w:p>
    <w:p>
      <w:pPr>
        <w:tabs>
          <w:tab w:val="left" w:pos="5565"/>
        </w:tabs>
        <w:adjustRightInd w:val="0"/>
        <w:snapToGrid w:val="0"/>
        <w:spacing w:line="520" w:lineRule="exact"/>
        <w:ind w:firstLine="420" w:firstLineChars="175"/>
        <w:rPr>
          <w:rFonts w:ascii="仿宋" w:hAnsi="仿宋" w:eastAsia="仿宋" w:cs="仿宋"/>
          <w:b/>
          <w:bCs/>
          <w:sz w:val="24"/>
          <w:szCs w:val="24"/>
        </w:rPr>
      </w:pPr>
      <w:r>
        <w:rPr>
          <w:rFonts w:hint="eastAsia" w:ascii="仿宋" w:hAnsi="仿宋" w:eastAsia="仿宋" w:cs="仿宋"/>
          <w:sz w:val="24"/>
          <w:szCs w:val="24"/>
        </w:rPr>
        <w:t>4.3工程款支付</w:t>
      </w:r>
      <w:r>
        <w:rPr>
          <w:rFonts w:hint="eastAsia" w:ascii="仿宋" w:hAnsi="仿宋" w:eastAsia="仿宋" w:cs="仿宋"/>
          <w:sz w:val="24"/>
          <w:szCs w:val="24"/>
          <w:u w:val="single"/>
        </w:rPr>
        <w:t>（与上面固定综合单价部分相应内容一致）。</w:t>
      </w:r>
    </w:p>
    <w:p>
      <w:pPr>
        <w:pStyle w:val="6"/>
        <w:adjustRightInd w:val="0"/>
        <w:snapToGrid w:val="0"/>
        <w:spacing w:before="120" w:after="120" w:line="520" w:lineRule="exact"/>
        <w:rPr>
          <w:rFonts w:ascii="仿宋" w:hAnsi="仿宋" w:eastAsia="仿宋" w:cs="仿宋"/>
          <w:sz w:val="24"/>
          <w:szCs w:val="24"/>
        </w:rPr>
      </w:pPr>
      <w:r>
        <w:rPr>
          <w:rFonts w:hint="eastAsia" w:ascii="仿宋" w:hAnsi="仿宋" w:eastAsia="仿宋" w:cs="仿宋"/>
          <w:sz w:val="24"/>
          <w:szCs w:val="24"/>
        </w:rPr>
        <w:t>五、材料设备的供应和采购</w:t>
      </w:r>
    </w:p>
    <w:p>
      <w:pPr>
        <w:adjustRightInd w:val="0"/>
        <w:snapToGrid w:val="0"/>
        <w:spacing w:line="52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5.1本工程的材料、设备由承包人采购。</w:t>
      </w:r>
    </w:p>
    <w:p>
      <w:pPr>
        <w:adjustRightInd w:val="0"/>
        <w:snapToGrid w:val="0"/>
        <w:spacing w:line="520" w:lineRule="exact"/>
        <w:ind w:firstLine="480" w:firstLineChars="200"/>
        <w:rPr>
          <w:rFonts w:ascii="仿宋" w:hAnsi="仿宋" w:eastAsia="仿宋" w:cs="仿宋"/>
          <w:sz w:val="24"/>
        </w:rPr>
      </w:pPr>
      <w:r>
        <w:rPr>
          <w:rFonts w:hint="eastAsia" w:ascii="仿宋" w:hAnsi="仿宋" w:eastAsia="仿宋" w:cs="仿宋"/>
          <w:kern w:val="0"/>
          <w:sz w:val="24"/>
          <w:szCs w:val="24"/>
        </w:rPr>
        <w:t>5.2本工程的主要设备及主要材料品牌按照附件表中选择。投标文件中已按附件选择品牌的，按投标文件所报品牌执行；未按附件选择的，施工过程中必须按此表选择品牌；附表外其他材料，承包人在投标时明确品牌的必须使用投标品牌。另外，材料及设备必须是原厂生产，禁止使用委托第三人生产后贴牌的材料和设备，否则按不合格材料处理，承包人按合同条款承担违约责任</w:t>
      </w:r>
      <w:r>
        <w:rPr>
          <w:rFonts w:hint="eastAsia" w:ascii="仿宋" w:hAnsi="仿宋" w:eastAsia="仿宋" w:cs="仿宋"/>
          <w:sz w:val="24"/>
        </w:rPr>
        <w:t>。</w:t>
      </w:r>
    </w:p>
    <w:p>
      <w:pPr>
        <w:adjustRightInd w:val="0"/>
        <w:snapToGrid w:val="0"/>
        <w:spacing w:line="52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未经发包人批准，承包人不得擅自使用替代材料或工程设备，否则视为使用不合格材料，一经发现，无论本工程是否已经竣工或是否验收合格，发包人均有权要求承包人对其进行更换，并按照应该使用的材料及设备总价的2倍向发包人承担违约金，因更换造成的工期延误和费用由承包人承担。在承包人完成更换之前，该部分工程款不予计入进度款或者进行结算。</w:t>
      </w:r>
    </w:p>
    <w:p>
      <w:pPr>
        <w:adjustRightInd w:val="0"/>
        <w:snapToGrid w:val="0"/>
        <w:spacing w:line="52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若因市场货源不足或供货时间原因确需采用其他品牌、厂家同类产品替代的，承包人必须报发包人审核批准，并同时核定替代产品的单价。若替代产品的市场单价高于合同约定（投标）品牌市场单价，不予调整；若低于合同约定（投标）品牌市场单价，按市场差价据实调整。</w:t>
      </w:r>
    </w:p>
    <w:p>
      <w:pPr>
        <w:adjustRightInd w:val="0"/>
        <w:snapToGrid w:val="0"/>
        <w:spacing w:line="52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根据项目需要，发包人有权自行将部分乙购材料、设备改为甲供，或将部分甲供材料、设备改为甲指乙购，价格调整按合同约定条款执行。发包人无需为上述采购方式的变化向承包人支付其他额外费用或者补偿，且工期不予顺延。</w:t>
      </w:r>
    </w:p>
    <w:p>
      <w:pPr>
        <w:adjustRightInd w:val="0"/>
        <w:snapToGrid w:val="0"/>
        <w:spacing w:line="52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项目施工所有（不含甲供材料设备、甲分包部分）试验检测费用（包括但不限于见证取样复试、地基基础检测、主体结构检测、钢结构检测、空气质量检测、弱电检测、外墙保温系统型式检测、防雷检测、消防检测、沉降观测、焊缝检测、配电平台高低压设备的相关试验、各类流量计、能量计、温度压力传感器的校验（项目内部验收完移交时，计量装置必须在有效期内）等）均已综合考虑并包含在承包人投标总价中。根据《建设工程质量检测管理办法》第二十一条及《山东省住房和城乡建设厅关于压实建设单位工程质量首要责任的实施办法》，非建设单位委托的检测机构出具的检测报告不得作为工程质量验收资料。乙购材料设备的见证取样送检及施工专项检测（如焊缝探伤等），由发包人委托具有相应资质的第三方检测单位进行检测。若所发生的检测费用由发包人按检测委托合同支付的，在竣工结算时按实际发生检测总费用予以扣除。若所发生的检测费由发包人委托人直接垫付的，由承包人支付给发包人委托人。</w:t>
      </w:r>
    </w:p>
    <w:p>
      <w:pPr>
        <w:pStyle w:val="6"/>
        <w:adjustRightInd w:val="0"/>
        <w:snapToGrid w:val="0"/>
        <w:spacing w:before="120" w:after="120" w:line="520" w:lineRule="exact"/>
        <w:rPr>
          <w:rFonts w:ascii="仿宋" w:hAnsi="仿宋" w:eastAsia="仿宋" w:cs="仿宋"/>
          <w:sz w:val="24"/>
          <w:szCs w:val="24"/>
        </w:rPr>
      </w:pPr>
      <w:r>
        <w:rPr>
          <w:rFonts w:hint="eastAsia" w:ascii="仿宋" w:hAnsi="仿宋" w:eastAsia="仿宋" w:cs="仿宋"/>
          <w:sz w:val="24"/>
          <w:szCs w:val="24"/>
        </w:rPr>
        <w:t>六、竣工验收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6.1工程完成后，在组织竣工验收前，承包人应向发包人移交</w:t>
      </w:r>
      <w:r>
        <w:rPr>
          <w:rFonts w:hint="eastAsia" w:ascii="仿宋" w:hAnsi="仿宋" w:eastAsia="仿宋" w:cs="仿宋"/>
          <w:sz w:val="24"/>
          <w:szCs w:val="24"/>
          <w:u w:val="single"/>
        </w:rPr>
        <w:t>三</w:t>
      </w:r>
      <w:r>
        <w:rPr>
          <w:rFonts w:hint="eastAsia" w:ascii="仿宋" w:hAnsi="仿宋" w:eastAsia="仿宋" w:cs="仿宋"/>
          <w:sz w:val="24"/>
          <w:szCs w:val="24"/>
        </w:rPr>
        <w:t>套完整、合格的竣工资料及全套资料扫描电子版（硬盘存储），承包人提交的竣工资料不符合归档及备案要求的，发包人有权退回，承包人应当按要求重新提交合格的竣工资料，在未完成竣工资料移交前发包人不予组织竣工验收，由此造成工期逾期及其他损失，由承包人承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为免异议，若双方因任何阶段的工程款金额、支付等事宜产生纠纷的，承包人仍应向发包人移交竣工资料及其他资料，不得以任何理由延迟或拒绝移交，前述纠纷由双方友好协商或通过本合同约定的争议解决方式解决。</w:t>
      </w:r>
    </w:p>
    <w:p>
      <w:pPr>
        <w:adjustRightInd w:val="0"/>
        <w:snapToGrid w:val="0"/>
        <w:spacing w:line="520" w:lineRule="exact"/>
        <w:ind w:right="-74" w:firstLine="420" w:firstLineChars="175"/>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2</w:t>
      </w:r>
      <w:r>
        <w:rPr>
          <w:rFonts w:hint="eastAsia" w:ascii="仿宋" w:hAnsi="仿宋" w:eastAsia="仿宋" w:cs="仿宋"/>
          <w:sz w:val="24"/>
          <w:szCs w:val="24"/>
        </w:rPr>
        <w:t>工程具备竣工验收条件，承包人应按国家工程竣工验收有关规定，提前7日向发包人提交完整竣工资料、竣工验收报告、工程质量保修书及工程结算资料。发包人认为符合验收条件后组织验收，验收过程中发现的不合格处承包人必须限期整改并达到复验合格标准。</w:t>
      </w:r>
    </w:p>
    <w:p>
      <w:pPr>
        <w:adjustRightInd w:val="0"/>
        <w:snapToGrid w:val="0"/>
        <w:spacing w:line="520" w:lineRule="exact"/>
        <w:ind w:right="-74" w:firstLine="420" w:firstLineChars="175"/>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3</w:t>
      </w:r>
      <w:r>
        <w:rPr>
          <w:rFonts w:hint="eastAsia" w:ascii="仿宋" w:hAnsi="仿宋" w:eastAsia="仿宋" w:cs="仿宋"/>
          <w:sz w:val="24"/>
          <w:szCs w:val="24"/>
        </w:rPr>
        <w:t>承包人应在竣工验收合格后</w:t>
      </w:r>
      <w:r>
        <w:rPr>
          <w:rFonts w:hint="eastAsia" w:ascii="仿宋" w:hAnsi="仿宋" w:eastAsia="仿宋" w:cs="仿宋"/>
          <w:sz w:val="24"/>
          <w:szCs w:val="24"/>
          <w:u w:val="single"/>
        </w:rPr>
        <w:t xml:space="preserve"> 7 </w:t>
      </w:r>
      <w:r>
        <w:rPr>
          <w:rFonts w:hint="eastAsia" w:ascii="仿宋" w:hAnsi="仿宋" w:eastAsia="仿宋" w:cs="仿宋"/>
          <w:sz w:val="24"/>
          <w:szCs w:val="24"/>
        </w:rPr>
        <w:t>日内完成以下工作：</w:t>
      </w:r>
    </w:p>
    <w:p>
      <w:pPr>
        <w:tabs>
          <w:tab w:val="left" w:pos="720"/>
          <w:tab w:val="left" w:pos="1260"/>
        </w:tabs>
        <w:adjustRightInd w:val="0"/>
        <w:snapToGrid w:val="0"/>
        <w:spacing w:line="520" w:lineRule="exact"/>
        <w:ind w:right="-74" w:firstLine="420" w:firstLineChars="175"/>
        <w:rPr>
          <w:rFonts w:ascii="仿宋" w:hAnsi="仿宋" w:eastAsia="仿宋" w:cs="仿宋"/>
          <w:sz w:val="24"/>
          <w:szCs w:val="24"/>
        </w:rPr>
      </w:pPr>
      <w:r>
        <w:rPr>
          <w:rFonts w:hint="eastAsia" w:ascii="仿宋" w:hAnsi="仿宋" w:eastAsia="仿宋" w:cs="仿宋"/>
          <w:sz w:val="24"/>
          <w:szCs w:val="24"/>
        </w:rPr>
        <w:t>对本合同承包范围进行全面的现场清理工作，做到工完场清，并撤出全部临建、施工人员、机械设备和剩余材料（除收尾工程所需的以外），并填写工程移交书，经发包人、工程接收单位签字后，视为工程移交完毕；承包人逾期未向发包人移交完毕，承包人按竣工日期拖延支付违约金，每逾期一天按合同最终结算价款</w:t>
      </w:r>
      <w:r>
        <w:rPr>
          <w:rFonts w:ascii="仿宋" w:hAnsi="仿宋" w:eastAsia="仿宋" w:cs="仿宋"/>
          <w:sz w:val="24"/>
          <w:szCs w:val="24"/>
        </w:rPr>
        <w:t>0.5</w:t>
      </w:r>
      <w:r>
        <w:rPr>
          <w:rFonts w:hint="eastAsia" w:ascii="仿宋" w:hAnsi="仿宋" w:eastAsia="仿宋" w:cs="仿宋"/>
          <w:sz w:val="24"/>
          <w:szCs w:val="24"/>
        </w:rPr>
        <w:t>‰的金额向发包人支付违约金。</w:t>
      </w:r>
    </w:p>
    <w:p>
      <w:pPr>
        <w:adjustRightInd w:val="0"/>
        <w:snapToGrid w:val="0"/>
        <w:spacing w:line="520" w:lineRule="exact"/>
        <w:ind w:right="-74" w:firstLine="420" w:firstLineChars="175"/>
        <w:rPr>
          <w:rFonts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4</w:t>
      </w:r>
      <w:r>
        <w:rPr>
          <w:rFonts w:hint="eastAsia" w:ascii="仿宋" w:hAnsi="仿宋" w:eastAsia="仿宋" w:cs="仿宋"/>
          <w:sz w:val="24"/>
          <w:szCs w:val="24"/>
        </w:rPr>
        <w:t>工程在未移交发包人之前，承包人应负责已完工程的成品保护工作，保护期间发生损坏、失窃，承包人自费予以修复。如发包人提前使用，因使用损坏发生的修理费用由发包人承担。</w:t>
      </w:r>
    </w:p>
    <w:p>
      <w:pPr>
        <w:pStyle w:val="6"/>
        <w:adjustRightInd w:val="0"/>
        <w:snapToGrid w:val="0"/>
        <w:spacing w:before="120" w:after="120" w:line="520" w:lineRule="exact"/>
        <w:rPr>
          <w:rFonts w:ascii="仿宋" w:hAnsi="仿宋" w:eastAsia="仿宋" w:cs="仿宋"/>
          <w:sz w:val="24"/>
          <w:szCs w:val="24"/>
        </w:rPr>
      </w:pPr>
      <w:bookmarkStart w:id="27" w:name="_第十一条_工程结算"/>
      <w:bookmarkEnd w:id="27"/>
      <w:r>
        <w:rPr>
          <w:rFonts w:hint="eastAsia" w:ascii="仿宋" w:hAnsi="仿宋" w:eastAsia="仿宋" w:cs="仿宋"/>
          <w:sz w:val="24"/>
          <w:szCs w:val="24"/>
        </w:rPr>
        <w:t>七、质量保修</w:t>
      </w:r>
    </w:p>
    <w:p>
      <w:pPr>
        <w:adjustRightInd w:val="0"/>
        <w:snapToGrid w:val="0"/>
        <w:spacing w:line="520" w:lineRule="exact"/>
        <w:ind w:right="-74" w:firstLine="420" w:firstLineChars="175"/>
        <w:rPr>
          <w:rFonts w:ascii="仿宋" w:hAnsi="仿宋" w:eastAsia="仿宋" w:cs="仿宋"/>
          <w:sz w:val="24"/>
          <w:szCs w:val="24"/>
        </w:rPr>
      </w:pPr>
      <w:r>
        <w:rPr>
          <w:rFonts w:hint="eastAsia" w:ascii="仿宋" w:hAnsi="仿宋" w:eastAsia="仿宋" w:cs="仿宋"/>
          <w:sz w:val="24"/>
          <w:szCs w:val="24"/>
        </w:rPr>
        <w:t>7.1本合同工程质量保修期：建设工程的保修期</w:t>
      </w:r>
      <w:r>
        <w:rPr>
          <w:rFonts w:hint="eastAsia" w:ascii="仿宋" w:hAnsi="仿宋" w:eastAsia="仿宋" w:cs="仿宋"/>
          <w:sz w:val="24"/>
          <w:szCs w:val="24"/>
          <w:u w:val="single"/>
        </w:rPr>
        <w:t>自工程竣工验收合格之日起计算</w:t>
      </w:r>
      <w:r>
        <w:rPr>
          <w:rFonts w:hint="eastAsia" w:ascii="仿宋" w:hAnsi="仿宋" w:eastAsia="仿宋" w:cs="仿宋"/>
          <w:sz w:val="24"/>
          <w:szCs w:val="24"/>
        </w:rPr>
        <w:t>，详见本合同附件1《工程质量保修书》。</w:t>
      </w:r>
    </w:p>
    <w:p>
      <w:pPr>
        <w:adjustRightInd w:val="0"/>
        <w:snapToGrid w:val="0"/>
        <w:spacing w:line="520" w:lineRule="exact"/>
        <w:ind w:right="-74" w:firstLine="420" w:firstLineChars="175"/>
        <w:rPr>
          <w:rFonts w:ascii="仿宋" w:hAnsi="仿宋" w:eastAsia="仿宋" w:cs="仿宋"/>
          <w:sz w:val="24"/>
          <w:szCs w:val="24"/>
        </w:rPr>
      </w:pPr>
      <w:r>
        <w:rPr>
          <w:rFonts w:hint="eastAsia" w:ascii="仿宋" w:hAnsi="仿宋" w:eastAsia="仿宋" w:cs="仿宋"/>
          <w:sz w:val="24"/>
          <w:szCs w:val="24"/>
        </w:rPr>
        <w:t>7.2在保修期内出现</w:t>
      </w:r>
      <w:r>
        <w:rPr>
          <w:rFonts w:hint="eastAsia" w:ascii="仿宋" w:hAnsi="仿宋" w:eastAsia="仿宋" w:cs="仿宋"/>
          <w:i/>
          <w:iCs/>
          <w:sz w:val="24"/>
          <w:szCs w:val="24"/>
          <w:u w:val="single"/>
        </w:rPr>
        <w:t xml:space="preserve"> 防水 </w:t>
      </w:r>
      <w:r>
        <w:rPr>
          <w:rFonts w:hint="eastAsia" w:ascii="仿宋" w:hAnsi="仿宋" w:eastAsia="仿宋" w:cs="仿宋"/>
          <w:sz w:val="24"/>
          <w:szCs w:val="24"/>
        </w:rPr>
        <w:t>质量问题经修复完成后，相应保修期重新计算。</w:t>
      </w:r>
    </w:p>
    <w:p>
      <w:pPr>
        <w:pStyle w:val="6"/>
        <w:adjustRightInd w:val="0"/>
        <w:snapToGrid w:val="0"/>
        <w:spacing w:before="120" w:after="120" w:line="520" w:lineRule="exact"/>
        <w:rPr>
          <w:rFonts w:ascii="仿宋" w:hAnsi="仿宋" w:eastAsia="仿宋" w:cs="仿宋"/>
          <w:sz w:val="24"/>
          <w:szCs w:val="24"/>
        </w:rPr>
      </w:pPr>
      <w:r>
        <w:rPr>
          <w:rFonts w:hint="eastAsia" w:ascii="仿宋" w:hAnsi="仿宋" w:eastAsia="仿宋" w:cs="仿宋"/>
          <w:sz w:val="24"/>
          <w:szCs w:val="24"/>
        </w:rPr>
        <w:t>八、违约责任</w:t>
      </w:r>
    </w:p>
    <w:p>
      <w:pPr>
        <w:adjustRightInd w:val="0"/>
        <w:snapToGrid w:val="0"/>
        <w:spacing w:line="520" w:lineRule="exact"/>
        <w:ind w:right="-74" w:firstLine="420" w:firstLineChars="175"/>
        <w:rPr>
          <w:rFonts w:ascii="仿宋" w:hAnsi="仿宋" w:eastAsia="仿宋" w:cs="仿宋"/>
          <w:sz w:val="24"/>
          <w:szCs w:val="24"/>
        </w:rPr>
      </w:pPr>
      <w:r>
        <w:rPr>
          <w:rFonts w:hint="eastAsia" w:ascii="仿宋" w:hAnsi="仿宋" w:eastAsia="仿宋" w:cs="仿宋"/>
          <w:sz w:val="24"/>
          <w:szCs w:val="24"/>
        </w:rPr>
        <w:t>8</w:t>
      </w:r>
      <w:r>
        <w:rPr>
          <w:rFonts w:ascii="仿宋" w:hAnsi="仿宋" w:eastAsia="仿宋" w:cs="仿宋"/>
          <w:sz w:val="24"/>
          <w:szCs w:val="24"/>
        </w:rPr>
        <w:t>.1</w:t>
      </w:r>
      <w:r>
        <w:rPr>
          <w:rFonts w:hint="eastAsia" w:ascii="仿宋" w:hAnsi="仿宋" w:eastAsia="仿宋" w:cs="仿宋"/>
          <w:sz w:val="24"/>
          <w:szCs w:val="24"/>
        </w:rPr>
        <w:t>承包人在履行合同过程中，不能满足发包人施工进度和质量、安全文明要求的以及承包人项目经理、主要管理人员不能现场履职的，承包人应向发包人支付5000-100000元/次作为赔偿金；如发生承包人及/或实际施工人存在无相关许可资质、借用或冒用他人的资质、印章等严重情节（具体以发包人认定为准）的，发包人有权解除合同，同时承包人按合同最终结算价的10％支付违约金，没有合同最终结算价的，按合同暂定价的10％计算，发包人有权保留进一步索赔的权利。</w:t>
      </w:r>
    </w:p>
    <w:p>
      <w:pPr>
        <w:adjustRightInd w:val="0"/>
        <w:snapToGrid w:val="0"/>
        <w:spacing w:line="520" w:lineRule="exact"/>
        <w:ind w:right="-74" w:firstLine="420" w:firstLineChars="175"/>
        <w:rPr>
          <w:rFonts w:ascii="仿宋" w:hAnsi="仿宋" w:eastAsia="仿宋" w:cs="仿宋"/>
          <w:sz w:val="24"/>
          <w:szCs w:val="24"/>
        </w:rPr>
      </w:pPr>
      <w:r>
        <w:rPr>
          <w:rFonts w:hint="eastAsia" w:ascii="仿宋" w:hAnsi="仿宋" w:eastAsia="仿宋" w:cs="仿宋"/>
          <w:sz w:val="24"/>
          <w:szCs w:val="24"/>
        </w:rPr>
        <w:t>8.2工程量签证现场草签结束后3日内，施工单位汇总统计草签单中的工程量或发生的人工、机械设备台班数量，填写《现场签证单》。签证签批办理最长不超过28日。若超出28日，每超期一天施工单位承担签证单工程量5‰/天/项的折损，直至全部折损完毕。在竣工结算审计时，按正式签证日期与草签单日期的间隔日历天数予以扣除。</w:t>
      </w:r>
    </w:p>
    <w:p>
      <w:pPr>
        <w:adjustRightInd w:val="0"/>
        <w:snapToGrid w:val="0"/>
        <w:spacing w:line="520" w:lineRule="exact"/>
        <w:ind w:right="-74" w:firstLine="420" w:firstLineChars="175"/>
        <w:rPr>
          <w:rFonts w:ascii="仿宋" w:hAnsi="仿宋" w:eastAsia="仿宋" w:cs="仿宋"/>
          <w:sz w:val="24"/>
          <w:szCs w:val="24"/>
        </w:rPr>
      </w:pPr>
      <w:r>
        <w:rPr>
          <w:rFonts w:hint="eastAsia" w:ascii="仿宋" w:hAnsi="仿宋" w:eastAsia="仿宋" w:cs="仿宋"/>
          <w:sz w:val="24"/>
          <w:szCs w:val="24"/>
        </w:rPr>
        <w:t>8.3当发生新增工作内容，合同中没有价格的，承包人应最迟在28天内提报批价申请以及依据资料，承包人逾期未提报批价申请，承包人丧失主张权利，经发包人同意事后补办的，视为承包人无条件认可发包人最终审批价格，发包人亦不再受理异议。结算时批价资料无需施工方签字认可即为有效。</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kern w:val="0"/>
          <w:sz w:val="24"/>
          <w:szCs w:val="24"/>
        </w:rPr>
        <w:t>8.4如果承包人违反本合同约定（含附件，如有）的，除应按本合同约定赔偿损失及违约金外，还应赔偿包括但不限于发包人因此支出的或预计支付的诉讼费、保全申请费、保全保险费、鉴定费、评估费、司法审计费、拍卖费、律师费等一切费用。</w:t>
      </w:r>
    </w:p>
    <w:p>
      <w:pPr>
        <w:pStyle w:val="6"/>
        <w:adjustRightInd w:val="0"/>
        <w:snapToGrid w:val="0"/>
        <w:spacing w:before="120" w:after="120" w:line="520" w:lineRule="exact"/>
        <w:rPr>
          <w:rFonts w:ascii="仿宋" w:hAnsi="仿宋" w:eastAsia="仿宋" w:cs="仿宋"/>
          <w:sz w:val="24"/>
          <w:szCs w:val="24"/>
        </w:rPr>
      </w:pPr>
      <w:r>
        <w:rPr>
          <w:rFonts w:hint="eastAsia" w:ascii="仿宋" w:hAnsi="仿宋" w:eastAsia="仿宋" w:cs="仿宋"/>
          <w:sz w:val="24"/>
          <w:szCs w:val="24"/>
        </w:rPr>
        <w:t>九、争议解决</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kern w:val="0"/>
          <w:sz w:val="24"/>
          <w:szCs w:val="24"/>
        </w:rPr>
        <w:t>9.1本合同有效期内发生纠纷，由双方协商解决。如协商不成，</w:t>
      </w:r>
      <w:r>
        <w:rPr>
          <w:rFonts w:hint="eastAsia" w:ascii="仿宋" w:hAnsi="仿宋" w:eastAsia="仿宋" w:cs="仿宋"/>
          <w:sz w:val="24"/>
          <w:szCs w:val="24"/>
        </w:rPr>
        <w:t>双方同意依法向</w:t>
      </w:r>
      <w:r>
        <w:rPr>
          <w:rFonts w:hint="eastAsia" w:ascii="仿宋" w:hAnsi="仿宋" w:eastAsia="仿宋" w:cs="仿宋"/>
          <w:i/>
          <w:iCs/>
          <w:sz w:val="24"/>
          <w:szCs w:val="24"/>
          <w:u w:val="single"/>
        </w:rPr>
        <w:t>建设工程所在地有管辖权的人民法院起诉</w:t>
      </w:r>
      <w:r>
        <w:rPr>
          <w:rFonts w:hint="eastAsia" w:ascii="仿宋" w:hAnsi="仿宋" w:eastAsia="仿宋" w:cs="仿宋"/>
          <w:sz w:val="24"/>
          <w:szCs w:val="24"/>
        </w:rPr>
        <w:t>解决。</w:t>
      </w:r>
    </w:p>
    <w:p>
      <w:pPr>
        <w:pStyle w:val="6"/>
        <w:adjustRightInd w:val="0"/>
        <w:snapToGrid w:val="0"/>
        <w:spacing w:before="120" w:after="120" w:line="520" w:lineRule="exact"/>
        <w:rPr>
          <w:rFonts w:ascii="仿宋" w:hAnsi="仿宋" w:eastAsia="仿宋" w:cs="仿宋"/>
          <w:sz w:val="24"/>
          <w:szCs w:val="24"/>
        </w:rPr>
      </w:pPr>
      <w:r>
        <w:rPr>
          <w:rFonts w:hint="eastAsia" w:ascii="仿宋" w:hAnsi="仿宋" w:eastAsia="仿宋" w:cs="仿宋"/>
          <w:sz w:val="24"/>
          <w:szCs w:val="24"/>
        </w:rPr>
        <w:t>十、附则</w:t>
      </w:r>
      <w:r>
        <w:rPr>
          <w:rFonts w:hint="eastAsia" w:ascii="仿宋" w:hAnsi="仿宋" w:eastAsia="仿宋" w:cs="仿宋"/>
          <w:b w:val="0"/>
          <w:bCs w:val="0"/>
          <w:i/>
          <w:iCs/>
          <w:sz w:val="24"/>
          <w:szCs w:val="24"/>
          <w:highlight w:val="yellow"/>
        </w:rPr>
        <w:t>（说明：根据工程实际情况，在前述条款未涉及的内容可在此进行补充）</w:t>
      </w:r>
    </w:p>
    <w:p>
      <w:pPr>
        <w:adjustRightInd w:val="0"/>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10.1发包人代表为</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w:t>
      </w:r>
    </w:p>
    <w:p>
      <w:pPr>
        <w:adjustRightInd w:val="0"/>
        <w:snapToGrid w:val="0"/>
        <w:spacing w:line="360" w:lineRule="auto"/>
        <w:ind w:firstLine="960" w:firstLineChars="400"/>
        <w:rPr>
          <w:rFonts w:ascii="仿宋" w:hAnsi="仿宋" w:eastAsia="仿宋" w:cs="仿宋"/>
          <w:sz w:val="24"/>
          <w:szCs w:val="24"/>
          <w:u w:val="single"/>
        </w:rPr>
      </w:pPr>
      <w:r>
        <w:rPr>
          <w:rFonts w:hint="eastAsia" w:ascii="仿宋" w:hAnsi="仿宋" w:eastAsia="仿宋" w:cs="仿宋"/>
          <w:sz w:val="24"/>
          <w:szCs w:val="24"/>
        </w:rPr>
        <w:t>承包人代表为</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w:t>
      </w:r>
      <w:r>
        <w:rPr>
          <w:rFonts w:hint="eastAsia" w:ascii="仿宋" w:hAnsi="仿宋" w:eastAsia="仿宋" w:cs="仿宋"/>
          <w:sz w:val="24"/>
          <w:szCs w:val="24"/>
        </w:rPr>
        <w:t>执业证书号：</w:t>
      </w:r>
      <w:r>
        <w:rPr>
          <w:rFonts w:hint="eastAsia" w:ascii="仿宋" w:hAnsi="仿宋" w:eastAsia="仿宋" w:cs="仿宋"/>
          <w:sz w:val="24"/>
          <w:szCs w:val="24"/>
          <w:u w:val="single"/>
        </w:rPr>
        <w:t xml:space="preserve">        。</w:t>
      </w:r>
    </w:p>
    <w:p>
      <w:pPr>
        <w:adjustRightInd w:val="0"/>
        <w:snapToGrid w:val="0"/>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监理人代表为</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pPr>
        <w:pStyle w:val="12"/>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10.2其他补充说明</w:t>
      </w:r>
      <w:r>
        <w:rPr>
          <w:rFonts w:hint="eastAsia" w:ascii="仿宋" w:hAnsi="仿宋" w:eastAsia="仿宋" w:cs="仿宋"/>
          <w:i/>
          <w:iCs/>
          <w:sz w:val="24"/>
          <w:szCs w:val="24"/>
          <w:u w:val="single"/>
        </w:rPr>
        <w:t>（说明：根据招标文件要求补充）</w:t>
      </w:r>
    </w:p>
    <w:p>
      <w:pPr>
        <w:pStyle w:val="12"/>
        <w:numPr>
          <w:ilvl w:val="0"/>
          <w:numId w:val="33"/>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施工区、生活区水电费按表计量缴费，发生费用由承包人承担。</w:t>
      </w:r>
    </w:p>
    <w:p>
      <w:pPr>
        <w:pStyle w:val="12"/>
        <w:numPr>
          <w:ilvl w:val="0"/>
          <w:numId w:val="33"/>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本工程所用施工机械优先使用山东重工旗下产品，进入发包方所有厂区的物流车辆必须为重汽品牌，无条件严格遵守厂区人员车辆进出管理规定，否则造成的倒运费及工期等一切损失均有承包人承担。</w:t>
      </w:r>
    </w:p>
    <w:p>
      <w:pPr>
        <w:pStyle w:val="12"/>
        <w:numPr>
          <w:ilvl w:val="0"/>
          <w:numId w:val="33"/>
        </w:numPr>
        <w:spacing w:line="360" w:lineRule="auto"/>
        <w:ind w:firstLine="480" w:firstLineChars="200"/>
        <w:rPr>
          <w:rFonts w:ascii="仿宋" w:hAnsi="仿宋" w:eastAsia="仿宋" w:cs="仿宋"/>
          <w:sz w:val="24"/>
          <w:szCs w:val="24"/>
        </w:rPr>
      </w:pPr>
      <w:r>
        <w:rPr>
          <w:rFonts w:ascii="仿宋" w:hAnsi="仿宋" w:eastAsia="仿宋" w:cs="仿宋"/>
          <w:sz w:val="24"/>
          <w:szCs w:val="24"/>
        </w:rPr>
        <w:t>承包人应做好疫情防控工作，服从项目属地政府有关部门的管理要求，积极配合做好开工复工手续，</w:t>
      </w:r>
      <w:r>
        <w:rPr>
          <w:rFonts w:hint="eastAsia" w:ascii="仿宋" w:hAnsi="仿宋" w:eastAsia="仿宋" w:cs="仿宋"/>
          <w:sz w:val="24"/>
          <w:szCs w:val="24"/>
        </w:rPr>
        <w:t>施工现场疫情防控工作由施工总承包人统筹管理。防疫各项费用包含自合同签约价中，不另行计取。</w:t>
      </w:r>
    </w:p>
    <w:p>
      <w:pPr>
        <w:pStyle w:val="12"/>
        <w:numPr>
          <w:ilvl w:val="0"/>
          <w:numId w:val="33"/>
        </w:numPr>
        <w:spacing w:line="360" w:lineRule="auto"/>
        <w:ind w:firstLine="480" w:firstLineChars="200"/>
        <w:rPr>
          <w:rFonts w:ascii="仿宋" w:hAnsi="仿宋" w:eastAsia="仿宋" w:cs="仿宋"/>
          <w:color w:val="000000" w:themeColor="text1"/>
          <w:sz w:val="30"/>
          <w:szCs w:val="32"/>
          <w14:textFill>
            <w14:solidFill>
              <w14:schemeClr w14:val="tx1"/>
            </w14:solidFill>
          </w14:textFill>
        </w:rPr>
      </w:pPr>
      <w:bookmarkStart w:id="28" w:name="_Hlk159227912"/>
      <w:r>
        <w:rPr>
          <w:rFonts w:hint="eastAsia" w:ascii="仿宋" w:hAnsi="仿宋" w:eastAsia="仿宋" w:cs="仿宋"/>
          <w:sz w:val="24"/>
          <w:szCs w:val="24"/>
        </w:rPr>
        <w:t>工程结算审计，由发包人委托造价咨询单位审计或自行审计。（4</w:t>
      </w:r>
      <w:r>
        <w:rPr>
          <w:rFonts w:ascii="仿宋" w:hAnsi="仿宋" w:eastAsia="仿宋" w:cs="仿宋"/>
          <w:sz w:val="24"/>
          <w:szCs w:val="24"/>
        </w:rPr>
        <w:t>.1</w:t>
      </w:r>
      <w:r>
        <w:rPr>
          <w:rFonts w:hint="eastAsia" w:ascii="仿宋" w:hAnsi="仿宋" w:eastAsia="仿宋" w:cs="仿宋"/>
          <w:sz w:val="24"/>
          <w:szCs w:val="24"/>
        </w:rPr>
        <w:t>）</w:t>
      </w:r>
      <w:bookmarkEnd w:id="28"/>
      <w:r>
        <w:rPr>
          <w:rFonts w:hint="eastAsia" w:ascii="仿宋" w:hAnsi="仿宋" w:eastAsia="仿宋" w:cs="仿宋"/>
          <w:sz w:val="24"/>
          <w:szCs w:val="24"/>
        </w:rPr>
        <w:t>初审审计：结算审计费=基本审计费+效益审计费，其中：基本审计费1000元，效益审计费根据工程项目审减额参考鲁价费发【2007】205号文收费标准执行，对结算审减额超过5%部分，按5%计取审计费，以上费用均由承包人支付。审计费由承包人直接缴纳或者由发包人在工程款中代扣代缴。（</w:t>
      </w:r>
      <w:r>
        <w:rPr>
          <w:rFonts w:ascii="仿宋" w:hAnsi="仿宋" w:eastAsia="仿宋" w:cs="仿宋"/>
          <w:sz w:val="24"/>
          <w:szCs w:val="24"/>
        </w:rPr>
        <w:t>4</w:t>
      </w:r>
      <w:r>
        <w:rPr>
          <w:rFonts w:hint="eastAsia" w:ascii="仿宋" w:hAnsi="仿宋" w:eastAsia="仿宋" w:cs="仿宋"/>
          <w:sz w:val="24"/>
          <w:szCs w:val="24"/>
        </w:rPr>
        <w:t>.2）复审审计：结算审计费根据工程项目审减额参考鲁价费发【2007】205号文收费标准执行，结算审减额按5%计取审计费，由承包人支付。审计费由承包人直接缴纳或者由发包人在工程款中代扣代缴。</w:t>
      </w:r>
    </w:p>
    <w:p>
      <w:pPr>
        <w:pStyle w:val="12"/>
        <w:numPr>
          <w:ilvl w:val="0"/>
          <w:numId w:val="33"/>
        </w:num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项目描述及工作内容相同的清单子项综合单价必须相同，若有不同报价，结算时发包人有权按照较低报价确定该子项的综合单价。</w:t>
      </w:r>
    </w:p>
    <w:p>
      <w:pPr>
        <w:pStyle w:val="6"/>
        <w:adjustRightInd w:val="0"/>
        <w:snapToGrid w:val="0"/>
        <w:spacing w:before="120" w:after="120" w:line="520" w:lineRule="exact"/>
        <w:rPr>
          <w:rFonts w:ascii="仿宋" w:hAnsi="仿宋" w:eastAsia="仿宋" w:cs="仿宋"/>
          <w:sz w:val="24"/>
          <w:szCs w:val="24"/>
        </w:rPr>
      </w:pPr>
      <w:r>
        <w:rPr>
          <w:rFonts w:hint="eastAsia" w:ascii="仿宋" w:hAnsi="仿宋" w:eastAsia="仿宋" w:cs="仿宋"/>
          <w:sz w:val="24"/>
          <w:szCs w:val="24"/>
        </w:rPr>
        <w:t>十一、合同生效</w:t>
      </w:r>
    </w:p>
    <w:p>
      <w:pPr>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11.1本合同签订地点：_</w:t>
      </w:r>
      <w:r>
        <w:rPr>
          <w:rFonts w:ascii="仿宋" w:hAnsi="仿宋" w:eastAsia="仿宋" w:cs="仿宋"/>
          <w:bCs/>
          <w:sz w:val="24"/>
          <w:szCs w:val="24"/>
        </w:rPr>
        <w:t>_</w:t>
      </w:r>
      <w:r>
        <w:rPr>
          <w:rFonts w:hint="eastAsia" w:ascii="仿宋" w:hAnsi="仿宋" w:eastAsia="仿宋" w:cs="仿宋"/>
          <w:bCs/>
          <w:sz w:val="24"/>
          <w:szCs w:val="24"/>
        </w:rPr>
        <w:t>。</w:t>
      </w:r>
    </w:p>
    <w:p>
      <w:pPr>
        <w:adjustRightInd w:val="0"/>
        <w:snapToGrid w:val="0"/>
        <w:spacing w:line="360" w:lineRule="auto"/>
        <w:ind w:firstLine="480" w:firstLineChars="200"/>
        <w:rPr>
          <w:rFonts w:ascii="仿宋" w:hAnsi="仿宋" w:eastAsia="仿宋" w:cs="仿宋"/>
          <w:bCs/>
          <w:sz w:val="24"/>
          <w:szCs w:val="24"/>
          <w:u w:val="single"/>
        </w:rPr>
      </w:pPr>
      <w:r>
        <w:rPr>
          <w:rFonts w:hint="eastAsia" w:ascii="仿宋" w:hAnsi="仿宋" w:eastAsia="仿宋" w:cs="仿宋"/>
          <w:bCs/>
          <w:sz w:val="24"/>
          <w:szCs w:val="24"/>
        </w:rPr>
        <w:t>11.2本合同一式</w:t>
      </w:r>
      <w:r>
        <w:rPr>
          <w:rFonts w:hint="eastAsia" w:ascii="仿宋" w:hAnsi="仿宋" w:eastAsia="仿宋" w:cs="仿宋"/>
          <w:bCs/>
          <w:sz w:val="24"/>
          <w:szCs w:val="24"/>
          <w:u w:val="single"/>
        </w:rPr>
        <w:t xml:space="preserve"> </w:t>
      </w:r>
      <w:r>
        <w:rPr>
          <w:rFonts w:hint="eastAsia" w:ascii="仿宋" w:hAnsi="仿宋" w:eastAsia="仿宋" w:cs="仿宋"/>
          <w:bCs/>
          <w:i/>
          <w:iCs/>
          <w:sz w:val="24"/>
          <w:szCs w:val="24"/>
          <w:u w:val="single"/>
        </w:rPr>
        <w:t xml:space="preserve"> </w:t>
      </w:r>
      <w:r>
        <w:rPr>
          <w:rFonts w:hint="eastAsia" w:ascii="仿宋" w:hAnsi="仿宋" w:eastAsia="仿宋" w:cs="仿宋"/>
          <w:bCs/>
          <w:sz w:val="24"/>
          <w:szCs w:val="24"/>
        </w:rPr>
        <w:t>份，均具有同等法律效力，发包人</w:t>
      </w:r>
      <w:r>
        <w:rPr>
          <w:rFonts w:hint="eastAsia" w:ascii="仿宋" w:hAnsi="仿宋" w:eastAsia="仿宋" w:cs="仿宋"/>
          <w:bCs/>
          <w:i/>
          <w:iCs/>
          <w:sz w:val="24"/>
          <w:szCs w:val="24"/>
          <w:u w:val="single"/>
        </w:rPr>
        <w:t xml:space="preserve">  </w:t>
      </w:r>
      <w:r>
        <w:rPr>
          <w:rFonts w:hint="eastAsia" w:ascii="仿宋" w:hAnsi="仿宋" w:eastAsia="仿宋" w:cs="仿宋"/>
          <w:bCs/>
          <w:sz w:val="24"/>
          <w:szCs w:val="24"/>
        </w:rPr>
        <w:t>份，承包人</w:t>
      </w:r>
      <w:r>
        <w:rPr>
          <w:rFonts w:hint="eastAsia" w:ascii="仿宋" w:hAnsi="仿宋" w:eastAsia="仿宋" w:cs="仿宋"/>
          <w:bCs/>
          <w:sz w:val="24"/>
          <w:szCs w:val="24"/>
          <w:u w:val="single"/>
        </w:rPr>
        <w:t xml:space="preserve"> </w:t>
      </w:r>
      <w:r>
        <w:rPr>
          <w:rFonts w:hint="eastAsia" w:ascii="仿宋" w:hAnsi="仿宋" w:eastAsia="仿宋" w:cs="仿宋"/>
          <w:bCs/>
          <w:i/>
          <w:iCs/>
          <w:sz w:val="24"/>
          <w:szCs w:val="24"/>
          <w:u w:val="single"/>
        </w:rPr>
        <w:t xml:space="preserve"> </w:t>
      </w:r>
      <w:r>
        <w:rPr>
          <w:rFonts w:hint="eastAsia" w:ascii="仿宋" w:hAnsi="仿宋" w:eastAsia="仿宋" w:cs="仿宋"/>
          <w:bCs/>
          <w:sz w:val="24"/>
          <w:szCs w:val="24"/>
        </w:rPr>
        <w:t>份。</w:t>
      </w:r>
    </w:p>
    <w:p>
      <w:pPr>
        <w:adjustRightInd w:val="0"/>
        <w:snapToGrid w:val="0"/>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11.3本合同自</w:t>
      </w:r>
      <w:r>
        <w:rPr>
          <w:rFonts w:ascii="仿宋" w:hAnsi="仿宋" w:eastAsia="仿宋" w:cs="仿宋"/>
          <w:bCs/>
          <w:sz w:val="24"/>
          <w:szCs w:val="24"/>
        </w:rPr>
        <w:t>双方授权代表签署并加盖公章</w:t>
      </w:r>
      <w:r>
        <w:rPr>
          <w:rFonts w:hint="eastAsia" w:ascii="仿宋" w:hAnsi="仿宋" w:eastAsia="仿宋" w:cs="仿宋"/>
          <w:bCs/>
          <w:sz w:val="24"/>
          <w:szCs w:val="24"/>
        </w:rPr>
        <w:t>或者合同专用章之日起生效。合同附件作为合同不可分割的一部分，具有同等法律效力。</w:t>
      </w:r>
    </w:p>
    <w:p>
      <w:pPr>
        <w:adjustRightInd w:val="0"/>
        <w:snapToGrid w:val="0"/>
        <w:spacing w:line="520" w:lineRule="exact"/>
        <w:ind w:firstLine="482" w:firstLineChars="200"/>
        <w:rPr>
          <w:rFonts w:ascii="仿宋" w:hAnsi="仿宋" w:eastAsia="仿宋" w:cs="仿宋"/>
          <w:b/>
          <w:bCs/>
          <w:kern w:val="0"/>
          <w:sz w:val="24"/>
          <w:szCs w:val="24"/>
        </w:rPr>
      </w:pPr>
      <w:r>
        <w:rPr>
          <w:rFonts w:ascii="仿宋" w:hAnsi="仿宋" w:eastAsia="仿宋" w:cs="仿宋"/>
          <w:b/>
          <w:bCs/>
          <w:kern w:val="0"/>
          <w:sz w:val="24"/>
          <w:szCs w:val="24"/>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一方擅自增加、删改、篡改部分无效（</w:t>
      </w:r>
      <w:r>
        <w:rPr>
          <w:rFonts w:hint="eastAsia" w:ascii="仿宋" w:hAnsi="仿宋" w:eastAsia="仿宋" w:cs="仿宋"/>
          <w:b/>
          <w:bCs/>
          <w:kern w:val="0"/>
          <w:sz w:val="24"/>
          <w:szCs w:val="24"/>
        </w:rPr>
        <w:t>个人手写</w:t>
      </w:r>
      <w:r>
        <w:rPr>
          <w:rFonts w:ascii="仿宋" w:hAnsi="仿宋" w:eastAsia="仿宋" w:cs="仿宋"/>
          <w:b/>
          <w:bCs/>
          <w:kern w:val="0"/>
          <w:sz w:val="24"/>
          <w:szCs w:val="24"/>
        </w:rPr>
        <w:t>签名除外）</w:t>
      </w:r>
      <w:r>
        <w:rPr>
          <w:rFonts w:hint="eastAsia" w:ascii="仿宋" w:hAnsi="仿宋" w:eastAsia="仿宋" w:cs="仿宋"/>
          <w:b/>
          <w:bCs/>
          <w:kern w:val="0"/>
          <w:sz w:val="24"/>
          <w:szCs w:val="24"/>
        </w:rPr>
        <w:t>。</w:t>
      </w:r>
    </w:p>
    <w:p>
      <w:pPr>
        <w:adjustRightInd w:val="0"/>
        <w:snapToGrid w:val="0"/>
        <w:spacing w:line="520" w:lineRule="exact"/>
        <w:ind w:firstLine="482" w:firstLineChars="200"/>
        <w:rPr>
          <w:rFonts w:ascii="仿宋" w:hAnsi="仿宋" w:eastAsia="仿宋" w:cs="仿宋"/>
          <w:b/>
          <w:bCs/>
          <w:kern w:val="0"/>
          <w:sz w:val="24"/>
          <w:szCs w:val="24"/>
        </w:rPr>
      </w:pPr>
      <w:r>
        <w:rPr>
          <w:rFonts w:ascii="仿宋" w:hAnsi="仿宋" w:eastAsia="仿宋" w:cs="仿宋"/>
          <w:b/>
          <w:bCs/>
          <w:kern w:val="0"/>
          <w:sz w:val="24"/>
          <w:szCs w:val="24"/>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w:t>
      </w:r>
      <w:r>
        <w:rPr>
          <w:rFonts w:hint="eastAsia" w:ascii="仿宋" w:hAnsi="仿宋" w:eastAsia="仿宋" w:cs="仿宋"/>
          <w:b/>
          <w:bCs/>
          <w:kern w:val="0"/>
          <w:sz w:val="24"/>
          <w:szCs w:val="24"/>
        </w:rPr>
        <w:t>各</w:t>
      </w:r>
      <w:r>
        <w:rPr>
          <w:rFonts w:ascii="仿宋" w:hAnsi="仿宋" w:eastAsia="仿宋" w:cs="仿宋"/>
          <w:b/>
          <w:bCs/>
          <w:kern w:val="0"/>
          <w:sz w:val="24"/>
          <w:szCs w:val="24"/>
        </w:rPr>
        <w:t>方已签署完毕。</w:t>
      </w:r>
    </w:p>
    <w:p>
      <w:pPr>
        <w:adjustRightInd w:val="0"/>
        <w:snapToGrid w:val="0"/>
        <w:spacing w:line="520" w:lineRule="exact"/>
        <w:rPr>
          <w:rFonts w:ascii="仿宋" w:hAnsi="仿宋" w:eastAsia="仿宋" w:cs="仿宋"/>
          <w:sz w:val="24"/>
          <w:szCs w:val="24"/>
        </w:rPr>
      </w:pPr>
    </w:p>
    <w:tbl>
      <w:tblPr>
        <w:tblStyle w:val="30"/>
        <w:tblW w:w="9179" w:type="dxa"/>
        <w:jc w:val="center"/>
        <w:tblLayout w:type="fixed"/>
        <w:tblCellMar>
          <w:top w:w="0" w:type="dxa"/>
          <w:left w:w="108" w:type="dxa"/>
          <w:bottom w:w="0" w:type="dxa"/>
          <w:right w:w="108" w:type="dxa"/>
        </w:tblCellMar>
      </w:tblPr>
      <w:tblGrid>
        <w:gridCol w:w="4498"/>
        <w:gridCol w:w="4681"/>
      </w:tblGrid>
      <w:tr>
        <w:tblPrEx>
          <w:tblCellMar>
            <w:top w:w="0" w:type="dxa"/>
            <w:left w:w="108" w:type="dxa"/>
            <w:bottom w:w="0" w:type="dxa"/>
            <w:right w:w="108" w:type="dxa"/>
          </w:tblCellMar>
        </w:tblPrEx>
        <w:trPr>
          <w:trHeight w:val="1245" w:hRule="exact"/>
          <w:jc w:val="center"/>
        </w:trPr>
        <w:tc>
          <w:tcPr>
            <w:tcW w:w="4498"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仿宋"/>
                <w:bCs/>
                <w:sz w:val="24"/>
                <w:szCs w:val="24"/>
              </w:rPr>
            </w:pPr>
            <w:r>
              <w:rPr>
                <w:rFonts w:hint="eastAsia" w:ascii="仿宋" w:hAnsi="仿宋" w:eastAsia="仿宋" w:cs="仿宋"/>
                <w:sz w:val="24"/>
                <w:szCs w:val="24"/>
              </w:rPr>
              <w:t>发包人</w:t>
            </w:r>
            <w:r>
              <w:rPr>
                <w:rFonts w:hint="eastAsia" w:ascii="仿宋" w:hAnsi="仿宋" w:eastAsia="仿宋" w:cs="仿宋"/>
                <w:bCs/>
                <w:sz w:val="24"/>
                <w:szCs w:val="24"/>
              </w:rPr>
              <w:t>：（签章）</w:t>
            </w:r>
          </w:p>
          <w:p>
            <w:pPr>
              <w:spacing w:line="540" w:lineRule="exact"/>
              <w:rPr>
                <w:rFonts w:ascii="仿宋" w:hAnsi="仿宋" w:eastAsia="仿宋" w:cs="仿宋"/>
                <w:sz w:val="24"/>
                <w:szCs w:val="24"/>
              </w:rPr>
            </w:pPr>
          </w:p>
        </w:tc>
        <w:tc>
          <w:tcPr>
            <w:tcW w:w="4681" w:type="dxa"/>
            <w:tcBorders>
              <w:top w:val="single" w:color="auto" w:sz="4" w:space="0"/>
              <w:left w:val="single" w:color="auto" w:sz="4" w:space="0"/>
              <w:bottom w:val="single" w:color="auto" w:sz="4" w:space="0"/>
              <w:right w:val="single" w:color="auto" w:sz="4" w:space="0"/>
            </w:tcBorders>
          </w:tcPr>
          <w:p>
            <w:pPr>
              <w:spacing w:line="540" w:lineRule="exact"/>
              <w:rPr>
                <w:rFonts w:ascii="仿宋" w:hAnsi="仿宋" w:eastAsia="仿宋" w:cs="仿宋"/>
                <w:bCs/>
                <w:sz w:val="24"/>
                <w:szCs w:val="24"/>
              </w:rPr>
            </w:pPr>
            <w:r>
              <w:rPr>
                <w:rFonts w:hint="eastAsia" w:ascii="仿宋" w:hAnsi="仿宋" w:eastAsia="仿宋" w:cs="仿宋"/>
                <w:bCs/>
                <w:sz w:val="24"/>
                <w:szCs w:val="24"/>
              </w:rPr>
              <w:t>承包人：（签章）</w:t>
            </w:r>
          </w:p>
          <w:p>
            <w:pPr>
              <w:spacing w:line="540" w:lineRule="exact"/>
              <w:rPr>
                <w:rFonts w:ascii="仿宋" w:hAnsi="仿宋" w:eastAsia="仿宋" w:cs="仿宋"/>
                <w:bCs/>
                <w:sz w:val="24"/>
                <w:szCs w:val="24"/>
                <w:lang w:bidi="en-US"/>
              </w:rPr>
            </w:pPr>
          </w:p>
        </w:tc>
      </w:tr>
      <w:tr>
        <w:tblPrEx>
          <w:tblCellMar>
            <w:top w:w="0" w:type="dxa"/>
            <w:left w:w="108" w:type="dxa"/>
            <w:bottom w:w="0" w:type="dxa"/>
            <w:right w:w="108" w:type="dxa"/>
          </w:tblCellMar>
        </w:tblPrEx>
        <w:trPr>
          <w:trHeight w:val="786" w:hRule="atLeast"/>
          <w:jc w:val="center"/>
        </w:trPr>
        <w:tc>
          <w:tcPr>
            <w:tcW w:w="4498" w:type="dxa"/>
            <w:tcBorders>
              <w:top w:val="single" w:color="auto" w:sz="4" w:space="0"/>
              <w:left w:val="single" w:color="auto" w:sz="4" w:space="0"/>
              <w:bottom w:val="single" w:color="auto" w:sz="4" w:space="0"/>
              <w:right w:val="single" w:color="auto" w:sz="4" w:space="0"/>
            </w:tcBorders>
          </w:tcPr>
          <w:p>
            <w:pPr>
              <w:spacing w:before="240" w:after="160" w:line="240" w:lineRule="exact"/>
              <w:rPr>
                <w:rFonts w:ascii="仿宋" w:hAnsi="仿宋" w:eastAsia="仿宋" w:cs="仿宋"/>
                <w:sz w:val="24"/>
                <w:szCs w:val="24"/>
              </w:rPr>
            </w:pPr>
            <w:r>
              <w:rPr>
                <w:rFonts w:hint="eastAsia" w:ascii="仿宋" w:hAnsi="仿宋" w:eastAsia="仿宋" w:cs="仿宋"/>
                <w:bCs/>
                <w:sz w:val="24"/>
                <w:szCs w:val="24"/>
              </w:rPr>
              <w:t>法定代表人/委托人（签字）：</w:t>
            </w:r>
          </w:p>
        </w:tc>
        <w:tc>
          <w:tcPr>
            <w:tcW w:w="4681" w:type="dxa"/>
            <w:tcBorders>
              <w:top w:val="single" w:color="auto" w:sz="4" w:space="0"/>
              <w:left w:val="single" w:color="auto" w:sz="4" w:space="0"/>
              <w:bottom w:val="single" w:color="auto" w:sz="4" w:space="0"/>
              <w:right w:val="single" w:color="auto" w:sz="4" w:space="0"/>
            </w:tcBorders>
          </w:tcPr>
          <w:p>
            <w:pPr>
              <w:spacing w:before="240" w:after="160" w:line="240" w:lineRule="exact"/>
              <w:rPr>
                <w:rFonts w:ascii="仿宋" w:hAnsi="仿宋" w:eastAsia="仿宋" w:cs="仿宋"/>
                <w:bCs/>
                <w:sz w:val="24"/>
                <w:szCs w:val="24"/>
                <w:lang w:bidi="en-US"/>
              </w:rPr>
            </w:pPr>
            <w:r>
              <w:rPr>
                <w:rFonts w:hint="eastAsia" w:ascii="仿宋" w:hAnsi="仿宋" w:eastAsia="仿宋" w:cs="仿宋"/>
                <w:bCs/>
                <w:sz w:val="24"/>
                <w:szCs w:val="24"/>
              </w:rPr>
              <w:t>法定代表人/委托人（签字）：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4498" w:type="dxa"/>
            <w:vAlign w:val="center"/>
          </w:tcPr>
          <w:p>
            <w:pPr>
              <w:rPr>
                <w:rFonts w:ascii="仿宋" w:hAnsi="仿宋" w:eastAsia="仿宋" w:cs="仿宋"/>
                <w:sz w:val="24"/>
                <w:szCs w:val="24"/>
              </w:rPr>
            </w:pPr>
            <w:r>
              <w:rPr>
                <w:rFonts w:hint="eastAsia" w:ascii="仿宋" w:hAnsi="仿宋" w:eastAsia="仿宋" w:cs="仿宋"/>
                <w:bCs/>
                <w:sz w:val="24"/>
                <w:szCs w:val="24"/>
              </w:rPr>
              <w:t>开户银行：</w:t>
            </w:r>
          </w:p>
        </w:tc>
        <w:tc>
          <w:tcPr>
            <w:tcW w:w="4681" w:type="dxa"/>
            <w:vAlign w:val="center"/>
          </w:tcPr>
          <w:p>
            <w:pPr>
              <w:rPr>
                <w:rFonts w:ascii="仿宋" w:hAnsi="仿宋" w:eastAsia="仿宋" w:cs="仿宋"/>
                <w:sz w:val="24"/>
                <w:szCs w:val="24"/>
              </w:rPr>
            </w:pPr>
            <w:r>
              <w:rPr>
                <w:rFonts w:hint="eastAsia" w:ascii="仿宋" w:hAnsi="仿宋" w:eastAsia="仿宋" w:cs="仿宋"/>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pPr>
              <w:rPr>
                <w:rFonts w:ascii="仿宋" w:hAnsi="仿宋" w:eastAsia="仿宋" w:cs="仿宋"/>
                <w:sz w:val="24"/>
                <w:szCs w:val="24"/>
              </w:rPr>
            </w:pPr>
            <w:r>
              <w:rPr>
                <w:rFonts w:hint="eastAsia" w:ascii="仿宋" w:hAnsi="仿宋" w:eastAsia="仿宋" w:cs="仿宋"/>
                <w:bCs/>
                <w:sz w:val="24"/>
                <w:szCs w:val="24"/>
              </w:rPr>
              <w:t>户名：</w:t>
            </w:r>
          </w:p>
        </w:tc>
        <w:tc>
          <w:tcPr>
            <w:tcW w:w="4681" w:type="dxa"/>
            <w:vAlign w:val="center"/>
          </w:tcPr>
          <w:p>
            <w:pPr>
              <w:rPr>
                <w:rFonts w:ascii="仿宋" w:hAnsi="仿宋" w:eastAsia="仿宋" w:cs="仿宋"/>
                <w:bCs/>
                <w:sz w:val="24"/>
                <w:szCs w:val="24"/>
                <w:lang w:bidi="en-US"/>
              </w:rPr>
            </w:pPr>
            <w:r>
              <w:rPr>
                <w:rFonts w:hint="eastAsia" w:ascii="仿宋" w:hAnsi="仿宋" w:eastAsia="仿宋" w:cs="仿宋"/>
                <w:bCs/>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pPr>
              <w:rPr>
                <w:rFonts w:ascii="仿宋" w:hAnsi="仿宋" w:eastAsia="仿宋" w:cs="仿宋"/>
                <w:sz w:val="24"/>
                <w:szCs w:val="24"/>
              </w:rPr>
            </w:pPr>
            <w:r>
              <w:rPr>
                <w:rFonts w:hint="eastAsia" w:ascii="仿宋" w:hAnsi="仿宋" w:eastAsia="仿宋" w:cs="仿宋"/>
                <w:bCs/>
                <w:sz w:val="24"/>
                <w:szCs w:val="24"/>
              </w:rPr>
              <w:t>账号：</w:t>
            </w:r>
          </w:p>
        </w:tc>
        <w:tc>
          <w:tcPr>
            <w:tcW w:w="4681" w:type="dxa"/>
            <w:vAlign w:val="center"/>
          </w:tcPr>
          <w:p>
            <w:pPr>
              <w:rPr>
                <w:rFonts w:ascii="仿宋" w:hAnsi="仿宋" w:eastAsia="仿宋" w:cs="仿宋"/>
                <w:bCs/>
                <w:sz w:val="24"/>
                <w:szCs w:val="24"/>
                <w:lang w:eastAsia="en-US" w:bidi="en-US"/>
              </w:rPr>
            </w:pPr>
            <w:r>
              <w:rPr>
                <w:rFonts w:hint="eastAsia" w:ascii="仿宋" w:hAnsi="仿宋" w:eastAsia="仿宋" w:cs="仿宋"/>
                <w:bCs/>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pPr>
              <w:rPr>
                <w:rFonts w:ascii="仿宋" w:hAnsi="仿宋" w:eastAsia="仿宋" w:cs="仿宋"/>
                <w:sz w:val="24"/>
                <w:szCs w:val="24"/>
              </w:rPr>
            </w:pPr>
            <w:r>
              <w:rPr>
                <w:rFonts w:hint="eastAsia" w:ascii="仿宋" w:hAnsi="仿宋" w:eastAsia="仿宋" w:cs="仿宋"/>
                <w:bCs/>
                <w:sz w:val="24"/>
                <w:szCs w:val="24"/>
              </w:rPr>
              <w:t>纳税人识别号：</w:t>
            </w:r>
          </w:p>
        </w:tc>
        <w:tc>
          <w:tcPr>
            <w:tcW w:w="4681" w:type="dxa"/>
            <w:vAlign w:val="center"/>
          </w:tcPr>
          <w:p>
            <w:pPr>
              <w:rPr>
                <w:rFonts w:ascii="仿宋" w:hAnsi="仿宋" w:eastAsia="仿宋" w:cs="仿宋"/>
                <w:bCs/>
                <w:sz w:val="24"/>
                <w:szCs w:val="24"/>
                <w:lang w:eastAsia="en-US" w:bidi="en-US"/>
              </w:rPr>
            </w:pPr>
            <w:r>
              <w:rPr>
                <w:rFonts w:hint="eastAsia" w:ascii="仿宋" w:hAnsi="仿宋" w:eastAsia="仿宋" w:cs="仿宋"/>
                <w:bCs/>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pPr>
              <w:rPr>
                <w:rFonts w:ascii="仿宋" w:hAnsi="仿宋" w:eastAsia="仿宋" w:cs="仿宋"/>
                <w:sz w:val="24"/>
                <w:szCs w:val="24"/>
              </w:rPr>
            </w:pPr>
            <w:r>
              <w:rPr>
                <w:rFonts w:hint="eastAsia" w:ascii="仿宋" w:hAnsi="仿宋" w:eastAsia="仿宋" w:cs="仿宋"/>
                <w:bCs/>
                <w:sz w:val="24"/>
                <w:szCs w:val="24"/>
              </w:rPr>
              <w:t>邮编：</w:t>
            </w:r>
          </w:p>
        </w:tc>
        <w:tc>
          <w:tcPr>
            <w:tcW w:w="4681" w:type="dxa"/>
            <w:vAlign w:val="center"/>
          </w:tcPr>
          <w:p>
            <w:pPr>
              <w:rPr>
                <w:rFonts w:ascii="仿宋" w:hAnsi="仿宋" w:eastAsia="仿宋" w:cs="仿宋"/>
                <w:bCs/>
                <w:sz w:val="24"/>
                <w:szCs w:val="24"/>
                <w:lang w:eastAsia="en-US" w:bidi="en-US"/>
              </w:rPr>
            </w:pPr>
            <w:r>
              <w:rPr>
                <w:rFonts w:hint="eastAsia" w:ascii="仿宋" w:hAnsi="仿宋" w:eastAsia="仿宋" w:cs="仿宋"/>
                <w:bCs/>
                <w:sz w:val="24"/>
                <w:szCs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pPr>
              <w:rPr>
                <w:rFonts w:ascii="仿宋" w:hAnsi="仿宋" w:eastAsia="仿宋" w:cs="仿宋"/>
                <w:sz w:val="24"/>
                <w:szCs w:val="24"/>
              </w:rPr>
            </w:pPr>
            <w:r>
              <w:rPr>
                <w:rFonts w:hint="eastAsia" w:ascii="仿宋" w:hAnsi="仿宋" w:eastAsia="仿宋" w:cs="仿宋"/>
                <w:bCs/>
                <w:sz w:val="24"/>
                <w:szCs w:val="24"/>
              </w:rPr>
              <w:t>电话：</w:t>
            </w:r>
          </w:p>
        </w:tc>
        <w:tc>
          <w:tcPr>
            <w:tcW w:w="4681" w:type="dxa"/>
            <w:vAlign w:val="center"/>
          </w:tcPr>
          <w:p>
            <w:pPr>
              <w:rPr>
                <w:rFonts w:ascii="仿宋" w:hAnsi="仿宋" w:eastAsia="仿宋" w:cs="仿宋"/>
                <w:bCs/>
                <w:sz w:val="24"/>
                <w:szCs w:val="24"/>
                <w:lang w:eastAsia="en-US"/>
              </w:rPr>
            </w:pPr>
            <w:r>
              <w:rPr>
                <w:rFonts w:hint="eastAsia" w:ascii="仿宋" w:hAnsi="仿宋" w:eastAsia="仿宋" w:cs="仿宋"/>
                <w:bCs/>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pPr>
              <w:rPr>
                <w:rFonts w:ascii="仿宋" w:hAnsi="仿宋" w:eastAsia="仿宋" w:cs="仿宋"/>
                <w:sz w:val="24"/>
                <w:szCs w:val="24"/>
              </w:rPr>
            </w:pPr>
            <w:r>
              <w:rPr>
                <w:rFonts w:hint="eastAsia" w:ascii="仿宋" w:hAnsi="仿宋" w:eastAsia="仿宋" w:cs="仿宋"/>
                <w:bCs/>
                <w:sz w:val="24"/>
                <w:szCs w:val="24"/>
              </w:rPr>
              <w:t>传真：</w:t>
            </w:r>
          </w:p>
        </w:tc>
        <w:tc>
          <w:tcPr>
            <w:tcW w:w="4681" w:type="dxa"/>
            <w:vAlign w:val="center"/>
          </w:tcPr>
          <w:p>
            <w:pPr>
              <w:rPr>
                <w:rFonts w:ascii="仿宋" w:hAnsi="仿宋" w:eastAsia="仿宋" w:cs="仿宋"/>
                <w:bCs/>
                <w:sz w:val="24"/>
                <w:szCs w:val="24"/>
                <w:lang w:eastAsia="en-US" w:bidi="en-US"/>
              </w:rPr>
            </w:pPr>
            <w:r>
              <w:rPr>
                <w:rFonts w:hint="eastAsia" w:ascii="仿宋" w:hAnsi="仿宋" w:eastAsia="仿宋" w:cs="仿宋"/>
                <w:bCs/>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pPr>
              <w:rPr>
                <w:rFonts w:ascii="仿宋" w:hAnsi="仿宋" w:eastAsia="仿宋" w:cs="仿宋"/>
                <w:sz w:val="24"/>
                <w:szCs w:val="24"/>
              </w:rPr>
            </w:pPr>
            <w:r>
              <w:rPr>
                <w:rFonts w:hint="eastAsia" w:ascii="仿宋" w:hAnsi="仿宋" w:eastAsia="仿宋" w:cs="仿宋"/>
                <w:bCs/>
                <w:sz w:val="24"/>
                <w:szCs w:val="24"/>
              </w:rPr>
              <w:t>邮箱：</w:t>
            </w:r>
          </w:p>
        </w:tc>
        <w:tc>
          <w:tcPr>
            <w:tcW w:w="4681" w:type="dxa"/>
            <w:vAlign w:val="center"/>
          </w:tcPr>
          <w:p>
            <w:pPr>
              <w:rPr>
                <w:rFonts w:ascii="仿宋" w:hAnsi="仿宋" w:eastAsia="仿宋" w:cs="仿宋"/>
                <w:bCs/>
                <w:sz w:val="24"/>
                <w:szCs w:val="24"/>
                <w:lang w:eastAsia="en-US" w:bidi="en-US"/>
              </w:rPr>
            </w:pPr>
            <w:r>
              <w:rPr>
                <w:rFonts w:hint="eastAsia" w:ascii="仿宋" w:hAnsi="仿宋" w:eastAsia="仿宋" w:cs="仿宋"/>
                <w:bCs/>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4498" w:type="dxa"/>
            <w:vAlign w:val="center"/>
          </w:tcPr>
          <w:p>
            <w:pPr>
              <w:rPr>
                <w:rFonts w:ascii="仿宋" w:hAnsi="仿宋" w:eastAsia="仿宋" w:cs="仿宋"/>
                <w:sz w:val="24"/>
                <w:szCs w:val="24"/>
              </w:rPr>
            </w:pPr>
            <w:r>
              <w:rPr>
                <w:rFonts w:hint="eastAsia" w:ascii="仿宋" w:hAnsi="仿宋" w:eastAsia="仿宋" w:cs="仿宋"/>
                <w:bCs/>
                <w:sz w:val="24"/>
                <w:szCs w:val="24"/>
              </w:rPr>
              <w:t>联系人：</w:t>
            </w:r>
          </w:p>
        </w:tc>
        <w:tc>
          <w:tcPr>
            <w:tcW w:w="4681" w:type="dxa"/>
            <w:vAlign w:val="center"/>
          </w:tcPr>
          <w:p>
            <w:pPr>
              <w:rPr>
                <w:rFonts w:ascii="仿宋" w:hAnsi="仿宋" w:eastAsia="仿宋" w:cs="仿宋"/>
                <w:bCs/>
                <w:sz w:val="24"/>
                <w:szCs w:val="24"/>
                <w:lang w:bidi="en-US"/>
              </w:rPr>
            </w:pPr>
            <w:r>
              <w:rPr>
                <w:rFonts w:hint="eastAsia" w:ascii="仿宋" w:hAnsi="仿宋" w:eastAsia="仿宋" w:cs="仿宋"/>
                <w:bCs/>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4498" w:type="dxa"/>
            <w:vAlign w:val="center"/>
          </w:tcPr>
          <w:p>
            <w:pPr>
              <w:rPr>
                <w:rFonts w:ascii="仿宋" w:hAnsi="仿宋" w:eastAsia="仿宋" w:cs="仿宋"/>
                <w:sz w:val="24"/>
                <w:szCs w:val="24"/>
              </w:rPr>
            </w:pPr>
            <w:r>
              <w:rPr>
                <w:rFonts w:hint="eastAsia" w:ascii="仿宋" w:hAnsi="仿宋" w:eastAsia="仿宋" w:cs="仿宋"/>
                <w:bCs/>
                <w:sz w:val="24"/>
                <w:szCs w:val="24"/>
              </w:rPr>
              <w:t xml:space="preserve">地址： </w:t>
            </w:r>
          </w:p>
        </w:tc>
        <w:tc>
          <w:tcPr>
            <w:tcW w:w="4681" w:type="dxa"/>
            <w:vAlign w:val="center"/>
          </w:tcPr>
          <w:p>
            <w:pPr>
              <w:rPr>
                <w:rFonts w:ascii="仿宋" w:hAnsi="仿宋" w:eastAsia="仿宋" w:cs="仿宋"/>
                <w:bCs/>
                <w:sz w:val="24"/>
                <w:szCs w:val="24"/>
                <w:lang w:bidi="en-US"/>
              </w:rPr>
            </w:pPr>
            <w:r>
              <w:rPr>
                <w:rFonts w:hint="eastAsia" w:ascii="仿宋" w:hAnsi="仿宋" w:eastAsia="仿宋" w:cs="仿宋"/>
                <w:bCs/>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4498" w:type="dxa"/>
            <w:vAlign w:val="center"/>
          </w:tcPr>
          <w:p>
            <w:pPr>
              <w:rPr>
                <w:rFonts w:ascii="仿宋" w:hAnsi="仿宋" w:eastAsia="仿宋" w:cs="仿宋"/>
                <w:bCs/>
                <w:sz w:val="24"/>
                <w:szCs w:val="24"/>
              </w:rPr>
            </w:pPr>
            <w:r>
              <w:rPr>
                <w:rFonts w:hint="eastAsia" w:ascii="仿宋" w:hAnsi="仿宋" w:eastAsia="仿宋" w:cs="仿宋"/>
                <w:bCs/>
                <w:sz w:val="24"/>
                <w:szCs w:val="24"/>
              </w:rPr>
              <w:t>日期：</w:t>
            </w:r>
          </w:p>
        </w:tc>
        <w:tc>
          <w:tcPr>
            <w:tcW w:w="4681" w:type="dxa"/>
            <w:vAlign w:val="center"/>
          </w:tcPr>
          <w:p>
            <w:pPr>
              <w:rPr>
                <w:rFonts w:ascii="仿宋" w:hAnsi="仿宋" w:eastAsia="仿宋" w:cs="仿宋"/>
                <w:bCs/>
                <w:sz w:val="24"/>
                <w:szCs w:val="24"/>
              </w:rPr>
            </w:pPr>
            <w:r>
              <w:rPr>
                <w:rFonts w:hint="eastAsia" w:ascii="仿宋" w:hAnsi="仿宋" w:eastAsia="仿宋" w:cs="仿宋"/>
                <w:bCs/>
                <w:sz w:val="24"/>
                <w:szCs w:val="24"/>
              </w:rPr>
              <w:t>日期：</w:t>
            </w:r>
          </w:p>
        </w:tc>
      </w:tr>
    </w:tbl>
    <w:p>
      <w:pPr>
        <w:spacing w:line="440" w:lineRule="exact"/>
      </w:pPr>
      <w:r>
        <w:rPr>
          <w:rFonts w:ascii="仿宋" w:hAnsi="仿宋" w:eastAsia="仿宋" w:cs="仿宋"/>
          <w:sz w:val="24"/>
          <w:szCs w:val="24"/>
        </w:rPr>
        <w:br w:type="page"/>
      </w:r>
    </w:p>
    <w:p>
      <w:pPr>
        <w:pStyle w:val="76"/>
      </w:pPr>
    </w:p>
    <w:p>
      <w:pPr>
        <w:pStyle w:val="76"/>
      </w:pPr>
    </w:p>
    <w:p>
      <w:pPr>
        <w:pStyle w:val="71"/>
        <w:rPr>
          <w:rFonts w:hint="default" w:eastAsia="黑体"/>
          <w:lang w:val="en-US" w:eastAsia="zh-CN"/>
        </w:rPr>
      </w:pPr>
      <w:bookmarkStart w:id="29" w:name="_Toc47976615"/>
      <w:bookmarkStart w:id="30" w:name="_Toc5925"/>
      <w:r>
        <w:rPr>
          <w:rFonts w:hint="eastAsia"/>
        </w:rPr>
        <w:t>第四部分　</w:t>
      </w:r>
      <w:bookmarkEnd w:id="29"/>
      <w:r>
        <w:rPr>
          <w:rFonts w:hint="eastAsia"/>
          <w:lang w:val="en-US" w:eastAsia="zh-CN"/>
        </w:rPr>
        <w:t>投标文件附件</w:t>
      </w:r>
      <w:bookmarkEnd w:id="30"/>
    </w:p>
    <w:p>
      <w:pPr>
        <w:pStyle w:val="71"/>
        <w:jc w:val="left"/>
        <w:rPr>
          <w:rFonts w:hint="eastAsia" w:ascii="宋体" w:hAnsi="宋体" w:eastAsia="宋体" w:cs="宋体"/>
          <w:sz w:val="32"/>
          <w:szCs w:val="32"/>
          <w:highlight w:val="yellow"/>
          <w:lang w:eastAsia="zh-CN"/>
        </w:rPr>
      </w:pPr>
      <w:bookmarkStart w:id="31" w:name="_Toc47976616"/>
      <w:bookmarkStart w:id="32" w:name="_Toc4225"/>
      <w:r>
        <w:rPr>
          <w:rFonts w:hint="eastAsia" w:ascii="宋体" w:hAnsi="宋体" w:eastAsia="宋体" w:cs="宋体"/>
          <w:sz w:val="32"/>
          <w:szCs w:val="32"/>
          <w:highlight w:val="yellow"/>
        </w:rPr>
        <w:t>附件</w:t>
      </w:r>
      <w:bookmarkEnd w:id="31"/>
      <w:bookmarkEnd w:id="32"/>
      <w:r>
        <w:rPr>
          <w:rFonts w:hint="eastAsia" w:ascii="宋体" w:hAnsi="宋体" w:eastAsia="宋体" w:cs="宋体"/>
          <w:sz w:val="32"/>
          <w:szCs w:val="32"/>
          <w:highlight w:val="yellow"/>
          <w:lang w:val="en-US" w:eastAsia="zh-CN"/>
        </w:rPr>
        <w:t>1</w:t>
      </w:r>
    </w:p>
    <w:p>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pPr>
        <w:rPr>
          <w:rFonts w:ascii="黑体" w:hAnsi="Calibri" w:eastAsia="黑体" w:cs="Times New Roman"/>
          <w:color w:val="000000"/>
          <w:sz w:val="24"/>
          <w:szCs w:val="24"/>
        </w:rPr>
      </w:pPr>
    </w:p>
    <w:p>
      <w:pPr>
        <w:jc w:val="both"/>
        <w:rPr>
          <w:rFonts w:ascii="宋体"/>
          <w:b/>
          <w:color w:val="000000"/>
          <w:szCs w:val="24"/>
        </w:rPr>
      </w:pPr>
    </w:p>
    <w:p>
      <w:pPr>
        <w:pStyle w:val="72"/>
        <w:numPr>
          <w:ilvl w:val="0"/>
          <w:numId w:val="0"/>
        </w:numPr>
        <w:ind w:leftChars="0"/>
        <w:rPr>
          <w:rFonts w:hint="eastAsia" w:ascii="宋体" w:hAnsi="宋体" w:eastAsia="宋体" w:cs="宋体"/>
          <w:sz w:val="32"/>
          <w:szCs w:val="32"/>
          <w:highlight w:val="yellow"/>
          <w:lang w:val="en-US" w:eastAsia="zh-CN"/>
        </w:rPr>
      </w:pPr>
      <w:bookmarkStart w:id="33" w:name="_Toc47976618"/>
      <w:bookmarkStart w:id="34" w:name="_Toc29366869"/>
      <w:bookmarkStart w:id="35" w:name="_Toc29366865"/>
      <w:r>
        <w:rPr>
          <w:rFonts w:hint="eastAsia" w:ascii="宋体" w:hAnsi="宋体" w:eastAsia="宋体" w:cs="宋体"/>
          <w:sz w:val="32"/>
          <w:szCs w:val="32"/>
          <w:highlight w:val="yellow"/>
          <w:lang w:val="en-US" w:eastAsia="zh-CN"/>
        </w:rPr>
        <w:t>附件2</w:t>
      </w:r>
    </w:p>
    <w:bookmarkEnd w:id="33"/>
    <w:p>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0"/>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pPr>
        <w:spacing w:line="360" w:lineRule="auto"/>
        <w:ind w:firstLine="4800" w:firstLineChars="2000"/>
        <w:rPr>
          <w:rFonts w:ascii="宋体" w:hAnsi="宋体" w:cs="宋体"/>
          <w:sz w:val="24"/>
          <w:szCs w:val="21"/>
        </w:rPr>
      </w:pPr>
    </w:p>
    <w:p>
      <w:pPr>
        <w:spacing w:line="360" w:lineRule="auto"/>
        <w:ind w:firstLine="4800" w:firstLineChars="2000"/>
        <w:rPr>
          <w:rFonts w:ascii="宋体" w:hAnsi="宋体" w:cs="宋体"/>
          <w:sz w:val="24"/>
          <w:szCs w:val="21"/>
        </w:rPr>
      </w:pPr>
    </w:p>
    <w:p>
      <w:pPr>
        <w:spacing w:line="360" w:lineRule="auto"/>
        <w:ind w:firstLine="4800" w:firstLineChars="2000"/>
        <w:rPr>
          <w:rFonts w:ascii="宋体" w:hAnsi="宋体" w:cs="宋体"/>
          <w:sz w:val="24"/>
          <w:szCs w:val="21"/>
        </w:rPr>
      </w:pPr>
    </w:p>
    <w:p>
      <w:pPr>
        <w:spacing w:line="360" w:lineRule="auto"/>
        <w:ind w:firstLine="4800" w:firstLineChars="2000"/>
        <w:rPr>
          <w:rFonts w:ascii="宋体" w:hAnsi="宋体" w:cs="宋体"/>
          <w:sz w:val="24"/>
          <w:szCs w:val="21"/>
        </w:rPr>
      </w:pPr>
    </w:p>
    <w:p>
      <w:pPr>
        <w:pStyle w:val="15"/>
      </w:pPr>
    </w:p>
    <w:p>
      <w:pPr>
        <w:spacing w:line="360" w:lineRule="auto"/>
        <w:rPr>
          <w:rFonts w:ascii="宋体" w:hAnsi="宋体" w:cs="宋体"/>
          <w:sz w:val="24"/>
          <w:szCs w:val="21"/>
        </w:rPr>
      </w:pPr>
    </w:p>
    <w:bookmarkEnd w:id="34"/>
    <w:bookmarkEnd w:id="35"/>
    <w:p>
      <w:pPr>
        <w:pStyle w:val="72"/>
        <w:numPr>
          <w:ilvl w:val="0"/>
          <w:numId w:val="0"/>
        </w:numPr>
        <w:ind w:leftChars="0"/>
        <w:rPr>
          <w:rFonts w:hint="eastAsia" w:ascii="宋体" w:hAnsi="宋体" w:eastAsia="宋体" w:cs="宋体"/>
          <w:sz w:val="32"/>
          <w:szCs w:val="32"/>
          <w:highlight w:val="yellow"/>
          <w:lang w:val="en-US" w:eastAsia="zh-CN"/>
        </w:rPr>
      </w:pPr>
      <w:r>
        <w:rPr>
          <w:rFonts w:hint="eastAsia" w:ascii="宋体" w:hAnsi="宋体" w:eastAsia="宋体" w:cs="宋体"/>
          <w:sz w:val="32"/>
          <w:szCs w:val="32"/>
          <w:highlight w:val="yellow"/>
          <w:lang w:val="en-US" w:eastAsia="zh-CN"/>
        </w:rPr>
        <w:t>附件3</w:t>
      </w:r>
    </w:p>
    <w:p>
      <w:pPr>
        <w:pStyle w:val="72"/>
        <w:numPr>
          <w:ilvl w:val="0"/>
          <w:numId w:val="0"/>
        </w:numPr>
        <w:ind w:leftChars="0"/>
        <w:jc w:val="center"/>
        <w:rPr>
          <w:rFonts w:hint="eastAsia"/>
          <w:lang w:val="en-US" w:eastAsia="zh-CN"/>
        </w:rPr>
      </w:pPr>
      <w:r>
        <w:rPr>
          <w:rFonts w:hint="eastAsia"/>
          <w:lang w:val="en-US" w:eastAsia="zh-CN"/>
        </w:rPr>
        <w:t>开标一览表</w:t>
      </w:r>
    </w:p>
    <w:p>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ascii="宋体" w:hAnsi="宋体" w:cs="Times New Roman"/>
          <w:color w:val="000000"/>
          <w:sz w:val="24"/>
          <w:szCs w:val="24"/>
          <w:u w:val="single"/>
          <w:lang w:val="en-US" w:eastAsia="zh-CN"/>
        </w:rPr>
        <w:t xml:space="preserve">                          </w:t>
      </w:r>
      <w:r>
        <w:rPr>
          <w:rFonts w:ascii="宋体" w:hAnsi="宋体" w:eastAsia="宋体" w:cs="Times New Roman"/>
          <w:color w:val="000000"/>
          <w:sz w:val="24"/>
          <w:szCs w:val="24"/>
        </w:rPr>
        <w:t xml:space="preserve">                                                        </w:t>
      </w:r>
    </w:p>
    <w:tbl>
      <w:tblPr>
        <w:tblStyle w:val="3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18"/>
        <w:gridCol w:w="848"/>
        <w:gridCol w:w="2270"/>
        <w:gridCol w:w="1100"/>
        <w:gridCol w:w="1243"/>
        <w:gridCol w:w="70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518"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货物名称</w:t>
            </w:r>
          </w:p>
        </w:tc>
        <w:tc>
          <w:tcPr>
            <w:tcW w:w="848"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270" w:type="dxa"/>
            <w:vAlign w:val="center"/>
          </w:tcPr>
          <w:p>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100" w:type="dxa"/>
            <w:vAlign w:val="center"/>
          </w:tcPr>
          <w:p>
            <w:pPr>
              <w:jc w:val="center"/>
              <w:rPr>
                <w:rFonts w:hint="eastAsia" w:ascii="Times New Roman" w:hAnsi="Times New Roman" w:eastAsia="宋体" w:cs="Times New Roman"/>
                <w:b/>
                <w:szCs w:val="20"/>
                <w:lang w:val="en-US" w:eastAsia="zh-CN"/>
              </w:rPr>
            </w:pPr>
            <w:r>
              <w:rPr>
                <w:rFonts w:hint="eastAsia" w:cs="Times New Roman"/>
                <w:b/>
                <w:szCs w:val="20"/>
                <w:lang w:val="en-US" w:eastAsia="zh-CN"/>
              </w:rPr>
              <w:t>XX</w:t>
            </w:r>
          </w:p>
        </w:tc>
        <w:tc>
          <w:tcPr>
            <w:tcW w:w="1243" w:type="dxa"/>
            <w:vAlign w:val="center"/>
          </w:tcPr>
          <w:p>
            <w:pPr>
              <w:jc w:val="center"/>
              <w:rPr>
                <w:rFonts w:ascii="Times New Roman" w:hAnsi="Times New Roman" w:eastAsia="宋体" w:cs="Times New Roman"/>
                <w:b/>
                <w:szCs w:val="20"/>
              </w:rPr>
            </w:pPr>
            <w:r>
              <w:rPr>
                <w:rFonts w:hint="eastAsia" w:cs="Times New Roman"/>
                <w:b/>
                <w:szCs w:val="20"/>
                <w:lang w:val="en-US" w:eastAsia="zh-CN"/>
              </w:rPr>
              <w:t>XX</w:t>
            </w:r>
          </w:p>
        </w:tc>
        <w:tc>
          <w:tcPr>
            <w:tcW w:w="705" w:type="dxa"/>
            <w:vAlign w:val="center"/>
          </w:tcPr>
          <w:p>
            <w:pPr>
              <w:jc w:val="center"/>
              <w:rPr>
                <w:rFonts w:ascii="Times New Roman" w:hAnsi="Times New Roman" w:eastAsia="宋体" w:cs="Times New Roman"/>
                <w:b/>
                <w:szCs w:val="20"/>
              </w:rPr>
            </w:pPr>
            <w:r>
              <w:rPr>
                <w:rFonts w:hint="eastAsia" w:cs="Times New Roman"/>
                <w:b/>
                <w:szCs w:val="20"/>
                <w:lang w:val="en-US" w:eastAsia="zh-CN"/>
              </w:rPr>
              <w:t>XX</w:t>
            </w:r>
          </w:p>
        </w:tc>
        <w:tc>
          <w:tcPr>
            <w:tcW w:w="699" w:type="dxa"/>
            <w:vAlign w:val="center"/>
          </w:tcPr>
          <w:p>
            <w:pPr>
              <w:jc w:val="center"/>
              <w:rPr>
                <w:rFonts w:hint="default" w:ascii="等线" w:hAnsi="等线" w:eastAsia="等线" w:cs="Times New Roman"/>
                <w:b/>
                <w:szCs w:val="20"/>
                <w:lang w:val="en-US"/>
              </w:rPr>
            </w:pPr>
            <w:r>
              <w:rPr>
                <w:rFonts w:hint="eastAsia" w:cs="Times New Roman"/>
                <w:b/>
                <w:szCs w:val="20"/>
                <w:lang w:val="en-US" w:eastAsia="zh-CN"/>
              </w:rPr>
              <w:t>商务条款是否偏离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77" w:type="dxa"/>
            <w:vAlign w:val="center"/>
          </w:tcPr>
          <w:p>
            <w:pPr>
              <w:jc w:val="center"/>
              <w:rPr>
                <w:rFonts w:ascii="Times New Roman" w:hAnsi="Times New Roman" w:eastAsia="宋体" w:cs="Times New Roman"/>
                <w:b/>
                <w:szCs w:val="20"/>
              </w:rPr>
            </w:pPr>
          </w:p>
        </w:tc>
        <w:tc>
          <w:tcPr>
            <w:tcW w:w="1518" w:type="dxa"/>
            <w:vAlign w:val="center"/>
          </w:tcPr>
          <w:p>
            <w:pPr>
              <w:jc w:val="center"/>
              <w:rPr>
                <w:rFonts w:hint="eastAsia" w:ascii="Times New Roman" w:hAnsi="Times New Roman" w:eastAsia="宋体" w:cs="Times New Roman"/>
                <w:b/>
                <w:szCs w:val="20"/>
                <w:lang w:eastAsia="zh-CN"/>
              </w:rPr>
            </w:pPr>
          </w:p>
        </w:tc>
        <w:tc>
          <w:tcPr>
            <w:tcW w:w="848" w:type="dxa"/>
            <w:vAlign w:val="center"/>
          </w:tcPr>
          <w:p>
            <w:pPr>
              <w:jc w:val="center"/>
              <w:rPr>
                <w:rFonts w:hint="eastAsia" w:ascii="Times New Roman" w:hAnsi="Times New Roman" w:eastAsia="宋体" w:cs="Times New Roman"/>
                <w:b/>
                <w:szCs w:val="20"/>
                <w:lang w:val="en-US" w:eastAsia="zh-CN"/>
              </w:rPr>
            </w:pPr>
          </w:p>
        </w:tc>
        <w:tc>
          <w:tcPr>
            <w:tcW w:w="2270" w:type="dxa"/>
            <w:vAlign w:val="center"/>
          </w:tcPr>
          <w:p>
            <w:pPr>
              <w:jc w:val="left"/>
              <w:rPr>
                <w:rFonts w:hint="eastAsia" w:ascii="等线" w:hAnsi="等线" w:eastAsia="等线" w:cs="Times New Roman"/>
                <w:b/>
                <w:szCs w:val="20"/>
                <w:lang w:val="en-US" w:eastAsia="zh-CN"/>
              </w:rPr>
            </w:pPr>
            <w:r>
              <w:rPr>
                <w:rFonts w:hint="eastAsia" w:ascii="等线" w:hAnsi="等线" w:eastAsia="等线" w:cs="Times New Roman"/>
                <w:b/>
                <w:szCs w:val="20"/>
              </w:rPr>
              <w:t>不含税价</w:t>
            </w:r>
            <w:r>
              <w:rPr>
                <w:rFonts w:hint="eastAsia" w:ascii="等线" w:hAnsi="等线" w:eastAsia="等线" w:cs="Times New Roman"/>
                <w:b/>
                <w:szCs w:val="20"/>
                <w:lang w:eastAsia="zh-CN"/>
              </w:rPr>
              <w:t>：</w:t>
            </w:r>
          </w:p>
          <w:p>
            <w:pPr>
              <w:jc w:val="left"/>
              <w:rPr>
                <w:rFonts w:hint="default" w:ascii="等线" w:hAnsi="等线" w:eastAsia="等线" w:cs="Times New Roman"/>
                <w:b/>
                <w:szCs w:val="20"/>
                <w:lang w:val="en-US" w:eastAsia="zh-CN"/>
              </w:rPr>
            </w:pPr>
            <w:r>
              <w:rPr>
                <w:rFonts w:hint="eastAsia" w:ascii="等线" w:hAnsi="等线" w:eastAsia="等线" w:cs="Times New Roman"/>
                <w:b/>
                <w:szCs w:val="20"/>
              </w:rPr>
              <w:t>含税价格：</w:t>
            </w:r>
            <w:r>
              <w:rPr>
                <w:rFonts w:hint="eastAsia" w:ascii="等线" w:hAnsi="等线" w:eastAsia="等线" w:cs="Times New Roman"/>
                <w:b/>
                <w:szCs w:val="20"/>
                <w:u w:val="single"/>
                <w:lang w:val="en-US" w:eastAsia="zh-CN"/>
              </w:rPr>
              <w:t xml:space="preserve">    （大写：    ）</w:t>
            </w:r>
          </w:p>
          <w:p>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1100" w:type="dxa"/>
            <w:vAlign w:val="center"/>
          </w:tcPr>
          <w:p>
            <w:pPr>
              <w:jc w:val="center"/>
              <w:rPr>
                <w:rFonts w:ascii="Times New Roman" w:hAnsi="Times New Roman" w:eastAsia="宋体" w:cs="Times New Roman"/>
                <w:b/>
                <w:szCs w:val="20"/>
              </w:rPr>
            </w:pPr>
          </w:p>
        </w:tc>
        <w:tc>
          <w:tcPr>
            <w:tcW w:w="1243" w:type="dxa"/>
            <w:vAlign w:val="center"/>
          </w:tcPr>
          <w:p>
            <w:pPr>
              <w:jc w:val="center"/>
              <w:rPr>
                <w:rFonts w:ascii="Times New Roman" w:hAnsi="Times New Roman" w:eastAsia="宋体" w:cs="Times New Roman"/>
                <w:b/>
                <w:szCs w:val="20"/>
              </w:rPr>
            </w:pPr>
          </w:p>
        </w:tc>
        <w:tc>
          <w:tcPr>
            <w:tcW w:w="705" w:type="dxa"/>
            <w:vAlign w:val="center"/>
          </w:tcPr>
          <w:p>
            <w:pPr>
              <w:jc w:val="center"/>
              <w:rPr>
                <w:rFonts w:ascii="Times New Roman" w:hAnsi="Times New Roman" w:eastAsia="宋体" w:cs="Times New Roman"/>
                <w:b/>
                <w:szCs w:val="20"/>
              </w:rPr>
            </w:pPr>
          </w:p>
        </w:tc>
        <w:tc>
          <w:tcPr>
            <w:tcW w:w="699" w:type="dxa"/>
            <w:vAlign w:val="center"/>
          </w:tcPr>
          <w:p>
            <w:pPr>
              <w:jc w:val="center"/>
              <w:rPr>
                <w:rFonts w:ascii="Times New Roman" w:hAnsi="Times New Roman" w:eastAsia="宋体" w:cs="Times New Roman"/>
                <w:b/>
                <w:szCs w:val="20"/>
              </w:rPr>
            </w:pPr>
          </w:p>
        </w:tc>
      </w:tr>
    </w:tbl>
    <w:p>
      <w:pPr>
        <w:rPr>
          <w:rFonts w:ascii="宋体" w:hAnsi="Arial" w:eastAsia="宋体" w:cs="Times New Roman"/>
          <w:sz w:val="24"/>
          <w:szCs w:val="24"/>
        </w:rPr>
      </w:pPr>
    </w:p>
    <w:p>
      <w:pPr>
        <w:spacing w:line="400" w:lineRule="exact"/>
        <w:rPr>
          <w:rFonts w:ascii="宋体" w:hAnsi="Calibri" w:eastAsia="宋体" w:cs="Times New Roman"/>
          <w:szCs w:val="21"/>
        </w:rPr>
      </w:pPr>
      <w:r>
        <w:rPr>
          <w:rFonts w:hint="eastAsia" w:ascii="宋体" w:hAnsi="宋体" w:eastAsia="宋体" w:cs="Times New Roman"/>
          <w:b/>
          <w:bCs/>
          <w:szCs w:val="21"/>
        </w:rPr>
        <w:t>注：</w:t>
      </w:r>
    </w:p>
    <w:p>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pPr>
        <w:pStyle w:val="15"/>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pPr>
        <w:pStyle w:val="15"/>
        <w:rPr>
          <w:rFonts w:hint="eastAsia" w:hAnsi="宋体" w:eastAsia="宋体" w:cs="Times New Roman"/>
          <w:b/>
          <w:bCs/>
          <w:szCs w:val="21"/>
          <w:highlight w:val="yellow"/>
        </w:rPr>
      </w:pPr>
    </w:p>
    <w:p>
      <w:pPr>
        <w:pStyle w:val="15"/>
        <w:rPr>
          <w:rFonts w:hint="eastAsia" w:hAnsi="宋体" w:eastAsia="宋体" w:cs="Times New Roman"/>
          <w:b/>
          <w:bCs/>
          <w:szCs w:val="21"/>
          <w:highlight w:val="yellow"/>
        </w:rPr>
      </w:pPr>
    </w:p>
    <w:p>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pPr>
        <w:pStyle w:val="72"/>
        <w:numPr>
          <w:ilvl w:val="0"/>
          <w:numId w:val="0"/>
        </w:numPr>
        <w:ind w:leftChars="0"/>
      </w:pPr>
      <w:r>
        <w:t xml:space="preserve"> </w:t>
      </w:r>
    </w:p>
    <w:p>
      <w:pPr>
        <w:pStyle w:val="72"/>
        <w:numPr>
          <w:ilvl w:val="0"/>
          <w:numId w:val="0"/>
        </w:numPr>
        <w:ind w:leftChars="0"/>
      </w:pPr>
    </w:p>
    <w:p>
      <w:pPr>
        <w:pStyle w:val="72"/>
        <w:numPr>
          <w:ilvl w:val="0"/>
          <w:numId w:val="0"/>
        </w:numPr>
        <w:ind w:leftChars="0"/>
      </w:pPr>
    </w:p>
    <w:p>
      <w:pPr>
        <w:pStyle w:val="72"/>
        <w:numPr>
          <w:ilvl w:val="0"/>
          <w:numId w:val="0"/>
        </w:numPr>
        <w:ind w:leftChars="0"/>
      </w:pPr>
    </w:p>
    <w:p>
      <w:pPr>
        <w:pStyle w:val="72"/>
        <w:numPr>
          <w:ilvl w:val="0"/>
          <w:numId w:val="0"/>
        </w:numPr>
        <w:ind w:leftChars="0"/>
      </w:pPr>
    </w:p>
    <w:p>
      <w:pPr>
        <w:pStyle w:val="72"/>
        <w:numPr>
          <w:ilvl w:val="0"/>
          <w:numId w:val="0"/>
        </w:numPr>
        <w:ind w:leftChars="0"/>
      </w:pPr>
    </w:p>
    <w:p>
      <w:pPr>
        <w:pStyle w:val="72"/>
        <w:numPr>
          <w:ilvl w:val="0"/>
          <w:numId w:val="0"/>
        </w:numPr>
        <w:ind w:leftChars="0"/>
      </w:pPr>
    </w:p>
    <w:p>
      <w:pPr>
        <w:pStyle w:val="76"/>
        <w:ind w:firstLine="630" w:firstLineChars="300"/>
        <w:rPr>
          <w:rFonts w:hint="default"/>
          <w:lang w:val="en-US"/>
        </w:rPr>
      </w:pPr>
    </w:p>
    <w:sectPr>
      <w:headerReference r:id="rId8" w:type="first"/>
      <w:footerReference r:id="rId10" w:type="first"/>
      <w:headerReference r:id="rId7" w:type="default"/>
      <w:footerReference r:id="rId9" w:type="defaul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pPr>
          <w:pStyle w:val="2"/>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4"/>
      </w:rPr>
    </w:pPr>
    <w:r>
      <w:fldChar w:fldCharType="begin"/>
    </w:r>
    <w:r>
      <w:rPr>
        <w:rStyle w:val="34"/>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pPr>
              <w:pStyle w:val="2"/>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pPr>
      <w:pStyle w:val="2"/>
      <w:jc w:val="center"/>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tabs>
        <w:tab w:val="left" w:pos="1020"/>
        <w:tab w:val="clear" w:pos="4153"/>
      </w:tabs>
    </w:pP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91B0C130"/>
    <w:multiLevelType w:val="singleLevel"/>
    <w:tmpl w:val="91B0C130"/>
    <w:lvl w:ilvl="0" w:tentative="0">
      <w:start w:val="1"/>
      <w:numFmt w:val="decimal"/>
      <w:suff w:val="space"/>
      <w:lvlText w:val="%1."/>
      <w:lvlJc w:val="left"/>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C549155"/>
    <w:multiLevelType w:val="singleLevel"/>
    <w:tmpl w:val="9C549155"/>
    <w:lvl w:ilvl="0" w:tentative="0">
      <w:start w:val="1"/>
      <w:numFmt w:val="decimal"/>
      <w:suff w:val="space"/>
      <w:lvlText w:val="%1."/>
      <w:lvlJc w:val="left"/>
    </w:lvl>
  </w:abstractNum>
  <w:abstractNum w:abstractNumId="4">
    <w:nsid w:val="9D397B71"/>
    <w:multiLevelType w:val="singleLevel"/>
    <w:tmpl w:val="9D397B71"/>
    <w:lvl w:ilvl="0" w:tentative="0">
      <w:start w:val="1"/>
      <w:numFmt w:val="decimal"/>
      <w:suff w:val="space"/>
      <w:lvlText w:val="%1."/>
      <w:lvlJc w:val="left"/>
    </w:lvl>
  </w:abstractNum>
  <w:abstractNum w:abstractNumId="5">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6">
    <w:nsid w:val="B12C4597"/>
    <w:multiLevelType w:val="singleLevel"/>
    <w:tmpl w:val="B12C4597"/>
    <w:lvl w:ilvl="0" w:tentative="0">
      <w:start w:val="1"/>
      <w:numFmt w:val="decimal"/>
      <w:lvlText w:val="%1."/>
      <w:lvlJc w:val="left"/>
      <w:pPr>
        <w:ind w:left="425" w:hanging="425"/>
      </w:pPr>
      <w:rPr>
        <w:rFonts w:hint="default"/>
      </w:rPr>
    </w:lvl>
  </w:abstractNum>
  <w:abstractNum w:abstractNumId="7">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8">
    <w:nsid w:val="BD4C6742"/>
    <w:multiLevelType w:val="singleLevel"/>
    <w:tmpl w:val="BD4C6742"/>
    <w:lvl w:ilvl="0" w:tentative="0">
      <w:start w:val="1"/>
      <w:numFmt w:val="decimal"/>
      <w:lvlText w:val="%1."/>
      <w:lvlJc w:val="left"/>
      <w:pPr>
        <w:ind w:left="425" w:hanging="425"/>
      </w:pPr>
      <w:rPr>
        <w:rFonts w:hint="default"/>
      </w:rPr>
    </w:lvl>
  </w:abstractNum>
  <w:abstractNum w:abstractNumId="9">
    <w:nsid w:val="BE5F020F"/>
    <w:multiLevelType w:val="singleLevel"/>
    <w:tmpl w:val="BE5F020F"/>
    <w:lvl w:ilvl="0" w:tentative="0">
      <w:start w:val="1"/>
      <w:numFmt w:val="decimal"/>
      <w:suff w:val="space"/>
      <w:lvlText w:val="%1."/>
      <w:lvlJc w:val="left"/>
    </w:lvl>
  </w:abstractNum>
  <w:abstractNum w:abstractNumId="10">
    <w:nsid w:val="CA70C5AE"/>
    <w:multiLevelType w:val="singleLevel"/>
    <w:tmpl w:val="CA70C5AE"/>
    <w:lvl w:ilvl="0" w:tentative="0">
      <w:start w:val="1"/>
      <w:numFmt w:val="decimal"/>
      <w:lvlText w:val="%1."/>
      <w:lvlJc w:val="left"/>
      <w:pPr>
        <w:ind w:left="425" w:hanging="425"/>
      </w:pPr>
      <w:rPr>
        <w:rFonts w:hint="default"/>
      </w:rPr>
    </w:lvl>
  </w:abstractNum>
  <w:abstractNum w:abstractNumId="11">
    <w:nsid w:val="D551653C"/>
    <w:multiLevelType w:val="singleLevel"/>
    <w:tmpl w:val="D551653C"/>
    <w:lvl w:ilvl="0" w:tentative="0">
      <w:start w:val="1"/>
      <w:numFmt w:val="decimal"/>
      <w:lvlText w:val="(%1)"/>
      <w:lvlJc w:val="left"/>
      <w:pPr>
        <w:ind w:left="425" w:hanging="425"/>
      </w:pPr>
      <w:rPr>
        <w:rFonts w:hint="default"/>
      </w:rPr>
    </w:lvl>
  </w:abstractNum>
  <w:abstractNum w:abstractNumId="12">
    <w:nsid w:val="D9A4530E"/>
    <w:multiLevelType w:val="singleLevel"/>
    <w:tmpl w:val="D9A4530E"/>
    <w:lvl w:ilvl="0" w:tentative="0">
      <w:start w:val="1"/>
      <w:numFmt w:val="decimal"/>
      <w:lvlText w:val="(%1)"/>
      <w:lvlJc w:val="left"/>
      <w:pPr>
        <w:ind w:left="425" w:hanging="425"/>
      </w:pPr>
      <w:rPr>
        <w:rFonts w:hint="default"/>
      </w:rPr>
    </w:lvl>
  </w:abstractNum>
  <w:abstractNum w:abstractNumId="13">
    <w:nsid w:val="DC3F8C8B"/>
    <w:multiLevelType w:val="singleLevel"/>
    <w:tmpl w:val="DC3F8C8B"/>
    <w:lvl w:ilvl="0" w:tentative="0">
      <w:start w:val="1"/>
      <w:numFmt w:val="decimal"/>
      <w:lvlText w:val="%1."/>
      <w:lvlJc w:val="left"/>
      <w:pPr>
        <w:ind w:left="425" w:hanging="425"/>
      </w:pPr>
      <w:rPr>
        <w:rFonts w:hint="default"/>
      </w:rPr>
    </w:lvl>
  </w:abstractNum>
  <w:abstractNum w:abstractNumId="14">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5">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6">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7">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8">
    <w:nsid w:val="3265E1EC"/>
    <w:multiLevelType w:val="singleLevel"/>
    <w:tmpl w:val="3265E1EC"/>
    <w:lvl w:ilvl="0" w:tentative="0">
      <w:start w:val="1"/>
      <w:numFmt w:val="decimal"/>
      <w:lvlText w:val="(%1)"/>
      <w:lvlJc w:val="left"/>
      <w:pPr>
        <w:ind w:left="425" w:hanging="425"/>
      </w:pPr>
      <w:rPr>
        <w:rFonts w:hint="default"/>
      </w:rPr>
    </w:lvl>
  </w:abstractNum>
  <w:abstractNum w:abstractNumId="19">
    <w:nsid w:val="3CF6EF77"/>
    <w:multiLevelType w:val="singleLevel"/>
    <w:tmpl w:val="3CF6EF77"/>
    <w:lvl w:ilvl="0" w:tentative="0">
      <w:start w:val="1"/>
      <w:numFmt w:val="decimal"/>
      <w:lvlText w:val="%1."/>
      <w:lvlJc w:val="left"/>
      <w:pPr>
        <w:ind w:left="425" w:hanging="425"/>
      </w:pPr>
      <w:rPr>
        <w:rFonts w:hint="default"/>
      </w:rPr>
    </w:lvl>
  </w:abstractNum>
  <w:abstractNum w:abstractNumId="20">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21">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2">
    <w:nsid w:val="4CB32FC8"/>
    <w:multiLevelType w:val="multilevel"/>
    <w:tmpl w:val="4CB32FC8"/>
    <w:lvl w:ilvl="0" w:tentative="0">
      <w:start w:val="1"/>
      <w:numFmt w:val="upperLetter"/>
      <w:pStyle w:val="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5">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6">
    <w:nsid w:val="5983D379"/>
    <w:multiLevelType w:val="singleLevel"/>
    <w:tmpl w:val="5983D379"/>
    <w:lvl w:ilvl="0" w:tentative="0">
      <w:start w:val="1"/>
      <w:numFmt w:val="decimal"/>
      <w:lvlText w:val="(%1)"/>
      <w:lvlJc w:val="left"/>
      <w:pPr>
        <w:ind w:left="425" w:hanging="425"/>
      </w:pPr>
      <w:rPr>
        <w:rFonts w:hint="default"/>
      </w:rPr>
    </w:lvl>
  </w:abstractNum>
  <w:abstractNum w:abstractNumId="27">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8">
    <w:nsid w:val="66AE3EC6"/>
    <w:multiLevelType w:val="singleLevel"/>
    <w:tmpl w:val="66AE3EC6"/>
    <w:lvl w:ilvl="0" w:tentative="0">
      <w:start w:val="3"/>
      <w:numFmt w:val="chineseCounting"/>
      <w:suff w:val="nothing"/>
      <w:lvlText w:val="第%1部分　"/>
      <w:lvlJc w:val="left"/>
      <w:rPr>
        <w:rFonts w:hint="eastAsia"/>
      </w:rPr>
    </w:lvl>
  </w:abstractNum>
  <w:abstractNum w:abstractNumId="29">
    <w:nsid w:val="70F817EA"/>
    <w:multiLevelType w:val="singleLevel"/>
    <w:tmpl w:val="70F817EA"/>
    <w:lvl w:ilvl="0" w:tentative="0">
      <w:start w:val="1"/>
      <w:numFmt w:val="decimal"/>
      <w:suff w:val="nothing"/>
      <w:lvlText w:val="(%1)"/>
      <w:lvlJc w:val="left"/>
      <w:pPr>
        <w:ind w:left="0" w:firstLine="0"/>
      </w:pPr>
      <w:rPr>
        <w:rFonts w:hint="default"/>
        <w:b w:val="0"/>
        <w:bCs w:val="0"/>
        <w:sz w:val="24"/>
        <w:szCs w:val="24"/>
      </w:rPr>
    </w:lvl>
  </w:abstractNum>
  <w:abstractNum w:abstractNumId="30">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22"/>
  </w:num>
  <w:num w:numId="2">
    <w:abstractNumId w:val="27"/>
  </w:num>
  <w:num w:numId="3">
    <w:abstractNumId w:val="25"/>
  </w:num>
  <w:num w:numId="4">
    <w:abstractNumId w:val="23"/>
  </w:num>
  <w:num w:numId="5">
    <w:abstractNumId w:val="15"/>
  </w:num>
  <w:num w:numId="6">
    <w:abstractNumId w:val="16"/>
  </w:num>
  <w:num w:numId="7">
    <w:abstractNumId w:val="17"/>
  </w:num>
  <w:num w:numId="8">
    <w:abstractNumId w:val="2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0"/>
  </w:num>
  <w:num w:numId="13">
    <w:abstractNumId w:val="6"/>
  </w:num>
  <w:num w:numId="14">
    <w:abstractNumId w:val="0"/>
  </w:num>
  <w:num w:numId="15">
    <w:abstractNumId w:val="2"/>
  </w:num>
  <w:num w:numId="16">
    <w:abstractNumId w:val="26"/>
  </w:num>
  <w:num w:numId="17">
    <w:abstractNumId w:val="30"/>
  </w:num>
  <w:num w:numId="18">
    <w:abstractNumId w:val="18"/>
  </w:num>
  <w:num w:numId="19">
    <w:abstractNumId w:val="12"/>
  </w:num>
  <w:num w:numId="20">
    <w:abstractNumId w:val="10"/>
  </w:num>
  <w:num w:numId="21">
    <w:abstractNumId w:val="5"/>
  </w:num>
  <w:num w:numId="22">
    <w:abstractNumId w:val="7"/>
  </w:num>
  <w:num w:numId="23">
    <w:abstractNumId w:val="14"/>
  </w:num>
  <w:num w:numId="24">
    <w:abstractNumId w:val="21"/>
  </w:num>
  <w:num w:numId="25">
    <w:abstractNumId w:val="13"/>
  </w:num>
  <w:num w:numId="26">
    <w:abstractNumId w:val="9"/>
  </w:num>
  <w:num w:numId="27">
    <w:abstractNumId w:val="4"/>
  </w:num>
  <w:num w:numId="28">
    <w:abstractNumId w:val="1"/>
  </w:num>
  <w:num w:numId="29">
    <w:abstractNumId w:val="3"/>
  </w:num>
  <w:num w:numId="30">
    <w:abstractNumId w:val="19"/>
  </w:num>
  <w:num w:numId="31">
    <w:abstractNumId w:val="1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172A27"/>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1A436DB"/>
    <w:rsid w:val="02CC3DCA"/>
    <w:rsid w:val="02FE76EF"/>
    <w:rsid w:val="03F033B0"/>
    <w:rsid w:val="057C1D39"/>
    <w:rsid w:val="05891259"/>
    <w:rsid w:val="07A50D69"/>
    <w:rsid w:val="08633479"/>
    <w:rsid w:val="098F6310"/>
    <w:rsid w:val="099C7DCB"/>
    <w:rsid w:val="0CB51572"/>
    <w:rsid w:val="0E4D31E3"/>
    <w:rsid w:val="103F1EF5"/>
    <w:rsid w:val="10DC2AA3"/>
    <w:rsid w:val="10FA7C8C"/>
    <w:rsid w:val="130B198F"/>
    <w:rsid w:val="16A918E4"/>
    <w:rsid w:val="179B3523"/>
    <w:rsid w:val="17D966D6"/>
    <w:rsid w:val="1BC71D3B"/>
    <w:rsid w:val="1C59115B"/>
    <w:rsid w:val="1D090E84"/>
    <w:rsid w:val="1D137FB9"/>
    <w:rsid w:val="1FB23E60"/>
    <w:rsid w:val="22C5630B"/>
    <w:rsid w:val="23EC0BA6"/>
    <w:rsid w:val="24701A48"/>
    <w:rsid w:val="24C525F3"/>
    <w:rsid w:val="268B0052"/>
    <w:rsid w:val="27743C90"/>
    <w:rsid w:val="28A65FBE"/>
    <w:rsid w:val="29CA2459"/>
    <w:rsid w:val="2B271A58"/>
    <w:rsid w:val="2B6304A7"/>
    <w:rsid w:val="2CF6734C"/>
    <w:rsid w:val="2D663463"/>
    <w:rsid w:val="2EF96EE4"/>
    <w:rsid w:val="3290245D"/>
    <w:rsid w:val="32C20171"/>
    <w:rsid w:val="3493368F"/>
    <w:rsid w:val="36254FE4"/>
    <w:rsid w:val="372F61E0"/>
    <w:rsid w:val="38413A3E"/>
    <w:rsid w:val="39322FCA"/>
    <w:rsid w:val="3AB90991"/>
    <w:rsid w:val="3B706131"/>
    <w:rsid w:val="3E6F041E"/>
    <w:rsid w:val="3F24385A"/>
    <w:rsid w:val="3FC01EDD"/>
    <w:rsid w:val="41362456"/>
    <w:rsid w:val="41686388"/>
    <w:rsid w:val="4275481E"/>
    <w:rsid w:val="428B617A"/>
    <w:rsid w:val="433D7BDC"/>
    <w:rsid w:val="437E1813"/>
    <w:rsid w:val="45BD47FC"/>
    <w:rsid w:val="45CC5FB2"/>
    <w:rsid w:val="45F30252"/>
    <w:rsid w:val="46B75BA8"/>
    <w:rsid w:val="48C97955"/>
    <w:rsid w:val="49880C8F"/>
    <w:rsid w:val="4A8835F7"/>
    <w:rsid w:val="4B592E71"/>
    <w:rsid w:val="4BC51E80"/>
    <w:rsid w:val="4D20220D"/>
    <w:rsid w:val="4DE470E0"/>
    <w:rsid w:val="52B9239A"/>
    <w:rsid w:val="53927551"/>
    <w:rsid w:val="54BD78FD"/>
    <w:rsid w:val="56866145"/>
    <w:rsid w:val="58A86DDE"/>
    <w:rsid w:val="59154AD7"/>
    <w:rsid w:val="59645BD4"/>
    <w:rsid w:val="5ADF548D"/>
    <w:rsid w:val="5D5C60B4"/>
    <w:rsid w:val="5F856825"/>
    <w:rsid w:val="63F04A69"/>
    <w:rsid w:val="64441C4A"/>
    <w:rsid w:val="66A50B1E"/>
    <w:rsid w:val="67B2063C"/>
    <w:rsid w:val="67C97AC3"/>
    <w:rsid w:val="67E30EC1"/>
    <w:rsid w:val="6A4E3B2B"/>
    <w:rsid w:val="6B481C3B"/>
    <w:rsid w:val="6C0C15D2"/>
    <w:rsid w:val="6C1331A3"/>
    <w:rsid w:val="6CA84BC1"/>
    <w:rsid w:val="6D3E4756"/>
    <w:rsid w:val="6FC523EB"/>
    <w:rsid w:val="72895F2E"/>
    <w:rsid w:val="729B388D"/>
    <w:rsid w:val="72C02EBE"/>
    <w:rsid w:val="72C507AD"/>
    <w:rsid w:val="72D028D8"/>
    <w:rsid w:val="745D47C3"/>
    <w:rsid w:val="760657AC"/>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3"/>
    <w:semiHidden/>
    <w:qFormat/>
    <w:uiPriority w:val="0"/>
    <w:pPr>
      <w:keepNext/>
      <w:keepLines/>
      <w:spacing w:line="416" w:lineRule="auto"/>
      <w:outlineLvl w:val="2"/>
    </w:pPr>
    <w:rPr>
      <w:b/>
      <w:bCs/>
      <w:sz w:val="32"/>
      <w:szCs w:val="32"/>
    </w:rPr>
  </w:style>
  <w:style w:type="paragraph" w:styleId="6">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7">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2"/>
    <w:semiHidden/>
    <w:qFormat/>
    <w:uiPriority w:val="0"/>
    <w:pPr>
      <w:tabs>
        <w:tab w:val="center" w:pos="4153"/>
        <w:tab w:val="right" w:pos="8306"/>
      </w:tabs>
      <w:snapToGrid w:val="0"/>
      <w:jc w:val="left"/>
    </w:pPr>
    <w:rPr>
      <w:sz w:val="18"/>
      <w:szCs w:val="18"/>
    </w:rPr>
  </w:style>
  <w:style w:type="paragraph" w:styleId="8">
    <w:name w:val="E-mail Signature"/>
    <w:basedOn w:val="1"/>
    <w:link w:val="104"/>
    <w:semiHidden/>
    <w:qFormat/>
    <w:uiPriority w:val="99"/>
    <w:pPr>
      <w:spacing w:after="200" w:line="276" w:lineRule="auto"/>
      <w:jc w:val="left"/>
    </w:pPr>
    <w:rPr>
      <w:rFonts w:ascii="Calibri" w:hAnsi="Calibri"/>
      <w:kern w:val="0"/>
      <w:szCs w:val="21"/>
    </w:rPr>
  </w:style>
  <w:style w:type="paragraph" w:styleId="9">
    <w:name w:val="caption"/>
    <w:basedOn w:val="1"/>
    <w:next w:val="1"/>
    <w:semiHidden/>
    <w:qFormat/>
    <w:uiPriority w:val="98"/>
    <w:pPr>
      <w:spacing w:before="152" w:after="160"/>
    </w:pPr>
    <w:rPr>
      <w:rFonts w:ascii="Arial" w:hAnsi="Arial" w:eastAsia="黑体" w:cs="Arial"/>
      <w:sz w:val="20"/>
    </w:rPr>
  </w:style>
  <w:style w:type="paragraph" w:styleId="10">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1">
    <w:name w:val="annotation text"/>
    <w:basedOn w:val="1"/>
    <w:link w:val="45"/>
    <w:qFormat/>
    <w:uiPriority w:val="99"/>
    <w:pPr>
      <w:jc w:val="left"/>
    </w:pPr>
  </w:style>
  <w:style w:type="paragraph" w:styleId="12">
    <w:name w:val="Body Text"/>
    <w:basedOn w:val="1"/>
    <w:next w:val="1"/>
    <w:link w:val="41"/>
    <w:semiHidden/>
    <w:qFormat/>
    <w:uiPriority w:val="98"/>
    <w:rPr>
      <w:rFonts w:ascii="仿宋_GB2312" w:eastAsia="仿宋_GB2312"/>
      <w:sz w:val="32"/>
    </w:rPr>
  </w:style>
  <w:style w:type="paragraph" w:styleId="13">
    <w:name w:val="Body Text Indent"/>
    <w:basedOn w:val="1"/>
    <w:next w:val="1"/>
    <w:link w:val="48"/>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next w:val="1"/>
    <w:link w:val="50"/>
    <w:qFormat/>
    <w:uiPriority w:val="0"/>
    <w:rPr>
      <w:rFonts w:ascii="宋体" w:hAnsi="Courier New"/>
    </w:rPr>
  </w:style>
  <w:style w:type="paragraph" w:styleId="16">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47"/>
    <w:semiHidden/>
    <w:qFormat/>
    <w:uiPriority w:val="0"/>
    <w:rPr>
      <w:sz w:val="18"/>
      <w:szCs w:val="18"/>
    </w:rPr>
  </w:style>
  <w:style w:type="paragraph" w:styleId="19">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1">
    <w:name w:val="List"/>
    <w:basedOn w:val="1"/>
    <w:qFormat/>
    <w:uiPriority w:val="0"/>
    <w:pPr>
      <w:ind w:left="200" w:hanging="200" w:hangingChars="200"/>
    </w:pPr>
    <w:rPr>
      <w:szCs w:val="21"/>
    </w:rPr>
  </w:style>
  <w:style w:type="paragraph" w:styleId="22">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3">
    <w:name w:val="index 9"/>
    <w:basedOn w:val="1"/>
    <w:next w:val="1"/>
    <w:semiHidden/>
    <w:qFormat/>
    <w:uiPriority w:val="98"/>
    <w:pPr>
      <w:ind w:left="1600" w:leftChars="1600"/>
    </w:pPr>
  </w:style>
  <w:style w:type="paragraph" w:styleId="24">
    <w:name w:val="toc 2"/>
    <w:basedOn w:val="1"/>
    <w:next w:val="1"/>
    <w:qFormat/>
    <w:uiPriority w:val="39"/>
    <w:pPr>
      <w:ind w:left="420" w:leftChars="200"/>
    </w:pPr>
  </w:style>
  <w:style w:type="paragraph" w:styleId="25">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6">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7">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8">
    <w:name w:val="annotation subject"/>
    <w:basedOn w:val="11"/>
    <w:next w:val="11"/>
    <w:link w:val="53"/>
    <w:semiHidden/>
    <w:qFormat/>
    <w:uiPriority w:val="98"/>
    <w:rPr>
      <w:b/>
      <w:bCs/>
    </w:rPr>
  </w:style>
  <w:style w:type="paragraph" w:styleId="29">
    <w:name w:val="Body Text First Indent 2"/>
    <w:basedOn w:val="13"/>
    <w:next w:val="24"/>
    <w:qFormat/>
    <w:uiPriority w:val="0"/>
    <w:pPr>
      <w:spacing w:line="276" w:lineRule="auto"/>
      <w:ind w:left="200" w:firstLine="200" w:firstLineChars="200"/>
      <w:jc w:val="left"/>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basedOn w:val="32"/>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2"/>
    <w:semiHidden/>
    <w:qFormat/>
    <w:uiPriority w:val="98"/>
    <w:rPr>
      <w:rFonts w:ascii="仿宋_GB2312" w:eastAsia="仿宋_GB2312"/>
      <w:kern w:val="2"/>
      <w:sz w:val="32"/>
    </w:rPr>
  </w:style>
  <w:style w:type="character" w:customStyle="1" w:styleId="42">
    <w:name w:val="页脚 字符"/>
    <w:link w:val="2"/>
    <w:semiHidden/>
    <w:qFormat/>
    <w:uiPriority w:val="0"/>
    <w:rPr>
      <w:kern w:val="2"/>
      <w:sz w:val="18"/>
      <w:szCs w:val="18"/>
    </w:rPr>
  </w:style>
  <w:style w:type="character" w:customStyle="1" w:styleId="43">
    <w:name w:val="标题 3 字符"/>
    <w:link w:val="5"/>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1"/>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8"/>
    <w:semiHidden/>
    <w:qFormat/>
    <w:uiPriority w:val="98"/>
    <w:rPr>
      <w:kern w:val="2"/>
      <w:sz w:val="18"/>
      <w:szCs w:val="18"/>
    </w:rPr>
  </w:style>
  <w:style w:type="character" w:customStyle="1" w:styleId="48">
    <w:name w:val="正文文本缩进 字符"/>
    <w:link w:val="13"/>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15"/>
    <w:semiHidden/>
    <w:qFormat/>
    <w:uiPriority w:val="0"/>
    <w:rPr>
      <w:rFonts w:ascii="宋体" w:hAnsi="Courier New"/>
      <w:kern w:val="2"/>
      <w:sz w:val="21"/>
    </w:rPr>
  </w:style>
  <w:style w:type="character" w:customStyle="1" w:styleId="51">
    <w:name w:val="纯文本 字符"/>
    <w:semiHidden/>
    <w:qFormat/>
    <w:uiPriority w:val="98"/>
    <w:rPr>
      <w:rFonts w:ascii="宋体" w:hAnsi="Courier New" w:eastAsia="宋体"/>
    </w:rPr>
  </w:style>
  <w:style w:type="character" w:customStyle="1" w:styleId="52">
    <w:name w:val="页眉 字符"/>
    <w:link w:val="19"/>
    <w:semiHidden/>
    <w:qFormat/>
    <w:uiPriority w:val="0"/>
    <w:rPr>
      <w:kern w:val="2"/>
      <w:sz w:val="18"/>
      <w:szCs w:val="18"/>
    </w:rPr>
  </w:style>
  <w:style w:type="character" w:customStyle="1" w:styleId="53">
    <w:name w:val="批注主题 字符"/>
    <w:link w:val="28"/>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3"/>
    <w:semiHidden/>
    <w:qFormat/>
    <w:uiPriority w:val="0"/>
    <w:rPr>
      <w:b/>
      <w:bCs/>
      <w:kern w:val="44"/>
      <w:sz w:val="44"/>
      <w:szCs w:val="44"/>
    </w:rPr>
  </w:style>
  <w:style w:type="paragraph" w:customStyle="1" w:styleId="68">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4"/>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7"/>
    <w:semiHidden/>
    <w:qFormat/>
    <w:uiPriority w:val="0"/>
    <w:rPr>
      <w:rFonts w:eastAsia="黑体" w:asciiTheme="majorHAnsi" w:hAnsiTheme="majorHAnsi" w:cstheme="majorBidi"/>
      <w:b/>
      <w:bCs/>
      <w:kern w:val="2"/>
      <w:sz w:val="36"/>
      <w:szCs w:val="32"/>
    </w:rPr>
  </w:style>
  <w:style w:type="paragraph" w:customStyle="1" w:styleId="71">
    <w:name w:val="章节"/>
    <w:basedOn w:val="15"/>
    <w:qFormat/>
    <w:uiPriority w:val="0"/>
    <w:pPr>
      <w:spacing w:line="360" w:lineRule="auto"/>
      <w:jc w:val="center"/>
      <w:outlineLvl w:val="0"/>
    </w:pPr>
    <w:rPr>
      <w:rFonts w:ascii="黑体" w:eastAsia="黑体"/>
      <w:b/>
      <w:bCs/>
      <w:sz w:val="36"/>
      <w:szCs w:val="36"/>
    </w:rPr>
  </w:style>
  <w:style w:type="paragraph" w:customStyle="1" w:styleId="72">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5"/>
    <w:qFormat/>
    <w:uiPriority w:val="2"/>
    <w:pPr>
      <w:numPr>
        <w:ilvl w:val="0"/>
        <w:numId w:val="3"/>
      </w:numPr>
      <w:spacing w:line="360" w:lineRule="auto"/>
      <w:outlineLvl w:val="2"/>
    </w:pPr>
    <w:rPr>
      <w:b/>
    </w:rPr>
  </w:style>
  <w:style w:type="paragraph" w:customStyle="1" w:styleId="74">
    <w:name w:val="3级标题"/>
    <w:basedOn w:val="15"/>
    <w:link w:val="102"/>
    <w:qFormat/>
    <w:uiPriority w:val="3"/>
    <w:pPr>
      <w:numPr>
        <w:ilvl w:val="0"/>
        <w:numId w:val="4"/>
      </w:numPr>
      <w:spacing w:line="360" w:lineRule="auto"/>
      <w:outlineLvl w:val="3"/>
    </w:pPr>
    <w:rPr>
      <w:b/>
    </w:rPr>
  </w:style>
  <w:style w:type="paragraph" w:customStyle="1" w:styleId="75">
    <w:name w:val="（4）级标题"/>
    <w:basedOn w:val="15"/>
    <w:qFormat/>
    <w:uiPriority w:val="8"/>
    <w:pPr>
      <w:numPr>
        <w:ilvl w:val="0"/>
        <w:numId w:val="5"/>
      </w:numPr>
      <w:spacing w:line="360" w:lineRule="auto"/>
      <w:outlineLvl w:val="4"/>
    </w:pPr>
  </w:style>
  <w:style w:type="paragraph" w:customStyle="1" w:styleId="76">
    <w:name w:val="标书正文"/>
    <w:basedOn w:val="15"/>
    <w:link w:val="97"/>
    <w:qFormat/>
    <w:uiPriority w:val="9"/>
    <w:pPr>
      <w:spacing w:line="360" w:lineRule="auto"/>
      <w:jc w:val="left"/>
    </w:pPr>
  </w:style>
  <w:style w:type="character" w:customStyle="1" w:styleId="77">
    <w:name w:val="标题 4 字符"/>
    <w:basedOn w:val="32"/>
    <w:link w:val="6"/>
    <w:semiHidden/>
    <w:qFormat/>
    <w:uiPriority w:val="0"/>
    <w:rPr>
      <w:rFonts w:ascii="Arial" w:hAnsi="Arial"/>
      <w:b/>
      <w:bCs/>
      <w:kern w:val="2"/>
      <w:sz w:val="21"/>
      <w:szCs w:val="28"/>
    </w:rPr>
  </w:style>
  <w:style w:type="character" w:customStyle="1" w:styleId="78">
    <w:name w:val="标题 5 字符"/>
    <w:basedOn w:val="32"/>
    <w:link w:val="7"/>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2"/>
    <w:semiHidden/>
    <w:qFormat/>
    <w:uiPriority w:val="0"/>
    <w:rPr>
      <w:rFonts w:ascii="宋体" w:hAnsi="宋体"/>
      <w:color w:val="FF0000"/>
      <w:kern w:val="2"/>
      <w:sz w:val="24"/>
      <w:szCs w:val="24"/>
    </w:rPr>
  </w:style>
  <w:style w:type="paragraph" w:customStyle="1" w:styleId="84">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7"/>
    <w:semiHidden/>
    <w:qFormat/>
    <w:uiPriority w:val="0"/>
    <w:rPr>
      <w:sz w:val="24"/>
    </w:rPr>
  </w:style>
  <w:style w:type="character" w:customStyle="1" w:styleId="87">
    <w:name w:val="日期 字符"/>
    <w:basedOn w:val="32"/>
    <w:link w:val="16"/>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10"/>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Courier New"/>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8"/>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5"/>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24</Pages>
  <Words>6949</Words>
  <Characters>7205</Characters>
  <Lines>127</Lines>
  <Paragraphs>35</Paragraphs>
  <TotalTime>4</TotalTime>
  <ScaleCrop>false</ScaleCrop>
  <LinksUpToDate>false</LinksUpToDate>
  <CharactersWithSpaces>7964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Administrator</cp:lastModifiedBy>
  <cp:lastPrinted>2020-06-28T02:28:00Z</cp:lastPrinted>
  <dcterms:modified xsi:type="dcterms:W3CDTF">2026-02-24T01:12:03Z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C4E667CF26604F52AD561790FE42A8A8_13</vt:lpwstr>
  </property>
  <property fmtid="{D5CDD505-2E9C-101B-9397-08002B2CF9AE}" pid="4" name="KSOTemplateDocerSaveRecord">
    <vt:lpwstr>eyJoZGlkIjoiYWJmNTAxYTA0NTllZTU0OWY5NWY0MWNlMzBjNGU2OTYiLCJ1c2VySWQiOiIxMjcwNTU4ODAzIn0=</vt:lpwstr>
  </property>
</Properties>
</file>