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产品试验检测中心连杆疲劳强度检测</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试验委外招标项目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default" w:ascii="宋体" w:hAnsi="宋体" w:cs="宋体"/>
          <w:color w:val="000000"/>
          <w:sz w:val="28"/>
          <w:szCs w:val="28"/>
          <w:woUserID w:val="1"/>
        </w:rPr>
        <w:t>2</w:t>
      </w:r>
      <w:r>
        <w:rPr>
          <w:rFonts w:hint="eastAsia" w:ascii="宋体" w:hAnsi="宋体" w:eastAsia="宋体" w:cs="宋体"/>
          <w:color w:val="000000"/>
          <w:sz w:val="28"/>
          <w:szCs w:val="28"/>
        </w:rPr>
        <w:t>月</w:t>
      </w: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产品试验检测中心连杆疲劳强度检测试验委外招标项目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采购形式编号：ZBGL2026010346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cs="宋体"/>
          <w:color w:val="000000"/>
          <w:sz w:val="24"/>
          <w:szCs w:val="24"/>
          <w:lang w:val="en-US" w:eastAsia="zh-CN"/>
        </w:rPr>
        <w:t>连杆疲劳强度检测试验</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产品试验检测中心连杆疲劳强度检测试验委外</w:t>
      </w:r>
      <w:r>
        <w:rPr>
          <w:rFonts w:hint="eastAsia" w:hAnsi="宋体" w:cs="宋体"/>
          <w:color w:val="000000"/>
          <w:sz w:val="24"/>
          <w:szCs w:val="24"/>
          <w:lang w:val="en-US" w:eastAsia="zh-CN"/>
        </w:rPr>
        <w:t>招标</w:t>
      </w:r>
      <w:r>
        <w:rPr>
          <w:rFonts w:hint="eastAsia" w:ascii="宋体" w:hAnsi="宋体" w:eastAsia="宋体" w:cs="宋体"/>
          <w:color w:val="000000"/>
          <w:sz w:val="24"/>
          <w:szCs w:val="24"/>
          <w:lang w:eastAsia="zh-CN"/>
        </w:rPr>
        <w:t>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产品试验检测中心连杆疲劳强度检测试验委外项目。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检测样件数目分批次据实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lang w:val="en-US" w:eastAsia="zh-CN"/>
        </w:rPr>
        <w:t>500万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hAnsi="宋体" w:cs="宋体"/>
          <w:color w:val="000000"/>
          <w:sz w:val="24"/>
          <w:szCs w:val="24"/>
          <w:lang w:val="en-US" w:eastAsia="zh-CN"/>
        </w:rPr>
        <w:t>本项目不允许代理商参与投标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901" w:firstLineChars="375"/>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2</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2026年2月</w:t>
      </w:r>
      <w:r>
        <w:rPr>
          <w:rFonts w:hint="default" w:eastAsia="宋体" w:cs="宋体"/>
          <w:b/>
          <w:bCs/>
          <w:color w:val="000000"/>
          <w:kern w:val="2"/>
          <w:sz w:val="24"/>
          <w:szCs w:val="24"/>
          <w:lang w:eastAsia="zh-CN" w:bidi="ar-SA"/>
          <w:woUserID w:val="1"/>
        </w:rPr>
        <w:t>8</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日</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2026年2月</w:t>
      </w:r>
      <w:r>
        <w:rPr>
          <w:rFonts w:hint="default" w:eastAsia="宋体" w:cs="宋体"/>
          <w:b/>
          <w:bCs/>
          <w:color w:val="000000"/>
          <w:kern w:val="2"/>
          <w:sz w:val="24"/>
          <w:szCs w:val="24"/>
          <w:lang w:eastAsia="zh-CN" w:bidi="ar-SA"/>
          <w:woUserID w:val="1"/>
        </w:rPr>
        <w:t>14</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六</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default" w:ascii="宋体" w:hAnsi="宋体" w:eastAsia="宋体" w:cs="宋体"/>
          <w:b/>
          <w:lang w:val="en-US" w:eastAsia="zh-CN"/>
        </w:rPr>
      </w:pPr>
      <w:r>
        <w:rPr>
          <w:rFonts w:hint="eastAsia" w:ascii="宋体" w:hAnsi="宋体" w:eastAsia="宋体" w:cs="宋体"/>
          <w:b/>
          <w:bCs/>
        </w:rPr>
        <w:t>3、踏勘现场时间：</w:t>
      </w:r>
      <w:r>
        <w:rPr>
          <w:rFonts w:hint="eastAsia" w:eastAsia="宋体" w:cs="宋体"/>
          <w:b w:val="0"/>
          <w:bCs w:val="0"/>
          <w:lang w:val="en-US" w:eastAsia="zh-CN"/>
        </w:rPr>
        <w:t>无需查看。</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答疑时间：截止至2026年2月8日（周日）下午17点前，逾期不受理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曹瑞   </w:t>
      </w:r>
    </w:p>
    <w:p>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13176840234 </w:t>
      </w:r>
    </w:p>
    <w:p>
      <w:pPr>
        <w:pStyle w:val="78"/>
        <w:ind w:firstLine="480"/>
        <w:rPr>
          <w:rFonts w:hint="default" w:ascii="宋体" w:hAnsi="宋体" w:eastAsia="宋体" w:cs="宋体"/>
          <w:lang w:val="en-US"/>
        </w:rPr>
      </w:pPr>
      <w:r>
        <w:rPr>
          <w:rFonts w:hint="eastAsia" w:ascii="宋体" w:hAnsi="宋体" w:eastAsia="宋体" w:cs="宋体"/>
        </w:rPr>
        <w:t>邮    箱：</w:t>
      </w:r>
      <w:r>
        <w:rPr>
          <w:rFonts w:hint="eastAsia" w:eastAsia="宋体" w:cs="宋体"/>
          <w:lang w:val="en-US" w:eastAsia="zh-CN"/>
        </w:rPr>
        <w:t xml:space="preserve"> 1157998365@qq.com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2</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14</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六</w:t>
      </w:r>
      <w:bookmarkStart w:id="29" w:name="_GoBack"/>
      <w:bookmarkEnd w:id="29"/>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highlight w:val="cyan"/>
        </w:rPr>
      </w:pPr>
      <w:r>
        <w:rPr>
          <w:rFonts w:hint="eastAsia" w:ascii="宋体" w:hAnsi="宋体" w:eastAsia="宋体" w:cs="宋体"/>
        </w:rPr>
        <w:t>投标地点：</w:t>
      </w:r>
      <w:bookmarkStart w:id="3" w:name="OLE_LINK2"/>
      <w:bookmarkStart w:id="4" w:name="OLE_LINK3"/>
      <w:r>
        <w:rPr>
          <w:rFonts w:hint="eastAsia" w:ascii="宋体" w:hAnsi="宋体" w:eastAsia="宋体" w:cs="宋体"/>
          <w:highlight w:val="cyan"/>
        </w:rPr>
        <w:t>重汽科技大厦</w:t>
      </w:r>
      <w:r>
        <w:rPr>
          <w:rFonts w:hint="eastAsia" w:eastAsia="宋体" w:cs="宋体"/>
          <w:highlight w:val="cyan"/>
          <w:lang w:val="en-US" w:eastAsia="zh-CN"/>
        </w:rPr>
        <w:t>8#试验室308</w:t>
      </w:r>
      <w:r>
        <w:rPr>
          <w:rFonts w:hint="eastAsia" w:ascii="宋体" w:hAnsi="宋体" w:eastAsia="宋体" w:cs="宋体"/>
          <w:highlight w:val="cyan"/>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技术标占比60%，商务标占比40%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本着公平、公正、公开的原则，通过</w:t>
      </w:r>
      <w:r>
        <w:rPr>
          <w:rFonts w:hint="eastAsia" w:ascii="宋体" w:hAnsi="宋体" w:cs="宋体"/>
          <w:color w:val="000000"/>
          <w:sz w:val="24"/>
          <w:szCs w:val="24"/>
          <w:lang w:val="en-US" w:eastAsia="zh-CN"/>
        </w:rPr>
        <w:t>综合评标法</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供方具备完善的试验能力及整改能力，可提供相关试验项目的检验报告，具体试验项目参照第三条技术要求，检验结果如出现不合格，应查找不合格原因。</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shd w:val="clear" w:color="auto" w:fill="auto"/>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完成相关检验后，中标方应提供试验项目的检验报告及数据、试验过程图片或录像。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项目启动后，中标方根据招标方试验需求及项目经验对试验做出一个合理完善的规划和试验进度表、试验大纲及相应检验项目的试验时间安排，供方需在1周内完成反馈。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jc w:val="left"/>
              <w:rPr>
                <w:rFonts w:hint="eastAsia" w:ascii="宋体" w:hAnsi="宋体" w:eastAsia="宋体" w:cs="宋体"/>
                <w:sz w:val="24"/>
              </w:rPr>
            </w:pPr>
            <w:r>
              <w:rPr>
                <w:rFonts w:hint="eastAsia" w:ascii="仿宋_GB2312" w:hAnsi="宋体" w:eastAsia="仿宋_GB2312" w:cs="宋体"/>
                <w:b w:val="0"/>
                <w:kern w:val="2"/>
                <w:sz w:val="21"/>
                <w:szCs w:val="22"/>
                <w:lang w:val="en-US" w:eastAsia="zh-CN" w:bidi="ar-SA"/>
              </w:rPr>
              <w:t>试验应以升降法进行检测，即每次试验达到规定的最高极限振动循环次数。根据试验的结果决定下一步试验的载荷等级：如果材料达到该极限振动循环次数而无断裂，则可以采用比此次试验更高一级载荷的试验。反之，如果材料在达到该极限振荡循环次数之前即出现断裂，则要采用比此次试验更低一级载荷</w:t>
            </w:r>
            <w:r>
              <w:rPr>
                <w:rFonts w:hint="eastAsia" w:ascii="仿宋_GB2312" w:hAnsi="宋体" w:eastAsia="仿宋_GB2312" w:cs="宋体"/>
                <w:b w:val="0"/>
                <w:kern w:val="2"/>
                <w:sz w:val="21"/>
                <w:szCs w:val="22"/>
                <w:u w:val="none"/>
                <w:lang w:val="en-US" w:eastAsia="zh-CN" w:bidi="ar-SA"/>
              </w:rPr>
              <w:t>进行</w:t>
            </w:r>
            <w:r>
              <w:rPr>
                <w:rFonts w:hint="eastAsia" w:ascii="仿宋_GB2312" w:hAnsi="宋体" w:eastAsia="仿宋_GB2312" w:cs="宋体"/>
                <w:b w:val="0"/>
                <w:kern w:val="2"/>
                <w:sz w:val="21"/>
                <w:szCs w:val="22"/>
                <w:lang w:val="en-US" w:eastAsia="zh-CN" w:bidi="ar-SA"/>
              </w:rPr>
              <w:t>试验。其所规定的载荷等级是预先规定的每一级之间提高或者减低的载荷变化量，且一经确定便不得更改。</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380"/>
        <w:gridCol w:w="1133"/>
        <w:gridCol w:w="1127"/>
        <w:gridCol w:w="1045"/>
        <w:gridCol w:w="2013"/>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7"/>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trPr>
        <w:tc>
          <w:tcPr>
            <w:tcW w:w="296" w:type="pct"/>
            <w:vAlign w:val="center"/>
          </w:tcPr>
          <w:p>
            <w:pPr>
              <w:pStyle w:val="82"/>
              <w:rPr>
                <w:rFonts w:hint="eastAsia" w:ascii="宋体" w:hAnsi="宋体" w:eastAsia="宋体" w:cs="宋体"/>
              </w:rPr>
            </w:pPr>
            <w:r>
              <w:rPr>
                <w:rFonts w:hint="eastAsia" w:ascii="宋体" w:hAnsi="宋体" w:eastAsia="宋体" w:cs="宋体"/>
              </w:rPr>
              <w:t>序号</w:t>
            </w:r>
          </w:p>
        </w:tc>
        <w:tc>
          <w:tcPr>
            <w:tcW w:w="749"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5"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612"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567"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1092"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066"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hint="eastAsia" w:ascii="宋体" w:hAnsi="宋体" w:eastAsia="宋体" w:cs="宋体"/>
              </w:rPr>
            </w:pPr>
            <w:r>
              <w:rPr>
                <w:rFonts w:hint="eastAsia" w:ascii="宋体" w:hAnsi="宋体" w:eastAsia="宋体" w:cs="宋体"/>
              </w:rPr>
              <w:t>1</w:t>
            </w:r>
          </w:p>
        </w:tc>
        <w:tc>
          <w:tcPr>
            <w:tcW w:w="749" w:type="pct"/>
            <w:vAlign w:val="center"/>
          </w:tcPr>
          <w:p>
            <w:pPr>
              <w:pStyle w:val="82"/>
              <w:rPr>
                <w:rFonts w:hint="default" w:ascii="宋体" w:hAnsi="宋体" w:eastAsia="宋体" w:cs="宋体"/>
                <w:lang w:val="en-US"/>
              </w:rPr>
            </w:pPr>
            <w:r>
              <w:rPr>
                <w:rFonts w:hint="eastAsia" w:ascii="宋体" w:hAnsi="宋体" w:cs="宋体"/>
                <w:i w:val="0"/>
                <w:iCs w:val="0"/>
                <w:color w:val="000000"/>
                <w:sz w:val="22"/>
                <w:szCs w:val="22"/>
                <w:u w:val="none"/>
                <w:lang w:val="en-US" w:eastAsia="zh-CN"/>
              </w:rPr>
              <w:t>连杆疲劳强度检测试验项目</w:t>
            </w:r>
          </w:p>
        </w:tc>
        <w:tc>
          <w:tcPr>
            <w:tcW w:w="615" w:type="pct"/>
            <w:vAlign w:val="center"/>
          </w:tcPr>
          <w:p>
            <w:pPr>
              <w:pStyle w:val="82"/>
              <w:rPr>
                <w:rFonts w:hint="eastAsia" w:ascii="宋体" w:hAnsi="宋体" w:eastAsia="宋体" w:cs="宋体"/>
              </w:rPr>
            </w:pPr>
          </w:p>
        </w:tc>
        <w:tc>
          <w:tcPr>
            <w:tcW w:w="612" w:type="pct"/>
            <w:vAlign w:val="center"/>
          </w:tcPr>
          <w:p>
            <w:pPr>
              <w:pStyle w:val="82"/>
              <w:rPr>
                <w:rFonts w:hint="eastAsia" w:ascii="宋体" w:hAnsi="宋体" w:eastAsia="宋体" w:cs="宋体"/>
              </w:rPr>
            </w:pPr>
          </w:p>
        </w:tc>
        <w:tc>
          <w:tcPr>
            <w:tcW w:w="567" w:type="pct"/>
            <w:vAlign w:val="center"/>
          </w:tcPr>
          <w:p>
            <w:pPr>
              <w:pStyle w:val="82"/>
              <w:rPr>
                <w:rFonts w:hint="eastAsia" w:ascii="宋体" w:hAnsi="宋体" w:eastAsia="宋体" w:cs="宋体"/>
              </w:rPr>
            </w:pPr>
          </w:p>
        </w:tc>
        <w:tc>
          <w:tcPr>
            <w:tcW w:w="1092" w:type="pct"/>
            <w:vAlign w:val="center"/>
          </w:tcPr>
          <w:p>
            <w:pPr>
              <w:pStyle w:val="82"/>
              <w:rPr>
                <w:rFonts w:hint="eastAsia" w:ascii="宋体" w:hAnsi="宋体" w:eastAsia="宋体" w:cs="宋体"/>
              </w:rPr>
            </w:pPr>
          </w:p>
        </w:tc>
        <w:tc>
          <w:tcPr>
            <w:tcW w:w="1066"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hint="eastAsia" w:ascii="宋体" w:hAnsi="宋体" w:eastAsia="宋体" w:cs="宋体"/>
              </w:rPr>
            </w:pPr>
            <w:r>
              <w:rPr>
                <w:rFonts w:hint="eastAsia" w:ascii="宋体" w:hAnsi="宋体" w:eastAsia="宋体" w:cs="宋体"/>
              </w:rPr>
              <w:t>2</w:t>
            </w:r>
          </w:p>
        </w:tc>
        <w:tc>
          <w:tcPr>
            <w:tcW w:w="749" w:type="pct"/>
            <w:vAlign w:val="center"/>
          </w:tcPr>
          <w:p>
            <w:pPr>
              <w:pStyle w:val="82"/>
              <w:rPr>
                <w:rFonts w:hint="eastAsia" w:ascii="宋体" w:hAnsi="宋体" w:eastAsia="宋体" w:cs="宋体"/>
              </w:rPr>
            </w:pPr>
            <w:r>
              <w:rPr>
                <w:rFonts w:hint="eastAsia" w:ascii="宋体" w:hAnsi="宋体" w:eastAsia="宋体" w:cs="宋体"/>
              </w:rPr>
              <w:t>合计</w:t>
            </w:r>
          </w:p>
        </w:tc>
        <w:tc>
          <w:tcPr>
            <w:tcW w:w="3953" w:type="pct"/>
            <w:gridSpan w:val="5"/>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7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1200"/>
        <w:gridCol w:w="1186"/>
        <w:gridCol w:w="1240"/>
        <w:gridCol w:w="1093"/>
        <w:gridCol w:w="1333"/>
        <w:gridCol w:w="1574"/>
        <w:gridCol w:w="13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试验</w:t>
            </w:r>
            <w:r>
              <w:rPr>
                <w:rFonts w:hint="eastAsia" w:ascii="宋体" w:hAnsi="宋体" w:cs="宋体"/>
                <w:i w:val="0"/>
                <w:iCs w:val="0"/>
                <w:color w:val="000000"/>
                <w:kern w:val="0"/>
                <w:sz w:val="22"/>
                <w:szCs w:val="22"/>
                <w:u w:val="none"/>
                <w:lang w:val="en-US" w:eastAsia="zh-CN" w:bidi="ar"/>
              </w:rPr>
              <w:t>项目</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分项</w:t>
            </w:r>
          </w:p>
        </w:tc>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未税单价</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数量</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含税单价</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含税总价</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jc w:val="center"/>
        </w:trPr>
        <w:tc>
          <w:tcPr>
            <w:tcW w:w="68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0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连杆疲劳强度检测试验</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lang w:val="en-US" w:eastAsia="zh-CN"/>
              </w:rPr>
            </w:pPr>
            <w:r>
              <w:rPr>
                <w:rFonts w:hint="eastAsia" w:ascii="宋体" w:hAnsi="宋体" w:cs="宋体"/>
                <w:i w:val="0"/>
                <w:iCs w:val="0"/>
                <w:color w:val="000000"/>
                <w:sz w:val="22"/>
                <w:szCs w:val="22"/>
                <w:u w:val="none"/>
                <w:lang w:val="en-US" w:eastAsia="zh-CN"/>
              </w:rPr>
              <w:t>检测费用</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60件次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jc w:val="center"/>
        </w:trPr>
        <w:tc>
          <w:tcPr>
            <w:tcW w:w="687"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20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人工费用</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60件次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jc w:val="center"/>
        </w:trPr>
        <w:tc>
          <w:tcPr>
            <w:tcW w:w="68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120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其他（包含工装费用、样件运输费用等）</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1种型号</w:t>
            </w:r>
          </w:p>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2批次</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r>
              <w:rPr>
                <w:rFonts w:hint="eastAsia" w:ascii="仿宋_GB2312" w:hAnsi="仿宋_GB2312" w:eastAsia="仿宋_GB2312" w:cs="仿宋_GB2312"/>
                <w:b w:val="0"/>
                <w:bCs/>
                <w:sz w:val="21"/>
                <w:szCs w:val="21"/>
              </w:rPr>
              <w:t>甲方提出试验需求后</w:t>
            </w:r>
            <w:r>
              <w:rPr>
                <w:rFonts w:hint="eastAsia" w:ascii="仿宋_GB2312" w:hAnsi="仿宋_GB2312" w:eastAsia="仿宋_GB2312" w:cs="仿宋_GB2312"/>
                <w:b w:val="0"/>
                <w:bCs/>
                <w:sz w:val="21"/>
                <w:szCs w:val="21"/>
                <w:lang w:val="en-US" w:eastAsia="zh-CN"/>
              </w:rPr>
              <w:t>7</w:t>
            </w:r>
            <w:r>
              <w:rPr>
                <w:rFonts w:hint="eastAsia" w:ascii="仿宋_GB2312" w:hAnsi="仿宋_GB2312" w:eastAsia="仿宋_GB2312" w:cs="仿宋_GB2312"/>
                <w:b w:val="0"/>
                <w:bCs/>
                <w:sz w:val="21"/>
                <w:szCs w:val="21"/>
              </w:rPr>
              <w:t>个工作日内开展试验</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乙方完成试验检验、出具检验报告后汇总检测费用清单，由甲方进行确认；</w:t>
            </w:r>
          </w:p>
          <w:p>
            <w:pPr>
              <w:pStyle w:val="82"/>
              <w:rPr>
                <w:rFonts w:hint="eastAsia" w:ascii="仿宋_GB2312" w:hAnsi="仿宋_GB2312" w:eastAsia="仿宋_GB2312" w:cs="仿宋_GB2312"/>
                <w:b w:val="0"/>
                <w:bCs/>
                <w:sz w:val="21"/>
                <w:szCs w:val="21"/>
                <w:lang w:eastAsia="zh-CN"/>
              </w:rPr>
            </w:pPr>
            <w:r>
              <w:rPr>
                <w:rFonts w:hint="eastAsia" w:ascii="仿宋_GB2312" w:hAnsi="仿宋_GB2312" w:eastAsia="仿宋_GB2312" w:cs="仿宋_GB2312"/>
                <w:b w:val="0"/>
                <w:bCs/>
                <w:sz w:val="21"/>
                <w:szCs w:val="21"/>
              </w:rPr>
              <w:t>乙方在甲方费用清单确认通知后开具全额增值税专用发票，并由甲方按照其财务制度进行审核后支付</w:t>
            </w:r>
            <w:r>
              <w:rPr>
                <w:rFonts w:hint="eastAsia" w:ascii="仿宋_GB2312" w:hAnsi="仿宋_GB2312" w:eastAsia="仿宋_GB2312" w:cs="仿宋_GB2312"/>
                <w:b w:val="0"/>
                <w:bCs/>
                <w:sz w:val="21"/>
                <w:szCs w:val="21"/>
                <w:lang w:eastAsia="zh-CN"/>
              </w:rPr>
              <w:t>；</w:t>
            </w:r>
          </w:p>
          <w:p>
            <w:pPr>
              <w:pStyle w:val="82"/>
              <w:rPr>
                <w:rFonts w:hint="eastAsia" w:ascii="宋体" w:hAnsi="宋体" w:eastAsia="宋体" w:cs="宋体"/>
                <w:szCs w:val="21"/>
              </w:rPr>
            </w:pPr>
            <w:r>
              <w:rPr>
                <w:rFonts w:hint="eastAsia" w:ascii="仿宋_GB2312" w:hAnsi="仿宋_GB2312" w:eastAsia="仿宋_GB2312" w:cs="仿宋_GB2312"/>
                <w:b w:val="0"/>
                <w:bCs/>
                <w:sz w:val="21"/>
                <w:szCs w:val="21"/>
                <w:highlight w:val="none"/>
                <w:lang w:val="en-US" w:eastAsia="zh-CN"/>
              </w:rPr>
              <w:t>单批次项目完成结算。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bCs w:val="0"/>
              </w:rPr>
            </w:pPr>
            <w:r>
              <w:rPr>
                <w:rFonts w:hint="eastAsia" w:ascii="仿宋_GB2312" w:hAnsi="仿宋_GB2312" w:eastAsia="仿宋_GB2312" w:cs="仿宋_GB2312"/>
                <w:b/>
                <w:bCs w:val="0"/>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仿宋_GB2312" w:hAnsi="仿宋_GB2312" w:eastAsia="仿宋_GB2312" w:cs="仿宋_GB2312"/>
                <w:b w:val="0"/>
                <w:bCs/>
                <w:sz w:val="21"/>
                <w:szCs w:val="21"/>
              </w:rPr>
              <w:t>提供有效的电子版检验报告。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639014"/>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11"/>
        <w:bidi w:val="0"/>
        <w:rPr>
          <w:rFonts w:hint="eastAsia"/>
        </w:rPr>
      </w:pPr>
      <w:r>
        <w:rPr>
          <w:rFonts w:hint="eastAsia"/>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11"/>
        <w:bidi w:val="0"/>
        <w:rPr>
          <w:rFonts w:hint="eastAsia"/>
        </w:rPr>
      </w:pPr>
      <w:r>
        <w:rPr>
          <w:rFonts w:hint="eastAsia"/>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证书资质</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pPr>
              <w:rPr>
                <w:rFonts w:ascii="宋体" w:hAnsi="宋体" w:cs="仿宋_GB2312"/>
                <w:szCs w:val="21"/>
              </w:rPr>
            </w:pPr>
            <w:r>
              <w:rPr>
                <w:rFonts w:hint="eastAsia" w:ascii="宋体" w:hAnsi="宋体" w:cs="仿宋_GB2312"/>
                <w:szCs w:val="21"/>
              </w:rPr>
              <w:t>近三年内无负主要责任的检测事故，</w:t>
            </w:r>
            <w:r>
              <w:rPr>
                <w:rFonts w:hint="eastAsia" w:ascii="宋体" w:hAnsi="宋体" w:cs="仿宋_GB2312"/>
                <w:szCs w:val="21"/>
                <w:lang w:val="en-US" w:eastAsia="zh-CN"/>
              </w:rPr>
              <w:t>10</w:t>
            </w:r>
            <w:r>
              <w:rPr>
                <w:rFonts w:hint="eastAsia" w:ascii="宋体" w:hAnsi="宋体" w:cs="仿宋_GB2312"/>
                <w:szCs w:val="21"/>
              </w:rPr>
              <w:t>分；</w:t>
            </w:r>
            <w:r>
              <w:rPr>
                <w:rFonts w:ascii="宋体" w:hAnsi="宋体" w:cs="仿宋_GB2312"/>
                <w:szCs w:val="21"/>
              </w:rPr>
              <w:t xml:space="preserve"> </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设备设施</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合同执行情况</w:t>
            </w:r>
          </w:p>
          <w:p>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服务质量</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试验保障</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pPr>
              <w:rPr>
                <w:rFonts w:ascii="宋体" w:hAnsi="宋体" w:cs="仿宋_GB2312"/>
                <w:szCs w:val="21"/>
                <w:lang w:bidi="ar"/>
              </w:rPr>
            </w:pP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b/>
          <w:bCs w:val="0"/>
        </w:rPr>
      </w:pPr>
      <w:r>
        <w:rPr>
          <w:rFonts w:hint="eastAsia" w:ascii="宋体" w:hAnsi="宋体" w:eastAsia="宋体" w:cs="宋体"/>
          <w:b/>
          <w:bCs w:val="0"/>
        </w:rPr>
        <w:t>一、项目说明</w:t>
      </w:r>
    </w:p>
    <w:p>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eastAsia="宋体" w:cs="宋体"/>
          <w:u w:val="single"/>
          <w:lang w:val="en-US" w:eastAsia="zh-CN"/>
        </w:rPr>
        <w:t>产品试验检测中心</w:t>
      </w:r>
      <w:r>
        <w:rPr>
          <w:rFonts w:hint="eastAsia" w:ascii="宋体" w:hAnsi="宋体" w:eastAsia="宋体" w:cs="宋体"/>
          <w:u w:val="single"/>
        </w:rPr>
        <w:t>连杆疲劳强度检测试验委外项目</w:t>
      </w: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提供试验数据、试验过程图片或录像。</w:t>
      </w:r>
    </w:p>
    <w:p>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pPr>
        <w:pStyle w:val="80"/>
        <w:rPr>
          <w:rFonts w:hint="eastAsia" w:ascii="宋体" w:hAnsi="宋体" w:eastAsia="宋体" w:cs="宋体"/>
          <w:b/>
          <w:bCs w:val="0"/>
        </w:rPr>
      </w:pPr>
      <w:r>
        <w:rPr>
          <w:rFonts w:hint="eastAsia" w:ascii="宋体" w:hAnsi="宋体" w:eastAsia="宋体" w:cs="宋体"/>
          <w:b/>
          <w:bCs w:val="0"/>
        </w:rPr>
        <w:t>二、服务要求</w:t>
      </w:r>
    </w:p>
    <w:p>
      <w:pPr>
        <w:spacing w:line="360" w:lineRule="auto"/>
        <w:ind w:firstLine="480" w:firstLineChars="200"/>
        <w:jc w:val="left"/>
        <w:rPr>
          <w:rFonts w:ascii="宋体" w:hAnsi="宋体" w:cs="宋体"/>
          <w:sz w:val="24"/>
          <w:szCs w:val="24"/>
        </w:rPr>
      </w:pPr>
      <w:bookmarkStart w:id="23" w:name="_Toc10152"/>
      <w:bookmarkStart w:id="24" w:name="_Toc26699"/>
      <w:bookmarkStart w:id="25" w:name="_Toc31558"/>
      <w:bookmarkStart w:id="26" w:name="_Toc490750820"/>
      <w:bookmarkStart w:id="27" w:name="_Toc24049"/>
      <w:bookmarkStart w:id="28" w:name="_Toc385411768"/>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pPr>
        <w:pStyle w:val="80"/>
        <w:rPr>
          <w:rFonts w:hint="eastAsia" w:ascii="宋体" w:hAnsi="宋体" w:eastAsia="宋体" w:cs="宋体"/>
          <w:b/>
          <w:bCs w:val="0"/>
        </w:rPr>
      </w:pPr>
      <w:r>
        <w:rPr>
          <w:rFonts w:hint="eastAsia" w:ascii="宋体" w:hAnsi="宋体" w:eastAsia="宋体" w:cs="宋体"/>
          <w:b/>
          <w:bCs w:val="0"/>
        </w:rPr>
        <w:t>三、技术要求</w:t>
      </w:r>
      <w:bookmarkEnd w:id="23"/>
      <w:bookmarkEnd w:id="24"/>
      <w:bookmarkEnd w:id="25"/>
      <w:bookmarkEnd w:id="26"/>
      <w:bookmarkEnd w:id="27"/>
      <w:bookmarkEnd w:id="28"/>
    </w:p>
    <w:p>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lang w:val="en-US" w:eastAsia="zh-CN"/>
        </w:rPr>
        <w:t>连杆疲劳强度检测试验，根据招标方提供的样件设计载荷，计算预计施加的载荷；连杆检测应为拉压疲劳测试，动态幅值约为预加负载的1.72倍；采用阶梯法（升降法），即每次试验达到规定的最高极限振动循环次数。根据试验的结果决定下一步试验的载荷等级：如果材料达到该极限振动循环次数而无断裂，则可以采用比此次试验更高一级载荷的试验。反之，如果材料在达到该极限振荡循环次数之前即出现断裂，则要采用比此次试验更低一级载荷进行试验。其所规定的载荷等级是预先规定的每一级之间提高或者减低的载荷变化量，且一经确定便不得更改</w:t>
      </w:r>
      <w:r>
        <w:rPr>
          <w:rFonts w:hint="eastAsia" w:ascii="宋体" w:hAnsi="宋体" w:cs="宋体"/>
          <w:sz w:val="24"/>
          <w:szCs w:val="24"/>
        </w:rPr>
        <w:t>。</w:t>
      </w:r>
    </w:p>
    <w:p>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pPr>
        <w:pStyle w:val="80"/>
        <w:spacing w:line="360" w:lineRule="auto"/>
        <w:rPr>
          <w:rFonts w:eastAsia="宋体" w:cs="宋体"/>
          <w:b/>
        </w:rPr>
      </w:pPr>
      <w:r>
        <w:rPr>
          <w:rFonts w:hint="eastAsia" w:eastAsia="宋体" w:cs="宋体"/>
          <w:b/>
        </w:rPr>
        <w:t>四 其他要求及说明</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1BDB1B55"/>
    <w:rsid w:val="21425423"/>
    <w:rsid w:val="26782A1B"/>
    <w:rsid w:val="2E2E6E8E"/>
    <w:rsid w:val="2EB771D0"/>
    <w:rsid w:val="347E0C7B"/>
    <w:rsid w:val="34F7633C"/>
    <w:rsid w:val="4C3A530E"/>
    <w:rsid w:val="519B637D"/>
    <w:rsid w:val="520D3BC4"/>
    <w:rsid w:val="5D5DCE46"/>
    <w:rsid w:val="60AB16C4"/>
    <w:rsid w:val="60AE53F2"/>
    <w:rsid w:val="60EE4022"/>
    <w:rsid w:val="636F4F70"/>
    <w:rsid w:val="64D3442A"/>
    <w:rsid w:val="65AD6236"/>
    <w:rsid w:val="699A3928"/>
    <w:rsid w:val="6B1F72C2"/>
    <w:rsid w:val="6E171EC6"/>
    <w:rsid w:val="70221C74"/>
    <w:rsid w:val="720E4873"/>
    <w:rsid w:val="73E3796C"/>
    <w:rsid w:val="77EF6C01"/>
    <w:rsid w:val="7D4635F6"/>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7220</Words>
  <Characters>7450</Characters>
  <Lines>247</Lines>
  <Paragraphs>69</Paragraphs>
  <TotalTime>3</TotalTime>
  <ScaleCrop>false</ScaleCrop>
  <LinksUpToDate>false</LinksUpToDate>
  <CharactersWithSpaces>8937</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2026-02-04T13:23:56Z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