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济南成型厂转向节、差速器盖模具焊修项目公开招标公告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ascii="Cambria" w:hAnsi="Cambria" w:eastAsia="宋体" w:cs="宋体"/>
          <w:b/>
          <w:bCs/>
          <w:i w:val="0"/>
          <w:iCs/>
          <w:sz w:val="22"/>
          <w:szCs w:val="22"/>
          <w:highlight w:val="none"/>
          <w:lang w:val="en-US" w:eastAsia="zh-CN"/>
        </w:rPr>
        <w:t>ZBGL2026010266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2026-02-04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2026-02-10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6A48716C">
      <w:pPr>
        <w:ind w:firstLine="480" w:firstLineChars="200"/>
        <w:jc w:val="left"/>
        <w:rPr>
          <w:rFonts w:hint="eastAsia"/>
        </w:rPr>
      </w:pPr>
      <w:r>
        <w:rPr>
          <w:rFonts w:hint="eastAsia"/>
          <w:color w:val="auto"/>
          <w:sz w:val="24"/>
          <w:szCs w:val="24"/>
          <w:highlight w:val="none"/>
        </w:rPr>
        <w:t>我公司依据《招标采购管理流程》要求，就</w:t>
      </w:r>
      <w:r>
        <w:rPr>
          <w:rFonts w:hint="eastAsia"/>
          <w:color w:val="auto"/>
          <w:sz w:val="24"/>
          <w:szCs w:val="24"/>
          <w:highlight w:val="none"/>
          <w:lang w:eastAsia="zh-CN"/>
        </w:rPr>
        <w:t>济南成型厂转向节、差速器盖模具焊修项目（标</w:t>
      </w:r>
      <w:r>
        <w:rPr>
          <w:rFonts w:hint="eastAsia"/>
          <w:color w:val="auto"/>
          <w:sz w:val="24"/>
          <w:szCs w:val="24"/>
          <w:highlight w:val="none"/>
          <w:lang w:val="en-US" w:eastAsia="zh-CN"/>
        </w:rPr>
        <w:tab/>
      </w:r>
      <w:r>
        <w:rPr>
          <w:rFonts w:hint="eastAsia"/>
          <w:color w:val="auto"/>
          <w:sz w:val="24"/>
          <w:szCs w:val="24"/>
          <w:highlight w:val="none"/>
          <w:lang w:eastAsia="zh-CN"/>
        </w:rPr>
        <w:t>二）</w:t>
      </w:r>
      <w:r>
        <w:rPr>
          <w:rFonts w:hint="eastAsia"/>
          <w:color w:val="auto"/>
          <w:sz w:val="24"/>
          <w:szCs w:val="24"/>
          <w:highlight w:val="none"/>
        </w:rPr>
        <w:t>通过公开招标形式组织实施。</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项目名称：济南成型厂转向节、差速器盖模具焊修</w:t>
      </w:r>
      <w:r>
        <w:rPr>
          <w:rFonts w:hint="eastAsia" w:asciiTheme="majorEastAsia" w:hAnsiTheme="majorEastAsia" w:eastAsiaTheme="majorEastAsia" w:cstheme="majorEastAsia"/>
          <w:sz w:val="24"/>
          <w:szCs w:val="24"/>
          <w:lang w:val="en-US" w:eastAsia="zh-CN"/>
        </w:rPr>
        <w:t>项目</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工装维修</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采购方式：公开招标</w:t>
      </w:r>
    </w:p>
    <w:p w14:paraId="2706069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本项目为济南成型厂转向节、差速器盖模具焊修项目（标二），根据项目所涉及工装分类及内容明细详见招标文件。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4C29A2C4">
      <w:pPr>
        <w:spacing w:line="360" w:lineRule="auto"/>
        <w:ind w:firstLine="480" w:firstLineChars="200"/>
        <w:jc w:val="left"/>
        <w:rPr>
          <w:rFonts w:hint="eastAsia"/>
          <w:color w:val="auto"/>
          <w:sz w:val="24"/>
          <w:szCs w:val="24"/>
          <w:highlight w:val="none"/>
        </w:rPr>
      </w:pPr>
      <w:r>
        <w:rPr>
          <w:rFonts w:hint="eastAsia"/>
          <w:color w:val="auto"/>
          <w:sz w:val="24"/>
          <w:szCs w:val="24"/>
          <w:highlight w:val="none"/>
          <w:lang w:val="en-US" w:eastAsia="zh-CN"/>
        </w:rPr>
        <w:t>5.</w:t>
      </w:r>
      <w:r>
        <w:rPr>
          <w:rFonts w:hint="eastAsia"/>
          <w:color w:val="auto"/>
          <w:sz w:val="24"/>
          <w:szCs w:val="24"/>
          <w:highlight w:val="none"/>
        </w:rPr>
        <w:t>技术及质量要求：定额要求见招标明细表，其他符合图纸要求。</w:t>
      </w:r>
    </w:p>
    <w:p w14:paraId="1F4BAB57">
      <w:pPr>
        <w:spacing w:line="360" w:lineRule="auto"/>
        <w:ind w:left="700" w:leftChars="200" w:hanging="280" w:hangingChars="100"/>
        <w:rPr>
          <w:color w:val="auto"/>
          <w:sz w:val="24"/>
          <w:szCs w:val="24"/>
          <w:highlight w:val="none"/>
        </w:rPr>
      </w:pPr>
      <w:r>
        <w:rPr>
          <w:rFonts w:hint="eastAsia" w:eastAsia="黑体"/>
          <w:bCs/>
          <w:color w:val="auto"/>
          <w:sz w:val="28"/>
          <w:szCs w:val="30"/>
          <w:highlight w:val="none"/>
        </w:rPr>
        <w:t>二</w:t>
      </w:r>
      <w:r>
        <w:rPr>
          <w:rFonts w:eastAsia="黑体"/>
          <w:bCs/>
          <w:color w:val="auto"/>
          <w:sz w:val="28"/>
          <w:szCs w:val="30"/>
          <w:highlight w:val="none"/>
        </w:rPr>
        <w:t>、交货及付款</w:t>
      </w:r>
    </w:p>
    <w:p w14:paraId="24326249">
      <w:pPr>
        <w:spacing w:line="360" w:lineRule="auto"/>
        <w:ind w:firstLine="480" w:firstLineChars="200"/>
        <w:rPr>
          <w:rFonts w:hint="default" w:eastAsia="宋体"/>
          <w:color w:val="auto"/>
          <w:sz w:val="24"/>
          <w:szCs w:val="24"/>
          <w:highlight w:val="yellow"/>
          <w:lang w:val="en-US" w:eastAsia="zh-CN"/>
        </w:rPr>
      </w:pPr>
      <w:r>
        <w:rPr>
          <w:color w:val="auto"/>
          <w:sz w:val="24"/>
          <w:szCs w:val="24"/>
          <w:highlight w:val="none"/>
        </w:rPr>
        <w:t>1、交货期：</w:t>
      </w:r>
      <w:r>
        <w:rPr>
          <w:rFonts w:hint="eastAsia"/>
          <w:color w:val="auto"/>
          <w:sz w:val="24"/>
          <w:szCs w:val="24"/>
          <w:highlight w:val="none"/>
        </w:rPr>
        <w:t>按派工单要求交货，</w:t>
      </w:r>
      <w:r>
        <w:rPr>
          <w:rFonts w:hint="eastAsia"/>
          <w:color w:val="auto"/>
          <w:sz w:val="24"/>
          <w:szCs w:val="24"/>
          <w:highlight w:val="yellow"/>
        </w:rPr>
        <w:t>锻模维修工期25天</w:t>
      </w:r>
      <w:r>
        <w:rPr>
          <w:rFonts w:hint="eastAsia" w:eastAsia="宋体"/>
          <w:color w:val="auto"/>
          <w:sz w:val="24"/>
          <w:szCs w:val="24"/>
          <w:highlight w:val="yellow"/>
          <w:lang w:eastAsia="zh-CN"/>
        </w:rPr>
        <w:t>，</w:t>
      </w:r>
      <w:r>
        <w:rPr>
          <w:rFonts w:hint="eastAsia" w:ascii="Calibri" w:eastAsia="宋体"/>
          <w:color w:val="auto"/>
          <w:sz w:val="24"/>
          <w:szCs w:val="24"/>
          <w:highlight w:val="yellow"/>
          <w:lang w:val="en-US" w:eastAsia="zh-CN"/>
        </w:rPr>
        <w:t>切边、凹模15天；</w:t>
      </w:r>
    </w:p>
    <w:p w14:paraId="43FBB1B5">
      <w:pPr>
        <w:spacing w:line="360" w:lineRule="auto"/>
        <w:ind w:firstLine="480" w:firstLineChars="200"/>
        <w:rPr>
          <w:rFonts w:hint="eastAsia"/>
          <w:color w:val="auto"/>
          <w:sz w:val="24"/>
          <w:szCs w:val="24"/>
          <w:highlight w:val="none"/>
        </w:rPr>
      </w:pPr>
      <w:r>
        <w:rPr>
          <w:color w:val="auto"/>
          <w:sz w:val="24"/>
          <w:szCs w:val="24"/>
          <w:highlight w:val="none"/>
        </w:rPr>
        <w:t>2、交货地点：济南成型厂圣井厂区</w:t>
      </w:r>
      <w:r>
        <w:rPr>
          <w:rFonts w:hint="eastAsia"/>
          <w:color w:val="auto"/>
          <w:sz w:val="24"/>
          <w:szCs w:val="24"/>
          <w:highlight w:val="none"/>
        </w:rPr>
        <w:t>。</w:t>
      </w:r>
    </w:p>
    <w:p w14:paraId="45DDA834">
      <w:pPr>
        <w:spacing w:line="360" w:lineRule="auto"/>
        <w:ind w:firstLine="480" w:firstLineChars="200"/>
        <w:rPr>
          <w:rFonts w:hint="eastAsia"/>
          <w:color w:val="auto"/>
          <w:sz w:val="24"/>
          <w:szCs w:val="24"/>
          <w:highlight w:val="none"/>
        </w:rPr>
      </w:pPr>
      <w:r>
        <w:rPr>
          <w:color w:val="auto"/>
          <w:sz w:val="24"/>
          <w:szCs w:val="24"/>
          <w:highlight w:val="none"/>
        </w:rPr>
        <w:t>3、交货方式：送货至济南成型厂并安全落地</w:t>
      </w:r>
      <w:r>
        <w:rPr>
          <w:rFonts w:hint="eastAsia"/>
          <w:color w:val="auto"/>
          <w:sz w:val="24"/>
          <w:szCs w:val="24"/>
          <w:highlight w:val="none"/>
        </w:rPr>
        <w:t>。</w:t>
      </w:r>
    </w:p>
    <w:p w14:paraId="332E7A59">
      <w:pPr>
        <w:spacing w:line="360" w:lineRule="auto"/>
        <w:ind w:firstLine="480" w:firstLineChars="200"/>
        <w:rPr>
          <w:color w:val="auto"/>
          <w:sz w:val="24"/>
          <w:szCs w:val="24"/>
          <w:highlight w:val="none"/>
        </w:rPr>
      </w:pPr>
      <w:r>
        <w:rPr>
          <w:color w:val="auto"/>
          <w:sz w:val="24"/>
          <w:szCs w:val="24"/>
          <w:highlight w:val="none"/>
        </w:rPr>
        <w:t>4、结算方式：</w:t>
      </w:r>
    </w:p>
    <w:p w14:paraId="6B4C7E3D">
      <w:pPr>
        <w:spacing w:line="360" w:lineRule="auto"/>
        <w:ind w:firstLine="480" w:firstLineChars="200"/>
        <w:rPr>
          <w:rFonts w:hint="eastAsia"/>
          <w:color w:val="auto"/>
          <w:sz w:val="24"/>
          <w:szCs w:val="24"/>
          <w:highlight w:val="none"/>
        </w:rPr>
      </w:pPr>
      <w:bookmarkStart w:id="2" w:name="_Hlk91660484"/>
      <w:r>
        <w:rPr>
          <w:rFonts w:hint="eastAsia"/>
          <w:color w:val="auto"/>
          <w:sz w:val="24"/>
          <w:szCs w:val="24"/>
          <w:highlight w:val="none"/>
        </w:rPr>
        <w:t>供需双方同意按月结算工装焊修费用（依据每月产品入库数量及合同价计算当月模具焊修费用），开具全额13%增值税专用发票，经需方审核确认后挂账。</w:t>
      </w:r>
    </w:p>
    <w:p w14:paraId="2A03B36B">
      <w:pPr>
        <w:spacing w:line="360" w:lineRule="auto"/>
        <w:ind w:firstLine="480" w:firstLineChars="200"/>
        <w:rPr>
          <w:rFonts w:hint="eastAsia"/>
          <w:color w:val="auto"/>
          <w:sz w:val="24"/>
          <w:szCs w:val="24"/>
          <w:highlight w:val="none"/>
        </w:rPr>
      </w:pPr>
      <w:r>
        <w:rPr>
          <w:rFonts w:hint="eastAsia"/>
          <w:color w:val="auto"/>
          <w:sz w:val="24"/>
          <w:szCs w:val="24"/>
          <w:highlight w:val="none"/>
        </w:rPr>
        <w:t>支付方式：采用发票挂账90天，半年期商业汇票（商业汇票包括银行承兑汇票和商业承兑汇票）付款。</w:t>
      </w:r>
      <w:bookmarkEnd w:id="2"/>
    </w:p>
    <w:p w14:paraId="08D85FF7">
      <w:pPr>
        <w:spacing w:line="360" w:lineRule="auto"/>
        <w:ind w:firstLine="480" w:firstLineChars="200"/>
        <w:rPr>
          <w:rFonts w:hint="eastAsia"/>
          <w:color w:val="auto"/>
          <w:sz w:val="24"/>
          <w:szCs w:val="24"/>
          <w:highlight w:val="none"/>
        </w:rPr>
      </w:pPr>
      <w:r>
        <w:rPr>
          <w:rFonts w:hint="eastAsia"/>
          <w:color w:val="auto"/>
          <w:sz w:val="24"/>
          <w:szCs w:val="24"/>
          <w:highlight w:val="none"/>
        </w:rPr>
        <w:t>因发票违规给需方造成的增值税、所得税等损失，由供方承担相关责任，包括但不限于税款、滞纳金、罚款及其它相关损失。</w:t>
      </w:r>
    </w:p>
    <w:p w14:paraId="44D51BFF">
      <w:pPr>
        <w:spacing w:line="360" w:lineRule="auto"/>
        <w:ind w:firstLine="480" w:firstLineChars="200"/>
        <w:rPr>
          <w:rFonts w:hint="eastAsia"/>
          <w:color w:val="auto"/>
          <w:sz w:val="24"/>
          <w:szCs w:val="24"/>
          <w:highlight w:val="none"/>
        </w:rPr>
      </w:pPr>
      <w:r>
        <w:rPr>
          <w:rFonts w:hint="eastAsia"/>
          <w:color w:val="auto"/>
          <w:sz w:val="24"/>
          <w:szCs w:val="24"/>
          <w:highlight w:val="none"/>
        </w:rPr>
        <w:t>质量保证金的收取按照</w:t>
      </w:r>
      <w:r>
        <w:rPr>
          <w:color w:val="auto"/>
          <w:sz w:val="24"/>
          <w:szCs w:val="24"/>
          <w:highlight w:val="none"/>
        </w:rPr>
        <w:t>《</w:t>
      </w:r>
      <w:r>
        <w:rPr>
          <w:rFonts w:hint="eastAsia"/>
          <w:color w:val="auto"/>
          <w:sz w:val="24"/>
          <w:szCs w:val="24"/>
          <w:highlight w:val="none"/>
        </w:rPr>
        <w:t>采购产品质量保证与服务协议</w:t>
      </w:r>
      <w:r>
        <w:rPr>
          <w:color w:val="auto"/>
          <w:sz w:val="24"/>
          <w:szCs w:val="24"/>
          <w:highlight w:val="none"/>
        </w:rPr>
        <w:t>》</w:t>
      </w:r>
      <w:r>
        <w:rPr>
          <w:rFonts w:hint="eastAsia"/>
          <w:color w:val="auto"/>
          <w:sz w:val="24"/>
          <w:szCs w:val="24"/>
          <w:highlight w:val="none"/>
        </w:rPr>
        <w:t>执行，使用过程中达不到技术定额的按照质量保证协议相关条款进行考核、追偿。</w:t>
      </w:r>
    </w:p>
    <w:p w14:paraId="1C91DD66">
      <w:pPr>
        <w:spacing w:line="360" w:lineRule="auto"/>
        <w:ind w:firstLine="560" w:firstLineChars="200"/>
        <w:rPr>
          <w:rFonts w:eastAsia="黑体"/>
          <w:sz w:val="24"/>
          <w:szCs w:val="24"/>
        </w:rPr>
      </w:pPr>
      <w:r>
        <w:rPr>
          <w:rFonts w:hint="eastAsia" w:eastAsia="黑体"/>
          <w:bCs/>
          <w:sz w:val="28"/>
          <w:szCs w:val="30"/>
        </w:rPr>
        <w:t>三</w:t>
      </w:r>
      <w:r>
        <w:rPr>
          <w:rFonts w:eastAsia="黑体"/>
          <w:bCs/>
          <w:sz w:val="28"/>
          <w:szCs w:val="30"/>
        </w:rPr>
        <w:t>、</w:t>
      </w:r>
      <w:r>
        <w:rPr>
          <w:rFonts w:hint="eastAsia" w:eastAsia="黑体"/>
          <w:bCs/>
          <w:sz w:val="28"/>
          <w:szCs w:val="30"/>
        </w:rPr>
        <w:t>风险保证金</w:t>
      </w:r>
    </w:p>
    <w:p w14:paraId="0FC00822">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中标供方按“模体价值*数量”缴纳风险保证金。</w:t>
      </w:r>
    </w:p>
    <w:p w14:paraId="07516C03">
      <w:pPr>
        <w:spacing w:line="360" w:lineRule="auto"/>
        <w:ind w:firstLine="560" w:firstLineChars="200"/>
        <w:rPr>
          <w:color w:val="auto"/>
          <w:sz w:val="24"/>
          <w:szCs w:val="24"/>
          <w:highlight w:val="none"/>
        </w:rPr>
      </w:pPr>
      <w:r>
        <w:rPr>
          <w:rFonts w:hint="eastAsia" w:eastAsia="黑体"/>
          <w:bCs/>
          <w:color w:val="auto"/>
          <w:sz w:val="28"/>
          <w:szCs w:val="30"/>
          <w:highlight w:val="none"/>
          <w:lang w:val="en-US" w:eastAsia="zh-CN"/>
        </w:rPr>
        <w:t>四</w:t>
      </w:r>
      <w:r>
        <w:rPr>
          <w:rFonts w:eastAsia="黑体"/>
          <w:bCs/>
          <w:color w:val="auto"/>
          <w:sz w:val="28"/>
          <w:szCs w:val="30"/>
          <w:highlight w:val="none"/>
        </w:rPr>
        <w:t>、</w:t>
      </w:r>
      <w:r>
        <w:rPr>
          <w:rFonts w:hint="eastAsia" w:eastAsia="黑体"/>
          <w:bCs/>
          <w:color w:val="auto"/>
          <w:sz w:val="28"/>
          <w:szCs w:val="30"/>
          <w:highlight w:val="none"/>
        </w:rPr>
        <w:t>投标人资格要求</w:t>
      </w:r>
    </w:p>
    <w:p w14:paraId="684E0047">
      <w:pPr>
        <w:spacing w:line="360" w:lineRule="auto"/>
        <w:ind w:firstLine="480" w:firstLineChars="200"/>
        <w:rPr>
          <w:color w:val="auto"/>
          <w:sz w:val="24"/>
          <w:szCs w:val="24"/>
          <w:highlight w:val="none"/>
          <w:u w:val="none"/>
        </w:rPr>
      </w:pPr>
      <w:r>
        <w:rPr>
          <w:rFonts w:hint="eastAsia"/>
          <w:color w:val="auto"/>
          <w:sz w:val="24"/>
          <w:szCs w:val="24"/>
          <w:highlight w:val="none"/>
          <w:u w:val="none"/>
        </w:rPr>
        <w:t>1、</w:t>
      </w:r>
      <w:r>
        <w:rPr>
          <w:color w:val="auto"/>
          <w:sz w:val="24"/>
          <w:szCs w:val="24"/>
          <w:highlight w:val="none"/>
          <w:u w:val="none"/>
        </w:rPr>
        <w:t>投</w:t>
      </w:r>
      <w:r>
        <w:rPr>
          <w:rFonts w:hint="eastAsia"/>
          <w:color w:val="auto"/>
          <w:sz w:val="24"/>
          <w:szCs w:val="24"/>
          <w:highlight w:val="none"/>
          <w:u w:val="none"/>
        </w:rPr>
        <w:t>标</w:t>
      </w:r>
      <w:r>
        <w:rPr>
          <w:color w:val="auto"/>
          <w:sz w:val="24"/>
          <w:szCs w:val="24"/>
          <w:highlight w:val="none"/>
          <w:u w:val="none"/>
        </w:rPr>
        <w:t>人必须是独立法人机构，具有独立承担民事责任能力，投标人注册资金不低于500</w:t>
      </w:r>
      <w:r>
        <w:rPr>
          <w:rFonts w:hint="eastAsia"/>
          <w:color w:val="auto"/>
          <w:sz w:val="24"/>
          <w:szCs w:val="24"/>
          <w:highlight w:val="none"/>
          <w:u w:val="none"/>
        </w:rPr>
        <w:t>万元</w:t>
      </w:r>
      <w:r>
        <w:rPr>
          <w:color w:val="auto"/>
          <w:sz w:val="24"/>
          <w:szCs w:val="24"/>
          <w:highlight w:val="none"/>
          <w:u w:val="none"/>
        </w:rPr>
        <w:t>；公司成立三年以上（以营业执照成立日期到开标当日满三年为准）；且经营范围满足招标人需求；并在人员、设备、资金等方面具有承担本项目的能力。</w:t>
      </w:r>
    </w:p>
    <w:p w14:paraId="1435C8D8">
      <w:pPr>
        <w:spacing w:line="360" w:lineRule="auto"/>
        <w:ind w:firstLine="480" w:firstLineChars="200"/>
        <w:rPr>
          <w:color w:val="auto"/>
          <w:sz w:val="24"/>
          <w:szCs w:val="24"/>
          <w:highlight w:val="none"/>
          <w:u w:val="none"/>
        </w:rPr>
      </w:pPr>
      <w:r>
        <w:rPr>
          <w:rFonts w:hint="eastAsia"/>
          <w:color w:val="auto"/>
          <w:sz w:val="24"/>
          <w:szCs w:val="24"/>
          <w:highlight w:val="none"/>
          <w:u w:val="none"/>
        </w:rPr>
        <w:t>2、</w:t>
      </w:r>
      <w:r>
        <w:rPr>
          <w:color w:val="auto"/>
          <w:sz w:val="24"/>
          <w:szCs w:val="24"/>
          <w:highlight w:val="none"/>
          <w:u w:val="none"/>
        </w:rPr>
        <w:t>投标人应具有统一社会信用代码的营业执照副本。</w:t>
      </w:r>
    </w:p>
    <w:p w14:paraId="4B6E986A">
      <w:pPr>
        <w:spacing w:line="360" w:lineRule="auto"/>
        <w:ind w:firstLine="480" w:firstLineChars="200"/>
        <w:rPr>
          <w:color w:val="auto"/>
          <w:sz w:val="24"/>
          <w:szCs w:val="24"/>
          <w:highlight w:val="none"/>
          <w:u w:val="none"/>
        </w:rPr>
      </w:pPr>
      <w:r>
        <w:rPr>
          <w:rFonts w:hint="eastAsia"/>
          <w:color w:val="auto"/>
          <w:sz w:val="24"/>
          <w:szCs w:val="24"/>
          <w:highlight w:val="none"/>
          <w:u w:val="none"/>
        </w:rPr>
        <w:t>3、经营资质具有锻造工装制作及维修等相关内容，且有锻造工装焊修制作经验。</w:t>
      </w:r>
    </w:p>
    <w:p w14:paraId="79825DC2">
      <w:pPr>
        <w:spacing w:line="360" w:lineRule="auto"/>
        <w:ind w:firstLine="480" w:firstLineChars="200"/>
        <w:rPr>
          <w:rFonts w:hint="eastAsia"/>
          <w:color w:val="auto"/>
          <w:sz w:val="24"/>
          <w:szCs w:val="24"/>
          <w:highlight w:val="none"/>
          <w:u w:val="none"/>
        </w:rPr>
      </w:pPr>
      <w:r>
        <w:rPr>
          <w:rFonts w:hint="eastAsia"/>
          <w:color w:val="auto"/>
          <w:sz w:val="24"/>
          <w:szCs w:val="24"/>
          <w:highlight w:val="none"/>
          <w:u w:val="none"/>
        </w:rPr>
        <w:t>4、投标人应通过GB/ISO9001</w:t>
      </w:r>
      <w:r>
        <w:rPr>
          <w:rFonts w:hint="eastAsia" w:ascii="Calibri" w:eastAsia="宋体"/>
          <w:color w:val="auto"/>
          <w:sz w:val="24"/>
          <w:szCs w:val="24"/>
          <w:highlight w:val="none"/>
          <w:u w:val="none"/>
          <w:lang w:val="en-US" w:eastAsia="zh-CN"/>
        </w:rPr>
        <w:t>或IATF16949</w:t>
      </w:r>
      <w:r>
        <w:rPr>
          <w:rFonts w:hint="eastAsia"/>
          <w:color w:val="auto"/>
          <w:sz w:val="24"/>
          <w:szCs w:val="24"/>
          <w:highlight w:val="none"/>
          <w:u w:val="none"/>
        </w:rPr>
        <w:t>质量体系认证。</w:t>
      </w:r>
    </w:p>
    <w:p w14:paraId="02E9E128">
      <w:pPr>
        <w:spacing w:line="360" w:lineRule="auto"/>
        <w:ind w:firstLine="480" w:firstLineChars="200"/>
        <w:rPr>
          <w:color w:val="auto"/>
          <w:sz w:val="24"/>
          <w:szCs w:val="24"/>
          <w:highlight w:val="none"/>
          <w:u w:val="none"/>
        </w:rPr>
      </w:pPr>
      <w:r>
        <w:rPr>
          <w:rFonts w:hint="eastAsia"/>
          <w:color w:val="auto"/>
          <w:sz w:val="24"/>
          <w:szCs w:val="24"/>
          <w:highlight w:val="none"/>
          <w:u w:val="none"/>
        </w:rPr>
        <w:t>5、</w:t>
      </w:r>
      <w:r>
        <w:rPr>
          <w:color w:val="auto"/>
          <w:sz w:val="24"/>
          <w:szCs w:val="24"/>
          <w:highlight w:val="none"/>
          <w:u w:val="none"/>
        </w:rPr>
        <w:t>投标人在工商行政管理局的《国家企业信用信息公示系统》中查询不存在不良记录。</w:t>
      </w:r>
    </w:p>
    <w:p w14:paraId="15F86A72">
      <w:pPr>
        <w:spacing w:line="360" w:lineRule="auto"/>
        <w:ind w:firstLine="480" w:firstLineChars="200"/>
        <w:rPr>
          <w:color w:val="auto"/>
          <w:sz w:val="24"/>
          <w:szCs w:val="24"/>
          <w:highlight w:val="none"/>
          <w:u w:val="none"/>
        </w:rPr>
      </w:pPr>
      <w:r>
        <w:rPr>
          <w:rFonts w:hint="eastAsia"/>
          <w:color w:val="auto"/>
          <w:sz w:val="24"/>
          <w:szCs w:val="24"/>
          <w:highlight w:val="none"/>
          <w:u w:val="none"/>
        </w:rPr>
        <w:t>6、</w:t>
      </w:r>
      <w:r>
        <w:rPr>
          <w:rFonts w:ascii="Times New Roman" w:hAnsi="Times New Roman" w:eastAsia="宋体" w:cs="Times New Roman"/>
          <w:color w:val="auto"/>
          <w:sz w:val="24"/>
          <w:szCs w:val="24"/>
          <w:highlight w:val="none"/>
          <w:u w:val="none"/>
        </w:rPr>
        <w:t>投标人近三年内在经营活动中无与本项目有关的违法及重大违规情况或</w:t>
      </w:r>
      <w:r>
        <w:rPr>
          <w:color w:val="auto"/>
          <w:sz w:val="24"/>
          <w:szCs w:val="24"/>
          <w:highlight w:val="none"/>
          <w:u w:val="none"/>
        </w:rPr>
        <w:t>被列入招标人“黑名单”。</w:t>
      </w:r>
    </w:p>
    <w:p w14:paraId="02FF647D">
      <w:pPr>
        <w:spacing w:line="360" w:lineRule="auto"/>
        <w:ind w:firstLine="480" w:firstLineChars="200"/>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7、</w:t>
      </w:r>
      <w:r>
        <w:rPr>
          <w:rFonts w:hint="eastAsia" w:ascii="Times New Roman" w:hAnsi="Times New Roman" w:eastAsia="宋体" w:cs="Times New Roman"/>
          <w:color w:val="auto"/>
          <w:sz w:val="24"/>
          <w:szCs w:val="24"/>
          <w:highlight w:val="none"/>
          <w:u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1CBD54A">
      <w:pPr>
        <w:spacing w:line="360" w:lineRule="auto"/>
        <w:ind w:firstLine="480" w:firstLineChars="200"/>
        <w:rPr>
          <w:color w:val="auto"/>
          <w:sz w:val="24"/>
          <w:szCs w:val="24"/>
          <w:highlight w:val="none"/>
          <w:u w:val="none"/>
        </w:rPr>
      </w:pPr>
      <w:r>
        <w:rPr>
          <w:rFonts w:hint="eastAsia"/>
          <w:color w:val="auto"/>
          <w:sz w:val="24"/>
          <w:szCs w:val="24"/>
          <w:highlight w:val="none"/>
          <w:u w:val="none"/>
        </w:rPr>
        <w:t>8、</w:t>
      </w:r>
      <w:r>
        <w:rPr>
          <w:color w:val="auto"/>
          <w:sz w:val="24"/>
          <w:szCs w:val="24"/>
          <w:highlight w:val="none"/>
          <w:u w:val="none"/>
        </w:rPr>
        <w:t>本次招标不接受联合体投标，不接受代理商投标。投标方的直接或间接股东、法定代表人、董事、监事、高管非重汽员工及其亲属。</w:t>
      </w:r>
    </w:p>
    <w:p w14:paraId="027293C9">
      <w:p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9、投标人需提供：</w:t>
      </w:r>
      <w:r>
        <w:rPr>
          <w:rFonts w:ascii="Times New Roman" w:hAnsi="Times New Roman" w:eastAsia="宋体" w:cs="Times New Roman"/>
          <w:color w:val="auto"/>
          <w:sz w:val="24"/>
          <w:szCs w:val="24"/>
          <w:highlight w:val="none"/>
          <w:u w:val="none"/>
          <w:lang w:val="en-US" w:eastAsia="zh-CN"/>
        </w:rPr>
        <w:t>最近半年完税证明、信用证明材料（中国人民银行信用代码证+征信报告）；年度纳税信用评价信息（可从电子税务局查询截图）；企业对外担保说明（写明</w:t>
      </w:r>
      <w:r>
        <w:rPr>
          <w:rFonts w:hint="eastAsia" w:ascii="Times New Roman" w:hAnsi="Times New Roman" w:eastAsia="宋体" w:cs="Times New Roman"/>
          <w:color w:val="auto"/>
          <w:sz w:val="24"/>
          <w:szCs w:val="24"/>
          <w:highlight w:val="none"/>
          <w:u w:val="none"/>
          <w:lang w:val="en-US" w:eastAsia="zh-CN"/>
        </w:rPr>
        <w:t>投标人</w:t>
      </w:r>
      <w:r>
        <w:rPr>
          <w:rFonts w:ascii="Times New Roman" w:hAnsi="Times New Roman" w:eastAsia="宋体" w:cs="Times New Roman"/>
          <w:color w:val="auto"/>
          <w:sz w:val="24"/>
          <w:szCs w:val="24"/>
          <w:highlight w:val="none"/>
          <w:u w:val="none"/>
          <w:lang w:val="en-US" w:eastAsia="zh-CN"/>
        </w:rPr>
        <w:t>单位对外有无对外担保和质押业务</w:t>
      </w:r>
      <w:r>
        <w:rPr>
          <w:rFonts w:hint="eastAsia" w:ascii="Times New Roman" w:hAnsi="Times New Roman" w:eastAsia="宋体" w:cs="Times New Roman"/>
          <w:color w:val="auto"/>
          <w:sz w:val="24"/>
          <w:szCs w:val="24"/>
          <w:highlight w:val="none"/>
          <w:u w:val="none"/>
          <w:lang w:val="en-US" w:eastAsia="zh-CN"/>
        </w:rPr>
        <w:t>）。</w:t>
      </w:r>
    </w:p>
    <w:p w14:paraId="659D78AC">
      <w:pPr>
        <w:ind w:firstLine="480" w:firstLineChars="200"/>
      </w:pPr>
      <w:r>
        <w:rPr>
          <w:rFonts w:hint="eastAsia" w:ascii="Times New Roman" w:hAnsi="Times New Roman" w:eastAsia="宋体" w:cs="Times New Roman"/>
          <w:color w:val="auto"/>
          <w:sz w:val="24"/>
          <w:szCs w:val="24"/>
          <w:highlight w:val="none"/>
          <w:u w:val="none"/>
          <w:lang w:val="en-US" w:eastAsia="zh-CN"/>
        </w:rPr>
        <w:t>10、</w:t>
      </w:r>
      <w:r>
        <w:rPr>
          <w:rFonts w:hint="eastAsia" w:ascii="Times New Roman" w:hAnsi="Times New Roman" w:eastAsia="宋体" w:cs="Times New Roman"/>
          <w:color w:val="auto"/>
          <w:sz w:val="24"/>
          <w:szCs w:val="24"/>
          <w:highlight w:val="none"/>
          <w:u w:val="none"/>
        </w:rPr>
        <w:t>投标人在向招标人出示投标保证金缴纳凭证后方可进行投标。</w:t>
      </w:r>
    </w:p>
    <w:p w14:paraId="748427D2">
      <w:pPr>
        <w:spacing w:line="360" w:lineRule="auto"/>
        <w:ind w:firstLine="280" w:firstLineChars="100"/>
        <w:jc w:val="left"/>
        <w:rPr>
          <w:rFonts w:eastAsia="黑体"/>
          <w:bCs/>
          <w:color w:val="auto"/>
          <w:sz w:val="28"/>
          <w:szCs w:val="30"/>
          <w:highlight w:val="none"/>
        </w:rPr>
      </w:pPr>
      <w:r>
        <w:rPr>
          <w:rFonts w:hint="eastAsia" w:eastAsia="黑体"/>
          <w:bCs/>
          <w:color w:val="auto"/>
          <w:sz w:val="28"/>
          <w:szCs w:val="30"/>
          <w:highlight w:val="none"/>
          <w:lang w:val="en-US" w:eastAsia="zh-CN"/>
        </w:rPr>
        <w:t>五</w:t>
      </w:r>
      <w:r>
        <w:rPr>
          <w:rFonts w:hint="eastAsia" w:eastAsia="黑体"/>
          <w:bCs/>
          <w:color w:val="auto"/>
          <w:sz w:val="28"/>
          <w:szCs w:val="30"/>
          <w:highlight w:val="none"/>
        </w:rPr>
        <w:t>、报名与获取招标文件时间、地点及方式</w:t>
      </w:r>
    </w:p>
    <w:p w14:paraId="73D3DD63">
      <w:pPr>
        <w:spacing w:line="360" w:lineRule="auto"/>
        <w:ind w:firstLine="480" w:firstLineChars="200"/>
        <w:rPr>
          <w:rFonts w:hint="eastAsia"/>
          <w:color w:val="auto"/>
          <w:sz w:val="24"/>
          <w:szCs w:val="24"/>
          <w:highlight w:val="yellow"/>
        </w:rPr>
      </w:pPr>
      <w:r>
        <w:rPr>
          <w:rFonts w:hint="eastAsia"/>
          <w:color w:val="auto"/>
          <w:sz w:val="24"/>
          <w:szCs w:val="24"/>
          <w:highlight w:val="none"/>
        </w:rPr>
        <w:t>凡有意向参加投标者，</w:t>
      </w:r>
      <w:r>
        <w:rPr>
          <w:rFonts w:hint="eastAsia"/>
          <w:color w:val="auto"/>
          <w:sz w:val="24"/>
          <w:szCs w:val="24"/>
          <w:highlight w:val="yellow"/>
        </w:rPr>
        <w:t>请于202</w:t>
      </w:r>
      <w:r>
        <w:rPr>
          <w:rFonts w:hint="eastAsia" w:ascii="Calibri" w:eastAsia="宋体"/>
          <w:color w:val="auto"/>
          <w:sz w:val="24"/>
          <w:szCs w:val="24"/>
          <w:highlight w:val="yellow"/>
          <w:lang w:val="en-US" w:eastAsia="zh-CN"/>
        </w:rPr>
        <w:t>6</w:t>
      </w:r>
      <w:r>
        <w:rPr>
          <w:rFonts w:hint="eastAsia"/>
          <w:color w:val="auto"/>
          <w:sz w:val="24"/>
          <w:szCs w:val="24"/>
          <w:highlight w:val="yellow"/>
        </w:rPr>
        <w:t>年</w:t>
      </w:r>
      <w:r>
        <w:rPr>
          <w:rFonts w:hint="eastAsia"/>
          <w:color w:val="auto"/>
          <w:sz w:val="24"/>
          <w:szCs w:val="24"/>
          <w:highlight w:val="yellow"/>
          <w:lang w:val="en-US" w:eastAsia="zh-CN"/>
        </w:rPr>
        <w:t>2</w:t>
      </w:r>
      <w:r>
        <w:rPr>
          <w:rFonts w:hint="eastAsia"/>
          <w:color w:val="auto"/>
          <w:sz w:val="24"/>
          <w:szCs w:val="24"/>
          <w:highlight w:val="yellow"/>
        </w:rPr>
        <w:t>月</w:t>
      </w:r>
      <w:r>
        <w:rPr>
          <w:rFonts w:hint="eastAsia" w:ascii="Calibri"/>
          <w:color w:val="auto"/>
          <w:sz w:val="24"/>
          <w:szCs w:val="24"/>
          <w:highlight w:val="yellow"/>
          <w:lang w:val="en-US" w:eastAsia="zh-CN"/>
        </w:rPr>
        <w:t>4</w:t>
      </w:r>
      <w:r>
        <w:rPr>
          <w:rFonts w:hint="eastAsia"/>
          <w:color w:val="auto"/>
          <w:sz w:val="24"/>
          <w:szCs w:val="24"/>
          <w:highlight w:val="yellow"/>
        </w:rPr>
        <w:t>日至202</w:t>
      </w:r>
      <w:r>
        <w:rPr>
          <w:rFonts w:hint="eastAsia" w:ascii="Calibri" w:eastAsia="宋体"/>
          <w:color w:val="auto"/>
          <w:sz w:val="24"/>
          <w:szCs w:val="24"/>
          <w:highlight w:val="yellow"/>
          <w:lang w:val="en-US" w:eastAsia="zh-CN"/>
        </w:rPr>
        <w:t>6</w:t>
      </w:r>
      <w:r>
        <w:rPr>
          <w:rFonts w:hint="eastAsia"/>
          <w:color w:val="auto"/>
          <w:sz w:val="24"/>
          <w:szCs w:val="24"/>
          <w:highlight w:val="yellow"/>
        </w:rPr>
        <w:t>年</w:t>
      </w:r>
      <w:r>
        <w:rPr>
          <w:rFonts w:hint="eastAsia" w:ascii="Calibri"/>
          <w:color w:val="auto"/>
          <w:sz w:val="24"/>
          <w:szCs w:val="24"/>
          <w:highlight w:val="yellow"/>
          <w:lang w:val="en-US" w:eastAsia="zh-CN"/>
        </w:rPr>
        <w:t>2</w:t>
      </w:r>
      <w:r>
        <w:rPr>
          <w:rFonts w:hint="eastAsia"/>
          <w:color w:val="auto"/>
          <w:sz w:val="24"/>
          <w:szCs w:val="24"/>
          <w:highlight w:val="yellow"/>
        </w:rPr>
        <w:t>月</w:t>
      </w:r>
      <w:r>
        <w:rPr>
          <w:rFonts w:hint="eastAsia" w:ascii="Calibri"/>
          <w:color w:val="auto"/>
          <w:sz w:val="24"/>
          <w:szCs w:val="24"/>
          <w:highlight w:val="yellow"/>
          <w:lang w:val="en-US" w:eastAsia="zh-CN"/>
        </w:rPr>
        <w:t>10</w:t>
      </w:r>
      <w:r>
        <w:rPr>
          <w:rFonts w:hint="eastAsia"/>
          <w:color w:val="auto"/>
          <w:sz w:val="24"/>
          <w:szCs w:val="24"/>
          <w:highlight w:val="yellow"/>
        </w:rPr>
        <w:t>日17:00前</w:t>
      </w:r>
      <w:r>
        <w:rPr>
          <w:rFonts w:hint="eastAsia"/>
          <w:color w:val="auto"/>
          <w:sz w:val="24"/>
          <w:szCs w:val="24"/>
          <w:highlight w:val="none"/>
        </w:rPr>
        <w:t>将加盖公章的具有统一社会信用代码的营业执照副本复印件、投标单位的法定代表人及授权代表的身份证复印件、质量体系证书、主要设备清单、查询记录、近三年财务报表、类似项目业绩证明（合同、项目终验收材料等）等材料（包括但不限于投标人资格要求中各项证明材料）做</w:t>
      </w:r>
      <w:r>
        <w:rPr>
          <w:rFonts w:hint="eastAsia"/>
          <w:color w:val="auto"/>
          <w:sz w:val="24"/>
          <w:szCs w:val="24"/>
          <w:highlight w:val="yellow"/>
        </w:rPr>
        <w:t>成P</w:t>
      </w:r>
      <w:r>
        <w:rPr>
          <w:color w:val="auto"/>
          <w:sz w:val="24"/>
          <w:szCs w:val="24"/>
          <w:highlight w:val="yellow"/>
        </w:rPr>
        <w:t>DF</w:t>
      </w:r>
      <w:r>
        <w:rPr>
          <w:rFonts w:hint="eastAsia"/>
          <w:color w:val="auto"/>
          <w:sz w:val="24"/>
          <w:szCs w:val="24"/>
          <w:highlight w:val="yellow"/>
        </w:rPr>
        <w:t>形成应标资料。</w:t>
      </w:r>
    </w:p>
    <w:p w14:paraId="450B84C6">
      <w:pPr>
        <w:pStyle w:val="10"/>
        <w:spacing w:line="360" w:lineRule="auto"/>
        <w:ind w:left="0" w:leftChars="0" w:firstLine="420" w:firstLineChars="0"/>
        <w:rPr>
          <w:rFonts w:hint="eastAsia"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5F0E789">
      <w:pPr>
        <w:spacing w:line="360" w:lineRule="auto"/>
        <w:ind w:firstLine="482" w:firstLineChars="200"/>
      </w:pPr>
      <w:r>
        <w:rPr>
          <w:rFonts w:hint="eastAsia" w:ascii="宋体" w:cs="宋体"/>
          <w:b/>
          <w:bCs/>
          <w:kern w:val="0"/>
          <w:sz w:val="24"/>
          <w:lang w:bidi="en-US"/>
        </w:rPr>
        <w:t>本项目实行资格预审，</w:t>
      </w:r>
      <w:r>
        <w:rPr>
          <w:rFonts w:hint="eastAsia" w:ascii="宋体" w:cs="宋体"/>
          <w:b/>
          <w:bCs/>
          <w:kern w:val="0"/>
          <w:sz w:val="24"/>
          <w:lang w:val="en-US" w:eastAsia="zh-CN" w:bidi="en-US"/>
        </w:rPr>
        <w:t>文件上传</w:t>
      </w:r>
      <w:r>
        <w:rPr>
          <w:rFonts w:hint="eastAsia" w:ascii="宋体" w:cs="宋体"/>
          <w:b/>
          <w:bCs/>
          <w:kern w:val="0"/>
          <w:sz w:val="24"/>
          <w:lang w:bidi="en-US"/>
        </w:rPr>
        <w:t>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31DDFBF4">
      <w:pPr>
        <w:widowControl/>
        <w:spacing w:line="360" w:lineRule="auto"/>
        <w:ind w:firstLine="482" w:firstLineChars="200"/>
        <w:rPr>
          <w:rFonts w:hint="eastAsia"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报名时提供的资料不合格的会在系统被驳回，请及时及时查阅并补齐资料，不能按时补充资料的视为自动放弃本次投标。</w:t>
      </w:r>
    </w:p>
    <w:p w14:paraId="402989CC">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w:t>
      </w:r>
      <w:r>
        <w:rPr>
          <w:rFonts w:hint="eastAsia" w:ascii="宋体" w:hAnsi="宋体" w:cs="宋体"/>
          <w:b/>
          <w:bCs/>
          <w:color w:val="FF0000"/>
          <w:sz w:val="24"/>
        </w:rPr>
        <w:t>应标审核通过后方可进入</w:t>
      </w:r>
      <w:r>
        <w:rPr>
          <w:rFonts w:hint="eastAsia" w:ascii="宋体" w:hAnsi="宋体" w:cs="宋体"/>
          <w:b/>
          <w:bCs/>
          <w:color w:val="FF0000"/>
          <w:sz w:val="24"/>
          <w:lang w:val="en-US" w:eastAsia="zh-CN"/>
        </w:rPr>
        <w:t>供应商</w:t>
      </w:r>
      <w:r>
        <w:rPr>
          <w:rFonts w:hint="eastAsia" w:ascii="宋体" w:hAnsi="宋体" w:cs="宋体"/>
          <w:b/>
          <w:bCs/>
          <w:color w:val="FF0000"/>
          <w:sz w:val="24"/>
        </w:rPr>
        <w:t>投标</w:t>
      </w:r>
      <w:r>
        <w:rPr>
          <w:rFonts w:hint="eastAsia" w:ascii="宋体" w:hAnsi="宋体" w:cs="宋体"/>
          <w:b/>
          <w:bCs/>
          <w:color w:val="FF0000"/>
          <w:sz w:val="24"/>
          <w:lang w:val="en-US" w:eastAsia="zh-CN"/>
        </w:rPr>
        <w:t>页面下载招标文件</w:t>
      </w:r>
      <w:r>
        <w:rPr>
          <w:rFonts w:hint="eastAsia" w:ascii="宋体" w:cs="宋体"/>
          <w:b/>
          <w:bCs/>
          <w:sz w:val="24"/>
        </w:rPr>
        <w:t>。</w:t>
      </w:r>
    </w:p>
    <w:p w14:paraId="79E57B61">
      <w:pPr>
        <w:spacing w:line="360" w:lineRule="auto"/>
        <w:ind w:firstLine="482" w:firstLineChars="200"/>
        <w:jc w:val="left"/>
        <w:rPr>
          <w:sz w:val="24"/>
          <w:highlight w:val="none"/>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w:t>
      </w:r>
      <w:r>
        <w:rPr>
          <w:rFonts w:hint="eastAsia" w:asciiTheme="majorEastAsia" w:hAnsiTheme="majorEastAsia" w:eastAsiaTheme="majorEastAsia" w:cstheme="majorEastAsia"/>
          <w:sz w:val="24"/>
          <w:szCs w:val="24"/>
          <w:highlight w:val="none"/>
          <w:lang w:val="en-US" w:eastAsia="zh-CN"/>
        </w:rPr>
        <w:t>服务 - 工装维修</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2EFEB9E9">
      <w:pPr>
        <w:spacing w:line="360" w:lineRule="auto"/>
        <w:ind w:firstLine="482" w:firstLineChars="200"/>
        <w:jc w:val="left"/>
        <w:rPr>
          <w:rFonts w:hint="eastAsia"/>
          <w:color w:val="auto"/>
          <w:sz w:val="24"/>
          <w:szCs w:val="24"/>
          <w:highlight w:val="none"/>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w:t>
      </w:r>
    </w:p>
    <w:p w14:paraId="263E755C">
      <w:pPr>
        <w:spacing w:line="360" w:lineRule="auto"/>
        <w:ind w:firstLine="280" w:firstLineChars="100"/>
        <w:jc w:val="left"/>
        <w:rPr>
          <w:rFonts w:hint="eastAsia" w:eastAsia="黑体"/>
          <w:bCs/>
          <w:color w:val="auto"/>
          <w:sz w:val="28"/>
          <w:szCs w:val="30"/>
          <w:highlight w:val="none"/>
        </w:rPr>
      </w:pPr>
      <w:r>
        <w:rPr>
          <w:rFonts w:hint="eastAsia" w:eastAsia="黑体"/>
          <w:bCs/>
          <w:color w:val="auto"/>
          <w:sz w:val="28"/>
          <w:szCs w:val="30"/>
          <w:highlight w:val="none"/>
          <w:lang w:val="en-US" w:eastAsia="zh-CN"/>
        </w:rPr>
        <w:t>六</w:t>
      </w:r>
      <w:r>
        <w:rPr>
          <w:rFonts w:hint="eastAsia" w:eastAsia="黑体"/>
          <w:bCs/>
          <w:color w:val="auto"/>
          <w:sz w:val="28"/>
          <w:szCs w:val="30"/>
          <w:highlight w:val="none"/>
        </w:rPr>
        <w:t xml:space="preserve">、发布公告的媒介  </w:t>
      </w:r>
    </w:p>
    <w:p w14:paraId="242DC27C">
      <w:pPr>
        <w:ind w:firstLine="480"/>
        <w:rPr>
          <w:rFonts w:hint="eastAsia" w:eastAsia="黑体"/>
          <w:bCs/>
          <w:color w:val="auto"/>
          <w:sz w:val="28"/>
          <w:szCs w:val="30"/>
          <w:highlight w:val="none"/>
        </w:rPr>
      </w:pPr>
      <w:r>
        <w:rPr>
          <w:rFonts w:hint="eastAsia" w:asciiTheme="majorEastAsia" w:hAnsiTheme="majorEastAsia" w:eastAsiaTheme="majorEastAsia" w:cstheme="majorEastAsia"/>
          <w:sz w:val="24"/>
          <w:szCs w:val="24"/>
          <w:highlight w:val="none"/>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475F94F7">
      <w:pPr>
        <w:spacing w:line="360" w:lineRule="auto"/>
        <w:ind w:firstLine="280" w:firstLineChars="100"/>
        <w:jc w:val="left"/>
        <w:rPr>
          <w:rFonts w:eastAsia="黑体"/>
          <w:bCs/>
          <w:color w:val="auto"/>
          <w:sz w:val="28"/>
          <w:szCs w:val="30"/>
          <w:highlight w:val="none"/>
        </w:rPr>
      </w:pPr>
      <w:r>
        <w:rPr>
          <w:rFonts w:hint="eastAsia" w:eastAsia="黑体"/>
          <w:bCs/>
          <w:color w:val="auto"/>
          <w:sz w:val="28"/>
          <w:szCs w:val="30"/>
          <w:highlight w:val="none"/>
          <w:lang w:val="en-US" w:eastAsia="zh-CN"/>
        </w:rPr>
        <w:t>七</w:t>
      </w:r>
      <w:r>
        <w:rPr>
          <w:rFonts w:hint="eastAsia" w:eastAsia="黑体"/>
          <w:bCs/>
          <w:color w:val="auto"/>
          <w:sz w:val="28"/>
          <w:szCs w:val="30"/>
          <w:highlight w:val="none"/>
        </w:rPr>
        <w:t>、项目联系人及联系方式</w:t>
      </w:r>
    </w:p>
    <w:p w14:paraId="69589FDF">
      <w:pPr>
        <w:spacing w:line="360" w:lineRule="auto"/>
        <w:ind w:firstLine="480" w:firstLineChars="200"/>
        <w:jc w:val="left"/>
        <w:rPr>
          <w:rFonts w:hint="eastAsia" w:eastAsia="宋体"/>
          <w:color w:val="auto"/>
          <w:sz w:val="24"/>
          <w:szCs w:val="24"/>
          <w:highlight w:val="none"/>
          <w:lang w:val="en-US" w:eastAsia="zh-CN"/>
        </w:rPr>
      </w:pPr>
      <w:r>
        <w:rPr>
          <w:rFonts w:hint="eastAsia" w:ascii="Calibri" w:eastAsia="宋体"/>
          <w:color w:val="auto"/>
          <w:sz w:val="24"/>
          <w:szCs w:val="24"/>
          <w:highlight w:val="none"/>
          <w:lang w:val="en-US" w:eastAsia="zh-CN"/>
        </w:rPr>
        <w:t>王瑄</w:t>
      </w:r>
      <w:r>
        <w:rPr>
          <w:rFonts w:hint="eastAsia"/>
          <w:color w:val="auto"/>
          <w:sz w:val="24"/>
          <w:szCs w:val="24"/>
          <w:highlight w:val="none"/>
        </w:rPr>
        <w:t>：</w:t>
      </w:r>
      <w:r>
        <w:rPr>
          <w:rFonts w:hint="eastAsia" w:ascii="Calibri" w:eastAsia="宋体"/>
          <w:color w:val="auto"/>
          <w:sz w:val="24"/>
          <w:szCs w:val="24"/>
          <w:highlight w:val="none"/>
          <w:lang w:val="en-US" w:eastAsia="zh-CN"/>
        </w:rPr>
        <w:t>17860605786</w:t>
      </w:r>
      <w:r>
        <w:rPr>
          <w:rFonts w:hint="eastAsia"/>
          <w:color w:val="auto"/>
          <w:sz w:val="24"/>
          <w:szCs w:val="24"/>
          <w:highlight w:val="none"/>
        </w:rPr>
        <w:t xml:space="preserve"> </w:t>
      </w:r>
      <w:r>
        <w:rPr>
          <w:rFonts w:hint="eastAsia" w:ascii="Calibri" w:eastAsia="宋体"/>
          <w:color w:val="auto"/>
          <w:sz w:val="24"/>
          <w:szCs w:val="24"/>
          <w:highlight w:val="none"/>
          <w:lang w:val="en-US" w:eastAsia="zh-CN"/>
        </w:rPr>
        <w:t xml:space="preserve"> 白杨</w:t>
      </w:r>
      <w:r>
        <w:rPr>
          <w:rFonts w:hint="eastAsia"/>
          <w:color w:val="auto"/>
          <w:sz w:val="24"/>
          <w:szCs w:val="24"/>
          <w:highlight w:val="none"/>
        </w:rPr>
        <w:t>：</w:t>
      </w:r>
      <w:r>
        <w:rPr>
          <w:rFonts w:hint="eastAsia" w:ascii="Calibri" w:eastAsia="宋体"/>
          <w:color w:val="auto"/>
          <w:sz w:val="24"/>
          <w:szCs w:val="24"/>
          <w:highlight w:val="none"/>
          <w:lang w:val="en-US" w:eastAsia="zh-CN"/>
        </w:rPr>
        <w:t>15165312728</w:t>
      </w:r>
      <w:r>
        <w:rPr>
          <w:rFonts w:hint="eastAsia"/>
          <w:color w:val="auto"/>
          <w:sz w:val="24"/>
          <w:szCs w:val="24"/>
          <w:highlight w:val="none"/>
        </w:rPr>
        <w:t>；</w:t>
      </w:r>
      <w:r>
        <w:rPr>
          <w:rFonts w:hint="eastAsia" w:ascii="Calibri" w:eastAsia="宋体"/>
          <w:color w:val="auto"/>
          <w:sz w:val="24"/>
          <w:szCs w:val="24"/>
          <w:highlight w:val="none"/>
          <w:lang w:val="en-US" w:eastAsia="zh-CN"/>
        </w:rPr>
        <w:t xml:space="preserve"> </w:t>
      </w:r>
    </w:p>
    <w:p w14:paraId="5AE90295">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诚邀有关单位踊跃参加本项目投标。</w:t>
      </w:r>
    </w:p>
    <w:p w14:paraId="503107F6">
      <w:pPr>
        <w:spacing w:line="15" w:lineRule="auto"/>
        <w:ind w:firstLine="6480" w:firstLineChars="2700"/>
        <w:jc w:val="left"/>
        <w:rPr>
          <w:rFonts w:hint="eastAsia" w:ascii="宋体" w:hAnsi="宋体" w:cs="宋体"/>
          <w:bCs/>
          <w:color w:val="auto"/>
          <w:sz w:val="24"/>
          <w:szCs w:val="24"/>
          <w:highlight w:val="none"/>
        </w:rPr>
      </w:pPr>
      <w:r>
        <w:rPr>
          <w:rFonts w:hint="eastAsia" w:ascii="宋体" w:hAnsi="宋体" w:cs="宋体"/>
          <w:bCs/>
          <w:color w:val="auto"/>
          <w:sz w:val="24"/>
          <w:szCs w:val="24"/>
          <w:highlight w:val="none"/>
        </w:rPr>
        <w:t>济南成型厂</w:t>
      </w:r>
    </w:p>
    <w:p w14:paraId="7ADAAC89">
      <w:pPr>
        <w:ind w:left="5460" w:leftChars="0" w:firstLine="420" w:firstLineChars="0"/>
        <w:jc w:val="center"/>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rPr>
        <w:t>202</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en-US" w:eastAsia="zh-CN"/>
        </w:rPr>
        <w:t>4</w:t>
      </w:r>
      <w:bookmarkStart w:id="3" w:name="_GoBack"/>
      <w:bookmarkEnd w:id="3"/>
    </w:p>
    <w:p w14:paraId="262743CE">
      <w:pPr>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br w:type="page"/>
      </w:r>
    </w:p>
    <w:p w14:paraId="74F735B3">
      <w:pPr>
        <w:ind w:firstLine="420" w:firstLineChars="0"/>
        <w:rPr>
          <w:rFonts w:hint="eastAsia" w:ascii="宋体" w:hAnsi="宋体" w:cs="宋体"/>
          <w:bCs/>
          <w:color w:val="auto"/>
          <w:sz w:val="24"/>
          <w:szCs w:val="24"/>
          <w:highlight w:val="none"/>
          <w:lang w:val="en-US" w:eastAsia="zh-CN"/>
        </w:rPr>
      </w:pPr>
    </w:p>
    <w:p w14:paraId="62D4942F">
      <w:pPr>
        <w:ind w:left="2100" w:leftChars="0" w:firstLine="420" w:firstLineChars="0"/>
        <w:jc w:val="both"/>
        <w:rPr>
          <w:b/>
          <w:bCs/>
          <w:sz w:val="30"/>
          <w:szCs w:val="30"/>
        </w:rPr>
      </w:pPr>
      <w:r>
        <w:rPr>
          <w:rFonts w:hint="eastAsia"/>
          <w:b/>
          <w:bCs/>
          <w:sz w:val="30"/>
          <w:szCs w:val="30"/>
        </w:rPr>
        <w:t>非生产供应商注册操作手册</w:t>
      </w:r>
    </w:p>
    <w:p w14:paraId="62EF73DF">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62C75901">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E569F77">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3882788B">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21A49A6">
      <w:pPr>
        <w:rPr>
          <w:rFonts w:ascii="宋体" w:cs="宋体"/>
          <w:b/>
          <w:bCs/>
          <w:color w:val="C00000"/>
          <w:lang w:bidi="ar"/>
        </w:rPr>
      </w:pPr>
    </w:p>
    <w:p w14:paraId="7CA51E0A">
      <w:pPr>
        <w:rPr>
          <w:rFonts w:ascii="宋体" w:cs="宋体"/>
          <w:b/>
          <w:bCs/>
          <w:color w:val="C00000"/>
          <w:lang w:bidi="ar"/>
        </w:rPr>
      </w:pPr>
    </w:p>
    <w:p w14:paraId="751DF1F9">
      <w:pPr>
        <w:rPr>
          <w:rFonts w:ascii="宋体" w:cs="宋体"/>
          <w:b/>
          <w:bCs/>
          <w:sz w:val="32"/>
          <w:szCs w:val="40"/>
          <w:highlight w:val="yellow"/>
        </w:rPr>
      </w:pPr>
      <w:r>
        <w:rPr>
          <w:rFonts w:hint="eastAsia" w:ascii="宋体" w:cs="宋体"/>
          <w:b/>
          <w:bCs/>
          <w:sz w:val="32"/>
          <w:szCs w:val="40"/>
          <w:highlight w:val="none"/>
          <w:lang w:bidi="ar"/>
        </w:rPr>
        <w:t>供应商注册</w:t>
      </w:r>
    </w:p>
    <w:p w14:paraId="1431F7E0">
      <w:pPr>
        <w:rPr>
          <w:rFonts w:ascii="宋体" w:cs="宋体"/>
          <w:b/>
          <w:bCs/>
          <w:color w:val="C00000"/>
        </w:rPr>
      </w:pPr>
      <w:r>
        <w:rPr>
          <w:rFonts w:hint="eastAsia" w:ascii="宋体" w:cs="宋体"/>
          <w:b/>
          <w:bCs/>
          <w:color w:val="C00000"/>
          <w:lang w:bidi="ar"/>
        </w:rPr>
        <w:t>归口部门选</w:t>
      </w:r>
      <w:r>
        <w:rPr>
          <w:rFonts w:hint="eastAsia" w:ascii="宋体" w:cs="宋体"/>
          <w:b/>
          <w:bCs/>
          <w:color w:val="C00000"/>
          <w:highlight w:val="none"/>
          <w:lang w:bidi="ar"/>
        </w:rPr>
        <w:t>“</w:t>
      </w:r>
      <w:r>
        <w:rPr>
          <w:rFonts w:hint="eastAsia" w:ascii="宋体" w:cs="宋体"/>
          <w:b/>
          <w:bCs/>
          <w:color w:val="C00000"/>
          <w:highlight w:val="none"/>
          <w:lang w:val="en-US" w:eastAsia="zh-CN" w:bidi="ar"/>
        </w:rPr>
        <w:t>制造工程部</w:t>
      </w:r>
      <w:r>
        <w:rPr>
          <w:rFonts w:hint="eastAsia" w:ascii="宋体" w:cs="宋体"/>
          <w:b/>
          <w:bCs/>
          <w:color w:val="C00000"/>
          <w:highlight w:val="none"/>
          <w:lang w:bidi="ar"/>
        </w:rPr>
        <w:t>”</w:t>
      </w:r>
    </w:p>
    <w:p w14:paraId="27E53D30">
      <w:r>
        <w:rPr>
          <w:rFonts w:hint="eastAsia" w:ascii="宋体" w:cs="宋体"/>
          <w:color w:val="000000"/>
          <w:lang w:bidi="ar"/>
        </w:rPr>
        <w:t>浏览器中输入地址</w:t>
      </w:r>
      <w:r>
        <w:rPr>
          <w:rFonts w:ascii="Calibri" w:hAnsi="Calibri" w:eastAsia="Calibri" w:cs="Calibri"/>
          <w:color w:val="000000"/>
          <w:lang w:bidi="ar"/>
        </w:rPr>
        <w:t>;</w:t>
      </w:r>
    </w:p>
    <w:p w14:paraId="58BD17C1">
      <w:r>
        <w:fldChar w:fldCharType="begin"/>
      </w:r>
      <w:r>
        <w:instrText xml:space="preserve"> HYPERLINK "http://ecaitong.sinotruk.com:8012/" \l "/login normalLink /tdkey d38o9f /tdfe -10 /tdfu http:/ecaitong.sinotruk.com:8012/#/login /tdlt inline" </w:instrText>
      </w:r>
      <w:r>
        <w:fldChar w:fldCharType="separate"/>
      </w:r>
      <w:r>
        <w:rPr>
          <w:rStyle w:val="13"/>
        </w:rPr>
        <w:t>http</w:t>
      </w:r>
      <w:r>
        <w:rPr>
          <w:rStyle w:val="13"/>
          <w:rFonts w:hint="eastAsia"/>
        </w:rPr>
        <w:t>s</w:t>
      </w:r>
      <w:r>
        <w:rPr>
          <w:rStyle w:val="13"/>
        </w:rPr>
        <w:t>://ecaitong.sinotruk.com:8012/#/login</w:t>
      </w:r>
      <w:r>
        <w:rPr>
          <w:rStyle w:val="13"/>
        </w:rPr>
        <w:fldChar w:fldCharType="end"/>
      </w:r>
    </w:p>
    <w:p w14:paraId="4B9D7BEF">
      <w:pPr>
        <w:numPr>
          <w:ilvl w:val="0"/>
          <w:numId w:val="2"/>
        </w:numPr>
        <w:rPr>
          <w:rFonts w:ascii="宋体" w:cs="宋体"/>
          <w:color w:val="000000"/>
          <w:lang w:bidi="ar"/>
        </w:rPr>
      </w:pPr>
      <w:r>
        <w:rPr>
          <w:rFonts w:hint="eastAsia" w:ascii="宋体" w:cs="宋体"/>
          <w:color w:val="000000"/>
          <w:lang w:bidi="ar"/>
        </w:rPr>
        <w:t>点击立即注册</w:t>
      </w:r>
    </w:p>
    <w:p w14:paraId="5EA6D59A">
      <w:pPr>
        <w:rPr>
          <w:sz w:val="13"/>
          <w:szCs w:val="16"/>
          <w:highlight w:val="none"/>
        </w:rPr>
      </w:pPr>
      <w:r>
        <w:rPr>
          <w:rFonts w:hint="eastAsia" w:ascii="宋体" w:cs="宋体"/>
          <w:b/>
          <w:bCs/>
          <w:color w:val="C00000"/>
          <w:sz w:val="28"/>
          <w:szCs w:val="36"/>
          <w:highlight w:val="none"/>
          <w:lang w:bidi="ar"/>
        </w:rPr>
        <w:t>新用户注册前请务必仔细阅读系统中的供应商用户手册，根据手册提示进行操作，见下图所示</w:t>
      </w:r>
    </w:p>
    <w:p w14:paraId="131703C2">
      <w:pPr>
        <w:snapToGrid w:val="0"/>
        <w:spacing w:line="312" w:lineRule="auto"/>
      </w:pPr>
      <w:r>
        <w:rPr>
          <w:rFonts w:ascii="宋体" w:hAnsi="宋体" w:cs="宋体"/>
          <w:sz w:val="24"/>
        </w:rPr>
        <w:drawing>
          <wp:inline distT="0" distB="0" distL="114300" distR="114300">
            <wp:extent cx="5605145" cy="2578735"/>
            <wp:effectExtent l="0" t="0" r="317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4"/>
                    <a:stretch>
                      <a:fillRect/>
                    </a:stretch>
                  </pic:blipFill>
                  <pic:spPr>
                    <a:xfrm>
                      <a:off x="0" y="0"/>
                      <a:ext cx="5605145" cy="2578735"/>
                    </a:xfrm>
                    <a:prstGeom prst="rect">
                      <a:avLst/>
                    </a:prstGeom>
                    <a:noFill/>
                    <a:ln w="9525">
                      <a:noFill/>
                    </a:ln>
                  </pic:spPr>
                </pic:pic>
              </a:graphicData>
            </a:graphic>
          </wp:inline>
        </w:drawing>
      </w:r>
    </w:p>
    <w:p w14:paraId="3467C9CD">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AD8395F">
      <w:pPr>
        <w:snapToGrid w:val="0"/>
        <w:spacing w:line="312" w:lineRule="auto"/>
      </w:pPr>
      <w:r>
        <w:drawing>
          <wp:inline distT="0" distB="0" distL="114300" distR="114300">
            <wp:extent cx="5758180" cy="2765425"/>
            <wp:effectExtent l="0" t="0" r="2540" b="825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5"/>
                    <a:stretch>
                      <a:fillRect/>
                    </a:stretch>
                  </pic:blipFill>
                  <pic:spPr>
                    <a:xfrm>
                      <a:off x="0" y="0"/>
                      <a:ext cx="5758180" cy="2765425"/>
                    </a:xfrm>
                    <a:prstGeom prst="rect">
                      <a:avLst/>
                    </a:prstGeom>
                    <a:noFill/>
                    <a:ln>
                      <a:noFill/>
                    </a:ln>
                  </pic:spPr>
                </pic:pic>
              </a:graphicData>
            </a:graphic>
          </wp:inline>
        </w:drawing>
      </w:r>
    </w:p>
    <w:p w14:paraId="5D84DD43">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3AEEE9CE">
      <w:pPr>
        <w:snapToGrid w:val="0"/>
        <w:spacing w:line="312" w:lineRule="auto"/>
      </w:pPr>
      <w:r>
        <w:drawing>
          <wp:inline distT="0" distB="0" distL="114300" distR="114300">
            <wp:extent cx="5760085" cy="2867025"/>
            <wp:effectExtent l="0" t="0" r="635" b="1333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6"/>
                    <a:stretch>
                      <a:fillRect/>
                    </a:stretch>
                  </pic:blipFill>
                  <pic:spPr>
                    <a:xfrm>
                      <a:off x="0" y="0"/>
                      <a:ext cx="5760085" cy="2867025"/>
                    </a:xfrm>
                    <a:prstGeom prst="rect">
                      <a:avLst/>
                    </a:prstGeom>
                    <a:noFill/>
                    <a:ln>
                      <a:noFill/>
                    </a:ln>
                  </pic:spPr>
                </pic:pic>
              </a:graphicData>
            </a:graphic>
          </wp:inline>
        </w:drawing>
      </w:r>
    </w:p>
    <w:p w14:paraId="0CC09805">
      <w:r>
        <w:rPr>
          <w:rFonts w:ascii="Calibri" w:hAnsi="Calibri" w:eastAsia="Calibri" w:cs="Calibri"/>
          <w:color w:val="000000"/>
          <w:lang w:bidi="ar"/>
        </w:rPr>
        <w:t xml:space="preserve">4.     </w:t>
      </w:r>
      <w:r>
        <w:rPr>
          <w:rFonts w:hint="eastAsia" w:ascii="宋体" w:cs="宋体"/>
          <w:color w:val="000000"/>
          <w:lang w:bidi="ar"/>
        </w:rPr>
        <w:t>点击新增</w:t>
      </w:r>
    </w:p>
    <w:p w14:paraId="20A4561E">
      <w:pPr>
        <w:snapToGrid w:val="0"/>
        <w:spacing w:line="312" w:lineRule="auto"/>
      </w:pPr>
      <w:r>
        <w:drawing>
          <wp:inline distT="0" distB="0" distL="114300" distR="114300">
            <wp:extent cx="5758180" cy="2852420"/>
            <wp:effectExtent l="0" t="0" r="2540" b="1270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7"/>
                    <a:stretch>
                      <a:fillRect/>
                    </a:stretch>
                  </pic:blipFill>
                  <pic:spPr>
                    <a:xfrm>
                      <a:off x="0" y="0"/>
                      <a:ext cx="5758180" cy="2852420"/>
                    </a:xfrm>
                    <a:prstGeom prst="rect">
                      <a:avLst/>
                    </a:prstGeom>
                    <a:noFill/>
                    <a:ln>
                      <a:noFill/>
                    </a:ln>
                  </pic:spPr>
                </pic:pic>
              </a:graphicData>
            </a:graphic>
          </wp:inline>
        </w:drawing>
      </w:r>
    </w:p>
    <w:p w14:paraId="13E780A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w:t>
      </w:r>
      <w:r>
        <w:rPr>
          <w:rFonts w:hint="eastAsia" w:ascii="宋体" w:cs="宋体"/>
          <w:color w:val="000000"/>
          <w:lang w:val="en-US" w:eastAsia="zh-CN" w:bidi="ar"/>
        </w:rPr>
        <w:t>为直管单位</w:t>
      </w:r>
      <w:r>
        <w:rPr>
          <w:rFonts w:hint="eastAsia" w:ascii="宋体" w:cs="宋体"/>
          <w:color w:val="000000"/>
          <w:lang w:bidi="ar"/>
        </w:rPr>
        <w:t>，最后提交审批</w:t>
      </w:r>
    </w:p>
    <w:p w14:paraId="101AE390">
      <w:pPr>
        <w:rPr>
          <w:rFonts w:ascii="宋体" w:cs="宋体"/>
          <w:color w:val="000000"/>
        </w:rPr>
      </w:pPr>
      <w:r>
        <w:drawing>
          <wp:inline distT="0" distB="0" distL="114300" distR="114300">
            <wp:extent cx="5760085" cy="2807335"/>
            <wp:effectExtent l="0" t="0" r="63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8"/>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254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254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p>
    <w:p w14:paraId="7BC3D0B8"/>
    <w:p w14:paraId="73B6F1A0">
      <w:pPr>
        <w:snapToGrid w:val="0"/>
        <w:spacing w:line="312" w:lineRule="auto"/>
      </w:pPr>
    </w:p>
    <w:p w14:paraId="4AABA678"/>
    <w:p w14:paraId="4500DF20">
      <w:pPr>
        <w:pStyle w:val="3"/>
        <w:widowControl/>
        <w:rPr>
          <w:rFonts w:ascii="Cambria" w:hAnsi="Cambria" w:cs="Cambria"/>
          <w:highlight w:val="yellow"/>
        </w:rPr>
      </w:pPr>
      <w:r>
        <w:rPr>
          <w:rFonts w:hint="eastAsia" w:ascii="宋体" w:cs="宋体"/>
          <w:highlight w:val="yellow"/>
        </w:rPr>
        <w:t>附件-e采通登录界面</w:t>
      </w:r>
    </w:p>
    <w:p w14:paraId="75EA48EE">
      <w:pPr>
        <w:spacing w:line="360" w:lineRule="auto"/>
      </w:pPr>
      <w:r>
        <w:rPr>
          <w:lang w:bidi="ar"/>
        </w:rPr>
        <w:t>1</w:t>
      </w:r>
      <w:r>
        <w:rPr>
          <w:rFonts w:hint="eastAsia" w:ascii="宋体" w:cs="宋体"/>
          <w:lang w:bidi="ar"/>
        </w:rPr>
        <w:t>）功能简介</w:t>
      </w:r>
    </w:p>
    <w:p w14:paraId="143F8D85">
      <w:pPr>
        <w:spacing w:line="360" w:lineRule="auto"/>
      </w:pPr>
      <w:r>
        <w:rPr>
          <w:rFonts w:hint="eastAsia" w:ascii="宋体" w:cs="宋体"/>
          <w:lang w:bidi="ar"/>
        </w:rPr>
        <w:t>此页面用于进行账号登录，找回密码。</w:t>
      </w:r>
    </w:p>
    <w:p w14:paraId="4B855036">
      <w:pPr>
        <w:numPr>
          <w:ilvl w:val="0"/>
          <w:numId w:val="3"/>
        </w:numPr>
        <w:spacing w:line="360" w:lineRule="auto"/>
      </w:pPr>
      <w:r>
        <w:rPr>
          <w:rFonts w:hint="eastAsia" w:ascii="宋体" w:cs="宋体"/>
          <w:lang w:bidi="ar"/>
        </w:rPr>
        <w:t>界面如下</w:t>
      </w:r>
    </w:p>
    <w:p w14:paraId="53486DA7">
      <w:r>
        <w:drawing>
          <wp:inline distT="0" distB="0" distL="114300" distR="114300">
            <wp:extent cx="5278120" cy="2660650"/>
            <wp:effectExtent l="0" t="0" r="1016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0"/>
                    <a:stretch>
                      <a:fillRect/>
                    </a:stretch>
                  </pic:blipFill>
                  <pic:spPr>
                    <a:xfrm>
                      <a:off x="0" y="0"/>
                      <a:ext cx="5278120" cy="2660650"/>
                    </a:xfrm>
                    <a:prstGeom prst="rect">
                      <a:avLst/>
                    </a:prstGeom>
                    <a:noFill/>
                    <a:ln>
                      <a:noFill/>
                    </a:ln>
                  </pic:spPr>
                </pic:pic>
              </a:graphicData>
            </a:graphic>
          </wp:inline>
        </w:drawing>
      </w:r>
    </w:p>
    <w:p w14:paraId="163B0C33">
      <w:pPr>
        <w:pStyle w:val="14"/>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10D3236B">
      <w:pPr>
        <w:pStyle w:val="14"/>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0D2E2549">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549B642">
      <w:pPr>
        <w:pStyle w:val="3"/>
        <w:widowControl/>
        <w:spacing w:line="360" w:lineRule="auto"/>
        <w:rPr>
          <w:rFonts w:ascii="Cambria" w:hAnsi="Cambria" w:cs="Cambria"/>
          <w:highlight w:val="yellow"/>
        </w:rPr>
      </w:pPr>
      <w:r>
        <w:rPr>
          <w:rFonts w:hint="eastAsia" w:ascii="宋体" w:cs="宋体"/>
          <w:highlight w:val="yellow"/>
        </w:rPr>
        <w:t>附件-供应商注册</w:t>
      </w:r>
    </w:p>
    <w:p w14:paraId="7009172E">
      <w:pPr>
        <w:spacing w:line="360" w:lineRule="auto"/>
      </w:pPr>
      <w:r>
        <w:rPr>
          <w:lang w:bidi="ar"/>
        </w:rPr>
        <w:t>1</w:t>
      </w:r>
      <w:r>
        <w:rPr>
          <w:rFonts w:hint="eastAsia" w:ascii="宋体" w:cs="宋体"/>
          <w:lang w:bidi="ar"/>
        </w:rPr>
        <w:t>）功能简介</w:t>
      </w:r>
    </w:p>
    <w:p w14:paraId="4FC27353">
      <w:pPr>
        <w:spacing w:line="360" w:lineRule="auto"/>
      </w:pPr>
      <w:r>
        <w:rPr>
          <w:rFonts w:hint="eastAsia" w:ascii="宋体" w:cs="宋体"/>
          <w:lang w:bidi="ar"/>
        </w:rPr>
        <w:t>此页面用于进行供应商注册</w:t>
      </w:r>
    </w:p>
    <w:p w14:paraId="4761B5EE">
      <w:pPr>
        <w:pStyle w:val="14"/>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3C938E4A">
      <w:r>
        <w:drawing>
          <wp:inline distT="0" distB="0" distL="114300" distR="114300">
            <wp:extent cx="5342255" cy="2485390"/>
            <wp:effectExtent l="0" t="0" r="6985" b="1397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1"/>
                    <a:stretch>
                      <a:fillRect/>
                    </a:stretch>
                  </pic:blipFill>
                  <pic:spPr>
                    <a:xfrm>
                      <a:off x="0" y="0"/>
                      <a:ext cx="5342255" cy="2485390"/>
                    </a:xfrm>
                    <a:prstGeom prst="rect">
                      <a:avLst/>
                    </a:prstGeom>
                    <a:noFill/>
                    <a:ln>
                      <a:noFill/>
                    </a:ln>
                  </pic:spPr>
                </pic:pic>
              </a:graphicData>
            </a:graphic>
          </wp:inline>
        </w:drawing>
      </w:r>
    </w:p>
    <w:p w14:paraId="49954433">
      <w:pPr>
        <w:pStyle w:val="14"/>
        <w:widowControl/>
        <w:tabs>
          <w:tab w:val="left" w:pos="0"/>
        </w:tabs>
        <w:ind w:firstLine="0" w:firstLineChars="0"/>
        <w:rPr>
          <w:kern w:val="2"/>
          <w:sz w:val="21"/>
          <w:szCs w:val="21"/>
        </w:rPr>
      </w:pPr>
      <w:r>
        <w:rPr>
          <w:rFonts w:hint="eastAsia" w:ascii="宋体" w:cs="宋体"/>
          <w:kern w:val="2"/>
          <w:sz w:val="21"/>
          <w:szCs w:val="21"/>
        </w:rPr>
        <w:t>3）页面规则</w:t>
      </w:r>
    </w:p>
    <w:p w14:paraId="3FB6010F">
      <w:pPr>
        <w:pStyle w:val="14"/>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53A58A34">
      <w:pPr>
        <w:spacing w:line="360" w:lineRule="auto"/>
      </w:pPr>
      <w:r>
        <w:rPr>
          <w:rFonts w:hint="eastAsia" w:ascii="宋体" w:cs="宋体"/>
          <w:lang w:bidi="ar"/>
        </w:rPr>
        <w:t>注册信息的字段：尽量把所有信息都填写完整，</w:t>
      </w:r>
    </w:p>
    <w:p w14:paraId="467302E2">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3192C8E3">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56351523">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371CADB4">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5D429290">
      <w:pPr>
        <w:pStyle w:val="4"/>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3F997504">
      <w:pPr>
        <w:pStyle w:val="4"/>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8FB7CCD">
      <w:pPr>
        <w:pStyle w:val="4"/>
        <w:widowControl/>
        <w:tabs>
          <w:tab w:val="left" w:pos="312"/>
        </w:tabs>
        <w:spacing w:line="360" w:lineRule="auto"/>
        <w:ind w:firstLine="0"/>
        <w:jc w:val="left"/>
        <w:rPr>
          <w:rFonts w:ascii="宋体" w:cs="宋体"/>
          <w:kern w:val="2"/>
        </w:rPr>
      </w:pPr>
    </w:p>
    <w:p w14:paraId="3992FC18">
      <w:pPr>
        <w:pStyle w:val="3"/>
        <w:widowControl/>
        <w:rPr>
          <w:highlight w:val="yellow"/>
        </w:rPr>
      </w:pPr>
      <w:r>
        <w:rPr>
          <w:rFonts w:hint="eastAsia" w:eastAsia="黑体" w:cs="黑体"/>
          <w:highlight w:val="yellow"/>
        </w:rPr>
        <w:t>附件-供应商应标</w:t>
      </w:r>
    </w:p>
    <w:p w14:paraId="66416C20">
      <w:pPr>
        <w:rPr>
          <w:rFonts w:ascii="宋体" w:hAnsi="宋体" w:cs="宋体"/>
          <w:sz w:val="28"/>
          <w:szCs w:val="28"/>
        </w:rPr>
      </w:pPr>
      <w:r>
        <w:rPr>
          <w:rFonts w:hint="eastAsia" w:ascii="宋体" w:hAnsi="宋体" w:cs="宋体"/>
          <w:sz w:val="28"/>
          <w:szCs w:val="28"/>
          <w:lang w:bidi="ar"/>
        </w:rPr>
        <w:t>路径：招投标中心-非生产类招投标-供应商应标</w:t>
      </w:r>
    </w:p>
    <w:p w14:paraId="52FA33E6">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5BF3892">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0C74497A">
      <w:r>
        <w:drawing>
          <wp:inline distT="0" distB="0" distL="114300" distR="114300">
            <wp:extent cx="5393690" cy="212661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393690" cy="2126615"/>
                    </a:xfrm>
                    <a:prstGeom prst="rect">
                      <a:avLst/>
                    </a:prstGeom>
                    <a:noFill/>
                    <a:ln>
                      <a:noFill/>
                    </a:ln>
                  </pic:spPr>
                </pic:pic>
              </a:graphicData>
            </a:graphic>
          </wp:inline>
        </w:drawing>
      </w:r>
    </w:p>
    <w:p w14:paraId="1FE5D791">
      <w:pPr>
        <w:rPr>
          <w:rFonts w:cs="宋体"/>
          <w:sz w:val="24"/>
          <w:lang w:bidi="ar"/>
        </w:rPr>
      </w:pPr>
      <w:r>
        <w:rPr>
          <w:rFonts w:hint="eastAsia" w:cs="宋体"/>
          <w:sz w:val="24"/>
          <w:lang w:bidi="ar"/>
        </w:rPr>
        <w:t>注意：</w:t>
      </w:r>
    </w:p>
    <w:p w14:paraId="024FC4F5">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w:t>
      </w:r>
      <w:r>
        <w:rPr>
          <w:rFonts w:hint="eastAsia" w:cs="宋体"/>
          <w:sz w:val="24"/>
          <w:lang w:val="en-US" w:eastAsia="zh-CN" w:bidi="ar"/>
        </w:rPr>
        <w:t>招投标联系人</w:t>
      </w:r>
      <w:r>
        <w:rPr>
          <w:rFonts w:hint="eastAsia" w:cs="宋体"/>
          <w:sz w:val="24"/>
          <w:lang w:bidi="ar"/>
        </w:rPr>
        <w:t>）</w:t>
      </w:r>
    </w:p>
    <w:p w14:paraId="0CC7E32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39C5BB8">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57BA22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4D8A2BB">
      <w:r>
        <w:drawing>
          <wp:inline distT="0" distB="0" distL="114300" distR="114300">
            <wp:extent cx="5426075" cy="2279015"/>
            <wp:effectExtent l="0" t="0" r="1460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3"/>
                    <a:stretch>
                      <a:fillRect/>
                    </a:stretch>
                  </pic:blipFill>
                  <pic:spPr>
                    <a:xfrm>
                      <a:off x="0" y="0"/>
                      <a:ext cx="5426075" cy="2279015"/>
                    </a:xfrm>
                    <a:prstGeom prst="rect">
                      <a:avLst/>
                    </a:prstGeom>
                    <a:noFill/>
                    <a:ln>
                      <a:noFill/>
                    </a:ln>
                  </pic:spPr>
                </pic:pic>
              </a:graphicData>
            </a:graphic>
          </wp:inline>
        </w:drawing>
      </w:r>
    </w:p>
    <w:p w14:paraId="01D8AB90">
      <w:pPr>
        <w:pStyle w:val="4"/>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762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4"/>
                    <a:stretch>
                      <a:fillRect/>
                    </a:stretch>
                  </pic:blipFill>
                  <pic:spPr>
                    <a:xfrm>
                      <a:off x="0" y="0"/>
                      <a:ext cx="5331460" cy="2324100"/>
                    </a:xfrm>
                    <a:prstGeom prst="rect">
                      <a:avLst/>
                    </a:prstGeom>
                    <a:noFill/>
                    <a:ln>
                      <a:noFill/>
                    </a:ln>
                  </pic:spPr>
                </pic:pic>
              </a:graphicData>
            </a:graphic>
          </wp:inline>
        </w:drawing>
      </w:r>
    </w:p>
    <w:p w14:paraId="13617346"/>
    <w:p w14:paraId="79A65EE0">
      <w:pPr>
        <w:rPr>
          <w:rFonts w:hint="eastAsia" w:asciiTheme="majorEastAsia" w:hAnsiTheme="majorEastAsia" w:eastAsiaTheme="majorEastAsia" w:cstheme="majorEastAsia"/>
          <w:sz w:val="24"/>
          <w:szCs w:val="24"/>
        </w:rPr>
      </w:pPr>
    </w:p>
    <w:p w14:paraId="221B03FF">
      <w:pPr>
        <w:ind w:left="6300" w:leftChars="0" w:firstLine="420" w:firstLineChars="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29EE42B3"/>
    <w:multiLevelType w:val="singleLevel"/>
    <w:tmpl w:val="29EE42B3"/>
    <w:lvl w:ilvl="0" w:tentative="0">
      <w:start w:val="1"/>
      <w:numFmt w:val="chineseCounting"/>
      <w:suff w:val="nothing"/>
      <w:lvlText w:val="%1、"/>
      <w:lvlJc w:val="left"/>
      <w:rPr>
        <w:rFonts w:hint="eastAsia"/>
      </w:r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180F6C"/>
    <w:rsid w:val="17E67B2E"/>
    <w:rsid w:val="23DC5358"/>
    <w:rsid w:val="2BC1720F"/>
    <w:rsid w:val="2F1C72B3"/>
    <w:rsid w:val="367E5F1A"/>
    <w:rsid w:val="37706232"/>
    <w:rsid w:val="40F152CA"/>
    <w:rsid w:val="4BC93EC7"/>
    <w:rsid w:val="51273ADE"/>
    <w:rsid w:val="59792823"/>
    <w:rsid w:val="5B7F480D"/>
    <w:rsid w:val="5F5B121E"/>
    <w:rsid w:val="66366F25"/>
    <w:rsid w:val="6ABA0D60"/>
    <w:rsid w:val="70FF4194"/>
    <w:rsid w:val="71141A58"/>
    <w:rsid w:val="71963B10"/>
    <w:rsid w:val="75104791"/>
    <w:rsid w:val="7B2C39A7"/>
    <w:rsid w:val="7C4B4301"/>
    <w:rsid w:val="7EAA3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200" w:firstLineChars="200"/>
    </w:pPr>
    <w:rPr>
      <w:kern w:val="0"/>
    </w:rPr>
  </w:style>
  <w:style w:type="paragraph" w:styleId="5">
    <w:name w:val="Body Text"/>
    <w:basedOn w:val="1"/>
    <w:qFormat/>
    <w:uiPriority w:val="99"/>
    <w:rPr>
      <w:sz w:val="24"/>
    </w:rPr>
  </w:style>
  <w:style w:type="paragraph" w:styleId="6">
    <w:name w:val="Body Text Indent"/>
    <w:basedOn w:val="1"/>
    <w:next w:val="1"/>
    <w:qFormat/>
    <w:uiPriority w:val="0"/>
    <w:pPr>
      <w:spacing w:after="120"/>
      <w:ind w:left="420" w:leftChars="20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qFormat/>
    <w:uiPriority w:val="39"/>
    <w:pPr>
      <w:tabs>
        <w:tab w:val="right" w:leader="dot" w:pos="9629"/>
      </w:tabs>
      <w:ind w:left="480" w:leftChars="200"/>
    </w:pPr>
    <w:rPr>
      <w:b/>
    </w:rPr>
  </w:style>
  <w:style w:type="paragraph" w:styleId="10">
    <w:name w:val="Body Text First Indent 2"/>
    <w:basedOn w:val="6"/>
    <w:next w:val="9"/>
    <w:qFormat/>
    <w:uiPriority w:val="0"/>
    <w:pPr>
      <w:spacing w:line="276" w:lineRule="auto"/>
      <w:ind w:left="200" w:firstLine="200" w:firstLineChars="200"/>
      <w:jc w:val="left"/>
    </w:pPr>
  </w:style>
  <w:style w:type="character" w:styleId="13">
    <w:name w:val="Hyperlink"/>
    <w:basedOn w:val="12"/>
    <w:qFormat/>
    <w:uiPriority w:val="0"/>
    <w:rPr>
      <w:color w:val="0000FF"/>
      <w:u w:val="none"/>
    </w:rPr>
  </w:style>
  <w:style w:type="paragraph" w:customStyle="1" w:styleId="14">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2026-01-23T08:43:00Z</dcterms:created>
  <dc:creator>Lenovo</dc:creator>
  <cp:lastModifiedBy>㎡</cp:lastModifiedBy>
  <dcterms:modified xsi:type="dcterms:W3CDTF">2026-02-04T06:36:34Z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09E02139C69E4F03BC2B96FD7B1A9C65_12</vt:lpwstr>
  </property>
</Properties>
</file>