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济南成型厂前轴、曲轴工装焊修项目（年度标一）招标公告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ZBGL2026020011</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2026-2-4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2026-2-9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本项目为</w:t>
      </w:r>
      <w:r>
        <w:rPr>
          <w:rFonts w:hint="eastAsia"/>
          <w:color w:val="auto"/>
          <w:sz w:val="24"/>
          <w:szCs w:val="24"/>
          <w:highlight w:val="none"/>
          <w:lang w:eastAsia="zh-CN"/>
        </w:rPr>
        <w:t>济南成型厂前轴、曲轴工装焊修项目(年度标一）</w:t>
      </w:r>
      <w:r>
        <w:rPr>
          <w:rFonts w:hint="eastAsia"/>
          <w:color w:val="auto"/>
          <w:sz w:val="24"/>
          <w:szCs w:val="24"/>
          <w:highlight w:val="none"/>
        </w:rPr>
        <w:t>，</w:t>
      </w:r>
      <w:r>
        <w:rPr>
          <w:rFonts w:hint="eastAsia" w:ascii="宋体" w:hAnsi="宋体"/>
          <w:color w:val="auto"/>
          <w:sz w:val="24"/>
          <w:szCs w:val="24"/>
          <w:highlight w:val="none"/>
        </w:rPr>
        <w:t>根据项目所涉及工装分类及内容</w:t>
      </w:r>
      <w:r>
        <w:rPr>
          <w:rFonts w:hint="eastAsia"/>
          <w:color w:val="auto"/>
          <w:sz w:val="24"/>
          <w:szCs w:val="24"/>
          <w:highlight w:val="none"/>
        </w:rPr>
        <w:t>明细如下：</w:t>
      </w:r>
    </w:p>
    <w:tbl>
      <w:tblPr>
        <w:tblStyle w:val="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9"/>
        <w:gridCol w:w="2866"/>
        <w:gridCol w:w="1716"/>
        <w:gridCol w:w="831"/>
        <w:gridCol w:w="874"/>
        <w:gridCol w:w="949"/>
        <w:gridCol w:w="552"/>
        <w:gridCol w:w="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工装名称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工装编号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参考基价（未税）元/件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基准定额（件）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2026年预计需求数量（件）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预估份额</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0"/>
                <w:szCs w:val="20"/>
                <w:highlight w:val="none"/>
                <w:u w:val="none"/>
              </w:rPr>
            </w:pPr>
            <w:bookmarkStart w:id="2" w:name="_GoBack" w:colFirst="0" w:colLast="0"/>
            <w:r>
              <w:rPr>
                <w:rFonts w:hint="eastAsia" w:ascii="黑体" w:hAnsi="黑体" w:eastAsia="黑体" w:cs="黑体"/>
                <w:b w:val="0"/>
                <w:bCs w:val="0"/>
                <w:i w:val="0"/>
                <w:iCs w:val="0"/>
                <w:color w:val="000000"/>
                <w:kern w:val="0"/>
                <w:sz w:val="20"/>
                <w:szCs w:val="20"/>
                <w:highlight w:val="none"/>
                <w:u w:val="none"/>
                <w:lang w:val="en-US" w:eastAsia="zh-CN" w:bidi="ar"/>
              </w:rPr>
              <w:t>包1：KP线前轴、曲轴模具焊修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MC13曲轴锻模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15332</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一标</w:t>
            </w:r>
          </w:p>
        </w:tc>
      </w:tr>
      <w:bookmarkEnd w:id="2"/>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MC13曲轴切边凹模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ZD5801-0168/15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15332</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MC11曲轴锻模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ZD5201-0144A</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29711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MC11曲轴切边凹模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ZD5801-0144A/15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29711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kp前梁（7.1t）锻模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ZD5201-0366A</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74337</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VPD050C前轴锻模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ZD5201-0381A</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10886</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MC07曲轴锻模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ZD5201-0160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15521</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MC07曲轴切边凹模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ZD5801-0160/15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15521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MC07H曲轴锻模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ZD5201-0306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13468</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MC07H曲轴切边凹模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ZD5801-0306/15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13468</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kp前轴(9.5t)锻模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ZD5201-0317A</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3717</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0"/>
                <w:szCs w:val="20"/>
                <w:u w:val="none"/>
              </w:rPr>
            </w:pPr>
            <w:r>
              <w:rPr>
                <w:rFonts w:hint="eastAsia" w:ascii="黑体" w:hAnsi="黑体" w:eastAsia="黑体" w:cs="黑体"/>
                <w:b w:val="0"/>
                <w:bCs w:val="0"/>
                <w:i w:val="0"/>
                <w:iCs w:val="0"/>
                <w:color w:val="000000"/>
                <w:kern w:val="0"/>
                <w:sz w:val="20"/>
                <w:szCs w:val="20"/>
                <w:u w:val="none"/>
                <w:lang w:val="en-US" w:eastAsia="zh-CN" w:bidi="ar"/>
              </w:rPr>
              <w:t>包2：16t线前轴模具焊修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16t前轴（9.5t）锻模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ZD5701-0317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85274</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16t前轴（9.5t）切边模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ZD5703-0317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85274</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16t前轴（7.1t）锻模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ZD5701-0366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7727</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50度大转角前梁VPD71DS锻模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ZD5701-0423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3732</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50度大转角前梁VGD75锻模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ZD5701-0422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3725</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r>
    </w:tbl>
    <w:p>
      <w:pPr>
        <w:pStyle w:val="4"/>
        <w:rPr>
          <w:rFonts w:hint="eastAsia"/>
          <w:color w:val="auto"/>
          <w:highlight w:val="none"/>
        </w:rPr>
      </w:pPr>
    </w:p>
    <w:p>
      <w:pPr>
        <w:pStyle w:val="5"/>
        <w:rPr>
          <w:rFonts w:hint="eastAsia" w:ascii="宋体" w:hAnsi="宋体" w:cs="宋体"/>
          <w:color w:val="auto"/>
          <w:highlight w:val="none"/>
        </w:rPr>
      </w:pPr>
      <w:r>
        <w:rPr>
          <w:rFonts w:hint="eastAsia" w:ascii="宋体" w:hAnsi="宋体" w:cs="宋体"/>
          <w:color w:val="auto"/>
          <w:highlight w:val="none"/>
        </w:rPr>
        <w:t>注：维修过程中，将工装编号及供方名称刻制于模具本体上，并根据要求制作相关标识。</w:t>
      </w:r>
    </w:p>
    <w:p>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济南成型厂前轴、曲轴工装焊修项目（年度标一）</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spacing w:line="360" w:lineRule="auto"/>
        <w:ind w:firstLine="480" w:firstLineChars="200"/>
        <w:rPr>
          <w:color w:val="auto"/>
          <w:sz w:val="24"/>
          <w:szCs w:val="24"/>
          <w:highlight w:val="none"/>
          <w:u w:val="none"/>
        </w:rPr>
      </w:pPr>
      <w:r>
        <w:rPr>
          <w:rFonts w:hint="eastAsia" w:asciiTheme="majorEastAsia" w:hAnsiTheme="majorEastAsia" w:eastAsiaTheme="majorEastAsia" w:cstheme="majorEastAsia"/>
          <w:sz w:val="24"/>
          <w:szCs w:val="24"/>
        </w:rPr>
        <w:t xml:space="preserve">   </w:t>
      </w:r>
      <w:r>
        <w:rPr>
          <w:rFonts w:hint="eastAsia"/>
          <w:color w:val="auto"/>
          <w:sz w:val="24"/>
          <w:szCs w:val="24"/>
          <w:highlight w:val="none"/>
          <w:u w:val="none"/>
        </w:rPr>
        <w:t>1、</w:t>
      </w:r>
      <w:r>
        <w:rPr>
          <w:color w:val="auto"/>
          <w:sz w:val="24"/>
          <w:szCs w:val="24"/>
          <w:highlight w:val="none"/>
          <w:u w:val="none"/>
        </w:rPr>
        <w:t>投</w:t>
      </w:r>
      <w:r>
        <w:rPr>
          <w:rFonts w:hint="eastAsia"/>
          <w:color w:val="auto"/>
          <w:sz w:val="24"/>
          <w:szCs w:val="24"/>
          <w:highlight w:val="none"/>
          <w:u w:val="none"/>
        </w:rPr>
        <w:t>标</w:t>
      </w:r>
      <w:r>
        <w:rPr>
          <w:color w:val="auto"/>
          <w:sz w:val="24"/>
          <w:szCs w:val="24"/>
          <w:highlight w:val="none"/>
          <w:u w:val="none"/>
        </w:rPr>
        <w:t>人必须是独立法人机构，具有独立承担民事责任能力，投标人注册资金不低于500</w:t>
      </w:r>
      <w:r>
        <w:rPr>
          <w:rFonts w:hint="eastAsia"/>
          <w:color w:val="auto"/>
          <w:sz w:val="24"/>
          <w:szCs w:val="24"/>
          <w:highlight w:val="none"/>
          <w:u w:val="none"/>
        </w:rPr>
        <w:t>万元</w:t>
      </w:r>
      <w:r>
        <w:rPr>
          <w:color w:val="auto"/>
          <w:sz w:val="24"/>
          <w:szCs w:val="24"/>
          <w:highlight w:val="none"/>
          <w:u w:val="none"/>
        </w:rPr>
        <w:t>；公司成立三年以上（以营业执照成立日期到开标当日满三年为准）；且经营范围满足招标人需求；并在人员、设备、资金等方面具有承担本项目的能力。</w:t>
      </w:r>
    </w:p>
    <w:p>
      <w:pPr>
        <w:spacing w:line="360" w:lineRule="auto"/>
        <w:ind w:firstLine="480" w:firstLineChars="200"/>
        <w:rPr>
          <w:color w:val="auto"/>
          <w:sz w:val="24"/>
          <w:szCs w:val="24"/>
          <w:highlight w:val="none"/>
          <w:u w:val="none"/>
        </w:rPr>
      </w:pPr>
      <w:r>
        <w:rPr>
          <w:rFonts w:hint="eastAsia"/>
          <w:color w:val="auto"/>
          <w:sz w:val="24"/>
          <w:szCs w:val="24"/>
          <w:highlight w:val="none"/>
          <w:u w:val="none"/>
        </w:rPr>
        <w:t>2、</w:t>
      </w:r>
      <w:r>
        <w:rPr>
          <w:color w:val="auto"/>
          <w:sz w:val="24"/>
          <w:szCs w:val="24"/>
          <w:highlight w:val="none"/>
          <w:u w:val="none"/>
        </w:rPr>
        <w:t>投标人应具有统一社会信用代码的营业执照副本。</w:t>
      </w:r>
    </w:p>
    <w:p>
      <w:pPr>
        <w:spacing w:line="360" w:lineRule="auto"/>
        <w:ind w:firstLine="480" w:firstLineChars="200"/>
        <w:rPr>
          <w:color w:val="auto"/>
          <w:sz w:val="24"/>
          <w:szCs w:val="24"/>
          <w:highlight w:val="none"/>
          <w:u w:val="none"/>
        </w:rPr>
      </w:pPr>
      <w:r>
        <w:rPr>
          <w:rFonts w:hint="eastAsia"/>
          <w:color w:val="auto"/>
          <w:sz w:val="24"/>
          <w:szCs w:val="24"/>
          <w:highlight w:val="none"/>
          <w:u w:val="none"/>
        </w:rPr>
        <w:t>3、经营资质具有锻造工装制作及维修等相关内容，且有锻造工装焊修制作经验。</w:t>
      </w:r>
    </w:p>
    <w:p>
      <w:pPr>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4、投标人应通过GB/ISO9001</w:t>
      </w:r>
      <w:r>
        <w:rPr>
          <w:rFonts w:hint="eastAsia"/>
          <w:color w:val="auto"/>
          <w:sz w:val="24"/>
          <w:szCs w:val="24"/>
          <w:highlight w:val="none"/>
          <w:u w:val="none"/>
          <w:lang w:val="en-US" w:eastAsia="zh-CN"/>
        </w:rPr>
        <w:t>或IATF16949</w:t>
      </w:r>
      <w:r>
        <w:rPr>
          <w:rFonts w:hint="eastAsia"/>
          <w:color w:val="auto"/>
          <w:sz w:val="24"/>
          <w:szCs w:val="24"/>
          <w:highlight w:val="none"/>
          <w:u w:val="none"/>
        </w:rPr>
        <w:t>质量体系认证。</w:t>
      </w:r>
    </w:p>
    <w:p>
      <w:pPr>
        <w:spacing w:line="360" w:lineRule="auto"/>
        <w:ind w:firstLine="480" w:firstLineChars="200"/>
        <w:rPr>
          <w:color w:val="auto"/>
          <w:sz w:val="24"/>
          <w:szCs w:val="24"/>
          <w:highlight w:val="none"/>
          <w:u w:val="none"/>
        </w:rPr>
      </w:pPr>
      <w:r>
        <w:rPr>
          <w:rFonts w:hint="eastAsia"/>
          <w:color w:val="auto"/>
          <w:sz w:val="24"/>
          <w:szCs w:val="24"/>
          <w:highlight w:val="none"/>
          <w:u w:val="none"/>
        </w:rPr>
        <w:t>5、</w:t>
      </w:r>
      <w:r>
        <w:rPr>
          <w:color w:val="auto"/>
          <w:sz w:val="24"/>
          <w:szCs w:val="24"/>
          <w:highlight w:val="none"/>
          <w:u w:val="none"/>
        </w:rPr>
        <w:t>投标人在工商行政管理局的《国家企业信用信息公示系统》中查询不存在不良记录。</w:t>
      </w:r>
    </w:p>
    <w:p>
      <w:pPr>
        <w:spacing w:line="360" w:lineRule="auto"/>
        <w:ind w:firstLine="480" w:firstLineChars="200"/>
        <w:rPr>
          <w:color w:val="auto"/>
          <w:sz w:val="24"/>
          <w:szCs w:val="24"/>
          <w:highlight w:val="none"/>
          <w:u w:val="none"/>
        </w:rPr>
      </w:pPr>
      <w:r>
        <w:rPr>
          <w:rFonts w:hint="eastAsia"/>
          <w:color w:val="auto"/>
          <w:sz w:val="24"/>
          <w:szCs w:val="24"/>
          <w:highlight w:val="none"/>
          <w:u w:val="none"/>
        </w:rPr>
        <w:t>6、</w:t>
      </w:r>
      <w:r>
        <w:rPr>
          <w:rFonts w:ascii="Times New Roman" w:hAnsi="Times New Roman" w:eastAsia="宋体" w:cs="Times New Roman"/>
          <w:color w:val="auto"/>
          <w:sz w:val="24"/>
          <w:szCs w:val="24"/>
          <w:highlight w:val="none"/>
          <w:u w:val="none"/>
        </w:rPr>
        <w:t>投标人近三年内在经营活动中无与本项目有关的违法及重大违规情况或</w:t>
      </w:r>
      <w:r>
        <w:rPr>
          <w:color w:val="auto"/>
          <w:sz w:val="24"/>
          <w:szCs w:val="24"/>
          <w:highlight w:val="none"/>
          <w:u w:val="none"/>
        </w:rPr>
        <w:t>被列入招标人“黑名单”。</w:t>
      </w:r>
    </w:p>
    <w:p>
      <w:pPr>
        <w:spacing w:line="360" w:lineRule="auto"/>
        <w:ind w:firstLine="480" w:firstLineChars="200"/>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7、</w:t>
      </w:r>
      <w:r>
        <w:rPr>
          <w:rFonts w:hint="eastAsia" w:ascii="Times New Roman" w:hAnsi="Times New Roman" w:eastAsia="宋体" w:cs="Times New Roman"/>
          <w:color w:val="auto"/>
          <w:sz w:val="24"/>
          <w:szCs w:val="24"/>
          <w:highlight w:val="none"/>
          <w:u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color w:val="auto"/>
          <w:sz w:val="24"/>
          <w:szCs w:val="24"/>
          <w:highlight w:val="none"/>
          <w:u w:val="none"/>
        </w:rPr>
      </w:pPr>
      <w:r>
        <w:rPr>
          <w:rFonts w:hint="eastAsia"/>
          <w:color w:val="auto"/>
          <w:sz w:val="24"/>
          <w:szCs w:val="24"/>
          <w:highlight w:val="none"/>
          <w:u w:val="none"/>
        </w:rPr>
        <w:t>8、</w:t>
      </w:r>
      <w:r>
        <w:rPr>
          <w:color w:val="auto"/>
          <w:sz w:val="24"/>
          <w:szCs w:val="24"/>
          <w:highlight w:val="none"/>
          <w:u w:val="none"/>
        </w:rPr>
        <w:t>本次招标不接受联合体投标，不接受代理商投标。投标方的直接或间接股东、法定代表人、董事、监事、高管非重汽员工及其亲属。</w:t>
      </w:r>
    </w:p>
    <w:p>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9、投标人需提供：</w:t>
      </w:r>
      <w:r>
        <w:rPr>
          <w:rFonts w:ascii="Times New Roman" w:hAnsi="Times New Roman" w:eastAsia="宋体" w:cs="Times New Roman"/>
          <w:color w:val="auto"/>
          <w:sz w:val="24"/>
          <w:szCs w:val="24"/>
          <w:highlight w:val="none"/>
          <w:u w:val="none"/>
          <w:lang w:val="en-US" w:eastAsia="zh-CN"/>
        </w:rPr>
        <w:t>最近半年完税证明、信用证明材料（中国人民银行信用代码证+征信报告）；年度纳税信用评价信息（可从电子税务局查询截图）；企业对外担保说明（写明</w:t>
      </w:r>
      <w:r>
        <w:rPr>
          <w:rFonts w:hint="eastAsia" w:ascii="Times New Roman" w:hAnsi="Times New Roman" w:eastAsia="宋体" w:cs="Times New Roman"/>
          <w:color w:val="auto"/>
          <w:sz w:val="24"/>
          <w:szCs w:val="24"/>
          <w:highlight w:val="none"/>
          <w:u w:val="none"/>
          <w:lang w:val="en-US" w:eastAsia="zh-CN"/>
        </w:rPr>
        <w:t>投标人</w:t>
      </w:r>
      <w:r>
        <w:rPr>
          <w:rFonts w:ascii="Times New Roman" w:hAnsi="Times New Roman" w:eastAsia="宋体" w:cs="Times New Roman"/>
          <w:color w:val="auto"/>
          <w:sz w:val="24"/>
          <w:szCs w:val="24"/>
          <w:highlight w:val="none"/>
          <w:u w:val="none"/>
          <w:lang w:val="en-US" w:eastAsia="zh-CN"/>
        </w:rPr>
        <w:t>单位对外有无对外担保和质押业务</w:t>
      </w:r>
      <w:r>
        <w:rPr>
          <w:rFonts w:hint="eastAsia" w:ascii="Times New Roman" w:hAnsi="Times New Roman" w:eastAsia="宋体" w:cs="Times New Roman"/>
          <w:color w:val="auto"/>
          <w:sz w:val="24"/>
          <w:szCs w:val="24"/>
          <w:highlight w:val="none"/>
          <w:u w:val="none"/>
          <w:lang w:val="en-US" w:eastAsia="zh-CN"/>
        </w:rPr>
        <w:t>）。</w:t>
      </w:r>
    </w:p>
    <w:p>
      <w:pPr>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lang w:val="en-US" w:eastAsia="zh-CN"/>
        </w:rPr>
        <w:t>10、</w:t>
      </w:r>
      <w:r>
        <w:rPr>
          <w:rFonts w:hint="eastAsia" w:ascii="Times New Roman" w:hAnsi="Times New Roman" w:eastAsia="宋体" w:cs="Times New Roman"/>
          <w:color w:val="auto"/>
          <w:sz w:val="24"/>
          <w:szCs w:val="24"/>
          <w:highlight w:val="none"/>
          <w:u w:val="none"/>
        </w:rPr>
        <w:t>投标人在向招标人出示投标保证金缴纳凭证后方可进行投标。</w:t>
      </w:r>
    </w:p>
    <w:p>
      <w:pPr>
        <w:rPr>
          <w:rFonts w:hint="eastAsia" w:ascii="Times New Roman" w:hAnsi="Times New Roman" w:eastAsia="宋体" w:cs="Times New Roman"/>
          <w:color w:val="auto"/>
          <w:sz w:val="24"/>
          <w:szCs w:val="24"/>
          <w:highlight w:val="none"/>
          <w:u w:val="none"/>
        </w:rPr>
      </w:pPr>
    </w:p>
    <w:p>
      <w:pPr>
        <w:rPr>
          <w:rFonts w:hint="eastAsia" w:ascii="Times New Roman" w:hAnsi="Times New Roman" w:eastAsia="宋体" w:cs="Times New Roman"/>
          <w:color w:val="auto"/>
          <w:sz w:val="24"/>
          <w:szCs w:val="24"/>
          <w:highlight w:val="yellow"/>
          <w:u w:val="none"/>
          <w:lang w:val="en-US" w:eastAsia="zh-CN"/>
        </w:rPr>
      </w:pPr>
      <w:r>
        <w:rPr>
          <w:rFonts w:hint="eastAsia" w:ascii="Times New Roman" w:hAnsi="Times New Roman" w:eastAsia="宋体" w:cs="Times New Roman"/>
          <w:color w:val="auto"/>
          <w:sz w:val="24"/>
          <w:szCs w:val="24"/>
          <w:highlight w:val="yellow"/>
          <w:u w:val="none"/>
          <w:lang w:val="en-US" w:eastAsia="zh-CN"/>
        </w:rPr>
        <w:t>本项目不允许代理商投标</w:t>
      </w:r>
    </w:p>
    <w:p>
      <w:pPr>
        <w:rPr>
          <w:rFonts w:hint="default" w:ascii="Times New Roman" w:hAnsi="Times New Roman" w:eastAsia="宋体" w:cs="Times New Roman"/>
          <w:color w:val="auto"/>
          <w:sz w:val="24"/>
          <w:szCs w:val="24"/>
          <w:highlight w:val="none"/>
          <w:u w:val="none"/>
          <w:lang w:val="en-US" w:eastAsia="zh-CN"/>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山东省济南市济南成型厂办公楼308会议室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技术联系人：白杨</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color w:val="auto"/>
          <w:sz w:val="24"/>
          <w:szCs w:val="24"/>
          <w:highlight w:val="none"/>
          <w:lang w:val="en-US" w:eastAsia="zh-CN"/>
        </w:rPr>
        <w:t>15165312728</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6"/>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6"/>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6"/>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6"/>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6"/>
        <w:spacing w:line="360" w:lineRule="auto"/>
        <w:ind w:firstLine="420" w:firstLineChars="200"/>
        <w:rPr>
          <w:rFonts w:hint="default" w:hAnsi="宋体" w:eastAsiaTheme="minorEastAsia"/>
          <w:bCs/>
          <w:color w:val="auto"/>
          <w:kern w:val="0"/>
          <w:szCs w:val="32"/>
          <w:highlight w:val="none"/>
          <w:lang w:val="en-US" w:eastAsia="zh-CN"/>
        </w:rPr>
      </w:pPr>
      <w:r>
        <w:rPr>
          <w:rFonts w:hint="eastAsia" w:hAnsi="宋体"/>
          <w:bCs/>
          <w:color w:val="auto"/>
          <w:kern w:val="0"/>
          <w:szCs w:val="32"/>
          <w:highlight w:val="none"/>
          <w:lang w:val="en-US" w:eastAsia="zh-CN"/>
        </w:rPr>
        <w:t>A级项目第三轮由专家组审查前两轮的技术和商务报价情况。</w:t>
      </w:r>
    </w:p>
    <w:p>
      <w:pPr>
        <w:pStyle w:val="6"/>
        <w:spacing w:line="360" w:lineRule="auto"/>
        <w:ind w:firstLine="420" w:firstLineChars="200"/>
        <w:rPr>
          <w:rFonts w:hint="eastAsia" w:hAnsi="宋体"/>
          <w:bCs/>
          <w:color w:val="auto"/>
          <w:kern w:val="0"/>
          <w:szCs w:val="32"/>
          <w:highlight w:val="yellow"/>
        </w:rPr>
      </w:pPr>
      <w:r>
        <w:rPr>
          <w:rFonts w:hint="eastAsia" w:hAnsi="宋体"/>
          <w:bCs/>
          <w:color w:val="auto"/>
          <w:kern w:val="0"/>
          <w:szCs w:val="32"/>
          <w:highlight w:val="yellow"/>
        </w:rPr>
        <w:t>评审期间产生的澄清均由投标人在重汽e采通平台限时内完成提交；</w:t>
      </w:r>
      <w:r>
        <w:rPr>
          <w:rFonts w:hint="eastAsia" w:hAnsi="宋体"/>
          <w:bCs/>
          <w:color w:val="auto"/>
          <w:kern w:val="0"/>
          <w:szCs w:val="32"/>
          <w:highlight w:val="yellow"/>
          <w:lang w:val="en-US" w:eastAsia="zh-CN"/>
        </w:rPr>
        <w:t>技术标评分完毕后</w:t>
      </w:r>
      <w:r>
        <w:rPr>
          <w:rFonts w:hint="eastAsia" w:hAnsi="宋体"/>
          <w:bCs/>
          <w:color w:val="auto"/>
          <w:kern w:val="0"/>
          <w:szCs w:val="32"/>
          <w:highlight w:val="yellow"/>
        </w:rPr>
        <w:t>，</w:t>
      </w:r>
      <w:r>
        <w:rPr>
          <w:rFonts w:hint="eastAsia" w:hAnsi="宋体"/>
          <w:bCs/>
          <w:color w:val="auto"/>
          <w:kern w:val="0"/>
          <w:szCs w:val="32"/>
          <w:highlight w:val="yellow"/>
          <w:lang w:val="en-US" w:eastAsia="zh-CN"/>
        </w:rPr>
        <w:t>原则上</w:t>
      </w:r>
      <w:r>
        <w:rPr>
          <w:rFonts w:hint="eastAsia" w:hAnsi="宋体"/>
          <w:bCs/>
          <w:color w:val="auto"/>
          <w:kern w:val="0"/>
          <w:szCs w:val="32"/>
          <w:highlight w:val="yellow"/>
        </w:rPr>
        <w:t xml:space="preserve">推荐至少 </w:t>
      </w:r>
      <w:r>
        <w:rPr>
          <w:rFonts w:hint="eastAsia" w:hAnsi="宋体"/>
          <w:bCs/>
          <w:color w:val="auto"/>
          <w:kern w:val="0"/>
          <w:szCs w:val="32"/>
          <w:highlight w:val="yellow"/>
          <w:lang w:val="en-US" w:eastAsia="zh-CN"/>
        </w:rPr>
        <w:t>3</w:t>
      </w:r>
      <w:r>
        <w:rPr>
          <w:rFonts w:hint="eastAsia" w:hAnsi="宋体"/>
          <w:bCs/>
          <w:color w:val="auto"/>
          <w:kern w:val="0"/>
          <w:szCs w:val="32"/>
          <w:highlight w:val="yellow"/>
        </w:rPr>
        <w:t>家</w:t>
      </w:r>
      <w:r>
        <w:rPr>
          <w:rFonts w:hint="eastAsia" w:hAnsi="宋体"/>
          <w:bCs/>
          <w:color w:val="auto"/>
          <w:kern w:val="0"/>
          <w:szCs w:val="32"/>
          <w:highlight w:val="yellow"/>
          <w:lang w:val="en-US" w:eastAsia="zh-CN"/>
        </w:rPr>
        <w:t>满足技术要求的</w:t>
      </w:r>
      <w:r>
        <w:rPr>
          <w:rFonts w:hint="eastAsia" w:hAnsi="宋体"/>
          <w:bCs/>
          <w:color w:val="auto"/>
          <w:kern w:val="0"/>
          <w:szCs w:val="32"/>
          <w:highlight w:val="yellow"/>
        </w:rPr>
        <w:t>候选中标人进入商务标。</w:t>
      </w:r>
      <w:r>
        <w:rPr>
          <w:rFonts w:hint="eastAsia" w:hAnsi="宋体"/>
          <w:bCs/>
          <w:color w:val="auto"/>
          <w:kern w:val="0"/>
          <w:szCs w:val="32"/>
          <w:highlight w:val="yellow"/>
          <w:lang w:val="en-US" w:eastAsia="zh-CN"/>
        </w:rPr>
        <w:t>第一轮评标</w:t>
      </w:r>
      <w:r>
        <w:rPr>
          <w:rFonts w:hint="eastAsia" w:hAnsi="宋体"/>
          <w:bCs/>
          <w:color w:val="auto"/>
          <w:kern w:val="0"/>
          <w:szCs w:val="32"/>
          <w:highlight w:val="yellow"/>
        </w:rPr>
        <w:t>原则上每个包次</w:t>
      </w:r>
      <w:r>
        <w:rPr>
          <w:rFonts w:hint="eastAsia" w:hAnsi="宋体"/>
          <w:bCs/>
          <w:color w:val="auto"/>
          <w:kern w:val="0"/>
          <w:szCs w:val="32"/>
          <w:highlight w:val="yellow"/>
          <w:lang w:val="en-US" w:eastAsia="zh-CN"/>
        </w:rPr>
        <w:t>按综合得分排名</w:t>
      </w:r>
      <w:r>
        <w:rPr>
          <w:rFonts w:hint="eastAsia" w:hAnsi="宋体"/>
          <w:bCs/>
          <w:color w:val="auto"/>
          <w:kern w:val="0"/>
          <w:szCs w:val="32"/>
          <w:highlight w:val="yellow"/>
        </w:rPr>
        <w:t>推荐</w:t>
      </w:r>
      <w:r>
        <w:rPr>
          <w:rFonts w:hint="eastAsia" w:hAnsi="宋体"/>
          <w:bCs/>
          <w:color w:val="auto"/>
          <w:kern w:val="0"/>
          <w:szCs w:val="32"/>
          <w:highlight w:val="yellow"/>
          <w:lang w:val="en-US" w:eastAsia="zh-CN"/>
        </w:rPr>
        <w:t>3家以上的候选中标人</w:t>
      </w:r>
      <w:r>
        <w:rPr>
          <w:rFonts w:hint="eastAsia" w:hAnsi="宋体"/>
          <w:bCs/>
          <w:color w:val="auto"/>
          <w:kern w:val="0"/>
          <w:szCs w:val="32"/>
          <w:highlight w:val="yellow"/>
        </w:rPr>
        <w:t>。</w:t>
      </w:r>
      <w:r>
        <w:rPr>
          <w:rFonts w:hint="eastAsia" w:hAnsi="宋体"/>
          <w:bCs/>
          <w:color w:val="auto"/>
          <w:kern w:val="0"/>
          <w:szCs w:val="32"/>
          <w:highlight w:val="yellow"/>
          <w:lang w:val="en-US" w:eastAsia="zh-CN"/>
        </w:rPr>
        <w:t>第二轮对第一轮推荐候选中标人进行商务洽谈</w:t>
      </w:r>
      <w:r>
        <w:rPr>
          <w:rFonts w:hint="eastAsia" w:hAnsi="宋体"/>
          <w:bCs/>
          <w:color w:val="auto"/>
          <w:kern w:val="0"/>
          <w:szCs w:val="32"/>
          <w:highlight w:val="yellow"/>
        </w:rPr>
        <w:t>，</w:t>
      </w:r>
      <w:r>
        <w:rPr>
          <w:rFonts w:hint="eastAsia" w:hAnsi="宋体"/>
          <w:bCs/>
          <w:color w:val="auto"/>
          <w:kern w:val="0"/>
          <w:szCs w:val="32"/>
          <w:highlight w:val="yellow"/>
          <w:lang w:val="en-US" w:eastAsia="zh-CN"/>
        </w:rPr>
        <w:t>并根据最终报价，按综合得分排名推荐前两名供方为中标人</w:t>
      </w:r>
      <w:r>
        <w:rPr>
          <w:rFonts w:hint="eastAsia" w:hAnsi="宋体"/>
          <w:bCs/>
          <w:color w:val="auto"/>
          <w:kern w:val="0"/>
          <w:szCs w:val="32"/>
          <w:highlight w:val="yellow"/>
        </w:rPr>
        <w:t>。</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6"/>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6"/>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6"/>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6"/>
      </w:pPr>
      <w:r>
        <w:rPr>
          <w:rFonts w:hint="eastAsia" w:hAnsi="宋体" w:eastAsia="宋体" w:cs="宋体"/>
          <w:b/>
          <w:bCs/>
          <w:color w:val="000000"/>
          <w:sz w:val="24"/>
          <w:szCs w:val="28"/>
          <w:highlight w:val="yellow"/>
        </w:rPr>
        <w:t>2.配套能力“供货类别”填“”，业务主管部门选择“”。</w:t>
      </w:r>
    </w:p>
    <w:p>
      <w:pPr>
        <w:pStyle w:val="6"/>
        <w:sectPr>
          <w:pgSz w:w="11906" w:h="16838"/>
          <w:pgMar w:top="1588" w:right="1418" w:bottom="1134" w:left="1418" w:header="851" w:footer="992" w:gutter="0"/>
          <w:cols w:space="720" w:num="1"/>
          <w:titlePg/>
          <w:docGrid w:type="lines" w:linePitch="312" w:charSpace="0"/>
        </w:sectPr>
      </w:pPr>
    </w:p>
    <w:p>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6"/>
      </w:pPr>
      <w:r>
        <w:rPr>
          <w:rFonts w:hint="eastAsia" w:hAnsi="宋体" w:eastAsia="宋体" w:cs="宋体"/>
          <w:color w:val="000000"/>
          <w:sz w:val="24"/>
          <w:szCs w:val="28"/>
          <w:highlight w:val="yellow"/>
        </w:rPr>
        <w:t>注意：系统内的投标报价单位为“万元”，如开标现场发现填错报价，即直接淘汰。</w:t>
      </w:r>
    </w:p>
    <w:p>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pStyle w:val="6"/>
        <w:bidi w:val="0"/>
        <w:rPr>
          <w:rFonts w:hint="eastAsia"/>
        </w:rPr>
      </w:pPr>
    </w:p>
    <w:p>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C682624"/>
    <w:rsid w:val="0D214B9E"/>
    <w:rsid w:val="0FAC178F"/>
    <w:rsid w:val="1A5F0822"/>
    <w:rsid w:val="1CBE329F"/>
    <w:rsid w:val="1D794229"/>
    <w:rsid w:val="1DA23480"/>
    <w:rsid w:val="283D5FEB"/>
    <w:rsid w:val="35925C72"/>
    <w:rsid w:val="3F9B74BE"/>
    <w:rsid w:val="415E038C"/>
    <w:rsid w:val="4472113B"/>
    <w:rsid w:val="44907102"/>
    <w:rsid w:val="47DD599F"/>
    <w:rsid w:val="48031288"/>
    <w:rsid w:val="48EF075C"/>
    <w:rsid w:val="4E25790F"/>
    <w:rsid w:val="534244A5"/>
    <w:rsid w:val="536770A5"/>
    <w:rsid w:val="57BF3EB6"/>
    <w:rsid w:val="594B58EE"/>
    <w:rsid w:val="5C0E4FE8"/>
    <w:rsid w:val="6B0F2793"/>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1428</Words>
  <Characters>1581</Characters>
  <Lines>0</Lines>
  <Paragraphs>0</Paragraphs>
  <TotalTime>1</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2026-02-04T08:53:19Z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