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10.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74B035C">
      <w:pPr>
        <w:pStyle w:val="20"/>
        <w:rPr>
          <w:rFonts w:hint="eastAsia" w:ascii="Calibri" w:hAnsi="宋体" w:eastAsia="宋体" w:cs="Times New Roman"/>
          <w:b/>
          <w:bCs/>
          <w:color w:val="000000"/>
          <w:spacing w:val="-8"/>
          <w:sz w:val="48"/>
          <w:szCs w:val="44"/>
          <w:lang w:eastAsia="zh-CN"/>
        </w:rPr>
      </w:pPr>
    </w:p>
    <w:p w14:paraId="63CC824A">
      <w:pPr>
        <w:spacing w:line="360" w:lineRule="auto"/>
        <w:jc w:val="center"/>
        <w:rPr>
          <w:rFonts w:hint="eastAsia" w:ascii="文鼎大标宋简" w:hAnsi="华文中宋" w:eastAsia="文鼎大标宋简"/>
          <w:b/>
          <w:spacing w:val="4"/>
          <w:w w:val="90"/>
          <w:sz w:val="52"/>
          <w:szCs w:val="52"/>
        </w:rPr>
      </w:pPr>
      <w:r>
        <w:rPr>
          <w:rFonts w:ascii="Times New Roman" w:hAnsi="Times New Roman" w:eastAsia="宋体" w:cs="Times New Roman"/>
          <w:b/>
          <w:bCs/>
          <w:color w:val="000000"/>
          <w:spacing w:val="-8"/>
          <w:sz w:val="48"/>
          <w:szCs w:val="44"/>
        </w:rPr>
        <w:t>全新一代中重卡宽体平地板驾驶室2300车型平顶金属顶盖模检具项目</w:t>
      </w:r>
    </w:p>
    <w:p w14:paraId="37AF2E9E">
      <w:pPr>
        <w:pStyle w:val="20"/>
        <w:jc w:val="center"/>
        <w:rPr>
          <w:rFonts w:hint="eastAsia" w:ascii="Calibri" w:hAnsi="宋体" w:eastAsia="宋体" w:cs="Times New Roman"/>
          <w:b/>
          <w:bCs/>
          <w:color w:val="000000"/>
          <w:spacing w:val="-8"/>
          <w:sz w:val="48"/>
          <w:szCs w:val="44"/>
        </w:rPr>
      </w:pPr>
    </w:p>
    <w:p w14:paraId="569C4627">
      <w:pPr>
        <w:pStyle w:val="20"/>
        <w:jc w:val="center"/>
        <w:rPr>
          <w:rFonts w:hint="eastAsia" w:ascii="Calibri" w:hAnsi="宋体" w:eastAsia="宋体" w:cs="Times New Roman"/>
          <w:b/>
          <w:bCs/>
          <w:color w:val="000000"/>
          <w:spacing w:val="-8"/>
          <w:sz w:val="48"/>
          <w:szCs w:val="44"/>
        </w:rPr>
      </w:pPr>
    </w:p>
    <w:p w14:paraId="443C2F71">
      <w:pPr>
        <w:jc w:val="center"/>
        <w:rPr>
          <w:rFonts w:hint="eastAsia" w:ascii="黑体" w:hAnsi="宋体" w:eastAsia="黑体" w:cs="Times New Roman"/>
          <w:color w:val="000000"/>
          <w:sz w:val="72"/>
          <w:szCs w:val="72"/>
        </w:rPr>
      </w:pPr>
      <w:r>
        <w:rPr>
          <w:rFonts w:hint="eastAsia" w:ascii="黑体" w:hAnsi="宋体" w:eastAsia="黑体" w:cs="Times New Roman"/>
          <w:color w:val="000000"/>
          <w:sz w:val="72"/>
          <w:szCs w:val="72"/>
        </w:rPr>
        <w:t>招</w:t>
      </w:r>
    </w:p>
    <w:p w14:paraId="53F4E3C2">
      <w:pPr>
        <w:jc w:val="center"/>
        <w:rPr>
          <w:rFonts w:hint="eastAsia" w:ascii="黑体" w:hAnsi="宋体" w:eastAsia="黑体" w:cs="Times New Roman"/>
          <w:color w:val="000000"/>
          <w:sz w:val="72"/>
          <w:szCs w:val="72"/>
        </w:rPr>
      </w:pPr>
    </w:p>
    <w:p w14:paraId="74D25DEB">
      <w:pPr>
        <w:jc w:val="center"/>
        <w:rPr>
          <w:rFonts w:hint="eastAsia" w:ascii="黑体" w:hAnsi="宋体" w:eastAsia="黑体" w:cs="Times New Roman"/>
          <w:color w:val="000000"/>
          <w:sz w:val="72"/>
          <w:szCs w:val="72"/>
        </w:rPr>
      </w:pPr>
      <w:r>
        <w:rPr>
          <w:rFonts w:hint="eastAsia" w:ascii="黑体" w:hAnsi="宋体" w:eastAsia="黑体" w:cs="Times New Roman"/>
          <w:color w:val="000000"/>
          <w:sz w:val="72"/>
          <w:szCs w:val="72"/>
        </w:rPr>
        <w:t>标</w:t>
      </w:r>
    </w:p>
    <w:p w14:paraId="4569F569">
      <w:pPr>
        <w:jc w:val="center"/>
        <w:rPr>
          <w:rFonts w:hint="eastAsia" w:ascii="黑体" w:hAnsi="宋体" w:eastAsia="黑体" w:cs="Times New Roman"/>
          <w:color w:val="000000"/>
          <w:sz w:val="72"/>
          <w:szCs w:val="72"/>
        </w:rPr>
      </w:pPr>
    </w:p>
    <w:p w14:paraId="0CF88C7F">
      <w:pPr>
        <w:jc w:val="center"/>
        <w:rPr>
          <w:rFonts w:ascii="宋体" w:hAnsi="Calibri" w:eastAsia="宋体" w:cs="Times New Roman"/>
          <w:color w:val="000000"/>
          <w:sz w:val="28"/>
          <w:szCs w:val="28"/>
        </w:rPr>
      </w:pPr>
      <w:r>
        <w:rPr>
          <w:rFonts w:hint="eastAsia" w:ascii="黑体" w:hAnsi="宋体" w:eastAsia="黑体" w:cs="Times New Roman"/>
          <w:color w:val="000000"/>
          <w:sz w:val="72"/>
          <w:szCs w:val="72"/>
        </w:rPr>
        <w:t>书</w:t>
      </w:r>
    </w:p>
    <w:p w14:paraId="3632A553">
      <w:pPr>
        <w:spacing w:line="860" w:lineRule="exact"/>
        <w:rPr>
          <w:rFonts w:hint="eastAsia" w:ascii="华文仿宋" w:hAnsi="华文仿宋" w:eastAsia="华文仿宋"/>
          <w:b/>
          <w:bCs/>
          <w:sz w:val="32"/>
          <w:szCs w:val="28"/>
        </w:rPr>
      </w:pPr>
      <w:r>
        <w:rPr>
          <w:rFonts w:hint="eastAsia" w:ascii="华文仿宋" w:hAnsi="华文仿宋" w:eastAsia="华文仿宋"/>
          <w:sz w:val="32"/>
          <w:szCs w:val="28"/>
        </w:rPr>
        <w:t xml:space="preserve">                </w:t>
      </w:r>
      <w:r>
        <w:rPr>
          <w:rFonts w:hint="eastAsia" w:ascii="华文仿宋" w:hAnsi="华文仿宋" w:eastAsia="华文仿宋"/>
          <w:b/>
          <w:bCs/>
          <w:sz w:val="32"/>
          <w:szCs w:val="28"/>
        </w:rPr>
        <w:t xml:space="preserve"> 编制：             </w:t>
      </w:r>
    </w:p>
    <w:p w14:paraId="4FFD3C0A">
      <w:pPr>
        <w:spacing w:line="860" w:lineRule="exact"/>
        <w:rPr>
          <w:rFonts w:hint="eastAsia" w:ascii="华文仿宋" w:hAnsi="华文仿宋" w:eastAsia="华文仿宋"/>
          <w:b/>
          <w:bCs/>
          <w:sz w:val="32"/>
          <w:szCs w:val="28"/>
        </w:rPr>
      </w:pPr>
      <w:r>
        <w:rPr>
          <w:rFonts w:hint="eastAsia" w:ascii="华文仿宋" w:hAnsi="华文仿宋" w:eastAsia="华文仿宋"/>
          <w:b/>
          <w:bCs/>
          <w:sz w:val="32"/>
          <w:szCs w:val="28"/>
        </w:rPr>
        <w:t xml:space="preserve">                 审核：             </w:t>
      </w:r>
    </w:p>
    <w:p w14:paraId="40F53223">
      <w:pPr>
        <w:spacing w:line="860" w:lineRule="exact"/>
        <w:rPr>
          <w:rFonts w:hint="eastAsia" w:ascii="华文仿宋" w:hAnsi="华文仿宋" w:eastAsia="华文仿宋"/>
          <w:b/>
          <w:bCs/>
          <w:sz w:val="32"/>
          <w:szCs w:val="28"/>
        </w:rPr>
      </w:pPr>
      <w:r>
        <w:rPr>
          <w:rFonts w:hint="eastAsia" w:ascii="华文仿宋" w:hAnsi="华文仿宋" w:eastAsia="华文仿宋"/>
          <w:b/>
          <w:bCs/>
          <w:sz w:val="32"/>
          <w:szCs w:val="28"/>
        </w:rPr>
        <w:t xml:space="preserve">                 批准：     </w:t>
      </w:r>
    </w:p>
    <w:p w14:paraId="19912EC7">
      <w:pPr>
        <w:pStyle w:val="20"/>
        <w:rPr>
          <w:b/>
          <w:bCs/>
        </w:rPr>
      </w:pPr>
    </w:p>
    <w:p w14:paraId="71BC3566">
      <w:pPr>
        <w:jc w:val="center"/>
        <w:rPr>
          <w:rFonts w:ascii="宋体" w:hAnsi="Calibri" w:eastAsia="宋体" w:cs="Times New Roman"/>
          <w:color w:val="000000"/>
          <w:sz w:val="28"/>
          <w:szCs w:val="28"/>
        </w:rPr>
      </w:pPr>
      <w:r>
        <w:rPr>
          <w:rFonts w:hint="eastAsia" w:ascii="宋体" w:hAnsi="宋体" w:eastAsia="宋体" w:cs="Times New Roman"/>
          <w:color w:val="000000"/>
          <w:sz w:val="28"/>
          <w:szCs w:val="28"/>
        </w:rPr>
        <w:t>招</w:t>
      </w:r>
      <w:r>
        <w:rPr>
          <w:rFonts w:ascii="宋体" w:hAnsi="宋体" w:eastAsia="宋体" w:cs="Times New Roman"/>
          <w:color w:val="000000"/>
          <w:sz w:val="28"/>
          <w:szCs w:val="28"/>
        </w:rPr>
        <w:t xml:space="preserve"> </w:t>
      </w:r>
      <w:r>
        <w:rPr>
          <w:rFonts w:hint="eastAsia" w:ascii="宋体" w:hAnsi="宋体" w:eastAsia="宋体" w:cs="Times New Roman"/>
          <w:color w:val="000000"/>
          <w:sz w:val="28"/>
          <w:szCs w:val="28"/>
        </w:rPr>
        <w:t>标</w:t>
      </w:r>
      <w:r>
        <w:rPr>
          <w:rFonts w:ascii="宋体" w:hAnsi="宋体" w:eastAsia="宋体" w:cs="Times New Roman"/>
          <w:color w:val="000000"/>
          <w:sz w:val="28"/>
          <w:szCs w:val="28"/>
        </w:rPr>
        <w:t xml:space="preserve"> </w:t>
      </w:r>
      <w:r>
        <w:rPr>
          <w:rFonts w:hint="eastAsia" w:ascii="宋体" w:hAnsi="宋体" w:eastAsia="宋体" w:cs="Times New Roman"/>
          <w:color w:val="000000"/>
          <w:sz w:val="28"/>
          <w:szCs w:val="28"/>
        </w:rPr>
        <w:t>人：</w:t>
      </w:r>
      <w:r>
        <w:rPr>
          <w:rFonts w:hint="eastAsia" w:ascii="宋体" w:hAnsi="宋体" w:eastAsia="宋体" w:cs="Times New Roman"/>
          <w:color w:val="FF0000"/>
          <w:sz w:val="28"/>
          <w:szCs w:val="28"/>
        </w:rPr>
        <w:t>中国重汽集团济南商用车有限公司</w:t>
      </w:r>
    </w:p>
    <w:p w14:paraId="5C59713B">
      <w:pPr>
        <w:jc w:val="center"/>
        <w:rPr>
          <w:rFonts w:ascii="宋体" w:hAnsi="Calibri" w:eastAsia="宋体" w:cs="Times New Roman"/>
          <w:color w:val="000000"/>
          <w:sz w:val="28"/>
          <w:szCs w:val="28"/>
        </w:rPr>
      </w:pPr>
      <w:r>
        <w:rPr>
          <w:rFonts w:ascii="Calibri" w:hAnsi="Calibri" w:eastAsia="宋体" w:cs="Times New Roman"/>
          <w:color w:val="000000"/>
          <w:sz w:val="28"/>
          <w:szCs w:val="28"/>
        </w:rPr>
        <w:t>202</w:t>
      </w:r>
      <w:r>
        <w:rPr>
          <w:rFonts w:hint="eastAsia" w:ascii="Calibri" w:hAnsi="Calibri" w:eastAsia="宋体" w:cs="Times New Roman"/>
          <w:color w:val="000000"/>
          <w:sz w:val="28"/>
          <w:szCs w:val="28"/>
        </w:rPr>
        <w:t>6</w:t>
      </w:r>
      <w:r>
        <w:rPr>
          <w:rFonts w:hint="eastAsia" w:ascii="宋体" w:hAnsi="宋体" w:eastAsia="宋体" w:cs="Times New Roman"/>
          <w:color w:val="000000"/>
          <w:sz w:val="28"/>
          <w:szCs w:val="28"/>
        </w:rPr>
        <w:t>年</w:t>
      </w:r>
      <w:r>
        <w:rPr>
          <w:rFonts w:hint="eastAsia" w:ascii="宋体" w:hAnsi="宋体" w:eastAsia="宋体" w:cs="Times New Roman"/>
          <w:color w:val="000000"/>
          <w:sz w:val="28"/>
          <w:szCs w:val="28"/>
          <w:lang w:val="en-US" w:eastAsia="zh-CN"/>
        </w:rPr>
        <w:t>2</w:t>
      </w:r>
      <w:r>
        <w:rPr>
          <w:rFonts w:hint="eastAsia" w:ascii="Calibri" w:hAnsi="Calibri" w:eastAsia="宋体" w:cs="Times New Roman"/>
          <w:color w:val="000000"/>
          <w:sz w:val="28"/>
          <w:szCs w:val="28"/>
        </w:rPr>
        <w:t>月</w:t>
      </w:r>
    </w:p>
    <w:p w14:paraId="6E59C2EA">
      <w:pPr>
        <w:keepNext/>
        <w:keepLines/>
        <w:jc w:val="center"/>
        <w:rPr>
          <w:rFonts w:ascii="Calibri" w:hAnsi="Calibri" w:eastAsia="宋体" w:cs="Times New Roman"/>
          <w:b/>
          <w:bCs/>
          <w:kern w:val="44"/>
          <w:sz w:val="36"/>
          <w:szCs w:val="44"/>
        </w:rPr>
        <w:sectPr>
          <w:headerReference r:id="rId4" w:type="first"/>
          <w:footerReference r:id="rId6" w:type="first"/>
          <w:headerReference r:id="rId3" w:type="default"/>
          <w:footerReference r:id="rId5" w:type="default"/>
          <w:pgSz w:w="11906" w:h="16838"/>
          <w:pgMar w:top="1588" w:right="1248" w:bottom="1134" w:left="1418" w:header="851" w:footer="992" w:gutter="0"/>
          <w:cols w:space="720" w:num="1"/>
          <w:titlePg/>
          <w:docGrid w:type="lines" w:linePitch="312" w:charSpace="0"/>
        </w:sectPr>
      </w:pPr>
    </w:p>
    <w:sdt>
      <w:sdtPr>
        <w:rPr>
          <w:rFonts w:ascii="宋体" w:hAnsi="宋体" w:eastAsia="宋体" w:cstheme="minorBidi"/>
          <w:kern w:val="2"/>
          <w:sz w:val="21"/>
          <w:szCs w:val="22"/>
          <w:lang w:val="en-US" w:eastAsia="zh-CN" w:bidi="ar-SA"/>
        </w:rPr>
        <w:id w:val="147464745"/>
        <w15:color w:val="DBDBDB"/>
        <w:docPartObj>
          <w:docPartGallery w:val="Table of Contents"/>
          <w:docPartUnique/>
        </w:docPartObj>
      </w:sdtPr>
      <w:sdtEndPr>
        <w:rPr>
          <w:rFonts w:ascii="宋体" w:hAnsi="宋体" w:eastAsia="宋体" w:cstheme="minorBidi"/>
          <w:kern w:val="2"/>
          <w:sz w:val="21"/>
          <w:szCs w:val="22"/>
          <w:lang w:val="en-US" w:eastAsia="zh-CN" w:bidi="ar-SA"/>
        </w:rPr>
      </w:sdtEndPr>
      <w:sdtContent>
        <w:p w14:paraId="08C9CE04">
          <w:pPr>
            <w:spacing w:before="0" w:beforeLines="0" w:after="0" w:afterLines="0" w:line="240" w:lineRule="auto"/>
            <w:ind w:left="0" w:leftChars="0" w:right="0" w:rightChars="0" w:firstLine="0" w:firstLineChars="0"/>
            <w:jc w:val="center"/>
          </w:pPr>
          <w:bookmarkStart w:id="0" w:name="_Toc25915"/>
          <w:r>
            <w:rPr>
              <w:rFonts w:ascii="宋体" w:hAnsi="宋体" w:eastAsia="宋体"/>
              <w:sz w:val="48"/>
              <w:szCs w:val="52"/>
            </w:rPr>
            <w:t>目录</w:t>
          </w:r>
        </w:p>
        <w:p w14:paraId="5FEEE581">
          <w:pPr>
            <w:pStyle w:val="27"/>
            <w:tabs>
              <w:tab w:val="right" w:leader="dot" w:pos="9071"/>
            </w:tabs>
          </w:pPr>
          <w:r>
            <w:fldChar w:fldCharType="begin"/>
          </w:r>
          <w:r>
            <w:instrText xml:space="preserve">TOC \o "1-1" \h \u </w:instrText>
          </w:r>
          <w:r>
            <w:fldChar w:fldCharType="separate"/>
          </w:r>
          <w:r>
            <w:fldChar w:fldCharType="begin"/>
          </w:r>
          <w:r>
            <w:instrText xml:space="preserve"> HYPERLINK \l _Toc7202 </w:instrText>
          </w:r>
          <w:r>
            <w:fldChar w:fldCharType="separate"/>
          </w:r>
          <w:r>
            <w:rPr>
              <w:rFonts w:hint="eastAsia"/>
            </w:rPr>
            <w:t>第一部分 投标须知前附表</w:t>
          </w:r>
          <w:r>
            <w:tab/>
          </w:r>
          <w:r>
            <w:fldChar w:fldCharType="begin"/>
          </w:r>
          <w:r>
            <w:instrText xml:space="preserve"> PAGEREF _Toc7202 \h </w:instrText>
          </w:r>
          <w:r>
            <w:fldChar w:fldCharType="separate"/>
          </w:r>
          <w:r>
            <w:t>2</w:t>
          </w:r>
          <w:r>
            <w:fldChar w:fldCharType="end"/>
          </w:r>
          <w:r>
            <w:fldChar w:fldCharType="end"/>
          </w:r>
        </w:p>
        <w:p w14:paraId="7D85535D">
          <w:pPr>
            <w:pStyle w:val="27"/>
            <w:tabs>
              <w:tab w:val="right" w:leader="dot" w:pos="9071"/>
            </w:tabs>
          </w:pPr>
          <w:r>
            <w:fldChar w:fldCharType="begin"/>
          </w:r>
          <w:r>
            <w:instrText xml:space="preserve"> HYPERLINK \l _Toc30420 </w:instrText>
          </w:r>
          <w:r>
            <w:fldChar w:fldCharType="separate"/>
          </w:r>
          <w:r>
            <w:rPr>
              <w:rFonts w:hint="eastAsia"/>
            </w:rPr>
            <w:t>第二部分 投标人须知</w:t>
          </w:r>
          <w:r>
            <w:tab/>
          </w:r>
          <w:r>
            <w:fldChar w:fldCharType="begin"/>
          </w:r>
          <w:r>
            <w:instrText xml:space="preserve"> PAGEREF _Toc30420 \h </w:instrText>
          </w:r>
          <w:r>
            <w:fldChar w:fldCharType="separate"/>
          </w:r>
          <w:r>
            <w:t>8</w:t>
          </w:r>
          <w:r>
            <w:fldChar w:fldCharType="end"/>
          </w:r>
          <w:r>
            <w:fldChar w:fldCharType="end"/>
          </w:r>
        </w:p>
        <w:p w14:paraId="5E8A8871">
          <w:pPr>
            <w:pStyle w:val="27"/>
            <w:tabs>
              <w:tab w:val="right" w:leader="dot" w:pos="9071"/>
            </w:tabs>
          </w:pPr>
          <w:r>
            <w:fldChar w:fldCharType="begin"/>
          </w:r>
          <w:r>
            <w:instrText xml:space="preserve"> HYPERLINK \l _Toc13849 </w:instrText>
          </w:r>
          <w:r>
            <w:fldChar w:fldCharType="separate"/>
          </w:r>
          <w:r>
            <w:rPr>
              <w:rFonts w:hint="eastAsia"/>
            </w:rPr>
            <w:t>第三部分 投标文件编制</w:t>
          </w:r>
          <w:r>
            <w:tab/>
          </w:r>
          <w:r>
            <w:fldChar w:fldCharType="begin"/>
          </w:r>
          <w:r>
            <w:instrText xml:space="preserve"> PAGEREF _Toc13849 \h </w:instrText>
          </w:r>
          <w:r>
            <w:fldChar w:fldCharType="separate"/>
          </w:r>
          <w:r>
            <w:t>14</w:t>
          </w:r>
          <w:r>
            <w:fldChar w:fldCharType="end"/>
          </w:r>
          <w:r>
            <w:fldChar w:fldCharType="end"/>
          </w:r>
        </w:p>
        <w:p w14:paraId="12EFF0F5">
          <w:pPr>
            <w:pStyle w:val="27"/>
            <w:tabs>
              <w:tab w:val="right" w:leader="dot" w:pos="9071"/>
            </w:tabs>
          </w:pPr>
          <w:r>
            <w:fldChar w:fldCharType="begin"/>
          </w:r>
          <w:r>
            <w:instrText xml:space="preserve"> HYPERLINK \l _Toc32616 </w:instrText>
          </w:r>
          <w:r>
            <w:fldChar w:fldCharType="separate"/>
          </w:r>
          <w:r>
            <w:rPr>
              <w:rFonts w:hint="eastAsia"/>
            </w:rPr>
            <w:t>第四部分 技术标书</w:t>
          </w:r>
          <w:r>
            <w:tab/>
          </w:r>
          <w:r>
            <w:fldChar w:fldCharType="begin"/>
          </w:r>
          <w:r>
            <w:instrText xml:space="preserve"> PAGEREF _Toc32616 \h </w:instrText>
          </w:r>
          <w:r>
            <w:fldChar w:fldCharType="separate"/>
          </w:r>
          <w:r>
            <w:t>17</w:t>
          </w:r>
          <w:r>
            <w:fldChar w:fldCharType="end"/>
          </w:r>
          <w:r>
            <w:fldChar w:fldCharType="end"/>
          </w:r>
        </w:p>
        <w:p w14:paraId="19CCC64B">
          <w:pPr>
            <w:pStyle w:val="27"/>
            <w:tabs>
              <w:tab w:val="right" w:leader="dot" w:pos="9071"/>
            </w:tabs>
          </w:pPr>
          <w:r>
            <w:fldChar w:fldCharType="begin"/>
          </w:r>
          <w:r>
            <w:instrText xml:space="preserve"> HYPERLINK \l _Toc4436 </w:instrText>
          </w:r>
          <w:r>
            <w:fldChar w:fldCharType="separate"/>
          </w:r>
          <w:r>
            <w:rPr>
              <w:rFonts w:hint="eastAsia"/>
            </w:rPr>
            <w:t>第</w:t>
          </w:r>
          <w:r>
            <w:rPr>
              <w:rFonts w:hint="eastAsia"/>
              <w:lang w:val="en-US" w:eastAsia="zh-CN"/>
            </w:rPr>
            <w:t>五部分</w:t>
          </w:r>
          <w:r>
            <w:rPr>
              <w:rFonts w:hint="eastAsia"/>
            </w:rPr>
            <w:t xml:space="preserve"> 合同</w:t>
          </w:r>
          <w:r>
            <w:rPr>
              <w:rFonts w:hint="eastAsia"/>
              <w:lang w:val="en-US" w:eastAsia="zh-CN"/>
            </w:rPr>
            <w:t>样本</w:t>
          </w:r>
          <w:r>
            <w:tab/>
          </w:r>
          <w:r>
            <w:fldChar w:fldCharType="begin"/>
          </w:r>
          <w:r>
            <w:instrText xml:space="preserve"> PAGEREF _Toc4436 \h </w:instrText>
          </w:r>
          <w:r>
            <w:fldChar w:fldCharType="separate"/>
          </w:r>
          <w:r>
            <w:t>25</w:t>
          </w:r>
          <w:r>
            <w:fldChar w:fldCharType="end"/>
          </w:r>
          <w:r>
            <w:fldChar w:fldCharType="end"/>
          </w:r>
        </w:p>
        <w:p w14:paraId="37FB205B">
          <w:pPr>
            <w:pStyle w:val="27"/>
            <w:tabs>
              <w:tab w:val="right" w:leader="dot" w:pos="9071"/>
            </w:tabs>
          </w:pPr>
          <w:r>
            <w:fldChar w:fldCharType="begin"/>
          </w:r>
          <w:r>
            <w:instrText xml:space="preserve"> HYPERLINK \l _Toc18437 </w:instrText>
          </w:r>
          <w:r>
            <w:fldChar w:fldCharType="separate"/>
          </w:r>
          <w:r>
            <w:rPr>
              <w:rFonts w:hint="eastAsia"/>
            </w:rPr>
            <w:t>第六部分</w:t>
          </w:r>
          <w:r>
            <w:t xml:space="preserve"> </w:t>
          </w:r>
          <w:r>
            <w:rPr>
              <w:rFonts w:hint="eastAsia"/>
            </w:rPr>
            <w:t>投标文件附件</w:t>
          </w:r>
          <w:r>
            <w:tab/>
          </w:r>
          <w:r>
            <w:fldChar w:fldCharType="begin"/>
          </w:r>
          <w:r>
            <w:instrText xml:space="preserve"> PAGEREF _Toc18437 \h </w:instrText>
          </w:r>
          <w:r>
            <w:fldChar w:fldCharType="separate"/>
          </w:r>
          <w:r>
            <w:t>45</w:t>
          </w:r>
          <w:r>
            <w:fldChar w:fldCharType="end"/>
          </w:r>
          <w:r>
            <w:fldChar w:fldCharType="end"/>
          </w:r>
        </w:p>
        <w:p w14:paraId="4317AE5D">
          <w:r>
            <w:fldChar w:fldCharType="end"/>
          </w:r>
        </w:p>
      </w:sdtContent>
    </w:sdt>
    <w:p w14:paraId="750ECF7B"/>
    <w:p w14:paraId="7FB7AF99">
      <w:bookmarkStart w:id="1" w:name="_Toc7202"/>
      <w:r>
        <w:rPr>
          <w:rFonts w:hint="eastAsia"/>
        </w:rPr>
        <w:br w:type="page"/>
      </w:r>
    </w:p>
    <w:p w14:paraId="524D2259">
      <w:pPr>
        <w:pStyle w:val="3"/>
        <w:numPr>
          <w:ilvl w:val="0"/>
          <w:numId w:val="2"/>
        </w:numPr>
        <w:bidi w:val="0"/>
      </w:pPr>
      <w:r>
        <w:rPr>
          <w:rFonts w:hint="eastAsia"/>
        </w:rPr>
        <w:t>投标须知前附表</w:t>
      </w:r>
      <w:bookmarkEnd w:id="0"/>
      <w:bookmarkEnd w:id="1"/>
    </w:p>
    <w:p w14:paraId="742B8094">
      <w:pPr>
        <w:pStyle w:val="20"/>
        <w:jc w:val="center"/>
        <w:rPr>
          <w:rFonts w:ascii="Calibri" w:hAnsi="Calibri" w:eastAsia="宋体" w:cs="Times New Roman"/>
          <w:b/>
          <w:bCs/>
          <w:kern w:val="44"/>
          <w:sz w:val="36"/>
          <w:szCs w:val="44"/>
        </w:rPr>
      </w:pPr>
    </w:p>
    <w:p w14:paraId="43F09C36">
      <w:pPr>
        <w:spacing w:line="360" w:lineRule="auto"/>
        <w:ind w:firstLine="482" w:firstLineChars="200"/>
        <w:rPr>
          <w:rFonts w:hint="eastAsia" w:ascii="宋体" w:hAnsi="宋体" w:eastAsia="宋体" w:cs="宋体"/>
          <w:b/>
          <w:bCs/>
          <w:sz w:val="24"/>
          <w:szCs w:val="24"/>
        </w:rPr>
      </w:pPr>
      <w:r>
        <w:rPr>
          <w:rFonts w:hint="eastAsia" w:ascii="宋体" w:hAnsi="宋体" w:eastAsia="宋体" w:cs="宋体"/>
          <w:b/>
          <w:bCs/>
          <w:sz w:val="24"/>
          <w:szCs w:val="24"/>
        </w:rPr>
        <w:t>本部分是对“投标须知”正文的具体补充和修改，如有不一致，以“前附表”为准。</w:t>
      </w:r>
    </w:p>
    <w:tbl>
      <w:tblPr>
        <w:tblStyle w:val="41"/>
        <w:tblpPr w:leftFromText="180" w:rightFromText="180" w:vertAnchor="text" w:tblpXSpec="center" w:tblpY="1"/>
        <w:tblOverlap w:val="never"/>
        <w:tblW w:w="0" w:type="auto"/>
        <w:tblInd w:w="0" w:type="dxa"/>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28" w:type="dxa"/>
          <w:bottom w:w="0" w:type="dxa"/>
          <w:right w:w="28" w:type="dxa"/>
        </w:tblCellMar>
      </w:tblPr>
      <w:tblGrid>
        <w:gridCol w:w="595"/>
        <w:gridCol w:w="8363"/>
      </w:tblGrid>
      <w:tr w14:paraId="0418F52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7" w:hRule="atLeast"/>
          <w:tblHeader/>
        </w:trPr>
        <w:tc>
          <w:tcPr>
            <w:tcW w:w="595" w:type="dxa"/>
            <w:tcBorders>
              <w:top w:val="single" w:color="auto" w:sz="2" w:space="0"/>
              <w:left w:val="single" w:color="auto" w:sz="2" w:space="0"/>
              <w:bottom w:val="single" w:color="auto" w:sz="2" w:space="0"/>
              <w:right w:val="single" w:color="auto" w:sz="2" w:space="0"/>
            </w:tcBorders>
            <w:shd w:val="clear" w:color="auto" w:fill="E2EFD9"/>
            <w:vAlign w:val="center"/>
          </w:tcPr>
          <w:p w14:paraId="00A59392">
            <w:pPr>
              <w:jc w:val="center"/>
              <w:rPr>
                <w:rStyle w:val="134"/>
                <w:rFonts w:hint="eastAsia" w:ascii="宋体" w:hAnsi="宋体" w:eastAsia="宋体" w:cs="宋体"/>
                <w:b/>
                <w:sz w:val="28"/>
                <w:szCs w:val="28"/>
              </w:rPr>
            </w:pPr>
            <w:bookmarkStart w:id="2" w:name="_Toc346372875"/>
            <w:r>
              <w:rPr>
                <w:rStyle w:val="134"/>
                <w:rFonts w:hint="eastAsia" w:ascii="宋体" w:hAnsi="宋体" w:eastAsia="宋体" w:cs="宋体"/>
                <w:b/>
                <w:sz w:val="28"/>
                <w:szCs w:val="28"/>
              </w:rPr>
              <w:t>序号</w:t>
            </w:r>
          </w:p>
        </w:tc>
        <w:tc>
          <w:tcPr>
            <w:tcW w:w="8363" w:type="dxa"/>
            <w:tcBorders>
              <w:top w:val="single" w:color="auto" w:sz="2" w:space="0"/>
              <w:left w:val="single" w:color="auto" w:sz="2" w:space="0"/>
              <w:bottom w:val="single" w:color="auto" w:sz="2" w:space="0"/>
              <w:right w:val="single" w:color="auto" w:sz="2" w:space="0"/>
            </w:tcBorders>
            <w:shd w:val="clear" w:color="auto" w:fill="E2EFD9"/>
            <w:vAlign w:val="center"/>
          </w:tcPr>
          <w:p w14:paraId="6B1AF43F">
            <w:pPr>
              <w:ind w:firstLine="562" w:firstLineChars="200"/>
              <w:jc w:val="center"/>
              <w:rPr>
                <w:rFonts w:hint="eastAsia" w:ascii="宋体" w:hAnsi="宋体" w:eastAsia="宋体" w:cs="宋体"/>
                <w:b/>
                <w:bCs/>
                <w:sz w:val="28"/>
                <w:szCs w:val="28"/>
              </w:rPr>
            </w:pPr>
            <w:r>
              <w:rPr>
                <w:rStyle w:val="134"/>
                <w:rFonts w:hint="eastAsia" w:ascii="宋体" w:hAnsi="宋体" w:eastAsia="宋体" w:cs="宋体"/>
                <w:b/>
                <w:sz w:val="28"/>
                <w:szCs w:val="28"/>
              </w:rPr>
              <w:t>编  列  内  容</w:t>
            </w:r>
          </w:p>
        </w:tc>
      </w:tr>
      <w:tr w14:paraId="41D26D7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44"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4C8267BC">
            <w:pPr>
              <w:jc w:val="center"/>
              <w:rPr>
                <w:rFonts w:hint="eastAsia" w:ascii="宋体" w:hAnsi="宋体" w:eastAsia="宋体" w:cs="宋体"/>
                <w:b/>
                <w:bCs/>
                <w:sz w:val="24"/>
                <w:szCs w:val="24"/>
              </w:rPr>
            </w:pPr>
            <w:r>
              <w:rPr>
                <w:rFonts w:hint="eastAsia" w:ascii="宋体" w:hAnsi="宋体" w:eastAsia="宋体" w:cs="宋体"/>
                <w:b/>
                <w:bCs/>
                <w:sz w:val="24"/>
                <w:szCs w:val="24"/>
              </w:rPr>
              <w:t>1.项目说明</w:t>
            </w:r>
          </w:p>
        </w:tc>
      </w:tr>
      <w:tr w14:paraId="49EA6F5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80" w:hRule="atLeast"/>
        </w:trPr>
        <w:tc>
          <w:tcPr>
            <w:tcW w:w="595" w:type="dxa"/>
            <w:vMerge w:val="restart"/>
            <w:tcBorders>
              <w:top w:val="single" w:color="auto" w:sz="2" w:space="0"/>
              <w:left w:val="single" w:color="auto" w:sz="2" w:space="0"/>
              <w:right w:val="single" w:color="auto" w:sz="2" w:space="0"/>
            </w:tcBorders>
            <w:vAlign w:val="center"/>
          </w:tcPr>
          <w:p w14:paraId="40BE43B9">
            <w:pPr>
              <w:jc w:val="center"/>
              <w:rPr>
                <w:rFonts w:hint="eastAsia" w:ascii="宋体" w:hAnsi="宋体" w:eastAsia="宋体" w:cs="宋体"/>
                <w:sz w:val="24"/>
                <w:szCs w:val="24"/>
              </w:rPr>
            </w:pPr>
            <w:r>
              <w:rPr>
                <w:rFonts w:hint="eastAsia" w:ascii="宋体" w:hAnsi="宋体" w:eastAsia="宋体" w:cs="宋体"/>
                <w:sz w:val="24"/>
                <w:szCs w:val="24"/>
              </w:rPr>
              <w:t>1.1</w:t>
            </w:r>
          </w:p>
        </w:tc>
        <w:tc>
          <w:tcPr>
            <w:tcW w:w="8363" w:type="dxa"/>
            <w:tcBorders>
              <w:top w:val="single" w:color="auto" w:sz="2" w:space="0"/>
              <w:left w:val="single" w:color="auto" w:sz="2" w:space="0"/>
              <w:bottom w:val="single" w:color="auto" w:sz="2" w:space="0"/>
              <w:right w:val="single" w:color="auto" w:sz="2" w:space="0"/>
            </w:tcBorders>
            <w:vAlign w:val="center"/>
          </w:tcPr>
          <w:p w14:paraId="5E38F3B6">
            <w:pPr>
              <w:ind w:firstLine="482" w:firstLineChars="200"/>
              <w:rPr>
                <w:rFonts w:hint="eastAsia" w:ascii="宋体" w:hAnsi="宋体" w:eastAsia="仿宋_GB2312" w:cs="宋体"/>
                <w:sz w:val="24"/>
                <w:szCs w:val="24"/>
              </w:rPr>
            </w:pPr>
            <w:r>
              <w:rPr>
                <w:rFonts w:hint="eastAsia" w:ascii="宋体" w:hAnsi="宋体" w:eastAsia="宋体" w:cs="宋体"/>
                <w:b/>
                <w:bCs/>
                <w:sz w:val="24"/>
                <w:szCs w:val="24"/>
              </w:rPr>
              <w:t>项目名称：全新一代中重卡宽体平地板驾驶室2300车型平顶金属顶盖模检具项目</w:t>
            </w:r>
          </w:p>
        </w:tc>
      </w:tr>
      <w:tr w14:paraId="3182BD1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08" w:hRule="atLeast"/>
        </w:trPr>
        <w:tc>
          <w:tcPr>
            <w:tcW w:w="595" w:type="dxa"/>
            <w:vMerge w:val="continue"/>
            <w:tcBorders>
              <w:left w:val="single" w:color="auto" w:sz="2" w:space="0"/>
              <w:bottom w:val="single" w:color="auto" w:sz="2" w:space="0"/>
              <w:right w:val="single" w:color="auto" w:sz="2" w:space="0"/>
            </w:tcBorders>
            <w:vAlign w:val="center"/>
          </w:tcPr>
          <w:p w14:paraId="41BE8831">
            <w:pPr>
              <w:ind w:firstLine="420" w:firstLineChars="200"/>
              <w:rPr>
                <w:rFonts w:hint="eastAsia"/>
              </w:rPr>
            </w:pPr>
          </w:p>
        </w:tc>
        <w:tc>
          <w:tcPr>
            <w:tcW w:w="8363" w:type="dxa"/>
            <w:tcBorders>
              <w:top w:val="single" w:color="auto" w:sz="2" w:space="0"/>
              <w:left w:val="single" w:color="auto" w:sz="2" w:space="0"/>
              <w:bottom w:val="single" w:color="auto" w:sz="2" w:space="0"/>
              <w:right w:val="single" w:color="auto" w:sz="2" w:space="0"/>
            </w:tcBorders>
            <w:vAlign w:val="center"/>
          </w:tcPr>
          <w:p w14:paraId="457B97FE">
            <w:pPr>
              <w:ind w:firstLine="482" w:firstLineChars="200"/>
              <w:rPr>
                <w:rFonts w:hint="eastAsia" w:ascii="宋体" w:hAnsi="宋体" w:eastAsia="宋体" w:cs="宋体"/>
                <w:b/>
                <w:bCs/>
                <w:sz w:val="24"/>
                <w:szCs w:val="24"/>
              </w:rPr>
            </w:pPr>
            <w:r>
              <w:rPr>
                <w:rFonts w:hint="eastAsia" w:ascii="宋体" w:hAnsi="宋体" w:eastAsia="宋体" w:cs="宋体"/>
                <w:b/>
                <w:bCs/>
                <w:sz w:val="24"/>
                <w:szCs w:val="24"/>
              </w:rPr>
              <w:t>采购形式编号：</w:t>
            </w:r>
            <w:r>
              <w:rPr>
                <w:rFonts w:hint="eastAsia" w:ascii="宋体" w:hAnsi="宋体" w:eastAsia="宋体" w:cs="宋体"/>
                <w:sz w:val="24"/>
                <w:szCs w:val="24"/>
                <w:highlight w:val="yellow"/>
                <w:u w:val="single"/>
              </w:rPr>
              <w:t>ZBGL2026010017</w:t>
            </w:r>
          </w:p>
        </w:tc>
      </w:tr>
      <w:tr w14:paraId="69BB379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90" w:hRule="atLeast"/>
        </w:trPr>
        <w:tc>
          <w:tcPr>
            <w:tcW w:w="595" w:type="dxa"/>
            <w:vMerge w:val="restart"/>
            <w:tcBorders>
              <w:top w:val="single" w:color="auto" w:sz="2" w:space="0"/>
              <w:left w:val="single" w:color="auto" w:sz="2" w:space="0"/>
              <w:right w:val="single" w:color="auto" w:sz="2" w:space="0"/>
            </w:tcBorders>
            <w:vAlign w:val="center"/>
          </w:tcPr>
          <w:p w14:paraId="7F9D290B">
            <w:pPr>
              <w:jc w:val="center"/>
              <w:rPr>
                <w:rFonts w:hint="eastAsia" w:ascii="宋体" w:hAnsi="宋体" w:eastAsia="宋体" w:cs="宋体"/>
                <w:sz w:val="24"/>
                <w:szCs w:val="24"/>
              </w:rPr>
            </w:pPr>
            <w:r>
              <w:rPr>
                <w:rFonts w:hint="eastAsia" w:ascii="宋体" w:hAnsi="宋体" w:eastAsia="宋体" w:cs="宋体"/>
                <w:sz w:val="24"/>
                <w:szCs w:val="24"/>
              </w:rPr>
              <w:t>1.2</w:t>
            </w:r>
          </w:p>
        </w:tc>
        <w:tc>
          <w:tcPr>
            <w:tcW w:w="8363" w:type="dxa"/>
            <w:tcBorders>
              <w:top w:val="single" w:color="auto" w:sz="2" w:space="0"/>
              <w:left w:val="single" w:color="auto" w:sz="2" w:space="0"/>
              <w:bottom w:val="single" w:color="auto" w:sz="2" w:space="0"/>
              <w:right w:val="single" w:color="auto" w:sz="2" w:space="0"/>
            </w:tcBorders>
            <w:vAlign w:val="center"/>
          </w:tcPr>
          <w:p w14:paraId="4B3C7758">
            <w:pPr>
              <w:ind w:firstLine="482" w:firstLineChars="200"/>
              <w:rPr>
                <w:rFonts w:hint="eastAsia" w:ascii="宋体" w:hAnsi="宋体" w:eastAsia="宋体" w:cs="宋体"/>
                <w:sz w:val="24"/>
                <w:szCs w:val="24"/>
              </w:rPr>
            </w:pPr>
            <w:r>
              <w:rPr>
                <w:rFonts w:hint="eastAsia" w:ascii="宋体" w:hAnsi="宋体" w:eastAsia="宋体" w:cs="宋体"/>
                <w:b/>
                <w:bCs/>
                <w:sz w:val="24"/>
                <w:szCs w:val="24"/>
              </w:rPr>
              <w:t>招标内容</w:t>
            </w:r>
            <w:r>
              <w:rPr>
                <w:rFonts w:hint="eastAsia" w:ascii="宋体" w:hAnsi="宋体" w:eastAsia="宋体" w:cs="宋体"/>
                <w:sz w:val="24"/>
                <w:szCs w:val="24"/>
                <w:u w:val="single"/>
              </w:rPr>
              <w:t>：</w:t>
            </w:r>
            <w:r>
              <w:rPr>
                <w:rFonts w:hint="eastAsia" w:ascii="Times New Roman" w:hAnsi="Times New Roman" w:eastAsia="宋体" w:cs="Times New Roman"/>
                <w:sz w:val="24"/>
                <w:szCs w:val="24"/>
                <w:u w:val="single"/>
              </w:rPr>
              <w:t>全新一代中重卡宽体平地板驾驶室2300车型平顶金属顶盖的模检具等内容</w:t>
            </w:r>
            <w:r>
              <w:rPr>
                <w:rFonts w:ascii="Times New Roman" w:hAnsi="Times New Roman" w:eastAsia="宋体" w:cs="Times New Roman"/>
                <w:sz w:val="24"/>
                <w:szCs w:val="24"/>
                <w:u w:val="single"/>
              </w:rPr>
              <w:t>。</w:t>
            </w:r>
          </w:p>
        </w:tc>
      </w:tr>
      <w:tr w14:paraId="5ABD27F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08" w:hRule="atLeast"/>
        </w:trPr>
        <w:tc>
          <w:tcPr>
            <w:tcW w:w="595" w:type="dxa"/>
            <w:vMerge w:val="continue"/>
            <w:tcBorders>
              <w:left w:val="single" w:color="auto" w:sz="2" w:space="0"/>
              <w:bottom w:val="single" w:color="auto" w:sz="2" w:space="0"/>
              <w:right w:val="single" w:color="auto" w:sz="2" w:space="0"/>
            </w:tcBorders>
            <w:vAlign w:val="center"/>
          </w:tcPr>
          <w:p w14:paraId="4E51A1A2">
            <w:pPr>
              <w:ind w:firstLine="420" w:firstLineChars="200"/>
              <w:rPr>
                <w:rFonts w:hint="eastAsia"/>
              </w:rPr>
            </w:pPr>
          </w:p>
        </w:tc>
        <w:tc>
          <w:tcPr>
            <w:tcW w:w="8363" w:type="dxa"/>
            <w:tcBorders>
              <w:top w:val="single" w:color="auto" w:sz="2" w:space="0"/>
              <w:left w:val="single" w:color="auto" w:sz="2" w:space="0"/>
              <w:bottom w:val="single" w:color="auto" w:sz="2" w:space="0"/>
              <w:right w:val="single" w:color="auto" w:sz="2" w:space="0"/>
            </w:tcBorders>
            <w:vAlign w:val="center"/>
          </w:tcPr>
          <w:p w14:paraId="2CB299A5">
            <w:pPr>
              <w:ind w:firstLine="482" w:firstLineChars="200"/>
              <w:rPr>
                <w:rFonts w:hint="eastAsia" w:ascii="宋体" w:hAnsi="宋体" w:eastAsia="宋体" w:cs="宋体"/>
                <w:b/>
                <w:bCs/>
                <w:sz w:val="24"/>
                <w:szCs w:val="24"/>
              </w:rPr>
            </w:pPr>
            <w:r>
              <w:rPr>
                <w:rFonts w:hint="eastAsia" w:ascii="宋体" w:hAnsi="宋体" w:eastAsia="宋体" w:cs="宋体"/>
                <w:b/>
                <w:bCs/>
                <w:sz w:val="24"/>
                <w:szCs w:val="24"/>
              </w:rPr>
              <w:t>招标形式：</w:t>
            </w:r>
            <w:r>
              <w:rPr>
                <w:rFonts w:hint="eastAsia" w:ascii="Times New Roman" w:hAnsi="Times New Roman" w:eastAsia="宋体" w:cs="Times New Roman"/>
                <w:sz w:val="24"/>
                <w:szCs w:val="24"/>
                <w:highlight w:val="red"/>
                <w:u w:val="single"/>
              </w:rPr>
              <w:t>公开招标</w:t>
            </w:r>
          </w:p>
        </w:tc>
      </w:tr>
      <w:tr w14:paraId="0FC073B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1501" w:hRule="atLeast"/>
        </w:trPr>
        <w:tc>
          <w:tcPr>
            <w:tcW w:w="595" w:type="dxa"/>
            <w:tcBorders>
              <w:top w:val="single" w:color="auto" w:sz="2" w:space="0"/>
              <w:left w:val="single" w:color="auto" w:sz="2" w:space="0"/>
              <w:bottom w:val="single" w:color="auto" w:sz="2" w:space="0"/>
              <w:right w:val="single" w:color="auto" w:sz="2" w:space="0"/>
            </w:tcBorders>
            <w:vAlign w:val="center"/>
          </w:tcPr>
          <w:p w14:paraId="25B2B3C1">
            <w:pPr>
              <w:jc w:val="center"/>
              <w:rPr>
                <w:rFonts w:hint="eastAsia" w:ascii="宋体" w:hAnsi="宋体" w:eastAsia="宋体" w:cs="宋体"/>
                <w:sz w:val="24"/>
                <w:szCs w:val="24"/>
              </w:rPr>
            </w:pPr>
            <w:r>
              <w:rPr>
                <w:rFonts w:hint="eastAsia" w:ascii="宋体" w:hAnsi="宋体" w:eastAsia="宋体" w:cs="宋体"/>
                <w:sz w:val="24"/>
                <w:szCs w:val="24"/>
              </w:rPr>
              <w:t>1.3</w:t>
            </w:r>
          </w:p>
        </w:tc>
        <w:tc>
          <w:tcPr>
            <w:tcW w:w="8363" w:type="dxa"/>
            <w:tcBorders>
              <w:top w:val="single" w:color="auto" w:sz="2" w:space="0"/>
              <w:left w:val="single" w:color="auto" w:sz="2" w:space="0"/>
              <w:bottom w:val="single" w:color="auto" w:sz="2" w:space="0"/>
              <w:right w:val="single" w:color="auto" w:sz="2" w:space="0"/>
            </w:tcBorders>
            <w:vAlign w:val="center"/>
          </w:tcPr>
          <w:p w14:paraId="53A6AD1B">
            <w:pPr>
              <w:ind w:firstLine="482" w:firstLineChars="200"/>
              <w:rPr>
                <w:rFonts w:hint="eastAsia" w:ascii="宋体" w:hAnsi="宋体" w:eastAsia="宋体" w:cs="宋体"/>
                <w:sz w:val="24"/>
                <w:szCs w:val="24"/>
                <w:u w:val="single"/>
              </w:rPr>
            </w:pPr>
            <w:r>
              <w:rPr>
                <w:rFonts w:hint="eastAsia" w:ascii="宋体" w:hAnsi="宋体" w:eastAsia="宋体" w:cs="宋体"/>
                <w:b/>
                <w:snapToGrid w:val="0"/>
                <w:kern w:val="0"/>
                <w:sz w:val="24"/>
                <w:szCs w:val="24"/>
              </w:rPr>
              <w:t>招标人名称：</w:t>
            </w:r>
            <w:r>
              <w:rPr>
                <w:rFonts w:hint="eastAsia" w:ascii="宋体" w:hAnsi="宋体" w:eastAsia="宋体" w:cs="宋体"/>
                <w:sz w:val="24"/>
                <w:szCs w:val="24"/>
                <w:u w:val="single"/>
              </w:rPr>
              <w:t>中国重汽集团济南商用车有限公司</w:t>
            </w:r>
          </w:p>
          <w:p w14:paraId="3C4BD547">
            <w:pPr>
              <w:ind w:firstLine="482" w:firstLineChars="200"/>
              <w:rPr>
                <w:rFonts w:hint="eastAsia" w:ascii="宋体" w:hAnsi="宋体" w:eastAsia="宋体" w:cs="宋体"/>
                <w:sz w:val="24"/>
                <w:szCs w:val="24"/>
                <w:u w:val="single"/>
              </w:rPr>
            </w:pPr>
            <w:r>
              <w:rPr>
                <w:rFonts w:hint="eastAsia" w:ascii="宋体" w:hAnsi="宋体" w:eastAsia="宋体" w:cs="宋体"/>
                <w:b/>
                <w:snapToGrid w:val="0"/>
                <w:kern w:val="0"/>
                <w:sz w:val="24"/>
                <w:szCs w:val="24"/>
              </w:rPr>
              <w:t>招标人地址：</w:t>
            </w:r>
            <w:r>
              <w:rPr>
                <w:rFonts w:hint="eastAsia" w:ascii="宋体" w:hAnsi="宋体" w:eastAsia="宋体" w:cs="宋体"/>
                <w:sz w:val="24"/>
                <w:szCs w:val="24"/>
                <w:u w:val="single"/>
              </w:rPr>
              <w:t xml:space="preserve">济南市章丘区世纪大道7777号 </w:t>
            </w:r>
          </w:p>
          <w:p w14:paraId="4441D0EC">
            <w:pPr>
              <w:ind w:firstLine="482" w:firstLineChars="200"/>
              <w:rPr>
                <w:rFonts w:hint="eastAsia" w:ascii="宋体" w:hAnsi="宋体" w:eastAsia="宋体" w:cs="宋体"/>
                <w:b w:val="0"/>
                <w:bCs/>
                <w:snapToGrid w:val="0"/>
                <w:kern w:val="0"/>
                <w:sz w:val="24"/>
                <w:szCs w:val="24"/>
              </w:rPr>
            </w:pPr>
            <w:r>
              <w:rPr>
                <w:rFonts w:hint="eastAsia" w:ascii="宋体" w:hAnsi="宋体" w:eastAsia="宋体" w:cs="宋体"/>
                <w:b/>
                <w:snapToGrid w:val="0"/>
                <w:kern w:val="0"/>
                <w:sz w:val="24"/>
                <w:szCs w:val="24"/>
              </w:rPr>
              <w:t>商务联系人：</w:t>
            </w:r>
            <w:r>
              <w:rPr>
                <w:rFonts w:hint="eastAsia" w:ascii="宋体" w:hAnsi="宋体" w:eastAsia="宋体" w:cs="宋体"/>
                <w:b w:val="0"/>
                <w:bCs/>
                <w:snapToGrid w:val="0"/>
                <w:kern w:val="0"/>
                <w:sz w:val="24"/>
                <w:szCs w:val="24"/>
                <w:lang w:val="en-US" w:eastAsia="zh-CN"/>
              </w:rPr>
              <w:t>苏启蒙</w:t>
            </w:r>
            <w:r>
              <w:rPr>
                <w:rFonts w:hint="eastAsia" w:ascii="宋体" w:hAnsi="宋体" w:eastAsia="宋体" w:cs="宋体"/>
                <w:b w:val="0"/>
                <w:bCs/>
                <w:snapToGrid w:val="0"/>
                <w:kern w:val="0"/>
                <w:sz w:val="24"/>
                <w:szCs w:val="24"/>
              </w:rPr>
              <w:t>/高峰</w:t>
            </w:r>
          </w:p>
          <w:p w14:paraId="2BF8B631">
            <w:pPr>
              <w:ind w:firstLine="480" w:firstLineChars="200"/>
              <w:rPr>
                <w:rFonts w:hint="eastAsia" w:eastAsia="宋体"/>
                <w:b w:val="0"/>
                <w:bCs/>
              </w:rPr>
            </w:pPr>
            <w:r>
              <w:rPr>
                <w:rFonts w:hint="eastAsia" w:ascii="宋体" w:hAnsi="宋体" w:eastAsia="宋体" w:cs="宋体"/>
                <w:b w:val="0"/>
                <w:bCs/>
                <w:snapToGrid w:val="0"/>
                <w:kern w:val="0"/>
                <w:sz w:val="24"/>
                <w:szCs w:val="24"/>
              </w:rPr>
              <w:t>电</w:t>
            </w:r>
            <w:r>
              <w:rPr>
                <w:rFonts w:hint="eastAsia" w:ascii="宋体" w:hAnsi="宋体" w:eastAsia="宋体" w:cs="宋体"/>
                <w:b/>
                <w:bCs w:val="0"/>
                <w:snapToGrid w:val="0"/>
                <w:kern w:val="0"/>
                <w:sz w:val="24"/>
                <w:szCs w:val="24"/>
              </w:rPr>
              <w:t>话</w:t>
            </w:r>
            <w:r>
              <w:rPr>
                <w:rFonts w:hint="eastAsia" w:ascii="宋体" w:hAnsi="宋体" w:eastAsia="宋体" w:cs="宋体"/>
                <w:b w:val="0"/>
                <w:bCs/>
                <w:snapToGrid w:val="0"/>
                <w:kern w:val="0"/>
                <w:sz w:val="24"/>
                <w:szCs w:val="24"/>
              </w:rPr>
              <w:t>：</w:t>
            </w:r>
            <w:r>
              <w:rPr>
                <w:rFonts w:hint="eastAsia" w:hAnsi="宋体" w:eastAsia="宋体" w:cs="宋体"/>
                <w:b w:val="0"/>
                <w:bCs/>
                <w:snapToGrid w:val="0"/>
                <w:kern w:val="0"/>
                <w:sz w:val="24"/>
                <w:szCs w:val="24"/>
                <w:lang w:val="en-US" w:eastAsia="zh-CN"/>
              </w:rPr>
              <w:t>17553108182</w:t>
            </w:r>
            <w:r>
              <w:rPr>
                <w:rFonts w:hint="eastAsia" w:hAnsi="宋体" w:eastAsia="宋体" w:cs="宋体"/>
                <w:b w:val="0"/>
                <w:bCs/>
                <w:snapToGrid w:val="0"/>
                <w:kern w:val="0"/>
                <w:sz w:val="24"/>
                <w:szCs w:val="24"/>
              </w:rPr>
              <w:t>/1335150390</w:t>
            </w:r>
          </w:p>
          <w:p w14:paraId="7F724213">
            <w:pPr>
              <w:ind w:firstLine="482" w:firstLineChars="200"/>
              <w:rPr>
                <w:rFonts w:hint="eastAsia" w:ascii="宋体" w:hAnsi="宋体" w:eastAsia="宋体" w:cs="宋体"/>
                <w:bCs/>
                <w:snapToGrid w:val="0"/>
                <w:kern w:val="0"/>
                <w:sz w:val="24"/>
                <w:szCs w:val="24"/>
              </w:rPr>
            </w:pPr>
            <w:r>
              <w:rPr>
                <w:rFonts w:hint="eastAsia" w:ascii="宋体" w:hAnsi="宋体" w:eastAsia="宋体" w:cs="宋体"/>
                <w:b/>
                <w:snapToGrid w:val="0"/>
                <w:kern w:val="0"/>
                <w:sz w:val="24"/>
                <w:szCs w:val="24"/>
              </w:rPr>
              <w:t>邮箱：</w:t>
            </w:r>
            <w:r>
              <w:rPr>
                <w:rFonts w:hint="eastAsia" w:ascii="宋体" w:hAnsi="宋体" w:eastAsia="宋体" w:cs="宋体"/>
                <w:bCs/>
                <w:snapToGrid w:val="0"/>
                <w:kern w:val="0"/>
                <w:sz w:val="24"/>
                <w:szCs w:val="24"/>
              </w:rPr>
              <w:t>suqimeng</w:t>
            </w:r>
            <w:r>
              <w:fldChar w:fldCharType="begin"/>
            </w:r>
            <w:r>
              <w:instrText xml:space="preserve"> HYPERLINK "mailto:huangsaichang@sinotruk.com" </w:instrText>
            </w:r>
            <w:r>
              <w:fldChar w:fldCharType="separate"/>
            </w:r>
            <w:r>
              <w:rPr>
                <w:rFonts w:hint="eastAsia" w:ascii="宋体" w:hAnsi="宋体" w:eastAsia="宋体" w:cs="宋体"/>
                <w:bCs/>
                <w:snapToGrid w:val="0"/>
                <w:kern w:val="0"/>
                <w:sz w:val="24"/>
                <w:szCs w:val="24"/>
              </w:rPr>
              <w:t>@sinotruk.com</w:t>
            </w:r>
            <w:r>
              <w:rPr>
                <w:rFonts w:hint="eastAsia" w:ascii="宋体" w:hAnsi="宋体" w:eastAsia="宋体" w:cs="宋体"/>
                <w:bCs/>
                <w:snapToGrid w:val="0"/>
                <w:kern w:val="0"/>
                <w:sz w:val="24"/>
                <w:szCs w:val="24"/>
              </w:rPr>
              <w:fldChar w:fldCharType="end"/>
            </w:r>
            <w:r>
              <w:rPr>
                <w:rFonts w:hint="eastAsia" w:ascii="宋体" w:hAnsi="宋体" w:eastAsia="宋体" w:cs="宋体"/>
                <w:bCs/>
                <w:snapToGrid w:val="0"/>
                <w:kern w:val="0"/>
                <w:sz w:val="24"/>
                <w:szCs w:val="24"/>
              </w:rPr>
              <w:t>/gaofeng2@</w:t>
            </w:r>
            <w:r>
              <w:rPr>
                <w:rStyle w:val="49"/>
                <w:rFonts w:hint="eastAsia" w:ascii="宋体" w:hAnsi="宋体" w:eastAsia="宋体" w:cs="宋体"/>
                <w:bCs/>
                <w:snapToGrid w:val="0"/>
                <w:color w:val="auto"/>
                <w:kern w:val="0"/>
                <w:sz w:val="24"/>
                <w:szCs w:val="24"/>
              </w:rPr>
              <w:t>sinotruk.com</w:t>
            </w:r>
          </w:p>
          <w:p w14:paraId="5D5DCFA8">
            <w:pPr>
              <w:ind w:firstLine="482" w:firstLineChars="200"/>
              <w:rPr>
                <w:rFonts w:hint="eastAsia" w:ascii="宋体" w:hAnsi="宋体" w:eastAsia="宋体" w:cs="宋体"/>
                <w:sz w:val="24"/>
                <w:szCs w:val="24"/>
              </w:rPr>
            </w:pPr>
            <w:r>
              <w:rPr>
                <w:rFonts w:hint="eastAsia" w:ascii="宋体" w:hAnsi="宋体" w:eastAsia="宋体" w:cs="宋体"/>
                <w:b/>
                <w:bCs/>
                <w:sz w:val="24"/>
                <w:szCs w:val="24"/>
              </w:rPr>
              <w:t>技术联系人：</w:t>
            </w:r>
            <w:r>
              <w:rPr>
                <w:rFonts w:hint="eastAsia" w:ascii="宋体" w:hAnsi="宋体" w:eastAsia="宋体" w:cs="宋体"/>
                <w:sz w:val="24"/>
                <w:szCs w:val="24"/>
              </w:rPr>
              <w:t>王珊珊/高峰</w:t>
            </w:r>
          </w:p>
          <w:p w14:paraId="72F44A80">
            <w:pPr>
              <w:ind w:firstLine="482" w:firstLineChars="200"/>
              <w:rPr>
                <w:rFonts w:hint="eastAsia" w:ascii="宋体" w:hAnsi="宋体" w:eastAsia="宋体" w:cs="宋体"/>
                <w:bCs/>
                <w:snapToGrid w:val="0"/>
                <w:kern w:val="0"/>
                <w:sz w:val="24"/>
                <w:szCs w:val="24"/>
              </w:rPr>
            </w:pPr>
            <w:r>
              <w:rPr>
                <w:rFonts w:hint="eastAsia" w:ascii="宋体" w:hAnsi="宋体" w:eastAsia="宋体" w:cs="宋体"/>
                <w:b/>
                <w:bCs/>
                <w:sz w:val="24"/>
                <w:szCs w:val="24"/>
              </w:rPr>
              <w:t>电话：</w:t>
            </w:r>
            <w:r>
              <w:rPr>
                <w:rFonts w:hint="eastAsia" w:ascii="宋体" w:hAnsi="宋体" w:eastAsia="宋体" w:cs="宋体"/>
                <w:sz w:val="24"/>
                <w:szCs w:val="24"/>
              </w:rPr>
              <w:t>17861102100/</w:t>
            </w:r>
            <w:r>
              <w:rPr>
                <w:rFonts w:hint="eastAsia" w:hAnsi="宋体" w:eastAsia="宋体" w:cs="宋体"/>
                <w:bCs/>
                <w:snapToGrid w:val="0"/>
                <w:kern w:val="0"/>
                <w:sz w:val="24"/>
                <w:szCs w:val="24"/>
              </w:rPr>
              <w:t>1335150390</w:t>
            </w:r>
          </w:p>
          <w:p w14:paraId="20DB14FA">
            <w:pPr>
              <w:ind w:firstLine="482" w:firstLineChars="200"/>
              <w:rPr>
                <w:rFonts w:hint="eastAsia" w:ascii="宋体" w:hAnsi="宋体" w:eastAsia="宋体" w:cs="宋体"/>
                <w:sz w:val="24"/>
                <w:szCs w:val="24"/>
              </w:rPr>
            </w:pPr>
            <w:r>
              <w:rPr>
                <w:rFonts w:hint="eastAsia" w:ascii="宋体" w:hAnsi="宋体" w:eastAsia="宋体" w:cs="宋体"/>
                <w:b/>
                <w:snapToGrid w:val="0"/>
                <w:kern w:val="0"/>
                <w:sz w:val="24"/>
                <w:szCs w:val="24"/>
              </w:rPr>
              <w:t>邮箱：</w:t>
            </w:r>
            <w:r>
              <w:rPr>
                <w:rFonts w:hint="eastAsia" w:ascii="宋体" w:hAnsi="宋体" w:eastAsia="宋体" w:cs="宋体"/>
                <w:bCs/>
                <w:snapToGrid w:val="0"/>
                <w:kern w:val="0"/>
                <w:sz w:val="24"/>
                <w:szCs w:val="24"/>
              </w:rPr>
              <w:t>wangshanshan@sinotruk.com/gaofeng2@sinotruk.com</w:t>
            </w:r>
          </w:p>
        </w:tc>
      </w:tr>
      <w:tr w14:paraId="613551A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14" w:hRule="atLeast"/>
        </w:trPr>
        <w:tc>
          <w:tcPr>
            <w:tcW w:w="595" w:type="dxa"/>
            <w:tcBorders>
              <w:top w:val="single" w:color="auto" w:sz="2" w:space="0"/>
              <w:left w:val="single" w:color="auto" w:sz="2" w:space="0"/>
              <w:bottom w:val="single" w:color="auto" w:sz="2" w:space="0"/>
              <w:right w:val="single" w:color="auto" w:sz="2" w:space="0"/>
            </w:tcBorders>
            <w:vAlign w:val="center"/>
          </w:tcPr>
          <w:p w14:paraId="652321F8">
            <w:pPr>
              <w:jc w:val="center"/>
              <w:rPr>
                <w:rFonts w:hint="eastAsia" w:ascii="宋体" w:hAnsi="宋体" w:eastAsia="宋体" w:cs="宋体"/>
                <w:sz w:val="24"/>
                <w:szCs w:val="24"/>
              </w:rPr>
            </w:pPr>
            <w:r>
              <w:rPr>
                <w:rFonts w:hint="eastAsia" w:ascii="宋体" w:hAnsi="宋体" w:eastAsia="宋体" w:cs="宋体"/>
                <w:sz w:val="24"/>
                <w:szCs w:val="24"/>
              </w:rPr>
              <w:t>1.4</w:t>
            </w:r>
          </w:p>
        </w:tc>
        <w:tc>
          <w:tcPr>
            <w:tcW w:w="8363" w:type="dxa"/>
            <w:tcBorders>
              <w:top w:val="single" w:color="auto" w:sz="2" w:space="0"/>
              <w:left w:val="single" w:color="auto" w:sz="2" w:space="0"/>
              <w:bottom w:val="single" w:color="auto" w:sz="2" w:space="0"/>
              <w:right w:val="single" w:color="auto" w:sz="2" w:space="0"/>
            </w:tcBorders>
            <w:vAlign w:val="center"/>
          </w:tcPr>
          <w:p w14:paraId="0FDB0AAD">
            <w:pPr>
              <w:ind w:firstLine="482" w:firstLineChars="200"/>
              <w:rPr>
                <w:rFonts w:hint="eastAsia" w:ascii="宋体" w:hAnsi="宋体" w:eastAsia="宋体" w:cs="宋体"/>
                <w:sz w:val="24"/>
                <w:szCs w:val="24"/>
              </w:rPr>
            </w:pPr>
            <w:r>
              <w:rPr>
                <w:rFonts w:hint="eastAsia" w:ascii="宋体" w:hAnsi="宋体" w:eastAsia="宋体" w:cs="宋体"/>
                <w:b/>
                <w:bCs/>
                <w:sz w:val="24"/>
                <w:szCs w:val="24"/>
              </w:rPr>
              <w:t>资金来源：</w:t>
            </w:r>
            <w:r>
              <w:rPr>
                <w:rFonts w:hint="eastAsia" w:ascii="宋体" w:hAnsi="宋体" w:eastAsia="宋体" w:cs="宋体"/>
                <w:kern w:val="0"/>
                <w:sz w:val="24"/>
                <w:szCs w:val="24"/>
              </w:rPr>
              <w:t>企业自筹，已落实。</w:t>
            </w:r>
          </w:p>
        </w:tc>
      </w:tr>
      <w:tr w14:paraId="19ACE3A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74" w:hRule="atLeast"/>
        </w:trPr>
        <w:tc>
          <w:tcPr>
            <w:tcW w:w="595" w:type="dxa"/>
            <w:tcBorders>
              <w:top w:val="single" w:color="auto" w:sz="2" w:space="0"/>
              <w:left w:val="single" w:color="auto" w:sz="2" w:space="0"/>
              <w:bottom w:val="single" w:color="auto" w:sz="2" w:space="0"/>
              <w:right w:val="single" w:color="auto" w:sz="2" w:space="0"/>
            </w:tcBorders>
            <w:vAlign w:val="center"/>
          </w:tcPr>
          <w:p w14:paraId="558B8150">
            <w:pPr>
              <w:jc w:val="center"/>
              <w:rPr>
                <w:rFonts w:hint="eastAsia" w:ascii="宋体" w:hAnsi="宋体" w:eastAsia="宋体" w:cs="宋体"/>
                <w:sz w:val="24"/>
                <w:szCs w:val="24"/>
              </w:rPr>
            </w:pPr>
            <w:r>
              <w:rPr>
                <w:rFonts w:hint="eastAsia" w:ascii="宋体" w:hAnsi="宋体" w:eastAsia="宋体" w:cs="宋体"/>
                <w:sz w:val="24"/>
                <w:szCs w:val="24"/>
              </w:rPr>
              <w:t>1.5</w:t>
            </w:r>
          </w:p>
        </w:tc>
        <w:tc>
          <w:tcPr>
            <w:tcW w:w="8363" w:type="dxa"/>
            <w:tcBorders>
              <w:top w:val="single" w:color="auto" w:sz="2" w:space="0"/>
              <w:left w:val="single" w:color="auto" w:sz="2" w:space="0"/>
              <w:bottom w:val="single" w:color="auto" w:sz="2" w:space="0"/>
              <w:right w:val="single" w:color="auto" w:sz="2" w:space="0"/>
            </w:tcBorders>
            <w:vAlign w:val="center"/>
          </w:tcPr>
          <w:p w14:paraId="63ECB2A0">
            <w:pPr>
              <w:ind w:firstLine="482" w:firstLineChars="200"/>
              <w:rPr>
                <w:rFonts w:hint="eastAsia" w:ascii="宋体" w:hAnsi="宋体" w:eastAsia="宋体" w:cs="Times New Roman"/>
                <w:color w:val="000000"/>
                <w:sz w:val="24"/>
                <w:szCs w:val="24"/>
              </w:rPr>
            </w:pPr>
            <w:r>
              <w:rPr>
                <w:rFonts w:hint="eastAsia" w:ascii="宋体" w:hAnsi="宋体" w:eastAsia="宋体" w:cs="宋体"/>
                <w:b/>
                <w:bCs/>
                <w:sz w:val="24"/>
                <w:szCs w:val="24"/>
              </w:rPr>
              <w:t>报价：</w:t>
            </w:r>
            <w:r>
              <w:rPr>
                <w:rFonts w:hint="eastAsia" w:ascii="宋体" w:hAnsi="宋体" w:eastAsia="宋体" w:cs="宋体"/>
                <w:sz w:val="24"/>
                <w:szCs w:val="24"/>
              </w:rPr>
              <w:t>如需要，由</w:t>
            </w:r>
            <w:r>
              <w:rPr>
                <w:rFonts w:hint="eastAsia" w:ascii="宋体" w:hAnsi="宋体" w:eastAsia="宋体" w:cs="Times New Roman"/>
                <w:color w:val="000000"/>
                <w:sz w:val="24"/>
                <w:szCs w:val="24"/>
              </w:rPr>
              <w:t>投标人自行勘察现场，进行合理报价。投标总报价应包括设备费、原厂服务费及相关配件、随机资料、保险、税费、运杂、安装调试、与其他专业配合、配合办理政府验收手续（不限质监验收、消防验收、环评及职业卫生评价、安全评价等）及可预见的风险以及其它不可预见等全部费用。</w:t>
            </w:r>
          </w:p>
          <w:p w14:paraId="0A8D98CB">
            <w:pPr>
              <w:ind w:firstLine="482" w:firstLineChars="200"/>
              <w:rPr>
                <w:rFonts w:hint="eastAsia" w:ascii="宋体" w:hAnsi="宋体" w:eastAsia="宋体" w:cs="Times New Roman"/>
                <w:color w:val="000000"/>
                <w:sz w:val="24"/>
                <w:szCs w:val="24"/>
              </w:rPr>
            </w:pPr>
            <w:r>
              <w:rPr>
                <w:rFonts w:hint="eastAsia" w:ascii="宋体" w:hAnsi="宋体" w:eastAsia="宋体" w:cs="Times New Roman"/>
                <w:b/>
                <w:bCs/>
                <w:color w:val="000000"/>
                <w:sz w:val="24"/>
                <w:szCs w:val="24"/>
              </w:rPr>
              <w:t>报价货币：</w:t>
            </w:r>
            <w:r>
              <w:rPr>
                <w:rFonts w:hint="eastAsia" w:ascii="宋体" w:hAnsi="宋体" w:eastAsia="宋体" w:cs="Times New Roman"/>
                <w:color w:val="000000"/>
                <w:sz w:val="24"/>
                <w:szCs w:val="24"/>
              </w:rPr>
              <w:t>人民币（</w:t>
            </w:r>
            <w:r>
              <w:rPr>
                <w:rFonts w:hint="eastAsia" w:ascii="宋体" w:hAnsi="宋体" w:eastAsia="宋体" w:cs="Times New Roman"/>
                <w:b/>
                <w:bCs/>
                <w:color w:val="000000"/>
                <w:sz w:val="24"/>
                <w:szCs w:val="24"/>
              </w:rPr>
              <w:t>应同时报含税价和不含税价，写明税率</w:t>
            </w:r>
            <w:r>
              <w:rPr>
                <w:rFonts w:hint="eastAsia" w:ascii="宋体" w:hAnsi="宋体" w:eastAsia="宋体" w:cs="Times New Roman"/>
                <w:color w:val="000000"/>
                <w:sz w:val="24"/>
                <w:szCs w:val="24"/>
              </w:rPr>
              <w:t>）。</w:t>
            </w:r>
          </w:p>
          <w:p w14:paraId="752B501A">
            <w:pPr>
              <w:pStyle w:val="20"/>
              <w:ind w:firstLine="482" w:firstLineChars="200"/>
              <w:rPr>
                <w:rFonts w:eastAsia="宋体"/>
              </w:rPr>
            </w:pPr>
            <w:r>
              <w:rPr>
                <w:rFonts w:hint="eastAsia" w:hAnsi="宋体" w:eastAsia="宋体" w:cs="Times New Roman"/>
                <w:b/>
                <w:bCs/>
                <w:color w:val="0000FF"/>
                <w:sz w:val="24"/>
                <w:szCs w:val="24"/>
              </w:rPr>
              <w:t>项目预算</w:t>
            </w:r>
            <w:r>
              <w:rPr>
                <w:rFonts w:hint="eastAsia" w:hAnsi="宋体" w:eastAsia="宋体" w:cs="Times New Roman"/>
                <w:color w:val="000000"/>
                <w:sz w:val="24"/>
                <w:szCs w:val="24"/>
              </w:rPr>
              <w:t>：人民币</w:t>
            </w:r>
            <w:r>
              <w:rPr>
                <w:rFonts w:hint="eastAsia" w:hAnsi="宋体" w:eastAsia="宋体" w:cs="Times New Roman"/>
                <w:b/>
                <w:bCs/>
                <w:color w:val="FF0000"/>
                <w:sz w:val="24"/>
                <w:szCs w:val="24"/>
              </w:rPr>
              <w:t>935万</w:t>
            </w:r>
            <w:r>
              <w:rPr>
                <w:rFonts w:hint="eastAsia" w:hAnsi="宋体" w:eastAsia="宋体" w:cs="Times New Roman"/>
                <w:color w:val="000000"/>
                <w:sz w:val="24"/>
                <w:szCs w:val="24"/>
              </w:rPr>
              <w:t>元（含税，税率13%）。</w:t>
            </w:r>
          </w:p>
        </w:tc>
      </w:tr>
      <w:tr w14:paraId="62E1C2F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77" w:hRule="atLeast"/>
        </w:trPr>
        <w:tc>
          <w:tcPr>
            <w:tcW w:w="595" w:type="dxa"/>
            <w:tcBorders>
              <w:top w:val="single" w:color="auto" w:sz="2" w:space="0"/>
              <w:left w:val="single" w:color="auto" w:sz="2" w:space="0"/>
              <w:bottom w:val="single" w:color="auto" w:sz="2" w:space="0"/>
              <w:right w:val="single" w:color="auto" w:sz="2" w:space="0"/>
            </w:tcBorders>
            <w:vAlign w:val="center"/>
          </w:tcPr>
          <w:p w14:paraId="18A6D218">
            <w:pPr>
              <w:jc w:val="center"/>
              <w:rPr>
                <w:rFonts w:hint="eastAsia" w:ascii="宋体" w:hAnsi="宋体" w:eastAsia="宋体" w:cs="宋体"/>
                <w:sz w:val="24"/>
                <w:szCs w:val="24"/>
              </w:rPr>
            </w:pPr>
            <w:r>
              <w:rPr>
                <w:rFonts w:hint="eastAsia" w:ascii="宋体" w:hAnsi="宋体" w:eastAsia="宋体" w:cs="宋体"/>
                <w:sz w:val="24"/>
                <w:szCs w:val="24"/>
              </w:rPr>
              <w:t>1.6</w:t>
            </w:r>
          </w:p>
        </w:tc>
        <w:tc>
          <w:tcPr>
            <w:tcW w:w="8363" w:type="dxa"/>
            <w:tcBorders>
              <w:top w:val="single" w:color="auto" w:sz="2" w:space="0"/>
              <w:left w:val="single" w:color="auto" w:sz="2" w:space="0"/>
              <w:bottom w:val="single" w:color="auto" w:sz="2" w:space="0"/>
              <w:right w:val="single" w:color="auto" w:sz="2" w:space="0"/>
            </w:tcBorders>
            <w:vAlign w:val="center"/>
          </w:tcPr>
          <w:p w14:paraId="52D69452">
            <w:pPr>
              <w:pStyle w:val="20"/>
              <w:ind w:firstLine="482" w:firstLineChars="200"/>
              <w:rPr>
                <w:rFonts w:hint="eastAsia" w:hAnsi="宋体" w:eastAsia="宋体" w:cs="宋体"/>
                <w:b/>
                <w:bCs/>
                <w:color w:val="FF0000"/>
                <w:sz w:val="24"/>
                <w:szCs w:val="24"/>
              </w:rPr>
            </w:pPr>
            <w:r>
              <w:rPr>
                <w:rFonts w:hint="eastAsia" w:hAnsi="宋体" w:eastAsia="宋体" w:cs="宋体"/>
                <w:b/>
                <w:bCs/>
                <w:color w:val="000000"/>
                <w:sz w:val="24"/>
                <w:szCs w:val="24"/>
              </w:rPr>
              <w:t>投标人条件：</w:t>
            </w:r>
          </w:p>
          <w:p w14:paraId="0D04F113">
            <w:pPr>
              <w:pStyle w:val="20"/>
              <w:ind w:firstLine="480" w:firstLineChars="200"/>
              <w:rPr>
                <w:rFonts w:hint="eastAsia" w:hAnsi="宋体" w:eastAsia="宋体" w:cs="宋体"/>
                <w:color w:val="000000"/>
                <w:sz w:val="24"/>
                <w:szCs w:val="24"/>
              </w:rPr>
            </w:pPr>
            <w:r>
              <w:rPr>
                <w:rFonts w:hint="eastAsia" w:hAnsi="宋体" w:eastAsia="宋体" w:cs="宋体"/>
                <w:color w:val="000000"/>
                <w:sz w:val="24"/>
                <w:szCs w:val="24"/>
              </w:rPr>
              <w:t>1.拟标投人必须是在中华人民共和国境内注册的独立法人机构，具有独立承担民事责任能力；注册资金不少于标的额或</w:t>
            </w:r>
            <w:r>
              <w:rPr>
                <w:rFonts w:hint="eastAsia" w:hAnsi="宋体" w:eastAsia="宋体" w:cs="宋体"/>
                <w:b/>
                <w:bCs/>
                <w:sz w:val="24"/>
                <w:szCs w:val="24"/>
                <w:u w:val="single"/>
              </w:rPr>
              <w:t>5</w:t>
            </w:r>
            <w:r>
              <w:rPr>
                <w:rFonts w:hint="eastAsia" w:hAnsi="宋体" w:eastAsia="宋体" w:cs="宋体"/>
                <w:b/>
                <w:sz w:val="24"/>
                <w:szCs w:val="24"/>
                <w:u w:val="single"/>
              </w:rPr>
              <w:t>00万</w:t>
            </w:r>
            <w:r>
              <w:rPr>
                <w:rFonts w:hint="eastAsia" w:hAnsi="宋体" w:eastAsia="宋体" w:cs="宋体"/>
                <w:color w:val="000000"/>
                <w:sz w:val="24"/>
                <w:szCs w:val="24"/>
              </w:rPr>
              <w:t>人民币（或等值其他货币）；公司成立</w:t>
            </w:r>
            <w:r>
              <w:rPr>
                <w:rFonts w:hint="eastAsia" w:hAnsi="宋体" w:eastAsia="宋体" w:cs="宋体"/>
                <w:b/>
                <w:color w:val="000000"/>
                <w:sz w:val="24"/>
                <w:szCs w:val="24"/>
                <w:u w:val="single"/>
              </w:rPr>
              <w:t>三年以上</w:t>
            </w:r>
            <w:r>
              <w:rPr>
                <w:rFonts w:hint="eastAsia" w:hAnsi="宋体" w:eastAsia="宋体" w:cs="宋体"/>
                <w:color w:val="000000"/>
                <w:sz w:val="24"/>
                <w:szCs w:val="24"/>
              </w:rPr>
              <w:t>（以营业执照成立日期到开标当日满三年为准），且经营范围满足招标人需求；并在人员、设备、资金等方面具有承担本项目的能力；</w:t>
            </w:r>
          </w:p>
          <w:p w14:paraId="11A10CDE">
            <w:pPr>
              <w:pStyle w:val="20"/>
              <w:ind w:firstLine="480" w:firstLineChars="200"/>
              <w:rPr>
                <w:rFonts w:hint="eastAsia" w:hAnsi="宋体" w:eastAsia="宋体" w:cs="宋体"/>
                <w:color w:val="000000"/>
                <w:sz w:val="24"/>
                <w:szCs w:val="24"/>
              </w:rPr>
            </w:pPr>
            <w:r>
              <w:rPr>
                <w:rFonts w:hint="eastAsia" w:hAnsi="宋体" w:eastAsia="宋体" w:cs="宋体"/>
                <w:color w:val="000000"/>
                <w:sz w:val="24"/>
                <w:szCs w:val="24"/>
              </w:rPr>
              <w:t>2.拟投标人应提供营业执照</w:t>
            </w:r>
            <w:r>
              <w:rPr>
                <w:rFonts w:hint="eastAsia" w:hAnsi="宋体" w:eastAsia="宋体" w:cs="宋体"/>
                <w:b/>
                <w:sz w:val="24"/>
                <w:szCs w:val="24"/>
              </w:rPr>
              <w:t>副本原件和扫描件（需盖章）</w:t>
            </w:r>
            <w:r>
              <w:rPr>
                <w:rFonts w:hint="eastAsia" w:hAnsi="宋体" w:eastAsia="宋体" w:cs="宋体"/>
                <w:color w:val="000000"/>
                <w:sz w:val="24"/>
                <w:szCs w:val="24"/>
              </w:rPr>
              <w:t>；</w:t>
            </w:r>
          </w:p>
          <w:p w14:paraId="6A776581">
            <w:pPr>
              <w:pStyle w:val="20"/>
              <w:ind w:firstLine="480" w:firstLineChars="200"/>
              <w:rPr>
                <w:rFonts w:hint="eastAsia" w:hAnsi="宋体" w:eastAsia="宋体" w:cs="宋体"/>
                <w:color w:val="000000"/>
                <w:sz w:val="24"/>
                <w:szCs w:val="24"/>
              </w:rPr>
            </w:pPr>
            <w:r>
              <w:rPr>
                <w:rFonts w:hint="eastAsia" w:hAnsi="宋体" w:eastAsia="宋体" w:cs="宋体"/>
                <w:color w:val="000000"/>
                <w:sz w:val="24"/>
                <w:szCs w:val="24"/>
              </w:rPr>
              <w:t>3.拟投标人应提供法定代表人资格证明文件；</w:t>
            </w:r>
          </w:p>
          <w:p w14:paraId="017E034C">
            <w:pPr>
              <w:pStyle w:val="20"/>
              <w:ind w:firstLine="480" w:firstLineChars="200"/>
              <w:rPr>
                <w:rFonts w:hint="eastAsia" w:hAnsi="宋体" w:eastAsia="宋体" w:cs="宋体"/>
                <w:color w:val="000000"/>
                <w:sz w:val="24"/>
                <w:szCs w:val="24"/>
              </w:rPr>
            </w:pPr>
            <w:r>
              <w:rPr>
                <w:rFonts w:hint="eastAsia" w:hAnsi="宋体" w:eastAsia="宋体" w:cs="宋体"/>
                <w:color w:val="000000"/>
                <w:sz w:val="24"/>
                <w:szCs w:val="24"/>
              </w:rPr>
              <w:t>4.</w:t>
            </w:r>
            <w:r>
              <w:rPr>
                <w:rFonts w:hAnsi="宋体" w:eastAsia="宋体" w:cs="宋体"/>
                <w:sz w:val="24"/>
                <w:szCs w:val="24"/>
              </w:rPr>
              <w:t>拟投标人在国家市场监督管理总局的《国家企业信用信息公示系统》中查询不存在不良记录</w:t>
            </w:r>
            <w:r>
              <w:rPr>
                <w:rFonts w:hint="eastAsia" w:hAnsi="宋体" w:eastAsia="宋体" w:cs="宋体"/>
                <w:color w:val="000000"/>
                <w:sz w:val="24"/>
                <w:szCs w:val="24"/>
              </w:rPr>
              <w:t>；</w:t>
            </w:r>
          </w:p>
          <w:p w14:paraId="5A5130A2">
            <w:pPr>
              <w:pStyle w:val="20"/>
              <w:ind w:firstLine="480" w:firstLineChars="200"/>
              <w:rPr>
                <w:rFonts w:hint="eastAsia" w:hAnsi="宋体" w:eastAsia="宋体" w:cs="宋体"/>
                <w:color w:val="000000"/>
                <w:sz w:val="24"/>
                <w:szCs w:val="24"/>
              </w:rPr>
            </w:pPr>
            <w:r>
              <w:rPr>
                <w:rFonts w:hint="eastAsia" w:hAnsi="宋体" w:eastAsia="宋体" w:cs="宋体"/>
                <w:color w:val="000000"/>
                <w:sz w:val="24"/>
                <w:szCs w:val="24"/>
              </w:rPr>
              <w:t>5.拟投标人不存在严重违规或被列入招标人“黑名单”的声明；</w:t>
            </w:r>
          </w:p>
          <w:p w14:paraId="77C38F44">
            <w:pPr>
              <w:pStyle w:val="20"/>
              <w:ind w:firstLine="480" w:firstLineChars="200"/>
              <w:rPr>
                <w:rFonts w:hint="eastAsia" w:hAnsi="宋体" w:eastAsia="宋体" w:cs="宋体"/>
                <w:color w:val="000000"/>
                <w:sz w:val="24"/>
                <w:szCs w:val="24"/>
              </w:rPr>
            </w:pPr>
            <w:r>
              <w:rPr>
                <w:rFonts w:hint="eastAsia" w:hAnsi="宋体" w:eastAsia="宋体" w:cs="宋体"/>
                <w:color w:val="000000"/>
                <w:sz w:val="24"/>
                <w:szCs w:val="24"/>
              </w:rPr>
              <w:t>6.拟投标人</w:t>
            </w:r>
            <w:r>
              <w:rPr>
                <w:rFonts w:hint="eastAsia" w:hAnsi="宋体" w:eastAsia="宋体" w:cs="宋体"/>
                <w:sz w:val="24"/>
                <w:szCs w:val="24"/>
              </w:rPr>
              <w:t>2023年1月1日至今</w:t>
            </w:r>
            <w:r>
              <w:rPr>
                <w:rFonts w:hint="eastAsia" w:hAnsi="宋体" w:eastAsia="宋体" w:cs="宋体"/>
                <w:color w:val="000000"/>
                <w:sz w:val="24"/>
                <w:szCs w:val="24"/>
              </w:rPr>
              <w:t>经</w:t>
            </w:r>
            <w:r>
              <w:rPr>
                <w:rFonts w:hint="eastAsia" w:hAnsi="宋体" w:eastAsia="宋体" w:cs="宋体"/>
                <w:b/>
                <w:bCs/>
                <w:color w:val="000000"/>
                <w:sz w:val="24"/>
                <w:szCs w:val="24"/>
              </w:rPr>
              <w:t>第三方</w:t>
            </w:r>
            <w:r>
              <w:rPr>
                <w:rFonts w:hint="eastAsia" w:hAnsi="宋体" w:eastAsia="宋体" w:cs="宋体"/>
                <w:color w:val="000000"/>
                <w:sz w:val="24"/>
                <w:szCs w:val="24"/>
              </w:rPr>
              <w:t>会计师事务所审计且出具无保留意见的财务审计报告，并加盖公章，包括但不限于报告页、经审计的资产负债表、利润表、现金流量表及报表附注，且未显示异常；</w:t>
            </w:r>
          </w:p>
          <w:p w14:paraId="245C15E5">
            <w:pPr>
              <w:pStyle w:val="20"/>
              <w:ind w:firstLine="480" w:firstLineChars="200"/>
              <w:rPr>
                <w:rFonts w:hint="eastAsia" w:hAnsi="宋体" w:eastAsia="宋体" w:cs="宋体"/>
                <w:kern w:val="0"/>
                <w:sz w:val="24"/>
                <w:szCs w:val="24"/>
                <w:lang w:bidi="ar"/>
              </w:rPr>
            </w:pPr>
            <w:r>
              <w:rPr>
                <w:rFonts w:hint="eastAsia" w:hAnsi="宋体" w:eastAsia="宋体" w:cs="宋体"/>
                <w:color w:val="000000"/>
                <w:kern w:val="0"/>
                <w:sz w:val="24"/>
                <w:szCs w:val="24"/>
              </w:rPr>
              <w:t>7.</w:t>
            </w:r>
            <w:r>
              <w:rPr>
                <w:rFonts w:hint="eastAsia" w:hAnsi="宋体" w:eastAsia="宋体" w:cs="宋体"/>
                <w:color w:val="000000"/>
                <w:sz w:val="24"/>
                <w:szCs w:val="24"/>
              </w:rPr>
              <w:t>拟投标人有与本次招标内容相同或类似项目业绩，</w:t>
            </w:r>
            <w:r>
              <w:rPr>
                <w:rFonts w:hint="eastAsia" w:hAnsi="宋体" w:eastAsia="宋体" w:cs="宋体"/>
                <w:sz w:val="24"/>
                <w:szCs w:val="24"/>
              </w:rPr>
              <w:t>或有相关项目经验，</w:t>
            </w:r>
            <w:r>
              <w:rPr>
                <w:rFonts w:hint="eastAsia" w:hAnsi="宋体" w:eastAsia="宋体" w:cs="宋体"/>
                <w:color w:val="000000"/>
                <w:sz w:val="24"/>
                <w:szCs w:val="24"/>
              </w:rPr>
              <w:t>且近3年内无因服务不当而造成重大事故；</w:t>
            </w:r>
          </w:p>
          <w:p w14:paraId="7BC0C522">
            <w:pPr>
              <w:pStyle w:val="20"/>
              <w:ind w:firstLine="480" w:firstLineChars="200"/>
              <w:rPr>
                <w:rFonts w:hint="eastAsia" w:hAnsi="宋体" w:eastAsia="宋体" w:cs="宋体"/>
                <w:color w:val="000000"/>
                <w:sz w:val="24"/>
                <w:szCs w:val="24"/>
              </w:rPr>
            </w:pPr>
            <w:r>
              <w:rPr>
                <w:rFonts w:hint="eastAsia" w:hAnsi="宋体" w:eastAsia="宋体" w:cs="宋体"/>
                <w:color w:val="000000"/>
                <w:sz w:val="24"/>
                <w:szCs w:val="24"/>
              </w:rPr>
              <w:t>8.</w:t>
            </w:r>
            <w:r>
              <w:rPr>
                <w:rFonts w:hAnsi="宋体" w:eastAsia="宋体" w:cs="宋体"/>
                <w:sz w:val="24"/>
                <w:szCs w:val="24"/>
              </w:rPr>
              <w:t>拟投标人近三年内在经营活动中无与本项目有关的违法及重大违规情况</w:t>
            </w:r>
            <w:r>
              <w:rPr>
                <w:rFonts w:hint="eastAsia" w:hAnsi="宋体" w:eastAsia="宋体" w:cs="宋体"/>
                <w:color w:val="000000"/>
                <w:sz w:val="24"/>
                <w:szCs w:val="24"/>
              </w:rPr>
              <w:t>；</w:t>
            </w:r>
          </w:p>
          <w:p w14:paraId="2D57AC7A">
            <w:pPr>
              <w:pStyle w:val="20"/>
              <w:ind w:firstLine="480" w:firstLineChars="200"/>
              <w:rPr>
                <w:rFonts w:hint="eastAsia" w:hAnsi="宋体" w:eastAsia="宋体" w:cs="宋体"/>
                <w:color w:val="000000"/>
                <w:sz w:val="24"/>
                <w:szCs w:val="24"/>
              </w:rPr>
            </w:pPr>
            <w:r>
              <w:rPr>
                <w:rFonts w:hint="eastAsia" w:hAnsi="宋体" w:eastAsia="宋体" w:cs="宋体"/>
                <w:color w:val="000000"/>
                <w:sz w:val="24"/>
                <w:szCs w:val="24"/>
              </w:rPr>
              <w:t>9.拟投标人须认可招标人的工作指令，包括节、假日能正常开展工作的要求；</w:t>
            </w:r>
          </w:p>
          <w:p w14:paraId="1780995E">
            <w:pPr>
              <w:pStyle w:val="20"/>
              <w:ind w:firstLine="480" w:firstLineChars="200"/>
              <w:rPr>
                <w:rFonts w:hint="eastAsia" w:hAnsi="宋体" w:eastAsia="宋体" w:cs="宋体"/>
                <w:color w:val="000000"/>
                <w:sz w:val="24"/>
                <w:szCs w:val="24"/>
              </w:rPr>
            </w:pPr>
            <w:r>
              <w:rPr>
                <w:rFonts w:hint="eastAsia" w:hAnsi="宋体" w:eastAsia="宋体" w:cs="宋体"/>
                <w:color w:val="000000"/>
                <w:sz w:val="24"/>
                <w:szCs w:val="24"/>
              </w:rPr>
              <w:t>10.拟投标人最近半年纳税正常；</w:t>
            </w:r>
          </w:p>
          <w:p w14:paraId="3B8864D8">
            <w:pPr>
              <w:pStyle w:val="20"/>
              <w:ind w:firstLine="480" w:firstLineChars="200"/>
              <w:rPr>
                <w:rFonts w:hint="eastAsia" w:hAnsi="宋体" w:eastAsia="宋体" w:cs="宋体"/>
                <w:color w:val="000000"/>
                <w:sz w:val="24"/>
                <w:szCs w:val="24"/>
              </w:rPr>
            </w:pPr>
            <w:r>
              <w:rPr>
                <w:rFonts w:hint="eastAsia" w:hAnsi="宋体" w:eastAsia="宋体" w:cs="宋体"/>
                <w:color w:val="000000"/>
                <w:sz w:val="24"/>
                <w:szCs w:val="24"/>
              </w:rPr>
              <w:t>11.拟投标人信用证明材料（征信中心出具的信用报告）未显示异常；</w:t>
            </w:r>
          </w:p>
          <w:p w14:paraId="7A91870F">
            <w:pPr>
              <w:pStyle w:val="20"/>
              <w:ind w:firstLine="480" w:firstLineChars="200"/>
              <w:rPr>
                <w:rFonts w:hint="eastAsia" w:hAnsi="宋体" w:eastAsia="宋体" w:cs="宋体"/>
                <w:color w:val="000000"/>
                <w:sz w:val="24"/>
                <w:szCs w:val="24"/>
              </w:rPr>
            </w:pPr>
            <w:r>
              <w:rPr>
                <w:rFonts w:hint="eastAsia" w:hAnsi="宋体" w:eastAsia="宋体" w:cs="宋体"/>
                <w:color w:val="000000"/>
                <w:sz w:val="24"/>
                <w:szCs w:val="24"/>
              </w:rPr>
              <w:t>12.拟投标人的直接或间接股东、法定代表人、董事、监事、高管非重汽员工及其亲属；</w:t>
            </w:r>
          </w:p>
          <w:p w14:paraId="3BF74D6D">
            <w:pPr>
              <w:pStyle w:val="20"/>
              <w:ind w:firstLine="480" w:firstLineChars="200"/>
              <w:rPr>
                <w:rFonts w:hint="eastAsia" w:hAnsi="宋体" w:eastAsia="宋体" w:cs="宋体"/>
                <w:color w:val="000000"/>
                <w:sz w:val="24"/>
                <w:szCs w:val="24"/>
              </w:rPr>
            </w:pPr>
            <w:r>
              <w:rPr>
                <w:rFonts w:hint="eastAsia" w:hAnsi="宋体" w:eastAsia="宋体" w:cs="宋体"/>
                <w:color w:val="000000"/>
                <w:sz w:val="24"/>
                <w:szCs w:val="24"/>
              </w:rPr>
              <w:t>13.本项目采用供应商直销模式进行采购，不允许代理商投标；</w:t>
            </w:r>
          </w:p>
          <w:p w14:paraId="1973EC3B">
            <w:pPr>
              <w:pStyle w:val="20"/>
              <w:ind w:firstLine="480" w:firstLineChars="200"/>
              <w:rPr>
                <w:rFonts w:hint="eastAsia" w:hAnsi="宋体" w:eastAsia="宋体" w:cs="宋体"/>
                <w:color w:val="000000"/>
                <w:sz w:val="24"/>
                <w:szCs w:val="24"/>
              </w:rPr>
            </w:pPr>
            <w:r>
              <w:rPr>
                <w:rFonts w:hint="eastAsia" w:hAnsi="宋体" w:eastAsia="宋体" w:cs="宋体"/>
                <w:color w:val="000000"/>
                <w:sz w:val="24"/>
                <w:szCs w:val="24"/>
              </w:rPr>
              <w:t>14.</w:t>
            </w:r>
            <w:r>
              <w:rPr>
                <w:rFonts w:hint="eastAsia" w:hAnsi="宋体" w:eastAsia="宋体" w:cs="宋体"/>
                <w:b/>
                <w:bCs/>
                <w:color w:val="000000"/>
                <w:sz w:val="24"/>
                <w:szCs w:val="24"/>
              </w:rPr>
              <w:t>本项目不接受联合体投标，</w:t>
            </w:r>
            <w:r>
              <w:rPr>
                <w:rFonts w:hint="eastAsia" w:hAnsi="宋体" w:eastAsia="宋体" w:cs="宋体"/>
                <w:color w:val="000000"/>
                <w:sz w:val="24"/>
                <w:szCs w:val="24"/>
              </w:rPr>
              <w:t>拟投标人必须是最终投标单位和签订合同单位，不得以任何理由将已中标项目以任何形式分包或转包给其他单位。</w:t>
            </w:r>
          </w:p>
          <w:p w14:paraId="1962158F">
            <w:pPr>
              <w:pStyle w:val="20"/>
              <w:ind w:firstLine="480" w:firstLineChars="200"/>
              <w:rPr>
                <w:rFonts w:hint="eastAsia" w:hAnsi="宋体" w:eastAsia="宋体" w:cs="宋体"/>
                <w:color w:val="000000"/>
                <w:sz w:val="24"/>
                <w:szCs w:val="24"/>
              </w:rPr>
            </w:pPr>
            <w:r>
              <w:rPr>
                <w:rFonts w:hint="eastAsia" w:hAnsi="宋体" w:eastAsia="宋体" w:cs="宋体"/>
                <w:color w:val="000000"/>
                <w:sz w:val="24"/>
                <w:szCs w:val="24"/>
              </w:rPr>
              <w:t>15.拟投标方应为国内知名的模具企业，乘用车车身冲压模具AA级企业，拥有自己的机械压力机调试线，连续三年都承担过豪华乘用车品牌（</w:t>
            </w:r>
            <w:r>
              <w:rPr>
                <w:rFonts w:hint="eastAsia" w:hAnsi="宋体" w:eastAsia="宋体" w:cs="宋体"/>
                <w:color w:val="FF0000"/>
                <w:sz w:val="24"/>
                <w:szCs w:val="24"/>
              </w:rPr>
              <w:t>宝马、奔驰、奥迪、英菲尼迪、雷克萨斯、凯迪拉克</w:t>
            </w:r>
            <w:r>
              <w:rPr>
                <w:rFonts w:hint="eastAsia" w:hAnsi="宋体" w:eastAsia="宋体" w:cs="宋体"/>
                <w:color w:val="FF0000"/>
                <w:sz w:val="24"/>
                <w:szCs w:val="24"/>
                <w:lang w:val="en-US" w:eastAsia="zh-CN"/>
              </w:rPr>
              <w:t>等</w:t>
            </w:r>
            <w:bookmarkStart w:id="221" w:name="_GoBack"/>
            <w:bookmarkEnd w:id="221"/>
            <w:r>
              <w:rPr>
                <w:rFonts w:hint="eastAsia" w:hAnsi="宋体" w:eastAsia="宋体" w:cs="宋体"/>
                <w:color w:val="000000"/>
                <w:sz w:val="24"/>
                <w:szCs w:val="24"/>
              </w:rPr>
              <w:t>）的外板件（侧围外板、车门外板、翼子板）模具的业绩，并提供业绩证明原件（现场检验）、不允许分包转包、必须在模具厂总部制作。</w:t>
            </w:r>
          </w:p>
        </w:tc>
      </w:tr>
      <w:tr w14:paraId="59E092B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89"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0A00C05E">
            <w:pPr>
              <w:jc w:val="center"/>
              <w:rPr>
                <w:rFonts w:hint="eastAsia" w:ascii="宋体" w:hAnsi="宋体" w:eastAsia="宋体" w:cs="宋体"/>
                <w:b/>
                <w:bCs/>
                <w:sz w:val="24"/>
                <w:szCs w:val="24"/>
              </w:rPr>
            </w:pPr>
            <w:r>
              <w:rPr>
                <w:rFonts w:hint="eastAsia" w:ascii="宋体" w:hAnsi="宋体" w:eastAsia="宋体" w:cs="宋体"/>
                <w:b/>
                <w:bCs/>
                <w:sz w:val="24"/>
                <w:szCs w:val="24"/>
              </w:rPr>
              <w:t>2.招标文件的答疑、澄清、修改、应标及投标报名</w:t>
            </w:r>
          </w:p>
        </w:tc>
      </w:tr>
      <w:tr w14:paraId="0106D44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90" w:hRule="atLeast"/>
        </w:trPr>
        <w:tc>
          <w:tcPr>
            <w:tcW w:w="595" w:type="dxa"/>
            <w:vMerge w:val="restart"/>
            <w:tcBorders>
              <w:top w:val="single" w:color="auto" w:sz="2" w:space="0"/>
              <w:left w:val="single" w:color="auto" w:sz="2" w:space="0"/>
              <w:right w:val="single" w:color="auto" w:sz="2" w:space="0"/>
            </w:tcBorders>
            <w:vAlign w:val="center"/>
          </w:tcPr>
          <w:p w14:paraId="17686127">
            <w:pPr>
              <w:jc w:val="center"/>
              <w:rPr>
                <w:rFonts w:hint="eastAsia" w:ascii="宋体" w:hAnsi="宋体" w:eastAsia="宋体" w:cs="宋体"/>
                <w:sz w:val="24"/>
                <w:szCs w:val="24"/>
              </w:rPr>
            </w:pPr>
            <w:r>
              <w:rPr>
                <w:rFonts w:hint="eastAsia" w:ascii="宋体" w:hAnsi="宋体" w:eastAsia="宋体" w:cs="宋体"/>
                <w:sz w:val="24"/>
                <w:szCs w:val="24"/>
              </w:rPr>
              <w:t>2.1</w:t>
            </w:r>
          </w:p>
        </w:tc>
        <w:tc>
          <w:tcPr>
            <w:tcW w:w="8363" w:type="dxa"/>
            <w:tcBorders>
              <w:top w:val="single" w:color="auto" w:sz="2" w:space="0"/>
              <w:left w:val="single" w:color="auto" w:sz="2" w:space="0"/>
              <w:bottom w:val="single" w:color="auto" w:sz="2" w:space="0"/>
              <w:right w:val="single" w:color="auto" w:sz="2" w:space="0"/>
            </w:tcBorders>
            <w:vAlign w:val="center"/>
          </w:tcPr>
          <w:p w14:paraId="1A63C846">
            <w:pPr>
              <w:ind w:firstLine="482" w:firstLineChars="200"/>
              <w:rPr>
                <w:rFonts w:hint="eastAsia" w:ascii="宋体" w:hAnsi="宋体" w:eastAsia="宋体" w:cs="宋体"/>
                <w:sz w:val="24"/>
                <w:szCs w:val="24"/>
              </w:rPr>
            </w:pPr>
            <w:r>
              <w:rPr>
                <w:rFonts w:hint="eastAsia" w:ascii="宋体" w:hAnsi="宋体" w:eastAsia="宋体" w:cs="宋体"/>
                <w:b/>
                <w:bCs/>
                <w:sz w:val="24"/>
                <w:szCs w:val="24"/>
              </w:rPr>
              <w:t>发标时间：</w:t>
            </w:r>
            <w:r>
              <w:rPr>
                <w:rFonts w:hint="eastAsia" w:ascii="宋体" w:hAnsi="宋体" w:eastAsia="宋体" w:cs="宋体"/>
                <w:bCs/>
                <w:sz w:val="24"/>
                <w:szCs w:val="24"/>
                <w:highlight w:val="yellow"/>
              </w:rPr>
              <w:t>2026年</w:t>
            </w:r>
            <w:r>
              <w:rPr>
                <w:rFonts w:hint="eastAsia" w:ascii="宋体" w:hAnsi="宋体" w:eastAsia="宋体" w:cs="宋体"/>
                <w:bCs/>
                <w:sz w:val="24"/>
                <w:szCs w:val="24"/>
                <w:highlight w:val="yellow"/>
                <w:lang w:val="en-US" w:eastAsia="zh-CN"/>
              </w:rPr>
              <w:t>2</w:t>
            </w:r>
            <w:r>
              <w:rPr>
                <w:rFonts w:hint="eastAsia" w:ascii="宋体" w:hAnsi="宋体" w:eastAsia="宋体" w:cs="宋体"/>
                <w:bCs/>
                <w:sz w:val="24"/>
                <w:szCs w:val="24"/>
                <w:highlight w:val="yellow"/>
              </w:rPr>
              <w:t>月</w:t>
            </w:r>
            <w:r>
              <w:rPr>
                <w:rFonts w:hint="eastAsia" w:ascii="宋体" w:hAnsi="宋体" w:eastAsia="宋体" w:cs="宋体"/>
                <w:bCs/>
                <w:sz w:val="24"/>
                <w:szCs w:val="24"/>
                <w:highlight w:val="yellow"/>
                <w:lang w:val="en-US" w:eastAsia="zh-CN"/>
              </w:rPr>
              <w:t>6</w:t>
            </w:r>
            <w:r>
              <w:rPr>
                <w:rFonts w:hint="eastAsia" w:ascii="宋体" w:hAnsi="宋体" w:eastAsia="宋体" w:cs="宋体"/>
                <w:bCs/>
                <w:sz w:val="24"/>
                <w:szCs w:val="24"/>
                <w:highlight w:val="yellow"/>
              </w:rPr>
              <w:t>日;</w:t>
            </w:r>
          </w:p>
        </w:tc>
      </w:tr>
      <w:tr w14:paraId="0F81572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93" w:hRule="atLeast"/>
        </w:trPr>
        <w:tc>
          <w:tcPr>
            <w:tcW w:w="595" w:type="dxa"/>
            <w:vMerge w:val="continue"/>
            <w:tcBorders>
              <w:left w:val="single" w:color="auto" w:sz="2" w:space="0"/>
              <w:right w:val="single" w:color="auto" w:sz="2" w:space="0"/>
            </w:tcBorders>
            <w:vAlign w:val="center"/>
          </w:tcPr>
          <w:p w14:paraId="7E09D5F8">
            <w:pPr>
              <w:snapToGrid w:val="0"/>
              <w:ind w:firstLine="420" w:firstLineChars="200"/>
              <w:rPr>
                <w:rFonts w:hint="eastAsia"/>
              </w:rPr>
            </w:pPr>
          </w:p>
        </w:tc>
        <w:tc>
          <w:tcPr>
            <w:tcW w:w="8363" w:type="dxa"/>
            <w:tcBorders>
              <w:top w:val="single" w:color="auto" w:sz="2" w:space="0"/>
              <w:left w:val="single" w:color="auto" w:sz="2" w:space="0"/>
              <w:bottom w:val="single" w:color="auto" w:sz="2" w:space="0"/>
              <w:right w:val="single" w:color="auto" w:sz="2" w:space="0"/>
            </w:tcBorders>
            <w:vAlign w:val="center"/>
          </w:tcPr>
          <w:p w14:paraId="5A627DCF">
            <w:pPr>
              <w:ind w:firstLine="482" w:firstLineChars="200"/>
              <w:rPr>
                <w:rFonts w:hint="eastAsia" w:ascii="宋体" w:hAnsi="宋体" w:eastAsia="宋体" w:cs="宋体"/>
                <w:sz w:val="24"/>
                <w:szCs w:val="24"/>
              </w:rPr>
            </w:pPr>
            <w:r>
              <w:rPr>
                <w:rFonts w:hint="eastAsia" w:ascii="宋体" w:hAnsi="宋体" w:eastAsia="宋体" w:cs="宋体"/>
                <w:b/>
                <w:sz w:val="24"/>
                <w:szCs w:val="24"/>
              </w:rPr>
              <w:t>发标方式：</w:t>
            </w:r>
            <w:r>
              <w:rPr>
                <w:rFonts w:ascii="宋体" w:hAnsi="宋体" w:eastAsia="宋体" w:cs="宋体"/>
                <w:sz w:val="24"/>
                <w:szCs w:val="24"/>
              </w:rPr>
              <w:t>中国重汽官网</w:t>
            </w:r>
            <w:r>
              <w:rPr>
                <w:rFonts w:hint="eastAsia" w:ascii="宋体" w:hAnsi="宋体" w:eastAsia="宋体" w:cs="宋体"/>
                <w:sz w:val="24"/>
                <w:szCs w:val="24"/>
              </w:rPr>
              <w:t>、山东省阳光采购服务平台、中国招标投标公共服务平台等公开媒体</w:t>
            </w:r>
            <w:r>
              <w:rPr>
                <w:rFonts w:ascii="宋体" w:hAnsi="宋体" w:eastAsia="宋体" w:cs="宋体"/>
                <w:color w:val="000000"/>
                <w:sz w:val="24"/>
                <w:szCs w:val="24"/>
              </w:rPr>
              <w:t>公布</w:t>
            </w:r>
            <w:r>
              <w:rPr>
                <w:rFonts w:hint="eastAsia" w:ascii="宋体" w:hAnsi="宋体" w:eastAsia="宋体" w:cs="Times New Roman"/>
                <w:color w:val="000000"/>
                <w:sz w:val="24"/>
                <w:szCs w:val="24"/>
              </w:rPr>
              <w:t>。</w:t>
            </w:r>
          </w:p>
        </w:tc>
      </w:tr>
      <w:tr w14:paraId="40D920B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2429" w:hRule="atLeast"/>
        </w:trPr>
        <w:tc>
          <w:tcPr>
            <w:tcW w:w="595" w:type="dxa"/>
            <w:vMerge w:val="continue"/>
            <w:tcBorders>
              <w:left w:val="single" w:color="auto" w:sz="2" w:space="0"/>
              <w:bottom w:val="single" w:color="auto" w:sz="2" w:space="0"/>
              <w:right w:val="single" w:color="auto" w:sz="2" w:space="0"/>
            </w:tcBorders>
            <w:vAlign w:val="center"/>
          </w:tcPr>
          <w:p w14:paraId="6FFA1F2E">
            <w:pPr>
              <w:snapToGrid w:val="0"/>
              <w:ind w:firstLine="480" w:firstLineChars="200"/>
              <w:rPr>
                <w:rFonts w:hint="eastAsia" w:ascii="宋体" w:hAnsi="宋体" w:eastAsia="宋体" w:cs="宋体"/>
                <w:sz w:val="24"/>
                <w:szCs w:val="24"/>
              </w:rPr>
            </w:pPr>
          </w:p>
        </w:tc>
        <w:tc>
          <w:tcPr>
            <w:tcW w:w="8363" w:type="dxa"/>
            <w:tcBorders>
              <w:top w:val="single" w:color="auto" w:sz="2" w:space="0"/>
              <w:left w:val="single" w:color="auto" w:sz="2" w:space="0"/>
              <w:bottom w:val="single" w:color="auto" w:sz="2" w:space="0"/>
              <w:right w:val="single" w:color="auto" w:sz="2" w:space="0"/>
            </w:tcBorders>
            <w:vAlign w:val="center"/>
          </w:tcPr>
          <w:p w14:paraId="698B0CA3">
            <w:pPr>
              <w:ind w:firstLine="480" w:firstLineChars="200"/>
              <w:jc w:val="left"/>
              <w:rPr>
                <w:rFonts w:hint="eastAsia" w:ascii="宋体" w:hAnsi="宋体" w:eastAsia="宋体" w:cs="宋体"/>
                <w:b/>
                <w:bCs/>
                <w:sz w:val="24"/>
                <w:szCs w:val="24"/>
              </w:rPr>
            </w:pPr>
            <w:r>
              <w:rPr>
                <w:rFonts w:hint="eastAsia" w:ascii="宋体" w:hAnsi="宋体" w:eastAsia="宋体" w:cs="宋体"/>
                <w:sz w:val="24"/>
                <w:szCs w:val="24"/>
              </w:rPr>
              <w:t>如果投标人对招标文件商务部分、技术部分有疑问，请各投标人在本答疑环节提出。</w:t>
            </w:r>
          </w:p>
          <w:p w14:paraId="1670BCD5">
            <w:pPr>
              <w:ind w:firstLine="482" w:firstLineChars="200"/>
              <w:jc w:val="left"/>
              <w:rPr>
                <w:rFonts w:hint="eastAsia" w:ascii="宋体" w:hAnsi="宋体" w:eastAsia="宋体" w:cs="宋体"/>
                <w:color w:val="FF0000"/>
                <w:sz w:val="24"/>
                <w:szCs w:val="24"/>
              </w:rPr>
            </w:pPr>
            <w:r>
              <w:rPr>
                <w:rFonts w:hint="eastAsia" w:ascii="宋体" w:hAnsi="宋体" w:eastAsia="宋体" w:cs="宋体"/>
                <w:b/>
                <w:bCs/>
                <w:sz w:val="24"/>
                <w:szCs w:val="24"/>
              </w:rPr>
              <w:t>提交疑问时间：</w:t>
            </w:r>
            <w:r>
              <w:rPr>
                <w:rFonts w:hint="eastAsia" w:ascii="宋体" w:hAnsi="宋体" w:eastAsia="宋体" w:cs="宋体"/>
                <w:bCs/>
                <w:sz w:val="24"/>
                <w:szCs w:val="24"/>
                <w:highlight w:val="yellow"/>
              </w:rPr>
              <w:t>2026年</w:t>
            </w:r>
            <w:r>
              <w:rPr>
                <w:rFonts w:hint="eastAsia" w:ascii="宋体" w:hAnsi="宋体" w:eastAsia="宋体" w:cs="宋体"/>
                <w:bCs/>
                <w:sz w:val="24"/>
                <w:szCs w:val="24"/>
                <w:highlight w:val="yellow"/>
                <w:lang w:val="en-US" w:eastAsia="zh-CN"/>
              </w:rPr>
              <w:t>2</w:t>
            </w:r>
            <w:r>
              <w:rPr>
                <w:rFonts w:hint="eastAsia" w:ascii="宋体" w:hAnsi="宋体" w:eastAsia="宋体" w:cs="宋体"/>
                <w:bCs/>
                <w:sz w:val="24"/>
                <w:szCs w:val="24"/>
                <w:highlight w:val="yellow"/>
              </w:rPr>
              <w:t>月</w:t>
            </w:r>
            <w:r>
              <w:rPr>
                <w:rFonts w:hint="eastAsia" w:ascii="宋体" w:hAnsi="宋体" w:eastAsia="宋体" w:cs="宋体"/>
                <w:bCs/>
                <w:sz w:val="24"/>
                <w:szCs w:val="24"/>
                <w:highlight w:val="yellow"/>
                <w:lang w:val="en-US" w:eastAsia="zh-CN"/>
              </w:rPr>
              <w:t>11</w:t>
            </w:r>
            <w:r>
              <w:rPr>
                <w:rFonts w:hint="eastAsia" w:ascii="宋体" w:hAnsi="宋体" w:eastAsia="宋体" w:cs="宋体"/>
                <w:bCs/>
                <w:sz w:val="24"/>
                <w:szCs w:val="24"/>
                <w:highlight w:val="yellow"/>
              </w:rPr>
              <w:t>日1</w:t>
            </w:r>
            <w:r>
              <w:rPr>
                <w:rFonts w:hint="eastAsia" w:ascii="宋体" w:hAnsi="宋体" w:eastAsia="宋体" w:cs="宋体"/>
                <w:bCs/>
                <w:sz w:val="24"/>
                <w:szCs w:val="24"/>
                <w:highlight w:val="yellow"/>
                <w:lang w:val="en-US" w:eastAsia="zh-CN"/>
              </w:rPr>
              <w:t>2</w:t>
            </w:r>
            <w:r>
              <w:rPr>
                <w:rFonts w:hint="eastAsia" w:ascii="宋体" w:hAnsi="宋体" w:eastAsia="宋体" w:cs="宋体"/>
                <w:bCs/>
                <w:sz w:val="24"/>
                <w:szCs w:val="24"/>
                <w:highlight w:val="yellow"/>
              </w:rPr>
              <w:t>:00:00前</w:t>
            </w:r>
            <w:r>
              <w:rPr>
                <w:rFonts w:hint="eastAsia" w:ascii="宋体" w:hAnsi="宋体" w:eastAsia="宋体" w:cs="宋体"/>
                <w:bCs/>
                <w:sz w:val="24"/>
                <w:szCs w:val="24"/>
              </w:rPr>
              <w:t>；</w:t>
            </w:r>
          </w:p>
          <w:p w14:paraId="7E08F544">
            <w:pPr>
              <w:ind w:firstLine="482" w:firstLineChars="200"/>
              <w:jc w:val="left"/>
              <w:rPr>
                <w:rFonts w:hint="eastAsia" w:ascii="宋体" w:hAnsi="宋体" w:eastAsia="宋体" w:cs="宋体"/>
                <w:b/>
                <w:bCs/>
                <w:sz w:val="24"/>
                <w:szCs w:val="24"/>
              </w:rPr>
            </w:pPr>
            <w:r>
              <w:rPr>
                <w:rFonts w:hint="eastAsia" w:ascii="宋体" w:hAnsi="宋体" w:eastAsia="宋体" w:cs="宋体"/>
                <w:b/>
                <w:bCs/>
                <w:sz w:val="24"/>
                <w:szCs w:val="24"/>
              </w:rPr>
              <w:t>提交疑问方式</w:t>
            </w:r>
            <w:r>
              <w:rPr>
                <w:rFonts w:hint="eastAsia" w:ascii="宋体" w:hAnsi="宋体" w:eastAsia="宋体" w:cs="宋体"/>
                <w:sz w:val="24"/>
                <w:szCs w:val="24"/>
              </w:rPr>
              <w:t>：将答疑问题以word文件格式发送至联系人邮件内，并电话联系工作人员查收，</w:t>
            </w:r>
            <w:r>
              <w:rPr>
                <w:rFonts w:hint="eastAsia" w:ascii="宋体" w:hAnsi="宋体" w:eastAsia="宋体" w:cs="宋体"/>
                <w:b/>
                <w:bCs/>
                <w:sz w:val="24"/>
                <w:szCs w:val="24"/>
              </w:rPr>
              <w:t>邮件名格式为：XXX公司（五个字以内公司简称）XX项目答疑文件。</w:t>
            </w:r>
          </w:p>
          <w:p w14:paraId="38B63341">
            <w:pPr>
              <w:ind w:firstLine="482" w:firstLineChars="200"/>
              <w:jc w:val="left"/>
              <w:rPr>
                <w:rFonts w:hint="eastAsia" w:ascii="宋体" w:hAnsi="宋体" w:eastAsia="宋体" w:cs="宋体"/>
                <w:sz w:val="24"/>
                <w:szCs w:val="24"/>
              </w:rPr>
            </w:pPr>
            <w:r>
              <w:rPr>
                <w:rFonts w:hint="eastAsia" w:ascii="宋体" w:hAnsi="宋体" w:eastAsia="宋体" w:cs="宋体"/>
                <w:b/>
                <w:bCs/>
                <w:sz w:val="24"/>
                <w:szCs w:val="24"/>
              </w:rPr>
              <w:t>同时必须在邮件中以文字方式提供投标人全称、投标授权人姓名、联系方式（固定电话、手机、电子邮箱），并提供附件2</w:t>
            </w:r>
            <w:r>
              <w:rPr>
                <w:rFonts w:hint="eastAsia" w:ascii="Times New Roman" w:hAnsi="Times New Roman" w:eastAsia="宋体" w:cs="Times New Roman"/>
                <w:b/>
                <w:bCs/>
                <w:color w:val="000000"/>
                <w:sz w:val="24"/>
                <w:szCs w:val="24"/>
              </w:rPr>
              <w:t>法定代表人授权委托书</w:t>
            </w:r>
            <w:r>
              <w:rPr>
                <w:rFonts w:hint="eastAsia" w:ascii="宋体" w:hAnsi="宋体" w:eastAsia="宋体" w:cs="宋体"/>
                <w:b/>
                <w:bCs/>
                <w:sz w:val="24"/>
                <w:szCs w:val="24"/>
              </w:rPr>
              <w:t>。</w:t>
            </w:r>
          </w:p>
        </w:tc>
      </w:tr>
      <w:tr w14:paraId="1C3014A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1007" w:hRule="atLeast"/>
        </w:trPr>
        <w:tc>
          <w:tcPr>
            <w:tcW w:w="595" w:type="dxa"/>
            <w:tcBorders>
              <w:top w:val="single" w:color="auto" w:sz="2" w:space="0"/>
              <w:left w:val="single" w:color="auto" w:sz="2" w:space="0"/>
              <w:bottom w:val="single" w:color="auto" w:sz="2" w:space="0"/>
              <w:right w:val="single" w:color="auto" w:sz="2" w:space="0"/>
            </w:tcBorders>
            <w:shd w:val="clear" w:color="auto" w:fill="FFFFFF" w:themeFill="background1"/>
            <w:vAlign w:val="center"/>
          </w:tcPr>
          <w:p w14:paraId="64C855EE">
            <w:pPr>
              <w:jc w:val="center"/>
              <w:rPr>
                <w:rFonts w:hint="eastAsia" w:ascii="宋体" w:hAnsi="宋体" w:eastAsia="宋体" w:cs="宋体"/>
                <w:sz w:val="24"/>
                <w:szCs w:val="24"/>
              </w:rPr>
            </w:pPr>
            <w:r>
              <w:rPr>
                <w:rFonts w:hint="eastAsia" w:ascii="宋体" w:hAnsi="宋体" w:eastAsia="宋体" w:cs="宋体"/>
                <w:sz w:val="24"/>
                <w:szCs w:val="24"/>
              </w:rPr>
              <w:t>2.2</w:t>
            </w:r>
          </w:p>
        </w:tc>
        <w:tc>
          <w:tcPr>
            <w:tcW w:w="8363" w:type="dxa"/>
            <w:tcBorders>
              <w:top w:val="single" w:color="auto" w:sz="2" w:space="0"/>
              <w:left w:val="single" w:color="auto" w:sz="2" w:space="0"/>
              <w:bottom w:val="single" w:color="auto" w:sz="2" w:space="0"/>
              <w:right w:val="single" w:color="auto" w:sz="2" w:space="0"/>
            </w:tcBorders>
            <w:shd w:val="clear" w:color="auto" w:fill="FFFFFF" w:themeFill="background1"/>
            <w:vAlign w:val="center"/>
          </w:tcPr>
          <w:p w14:paraId="749582AB">
            <w:pPr>
              <w:shd w:val="clear" w:color="auto" w:fill="FFFFFF" w:themeFill="background1"/>
              <w:ind w:firstLine="480" w:firstLineChars="200"/>
              <w:rPr>
                <w:rFonts w:hint="eastAsia" w:ascii="宋体" w:hAnsi="宋体" w:eastAsia="宋体" w:cs="宋体"/>
                <w:color w:val="FF0000"/>
                <w:sz w:val="24"/>
                <w:szCs w:val="24"/>
              </w:rPr>
            </w:pPr>
            <w:r>
              <w:rPr>
                <w:rFonts w:hint="eastAsia" w:ascii="宋体" w:hAnsi="宋体" w:eastAsia="宋体" w:cs="宋体"/>
                <w:color w:val="FF0000"/>
                <w:sz w:val="24"/>
                <w:szCs w:val="24"/>
              </w:rPr>
              <w:t>领取答疑、澄清和修改文件时间：2026年</w:t>
            </w:r>
            <w:r>
              <w:rPr>
                <w:rFonts w:hint="eastAsia" w:ascii="宋体" w:hAnsi="宋体" w:eastAsia="宋体" w:cs="宋体"/>
                <w:color w:val="FF0000"/>
                <w:sz w:val="24"/>
                <w:szCs w:val="24"/>
                <w:u w:val="single"/>
                <w:lang w:val="en-US" w:eastAsia="zh-CN"/>
              </w:rPr>
              <w:t>2</w:t>
            </w:r>
            <w:r>
              <w:rPr>
                <w:rFonts w:hint="eastAsia" w:ascii="宋体" w:hAnsi="宋体" w:eastAsia="宋体" w:cs="宋体"/>
                <w:color w:val="FF0000"/>
                <w:sz w:val="24"/>
                <w:szCs w:val="24"/>
              </w:rPr>
              <w:t>月</w:t>
            </w:r>
            <w:r>
              <w:rPr>
                <w:rFonts w:hint="eastAsia" w:ascii="宋体" w:hAnsi="宋体" w:eastAsia="宋体" w:cs="宋体"/>
                <w:color w:val="FF0000"/>
                <w:sz w:val="24"/>
                <w:szCs w:val="24"/>
                <w:lang w:val="en-US" w:eastAsia="zh-CN"/>
              </w:rPr>
              <w:t>11</w:t>
            </w:r>
            <w:r>
              <w:rPr>
                <w:rFonts w:hint="eastAsia" w:ascii="宋体" w:hAnsi="宋体" w:eastAsia="宋体" w:cs="宋体"/>
                <w:color w:val="FF0000"/>
                <w:sz w:val="24"/>
                <w:szCs w:val="24"/>
              </w:rPr>
              <w:t>日17:00</w:t>
            </w:r>
            <w:r>
              <w:rPr>
                <w:rFonts w:hint="eastAsia" w:ascii="宋体" w:hAnsi="宋体" w:eastAsia="宋体" w:cs="宋体"/>
                <w:bCs/>
                <w:color w:val="FF0000"/>
                <w:sz w:val="24"/>
                <w:szCs w:val="24"/>
              </w:rPr>
              <w:t>:00</w:t>
            </w:r>
            <w:r>
              <w:rPr>
                <w:rFonts w:hint="eastAsia" w:ascii="宋体" w:hAnsi="宋体" w:eastAsia="宋体" w:cs="宋体"/>
                <w:color w:val="FF0000"/>
                <w:sz w:val="24"/>
                <w:szCs w:val="24"/>
              </w:rPr>
              <w:t>前；</w:t>
            </w:r>
          </w:p>
          <w:p w14:paraId="26C2D9F3">
            <w:pPr>
              <w:shd w:val="clear" w:color="auto" w:fill="FFFFFF" w:themeFill="background1"/>
              <w:ind w:firstLine="480" w:firstLineChars="200"/>
              <w:rPr>
                <w:rFonts w:hint="eastAsia" w:ascii="宋体" w:hAnsi="宋体" w:eastAsia="宋体" w:cs="宋体"/>
                <w:sz w:val="24"/>
                <w:szCs w:val="24"/>
              </w:rPr>
            </w:pPr>
            <w:r>
              <w:rPr>
                <w:rFonts w:hint="eastAsia" w:ascii="宋体" w:hAnsi="宋体" w:eastAsia="宋体" w:cs="宋体"/>
                <w:sz w:val="24"/>
                <w:szCs w:val="24"/>
              </w:rPr>
              <w:t>答疑、澄清和修改文件方式：招标人将以电子邮件的方式将招标文件的答疑澄清文件发送至答疑文件提交时登记的电子邮箱。</w:t>
            </w:r>
          </w:p>
        </w:tc>
      </w:tr>
      <w:tr w14:paraId="638BE8C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1045" w:hRule="atLeast"/>
        </w:trPr>
        <w:tc>
          <w:tcPr>
            <w:tcW w:w="595" w:type="dxa"/>
            <w:vMerge w:val="restart"/>
            <w:tcBorders>
              <w:top w:val="single" w:color="auto" w:sz="2" w:space="0"/>
              <w:left w:val="single" w:color="auto" w:sz="2" w:space="0"/>
              <w:right w:val="single" w:color="auto" w:sz="2" w:space="0"/>
            </w:tcBorders>
            <w:vAlign w:val="center"/>
          </w:tcPr>
          <w:p w14:paraId="7B93ED54">
            <w:pPr>
              <w:jc w:val="center"/>
              <w:rPr>
                <w:rFonts w:hint="eastAsia" w:ascii="宋体" w:hAnsi="宋体" w:eastAsia="宋体" w:cs="宋体"/>
                <w:b/>
                <w:bCs/>
                <w:sz w:val="24"/>
                <w:szCs w:val="24"/>
              </w:rPr>
            </w:pPr>
            <w:r>
              <w:rPr>
                <w:rFonts w:hint="eastAsia" w:ascii="宋体" w:hAnsi="宋体" w:eastAsia="宋体" w:cs="宋体"/>
                <w:sz w:val="24"/>
                <w:szCs w:val="24"/>
              </w:rPr>
              <w:t>2.3</w:t>
            </w:r>
          </w:p>
        </w:tc>
        <w:tc>
          <w:tcPr>
            <w:tcW w:w="8363" w:type="dxa"/>
            <w:tcBorders>
              <w:top w:val="single" w:color="auto" w:sz="2" w:space="0"/>
              <w:left w:val="single" w:color="auto" w:sz="2" w:space="0"/>
              <w:bottom w:val="single" w:color="auto" w:sz="2" w:space="0"/>
              <w:right w:val="single" w:color="auto" w:sz="2" w:space="0"/>
            </w:tcBorders>
            <w:vAlign w:val="center"/>
          </w:tcPr>
          <w:p w14:paraId="750499FC">
            <w:pPr>
              <w:pStyle w:val="117"/>
              <w:spacing w:line="240" w:lineRule="auto"/>
              <w:ind w:firstLine="482"/>
              <w:rPr>
                <w:rFonts w:hAnsi="Courier New" w:eastAsia="宋体" w:cs="Times New Roman"/>
              </w:rPr>
            </w:pPr>
            <w:r>
              <w:rPr>
                <w:rFonts w:hint="eastAsia" w:eastAsia="宋体" w:cs="宋体"/>
                <w:b/>
                <w:bCs/>
              </w:rPr>
              <w:t>报名方式：</w:t>
            </w:r>
            <w:r>
              <w:rPr>
                <w:rFonts w:hint="eastAsia" w:eastAsia="宋体" w:cs="宋体"/>
              </w:rPr>
              <w:t>拟投标人根据招标人在中国重汽官网等公开媒体上发布的招标信息，</w:t>
            </w:r>
            <w:r>
              <w:rPr>
                <w:rFonts w:hint="eastAsia" w:hAnsi="Courier New" w:eastAsia="宋体" w:cs="Times New Roman"/>
              </w:rPr>
              <w:t>在“中国重汽e采通”平台报名，具体流程如下：</w:t>
            </w:r>
          </w:p>
          <w:p w14:paraId="4C945D18">
            <w:pPr>
              <w:pStyle w:val="142"/>
              <w:keepNext w:val="0"/>
              <w:keepLines w:val="0"/>
              <w:pageBreakBefore w:val="0"/>
              <w:widowControl w:val="0"/>
              <w:kinsoku/>
              <w:wordWrap/>
              <w:overflowPunct/>
              <w:topLinePunct w:val="0"/>
              <w:autoSpaceDE/>
              <w:autoSpaceDN/>
              <w:bidi w:val="0"/>
              <w:adjustRightInd/>
              <w:snapToGrid/>
              <w:spacing w:before="60" w:beforeLines="25" w:line="240" w:lineRule="auto"/>
              <w:ind w:left="420" w:leftChars="200" w:firstLine="480" w:firstLineChars="200"/>
              <w:jc w:val="both"/>
              <w:textAlignment w:val="auto"/>
              <w:rPr>
                <w:rFonts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①系统注册与信息维护</w:t>
            </w:r>
          </w:p>
          <w:p w14:paraId="72C447FE">
            <w:pPr>
              <w:pStyle w:val="142"/>
              <w:keepNext w:val="0"/>
              <w:keepLines w:val="0"/>
              <w:pageBreakBefore w:val="0"/>
              <w:widowControl w:val="0"/>
              <w:kinsoku/>
              <w:wordWrap/>
              <w:overflowPunct/>
              <w:topLinePunct w:val="0"/>
              <w:autoSpaceDE/>
              <w:autoSpaceDN/>
              <w:bidi w:val="0"/>
              <w:adjustRightInd/>
              <w:snapToGrid/>
              <w:spacing w:line="240" w:lineRule="auto"/>
              <w:ind w:left="420" w:leftChars="200" w:firstLine="720" w:firstLineChars="300"/>
              <w:jc w:val="both"/>
              <w:textAlignment w:val="auto"/>
              <w:rPr>
                <w:rFonts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首次注册供应商：请根据《SRM非生产供应商注册手册》（附件16）完成平台账号注册。</w:t>
            </w:r>
          </w:p>
          <w:p w14:paraId="6F0AD927">
            <w:pPr>
              <w:pStyle w:val="142"/>
              <w:keepNext w:val="0"/>
              <w:keepLines w:val="0"/>
              <w:pageBreakBefore w:val="0"/>
              <w:widowControl w:val="0"/>
              <w:kinsoku/>
              <w:wordWrap/>
              <w:overflowPunct/>
              <w:topLinePunct w:val="0"/>
              <w:autoSpaceDE/>
              <w:autoSpaceDN/>
              <w:bidi w:val="0"/>
              <w:adjustRightInd/>
              <w:snapToGrid/>
              <w:spacing w:line="240" w:lineRule="auto"/>
              <w:ind w:left="420" w:leftChars="200" w:firstLine="720" w:firstLineChars="300"/>
              <w:jc w:val="both"/>
              <w:textAlignment w:val="auto"/>
              <w:rPr>
                <w:rFonts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已注册供应商：请登录系统核对系统中2022-2024年度财务数据。</w:t>
            </w:r>
            <w:r>
              <w:rPr>
                <w:rFonts w:ascii="宋体" w:hAnsi="宋体" w:eastAsia="宋体" w:cs="宋体"/>
                <w:kern w:val="2"/>
                <w:sz w:val="24"/>
                <w:szCs w:val="24"/>
                <w:lang w:val="en-US" w:eastAsia="zh-CN" w:bidi="ar-SA"/>
              </w:rPr>
              <w:t>如尚未填写或信息不全，请参照《SRM非生产供应商注册手册》（附件</w:t>
            </w:r>
            <w:r>
              <w:rPr>
                <w:rFonts w:hint="eastAsia" w:ascii="宋体" w:hAnsi="宋体" w:eastAsia="宋体" w:cs="宋体"/>
                <w:kern w:val="2"/>
                <w:sz w:val="24"/>
                <w:szCs w:val="24"/>
                <w:lang w:val="en-US" w:eastAsia="zh-CN" w:bidi="ar-SA"/>
              </w:rPr>
              <w:t>16</w:t>
            </w:r>
            <w:r>
              <w:rPr>
                <w:rFonts w:ascii="宋体" w:hAnsi="宋体" w:eastAsia="宋体" w:cs="宋体"/>
                <w:kern w:val="2"/>
                <w:sz w:val="24"/>
                <w:szCs w:val="24"/>
                <w:lang w:val="en-US" w:eastAsia="zh-CN" w:bidi="ar-SA"/>
              </w:rPr>
              <w:t>）及时进行补充与更新，确保信息真实、完整。</w:t>
            </w:r>
          </w:p>
          <w:p w14:paraId="0E398D01">
            <w:pPr>
              <w:pStyle w:val="142"/>
              <w:keepNext w:val="0"/>
              <w:keepLines w:val="0"/>
              <w:pageBreakBefore w:val="0"/>
              <w:widowControl w:val="0"/>
              <w:kinsoku/>
              <w:wordWrap/>
              <w:overflowPunct/>
              <w:topLinePunct w:val="0"/>
              <w:autoSpaceDE/>
              <w:autoSpaceDN/>
              <w:bidi w:val="0"/>
              <w:adjustRightInd/>
              <w:snapToGrid/>
              <w:spacing w:before="60" w:beforeLines="25" w:line="240" w:lineRule="auto"/>
              <w:ind w:left="420" w:leftChars="200" w:firstLine="480" w:firstLineChars="200"/>
              <w:jc w:val="both"/>
              <w:textAlignment w:val="auto"/>
              <w:rPr>
                <w:rFonts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②应标流程</w:t>
            </w:r>
          </w:p>
          <w:p w14:paraId="50E31F20">
            <w:pPr>
              <w:pStyle w:val="142"/>
              <w:keepNext w:val="0"/>
              <w:keepLines w:val="0"/>
              <w:pageBreakBefore w:val="0"/>
              <w:widowControl w:val="0"/>
              <w:kinsoku/>
              <w:wordWrap/>
              <w:overflowPunct/>
              <w:topLinePunct w:val="0"/>
              <w:autoSpaceDE/>
              <w:autoSpaceDN/>
              <w:bidi w:val="0"/>
              <w:adjustRightInd/>
              <w:snapToGrid/>
              <w:spacing w:line="240" w:lineRule="auto"/>
              <w:ind w:left="420" w:leftChars="200" w:firstLine="480" w:firstLineChars="200"/>
              <w:jc w:val="both"/>
              <w:textAlignment w:val="auto"/>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注册及财务数据维护完成后，参照《SRM系统供应商用户手册》（附件17）登录平台，进入“供应商应标”模块，选择对应项目点击“应标”，并按照招标文件第三部分投标文件组成资格证明文件中的</w:t>
            </w:r>
            <w:r>
              <w:rPr>
                <w:rFonts w:hint="eastAsia" w:ascii="宋体" w:hAnsi="宋体" w:eastAsia="宋体" w:cs="宋体"/>
                <w:color w:val="FF0000"/>
                <w:kern w:val="2"/>
                <w:sz w:val="24"/>
                <w:szCs w:val="24"/>
                <w:lang w:val="en-US" w:eastAsia="zh-CN" w:bidi="ar-SA"/>
              </w:rPr>
              <w:t>1.1</w:t>
            </w:r>
            <w:r>
              <w:rPr>
                <w:rFonts w:ascii="宋体" w:hAnsi="宋体" w:eastAsia="宋体" w:cs="宋体"/>
                <w:color w:val="FF0000"/>
                <w:kern w:val="2"/>
                <w:sz w:val="24"/>
                <w:szCs w:val="24"/>
                <w:lang w:val="en-US" w:eastAsia="zh-CN" w:bidi="ar-SA"/>
              </w:rPr>
              <w:t>-</w:t>
            </w:r>
            <w:r>
              <w:rPr>
                <w:rFonts w:hint="eastAsia" w:ascii="宋体" w:hAnsi="宋体" w:eastAsia="宋体" w:cs="宋体"/>
                <w:color w:val="FF0000"/>
                <w:kern w:val="2"/>
                <w:sz w:val="24"/>
                <w:szCs w:val="24"/>
                <w:lang w:val="en-US" w:eastAsia="zh-CN" w:bidi="ar-SA"/>
              </w:rPr>
              <w:t>1.1</w:t>
            </w:r>
            <w:r>
              <w:rPr>
                <w:rFonts w:hint="eastAsia" w:hAnsi="宋体" w:eastAsia="宋体" w:cs="宋体"/>
                <w:color w:val="FF0000"/>
                <w:kern w:val="2"/>
                <w:sz w:val="24"/>
                <w:szCs w:val="24"/>
                <w:lang w:val="en-US" w:eastAsia="zh-CN" w:bidi="ar-SA"/>
              </w:rPr>
              <w:t>3</w:t>
            </w:r>
            <w:r>
              <w:rPr>
                <w:rFonts w:hint="eastAsia" w:ascii="宋体" w:hAnsi="宋体" w:eastAsia="宋体" w:cs="宋体"/>
                <w:kern w:val="2"/>
                <w:sz w:val="24"/>
                <w:szCs w:val="24"/>
                <w:lang w:val="en-US" w:eastAsia="zh-CN" w:bidi="ar-SA"/>
              </w:rPr>
              <w:t>准备资料并上传。资质审查通过后，视为报名成功。</w:t>
            </w:r>
          </w:p>
          <w:p w14:paraId="342DFE92">
            <w:pPr>
              <w:pStyle w:val="142"/>
              <w:keepNext w:val="0"/>
              <w:keepLines w:val="0"/>
              <w:pageBreakBefore w:val="0"/>
              <w:widowControl w:val="0"/>
              <w:kinsoku/>
              <w:wordWrap/>
              <w:overflowPunct/>
              <w:topLinePunct w:val="0"/>
              <w:autoSpaceDE/>
              <w:autoSpaceDN/>
              <w:bidi w:val="0"/>
              <w:adjustRightInd/>
              <w:snapToGrid/>
              <w:spacing w:line="240" w:lineRule="auto"/>
              <w:ind w:left="420" w:leftChars="200" w:firstLine="480" w:firstLineChars="200"/>
              <w:jc w:val="both"/>
              <w:textAlignment w:val="auto"/>
              <w:rPr>
                <w:rFonts w:hint="eastAsia" w:eastAsia="宋体" w:cs="宋体"/>
                <w:b/>
                <w:bCs/>
              </w:rPr>
            </w:pPr>
            <w:r>
              <w:rPr>
                <w:rFonts w:hint="eastAsia" w:ascii="宋体" w:hAnsi="宋体" w:eastAsia="宋体" w:cs="宋体"/>
                <w:kern w:val="2"/>
                <w:sz w:val="24"/>
                <w:szCs w:val="24"/>
                <w:lang w:val="en-US" w:eastAsia="zh-CN" w:bidi="ar-SA"/>
              </w:rPr>
              <w:t>如资质文件被退回，请按审核意见修改后重新上传。请注意：</w:t>
            </w:r>
            <w:r>
              <w:rPr>
                <w:rFonts w:hint="eastAsia" w:ascii="宋体" w:hAnsi="宋体" w:eastAsia="宋体" w:cs="宋体"/>
                <w:b/>
                <w:bCs/>
                <w:kern w:val="2"/>
                <w:sz w:val="24"/>
                <w:szCs w:val="24"/>
                <w:lang w:val="en-US" w:eastAsia="zh-CN" w:bidi="ar-SA"/>
              </w:rPr>
              <w:t>应标截止时间后将无法再次上传或修改应标文件。</w:t>
            </w:r>
          </w:p>
        </w:tc>
      </w:tr>
      <w:tr w14:paraId="084CA89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33" w:hRule="atLeast"/>
        </w:trPr>
        <w:tc>
          <w:tcPr>
            <w:tcW w:w="595" w:type="dxa"/>
            <w:vMerge w:val="continue"/>
            <w:tcBorders>
              <w:left w:val="single" w:color="auto" w:sz="2" w:space="0"/>
              <w:right w:val="single" w:color="auto" w:sz="2" w:space="0"/>
            </w:tcBorders>
            <w:vAlign w:val="center"/>
          </w:tcPr>
          <w:p w14:paraId="096CF30F">
            <w:pPr>
              <w:jc w:val="left"/>
              <w:rPr>
                <w:rFonts w:hint="eastAsia"/>
              </w:rPr>
            </w:pPr>
          </w:p>
        </w:tc>
        <w:tc>
          <w:tcPr>
            <w:tcW w:w="8363" w:type="dxa"/>
            <w:tcBorders>
              <w:top w:val="single" w:color="auto" w:sz="2" w:space="0"/>
              <w:left w:val="single" w:color="auto" w:sz="2" w:space="0"/>
              <w:bottom w:val="single" w:color="auto" w:sz="2" w:space="0"/>
              <w:right w:val="single" w:color="auto" w:sz="2" w:space="0"/>
            </w:tcBorders>
            <w:vAlign w:val="center"/>
          </w:tcPr>
          <w:p w14:paraId="33B529BE">
            <w:pPr>
              <w:pStyle w:val="117"/>
              <w:spacing w:line="240" w:lineRule="auto"/>
              <w:ind w:firstLine="482"/>
              <w:rPr>
                <w:rFonts w:hint="eastAsia" w:eastAsia="宋体" w:cs="宋体"/>
              </w:rPr>
            </w:pPr>
            <w:r>
              <w:rPr>
                <w:rFonts w:hint="eastAsia" w:eastAsia="宋体" w:cs="宋体"/>
                <w:b/>
                <w:bCs/>
                <w:color w:val="FF0000"/>
              </w:rPr>
              <w:t>应标截止时间：</w:t>
            </w:r>
            <w:r>
              <w:rPr>
                <w:rFonts w:hint="eastAsia" w:eastAsia="宋体" w:cs="宋体"/>
                <w:color w:val="FF0000"/>
              </w:rPr>
              <w:t>2026年</w:t>
            </w:r>
            <w:r>
              <w:rPr>
                <w:rFonts w:hint="eastAsia" w:eastAsia="宋体" w:cs="宋体"/>
                <w:color w:val="FF0000"/>
                <w:u w:val="single"/>
                <w:lang w:val="en-US" w:eastAsia="zh-CN"/>
              </w:rPr>
              <w:t>2</w:t>
            </w:r>
            <w:r>
              <w:rPr>
                <w:rFonts w:hint="eastAsia" w:eastAsia="宋体" w:cs="宋体"/>
                <w:color w:val="FF0000"/>
              </w:rPr>
              <w:t>月</w:t>
            </w:r>
            <w:r>
              <w:rPr>
                <w:rFonts w:hint="eastAsia" w:eastAsia="宋体" w:cs="宋体"/>
                <w:color w:val="FF0000"/>
                <w:lang w:val="en-US" w:eastAsia="zh-CN"/>
              </w:rPr>
              <w:t>11</w:t>
            </w:r>
            <w:r>
              <w:rPr>
                <w:rFonts w:hint="eastAsia" w:eastAsia="宋体" w:cs="宋体"/>
                <w:color w:val="FF0000"/>
              </w:rPr>
              <w:t>日23:00</w:t>
            </w:r>
            <w:r>
              <w:rPr>
                <w:rFonts w:hint="eastAsia" w:eastAsia="宋体" w:cs="宋体"/>
                <w:bCs/>
                <w:color w:val="FF0000"/>
              </w:rPr>
              <w:t>:00</w:t>
            </w:r>
            <w:r>
              <w:rPr>
                <w:rFonts w:hint="eastAsia" w:eastAsia="宋体" w:cs="宋体"/>
                <w:color w:val="FF0000"/>
              </w:rPr>
              <w:t>前</w:t>
            </w:r>
          </w:p>
          <w:p w14:paraId="480F26B4">
            <w:pPr>
              <w:pStyle w:val="117"/>
              <w:spacing w:line="240" w:lineRule="auto"/>
              <w:ind w:firstLine="482"/>
              <w:rPr>
                <w:rFonts w:hint="eastAsia" w:eastAsia="宋体" w:cs="宋体"/>
              </w:rPr>
            </w:pPr>
            <w:r>
              <w:rPr>
                <w:rFonts w:hint="eastAsia" w:eastAsia="宋体" w:cs="宋体"/>
                <w:b/>
                <w:bCs/>
              </w:rPr>
              <w:t>注：请务必在应标截止时间前完成注册及应标操作，注册审核需2-4日，应标截止时间精确到秒，逾期将无法应标。请自行掌握时间，避免无法应标。</w:t>
            </w:r>
          </w:p>
        </w:tc>
      </w:tr>
      <w:tr w14:paraId="16013C7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82"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7FEBD96E">
            <w:pPr>
              <w:jc w:val="center"/>
              <w:rPr>
                <w:rFonts w:hint="eastAsia" w:ascii="宋体" w:hAnsi="宋体" w:eastAsia="宋体" w:cs="宋体"/>
                <w:b/>
                <w:bCs/>
                <w:sz w:val="24"/>
                <w:szCs w:val="24"/>
              </w:rPr>
            </w:pPr>
            <w:r>
              <w:rPr>
                <w:rFonts w:hint="eastAsia" w:ascii="宋体" w:hAnsi="宋体" w:eastAsia="宋体" w:cs="宋体"/>
                <w:b/>
                <w:bCs/>
                <w:sz w:val="24"/>
                <w:szCs w:val="24"/>
              </w:rPr>
              <w:t>3.投标文件的组成、编制及投递</w:t>
            </w:r>
          </w:p>
        </w:tc>
      </w:tr>
      <w:tr w14:paraId="011BA61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51" w:hRule="atLeast"/>
        </w:trPr>
        <w:tc>
          <w:tcPr>
            <w:tcW w:w="595" w:type="dxa"/>
            <w:tcBorders>
              <w:top w:val="single" w:color="auto" w:sz="2" w:space="0"/>
              <w:left w:val="single" w:color="auto" w:sz="2" w:space="0"/>
              <w:bottom w:val="single" w:color="auto" w:sz="2" w:space="0"/>
              <w:right w:val="single" w:color="auto" w:sz="2" w:space="0"/>
            </w:tcBorders>
            <w:vAlign w:val="center"/>
          </w:tcPr>
          <w:p w14:paraId="487A2DB3">
            <w:pPr>
              <w:jc w:val="center"/>
              <w:rPr>
                <w:rFonts w:hint="eastAsia" w:ascii="宋体" w:hAnsi="宋体" w:eastAsia="宋体" w:cs="宋体"/>
                <w:sz w:val="24"/>
                <w:szCs w:val="24"/>
              </w:rPr>
            </w:pPr>
            <w:r>
              <w:rPr>
                <w:rFonts w:hint="eastAsia" w:ascii="宋体" w:hAnsi="宋体" w:eastAsia="宋体" w:cs="宋体"/>
                <w:sz w:val="24"/>
                <w:szCs w:val="24"/>
              </w:rPr>
              <w:t>3.1</w:t>
            </w:r>
          </w:p>
        </w:tc>
        <w:tc>
          <w:tcPr>
            <w:tcW w:w="8363" w:type="dxa"/>
            <w:tcBorders>
              <w:top w:val="single" w:color="auto" w:sz="2" w:space="0"/>
              <w:left w:val="single" w:color="auto" w:sz="2" w:space="0"/>
              <w:bottom w:val="single" w:color="auto" w:sz="2" w:space="0"/>
              <w:right w:val="single" w:color="auto" w:sz="2" w:space="0"/>
            </w:tcBorders>
            <w:vAlign w:val="center"/>
          </w:tcPr>
          <w:p w14:paraId="1237FEE7">
            <w:pPr>
              <w:ind w:firstLine="480" w:firstLineChars="200"/>
              <w:rPr>
                <w:rFonts w:hint="eastAsia" w:ascii="宋体" w:hAnsi="宋体" w:eastAsia="宋体" w:cs="宋体"/>
                <w:bCs/>
                <w:sz w:val="24"/>
                <w:szCs w:val="24"/>
              </w:rPr>
            </w:pPr>
            <w:r>
              <w:rPr>
                <w:rFonts w:hint="eastAsia" w:eastAsia="宋体" w:cs="宋体"/>
                <w:bCs/>
                <w:sz w:val="24"/>
                <w:szCs w:val="24"/>
              </w:rPr>
              <w:t>本项目投标文件为盖章扫描版</w:t>
            </w:r>
            <w:r>
              <w:rPr>
                <w:rFonts w:hint="eastAsia" w:eastAsia="宋体" w:cs="宋体"/>
                <w:b/>
                <w:sz w:val="24"/>
                <w:szCs w:val="24"/>
              </w:rPr>
              <w:t>电子版</w:t>
            </w:r>
            <w:r>
              <w:rPr>
                <w:rFonts w:hint="eastAsia" w:eastAsia="宋体" w:cs="宋体"/>
                <w:bCs/>
                <w:sz w:val="24"/>
                <w:szCs w:val="24"/>
              </w:rPr>
              <w:t>投标文件，均由</w:t>
            </w:r>
            <w:r>
              <w:rPr>
                <w:rFonts w:hint="eastAsia" w:eastAsia="宋体" w:cs="宋体"/>
                <w:b/>
                <w:sz w:val="24"/>
                <w:szCs w:val="24"/>
              </w:rPr>
              <w:t>《投标文件（资质标）》、《投标文件（技术标）》、《投标文件（商务标）》</w:t>
            </w:r>
            <w:r>
              <w:rPr>
                <w:rFonts w:hint="eastAsia" w:eastAsia="宋体" w:cs="宋体"/>
                <w:bCs/>
                <w:sz w:val="24"/>
                <w:szCs w:val="24"/>
              </w:rPr>
              <w:t>文件组成，共计3个文件</w:t>
            </w:r>
            <w:r>
              <w:rPr>
                <w:rFonts w:hint="eastAsia" w:ascii="宋体" w:hAnsi="宋体" w:eastAsia="宋体" w:cs="宋体"/>
                <w:bCs/>
                <w:sz w:val="24"/>
                <w:szCs w:val="24"/>
              </w:rPr>
              <w:t>。</w:t>
            </w:r>
          </w:p>
          <w:p w14:paraId="093A935A">
            <w:pPr>
              <w:ind w:firstLine="482" w:firstLineChars="200"/>
              <w:rPr>
                <w:rFonts w:hint="eastAsia" w:ascii="宋体" w:hAnsi="宋体" w:eastAsia="宋体" w:cs="宋体"/>
                <w:b/>
                <w:sz w:val="24"/>
                <w:szCs w:val="24"/>
              </w:rPr>
            </w:pPr>
            <w:r>
              <w:rPr>
                <w:rFonts w:hint="eastAsia" w:eastAsia="宋体" w:cs="宋体"/>
                <w:b/>
                <w:sz w:val="24"/>
                <w:szCs w:val="24"/>
              </w:rPr>
              <w:t>《投标文件（资质标）》</w:t>
            </w:r>
            <w:r>
              <w:rPr>
                <w:rFonts w:hint="eastAsia" w:ascii="宋体" w:hAnsi="宋体" w:eastAsia="宋体" w:cs="宋体"/>
                <w:bCs/>
                <w:sz w:val="24"/>
                <w:szCs w:val="24"/>
              </w:rPr>
              <w:t>一个文件（里面是全部资质投标书），</w:t>
            </w:r>
            <w:r>
              <w:rPr>
                <w:rFonts w:hint="eastAsia" w:eastAsia="宋体" w:cs="宋体"/>
                <w:b/>
                <w:sz w:val="24"/>
                <w:szCs w:val="24"/>
              </w:rPr>
              <w:t>投标文件（技术标）》</w:t>
            </w:r>
            <w:r>
              <w:rPr>
                <w:rFonts w:hint="eastAsia" w:ascii="宋体" w:hAnsi="宋体" w:eastAsia="宋体" w:cs="宋体"/>
                <w:bCs/>
                <w:sz w:val="24"/>
                <w:szCs w:val="24"/>
              </w:rPr>
              <w:t>一个文件（里面是全部技术投标书），</w:t>
            </w:r>
            <w:r>
              <w:rPr>
                <w:rFonts w:hint="eastAsia" w:eastAsia="宋体" w:cs="宋体"/>
                <w:b/>
                <w:sz w:val="24"/>
                <w:szCs w:val="24"/>
              </w:rPr>
              <w:t>《投标文件（商务标）》（开标一览表）</w:t>
            </w:r>
            <w:r>
              <w:rPr>
                <w:rFonts w:hint="eastAsia" w:ascii="宋体" w:hAnsi="宋体" w:eastAsia="宋体" w:cs="宋体"/>
                <w:bCs/>
                <w:sz w:val="24"/>
                <w:szCs w:val="24"/>
              </w:rPr>
              <w:t>一个文件（里面是全部商务投标书），</w:t>
            </w:r>
            <w:r>
              <w:rPr>
                <w:rFonts w:hint="eastAsia" w:ascii="宋体" w:hAnsi="宋体" w:eastAsia="宋体" w:cs="宋体"/>
                <w:b/>
                <w:sz w:val="24"/>
                <w:szCs w:val="24"/>
              </w:rPr>
              <w:t>具体组成等详细要求见招标文件第三部分投标文件编制第三条。</w:t>
            </w:r>
          </w:p>
          <w:p w14:paraId="27339659">
            <w:pPr>
              <w:ind w:firstLine="480" w:firstLineChars="200"/>
              <w:rPr>
                <w:rFonts w:hint="eastAsia" w:ascii="宋体" w:hAnsi="宋体" w:eastAsia="宋体" w:cs="宋体"/>
                <w:sz w:val="24"/>
                <w:szCs w:val="24"/>
              </w:rPr>
            </w:pPr>
            <w:r>
              <w:rPr>
                <w:rFonts w:hint="eastAsia" w:ascii="宋体" w:hAnsi="宋体" w:eastAsia="宋体" w:cs="宋体"/>
                <w:bCs/>
                <w:color w:val="000000"/>
                <w:sz w:val="24"/>
                <w:szCs w:val="24"/>
              </w:rPr>
              <w:t>注意：不按此要求提供投标文件的，投标文件做无效标处理。</w:t>
            </w:r>
          </w:p>
        </w:tc>
      </w:tr>
      <w:tr w14:paraId="35DC381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1244" w:hRule="atLeast"/>
        </w:trPr>
        <w:tc>
          <w:tcPr>
            <w:tcW w:w="595" w:type="dxa"/>
            <w:tcBorders>
              <w:top w:val="single" w:color="auto" w:sz="2" w:space="0"/>
              <w:left w:val="single" w:color="auto" w:sz="2" w:space="0"/>
              <w:bottom w:val="single" w:color="auto" w:sz="2" w:space="0"/>
              <w:right w:val="single" w:color="auto" w:sz="2" w:space="0"/>
            </w:tcBorders>
            <w:vAlign w:val="center"/>
          </w:tcPr>
          <w:p w14:paraId="1CBF2DA0">
            <w:pPr>
              <w:jc w:val="center"/>
              <w:rPr>
                <w:rFonts w:hint="eastAsia" w:ascii="宋体" w:hAnsi="宋体" w:eastAsia="宋体" w:cs="宋体"/>
                <w:sz w:val="24"/>
                <w:szCs w:val="24"/>
              </w:rPr>
            </w:pPr>
            <w:r>
              <w:rPr>
                <w:rFonts w:hint="eastAsia" w:ascii="宋体" w:hAnsi="宋体" w:eastAsia="宋体" w:cs="宋体"/>
                <w:sz w:val="24"/>
                <w:szCs w:val="24"/>
              </w:rPr>
              <w:t>3.2</w:t>
            </w:r>
          </w:p>
        </w:tc>
        <w:tc>
          <w:tcPr>
            <w:tcW w:w="8363" w:type="dxa"/>
            <w:tcBorders>
              <w:top w:val="single" w:color="auto" w:sz="2" w:space="0"/>
              <w:left w:val="single" w:color="auto" w:sz="2" w:space="0"/>
              <w:bottom w:val="single" w:color="auto" w:sz="2" w:space="0"/>
              <w:right w:val="single" w:color="auto" w:sz="2" w:space="0"/>
            </w:tcBorders>
            <w:vAlign w:val="center"/>
          </w:tcPr>
          <w:p w14:paraId="6D461D3A">
            <w:pPr>
              <w:pStyle w:val="20"/>
              <w:ind w:firstLine="482" w:firstLineChars="200"/>
              <w:rPr>
                <w:rFonts w:hint="eastAsia" w:hAnsi="宋体" w:eastAsia="宋体" w:cs="Times New Roman"/>
                <w:color w:val="000000"/>
                <w:sz w:val="24"/>
                <w:szCs w:val="24"/>
              </w:rPr>
            </w:pPr>
            <w:r>
              <w:rPr>
                <w:rFonts w:hint="eastAsia" w:eastAsia="宋体" w:cs="宋体"/>
                <w:b/>
                <w:sz w:val="24"/>
                <w:szCs w:val="24"/>
              </w:rPr>
              <w:t>投标方式：在中国重汽e采通平台应标成功后，进入“供应商投标”环节，投递盖章扫描版电子标书（包含资质标书、技术标书、商务标书），</w:t>
            </w:r>
            <w:r>
              <w:rPr>
                <w:rFonts w:hAnsi="宋体" w:eastAsia="宋体" w:cs="宋体"/>
                <w:sz w:val="24"/>
                <w:szCs w:val="24"/>
              </w:rPr>
              <w:t>若逾期未</w:t>
            </w:r>
            <w:r>
              <w:rPr>
                <w:rFonts w:hint="eastAsia" w:hAnsi="宋体" w:eastAsia="宋体" w:cs="宋体"/>
                <w:sz w:val="24"/>
                <w:szCs w:val="24"/>
              </w:rPr>
              <w:t>在中国</w:t>
            </w:r>
            <w:r>
              <w:rPr>
                <w:rFonts w:hAnsi="宋体" w:eastAsia="宋体" w:cs="宋体"/>
                <w:sz w:val="24"/>
                <w:szCs w:val="24"/>
              </w:rPr>
              <w:t>重汽e采通</w:t>
            </w:r>
            <w:r>
              <w:rPr>
                <w:rFonts w:hint="eastAsia" w:hAnsi="宋体" w:eastAsia="宋体" w:cs="宋体"/>
                <w:sz w:val="24"/>
                <w:szCs w:val="24"/>
              </w:rPr>
              <w:t>平台</w:t>
            </w:r>
            <w:r>
              <w:rPr>
                <w:rFonts w:hAnsi="宋体" w:eastAsia="宋体" w:cs="宋体"/>
                <w:sz w:val="24"/>
                <w:szCs w:val="24"/>
              </w:rPr>
              <w:t>上传</w:t>
            </w:r>
            <w:r>
              <w:rPr>
                <w:rFonts w:hint="eastAsia" w:hAnsi="宋体" w:eastAsia="宋体" w:cs="宋体"/>
                <w:sz w:val="24"/>
                <w:szCs w:val="24"/>
              </w:rPr>
              <w:t>电子</w:t>
            </w:r>
            <w:r>
              <w:rPr>
                <w:rFonts w:hAnsi="宋体" w:eastAsia="宋体" w:cs="宋体"/>
                <w:sz w:val="24"/>
                <w:szCs w:val="24"/>
              </w:rPr>
              <w:t>标书，即便递交了纸版投标文件，一律视为无效投标</w:t>
            </w:r>
            <w:r>
              <w:rPr>
                <w:rFonts w:hint="eastAsia" w:eastAsia="宋体" w:cs="宋体"/>
                <w:b/>
                <w:sz w:val="24"/>
                <w:szCs w:val="24"/>
              </w:rPr>
              <w:t>。</w:t>
            </w:r>
          </w:p>
        </w:tc>
      </w:tr>
      <w:tr w14:paraId="568B05E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69" w:hRule="atLeast"/>
        </w:trPr>
        <w:tc>
          <w:tcPr>
            <w:tcW w:w="595" w:type="dxa"/>
            <w:tcBorders>
              <w:top w:val="single" w:color="auto" w:sz="2" w:space="0"/>
              <w:left w:val="single" w:color="auto" w:sz="2" w:space="0"/>
              <w:bottom w:val="single" w:color="auto" w:sz="2" w:space="0"/>
              <w:right w:val="single" w:color="auto" w:sz="2" w:space="0"/>
            </w:tcBorders>
            <w:vAlign w:val="center"/>
          </w:tcPr>
          <w:p w14:paraId="5C5F94F4">
            <w:pPr>
              <w:jc w:val="center"/>
              <w:rPr>
                <w:rFonts w:hint="eastAsia" w:ascii="宋体" w:hAnsi="宋体" w:eastAsia="宋体" w:cs="宋体"/>
                <w:sz w:val="24"/>
                <w:szCs w:val="24"/>
              </w:rPr>
            </w:pPr>
            <w:r>
              <w:rPr>
                <w:rFonts w:hint="eastAsia" w:ascii="宋体" w:hAnsi="宋体" w:eastAsia="宋体" w:cs="宋体"/>
                <w:sz w:val="24"/>
                <w:szCs w:val="24"/>
              </w:rPr>
              <w:t>3.3</w:t>
            </w:r>
          </w:p>
        </w:tc>
        <w:tc>
          <w:tcPr>
            <w:tcW w:w="8363" w:type="dxa"/>
            <w:tcBorders>
              <w:top w:val="single" w:color="auto" w:sz="2" w:space="0"/>
              <w:left w:val="single" w:color="auto" w:sz="2" w:space="0"/>
              <w:bottom w:val="single" w:color="auto" w:sz="2" w:space="0"/>
              <w:right w:val="single" w:color="auto" w:sz="2" w:space="0"/>
            </w:tcBorders>
            <w:vAlign w:val="center"/>
          </w:tcPr>
          <w:p w14:paraId="59E237FF">
            <w:pPr>
              <w:pStyle w:val="20"/>
              <w:ind w:firstLine="482" w:firstLineChars="200"/>
              <w:rPr>
                <w:rFonts w:hint="eastAsia" w:hAnsi="宋体" w:eastAsia="宋体" w:cs="宋体"/>
                <w:b/>
                <w:bCs/>
                <w:sz w:val="24"/>
                <w:szCs w:val="24"/>
              </w:rPr>
            </w:pPr>
            <w:r>
              <w:rPr>
                <w:rFonts w:hint="eastAsia" w:hAnsi="宋体" w:eastAsia="宋体" w:cs="宋体"/>
                <w:b/>
                <w:bCs/>
                <w:sz w:val="24"/>
              </w:rPr>
              <w:t>以系统中上传的电子标书为准。</w:t>
            </w:r>
          </w:p>
        </w:tc>
      </w:tr>
      <w:tr w14:paraId="615A95F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988" w:hRule="atLeast"/>
        </w:trPr>
        <w:tc>
          <w:tcPr>
            <w:tcW w:w="595" w:type="dxa"/>
            <w:tcBorders>
              <w:top w:val="single" w:color="auto" w:sz="2" w:space="0"/>
              <w:left w:val="single" w:color="auto" w:sz="2" w:space="0"/>
              <w:bottom w:val="single" w:color="auto" w:sz="2" w:space="0"/>
              <w:right w:val="single" w:color="auto" w:sz="2" w:space="0"/>
            </w:tcBorders>
            <w:vAlign w:val="center"/>
          </w:tcPr>
          <w:p w14:paraId="2E6F6290">
            <w:pPr>
              <w:jc w:val="center"/>
              <w:rPr>
                <w:rFonts w:hint="eastAsia" w:ascii="宋体" w:hAnsi="宋体" w:eastAsia="宋体" w:cs="宋体"/>
                <w:sz w:val="24"/>
                <w:szCs w:val="24"/>
              </w:rPr>
            </w:pPr>
            <w:r>
              <w:rPr>
                <w:rFonts w:hint="eastAsia" w:ascii="宋体" w:hAnsi="宋体" w:eastAsia="宋体" w:cs="宋体"/>
                <w:sz w:val="24"/>
                <w:szCs w:val="24"/>
              </w:rPr>
              <w:t>3.4</w:t>
            </w:r>
          </w:p>
        </w:tc>
        <w:tc>
          <w:tcPr>
            <w:tcW w:w="8363" w:type="dxa"/>
            <w:tcBorders>
              <w:top w:val="single" w:color="auto" w:sz="2" w:space="0"/>
              <w:left w:val="single" w:color="auto" w:sz="2" w:space="0"/>
              <w:bottom w:val="single" w:color="auto" w:sz="2" w:space="0"/>
              <w:right w:val="single" w:color="auto" w:sz="2" w:space="0"/>
            </w:tcBorders>
            <w:vAlign w:val="center"/>
          </w:tcPr>
          <w:p w14:paraId="022505C2">
            <w:pPr>
              <w:pStyle w:val="20"/>
              <w:ind w:firstLine="480" w:firstLineChars="200"/>
              <w:rPr>
                <w:rFonts w:hint="eastAsia" w:eastAsia="宋体" w:cs="宋体" w:asciiTheme="minorHAnsi" w:hAnsiTheme="minorHAnsi"/>
                <w:b/>
                <w:sz w:val="24"/>
                <w:szCs w:val="24"/>
              </w:rPr>
            </w:pPr>
            <w:r>
              <w:rPr>
                <w:rFonts w:hint="eastAsia" w:hAnsi="宋体" w:eastAsia="宋体" w:cs="宋体"/>
                <w:sz w:val="24"/>
                <w:szCs w:val="24"/>
              </w:rPr>
              <w:t>投标人必须将投标文件按照资质标文件1册、技术标文件1册、商务标文件1册</w:t>
            </w:r>
            <w:r>
              <w:rPr>
                <w:rFonts w:hint="eastAsia" w:hAnsi="宋体" w:eastAsia="宋体" w:cs="宋体"/>
                <w:b/>
                <w:bCs/>
                <w:sz w:val="24"/>
                <w:szCs w:val="24"/>
              </w:rPr>
              <w:t>进行编制。</w:t>
            </w:r>
          </w:p>
        </w:tc>
      </w:tr>
      <w:tr w14:paraId="2ECEA47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41" w:hRule="atLeast"/>
        </w:trPr>
        <w:tc>
          <w:tcPr>
            <w:tcW w:w="595" w:type="dxa"/>
            <w:tcBorders>
              <w:top w:val="single" w:color="auto" w:sz="2" w:space="0"/>
              <w:left w:val="single" w:color="auto" w:sz="2" w:space="0"/>
              <w:bottom w:val="single" w:color="auto" w:sz="2" w:space="0"/>
              <w:right w:val="single" w:color="auto" w:sz="2" w:space="0"/>
            </w:tcBorders>
            <w:vAlign w:val="center"/>
          </w:tcPr>
          <w:p w14:paraId="6B3881FE">
            <w:pPr>
              <w:jc w:val="center"/>
              <w:rPr>
                <w:rFonts w:hint="eastAsia" w:ascii="宋体" w:hAnsi="宋体" w:eastAsia="宋体" w:cs="宋体"/>
                <w:sz w:val="24"/>
                <w:szCs w:val="24"/>
              </w:rPr>
            </w:pPr>
            <w:r>
              <w:rPr>
                <w:rFonts w:hint="eastAsia" w:ascii="宋体" w:hAnsi="宋体" w:eastAsia="宋体" w:cs="宋体"/>
                <w:sz w:val="24"/>
                <w:szCs w:val="24"/>
              </w:rPr>
              <w:t>3.5</w:t>
            </w:r>
          </w:p>
        </w:tc>
        <w:tc>
          <w:tcPr>
            <w:tcW w:w="8363" w:type="dxa"/>
            <w:tcBorders>
              <w:top w:val="single" w:color="auto" w:sz="2" w:space="0"/>
              <w:left w:val="single" w:color="auto" w:sz="2" w:space="0"/>
              <w:bottom w:val="single" w:color="auto" w:sz="2" w:space="0"/>
              <w:right w:val="single" w:color="auto" w:sz="2" w:space="0"/>
            </w:tcBorders>
            <w:vAlign w:val="center"/>
          </w:tcPr>
          <w:p w14:paraId="71DFECE0">
            <w:pPr>
              <w:pStyle w:val="20"/>
              <w:ind w:firstLine="482" w:firstLineChars="200"/>
              <w:rPr>
                <w:rFonts w:hint="eastAsia" w:hAnsi="宋体" w:eastAsia="宋体" w:cs="宋体"/>
                <w:sz w:val="24"/>
                <w:szCs w:val="24"/>
              </w:rPr>
            </w:pPr>
            <w:r>
              <w:rPr>
                <w:rFonts w:hint="eastAsia" w:hAnsi="宋体" w:eastAsia="宋体" w:cs="宋体"/>
                <w:b/>
                <w:bCs/>
                <w:sz w:val="24"/>
                <w:szCs w:val="24"/>
              </w:rPr>
              <w:t>投标文件递交截止时间：</w:t>
            </w:r>
            <w:r>
              <w:rPr>
                <w:rFonts w:hint="eastAsia" w:hAnsi="宋体" w:eastAsia="宋体" w:cs="宋体"/>
                <w:sz w:val="24"/>
                <w:szCs w:val="24"/>
                <w:highlight w:val="yellow"/>
                <w:u w:val="single"/>
              </w:rPr>
              <w:t>2026</w:t>
            </w:r>
            <w:r>
              <w:rPr>
                <w:rFonts w:hint="eastAsia" w:hAnsi="宋体" w:eastAsia="宋体" w:cs="宋体"/>
                <w:sz w:val="24"/>
                <w:szCs w:val="24"/>
                <w:highlight w:val="yellow"/>
              </w:rPr>
              <w:t>年</w:t>
            </w:r>
            <w:r>
              <w:rPr>
                <w:rFonts w:hint="eastAsia" w:hAnsi="宋体" w:eastAsia="宋体" w:cs="宋体"/>
                <w:sz w:val="24"/>
                <w:szCs w:val="24"/>
                <w:highlight w:val="yellow"/>
                <w:u w:val="single"/>
                <w:lang w:val="en-US" w:eastAsia="zh-CN"/>
              </w:rPr>
              <w:t>2</w:t>
            </w:r>
            <w:r>
              <w:rPr>
                <w:rFonts w:hint="eastAsia" w:hAnsi="宋体" w:eastAsia="宋体" w:cs="宋体"/>
                <w:sz w:val="24"/>
                <w:szCs w:val="24"/>
                <w:highlight w:val="yellow"/>
              </w:rPr>
              <w:t>月</w:t>
            </w:r>
            <w:r>
              <w:rPr>
                <w:rFonts w:hint="eastAsia" w:hAnsi="宋体" w:eastAsia="宋体" w:cs="宋体"/>
                <w:sz w:val="24"/>
                <w:szCs w:val="24"/>
                <w:highlight w:val="yellow"/>
                <w:lang w:val="en-US" w:eastAsia="zh-CN"/>
              </w:rPr>
              <w:t>16</w:t>
            </w:r>
            <w:r>
              <w:rPr>
                <w:rFonts w:hint="eastAsia" w:hAnsi="宋体" w:eastAsia="宋体" w:cs="宋体"/>
                <w:sz w:val="24"/>
                <w:szCs w:val="24"/>
                <w:highlight w:val="yellow"/>
              </w:rPr>
              <w:t>日上</w:t>
            </w:r>
            <w:r>
              <w:rPr>
                <w:rFonts w:hint="eastAsia" w:hAnsi="宋体" w:eastAsia="宋体" w:cs="宋体"/>
                <w:kern w:val="0"/>
                <w:sz w:val="24"/>
                <w:szCs w:val="24"/>
                <w:highlight w:val="yellow"/>
              </w:rPr>
              <w:t>午9</w:t>
            </w:r>
            <w:r>
              <w:rPr>
                <w:rFonts w:hint="eastAsia" w:hAnsi="宋体" w:eastAsia="宋体" w:cs="宋体"/>
                <w:sz w:val="24"/>
                <w:szCs w:val="24"/>
                <w:highlight w:val="yellow"/>
              </w:rPr>
              <w:t>:00:00（北京时间）</w:t>
            </w:r>
          </w:p>
          <w:p w14:paraId="368F341A">
            <w:pPr>
              <w:pStyle w:val="20"/>
              <w:ind w:firstLine="482" w:firstLineChars="200"/>
              <w:rPr>
                <w:rFonts w:hint="eastAsia" w:hAnsi="宋体" w:eastAsia="宋体" w:cs="宋体"/>
                <w:sz w:val="24"/>
                <w:szCs w:val="24"/>
              </w:rPr>
            </w:pPr>
            <w:r>
              <w:rPr>
                <w:rFonts w:hint="eastAsia" w:hAnsi="宋体" w:eastAsia="宋体" w:cs="宋体"/>
                <w:b/>
                <w:bCs/>
                <w:sz w:val="24"/>
                <w:szCs w:val="24"/>
              </w:rPr>
              <w:t>注：请务必在投标文件递交截止时间前完成投标操作，截止时间精确到秒，逾期将无法投标。请自行掌握时间，避免无法投标</w:t>
            </w:r>
            <w:r>
              <w:rPr>
                <w:rFonts w:hint="eastAsia" w:eastAsia="宋体" w:cs="宋体"/>
                <w:b/>
                <w:bCs/>
                <w:sz w:val="24"/>
                <w:szCs w:val="28"/>
              </w:rPr>
              <w:t>。</w:t>
            </w:r>
          </w:p>
        </w:tc>
      </w:tr>
      <w:tr w14:paraId="65B7774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47" w:hRule="atLeast"/>
        </w:trPr>
        <w:tc>
          <w:tcPr>
            <w:tcW w:w="595" w:type="dxa"/>
            <w:tcBorders>
              <w:top w:val="single" w:color="auto" w:sz="2" w:space="0"/>
              <w:left w:val="single" w:color="auto" w:sz="2" w:space="0"/>
              <w:bottom w:val="single" w:color="auto" w:sz="2" w:space="0"/>
              <w:right w:val="single" w:color="auto" w:sz="2" w:space="0"/>
            </w:tcBorders>
            <w:vAlign w:val="center"/>
          </w:tcPr>
          <w:p w14:paraId="4888F71F">
            <w:pPr>
              <w:jc w:val="center"/>
              <w:rPr>
                <w:rFonts w:hint="eastAsia" w:ascii="宋体" w:hAnsi="宋体" w:eastAsia="宋体" w:cs="宋体"/>
                <w:sz w:val="24"/>
                <w:szCs w:val="24"/>
              </w:rPr>
            </w:pPr>
            <w:r>
              <w:rPr>
                <w:rFonts w:hint="eastAsia" w:ascii="宋体" w:hAnsi="宋体" w:eastAsia="宋体" w:cs="宋体"/>
                <w:sz w:val="24"/>
                <w:szCs w:val="24"/>
              </w:rPr>
              <w:t>3.6</w:t>
            </w:r>
          </w:p>
        </w:tc>
        <w:tc>
          <w:tcPr>
            <w:tcW w:w="8363" w:type="dxa"/>
            <w:tcBorders>
              <w:top w:val="single" w:color="auto" w:sz="2" w:space="0"/>
              <w:left w:val="single" w:color="auto" w:sz="2" w:space="0"/>
              <w:bottom w:val="single" w:color="auto" w:sz="2" w:space="0"/>
              <w:right w:val="single" w:color="auto" w:sz="2" w:space="0"/>
            </w:tcBorders>
            <w:vAlign w:val="center"/>
          </w:tcPr>
          <w:p w14:paraId="497D4471">
            <w:pPr>
              <w:ind w:firstLine="482" w:firstLineChars="200"/>
              <w:rPr>
                <w:rFonts w:hint="eastAsia" w:ascii="宋体" w:hAnsi="宋体" w:eastAsia="宋体" w:cs="宋体"/>
                <w:sz w:val="24"/>
                <w:szCs w:val="24"/>
              </w:rPr>
            </w:pPr>
            <w:r>
              <w:rPr>
                <w:rFonts w:hint="eastAsia" w:ascii="宋体" w:hAnsi="宋体" w:eastAsia="宋体" w:cs="宋体"/>
                <w:b/>
                <w:bCs/>
                <w:sz w:val="24"/>
                <w:szCs w:val="24"/>
              </w:rPr>
              <w:t>投标文件有效期：</w:t>
            </w:r>
            <w:r>
              <w:rPr>
                <w:rFonts w:hint="eastAsia" w:ascii="宋体" w:hAnsi="宋体" w:eastAsia="宋体" w:cs="宋体"/>
                <w:sz w:val="24"/>
                <w:szCs w:val="24"/>
                <w:highlight w:val="yellow"/>
              </w:rPr>
              <w:t>自开标之日起90个日历日。</w:t>
            </w:r>
          </w:p>
        </w:tc>
      </w:tr>
      <w:tr w14:paraId="7D94EA1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01"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4A677233">
            <w:pPr>
              <w:jc w:val="center"/>
              <w:rPr>
                <w:rFonts w:hint="eastAsia" w:ascii="宋体" w:hAnsi="宋体" w:eastAsia="宋体" w:cs="宋体"/>
                <w:b/>
                <w:bCs/>
                <w:sz w:val="24"/>
                <w:szCs w:val="24"/>
              </w:rPr>
            </w:pPr>
            <w:r>
              <w:rPr>
                <w:rFonts w:hint="eastAsia" w:ascii="宋体" w:hAnsi="宋体" w:eastAsia="宋体" w:cs="宋体"/>
                <w:b/>
                <w:bCs/>
                <w:sz w:val="24"/>
                <w:szCs w:val="24"/>
              </w:rPr>
              <w:t>4.投标保证金及投标有效期</w:t>
            </w:r>
          </w:p>
        </w:tc>
      </w:tr>
      <w:tr w14:paraId="4D3C6F1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89" w:hRule="atLeast"/>
        </w:trPr>
        <w:tc>
          <w:tcPr>
            <w:tcW w:w="595" w:type="dxa"/>
            <w:tcBorders>
              <w:top w:val="single" w:color="auto" w:sz="2" w:space="0"/>
              <w:left w:val="single" w:color="auto" w:sz="2" w:space="0"/>
              <w:bottom w:val="single" w:color="auto" w:sz="2" w:space="0"/>
              <w:right w:val="single" w:color="auto" w:sz="2" w:space="0"/>
            </w:tcBorders>
            <w:vAlign w:val="center"/>
          </w:tcPr>
          <w:p w14:paraId="54E54CD8">
            <w:pPr>
              <w:jc w:val="center"/>
              <w:rPr>
                <w:rFonts w:hint="eastAsia" w:ascii="宋体" w:hAnsi="宋体" w:eastAsia="宋体" w:cs="宋体"/>
                <w:sz w:val="24"/>
                <w:szCs w:val="24"/>
              </w:rPr>
            </w:pPr>
            <w:r>
              <w:rPr>
                <w:rFonts w:hint="eastAsia" w:ascii="宋体" w:hAnsi="宋体" w:eastAsia="宋体" w:cs="宋体"/>
                <w:sz w:val="24"/>
                <w:szCs w:val="24"/>
              </w:rPr>
              <w:t>4.1</w:t>
            </w:r>
          </w:p>
        </w:tc>
        <w:tc>
          <w:tcPr>
            <w:tcW w:w="8363" w:type="dxa"/>
            <w:tcBorders>
              <w:top w:val="single" w:color="auto" w:sz="2" w:space="0"/>
              <w:left w:val="single" w:color="auto" w:sz="2" w:space="0"/>
              <w:bottom w:val="single" w:color="auto" w:sz="2" w:space="0"/>
              <w:right w:val="single" w:color="auto" w:sz="2" w:space="0"/>
            </w:tcBorders>
            <w:vAlign w:val="center"/>
          </w:tcPr>
          <w:p w14:paraId="7BC1E83C">
            <w:pPr>
              <w:ind w:firstLine="482" w:firstLineChars="200"/>
              <w:rPr>
                <w:rFonts w:hint="eastAsia" w:ascii="宋体" w:hAnsi="宋体" w:eastAsia="宋体" w:cs="宋体"/>
                <w:sz w:val="24"/>
                <w:szCs w:val="24"/>
              </w:rPr>
            </w:pPr>
            <w:r>
              <w:rPr>
                <w:rFonts w:hint="eastAsia" w:ascii="宋体" w:hAnsi="宋体" w:eastAsia="宋体" w:cs="宋体"/>
                <w:b/>
                <w:bCs/>
                <w:sz w:val="24"/>
                <w:szCs w:val="24"/>
              </w:rPr>
              <w:t>投标保证金的缴纳形式：</w:t>
            </w:r>
            <w:r>
              <w:rPr>
                <w:rFonts w:hint="eastAsia" w:ascii="宋体" w:hAnsi="宋体" w:eastAsia="宋体" w:cs="宋体"/>
                <w:szCs w:val="21"/>
                <w:u w:val="single"/>
              </w:rPr>
              <w:t>提交银行投标保函或从银行基本账户转账</w:t>
            </w:r>
          </w:p>
          <w:p w14:paraId="58F749F8">
            <w:pPr>
              <w:pStyle w:val="142"/>
              <w:numPr>
                <w:ilvl w:val="0"/>
                <w:numId w:val="0"/>
              </w:numPr>
              <w:spacing w:line="240" w:lineRule="auto"/>
              <w:ind w:leftChars="0"/>
              <w:rPr>
                <w:rFonts w:hint="eastAsia" w:hAnsi="宋体" w:eastAsia="宋体" w:cs="宋体"/>
                <w:sz w:val="24"/>
                <w:szCs w:val="24"/>
              </w:rPr>
            </w:pPr>
            <w:r>
              <w:rPr>
                <w:rFonts w:hint="eastAsia" w:hAnsi="宋体" w:eastAsia="宋体" w:cs="宋体"/>
                <w:szCs w:val="21"/>
                <w:lang w:val="en-US" w:eastAsia="zh-CN"/>
              </w:rPr>
              <w:t xml:space="preserve">    </w:t>
            </w:r>
            <w:r>
              <w:rPr>
                <w:rFonts w:hint="eastAsia" w:hAnsi="宋体" w:eastAsia="宋体" w:cs="宋体"/>
                <w:szCs w:val="21"/>
              </w:rPr>
              <w:t>选择提交银行投标保函的拟投标人，应在开标时提交投标保函正本，作为《投标文件》的一部分，该投标保函应是不可撤销的“见索即付”保函，保函有效期应满足投标有效期要求，由招标人留存保函正本。</w:t>
            </w:r>
          </w:p>
          <w:p w14:paraId="21DD98D2">
            <w:pPr>
              <w:ind w:firstLine="420" w:firstLineChars="200"/>
              <w:rPr>
                <w:rFonts w:hint="eastAsia" w:ascii="宋体" w:hAnsi="宋体" w:eastAsia="宋体" w:cs="宋体"/>
                <w:sz w:val="24"/>
                <w:szCs w:val="24"/>
              </w:rPr>
            </w:pPr>
            <w:r>
              <w:rPr>
                <w:rFonts w:hint="eastAsia" w:ascii="宋体" w:hAnsi="宋体" w:eastAsia="宋体" w:cs="宋体"/>
                <w:szCs w:val="21"/>
              </w:rPr>
              <w:t>选择从银行基本账户转账的拟投标人，须在规定的时间之前将投标保证金从其单位基本帐户转出并到账，否则视为无效投标；未按规定提交保证金的拟投标人，其投标文件视为无效投标。拟投标人应充分考虑银行信息交换时间，由此带来的保证金不能按时到帐的责任由拟投标人自行承担。</w:t>
            </w:r>
          </w:p>
        </w:tc>
      </w:tr>
      <w:tr w14:paraId="26E9072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2690" w:hRule="atLeast"/>
        </w:trPr>
        <w:tc>
          <w:tcPr>
            <w:tcW w:w="595" w:type="dxa"/>
            <w:tcBorders>
              <w:top w:val="single" w:color="auto" w:sz="2" w:space="0"/>
              <w:left w:val="single" w:color="auto" w:sz="2" w:space="0"/>
              <w:bottom w:val="single" w:color="auto" w:sz="2" w:space="0"/>
              <w:right w:val="single" w:color="auto" w:sz="2" w:space="0"/>
            </w:tcBorders>
            <w:vAlign w:val="center"/>
          </w:tcPr>
          <w:p w14:paraId="227E3459">
            <w:pPr>
              <w:jc w:val="center"/>
              <w:rPr>
                <w:rFonts w:hint="eastAsia" w:ascii="宋体" w:hAnsi="宋体" w:eastAsia="宋体" w:cs="宋体"/>
                <w:sz w:val="24"/>
                <w:szCs w:val="24"/>
              </w:rPr>
            </w:pPr>
            <w:r>
              <w:rPr>
                <w:rFonts w:hint="eastAsia" w:ascii="宋体" w:hAnsi="宋体" w:eastAsia="宋体" w:cs="宋体"/>
                <w:sz w:val="24"/>
                <w:szCs w:val="24"/>
              </w:rPr>
              <w:t>4.2</w:t>
            </w:r>
          </w:p>
        </w:tc>
        <w:tc>
          <w:tcPr>
            <w:tcW w:w="8363" w:type="dxa"/>
            <w:tcBorders>
              <w:top w:val="single" w:color="auto" w:sz="2" w:space="0"/>
              <w:left w:val="single" w:color="auto" w:sz="2" w:space="0"/>
              <w:bottom w:val="single" w:color="auto" w:sz="2" w:space="0"/>
              <w:right w:val="single" w:color="auto" w:sz="2" w:space="0"/>
            </w:tcBorders>
            <w:vAlign w:val="center"/>
          </w:tcPr>
          <w:p w14:paraId="5EAB0B41">
            <w:pPr>
              <w:tabs>
                <w:tab w:val="left" w:pos="932"/>
              </w:tabs>
              <w:ind w:firstLine="482" w:firstLineChars="200"/>
              <w:rPr>
                <w:rFonts w:hint="eastAsia" w:ascii="宋体" w:hAnsi="宋体" w:eastAsia="宋体" w:cs="宋体"/>
                <w:sz w:val="24"/>
                <w:szCs w:val="24"/>
                <w:highlight w:val="yellow"/>
              </w:rPr>
            </w:pPr>
            <w:r>
              <w:rPr>
                <w:rFonts w:hint="eastAsia" w:ascii="宋体" w:hAnsi="宋体" w:eastAsia="宋体" w:cs="宋体"/>
                <w:b/>
                <w:bCs/>
                <w:sz w:val="24"/>
                <w:szCs w:val="24"/>
                <w:highlight w:val="yellow"/>
              </w:rPr>
              <w:t>投标保证金的金额：</w:t>
            </w:r>
            <w:r>
              <w:rPr>
                <w:rFonts w:hint="eastAsia" w:ascii="宋体" w:hAnsi="宋体" w:eastAsia="宋体" w:cs="宋体"/>
                <w:sz w:val="24"/>
                <w:szCs w:val="24"/>
                <w:highlight w:val="yellow"/>
              </w:rPr>
              <w:t>人民币100000元</w:t>
            </w:r>
          </w:p>
          <w:p w14:paraId="62DB9D0B">
            <w:pPr>
              <w:tabs>
                <w:tab w:val="left" w:pos="932"/>
              </w:tabs>
              <w:ind w:firstLine="482" w:firstLineChars="200"/>
              <w:rPr>
                <w:rFonts w:hint="eastAsia" w:ascii="宋体" w:hAnsi="宋体" w:eastAsia="宋体" w:cs="宋体"/>
                <w:kern w:val="0"/>
                <w:sz w:val="24"/>
                <w:szCs w:val="24"/>
                <w:highlight w:val="yellow"/>
              </w:rPr>
            </w:pPr>
            <w:r>
              <w:rPr>
                <w:rFonts w:hint="eastAsia" w:ascii="宋体" w:hAnsi="宋体" w:eastAsia="宋体" w:cs="宋体"/>
                <w:b/>
                <w:bCs/>
                <w:kern w:val="0"/>
                <w:sz w:val="24"/>
                <w:szCs w:val="24"/>
                <w:highlight w:val="yellow"/>
              </w:rPr>
              <w:t>开户名称：</w:t>
            </w:r>
            <w:r>
              <w:rPr>
                <w:rFonts w:hint="eastAsia" w:ascii="宋体" w:hAnsi="宋体" w:eastAsia="宋体" w:cs="宋体"/>
                <w:kern w:val="0"/>
                <w:sz w:val="24"/>
                <w:szCs w:val="24"/>
                <w:highlight w:val="yellow"/>
              </w:rPr>
              <w:t>中国重汽集团济南商用车有限公司</w:t>
            </w:r>
          </w:p>
          <w:p w14:paraId="1E24A66F">
            <w:pPr>
              <w:tabs>
                <w:tab w:val="left" w:pos="932"/>
              </w:tabs>
              <w:ind w:firstLine="482" w:firstLineChars="200"/>
              <w:rPr>
                <w:rFonts w:hint="eastAsia" w:ascii="宋体" w:hAnsi="宋体" w:eastAsia="宋体" w:cs="宋体"/>
                <w:kern w:val="0"/>
                <w:sz w:val="24"/>
                <w:szCs w:val="24"/>
                <w:highlight w:val="yellow"/>
              </w:rPr>
            </w:pPr>
            <w:r>
              <w:rPr>
                <w:rFonts w:hint="eastAsia" w:ascii="宋体" w:hAnsi="宋体" w:eastAsia="宋体" w:cs="宋体"/>
                <w:b/>
                <w:bCs/>
                <w:kern w:val="0"/>
                <w:sz w:val="24"/>
                <w:szCs w:val="24"/>
                <w:highlight w:val="yellow"/>
              </w:rPr>
              <w:t>开户银行：</w:t>
            </w:r>
            <w:r>
              <w:rPr>
                <w:rFonts w:hint="eastAsia" w:ascii="宋体" w:hAnsi="宋体" w:eastAsia="宋体" w:cs="宋体"/>
                <w:kern w:val="0"/>
                <w:sz w:val="24"/>
                <w:szCs w:val="24"/>
                <w:highlight w:val="yellow"/>
              </w:rPr>
              <w:t>中国银行股份有限公司章丘支行</w:t>
            </w:r>
          </w:p>
          <w:p w14:paraId="7F11B854">
            <w:pPr>
              <w:tabs>
                <w:tab w:val="left" w:pos="932"/>
              </w:tabs>
              <w:ind w:firstLine="482" w:firstLineChars="200"/>
              <w:rPr>
                <w:rFonts w:hint="eastAsia" w:ascii="宋体" w:hAnsi="宋体" w:eastAsia="宋体" w:cs="宋体"/>
                <w:kern w:val="0"/>
                <w:sz w:val="24"/>
                <w:szCs w:val="24"/>
                <w:highlight w:val="yellow"/>
              </w:rPr>
            </w:pPr>
            <w:r>
              <w:rPr>
                <w:rFonts w:hint="eastAsia" w:ascii="宋体" w:hAnsi="宋体" w:eastAsia="宋体" w:cs="宋体"/>
                <w:b/>
                <w:bCs/>
                <w:kern w:val="0"/>
                <w:sz w:val="24"/>
                <w:szCs w:val="24"/>
                <w:highlight w:val="yellow"/>
              </w:rPr>
              <w:t>银行帐号：</w:t>
            </w:r>
            <w:r>
              <w:rPr>
                <w:rFonts w:hint="eastAsia" w:ascii="宋体" w:hAnsi="宋体" w:eastAsia="宋体" w:cs="宋体"/>
                <w:kern w:val="0"/>
                <w:sz w:val="24"/>
                <w:szCs w:val="24"/>
                <w:highlight w:val="yellow"/>
              </w:rPr>
              <w:t>226005574527</w:t>
            </w:r>
          </w:p>
          <w:p w14:paraId="65D95DB5">
            <w:pPr>
              <w:ind w:firstLine="482" w:firstLineChars="200"/>
              <w:rPr>
                <w:rFonts w:hint="eastAsia" w:ascii="宋体" w:hAnsi="宋体" w:eastAsia="宋体" w:cs="宋体"/>
                <w:sz w:val="24"/>
                <w:szCs w:val="24"/>
                <w:highlight w:val="yellow"/>
              </w:rPr>
            </w:pPr>
            <w:r>
              <w:rPr>
                <w:rFonts w:hint="eastAsia" w:ascii="宋体" w:hAnsi="宋体" w:eastAsia="宋体" w:cs="宋体"/>
                <w:b/>
                <w:bCs/>
                <w:kern w:val="0"/>
                <w:sz w:val="24"/>
                <w:szCs w:val="24"/>
                <w:highlight w:val="yellow"/>
              </w:rPr>
              <w:t>联行号：</w:t>
            </w:r>
            <w:r>
              <w:rPr>
                <w:rFonts w:hint="eastAsia" w:ascii="宋体" w:hAnsi="宋体" w:eastAsia="宋体" w:cs="宋体"/>
                <w:kern w:val="0"/>
                <w:sz w:val="24"/>
                <w:szCs w:val="24"/>
                <w:highlight w:val="yellow"/>
              </w:rPr>
              <w:t>104451040689</w:t>
            </w:r>
          </w:p>
          <w:p w14:paraId="5EECD7DF">
            <w:pPr>
              <w:ind w:firstLine="480" w:firstLineChars="200"/>
              <w:rPr>
                <w:rFonts w:hint="eastAsia" w:ascii="宋体" w:hAnsi="宋体" w:eastAsia="宋体" w:cs="宋体"/>
                <w:sz w:val="24"/>
                <w:szCs w:val="24"/>
                <w:highlight w:val="yellow"/>
              </w:rPr>
            </w:pPr>
            <w:r>
              <w:rPr>
                <w:rFonts w:hint="eastAsia" w:ascii="宋体" w:hAnsi="宋体" w:eastAsia="宋体" w:cs="宋体"/>
                <w:sz w:val="24"/>
                <w:szCs w:val="24"/>
                <w:highlight w:val="yellow"/>
              </w:rPr>
              <w:t>投标保证金应从投标人的基本账户转出至上述账户并到账，否则视为无效投标。</w:t>
            </w:r>
          </w:p>
          <w:p w14:paraId="3F226E2A">
            <w:pPr>
              <w:ind w:firstLine="480" w:firstLineChars="200"/>
              <w:rPr>
                <w:rFonts w:hint="eastAsia" w:ascii="宋体" w:hAnsi="宋体" w:eastAsia="宋体" w:cs="宋体"/>
                <w:sz w:val="24"/>
                <w:szCs w:val="24"/>
              </w:rPr>
            </w:pPr>
            <w:r>
              <w:rPr>
                <w:rFonts w:hint="eastAsia" w:eastAsia="宋体" w:cs="Times New Roman"/>
                <w:sz w:val="24"/>
                <w:szCs w:val="28"/>
                <w:highlight w:val="yellow"/>
              </w:rPr>
              <w:t>转账附言：公司名称+项目名称+投标保证金。</w:t>
            </w:r>
          </w:p>
        </w:tc>
      </w:tr>
      <w:tr w14:paraId="130AB4F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961" w:hRule="atLeast"/>
        </w:trPr>
        <w:tc>
          <w:tcPr>
            <w:tcW w:w="595" w:type="dxa"/>
            <w:tcBorders>
              <w:top w:val="single" w:color="auto" w:sz="2" w:space="0"/>
              <w:left w:val="single" w:color="auto" w:sz="2" w:space="0"/>
              <w:bottom w:val="single" w:color="auto" w:sz="2" w:space="0"/>
              <w:right w:val="single" w:color="auto" w:sz="2" w:space="0"/>
            </w:tcBorders>
            <w:vAlign w:val="center"/>
          </w:tcPr>
          <w:p w14:paraId="54C4C227">
            <w:pPr>
              <w:jc w:val="center"/>
              <w:rPr>
                <w:rFonts w:hint="eastAsia" w:ascii="宋体" w:hAnsi="宋体" w:eastAsia="宋体" w:cs="宋体"/>
                <w:sz w:val="24"/>
                <w:szCs w:val="24"/>
              </w:rPr>
            </w:pPr>
            <w:r>
              <w:rPr>
                <w:rFonts w:hint="eastAsia" w:ascii="宋体" w:hAnsi="宋体" w:eastAsia="宋体" w:cs="宋体"/>
                <w:sz w:val="24"/>
                <w:szCs w:val="24"/>
              </w:rPr>
              <w:t>4.3</w:t>
            </w:r>
          </w:p>
        </w:tc>
        <w:tc>
          <w:tcPr>
            <w:tcW w:w="8363" w:type="dxa"/>
            <w:tcBorders>
              <w:top w:val="single" w:color="auto" w:sz="2" w:space="0"/>
              <w:left w:val="single" w:color="auto" w:sz="2" w:space="0"/>
              <w:bottom w:val="single" w:color="auto" w:sz="2" w:space="0"/>
              <w:right w:val="single" w:color="auto" w:sz="2" w:space="0"/>
            </w:tcBorders>
            <w:vAlign w:val="center"/>
          </w:tcPr>
          <w:p w14:paraId="1B594197">
            <w:pPr>
              <w:pStyle w:val="40"/>
              <w:spacing w:after="0" w:line="240" w:lineRule="auto"/>
              <w:ind w:left="0" w:leftChars="0" w:firstLine="482"/>
              <w:rPr>
                <w:rFonts w:hint="eastAsia" w:ascii="宋体" w:hAnsi="宋体" w:cs="宋体"/>
                <w:sz w:val="24"/>
                <w:szCs w:val="24"/>
              </w:rPr>
            </w:pPr>
            <w:r>
              <w:rPr>
                <w:rFonts w:hint="eastAsia" w:ascii="宋体" w:hAnsi="宋体" w:cs="宋体"/>
                <w:b/>
                <w:bCs/>
                <w:sz w:val="24"/>
                <w:szCs w:val="24"/>
              </w:rPr>
              <w:t>保证金缴纳截止时间：</w:t>
            </w:r>
            <w:r>
              <w:rPr>
                <w:rFonts w:hint="eastAsia" w:ascii="宋体" w:hAnsi="宋体" w:cs="宋体"/>
                <w:sz w:val="24"/>
                <w:szCs w:val="24"/>
                <w:highlight w:val="yellow"/>
              </w:rPr>
              <w:t>（同应标截止时间）</w:t>
            </w:r>
          </w:p>
          <w:p w14:paraId="4A35F527">
            <w:pPr>
              <w:pStyle w:val="40"/>
              <w:spacing w:after="0" w:line="240" w:lineRule="auto"/>
              <w:ind w:left="0" w:leftChars="0" w:firstLine="480"/>
              <w:rPr>
                <w:rFonts w:hint="eastAsia" w:ascii="宋体" w:hAnsi="宋体" w:cs="宋体"/>
                <w:sz w:val="24"/>
                <w:szCs w:val="24"/>
              </w:rPr>
            </w:pPr>
            <w:r>
              <w:rPr>
                <w:rFonts w:hint="eastAsia" w:ascii="宋体" w:hAnsi="宋体" w:cs="宋体"/>
                <w:sz w:val="24"/>
                <w:szCs w:val="24"/>
              </w:rPr>
              <w:t>供应商应充分考虑银行信息交换时间，由此带来的保证金不能按时到帐的责任由供应商自行承担。</w:t>
            </w:r>
          </w:p>
        </w:tc>
      </w:tr>
      <w:tr w14:paraId="09A26FE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90" w:hRule="atLeast"/>
        </w:trPr>
        <w:tc>
          <w:tcPr>
            <w:tcW w:w="595" w:type="dxa"/>
            <w:tcBorders>
              <w:top w:val="single" w:color="auto" w:sz="2" w:space="0"/>
              <w:left w:val="single" w:color="auto" w:sz="2" w:space="0"/>
              <w:bottom w:val="single" w:color="auto" w:sz="2" w:space="0"/>
              <w:right w:val="single" w:color="auto" w:sz="2" w:space="0"/>
            </w:tcBorders>
            <w:vAlign w:val="center"/>
          </w:tcPr>
          <w:p w14:paraId="1CCCE20A">
            <w:pPr>
              <w:jc w:val="center"/>
              <w:rPr>
                <w:rFonts w:hint="eastAsia" w:ascii="宋体" w:hAnsi="宋体" w:eastAsia="宋体" w:cs="宋体"/>
                <w:sz w:val="24"/>
                <w:szCs w:val="24"/>
              </w:rPr>
            </w:pPr>
            <w:r>
              <w:rPr>
                <w:rFonts w:hint="eastAsia" w:ascii="宋体" w:hAnsi="宋体" w:eastAsia="宋体" w:cs="宋体"/>
                <w:sz w:val="24"/>
                <w:szCs w:val="24"/>
              </w:rPr>
              <w:t>4.4</w:t>
            </w:r>
          </w:p>
        </w:tc>
        <w:tc>
          <w:tcPr>
            <w:tcW w:w="8363" w:type="dxa"/>
            <w:tcBorders>
              <w:top w:val="single" w:color="auto" w:sz="2" w:space="0"/>
              <w:left w:val="single" w:color="auto" w:sz="2" w:space="0"/>
              <w:bottom w:val="single" w:color="auto" w:sz="2" w:space="0"/>
              <w:right w:val="single" w:color="auto" w:sz="2" w:space="0"/>
            </w:tcBorders>
            <w:vAlign w:val="center"/>
          </w:tcPr>
          <w:p w14:paraId="7B085499">
            <w:pPr>
              <w:pStyle w:val="40"/>
              <w:spacing w:after="0" w:line="240" w:lineRule="auto"/>
              <w:ind w:left="0" w:leftChars="0" w:firstLine="480"/>
              <w:rPr>
                <w:rFonts w:hint="eastAsia" w:ascii="宋体" w:hAnsi="宋体" w:cs="宋体"/>
                <w:sz w:val="24"/>
                <w:szCs w:val="24"/>
              </w:rPr>
            </w:pPr>
            <w:r>
              <w:rPr>
                <w:rFonts w:hint="eastAsia" w:ascii="黑体" w:hAnsi="黑体" w:eastAsia="黑体" w:cs="黑体"/>
                <w:sz w:val="24"/>
                <w:szCs w:val="24"/>
              </w:rPr>
              <w:t>对于没有中标的投标人，投标保证金将于招标人内部完成中标人评审并确认最终中标人后</w:t>
            </w:r>
            <w:r>
              <w:rPr>
                <w:rFonts w:hint="eastAsia" w:hAnsi="黑体" w:cs="黑体"/>
                <w:sz w:val="24"/>
                <w:szCs w:val="24"/>
                <w:u w:val="single"/>
              </w:rPr>
              <w:t>一个付款周期</w:t>
            </w:r>
            <w:r>
              <w:rPr>
                <w:rFonts w:hint="eastAsia" w:ascii="黑体" w:hAnsi="黑体" w:eastAsia="黑体" w:cs="黑体"/>
                <w:sz w:val="24"/>
                <w:szCs w:val="24"/>
              </w:rPr>
              <w:t>予以原路返还（无息）；对于中标方，投标保证金将在签订合同后</w:t>
            </w:r>
            <w:r>
              <w:rPr>
                <w:rFonts w:hint="eastAsia" w:hAnsi="黑体" w:cs="黑体"/>
                <w:sz w:val="24"/>
                <w:szCs w:val="24"/>
                <w:u w:val="single"/>
              </w:rPr>
              <w:t>一个付款周期</w:t>
            </w:r>
            <w:r>
              <w:rPr>
                <w:rFonts w:hint="eastAsia" w:ascii="黑体" w:hAnsi="黑体" w:eastAsia="黑体" w:cs="黑体"/>
                <w:sz w:val="24"/>
                <w:szCs w:val="24"/>
              </w:rPr>
              <w:t>原路返还（无息）</w:t>
            </w:r>
            <w:r>
              <w:rPr>
                <w:rFonts w:hint="eastAsia" w:ascii="仿宋_GB2312" w:hAnsi="仿宋_GB2312" w:eastAsia="仿宋_GB2312" w:cs="仿宋_GB2312"/>
                <w:sz w:val="24"/>
                <w:szCs w:val="24"/>
              </w:rPr>
              <w:t>。</w:t>
            </w:r>
          </w:p>
        </w:tc>
      </w:tr>
      <w:tr w14:paraId="617DB12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9"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37AC2113">
            <w:pPr>
              <w:jc w:val="center"/>
              <w:rPr>
                <w:rFonts w:hint="eastAsia" w:ascii="宋体" w:hAnsi="宋体" w:eastAsia="宋体" w:cs="宋体"/>
                <w:b/>
                <w:bCs/>
                <w:sz w:val="24"/>
                <w:szCs w:val="24"/>
              </w:rPr>
            </w:pPr>
            <w:r>
              <w:rPr>
                <w:rFonts w:hint="eastAsia" w:ascii="宋体" w:hAnsi="宋体" w:eastAsia="宋体" w:cs="宋体"/>
                <w:b/>
                <w:bCs/>
                <w:sz w:val="24"/>
                <w:szCs w:val="24"/>
              </w:rPr>
              <w:t>5.开评标</w:t>
            </w:r>
          </w:p>
        </w:tc>
      </w:tr>
      <w:tr w14:paraId="7C82274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753" w:hRule="atLeast"/>
        </w:trPr>
        <w:tc>
          <w:tcPr>
            <w:tcW w:w="595" w:type="dxa"/>
            <w:tcBorders>
              <w:top w:val="single" w:color="auto" w:sz="2" w:space="0"/>
              <w:left w:val="single" w:color="auto" w:sz="2" w:space="0"/>
              <w:bottom w:val="single" w:color="auto" w:sz="2" w:space="0"/>
              <w:right w:val="single" w:color="auto" w:sz="2" w:space="0"/>
            </w:tcBorders>
            <w:vAlign w:val="center"/>
          </w:tcPr>
          <w:p w14:paraId="2E027B3D">
            <w:pPr>
              <w:jc w:val="center"/>
              <w:rPr>
                <w:rFonts w:hint="eastAsia" w:ascii="宋体" w:hAnsi="宋体" w:eastAsia="宋体" w:cs="宋体"/>
                <w:sz w:val="24"/>
                <w:szCs w:val="24"/>
              </w:rPr>
            </w:pPr>
            <w:r>
              <w:rPr>
                <w:rFonts w:hint="eastAsia" w:ascii="宋体" w:hAnsi="宋体" w:eastAsia="宋体" w:cs="宋体"/>
                <w:sz w:val="24"/>
                <w:szCs w:val="24"/>
              </w:rPr>
              <w:t>5.1</w:t>
            </w:r>
          </w:p>
        </w:tc>
        <w:tc>
          <w:tcPr>
            <w:tcW w:w="8363" w:type="dxa"/>
            <w:tcBorders>
              <w:top w:val="single" w:color="auto" w:sz="2" w:space="0"/>
              <w:left w:val="single" w:color="auto" w:sz="2" w:space="0"/>
              <w:bottom w:val="single" w:color="auto" w:sz="2" w:space="0"/>
              <w:right w:val="single" w:color="auto" w:sz="2" w:space="0"/>
            </w:tcBorders>
            <w:vAlign w:val="center"/>
          </w:tcPr>
          <w:p w14:paraId="303EAAFA">
            <w:pPr>
              <w:ind w:firstLine="482" w:firstLineChars="200"/>
              <w:rPr>
                <w:rFonts w:hint="eastAsia" w:ascii="宋体" w:hAnsi="宋体" w:eastAsia="宋体" w:cs="宋体"/>
                <w:sz w:val="24"/>
                <w:szCs w:val="24"/>
              </w:rPr>
            </w:pPr>
            <w:r>
              <w:rPr>
                <w:rFonts w:hint="eastAsia" w:ascii="宋体" w:hAnsi="宋体" w:eastAsia="宋体" w:cs="宋体"/>
                <w:b/>
                <w:bCs/>
                <w:sz w:val="24"/>
                <w:szCs w:val="24"/>
              </w:rPr>
              <w:t>开标时间：</w:t>
            </w:r>
            <w:r>
              <w:rPr>
                <w:rFonts w:hint="eastAsia" w:ascii="宋体" w:hAnsi="宋体" w:cs="宋体"/>
                <w:sz w:val="24"/>
                <w:szCs w:val="24"/>
                <w:highlight w:val="yellow"/>
              </w:rPr>
              <w:t>20</w:t>
            </w:r>
            <w:r>
              <w:rPr>
                <w:rFonts w:ascii="宋体" w:hAnsi="宋体" w:cs="宋体"/>
                <w:sz w:val="24"/>
                <w:szCs w:val="24"/>
                <w:highlight w:val="yellow"/>
              </w:rPr>
              <w:t>2</w:t>
            </w:r>
            <w:r>
              <w:rPr>
                <w:rFonts w:hint="eastAsia" w:ascii="宋体" w:hAnsi="宋体" w:cs="宋体"/>
                <w:sz w:val="24"/>
                <w:szCs w:val="24"/>
                <w:highlight w:val="yellow"/>
              </w:rPr>
              <w:t>6年</w:t>
            </w:r>
            <w:r>
              <w:rPr>
                <w:rFonts w:hint="eastAsia" w:ascii="宋体" w:hAnsi="宋体" w:eastAsia="宋体" w:cs="宋体"/>
                <w:bCs/>
                <w:sz w:val="24"/>
                <w:szCs w:val="24"/>
                <w:highlight w:val="yellow"/>
                <w:u w:val="single"/>
                <w:lang w:val="en-US" w:eastAsia="zh-CN"/>
              </w:rPr>
              <w:t>2</w:t>
            </w:r>
            <w:r>
              <w:rPr>
                <w:rFonts w:hint="eastAsia" w:ascii="宋体" w:hAnsi="宋体" w:cs="宋体"/>
                <w:sz w:val="24"/>
                <w:szCs w:val="24"/>
                <w:highlight w:val="yellow"/>
              </w:rPr>
              <w:t>月</w:t>
            </w:r>
            <w:r>
              <w:rPr>
                <w:rFonts w:hint="eastAsia" w:ascii="宋体" w:hAnsi="宋体" w:cs="宋体"/>
                <w:sz w:val="24"/>
                <w:szCs w:val="24"/>
                <w:highlight w:val="yellow"/>
                <w:lang w:val="en-US" w:eastAsia="zh-CN"/>
              </w:rPr>
              <w:t>24</w:t>
            </w:r>
            <w:r>
              <w:rPr>
                <w:rFonts w:hint="eastAsia" w:ascii="宋体" w:hAnsi="宋体" w:cs="宋体"/>
                <w:sz w:val="24"/>
                <w:szCs w:val="24"/>
                <w:highlight w:val="yellow"/>
              </w:rPr>
              <w:t>日9:</w:t>
            </w:r>
            <w:r>
              <w:rPr>
                <w:rFonts w:ascii="宋体" w:hAnsi="宋体" w:cs="宋体"/>
                <w:sz w:val="24"/>
                <w:szCs w:val="24"/>
                <w:highlight w:val="yellow"/>
              </w:rPr>
              <w:t>0</w:t>
            </w:r>
            <w:r>
              <w:rPr>
                <w:rFonts w:hint="eastAsia" w:ascii="宋体" w:hAnsi="宋体" w:cs="宋体"/>
                <w:sz w:val="24"/>
                <w:szCs w:val="24"/>
                <w:highlight w:val="yellow"/>
              </w:rPr>
              <w:t>0:00</w:t>
            </w:r>
            <w:r>
              <w:rPr>
                <w:rFonts w:hint="eastAsia" w:ascii="宋体" w:hAnsi="宋体" w:eastAsia="宋体" w:cs="宋体"/>
                <w:kern w:val="0"/>
                <w:sz w:val="24"/>
                <w:szCs w:val="24"/>
                <w:highlight w:val="yellow"/>
              </w:rPr>
              <w:t>。（暂定，以实际通知为准）</w:t>
            </w:r>
          </w:p>
          <w:p w14:paraId="6F320E29">
            <w:pPr>
              <w:ind w:firstLine="482" w:firstLineChars="200"/>
              <w:rPr>
                <w:rFonts w:hint="eastAsia" w:ascii="宋体" w:hAnsi="宋体" w:eastAsia="宋体" w:cs="宋体"/>
                <w:sz w:val="24"/>
                <w:szCs w:val="24"/>
              </w:rPr>
            </w:pPr>
            <w:r>
              <w:rPr>
                <w:rFonts w:hint="eastAsia" w:ascii="宋体" w:hAnsi="宋体" w:eastAsia="宋体" w:cs="宋体"/>
                <w:b/>
                <w:bCs/>
                <w:sz w:val="24"/>
                <w:szCs w:val="24"/>
              </w:rPr>
              <w:t>开标地点：</w:t>
            </w:r>
            <w:r>
              <w:rPr>
                <w:rFonts w:hint="eastAsia" w:ascii="宋体" w:hAnsi="宋体" w:eastAsia="宋体" w:cs="宋体"/>
                <w:sz w:val="24"/>
                <w:szCs w:val="24"/>
                <w:highlight w:val="yellow"/>
              </w:rPr>
              <w:t>济南市</w:t>
            </w:r>
            <w:r>
              <w:rPr>
                <w:rFonts w:hint="eastAsia" w:ascii="宋体" w:hAnsi="宋体" w:eastAsia="宋体" w:cs="Times New Roman"/>
                <w:color w:val="000000"/>
                <w:sz w:val="24"/>
                <w:szCs w:val="24"/>
                <w:highlight w:val="yellow"/>
                <w:lang w:val="en-US" w:eastAsia="zh-CN"/>
              </w:rPr>
              <w:t>章丘</w:t>
            </w:r>
            <w:r>
              <w:rPr>
                <w:rFonts w:hint="eastAsia" w:ascii="宋体" w:hAnsi="宋体" w:eastAsia="宋体" w:cs="Times New Roman"/>
                <w:color w:val="000000"/>
                <w:sz w:val="24"/>
                <w:szCs w:val="24"/>
                <w:highlight w:val="yellow"/>
              </w:rPr>
              <w:t>区</w:t>
            </w:r>
            <w:r>
              <w:rPr>
                <w:rFonts w:hint="eastAsia" w:ascii="宋体" w:hAnsi="宋体" w:eastAsia="宋体" w:cs="宋体"/>
                <w:sz w:val="24"/>
                <w:szCs w:val="24"/>
                <w:highlight w:val="yellow"/>
                <w:lang w:val="en-US" w:eastAsia="zh-CN"/>
              </w:rPr>
              <w:t>世纪大道</w:t>
            </w:r>
            <w:r>
              <w:rPr>
                <w:rFonts w:hint="eastAsia" w:ascii="宋体" w:hAnsi="宋体" w:eastAsia="宋体" w:cs="宋体"/>
                <w:sz w:val="24"/>
                <w:szCs w:val="24"/>
                <w:highlight w:val="yellow"/>
              </w:rPr>
              <w:t>777号</w:t>
            </w:r>
            <w:r>
              <w:rPr>
                <w:rFonts w:hint="eastAsia" w:ascii="宋体" w:hAnsi="宋体" w:eastAsia="宋体" w:cs="宋体"/>
                <w:sz w:val="24"/>
                <w:szCs w:val="24"/>
                <w:highlight w:val="yellow"/>
                <w:lang w:val="en-US" w:eastAsia="zh-CN"/>
              </w:rPr>
              <w:t>济南商用车公司车身部会议室</w:t>
            </w:r>
            <w:r>
              <w:rPr>
                <w:rFonts w:hint="eastAsia" w:ascii="宋体" w:hAnsi="宋体" w:eastAsia="宋体" w:cs="宋体"/>
                <w:sz w:val="24"/>
                <w:szCs w:val="24"/>
              </w:rPr>
              <w:t>。</w:t>
            </w:r>
          </w:p>
          <w:p w14:paraId="6E5636D3">
            <w:pPr>
              <w:ind w:firstLine="482" w:firstLineChars="200"/>
              <w:rPr>
                <w:rFonts w:hint="eastAsia" w:ascii="宋体" w:hAnsi="宋体" w:eastAsia="宋体" w:cs="宋体"/>
                <w:sz w:val="24"/>
                <w:szCs w:val="24"/>
              </w:rPr>
            </w:pPr>
            <w:r>
              <w:rPr>
                <w:rFonts w:hint="eastAsia" w:ascii="宋体" w:hAnsi="宋体" w:eastAsia="宋体" w:cs="宋体"/>
                <w:b/>
                <w:bCs/>
                <w:sz w:val="24"/>
                <w:szCs w:val="24"/>
              </w:rPr>
              <w:t>开标方式：</w:t>
            </w:r>
            <w:r>
              <w:rPr>
                <w:rFonts w:hint="eastAsia" w:ascii="宋体" w:hAnsi="宋体" w:eastAsia="宋体" w:cs="宋体"/>
                <w:b/>
                <w:bCs/>
                <w:sz w:val="24"/>
                <w:szCs w:val="24"/>
                <w:highlight w:val="none"/>
                <w:lang w:val="en-US" w:eastAsia="zh-CN"/>
              </w:rPr>
              <w:t>现场</w:t>
            </w:r>
            <w:r>
              <w:rPr>
                <w:rFonts w:hint="eastAsia" w:ascii="宋体" w:hAnsi="宋体" w:eastAsia="宋体" w:cs="宋体"/>
                <w:b/>
                <w:bCs/>
                <w:sz w:val="24"/>
                <w:szCs w:val="24"/>
                <w:highlight w:val="none"/>
              </w:rPr>
              <w:t>招标</w:t>
            </w:r>
            <w:r>
              <w:rPr>
                <w:rFonts w:hint="eastAsia" w:ascii="宋体" w:hAnsi="宋体" w:eastAsia="宋体" w:cs="宋体"/>
                <w:b/>
                <w:bCs/>
                <w:sz w:val="24"/>
                <w:szCs w:val="24"/>
              </w:rPr>
              <w:t>。</w:t>
            </w:r>
            <w:r>
              <w:rPr>
                <w:rFonts w:hint="eastAsia" w:ascii="宋体" w:hAnsi="宋体" w:eastAsia="宋体" w:cs="宋体"/>
                <w:sz w:val="24"/>
                <w:szCs w:val="24"/>
              </w:rPr>
              <w:t>因招标人原因，允许各投标方通过视频会议等形式线上招标，所需过程资料均通过e采通进行提报，由招标人创建视频链接，并在报名结束后统一通知。</w:t>
            </w:r>
          </w:p>
        </w:tc>
      </w:tr>
      <w:tr w14:paraId="2933933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43" w:hRule="atLeast"/>
        </w:trPr>
        <w:tc>
          <w:tcPr>
            <w:tcW w:w="595" w:type="dxa"/>
            <w:tcBorders>
              <w:top w:val="single" w:color="auto" w:sz="2" w:space="0"/>
              <w:left w:val="single" w:color="auto" w:sz="2" w:space="0"/>
              <w:bottom w:val="single" w:color="auto" w:sz="2" w:space="0"/>
              <w:right w:val="single" w:color="auto" w:sz="2" w:space="0"/>
            </w:tcBorders>
            <w:vAlign w:val="center"/>
          </w:tcPr>
          <w:p w14:paraId="2829948E">
            <w:pPr>
              <w:jc w:val="center"/>
              <w:rPr>
                <w:rFonts w:hint="eastAsia" w:ascii="宋体" w:hAnsi="宋体" w:eastAsia="宋体" w:cs="宋体"/>
                <w:sz w:val="24"/>
                <w:szCs w:val="24"/>
              </w:rPr>
            </w:pPr>
            <w:r>
              <w:rPr>
                <w:rFonts w:hint="eastAsia" w:ascii="宋体" w:hAnsi="宋体" w:eastAsia="宋体" w:cs="宋体"/>
                <w:sz w:val="24"/>
                <w:szCs w:val="24"/>
              </w:rPr>
              <w:t>5.2</w:t>
            </w:r>
          </w:p>
        </w:tc>
        <w:tc>
          <w:tcPr>
            <w:tcW w:w="8363" w:type="dxa"/>
            <w:tcBorders>
              <w:top w:val="single" w:color="auto" w:sz="2" w:space="0"/>
              <w:left w:val="single" w:color="auto" w:sz="2" w:space="0"/>
              <w:bottom w:val="single" w:color="auto" w:sz="2" w:space="0"/>
              <w:right w:val="single" w:color="auto" w:sz="2" w:space="0"/>
            </w:tcBorders>
            <w:vAlign w:val="center"/>
          </w:tcPr>
          <w:p w14:paraId="5E34C342">
            <w:pPr>
              <w:pStyle w:val="15"/>
              <w:ind w:firstLine="482" w:firstLineChars="200"/>
              <w:rPr>
                <w:rFonts w:hint="eastAsia" w:ascii="宋体" w:hAnsi="宋体" w:eastAsia="宋体" w:cs="宋体"/>
                <w:sz w:val="24"/>
                <w:szCs w:val="24"/>
              </w:rPr>
            </w:pPr>
            <w:r>
              <w:rPr>
                <w:rFonts w:hint="eastAsia" w:ascii="宋体" w:hAnsi="宋体" w:eastAsia="宋体" w:cs="宋体"/>
                <w:b/>
                <w:bCs/>
                <w:sz w:val="24"/>
                <w:szCs w:val="24"/>
              </w:rPr>
              <w:t>评标方法：资质标审核→技术标评审→商务标评审。技术标入围后，综合评标法评标，其中技术标占比</w:t>
            </w:r>
            <w:r>
              <w:rPr>
                <w:rFonts w:hint="eastAsia" w:ascii="宋体" w:hAnsi="宋体" w:eastAsia="宋体" w:cs="宋体"/>
                <w:b/>
                <w:bCs/>
                <w:sz w:val="24"/>
                <w:szCs w:val="24"/>
                <w:lang w:val="en-US" w:eastAsia="zh-CN"/>
              </w:rPr>
              <w:t>4</w:t>
            </w:r>
            <w:r>
              <w:rPr>
                <w:rFonts w:hint="eastAsia" w:ascii="宋体" w:hAnsi="宋体" w:eastAsia="宋体" w:cs="宋体"/>
                <w:b/>
                <w:bCs/>
                <w:sz w:val="24"/>
                <w:szCs w:val="24"/>
              </w:rPr>
              <w:t>0%，商务标占比</w:t>
            </w:r>
            <w:r>
              <w:rPr>
                <w:rFonts w:hint="eastAsia" w:ascii="宋体" w:hAnsi="宋体" w:eastAsia="宋体" w:cs="宋体"/>
                <w:b/>
                <w:bCs/>
                <w:sz w:val="24"/>
                <w:szCs w:val="24"/>
                <w:lang w:val="en-US" w:eastAsia="zh-CN"/>
              </w:rPr>
              <w:t>6</w:t>
            </w:r>
            <w:r>
              <w:rPr>
                <w:rFonts w:hint="eastAsia" w:ascii="宋体" w:hAnsi="宋体" w:eastAsia="宋体" w:cs="宋体"/>
                <w:b/>
                <w:bCs/>
                <w:sz w:val="24"/>
                <w:szCs w:val="24"/>
              </w:rPr>
              <w:t>0%</w:t>
            </w:r>
            <w:r>
              <w:rPr>
                <w:rFonts w:hint="eastAsia" w:ascii="宋体" w:hAnsi="宋体" w:eastAsia="宋体" w:cs="宋体"/>
                <w:b/>
                <w:sz w:val="24"/>
                <w:szCs w:val="24"/>
              </w:rPr>
              <w:t>。</w:t>
            </w:r>
            <w:r>
              <w:rPr>
                <w:rFonts w:hint="eastAsia" w:ascii="宋体" w:hAnsi="宋体" w:eastAsia="宋体" w:cs="宋体"/>
                <w:sz w:val="24"/>
                <w:szCs w:val="24"/>
              </w:rPr>
              <w:t>具体详见“第二部分投标须知第六条：评标原则”。</w:t>
            </w:r>
          </w:p>
        </w:tc>
      </w:tr>
      <w:tr w14:paraId="555B024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43"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3AA48A50">
            <w:pPr>
              <w:jc w:val="center"/>
              <w:rPr>
                <w:rFonts w:hint="eastAsia" w:ascii="宋体" w:hAnsi="宋体" w:eastAsia="宋体" w:cs="宋体"/>
                <w:sz w:val="24"/>
                <w:szCs w:val="24"/>
              </w:rPr>
            </w:pPr>
            <w:r>
              <w:rPr>
                <w:rFonts w:hint="eastAsia" w:ascii="宋体" w:hAnsi="宋体" w:eastAsia="宋体" w:cs="宋体"/>
                <w:b/>
                <w:bCs/>
                <w:sz w:val="24"/>
                <w:szCs w:val="24"/>
              </w:rPr>
              <w:t>6.合同签订</w:t>
            </w:r>
          </w:p>
        </w:tc>
      </w:tr>
      <w:tr w14:paraId="2A10B97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43" w:hRule="atLeast"/>
        </w:trPr>
        <w:tc>
          <w:tcPr>
            <w:tcW w:w="595" w:type="dxa"/>
            <w:tcBorders>
              <w:top w:val="single" w:color="auto" w:sz="2" w:space="0"/>
              <w:left w:val="single" w:color="auto" w:sz="2" w:space="0"/>
              <w:bottom w:val="single" w:color="auto" w:sz="2" w:space="0"/>
              <w:right w:val="single" w:color="auto" w:sz="2" w:space="0"/>
            </w:tcBorders>
            <w:vAlign w:val="center"/>
          </w:tcPr>
          <w:p w14:paraId="1F72D76D">
            <w:pPr>
              <w:jc w:val="center"/>
              <w:rPr>
                <w:rFonts w:hint="eastAsia" w:ascii="宋体" w:hAnsi="宋体" w:eastAsia="宋体" w:cs="宋体"/>
                <w:sz w:val="24"/>
                <w:szCs w:val="24"/>
              </w:rPr>
            </w:pPr>
            <w:r>
              <w:rPr>
                <w:rFonts w:hint="eastAsia" w:ascii="宋体" w:hAnsi="宋体" w:eastAsia="宋体" w:cs="宋体"/>
                <w:sz w:val="24"/>
                <w:szCs w:val="24"/>
              </w:rPr>
              <w:t>6.1</w:t>
            </w:r>
          </w:p>
        </w:tc>
        <w:tc>
          <w:tcPr>
            <w:tcW w:w="8363" w:type="dxa"/>
            <w:tcBorders>
              <w:top w:val="single" w:color="auto" w:sz="2" w:space="0"/>
              <w:left w:val="single" w:color="auto" w:sz="2" w:space="0"/>
              <w:bottom w:val="single" w:color="auto" w:sz="2" w:space="0"/>
              <w:right w:val="single" w:color="auto" w:sz="2" w:space="0"/>
            </w:tcBorders>
            <w:vAlign w:val="center"/>
          </w:tcPr>
          <w:p w14:paraId="13BF3995">
            <w:pPr>
              <w:ind w:firstLine="480" w:firstLineChars="200"/>
              <w:rPr>
                <w:rFonts w:hint="eastAsia" w:ascii="宋体" w:hAnsi="宋体" w:eastAsia="宋体" w:cs="宋体"/>
                <w:sz w:val="24"/>
                <w:szCs w:val="24"/>
              </w:rPr>
            </w:pPr>
            <w:r>
              <w:rPr>
                <w:rFonts w:hint="eastAsia" w:ascii="宋体" w:hAnsi="宋体" w:eastAsia="宋体" w:cs="宋体"/>
                <w:sz w:val="24"/>
                <w:szCs w:val="24"/>
              </w:rPr>
              <w:t>见第二部分投标须知第七条。</w:t>
            </w:r>
          </w:p>
        </w:tc>
      </w:tr>
      <w:tr w14:paraId="5F4EB22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54"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5EA79D69">
            <w:pPr>
              <w:jc w:val="center"/>
              <w:rPr>
                <w:rFonts w:hint="eastAsia" w:ascii="宋体" w:hAnsi="宋体" w:eastAsia="宋体" w:cs="宋体"/>
                <w:b/>
                <w:bCs/>
                <w:sz w:val="24"/>
                <w:szCs w:val="24"/>
              </w:rPr>
            </w:pPr>
            <w:r>
              <w:rPr>
                <w:rFonts w:hint="eastAsia" w:ascii="宋体" w:hAnsi="宋体" w:eastAsia="宋体" w:cs="宋体"/>
                <w:b/>
                <w:bCs/>
                <w:sz w:val="24"/>
                <w:szCs w:val="24"/>
              </w:rPr>
              <w:t>7.交货期及付款方式</w:t>
            </w:r>
          </w:p>
        </w:tc>
      </w:tr>
      <w:tr w14:paraId="47711C5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28" w:hRule="atLeast"/>
        </w:trPr>
        <w:tc>
          <w:tcPr>
            <w:tcW w:w="595" w:type="dxa"/>
            <w:tcBorders>
              <w:top w:val="single" w:color="auto" w:sz="2" w:space="0"/>
              <w:left w:val="single" w:color="auto" w:sz="2" w:space="0"/>
              <w:bottom w:val="single" w:color="auto" w:sz="2" w:space="0"/>
              <w:right w:val="single" w:color="auto" w:sz="2" w:space="0"/>
            </w:tcBorders>
            <w:vAlign w:val="center"/>
          </w:tcPr>
          <w:p w14:paraId="6915DA1C">
            <w:pPr>
              <w:jc w:val="center"/>
              <w:rPr>
                <w:rFonts w:hint="eastAsia" w:ascii="宋体" w:hAnsi="宋体" w:eastAsia="宋体" w:cs="宋体"/>
                <w:sz w:val="24"/>
                <w:szCs w:val="24"/>
              </w:rPr>
            </w:pPr>
            <w:r>
              <w:rPr>
                <w:rFonts w:hint="eastAsia" w:ascii="宋体" w:hAnsi="宋体" w:eastAsia="宋体" w:cs="宋体"/>
                <w:sz w:val="24"/>
                <w:szCs w:val="24"/>
              </w:rPr>
              <w:t>7.1</w:t>
            </w:r>
          </w:p>
        </w:tc>
        <w:tc>
          <w:tcPr>
            <w:tcW w:w="8363" w:type="dxa"/>
            <w:tcBorders>
              <w:top w:val="single" w:color="auto" w:sz="2" w:space="0"/>
              <w:left w:val="single" w:color="auto" w:sz="2" w:space="0"/>
              <w:bottom w:val="single" w:color="auto" w:sz="2" w:space="0"/>
              <w:right w:val="single" w:color="auto" w:sz="2" w:space="0"/>
            </w:tcBorders>
            <w:vAlign w:val="center"/>
          </w:tcPr>
          <w:p w14:paraId="065D50BF">
            <w:pPr>
              <w:pStyle w:val="20"/>
              <w:ind w:firstLine="482" w:firstLineChars="200"/>
              <w:rPr>
                <w:rFonts w:hint="eastAsia" w:hAnsi="宋体" w:eastAsia="宋体" w:cs="宋体"/>
                <w:b/>
                <w:bCs/>
                <w:color w:val="000000"/>
                <w:sz w:val="24"/>
                <w:szCs w:val="24"/>
              </w:rPr>
            </w:pPr>
            <w:r>
              <w:rPr>
                <w:rFonts w:hint="eastAsia" w:hAnsi="宋体" w:eastAsia="宋体" w:cs="宋体"/>
                <w:b/>
                <w:bCs/>
                <w:color w:val="000000"/>
                <w:sz w:val="24"/>
                <w:szCs w:val="24"/>
              </w:rPr>
              <w:t>交货期：</w:t>
            </w:r>
          </w:p>
          <w:p w14:paraId="44EF6A6E">
            <w:pPr>
              <w:ind w:firstLine="480" w:firstLineChars="200"/>
              <w:rPr>
                <w:rFonts w:hint="eastAsia" w:ascii="宋体" w:hAnsi="宋体" w:eastAsia="宋体" w:cs="宋体"/>
                <w:sz w:val="24"/>
                <w:szCs w:val="24"/>
              </w:rPr>
            </w:pPr>
            <w:r>
              <w:rPr>
                <w:rFonts w:hint="eastAsia" w:ascii="宋体" w:hAnsi="宋体" w:eastAsia="宋体" w:cs="宋体"/>
                <w:sz w:val="24"/>
                <w:szCs w:val="24"/>
              </w:rPr>
              <w:t>自合同签定生效之日起，</w:t>
            </w:r>
            <w:r>
              <w:rPr>
                <w:rFonts w:hint="eastAsia" w:ascii="宋体" w:hAnsi="宋体" w:eastAsia="宋体" w:cs="宋体"/>
                <w:sz w:val="24"/>
                <w:szCs w:val="24"/>
                <w:highlight w:val="yellow"/>
              </w:rPr>
              <w:t>210个日历日</w:t>
            </w:r>
            <w:r>
              <w:rPr>
                <w:rFonts w:hint="eastAsia" w:ascii="宋体" w:hAnsi="宋体" w:eastAsia="宋体" w:cs="宋体"/>
                <w:sz w:val="24"/>
                <w:szCs w:val="24"/>
              </w:rPr>
              <w:t>之内交货至供货地点。超过规定期限的投标人提供详细的到货计划。</w:t>
            </w:r>
          </w:p>
          <w:p w14:paraId="2FD2DCE5">
            <w:pPr>
              <w:ind w:firstLine="480" w:firstLineChars="200"/>
              <w:rPr>
                <w:rFonts w:hint="eastAsia" w:hAnsi="宋体" w:eastAsia="宋体" w:cs="宋体"/>
                <w:color w:val="000000"/>
                <w:sz w:val="24"/>
                <w:szCs w:val="24"/>
              </w:rPr>
            </w:pPr>
            <w:r>
              <w:rPr>
                <w:rFonts w:hint="eastAsia" w:ascii="宋体" w:hAnsi="宋体" w:eastAsia="宋体" w:cs="宋体"/>
                <w:sz w:val="24"/>
                <w:szCs w:val="24"/>
              </w:rPr>
              <w:t>安装调试工期超过</w:t>
            </w:r>
            <w:r>
              <w:rPr>
                <w:rFonts w:hint="eastAsia" w:ascii="宋体" w:hAnsi="宋体" w:eastAsia="宋体" w:cs="宋体"/>
                <w:sz w:val="24"/>
                <w:szCs w:val="24"/>
                <w:highlight w:val="yellow"/>
              </w:rPr>
              <w:t>30个日历日的</w:t>
            </w:r>
            <w:r>
              <w:rPr>
                <w:rFonts w:hint="eastAsia" w:ascii="宋体" w:hAnsi="宋体" w:eastAsia="宋体" w:cs="宋体"/>
                <w:sz w:val="24"/>
                <w:szCs w:val="24"/>
              </w:rPr>
              <w:t>，投标人应当随标书提供详细的工期计划</w:t>
            </w:r>
            <w:r>
              <w:rPr>
                <w:rFonts w:hint="eastAsia" w:ascii="宋体" w:hAnsi="宋体" w:eastAsia="宋体" w:cs="宋体"/>
                <w:color w:val="FF0000"/>
                <w:sz w:val="24"/>
                <w:szCs w:val="24"/>
              </w:rPr>
              <w:t>。</w:t>
            </w:r>
          </w:p>
        </w:tc>
      </w:tr>
      <w:tr w14:paraId="6F880F6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43" w:hRule="atLeast"/>
        </w:trPr>
        <w:tc>
          <w:tcPr>
            <w:tcW w:w="595" w:type="dxa"/>
            <w:tcBorders>
              <w:top w:val="single" w:color="auto" w:sz="2" w:space="0"/>
              <w:left w:val="single" w:color="auto" w:sz="2" w:space="0"/>
              <w:bottom w:val="single" w:color="auto" w:sz="2" w:space="0"/>
              <w:right w:val="single" w:color="auto" w:sz="2" w:space="0"/>
            </w:tcBorders>
            <w:vAlign w:val="center"/>
          </w:tcPr>
          <w:p w14:paraId="59597665">
            <w:pPr>
              <w:jc w:val="center"/>
              <w:rPr>
                <w:rFonts w:hint="eastAsia" w:ascii="宋体" w:hAnsi="宋体" w:eastAsia="宋体" w:cs="宋体"/>
                <w:sz w:val="24"/>
                <w:szCs w:val="24"/>
              </w:rPr>
            </w:pPr>
            <w:r>
              <w:rPr>
                <w:rFonts w:hint="eastAsia" w:ascii="宋体" w:hAnsi="宋体" w:eastAsia="宋体" w:cs="宋体"/>
                <w:sz w:val="24"/>
                <w:szCs w:val="24"/>
              </w:rPr>
              <w:t>7.2</w:t>
            </w:r>
          </w:p>
        </w:tc>
        <w:tc>
          <w:tcPr>
            <w:tcW w:w="8363" w:type="dxa"/>
            <w:tcBorders>
              <w:top w:val="single" w:color="auto" w:sz="2" w:space="0"/>
              <w:left w:val="single" w:color="auto" w:sz="2" w:space="0"/>
              <w:bottom w:val="single" w:color="auto" w:sz="2" w:space="0"/>
              <w:right w:val="single" w:color="auto" w:sz="2" w:space="0"/>
            </w:tcBorders>
            <w:vAlign w:val="center"/>
          </w:tcPr>
          <w:p w14:paraId="581FE864">
            <w:pPr>
              <w:pStyle w:val="20"/>
              <w:ind w:firstLine="482" w:firstLineChars="200"/>
              <w:rPr>
                <w:rFonts w:hint="eastAsia" w:hAnsi="宋体" w:eastAsia="宋体" w:cs="宋体"/>
                <w:color w:val="000000"/>
                <w:sz w:val="24"/>
                <w:szCs w:val="24"/>
              </w:rPr>
            </w:pPr>
            <w:r>
              <w:rPr>
                <w:rFonts w:hint="eastAsia" w:hAnsi="宋体" w:eastAsia="宋体" w:cs="宋体"/>
                <w:b/>
                <w:bCs/>
                <w:color w:val="000000"/>
                <w:sz w:val="24"/>
                <w:szCs w:val="24"/>
              </w:rPr>
              <w:t>交货方式：</w:t>
            </w:r>
            <w:r>
              <w:rPr>
                <w:rFonts w:hint="eastAsia" w:hAnsi="宋体" w:eastAsia="宋体" w:cs="宋体"/>
                <w:color w:val="000000"/>
                <w:sz w:val="24"/>
                <w:szCs w:val="24"/>
              </w:rPr>
              <w:t>交钥匙方式；</w:t>
            </w:r>
          </w:p>
          <w:p w14:paraId="5B232D27">
            <w:pPr>
              <w:spacing w:line="360" w:lineRule="auto"/>
              <w:ind w:firstLine="482" w:firstLineChars="200"/>
              <w:outlineLvl w:val="3"/>
              <w:rPr>
                <w:rFonts w:hint="eastAsia" w:hAnsi="宋体" w:eastAsia="宋体" w:cs="宋体"/>
                <w:color w:val="000000"/>
                <w:sz w:val="24"/>
                <w:szCs w:val="24"/>
              </w:rPr>
            </w:pPr>
            <w:r>
              <w:rPr>
                <w:rFonts w:hint="eastAsia" w:hAnsi="宋体" w:eastAsia="宋体" w:cs="宋体"/>
                <w:b/>
                <w:bCs/>
                <w:color w:val="000000"/>
                <w:sz w:val="24"/>
                <w:szCs w:val="24"/>
              </w:rPr>
              <w:t>交货地点：</w:t>
            </w:r>
            <w:r>
              <w:rPr>
                <w:rFonts w:hint="eastAsia" w:ascii="宋体" w:hAnsi="宋体" w:eastAsia="宋体" w:cs="宋体"/>
                <w:color w:val="000000"/>
                <w:sz w:val="24"/>
                <w:szCs w:val="24"/>
              </w:rPr>
              <w:t>济南商用车有限公司//配套商</w:t>
            </w:r>
          </w:p>
        </w:tc>
      </w:tr>
      <w:tr w14:paraId="716B25F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43" w:hRule="atLeast"/>
        </w:trPr>
        <w:tc>
          <w:tcPr>
            <w:tcW w:w="595" w:type="dxa"/>
            <w:tcBorders>
              <w:top w:val="single" w:color="auto" w:sz="2" w:space="0"/>
              <w:left w:val="single" w:color="auto" w:sz="2" w:space="0"/>
              <w:bottom w:val="single" w:color="auto" w:sz="2" w:space="0"/>
              <w:right w:val="single" w:color="auto" w:sz="2" w:space="0"/>
            </w:tcBorders>
            <w:vAlign w:val="center"/>
          </w:tcPr>
          <w:p w14:paraId="51C4B5C4">
            <w:pPr>
              <w:jc w:val="center"/>
              <w:rPr>
                <w:rFonts w:hint="eastAsia" w:ascii="宋体" w:hAnsi="宋体" w:eastAsia="宋体" w:cs="宋体"/>
                <w:sz w:val="24"/>
                <w:szCs w:val="24"/>
              </w:rPr>
            </w:pPr>
            <w:r>
              <w:rPr>
                <w:rFonts w:hint="eastAsia" w:ascii="宋体" w:hAnsi="宋体" w:eastAsia="宋体" w:cs="宋体"/>
                <w:sz w:val="24"/>
                <w:szCs w:val="24"/>
              </w:rPr>
              <w:t>7.3</w:t>
            </w:r>
          </w:p>
        </w:tc>
        <w:tc>
          <w:tcPr>
            <w:tcW w:w="8363" w:type="dxa"/>
            <w:tcBorders>
              <w:top w:val="single" w:color="auto" w:sz="2" w:space="0"/>
              <w:left w:val="single" w:color="auto" w:sz="2" w:space="0"/>
              <w:bottom w:val="single" w:color="auto" w:sz="2" w:space="0"/>
              <w:right w:val="single" w:color="auto" w:sz="2" w:space="0"/>
            </w:tcBorders>
            <w:vAlign w:val="center"/>
          </w:tcPr>
          <w:p w14:paraId="027E1313">
            <w:pPr>
              <w:pStyle w:val="15"/>
              <w:ind w:firstLine="482" w:firstLineChars="200"/>
              <w:rPr>
                <w:rFonts w:hint="eastAsia" w:ascii="宋体" w:hAnsi="宋体" w:eastAsia="宋体" w:cs="宋体"/>
                <w:b/>
                <w:sz w:val="24"/>
                <w:szCs w:val="24"/>
              </w:rPr>
            </w:pPr>
            <w:r>
              <w:rPr>
                <w:rFonts w:hint="eastAsia" w:ascii="宋体" w:hAnsi="宋体" w:eastAsia="宋体" w:cs="宋体"/>
                <w:b/>
                <w:sz w:val="24"/>
                <w:szCs w:val="24"/>
              </w:rPr>
              <w:t>质保期：投标方所提供货物（或生产线）涉及的全部供货范围内的设备、材料、零配件和工器具等，除合同特别约定外，其质保期均自终验收签字生效之日起12个月。</w:t>
            </w:r>
          </w:p>
          <w:p w14:paraId="39AE5E79">
            <w:pPr>
              <w:pStyle w:val="15"/>
              <w:ind w:firstLine="480" w:firstLineChars="200"/>
              <w:rPr>
                <w:rFonts w:hint="eastAsia" w:ascii="宋体" w:hAnsi="宋体" w:eastAsia="宋体" w:cs="宋体"/>
                <w:sz w:val="24"/>
                <w:szCs w:val="24"/>
              </w:rPr>
            </w:pPr>
            <w:r>
              <w:rPr>
                <w:rFonts w:hint="eastAsia" w:ascii="宋体" w:hAnsi="宋体" w:eastAsia="宋体" w:cs="宋体"/>
                <w:sz w:val="24"/>
                <w:szCs w:val="24"/>
              </w:rPr>
              <w:t>（投标人可在满足上述最短质保期基础上竞报）</w:t>
            </w:r>
          </w:p>
        </w:tc>
      </w:tr>
      <w:tr w14:paraId="16DE6D2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1490" w:hRule="atLeast"/>
        </w:trPr>
        <w:tc>
          <w:tcPr>
            <w:tcW w:w="595" w:type="dxa"/>
            <w:tcBorders>
              <w:top w:val="single" w:color="auto" w:sz="2" w:space="0"/>
              <w:left w:val="single" w:color="auto" w:sz="2" w:space="0"/>
              <w:bottom w:val="single" w:color="auto" w:sz="2" w:space="0"/>
              <w:right w:val="single" w:color="auto" w:sz="4" w:space="0"/>
            </w:tcBorders>
            <w:vAlign w:val="center"/>
          </w:tcPr>
          <w:p w14:paraId="369D708B">
            <w:pPr>
              <w:jc w:val="center"/>
              <w:rPr>
                <w:rFonts w:hint="eastAsia" w:ascii="宋体" w:hAnsi="宋体" w:eastAsia="宋体" w:cs="宋体"/>
                <w:kern w:val="0"/>
                <w:sz w:val="24"/>
                <w:szCs w:val="24"/>
              </w:rPr>
            </w:pPr>
            <w:r>
              <w:rPr>
                <w:rFonts w:hint="eastAsia" w:ascii="宋体" w:hAnsi="宋体" w:eastAsia="宋体" w:cs="宋体"/>
                <w:kern w:val="0"/>
                <w:sz w:val="24"/>
                <w:szCs w:val="24"/>
              </w:rPr>
              <w:t>7.4</w:t>
            </w:r>
          </w:p>
        </w:tc>
        <w:tc>
          <w:tcPr>
            <w:tcW w:w="8363" w:type="dxa"/>
            <w:tcBorders>
              <w:top w:val="single" w:color="auto" w:sz="2" w:space="0"/>
              <w:left w:val="single" w:color="auto" w:sz="4" w:space="0"/>
              <w:bottom w:val="single" w:color="auto" w:sz="2" w:space="0"/>
              <w:right w:val="single" w:color="auto" w:sz="2" w:space="0"/>
            </w:tcBorders>
            <w:vAlign w:val="center"/>
          </w:tcPr>
          <w:p w14:paraId="50F3544B">
            <w:pPr>
              <w:pStyle w:val="20"/>
              <w:ind w:firstLine="482" w:firstLineChars="200"/>
              <w:rPr>
                <w:rFonts w:hint="eastAsia" w:hAnsi="宋体" w:eastAsia="宋体" w:cs="宋体"/>
                <w:color w:val="000000"/>
                <w:sz w:val="24"/>
                <w:szCs w:val="24"/>
                <w:highlight w:val="yellow"/>
              </w:rPr>
            </w:pPr>
            <w:r>
              <w:rPr>
                <w:rFonts w:hint="eastAsia" w:hAnsi="宋体" w:eastAsia="宋体" w:cs="宋体"/>
                <w:b/>
                <w:bCs/>
                <w:color w:val="000000"/>
                <w:sz w:val="24"/>
                <w:szCs w:val="24"/>
              </w:rPr>
              <w:t>付款方式：</w:t>
            </w:r>
            <w:r>
              <w:rPr>
                <w:rFonts w:hint="eastAsia" w:hAnsi="宋体" w:eastAsia="宋体" w:cs="宋体"/>
                <w:b/>
                <w:bCs/>
                <w:color w:val="000000"/>
                <w:sz w:val="24"/>
                <w:szCs w:val="24"/>
                <w:u w:val="single"/>
              </w:rPr>
              <w:t>半年期商业汇票（包括银行承兑汇票和商业承兑汇票）</w:t>
            </w:r>
            <w:r>
              <w:rPr>
                <w:rFonts w:hint="eastAsia" w:hAnsi="宋体" w:eastAsia="宋体" w:cs="宋体"/>
                <w:color w:val="000000"/>
                <w:sz w:val="24"/>
                <w:szCs w:val="24"/>
              </w:rPr>
              <w:t>：</w:t>
            </w:r>
          </w:p>
          <w:p w14:paraId="21F5AC3F">
            <w:pPr>
              <w:pStyle w:val="15"/>
              <w:ind w:firstLine="480" w:firstLineChars="200"/>
              <w:rPr>
                <w:rFonts w:hint="eastAsia" w:ascii="宋体" w:hAnsi="宋体" w:eastAsia="宋体" w:cs="宋体"/>
                <w:sz w:val="24"/>
                <w:szCs w:val="24"/>
              </w:rPr>
            </w:pPr>
            <w:r>
              <w:rPr>
                <w:rFonts w:hint="eastAsia" w:ascii="宋体" w:hAnsi="宋体" w:eastAsia="宋体" w:cs="宋体"/>
                <w:sz w:val="24"/>
                <w:szCs w:val="24"/>
              </w:rPr>
              <w:t>1.合同签订生效且模具结构会签完成后，中标人提交金额为合同价款30%的收据并提供合同价款30%的增值税专用发票（含复印件二份），经招标人依照财务制度审核无误后30日支付；</w:t>
            </w:r>
          </w:p>
          <w:p w14:paraId="68DDAF0C">
            <w:pPr>
              <w:pStyle w:val="15"/>
              <w:ind w:firstLine="480" w:firstLineChars="200"/>
              <w:rPr>
                <w:rFonts w:hint="eastAsia" w:ascii="宋体" w:hAnsi="宋体" w:eastAsia="宋体" w:cs="宋体"/>
                <w:sz w:val="24"/>
                <w:szCs w:val="24"/>
              </w:rPr>
            </w:pPr>
            <w:r>
              <w:rPr>
                <w:rFonts w:hint="eastAsia" w:ascii="宋体" w:hAnsi="宋体" w:eastAsia="宋体" w:cs="宋体"/>
                <w:sz w:val="24"/>
                <w:szCs w:val="24"/>
              </w:rPr>
              <w:t>2.预验收合格、全部到货后，中标人提交金额为合同价款30%的收据并提供合同价款30%的增值税专用发票（含复印件二份），经招标人依照财务制度审核无误后30日支付；</w:t>
            </w:r>
          </w:p>
          <w:p w14:paraId="1B91481D">
            <w:pPr>
              <w:pStyle w:val="15"/>
              <w:ind w:firstLine="480" w:firstLineChars="200"/>
              <w:rPr>
                <w:rFonts w:hint="eastAsia" w:ascii="宋体" w:hAnsi="宋体" w:eastAsia="宋体" w:cs="宋体"/>
                <w:sz w:val="24"/>
                <w:szCs w:val="24"/>
              </w:rPr>
            </w:pPr>
            <w:r>
              <w:rPr>
                <w:rFonts w:hint="eastAsia" w:ascii="宋体" w:hAnsi="宋体" w:eastAsia="宋体" w:cs="宋体"/>
                <w:sz w:val="24"/>
                <w:szCs w:val="24"/>
              </w:rPr>
              <w:t>3.设备终验收合格后，中标人提交金额为合同价款30%的收据并提供合同价款40%的增值税专用发票（含复印件二份），经招标人依照财务制度审核无误后30日支付；</w:t>
            </w:r>
          </w:p>
          <w:p w14:paraId="2F883177">
            <w:pPr>
              <w:ind w:firstLine="480" w:firstLineChars="200"/>
              <w:rPr>
                <w:rFonts w:ascii="宋体" w:hAnsi="Courier New" w:eastAsia="宋体" w:cs="Times New Roman"/>
                <w:color w:val="000000"/>
                <w:sz w:val="24"/>
                <w:szCs w:val="24"/>
              </w:rPr>
            </w:pPr>
            <w:r>
              <w:rPr>
                <w:rFonts w:hint="eastAsia" w:ascii="宋体" w:hAnsi="宋体" w:eastAsia="宋体" w:cs="宋体"/>
                <w:sz w:val="24"/>
                <w:szCs w:val="24"/>
              </w:rPr>
              <w:t>4.合同总价款的10%作为本合同约定设备的质量保证金，质量保证金在质量保证期内不计利息。待每套合同设备质量保证期满，中标人向招标人提交金额为合同价款10%的收据（正本一份，复印件二份）及设备使用单位的使用情况说明，经招标人依照财务制度审核无误后30日支付。如有质量问题，质量保证金予以相应扣除。</w:t>
            </w:r>
          </w:p>
        </w:tc>
      </w:tr>
      <w:tr w14:paraId="64212CB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59" w:hRule="atLeast"/>
        </w:trPr>
        <w:tc>
          <w:tcPr>
            <w:tcW w:w="595" w:type="dxa"/>
            <w:tcBorders>
              <w:top w:val="single" w:color="auto" w:sz="2" w:space="0"/>
              <w:left w:val="single" w:color="auto" w:sz="2" w:space="0"/>
              <w:bottom w:val="single" w:color="auto" w:sz="2" w:space="0"/>
              <w:right w:val="single" w:color="auto" w:sz="4" w:space="0"/>
            </w:tcBorders>
            <w:vAlign w:val="center"/>
          </w:tcPr>
          <w:p w14:paraId="6E0E89F2">
            <w:pPr>
              <w:jc w:val="center"/>
              <w:rPr>
                <w:rFonts w:hint="eastAsia" w:ascii="宋体" w:hAnsi="宋体" w:eastAsia="宋体" w:cs="宋体"/>
                <w:kern w:val="0"/>
                <w:sz w:val="24"/>
                <w:szCs w:val="24"/>
              </w:rPr>
            </w:pPr>
            <w:r>
              <w:rPr>
                <w:rFonts w:hint="eastAsia" w:ascii="宋体" w:hAnsi="宋体" w:eastAsia="宋体" w:cs="宋体"/>
                <w:kern w:val="0"/>
                <w:sz w:val="24"/>
                <w:szCs w:val="24"/>
              </w:rPr>
              <w:t>7.5</w:t>
            </w:r>
          </w:p>
        </w:tc>
        <w:tc>
          <w:tcPr>
            <w:tcW w:w="8363" w:type="dxa"/>
            <w:tcBorders>
              <w:top w:val="single" w:color="auto" w:sz="2" w:space="0"/>
              <w:left w:val="single" w:color="auto" w:sz="4" w:space="0"/>
              <w:bottom w:val="single" w:color="auto" w:sz="2" w:space="0"/>
              <w:right w:val="single" w:color="auto" w:sz="2" w:space="0"/>
            </w:tcBorders>
            <w:vAlign w:val="center"/>
          </w:tcPr>
          <w:p w14:paraId="3ECEF0C4">
            <w:pPr>
              <w:ind w:firstLine="482" w:firstLineChars="200"/>
              <w:rPr>
                <w:rFonts w:hint="eastAsia" w:ascii="宋体" w:hAnsi="宋体" w:eastAsia="宋体" w:cs="宋体"/>
                <w:b/>
                <w:color w:val="000000"/>
                <w:sz w:val="24"/>
                <w:szCs w:val="24"/>
              </w:rPr>
            </w:pPr>
            <w:r>
              <w:rPr>
                <w:rFonts w:hint="eastAsia" w:ascii="宋体" w:hAnsi="宋体" w:eastAsia="宋体" w:cs="宋体"/>
                <w:b/>
                <w:color w:val="000000"/>
                <w:sz w:val="24"/>
                <w:szCs w:val="24"/>
              </w:rPr>
              <w:t>增值税专用发票开票信息：</w:t>
            </w:r>
          </w:p>
          <w:p w14:paraId="23F75FC1">
            <w:pPr>
              <w:ind w:firstLine="480" w:firstLineChars="200"/>
              <w:rPr>
                <w:rFonts w:hint="eastAsia" w:ascii="宋体" w:hAnsi="宋体" w:cs="宋体"/>
                <w:bCs/>
                <w:sz w:val="24"/>
                <w:szCs w:val="24"/>
              </w:rPr>
            </w:pPr>
            <w:r>
              <w:rPr>
                <w:rFonts w:hint="eastAsia" w:ascii="宋体" w:hAnsi="宋体" w:eastAsia="宋体" w:cs="宋体"/>
                <w:sz w:val="24"/>
                <w:szCs w:val="24"/>
                <w:lang w:bidi="ar"/>
              </w:rPr>
              <w:t>见最终合同签订信息</w:t>
            </w:r>
          </w:p>
        </w:tc>
      </w:tr>
      <w:tr w14:paraId="532D07A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2"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67BCDB11">
            <w:pPr>
              <w:pStyle w:val="15"/>
              <w:jc w:val="center"/>
              <w:rPr>
                <w:rFonts w:hint="eastAsia" w:ascii="宋体" w:hAnsi="宋体" w:eastAsia="宋体" w:cs="宋体"/>
                <w:sz w:val="24"/>
                <w:szCs w:val="24"/>
              </w:rPr>
            </w:pPr>
            <w:r>
              <w:rPr>
                <w:rFonts w:hint="eastAsia" w:ascii="宋体" w:hAnsi="宋体" w:eastAsia="宋体" w:cs="宋体"/>
                <w:b/>
                <w:bCs/>
                <w:sz w:val="24"/>
                <w:szCs w:val="24"/>
              </w:rPr>
              <w:t>8.其它</w:t>
            </w:r>
          </w:p>
        </w:tc>
      </w:tr>
      <w:tr w14:paraId="6CFF272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2" w:hRule="atLeast"/>
        </w:trPr>
        <w:tc>
          <w:tcPr>
            <w:tcW w:w="595" w:type="dxa"/>
            <w:tcBorders>
              <w:top w:val="single" w:color="auto" w:sz="2" w:space="0"/>
              <w:left w:val="single" w:color="auto" w:sz="2" w:space="0"/>
              <w:bottom w:val="single" w:color="auto" w:sz="2" w:space="0"/>
              <w:right w:val="single" w:color="auto" w:sz="4" w:space="0"/>
            </w:tcBorders>
            <w:vAlign w:val="center"/>
          </w:tcPr>
          <w:p w14:paraId="018C2BED">
            <w:pPr>
              <w:jc w:val="center"/>
              <w:rPr>
                <w:rFonts w:hint="eastAsia" w:ascii="宋体" w:hAnsi="宋体" w:eastAsia="宋体" w:cs="宋体"/>
                <w:sz w:val="24"/>
                <w:szCs w:val="24"/>
              </w:rPr>
            </w:pPr>
            <w:r>
              <w:rPr>
                <w:rFonts w:hint="eastAsia" w:ascii="宋体" w:hAnsi="宋体" w:eastAsia="宋体" w:cs="宋体"/>
                <w:sz w:val="24"/>
                <w:szCs w:val="24"/>
              </w:rPr>
              <w:t>8.1</w:t>
            </w:r>
          </w:p>
        </w:tc>
        <w:tc>
          <w:tcPr>
            <w:tcW w:w="8363" w:type="dxa"/>
            <w:tcBorders>
              <w:top w:val="single" w:color="auto" w:sz="2" w:space="0"/>
              <w:left w:val="single" w:color="auto" w:sz="4" w:space="0"/>
              <w:bottom w:val="single" w:color="auto" w:sz="2" w:space="0"/>
              <w:right w:val="single" w:color="auto" w:sz="2" w:space="0"/>
            </w:tcBorders>
            <w:vAlign w:val="center"/>
          </w:tcPr>
          <w:p w14:paraId="797DDFC9">
            <w:pPr>
              <w:pStyle w:val="15"/>
              <w:ind w:firstLine="480" w:firstLineChars="200"/>
              <w:rPr>
                <w:rFonts w:hint="eastAsia" w:ascii="宋体" w:hAnsi="宋体" w:eastAsia="宋体" w:cs="宋体"/>
                <w:sz w:val="24"/>
                <w:szCs w:val="24"/>
              </w:rPr>
            </w:pPr>
            <w:r>
              <w:rPr>
                <w:rFonts w:hint="eastAsia" w:ascii="宋体" w:hAnsi="宋体" w:eastAsia="宋体" w:cs="宋体"/>
                <w:sz w:val="24"/>
                <w:szCs w:val="24"/>
              </w:rPr>
              <w:t>设备的安装说明（图纸）、操作手册、使用说明、维修指南、服务手册等招标人所需要的、与执行本合同有关的各类资料，中标人提交时须做好备份（复印件或电子扫描件），招标人资料归档后若另需要上述资料，中标人应及时无偿提供。</w:t>
            </w:r>
          </w:p>
        </w:tc>
      </w:tr>
      <w:tr w14:paraId="4932190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2" w:hRule="atLeast"/>
        </w:trPr>
        <w:tc>
          <w:tcPr>
            <w:tcW w:w="595" w:type="dxa"/>
            <w:tcBorders>
              <w:top w:val="single" w:color="auto" w:sz="2" w:space="0"/>
              <w:left w:val="single" w:color="auto" w:sz="2" w:space="0"/>
              <w:bottom w:val="single" w:color="auto" w:sz="2" w:space="0"/>
              <w:right w:val="single" w:color="auto" w:sz="4" w:space="0"/>
            </w:tcBorders>
            <w:vAlign w:val="center"/>
          </w:tcPr>
          <w:p w14:paraId="138E7976">
            <w:pPr>
              <w:jc w:val="center"/>
              <w:rPr>
                <w:rFonts w:hint="eastAsia" w:ascii="宋体" w:hAnsi="宋体" w:eastAsia="宋体" w:cs="宋体"/>
                <w:sz w:val="24"/>
                <w:szCs w:val="24"/>
              </w:rPr>
            </w:pPr>
            <w:r>
              <w:rPr>
                <w:rFonts w:hint="eastAsia" w:ascii="宋体" w:hAnsi="宋体" w:eastAsia="宋体" w:cs="宋体"/>
                <w:sz w:val="24"/>
                <w:szCs w:val="24"/>
              </w:rPr>
              <w:t>8.2</w:t>
            </w:r>
          </w:p>
        </w:tc>
        <w:tc>
          <w:tcPr>
            <w:tcW w:w="8363" w:type="dxa"/>
            <w:tcBorders>
              <w:top w:val="single" w:color="auto" w:sz="2" w:space="0"/>
              <w:left w:val="single" w:color="auto" w:sz="4" w:space="0"/>
              <w:bottom w:val="single" w:color="auto" w:sz="2" w:space="0"/>
              <w:right w:val="single" w:color="auto" w:sz="2" w:space="0"/>
            </w:tcBorders>
            <w:vAlign w:val="center"/>
          </w:tcPr>
          <w:p w14:paraId="5BD65971">
            <w:pPr>
              <w:ind w:firstLine="480" w:firstLineChars="200"/>
              <w:rPr>
                <w:rFonts w:hint="eastAsia" w:ascii="宋体" w:hAnsi="宋体" w:eastAsia="宋体" w:cs="宋体"/>
                <w:sz w:val="24"/>
                <w:szCs w:val="24"/>
              </w:rPr>
            </w:pPr>
            <w:r>
              <w:rPr>
                <w:rFonts w:hint="eastAsia" w:ascii="宋体" w:hAnsi="宋体" w:eastAsia="宋体" w:cs="宋体"/>
                <w:sz w:val="24"/>
                <w:szCs w:val="24"/>
              </w:rPr>
              <w:t>中标人负责为招标人免费培训操作及维修人员，培训内容包括：基本原理、操作使用、安全操作注意事项以及维修保养等内容，直至达到买方使用需求。</w:t>
            </w:r>
          </w:p>
        </w:tc>
      </w:tr>
      <w:tr w14:paraId="680D93D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2" w:hRule="atLeast"/>
        </w:trPr>
        <w:tc>
          <w:tcPr>
            <w:tcW w:w="595" w:type="dxa"/>
            <w:tcBorders>
              <w:top w:val="single" w:color="auto" w:sz="2" w:space="0"/>
              <w:left w:val="single" w:color="auto" w:sz="2" w:space="0"/>
              <w:bottom w:val="single" w:color="auto" w:sz="2" w:space="0"/>
              <w:right w:val="single" w:color="auto" w:sz="4" w:space="0"/>
            </w:tcBorders>
            <w:vAlign w:val="center"/>
          </w:tcPr>
          <w:p w14:paraId="21F6ADE9">
            <w:pPr>
              <w:jc w:val="center"/>
              <w:rPr>
                <w:rFonts w:hint="eastAsia" w:ascii="宋体" w:hAnsi="宋体" w:eastAsia="宋体" w:cs="宋体"/>
                <w:sz w:val="24"/>
                <w:szCs w:val="24"/>
              </w:rPr>
            </w:pPr>
            <w:r>
              <w:rPr>
                <w:rFonts w:hint="eastAsia" w:ascii="宋体" w:hAnsi="宋体" w:eastAsia="宋体" w:cs="宋体"/>
                <w:sz w:val="24"/>
                <w:szCs w:val="24"/>
              </w:rPr>
              <w:t>8.3</w:t>
            </w:r>
          </w:p>
        </w:tc>
        <w:tc>
          <w:tcPr>
            <w:tcW w:w="8363" w:type="dxa"/>
            <w:tcBorders>
              <w:top w:val="single" w:color="auto" w:sz="2" w:space="0"/>
              <w:left w:val="single" w:color="auto" w:sz="4" w:space="0"/>
              <w:bottom w:val="single" w:color="auto" w:sz="2" w:space="0"/>
              <w:right w:val="single" w:color="auto" w:sz="2" w:space="0"/>
            </w:tcBorders>
            <w:vAlign w:val="center"/>
          </w:tcPr>
          <w:p w14:paraId="0F7A7600">
            <w:pPr>
              <w:pStyle w:val="15"/>
              <w:ind w:firstLine="480" w:firstLineChars="200"/>
              <w:rPr>
                <w:rFonts w:hint="eastAsia" w:ascii="宋体" w:hAnsi="宋体" w:eastAsia="宋体" w:cs="宋体"/>
                <w:sz w:val="24"/>
                <w:szCs w:val="24"/>
              </w:rPr>
            </w:pPr>
            <w:r>
              <w:rPr>
                <w:rFonts w:hint="eastAsia" w:ascii="宋体" w:hAnsi="宋体" w:eastAsia="宋体" w:cs="宋体"/>
                <w:sz w:val="24"/>
                <w:szCs w:val="24"/>
              </w:rPr>
              <w:t>中标方应在合同签订后60日内需根据设计</w:t>
            </w:r>
            <w:r>
              <w:rPr>
                <w:rStyle w:val="47"/>
                <w:rFonts w:hint="eastAsia" w:ascii="宋体" w:hAnsi="宋体" w:eastAsia="宋体" w:cs="宋体"/>
                <w:sz w:val="24"/>
                <w:szCs w:val="24"/>
              </w:rPr>
              <w:t>提资</w:t>
            </w:r>
            <w:r>
              <w:rPr>
                <w:rFonts w:hint="eastAsia" w:ascii="宋体" w:hAnsi="宋体" w:eastAsia="宋体" w:cs="宋体"/>
                <w:sz w:val="24"/>
                <w:szCs w:val="24"/>
              </w:rPr>
              <w:t>要求提供详细的</w:t>
            </w:r>
            <w:r>
              <w:rPr>
                <w:rStyle w:val="47"/>
                <w:rFonts w:hint="eastAsia" w:ascii="宋体" w:hAnsi="宋体" w:eastAsia="宋体" w:cs="宋体"/>
                <w:sz w:val="24"/>
                <w:szCs w:val="24"/>
              </w:rPr>
              <w:t>设备</w:t>
            </w:r>
            <w:r>
              <w:rPr>
                <w:rFonts w:hint="eastAsia" w:ascii="宋体" w:hAnsi="宋体" w:eastAsia="宋体" w:cs="宋体"/>
                <w:sz w:val="24"/>
                <w:szCs w:val="24"/>
              </w:rPr>
              <w:t>图纸等资料,其中包含</w:t>
            </w:r>
            <w:r>
              <w:rPr>
                <w:rStyle w:val="47"/>
                <w:rFonts w:hint="eastAsia" w:ascii="宋体" w:hAnsi="宋体" w:eastAsia="宋体" w:cs="宋体"/>
                <w:sz w:val="24"/>
                <w:szCs w:val="24"/>
              </w:rPr>
              <w:t>设备</w:t>
            </w:r>
            <w:r>
              <w:rPr>
                <w:rFonts w:hint="eastAsia" w:ascii="宋体" w:hAnsi="宋体" w:eastAsia="宋体" w:cs="宋体"/>
                <w:sz w:val="24"/>
                <w:szCs w:val="24"/>
              </w:rPr>
              <w:t>的外形尺寸,运维空间</w:t>
            </w:r>
            <w:r>
              <w:rPr>
                <w:rStyle w:val="47"/>
                <w:rFonts w:hint="eastAsia" w:ascii="宋体" w:hAnsi="宋体" w:eastAsia="宋体" w:cs="宋体"/>
                <w:sz w:val="24"/>
                <w:szCs w:val="24"/>
              </w:rPr>
              <w:t>,设备</w:t>
            </w:r>
            <w:r>
              <w:rPr>
                <w:rFonts w:hint="eastAsia" w:ascii="宋体" w:hAnsi="宋体" w:eastAsia="宋体" w:cs="宋体"/>
                <w:sz w:val="24"/>
                <w:szCs w:val="24"/>
              </w:rPr>
              <w:t>运行参数,材料材质,接口信息,规格,技术需求.等资料，提交给买方，项目设计单位以此补充设计施工图纸，中标人最终审核确认。对于提资不准确不全面、不符合招标文件技术要求、提资变更导致的损失由卖方承担，并承担违约责任。</w:t>
            </w:r>
          </w:p>
        </w:tc>
      </w:tr>
      <w:tr w14:paraId="4440039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469" w:hRule="atLeast"/>
        </w:trPr>
        <w:tc>
          <w:tcPr>
            <w:tcW w:w="595" w:type="dxa"/>
            <w:tcBorders>
              <w:top w:val="single" w:color="auto" w:sz="2" w:space="0"/>
              <w:left w:val="single" w:color="auto" w:sz="2" w:space="0"/>
              <w:bottom w:val="single" w:color="auto" w:sz="2" w:space="0"/>
              <w:right w:val="single" w:color="auto" w:sz="4" w:space="0"/>
            </w:tcBorders>
            <w:vAlign w:val="center"/>
          </w:tcPr>
          <w:p w14:paraId="6BEEC2DA">
            <w:pPr>
              <w:jc w:val="center"/>
              <w:rPr>
                <w:rFonts w:hint="eastAsia" w:ascii="宋体" w:hAnsi="宋体" w:eastAsia="宋体" w:cs="宋体"/>
                <w:sz w:val="24"/>
                <w:szCs w:val="24"/>
              </w:rPr>
            </w:pPr>
            <w:bookmarkStart w:id="3" w:name="_Toc15609"/>
            <w:r>
              <w:rPr>
                <w:rFonts w:hint="eastAsia" w:ascii="宋体" w:hAnsi="宋体" w:eastAsia="宋体" w:cs="宋体"/>
                <w:sz w:val="24"/>
                <w:szCs w:val="24"/>
              </w:rPr>
              <w:t>8.4</w:t>
            </w:r>
          </w:p>
        </w:tc>
        <w:tc>
          <w:tcPr>
            <w:tcW w:w="8363" w:type="dxa"/>
            <w:tcBorders>
              <w:top w:val="single" w:color="auto" w:sz="2" w:space="0"/>
              <w:left w:val="single" w:color="auto" w:sz="4" w:space="0"/>
              <w:bottom w:val="single" w:color="auto" w:sz="2" w:space="0"/>
              <w:right w:val="single" w:color="auto" w:sz="2" w:space="0"/>
            </w:tcBorders>
            <w:vAlign w:val="center"/>
          </w:tcPr>
          <w:p w14:paraId="41B6142A">
            <w:pPr>
              <w:pStyle w:val="15"/>
              <w:ind w:firstLine="480" w:firstLineChars="200"/>
              <w:rPr>
                <w:rFonts w:hint="eastAsia" w:ascii="宋体" w:hAnsi="宋体" w:eastAsia="宋体" w:cs="宋体"/>
                <w:sz w:val="24"/>
                <w:szCs w:val="24"/>
              </w:rPr>
            </w:pPr>
            <w:r>
              <w:rPr>
                <w:rFonts w:ascii="宋体" w:hAnsi="宋体" w:eastAsia="宋体" w:cs="宋体"/>
                <w:sz w:val="24"/>
                <w:szCs w:val="24"/>
              </w:rPr>
              <w:t>1.投标人均到项目现场踏勘以充分了解施工位置、车间情况、道路、施工空间、装卸限制及任何其它足以影响投标报价的情况。任何因忽视或误解工地情况而导致的索赔或工期延长申请将不予批准。施工期间服从、配合招标人厂区生产要求和允许施工时间段，夜间施工、交叉施工、施工降效、施工难度、成品保护等已充分考虑。</w:t>
            </w:r>
          </w:p>
          <w:p w14:paraId="0130698D">
            <w:pPr>
              <w:pStyle w:val="15"/>
              <w:ind w:firstLine="480" w:firstLineChars="200"/>
              <w:rPr>
                <w:rFonts w:hint="eastAsia" w:ascii="宋体" w:hAnsi="宋体" w:eastAsia="宋体" w:cs="宋体"/>
                <w:sz w:val="24"/>
                <w:szCs w:val="24"/>
              </w:rPr>
            </w:pPr>
            <w:r>
              <w:rPr>
                <w:rFonts w:ascii="宋体" w:hAnsi="宋体" w:eastAsia="宋体" w:cs="宋体"/>
                <w:sz w:val="24"/>
                <w:szCs w:val="24"/>
              </w:rPr>
              <w:t>2.中标人自进场施工开始至施工撤场前负责施工范围内的成品保护工作，包括自身自己的成品及车间内的已有设备设施等，如因施工原因造成的损坏，由中标人负责免费进行恢复原状。</w:t>
            </w:r>
          </w:p>
          <w:p w14:paraId="394DF4FB">
            <w:pPr>
              <w:pStyle w:val="15"/>
              <w:ind w:firstLine="480" w:firstLineChars="200"/>
              <w:rPr>
                <w:rFonts w:hint="eastAsia" w:ascii="宋体" w:hAnsi="宋体" w:eastAsia="宋体" w:cs="宋体"/>
                <w:sz w:val="24"/>
                <w:szCs w:val="24"/>
              </w:rPr>
            </w:pPr>
            <w:r>
              <w:rPr>
                <w:rFonts w:ascii="宋体" w:hAnsi="宋体" w:eastAsia="宋体" w:cs="宋体"/>
                <w:sz w:val="24"/>
                <w:szCs w:val="24"/>
              </w:rPr>
              <w:t>3.施工期间应服从厂区安全文明管理规定，车辆人员进出管理规定（物流运输必须选用重汽品牌）以及一切厂区管理制度，如人员登记、材料物资进出仓、防疫管理、禁止吸烟、特种作业、动火审批用电审批、登高审批及相关安全环保检查等。施工区域必须保持常态化清洁，施工余料、垃圾每日及时清运。施工人员（登高、动火等）必须持证上岗。</w:t>
            </w:r>
          </w:p>
          <w:p w14:paraId="7EBC01D8">
            <w:pPr>
              <w:pStyle w:val="15"/>
              <w:ind w:firstLine="480" w:firstLineChars="200"/>
              <w:rPr>
                <w:rFonts w:hint="eastAsia" w:ascii="宋体" w:hAnsi="宋体" w:eastAsia="宋体" w:cs="宋体"/>
                <w:sz w:val="24"/>
                <w:szCs w:val="24"/>
              </w:rPr>
            </w:pPr>
            <w:r>
              <w:rPr>
                <w:rFonts w:ascii="宋体" w:hAnsi="宋体" w:eastAsia="宋体" w:cs="宋体"/>
                <w:sz w:val="24"/>
                <w:szCs w:val="24"/>
              </w:rPr>
              <w:t>4.中标人自行负责进场设备材料物资的看护责任，若现场发生的丢失损坏，不得以此向招标人索赔工期和费用。</w:t>
            </w:r>
          </w:p>
          <w:p w14:paraId="0D9FBDC6">
            <w:pPr>
              <w:pStyle w:val="15"/>
              <w:rPr>
                <w:rFonts w:hint="eastAsia" w:ascii="宋体" w:hAnsi="宋体" w:eastAsia="宋体" w:cs="宋体"/>
                <w:sz w:val="24"/>
                <w:szCs w:val="24"/>
              </w:rPr>
            </w:pPr>
          </w:p>
        </w:tc>
      </w:tr>
      <w:bookmarkEnd w:id="2"/>
    </w:tbl>
    <w:p w14:paraId="66D757BA">
      <w:pPr>
        <w:rPr>
          <w:rFonts w:ascii="Calibri" w:hAnsi="Calibri" w:eastAsia="宋体" w:cs="Times New Roman"/>
          <w:b/>
          <w:bCs/>
          <w:kern w:val="44"/>
          <w:sz w:val="36"/>
          <w:szCs w:val="44"/>
        </w:rPr>
      </w:pPr>
      <w:r>
        <w:rPr>
          <w:rFonts w:hint="eastAsia" w:ascii="Calibri" w:hAnsi="Calibri" w:eastAsia="宋体" w:cs="Times New Roman"/>
          <w:b/>
          <w:bCs/>
          <w:kern w:val="44"/>
          <w:sz w:val="36"/>
          <w:szCs w:val="44"/>
        </w:rPr>
        <w:br w:type="page"/>
      </w:r>
    </w:p>
    <w:p w14:paraId="6E4D7586">
      <w:pPr>
        <w:pStyle w:val="3"/>
        <w:bidi w:val="0"/>
      </w:pPr>
      <w:bookmarkStart w:id="4" w:name="_Toc30420"/>
      <w:r>
        <w:rPr>
          <w:rFonts w:hint="eastAsia"/>
        </w:rPr>
        <w:t>第二部分 投标人须知</w:t>
      </w:r>
      <w:bookmarkEnd w:id="3"/>
      <w:bookmarkEnd w:id="4"/>
    </w:p>
    <w:p w14:paraId="2CA298A8">
      <w:pPr>
        <w:keepNext/>
        <w:keepLines/>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一、项目名称</w:t>
      </w:r>
    </w:p>
    <w:p w14:paraId="74C72BFC">
      <w:pPr>
        <w:spacing w:line="360" w:lineRule="auto"/>
        <w:ind w:left="1679" w:leftChars="228" w:hanging="1200" w:hangingChars="500"/>
        <w:rPr>
          <w:rFonts w:hint="eastAsia" w:ascii="宋体" w:hAnsi="宋体" w:eastAsia="宋体" w:cs="宋体"/>
          <w:color w:val="000000"/>
          <w:sz w:val="24"/>
          <w:szCs w:val="24"/>
          <w:u w:val="single"/>
        </w:rPr>
      </w:pPr>
      <w:r>
        <w:rPr>
          <w:rFonts w:hint="eastAsia" w:ascii="宋体" w:hAnsi="宋体" w:eastAsia="宋体" w:cs="宋体"/>
          <w:color w:val="000000"/>
          <w:sz w:val="24"/>
          <w:szCs w:val="24"/>
        </w:rPr>
        <w:t>项目名称：</w:t>
      </w:r>
      <w:bookmarkStart w:id="5" w:name="OLE_LINK1"/>
      <w:r>
        <w:rPr>
          <w:rFonts w:hint="eastAsia" w:ascii="宋体" w:hAnsi="宋体" w:eastAsia="宋体" w:cs="宋体"/>
          <w:color w:val="000000"/>
          <w:sz w:val="24"/>
          <w:szCs w:val="24"/>
        </w:rPr>
        <w:t>见《投标须知前附表》。</w:t>
      </w:r>
    </w:p>
    <w:bookmarkEnd w:id="5"/>
    <w:p w14:paraId="17EF6347">
      <w:pPr>
        <w:keepNext/>
        <w:keepLines/>
        <w:numPr>
          <w:ilvl w:val="0"/>
          <w:numId w:val="3"/>
        </w:numPr>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招标内容及形式</w:t>
      </w:r>
    </w:p>
    <w:p w14:paraId="55C050AA">
      <w:pPr>
        <w:pStyle w:val="20"/>
        <w:spacing w:line="360" w:lineRule="auto"/>
        <w:ind w:firstLine="480" w:firstLineChars="200"/>
        <w:rPr>
          <w:rFonts w:hint="eastAsia" w:hAnsi="宋体" w:eastAsia="宋体" w:cs="宋体"/>
          <w:sz w:val="24"/>
          <w:szCs w:val="24"/>
        </w:rPr>
      </w:pPr>
      <w:r>
        <w:rPr>
          <w:rFonts w:hint="eastAsia" w:hAnsi="宋体" w:eastAsia="宋体" w:cs="宋体"/>
          <w:color w:val="000000"/>
          <w:sz w:val="24"/>
          <w:szCs w:val="24"/>
        </w:rPr>
        <w:t>见《投标须知前附表》。</w:t>
      </w:r>
    </w:p>
    <w:p w14:paraId="4DE37A99">
      <w:pPr>
        <w:spacing w:line="360" w:lineRule="auto"/>
        <w:ind w:firstLine="482" w:firstLineChars="200"/>
        <w:rPr>
          <w:rFonts w:hint="eastAsia" w:ascii="宋体" w:hAnsi="宋体" w:eastAsia="宋体" w:cs="宋体"/>
          <w:color w:val="000000"/>
          <w:sz w:val="24"/>
          <w:szCs w:val="24"/>
        </w:rPr>
      </w:pPr>
      <w:r>
        <w:rPr>
          <w:rFonts w:hint="eastAsia" w:ascii="宋体" w:hAnsi="宋体" w:eastAsia="宋体" w:cs="宋体"/>
          <w:b/>
          <w:color w:val="000000"/>
          <w:sz w:val="24"/>
          <w:szCs w:val="24"/>
        </w:rPr>
        <w:t>对于本项目需着重介绍的注意事项已经通过以下带颜色文档进行标记。</w:t>
      </w:r>
    </w:p>
    <w:p w14:paraId="2AE32E8D">
      <w:pPr>
        <w:spacing w:line="360" w:lineRule="auto"/>
        <w:ind w:firstLine="482" w:firstLineChars="200"/>
        <w:rPr>
          <w:rFonts w:hint="eastAsia" w:ascii="宋体" w:hAnsi="宋体" w:eastAsia="宋体" w:cs="宋体"/>
          <w:b/>
          <w:color w:val="000000"/>
          <w:sz w:val="24"/>
          <w:szCs w:val="24"/>
        </w:rPr>
      </w:pPr>
      <w:r>
        <w:rPr>
          <w:rFonts w:hint="eastAsia" w:ascii="宋体" w:hAnsi="宋体" w:eastAsia="宋体" w:cs="宋体"/>
          <w:b/>
          <w:color w:val="000000"/>
          <w:sz w:val="24"/>
          <w:szCs w:val="24"/>
        </w:rPr>
        <w:t>具体要求详见《技术标书》。</w:t>
      </w:r>
    </w:p>
    <w:p w14:paraId="687DB16F">
      <w:pPr>
        <w:keepNext/>
        <w:keepLines/>
        <w:numPr>
          <w:ilvl w:val="0"/>
          <w:numId w:val="3"/>
        </w:numPr>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交货及付款</w:t>
      </w:r>
      <w:r>
        <w:rPr>
          <w:rFonts w:hint="eastAsia" w:ascii="宋体" w:hAnsi="宋体" w:eastAsia="宋体" w:cs="宋体"/>
          <w:b/>
          <w:bCs/>
          <w:sz w:val="24"/>
          <w:szCs w:val="24"/>
        </w:rPr>
        <w:tab/>
      </w:r>
    </w:p>
    <w:p w14:paraId="390CE3D7">
      <w:pPr>
        <w:pStyle w:val="20"/>
        <w:spacing w:line="360" w:lineRule="auto"/>
        <w:ind w:firstLine="480" w:firstLineChars="200"/>
        <w:rPr>
          <w:rFonts w:hint="eastAsia" w:hAnsi="宋体" w:eastAsia="宋体" w:cs="宋体"/>
          <w:sz w:val="24"/>
          <w:szCs w:val="24"/>
        </w:rPr>
      </w:pPr>
      <w:r>
        <w:rPr>
          <w:rFonts w:hint="eastAsia" w:hAnsi="宋体" w:eastAsia="宋体" w:cs="宋体"/>
          <w:color w:val="000000"/>
          <w:sz w:val="24"/>
          <w:szCs w:val="24"/>
        </w:rPr>
        <w:t>交货期、交货地点、交货方式、付款方式及比例见《投标须知前附表》第7条。</w:t>
      </w:r>
    </w:p>
    <w:p w14:paraId="3E8D73E4">
      <w:pPr>
        <w:keepNext/>
        <w:keepLines/>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四、投标说明</w:t>
      </w:r>
    </w:p>
    <w:p w14:paraId="53A3C1ED">
      <w:pPr>
        <w:keepNext/>
        <w:keepLines/>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1.报名方式</w:t>
      </w:r>
    </w:p>
    <w:p w14:paraId="4C53819B">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投标人根据招标人在中国重汽官网等公开媒体上发布的招标信息，在“中国重汽e采通”平台报名。按照中国重汽e采通“SRM非生产供应商注册手册（附件16）”进行注册，</w:t>
      </w:r>
      <w:r>
        <w:rPr>
          <w:rFonts w:hint="eastAsia" w:eastAsia="宋体" w:cs="Times New Roman"/>
          <w:color w:val="000000"/>
          <w:sz w:val="24"/>
          <w:szCs w:val="24"/>
        </w:rPr>
        <w:t>注册完毕后按照</w:t>
      </w:r>
      <w:r>
        <w:rPr>
          <w:rFonts w:hint="eastAsia" w:ascii="宋体" w:hAnsi="宋体" w:eastAsia="宋体" w:cs="宋体"/>
          <w:b/>
          <w:color w:val="000000"/>
          <w:sz w:val="24"/>
          <w:szCs w:val="24"/>
        </w:rPr>
        <w:t>“SRM系统供应商用户手册（附件17）”登录系统，</w:t>
      </w:r>
      <w:r>
        <w:rPr>
          <w:rFonts w:hint="eastAsia" w:ascii="宋体" w:hAnsi="宋体" w:eastAsia="宋体" w:cs="宋体"/>
          <w:color w:val="000000"/>
          <w:sz w:val="24"/>
          <w:szCs w:val="24"/>
        </w:rPr>
        <w:t>进入“供应商应标”，选择对应的项目，点击“应标”后按照招标文件第三部分投标文件组成资格证明文件中的1.1-1.13准备资料并上传，资质审查通过即为报名成功，公示期间请尽快报名。</w:t>
      </w:r>
    </w:p>
    <w:p w14:paraId="3A9FEF5A">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投标保证金缴纳的时候，</w:t>
      </w:r>
      <w:r>
        <w:rPr>
          <w:rFonts w:hint="eastAsia" w:ascii="宋体" w:hAnsi="宋体" w:eastAsia="宋体" w:cs="宋体"/>
          <w:b/>
          <w:bCs/>
          <w:color w:val="000000"/>
          <w:sz w:val="24"/>
          <w:szCs w:val="24"/>
        </w:rPr>
        <w:t>务必备注所投标的项目名称</w:t>
      </w:r>
      <w:r>
        <w:rPr>
          <w:rFonts w:hint="eastAsia" w:ascii="宋体" w:hAnsi="宋体" w:eastAsia="宋体" w:cs="宋体"/>
          <w:color w:val="000000"/>
          <w:sz w:val="24"/>
          <w:szCs w:val="24"/>
        </w:rPr>
        <w:t>。</w:t>
      </w:r>
    </w:p>
    <w:p w14:paraId="24AE1395">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不按要求报名的，或因未提供相关信息导致后期无法退回保证金的，需投标人承担责任。</w:t>
      </w:r>
    </w:p>
    <w:p w14:paraId="45320455">
      <w:pPr>
        <w:keepNext/>
        <w:keepLines/>
        <w:numPr>
          <w:ilvl w:val="0"/>
          <w:numId w:val="4"/>
        </w:numPr>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投标条件</w:t>
      </w:r>
    </w:p>
    <w:p w14:paraId="2ADD1C7A">
      <w:pPr>
        <w:pStyle w:val="20"/>
        <w:spacing w:line="360" w:lineRule="auto"/>
        <w:ind w:firstLine="480"/>
        <w:rPr>
          <w:rFonts w:hint="eastAsia" w:hAnsi="宋体" w:eastAsia="宋体" w:cs="宋体"/>
          <w:b/>
          <w:color w:val="000000"/>
          <w:sz w:val="24"/>
          <w:szCs w:val="24"/>
        </w:rPr>
      </w:pPr>
      <w:r>
        <w:rPr>
          <w:rFonts w:hint="eastAsia" w:hAnsi="宋体" w:eastAsia="宋体" w:cs="宋体"/>
          <w:b/>
          <w:bCs/>
          <w:color w:val="000000"/>
          <w:sz w:val="24"/>
          <w:szCs w:val="24"/>
        </w:rPr>
        <w:t>对于中国境内投标人，投标条件详见招标文件“第一部分投标须知前附表1.6”。</w:t>
      </w:r>
    </w:p>
    <w:p w14:paraId="7F9A47DD">
      <w:pPr>
        <w:keepNext/>
        <w:keepLines/>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3.报价</w:t>
      </w:r>
    </w:p>
    <w:p w14:paraId="5CC3D76E">
      <w:pPr>
        <w:pStyle w:val="20"/>
        <w:spacing w:line="360" w:lineRule="auto"/>
        <w:ind w:firstLine="480" w:firstLineChars="200"/>
        <w:rPr>
          <w:rFonts w:hint="eastAsia" w:hAnsi="宋体" w:eastAsia="宋体" w:cs="宋体"/>
          <w:color w:val="000000"/>
          <w:sz w:val="24"/>
          <w:szCs w:val="24"/>
        </w:rPr>
      </w:pPr>
      <w:r>
        <w:rPr>
          <w:rFonts w:hint="eastAsia" w:hAnsi="宋体" w:eastAsia="宋体" w:cs="宋体"/>
          <w:color w:val="000000"/>
          <w:sz w:val="24"/>
          <w:szCs w:val="24"/>
        </w:rPr>
        <w:t>3.1</w:t>
      </w:r>
      <w:r>
        <w:rPr>
          <w:rFonts w:hint="eastAsia" w:hAnsi="宋体" w:eastAsia="宋体" w:cs="宋体"/>
          <w:sz w:val="24"/>
          <w:szCs w:val="24"/>
        </w:rPr>
        <w:t>本次招投标为</w:t>
      </w:r>
      <w:r>
        <w:rPr>
          <w:rFonts w:hint="eastAsia" w:hAnsi="宋体" w:eastAsia="宋体" w:cs="宋体"/>
          <w:color w:val="000000"/>
          <w:sz w:val="24"/>
          <w:szCs w:val="24"/>
        </w:rPr>
        <w:t>公开招标</w:t>
      </w:r>
      <w:r>
        <w:rPr>
          <w:rFonts w:hint="eastAsia" w:hAnsi="宋体" w:eastAsia="宋体" w:cs="宋体"/>
          <w:b/>
          <w:sz w:val="24"/>
          <w:szCs w:val="24"/>
        </w:rPr>
        <w:t>；</w:t>
      </w:r>
      <w:r>
        <w:rPr>
          <w:rFonts w:hint="eastAsia" w:hAnsi="宋体" w:eastAsia="宋体" w:cs="宋体"/>
          <w:color w:val="000000"/>
          <w:sz w:val="24"/>
          <w:szCs w:val="24"/>
        </w:rPr>
        <w:t>评标流程以及规则详见本部分第六条评标原则。</w:t>
      </w:r>
    </w:p>
    <w:p w14:paraId="602C7166">
      <w:pPr>
        <w:spacing w:line="360" w:lineRule="auto"/>
        <w:ind w:firstLine="235" w:firstLineChars="98"/>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投标人自行勘察现场，进行合理报价。投标总报价应包括设备费、原厂服务费及相关配件、随机资料、保险、税费、运杂、安装调试、与其他专业配合及可预见的风险以及其它不可预见等全部费用。</w:t>
      </w:r>
    </w:p>
    <w:p w14:paraId="2407391D">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3.2</w:t>
      </w:r>
      <w:r>
        <w:rPr>
          <w:rFonts w:hint="eastAsia" w:ascii="宋体" w:hAnsi="宋体" w:eastAsia="宋体" w:cs="宋体"/>
          <w:b/>
          <w:bCs/>
          <w:color w:val="000000"/>
          <w:sz w:val="24"/>
          <w:szCs w:val="24"/>
        </w:rPr>
        <w:t>所有设备的报价货币单位为：</w:t>
      </w:r>
      <w:r>
        <w:rPr>
          <w:rFonts w:hint="eastAsia" w:ascii="宋体" w:hAnsi="宋体" w:eastAsia="宋体" w:cs="宋体"/>
          <w:b/>
          <w:bCs/>
          <w:color w:val="000000"/>
          <w:sz w:val="24"/>
          <w:szCs w:val="24"/>
          <w:u w:val="single"/>
        </w:rPr>
        <w:t xml:space="preserve">         </w:t>
      </w:r>
      <w:r>
        <w:rPr>
          <w:rFonts w:hint="eastAsia" w:ascii="宋体" w:hAnsi="宋体" w:eastAsia="宋体" w:cs="宋体"/>
          <w:b/>
          <w:bCs/>
          <w:color w:val="000000"/>
          <w:sz w:val="24"/>
          <w:szCs w:val="24"/>
        </w:rPr>
        <w:t>元【人民币（应同时报含税价和不含税价并写明税率）】。</w:t>
      </w:r>
    </w:p>
    <w:p w14:paraId="4426C5F5">
      <w:pPr>
        <w:keepNext/>
        <w:keepLines/>
        <w:spacing w:line="360" w:lineRule="auto"/>
        <w:ind w:firstLine="482" w:firstLineChars="200"/>
        <w:outlineLvl w:val="2"/>
        <w:rPr>
          <w:rFonts w:hint="eastAsia" w:ascii="宋体" w:hAnsi="宋体" w:eastAsia="宋体" w:cs="宋体"/>
          <w:sz w:val="24"/>
          <w:szCs w:val="24"/>
        </w:rPr>
      </w:pPr>
      <w:r>
        <w:rPr>
          <w:rFonts w:hint="eastAsia" w:ascii="宋体" w:hAnsi="宋体" w:eastAsia="宋体" w:cs="宋体"/>
          <w:b/>
          <w:bCs/>
          <w:color w:val="000000"/>
          <w:sz w:val="24"/>
          <w:szCs w:val="24"/>
        </w:rPr>
        <w:t>4.设备要求：</w:t>
      </w:r>
    </w:p>
    <w:p w14:paraId="1E85193B">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4.1投标设备技术参数和总体要求按《技术标书》执行；</w:t>
      </w:r>
    </w:p>
    <w:p w14:paraId="73259C03">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4.2设备制造完毕经出厂检验合格后方能发货；</w:t>
      </w:r>
    </w:p>
    <w:p w14:paraId="04DF060C">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4.3设备包装按国家部颁布标准执行；</w:t>
      </w:r>
    </w:p>
    <w:p w14:paraId="7AF79DA6">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4.4设备交货要求直接发货至合同指定地点，否则买方有权拒绝接受货物；</w:t>
      </w:r>
    </w:p>
    <w:p w14:paraId="0867D85A">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4.5投标企业按技术规范书提报设备详细技术资料；</w:t>
      </w:r>
    </w:p>
    <w:p w14:paraId="12E3AFAB">
      <w:pPr>
        <w:pStyle w:val="20"/>
        <w:spacing w:line="360" w:lineRule="auto"/>
        <w:ind w:firstLine="480" w:firstLineChars="200"/>
        <w:rPr>
          <w:rFonts w:hint="eastAsia" w:hAnsi="宋体" w:eastAsia="宋体" w:cs="宋体"/>
          <w:color w:val="000000"/>
          <w:sz w:val="24"/>
          <w:szCs w:val="24"/>
        </w:rPr>
      </w:pPr>
      <w:r>
        <w:rPr>
          <w:rFonts w:hint="eastAsia" w:hAnsi="宋体" w:eastAsia="宋体" w:cs="宋体"/>
          <w:color w:val="000000"/>
          <w:sz w:val="24"/>
          <w:szCs w:val="24"/>
        </w:rPr>
        <w:t>4.6设备所安装的操作系统及系统开发的软件均为正版，投标人是系统软件的所有权人或已获知识产权所有权人的正式授权，对该系统软件拥有合法的知识产权或具有合法的来源，在有关知识产权中不存在任何侵犯第三方的权益；</w:t>
      </w:r>
    </w:p>
    <w:p w14:paraId="43D6E4B9">
      <w:pPr>
        <w:pStyle w:val="20"/>
        <w:spacing w:line="360" w:lineRule="auto"/>
        <w:ind w:firstLine="480" w:firstLineChars="200"/>
        <w:rPr>
          <w:rFonts w:hint="eastAsia" w:hAnsi="宋体" w:eastAsia="宋体" w:cs="宋体"/>
          <w:color w:val="000000"/>
          <w:sz w:val="24"/>
          <w:szCs w:val="24"/>
        </w:rPr>
      </w:pPr>
      <w:r>
        <w:rPr>
          <w:rFonts w:hint="eastAsia" w:hAnsi="宋体" w:eastAsia="宋体" w:cs="宋体"/>
          <w:color w:val="000000"/>
          <w:sz w:val="24"/>
          <w:szCs w:val="24"/>
        </w:rPr>
        <w:t>4.7设备设施颜色严格执行我公司企业标准《设备设施颜色标识》（Q/ZZ30070</w:t>
      </w:r>
    </w:p>
    <w:p w14:paraId="2611707D">
      <w:pPr>
        <w:pStyle w:val="20"/>
        <w:spacing w:line="360" w:lineRule="auto"/>
        <w:rPr>
          <w:rFonts w:hint="eastAsia" w:hAnsi="宋体" w:eastAsia="宋体" w:cs="宋体"/>
          <w:color w:val="000000"/>
          <w:sz w:val="24"/>
          <w:szCs w:val="24"/>
        </w:rPr>
      </w:pPr>
      <w:r>
        <w:rPr>
          <w:rFonts w:hint="eastAsia" w:hAnsi="宋体" w:eastAsia="宋体" w:cs="宋体"/>
          <w:color w:val="000000"/>
          <w:sz w:val="24"/>
          <w:szCs w:val="24"/>
        </w:rPr>
        <w:t>—2020）。</w:t>
      </w:r>
    </w:p>
    <w:p w14:paraId="061538BD">
      <w:pPr>
        <w:keepNext/>
        <w:keepLines/>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5.其他要求</w:t>
      </w:r>
    </w:p>
    <w:p w14:paraId="772E6F84">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包装、运输、检验、交付、安装、调试、培训、结算、质保及售后服务等，按《技术标书》要求，在标书中列示说明，最终以合同约定为准。</w:t>
      </w:r>
    </w:p>
    <w:p w14:paraId="4B791862">
      <w:pPr>
        <w:keepNext/>
        <w:keepLines/>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6.询标</w:t>
      </w:r>
    </w:p>
    <w:p w14:paraId="7FA94422">
      <w:pPr>
        <w:keepNext/>
        <w:keepLines/>
        <w:spacing w:line="360" w:lineRule="auto"/>
        <w:ind w:firstLine="480" w:firstLineChars="200"/>
        <w:rPr>
          <w:rFonts w:hint="eastAsia" w:ascii="宋体" w:hAnsi="宋体" w:eastAsia="宋体" w:cs="宋体"/>
          <w:b/>
          <w:bCs/>
          <w:color w:val="000000"/>
          <w:sz w:val="24"/>
          <w:szCs w:val="24"/>
        </w:rPr>
      </w:pPr>
      <w:r>
        <w:rPr>
          <w:rFonts w:hint="eastAsia" w:ascii="宋体" w:hAnsi="宋体" w:eastAsia="宋体" w:cs="宋体"/>
          <w:color w:val="000000"/>
          <w:sz w:val="24"/>
          <w:szCs w:val="24"/>
        </w:rPr>
        <w:t>凡对本次招标提出的询问，均以招标人的书面答复为准。</w:t>
      </w:r>
    </w:p>
    <w:p w14:paraId="1BA7D912">
      <w:pPr>
        <w:keepNext/>
        <w:keepLines/>
        <w:spacing w:line="360" w:lineRule="auto"/>
        <w:outlineLvl w:val="1"/>
        <w:rPr>
          <w:rFonts w:hint="eastAsia" w:ascii="宋体" w:hAnsi="宋体" w:eastAsia="宋体" w:cs="宋体"/>
          <w:b/>
          <w:bCs/>
          <w:color w:val="000000"/>
          <w:sz w:val="24"/>
          <w:szCs w:val="24"/>
        </w:rPr>
      </w:pPr>
      <w:r>
        <w:rPr>
          <w:rFonts w:hint="eastAsia" w:ascii="宋体" w:hAnsi="宋体" w:eastAsia="宋体" w:cs="宋体"/>
          <w:b/>
          <w:bCs/>
          <w:color w:val="000000"/>
          <w:sz w:val="24"/>
          <w:szCs w:val="24"/>
        </w:rPr>
        <w:t>五、议程安排</w:t>
      </w:r>
    </w:p>
    <w:p w14:paraId="113F3FD0">
      <w:pPr>
        <w:keepNext/>
        <w:keepLines/>
        <w:spacing w:line="360" w:lineRule="auto"/>
        <w:ind w:firstLine="482" w:firstLineChars="200"/>
        <w:outlineLvl w:val="2"/>
        <w:rPr>
          <w:rFonts w:hint="eastAsia" w:ascii="宋体" w:hAnsi="宋体" w:eastAsia="宋体" w:cs="宋体"/>
          <w:color w:val="000000"/>
          <w:sz w:val="24"/>
          <w:szCs w:val="24"/>
        </w:rPr>
      </w:pPr>
      <w:r>
        <w:rPr>
          <w:rFonts w:hint="eastAsia" w:ascii="宋体" w:hAnsi="宋体" w:eastAsia="宋体" w:cs="宋体"/>
          <w:b/>
          <w:bCs/>
          <w:color w:val="000000"/>
          <w:sz w:val="24"/>
          <w:szCs w:val="24"/>
        </w:rPr>
        <w:t>1.发标时间</w:t>
      </w:r>
    </w:p>
    <w:p w14:paraId="427FD1D9">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见《投标须知前附表》2.1。</w:t>
      </w:r>
    </w:p>
    <w:p w14:paraId="3CA25004">
      <w:pPr>
        <w:keepNext/>
        <w:keepLines/>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2.发标方式</w:t>
      </w:r>
    </w:p>
    <w:p w14:paraId="39E48FA8">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sz w:val="24"/>
          <w:szCs w:val="24"/>
        </w:rPr>
        <w:t>中国重汽官网、山东省阳光采购服务平台、中国招标投标公共服务平台等公开媒体</w:t>
      </w:r>
      <w:r>
        <w:rPr>
          <w:rFonts w:hint="eastAsia" w:ascii="宋体" w:hAnsi="宋体" w:eastAsia="宋体" w:cs="宋体"/>
          <w:color w:val="000000"/>
          <w:sz w:val="24"/>
          <w:szCs w:val="24"/>
        </w:rPr>
        <w:t>公布。</w:t>
      </w:r>
    </w:p>
    <w:p w14:paraId="1067F095">
      <w:pPr>
        <w:keepNext/>
        <w:keepLines/>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3.答疑</w:t>
      </w:r>
    </w:p>
    <w:p w14:paraId="7E8541B7">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见《投标须知前附表》第二条，逾期不受理。</w:t>
      </w:r>
    </w:p>
    <w:p w14:paraId="59371585">
      <w:pPr>
        <w:keepNext/>
        <w:keepLines/>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4.投标报名</w:t>
      </w:r>
    </w:p>
    <w:p w14:paraId="31417BE4">
      <w:pPr>
        <w:keepNext/>
        <w:keepLines/>
        <w:spacing w:line="360" w:lineRule="auto"/>
        <w:ind w:firstLine="482"/>
        <w:rPr>
          <w:rFonts w:hint="eastAsia" w:ascii="宋体" w:hAnsi="宋体" w:eastAsia="宋体" w:cs="宋体"/>
          <w:sz w:val="24"/>
          <w:szCs w:val="24"/>
        </w:rPr>
      </w:pPr>
      <w:r>
        <w:rPr>
          <w:rFonts w:hint="eastAsia" w:ascii="宋体" w:hAnsi="宋体" w:eastAsia="宋体" w:cs="宋体"/>
          <w:sz w:val="24"/>
          <w:szCs w:val="24"/>
        </w:rPr>
        <w:t>4.1投标人在报名参与本项目的同时，应提供项目投标保证金。投标保证金应在规定的时间前将投标保证金从投标人单位基本帐户转出并到账，否则按否决投标处理；未按规定提交保证金的投标人，其投标文件按否决投标处理。（保证金具体金额及缴纳截止时间见《投标须知前附表》4.2和4.3）。</w:t>
      </w:r>
    </w:p>
    <w:p w14:paraId="383A94DF">
      <w:pPr>
        <w:pStyle w:val="117"/>
        <w:ind w:firstLine="480"/>
        <w:rPr>
          <w:rFonts w:hint="eastAsia" w:eastAsia="宋体" w:cs="宋体"/>
        </w:rPr>
      </w:pPr>
      <w:r>
        <w:rPr>
          <w:rFonts w:hint="eastAsia" w:eastAsia="宋体" w:cs="宋体"/>
        </w:rPr>
        <w:t>4.2招标人银行账户信息如下：见《投标须知前附表》4.2。</w:t>
      </w:r>
    </w:p>
    <w:p w14:paraId="3A6E0DF2">
      <w:pPr>
        <w:pStyle w:val="117"/>
        <w:ind w:firstLine="480"/>
        <w:rPr>
          <w:rFonts w:hint="eastAsia" w:eastAsia="宋体" w:cs="宋体"/>
        </w:rPr>
      </w:pPr>
      <w:r>
        <w:rPr>
          <w:rFonts w:hint="eastAsia" w:eastAsia="宋体" w:cs="宋体"/>
        </w:rPr>
        <w:t>转账附言：公司名称+项目名称+投标保证金；</w:t>
      </w:r>
    </w:p>
    <w:p w14:paraId="2B19DC13">
      <w:pPr>
        <w:pStyle w:val="117"/>
        <w:ind w:firstLine="480"/>
        <w:rPr>
          <w:rFonts w:hint="eastAsia" w:eastAsia="宋体" w:cs="宋体"/>
        </w:rPr>
      </w:pPr>
      <w:r>
        <w:rPr>
          <w:rFonts w:hint="eastAsia" w:eastAsia="宋体" w:cs="宋体"/>
        </w:rPr>
        <w:t>对于没有中标的投标人，投标保证金将于招标人内部完成中标人评审并确认最终中标人后在</w:t>
      </w:r>
      <w:r>
        <w:rPr>
          <w:rFonts w:hint="eastAsia" w:hAnsi="黑体" w:cs="黑体"/>
          <w:u w:val="single"/>
        </w:rPr>
        <w:t>一个付款周期</w:t>
      </w:r>
      <w:r>
        <w:rPr>
          <w:rFonts w:hint="eastAsia" w:eastAsia="宋体" w:cs="宋体"/>
        </w:rPr>
        <w:t>予以原路返还（无息）；对于中标方，投标保证金将在签订合同后</w:t>
      </w:r>
      <w:r>
        <w:rPr>
          <w:rFonts w:hint="eastAsia" w:hAnsi="黑体" w:cs="黑体"/>
          <w:u w:val="single"/>
        </w:rPr>
        <w:t>一个付款周期</w:t>
      </w:r>
      <w:r>
        <w:rPr>
          <w:rFonts w:hint="eastAsia" w:eastAsia="宋体" w:cs="宋体"/>
        </w:rPr>
        <w:t>原路返还（无息）；</w:t>
      </w:r>
    </w:p>
    <w:p w14:paraId="1A1C929B">
      <w:pPr>
        <w:pStyle w:val="117"/>
        <w:ind w:firstLine="480"/>
        <w:rPr>
          <w:rFonts w:hint="eastAsia" w:eastAsia="宋体" w:cs="宋体"/>
        </w:rPr>
      </w:pPr>
      <w:r>
        <w:rPr>
          <w:rFonts w:hint="eastAsia" w:eastAsia="宋体" w:cs="宋体"/>
        </w:rPr>
        <w:t>4.3说明</w:t>
      </w:r>
    </w:p>
    <w:p w14:paraId="553105A5">
      <w:pPr>
        <w:pStyle w:val="117"/>
        <w:ind w:firstLine="480"/>
        <w:rPr>
          <w:rFonts w:hint="eastAsia" w:eastAsia="宋体" w:cs="宋体"/>
        </w:rPr>
      </w:pPr>
      <w:r>
        <w:rPr>
          <w:rFonts w:hint="eastAsia" w:eastAsia="宋体" w:cs="宋体"/>
        </w:rPr>
        <w:t>4.3.1 投标人在向招标人出示《投标保证金缴纳凭证》后方可进行投标；</w:t>
      </w:r>
    </w:p>
    <w:p w14:paraId="54B273C4">
      <w:pPr>
        <w:pStyle w:val="117"/>
        <w:ind w:firstLine="480"/>
        <w:rPr>
          <w:rFonts w:hint="eastAsia" w:eastAsia="宋体" w:cs="宋体"/>
        </w:rPr>
      </w:pPr>
      <w:r>
        <w:rPr>
          <w:rFonts w:hint="eastAsia" w:eastAsia="宋体" w:cs="宋体"/>
        </w:rPr>
        <w:t>4.3.2 发生以下情况时，招标人有权没收保证金：</w:t>
      </w:r>
    </w:p>
    <w:p w14:paraId="5D100476">
      <w:pPr>
        <w:pStyle w:val="117"/>
        <w:ind w:firstLine="480"/>
        <w:rPr>
          <w:rFonts w:hint="eastAsia" w:eastAsia="宋体" w:cs="宋体"/>
        </w:rPr>
      </w:pPr>
      <w:r>
        <w:rPr>
          <w:rFonts w:hint="eastAsia" w:eastAsia="宋体" w:cs="宋体"/>
        </w:rPr>
        <w:t>4.3.2.1 截至开标前3天，投标人无正当理由且未以书面形式递交说明而在投标截止日不来投标的；</w:t>
      </w:r>
    </w:p>
    <w:p w14:paraId="4A88100A">
      <w:pPr>
        <w:pStyle w:val="117"/>
        <w:ind w:firstLine="480"/>
        <w:rPr>
          <w:rFonts w:hint="eastAsia" w:eastAsia="宋体" w:cs="宋体"/>
        </w:rPr>
      </w:pPr>
      <w:r>
        <w:rPr>
          <w:rFonts w:hint="eastAsia" w:eastAsia="宋体" w:cs="宋体"/>
        </w:rPr>
        <w:t>4.3.2.2 投标人递送投标文件后，无正当理由放弃投标的；</w:t>
      </w:r>
    </w:p>
    <w:p w14:paraId="60DC1C0F">
      <w:pPr>
        <w:pStyle w:val="117"/>
        <w:ind w:firstLine="480"/>
        <w:rPr>
          <w:rFonts w:hint="eastAsia" w:eastAsia="宋体" w:cs="宋体"/>
        </w:rPr>
      </w:pPr>
      <w:r>
        <w:rPr>
          <w:rFonts w:hint="eastAsia" w:eastAsia="宋体" w:cs="宋体"/>
        </w:rPr>
        <w:t>4.3.2.3若为视频开标，招标过程中澄清函等资料原件未按要求提交的；</w:t>
      </w:r>
    </w:p>
    <w:p w14:paraId="772D4FC6">
      <w:pPr>
        <w:pStyle w:val="117"/>
        <w:ind w:firstLine="480"/>
        <w:rPr>
          <w:rFonts w:hint="eastAsia" w:eastAsia="宋体" w:cs="宋体"/>
        </w:rPr>
      </w:pPr>
      <w:r>
        <w:rPr>
          <w:rFonts w:hint="eastAsia" w:eastAsia="宋体" w:cs="宋体"/>
        </w:rPr>
        <w:t>4.3.2.4自中标通知书发出之日起30日内，中标人无正当理由不签订合同的；</w:t>
      </w:r>
    </w:p>
    <w:p w14:paraId="205A6774">
      <w:pPr>
        <w:pStyle w:val="117"/>
        <w:ind w:firstLine="480"/>
        <w:rPr>
          <w:rFonts w:hint="eastAsia" w:eastAsia="宋体" w:cs="宋体"/>
        </w:rPr>
      </w:pPr>
      <w:r>
        <w:rPr>
          <w:rFonts w:hint="eastAsia" w:eastAsia="宋体" w:cs="宋体"/>
        </w:rPr>
        <w:t>4.3.2.5投标人在投标过程中被查实有串标、围标、陪标等违规违纪行为的；</w:t>
      </w:r>
    </w:p>
    <w:p w14:paraId="473F7ED1">
      <w:pPr>
        <w:spacing w:line="360" w:lineRule="auto"/>
        <w:ind w:right="2"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4.3.2.6投标人有违约违规行为或被投诉、举报的，在调查处理期间，保证金暂不退还，待调查处理结束后按有关规定处理。</w:t>
      </w:r>
    </w:p>
    <w:p w14:paraId="69F1022C">
      <w:pPr>
        <w:pStyle w:val="117"/>
        <w:ind w:firstLine="480"/>
        <w:rPr>
          <w:rFonts w:hint="eastAsia" w:eastAsia="宋体" w:cs="宋体"/>
        </w:rPr>
      </w:pPr>
      <w:r>
        <w:rPr>
          <w:rFonts w:hint="eastAsia" w:eastAsia="宋体" w:cs="宋体"/>
        </w:rPr>
        <w:t>4.4投标报名截止时间</w:t>
      </w:r>
    </w:p>
    <w:p w14:paraId="5DED418D">
      <w:pPr>
        <w:pStyle w:val="117"/>
        <w:ind w:firstLine="480"/>
        <w:rPr>
          <w:rFonts w:hint="eastAsia" w:eastAsia="宋体" w:cs="宋体"/>
        </w:rPr>
      </w:pPr>
      <w:r>
        <w:rPr>
          <w:rFonts w:hint="eastAsia" w:eastAsia="宋体" w:cs="宋体"/>
        </w:rPr>
        <w:t>报名方式：见《投标须知前附表》2.3。</w:t>
      </w:r>
    </w:p>
    <w:p w14:paraId="71F8A9D1">
      <w:pPr>
        <w:pStyle w:val="117"/>
        <w:ind w:firstLine="480"/>
        <w:rPr>
          <w:rFonts w:hint="eastAsia" w:eastAsia="宋体" w:cs="宋体"/>
        </w:rPr>
      </w:pPr>
      <w:r>
        <w:rPr>
          <w:rFonts w:hint="eastAsia" w:eastAsia="宋体" w:cs="宋体"/>
        </w:rPr>
        <w:t>报名提交资料：均为盖章电子扫描版，用“公司名称+文件名称”命名。</w:t>
      </w:r>
    </w:p>
    <w:p w14:paraId="6B97B0D5">
      <w:pPr>
        <w:numPr>
          <w:ilvl w:val="0"/>
          <w:numId w:val="5"/>
        </w:numPr>
        <w:spacing w:line="360" w:lineRule="auto"/>
        <w:rPr>
          <w:rFonts w:hint="eastAsia" w:ascii="宋体" w:hAnsi="宋体" w:eastAsia="宋体" w:cs="宋体"/>
          <w:color w:val="000000"/>
          <w:sz w:val="24"/>
          <w:szCs w:val="24"/>
        </w:rPr>
      </w:pPr>
      <w:r>
        <w:rPr>
          <w:rFonts w:hint="eastAsia" w:ascii="宋体" w:hAnsi="宋体" w:eastAsia="宋体" w:cs="宋体"/>
          <w:b/>
          <w:color w:val="000000"/>
          <w:sz w:val="24"/>
          <w:szCs w:val="24"/>
        </w:rPr>
        <w:t>如果是授权委托人投标，</w:t>
      </w:r>
      <w:r>
        <w:rPr>
          <w:rFonts w:hint="eastAsia" w:ascii="宋体" w:hAnsi="宋体" w:eastAsia="宋体" w:cs="宋体"/>
          <w:color w:val="000000"/>
          <w:sz w:val="24"/>
          <w:szCs w:val="24"/>
        </w:rPr>
        <w:t>要提交营业执照副本、法人授权委托书（含法人及授权人身份信息证明、授权代表联系方式）。</w:t>
      </w:r>
    </w:p>
    <w:p w14:paraId="3567C999">
      <w:pPr>
        <w:numPr>
          <w:ilvl w:val="0"/>
          <w:numId w:val="5"/>
        </w:numPr>
        <w:spacing w:line="360" w:lineRule="auto"/>
        <w:rPr>
          <w:rFonts w:hint="eastAsia" w:ascii="宋体" w:hAnsi="宋体" w:eastAsia="宋体" w:cs="宋体"/>
          <w:color w:val="000000"/>
          <w:sz w:val="24"/>
          <w:szCs w:val="24"/>
        </w:rPr>
      </w:pPr>
      <w:r>
        <w:rPr>
          <w:rFonts w:hint="eastAsia" w:ascii="宋体" w:hAnsi="宋体" w:eastAsia="宋体" w:cs="宋体"/>
          <w:b/>
          <w:color w:val="000000"/>
          <w:sz w:val="24"/>
          <w:szCs w:val="24"/>
        </w:rPr>
        <w:t>如果是法人参加投标</w:t>
      </w:r>
      <w:r>
        <w:rPr>
          <w:rFonts w:hint="eastAsia" w:ascii="宋体" w:hAnsi="宋体" w:eastAsia="宋体" w:cs="宋体"/>
          <w:color w:val="000000"/>
          <w:sz w:val="24"/>
          <w:szCs w:val="24"/>
        </w:rPr>
        <w:t>，要提交营业执照副本、法人代表证明文件。</w:t>
      </w:r>
    </w:p>
    <w:p w14:paraId="69ADD3E9">
      <w:pPr>
        <w:numPr>
          <w:ilvl w:val="0"/>
          <w:numId w:val="5"/>
        </w:numPr>
        <w:spacing w:line="360" w:lineRule="auto"/>
        <w:rPr>
          <w:rFonts w:hint="eastAsia" w:ascii="宋体" w:hAnsi="宋体" w:eastAsia="宋体" w:cs="宋体"/>
          <w:color w:val="000000"/>
          <w:sz w:val="24"/>
          <w:szCs w:val="24"/>
        </w:rPr>
      </w:pPr>
      <w:r>
        <w:rPr>
          <w:rFonts w:hint="eastAsia" w:ascii="宋体" w:hAnsi="宋体" w:eastAsia="宋体" w:cs="宋体"/>
          <w:b/>
          <w:color w:val="000000"/>
          <w:sz w:val="24"/>
          <w:szCs w:val="24"/>
        </w:rPr>
        <w:t>如果是代理商投标</w:t>
      </w:r>
      <w:r>
        <w:rPr>
          <w:rFonts w:hint="eastAsia" w:ascii="宋体" w:hAnsi="宋体" w:eastAsia="宋体" w:cs="宋体"/>
          <w:color w:val="000000"/>
          <w:sz w:val="24"/>
          <w:szCs w:val="24"/>
        </w:rPr>
        <w:t>，除上述a)b)中要求的资料，要另外携带生产商的授权书、原厂售后服务承诺书。</w:t>
      </w:r>
    </w:p>
    <w:p w14:paraId="4CA78FF9">
      <w:pPr>
        <w:keepNext/>
        <w:keepLines/>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5.开标时间</w:t>
      </w:r>
    </w:p>
    <w:p w14:paraId="534B26BC">
      <w:pPr>
        <w:keepNext/>
        <w:keepLines/>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见《投标须知前附表》5.1，若有变动另行通知。</w:t>
      </w:r>
    </w:p>
    <w:p w14:paraId="0519EDFD">
      <w:pPr>
        <w:keepNext/>
        <w:keepLines/>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6.开标方式</w:t>
      </w:r>
    </w:p>
    <w:p w14:paraId="4ECBC7C5">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原则上来现场参与开标。如因特殊情况无法现场参与，需在开标前三日，通知招标人，由招标人创建视频链接，并在报名结束后统一通知。</w:t>
      </w:r>
    </w:p>
    <w:p w14:paraId="7ABBA7A1">
      <w:pPr>
        <w:spacing w:line="360" w:lineRule="auto"/>
        <w:jc w:val="left"/>
        <w:outlineLvl w:val="1"/>
        <w:rPr>
          <w:rFonts w:hint="eastAsia" w:ascii="宋体" w:hAnsi="宋体" w:eastAsia="宋体" w:cs="宋体"/>
          <w:b/>
          <w:sz w:val="24"/>
          <w:szCs w:val="24"/>
        </w:rPr>
      </w:pPr>
      <w:bookmarkStart w:id="6" w:name="_Toc33266914"/>
      <w:bookmarkStart w:id="7" w:name="_Toc33267001"/>
      <w:bookmarkStart w:id="8" w:name="_Toc33266950"/>
      <w:bookmarkStart w:id="9" w:name="_Toc33265653"/>
      <w:bookmarkStart w:id="10" w:name="_Toc33265752"/>
      <w:bookmarkStart w:id="11" w:name="_Toc33285487"/>
      <w:bookmarkStart w:id="12" w:name="_Toc33266627"/>
      <w:r>
        <w:rPr>
          <w:rFonts w:hint="eastAsia" w:ascii="宋体" w:hAnsi="宋体" w:eastAsia="宋体" w:cs="宋体"/>
          <w:b/>
          <w:sz w:val="24"/>
          <w:szCs w:val="24"/>
        </w:rPr>
        <w:t>六、评价原则</w:t>
      </w:r>
      <w:bookmarkEnd w:id="6"/>
      <w:bookmarkEnd w:id="7"/>
      <w:bookmarkEnd w:id="8"/>
      <w:bookmarkEnd w:id="9"/>
      <w:bookmarkEnd w:id="10"/>
      <w:bookmarkEnd w:id="11"/>
      <w:bookmarkEnd w:id="12"/>
      <w:bookmarkStart w:id="13" w:name="_Toc395116633"/>
    </w:p>
    <w:bookmarkEnd w:id="13"/>
    <w:p w14:paraId="0C1ACE3E">
      <w:pPr>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1.评标</w:t>
      </w:r>
    </w:p>
    <w:p w14:paraId="7B66D2A6">
      <w:pPr>
        <w:adjustRightInd w:val="0"/>
        <w:snapToGrid w:val="0"/>
        <w:spacing w:line="360" w:lineRule="auto"/>
        <w:ind w:firstLine="480" w:firstLineChars="200"/>
        <w:rPr>
          <w:rFonts w:hint="eastAsia" w:ascii="宋体" w:hAnsi="宋体" w:eastAsia="宋体" w:cs="宋体"/>
          <w:b/>
          <w:color w:val="000000"/>
          <w:sz w:val="24"/>
          <w:szCs w:val="24"/>
        </w:rPr>
      </w:pPr>
      <w:r>
        <w:rPr>
          <w:rFonts w:hint="eastAsia" w:ascii="宋体" w:hAnsi="宋体" w:eastAsia="宋体" w:cs="宋体"/>
          <w:sz w:val="24"/>
          <w:szCs w:val="24"/>
        </w:rPr>
        <w:t>本次招标采用</w:t>
      </w:r>
      <w:bookmarkStart w:id="14" w:name="_Toc395116634"/>
      <w:bookmarkStart w:id="15" w:name="_Toc33265654"/>
      <w:bookmarkStart w:id="16" w:name="_Toc33266628"/>
      <w:bookmarkStart w:id="17" w:name="_Toc33267002"/>
      <w:bookmarkStart w:id="18" w:name="_Toc33266951"/>
      <w:bookmarkStart w:id="19" w:name="_Toc33265753"/>
      <w:bookmarkStart w:id="20" w:name="_Toc33266915"/>
      <w:bookmarkStart w:id="21" w:name="_Toc33285489"/>
      <w:r>
        <w:rPr>
          <w:rFonts w:hint="eastAsia" w:ascii="宋体" w:hAnsi="宋体" w:eastAsia="宋体" w:cs="宋体"/>
          <w:b/>
          <w:bCs/>
          <w:sz w:val="24"/>
          <w:szCs w:val="24"/>
        </w:rPr>
        <w:t>综合评标法中标</w:t>
      </w:r>
      <w:r>
        <w:rPr>
          <w:rFonts w:hint="eastAsia" w:ascii="宋体" w:hAnsi="宋体" w:eastAsia="宋体" w:cs="宋体"/>
          <w:sz w:val="24"/>
          <w:szCs w:val="24"/>
        </w:rPr>
        <w:t>。</w:t>
      </w:r>
      <w:r>
        <w:rPr>
          <w:rFonts w:hint="eastAsia" w:ascii="宋体" w:hAnsi="宋体" w:eastAsia="宋体" w:cs="宋体"/>
          <w:color w:val="000000"/>
          <w:sz w:val="24"/>
          <w:szCs w:val="24"/>
        </w:rPr>
        <w:t>本着公平、公正、公开的原则，</w:t>
      </w:r>
      <w:r>
        <w:rPr>
          <w:rFonts w:hint="eastAsia" w:ascii="宋体" w:hAnsi="宋体" w:eastAsia="宋体" w:cs="宋体"/>
          <w:b/>
          <w:bCs/>
          <w:color w:val="000000"/>
          <w:sz w:val="24"/>
          <w:szCs w:val="24"/>
        </w:rPr>
        <w:t>在通过技术标评审后入围的前提下，</w:t>
      </w:r>
      <w:r>
        <w:rPr>
          <w:rFonts w:hint="eastAsia" w:ascii="宋体" w:hAnsi="宋体" w:eastAsia="宋体" w:cs="Times New Roman"/>
          <w:b/>
          <w:bCs/>
          <w:color w:val="000000"/>
          <w:sz w:val="24"/>
          <w:szCs w:val="24"/>
        </w:rPr>
        <w:t>对招标</w:t>
      </w:r>
      <w:r>
        <w:rPr>
          <w:rFonts w:hint="eastAsia" w:ascii="Calibri" w:hAnsi="Calibri" w:eastAsia="宋体" w:cs="Times New Roman"/>
          <w:b/>
          <w:bCs/>
          <w:color w:val="000000"/>
          <w:sz w:val="24"/>
          <w:szCs w:val="24"/>
        </w:rPr>
        <w:t>文件中规定的各项因素进行综合评审，</w:t>
      </w:r>
      <w:r>
        <w:rPr>
          <w:rFonts w:hint="eastAsia" w:ascii="Calibri" w:hAnsi="宋体" w:eastAsia="宋体" w:cs="Times New Roman"/>
          <w:b/>
          <w:bCs/>
          <w:color w:val="000000"/>
          <w:sz w:val="24"/>
          <w:szCs w:val="24"/>
        </w:rPr>
        <w:t>确定中标人</w:t>
      </w:r>
      <w:r>
        <w:rPr>
          <w:rFonts w:hint="eastAsia" w:ascii="宋体" w:hAnsi="宋体" w:eastAsia="宋体" w:cs="宋体"/>
          <w:b/>
          <w:bCs/>
          <w:color w:val="000000"/>
          <w:sz w:val="24"/>
          <w:szCs w:val="24"/>
        </w:rPr>
        <w:t>，</w:t>
      </w:r>
      <w:r>
        <w:rPr>
          <w:rFonts w:hint="eastAsia" w:ascii="宋体" w:hAnsi="宋体" w:eastAsia="宋体" w:cs="宋体"/>
          <w:b/>
          <w:color w:val="000000"/>
          <w:sz w:val="24"/>
          <w:szCs w:val="24"/>
        </w:rPr>
        <w:t>对未中标单位不做任何解释。</w:t>
      </w:r>
    </w:p>
    <w:bookmarkEnd w:id="14"/>
    <w:bookmarkEnd w:id="15"/>
    <w:bookmarkEnd w:id="16"/>
    <w:bookmarkEnd w:id="17"/>
    <w:bookmarkEnd w:id="18"/>
    <w:bookmarkEnd w:id="19"/>
    <w:bookmarkEnd w:id="20"/>
    <w:bookmarkEnd w:id="21"/>
    <w:p w14:paraId="32AC1800">
      <w:pPr>
        <w:spacing w:line="360" w:lineRule="auto"/>
        <w:ind w:firstLine="482" w:firstLineChars="200"/>
        <w:rPr>
          <w:rFonts w:hint="eastAsia" w:ascii="宋体" w:hAnsi="宋体" w:eastAsia="宋体" w:cs="宋体"/>
          <w:b/>
          <w:color w:val="000000"/>
          <w:sz w:val="24"/>
          <w:szCs w:val="24"/>
        </w:rPr>
      </w:pPr>
      <w:r>
        <w:rPr>
          <w:rFonts w:hint="eastAsia" w:ascii="宋体" w:hAnsi="宋体" w:eastAsia="宋体" w:cs="宋体"/>
          <w:b/>
          <w:color w:val="000000"/>
          <w:sz w:val="24"/>
          <w:szCs w:val="24"/>
        </w:rPr>
        <w:t>评标流程：</w:t>
      </w:r>
    </w:p>
    <w:p w14:paraId="0F218ED8">
      <w:pPr>
        <w:pStyle w:val="20"/>
        <w:spacing w:line="360" w:lineRule="auto"/>
        <w:ind w:firstLine="482" w:firstLineChars="200"/>
        <w:rPr>
          <w:rFonts w:hint="eastAsia" w:hAnsi="宋体" w:eastAsia="宋体" w:cs="宋体"/>
          <w:sz w:val="24"/>
          <w:szCs w:val="24"/>
        </w:rPr>
      </w:pPr>
      <w:r>
        <w:rPr>
          <w:rFonts w:hint="eastAsia" w:hAnsi="宋体" w:eastAsia="宋体" w:cs="宋体"/>
          <w:b/>
          <w:color w:val="000000"/>
          <w:sz w:val="24"/>
          <w:szCs w:val="24"/>
        </w:rPr>
        <w:t>投标文件包含《投标文件（资质标）》、《投标文件（技术标）》、《投标文件（商务标）》+（开标一览表），共计三个文件。</w:t>
      </w:r>
    </w:p>
    <w:p w14:paraId="1571BBF4">
      <w:pPr>
        <w:numPr>
          <w:ilvl w:val="0"/>
          <w:numId w:val="6"/>
        </w:numPr>
        <w:spacing w:line="360" w:lineRule="auto"/>
        <w:rPr>
          <w:rFonts w:hint="eastAsia" w:ascii="宋体" w:hAnsi="宋体" w:eastAsia="宋体" w:cs="宋体"/>
          <w:b/>
          <w:color w:val="000000"/>
          <w:sz w:val="24"/>
          <w:szCs w:val="24"/>
        </w:rPr>
      </w:pPr>
      <w:r>
        <w:rPr>
          <w:rFonts w:hint="eastAsia" w:ascii="宋体" w:hAnsi="宋体" w:eastAsia="宋体" w:cs="宋体"/>
          <w:b/>
          <w:color w:val="000000"/>
          <w:sz w:val="24"/>
          <w:szCs w:val="24"/>
        </w:rPr>
        <w:t>应标资格审查：在“中国重汽e采通”应标报名时，</w:t>
      </w:r>
      <w:r>
        <w:rPr>
          <w:rFonts w:hint="eastAsia" w:ascii="宋体" w:hAnsi="宋体" w:eastAsia="宋体" w:cs="宋体"/>
          <w:b/>
          <w:bCs/>
          <w:color w:val="000000"/>
          <w:sz w:val="24"/>
          <w:szCs w:val="24"/>
        </w:rPr>
        <w:t>按照第三部分第三条投标文件组成资格证明文件中的</w:t>
      </w:r>
      <w:r>
        <w:rPr>
          <w:rFonts w:hint="eastAsia" w:ascii="宋体" w:hAnsi="宋体" w:eastAsia="宋体" w:cs="宋体"/>
          <w:b/>
          <w:bCs/>
          <w:color w:val="000000"/>
          <w:sz w:val="24"/>
          <w:szCs w:val="24"/>
          <w:highlight w:val="yellow"/>
        </w:rPr>
        <w:t>1.1-1.13准备资料</w:t>
      </w:r>
      <w:r>
        <w:rPr>
          <w:rFonts w:hint="eastAsia" w:ascii="宋体" w:hAnsi="宋体" w:eastAsia="宋体" w:cs="宋体"/>
          <w:b/>
          <w:bCs/>
          <w:color w:val="000000"/>
          <w:sz w:val="24"/>
          <w:szCs w:val="24"/>
        </w:rPr>
        <w:t>，上传完毕后，等待审核</w:t>
      </w:r>
      <w:r>
        <w:rPr>
          <w:rFonts w:hint="eastAsia" w:ascii="宋体" w:hAnsi="宋体" w:eastAsia="宋体" w:cs="宋体"/>
          <w:b/>
          <w:color w:val="000000"/>
          <w:sz w:val="24"/>
          <w:szCs w:val="24"/>
        </w:rPr>
        <w:t>；</w:t>
      </w:r>
    </w:p>
    <w:p w14:paraId="47443E0E">
      <w:pPr>
        <w:numPr>
          <w:ilvl w:val="0"/>
          <w:numId w:val="7"/>
        </w:numPr>
        <w:spacing w:line="360" w:lineRule="auto"/>
        <w:rPr>
          <w:rFonts w:hint="eastAsia" w:ascii="宋体" w:hAnsi="宋体" w:eastAsia="宋体" w:cs="宋体"/>
          <w:b/>
          <w:color w:val="000000"/>
          <w:sz w:val="24"/>
          <w:szCs w:val="24"/>
        </w:rPr>
      </w:pPr>
      <w:r>
        <w:rPr>
          <w:rFonts w:hint="eastAsia" w:ascii="宋体" w:hAnsi="宋体" w:eastAsia="宋体" w:cs="宋体"/>
          <w:b/>
          <w:color w:val="000000"/>
          <w:sz w:val="24"/>
          <w:szCs w:val="24"/>
        </w:rPr>
        <w:t>通过应标资格审查的单位进入投标环节，按照“SRM系统供应商用户手册（附件17）”，在重汽e采通平台投递电子标书（包含资质标、技术标、商务标）；没有通过应标资质审查的单位不能进入投标环节；</w:t>
      </w:r>
    </w:p>
    <w:p w14:paraId="200D84B1">
      <w:pPr>
        <w:numPr>
          <w:ilvl w:val="0"/>
          <w:numId w:val="6"/>
        </w:numPr>
        <w:spacing w:line="360" w:lineRule="auto"/>
        <w:rPr>
          <w:rFonts w:hint="eastAsia" w:ascii="宋体" w:hAnsi="宋体" w:eastAsia="宋体" w:cs="宋体"/>
          <w:b/>
          <w:color w:val="000000"/>
          <w:sz w:val="24"/>
          <w:szCs w:val="24"/>
        </w:rPr>
      </w:pPr>
      <w:r>
        <w:rPr>
          <w:rFonts w:hint="eastAsia" w:ascii="宋体" w:hAnsi="宋体" w:eastAsia="宋体" w:cs="宋体"/>
          <w:b/>
          <w:sz w:val="24"/>
          <w:szCs w:val="24"/>
        </w:rPr>
        <w:t>资质标评审：资质标审核通过的单位，可以进入</w:t>
      </w:r>
      <w:r>
        <w:rPr>
          <w:rFonts w:hint="eastAsia" w:ascii="宋体" w:hAnsi="宋体" w:eastAsia="宋体" w:cs="宋体"/>
          <w:b/>
          <w:color w:val="000000"/>
          <w:sz w:val="24"/>
          <w:szCs w:val="24"/>
        </w:rPr>
        <w:t>公开唱标环节；</w:t>
      </w:r>
    </w:p>
    <w:p w14:paraId="41A83977">
      <w:pPr>
        <w:numPr>
          <w:ilvl w:val="0"/>
          <w:numId w:val="8"/>
        </w:numPr>
        <w:spacing w:line="360" w:lineRule="auto"/>
        <w:rPr>
          <w:rFonts w:hint="eastAsia" w:ascii="宋体" w:hAnsi="宋体" w:eastAsia="宋体" w:cs="宋体"/>
          <w:b/>
          <w:sz w:val="24"/>
          <w:szCs w:val="24"/>
        </w:rPr>
      </w:pPr>
      <w:r>
        <w:rPr>
          <w:rFonts w:hint="eastAsia" w:ascii="宋体" w:hAnsi="宋体" w:eastAsia="宋体" w:cs="宋体"/>
          <w:b/>
          <w:color w:val="000000"/>
          <w:sz w:val="24"/>
          <w:szCs w:val="24"/>
        </w:rPr>
        <w:t>公开唱标：公示资质标入围单位的开标价格及商务条款响应情况</w:t>
      </w:r>
      <w:r>
        <w:rPr>
          <w:rFonts w:hint="eastAsia" w:ascii="宋体" w:hAnsi="宋体" w:eastAsia="宋体" w:cs="宋体"/>
          <w:b/>
          <w:sz w:val="24"/>
          <w:szCs w:val="24"/>
        </w:rPr>
        <w:t>；</w:t>
      </w:r>
    </w:p>
    <w:p w14:paraId="6DB168CA">
      <w:pPr>
        <w:numPr>
          <w:ilvl w:val="0"/>
          <w:numId w:val="8"/>
        </w:numPr>
        <w:spacing w:line="360" w:lineRule="auto"/>
        <w:rPr>
          <w:rFonts w:hint="eastAsia" w:ascii="宋体" w:hAnsi="宋体" w:eastAsia="宋体" w:cs="宋体"/>
          <w:b/>
          <w:sz w:val="24"/>
          <w:szCs w:val="24"/>
        </w:rPr>
      </w:pPr>
      <w:r>
        <w:rPr>
          <w:rFonts w:hint="eastAsia" w:ascii="宋体" w:hAnsi="宋体" w:eastAsia="宋体" w:cs="宋体"/>
          <w:b/>
          <w:color w:val="000000"/>
          <w:sz w:val="24"/>
          <w:szCs w:val="24"/>
        </w:rPr>
        <w:t>技术标评审</w:t>
      </w:r>
      <w:r>
        <w:rPr>
          <w:rFonts w:hint="eastAsia" w:ascii="宋体" w:hAnsi="宋体" w:eastAsia="宋体" w:cs="宋体"/>
          <w:b/>
          <w:sz w:val="24"/>
          <w:szCs w:val="24"/>
        </w:rPr>
        <w:t>：技术标评标专家组，通过重汽e采通，对各投标人的《投标文件（技术标）》进行综合评审；评审期间产生的技术澄清均由投标人在重汽e采通平台内完成提交；评审合格的单位进入商务标评审环节，评审不合格的单位被淘汰；具体</w:t>
      </w:r>
      <w:r>
        <w:rPr>
          <w:rFonts w:hint="eastAsia" w:ascii="宋体" w:hAnsi="宋体" w:eastAsia="宋体" w:cs="宋体"/>
          <w:b/>
          <w:bCs/>
          <w:color w:val="000000"/>
          <w:sz w:val="24"/>
          <w:szCs w:val="24"/>
        </w:rPr>
        <w:t>技术标评分标准见附件1</w:t>
      </w:r>
      <w:r>
        <w:rPr>
          <w:rFonts w:hint="eastAsia" w:ascii="宋体" w:hAnsi="宋体" w:eastAsia="宋体" w:cs="宋体"/>
          <w:b/>
          <w:bCs/>
          <w:color w:val="000000"/>
          <w:sz w:val="24"/>
          <w:szCs w:val="24"/>
          <w:lang w:val="en-US" w:eastAsia="zh-CN"/>
        </w:rPr>
        <w:t>5</w:t>
      </w:r>
      <w:r>
        <w:rPr>
          <w:rFonts w:hint="eastAsia" w:ascii="宋体" w:hAnsi="宋体" w:eastAsia="宋体" w:cs="宋体"/>
          <w:b/>
          <w:bCs/>
          <w:color w:val="000000"/>
          <w:sz w:val="24"/>
          <w:szCs w:val="24"/>
        </w:rPr>
        <w:t>；</w:t>
      </w:r>
    </w:p>
    <w:p w14:paraId="4A0DF010">
      <w:pPr>
        <w:numPr>
          <w:ilvl w:val="0"/>
          <w:numId w:val="9"/>
        </w:numPr>
        <w:spacing w:line="360" w:lineRule="auto"/>
        <w:rPr>
          <w:rFonts w:hint="eastAsia" w:ascii="宋体" w:hAnsi="宋体" w:eastAsia="宋体" w:cs="宋体"/>
          <w:b/>
          <w:sz w:val="24"/>
          <w:szCs w:val="24"/>
        </w:rPr>
      </w:pPr>
      <w:r>
        <w:rPr>
          <w:rFonts w:hint="eastAsia" w:ascii="宋体" w:hAnsi="宋体" w:eastAsia="宋体" w:cs="宋体"/>
          <w:b/>
          <w:sz w:val="24"/>
          <w:szCs w:val="24"/>
        </w:rPr>
        <w:t>商务标评审：商务条款相应确认→价格澄清→商务标评审；评审期间产生的商务价格澄清均由投标人在重汽e采通平台限时内完成提交；</w:t>
      </w:r>
    </w:p>
    <w:p w14:paraId="13BF7832">
      <w:pPr>
        <w:numPr>
          <w:ilvl w:val="255"/>
          <w:numId w:val="0"/>
        </w:numPr>
        <w:spacing w:line="360" w:lineRule="auto"/>
        <w:ind w:firstLine="482" w:firstLineChars="200"/>
        <w:rPr>
          <w:rFonts w:hint="eastAsia" w:ascii="宋体" w:hAnsi="宋体" w:eastAsia="宋体" w:cs="宋体"/>
          <w:b/>
          <w:sz w:val="24"/>
          <w:szCs w:val="24"/>
        </w:rPr>
      </w:pPr>
      <w:r>
        <w:rPr>
          <w:rFonts w:hint="eastAsia" w:ascii="宋体" w:hAnsi="宋体" w:eastAsia="宋体" w:cs="宋体"/>
          <w:b/>
          <w:sz w:val="24"/>
          <w:szCs w:val="24"/>
        </w:rPr>
        <w:t>注意：投标人均需要自带笔记本电脑在重汽e采通进行自主投标和提交澄清函；投标和提交澄清函均有时间限制，超时未提交的按无效处理。</w:t>
      </w:r>
    </w:p>
    <w:p w14:paraId="3372DC99">
      <w:pPr>
        <w:numPr>
          <w:ilvl w:val="0"/>
          <w:numId w:val="10"/>
        </w:numPr>
        <w:spacing w:line="360" w:lineRule="auto"/>
        <w:rPr>
          <w:rFonts w:hint="eastAsia" w:ascii="宋体" w:hAnsi="宋体" w:eastAsia="宋体" w:cs="宋体"/>
          <w:b/>
          <w:sz w:val="24"/>
          <w:szCs w:val="24"/>
        </w:rPr>
      </w:pPr>
      <w:r>
        <w:rPr>
          <w:rFonts w:hint="eastAsia" w:ascii="宋体" w:hAnsi="宋体" w:eastAsia="宋体" w:cs="宋体"/>
          <w:b/>
          <w:sz w:val="24"/>
          <w:szCs w:val="24"/>
        </w:rPr>
        <w:t>中标人确定：技术标入围后，</w:t>
      </w:r>
      <w:r>
        <w:rPr>
          <w:rFonts w:hint="eastAsia" w:ascii="宋体" w:hAnsi="宋体" w:eastAsia="宋体" w:cs="宋体"/>
          <w:b/>
          <w:bCs/>
          <w:sz w:val="24"/>
          <w:szCs w:val="24"/>
        </w:rPr>
        <w:t>原则上选取综合排名评分最高的</w:t>
      </w:r>
      <w:r>
        <w:rPr>
          <w:rFonts w:hint="eastAsia" w:ascii="宋体" w:hAnsi="宋体" w:eastAsia="宋体" w:cs="Times New Roman"/>
          <w:b/>
          <w:bCs/>
          <w:color w:val="000000"/>
          <w:sz w:val="24"/>
          <w:szCs w:val="24"/>
        </w:rPr>
        <w:t>中标。</w:t>
      </w:r>
    </w:p>
    <w:p w14:paraId="5885A988">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本项目只产生一个中标人。中标人签订合同前须进行最终审查。最终审查的对象是投标项目的中标候选人。最终审查的内容是对中标候选人的经营状况、服务质量、资格、信誉以及招标人认为有必要了解的其它问题作进一步的考查及后审。最终审查的方式，根据需要采取问询或实地查证等方式。如审查结果不符合成交条件的，则本次评标作废或</w:t>
      </w:r>
      <w:r>
        <w:rPr>
          <w:rFonts w:hint="eastAsia" w:ascii="宋体" w:hAnsi="宋体" w:eastAsia="宋体" w:cs="宋体"/>
          <w:color w:val="000000"/>
          <w:sz w:val="24"/>
          <w:szCs w:val="24"/>
          <w:lang w:bidi="ar"/>
        </w:rPr>
        <w:t>变更意向中标人</w:t>
      </w:r>
      <w:r>
        <w:rPr>
          <w:rFonts w:hint="eastAsia" w:ascii="宋体" w:hAnsi="宋体" w:eastAsia="宋体" w:cs="宋体"/>
          <w:color w:val="000000"/>
          <w:sz w:val="24"/>
          <w:szCs w:val="24"/>
        </w:rPr>
        <w:t>。</w:t>
      </w:r>
    </w:p>
    <w:p w14:paraId="1AC598FB">
      <w:pPr>
        <w:keepNext/>
        <w:keepLines/>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七、合同签订</w:t>
      </w:r>
    </w:p>
    <w:p w14:paraId="298A8F1B">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1.招标人根据评标工作小组的评标结果确定中标人，在重汽e采通平台公布中标结果，并发送中标通知。</w:t>
      </w:r>
    </w:p>
    <w:p w14:paraId="43A0C1F2">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2.中标人应该在中标通知书规定的时间、地点与招标人签订采购合同，否则按照开标后撤回投标处理。</w:t>
      </w:r>
    </w:p>
    <w:p w14:paraId="093D312A">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3.中标人应当按照合同约定的履约责任，在保证质量的前提下完成中标项目，不得将中标项目转包或分包给他人，否则视为违约，招标人有权解除合同。</w:t>
      </w:r>
    </w:p>
    <w:p w14:paraId="0B93E058">
      <w:pPr>
        <w:spacing w:line="360" w:lineRule="auto"/>
        <w:ind w:firstLine="482" w:firstLineChars="200"/>
        <w:rPr>
          <w:rFonts w:hint="eastAsia" w:ascii="宋体" w:hAnsi="宋体" w:eastAsia="宋体" w:cs="宋体"/>
          <w:b/>
          <w:sz w:val="24"/>
          <w:szCs w:val="24"/>
        </w:rPr>
      </w:pPr>
      <w:r>
        <w:rPr>
          <w:rFonts w:hint="eastAsia" w:ascii="宋体" w:hAnsi="宋体" w:eastAsia="宋体" w:cs="宋体"/>
          <w:b/>
          <w:sz w:val="24"/>
          <w:szCs w:val="24"/>
        </w:rPr>
        <w:t>4.中标人由于履行义务的能力或信用有严重缺陷，招标人有权取消其中标资格，招标人将从中标候选单位中依序重新确定中标人，或重新组织招标；</w:t>
      </w:r>
    </w:p>
    <w:p w14:paraId="43123967">
      <w:pPr>
        <w:spacing w:line="360" w:lineRule="auto"/>
        <w:ind w:firstLine="482" w:firstLineChars="200"/>
        <w:rPr>
          <w:rFonts w:hint="eastAsia" w:ascii="宋体" w:hAnsi="宋体" w:eastAsia="宋体" w:cs="宋体"/>
          <w:b/>
          <w:sz w:val="24"/>
          <w:szCs w:val="24"/>
        </w:rPr>
      </w:pPr>
      <w:r>
        <w:rPr>
          <w:rFonts w:hint="eastAsia" w:ascii="宋体" w:hAnsi="宋体" w:eastAsia="宋体" w:cs="宋体"/>
          <w:b/>
          <w:sz w:val="24"/>
          <w:szCs w:val="24"/>
        </w:rPr>
        <w:t>5.合同以双方最终签署的版本为准。</w:t>
      </w:r>
    </w:p>
    <w:p w14:paraId="2D310F6B">
      <w:pPr>
        <w:keepNext/>
        <w:keepLines/>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八、废标及终止招标</w:t>
      </w:r>
    </w:p>
    <w:p w14:paraId="4E293E08">
      <w:pPr>
        <w:spacing w:line="360" w:lineRule="auto"/>
        <w:ind w:right="2"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投标人有下列情形之一，其投标将被视为废标，招标人将严格按照《中华人民共和国招标投标法》及相关法律、法规及规章制度的规定行使权利。投标人给招标人造成损失的，招标人有索赔的权利，投标人应予以赔偿。</w:t>
      </w:r>
    </w:p>
    <w:p w14:paraId="1F3DA1A9">
      <w:pPr>
        <w:spacing w:line="360" w:lineRule="auto"/>
        <w:ind w:right="2"/>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（1）投标人提供的有关资格、资质证明文件不合格、不真实或提供虚假投标材料；</w:t>
      </w:r>
    </w:p>
    <w:p w14:paraId="1A6F8153">
      <w:pPr>
        <w:spacing w:line="360" w:lineRule="auto"/>
        <w:ind w:right="2"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（2）投标人在报价有效期内撤回投标；</w:t>
      </w:r>
    </w:p>
    <w:p w14:paraId="42C11815">
      <w:pPr>
        <w:spacing w:line="360" w:lineRule="auto"/>
        <w:ind w:right="2"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（3）在整个评标过程中，投标人有企图影响评标结果公正性的任何活动；</w:t>
      </w:r>
    </w:p>
    <w:p w14:paraId="04C5A9AF">
      <w:pPr>
        <w:spacing w:line="360" w:lineRule="auto"/>
        <w:ind w:right="2"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（4）投标人以任何方式诋毁其他投标人；</w:t>
      </w:r>
    </w:p>
    <w:p w14:paraId="2E0B6010">
      <w:pPr>
        <w:spacing w:line="360" w:lineRule="auto"/>
        <w:ind w:right="2"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（5）投标人串通投标；</w:t>
      </w:r>
    </w:p>
    <w:p w14:paraId="05711637">
      <w:pPr>
        <w:pStyle w:val="20"/>
        <w:spacing w:line="360" w:lineRule="auto"/>
        <w:rPr>
          <w:rFonts w:hint="eastAsia" w:hAnsi="宋体" w:eastAsia="宋体" w:cs="宋体"/>
          <w:sz w:val="24"/>
          <w:szCs w:val="24"/>
        </w:rPr>
      </w:pPr>
      <w:r>
        <w:rPr>
          <w:rFonts w:hint="eastAsia" w:hAnsi="宋体" w:eastAsia="宋体" w:cs="宋体"/>
          <w:color w:val="000000"/>
          <w:sz w:val="24"/>
          <w:szCs w:val="24"/>
        </w:rPr>
        <w:t xml:space="preserve">    （6）投标人被举报、检举，并经招标人查实无误的；</w:t>
      </w:r>
    </w:p>
    <w:p w14:paraId="5E6DEBA2">
      <w:pPr>
        <w:spacing w:line="360" w:lineRule="auto"/>
        <w:ind w:right="2"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（7）以他人名义投标或者以其他方式弄虚作假，骗取中标的；</w:t>
      </w:r>
    </w:p>
    <w:p w14:paraId="39F593C6">
      <w:pPr>
        <w:spacing w:line="360" w:lineRule="auto"/>
        <w:ind w:right="2" w:firstLine="480" w:firstLineChars="200"/>
        <w:rPr>
          <w:rFonts w:hint="eastAsia" w:ascii="宋体" w:hAnsi="宋体" w:eastAsia="宋体" w:cs="宋体"/>
          <w:sz w:val="24"/>
          <w:szCs w:val="24"/>
        </w:rPr>
      </w:pPr>
      <w:r>
        <w:rPr>
          <w:rFonts w:hint="eastAsia" w:ascii="宋体" w:hAnsi="宋体" w:eastAsia="宋体" w:cs="宋体"/>
          <w:sz w:val="24"/>
          <w:szCs w:val="24"/>
        </w:rPr>
        <w:t>（8）投标人负责人为同一人或者存在控股、管理关系的不同单位；</w:t>
      </w:r>
    </w:p>
    <w:p w14:paraId="1D32D851">
      <w:pPr>
        <w:spacing w:line="360" w:lineRule="auto"/>
        <w:ind w:right="2" w:firstLine="480" w:firstLineChars="200"/>
        <w:rPr>
          <w:rFonts w:hint="eastAsia" w:ascii="宋体" w:hAnsi="宋体" w:eastAsia="宋体" w:cs="宋体"/>
          <w:sz w:val="24"/>
          <w:szCs w:val="24"/>
        </w:rPr>
      </w:pPr>
      <w:r>
        <w:rPr>
          <w:rFonts w:hint="eastAsia" w:ascii="宋体" w:hAnsi="宋体" w:eastAsia="宋体" w:cs="宋体"/>
          <w:sz w:val="24"/>
          <w:szCs w:val="24"/>
        </w:rPr>
        <w:t>（9）有效投标不足三家；</w:t>
      </w:r>
    </w:p>
    <w:p w14:paraId="42A1568B">
      <w:pPr>
        <w:spacing w:line="360" w:lineRule="auto"/>
        <w:ind w:right="2"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（10）未按要求填报商务报价资料，对招标开展造成较大影响；</w:t>
      </w:r>
    </w:p>
    <w:p w14:paraId="4281F866">
      <w:pPr>
        <w:spacing w:line="360" w:lineRule="auto"/>
        <w:ind w:right="2"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w:t>
      </w:r>
      <w:r>
        <w:rPr>
          <w:rFonts w:hint="eastAsia" w:ascii="宋体" w:hAnsi="宋体" w:eastAsia="宋体" w:cs="宋体"/>
          <w:sz w:val="24"/>
          <w:szCs w:val="24"/>
        </w:rPr>
        <w:t>1）未按照招标人规定的时间内在中国重汽e采通完成投标的；</w:t>
      </w:r>
    </w:p>
    <w:p w14:paraId="0F233C19">
      <w:pPr>
        <w:pStyle w:val="20"/>
        <w:spacing w:line="360" w:lineRule="auto"/>
        <w:ind w:firstLine="480" w:firstLineChars="200"/>
        <w:rPr>
          <w:rFonts w:hint="eastAsia" w:hAnsi="宋体" w:eastAsia="宋体" w:cs="宋体"/>
          <w:color w:val="000000"/>
          <w:sz w:val="24"/>
          <w:szCs w:val="24"/>
        </w:rPr>
      </w:pPr>
      <w:r>
        <w:rPr>
          <w:rFonts w:hint="eastAsia" w:hAnsi="宋体" w:eastAsia="宋体" w:cs="宋体"/>
          <w:color w:val="000000"/>
          <w:sz w:val="24"/>
          <w:szCs w:val="24"/>
        </w:rPr>
        <w:t>（12）不同投标人的投标文件异常一致；</w:t>
      </w:r>
    </w:p>
    <w:p w14:paraId="55C532CB">
      <w:pPr>
        <w:pStyle w:val="20"/>
        <w:spacing w:line="360" w:lineRule="auto"/>
        <w:ind w:firstLine="480" w:firstLineChars="200"/>
        <w:rPr>
          <w:rFonts w:hint="eastAsia" w:hAnsi="宋体" w:eastAsia="宋体" w:cs="宋体"/>
          <w:color w:val="000000"/>
          <w:sz w:val="24"/>
          <w:szCs w:val="24"/>
        </w:rPr>
      </w:pPr>
      <w:r>
        <w:rPr>
          <w:rFonts w:hint="eastAsia" w:hAnsi="宋体" w:eastAsia="宋体" w:cs="宋体"/>
          <w:color w:val="000000"/>
          <w:sz w:val="24"/>
          <w:szCs w:val="24"/>
        </w:rPr>
        <w:t>（13）投标报价呈规律性差异的；</w:t>
      </w:r>
    </w:p>
    <w:p w14:paraId="093A79EE">
      <w:pPr>
        <w:pStyle w:val="20"/>
        <w:spacing w:line="360" w:lineRule="auto"/>
        <w:ind w:firstLine="480" w:firstLineChars="200"/>
        <w:rPr>
          <w:rFonts w:hint="eastAsia" w:hAnsi="宋体" w:eastAsia="宋体" w:cs="宋体"/>
          <w:color w:val="000000"/>
          <w:sz w:val="24"/>
          <w:szCs w:val="24"/>
        </w:rPr>
      </w:pPr>
      <w:r>
        <w:rPr>
          <w:rFonts w:hint="eastAsia" w:hAnsi="宋体" w:eastAsia="宋体" w:cs="宋体"/>
          <w:color w:val="000000"/>
          <w:sz w:val="24"/>
          <w:szCs w:val="24"/>
        </w:rPr>
        <w:t>（14）投标人报价均超过投标限价的；</w:t>
      </w:r>
    </w:p>
    <w:p w14:paraId="23644D52">
      <w:pPr>
        <w:spacing w:line="360" w:lineRule="auto"/>
        <w:ind w:right="2" w:firstLine="480" w:firstLineChars="200"/>
        <w:rPr>
          <w:rFonts w:hint="eastAsia"/>
        </w:rPr>
      </w:pPr>
      <w:r>
        <w:rPr>
          <w:rFonts w:hint="eastAsia" w:ascii="宋体" w:hAnsi="宋体" w:eastAsia="宋体" w:cs="宋体"/>
          <w:color w:val="000000"/>
          <w:sz w:val="24"/>
          <w:szCs w:val="24"/>
        </w:rPr>
        <w:t>（15）法律、法规规定的其他情况。</w:t>
      </w:r>
    </w:p>
    <w:p w14:paraId="59F6FC8F">
      <w:pPr>
        <w:spacing w:line="360" w:lineRule="auto"/>
        <w:ind w:right="2" w:firstLine="480" w:firstLineChars="200"/>
        <w:rPr>
          <w:rFonts w:hint="eastAsia" w:ascii="宋体" w:hAnsi="宋体" w:eastAsia="宋体" w:cs="宋体"/>
          <w:sz w:val="24"/>
          <w:szCs w:val="24"/>
        </w:rPr>
      </w:pPr>
      <w:r>
        <w:rPr>
          <w:rFonts w:hint="eastAsia" w:ascii="宋体" w:hAnsi="宋体" w:eastAsia="宋体" w:cs="宋体"/>
          <w:sz w:val="24"/>
          <w:szCs w:val="24"/>
        </w:rPr>
        <w:t>2.出现下列情形之一，招标人有权否决所有投标人的投标，并终止招标。</w:t>
      </w:r>
    </w:p>
    <w:p w14:paraId="7343D582">
      <w:pPr>
        <w:spacing w:line="360" w:lineRule="auto"/>
        <w:ind w:right="2" w:firstLine="480" w:firstLineChars="200"/>
        <w:rPr>
          <w:rFonts w:hint="eastAsia" w:ascii="宋体" w:hAnsi="宋体" w:eastAsia="宋体" w:cs="宋体"/>
          <w:b/>
          <w:sz w:val="24"/>
          <w:szCs w:val="24"/>
        </w:rPr>
      </w:pPr>
      <w:r>
        <w:rPr>
          <w:rFonts w:hint="eastAsia" w:ascii="宋体" w:hAnsi="宋体" w:eastAsia="宋体" w:cs="宋体"/>
          <w:sz w:val="24"/>
          <w:szCs w:val="24"/>
        </w:rPr>
        <w:t>（1）符合条件的投标人或者对招标文件做实质响应的投标人不足三家的；</w:t>
      </w:r>
    </w:p>
    <w:p w14:paraId="0C62DB15">
      <w:pPr>
        <w:spacing w:line="360" w:lineRule="auto"/>
        <w:ind w:right="2" w:firstLine="480" w:firstLineChars="200"/>
        <w:rPr>
          <w:rFonts w:hint="eastAsia" w:ascii="宋体" w:hAnsi="宋体" w:eastAsia="宋体" w:cs="宋体"/>
          <w:sz w:val="24"/>
          <w:szCs w:val="24"/>
        </w:rPr>
      </w:pPr>
      <w:r>
        <w:rPr>
          <w:rFonts w:hint="eastAsia" w:ascii="宋体" w:hAnsi="宋体" w:eastAsia="宋体" w:cs="宋体"/>
          <w:sz w:val="24"/>
          <w:szCs w:val="24"/>
        </w:rPr>
        <w:t>（2）出现影响采购公正的违法、违规行为的；</w:t>
      </w:r>
    </w:p>
    <w:p w14:paraId="477B7C09">
      <w:pPr>
        <w:spacing w:line="360" w:lineRule="auto"/>
        <w:ind w:right="2" w:firstLine="480" w:firstLineChars="200"/>
        <w:rPr>
          <w:rFonts w:hint="eastAsia" w:ascii="宋体" w:hAnsi="宋体" w:eastAsia="宋体" w:cs="宋体"/>
          <w:bCs/>
          <w:sz w:val="24"/>
          <w:szCs w:val="24"/>
        </w:rPr>
      </w:pPr>
      <w:r>
        <w:rPr>
          <w:rFonts w:hint="eastAsia" w:ascii="宋体" w:hAnsi="宋体" w:eastAsia="宋体" w:cs="宋体"/>
          <w:bCs/>
          <w:sz w:val="24"/>
          <w:szCs w:val="24"/>
        </w:rPr>
        <w:t>（3）评标委员会经评审，认为所有投标都不符合招标文件要求的；</w:t>
      </w:r>
    </w:p>
    <w:p w14:paraId="67524314">
      <w:pPr>
        <w:spacing w:line="360" w:lineRule="auto"/>
        <w:ind w:right="2" w:firstLine="480" w:firstLineChars="200"/>
        <w:rPr>
          <w:rFonts w:hint="eastAsia" w:ascii="宋体" w:hAnsi="宋体" w:eastAsia="宋体" w:cs="宋体"/>
          <w:bCs/>
          <w:sz w:val="24"/>
          <w:szCs w:val="24"/>
        </w:rPr>
      </w:pPr>
      <w:r>
        <w:rPr>
          <w:rFonts w:hint="eastAsia" w:ascii="宋体" w:hAnsi="宋体" w:eastAsia="宋体" w:cs="宋体"/>
          <w:bCs/>
          <w:sz w:val="24"/>
          <w:szCs w:val="24"/>
        </w:rPr>
        <w:t>（4）因重大变故，采购任务取消的</w:t>
      </w:r>
      <w:bookmarkStart w:id="22" w:name="OLE_LINK29"/>
      <w:bookmarkStart w:id="23" w:name="OLE_LINK28"/>
      <w:bookmarkStart w:id="24" w:name="OLE_LINK25"/>
      <w:bookmarkStart w:id="25" w:name="OLE_LINK26"/>
      <w:bookmarkStart w:id="26" w:name="OLE_LINK27"/>
      <w:r>
        <w:rPr>
          <w:rFonts w:hint="eastAsia" w:ascii="宋体" w:hAnsi="宋体" w:eastAsia="宋体" w:cs="宋体"/>
          <w:bCs/>
          <w:sz w:val="24"/>
          <w:szCs w:val="24"/>
        </w:rPr>
        <w:t>；</w:t>
      </w:r>
      <w:bookmarkEnd w:id="22"/>
      <w:bookmarkEnd w:id="23"/>
      <w:bookmarkEnd w:id="24"/>
      <w:bookmarkEnd w:id="25"/>
      <w:bookmarkEnd w:id="26"/>
    </w:p>
    <w:p w14:paraId="59E43FFD">
      <w:pPr>
        <w:spacing w:line="360" w:lineRule="auto"/>
        <w:ind w:right="2" w:firstLine="480" w:firstLineChars="200"/>
        <w:rPr>
          <w:rFonts w:hint="eastAsia" w:ascii="宋体" w:hAnsi="宋体" w:eastAsia="宋体" w:cs="宋体"/>
          <w:bCs/>
          <w:sz w:val="24"/>
          <w:szCs w:val="24"/>
        </w:rPr>
      </w:pPr>
      <w:r>
        <w:rPr>
          <w:rFonts w:hint="eastAsia" w:ascii="宋体" w:hAnsi="宋体" w:eastAsia="宋体" w:cs="宋体"/>
          <w:bCs/>
          <w:sz w:val="24"/>
          <w:szCs w:val="24"/>
        </w:rPr>
        <w:t>（5）投标人承诺同意由于招标人公司政策变化引起的随时终止项目的要求并承担由此带来的一切损失；</w:t>
      </w:r>
    </w:p>
    <w:p w14:paraId="2477B211">
      <w:pPr>
        <w:pStyle w:val="20"/>
        <w:spacing w:line="360" w:lineRule="auto"/>
        <w:ind w:firstLine="480" w:firstLineChars="200"/>
        <w:rPr>
          <w:rFonts w:hint="eastAsia" w:hAnsi="宋体" w:eastAsia="宋体" w:cs="宋体"/>
          <w:bCs/>
          <w:sz w:val="24"/>
          <w:szCs w:val="24"/>
        </w:rPr>
      </w:pPr>
      <w:r>
        <w:rPr>
          <w:rFonts w:hint="eastAsia" w:hAnsi="宋体" w:eastAsia="宋体" w:cs="宋体"/>
          <w:bCs/>
          <w:sz w:val="24"/>
          <w:szCs w:val="24"/>
        </w:rPr>
        <w:t>（6）招标人认为其他应终止招标的情形。</w:t>
      </w:r>
    </w:p>
    <w:p w14:paraId="1EF6F1E5">
      <w:pPr>
        <w:spacing w:line="360" w:lineRule="auto"/>
        <w:ind w:right="2"/>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3.中标人瑕疵滞后发现的处理原则：无论基于何种原因，各项本应作为拒绝处理的情形，即便未被及时发现或中标人隐瞒真实情况，而使该中标人通过了资格审核、初评、现场复审、终评或其他所有相关程序，包括已发布中标通知或已签订合同的情形，招标人均有权拒绝或取消中标人资格，一旦中标人被拒绝或该中标人此前的评议结果被取消，相关的一切损失均由该中标人承担。</w:t>
      </w:r>
    </w:p>
    <w:p w14:paraId="02AAAF1E">
      <w:pPr>
        <w:keepNext/>
        <w:keepLines/>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九、本次招标最终解释权归中国重汽集团济南商用车有限公司。</w:t>
      </w:r>
    </w:p>
    <w:p w14:paraId="690CCBF7">
      <w:pPr>
        <w:pStyle w:val="20"/>
        <w:spacing w:line="360" w:lineRule="auto"/>
        <w:jc w:val="center"/>
        <w:rPr>
          <w:rFonts w:hint="eastAsia" w:hAnsi="宋体" w:eastAsia="宋体" w:cs="宋体"/>
          <w:b/>
          <w:bCs/>
          <w:kern w:val="44"/>
          <w:sz w:val="24"/>
          <w:szCs w:val="24"/>
        </w:rPr>
        <w:sectPr>
          <w:headerReference r:id="rId7" w:type="default"/>
          <w:footerReference r:id="rId8" w:type="default"/>
          <w:pgSz w:w="11907" w:h="16840"/>
          <w:pgMar w:top="1304" w:right="1418" w:bottom="1304" w:left="1418" w:header="724" w:footer="851" w:gutter="0"/>
          <w:cols w:space="720" w:num="1"/>
          <w:docGrid w:linePitch="290" w:charSpace="-3931"/>
        </w:sectPr>
      </w:pPr>
    </w:p>
    <w:p w14:paraId="2AF9BA2C">
      <w:pPr>
        <w:pStyle w:val="3"/>
        <w:bidi w:val="0"/>
      </w:pPr>
      <w:bookmarkStart w:id="27" w:name="_Toc13849"/>
      <w:bookmarkStart w:id="28" w:name="_Toc22879"/>
      <w:r>
        <w:rPr>
          <w:rFonts w:hint="eastAsia"/>
        </w:rPr>
        <w:t>第三部分 投标文件编制</w:t>
      </w:r>
      <w:bookmarkEnd w:id="27"/>
      <w:bookmarkEnd w:id="28"/>
    </w:p>
    <w:p w14:paraId="4967E2A1">
      <w:pPr>
        <w:keepNext/>
        <w:keepLines/>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一、投标文件的编制</w:t>
      </w:r>
    </w:p>
    <w:p w14:paraId="316E209E">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1.投标人应认真阅读招标文件的所有内容，按招标文件的要求提供投标文件，并保证提供的全部资料的真实性，以使其投标对招标文件作出实质性响应，否则，其投标将被拒绝。</w:t>
      </w:r>
    </w:p>
    <w:p w14:paraId="68E616FA">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2.投标文件和与投标有关的所有文件均应使用中文。</w:t>
      </w:r>
    </w:p>
    <w:p w14:paraId="5E0C5CE5">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3.除投标文件的技术规格中另有规定外，投标文件中所使用的计量单位应为中华人民共和国法定计量单位。</w:t>
      </w:r>
    </w:p>
    <w:p w14:paraId="1B54A27F">
      <w:pPr>
        <w:keepNext/>
        <w:keepLines/>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二、投标文件资料</w:t>
      </w:r>
    </w:p>
    <w:p w14:paraId="18EAABCB">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1.投标人所投标设备详细技术资料清单，在标书中列示说明；</w:t>
      </w:r>
    </w:p>
    <w:p w14:paraId="7DCD536C">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2.投标人完整的技术支持与售后服务实施方案，在标书中列示说明，包含但不限于以下内容：</w:t>
      </w:r>
    </w:p>
    <w:p w14:paraId="49065DC8">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A、除享受由本品牌生产厂家提供的正规的全球或全国联保三包服务之外，还能获得由本品牌生产厂家或经销商提供的何种免费支持、免费服务或其他对招标人有利的服务项目。</w:t>
      </w:r>
    </w:p>
    <w:p w14:paraId="14488BC3">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B、售后服务机构或网点（名称、地址、联系人、电话）。</w:t>
      </w:r>
    </w:p>
    <w:p w14:paraId="3E2683F8">
      <w:pPr>
        <w:spacing w:line="360" w:lineRule="auto"/>
        <w:ind w:firstLine="480" w:firstLineChars="200"/>
        <w:rPr>
          <w:rFonts w:hint="eastAsia" w:ascii="宋体" w:hAnsi="宋体" w:eastAsia="宋体" w:cs="宋体"/>
          <w:bCs/>
          <w:color w:val="000000"/>
          <w:sz w:val="24"/>
          <w:szCs w:val="24"/>
        </w:rPr>
      </w:pPr>
      <w:r>
        <w:rPr>
          <w:rFonts w:hint="eastAsia" w:ascii="宋体" w:hAnsi="宋体" w:eastAsia="宋体" w:cs="宋体"/>
          <w:bCs/>
          <w:color w:val="000000"/>
          <w:sz w:val="24"/>
          <w:szCs w:val="24"/>
        </w:rPr>
        <w:t>C、针对本项目的技术服务团队情况（人员数量、姓名、电话、专业资质等）。</w:t>
      </w:r>
    </w:p>
    <w:p w14:paraId="66A1898C">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D、日常维护保养及故障排除措施保证。</w:t>
      </w:r>
    </w:p>
    <w:p w14:paraId="5E26B280">
      <w:pPr>
        <w:spacing w:line="360" w:lineRule="auto"/>
        <w:ind w:firstLine="480" w:firstLineChars="200"/>
        <w:rPr>
          <w:rFonts w:hint="eastAsia" w:ascii="宋体" w:hAnsi="宋体" w:eastAsia="宋体" w:cs="宋体"/>
          <w:sz w:val="24"/>
          <w:szCs w:val="24"/>
        </w:rPr>
      </w:pPr>
      <w:r>
        <w:rPr>
          <w:rFonts w:hint="eastAsia" w:ascii="宋体" w:hAnsi="宋体" w:eastAsia="宋体" w:cs="宋体"/>
          <w:color w:val="000000"/>
          <w:sz w:val="24"/>
          <w:szCs w:val="24"/>
        </w:rPr>
        <w:t>3.投标人关于包装、运输、检验、交付、安装、调试、培训等方案，均需在投标文件中列示说明。</w:t>
      </w:r>
    </w:p>
    <w:p w14:paraId="0D9AAEE5">
      <w:pPr>
        <w:keepNext/>
        <w:keepLines/>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三、投标文件的组成</w:t>
      </w:r>
    </w:p>
    <w:p w14:paraId="02344B3B">
      <w:pPr>
        <w:spacing w:line="360" w:lineRule="auto"/>
        <w:ind w:firstLine="480" w:firstLineChars="200"/>
        <w:rPr>
          <w:rFonts w:hint="eastAsia" w:ascii="宋体" w:hAnsi="宋体" w:eastAsia="宋体" w:cs="宋体"/>
          <w:bCs/>
          <w:color w:val="000000"/>
          <w:sz w:val="24"/>
          <w:szCs w:val="24"/>
        </w:rPr>
      </w:pPr>
      <w:r>
        <w:rPr>
          <w:rFonts w:hint="eastAsia" w:ascii="宋体" w:hAnsi="宋体" w:eastAsia="宋体" w:cs="宋体"/>
          <w:bCs/>
          <w:sz w:val="24"/>
          <w:szCs w:val="24"/>
        </w:rPr>
        <w:t>本项目投标文件分为</w:t>
      </w:r>
      <w:r>
        <w:rPr>
          <w:rFonts w:hint="eastAsia" w:ascii="宋体" w:hAnsi="宋体" w:eastAsia="宋体" w:cs="宋体"/>
          <w:b/>
          <w:sz w:val="24"/>
          <w:szCs w:val="24"/>
        </w:rPr>
        <w:t>纸质版</w:t>
      </w:r>
      <w:r>
        <w:rPr>
          <w:rFonts w:hint="eastAsia" w:ascii="宋体" w:hAnsi="宋体" w:eastAsia="宋体" w:cs="宋体"/>
          <w:bCs/>
          <w:sz w:val="24"/>
          <w:szCs w:val="24"/>
        </w:rPr>
        <w:t>投标文件和</w:t>
      </w:r>
      <w:r>
        <w:rPr>
          <w:rFonts w:hint="eastAsia" w:ascii="宋体" w:hAnsi="宋体" w:eastAsia="宋体" w:cs="宋体"/>
          <w:b/>
          <w:sz w:val="24"/>
          <w:szCs w:val="24"/>
        </w:rPr>
        <w:t>电子版</w:t>
      </w:r>
      <w:r>
        <w:rPr>
          <w:rFonts w:hint="eastAsia" w:ascii="宋体" w:hAnsi="宋体" w:eastAsia="宋体" w:cs="宋体"/>
          <w:bCs/>
          <w:sz w:val="24"/>
          <w:szCs w:val="24"/>
        </w:rPr>
        <w:t>投标文件，均由</w:t>
      </w:r>
      <w:r>
        <w:rPr>
          <w:rFonts w:hint="eastAsia" w:ascii="宋体" w:hAnsi="宋体" w:eastAsia="宋体" w:cs="宋体"/>
          <w:b/>
          <w:sz w:val="24"/>
          <w:szCs w:val="24"/>
        </w:rPr>
        <w:t>《投标文件（资质标）》、《投标文件（技术标）》、《投标文件（商务标）》（开标一览表）</w:t>
      </w:r>
      <w:r>
        <w:rPr>
          <w:rFonts w:hint="eastAsia" w:ascii="宋体" w:hAnsi="宋体" w:eastAsia="宋体" w:cs="宋体"/>
          <w:bCs/>
          <w:sz w:val="24"/>
          <w:szCs w:val="24"/>
        </w:rPr>
        <w:t>文件组成，共计3</w:t>
      </w:r>
      <w:r>
        <w:rPr>
          <w:rFonts w:hint="eastAsia" w:ascii="宋体" w:hAnsi="宋体" w:eastAsia="宋体" w:cs="宋体"/>
          <w:bCs/>
          <w:color w:val="000000"/>
          <w:sz w:val="24"/>
          <w:szCs w:val="24"/>
        </w:rPr>
        <w:t>个文件。</w:t>
      </w:r>
    </w:p>
    <w:p w14:paraId="2B36C737">
      <w:pPr>
        <w:spacing w:line="360" w:lineRule="auto"/>
        <w:ind w:firstLine="482" w:firstLineChars="200"/>
        <w:rPr>
          <w:rFonts w:hint="eastAsia" w:ascii="宋体" w:hAnsi="宋体" w:eastAsia="宋体" w:cs="宋体"/>
          <w:bCs/>
          <w:color w:val="000000"/>
          <w:sz w:val="24"/>
          <w:szCs w:val="24"/>
        </w:rPr>
      </w:pPr>
      <w:r>
        <w:rPr>
          <w:rFonts w:hint="eastAsia" w:ascii="宋体" w:hAnsi="宋体" w:eastAsia="宋体" w:cs="宋体"/>
          <w:b/>
          <w:color w:val="000000"/>
          <w:sz w:val="24"/>
          <w:szCs w:val="24"/>
        </w:rPr>
        <w:t>投标文件的份数要求及投递方式</w:t>
      </w:r>
      <w:r>
        <w:rPr>
          <w:rFonts w:hint="eastAsia" w:ascii="宋体" w:hAnsi="宋体" w:eastAsia="宋体" w:cs="宋体"/>
          <w:bCs/>
          <w:color w:val="000000"/>
          <w:sz w:val="24"/>
          <w:szCs w:val="24"/>
        </w:rPr>
        <w:t>，见《投标须知前附表》第3条。</w:t>
      </w:r>
    </w:p>
    <w:p w14:paraId="6F8545F9">
      <w:pPr>
        <w:spacing w:line="360" w:lineRule="auto"/>
        <w:ind w:firstLine="480" w:firstLineChars="200"/>
        <w:rPr>
          <w:rFonts w:hint="eastAsia" w:ascii="宋体" w:hAnsi="宋体" w:eastAsia="宋体" w:cs="宋体"/>
          <w:bCs/>
          <w:color w:val="000000"/>
          <w:sz w:val="24"/>
          <w:szCs w:val="24"/>
        </w:rPr>
      </w:pPr>
      <w:r>
        <w:rPr>
          <w:rFonts w:hint="eastAsia" w:ascii="宋体" w:hAnsi="宋体" w:eastAsia="宋体" w:cs="宋体"/>
          <w:bCs/>
          <w:color w:val="000000"/>
          <w:sz w:val="24"/>
          <w:szCs w:val="24"/>
        </w:rPr>
        <w:t>详见附件格式1—12，其余未尽事宜请按各单位习惯制定即可。</w:t>
      </w:r>
    </w:p>
    <w:p w14:paraId="66DA4CC1">
      <w:pPr>
        <w:spacing w:line="360" w:lineRule="auto"/>
        <w:ind w:firstLine="482" w:firstLineChars="200"/>
        <w:rPr>
          <w:rFonts w:hint="eastAsia" w:ascii="宋体" w:hAnsi="宋体" w:eastAsia="宋体" w:cs="宋体"/>
          <w:b/>
          <w:bCs/>
          <w:color w:val="000000"/>
          <w:sz w:val="24"/>
          <w:szCs w:val="24"/>
          <w:highlight w:val="yellow"/>
        </w:rPr>
      </w:pPr>
      <w:r>
        <w:rPr>
          <w:rFonts w:hint="eastAsia" w:ascii="宋体" w:hAnsi="宋体" w:eastAsia="宋体" w:cs="宋体"/>
          <w:b/>
          <w:bCs/>
          <w:sz w:val="24"/>
          <w:szCs w:val="24"/>
        </w:rPr>
        <w:t>1.《投标文件（资质标）》包括</w:t>
      </w:r>
      <w:r>
        <w:rPr>
          <w:rFonts w:hint="eastAsia" w:ascii="宋体" w:hAnsi="宋体" w:eastAsia="宋体" w:cs="宋体"/>
          <w:color w:val="000000"/>
          <w:sz w:val="24"/>
          <w:szCs w:val="24"/>
        </w:rPr>
        <w:t>：</w:t>
      </w:r>
      <w:r>
        <w:rPr>
          <w:rFonts w:hint="eastAsia" w:ascii="宋体" w:hAnsi="宋体" w:eastAsia="宋体" w:cs="宋体"/>
          <w:b/>
          <w:bCs/>
          <w:color w:val="FF0000"/>
          <w:sz w:val="24"/>
          <w:szCs w:val="24"/>
          <w:highlight w:val="yellow"/>
        </w:rPr>
        <w:t>项目名称—目录—1.1至1.13资料及其他文件</w:t>
      </w:r>
    </w:p>
    <w:p w14:paraId="5FBF6626">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1.1营业执照副本复印件（需加盖公章）；</w:t>
      </w:r>
    </w:p>
    <w:p w14:paraId="4CBE9812">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1.2投标函（附件1）；</w:t>
      </w:r>
    </w:p>
    <w:p w14:paraId="46DCC354">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1.3法定代表人授权书（附件2）；法定代表人参加投标的，提供法人身份证明文件即可；被授权人参加投标的，需提供法定代表人授权委托书</w:t>
      </w:r>
      <w:r>
        <w:rPr>
          <w:rFonts w:hint="eastAsia" w:ascii="宋体" w:hAnsi="宋体" w:eastAsia="宋体" w:cs="宋体"/>
          <w:b/>
          <w:color w:val="000000"/>
          <w:sz w:val="24"/>
          <w:szCs w:val="24"/>
        </w:rPr>
        <w:t>（含法人身份证和被授权人身份证正反面复印件）和</w:t>
      </w:r>
      <w:r>
        <w:rPr>
          <w:rFonts w:hint="eastAsia" w:ascii="宋体" w:hAnsi="宋体" w:eastAsia="宋体" w:cs="宋体"/>
          <w:sz w:val="24"/>
          <w:szCs w:val="24"/>
        </w:rPr>
        <w:t>被授权人</w:t>
      </w:r>
      <w:r>
        <w:rPr>
          <w:rFonts w:hint="eastAsia" w:ascii="宋体" w:hAnsi="宋体" w:eastAsia="宋体" w:cs="宋体"/>
          <w:kern w:val="0"/>
          <w:sz w:val="24"/>
          <w:szCs w:val="24"/>
          <w:lang w:bidi="en-US"/>
        </w:rPr>
        <w:t>近6个月及以上在授权单位的社保缴纳证明</w:t>
      </w:r>
      <w:r>
        <w:rPr>
          <w:rFonts w:hint="eastAsia" w:ascii="宋体" w:hAnsi="宋体" w:eastAsia="宋体" w:cs="宋体"/>
          <w:b/>
          <w:color w:val="000000"/>
          <w:sz w:val="24"/>
          <w:szCs w:val="24"/>
        </w:rPr>
        <w:t>；</w:t>
      </w:r>
    </w:p>
    <w:p w14:paraId="1E3E50B9">
      <w:pPr>
        <w:spacing w:line="360" w:lineRule="auto"/>
        <w:ind w:firstLine="480" w:firstLineChars="200"/>
        <w:rPr>
          <w:rFonts w:hint="eastAsia" w:ascii="宋体" w:hAnsi="宋体" w:eastAsia="宋体" w:cs="宋体"/>
          <w:b/>
          <w:color w:val="000000"/>
          <w:sz w:val="24"/>
          <w:szCs w:val="24"/>
        </w:rPr>
      </w:pPr>
      <w:r>
        <w:rPr>
          <w:rFonts w:hint="eastAsia" w:ascii="宋体" w:hAnsi="宋体" w:eastAsia="宋体" w:cs="宋体"/>
          <w:color w:val="000000"/>
          <w:sz w:val="24"/>
          <w:szCs w:val="24"/>
        </w:rPr>
        <w:t>1.4近三年经第三方机构审计的财务报表（报告页、资产负债表、损益表、现金流量表）复印件（需加盖公章），必须连续，同时填写投标人基本情况表（附件3）</w:t>
      </w:r>
      <w:r>
        <w:rPr>
          <w:rFonts w:hint="eastAsia" w:ascii="宋体" w:hAnsi="宋体" w:eastAsia="宋体" w:cs="宋体"/>
          <w:b/>
          <w:color w:val="000000"/>
          <w:sz w:val="24"/>
          <w:szCs w:val="24"/>
        </w:rPr>
        <w:t>；</w:t>
      </w:r>
    </w:p>
    <w:p w14:paraId="57AB8F90">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1.5近三年内在经营活动中</w:t>
      </w:r>
      <w:r>
        <w:rPr>
          <w:rFonts w:hint="eastAsia" w:hAnsi="宋体" w:eastAsia="宋体" w:cs="宋体"/>
          <w:color w:val="000000"/>
          <w:sz w:val="24"/>
          <w:szCs w:val="24"/>
        </w:rPr>
        <w:t>无与本项目有关的违法及重大违规</w:t>
      </w:r>
      <w:r>
        <w:rPr>
          <w:rFonts w:hint="eastAsia" w:ascii="宋体" w:hAnsi="宋体" w:eastAsia="宋体" w:cs="宋体"/>
          <w:color w:val="000000"/>
          <w:sz w:val="24"/>
          <w:szCs w:val="24"/>
        </w:rPr>
        <w:t>行为的声明；</w:t>
      </w:r>
    </w:p>
    <w:p w14:paraId="6BAF76A7">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1.6投标人在国家企业信用信息公示系统中无与本项目有关的行政处罚、经营异常和失信信息的声明；（附投标当日系统内相关截图）</w:t>
      </w:r>
    </w:p>
    <w:p w14:paraId="4567E1B9">
      <w:pPr>
        <w:spacing w:line="360" w:lineRule="auto"/>
        <w:ind w:firstLine="480" w:firstLineChars="200"/>
        <w:rPr>
          <w:rFonts w:hint="eastAsia"/>
        </w:rPr>
      </w:pPr>
      <w:r>
        <w:rPr>
          <w:rFonts w:hint="eastAsia" w:ascii="宋体" w:hAnsi="宋体" w:eastAsia="宋体" w:cs="宋体"/>
          <w:color w:val="000000"/>
          <w:sz w:val="24"/>
          <w:szCs w:val="24"/>
        </w:rPr>
        <w:t>1.7</w:t>
      </w:r>
      <w:r>
        <w:rPr>
          <w:rFonts w:ascii="宋体" w:hAnsi="宋体" w:eastAsia="宋体" w:cs="宋体"/>
          <w:sz w:val="24"/>
          <w:szCs w:val="24"/>
        </w:rPr>
        <w:t>企业对外担保说明（写明贵单位对外有无对外担保和质押业务，需加盖公章）</w:t>
      </w:r>
      <w:r>
        <w:rPr>
          <w:rFonts w:hint="eastAsia" w:ascii="宋体" w:hAnsi="宋体" w:eastAsia="宋体" w:cs="宋体"/>
          <w:color w:val="000000"/>
          <w:sz w:val="24"/>
          <w:szCs w:val="24"/>
        </w:rPr>
        <w:t>；</w:t>
      </w:r>
    </w:p>
    <w:p w14:paraId="3D4B5631">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1.8企业信用证明材料（征信中心出具的信用报告）；</w:t>
      </w:r>
    </w:p>
    <w:p w14:paraId="0E36636E">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1.9 本招标项目采用共用上直销模式进行采购，不允许代理商投标。</w:t>
      </w:r>
    </w:p>
    <w:p w14:paraId="57912D54">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1.10企业最近半年的完税证明，并附</w:t>
      </w:r>
      <w:r>
        <w:rPr>
          <w:rFonts w:ascii="宋体" w:hAnsi="宋体" w:eastAsia="宋体" w:cs="宋体"/>
          <w:sz w:val="24"/>
          <w:szCs w:val="24"/>
        </w:rPr>
        <w:t>年度纳税信用评价信息（可从电子税务局查询截图，需加盖公章）</w:t>
      </w:r>
      <w:r>
        <w:rPr>
          <w:rFonts w:hint="eastAsia" w:ascii="宋体" w:hAnsi="宋体" w:eastAsia="宋体" w:cs="宋体"/>
          <w:color w:val="000000"/>
          <w:sz w:val="24"/>
          <w:szCs w:val="24"/>
        </w:rPr>
        <w:t>；</w:t>
      </w:r>
    </w:p>
    <w:p w14:paraId="7784DC75">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1.11保密承诺函（附件4）；</w:t>
      </w:r>
    </w:p>
    <w:p w14:paraId="3F0A78C1">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1.12 2022年1月1日至今，企业近三年同类项目业绩证明，</w:t>
      </w:r>
      <w:r>
        <w:rPr>
          <w:rFonts w:ascii="宋体" w:hAnsi="宋体" w:eastAsia="宋体" w:cs="宋体"/>
          <w:sz w:val="24"/>
          <w:szCs w:val="24"/>
        </w:rPr>
        <w:t>须提供</w:t>
      </w:r>
      <w:r>
        <w:rPr>
          <w:rFonts w:hint="eastAsia" w:hAnsi="宋体" w:eastAsia="宋体" w:cs="宋体"/>
          <w:b/>
          <w:bCs/>
          <w:color w:val="000000"/>
          <w:kern w:val="0"/>
          <w:sz w:val="24"/>
          <w:szCs w:val="24"/>
        </w:rPr>
        <w:t>用户清单</w:t>
      </w:r>
      <w:r>
        <w:rPr>
          <w:rFonts w:ascii="宋体" w:hAnsi="宋体" w:eastAsia="宋体" w:cs="宋体"/>
          <w:sz w:val="24"/>
          <w:szCs w:val="24"/>
        </w:rPr>
        <w:t>、采购合同</w:t>
      </w:r>
      <w:r>
        <w:rPr>
          <w:rFonts w:hint="eastAsia" w:ascii="宋体" w:hAnsi="宋体" w:eastAsia="宋体" w:cs="宋体"/>
          <w:sz w:val="24"/>
          <w:szCs w:val="24"/>
        </w:rPr>
        <w:t>复印件</w:t>
      </w:r>
      <w:r>
        <w:rPr>
          <w:rFonts w:hint="eastAsia" w:ascii="宋体" w:hAnsi="宋体" w:eastAsia="宋体" w:cs="宋体"/>
          <w:color w:val="000000"/>
          <w:sz w:val="24"/>
          <w:szCs w:val="24"/>
        </w:rPr>
        <w:t>；</w:t>
      </w:r>
    </w:p>
    <w:p w14:paraId="0FC74E85">
      <w:pPr>
        <w:spacing w:line="360" w:lineRule="auto"/>
        <w:ind w:firstLine="480" w:firstLineChars="200"/>
        <w:rPr>
          <w:rFonts w:hint="eastAsia" w:eastAsia="宋体"/>
        </w:rPr>
      </w:pPr>
      <w:r>
        <w:rPr>
          <w:rFonts w:hint="eastAsia" w:ascii="宋体" w:hAnsi="宋体" w:eastAsia="宋体" w:cs="宋体"/>
          <w:color w:val="000000"/>
          <w:sz w:val="24"/>
          <w:szCs w:val="24"/>
        </w:rPr>
        <w:t>1.13投标保证金缴纳凭证，同时正文描述付款账号、户名、开户行名称、开户行行号、保证金金额。</w:t>
      </w:r>
    </w:p>
    <w:p w14:paraId="6C1C05F4">
      <w:pPr>
        <w:spacing w:line="360" w:lineRule="auto"/>
        <w:ind w:firstLine="482" w:firstLineChars="200"/>
        <w:rPr>
          <w:rFonts w:hint="eastAsia" w:ascii="宋体" w:hAnsi="宋体" w:eastAsia="宋体" w:cs="宋体"/>
          <w:b/>
          <w:bCs/>
          <w:sz w:val="24"/>
          <w:szCs w:val="24"/>
        </w:rPr>
      </w:pPr>
      <w:bookmarkStart w:id="29" w:name="_Toc212369515"/>
      <w:r>
        <w:rPr>
          <w:rFonts w:hint="eastAsia" w:ascii="宋体" w:hAnsi="宋体" w:eastAsia="宋体" w:cs="宋体"/>
          <w:b/>
          <w:bCs/>
          <w:sz w:val="24"/>
          <w:szCs w:val="24"/>
        </w:rPr>
        <w:t>2.</w:t>
      </w:r>
      <w:r>
        <w:rPr>
          <w:rFonts w:hint="eastAsia" w:ascii="宋体" w:hAnsi="宋体" w:eastAsia="宋体" w:cs="宋体"/>
          <w:b/>
          <w:sz w:val="24"/>
          <w:szCs w:val="24"/>
        </w:rPr>
        <w:t>《投标文件（技术标）》</w:t>
      </w:r>
      <w:r>
        <w:rPr>
          <w:rFonts w:hint="eastAsia" w:ascii="宋体" w:hAnsi="宋体" w:eastAsia="宋体" w:cs="宋体"/>
          <w:b/>
          <w:bCs/>
          <w:sz w:val="24"/>
          <w:szCs w:val="24"/>
        </w:rPr>
        <w:t>：</w:t>
      </w:r>
      <w:bookmarkEnd w:id="29"/>
    </w:p>
    <w:p w14:paraId="0A1D3FFB">
      <w:pPr>
        <w:spacing w:line="360" w:lineRule="auto"/>
        <w:ind w:firstLine="480" w:firstLineChars="200"/>
        <w:rPr>
          <w:rFonts w:hint="eastAsia" w:ascii="宋体" w:hAnsi="宋体" w:eastAsia="宋体" w:cs="宋体"/>
          <w:b/>
          <w:color w:val="000000"/>
          <w:sz w:val="24"/>
          <w:szCs w:val="24"/>
        </w:rPr>
      </w:pPr>
      <w:r>
        <w:rPr>
          <w:rFonts w:hint="eastAsia" w:ascii="宋体" w:hAnsi="宋体" w:eastAsia="宋体" w:cs="宋体"/>
          <w:color w:val="000000"/>
          <w:sz w:val="24"/>
          <w:szCs w:val="24"/>
        </w:rPr>
        <w:t>2.1技术规格偏离表（附件5），</w:t>
      </w:r>
      <w:r>
        <w:rPr>
          <w:rFonts w:hint="eastAsia" w:ascii="宋体" w:hAnsi="宋体" w:eastAsia="宋体" w:cs="宋体"/>
          <w:b/>
          <w:color w:val="000000"/>
          <w:sz w:val="24"/>
          <w:szCs w:val="24"/>
        </w:rPr>
        <w:t>必须先进行两列要求一一对照，不允许直接写无偏离；</w:t>
      </w:r>
    </w:p>
    <w:p w14:paraId="7BFAC0C1">
      <w:pPr>
        <w:spacing w:line="360" w:lineRule="auto"/>
        <w:ind w:firstLine="480" w:firstLineChars="200"/>
        <w:rPr>
          <w:rFonts w:hint="eastAsia" w:ascii="宋体" w:hAnsi="宋体" w:eastAsia="宋体" w:cs="宋体"/>
          <w:b/>
          <w:color w:val="000000"/>
          <w:sz w:val="24"/>
          <w:szCs w:val="24"/>
        </w:rPr>
      </w:pPr>
      <w:r>
        <w:rPr>
          <w:rFonts w:hint="eastAsia" w:ascii="宋体" w:hAnsi="宋体" w:eastAsia="宋体" w:cs="宋体"/>
          <w:bCs/>
          <w:color w:val="000000"/>
          <w:sz w:val="24"/>
          <w:szCs w:val="24"/>
        </w:rPr>
        <w:t>2.2</w:t>
      </w:r>
      <w:r>
        <w:rPr>
          <w:rFonts w:hint="eastAsia" w:ascii="宋体" w:hAnsi="宋体" w:eastAsia="宋体" w:cs="宋体"/>
          <w:color w:val="000000"/>
          <w:sz w:val="24"/>
          <w:szCs w:val="24"/>
        </w:rPr>
        <w:t>提供2022年1月1日以来同类产品的制造销售业绩（用户名单、联系方式），并附合同复印件。该同类项目业绩一览表必</w:t>
      </w:r>
      <w:r>
        <w:rPr>
          <w:rFonts w:hint="eastAsia" w:ascii="宋体" w:hAnsi="宋体" w:eastAsia="宋体" w:cs="宋体"/>
          <w:b/>
          <w:bCs/>
          <w:color w:val="000000"/>
          <w:sz w:val="24"/>
          <w:szCs w:val="24"/>
        </w:rPr>
        <w:t>须如实填写，应全尽全</w:t>
      </w:r>
      <w:r>
        <w:rPr>
          <w:rFonts w:hint="eastAsia" w:ascii="宋体" w:hAnsi="宋体" w:eastAsia="宋体" w:cs="宋体"/>
          <w:color w:val="000000"/>
          <w:sz w:val="24"/>
          <w:szCs w:val="24"/>
        </w:rPr>
        <w:t>；</w:t>
      </w:r>
      <w:r>
        <w:rPr>
          <w:rFonts w:hint="eastAsia" w:ascii="宋体" w:hAnsi="宋体" w:eastAsia="宋体" w:cs="宋体"/>
          <w:b/>
          <w:bCs/>
          <w:color w:val="000000"/>
          <w:sz w:val="24"/>
          <w:szCs w:val="24"/>
        </w:rPr>
        <w:t>一览表最终的所有业绩合同总额汇总必填</w:t>
      </w:r>
      <w:r>
        <w:rPr>
          <w:rFonts w:hint="eastAsia" w:ascii="宋体" w:hAnsi="宋体" w:eastAsia="宋体" w:cs="宋体"/>
          <w:color w:val="000000"/>
          <w:sz w:val="24"/>
          <w:szCs w:val="24"/>
        </w:rPr>
        <w:t>，数据将影响现场评标专家组对投标单位的业绩考评。</w:t>
      </w:r>
      <w:r>
        <w:rPr>
          <w:rFonts w:hint="eastAsia" w:ascii="宋体" w:hAnsi="宋体" w:eastAsia="宋体" w:cs="宋体"/>
          <w:b/>
          <w:bCs/>
          <w:color w:val="000000"/>
          <w:sz w:val="24"/>
          <w:szCs w:val="24"/>
        </w:rPr>
        <w:t>若未提供相应业绩证明，根据技术标评分规则，将影响现场评标专家组对投标单位业绩判定打分</w:t>
      </w:r>
      <w:r>
        <w:rPr>
          <w:rFonts w:hint="eastAsia" w:ascii="宋体" w:hAnsi="宋体" w:eastAsia="宋体" w:cs="宋体"/>
          <w:b/>
          <w:color w:val="000000"/>
          <w:sz w:val="24"/>
          <w:szCs w:val="24"/>
        </w:rPr>
        <w:t>；</w:t>
      </w:r>
    </w:p>
    <w:p w14:paraId="5DC1B30F">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2.</w:t>
      </w:r>
      <w:r>
        <w:rPr>
          <w:rFonts w:hint="eastAsia" w:ascii="宋体" w:hAnsi="宋体" w:eastAsia="宋体" w:cs="宋体"/>
          <w:color w:val="000000"/>
          <w:sz w:val="24"/>
          <w:szCs w:val="24"/>
          <w:lang w:val="en-US" w:eastAsia="zh-CN"/>
        </w:rPr>
        <w:t>3</w:t>
      </w:r>
      <w:r>
        <w:rPr>
          <w:rFonts w:hint="eastAsia" w:ascii="宋体" w:hAnsi="宋体" w:eastAsia="宋体" w:cs="宋体"/>
          <w:color w:val="000000"/>
          <w:sz w:val="24"/>
          <w:szCs w:val="24"/>
        </w:rPr>
        <w:t>供货期及保证措施；</w:t>
      </w:r>
    </w:p>
    <w:p w14:paraId="6AFF2588">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2.</w:t>
      </w:r>
      <w:r>
        <w:rPr>
          <w:rFonts w:hint="eastAsia" w:ascii="宋体" w:hAnsi="宋体" w:eastAsia="宋体" w:cs="宋体"/>
          <w:color w:val="000000"/>
          <w:sz w:val="24"/>
          <w:szCs w:val="24"/>
          <w:lang w:val="en-US" w:eastAsia="zh-CN"/>
        </w:rPr>
        <w:t>4</w:t>
      </w:r>
      <w:r>
        <w:rPr>
          <w:rFonts w:hint="eastAsia" w:ascii="宋体" w:hAnsi="宋体" w:eastAsia="宋体" w:cs="宋体"/>
          <w:color w:val="000000"/>
          <w:sz w:val="24"/>
          <w:szCs w:val="24"/>
        </w:rPr>
        <w:t>产品的技术服务和售后服务内容及措施；</w:t>
      </w:r>
    </w:p>
    <w:p w14:paraId="594FBF80">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2.</w:t>
      </w:r>
      <w:r>
        <w:rPr>
          <w:rFonts w:hint="eastAsia" w:ascii="宋体" w:hAnsi="宋体" w:eastAsia="宋体" w:cs="宋体"/>
          <w:color w:val="000000"/>
          <w:sz w:val="24"/>
          <w:szCs w:val="24"/>
          <w:lang w:val="en-US" w:eastAsia="zh-CN"/>
        </w:rPr>
        <w:t>5</w:t>
      </w:r>
      <w:r>
        <w:rPr>
          <w:rFonts w:hint="eastAsia" w:ascii="宋体" w:hAnsi="宋体" w:eastAsia="宋体" w:cs="宋体"/>
          <w:color w:val="000000"/>
          <w:sz w:val="24"/>
          <w:szCs w:val="24"/>
        </w:rPr>
        <w:t>交货进度及计划；</w:t>
      </w:r>
    </w:p>
    <w:p w14:paraId="63727D52">
      <w:pPr>
        <w:spacing w:line="360" w:lineRule="auto"/>
        <w:ind w:firstLine="480" w:firstLineChars="200"/>
        <w:rPr>
          <w:rFonts w:hint="eastAsia" w:ascii="宋体" w:hAnsi="宋体" w:eastAsia="宋体" w:cs="宋体"/>
          <w:color w:val="000000"/>
          <w:sz w:val="24"/>
          <w:szCs w:val="24"/>
        </w:rPr>
      </w:pPr>
      <w:bookmarkStart w:id="30" w:name="_Toc536542319"/>
      <w:r>
        <w:rPr>
          <w:rFonts w:hint="eastAsia" w:ascii="宋体" w:hAnsi="宋体" w:eastAsia="宋体" w:cs="宋体"/>
          <w:color w:val="000000"/>
          <w:sz w:val="24"/>
          <w:szCs w:val="24"/>
        </w:rPr>
        <w:t>2.</w:t>
      </w:r>
      <w:r>
        <w:rPr>
          <w:rFonts w:hint="eastAsia" w:ascii="宋体" w:hAnsi="宋体" w:eastAsia="宋体" w:cs="宋体"/>
          <w:color w:val="000000"/>
          <w:sz w:val="24"/>
          <w:szCs w:val="24"/>
          <w:lang w:val="en-US" w:eastAsia="zh-CN"/>
        </w:rPr>
        <w:t>6</w:t>
      </w:r>
      <w:r>
        <w:rPr>
          <w:rFonts w:hint="eastAsia" w:ascii="宋体" w:hAnsi="宋体" w:eastAsia="宋体" w:cs="宋体"/>
          <w:color w:val="000000"/>
          <w:sz w:val="24"/>
          <w:szCs w:val="24"/>
        </w:rPr>
        <w:t>投标产品技术支持材料</w:t>
      </w:r>
      <w:bookmarkEnd w:id="30"/>
      <w:r>
        <w:rPr>
          <w:rFonts w:hint="eastAsia" w:ascii="宋体" w:hAnsi="宋体" w:eastAsia="宋体" w:cs="宋体"/>
          <w:color w:val="000000"/>
          <w:sz w:val="24"/>
          <w:szCs w:val="24"/>
        </w:rPr>
        <w:t>；</w:t>
      </w:r>
    </w:p>
    <w:p w14:paraId="3A3E9B3D">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2.</w:t>
      </w:r>
      <w:r>
        <w:rPr>
          <w:rFonts w:hint="eastAsia" w:ascii="宋体" w:hAnsi="宋体" w:eastAsia="宋体" w:cs="宋体"/>
          <w:color w:val="000000"/>
          <w:sz w:val="24"/>
          <w:szCs w:val="24"/>
          <w:lang w:val="en-US" w:eastAsia="zh-CN"/>
        </w:rPr>
        <w:t>7</w:t>
      </w:r>
      <w:r>
        <w:rPr>
          <w:rFonts w:hint="eastAsia" w:ascii="宋体" w:hAnsi="宋体" w:eastAsia="宋体" w:cs="宋体"/>
          <w:color w:val="000000"/>
          <w:sz w:val="24"/>
          <w:szCs w:val="24"/>
        </w:rPr>
        <w:t>设备质量承诺函（附件7）；</w:t>
      </w:r>
    </w:p>
    <w:p w14:paraId="0ED654F2">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2.</w:t>
      </w:r>
      <w:r>
        <w:rPr>
          <w:rFonts w:hint="eastAsia" w:ascii="宋体" w:hAnsi="宋体" w:eastAsia="宋体" w:cs="宋体"/>
          <w:color w:val="000000"/>
          <w:sz w:val="24"/>
          <w:szCs w:val="24"/>
          <w:lang w:val="en-US" w:eastAsia="zh-CN"/>
        </w:rPr>
        <w:t>8</w:t>
      </w:r>
      <w:r>
        <w:rPr>
          <w:rFonts w:hint="eastAsia" w:ascii="宋体" w:hAnsi="宋体" w:eastAsia="宋体" w:cs="宋体"/>
          <w:color w:val="000000"/>
          <w:sz w:val="24"/>
          <w:szCs w:val="24"/>
        </w:rPr>
        <w:t>投标人需提交的其它资料。</w:t>
      </w:r>
    </w:p>
    <w:p w14:paraId="4F857CF6">
      <w:pPr>
        <w:spacing w:line="360" w:lineRule="auto"/>
        <w:ind w:firstLine="482" w:firstLineChars="200"/>
        <w:rPr>
          <w:rFonts w:hint="eastAsia" w:ascii="宋体" w:hAnsi="宋体" w:eastAsia="宋体" w:cs="宋体"/>
          <w:b/>
          <w:bCs/>
          <w:sz w:val="24"/>
          <w:szCs w:val="24"/>
        </w:rPr>
      </w:pPr>
      <w:r>
        <w:rPr>
          <w:rFonts w:hint="eastAsia" w:ascii="宋体" w:hAnsi="宋体" w:eastAsia="宋体" w:cs="宋体"/>
          <w:b/>
          <w:bCs/>
          <w:sz w:val="24"/>
          <w:szCs w:val="24"/>
        </w:rPr>
        <w:t>3.</w:t>
      </w:r>
      <w:r>
        <w:rPr>
          <w:rFonts w:hint="eastAsia" w:ascii="宋体" w:hAnsi="宋体" w:eastAsia="宋体" w:cs="宋体"/>
          <w:b/>
          <w:sz w:val="24"/>
          <w:szCs w:val="24"/>
        </w:rPr>
        <w:t>《投标文件（商务标）》（开标一览表）</w:t>
      </w:r>
      <w:r>
        <w:rPr>
          <w:rFonts w:hint="eastAsia" w:ascii="宋体" w:hAnsi="宋体" w:eastAsia="宋体" w:cs="宋体"/>
          <w:b/>
          <w:bCs/>
          <w:sz w:val="24"/>
          <w:szCs w:val="24"/>
        </w:rPr>
        <w:t>：</w:t>
      </w:r>
    </w:p>
    <w:p w14:paraId="4F17DA49">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3.1开标一览表（附件8）；</w:t>
      </w:r>
    </w:p>
    <w:p w14:paraId="611DF217">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3.2投标报价明细表（附件9-1至9-5）</w:t>
      </w:r>
      <w:r>
        <w:rPr>
          <w:rFonts w:hint="eastAsia" w:ascii="宋体" w:hAnsi="宋体" w:eastAsia="宋体" w:cs="宋体"/>
          <w:b/>
          <w:color w:val="000000"/>
          <w:sz w:val="24"/>
          <w:szCs w:val="24"/>
        </w:rPr>
        <w:t>；</w:t>
      </w:r>
    </w:p>
    <w:p w14:paraId="54DD58CF">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3.3商务条款偏离表（附件10）</w:t>
      </w:r>
      <w:bookmarkStart w:id="31" w:name="OLE_LINK18"/>
      <w:bookmarkStart w:id="32" w:name="OLE_LINK19"/>
      <w:r>
        <w:rPr>
          <w:rFonts w:hint="eastAsia" w:ascii="宋体" w:hAnsi="宋体" w:eastAsia="宋体" w:cs="宋体"/>
          <w:b/>
          <w:color w:val="000000"/>
          <w:sz w:val="24"/>
          <w:szCs w:val="24"/>
        </w:rPr>
        <w:t>；</w:t>
      </w:r>
      <w:bookmarkEnd w:id="31"/>
      <w:bookmarkEnd w:id="32"/>
      <w:r>
        <w:rPr>
          <w:rFonts w:hint="eastAsia" w:ascii="宋体" w:hAnsi="宋体" w:eastAsia="宋体" w:cs="宋体"/>
          <w:color w:val="000000"/>
          <w:sz w:val="24"/>
          <w:szCs w:val="24"/>
        </w:rPr>
        <w:t xml:space="preserve"> </w:t>
      </w:r>
    </w:p>
    <w:p w14:paraId="4AA4F216">
      <w:pPr>
        <w:spacing w:line="360" w:lineRule="auto"/>
        <w:ind w:firstLine="480" w:firstLineChars="200"/>
        <w:rPr>
          <w:rFonts w:hint="eastAsia" w:ascii="宋体" w:hAnsi="宋体" w:eastAsia="宋体" w:cs="宋体"/>
          <w:b/>
          <w:color w:val="000000"/>
          <w:sz w:val="24"/>
          <w:szCs w:val="24"/>
        </w:rPr>
      </w:pPr>
      <w:r>
        <w:rPr>
          <w:rFonts w:hint="eastAsia" w:ascii="宋体" w:hAnsi="宋体" w:eastAsia="宋体" w:cs="宋体"/>
          <w:color w:val="000000"/>
          <w:sz w:val="24"/>
          <w:szCs w:val="24"/>
        </w:rPr>
        <w:t>3.4投标人承诺（附件11）</w:t>
      </w:r>
      <w:r>
        <w:rPr>
          <w:rFonts w:hint="eastAsia" w:ascii="宋体" w:hAnsi="宋体" w:eastAsia="宋体" w:cs="宋体"/>
          <w:b/>
          <w:color w:val="000000"/>
          <w:sz w:val="24"/>
          <w:szCs w:val="24"/>
        </w:rPr>
        <w:t>；</w:t>
      </w:r>
    </w:p>
    <w:p w14:paraId="34E81D9E">
      <w:pPr>
        <w:spacing w:line="360" w:lineRule="auto"/>
        <w:ind w:firstLine="480" w:firstLineChars="200"/>
        <w:rPr>
          <w:rFonts w:hint="eastAsia" w:ascii="宋体" w:hAnsi="宋体" w:eastAsia="宋体" w:cs="宋体"/>
          <w:b/>
          <w:color w:val="000000"/>
          <w:sz w:val="24"/>
          <w:szCs w:val="24"/>
        </w:rPr>
      </w:pPr>
      <w:r>
        <w:rPr>
          <w:rFonts w:hint="eastAsia" w:ascii="宋体" w:hAnsi="宋体" w:eastAsia="宋体" w:cs="宋体"/>
          <w:color w:val="000000"/>
          <w:sz w:val="24"/>
          <w:szCs w:val="24"/>
        </w:rPr>
        <w:t>3.5服务承诺函（附件12），</w:t>
      </w:r>
      <w:r>
        <w:rPr>
          <w:rFonts w:hint="eastAsia" w:ascii="宋体" w:hAnsi="宋体" w:eastAsia="宋体" w:cs="宋体"/>
          <w:b/>
          <w:color w:val="000000"/>
          <w:sz w:val="24"/>
          <w:szCs w:val="24"/>
        </w:rPr>
        <w:t>需写明质保期以外服务费用情况</w:t>
      </w:r>
      <w:r>
        <w:rPr>
          <w:rFonts w:hint="eastAsia" w:ascii="宋体" w:hAnsi="宋体" w:eastAsia="宋体" w:cs="宋体"/>
          <w:color w:val="000000"/>
          <w:sz w:val="24"/>
          <w:szCs w:val="24"/>
        </w:rPr>
        <w:t>；</w:t>
      </w:r>
    </w:p>
    <w:p w14:paraId="47C51841">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3.6按招标文件投标人须知和技术规格书中要求提供的有关文件。</w:t>
      </w:r>
    </w:p>
    <w:p w14:paraId="6F4057FE">
      <w:pPr>
        <w:keepNext/>
        <w:keepLines/>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四、投标文件格式</w:t>
      </w:r>
    </w:p>
    <w:p w14:paraId="127C9813">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详见第六部分投标文件附件格式1—13，其余未尽事宜请按各单位习惯制定即可。</w:t>
      </w:r>
    </w:p>
    <w:p w14:paraId="50E2BA7D">
      <w:pPr>
        <w:pStyle w:val="20"/>
        <w:jc w:val="center"/>
        <w:rPr>
          <w:rFonts w:ascii="Calibri" w:hAnsi="Calibri" w:eastAsia="宋体" w:cs="Times New Roman"/>
          <w:b/>
          <w:bCs/>
          <w:kern w:val="44"/>
          <w:sz w:val="36"/>
          <w:szCs w:val="44"/>
        </w:rPr>
        <w:sectPr>
          <w:pgSz w:w="11907" w:h="16840"/>
          <w:pgMar w:top="1304" w:right="1418" w:bottom="1304" w:left="1418" w:header="724" w:footer="851" w:gutter="0"/>
          <w:cols w:space="720" w:num="1"/>
          <w:docGrid w:linePitch="290" w:charSpace="-3931"/>
        </w:sectPr>
      </w:pPr>
    </w:p>
    <w:p w14:paraId="25191FFC">
      <w:pPr>
        <w:pStyle w:val="3"/>
        <w:bidi w:val="0"/>
      </w:pPr>
      <w:bookmarkStart w:id="33" w:name="_Toc32616"/>
      <w:bookmarkStart w:id="34" w:name="_Toc9849"/>
      <w:r>
        <w:rPr>
          <w:rFonts w:hint="eastAsia"/>
        </w:rPr>
        <w:t>第四部分 技术标书</w:t>
      </w:r>
      <w:bookmarkEnd w:id="33"/>
      <w:bookmarkEnd w:id="34"/>
    </w:p>
    <w:p w14:paraId="4FECC077">
      <w:pPr>
        <w:keepNext/>
        <w:keepLines/>
        <w:jc w:val="center"/>
        <w:rPr>
          <w:rFonts w:ascii="Times New Roman" w:hAnsi="Times New Roman" w:eastAsia="宋体" w:cs="Times New Roman"/>
          <w:b/>
          <w:bCs/>
          <w:color w:val="000000"/>
          <w:spacing w:val="-8"/>
          <w:sz w:val="48"/>
          <w:szCs w:val="44"/>
        </w:rPr>
      </w:pPr>
    </w:p>
    <w:p w14:paraId="48A07EBB">
      <w:pPr>
        <w:keepNext/>
        <w:keepLines/>
        <w:jc w:val="center"/>
        <w:rPr>
          <w:rFonts w:ascii="Times New Roman" w:hAnsi="Times New Roman" w:eastAsia="宋体" w:cs="Times New Roman"/>
          <w:b/>
          <w:bCs/>
          <w:color w:val="000000"/>
          <w:spacing w:val="-8"/>
          <w:sz w:val="48"/>
          <w:szCs w:val="44"/>
        </w:rPr>
      </w:pPr>
    </w:p>
    <w:p w14:paraId="502A9C2E">
      <w:pPr>
        <w:spacing w:line="360" w:lineRule="auto"/>
        <w:jc w:val="center"/>
        <w:rPr>
          <w:rFonts w:hint="eastAsia" w:ascii="文鼎大标宋简" w:hAnsi="华文中宋" w:eastAsia="文鼎大标宋简"/>
          <w:b/>
          <w:spacing w:val="4"/>
          <w:w w:val="90"/>
          <w:sz w:val="52"/>
          <w:szCs w:val="52"/>
        </w:rPr>
      </w:pPr>
      <w:r>
        <w:rPr>
          <w:rFonts w:ascii="Times New Roman" w:hAnsi="Times New Roman" w:eastAsia="宋体" w:cs="Times New Roman"/>
          <w:b/>
          <w:bCs/>
          <w:color w:val="000000"/>
          <w:spacing w:val="-8"/>
          <w:sz w:val="48"/>
          <w:szCs w:val="44"/>
        </w:rPr>
        <w:t>全新一代中重卡宽体平地板驾驶室2300车型平顶金属顶盖模检具项目</w:t>
      </w:r>
    </w:p>
    <w:p w14:paraId="0DB67F29">
      <w:pPr>
        <w:spacing w:line="276" w:lineRule="auto"/>
        <w:jc w:val="center"/>
        <w:rPr>
          <w:rFonts w:ascii="Times New Roman" w:hAnsi="Times New Roman" w:eastAsia="宋体" w:cs="Times New Roman"/>
          <w:b/>
          <w:bCs/>
          <w:color w:val="000000"/>
          <w:spacing w:val="-8"/>
          <w:sz w:val="48"/>
          <w:szCs w:val="44"/>
        </w:rPr>
      </w:pPr>
      <w:r>
        <w:rPr>
          <w:rFonts w:ascii="Times New Roman" w:hAnsi="Times New Roman" w:eastAsia="宋体" w:cs="Times New Roman"/>
          <w:b/>
          <w:bCs/>
          <w:color w:val="000000"/>
          <w:spacing w:val="-8"/>
          <w:sz w:val="48"/>
          <w:szCs w:val="44"/>
        </w:rPr>
        <w:t xml:space="preserve"> </w:t>
      </w:r>
    </w:p>
    <w:p w14:paraId="2D38F155">
      <w:pPr>
        <w:jc w:val="right"/>
        <w:rPr>
          <w:rFonts w:ascii="Times New Roman" w:hAnsi="Times New Roman" w:eastAsia="宋体" w:cs="Times New Roman"/>
          <w:color w:val="000000"/>
          <w:sz w:val="28"/>
          <w:szCs w:val="28"/>
        </w:rPr>
      </w:pPr>
    </w:p>
    <w:p w14:paraId="7C8F0E83">
      <w:pPr>
        <w:pStyle w:val="20"/>
        <w:rPr>
          <w:rFonts w:ascii="Times New Roman" w:hAnsi="Times New Roman" w:cs="Times New Roman"/>
        </w:rPr>
      </w:pPr>
    </w:p>
    <w:p w14:paraId="172CA01E">
      <w:pPr>
        <w:jc w:val="center"/>
        <w:rPr>
          <w:rFonts w:ascii="Times New Roman" w:hAnsi="Times New Roman" w:eastAsia="黑体" w:cs="Times New Roman"/>
          <w:color w:val="000000"/>
          <w:sz w:val="72"/>
          <w:szCs w:val="72"/>
        </w:rPr>
      </w:pPr>
      <w:r>
        <w:rPr>
          <w:rFonts w:ascii="Times New Roman" w:hAnsi="Times New Roman" w:eastAsia="黑体" w:cs="Times New Roman"/>
          <w:color w:val="000000"/>
          <w:sz w:val="72"/>
          <w:szCs w:val="72"/>
        </w:rPr>
        <w:t>技</w:t>
      </w:r>
    </w:p>
    <w:p w14:paraId="2607615D">
      <w:pPr>
        <w:jc w:val="center"/>
        <w:rPr>
          <w:rFonts w:ascii="Times New Roman" w:hAnsi="Times New Roman" w:eastAsia="黑体" w:cs="Times New Roman"/>
          <w:color w:val="000000"/>
          <w:sz w:val="72"/>
          <w:szCs w:val="72"/>
        </w:rPr>
      </w:pPr>
      <w:r>
        <w:rPr>
          <w:rFonts w:ascii="Times New Roman" w:hAnsi="Times New Roman" w:eastAsia="黑体" w:cs="Times New Roman"/>
          <w:color w:val="000000"/>
          <w:sz w:val="72"/>
          <w:szCs w:val="72"/>
        </w:rPr>
        <w:t>术</w:t>
      </w:r>
    </w:p>
    <w:p w14:paraId="042EE4B0">
      <w:pPr>
        <w:jc w:val="center"/>
        <w:rPr>
          <w:rFonts w:ascii="Times New Roman" w:hAnsi="Times New Roman" w:eastAsia="黑体" w:cs="Times New Roman"/>
          <w:color w:val="000000"/>
          <w:sz w:val="72"/>
          <w:szCs w:val="72"/>
        </w:rPr>
      </w:pPr>
      <w:r>
        <w:rPr>
          <w:rFonts w:ascii="Times New Roman" w:hAnsi="Times New Roman" w:eastAsia="黑体" w:cs="Times New Roman"/>
          <w:color w:val="000000"/>
          <w:sz w:val="72"/>
          <w:szCs w:val="72"/>
        </w:rPr>
        <w:t>标</w:t>
      </w:r>
    </w:p>
    <w:p w14:paraId="1607D462">
      <w:pPr>
        <w:jc w:val="center"/>
        <w:rPr>
          <w:rFonts w:ascii="Times New Roman" w:hAnsi="Times New Roman" w:eastAsia="黑体" w:cs="Times New Roman"/>
          <w:color w:val="000000"/>
          <w:sz w:val="72"/>
          <w:szCs w:val="72"/>
        </w:rPr>
      </w:pPr>
      <w:r>
        <w:rPr>
          <w:rFonts w:ascii="Times New Roman" w:hAnsi="Times New Roman" w:eastAsia="黑体" w:cs="Times New Roman"/>
          <w:color w:val="000000"/>
          <w:sz w:val="72"/>
          <w:szCs w:val="72"/>
        </w:rPr>
        <w:t>书</w:t>
      </w:r>
    </w:p>
    <w:p w14:paraId="456B8007">
      <w:pPr>
        <w:pStyle w:val="20"/>
        <w:rPr>
          <w:rFonts w:ascii="Times New Roman" w:hAnsi="Times New Roman" w:cs="Times New Roman"/>
        </w:rPr>
      </w:pPr>
    </w:p>
    <w:p w14:paraId="481B70DF">
      <w:pPr>
        <w:pStyle w:val="20"/>
        <w:rPr>
          <w:rFonts w:ascii="Times New Roman" w:hAnsi="Times New Roman" w:eastAsia="黑体" w:cs="Times New Roman"/>
          <w:color w:val="000000"/>
          <w:sz w:val="72"/>
          <w:szCs w:val="72"/>
        </w:rPr>
      </w:pPr>
    </w:p>
    <w:p w14:paraId="5FC5FD2B">
      <w:pPr>
        <w:spacing w:line="860" w:lineRule="exact"/>
        <w:rPr>
          <w:rFonts w:ascii="Times New Roman" w:hAnsi="Times New Roman" w:eastAsia="华文仿宋" w:cs="Times New Roman"/>
          <w:b/>
          <w:bCs/>
          <w:sz w:val="32"/>
          <w:szCs w:val="28"/>
        </w:rPr>
      </w:pPr>
      <w:r>
        <w:rPr>
          <w:rFonts w:ascii="Times New Roman" w:hAnsi="Times New Roman" w:eastAsia="华文仿宋" w:cs="Times New Roman"/>
          <w:sz w:val="32"/>
          <w:szCs w:val="28"/>
        </w:rPr>
        <w:t xml:space="preserve">               </w:t>
      </w:r>
    </w:p>
    <w:p w14:paraId="498E3283">
      <w:pPr>
        <w:pStyle w:val="20"/>
        <w:rPr>
          <w:rFonts w:ascii="Times New Roman" w:hAnsi="Times New Roman" w:cs="Times New Roman"/>
          <w:b/>
          <w:bCs/>
        </w:rPr>
      </w:pPr>
    </w:p>
    <w:p w14:paraId="6F34A7E6">
      <w:pPr>
        <w:jc w:val="center"/>
        <w:rPr>
          <w:rFonts w:ascii="Times New Roman" w:hAnsi="Times New Roman" w:eastAsia="宋体" w:cs="Times New Roman"/>
          <w:color w:val="000000"/>
          <w:sz w:val="28"/>
          <w:szCs w:val="28"/>
        </w:rPr>
      </w:pPr>
      <w:r>
        <w:rPr>
          <w:rFonts w:ascii="Times New Roman" w:hAnsi="Times New Roman" w:eastAsia="宋体" w:cs="Times New Roman"/>
          <w:color w:val="000000"/>
          <w:sz w:val="28"/>
          <w:szCs w:val="28"/>
        </w:rPr>
        <w:t>招 标 人：中国重汽集团济南商用车制造公司</w:t>
      </w:r>
    </w:p>
    <w:p w14:paraId="521A1A5D">
      <w:pPr>
        <w:jc w:val="center"/>
        <w:rPr>
          <w:rFonts w:ascii="Times New Roman" w:hAnsi="Times New Roman" w:eastAsia="宋体" w:cs="Times New Roman"/>
          <w:color w:val="000000"/>
          <w:sz w:val="28"/>
          <w:szCs w:val="28"/>
        </w:rPr>
      </w:pPr>
    </w:p>
    <w:p w14:paraId="4E724CB5">
      <w:pPr>
        <w:jc w:val="center"/>
        <w:rPr>
          <w:rFonts w:ascii="Times New Roman" w:hAnsi="Times New Roman" w:eastAsia="宋体" w:cs="Times New Roman"/>
          <w:color w:val="000000"/>
          <w:sz w:val="28"/>
          <w:szCs w:val="28"/>
        </w:rPr>
      </w:pPr>
    </w:p>
    <w:p w14:paraId="11F59D50">
      <w:pPr>
        <w:jc w:val="center"/>
        <w:rPr>
          <w:rFonts w:ascii="Times New Roman" w:hAnsi="Times New Roman" w:eastAsia="宋体" w:cs="Times New Roman"/>
          <w:b/>
          <w:bCs/>
          <w:kern w:val="44"/>
          <w:sz w:val="36"/>
          <w:szCs w:val="44"/>
        </w:rPr>
      </w:pPr>
      <w:r>
        <w:rPr>
          <w:rFonts w:hint="eastAsia" w:ascii="Times New Roman" w:hAnsi="Times New Roman" w:eastAsia="宋体" w:cs="Times New Roman"/>
          <w:color w:val="000000"/>
          <w:sz w:val="28"/>
          <w:szCs w:val="28"/>
        </w:rPr>
        <w:t>2026年</w:t>
      </w:r>
      <w:r>
        <w:rPr>
          <w:rFonts w:hint="eastAsia" w:ascii="Times New Roman" w:hAnsi="Times New Roman" w:eastAsia="宋体" w:cs="Times New Roman"/>
          <w:color w:val="000000"/>
          <w:sz w:val="28"/>
          <w:szCs w:val="28"/>
          <w:lang w:val="en-US" w:eastAsia="zh-CN"/>
        </w:rPr>
        <w:t>2</w:t>
      </w:r>
      <w:r>
        <w:rPr>
          <w:rFonts w:hint="eastAsia" w:ascii="Times New Roman" w:hAnsi="Times New Roman" w:eastAsia="宋体" w:cs="Times New Roman"/>
          <w:color w:val="000000"/>
          <w:sz w:val="28"/>
          <w:szCs w:val="28"/>
        </w:rPr>
        <w:t>月</w:t>
      </w:r>
    </w:p>
    <w:p w14:paraId="16A0CC93">
      <w:pPr>
        <w:spacing w:line="360" w:lineRule="auto"/>
        <w:rPr>
          <w:rFonts w:ascii="Times New Roman" w:hAnsi="Times New Roman" w:eastAsia="宋体" w:cs="Times New Roman"/>
          <w:b/>
          <w:sz w:val="36"/>
          <w:szCs w:val="36"/>
        </w:rPr>
      </w:pPr>
    </w:p>
    <w:p w14:paraId="31D4D3F5">
      <w:pPr>
        <w:rPr>
          <w:rFonts w:ascii="Times New Roman" w:hAnsi="Times New Roman" w:cs="Times New Roman"/>
        </w:rPr>
        <w:sectPr>
          <w:headerReference r:id="rId9" w:type="default"/>
          <w:footerReference r:id="rId10" w:type="default"/>
          <w:pgSz w:w="11907" w:h="16840"/>
          <w:pgMar w:top="1304" w:right="1418" w:bottom="1304" w:left="1418" w:header="724" w:footer="851" w:gutter="0"/>
          <w:cols w:space="720" w:num="1"/>
          <w:docGrid w:linePitch="290" w:charSpace="-3931"/>
        </w:sectPr>
      </w:pPr>
      <w:bookmarkStart w:id="35" w:name="_Toc326840031"/>
    </w:p>
    <w:bookmarkEnd w:id="35"/>
    <w:p w14:paraId="4CD42C74">
      <w:pPr>
        <w:pStyle w:val="5"/>
        <w:widowControl/>
        <w:spacing w:before="120" w:after="120"/>
        <w:jc w:val="center"/>
        <w:rPr>
          <w:rFonts w:ascii="Times New Roman" w:hAnsi="Times New Roman" w:eastAsia="黑体"/>
          <w:szCs w:val="24"/>
        </w:rPr>
      </w:pPr>
      <w:r>
        <w:rPr>
          <w:rFonts w:ascii="Times New Roman" w:hAnsi="Times New Roman" w:eastAsia="黑体"/>
          <w:szCs w:val="24"/>
        </w:rPr>
        <w:t>第一章  采购货物概况</w:t>
      </w:r>
    </w:p>
    <w:p w14:paraId="02BA3ECD">
      <w:pPr>
        <w:pStyle w:val="6"/>
        <w:widowControl/>
        <w:spacing w:before="120" w:after="120" w:line="360" w:lineRule="auto"/>
        <w:jc w:val="center"/>
        <w:rPr>
          <w:rFonts w:ascii="Times New Roman" w:hAnsi="Times New Roman"/>
          <w:bCs w:val="0"/>
          <w:sz w:val="24"/>
          <w:szCs w:val="24"/>
        </w:rPr>
      </w:pPr>
      <w:bookmarkStart w:id="36" w:name="_Toc326840032"/>
      <w:r>
        <w:rPr>
          <w:rFonts w:ascii="Times New Roman" w:hAnsi="Times New Roman"/>
          <w:bCs w:val="0"/>
          <w:sz w:val="24"/>
          <w:szCs w:val="24"/>
        </w:rPr>
        <w:t>第一节  使用环境</w:t>
      </w:r>
      <w:bookmarkEnd w:id="36"/>
    </w:p>
    <w:p w14:paraId="3E07FE16">
      <w:pPr>
        <w:spacing w:line="360" w:lineRule="auto"/>
        <w:rPr>
          <w:rFonts w:ascii="Times New Roman" w:hAnsi="Times New Roman" w:eastAsia="宋体" w:cs="Times New Roman"/>
          <w:u w:val="single"/>
        </w:rPr>
      </w:pPr>
      <w:r>
        <w:rPr>
          <w:rFonts w:ascii="Times New Roman" w:hAnsi="Times New Roman" w:eastAsia="黑体" w:cs="Times New Roman"/>
          <w:sz w:val="24"/>
          <w:szCs w:val="24"/>
          <w:lang w:bidi="ar"/>
        </w:rPr>
        <w:t xml:space="preserve">    一、项目名称：</w:t>
      </w:r>
      <w:r>
        <w:rPr>
          <w:rFonts w:hint="eastAsia" w:ascii="仿宋_GB2312" w:hAnsi="宋体" w:eastAsia="仿宋_GB2312"/>
          <w:sz w:val="24"/>
          <w:u w:val="single"/>
        </w:rPr>
        <w:t>全新一代中重卡宽体平地板驾驶室2300车型平顶金属顶盖模检具项目</w:t>
      </w:r>
    </w:p>
    <w:p w14:paraId="53AB7400">
      <w:pPr>
        <w:spacing w:line="360" w:lineRule="auto"/>
        <w:ind w:firstLine="480" w:firstLineChars="200"/>
        <w:rPr>
          <w:rFonts w:ascii="Times New Roman" w:hAnsi="Times New Roman" w:eastAsia="黑体" w:cs="Times New Roman"/>
          <w:sz w:val="24"/>
          <w:szCs w:val="24"/>
          <w:lang w:bidi="ar"/>
        </w:rPr>
      </w:pPr>
      <w:r>
        <w:rPr>
          <w:rFonts w:ascii="Times New Roman" w:hAnsi="Times New Roman" w:eastAsia="黑体" w:cs="Times New Roman"/>
          <w:sz w:val="24"/>
          <w:szCs w:val="24"/>
          <w:lang w:bidi="ar"/>
        </w:rPr>
        <w:t>二、建设地点：</w:t>
      </w:r>
    </w:p>
    <w:p w14:paraId="738E04F4">
      <w:pPr>
        <w:spacing w:line="360" w:lineRule="auto"/>
        <w:ind w:firstLine="480" w:firstLineChars="200"/>
        <w:rPr>
          <w:rFonts w:hint="eastAsia" w:ascii="宋体" w:hAnsi="宋体" w:eastAsia="宋体" w:cs="宋体"/>
          <w:color w:val="FF0000"/>
          <w:sz w:val="24"/>
          <w:szCs w:val="24"/>
          <w:u w:val="single"/>
        </w:rPr>
      </w:pPr>
      <w:r>
        <w:rPr>
          <w:rFonts w:hint="eastAsia" w:ascii="宋体" w:hAnsi="宋体" w:eastAsia="宋体" w:cs="宋体"/>
          <w:color w:val="FF0000"/>
          <w:sz w:val="24"/>
          <w:szCs w:val="24"/>
          <w:u w:val="single"/>
        </w:rPr>
        <w:t>中国重汽集团济南商用车有限公司</w:t>
      </w:r>
    </w:p>
    <w:p w14:paraId="2A61067E">
      <w:pPr>
        <w:spacing w:line="360" w:lineRule="auto"/>
        <w:ind w:firstLine="480" w:firstLineChars="200"/>
        <w:rPr>
          <w:rFonts w:ascii="Times New Roman" w:hAnsi="Times New Roman" w:eastAsia="黑体" w:cs="Times New Roman"/>
          <w:sz w:val="24"/>
          <w:szCs w:val="24"/>
          <w:lang w:bidi="ar"/>
        </w:rPr>
      </w:pPr>
      <w:r>
        <w:rPr>
          <w:rFonts w:ascii="Times New Roman" w:hAnsi="Times New Roman" w:eastAsia="黑体" w:cs="Times New Roman"/>
          <w:sz w:val="24"/>
          <w:szCs w:val="24"/>
          <w:lang w:bidi="ar"/>
        </w:rPr>
        <w:t>三、使用地点：</w:t>
      </w:r>
    </w:p>
    <w:p w14:paraId="6742E15E">
      <w:pPr>
        <w:spacing w:line="360" w:lineRule="auto"/>
        <w:ind w:firstLine="480" w:firstLineChars="200"/>
        <w:rPr>
          <w:rFonts w:ascii="Times New Roman" w:hAnsi="Times New Roman" w:eastAsia="宋体" w:cs="Times New Roman"/>
          <w:sz w:val="24"/>
          <w:szCs w:val="24"/>
          <w:u w:val="single"/>
          <w:lang w:bidi="ar"/>
        </w:rPr>
      </w:pPr>
      <w:r>
        <w:rPr>
          <w:rFonts w:hint="eastAsia" w:ascii="宋体" w:hAnsi="宋体" w:eastAsia="宋体" w:cs="宋体"/>
          <w:color w:val="FF0000"/>
          <w:sz w:val="24"/>
          <w:szCs w:val="24"/>
          <w:u w:val="single"/>
        </w:rPr>
        <w:t>中国重汽集团济南商用车有限公司</w:t>
      </w:r>
    </w:p>
    <w:p w14:paraId="0BCCCBF0">
      <w:pPr>
        <w:spacing w:line="360" w:lineRule="auto"/>
        <w:ind w:firstLine="480" w:firstLineChars="200"/>
        <w:rPr>
          <w:rFonts w:ascii="Times New Roman" w:hAnsi="Times New Roman" w:eastAsia="黑体" w:cs="Times New Roman"/>
          <w:sz w:val="24"/>
          <w:szCs w:val="24"/>
          <w:lang w:bidi="ar"/>
        </w:rPr>
      </w:pPr>
      <w:r>
        <w:rPr>
          <w:rFonts w:hint="eastAsia" w:ascii="Times New Roman" w:hAnsi="Times New Roman" w:eastAsia="黑体" w:cs="Times New Roman"/>
          <w:sz w:val="24"/>
          <w:szCs w:val="24"/>
          <w:lang w:bidi="ar"/>
        </w:rPr>
        <w:t>四、</w:t>
      </w:r>
      <w:r>
        <w:rPr>
          <w:rFonts w:ascii="Times New Roman" w:hAnsi="Times New Roman" w:eastAsia="黑体" w:cs="Times New Roman"/>
          <w:sz w:val="24"/>
          <w:szCs w:val="24"/>
          <w:lang w:bidi="ar"/>
        </w:rPr>
        <w:t>工作制度：</w:t>
      </w:r>
      <w:r>
        <w:rPr>
          <w:rFonts w:hint="eastAsia" w:ascii="宋体" w:hAnsi="宋体" w:eastAsia="宋体" w:cs="宋体"/>
          <w:sz w:val="24"/>
          <w:szCs w:val="24"/>
        </w:rPr>
        <w:t>全年工作300天、3班制、设备年时基数6120小时以上</w:t>
      </w:r>
    </w:p>
    <w:p w14:paraId="4AB8622C">
      <w:pPr>
        <w:spacing w:line="360" w:lineRule="auto"/>
        <w:ind w:firstLine="480" w:firstLineChars="200"/>
        <w:rPr>
          <w:rFonts w:ascii="Times New Roman" w:hAnsi="Times New Roman" w:cs="Times New Roman"/>
        </w:rPr>
      </w:pPr>
      <w:r>
        <w:rPr>
          <w:rFonts w:ascii="Times New Roman" w:hAnsi="Times New Roman" w:eastAsia="黑体" w:cs="Times New Roman"/>
          <w:sz w:val="24"/>
          <w:szCs w:val="24"/>
          <w:lang w:bidi="ar"/>
        </w:rPr>
        <w:t>五、使用地点区域自然环境：</w:t>
      </w:r>
    </w:p>
    <w:p w14:paraId="1E9AFD5D">
      <w:pPr>
        <w:spacing w:line="360" w:lineRule="auto"/>
        <w:ind w:firstLine="480" w:firstLineChars="200"/>
        <w:outlineLvl w:val="3"/>
        <w:rPr>
          <w:rFonts w:hint="eastAsia" w:ascii="宋体" w:hAnsi="宋体" w:eastAsia="宋体" w:cs="宋体"/>
          <w:sz w:val="24"/>
          <w:szCs w:val="24"/>
        </w:rPr>
      </w:pPr>
      <w:r>
        <w:rPr>
          <w:rFonts w:hint="eastAsia" w:ascii="宋体" w:hAnsi="宋体" w:eastAsia="宋体" w:cs="宋体"/>
          <w:sz w:val="24"/>
          <w:szCs w:val="24"/>
        </w:rPr>
        <w:t>1.环境温度：室内温度-10℃～40℃</w:t>
      </w:r>
    </w:p>
    <w:p w14:paraId="3AF6A849">
      <w:pPr>
        <w:spacing w:line="360" w:lineRule="auto"/>
        <w:ind w:firstLine="480" w:firstLineChars="200"/>
        <w:outlineLvl w:val="3"/>
        <w:rPr>
          <w:rFonts w:hint="eastAsia" w:ascii="宋体" w:hAnsi="宋体" w:eastAsia="宋体" w:cs="宋体"/>
          <w:sz w:val="24"/>
          <w:szCs w:val="24"/>
        </w:rPr>
      </w:pPr>
      <w:r>
        <w:rPr>
          <w:rFonts w:hint="eastAsia" w:ascii="宋体" w:hAnsi="宋体" w:eastAsia="宋体" w:cs="宋体"/>
          <w:sz w:val="24"/>
          <w:szCs w:val="24"/>
        </w:rPr>
        <w:t>2.相对湿度：≤90%</w:t>
      </w:r>
    </w:p>
    <w:p w14:paraId="23A2C7A5">
      <w:pPr>
        <w:spacing w:line="360" w:lineRule="auto"/>
        <w:ind w:firstLine="480" w:firstLineChars="200"/>
        <w:outlineLvl w:val="3"/>
        <w:rPr>
          <w:rFonts w:hint="eastAsia" w:ascii="宋体" w:hAnsi="宋体" w:eastAsia="宋体" w:cs="宋体"/>
          <w:sz w:val="24"/>
          <w:szCs w:val="24"/>
        </w:rPr>
      </w:pPr>
      <w:r>
        <w:rPr>
          <w:rFonts w:hint="eastAsia" w:ascii="宋体" w:hAnsi="宋体" w:eastAsia="宋体" w:cs="宋体"/>
          <w:sz w:val="24"/>
          <w:szCs w:val="24"/>
        </w:rPr>
        <w:t>3.电力：中国制式，供电电压380V±10%，供电频率50Hz±1%。</w:t>
      </w:r>
    </w:p>
    <w:p w14:paraId="36D1D797">
      <w:pPr>
        <w:spacing w:line="360" w:lineRule="auto"/>
        <w:ind w:firstLine="480" w:firstLineChars="200"/>
        <w:outlineLvl w:val="3"/>
        <w:rPr>
          <w:rFonts w:hint="eastAsia" w:ascii="宋体" w:hAnsi="宋体" w:eastAsia="宋体" w:cs="宋体"/>
          <w:sz w:val="24"/>
          <w:szCs w:val="24"/>
        </w:rPr>
      </w:pPr>
      <w:r>
        <w:rPr>
          <w:rFonts w:hint="eastAsia" w:ascii="宋体" w:hAnsi="宋体" w:eastAsia="宋体" w:cs="宋体"/>
          <w:sz w:val="24"/>
          <w:szCs w:val="24"/>
        </w:rPr>
        <w:t>4.压缩空气：厂区空压力机自产压缩空气，0.55～0.65MPa</w:t>
      </w:r>
    </w:p>
    <w:p w14:paraId="2B487CBF">
      <w:pPr>
        <w:spacing w:line="360" w:lineRule="auto"/>
        <w:ind w:firstLine="480" w:firstLineChars="200"/>
        <w:rPr>
          <w:rFonts w:ascii="Times New Roman" w:hAnsi="Times New Roman" w:cs="Times New Roman"/>
        </w:rPr>
      </w:pPr>
      <w:r>
        <w:rPr>
          <w:rFonts w:ascii="Times New Roman" w:hAnsi="Times New Roman" w:eastAsia="黑体" w:cs="Times New Roman"/>
          <w:sz w:val="24"/>
          <w:szCs w:val="24"/>
          <w:lang w:bidi="ar"/>
        </w:rPr>
        <w:t>六、能源环境：</w:t>
      </w:r>
    </w:p>
    <w:p w14:paraId="16E66A67">
      <w:pPr>
        <w:spacing w:line="360" w:lineRule="auto"/>
        <w:ind w:left="480"/>
        <w:jc w:val="left"/>
        <w:rPr>
          <w:rFonts w:ascii="Times New Roman" w:hAnsi="Times New Roman" w:eastAsia="宋体" w:cs="Times New Roman"/>
          <w:bCs/>
          <w:sz w:val="24"/>
          <w:szCs w:val="24"/>
          <w:lang w:bidi="ar"/>
        </w:rPr>
      </w:pPr>
      <w:r>
        <w:rPr>
          <w:rFonts w:ascii="Times New Roman" w:hAnsi="Times New Roman" w:eastAsia="宋体" w:cs="Times New Roman"/>
          <w:bCs/>
          <w:sz w:val="24"/>
          <w:szCs w:val="24"/>
          <w:lang w:bidi="ar"/>
        </w:rPr>
        <w:t>1、电力：中国制式，三相五线制供电，供电电压380V±10%/220V±10%，供电频率50Hz±0.5Hz。</w:t>
      </w:r>
    </w:p>
    <w:p w14:paraId="208CC20B">
      <w:pPr>
        <w:spacing w:line="360" w:lineRule="auto"/>
        <w:ind w:left="480"/>
        <w:jc w:val="center"/>
        <w:rPr>
          <w:rFonts w:ascii="Times New Roman" w:hAnsi="Times New Roman" w:eastAsia="宋体" w:cs="Times New Roman"/>
          <w:b/>
          <w:sz w:val="24"/>
          <w:szCs w:val="24"/>
        </w:rPr>
      </w:pPr>
      <w:r>
        <w:rPr>
          <w:rFonts w:ascii="Times New Roman" w:hAnsi="Times New Roman" w:cs="Times New Roman"/>
          <w:sz w:val="24"/>
          <w:szCs w:val="24"/>
          <w:lang w:bidi="ar"/>
        </w:rPr>
        <w:br w:type="page"/>
      </w:r>
      <w:bookmarkStart w:id="37" w:name="_Toc326840033"/>
      <w:r>
        <w:rPr>
          <w:rFonts w:ascii="Times New Roman" w:hAnsi="Times New Roman" w:eastAsia="宋体" w:cs="Times New Roman"/>
          <w:b/>
          <w:sz w:val="24"/>
          <w:szCs w:val="24"/>
        </w:rPr>
        <w:t>第二节  采购货物概况</w:t>
      </w:r>
      <w:bookmarkEnd w:id="37"/>
    </w:p>
    <w:p w14:paraId="52FCE48E">
      <w:pPr>
        <w:spacing w:line="360" w:lineRule="auto"/>
        <w:ind w:firstLine="480" w:firstLineChars="200"/>
        <w:rPr>
          <w:rFonts w:ascii="Times New Roman" w:hAnsi="Times New Roman" w:eastAsia="宋体" w:cs="Times New Roman"/>
        </w:rPr>
      </w:pPr>
      <w:r>
        <w:rPr>
          <w:rFonts w:ascii="Times New Roman" w:hAnsi="Times New Roman" w:eastAsia="黑体" w:cs="Times New Roman"/>
          <w:sz w:val="24"/>
          <w:szCs w:val="24"/>
          <w:lang w:bidi="ar"/>
        </w:rPr>
        <w:t>一、货物</w:t>
      </w:r>
      <w:r>
        <w:rPr>
          <w:rFonts w:hint="eastAsia" w:ascii="Times New Roman" w:hAnsi="Times New Roman" w:eastAsia="黑体" w:cs="Times New Roman"/>
          <w:sz w:val="24"/>
          <w:szCs w:val="24"/>
          <w:lang w:bidi="ar"/>
        </w:rPr>
        <w:t>需求</w:t>
      </w:r>
      <w:r>
        <w:rPr>
          <w:rFonts w:ascii="Times New Roman" w:hAnsi="Times New Roman" w:eastAsia="黑体" w:cs="Times New Roman"/>
          <w:sz w:val="24"/>
          <w:szCs w:val="24"/>
          <w:lang w:bidi="ar"/>
        </w:rPr>
        <w:t>：</w:t>
      </w:r>
    </w:p>
    <w:p w14:paraId="4AD8FD24">
      <w:pPr>
        <w:spacing w:line="360" w:lineRule="auto"/>
        <w:jc w:val="center"/>
        <w:rPr>
          <w:rFonts w:ascii="Times New Roman" w:hAnsi="Times New Roman" w:eastAsia="宋体" w:cs="Times New Roman"/>
          <w:sz w:val="24"/>
          <w:szCs w:val="24"/>
          <w:lang w:bidi="ar"/>
        </w:rPr>
      </w:pPr>
      <w:r>
        <w:rPr>
          <w:rFonts w:ascii="Times New Roman" w:hAnsi="Times New Roman" w:eastAsia="宋体" w:cs="Times New Roman"/>
          <w:sz w:val="24"/>
          <w:szCs w:val="24"/>
          <w:lang w:bidi="ar"/>
        </w:rPr>
        <w:t>采购货物主要构成一览表</w:t>
      </w:r>
    </w:p>
    <w:tbl>
      <w:tblPr>
        <w:tblStyle w:val="41"/>
        <w:tblW w:w="1129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87"/>
        <w:gridCol w:w="1462"/>
        <w:gridCol w:w="1963"/>
        <w:gridCol w:w="937"/>
        <w:gridCol w:w="1181"/>
        <w:gridCol w:w="1300"/>
        <w:gridCol w:w="1932"/>
        <w:gridCol w:w="1932"/>
      </w:tblGrid>
      <w:tr w14:paraId="58F742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1" w:hRule="atLeast"/>
          <w:jc w:val="center"/>
        </w:trPr>
        <w:tc>
          <w:tcPr>
            <w:tcW w:w="587" w:type="dxa"/>
            <w:vAlign w:val="center"/>
          </w:tcPr>
          <w:p w14:paraId="01743AF4">
            <w:pPr>
              <w:widowControl/>
              <w:jc w:val="center"/>
              <w:textAlignment w:val="center"/>
              <w:rPr>
                <w:rFonts w:hint="eastAsia" w:ascii="宋体" w:hAnsi="宋体" w:eastAsia="宋体" w:cs="宋体"/>
                <w:b/>
                <w:bCs/>
                <w:sz w:val="24"/>
                <w:szCs w:val="24"/>
              </w:rPr>
            </w:pPr>
            <w:r>
              <w:rPr>
                <w:rFonts w:hint="eastAsia" w:ascii="宋体" w:hAnsi="宋体" w:eastAsia="宋体" w:cs="宋体"/>
                <w:color w:val="000000"/>
                <w:kern w:val="0"/>
                <w:sz w:val="24"/>
                <w:szCs w:val="24"/>
                <w:lang w:bidi="ar"/>
              </w:rPr>
              <w:t>序号</w:t>
            </w:r>
          </w:p>
        </w:tc>
        <w:tc>
          <w:tcPr>
            <w:tcW w:w="1462" w:type="dxa"/>
            <w:vAlign w:val="center"/>
          </w:tcPr>
          <w:p w14:paraId="63065331">
            <w:pPr>
              <w:jc w:val="center"/>
              <w:rPr>
                <w:rFonts w:hint="eastAsia" w:ascii="宋体" w:hAnsi="宋体" w:eastAsia="宋体" w:cs="宋体"/>
                <w:b/>
                <w:bCs/>
                <w:sz w:val="24"/>
                <w:szCs w:val="24"/>
              </w:rPr>
            </w:pPr>
            <w:r>
              <w:rPr>
                <w:rFonts w:hint="eastAsia" w:ascii="宋体" w:hAnsi="宋体" w:eastAsia="宋体" w:cs="宋体"/>
                <w:b/>
                <w:bCs/>
                <w:sz w:val="24"/>
                <w:szCs w:val="24"/>
              </w:rPr>
              <w:t>产品件名称</w:t>
            </w:r>
          </w:p>
        </w:tc>
        <w:tc>
          <w:tcPr>
            <w:tcW w:w="1963" w:type="dxa"/>
            <w:vAlign w:val="center"/>
          </w:tcPr>
          <w:p w14:paraId="04B2739E">
            <w:pPr>
              <w:jc w:val="center"/>
              <w:rPr>
                <w:rFonts w:hint="eastAsia" w:ascii="宋体" w:hAnsi="宋体" w:eastAsia="宋体" w:cs="宋体"/>
                <w:b/>
                <w:bCs/>
                <w:sz w:val="24"/>
                <w:szCs w:val="24"/>
              </w:rPr>
            </w:pPr>
            <w:r>
              <w:rPr>
                <w:rFonts w:hint="eastAsia" w:ascii="宋体" w:hAnsi="宋体" w:eastAsia="宋体" w:cs="宋体"/>
                <w:b/>
                <w:bCs/>
                <w:sz w:val="24"/>
                <w:szCs w:val="24"/>
              </w:rPr>
              <w:t>产品件图号</w:t>
            </w:r>
          </w:p>
        </w:tc>
        <w:tc>
          <w:tcPr>
            <w:tcW w:w="937" w:type="dxa"/>
            <w:vAlign w:val="center"/>
          </w:tcPr>
          <w:p w14:paraId="4D0A3A28">
            <w:pPr>
              <w:jc w:val="center"/>
              <w:rPr>
                <w:rFonts w:hint="eastAsia" w:ascii="宋体" w:hAnsi="宋体" w:eastAsia="宋体" w:cs="宋体"/>
                <w:b/>
                <w:bCs/>
                <w:sz w:val="24"/>
                <w:szCs w:val="24"/>
              </w:rPr>
            </w:pPr>
            <w:r>
              <w:rPr>
                <w:rFonts w:hint="eastAsia" w:ascii="宋体" w:hAnsi="宋体" w:eastAsia="宋体" w:cs="宋体"/>
                <w:b/>
                <w:bCs/>
                <w:sz w:val="24"/>
                <w:szCs w:val="24"/>
              </w:rPr>
              <w:t>配置</w:t>
            </w:r>
          </w:p>
        </w:tc>
        <w:tc>
          <w:tcPr>
            <w:tcW w:w="1181" w:type="dxa"/>
            <w:vAlign w:val="center"/>
          </w:tcPr>
          <w:p w14:paraId="1C65EE7E">
            <w:pPr>
              <w:jc w:val="center"/>
              <w:rPr>
                <w:rFonts w:hint="eastAsia" w:ascii="宋体" w:hAnsi="宋体" w:eastAsia="宋体" w:cs="宋体"/>
                <w:b/>
                <w:bCs/>
                <w:sz w:val="24"/>
                <w:szCs w:val="24"/>
              </w:rPr>
            </w:pPr>
            <w:r>
              <w:rPr>
                <w:rFonts w:hint="eastAsia" w:ascii="宋体" w:hAnsi="宋体" w:eastAsia="宋体" w:cs="宋体"/>
                <w:b/>
                <w:bCs/>
                <w:sz w:val="24"/>
                <w:szCs w:val="24"/>
              </w:rPr>
              <w:t>模具套数</w:t>
            </w:r>
          </w:p>
        </w:tc>
        <w:tc>
          <w:tcPr>
            <w:tcW w:w="1300" w:type="dxa"/>
            <w:vAlign w:val="center"/>
          </w:tcPr>
          <w:p w14:paraId="0D7B2913">
            <w:pPr>
              <w:jc w:val="center"/>
              <w:rPr>
                <w:rFonts w:hint="eastAsia" w:ascii="宋体" w:hAnsi="宋体" w:eastAsia="宋体" w:cs="宋体"/>
                <w:b/>
                <w:bCs/>
                <w:sz w:val="24"/>
                <w:szCs w:val="24"/>
              </w:rPr>
            </w:pPr>
            <w:r>
              <w:rPr>
                <w:rFonts w:hint="eastAsia" w:ascii="宋体" w:hAnsi="宋体" w:eastAsia="宋体" w:cs="宋体"/>
                <w:b/>
                <w:bCs/>
                <w:sz w:val="24"/>
                <w:szCs w:val="24"/>
              </w:rPr>
              <w:t>检具套数</w:t>
            </w:r>
          </w:p>
        </w:tc>
        <w:tc>
          <w:tcPr>
            <w:tcW w:w="1932" w:type="dxa"/>
            <w:vAlign w:val="center"/>
          </w:tcPr>
          <w:p w14:paraId="48E37473">
            <w:pPr>
              <w:jc w:val="center"/>
              <w:rPr>
                <w:rFonts w:hint="eastAsia" w:ascii="宋体" w:hAnsi="宋体" w:eastAsia="宋体" w:cs="宋体"/>
                <w:b/>
                <w:bCs/>
                <w:sz w:val="24"/>
                <w:szCs w:val="24"/>
              </w:rPr>
            </w:pPr>
            <w:r>
              <w:rPr>
                <w:rFonts w:hint="eastAsia" w:ascii="宋体" w:hAnsi="宋体" w:eastAsia="宋体" w:cs="宋体"/>
                <w:b/>
                <w:bCs/>
                <w:sz w:val="24"/>
                <w:szCs w:val="24"/>
              </w:rPr>
              <w:t>备注</w:t>
            </w:r>
          </w:p>
        </w:tc>
        <w:tc>
          <w:tcPr>
            <w:tcW w:w="1932" w:type="dxa"/>
            <w:vAlign w:val="center"/>
          </w:tcPr>
          <w:p w14:paraId="24FC5BCF">
            <w:pPr>
              <w:jc w:val="center"/>
              <w:rPr>
                <w:rFonts w:hint="eastAsia" w:ascii="宋体" w:hAnsi="宋体" w:eastAsia="宋体" w:cs="宋体"/>
                <w:b/>
                <w:bCs/>
                <w:sz w:val="24"/>
                <w:szCs w:val="24"/>
              </w:rPr>
            </w:pPr>
            <w:r>
              <w:rPr>
                <w:rFonts w:hint="eastAsia" w:ascii="宋体" w:hAnsi="宋体" w:eastAsia="宋体" w:cs="宋体"/>
                <w:b/>
                <w:bCs/>
                <w:sz w:val="24"/>
                <w:szCs w:val="24"/>
              </w:rPr>
              <w:t>备注2</w:t>
            </w:r>
          </w:p>
        </w:tc>
      </w:tr>
      <w:tr w14:paraId="04A389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87" w:type="dxa"/>
            <w:vAlign w:val="center"/>
          </w:tcPr>
          <w:p w14:paraId="20C3248E">
            <w:pPr>
              <w:widowControl/>
              <w:jc w:val="center"/>
              <w:textAlignment w:val="center"/>
              <w:rPr>
                <w:rFonts w:hint="eastAsia" w:ascii="宋体" w:hAnsi="宋体" w:eastAsia="宋体" w:cs="宋体"/>
                <w:sz w:val="24"/>
                <w:szCs w:val="24"/>
              </w:rPr>
            </w:pPr>
            <w:r>
              <w:rPr>
                <w:rFonts w:hint="eastAsia" w:ascii="宋体" w:hAnsi="宋体" w:eastAsia="宋体" w:cs="宋体"/>
                <w:color w:val="000000"/>
                <w:kern w:val="0"/>
                <w:sz w:val="24"/>
                <w:szCs w:val="24"/>
                <w:lang w:bidi="ar"/>
              </w:rPr>
              <w:t>1</w:t>
            </w:r>
          </w:p>
        </w:tc>
        <w:tc>
          <w:tcPr>
            <w:tcW w:w="1462" w:type="dxa"/>
            <w:vAlign w:val="center"/>
          </w:tcPr>
          <w:p w14:paraId="795E12CE">
            <w:pPr>
              <w:widowControl/>
              <w:jc w:val="center"/>
              <w:textAlignment w:val="center"/>
              <w:rPr>
                <w:rFonts w:hint="eastAsia" w:ascii="宋体" w:hAnsi="宋体" w:eastAsia="宋体" w:cs="宋体"/>
                <w:sz w:val="24"/>
                <w:szCs w:val="24"/>
              </w:rPr>
            </w:pPr>
            <w:r>
              <w:rPr>
                <w:rFonts w:hint="eastAsia" w:ascii="宋体" w:hAnsi="宋体" w:eastAsia="宋体" w:cs="宋体"/>
                <w:sz w:val="24"/>
                <w:szCs w:val="24"/>
              </w:rPr>
              <w:t>顶盖外板</w:t>
            </w:r>
          </w:p>
        </w:tc>
        <w:tc>
          <w:tcPr>
            <w:tcW w:w="1963" w:type="dxa"/>
            <w:vAlign w:val="center"/>
          </w:tcPr>
          <w:p w14:paraId="29046405">
            <w:pPr>
              <w:widowControl/>
              <w:jc w:val="center"/>
              <w:textAlignment w:val="center"/>
              <w:rPr>
                <w:rFonts w:hint="eastAsia" w:ascii="宋体" w:hAnsi="宋体" w:eastAsia="宋体" w:cs="宋体"/>
                <w:sz w:val="24"/>
                <w:szCs w:val="24"/>
              </w:rPr>
            </w:pPr>
            <w:r>
              <w:rPr>
                <w:rFonts w:hint="eastAsia" w:ascii="宋体" w:hAnsi="宋体" w:eastAsia="宋体" w:cs="宋体"/>
                <w:color w:val="000000"/>
                <w:kern w:val="0"/>
                <w:sz w:val="24"/>
                <w:szCs w:val="24"/>
                <w:lang w:bidi="ar"/>
              </w:rPr>
              <w:t>AZ160017000160</w:t>
            </w:r>
          </w:p>
        </w:tc>
        <w:tc>
          <w:tcPr>
            <w:tcW w:w="937" w:type="dxa"/>
            <w:vAlign w:val="center"/>
          </w:tcPr>
          <w:p w14:paraId="287DDEF9">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有天窗</w:t>
            </w:r>
          </w:p>
        </w:tc>
        <w:tc>
          <w:tcPr>
            <w:tcW w:w="1181" w:type="dxa"/>
            <w:vMerge w:val="restart"/>
            <w:vAlign w:val="center"/>
          </w:tcPr>
          <w:p w14:paraId="7FDFB10C">
            <w:pPr>
              <w:jc w:val="center"/>
              <w:rPr>
                <w:rFonts w:hint="eastAsia" w:ascii="宋体" w:hAnsi="宋体" w:eastAsia="宋体" w:cs="宋体"/>
                <w:sz w:val="24"/>
                <w:szCs w:val="24"/>
              </w:rPr>
            </w:pPr>
            <w:r>
              <w:rPr>
                <w:rFonts w:hint="eastAsia" w:ascii="宋体" w:hAnsi="宋体" w:eastAsia="宋体" w:cs="宋体"/>
                <w:color w:val="000000"/>
                <w:sz w:val="24"/>
                <w:szCs w:val="24"/>
              </w:rPr>
              <w:t>4</w:t>
            </w:r>
          </w:p>
        </w:tc>
        <w:tc>
          <w:tcPr>
            <w:tcW w:w="1300" w:type="dxa"/>
            <w:vMerge w:val="restart"/>
            <w:vAlign w:val="center"/>
          </w:tcPr>
          <w:p w14:paraId="43981B36">
            <w:pPr>
              <w:jc w:val="center"/>
              <w:rPr>
                <w:rFonts w:hint="eastAsia" w:ascii="宋体" w:hAnsi="宋体" w:eastAsia="宋体" w:cs="宋体"/>
                <w:sz w:val="24"/>
                <w:szCs w:val="24"/>
              </w:rPr>
            </w:pPr>
            <w:r>
              <w:rPr>
                <w:rFonts w:hint="eastAsia" w:ascii="宋体" w:hAnsi="宋体" w:eastAsia="宋体" w:cs="宋体"/>
                <w:sz w:val="24"/>
                <w:szCs w:val="24"/>
              </w:rPr>
              <w:t>1（主材为树脂）</w:t>
            </w:r>
          </w:p>
        </w:tc>
        <w:tc>
          <w:tcPr>
            <w:tcW w:w="1932" w:type="dxa"/>
            <w:vMerge w:val="restart"/>
            <w:vAlign w:val="center"/>
          </w:tcPr>
          <w:p w14:paraId="3D58B837">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 xml:space="preserve">通过切换镶块方 </w:t>
            </w:r>
          </w:p>
          <w:p w14:paraId="0F9FE868">
            <w:pPr>
              <w:widowControl/>
              <w:jc w:val="center"/>
              <w:textAlignment w:val="center"/>
              <w:rPr>
                <w:rFonts w:hint="eastAsia" w:ascii="宋体" w:hAnsi="宋体" w:eastAsia="宋体" w:cs="宋体"/>
                <w:sz w:val="24"/>
                <w:szCs w:val="24"/>
              </w:rPr>
            </w:pPr>
            <w:r>
              <w:rPr>
                <w:rFonts w:hint="eastAsia" w:ascii="宋体" w:hAnsi="宋体" w:eastAsia="宋体" w:cs="宋体"/>
                <w:color w:val="000000"/>
                <w:kern w:val="0"/>
                <w:sz w:val="24"/>
                <w:szCs w:val="24"/>
                <w:lang w:bidi="ar"/>
              </w:rPr>
              <w:t>式实现共模生产</w:t>
            </w:r>
          </w:p>
        </w:tc>
        <w:tc>
          <w:tcPr>
            <w:tcW w:w="1932" w:type="dxa"/>
          </w:tcPr>
          <w:p w14:paraId="3785542E">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自动线生产</w:t>
            </w:r>
          </w:p>
        </w:tc>
      </w:tr>
      <w:tr w14:paraId="5523EB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87" w:type="dxa"/>
            <w:vAlign w:val="center"/>
          </w:tcPr>
          <w:p w14:paraId="10E8EF96">
            <w:pPr>
              <w:widowControl/>
              <w:jc w:val="center"/>
              <w:textAlignment w:val="center"/>
              <w:rPr>
                <w:rFonts w:hint="eastAsia" w:ascii="宋体" w:hAnsi="宋体" w:eastAsia="宋体" w:cs="宋体"/>
                <w:sz w:val="24"/>
                <w:szCs w:val="24"/>
              </w:rPr>
            </w:pPr>
            <w:r>
              <w:rPr>
                <w:rFonts w:hint="eastAsia" w:ascii="宋体" w:hAnsi="宋体" w:eastAsia="宋体" w:cs="宋体"/>
                <w:color w:val="000000"/>
                <w:kern w:val="0"/>
                <w:sz w:val="24"/>
                <w:szCs w:val="24"/>
                <w:lang w:bidi="ar"/>
              </w:rPr>
              <w:t>2</w:t>
            </w:r>
          </w:p>
        </w:tc>
        <w:tc>
          <w:tcPr>
            <w:tcW w:w="1462" w:type="dxa"/>
            <w:vAlign w:val="center"/>
          </w:tcPr>
          <w:p w14:paraId="533BF6A1">
            <w:pPr>
              <w:widowControl/>
              <w:jc w:val="center"/>
              <w:textAlignment w:val="center"/>
              <w:rPr>
                <w:rFonts w:hint="eastAsia" w:ascii="宋体" w:hAnsi="宋体" w:eastAsia="宋体" w:cs="宋体"/>
                <w:sz w:val="24"/>
                <w:szCs w:val="24"/>
              </w:rPr>
            </w:pPr>
            <w:r>
              <w:rPr>
                <w:rFonts w:hint="eastAsia" w:ascii="宋体" w:hAnsi="宋体" w:eastAsia="宋体" w:cs="宋体"/>
                <w:sz w:val="24"/>
                <w:szCs w:val="24"/>
              </w:rPr>
              <w:t>顶盖外板</w:t>
            </w:r>
          </w:p>
        </w:tc>
        <w:tc>
          <w:tcPr>
            <w:tcW w:w="1963" w:type="dxa"/>
            <w:vAlign w:val="center"/>
          </w:tcPr>
          <w:p w14:paraId="3E714D9D">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AZ160017000223</w:t>
            </w:r>
          </w:p>
        </w:tc>
        <w:tc>
          <w:tcPr>
            <w:tcW w:w="937" w:type="dxa"/>
            <w:vAlign w:val="center"/>
          </w:tcPr>
          <w:p w14:paraId="1BBB52AF">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无天窗</w:t>
            </w:r>
          </w:p>
        </w:tc>
        <w:tc>
          <w:tcPr>
            <w:tcW w:w="1181" w:type="dxa"/>
            <w:vMerge w:val="continue"/>
            <w:vAlign w:val="center"/>
          </w:tcPr>
          <w:p w14:paraId="7C5FC475">
            <w:pPr>
              <w:jc w:val="center"/>
              <w:rPr>
                <w:rFonts w:hint="eastAsia" w:ascii="宋体" w:hAnsi="宋体" w:eastAsia="宋体" w:cs="宋体"/>
                <w:sz w:val="24"/>
                <w:szCs w:val="24"/>
              </w:rPr>
            </w:pPr>
          </w:p>
        </w:tc>
        <w:tc>
          <w:tcPr>
            <w:tcW w:w="1300" w:type="dxa"/>
            <w:vMerge w:val="continue"/>
            <w:vAlign w:val="center"/>
          </w:tcPr>
          <w:p w14:paraId="0100C840">
            <w:pPr>
              <w:jc w:val="center"/>
              <w:rPr>
                <w:rFonts w:hint="eastAsia" w:ascii="宋体" w:hAnsi="宋体" w:eastAsia="宋体" w:cs="宋体"/>
                <w:bCs/>
                <w:sz w:val="24"/>
                <w:szCs w:val="24"/>
              </w:rPr>
            </w:pPr>
          </w:p>
        </w:tc>
        <w:tc>
          <w:tcPr>
            <w:tcW w:w="1932" w:type="dxa"/>
            <w:vMerge w:val="continue"/>
            <w:vAlign w:val="center"/>
          </w:tcPr>
          <w:p w14:paraId="160EE996">
            <w:pPr>
              <w:jc w:val="center"/>
              <w:rPr>
                <w:rFonts w:hint="eastAsia" w:ascii="宋体" w:hAnsi="宋体" w:eastAsia="宋体" w:cs="宋体"/>
                <w:bCs/>
                <w:sz w:val="24"/>
                <w:szCs w:val="24"/>
              </w:rPr>
            </w:pPr>
          </w:p>
        </w:tc>
        <w:tc>
          <w:tcPr>
            <w:tcW w:w="1932" w:type="dxa"/>
          </w:tcPr>
          <w:p w14:paraId="13B909D3">
            <w:pPr>
              <w:jc w:val="center"/>
              <w:rPr>
                <w:rFonts w:hint="eastAsia" w:ascii="宋体" w:hAnsi="宋体" w:eastAsia="宋体" w:cs="宋体"/>
                <w:bCs/>
                <w:sz w:val="24"/>
                <w:szCs w:val="24"/>
              </w:rPr>
            </w:pPr>
            <w:r>
              <w:rPr>
                <w:rFonts w:hint="eastAsia" w:ascii="宋体" w:hAnsi="宋体" w:eastAsia="宋体" w:cs="宋体"/>
                <w:color w:val="000000"/>
                <w:kern w:val="0"/>
                <w:sz w:val="24"/>
                <w:szCs w:val="24"/>
                <w:lang w:bidi="ar"/>
              </w:rPr>
              <w:t>自动线生产</w:t>
            </w:r>
          </w:p>
        </w:tc>
      </w:tr>
      <w:tr w14:paraId="005E9C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87" w:type="dxa"/>
            <w:vAlign w:val="center"/>
          </w:tcPr>
          <w:p w14:paraId="5DFC07C1">
            <w:pPr>
              <w:widowControl/>
              <w:jc w:val="center"/>
              <w:textAlignment w:val="center"/>
              <w:rPr>
                <w:rFonts w:hint="eastAsia" w:ascii="宋体" w:hAnsi="宋体" w:eastAsia="宋体" w:cs="宋体"/>
                <w:sz w:val="24"/>
                <w:szCs w:val="24"/>
              </w:rPr>
            </w:pPr>
            <w:r>
              <w:rPr>
                <w:rFonts w:hint="eastAsia" w:ascii="宋体" w:hAnsi="宋体" w:eastAsia="宋体" w:cs="宋体"/>
                <w:color w:val="000000"/>
                <w:kern w:val="0"/>
                <w:sz w:val="24"/>
                <w:szCs w:val="24"/>
                <w:lang w:bidi="ar"/>
              </w:rPr>
              <w:t>3</w:t>
            </w:r>
          </w:p>
        </w:tc>
        <w:tc>
          <w:tcPr>
            <w:tcW w:w="1462" w:type="dxa"/>
            <w:vAlign w:val="center"/>
          </w:tcPr>
          <w:p w14:paraId="28C24CAF">
            <w:pPr>
              <w:widowControl/>
              <w:jc w:val="center"/>
              <w:textAlignment w:val="center"/>
              <w:rPr>
                <w:rFonts w:hint="eastAsia" w:ascii="宋体" w:hAnsi="宋体" w:eastAsia="宋体" w:cs="宋体"/>
                <w:sz w:val="24"/>
                <w:szCs w:val="24"/>
              </w:rPr>
            </w:pPr>
            <w:r>
              <w:rPr>
                <w:rFonts w:hint="eastAsia" w:ascii="宋体" w:hAnsi="宋体" w:eastAsia="宋体" w:cs="宋体"/>
                <w:sz w:val="24"/>
                <w:szCs w:val="24"/>
              </w:rPr>
              <w:t>顶盖内板</w:t>
            </w:r>
          </w:p>
        </w:tc>
        <w:tc>
          <w:tcPr>
            <w:tcW w:w="1963" w:type="dxa"/>
            <w:vAlign w:val="center"/>
          </w:tcPr>
          <w:p w14:paraId="410499AF">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AZ160017000161</w:t>
            </w:r>
          </w:p>
        </w:tc>
        <w:tc>
          <w:tcPr>
            <w:tcW w:w="937" w:type="dxa"/>
            <w:vAlign w:val="center"/>
          </w:tcPr>
          <w:p w14:paraId="6888ACAF">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有天窗</w:t>
            </w:r>
          </w:p>
        </w:tc>
        <w:tc>
          <w:tcPr>
            <w:tcW w:w="1181" w:type="dxa"/>
            <w:vMerge w:val="restart"/>
            <w:vAlign w:val="center"/>
          </w:tcPr>
          <w:p w14:paraId="5E5594CE">
            <w:pPr>
              <w:jc w:val="center"/>
              <w:rPr>
                <w:rFonts w:hint="eastAsia" w:ascii="宋体" w:hAnsi="宋体" w:eastAsia="宋体" w:cs="宋体"/>
                <w:sz w:val="24"/>
                <w:szCs w:val="24"/>
              </w:rPr>
            </w:pPr>
            <w:r>
              <w:rPr>
                <w:rFonts w:hint="eastAsia" w:ascii="宋体" w:hAnsi="宋体" w:eastAsia="宋体" w:cs="宋体"/>
                <w:sz w:val="24"/>
                <w:szCs w:val="24"/>
              </w:rPr>
              <w:t>4</w:t>
            </w:r>
          </w:p>
        </w:tc>
        <w:tc>
          <w:tcPr>
            <w:tcW w:w="1300" w:type="dxa"/>
            <w:vMerge w:val="restart"/>
            <w:vAlign w:val="center"/>
          </w:tcPr>
          <w:p w14:paraId="143A9DDF">
            <w:pPr>
              <w:jc w:val="center"/>
              <w:rPr>
                <w:rFonts w:hint="eastAsia" w:ascii="宋体" w:hAnsi="宋体" w:eastAsia="宋体" w:cs="宋体"/>
                <w:bCs/>
                <w:sz w:val="24"/>
                <w:szCs w:val="24"/>
              </w:rPr>
            </w:pPr>
            <w:r>
              <w:rPr>
                <w:rFonts w:hint="eastAsia" w:ascii="宋体" w:hAnsi="宋体" w:eastAsia="宋体" w:cs="宋体"/>
                <w:sz w:val="24"/>
                <w:szCs w:val="24"/>
              </w:rPr>
              <w:t>1（主材为树脂）</w:t>
            </w:r>
          </w:p>
        </w:tc>
        <w:tc>
          <w:tcPr>
            <w:tcW w:w="1932" w:type="dxa"/>
            <w:vMerge w:val="restart"/>
            <w:vAlign w:val="center"/>
          </w:tcPr>
          <w:p w14:paraId="27C7313B">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 xml:space="preserve">通过切换镶块方 </w:t>
            </w:r>
          </w:p>
          <w:p w14:paraId="1FB86746">
            <w:pPr>
              <w:jc w:val="center"/>
              <w:rPr>
                <w:rFonts w:hint="eastAsia" w:ascii="宋体" w:hAnsi="宋体" w:eastAsia="宋体" w:cs="宋体"/>
                <w:bCs/>
                <w:sz w:val="24"/>
                <w:szCs w:val="24"/>
              </w:rPr>
            </w:pPr>
            <w:r>
              <w:rPr>
                <w:rFonts w:hint="eastAsia" w:ascii="宋体" w:hAnsi="宋体" w:eastAsia="宋体" w:cs="宋体"/>
                <w:color w:val="000000"/>
                <w:kern w:val="0"/>
                <w:sz w:val="24"/>
                <w:szCs w:val="24"/>
                <w:lang w:bidi="ar"/>
              </w:rPr>
              <w:t>式实现共模生产</w:t>
            </w:r>
          </w:p>
        </w:tc>
        <w:tc>
          <w:tcPr>
            <w:tcW w:w="1932" w:type="dxa"/>
          </w:tcPr>
          <w:p w14:paraId="5F5866BC">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自动线生产</w:t>
            </w:r>
          </w:p>
        </w:tc>
      </w:tr>
      <w:tr w14:paraId="3B84C1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87" w:type="dxa"/>
            <w:vAlign w:val="center"/>
          </w:tcPr>
          <w:p w14:paraId="48B26367">
            <w:pPr>
              <w:widowControl/>
              <w:jc w:val="center"/>
              <w:textAlignment w:val="center"/>
              <w:rPr>
                <w:rFonts w:hint="eastAsia" w:ascii="宋体" w:hAnsi="宋体" w:eastAsia="宋体" w:cs="宋体"/>
                <w:sz w:val="24"/>
                <w:szCs w:val="24"/>
              </w:rPr>
            </w:pPr>
            <w:r>
              <w:rPr>
                <w:rFonts w:hint="eastAsia" w:ascii="宋体" w:hAnsi="宋体" w:eastAsia="宋体" w:cs="宋体"/>
                <w:color w:val="000000"/>
                <w:kern w:val="0"/>
                <w:sz w:val="24"/>
                <w:szCs w:val="24"/>
                <w:lang w:bidi="ar"/>
              </w:rPr>
              <w:t>4</w:t>
            </w:r>
          </w:p>
        </w:tc>
        <w:tc>
          <w:tcPr>
            <w:tcW w:w="1462" w:type="dxa"/>
            <w:vAlign w:val="center"/>
          </w:tcPr>
          <w:p w14:paraId="7E9C34B7">
            <w:pPr>
              <w:widowControl/>
              <w:jc w:val="center"/>
              <w:textAlignment w:val="center"/>
              <w:rPr>
                <w:rFonts w:hint="eastAsia" w:ascii="宋体" w:hAnsi="宋体" w:eastAsia="宋体" w:cs="宋体"/>
                <w:sz w:val="24"/>
                <w:szCs w:val="24"/>
              </w:rPr>
            </w:pPr>
            <w:r>
              <w:rPr>
                <w:rFonts w:hint="eastAsia" w:ascii="宋体" w:hAnsi="宋体" w:eastAsia="宋体" w:cs="宋体"/>
                <w:sz w:val="24"/>
                <w:szCs w:val="24"/>
              </w:rPr>
              <w:t>顶盖内板</w:t>
            </w:r>
          </w:p>
        </w:tc>
        <w:tc>
          <w:tcPr>
            <w:tcW w:w="1963" w:type="dxa"/>
            <w:vAlign w:val="center"/>
          </w:tcPr>
          <w:p w14:paraId="499F57F3">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AZ160017000224</w:t>
            </w:r>
          </w:p>
        </w:tc>
        <w:tc>
          <w:tcPr>
            <w:tcW w:w="937" w:type="dxa"/>
            <w:vAlign w:val="center"/>
          </w:tcPr>
          <w:p w14:paraId="00FDEEB5">
            <w:pPr>
              <w:jc w:val="center"/>
              <w:rPr>
                <w:rFonts w:hint="eastAsia" w:ascii="宋体" w:hAnsi="宋体" w:eastAsia="宋体" w:cs="宋体"/>
                <w:sz w:val="24"/>
                <w:szCs w:val="24"/>
              </w:rPr>
            </w:pPr>
            <w:r>
              <w:rPr>
                <w:rFonts w:hint="eastAsia" w:ascii="宋体" w:hAnsi="宋体" w:eastAsia="宋体" w:cs="宋体"/>
                <w:color w:val="000000"/>
                <w:kern w:val="0"/>
                <w:sz w:val="24"/>
                <w:szCs w:val="24"/>
                <w:lang w:bidi="ar"/>
              </w:rPr>
              <w:t>无天窗</w:t>
            </w:r>
          </w:p>
        </w:tc>
        <w:tc>
          <w:tcPr>
            <w:tcW w:w="1181" w:type="dxa"/>
            <w:vMerge w:val="continue"/>
            <w:vAlign w:val="center"/>
          </w:tcPr>
          <w:p w14:paraId="28BB38AC">
            <w:pPr>
              <w:jc w:val="center"/>
              <w:rPr>
                <w:rFonts w:hint="eastAsia" w:ascii="宋体" w:hAnsi="宋体" w:eastAsia="宋体" w:cs="宋体"/>
                <w:sz w:val="24"/>
                <w:szCs w:val="24"/>
              </w:rPr>
            </w:pPr>
          </w:p>
        </w:tc>
        <w:tc>
          <w:tcPr>
            <w:tcW w:w="1300" w:type="dxa"/>
            <w:vMerge w:val="continue"/>
            <w:vAlign w:val="center"/>
          </w:tcPr>
          <w:p w14:paraId="3179EAB0">
            <w:pPr>
              <w:jc w:val="center"/>
              <w:rPr>
                <w:rFonts w:hint="eastAsia" w:ascii="宋体" w:hAnsi="宋体" w:eastAsia="宋体" w:cs="宋体"/>
                <w:bCs/>
                <w:sz w:val="24"/>
                <w:szCs w:val="24"/>
              </w:rPr>
            </w:pPr>
          </w:p>
        </w:tc>
        <w:tc>
          <w:tcPr>
            <w:tcW w:w="1932" w:type="dxa"/>
            <w:vMerge w:val="continue"/>
            <w:vAlign w:val="center"/>
          </w:tcPr>
          <w:p w14:paraId="2D2D3CDD">
            <w:pPr>
              <w:jc w:val="center"/>
              <w:rPr>
                <w:rFonts w:hint="eastAsia" w:ascii="宋体" w:hAnsi="宋体" w:eastAsia="宋体" w:cs="宋体"/>
                <w:bCs/>
                <w:sz w:val="24"/>
                <w:szCs w:val="24"/>
              </w:rPr>
            </w:pPr>
          </w:p>
        </w:tc>
        <w:tc>
          <w:tcPr>
            <w:tcW w:w="1932" w:type="dxa"/>
          </w:tcPr>
          <w:p w14:paraId="4A3CECC2">
            <w:pPr>
              <w:jc w:val="center"/>
              <w:rPr>
                <w:rFonts w:hint="eastAsia" w:ascii="宋体" w:hAnsi="宋体" w:eastAsia="宋体" w:cs="宋体"/>
                <w:bCs/>
                <w:sz w:val="24"/>
                <w:szCs w:val="24"/>
              </w:rPr>
            </w:pPr>
            <w:r>
              <w:rPr>
                <w:rFonts w:hint="eastAsia" w:ascii="宋体" w:hAnsi="宋体" w:eastAsia="宋体" w:cs="宋体"/>
                <w:color w:val="000000"/>
                <w:kern w:val="0"/>
                <w:sz w:val="24"/>
                <w:szCs w:val="24"/>
                <w:lang w:bidi="ar"/>
              </w:rPr>
              <w:t>自动线生产</w:t>
            </w:r>
          </w:p>
        </w:tc>
      </w:tr>
      <w:tr w14:paraId="2F3948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49" w:type="dxa"/>
            <w:gridSpan w:val="4"/>
            <w:vAlign w:val="center"/>
          </w:tcPr>
          <w:p w14:paraId="6EF06688">
            <w:pPr>
              <w:jc w:val="center"/>
              <w:rPr>
                <w:rFonts w:hint="eastAsia" w:ascii="宋体" w:hAnsi="宋体" w:eastAsia="宋体" w:cs="宋体"/>
                <w:sz w:val="24"/>
                <w:szCs w:val="24"/>
              </w:rPr>
            </w:pPr>
            <w:r>
              <w:rPr>
                <w:rFonts w:hint="eastAsia" w:ascii="宋体" w:hAnsi="宋体" w:eastAsia="宋体" w:cs="宋体"/>
                <w:color w:val="000000"/>
                <w:kern w:val="0"/>
                <w:sz w:val="24"/>
                <w:szCs w:val="24"/>
                <w:lang w:bidi="ar"/>
              </w:rPr>
              <w:t>合计</w:t>
            </w:r>
          </w:p>
        </w:tc>
        <w:tc>
          <w:tcPr>
            <w:tcW w:w="1181" w:type="dxa"/>
            <w:vAlign w:val="center"/>
          </w:tcPr>
          <w:p w14:paraId="179A6964">
            <w:pPr>
              <w:jc w:val="center"/>
              <w:rPr>
                <w:rFonts w:hint="eastAsia" w:ascii="宋体" w:hAnsi="宋体" w:eastAsia="宋体" w:cs="宋体"/>
                <w:sz w:val="24"/>
                <w:szCs w:val="24"/>
              </w:rPr>
            </w:pPr>
            <w:r>
              <w:rPr>
                <w:rFonts w:hint="eastAsia" w:ascii="宋体" w:hAnsi="宋体" w:eastAsia="宋体" w:cs="宋体"/>
                <w:color w:val="000000"/>
                <w:sz w:val="24"/>
                <w:szCs w:val="24"/>
              </w:rPr>
              <w:t>8</w:t>
            </w:r>
          </w:p>
        </w:tc>
        <w:tc>
          <w:tcPr>
            <w:tcW w:w="1300" w:type="dxa"/>
            <w:vAlign w:val="center"/>
          </w:tcPr>
          <w:p w14:paraId="19C9F015">
            <w:pPr>
              <w:jc w:val="center"/>
              <w:rPr>
                <w:rFonts w:hint="eastAsia" w:ascii="宋体" w:hAnsi="宋体" w:eastAsia="宋体" w:cs="宋体"/>
                <w:bCs/>
                <w:sz w:val="24"/>
                <w:szCs w:val="24"/>
              </w:rPr>
            </w:pPr>
            <w:r>
              <w:rPr>
                <w:rFonts w:hint="eastAsia" w:ascii="宋体" w:hAnsi="宋体" w:eastAsia="宋体" w:cs="宋体"/>
                <w:bCs/>
                <w:sz w:val="24"/>
                <w:szCs w:val="24"/>
              </w:rPr>
              <w:t>2</w:t>
            </w:r>
          </w:p>
        </w:tc>
        <w:tc>
          <w:tcPr>
            <w:tcW w:w="1932" w:type="dxa"/>
            <w:vAlign w:val="center"/>
          </w:tcPr>
          <w:p w14:paraId="730C056E">
            <w:pPr>
              <w:jc w:val="center"/>
              <w:rPr>
                <w:rFonts w:hint="eastAsia" w:ascii="宋体" w:hAnsi="宋体" w:eastAsia="宋体" w:cs="宋体"/>
                <w:bCs/>
                <w:sz w:val="24"/>
                <w:szCs w:val="24"/>
              </w:rPr>
            </w:pPr>
          </w:p>
        </w:tc>
        <w:tc>
          <w:tcPr>
            <w:tcW w:w="1932" w:type="dxa"/>
          </w:tcPr>
          <w:p w14:paraId="086A7440">
            <w:pPr>
              <w:jc w:val="center"/>
              <w:rPr>
                <w:rFonts w:hint="eastAsia" w:ascii="宋体" w:hAnsi="宋体" w:eastAsia="宋体" w:cs="宋体"/>
                <w:bCs/>
                <w:sz w:val="24"/>
                <w:szCs w:val="24"/>
              </w:rPr>
            </w:pPr>
          </w:p>
        </w:tc>
      </w:tr>
    </w:tbl>
    <w:p w14:paraId="69E665F0">
      <w:pPr>
        <w:ind w:firstLine="360" w:firstLineChars="150"/>
        <w:rPr>
          <w:rFonts w:hint="eastAsia" w:ascii="宋体" w:hAnsi="宋体" w:eastAsia="宋体" w:cs="宋体"/>
          <w:sz w:val="24"/>
        </w:rPr>
      </w:pPr>
      <w:r>
        <w:rPr>
          <w:rFonts w:hint="eastAsia" w:ascii="宋体" w:hAnsi="宋体" w:eastAsia="宋体" w:cs="宋体"/>
          <w:sz w:val="24"/>
          <w:highlight w:val="red"/>
        </w:rPr>
        <w:t>定标后三个半月提供首件，定标后七个月完成模具返厂。</w:t>
      </w:r>
      <w:r>
        <w:rPr>
          <w:rFonts w:ascii="宋体" w:hAnsi="宋体" w:eastAsia="宋体" w:cs="宋体"/>
          <w:sz w:val="24"/>
        </w:rPr>
        <w:t xml:space="preserve"> </w:t>
      </w:r>
    </w:p>
    <w:p w14:paraId="43AB5D81">
      <w:pPr>
        <w:ind w:firstLine="360" w:firstLineChars="150"/>
        <w:rPr>
          <w:rFonts w:hint="eastAsia" w:ascii="宋体" w:hAnsi="宋体" w:eastAsia="宋体" w:cs="宋体"/>
          <w:sz w:val="24"/>
        </w:rPr>
      </w:pPr>
      <w:r>
        <w:rPr>
          <w:rFonts w:hint="eastAsia" w:ascii="宋体" w:hAnsi="宋体" w:eastAsia="宋体" w:cs="宋体"/>
          <w:sz w:val="24"/>
        </w:rPr>
        <w:t>备注：</w:t>
      </w:r>
    </w:p>
    <w:p w14:paraId="202F0711">
      <w:pPr>
        <w:numPr>
          <w:ilvl w:val="0"/>
          <w:numId w:val="11"/>
        </w:numPr>
        <w:ind w:firstLine="360" w:firstLineChars="150"/>
        <w:rPr>
          <w:rFonts w:hint="eastAsia" w:ascii="宋体" w:hAnsi="宋体" w:eastAsia="宋体" w:cs="宋体"/>
          <w:sz w:val="24"/>
        </w:rPr>
      </w:pPr>
      <w:r>
        <w:rPr>
          <w:rFonts w:hint="eastAsia" w:ascii="宋体" w:hAnsi="宋体" w:eastAsia="宋体" w:cs="宋体"/>
          <w:sz w:val="24"/>
        </w:rPr>
        <w:t>投标方应根据招标方提出的交货时间和实际工作量提出可以执行的工作计划。工作计划应包括但不限于设计、制造、调试、验收、运输、和安装等各阶段时间表。工作计划和交货期将作</w:t>
      </w:r>
    </w:p>
    <w:p w14:paraId="472ECB8D">
      <w:pPr>
        <w:numPr>
          <w:ilvl w:val="0"/>
          <w:numId w:val="11"/>
        </w:numPr>
        <w:ind w:firstLine="360" w:firstLineChars="150"/>
        <w:rPr>
          <w:rFonts w:hint="eastAsia" w:ascii="宋体" w:hAnsi="宋体" w:eastAsia="宋体" w:cs="宋体"/>
          <w:sz w:val="24"/>
        </w:rPr>
      </w:pPr>
      <w:r>
        <w:rPr>
          <w:rFonts w:hint="eastAsia" w:ascii="宋体" w:hAnsi="宋体" w:eastAsia="宋体" w:cs="宋体"/>
          <w:sz w:val="24"/>
        </w:rPr>
        <w:t>本表所列采购货物仅为货物的主要构成部分，应配套供货以及招标方所列其它货物（或设备）和服务，对于属于整套设备运行所必须的部件，本招标文件未列出或列出数量不足，投标方、设备供应商须在投标时补足，请投标方认真阅读“供货范围”。若有异议，不管是多么微小，都应在投标文件“商务偏离”章节中予以详细说明。</w:t>
      </w:r>
    </w:p>
    <w:p w14:paraId="6943B8C9">
      <w:pPr>
        <w:numPr>
          <w:ilvl w:val="0"/>
          <w:numId w:val="11"/>
        </w:numPr>
        <w:ind w:firstLine="360" w:firstLineChars="150"/>
        <w:rPr>
          <w:rFonts w:hint="eastAsia" w:ascii="宋体" w:hAnsi="宋体" w:eastAsia="宋体" w:cs="宋体"/>
          <w:sz w:val="24"/>
        </w:rPr>
      </w:pPr>
      <w:r>
        <w:rPr>
          <w:rFonts w:hint="eastAsia" w:ascii="宋体" w:hAnsi="宋体" w:eastAsia="宋体" w:cs="宋体"/>
          <w:sz w:val="24"/>
        </w:rPr>
        <w:t>本表“供货方式”指：交钥匙方式——包括制造、运输、定点卸货、安装、调试和协助验收以及约定培训等。为评标的重要因素。</w:t>
      </w:r>
    </w:p>
    <w:p w14:paraId="6614EBAE">
      <w:pPr>
        <w:spacing w:line="360" w:lineRule="exact"/>
        <w:ind w:firstLine="465"/>
        <w:rPr>
          <w:rFonts w:hint="eastAsia" w:ascii="宋体" w:hAnsi="宋体" w:eastAsia="宋体" w:cs="宋体"/>
          <w:b/>
          <w:sz w:val="24"/>
        </w:rPr>
      </w:pPr>
      <w:r>
        <w:rPr>
          <w:rFonts w:hint="eastAsia" w:ascii="宋体" w:hAnsi="宋体" w:eastAsia="宋体" w:cs="宋体"/>
          <w:b/>
          <w:sz w:val="24"/>
        </w:rPr>
        <w:t>二、模具设计输入</w:t>
      </w:r>
    </w:p>
    <w:p w14:paraId="4BA26B4B">
      <w:pPr>
        <w:spacing w:line="360" w:lineRule="exact"/>
        <w:ind w:firstLine="465"/>
        <w:rPr>
          <w:rFonts w:hint="eastAsia" w:ascii="宋体" w:hAnsi="宋体" w:eastAsia="宋体" w:cs="宋体"/>
          <w:b/>
          <w:sz w:val="24"/>
        </w:rPr>
      </w:pPr>
      <w:r>
        <w:rPr>
          <w:rFonts w:hint="eastAsia" w:ascii="宋体" w:hAnsi="宋体" w:eastAsia="宋体" w:cs="宋体"/>
          <w:b/>
          <w:sz w:val="24"/>
        </w:rPr>
        <w:t>1生产条件</w:t>
      </w:r>
    </w:p>
    <w:p w14:paraId="30FB0A78">
      <w:pPr>
        <w:spacing w:line="360" w:lineRule="exact"/>
        <w:ind w:firstLine="465"/>
        <w:rPr>
          <w:rFonts w:hint="eastAsia" w:ascii="宋体" w:hAnsi="宋体" w:eastAsia="宋体" w:cs="宋体"/>
          <w:sz w:val="24"/>
        </w:rPr>
      </w:pPr>
      <w:r>
        <w:rPr>
          <w:rFonts w:hint="eastAsia" w:ascii="宋体" w:hAnsi="宋体" w:eastAsia="宋体" w:cs="宋体"/>
          <w:sz w:val="24"/>
        </w:rPr>
        <w:t>1.1工作环境：室内，温度：-10℃～40℃，相对湿度：≤90%；</w:t>
      </w:r>
    </w:p>
    <w:p w14:paraId="29CD587D">
      <w:pPr>
        <w:spacing w:line="360" w:lineRule="exact"/>
        <w:ind w:firstLine="465"/>
        <w:rPr>
          <w:rFonts w:hint="eastAsia" w:ascii="宋体" w:hAnsi="宋体" w:eastAsia="宋体" w:cs="宋体"/>
          <w:sz w:val="24"/>
        </w:rPr>
      </w:pPr>
      <w:r>
        <w:rPr>
          <w:rFonts w:hint="eastAsia" w:ascii="宋体" w:hAnsi="宋体" w:eastAsia="宋体" w:cs="宋体"/>
          <w:sz w:val="24"/>
        </w:rPr>
        <w:t>1.2生产节拍：自动线4-6件/分钟。</w:t>
      </w:r>
    </w:p>
    <w:p w14:paraId="45C88468">
      <w:pPr>
        <w:spacing w:line="360" w:lineRule="exact"/>
        <w:ind w:firstLine="465"/>
        <w:rPr>
          <w:rFonts w:hint="eastAsia" w:ascii="宋体" w:hAnsi="宋体" w:eastAsia="宋体" w:cs="宋体"/>
          <w:i/>
          <w:sz w:val="24"/>
        </w:rPr>
      </w:pPr>
      <w:r>
        <w:rPr>
          <w:rFonts w:hint="eastAsia" w:ascii="宋体" w:hAnsi="宋体" w:eastAsia="宋体" w:cs="宋体"/>
          <w:sz w:val="24"/>
        </w:rPr>
        <w:t>1.3使用寿命：70万次以上；</w:t>
      </w:r>
    </w:p>
    <w:p w14:paraId="388C712F">
      <w:pPr>
        <w:spacing w:line="360" w:lineRule="exact"/>
        <w:ind w:firstLine="465"/>
        <w:rPr>
          <w:rFonts w:hint="eastAsia" w:ascii="宋体" w:hAnsi="宋体" w:eastAsia="宋体" w:cs="宋体"/>
          <w:sz w:val="24"/>
        </w:rPr>
      </w:pPr>
      <w:r>
        <w:rPr>
          <w:rFonts w:hint="eastAsia" w:ascii="宋体" w:hAnsi="宋体" w:eastAsia="宋体" w:cs="宋体"/>
          <w:sz w:val="24"/>
        </w:rPr>
        <w:t>1.4操作方式：自动线模具要适用于自动化系统自动上下料要求；其他模具要求适用于手工操作。</w:t>
      </w:r>
    </w:p>
    <w:p w14:paraId="7EDEE506">
      <w:pPr>
        <w:spacing w:line="360" w:lineRule="exact"/>
        <w:ind w:firstLine="465"/>
        <w:rPr>
          <w:rFonts w:hint="eastAsia" w:ascii="宋体" w:hAnsi="宋体" w:eastAsia="宋体" w:cs="宋体"/>
          <w:sz w:val="24"/>
        </w:rPr>
      </w:pPr>
      <w:r>
        <w:rPr>
          <w:rFonts w:hint="eastAsia" w:ascii="宋体" w:hAnsi="宋体" w:eastAsia="宋体" w:cs="宋体"/>
          <w:sz w:val="24"/>
        </w:rPr>
        <w:t>1.5生产车间起吊方式：桥式起重机。</w:t>
      </w:r>
    </w:p>
    <w:p w14:paraId="480505EC">
      <w:pPr>
        <w:spacing w:line="360" w:lineRule="exact"/>
        <w:ind w:firstLine="465"/>
        <w:rPr>
          <w:rFonts w:hint="eastAsia" w:ascii="宋体" w:hAnsi="宋体" w:eastAsia="宋体" w:cs="宋体"/>
          <w:sz w:val="24"/>
        </w:rPr>
      </w:pPr>
      <w:r>
        <w:rPr>
          <w:rFonts w:hint="eastAsia" w:ascii="宋体" w:hAnsi="宋体" w:eastAsia="宋体" w:cs="宋体"/>
          <w:sz w:val="24"/>
        </w:rPr>
        <w:t>1.6生产设备：招标方指定的冲压设备，所有模具适用于现自动化冲压生产线及新建自动化冲压生产线。</w:t>
      </w:r>
    </w:p>
    <w:p w14:paraId="03C11A8F">
      <w:pPr>
        <w:spacing w:line="360" w:lineRule="exact"/>
        <w:ind w:firstLine="465"/>
        <w:rPr>
          <w:rFonts w:hint="eastAsia" w:ascii="仿宋_GB2312" w:hAnsi="宋体" w:eastAsia="仿宋_GB2312"/>
          <w:b/>
          <w:sz w:val="24"/>
        </w:rPr>
      </w:pPr>
      <w:r>
        <w:rPr>
          <w:rFonts w:ascii="仿宋_GB2312" w:hAnsi="宋体" w:eastAsia="仿宋_GB2312"/>
          <w:b/>
          <w:sz w:val="24"/>
        </w:rPr>
        <w:t xml:space="preserve">2 </w:t>
      </w:r>
      <w:r>
        <w:rPr>
          <w:rFonts w:hint="eastAsia" w:ascii="仿宋_GB2312" w:hAnsi="宋体" w:eastAsia="仿宋_GB2312"/>
          <w:b/>
          <w:sz w:val="24"/>
        </w:rPr>
        <w:t>产品数据及要求</w:t>
      </w:r>
    </w:p>
    <w:p w14:paraId="2224A20A">
      <w:pPr>
        <w:spacing w:line="360" w:lineRule="exact"/>
        <w:ind w:firstLine="420" w:firstLineChars="175"/>
        <w:rPr>
          <w:rFonts w:hint="eastAsia" w:ascii="宋体" w:hAnsi="宋体" w:eastAsia="宋体" w:cs="宋体"/>
          <w:sz w:val="24"/>
        </w:rPr>
      </w:pPr>
      <w:r>
        <w:rPr>
          <w:rFonts w:hint="eastAsia" w:ascii="宋体" w:hAnsi="宋体" w:eastAsia="宋体" w:cs="宋体"/>
          <w:sz w:val="24"/>
        </w:rPr>
        <w:t>2.1 产品数模；</w:t>
      </w:r>
    </w:p>
    <w:p w14:paraId="7269150C">
      <w:pPr>
        <w:spacing w:line="360" w:lineRule="exact"/>
        <w:ind w:firstLine="420" w:firstLineChars="175"/>
        <w:rPr>
          <w:rFonts w:hint="eastAsia" w:ascii="宋体" w:hAnsi="宋体" w:eastAsia="宋体" w:cs="宋体"/>
          <w:sz w:val="24"/>
        </w:rPr>
      </w:pPr>
      <w:r>
        <w:rPr>
          <w:rFonts w:hint="eastAsia" w:ascii="宋体" w:hAnsi="宋体" w:eastAsia="宋体" w:cs="宋体"/>
          <w:sz w:val="24"/>
        </w:rPr>
        <w:t>2.2 冲压件零件质量判定标准(见</w:t>
      </w:r>
      <w:r>
        <w:rPr>
          <w:rFonts w:hint="eastAsia" w:ascii="宋体" w:hAnsi="宋体" w:eastAsia="宋体" w:cs="宋体"/>
          <w:sz w:val="24"/>
          <w:lang w:val="en-US" w:eastAsia="zh-CN"/>
        </w:rPr>
        <w:t>技术协议</w:t>
      </w:r>
      <w:r>
        <w:rPr>
          <w:rFonts w:hint="eastAsia" w:ascii="宋体" w:hAnsi="宋体" w:eastAsia="宋体" w:cs="宋体"/>
          <w:sz w:val="24"/>
        </w:rPr>
        <w:t>附件2)</w:t>
      </w:r>
    </w:p>
    <w:p w14:paraId="44596F23">
      <w:pPr>
        <w:spacing w:line="360" w:lineRule="exact"/>
        <w:ind w:firstLine="420" w:firstLineChars="175"/>
        <w:rPr>
          <w:rFonts w:hint="eastAsia" w:ascii="仿宋_GB2312" w:hAnsi="宋体" w:eastAsia="仿宋_GB2312"/>
          <w:sz w:val="24"/>
        </w:rPr>
      </w:pPr>
    </w:p>
    <w:p w14:paraId="36095C45">
      <w:pPr>
        <w:pStyle w:val="5"/>
        <w:widowControl/>
        <w:spacing w:before="120" w:after="120"/>
        <w:jc w:val="center"/>
        <w:rPr>
          <w:rFonts w:hint="eastAsia" w:asciiTheme="minorEastAsia" w:hAnsiTheme="minorEastAsia" w:eastAsiaTheme="minorEastAsia"/>
        </w:rPr>
      </w:pPr>
      <w:r>
        <w:rPr>
          <w:rFonts w:hint="eastAsia" w:ascii="Times New Roman" w:hAnsi="Times New Roman" w:eastAsia="黑体"/>
          <w:szCs w:val="24"/>
        </w:rPr>
        <w:t>第二章、供货范围及供货方式</w:t>
      </w:r>
      <w:r>
        <w:rPr>
          <w:rFonts w:asciiTheme="minorEastAsia" w:hAnsiTheme="minorEastAsia" w:eastAsiaTheme="minorEastAsia"/>
        </w:rPr>
        <w:t xml:space="preserve"> </w:t>
      </w:r>
      <w:r>
        <w:rPr>
          <w:rFonts w:asciiTheme="minorEastAsia" w:hAnsiTheme="minorEastAsia" w:eastAsiaTheme="minorEastAsia"/>
        </w:rPr>
        <w:tab/>
      </w:r>
    </w:p>
    <w:p w14:paraId="202592A4">
      <w:pPr>
        <w:spacing w:line="360" w:lineRule="exact"/>
        <w:outlineLvl w:val="2"/>
        <w:rPr>
          <w:rFonts w:hint="eastAsia" w:ascii="宋体" w:hAnsi="宋体" w:eastAsia="宋体" w:cs="宋体"/>
          <w:b/>
          <w:sz w:val="28"/>
          <w:szCs w:val="28"/>
        </w:rPr>
      </w:pPr>
      <w:r>
        <w:rPr>
          <w:rFonts w:hint="eastAsia" w:ascii="宋体" w:hAnsi="宋体" w:eastAsia="宋体" w:cs="宋体"/>
          <w:b/>
          <w:sz w:val="28"/>
          <w:szCs w:val="28"/>
        </w:rPr>
        <w:t>（一）模具：</w:t>
      </w:r>
    </w:p>
    <w:p w14:paraId="5C7773AB">
      <w:pPr>
        <w:spacing w:line="360" w:lineRule="exact"/>
        <w:ind w:firstLine="479" w:firstLineChars="199"/>
        <w:rPr>
          <w:rFonts w:hint="eastAsia" w:ascii="宋体" w:hAnsi="宋体" w:eastAsia="宋体" w:cs="宋体"/>
          <w:b/>
          <w:sz w:val="24"/>
          <w:szCs w:val="24"/>
        </w:rPr>
      </w:pPr>
      <w:r>
        <w:rPr>
          <w:rFonts w:hint="eastAsia" w:ascii="宋体" w:hAnsi="宋体" w:eastAsia="宋体" w:cs="宋体"/>
          <w:b/>
          <w:sz w:val="24"/>
          <w:szCs w:val="24"/>
        </w:rPr>
        <w:t>1、供货内容</w:t>
      </w:r>
    </w:p>
    <w:p w14:paraId="6D9D5C02">
      <w:pPr>
        <w:spacing w:line="360" w:lineRule="exact"/>
        <w:ind w:firstLine="465"/>
        <w:rPr>
          <w:rFonts w:hint="eastAsia" w:ascii="宋体" w:hAnsi="宋体" w:eastAsia="宋体" w:cs="宋体"/>
          <w:sz w:val="24"/>
        </w:rPr>
      </w:pPr>
      <w:r>
        <w:rPr>
          <w:rFonts w:hint="eastAsia" w:ascii="宋体" w:hAnsi="宋体" w:eastAsia="宋体" w:cs="宋体"/>
          <w:sz w:val="24"/>
        </w:rPr>
        <w:t>1.1招标方负责提供产品开发零件清单及零件数模，投标方按《</w:t>
      </w:r>
      <w:r>
        <w:rPr>
          <w:rFonts w:hint="eastAsia" w:ascii="宋体" w:hAnsi="宋体" w:eastAsia="宋体" w:cs="宋体"/>
          <w:sz w:val="24"/>
          <w:lang w:val="en-US" w:eastAsia="zh-CN"/>
        </w:rPr>
        <w:t>技术协议</w:t>
      </w:r>
      <w:r>
        <w:rPr>
          <w:rFonts w:hint="eastAsia" w:ascii="宋体" w:hAnsi="宋体" w:eastAsia="宋体" w:cs="宋体"/>
          <w:sz w:val="24"/>
        </w:rPr>
        <w:t>附件（1）：新产品模检具开发清单》要求开发相应模具和检具。</w:t>
      </w:r>
    </w:p>
    <w:p w14:paraId="48DFA05A">
      <w:pPr>
        <w:spacing w:line="360" w:lineRule="exact"/>
        <w:ind w:firstLine="465"/>
        <w:rPr>
          <w:rFonts w:hint="eastAsia" w:ascii="宋体" w:hAnsi="宋体" w:eastAsia="宋体" w:cs="宋体"/>
          <w:sz w:val="24"/>
        </w:rPr>
      </w:pPr>
      <w:r>
        <w:rPr>
          <w:rFonts w:hint="eastAsia" w:ascii="宋体" w:hAnsi="宋体" w:eastAsia="宋体" w:cs="宋体"/>
          <w:sz w:val="24"/>
        </w:rPr>
        <w:t xml:space="preserve">1.2投标方进行CAE 同步分析、工艺设计、模具设计、模具制作、模具调整、模具发运、现场调试及售后服务等。 </w:t>
      </w:r>
    </w:p>
    <w:p w14:paraId="46177EA0">
      <w:pPr>
        <w:spacing w:line="360" w:lineRule="exact"/>
        <w:rPr>
          <w:rFonts w:hint="eastAsia" w:ascii="宋体" w:hAnsi="宋体" w:eastAsia="宋体" w:cs="宋体"/>
          <w:sz w:val="24"/>
        </w:rPr>
      </w:pPr>
      <w:r>
        <w:rPr>
          <w:rFonts w:hint="eastAsia" w:ascii="宋体" w:hAnsi="宋体" w:eastAsia="宋体" w:cs="宋体"/>
          <w:sz w:val="24"/>
        </w:rPr>
        <w:t xml:space="preserve">    1.3投标方向招标方提供合格的 CAE 分析报告及分析源文件、DL 图、2D及3D模具、结构图、模具参数表、模具安装图及其他电子版等相关技术文件。</w:t>
      </w:r>
    </w:p>
    <w:p w14:paraId="0E61A97A">
      <w:pPr>
        <w:spacing w:line="360" w:lineRule="exact"/>
        <w:rPr>
          <w:rFonts w:hint="eastAsia" w:ascii="宋体" w:hAnsi="宋体" w:eastAsia="宋体" w:cs="宋体"/>
          <w:sz w:val="24"/>
        </w:rPr>
      </w:pPr>
      <w:r>
        <w:rPr>
          <w:rFonts w:hint="eastAsia" w:ascii="宋体" w:hAnsi="宋体" w:eastAsia="宋体" w:cs="宋体"/>
          <w:sz w:val="24"/>
        </w:rPr>
        <w:t xml:space="preserve">    1.4投标方向招标方提供该项目所选用的标准件清单及备件清单（电子文档书面文档各一份）。</w:t>
      </w:r>
    </w:p>
    <w:p w14:paraId="53AF6FA2">
      <w:pPr>
        <w:spacing w:line="360" w:lineRule="exact"/>
        <w:rPr>
          <w:rFonts w:hint="eastAsia" w:ascii="宋体" w:hAnsi="宋体" w:eastAsia="宋体" w:cs="宋体"/>
          <w:sz w:val="24"/>
        </w:rPr>
      </w:pPr>
      <w:r>
        <w:rPr>
          <w:rFonts w:hint="eastAsia" w:ascii="宋体" w:hAnsi="宋体" w:eastAsia="宋体" w:cs="宋体"/>
          <w:sz w:val="24"/>
        </w:rPr>
        <w:t xml:space="preserve">    1.5投标方向招标方提供该项目模具自检报告、调试记录、模具出厂合格证各一份。</w:t>
      </w:r>
    </w:p>
    <w:p w14:paraId="0C5A6A2E">
      <w:pPr>
        <w:spacing w:line="360" w:lineRule="exact"/>
        <w:ind w:firstLine="480"/>
        <w:rPr>
          <w:rFonts w:hint="eastAsia" w:ascii="宋体" w:hAnsi="宋体" w:eastAsia="宋体" w:cs="宋体"/>
          <w:sz w:val="24"/>
          <w:highlight w:val="red"/>
        </w:rPr>
      </w:pPr>
      <w:r>
        <w:rPr>
          <w:rFonts w:hint="eastAsia" w:ascii="宋体" w:hAnsi="宋体" w:eastAsia="宋体" w:cs="宋体"/>
          <w:sz w:val="24"/>
          <w:highlight w:val="red"/>
        </w:rPr>
        <w:t>1.6投标方提供零件样件为顶盖外板共150辆份、顶盖内板共150辆份（车型根据甲方需求提供），半工装件10辆份，全工装件20辆份，预验收</w:t>
      </w:r>
      <w:r>
        <w:rPr>
          <w:rFonts w:ascii="宋体" w:hAnsi="宋体" w:eastAsia="宋体" w:cs="宋体"/>
          <w:sz w:val="24"/>
          <w:highlight w:val="red"/>
        </w:rPr>
        <w:t>1</w:t>
      </w:r>
      <w:r>
        <w:rPr>
          <w:rFonts w:hint="eastAsia" w:ascii="宋体" w:hAnsi="宋体" w:eastAsia="宋体" w:cs="宋体"/>
          <w:sz w:val="24"/>
          <w:highlight w:val="red"/>
        </w:rPr>
        <w:t>0辆份，剩余</w:t>
      </w:r>
      <w:r>
        <w:rPr>
          <w:rFonts w:ascii="宋体" w:hAnsi="宋体" w:eastAsia="宋体" w:cs="宋体"/>
          <w:sz w:val="24"/>
          <w:highlight w:val="red"/>
        </w:rPr>
        <w:t>11</w:t>
      </w:r>
      <w:r>
        <w:rPr>
          <w:rFonts w:hint="eastAsia" w:ascii="宋体" w:hAnsi="宋体" w:eastAsia="宋体" w:cs="宋体"/>
          <w:sz w:val="24"/>
          <w:highlight w:val="red"/>
        </w:rPr>
        <w:t>0辆份随模具发运；板料购买厂家指定为宝钢；提供时间根据项目进度，各批次的冲压件均附冲压件零件精度检测报告。</w:t>
      </w:r>
    </w:p>
    <w:p w14:paraId="03A80F67">
      <w:pPr>
        <w:spacing w:line="360" w:lineRule="exact"/>
        <w:ind w:firstLine="480" w:firstLineChars="200"/>
        <w:rPr>
          <w:rFonts w:hint="eastAsia" w:ascii="宋体" w:hAnsi="宋体" w:eastAsia="宋体" w:cs="宋体"/>
          <w:sz w:val="24"/>
        </w:rPr>
      </w:pPr>
      <w:r>
        <w:rPr>
          <w:rFonts w:hint="eastAsia" w:ascii="宋体" w:hAnsi="宋体" w:eastAsia="宋体" w:cs="宋体"/>
          <w:sz w:val="24"/>
        </w:rPr>
        <w:t>1.7在模具发运前的各个阶段提交以下资料，提交时间按下表所示。格式由招标方指定，没有规定格式的由投标方准备并通过招标方确认。</w:t>
      </w:r>
    </w:p>
    <w:tbl>
      <w:tblPr>
        <w:tblStyle w:val="41"/>
        <w:tblW w:w="9365"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1"/>
        <w:gridCol w:w="2670"/>
        <w:gridCol w:w="1674"/>
        <w:gridCol w:w="2040"/>
        <w:gridCol w:w="2260"/>
      </w:tblGrid>
      <w:tr w14:paraId="2260CF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6B66B774">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序号</w:t>
            </w:r>
          </w:p>
        </w:tc>
        <w:tc>
          <w:tcPr>
            <w:tcW w:w="2670" w:type="dxa"/>
            <w:vAlign w:val="center"/>
          </w:tcPr>
          <w:p w14:paraId="5E98DAF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资料</w:t>
            </w:r>
          </w:p>
        </w:tc>
        <w:tc>
          <w:tcPr>
            <w:tcW w:w="1674" w:type="dxa"/>
            <w:vAlign w:val="center"/>
          </w:tcPr>
          <w:p w14:paraId="29144EDB">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固定格式</w:t>
            </w:r>
          </w:p>
        </w:tc>
        <w:tc>
          <w:tcPr>
            <w:tcW w:w="2040" w:type="dxa"/>
            <w:vAlign w:val="center"/>
          </w:tcPr>
          <w:p w14:paraId="0B21F257">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提交时间</w:t>
            </w:r>
          </w:p>
        </w:tc>
        <w:tc>
          <w:tcPr>
            <w:tcW w:w="2260" w:type="dxa"/>
            <w:vAlign w:val="center"/>
          </w:tcPr>
          <w:p w14:paraId="305AB1B9">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备注</w:t>
            </w:r>
          </w:p>
        </w:tc>
      </w:tr>
      <w:tr w14:paraId="5BB9E8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7715F9D5">
            <w:pPr>
              <w:spacing w:line="360" w:lineRule="exact"/>
              <w:jc w:val="center"/>
              <w:rPr>
                <w:rFonts w:hint="eastAsia" w:ascii="宋体" w:hAnsi="宋体" w:eastAsia="宋体" w:cs="宋体"/>
                <w:b/>
                <w:sz w:val="24"/>
                <w:szCs w:val="24"/>
              </w:rPr>
            </w:pPr>
            <w:r>
              <w:rPr>
                <w:rFonts w:hint="eastAsia" w:ascii="宋体" w:hAnsi="宋体" w:eastAsia="宋体" w:cs="宋体"/>
                <w:bCs/>
                <w:sz w:val="24"/>
                <w:szCs w:val="24"/>
              </w:rPr>
              <w:t>1</w:t>
            </w:r>
          </w:p>
        </w:tc>
        <w:tc>
          <w:tcPr>
            <w:tcW w:w="2670" w:type="dxa"/>
            <w:vAlign w:val="center"/>
          </w:tcPr>
          <w:p w14:paraId="211E63CE">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CAE分析报告</w:t>
            </w:r>
          </w:p>
        </w:tc>
        <w:tc>
          <w:tcPr>
            <w:tcW w:w="1674" w:type="dxa"/>
            <w:vAlign w:val="center"/>
          </w:tcPr>
          <w:p w14:paraId="25E7A064">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4200EBE7">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模具设计前</w:t>
            </w:r>
          </w:p>
        </w:tc>
        <w:tc>
          <w:tcPr>
            <w:tcW w:w="2260" w:type="dxa"/>
            <w:vAlign w:val="center"/>
          </w:tcPr>
          <w:p w14:paraId="3866D303">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0095E3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061DB6AA">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2</w:t>
            </w:r>
          </w:p>
        </w:tc>
        <w:tc>
          <w:tcPr>
            <w:tcW w:w="2670" w:type="dxa"/>
            <w:vAlign w:val="center"/>
          </w:tcPr>
          <w:p w14:paraId="3CF55340">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模具DL图（3D）</w:t>
            </w:r>
          </w:p>
        </w:tc>
        <w:tc>
          <w:tcPr>
            <w:tcW w:w="1674" w:type="dxa"/>
            <w:vAlign w:val="center"/>
          </w:tcPr>
          <w:p w14:paraId="2A87A0A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302A2D49">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模具设计前</w:t>
            </w:r>
          </w:p>
        </w:tc>
        <w:tc>
          <w:tcPr>
            <w:tcW w:w="2260" w:type="dxa"/>
            <w:vAlign w:val="center"/>
          </w:tcPr>
          <w:p w14:paraId="5D181977">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17249A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1138A28B">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3</w:t>
            </w:r>
          </w:p>
        </w:tc>
        <w:tc>
          <w:tcPr>
            <w:tcW w:w="2670" w:type="dxa"/>
            <w:vAlign w:val="center"/>
          </w:tcPr>
          <w:p w14:paraId="44C071A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模具图检查表（DR及后工序）</w:t>
            </w:r>
          </w:p>
        </w:tc>
        <w:tc>
          <w:tcPr>
            <w:tcW w:w="1674" w:type="dxa"/>
            <w:vAlign w:val="center"/>
          </w:tcPr>
          <w:p w14:paraId="25D42F9A">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5832FDB6">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模具图纸会签前</w:t>
            </w:r>
          </w:p>
        </w:tc>
        <w:tc>
          <w:tcPr>
            <w:tcW w:w="2260" w:type="dxa"/>
            <w:vAlign w:val="center"/>
          </w:tcPr>
          <w:p w14:paraId="373C15FF">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19A9F7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723B6F36">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4</w:t>
            </w:r>
          </w:p>
        </w:tc>
        <w:tc>
          <w:tcPr>
            <w:tcW w:w="2670" w:type="dxa"/>
            <w:vAlign w:val="center"/>
          </w:tcPr>
          <w:p w14:paraId="6D2653AA">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材料利用率报告书</w:t>
            </w:r>
          </w:p>
        </w:tc>
        <w:tc>
          <w:tcPr>
            <w:tcW w:w="1674" w:type="dxa"/>
            <w:vAlign w:val="center"/>
          </w:tcPr>
          <w:p w14:paraId="7264941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1791655C">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模具图设计前</w:t>
            </w:r>
          </w:p>
        </w:tc>
        <w:tc>
          <w:tcPr>
            <w:tcW w:w="2260" w:type="dxa"/>
            <w:vAlign w:val="center"/>
          </w:tcPr>
          <w:p w14:paraId="3FEA46C6">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6BEA97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2880B829">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5</w:t>
            </w:r>
          </w:p>
        </w:tc>
        <w:tc>
          <w:tcPr>
            <w:tcW w:w="2670" w:type="dxa"/>
            <w:vAlign w:val="center"/>
          </w:tcPr>
          <w:p w14:paraId="6D25D469">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铸件的原始证明与金相分析报告</w:t>
            </w:r>
          </w:p>
        </w:tc>
        <w:tc>
          <w:tcPr>
            <w:tcW w:w="1674" w:type="dxa"/>
            <w:vAlign w:val="center"/>
          </w:tcPr>
          <w:p w14:paraId="5F529FFA">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7FD01FF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模具预验收前</w:t>
            </w:r>
          </w:p>
        </w:tc>
        <w:tc>
          <w:tcPr>
            <w:tcW w:w="2260" w:type="dxa"/>
            <w:vAlign w:val="center"/>
          </w:tcPr>
          <w:p w14:paraId="6E6676DB">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6A7F5F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21CDC6F9">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6</w:t>
            </w:r>
          </w:p>
        </w:tc>
        <w:tc>
          <w:tcPr>
            <w:tcW w:w="2670" w:type="dxa"/>
            <w:vAlign w:val="center"/>
          </w:tcPr>
          <w:p w14:paraId="6E5706E9">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静态检查表</w:t>
            </w:r>
          </w:p>
        </w:tc>
        <w:tc>
          <w:tcPr>
            <w:tcW w:w="1674" w:type="dxa"/>
            <w:vAlign w:val="center"/>
          </w:tcPr>
          <w:p w14:paraId="1BB10B4A">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 xml:space="preserve">无 </w:t>
            </w:r>
          </w:p>
        </w:tc>
        <w:tc>
          <w:tcPr>
            <w:tcW w:w="2040" w:type="dxa"/>
            <w:vAlign w:val="center"/>
          </w:tcPr>
          <w:p w14:paraId="720AC60F">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模具预验收前</w:t>
            </w:r>
          </w:p>
        </w:tc>
        <w:tc>
          <w:tcPr>
            <w:tcW w:w="2260" w:type="dxa"/>
            <w:vAlign w:val="center"/>
          </w:tcPr>
          <w:p w14:paraId="225D25C9">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2BE708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336F0138">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7</w:t>
            </w:r>
          </w:p>
        </w:tc>
        <w:tc>
          <w:tcPr>
            <w:tcW w:w="2670" w:type="dxa"/>
            <w:vAlign w:val="center"/>
          </w:tcPr>
          <w:p w14:paraId="448E865A">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硬度测定表</w:t>
            </w:r>
          </w:p>
        </w:tc>
        <w:tc>
          <w:tcPr>
            <w:tcW w:w="1674" w:type="dxa"/>
            <w:vAlign w:val="center"/>
          </w:tcPr>
          <w:p w14:paraId="2AC50FB3">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64F81A2B">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模具预验收前</w:t>
            </w:r>
          </w:p>
        </w:tc>
        <w:tc>
          <w:tcPr>
            <w:tcW w:w="2260" w:type="dxa"/>
            <w:vAlign w:val="center"/>
          </w:tcPr>
          <w:p w14:paraId="1D10E327">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0393E6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593D7B86">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8</w:t>
            </w:r>
          </w:p>
        </w:tc>
        <w:tc>
          <w:tcPr>
            <w:tcW w:w="2670" w:type="dxa"/>
            <w:vAlign w:val="center"/>
          </w:tcPr>
          <w:p w14:paraId="26B8B4E6">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动态检查表</w:t>
            </w:r>
          </w:p>
        </w:tc>
        <w:tc>
          <w:tcPr>
            <w:tcW w:w="1674" w:type="dxa"/>
            <w:vAlign w:val="center"/>
          </w:tcPr>
          <w:p w14:paraId="1700A0A4">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0E1F7931">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模具预验收前</w:t>
            </w:r>
          </w:p>
        </w:tc>
        <w:tc>
          <w:tcPr>
            <w:tcW w:w="2260" w:type="dxa"/>
            <w:vAlign w:val="center"/>
          </w:tcPr>
          <w:p w14:paraId="6878F675">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5C6D9F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5BFAFFF1">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9</w:t>
            </w:r>
          </w:p>
        </w:tc>
        <w:tc>
          <w:tcPr>
            <w:tcW w:w="2670" w:type="dxa"/>
            <w:vAlign w:val="center"/>
          </w:tcPr>
          <w:p w14:paraId="4739AA6D">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冲压制件检查基准书</w:t>
            </w:r>
          </w:p>
        </w:tc>
        <w:tc>
          <w:tcPr>
            <w:tcW w:w="1674" w:type="dxa"/>
            <w:vAlign w:val="center"/>
          </w:tcPr>
          <w:p w14:paraId="0A4BE454">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1C831DFE">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模具预验收前</w:t>
            </w:r>
          </w:p>
        </w:tc>
        <w:tc>
          <w:tcPr>
            <w:tcW w:w="2260" w:type="dxa"/>
            <w:vAlign w:val="center"/>
          </w:tcPr>
          <w:p w14:paraId="6D226AF1">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758334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748541A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10</w:t>
            </w:r>
          </w:p>
        </w:tc>
        <w:tc>
          <w:tcPr>
            <w:tcW w:w="2670" w:type="dxa"/>
            <w:vAlign w:val="center"/>
          </w:tcPr>
          <w:p w14:paraId="3733DCF0">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零件精度检查表</w:t>
            </w:r>
          </w:p>
        </w:tc>
        <w:tc>
          <w:tcPr>
            <w:tcW w:w="1674" w:type="dxa"/>
            <w:vAlign w:val="center"/>
          </w:tcPr>
          <w:p w14:paraId="5BAFAB0B">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7D41A640">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各阶段样品出货时</w:t>
            </w:r>
          </w:p>
        </w:tc>
        <w:tc>
          <w:tcPr>
            <w:tcW w:w="2260" w:type="dxa"/>
            <w:vAlign w:val="center"/>
          </w:tcPr>
          <w:p w14:paraId="5A93DC9C">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1BBBD7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457469B9">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11</w:t>
            </w:r>
          </w:p>
        </w:tc>
        <w:tc>
          <w:tcPr>
            <w:tcW w:w="2670" w:type="dxa"/>
            <w:vAlign w:val="center"/>
          </w:tcPr>
          <w:p w14:paraId="1E08C8D5">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试模报告书</w:t>
            </w:r>
          </w:p>
        </w:tc>
        <w:tc>
          <w:tcPr>
            <w:tcW w:w="1674" w:type="dxa"/>
            <w:vAlign w:val="center"/>
          </w:tcPr>
          <w:p w14:paraId="520D5910">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651E91CD">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模具预验收前</w:t>
            </w:r>
          </w:p>
        </w:tc>
        <w:tc>
          <w:tcPr>
            <w:tcW w:w="2260" w:type="dxa"/>
            <w:vAlign w:val="center"/>
          </w:tcPr>
          <w:p w14:paraId="60CC6141">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1CF80D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1039B329">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12</w:t>
            </w:r>
          </w:p>
        </w:tc>
        <w:tc>
          <w:tcPr>
            <w:tcW w:w="2670" w:type="dxa"/>
            <w:vAlign w:val="center"/>
          </w:tcPr>
          <w:p w14:paraId="109AE405">
            <w:pPr>
              <w:spacing w:line="360" w:lineRule="exact"/>
              <w:jc w:val="center"/>
              <w:rPr>
                <w:rFonts w:hint="eastAsia" w:ascii="宋体" w:hAnsi="宋体" w:eastAsia="宋体" w:cs="宋体"/>
                <w:sz w:val="24"/>
              </w:rPr>
            </w:pPr>
            <w:r>
              <w:rPr>
                <w:rFonts w:hint="eastAsia" w:ascii="宋体" w:hAnsi="宋体" w:eastAsia="宋体" w:cs="宋体"/>
                <w:sz w:val="24"/>
              </w:rPr>
              <w:t>冲压工艺数模</w:t>
            </w:r>
          </w:p>
        </w:tc>
        <w:tc>
          <w:tcPr>
            <w:tcW w:w="1674" w:type="dxa"/>
            <w:vAlign w:val="center"/>
          </w:tcPr>
          <w:p w14:paraId="212A492B">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6E45B6AF">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模具预验收前</w:t>
            </w:r>
          </w:p>
        </w:tc>
        <w:tc>
          <w:tcPr>
            <w:tcW w:w="2260" w:type="dxa"/>
            <w:vAlign w:val="center"/>
          </w:tcPr>
          <w:p w14:paraId="037E3D08">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CATIA V5R19格式</w:t>
            </w:r>
          </w:p>
        </w:tc>
      </w:tr>
      <w:tr w14:paraId="2F7D74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732277E4">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13</w:t>
            </w:r>
          </w:p>
        </w:tc>
        <w:tc>
          <w:tcPr>
            <w:tcW w:w="2670" w:type="dxa"/>
            <w:vAlign w:val="center"/>
          </w:tcPr>
          <w:p w14:paraId="0C5E65E2">
            <w:pPr>
              <w:spacing w:line="360" w:lineRule="exact"/>
              <w:jc w:val="center"/>
              <w:rPr>
                <w:rFonts w:hint="eastAsia" w:ascii="宋体" w:hAnsi="宋体" w:eastAsia="宋体" w:cs="宋体"/>
                <w:sz w:val="24"/>
                <w:szCs w:val="24"/>
              </w:rPr>
            </w:pPr>
            <w:r>
              <w:rPr>
                <w:rFonts w:hint="eastAsia" w:ascii="宋体" w:hAnsi="宋体" w:eastAsia="宋体" w:cs="宋体"/>
                <w:sz w:val="24"/>
              </w:rPr>
              <w:t>冲压工艺文件</w:t>
            </w:r>
          </w:p>
        </w:tc>
        <w:tc>
          <w:tcPr>
            <w:tcW w:w="1674" w:type="dxa"/>
            <w:vAlign w:val="center"/>
          </w:tcPr>
          <w:p w14:paraId="1C7752EA">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有</w:t>
            </w:r>
          </w:p>
        </w:tc>
        <w:tc>
          <w:tcPr>
            <w:tcW w:w="2040" w:type="dxa"/>
            <w:vAlign w:val="center"/>
          </w:tcPr>
          <w:p w14:paraId="28B49D3F">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模具预验收前</w:t>
            </w:r>
          </w:p>
        </w:tc>
        <w:tc>
          <w:tcPr>
            <w:tcW w:w="2260" w:type="dxa"/>
            <w:vAlign w:val="center"/>
          </w:tcPr>
          <w:p w14:paraId="3401433E">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招标方格式，</w:t>
            </w:r>
            <w:r>
              <w:rPr>
                <w:rFonts w:hint="eastAsia" w:ascii="宋体" w:hAnsi="宋体" w:eastAsia="宋体" w:cs="宋体"/>
              </w:rPr>
              <w:t xml:space="preserve"> </w:t>
            </w:r>
            <w:r>
              <w:rPr>
                <w:rFonts w:hint="eastAsia" w:ascii="宋体" w:hAnsi="宋体" w:eastAsia="宋体" w:cs="宋体"/>
                <w:sz w:val="24"/>
                <w:szCs w:val="24"/>
              </w:rPr>
              <w:t>AutoCAD2007版</w:t>
            </w:r>
          </w:p>
        </w:tc>
      </w:tr>
      <w:tr w14:paraId="2C69D6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7AF29BF7">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14</w:t>
            </w:r>
          </w:p>
        </w:tc>
        <w:tc>
          <w:tcPr>
            <w:tcW w:w="2670" w:type="dxa"/>
            <w:vAlign w:val="center"/>
          </w:tcPr>
          <w:p w14:paraId="485641A0">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零件设计变更记录表</w:t>
            </w:r>
          </w:p>
        </w:tc>
        <w:tc>
          <w:tcPr>
            <w:tcW w:w="1674" w:type="dxa"/>
            <w:vAlign w:val="center"/>
          </w:tcPr>
          <w:p w14:paraId="30206A5F">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有</w:t>
            </w:r>
          </w:p>
        </w:tc>
        <w:tc>
          <w:tcPr>
            <w:tcW w:w="2040" w:type="dxa"/>
            <w:vAlign w:val="center"/>
          </w:tcPr>
          <w:p w14:paraId="669D90C8">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模具预验收前</w:t>
            </w:r>
          </w:p>
        </w:tc>
        <w:tc>
          <w:tcPr>
            <w:tcW w:w="2260" w:type="dxa"/>
            <w:vAlign w:val="center"/>
          </w:tcPr>
          <w:p w14:paraId="45C8336E">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招标方格式</w:t>
            </w:r>
          </w:p>
        </w:tc>
      </w:tr>
      <w:tr w14:paraId="36F53B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7359E0E0">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15</w:t>
            </w:r>
          </w:p>
        </w:tc>
        <w:tc>
          <w:tcPr>
            <w:tcW w:w="2670" w:type="dxa"/>
            <w:vAlign w:val="center"/>
          </w:tcPr>
          <w:p w14:paraId="5A14EDE8">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模具材料表</w:t>
            </w:r>
          </w:p>
        </w:tc>
        <w:tc>
          <w:tcPr>
            <w:tcW w:w="1674" w:type="dxa"/>
            <w:vAlign w:val="center"/>
          </w:tcPr>
          <w:p w14:paraId="6FF7B2EC">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0C97F92E">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模具出货前</w:t>
            </w:r>
          </w:p>
        </w:tc>
        <w:tc>
          <w:tcPr>
            <w:tcW w:w="2260" w:type="dxa"/>
            <w:vAlign w:val="center"/>
          </w:tcPr>
          <w:p w14:paraId="3D3F0D7D">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37B32F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78FBFF1F">
            <w:pPr>
              <w:spacing w:line="360" w:lineRule="exact"/>
              <w:jc w:val="center"/>
              <w:rPr>
                <w:rFonts w:hint="eastAsia" w:ascii="宋体" w:hAnsi="宋体" w:eastAsia="宋体" w:cs="宋体"/>
                <w:sz w:val="24"/>
                <w:szCs w:val="24"/>
              </w:rPr>
            </w:pPr>
            <w:r>
              <w:rPr>
                <w:rFonts w:hint="eastAsia" w:ascii="宋体" w:hAnsi="宋体" w:eastAsia="宋体" w:cs="宋体"/>
                <w:bCs/>
                <w:sz w:val="24"/>
                <w:szCs w:val="24"/>
              </w:rPr>
              <w:t>16</w:t>
            </w:r>
          </w:p>
        </w:tc>
        <w:tc>
          <w:tcPr>
            <w:tcW w:w="2670" w:type="dxa"/>
          </w:tcPr>
          <w:p w14:paraId="76773E59">
            <w:pPr>
              <w:spacing w:line="360" w:lineRule="exact"/>
              <w:jc w:val="center"/>
              <w:rPr>
                <w:rFonts w:hint="eastAsia" w:ascii="宋体" w:hAnsi="宋体" w:eastAsia="宋体" w:cs="宋体"/>
                <w:sz w:val="24"/>
                <w:szCs w:val="24"/>
              </w:rPr>
            </w:pPr>
            <w:r>
              <w:rPr>
                <w:rFonts w:hint="eastAsia" w:ascii="宋体" w:hAnsi="宋体" w:eastAsia="宋体" w:cs="宋体"/>
                <w:bCs/>
                <w:sz w:val="24"/>
                <w:szCs w:val="24"/>
              </w:rPr>
              <w:t>模具明细表</w:t>
            </w:r>
          </w:p>
        </w:tc>
        <w:tc>
          <w:tcPr>
            <w:tcW w:w="1674" w:type="dxa"/>
          </w:tcPr>
          <w:p w14:paraId="579FC05C">
            <w:pPr>
              <w:spacing w:line="360" w:lineRule="exact"/>
              <w:jc w:val="center"/>
              <w:rPr>
                <w:rFonts w:hint="eastAsia" w:ascii="宋体" w:hAnsi="宋体" w:eastAsia="宋体" w:cs="宋体"/>
                <w:sz w:val="24"/>
                <w:szCs w:val="24"/>
              </w:rPr>
            </w:pPr>
            <w:r>
              <w:rPr>
                <w:rFonts w:hint="eastAsia" w:ascii="宋体" w:hAnsi="宋体" w:eastAsia="宋体" w:cs="宋体"/>
                <w:bCs/>
                <w:sz w:val="24"/>
                <w:szCs w:val="24"/>
              </w:rPr>
              <w:t>无</w:t>
            </w:r>
          </w:p>
        </w:tc>
        <w:tc>
          <w:tcPr>
            <w:tcW w:w="2040" w:type="dxa"/>
          </w:tcPr>
          <w:p w14:paraId="26A37625">
            <w:pPr>
              <w:spacing w:line="360" w:lineRule="exact"/>
              <w:jc w:val="center"/>
              <w:rPr>
                <w:rFonts w:hint="eastAsia" w:ascii="宋体" w:hAnsi="宋体" w:eastAsia="宋体" w:cs="宋体"/>
                <w:sz w:val="24"/>
                <w:szCs w:val="24"/>
              </w:rPr>
            </w:pPr>
            <w:r>
              <w:rPr>
                <w:rFonts w:hint="eastAsia" w:ascii="宋体" w:hAnsi="宋体" w:eastAsia="宋体" w:cs="宋体"/>
                <w:bCs/>
                <w:sz w:val="24"/>
                <w:szCs w:val="24"/>
              </w:rPr>
              <w:t>模具出货前</w:t>
            </w:r>
          </w:p>
        </w:tc>
        <w:tc>
          <w:tcPr>
            <w:tcW w:w="2260" w:type="dxa"/>
          </w:tcPr>
          <w:p w14:paraId="67F8326B">
            <w:pPr>
              <w:spacing w:line="360" w:lineRule="exact"/>
              <w:jc w:val="center"/>
              <w:rPr>
                <w:rFonts w:hint="eastAsia" w:ascii="宋体" w:hAnsi="宋体" w:eastAsia="宋体" w:cs="宋体"/>
                <w:sz w:val="24"/>
                <w:szCs w:val="24"/>
              </w:rPr>
            </w:pPr>
            <w:r>
              <w:rPr>
                <w:rFonts w:hint="eastAsia" w:ascii="宋体" w:hAnsi="宋体" w:eastAsia="宋体" w:cs="宋体"/>
                <w:bCs/>
                <w:sz w:val="24"/>
                <w:szCs w:val="24"/>
              </w:rPr>
              <w:t>双方会审</w:t>
            </w:r>
          </w:p>
        </w:tc>
      </w:tr>
      <w:tr w14:paraId="34963E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70427701">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17</w:t>
            </w:r>
          </w:p>
        </w:tc>
        <w:tc>
          <w:tcPr>
            <w:tcW w:w="2670" w:type="dxa"/>
            <w:vAlign w:val="center"/>
          </w:tcPr>
          <w:p w14:paraId="40DC4E6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标准件清单</w:t>
            </w:r>
          </w:p>
        </w:tc>
        <w:tc>
          <w:tcPr>
            <w:tcW w:w="1674" w:type="dxa"/>
            <w:vAlign w:val="center"/>
          </w:tcPr>
          <w:p w14:paraId="5EB7EA87">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50AD3095">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模具出货前</w:t>
            </w:r>
          </w:p>
        </w:tc>
        <w:tc>
          <w:tcPr>
            <w:tcW w:w="2260" w:type="dxa"/>
            <w:vAlign w:val="center"/>
          </w:tcPr>
          <w:p w14:paraId="1F2DA16B">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63118C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 w:hRule="atLeast"/>
        </w:trPr>
        <w:tc>
          <w:tcPr>
            <w:tcW w:w="721" w:type="dxa"/>
            <w:vAlign w:val="center"/>
          </w:tcPr>
          <w:p w14:paraId="02F4B391">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18</w:t>
            </w:r>
          </w:p>
        </w:tc>
        <w:tc>
          <w:tcPr>
            <w:tcW w:w="2670" w:type="dxa"/>
            <w:vAlign w:val="center"/>
          </w:tcPr>
          <w:p w14:paraId="00997AC6">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备品备件清单</w:t>
            </w:r>
          </w:p>
        </w:tc>
        <w:tc>
          <w:tcPr>
            <w:tcW w:w="1674" w:type="dxa"/>
            <w:vAlign w:val="center"/>
          </w:tcPr>
          <w:p w14:paraId="1B07C125">
            <w:pPr>
              <w:keepNext/>
              <w:keepLines/>
              <w:spacing w:before="260" w:after="260"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1389704B">
            <w:pPr>
              <w:keepNext/>
              <w:keepLines/>
              <w:spacing w:before="260" w:after="260" w:line="360" w:lineRule="exact"/>
              <w:jc w:val="center"/>
              <w:rPr>
                <w:rFonts w:hint="eastAsia" w:ascii="宋体" w:hAnsi="宋体" w:eastAsia="宋体" w:cs="宋体"/>
                <w:sz w:val="24"/>
                <w:szCs w:val="24"/>
              </w:rPr>
            </w:pPr>
            <w:r>
              <w:rPr>
                <w:rFonts w:hint="eastAsia" w:ascii="宋体" w:hAnsi="宋体" w:eastAsia="宋体" w:cs="宋体"/>
                <w:sz w:val="24"/>
                <w:szCs w:val="24"/>
              </w:rPr>
              <w:t>模具出货前</w:t>
            </w:r>
          </w:p>
        </w:tc>
        <w:tc>
          <w:tcPr>
            <w:tcW w:w="2260" w:type="dxa"/>
            <w:vAlign w:val="center"/>
          </w:tcPr>
          <w:p w14:paraId="1AA5BB5D">
            <w:pPr>
              <w:keepNext/>
              <w:keepLines/>
              <w:spacing w:before="260" w:after="260"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233481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 w:hRule="atLeast"/>
        </w:trPr>
        <w:tc>
          <w:tcPr>
            <w:tcW w:w="721" w:type="dxa"/>
            <w:vAlign w:val="center"/>
          </w:tcPr>
          <w:p w14:paraId="33575F4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19</w:t>
            </w:r>
          </w:p>
        </w:tc>
        <w:tc>
          <w:tcPr>
            <w:tcW w:w="2670" w:type="dxa"/>
            <w:vAlign w:val="center"/>
          </w:tcPr>
          <w:p w14:paraId="39EE4756">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模具出厂合格证</w:t>
            </w:r>
          </w:p>
        </w:tc>
        <w:tc>
          <w:tcPr>
            <w:tcW w:w="1674" w:type="dxa"/>
            <w:vAlign w:val="center"/>
          </w:tcPr>
          <w:p w14:paraId="0533785A">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229CBA76">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模具出货前</w:t>
            </w:r>
          </w:p>
        </w:tc>
        <w:tc>
          <w:tcPr>
            <w:tcW w:w="2260" w:type="dxa"/>
            <w:vAlign w:val="center"/>
          </w:tcPr>
          <w:p w14:paraId="71AA095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09C0D7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 w:hRule="atLeast"/>
        </w:trPr>
        <w:tc>
          <w:tcPr>
            <w:tcW w:w="721" w:type="dxa"/>
            <w:vAlign w:val="center"/>
          </w:tcPr>
          <w:p w14:paraId="30562F81">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20</w:t>
            </w:r>
          </w:p>
        </w:tc>
        <w:tc>
          <w:tcPr>
            <w:tcW w:w="2670" w:type="dxa"/>
            <w:vAlign w:val="center"/>
          </w:tcPr>
          <w:p w14:paraId="756939D5">
            <w:pPr>
              <w:spacing w:line="360" w:lineRule="exact"/>
              <w:jc w:val="center"/>
              <w:rPr>
                <w:rFonts w:hint="eastAsia" w:ascii="宋体" w:hAnsi="宋体" w:eastAsia="宋体" w:cs="宋体"/>
                <w:sz w:val="24"/>
                <w:szCs w:val="24"/>
              </w:rPr>
            </w:pPr>
            <w:r>
              <w:rPr>
                <w:rFonts w:hint="eastAsia" w:ascii="宋体" w:hAnsi="宋体" w:eastAsia="宋体" w:cs="宋体"/>
                <w:sz w:val="24"/>
              </w:rPr>
              <w:t>模具图纸（2D及3D）</w:t>
            </w:r>
          </w:p>
        </w:tc>
        <w:tc>
          <w:tcPr>
            <w:tcW w:w="1674" w:type="dxa"/>
            <w:vAlign w:val="center"/>
          </w:tcPr>
          <w:p w14:paraId="60DC95A4">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有</w:t>
            </w:r>
          </w:p>
        </w:tc>
        <w:tc>
          <w:tcPr>
            <w:tcW w:w="2040" w:type="dxa"/>
            <w:vAlign w:val="center"/>
          </w:tcPr>
          <w:p w14:paraId="096598C3">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模具终验收前</w:t>
            </w:r>
          </w:p>
        </w:tc>
        <w:tc>
          <w:tcPr>
            <w:tcW w:w="2260" w:type="dxa"/>
            <w:vAlign w:val="center"/>
          </w:tcPr>
          <w:p w14:paraId="19A21EB3">
            <w:pPr>
              <w:spacing w:line="360" w:lineRule="exact"/>
              <w:jc w:val="center"/>
              <w:rPr>
                <w:rFonts w:hint="eastAsia" w:ascii="宋体" w:hAnsi="宋体" w:eastAsia="宋体" w:cs="宋体"/>
              </w:rPr>
            </w:pPr>
            <w:r>
              <w:rPr>
                <w:rFonts w:hint="eastAsia" w:ascii="宋体" w:hAnsi="宋体" w:eastAsia="宋体" w:cs="宋体"/>
                <w:sz w:val="24"/>
                <w:szCs w:val="24"/>
              </w:rPr>
              <w:t>格式按招标方格式</w:t>
            </w:r>
            <w:r>
              <w:rPr>
                <w:rFonts w:hint="eastAsia" w:ascii="宋体" w:hAnsi="宋体" w:eastAsia="宋体" w:cs="宋体"/>
              </w:rPr>
              <w:t>。</w:t>
            </w:r>
          </w:p>
          <w:p w14:paraId="7B8072CB">
            <w:pPr>
              <w:spacing w:line="360" w:lineRule="exact"/>
              <w:jc w:val="center"/>
              <w:rPr>
                <w:rFonts w:hint="eastAsia" w:ascii="宋体" w:hAnsi="宋体" w:eastAsia="宋体" w:cs="宋体"/>
              </w:rPr>
            </w:pPr>
            <w:r>
              <w:rPr>
                <w:rFonts w:hint="eastAsia" w:ascii="宋体" w:hAnsi="宋体" w:eastAsia="宋体" w:cs="宋体"/>
                <w:sz w:val="24"/>
                <w:szCs w:val="24"/>
              </w:rPr>
              <w:t>2D、3D均用NX 10.0格式，且2D、3D实现联动。除标准件外，其余单件均应出2D图纸。</w:t>
            </w:r>
          </w:p>
        </w:tc>
      </w:tr>
      <w:tr w14:paraId="386626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 w:hRule="atLeast"/>
        </w:trPr>
        <w:tc>
          <w:tcPr>
            <w:tcW w:w="721" w:type="dxa"/>
            <w:vAlign w:val="center"/>
          </w:tcPr>
          <w:p w14:paraId="461EBA20">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21</w:t>
            </w:r>
          </w:p>
        </w:tc>
        <w:tc>
          <w:tcPr>
            <w:tcW w:w="2670" w:type="dxa"/>
            <w:vAlign w:val="center"/>
          </w:tcPr>
          <w:p w14:paraId="23D732E5">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模具钳修记录表</w:t>
            </w:r>
          </w:p>
        </w:tc>
        <w:tc>
          <w:tcPr>
            <w:tcW w:w="1674" w:type="dxa"/>
            <w:vAlign w:val="center"/>
          </w:tcPr>
          <w:p w14:paraId="11C849CB">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4BC3B8FA">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模具终验收前</w:t>
            </w:r>
          </w:p>
        </w:tc>
        <w:tc>
          <w:tcPr>
            <w:tcW w:w="2260" w:type="dxa"/>
            <w:vAlign w:val="center"/>
          </w:tcPr>
          <w:p w14:paraId="2E9C2C8F">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01FACA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 w:hRule="atLeast"/>
        </w:trPr>
        <w:tc>
          <w:tcPr>
            <w:tcW w:w="721" w:type="dxa"/>
            <w:vAlign w:val="center"/>
          </w:tcPr>
          <w:p w14:paraId="41D9C0E1">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22</w:t>
            </w:r>
          </w:p>
        </w:tc>
        <w:tc>
          <w:tcPr>
            <w:tcW w:w="2670" w:type="dxa"/>
            <w:vAlign w:val="center"/>
          </w:tcPr>
          <w:p w14:paraId="59C9597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产品工序制件图</w:t>
            </w:r>
          </w:p>
        </w:tc>
        <w:tc>
          <w:tcPr>
            <w:tcW w:w="1674" w:type="dxa"/>
            <w:vAlign w:val="center"/>
          </w:tcPr>
          <w:p w14:paraId="1C793EDC">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有</w:t>
            </w:r>
          </w:p>
        </w:tc>
        <w:tc>
          <w:tcPr>
            <w:tcW w:w="2040" w:type="dxa"/>
            <w:vAlign w:val="center"/>
          </w:tcPr>
          <w:p w14:paraId="726D4C98">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模具终验收前</w:t>
            </w:r>
          </w:p>
        </w:tc>
        <w:tc>
          <w:tcPr>
            <w:tcW w:w="2260" w:type="dxa"/>
            <w:vAlign w:val="center"/>
          </w:tcPr>
          <w:p w14:paraId="662058C7">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AutoCAD2007版；公差标注齐全</w:t>
            </w:r>
          </w:p>
        </w:tc>
      </w:tr>
    </w:tbl>
    <w:p w14:paraId="2532D4E7">
      <w:pPr>
        <w:spacing w:line="360" w:lineRule="exact"/>
        <w:rPr>
          <w:rFonts w:hint="eastAsia" w:ascii="宋体" w:hAnsi="宋体" w:eastAsia="宋体" w:cs="宋体"/>
          <w:sz w:val="24"/>
          <w:szCs w:val="24"/>
        </w:rPr>
      </w:pPr>
    </w:p>
    <w:p w14:paraId="7AEA2597">
      <w:pPr>
        <w:spacing w:line="36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注：以上资料均应提供电子版。</w:t>
      </w:r>
    </w:p>
    <w:p w14:paraId="03B11343">
      <w:pPr>
        <w:spacing w:line="360" w:lineRule="exact"/>
        <w:ind w:firstLine="465"/>
        <w:rPr>
          <w:rFonts w:hint="eastAsia" w:ascii="宋体" w:hAnsi="宋体" w:eastAsia="宋体" w:cs="宋体"/>
          <w:b/>
          <w:sz w:val="24"/>
        </w:rPr>
      </w:pPr>
      <w:r>
        <w:rPr>
          <w:rFonts w:hint="eastAsia" w:ascii="宋体" w:hAnsi="宋体" w:eastAsia="宋体" w:cs="宋体"/>
          <w:b/>
          <w:sz w:val="24"/>
        </w:rPr>
        <w:t>2、模具设计输入</w:t>
      </w:r>
    </w:p>
    <w:p w14:paraId="3B3C9921">
      <w:pPr>
        <w:spacing w:line="360" w:lineRule="exact"/>
        <w:ind w:firstLine="465"/>
        <w:rPr>
          <w:rFonts w:hint="eastAsia" w:ascii="宋体" w:hAnsi="宋体" w:eastAsia="宋体" w:cs="宋体"/>
          <w:b/>
          <w:sz w:val="24"/>
        </w:rPr>
      </w:pPr>
      <w:r>
        <w:rPr>
          <w:rFonts w:hint="eastAsia" w:ascii="宋体" w:hAnsi="宋体" w:eastAsia="宋体" w:cs="宋体"/>
          <w:b/>
          <w:sz w:val="24"/>
        </w:rPr>
        <w:t>2.1生产条件</w:t>
      </w:r>
    </w:p>
    <w:p w14:paraId="1ECB4BC6">
      <w:pPr>
        <w:spacing w:line="360" w:lineRule="exact"/>
        <w:ind w:firstLine="465"/>
        <w:rPr>
          <w:rFonts w:hint="eastAsia" w:ascii="宋体" w:hAnsi="宋体" w:eastAsia="宋体" w:cs="宋体"/>
          <w:sz w:val="24"/>
        </w:rPr>
      </w:pPr>
      <w:r>
        <w:rPr>
          <w:rFonts w:hint="eastAsia" w:ascii="宋体" w:hAnsi="宋体" w:eastAsia="宋体" w:cs="宋体"/>
          <w:sz w:val="24"/>
        </w:rPr>
        <w:t>2.1.1工作环境：室内，温度：-10℃～40℃，相对湿度：≤90%；</w:t>
      </w:r>
    </w:p>
    <w:p w14:paraId="7826BB06">
      <w:pPr>
        <w:spacing w:line="360" w:lineRule="exact"/>
        <w:ind w:firstLine="465"/>
        <w:rPr>
          <w:rFonts w:hint="eastAsia" w:ascii="宋体" w:hAnsi="宋体" w:eastAsia="宋体" w:cs="宋体"/>
          <w:sz w:val="24"/>
        </w:rPr>
      </w:pPr>
      <w:r>
        <w:rPr>
          <w:rFonts w:hint="eastAsia" w:ascii="宋体" w:hAnsi="宋体" w:eastAsia="宋体" w:cs="宋体"/>
          <w:sz w:val="24"/>
        </w:rPr>
        <w:t>2.1.2生产节拍：自动线4-6件/分钟。</w:t>
      </w:r>
    </w:p>
    <w:p w14:paraId="00E1DC0E">
      <w:pPr>
        <w:spacing w:line="360" w:lineRule="exact"/>
        <w:ind w:firstLine="465"/>
        <w:rPr>
          <w:rFonts w:hint="eastAsia" w:ascii="宋体" w:hAnsi="宋体" w:eastAsia="宋体" w:cs="宋体"/>
          <w:sz w:val="24"/>
        </w:rPr>
      </w:pPr>
      <w:r>
        <w:rPr>
          <w:rFonts w:hint="eastAsia" w:ascii="宋体" w:hAnsi="宋体" w:eastAsia="宋体" w:cs="宋体"/>
          <w:sz w:val="24"/>
          <w:highlight w:val="yellow"/>
        </w:rPr>
        <w:t>2.1.3使用寿命：70万次以上(投标方确保模具结构设计和配件选择等满足正常使用7</w:t>
      </w:r>
      <w:r>
        <w:rPr>
          <w:rFonts w:ascii="宋体" w:hAnsi="宋体" w:eastAsia="宋体" w:cs="宋体"/>
          <w:sz w:val="24"/>
          <w:highlight w:val="yellow"/>
        </w:rPr>
        <w:t>0</w:t>
      </w:r>
      <w:r>
        <w:rPr>
          <w:rFonts w:hint="eastAsia" w:ascii="宋体" w:hAnsi="宋体" w:eastAsia="宋体" w:cs="宋体"/>
          <w:sz w:val="24"/>
          <w:highlight w:val="yellow"/>
        </w:rPr>
        <w:t>万次的寿命要求</w:t>
      </w:r>
      <w:r>
        <w:rPr>
          <w:rFonts w:ascii="宋体" w:hAnsi="宋体" w:eastAsia="宋体" w:cs="宋体"/>
          <w:sz w:val="24"/>
          <w:highlight w:val="yellow"/>
        </w:rPr>
        <w:t>)</w:t>
      </w:r>
      <w:r>
        <w:rPr>
          <w:rFonts w:hint="eastAsia" w:ascii="宋体" w:hAnsi="宋体" w:eastAsia="宋体" w:cs="宋体"/>
          <w:sz w:val="24"/>
          <w:highlight w:val="yellow"/>
        </w:rPr>
        <w:t>；</w:t>
      </w:r>
    </w:p>
    <w:p w14:paraId="73C3B6C3">
      <w:pPr>
        <w:spacing w:line="360" w:lineRule="exact"/>
        <w:ind w:firstLine="465"/>
        <w:rPr>
          <w:rFonts w:hint="eastAsia" w:ascii="宋体" w:hAnsi="宋体" w:eastAsia="宋体" w:cs="宋体"/>
          <w:sz w:val="24"/>
        </w:rPr>
      </w:pPr>
      <w:r>
        <w:rPr>
          <w:rFonts w:hint="eastAsia" w:ascii="宋体" w:hAnsi="宋体" w:eastAsia="宋体" w:cs="宋体"/>
          <w:sz w:val="24"/>
        </w:rPr>
        <w:t>2.1.4操作方式：自动线模具要适用于自动化系统自动上下料要求；其他模具要求适用于手工操作。</w:t>
      </w:r>
    </w:p>
    <w:p w14:paraId="36474117">
      <w:pPr>
        <w:spacing w:line="360" w:lineRule="exact"/>
        <w:ind w:firstLine="465"/>
        <w:rPr>
          <w:rFonts w:hint="eastAsia" w:ascii="宋体" w:hAnsi="宋体" w:eastAsia="宋体" w:cs="宋体"/>
          <w:sz w:val="24"/>
        </w:rPr>
      </w:pPr>
      <w:r>
        <w:rPr>
          <w:rFonts w:hint="eastAsia" w:ascii="宋体" w:hAnsi="宋体" w:eastAsia="宋体" w:cs="宋体"/>
          <w:sz w:val="24"/>
        </w:rPr>
        <w:t>2.1.5生产车间起吊方式：桥式起重机，起重机起吊能力：自制件50/20T、外购件定标后提供。</w:t>
      </w:r>
    </w:p>
    <w:p w14:paraId="6698E419">
      <w:pPr>
        <w:spacing w:line="360" w:lineRule="exact"/>
        <w:ind w:firstLine="465"/>
        <w:rPr>
          <w:rFonts w:hint="eastAsia" w:ascii="宋体" w:hAnsi="宋体" w:eastAsia="宋体" w:cs="宋体"/>
          <w:sz w:val="24"/>
        </w:rPr>
      </w:pPr>
      <w:r>
        <w:rPr>
          <w:rFonts w:hint="eastAsia" w:ascii="宋体" w:hAnsi="宋体" w:eastAsia="宋体" w:cs="宋体"/>
          <w:sz w:val="24"/>
        </w:rPr>
        <w:t>2.1.6生产设备：招标方指定的冲压设备。</w:t>
      </w:r>
    </w:p>
    <w:p w14:paraId="12737DA2">
      <w:pPr>
        <w:spacing w:line="360" w:lineRule="exact"/>
        <w:ind w:firstLine="422" w:firstLineChars="175"/>
        <w:rPr>
          <w:rFonts w:hint="eastAsia" w:ascii="宋体" w:hAnsi="宋体" w:eastAsia="宋体" w:cs="宋体"/>
          <w:b/>
          <w:sz w:val="24"/>
        </w:rPr>
      </w:pPr>
      <w:r>
        <w:rPr>
          <w:rFonts w:hint="eastAsia" w:ascii="宋体" w:hAnsi="宋体" w:eastAsia="宋体" w:cs="宋体"/>
          <w:b/>
          <w:sz w:val="24"/>
        </w:rPr>
        <w:t>2.2 产品数据及要求</w:t>
      </w:r>
    </w:p>
    <w:p w14:paraId="73A76E90">
      <w:pPr>
        <w:spacing w:line="360" w:lineRule="exact"/>
        <w:ind w:firstLine="420" w:firstLineChars="175"/>
        <w:rPr>
          <w:rFonts w:hint="eastAsia" w:ascii="宋体" w:hAnsi="宋体" w:eastAsia="宋体" w:cs="宋体"/>
          <w:sz w:val="24"/>
        </w:rPr>
      </w:pPr>
      <w:r>
        <w:rPr>
          <w:rFonts w:hint="eastAsia" w:ascii="宋体" w:hAnsi="宋体" w:eastAsia="宋体" w:cs="宋体"/>
          <w:sz w:val="24"/>
        </w:rPr>
        <w:t>2.2.1 产品数模；</w:t>
      </w:r>
    </w:p>
    <w:p w14:paraId="79498BC9">
      <w:pPr>
        <w:spacing w:line="360" w:lineRule="exact"/>
        <w:ind w:firstLine="420" w:firstLineChars="175"/>
        <w:rPr>
          <w:rFonts w:hint="eastAsia" w:ascii="宋体" w:hAnsi="宋体" w:eastAsia="宋体" w:cs="宋体"/>
          <w:sz w:val="24"/>
        </w:rPr>
      </w:pPr>
      <w:r>
        <w:rPr>
          <w:rFonts w:hint="eastAsia" w:ascii="宋体" w:hAnsi="宋体" w:eastAsia="宋体" w:cs="宋体"/>
          <w:sz w:val="24"/>
        </w:rPr>
        <w:t>2.2.2《</w:t>
      </w:r>
      <w:r>
        <w:rPr>
          <w:rFonts w:hint="eastAsia" w:ascii="宋体" w:hAnsi="宋体" w:eastAsia="宋体" w:cs="宋体"/>
          <w:sz w:val="24"/>
          <w:lang w:val="en-US" w:eastAsia="zh-CN"/>
        </w:rPr>
        <w:t>技术协议</w:t>
      </w:r>
      <w:r>
        <w:rPr>
          <w:rFonts w:hint="eastAsia" w:ascii="宋体" w:hAnsi="宋体" w:eastAsia="宋体" w:cs="宋体"/>
          <w:sz w:val="24"/>
        </w:rPr>
        <w:t>附件</w:t>
      </w:r>
      <w:r>
        <w:rPr>
          <w:rFonts w:hint="eastAsia" w:ascii="宋体" w:hAnsi="宋体" w:eastAsia="宋体" w:cs="宋体"/>
          <w:sz w:val="24"/>
          <w:lang w:val="en-US" w:eastAsia="zh-CN"/>
        </w:rPr>
        <w:t>2</w:t>
      </w:r>
      <w:r>
        <w:rPr>
          <w:rFonts w:hint="eastAsia" w:ascii="宋体" w:hAnsi="宋体" w:eastAsia="宋体" w:cs="宋体"/>
          <w:sz w:val="24"/>
        </w:rPr>
        <w:t>：冲压件质量检验判定标准》</w:t>
      </w:r>
    </w:p>
    <w:p w14:paraId="1584996E">
      <w:pPr>
        <w:spacing w:before="156" w:beforeLines="50" w:after="156" w:afterLines="50" w:line="500" w:lineRule="exact"/>
        <w:ind w:firstLine="482"/>
        <w:rPr>
          <w:rFonts w:hint="eastAsia" w:ascii="宋体" w:hAnsi="宋体" w:eastAsia="宋体" w:cs="宋体"/>
          <w:b/>
          <w:sz w:val="24"/>
          <w:szCs w:val="24"/>
        </w:rPr>
      </w:pPr>
      <w:r>
        <w:rPr>
          <w:rFonts w:hint="eastAsia" w:ascii="宋体" w:hAnsi="宋体" w:eastAsia="宋体" w:cs="宋体"/>
          <w:b/>
          <w:sz w:val="24"/>
          <w:szCs w:val="24"/>
        </w:rPr>
        <w:t>3、模具设计、制造的技术要求</w:t>
      </w:r>
    </w:p>
    <w:p w14:paraId="1AFECABC">
      <w:pPr>
        <w:spacing w:line="360" w:lineRule="exact"/>
        <w:ind w:firstLine="465"/>
        <w:rPr>
          <w:rFonts w:hint="eastAsia" w:ascii="宋体" w:hAnsi="宋体" w:eastAsia="宋体" w:cs="宋体"/>
          <w:sz w:val="24"/>
        </w:rPr>
      </w:pPr>
      <w:r>
        <w:rPr>
          <w:rFonts w:hint="eastAsia" w:ascii="宋体" w:hAnsi="宋体" w:eastAsia="宋体" w:cs="宋体"/>
          <w:sz w:val="24"/>
        </w:rPr>
        <w:t>*3.1投标方按照招标方提供的设计标准进行模具的设计制造，设计制造标准详见附件</w:t>
      </w:r>
      <w:r>
        <w:rPr>
          <w:rFonts w:hint="eastAsia" w:ascii="宋体" w:hAnsi="宋体" w:eastAsia="宋体" w:cs="宋体"/>
          <w:sz w:val="24"/>
          <w:lang w:eastAsia="zh-CN"/>
        </w:rPr>
        <w:t>：</w:t>
      </w:r>
      <w:r>
        <w:rPr>
          <w:rFonts w:hint="eastAsia" w:ascii="宋体" w:hAnsi="宋体" w:eastAsia="宋体" w:cs="宋体"/>
          <w:sz w:val="24"/>
          <w:lang w:val="en-US" w:eastAsia="zh-CN"/>
        </w:rPr>
        <w:t>技术协议附件3</w:t>
      </w:r>
      <w:r>
        <w:rPr>
          <w:rFonts w:hint="eastAsia" w:ascii="宋体" w:hAnsi="宋体" w:eastAsia="宋体" w:cs="宋体"/>
          <w:sz w:val="24"/>
        </w:rPr>
        <w:t>和</w:t>
      </w:r>
      <w:r>
        <w:rPr>
          <w:rFonts w:hint="eastAsia" w:ascii="宋体" w:hAnsi="宋体" w:eastAsia="宋体" w:cs="宋体"/>
          <w:sz w:val="24"/>
          <w:lang w:val="en-US" w:eastAsia="zh-CN"/>
        </w:rPr>
        <w:t>技术协议</w:t>
      </w:r>
      <w:r>
        <w:rPr>
          <w:rFonts w:hint="eastAsia" w:ascii="宋体" w:hAnsi="宋体" w:eastAsia="宋体" w:cs="宋体"/>
          <w:sz w:val="24"/>
        </w:rPr>
        <w:t>附件</w:t>
      </w:r>
      <w:r>
        <w:rPr>
          <w:rFonts w:hint="eastAsia" w:ascii="宋体" w:hAnsi="宋体" w:eastAsia="宋体" w:cs="宋体"/>
          <w:sz w:val="24"/>
          <w:lang w:val="en-US" w:eastAsia="zh-CN"/>
        </w:rPr>
        <w:t>4</w:t>
      </w:r>
      <w:r>
        <w:rPr>
          <w:rFonts w:hint="eastAsia" w:ascii="宋体" w:hAnsi="宋体" w:eastAsia="宋体" w:cs="宋体"/>
          <w:sz w:val="24"/>
        </w:rPr>
        <w:t>。</w:t>
      </w:r>
    </w:p>
    <w:p w14:paraId="3BB4437F">
      <w:pPr>
        <w:spacing w:line="360" w:lineRule="exact"/>
        <w:ind w:firstLine="465"/>
        <w:rPr>
          <w:rFonts w:hint="eastAsia" w:ascii="宋体" w:hAnsi="宋体" w:eastAsia="宋体" w:cs="宋体"/>
          <w:sz w:val="24"/>
        </w:rPr>
      </w:pPr>
      <w:r>
        <w:rPr>
          <w:rFonts w:hint="eastAsia" w:ascii="宋体" w:hAnsi="宋体" w:eastAsia="宋体" w:cs="宋体"/>
          <w:sz w:val="24"/>
        </w:rPr>
        <w:t>3.2投标方提供的所有模具应保证能使用快速安装夹紧装置。（招标方在合同签定后5个工作日内提供快速安装夹紧装置参数）。</w:t>
      </w:r>
    </w:p>
    <w:p w14:paraId="0D8E37A1">
      <w:pPr>
        <w:spacing w:line="360" w:lineRule="exact"/>
        <w:ind w:firstLine="465"/>
        <w:rPr>
          <w:rFonts w:hint="eastAsia" w:ascii="宋体" w:hAnsi="宋体" w:eastAsia="宋体" w:cs="宋体"/>
          <w:sz w:val="24"/>
        </w:rPr>
      </w:pPr>
      <w:r>
        <w:rPr>
          <w:rFonts w:hint="eastAsia" w:ascii="宋体" w:hAnsi="宋体" w:eastAsia="宋体" w:cs="宋体"/>
          <w:sz w:val="24"/>
        </w:rPr>
        <w:t>3.3自动线模具应满足自动化生产, 定位应采用快速定位，取、送件容易,保证生产节拍，操作方便安全。</w:t>
      </w:r>
    </w:p>
    <w:p w14:paraId="23F8E2D2">
      <w:pPr>
        <w:spacing w:line="360" w:lineRule="exact"/>
        <w:ind w:firstLine="465"/>
        <w:rPr>
          <w:rFonts w:hint="eastAsia" w:ascii="宋体" w:hAnsi="宋体" w:eastAsia="宋体" w:cs="宋体"/>
          <w:sz w:val="24"/>
        </w:rPr>
      </w:pPr>
      <w:r>
        <w:rPr>
          <w:rFonts w:hint="eastAsia" w:ascii="宋体" w:hAnsi="宋体" w:eastAsia="宋体" w:cs="宋体"/>
          <w:sz w:val="24"/>
        </w:rPr>
        <w:t>3.4在自动化生产线上的模具应加装传感器，传感器由投标方购买、安装、调试。</w:t>
      </w:r>
    </w:p>
    <w:p w14:paraId="1E226922">
      <w:pPr>
        <w:spacing w:line="360" w:lineRule="exact"/>
        <w:ind w:firstLine="465"/>
        <w:rPr>
          <w:rFonts w:hint="eastAsia" w:ascii="宋体" w:hAnsi="宋体" w:eastAsia="宋体" w:cs="宋体"/>
          <w:sz w:val="24"/>
        </w:rPr>
      </w:pPr>
      <w:r>
        <w:rPr>
          <w:rFonts w:hint="eastAsia" w:ascii="宋体" w:hAnsi="宋体" w:eastAsia="宋体" w:cs="宋体"/>
          <w:sz w:val="24"/>
        </w:rPr>
        <w:t>3.5自动化生产线各序模具，板料及零件进出必须方便，空间足够，不得有对板料与零件造成磕碰划伤之隐患。对于手动生产线模具，影响外观质量和生产操作性的送料和取料均要求设有托架，托架上有防划橡胶滚轮，防止擦（碰）伤制件表面；托架超出模具底板外的部分应设成折叠式。</w:t>
      </w:r>
    </w:p>
    <w:p w14:paraId="292804D6">
      <w:pPr>
        <w:spacing w:line="360" w:lineRule="exact"/>
        <w:ind w:firstLine="465"/>
        <w:rPr>
          <w:rFonts w:hint="eastAsia" w:ascii="宋体" w:hAnsi="宋体" w:eastAsia="宋体" w:cs="宋体"/>
          <w:sz w:val="24"/>
        </w:rPr>
      </w:pPr>
      <w:r>
        <w:rPr>
          <w:rFonts w:hint="eastAsia" w:ascii="宋体" w:hAnsi="宋体" w:eastAsia="宋体" w:cs="宋体"/>
          <w:sz w:val="24"/>
        </w:rPr>
        <w:t>3.6考虑操作安全的前提下，模具尽量采用对称件和其他合适件的双件复合的模具结构，以节约材料，提高生产率。</w:t>
      </w:r>
    </w:p>
    <w:p w14:paraId="7F4E4427">
      <w:pPr>
        <w:spacing w:line="360" w:lineRule="exact"/>
        <w:ind w:firstLine="465"/>
        <w:rPr>
          <w:rFonts w:hint="eastAsia" w:ascii="宋体" w:hAnsi="宋体" w:eastAsia="宋体" w:cs="宋体"/>
          <w:sz w:val="24"/>
        </w:rPr>
      </w:pPr>
      <w:r>
        <w:rPr>
          <w:rFonts w:hint="eastAsia" w:ascii="宋体" w:hAnsi="宋体" w:eastAsia="宋体" w:cs="宋体"/>
          <w:sz w:val="24"/>
        </w:rPr>
        <w:t>3.7在冲裁过程中产生的废料屑应采取措施，避免被带到下工序从而影响产品表面质量，投标方应在标书中以书面形式明确解决措施。</w:t>
      </w:r>
    </w:p>
    <w:p w14:paraId="78999822">
      <w:pPr>
        <w:spacing w:line="360" w:lineRule="exact"/>
        <w:ind w:firstLine="465"/>
        <w:rPr>
          <w:rFonts w:hint="eastAsia" w:ascii="宋体" w:hAnsi="宋体" w:eastAsia="宋体" w:cs="宋体"/>
          <w:sz w:val="24"/>
        </w:rPr>
      </w:pPr>
      <w:r>
        <w:rPr>
          <w:rFonts w:hint="eastAsia" w:ascii="宋体" w:hAnsi="宋体" w:eastAsia="宋体" w:cs="宋体"/>
          <w:sz w:val="24"/>
        </w:rPr>
        <w:t>3.8制件的定位应设有坯料的定位导向和定位机构，具体定位要求：拉延模定位要求是，进料端和左/右侧为固定式定位，出料端为可动式定位。对于其它类型模具的定位要求是进料通畅，定位可靠，易于机器人/人工取放件。</w:t>
      </w:r>
    </w:p>
    <w:p w14:paraId="376E35E1">
      <w:pPr>
        <w:spacing w:line="360" w:lineRule="exact"/>
        <w:ind w:firstLine="465"/>
        <w:rPr>
          <w:rFonts w:hint="eastAsia" w:ascii="宋体" w:hAnsi="宋体" w:eastAsia="宋体" w:cs="宋体"/>
          <w:sz w:val="24"/>
        </w:rPr>
      </w:pPr>
      <w:r>
        <w:rPr>
          <w:rFonts w:hint="eastAsia" w:ascii="宋体" w:hAnsi="宋体" w:eastAsia="宋体" w:cs="宋体"/>
          <w:sz w:val="24"/>
        </w:rPr>
        <w:t>3.9模具压力源：首序拉延模压力源采用顶杆，其余模具压力源均采用氮气缸形式。</w:t>
      </w:r>
    </w:p>
    <w:p w14:paraId="1A15D760">
      <w:pPr>
        <w:pStyle w:val="33"/>
        <w:spacing w:line="360" w:lineRule="exact"/>
        <w:ind w:left="0" w:firstLine="482"/>
        <w:rPr>
          <w:rFonts w:hint="eastAsia" w:ascii="宋体" w:hAnsi="宋体" w:eastAsia="宋体" w:cs="宋体"/>
          <w:sz w:val="24"/>
        </w:rPr>
      </w:pPr>
      <w:r>
        <w:rPr>
          <w:rFonts w:hint="eastAsia" w:ascii="宋体" w:hAnsi="宋体" w:eastAsia="宋体" w:cs="宋体"/>
          <w:sz w:val="24"/>
        </w:rPr>
        <w:t>3.10铸件结构尺寸：型面工作部分厚度≥</w:t>
      </w:r>
      <w:r>
        <w:rPr>
          <w:rFonts w:ascii="宋体" w:hAnsi="宋体" w:eastAsia="宋体" w:cs="宋体"/>
          <w:sz w:val="24"/>
        </w:rPr>
        <w:t>5</w:t>
      </w:r>
      <w:r>
        <w:rPr>
          <w:rFonts w:hint="eastAsia" w:ascii="宋体" w:hAnsi="宋体" w:eastAsia="宋体" w:cs="宋体"/>
          <w:sz w:val="24"/>
        </w:rPr>
        <w:t>0mm，主筋厚度≥</w:t>
      </w:r>
      <w:r>
        <w:rPr>
          <w:rFonts w:ascii="宋体" w:hAnsi="宋体" w:eastAsia="宋体" w:cs="宋体"/>
          <w:sz w:val="24"/>
        </w:rPr>
        <w:t>4</w:t>
      </w:r>
      <w:r>
        <w:rPr>
          <w:rFonts w:hint="eastAsia" w:ascii="宋体" w:hAnsi="宋体" w:eastAsia="宋体" w:cs="宋体"/>
          <w:sz w:val="24"/>
        </w:rPr>
        <w:t>0mm，其它筋厚度≥30mm，间距200-350mm，主要支撑面厚度50-80mm。上模U型槽处厚度50～80mm（自动化冲压件生产线模具U形槽厚度在合同签定后5个工作日内由招标方提供）。如偏离上述要求，在保证模具使用寿命的前提下，投标方可自行决定具体的铸件结构尺寸，但要在投标书中进行特别说明；</w:t>
      </w:r>
    </w:p>
    <w:p w14:paraId="52F44129">
      <w:pPr>
        <w:pStyle w:val="33"/>
        <w:spacing w:line="360" w:lineRule="exact"/>
        <w:ind w:left="0" w:firstLine="482"/>
        <w:rPr>
          <w:rFonts w:hint="eastAsia" w:ascii="宋体" w:hAnsi="宋体" w:eastAsia="宋体" w:cs="宋体"/>
          <w:sz w:val="24"/>
        </w:rPr>
      </w:pPr>
      <w:r>
        <w:rPr>
          <w:rFonts w:ascii="宋体" w:hAnsi="宋体" w:eastAsia="宋体" w:cs="宋体"/>
          <w:sz w:val="24"/>
        </w:rPr>
        <w:t xml:space="preserve">3.11 </w:t>
      </w:r>
      <w:r>
        <w:rPr>
          <w:rFonts w:hint="eastAsia" w:ascii="宋体" w:hAnsi="宋体" w:eastAsia="宋体" w:cs="宋体"/>
          <w:sz w:val="24"/>
        </w:rPr>
        <w:t>模具表面处理：</w:t>
      </w:r>
      <w:bookmarkStart w:id="38" w:name="OLE_LINK12"/>
      <w:r>
        <w:rPr>
          <w:rFonts w:hint="eastAsia" w:ascii="宋体" w:hAnsi="宋体" w:eastAsia="宋体" w:cs="宋体"/>
          <w:sz w:val="24"/>
        </w:rPr>
        <w:t>根据模具类型和招标方后期要求进行模具表面处理，表面处理推荐厂家无锡鸿运电镀有限公司、重庆桃园金属表面处理有限公司和长春金工表面工程技术有限公司。</w:t>
      </w:r>
      <w:bookmarkEnd w:id="38"/>
    </w:p>
    <w:p w14:paraId="382E0578">
      <w:pPr>
        <w:pStyle w:val="33"/>
        <w:spacing w:line="360" w:lineRule="exact"/>
        <w:ind w:left="0" w:firstLine="482"/>
        <w:rPr>
          <w:rFonts w:hint="eastAsia" w:ascii="宋体" w:hAnsi="宋体" w:eastAsia="宋体" w:cs="宋体"/>
          <w:sz w:val="24"/>
        </w:rPr>
      </w:pPr>
      <w:r>
        <w:rPr>
          <w:rFonts w:hint="eastAsia" w:ascii="宋体" w:hAnsi="宋体" w:eastAsia="宋体" w:cs="宋体"/>
          <w:sz w:val="24"/>
        </w:rPr>
        <w:t>3.1</w:t>
      </w:r>
      <w:r>
        <w:rPr>
          <w:rFonts w:ascii="宋体" w:hAnsi="宋体" w:eastAsia="宋体" w:cs="宋体"/>
          <w:sz w:val="24"/>
        </w:rPr>
        <w:t>2</w:t>
      </w:r>
      <w:r>
        <w:rPr>
          <w:rFonts w:hint="eastAsia" w:ascii="宋体" w:hAnsi="宋体" w:eastAsia="宋体" w:cs="宋体"/>
          <w:sz w:val="24"/>
        </w:rPr>
        <w:t xml:space="preserve"> 项目中新开发冲压模具总重量推荐为284吨；投标方案中重量上下偏差不得大于5%。</w:t>
      </w:r>
    </w:p>
    <w:p w14:paraId="58949D24">
      <w:pPr>
        <w:spacing w:line="360" w:lineRule="exact"/>
        <w:ind w:firstLine="465"/>
        <w:rPr>
          <w:rFonts w:hint="eastAsia" w:ascii="宋体" w:hAnsi="宋体" w:eastAsia="宋体" w:cs="宋体"/>
          <w:sz w:val="24"/>
        </w:rPr>
      </w:pPr>
      <w:r>
        <w:rPr>
          <w:rFonts w:hint="eastAsia" w:ascii="宋体" w:hAnsi="宋体" w:eastAsia="宋体" w:cs="宋体"/>
          <w:sz w:val="24"/>
        </w:rPr>
        <w:t>（注：上述条款与招标方提供的设计标准不一致的，以上述条款为准）</w:t>
      </w:r>
    </w:p>
    <w:p w14:paraId="585D5208">
      <w:pPr>
        <w:spacing w:line="360" w:lineRule="exact"/>
        <w:ind w:firstLine="465"/>
        <w:rPr>
          <w:rFonts w:hint="eastAsia" w:ascii="宋体" w:hAnsi="宋体" w:eastAsia="宋体" w:cs="宋体"/>
          <w:b/>
          <w:sz w:val="24"/>
          <w:szCs w:val="24"/>
        </w:rPr>
      </w:pPr>
      <w:r>
        <w:rPr>
          <w:rFonts w:hint="eastAsia" w:ascii="宋体" w:hAnsi="宋体" w:eastAsia="宋体" w:cs="宋体"/>
          <w:b/>
          <w:sz w:val="24"/>
        </w:rPr>
        <w:t>4、</w:t>
      </w:r>
      <w:r>
        <w:rPr>
          <w:rFonts w:hint="eastAsia" w:ascii="宋体" w:hAnsi="宋体" w:eastAsia="宋体" w:cs="宋体"/>
          <w:b/>
          <w:sz w:val="24"/>
          <w:szCs w:val="24"/>
        </w:rPr>
        <w:t>模具图纸会签</w:t>
      </w:r>
    </w:p>
    <w:p w14:paraId="0F20E296">
      <w:pPr>
        <w:spacing w:line="360" w:lineRule="exact"/>
        <w:ind w:firstLine="480" w:firstLineChars="200"/>
        <w:rPr>
          <w:rFonts w:hint="eastAsia" w:ascii="宋体" w:hAnsi="宋体" w:eastAsia="宋体" w:cs="宋体"/>
          <w:sz w:val="24"/>
        </w:rPr>
      </w:pPr>
      <w:r>
        <w:rPr>
          <w:rFonts w:hint="eastAsia" w:ascii="宋体" w:hAnsi="宋体" w:eastAsia="宋体" w:cs="宋体"/>
          <w:sz w:val="24"/>
        </w:rPr>
        <w:t>4.1中标方依照定标的模具设计方案进行设计，若需调整，需经招标方认可。</w:t>
      </w:r>
    </w:p>
    <w:p w14:paraId="7BA15A9F">
      <w:pPr>
        <w:spacing w:line="360" w:lineRule="exact"/>
        <w:ind w:firstLine="480" w:firstLineChars="200"/>
        <w:rPr>
          <w:rFonts w:hint="eastAsia" w:ascii="宋体" w:hAnsi="宋体" w:eastAsia="宋体" w:cs="宋体"/>
          <w:sz w:val="24"/>
        </w:rPr>
      </w:pPr>
      <w:r>
        <w:rPr>
          <w:rFonts w:hint="eastAsia" w:ascii="宋体" w:hAnsi="宋体" w:eastAsia="宋体" w:cs="宋体"/>
          <w:sz w:val="24"/>
        </w:rPr>
        <w:t>4.2 DL图原则上在招标方会签，如招标方有特殊情况（工厂建设或装修等），到中标方会签。</w:t>
      </w:r>
    </w:p>
    <w:p w14:paraId="781E868F">
      <w:pPr>
        <w:spacing w:line="360" w:lineRule="exact"/>
        <w:ind w:firstLine="480" w:firstLineChars="200"/>
        <w:rPr>
          <w:rFonts w:hint="eastAsia" w:ascii="宋体" w:hAnsi="宋体" w:eastAsia="宋体" w:cs="宋体"/>
          <w:sz w:val="24"/>
        </w:rPr>
      </w:pPr>
      <w:r>
        <w:rPr>
          <w:rFonts w:hint="eastAsia" w:ascii="宋体" w:hAnsi="宋体" w:eastAsia="宋体" w:cs="宋体"/>
          <w:sz w:val="24"/>
        </w:rPr>
        <w:t>4.3模具设计图纸在中标方进行会签后方可投入后续工作。</w:t>
      </w:r>
    </w:p>
    <w:p w14:paraId="461D2571">
      <w:pPr>
        <w:spacing w:line="360" w:lineRule="exact"/>
        <w:ind w:firstLine="482" w:firstLineChars="200"/>
        <w:rPr>
          <w:rFonts w:hint="eastAsia" w:ascii="宋体" w:hAnsi="宋体" w:eastAsia="宋体" w:cs="宋体"/>
          <w:b/>
          <w:sz w:val="24"/>
          <w:szCs w:val="24"/>
        </w:rPr>
      </w:pPr>
      <w:r>
        <w:rPr>
          <w:rFonts w:hint="eastAsia" w:ascii="宋体" w:hAnsi="宋体" w:eastAsia="宋体" w:cs="宋体"/>
          <w:b/>
          <w:sz w:val="24"/>
          <w:szCs w:val="24"/>
        </w:rPr>
        <w:t>5、模具验收</w:t>
      </w:r>
    </w:p>
    <w:p w14:paraId="673245E0">
      <w:pPr>
        <w:spacing w:line="360" w:lineRule="exact"/>
        <w:ind w:left="101" w:leftChars="48" w:firstLine="316" w:firstLineChars="132"/>
        <w:rPr>
          <w:rFonts w:hint="eastAsia" w:ascii="宋体" w:hAnsi="宋体" w:eastAsia="宋体" w:cs="宋体"/>
          <w:kern w:val="0"/>
          <w:sz w:val="24"/>
        </w:rPr>
      </w:pPr>
      <w:r>
        <w:rPr>
          <w:rFonts w:hint="eastAsia" w:ascii="宋体" w:hAnsi="宋体" w:eastAsia="宋体" w:cs="宋体"/>
          <w:sz w:val="24"/>
        </w:rPr>
        <w:t>招标方按照招标方的验收标准进行模具验收，验收标准详见《</w:t>
      </w:r>
      <w:r>
        <w:rPr>
          <w:rFonts w:hint="eastAsia" w:ascii="宋体" w:hAnsi="宋体" w:eastAsia="宋体" w:cs="宋体"/>
          <w:sz w:val="24"/>
          <w:lang w:val="en-US" w:eastAsia="zh-CN"/>
        </w:rPr>
        <w:t>技术协议</w:t>
      </w:r>
      <w:r>
        <w:rPr>
          <w:rFonts w:hint="eastAsia" w:ascii="宋体" w:hAnsi="宋体" w:eastAsia="宋体" w:cs="宋体"/>
          <w:sz w:val="24"/>
        </w:rPr>
        <w:t>附件</w:t>
      </w:r>
      <w:r>
        <w:rPr>
          <w:rFonts w:hint="eastAsia" w:ascii="宋体" w:hAnsi="宋体" w:eastAsia="宋体" w:cs="宋体"/>
          <w:sz w:val="24"/>
          <w:lang w:val="en-US" w:eastAsia="zh-CN"/>
        </w:rPr>
        <w:t>5</w:t>
      </w:r>
      <w:r>
        <w:rPr>
          <w:rFonts w:hint="eastAsia" w:ascii="宋体" w:hAnsi="宋体" w:eastAsia="宋体" w:cs="宋体"/>
          <w:sz w:val="24"/>
        </w:rPr>
        <w:t>：冲压模具验收规范》。</w:t>
      </w:r>
    </w:p>
    <w:p w14:paraId="0EAF9CD0">
      <w:pPr>
        <w:spacing w:line="360" w:lineRule="exact"/>
        <w:ind w:firstLine="482" w:firstLineChars="200"/>
        <w:rPr>
          <w:rFonts w:hint="eastAsia" w:ascii="宋体" w:hAnsi="宋体" w:eastAsia="宋体" w:cs="宋体"/>
          <w:b/>
          <w:sz w:val="24"/>
        </w:rPr>
      </w:pPr>
      <w:r>
        <w:rPr>
          <w:rFonts w:hint="eastAsia" w:ascii="宋体" w:hAnsi="宋体" w:eastAsia="宋体" w:cs="宋体"/>
          <w:b/>
          <w:sz w:val="24"/>
        </w:rPr>
        <w:t>6、模具发运和包装</w:t>
      </w:r>
    </w:p>
    <w:p w14:paraId="021F8366">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6.1 模具交付前，应进行清理、涂抹防锈油、固定模具连接板。根据使用单位要求涂装防锈漆，面漆颜色由招标方提供。</w:t>
      </w:r>
    </w:p>
    <w:p w14:paraId="0E009D80">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6.2 中标方负责模具的包装，包装要适用长途运输，做到防潮、防锈、防震、防变形。</w:t>
      </w:r>
    </w:p>
    <w:p w14:paraId="48A6E8E1">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6.3 模具由中标方负责运至模具所有者生产车间。</w:t>
      </w:r>
    </w:p>
    <w:p w14:paraId="4640E51E">
      <w:pPr>
        <w:spacing w:line="360" w:lineRule="exact"/>
        <w:ind w:firstLine="482" w:firstLineChars="200"/>
        <w:rPr>
          <w:rFonts w:hint="eastAsia" w:ascii="宋体" w:hAnsi="宋体" w:eastAsia="宋体" w:cs="宋体"/>
          <w:b/>
          <w:sz w:val="24"/>
        </w:rPr>
      </w:pPr>
      <w:r>
        <w:rPr>
          <w:rFonts w:hint="eastAsia" w:ascii="宋体" w:hAnsi="宋体" w:eastAsia="宋体" w:cs="宋体"/>
          <w:b/>
          <w:sz w:val="24"/>
        </w:rPr>
        <w:t>7、模具发运所附带的标准件等备品数量要求</w:t>
      </w:r>
    </w:p>
    <w:tbl>
      <w:tblPr>
        <w:tblStyle w:val="41"/>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817"/>
        <w:gridCol w:w="1096"/>
        <w:gridCol w:w="851"/>
        <w:gridCol w:w="850"/>
        <w:gridCol w:w="2268"/>
        <w:gridCol w:w="2552"/>
        <w:gridCol w:w="1275"/>
      </w:tblGrid>
      <w:tr w14:paraId="0B5012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17" w:type="dxa"/>
            <w:vAlign w:val="center"/>
          </w:tcPr>
          <w:p w14:paraId="42A28085">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序号</w:t>
            </w:r>
          </w:p>
        </w:tc>
        <w:tc>
          <w:tcPr>
            <w:tcW w:w="5065" w:type="dxa"/>
            <w:gridSpan w:val="4"/>
            <w:vAlign w:val="center"/>
          </w:tcPr>
          <w:p w14:paraId="6F29593D">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品种及规格</w:t>
            </w:r>
          </w:p>
        </w:tc>
        <w:tc>
          <w:tcPr>
            <w:tcW w:w="2552" w:type="dxa"/>
            <w:vAlign w:val="center"/>
          </w:tcPr>
          <w:p w14:paraId="20515AB8">
            <w:pPr>
              <w:autoSpaceDE w:val="0"/>
              <w:autoSpaceDN w:val="0"/>
              <w:adjustRightInd w:val="0"/>
              <w:spacing w:line="360" w:lineRule="exact"/>
              <w:jc w:val="center"/>
              <w:rPr>
                <w:rFonts w:hint="eastAsia" w:ascii="宋体" w:hAnsi="宋体" w:eastAsia="宋体" w:cs="宋体"/>
                <w:kern w:val="0"/>
                <w:sz w:val="24"/>
              </w:rPr>
            </w:pPr>
            <w:r>
              <w:rPr>
                <w:rFonts w:hint="eastAsia" w:ascii="宋体" w:hAnsi="宋体" w:eastAsia="宋体" w:cs="宋体"/>
                <w:kern w:val="0"/>
                <w:sz w:val="24"/>
                <w:szCs w:val="24"/>
              </w:rPr>
              <w:t>备件数量</w:t>
            </w:r>
          </w:p>
        </w:tc>
        <w:tc>
          <w:tcPr>
            <w:tcW w:w="1275" w:type="dxa"/>
          </w:tcPr>
          <w:p w14:paraId="6C120B80">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备注</w:t>
            </w:r>
          </w:p>
        </w:tc>
      </w:tr>
      <w:tr w14:paraId="2E844C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17" w:type="dxa"/>
            <w:vAlign w:val="center"/>
          </w:tcPr>
          <w:p w14:paraId="19DCF36B">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1</w:t>
            </w:r>
          </w:p>
        </w:tc>
        <w:tc>
          <w:tcPr>
            <w:tcW w:w="1947" w:type="dxa"/>
            <w:gridSpan w:val="2"/>
            <w:vAlign w:val="center"/>
          </w:tcPr>
          <w:p w14:paraId="4C7318DA">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氮气弹簧</w:t>
            </w:r>
          </w:p>
        </w:tc>
        <w:tc>
          <w:tcPr>
            <w:tcW w:w="3118" w:type="dxa"/>
            <w:gridSpan w:val="2"/>
            <w:vAlign w:val="center"/>
          </w:tcPr>
          <w:p w14:paraId="768D39E2">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每种规格按总数的2％提供备件</w:t>
            </w:r>
          </w:p>
        </w:tc>
        <w:tc>
          <w:tcPr>
            <w:tcW w:w="2552" w:type="dxa"/>
            <w:vAlign w:val="center"/>
          </w:tcPr>
          <w:p w14:paraId="22F29960">
            <w:pPr>
              <w:autoSpaceDE w:val="0"/>
              <w:autoSpaceDN w:val="0"/>
              <w:adjustRightInd w:val="0"/>
              <w:spacing w:line="360" w:lineRule="exact"/>
              <w:jc w:val="left"/>
              <w:rPr>
                <w:rFonts w:hint="eastAsia" w:ascii="宋体" w:hAnsi="宋体" w:eastAsia="宋体" w:cs="宋体"/>
                <w:kern w:val="0"/>
                <w:sz w:val="24"/>
                <w:szCs w:val="24"/>
              </w:rPr>
            </w:pPr>
            <w:r>
              <w:rPr>
                <w:rFonts w:hint="eastAsia" w:ascii="宋体" w:hAnsi="宋体" w:eastAsia="宋体" w:cs="宋体"/>
                <w:kern w:val="0"/>
                <w:sz w:val="24"/>
                <w:szCs w:val="24"/>
              </w:rPr>
              <w:t>每种规格按总数的2％提供备件</w:t>
            </w:r>
          </w:p>
        </w:tc>
        <w:tc>
          <w:tcPr>
            <w:tcW w:w="1275" w:type="dxa"/>
            <w:vAlign w:val="center"/>
          </w:tcPr>
          <w:p w14:paraId="4FF2BE88">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不少于1件</w:t>
            </w:r>
          </w:p>
        </w:tc>
      </w:tr>
      <w:tr w14:paraId="7265EE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17" w:type="dxa"/>
            <w:vAlign w:val="center"/>
          </w:tcPr>
          <w:p w14:paraId="246E6C8D">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2</w:t>
            </w:r>
          </w:p>
        </w:tc>
        <w:tc>
          <w:tcPr>
            <w:tcW w:w="1947" w:type="dxa"/>
            <w:gridSpan w:val="2"/>
            <w:vAlign w:val="center"/>
          </w:tcPr>
          <w:p w14:paraId="3B471844">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弹簧</w:t>
            </w:r>
          </w:p>
        </w:tc>
        <w:tc>
          <w:tcPr>
            <w:tcW w:w="3118" w:type="dxa"/>
            <w:gridSpan w:val="2"/>
            <w:vAlign w:val="center"/>
          </w:tcPr>
          <w:p w14:paraId="317AC7A3">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每种规格按总数的5％提供备件</w:t>
            </w:r>
          </w:p>
        </w:tc>
        <w:tc>
          <w:tcPr>
            <w:tcW w:w="2552" w:type="dxa"/>
            <w:vAlign w:val="center"/>
          </w:tcPr>
          <w:p w14:paraId="4E499760">
            <w:pPr>
              <w:autoSpaceDE w:val="0"/>
              <w:autoSpaceDN w:val="0"/>
              <w:adjustRightInd w:val="0"/>
              <w:spacing w:line="360" w:lineRule="exact"/>
              <w:jc w:val="left"/>
              <w:rPr>
                <w:rFonts w:hint="eastAsia" w:ascii="宋体" w:hAnsi="宋体" w:eastAsia="宋体" w:cs="宋体"/>
                <w:kern w:val="0"/>
                <w:sz w:val="24"/>
                <w:szCs w:val="24"/>
              </w:rPr>
            </w:pPr>
            <w:r>
              <w:rPr>
                <w:rFonts w:hint="eastAsia" w:ascii="宋体" w:hAnsi="宋体" w:eastAsia="宋体" w:cs="宋体"/>
                <w:kern w:val="0"/>
                <w:sz w:val="24"/>
                <w:szCs w:val="24"/>
              </w:rPr>
              <w:t>每种规格按总数的5％提供备件</w:t>
            </w:r>
          </w:p>
        </w:tc>
        <w:tc>
          <w:tcPr>
            <w:tcW w:w="1275" w:type="dxa"/>
            <w:vAlign w:val="center"/>
          </w:tcPr>
          <w:p w14:paraId="78410B93">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不少于5件</w:t>
            </w:r>
          </w:p>
        </w:tc>
      </w:tr>
      <w:tr w14:paraId="5B17D3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18" w:hRule="atLeast"/>
          <w:jc w:val="center"/>
        </w:trPr>
        <w:tc>
          <w:tcPr>
            <w:tcW w:w="817" w:type="dxa"/>
            <w:vMerge w:val="restart"/>
            <w:vAlign w:val="center"/>
          </w:tcPr>
          <w:p w14:paraId="4B6C4445">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3</w:t>
            </w:r>
          </w:p>
        </w:tc>
        <w:tc>
          <w:tcPr>
            <w:tcW w:w="1096" w:type="dxa"/>
            <w:vMerge w:val="restart"/>
            <w:tcBorders>
              <w:right w:val="single" w:color="auto" w:sz="4" w:space="0"/>
            </w:tcBorders>
            <w:vAlign w:val="center"/>
          </w:tcPr>
          <w:p w14:paraId="1383E967">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冲孔凸模</w:t>
            </w:r>
          </w:p>
          <w:p w14:paraId="469DE232">
            <w:pPr>
              <w:autoSpaceDE w:val="0"/>
              <w:autoSpaceDN w:val="0"/>
              <w:adjustRightInd w:val="0"/>
              <w:spacing w:line="360" w:lineRule="exact"/>
              <w:jc w:val="center"/>
              <w:rPr>
                <w:rFonts w:hint="eastAsia" w:ascii="宋体" w:hAnsi="宋体" w:eastAsia="宋体" w:cs="宋体"/>
                <w:kern w:val="0"/>
                <w:sz w:val="24"/>
              </w:rPr>
            </w:pPr>
            <w:r>
              <w:rPr>
                <w:rFonts w:hint="eastAsia" w:ascii="宋体" w:hAnsi="宋体" w:eastAsia="宋体" w:cs="宋体"/>
                <w:kern w:val="0"/>
                <w:sz w:val="24"/>
                <w:szCs w:val="24"/>
              </w:rPr>
              <w:t>和凹模</w:t>
            </w:r>
          </w:p>
        </w:tc>
        <w:tc>
          <w:tcPr>
            <w:tcW w:w="851" w:type="dxa"/>
            <w:vMerge w:val="restart"/>
            <w:tcBorders>
              <w:left w:val="single" w:color="auto" w:sz="4" w:space="0"/>
            </w:tcBorders>
            <w:vAlign w:val="center"/>
          </w:tcPr>
          <w:p w14:paraId="31FB6079">
            <w:pPr>
              <w:autoSpaceDE w:val="0"/>
              <w:autoSpaceDN w:val="0"/>
              <w:adjustRightInd w:val="0"/>
              <w:spacing w:line="360" w:lineRule="exact"/>
              <w:jc w:val="center"/>
              <w:rPr>
                <w:rFonts w:hint="eastAsia" w:ascii="宋体" w:hAnsi="宋体" w:eastAsia="宋体" w:cs="宋体"/>
                <w:kern w:val="0"/>
                <w:sz w:val="24"/>
              </w:rPr>
            </w:pPr>
            <w:r>
              <w:rPr>
                <w:rFonts w:hint="eastAsia" w:ascii="宋体" w:hAnsi="宋体" w:eastAsia="宋体" w:cs="宋体"/>
                <w:kern w:val="0"/>
                <w:sz w:val="24"/>
              </w:rPr>
              <w:t>圆孔</w:t>
            </w:r>
          </w:p>
        </w:tc>
        <w:tc>
          <w:tcPr>
            <w:tcW w:w="850" w:type="dxa"/>
            <w:vMerge w:val="restart"/>
            <w:tcBorders>
              <w:right w:val="single" w:color="auto" w:sz="4" w:space="0"/>
            </w:tcBorders>
            <w:vAlign w:val="center"/>
          </w:tcPr>
          <w:p w14:paraId="13B0C04D">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标准件</w:t>
            </w:r>
          </w:p>
        </w:tc>
        <w:tc>
          <w:tcPr>
            <w:tcW w:w="2268" w:type="dxa"/>
            <w:tcBorders>
              <w:left w:val="single" w:color="auto" w:sz="4" w:space="0"/>
              <w:bottom w:val="single" w:color="auto" w:sz="4" w:space="0"/>
            </w:tcBorders>
            <w:vAlign w:val="center"/>
          </w:tcPr>
          <w:p w14:paraId="7ECE023E">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直径小于ф10mm</w:t>
            </w:r>
          </w:p>
        </w:tc>
        <w:tc>
          <w:tcPr>
            <w:tcW w:w="2552" w:type="dxa"/>
            <w:tcBorders>
              <w:bottom w:val="single" w:color="auto" w:sz="4" w:space="0"/>
            </w:tcBorders>
            <w:vAlign w:val="center"/>
          </w:tcPr>
          <w:p w14:paraId="4038EE2C">
            <w:pPr>
              <w:autoSpaceDE w:val="0"/>
              <w:autoSpaceDN w:val="0"/>
              <w:adjustRightInd w:val="0"/>
              <w:spacing w:line="360" w:lineRule="exact"/>
              <w:jc w:val="left"/>
              <w:rPr>
                <w:rFonts w:hint="eastAsia" w:ascii="宋体" w:hAnsi="宋体" w:eastAsia="宋体" w:cs="宋体"/>
                <w:sz w:val="24"/>
                <w:szCs w:val="24"/>
              </w:rPr>
            </w:pPr>
            <w:r>
              <w:rPr>
                <w:rFonts w:hint="eastAsia" w:ascii="宋体" w:hAnsi="宋体" w:eastAsia="宋体" w:cs="宋体"/>
                <w:kern w:val="0"/>
                <w:sz w:val="24"/>
                <w:szCs w:val="24"/>
              </w:rPr>
              <w:t>每种规格按总数的3％提供备件</w:t>
            </w:r>
          </w:p>
        </w:tc>
        <w:tc>
          <w:tcPr>
            <w:tcW w:w="1275" w:type="dxa"/>
            <w:vAlign w:val="center"/>
          </w:tcPr>
          <w:p w14:paraId="6315EC51">
            <w:pPr>
              <w:spacing w:line="360" w:lineRule="exact"/>
              <w:jc w:val="center"/>
              <w:rPr>
                <w:rFonts w:hint="eastAsia" w:ascii="宋体" w:hAnsi="宋体" w:eastAsia="宋体" w:cs="宋体"/>
                <w:sz w:val="24"/>
                <w:szCs w:val="24"/>
              </w:rPr>
            </w:pPr>
            <w:r>
              <w:rPr>
                <w:rFonts w:hint="eastAsia" w:ascii="宋体" w:hAnsi="宋体" w:eastAsia="宋体" w:cs="宋体"/>
                <w:kern w:val="0"/>
                <w:sz w:val="24"/>
                <w:szCs w:val="24"/>
              </w:rPr>
              <w:t>不少于5件</w:t>
            </w:r>
          </w:p>
        </w:tc>
      </w:tr>
      <w:tr w14:paraId="484ABB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1" w:hRule="atLeast"/>
          <w:jc w:val="center"/>
        </w:trPr>
        <w:tc>
          <w:tcPr>
            <w:tcW w:w="817" w:type="dxa"/>
            <w:vMerge w:val="continue"/>
            <w:vAlign w:val="center"/>
          </w:tcPr>
          <w:p w14:paraId="3C1C29FB">
            <w:pPr>
              <w:spacing w:line="360" w:lineRule="exact"/>
              <w:jc w:val="center"/>
              <w:rPr>
                <w:rFonts w:hint="eastAsia" w:ascii="宋体" w:hAnsi="宋体" w:eastAsia="宋体" w:cs="宋体"/>
                <w:sz w:val="24"/>
                <w:szCs w:val="24"/>
              </w:rPr>
            </w:pPr>
          </w:p>
        </w:tc>
        <w:tc>
          <w:tcPr>
            <w:tcW w:w="1096" w:type="dxa"/>
            <w:vMerge w:val="continue"/>
            <w:tcBorders>
              <w:right w:val="single" w:color="auto" w:sz="4" w:space="0"/>
            </w:tcBorders>
            <w:vAlign w:val="center"/>
          </w:tcPr>
          <w:p w14:paraId="1F8366E4">
            <w:pPr>
              <w:keepNext/>
              <w:numPr>
                <w:ilvl w:val="3"/>
                <w:numId w:val="12"/>
              </w:numPr>
              <w:autoSpaceDE w:val="0"/>
              <w:autoSpaceDN w:val="0"/>
              <w:adjustRightInd w:val="0"/>
              <w:spacing w:line="360" w:lineRule="exact"/>
              <w:ind w:right="206" w:rightChars="98"/>
              <w:jc w:val="center"/>
              <w:outlineLvl w:val="0"/>
              <w:rPr>
                <w:rFonts w:hint="eastAsia" w:ascii="宋体" w:hAnsi="宋体" w:eastAsia="宋体" w:cs="宋体"/>
                <w:kern w:val="0"/>
                <w:sz w:val="24"/>
                <w:szCs w:val="24"/>
              </w:rPr>
            </w:pPr>
          </w:p>
        </w:tc>
        <w:tc>
          <w:tcPr>
            <w:tcW w:w="851" w:type="dxa"/>
            <w:vMerge w:val="continue"/>
            <w:tcBorders>
              <w:left w:val="single" w:color="auto" w:sz="4" w:space="0"/>
            </w:tcBorders>
            <w:vAlign w:val="center"/>
          </w:tcPr>
          <w:p w14:paraId="0F0EF11A">
            <w:pPr>
              <w:keepNext/>
              <w:numPr>
                <w:ilvl w:val="3"/>
                <w:numId w:val="12"/>
              </w:numPr>
              <w:autoSpaceDE w:val="0"/>
              <w:autoSpaceDN w:val="0"/>
              <w:adjustRightInd w:val="0"/>
              <w:spacing w:line="360" w:lineRule="exact"/>
              <w:ind w:right="206" w:rightChars="98"/>
              <w:jc w:val="center"/>
              <w:outlineLvl w:val="0"/>
              <w:rPr>
                <w:rFonts w:hint="eastAsia" w:ascii="宋体" w:hAnsi="宋体" w:eastAsia="宋体" w:cs="宋体"/>
                <w:kern w:val="0"/>
                <w:sz w:val="24"/>
              </w:rPr>
            </w:pPr>
          </w:p>
        </w:tc>
        <w:tc>
          <w:tcPr>
            <w:tcW w:w="850" w:type="dxa"/>
            <w:vMerge w:val="continue"/>
            <w:tcBorders>
              <w:right w:val="single" w:color="auto" w:sz="4" w:space="0"/>
            </w:tcBorders>
            <w:vAlign w:val="center"/>
          </w:tcPr>
          <w:p w14:paraId="4B4435BB">
            <w:pPr>
              <w:spacing w:line="360" w:lineRule="exact"/>
              <w:jc w:val="center"/>
              <w:rPr>
                <w:rFonts w:hint="eastAsia" w:ascii="宋体" w:hAnsi="宋体" w:eastAsia="宋体" w:cs="宋体"/>
                <w:sz w:val="24"/>
                <w:szCs w:val="24"/>
              </w:rPr>
            </w:pPr>
          </w:p>
        </w:tc>
        <w:tc>
          <w:tcPr>
            <w:tcW w:w="2268" w:type="dxa"/>
            <w:tcBorders>
              <w:top w:val="single" w:color="auto" w:sz="4" w:space="0"/>
              <w:left w:val="single" w:color="auto" w:sz="4" w:space="0"/>
            </w:tcBorders>
            <w:vAlign w:val="center"/>
          </w:tcPr>
          <w:p w14:paraId="12CE251F">
            <w:pPr>
              <w:spacing w:line="360" w:lineRule="exact"/>
              <w:jc w:val="center"/>
              <w:rPr>
                <w:rFonts w:hint="eastAsia" w:ascii="宋体" w:hAnsi="宋体" w:eastAsia="宋体" w:cs="宋体"/>
                <w:sz w:val="24"/>
                <w:szCs w:val="24"/>
              </w:rPr>
            </w:pPr>
            <w:r>
              <w:rPr>
                <w:rFonts w:hint="eastAsia" w:ascii="宋体" w:hAnsi="宋体" w:eastAsia="宋体" w:cs="宋体"/>
                <w:kern w:val="0"/>
                <w:sz w:val="24"/>
                <w:szCs w:val="24"/>
              </w:rPr>
              <w:t>直径ф10mm～ф20mm</w:t>
            </w:r>
          </w:p>
        </w:tc>
        <w:tc>
          <w:tcPr>
            <w:tcW w:w="2552" w:type="dxa"/>
            <w:tcBorders>
              <w:top w:val="single" w:color="auto" w:sz="4" w:space="0"/>
            </w:tcBorders>
            <w:vAlign w:val="center"/>
          </w:tcPr>
          <w:p w14:paraId="0972D61B">
            <w:pPr>
              <w:autoSpaceDE w:val="0"/>
              <w:autoSpaceDN w:val="0"/>
              <w:adjustRightInd w:val="0"/>
              <w:spacing w:line="360" w:lineRule="exact"/>
              <w:jc w:val="left"/>
              <w:rPr>
                <w:rFonts w:hint="eastAsia" w:ascii="宋体" w:hAnsi="宋体" w:eastAsia="宋体" w:cs="宋体"/>
                <w:sz w:val="24"/>
                <w:szCs w:val="24"/>
              </w:rPr>
            </w:pPr>
            <w:r>
              <w:rPr>
                <w:rFonts w:hint="eastAsia" w:ascii="宋体" w:hAnsi="宋体" w:eastAsia="宋体" w:cs="宋体"/>
                <w:kern w:val="0"/>
                <w:sz w:val="24"/>
                <w:szCs w:val="24"/>
              </w:rPr>
              <w:t>每种规格按总数的2％提供备件</w:t>
            </w:r>
          </w:p>
        </w:tc>
        <w:tc>
          <w:tcPr>
            <w:tcW w:w="1275" w:type="dxa"/>
            <w:vAlign w:val="center"/>
          </w:tcPr>
          <w:p w14:paraId="158C73FF">
            <w:pPr>
              <w:spacing w:line="360" w:lineRule="exact"/>
              <w:jc w:val="center"/>
              <w:rPr>
                <w:rFonts w:hint="eastAsia" w:ascii="宋体" w:hAnsi="宋体" w:eastAsia="宋体" w:cs="宋体"/>
                <w:sz w:val="24"/>
                <w:szCs w:val="24"/>
              </w:rPr>
            </w:pPr>
            <w:r>
              <w:rPr>
                <w:rFonts w:hint="eastAsia" w:ascii="宋体" w:hAnsi="宋体" w:eastAsia="宋体" w:cs="宋体"/>
                <w:kern w:val="0"/>
                <w:sz w:val="24"/>
                <w:szCs w:val="24"/>
              </w:rPr>
              <w:t>不少于3件</w:t>
            </w:r>
          </w:p>
        </w:tc>
      </w:tr>
      <w:tr w14:paraId="1D7CD8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17" w:type="dxa"/>
            <w:vMerge w:val="continue"/>
            <w:vAlign w:val="center"/>
          </w:tcPr>
          <w:p w14:paraId="75FD85BF">
            <w:pPr>
              <w:spacing w:line="360" w:lineRule="exact"/>
              <w:jc w:val="center"/>
              <w:rPr>
                <w:rFonts w:hint="eastAsia" w:ascii="宋体" w:hAnsi="宋体" w:eastAsia="宋体" w:cs="宋体"/>
                <w:sz w:val="24"/>
                <w:szCs w:val="24"/>
              </w:rPr>
            </w:pPr>
          </w:p>
        </w:tc>
        <w:tc>
          <w:tcPr>
            <w:tcW w:w="1096" w:type="dxa"/>
            <w:vMerge w:val="continue"/>
            <w:tcBorders>
              <w:right w:val="single" w:color="auto" w:sz="4" w:space="0"/>
            </w:tcBorders>
            <w:vAlign w:val="center"/>
          </w:tcPr>
          <w:p w14:paraId="1A00DCE3">
            <w:pPr>
              <w:spacing w:line="360" w:lineRule="exact"/>
              <w:jc w:val="center"/>
              <w:rPr>
                <w:rFonts w:hint="eastAsia" w:ascii="宋体" w:hAnsi="宋体" w:eastAsia="宋体" w:cs="宋体"/>
                <w:sz w:val="24"/>
                <w:szCs w:val="24"/>
              </w:rPr>
            </w:pPr>
          </w:p>
        </w:tc>
        <w:tc>
          <w:tcPr>
            <w:tcW w:w="851" w:type="dxa"/>
            <w:vMerge w:val="continue"/>
            <w:tcBorders>
              <w:left w:val="single" w:color="auto" w:sz="4" w:space="0"/>
            </w:tcBorders>
            <w:vAlign w:val="center"/>
          </w:tcPr>
          <w:p w14:paraId="2E26A48B">
            <w:pPr>
              <w:spacing w:line="360" w:lineRule="exact"/>
              <w:jc w:val="center"/>
              <w:rPr>
                <w:rFonts w:hint="eastAsia" w:ascii="宋体" w:hAnsi="宋体" w:eastAsia="宋体" w:cs="宋体"/>
                <w:sz w:val="24"/>
              </w:rPr>
            </w:pPr>
          </w:p>
        </w:tc>
        <w:tc>
          <w:tcPr>
            <w:tcW w:w="3118" w:type="dxa"/>
            <w:gridSpan w:val="2"/>
            <w:vAlign w:val="center"/>
          </w:tcPr>
          <w:p w14:paraId="1B832531">
            <w:pPr>
              <w:spacing w:line="360" w:lineRule="exact"/>
              <w:jc w:val="center"/>
              <w:rPr>
                <w:rFonts w:hint="eastAsia" w:ascii="宋体" w:hAnsi="宋体" w:eastAsia="宋体" w:cs="宋体"/>
                <w:sz w:val="24"/>
                <w:szCs w:val="24"/>
              </w:rPr>
            </w:pPr>
            <w:r>
              <w:rPr>
                <w:rFonts w:hint="eastAsia" w:ascii="宋体" w:hAnsi="宋体" w:eastAsia="宋体" w:cs="宋体"/>
                <w:kern w:val="0"/>
                <w:sz w:val="24"/>
                <w:szCs w:val="24"/>
              </w:rPr>
              <w:t>非标准的冲孔凹模镶块</w:t>
            </w:r>
          </w:p>
        </w:tc>
        <w:tc>
          <w:tcPr>
            <w:tcW w:w="2552" w:type="dxa"/>
            <w:vAlign w:val="center"/>
          </w:tcPr>
          <w:p w14:paraId="1136813A">
            <w:pPr>
              <w:autoSpaceDE w:val="0"/>
              <w:autoSpaceDN w:val="0"/>
              <w:adjustRightInd w:val="0"/>
              <w:spacing w:line="360" w:lineRule="exact"/>
              <w:jc w:val="left"/>
              <w:rPr>
                <w:rFonts w:hint="eastAsia" w:ascii="宋体" w:hAnsi="宋体" w:eastAsia="宋体" w:cs="宋体"/>
                <w:sz w:val="24"/>
                <w:szCs w:val="24"/>
              </w:rPr>
            </w:pPr>
            <w:r>
              <w:rPr>
                <w:rFonts w:hint="eastAsia" w:ascii="宋体" w:hAnsi="宋体" w:eastAsia="宋体" w:cs="宋体"/>
                <w:kern w:val="0"/>
                <w:sz w:val="24"/>
                <w:szCs w:val="24"/>
              </w:rPr>
              <w:t>按总数的100％提供备件</w:t>
            </w:r>
          </w:p>
        </w:tc>
        <w:tc>
          <w:tcPr>
            <w:tcW w:w="1275" w:type="dxa"/>
            <w:vAlign w:val="center"/>
          </w:tcPr>
          <w:p w14:paraId="730838ED">
            <w:pPr>
              <w:spacing w:line="360" w:lineRule="exact"/>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w:t>
            </w:r>
          </w:p>
        </w:tc>
      </w:tr>
      <w:tr w14:paraId="18DDA0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2" w:hRule="atLeast"/>
          <w:jc w:val="center"/>
        </w:trPr>
        <w:tc>
          <w:tcPr>
            <w:tcW w:w="817" w:type="dxa"/>
            <w:vMerge w:val="continue"/>
            <w:vAlign w:val="center"/>
          </w:tcPr>
          <w:p w14:paraId="5986CE71">
            <w:pPr>
              <w:spacing w:line="360" w:lineRule="exact"/>
              <w:jc w:val="center"/>
              <w:rPr>
                <w:rFonts w:hint="eastAsia" w:ascii="宋体" w:hAnsi="宋体" w:eastAsia="宋体" w:cs="宋体"/>
                <w:sz w:val="24"/>
                <w:szCs w:val="24"/>
              </w:rPr>
            </w:pPr>
          </w:p>
        </w:tc>
        <w:tc>
          <w:tcPr>
            <w:tcW w:w="1096" w:type="dxa"/>
            <w:vMerge w:val="continue"/>
            <w:tcBorders>
              <w:right w:val="single" w:color="auto" w:sz="4" w:space="0"/>
            </w:tcBorders>
            <w:vAlign w:val="center"/>
          </w:tcPr>
          <w:p w14:paraId="23AABBE4">
            <w:pPr>
              <w:spacing w:line="360" w:lineRule="exact"/>
              <w:jc w:val="center"/>
              <w:rPr>
                <w:rFonts w:hint="eastAsia" w:ascii="宋体" w:hAnsi="宋体" w:eastAsia="宋体" w:cs="宋体"/>
                <w:sz w:val="24"/>
                <w:szCs w:val="24"/>
              </w:rPr>
            </w:pPr>
          </w:p>
        </w:tc>
        <w:tc>
          <w:tcPr>
            <w:tcW w:w="851" w:type="dxa"/>
            <w:vMerge w:val="restart"/>
            <w:tcBorders>
              <w:left w:val="single" w:color="auto" w:sz="4" w:space="0"/>
            </w:tcBorders>
            <w:vAlign w:val="center"/>
          </w:tcPr>
          <w:p w14:paraId="67F6D073">
            <w:pPr>
              <w:spacing w:line="360" w:lineRule="exact"/>
              <w:jc w:val="center"/>
              <w:rPr>
                <w:rFonts w:hint="eastAsia" w:ascii="宋体" w:hAnsi="宋体" w:eastAsia="宋体" w:cs="宋体"/>
                <w:sz w:val="24"/>
              </w:rPr>
            </w:pPr>
            <w:r>
              <w:rPr>
                <w:rFonts w:hint="eastAsia" w:ascii="宋体" w:hAnsi="宋体" w:eastAsia="宋体" w:cs="宋体"/>
                <w:sz w:val="24"/>
              </w:rPr>
              <w:t>异形孔</w:t>
            </w:r>
          </w:p>
        </w:tc>
        <w:tc>
          <w:tcPr>
            <w:tcW w:w="850" w:type="dxa"/>
            <w:vMerge w:val="restart"/>
            <w:tcBorders>
              <w:right w:val="single" w:color="auto" w:sz="4" w:space="0"/>
            </w:tcBorders>
            <w:vAlign w:val="center"/>
          </w:tcPr>
          <w:p w14:paraId="02A7B595">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标准件</w:t>
            </w:r>
          </w:p>
        </w:tc>
        <w:tc>
          <w:tcPr>
            <w:tcW w:w="2268" w:type="dxa"/>
            <w:tcBorders>
              <w:left w:val="single" w:color="auto" w:sz="4" w:space="0"/>
              <w:bottom w:val="single" w:color="auto" w:sz="4" w:space="0"/>
            </w:tcBorders>
            <w:vAlign w:val="center"/>
          </w:tcPr>
          <w:p w14:paraId="76EDB485">
            <w:pPr>
              <w:autoSpaceDE w:val="0"/>
              <w:autoSpaceDN w:val="0"/>
              <w:adjustRightInd w:val="0"/>
              <w:spacing w:line="360" w:lineRule="exact"/>
              <w:jc w:val="center"/>
              <w:rPr>
                <w:rFonts w:hint="eastAsia" w:ascii="宋体" w:hAnsi="宋体" w:eastAsia="宋体" w:cs="宋体"/>
                <w:kern w:val="0"/>
                <w:sz w:val="24"/>
              </w:rPr>
            </w:pPr>
            <w:r>
              <w:rPr>
                <w:rFonts w:hint="eastAsia" w:ascii="宋体" w:hAnsi="宋体" w:eastAsia="宋体" w:cs="宋体"/>
                <w:kern w:val="0"/>
                <w:sz w:val="24"/>
                <w:szCs w:val="24"/>
              </w:rPr>
              <w:t>长边尺寸小于12mm</w:t>
            </w:r>
          </w:p>
        </w:tc>
        <w:tc>
          <w:tcPr>
            <w:tcW w:w="2552" w:type="dxa"/>
            <w:tcBorders>
              <w:bottom w:val="single" w:color="auto" w:sz="4" w:space="0"/>
            </w:tcBorders>
            <w:vAlign w:val="center"/>
          </w:tcPr>
          <w:p w14:paraId="183356A5">
            <w:pPr>
              <w:spacing w:line="360" w:lineRule="exact"/>
              <w:jc w:val="left"/>
              <w:rPr>
                <w:rFonts w:hint="eastAsia" w:ascii="宋体" w:hAnsi="宋体" w:eastAsia="宋体" w:cs="宋体"/>
                <w:sz w:val="24"/>
                <w:szCs w:val="24"/>
              </w:rPr>
            </w:pPr>
            <w:r>
              <w:rPr>
                <w:rFonts w:hint="eastAsia" w:ascii="宋体" w:hAnsi="宋体" w:eastAsia="宋体" w:cs="宋体"/>
                <w:kern w:val="0"/>
                <w:sz w:val="24"/>
                <w:szCs w:val="24"/>
              </w:rPr>
              <w:t>每种规格按总数的3％提供备件</w:t>
            </w:r>
          </w:p>
        </w:tc>
        <w:tc>
          <w:tcPr>
            <w:tcW w:w="1275" w:type="dxa"/>
            <w:vAlign w:val="center"/>
          </w:tcPr>
          <w:p w14:paraId="048FB9F5">
            <w:pPr>
              <w:spacing w:line="360" w:lineRule="exact"/>
              <w:jc w:val="center"/>
              <w:rPr>
                <w:rFonts w:hint="eastAsia" w:ascii="宋体" w:hAnsi="宋体" w:eastAsia="宋体" w:cs="宋体"/>
                <w:sz w:val="24"/>
                <w:szCs w:val="24"/>
              </w:rPr>
            </w:pPr>
            <w:r>
              <w:rPr>
                <w:rFonts w:hint="eastAsia" w:ascii="宋体" w:hAnsi="宋体" w:eastAsia="宋体" w:cs="宋体"/>
                <w:kern w:val="0"/>
                <w:sz w:val="24"/>
                <w:szCs w:val="24"/>
              </w:rPr>
              <w:t>不少于5件</w:t>
            </w:r>
          </w:p>
        </w:tc>
      </w:tr>
      <w:tr w14:paraId="2A1A3B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07" w:hRule="atLeast"/>
          <w:jc w:val="center"/>
        </w:trPr>
        <w:tc>
          <w:tcPr>
            <w:tcW w:w="817" w:type="dxa"/>
            <w:vMerge w:val="continue"/>
            <w:vAlign w:val="center"/>
          </w:tcPr>
          <w:p w14:paraId="096161AE">
            <w:pPr>
              <w:spacing w:line="360" w:lineRule="exact"/>
              <w:jc w:val="center"/>
              <w:rPr>
                <w:rFonts w:hint="eastAsia" w:ascii="宋体" w:hAnsi="宋体" w:eastAsia="宋体" w:cs="宋体"/>
                <w:sz w:val="24"/>
                <w:szCs w:val="24"/>
              </w:rPr>
            </w:pPr>
          </w:p>
        </w:tc>
        <w:tc>
          <w:tcPr>
            <w:tcW w:w="1096" w:type="dxa"/>
            <w:vMerge w:val="continue"/>
            <w:tcBorders>
              <w:right w:val="single" w:color="auto" w:sz="4" w:space="0"/>
            </w:tcBorders>
            <w:vAlign w:val="center"/>
          </w:tcPr>
          <w:p w14:paraId="77ECF406">
            <w:pPr>
              <w:spacing w:line="360" w:lineRule="exact"/>
              <w:jc w:val="center"/>
              <w:rPr>
                <w:rFonts w:hint="eastAsia" w:ascii="宋体" w:hAnsi="宋体" w:eastAsia="宋体" w:cs="宋体"/>
                <w:sz w:val="24"/>
                <w:szCs w:val="24"/>
              </w:rPr>
            </w:pPr>
          </w:p>
        </w:tc>
        <w:tc>
          <w:tcPr>
            <w:tcW w:w="851" w:type="dxa"/>
            <w:vMerge w:val="continue"/>
            <w:tcBorders>
              <w:left w:val="single" w:color="auto" w:sz="4" w:space="0"/>
            </w:tcBorders>
            <w:vAlign w:val="center"/>
          </w:tcPr>
          <w:p w14:paraId="585A83A3">
            <w:pPr>
              <w:spacing w:line="360" w:lineRule="exact"/>
              <w:jc w:val="center"/>
              <w:rPr>
                <w:rFonts w:hint="eastAsia" w:ascii="宋体" w:hAnsi="宋体" w:eastAsia="宋体" w:cs="宋体"/>
                <w:sz w:val="24"/>
              </w:rPr>
            </w:pPr>
          </w:p>
        </w:tc>
        <w:tc>
          <w:tcPr>
            <w:tcW w:w="850" w:type="dxa"/>
            <w:vMerge w:val="continue"/>
            <w:tcBorders>
              <w:right w:val="single" w:color="auto" w:sz="4" w:space="0"/>
            </w:tcBorders>
            <w:vAlign w:val="center"/>
          </w:tcPr>
          <w:p w14:paraId="2378EEFD">
            <w:pPr>
              <w:spacing w:line="360" w:lineRule="exact"/>
              <w:jc w:val="center"/>
              <w:rPr>
                <w:rFonts w:hint="eastAsia" w:ascii="宋体" w:hAnsi="宋体" w:eastAsia="宋体" w:cs="宋体"/>
                <w:sz w:val="24"/>
                <w:szCs w:val="24"/>
              </w:rPr>
            </w:pPr>
          </w:p>
        </w:tc>
        <w:tc>
          <w:tcPr>
            <w:tcW w:w="2268" w:type="dxa"/>
            <w:tcBorders>
              <w:top w:val="single" w:color="auto" w:sz="4" w:space="0"/>
              <w:left w:val="single" w:color="auto" w:sz="4" w:space="0"/>
            </w:tcBorders>
            <w:vAlign w:val="center"/>
          </w:tcPr>
          <w:p w14:paraId="71753387">
            <w:pPr>
              <w:spacing w:line="360" w:lineRule="exact"/>
              <w:jc w:val="center"/>
              <w:rPr>
                <w:rFonts w:hint="eastAsia" w:ascii="宋体" w:hAnsi="宋体" w:eastAsia="宋体" w:cs="宋体"/>
                <w:sz w:val="24"/>
                <w:szCs w:val="24"/>
              </w:rPr>
            </w:pPr>
            <w:r>
              <w:rPr>
                <w:rFonts w:hint="eastAsia" w:ascii="宋体" w:hAnsi="宋体" w:eastAsia="宋体" w:cs="宋体"/>
                <w:kern w:val="0"/>
                <w:sz w:val="24"/>
                <w:szCs w:val="24"/>
              </w:rPr>
              <w:t>长边尺寸12～24mm</w:t>
            </w:r>
          </w:p>
        </w:tc>
        <w:tc>
          <w:tcPr>
            <w:tcW w:w="2552" w:type="dxa"/>
            <w:tcBorders>
              <w:top w:val="single" w:color="auto" w:sz="4" w:space="0"/>
            </w:tcBorders>
            <w:vAlign w:val="center"/>
          </w:tcPr>
          <w:p w14:paraId="3846B728">
            <w:pPr>
              <w:spacing w:line="360" w:lineRule="exact"/>
              <w:jc w:val="left"/>
              <w:rPr>
                <w:rFonts w:hint="eastAsia" w:ascii="宋体" w:hAnsi="宋体" w:eastAsia="宋体" w:cs="宋体"/>
                <w:sz w:val="24"/>
                <w:szCs w:val="24"/>
              </w:rPr>
            </w:pPr>
            <w:r>
              <w:rPr>
                <w:rFonts w:hint="eastAsia" w:ascii="宋体" w:hAnsi="宋体" w:eastAsia="宋体" w:cs="宋体"/>
                <w:kern w:val="0"/>
                <w:sz w:val="24"/>
                <w:szCs w:val="24"/>
              </w:rPr>
              <w:t>每种规格按总数的2％提供备件</w:t>
            </w:r>
          </w:p>
        </w:tc>
        <w:tc>
          <w:tcPr>
            <w:tcW w:w="1275" w:type="dxa"/>
            <w:vAlign w:val="center"/>
          </w:tcPr>
          <w:p w14:paraId="0BED4FC7">
            <w:pPr>
              <w:spacing w:line="360" w:lineRule="exact"/>
              <w:jc w:val="center"/>
              <w:rPr>
                <w:rFonts w:hint="eastAsia" w:ascii="宋体" w:hAnsi="宋体" w:eastAsia="宋体" w:cs="宋体"/>
                <w:sz w:val="24"/>
                <w:szCs w:val="24"/>
              </w:rPr>
            </w:pPr>
            <w:r>
              <w:rPr>
                <w:rFonts w:hint="eastAsia" w:ascii="宋体" w:hAnsi="宋体" w:eastAsia="宋体" w:cs="宋体"/>
                <w:kern w:val="0"/>
                <w:sz w:val="24"/>
                <w:szCs w:val="24"/>
              </w:rPr>
              <w:t>不少于3件</w:t>
            </w:r>
          </w:p>
        </w:tc>
      </w:tr>
      <w:tr w14:paraId="184044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17" w:type="dxa"/>
            <w:vMerge w:val="continue"/>
            <w:vAlign w:val="center"/>
          </w:tcPr>
          <w:p w14:paraId="4B654AB6">
            <w:pPr>
              <w:spacing w:line="360" w:lineRule="exact"/>
              <w:jc w:val="center"/>
              <w:rPr>
                <w:rFonts w:hint="eastAsia" w:ascii="宋体" w:hAnsi="宋体" w:eastAsia="宋体" w:cs="宋体"/>
                <w:sz w:val="24"/>
                <w:szCs w:val="24"/>
              </w:rPr>
            </w:pPr>
          </w:p>
        </w:tc>
        <w:tc>
          <w:tcPr>
            <w:tcW w:w="1096" w:type="dxa"/>
            <w:vMerge w:val="continue"/>
            <w:tcBorders>
              <w:right w:val="single" w:color="auto" w:sz="4" w:space="0"/>
            </w:tcBorders>
            <w:vAlign w:val="center"/>
          </w:tcPr>
          <w:p w14:paraId="07F00ABA">
            <w:pPr>
              <w:spacing w:line="360" w:lineRule="exact"/>
              <w:jc w:val="center"/>
              <w:rPr>
                <w:rFonts w:hint="eastAsia" w:ascii="宋体" w:hAnsi="宋体" w:eastAsia="宋体" w:cs="宋体"/>
                <w:sz w:val="24"/>
                <w:szCs w:val="24"/>
              </w:rPr>
            </w:pPr>
          </w:p>
        </w:tc>
        <w:tc>
          <w:tcPr>
            <w:tcW w:w="851" w:type="dxa"/>
            <w:vMerge w:val="continue"/>
            <w:tcBorders>
              <w:left w:val="single" w:color="auto" w:sz="4" w:space="0"/>
            </w:tcBorders>
            <w:vAlign w:val="center"/>
          </w:tcPr>
          <w:p w14:paraId="1ED8368C">
            <w:pPr>
              <w:spacing w:line="360" w:lineRule="exact"/>
              <w:jc w:val="center"/>
              <w:rPr>
                <w:rFonts w:hint="eastAsia" w:ascii="宋体" w:hAnsi="宋体" w:eastAsia="宋体" w:cs="宋体"/>
                <w:sz w:val="24"/>
                <w:szCs w:val="24"/>
              </w:rPr>
            </w:pPr>
          </w:p>
        </w:tc>
        <w:tc>
          <w:tcPr>
            <w:tcW w:w="3118" w:type="dxa"/>
            <w:gridSpan w:val="2"/>
            <w:vAlign w:val="center"/>
          </w:tcPr>
          <w:p w14:paraId="67B15C71">
            <w:pPr>
              <w:spacing w:line="360" w:lineRule="exact"/>
              <w:jc w:val="center"/>
              <w:rPr>
                <w:rFonts w:hint="eastAsia" w:ascii="宋体" w:hAnsi="宋体" w:eastAsia="宋体" w:cs="宋体"/>
                <w:sz w:val="24"/>
                <w:szCs w:val="24"/>
              </w:rPr>
            </w:pPr>
            <w:r>
              <w:rPr>
                <w:rFonts w:hint="eastAsia" w:ascii="宋体" w:hAnsi="宋体" w:eastAsia="宋体" w:cs="宋体"/>
                <w:kern w:val="0"/>
                <w:sz w:val="24"/>
                <w:szCs w:val="24"/>
              </w:rPr>
              <w:t>非标准的冲孔凹模镶块</w:t>
            </w:r>
          </w:p>
        </w:tc>
        <w:tc>
          <w:tcPr>
            <w:tcW w:w="2552" w:type="dxa"/>
          </w:tcPr>
          <w:p w14:paraId="1A34551D">
            <w:pPr>
              <w:autoSpaceDE w:val="0"/>
              <w:autoSpaceDN w:val="0"/>
              <w:adjustRightInd w:val="0"/>
              <w:spacing w:line="360" w:lineRule="exact"/>
              <w:jc w:val="left"/>
              <w:rPr>
                <w:rFonts w:hint="eastAsia" w:ascii="宋体" w:hAnsi="宋体" w:eastAsia="宋体" w:cs="宋体"/>
                <w:kern w:val="0"/>
                <w:sz w:val="24"/>
              </w:rPr>
            </w:pPr>
            <w:r>
              <w:rPr>
                <w:rFonts w:hint="eastAsia" w:ascii="宋体" w:hAnsi="宋体" w:eastAsia="宋体" w:cs="宋体"/>
                <w:kern w:val="0"/>
                <w:sz w:val="24"/>
                <w:szCs w:val="24"/>
              </w:rPr>
              <w:t>按总数的100％提供备件</w:t>
            </w:r>
          </w:p>
        </w:tc>
        <w:tc>
          <w:tcPr>
            <w:tcW w:w="1275" w:type="dxa"/>
            <w:vAlign w:val="center"/>
          </w:tcPr>
          <w:p w14:paraId="64B1E8E3">
            <w:pPr>
              <w:spacing w:line="360" w:lineRule="exact"/>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w:t>
            </w:r>
          </w:p>
        </w:tc>
      </w:tr>
      <w:tr w14:paraId="0D3714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9709" w:type="dxa"/>
            <w:gridSpan w:val="7"/>
            <w:vAlign w:val="center"/>
          </w:tcPr>
          <w:p w14:paraId="749F1B3D">
            <w:pPr>
              <w:spacing w:line="360" w:lineRule="exact"/>
              <w:jc w:val="left"/>
              <w:rPr>
                <w:rFonts w:hint="eastAsia" w:ascii="宋体" w:hAnsi="宋体" w:eastAsia="宋体" w:cs="宋体"/>
                <w:sz w:val="24"/>
              </w:rPr>
            </w:pPr>
            <w:r>
              <w:rPr>
                <w:rFonts w:hint="eastAsia" w:ascii="宋体" w:hAnsi="宋体" w:eastAsia="宋体" w:cs="宋体"/>
                <w:sz w:val="24"/>
              </w:rPr>
              <w:t>备注：</w:t>
            </w:r>
          </w:p>
          <w:p w14:paraId="16E4F982">
            <w:pPr>
              <w:spacing w:line="360" w:lineRule="exact"/>
              <w:jc w:val="left"/>
              <w:rPr>
                <w:rFonts w:hint="eastAsia" w:ascii="宋体" w:hAnsi="宋体" w:eastAsia="宋体" w:cs="宋体"/>
                <w:sz w:val="24"/>
              </w:rPr>
            </w:pPr>
            <w:r>
              <w:rPr>
                <w:rFonts w:hint="eastAsia" w:ascii="宋体" w:hAnsi="宋体" w:eastAsia="宋体" w:cs="宋体"/>
                <w:sz w:val="24"/>
              </w:rPr>
              <w:t xml:space="preserve">  1）备件上应有标准、规格、型号标识，并按规格分类包装，包装袋外侧应有备件明细。</w:t>
            </w:r>
          </w:p>
          <w:p w14:paraId="6944BDED">
            <w:pPr>
              <w:spacing w:line="360" w:lineRule="exact"/>
              <w:jc w:val="left"/>
              <w:rPr>
                <w:rFonts w:hint="eastAsia" w:ascii="宋体" w:hAnsi="宋体" w:eastAsia="宋体" w:cs="宋体"/>
                <w:sz w:val="24"/>
                <w:szCs w:val="24"/>
              </w:rPr>
            </w:pPr>
            <w:r>
              <w:rPr>
                <w:rFonts w:hint="eastAsia" w:ascii="宋体" w:hAnsi="宋体" w:eastAsia="宋体" w:cs="宋体"/>
                <w:sz w:val="24"/>
              </w:rPr>
              <w:t xml:space="preserve">  2）易损备件随模具一起交货。</w:t>
            </w:r>
          </w:p>
        </w:tc>
      </w:tr>
    </w:tbl>
    <w:p w14:paraId="1525BEF0">
      <w:pPr>
        <w:spacing w:line="360" w:lineRule="exact"/>
        <w:ind w:firstLine="465"/>
        <w:rPr>
          <w:rFonts w:hint="eastAsia" w:ascii="宋体" w:hAnsi="宋体" w:eastAsia="宋体" w:cs="宋体"/>
          <w:b/>
          <w:sz w:val="24"/>
        </w:rPr>
      </w:pPr>
      <w:r>
        <w:rPr>
          <w:rFonts w:hint="eastAsia" w:ascii="宋体" w:hAnsi="宋体" w:eastAsia="宋体" w:cs="宋体"/>
          <w:b/>
          <w:sz w:val="24"/>
        </w:rPr>
        <w:t>8、关于中标方项目管理的要求</w:t>
      </w:r>
    </w:p>
    <w:p w14:paraId="641AB515">
      <w:pPr>
        <w:widowControl/>
        <w:spacing w:line="360" w:lineRule="exact"/>
        <w:ind w:firstLine="422" w:firstLineChars="175"/>
        <w:jc w:val="left"/>
        <w:rPr>
          <w:rFonts w:hint="eastAsia" w:ascii="宋体" w:hAnsi="宋体" w:eastAsia="宋体" w:cs="宋体"/>
          <w:b/>
          <w:kern w:val="0"/>
          <w:sz w:val="24"/>
        </w:rPr>
      </w:pPr>
      <w:r>
        <w:rPr>
          <w:rFonts w:hint="eastAsia" w:ascii="宋体" w:hAnsi="宋体" w:eastAsia="宋体" w:cs="宋体"/>
          <w:b/>
          <w:kern w:val="0"/>
          <w:sz w:val="24"/>
        </w:rPr>
        <w:t>8.1 项目管理组织</w:t>
      </w:r>
    </w:p>
    <w:p w14:paraId="6FA1D3CC">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8.1.1 对投标方参与本项目的人员的要求，包括但不限于项目经理，项目管理团队，设计人员，加工管理人员，调试人员，质保人员。</w:t>
      </w:r>
    </w:p>
    <w:p w14:paraId="2E472BE7">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8.1.2 项目期间，未经招标方书面许可，投标方不得中途更换项目经理。</w:t>
      </w:r>
    </w:p>
    <w:p w14:paraId="7B6BFAE1">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8.1.3 项目期间，投标方的项目组80%的人员在项目过程不得变动。招标方有权随时要求投标方更换招标方认为不适合的投标方项目参与人员。在招标方提供出充分理由的情况下，投标方应予以无条件配合。</w:t>
      </w:r>
    </w:p>
    <w:p w14:paraId="78849241">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8.1.4 投标方必须提供管理组织结构图，要求包括参与人员的名字、年龄、学历、工作经历以及项目角色等信息。</w:t>
      </w:r>
    </w:p>
    <w:p w14:paraId="10EBC605">
      <w:pPr>
        <w:widowControl/>
        <w:spacing w:line="360" w:lineRule="exact"/>
        <w:ind w:firstLine="422" w:firstLineChars="175"/>
        <w:jc w:val="left"/>
        <w:rPr>
          <w:rFonts w:hint="eastAsia" w:ascii="宋体" w:hAnsi="宋体" w:eastAsia="宋体" w:cs="宋体"/>
          <w:b/>
          <w:kern w:val="0"/>
          <w:sz w:val="24"/>
        </w:rPr>
      </w:pPr>
      <w:r>
        <w:rPr>
          <w:rFonts w:hint="eastAsia" w:ascii="宋体" w:hAnsi="宋体" w:eastAsia="宋体" w:cs="宋体"/>
          <w:b/>
          <w:kern w:val="0"/>
          <w:sz w:val="24"/>
        </w:rPr>
        <w:t>8.2 项目沟通的要求</w:t>
      </w:r>
    </w:p>
    <w:p w14:paraId="401871C7">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8.2.1投标方在收到中标通知后5个工作日内，根据招标方项目进度要求制订详细的设计制造计划提交给招标方确认。</w:t>
      </w:r>
    </w:p>
    <w:p w14:paraId="04D1AF78">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8.2.2甲乙双方每周固定约定一天，由投标方向招标方反馈项目的进度情况，包括项目总体汇报、项目进度汇报以及图片。如果发生项目拖期的情况，要求投标方同时反馈挽回计划以及挽回的情况。</w:t>
      </w:r>
    </w:p>
    <w:p w14:paraId="7B454FB4">
      <w:pPr>
        <w:spacing w:line="360" w:lineRule="exact"/>
        <w:ind w:firstLine="465"/>
        <w:rPr>
          <w:rFonts w:hint="eastAsia" w:ascii="宋体" w:hAnsi="宋体" w:eastAsia="宋体" w:cs="宋体"/>
          <w:b/>
          <w:sz w:val="24"/>
        </w:rPr>
      </w:pPr>
      <w:bookmarkStart w:id="39" w:name="_Toc3283"/>
      <w:bookmarkStart w:id="40" w:name="_Toc514853267"/>
      <w:r>
        <w:rPr>
          <w:rFonts w:hint="eastAsia" w:ascii="宋体" w:hAnsi="宋体" w:eastAsia="宋体" w:cs="宋体"/>
          <w:b/>
          <w:sz w:val="24"/>
        </w:rPr>
        <w:t>9.培训、保修和终验收后的技术服务</w:t>
      </w:r>
      <w:bookmarkEnd w:id="39"/>
      <w:bookmarkEnd w:id="40"/>
    </w:p>
    <w:p w14:paraId="2D0FA6AD">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9.1 模具到招标方后,投标方需派遣人员在招标方现场对招标方人员进行模具安装调试、操作、维修及冲压件、板件测量检验方法等技能培训。上述培训应持续至招标方操作及维修人员完全掌握模具的使用为止，且费用由投标方承担。</w:t>
      </w:r>
    </w:p>
    <w:p w14:paraId="4C79FF1B">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9.2 现场服务内容及范围包括：现场安装、调试的技术准备；指导并参与现场安装、调试和试运行工作；处理安装、调试和试运行工作中出现的各种问题；检验调试、生产产品的精度及与设计的符合性等。</w:t>
      </w:r>
    </w:p>
    <w:p w14:paraId="530D9A8D">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9.3本项目终验收起一年内为项目质保期，投标方需在质保期内保证模具运行良好，且投标方提供免费维修服务。</w:t>
      </w:r>
    </w:p>
    <w:p w14:paraId="4BEEE8B7">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9.4在质保期内,正常使用条件下,投标方对模具出现的故障提供免费维修,零部件损坏须及时免费更换，投标方需自备安装调试及维修用工具。</w:t>
      </w:r>
    </w:p>
    <w:p w14:paraId="276297FD">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9.5 质保期内，投标方在收到招标方关于模具故障通知后，能以通讯方式解决的故障，2小时之内给予答复；不能以通讯方式解决的故障，投标方维修人员应在24小时内到达招标方现场，并确保对一般问题在此期限内排除故障。需维修与更换缺陷部件的故障，投标方维修人员应在到达货物使用方现场后2个日历日内解决。倘若投标方未能履行上述服务的，招标方有权自行或委托有能力的第三方对货物进行维修，所需的费用由投标方承担。</w:t>
      </w:r>
    </w:p>
    <w:p w14:paraId="0C6D80C8">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9.6 质量保证期不含投标方对其交付物的排故时间，即在质量保证期内由投标方原因导致故障，质量保证期顺延，且更换的零件保质期自更换日起开始计算。</w:t>
      </w:r>
    </w:p>
    <w:p w14:paraId="5FF23127">
      <w:pPr>
        <w:spacing w:line="360" w:lineRule="exact"/>
        <w:ind w:firstLine="482" w:firstLineChars="200"/>
        <w:rPr>
          <w:rFonts w:hint="eastAsia" w:ascii="宋体" w:hAnsi="宋体" w:eastAsia="宋体" w:cs="宋体"/>
          <w:b/>
          <w:sz w:val="24"/>
        </w:rPr>
      </w:pPr>
      <w:bookmarkStart w:id="41" w:name="_Toc514853268"/>
      <w:bookmarkStart w:id="42" w:name="_Toc30996"/>
      <w:r>
        <w:rPr>
          <w:rFonts w:hint="eastAsia" w:ascii="宋体" w:hAnsi="宋体" w:eastAsia="宋体" w:cs="宋体"/>
          <w:b/>
          <w:sz w:val="24"/>
        </w:rPr>
        <w:t>10、其它条款</w:t>
      </w:r>
      <w:bookmarkEnd w:id="41"/>
      <w:bookmarkEnd w:id="42"/>
    </w:p>
    <w:p w14:paraId="69547D5B">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10.1 关于设变及设变费用的说明</w:t>
      </w:r>
    </w:p>
    <w:p w14:paraId="695A043E">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10.1.1要求投标方报价详细到每一套模具的重量及价格。</w:t>
      </w:r>
    </w:p>
    <w:p w14:paraId="3D61A5DA">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 xml:space="preserve">10.1.2中标通知发出后，若发生模具套数的增加，由投标方提出设变申请，经招标方审核确认后执行，费用由投标方承担。在满足工艺使用要求下，招标方鼓励模具套数减少。 </w:t>
      </w:r>
    </w:p>
    <w:p w14:paraId="6624622D">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10.1.3若因招标方零件产品数量减少，而发生的模具数量减少，由招标方直接扣除相应模具投标报价费用。</w:t>
      </w:r>
    </w:p>
    <w:p w14:paraId="1CD74B37">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10.1.4 招标方设变发生在模具投铸之前，不计设变费用。</w:t>
      </w:r>
    </w:p>
    <w:p w14:paraId="0A6D41EB">
      <w:pPr>
        <w:widowControl/>
        <w:spacing w:line="360" w:lineRule="exact"/>
        <w:ind w:firstLine="420" w:firstLineChars="175"/>
        <w:rPr>
          <w:rFonts w:hint="eastAsia" w:ascii="宋体" w:hAnsi="宋体" w:eastAsia="宋体" w:cs="宋体"/>
          <w:kern w:val="0"/>
          <w:sz w:val="24"/>
        </w:rPr>
      </w:pPr>
      <w:r>
        <w:rPr>
          <w:rFonts w:hint="eastAsia" w:ascii="宋体" w:hAnsi="宋体" w:eastAsia="宋体" w:cs="宋体"/>
          <w:kern w:val="0"/>
          <w:sz w:val="24"/>
        </w:rPr>
        <w:t>1</w:t>
      </w:r>
      <w:r>
        <w:rPr>
          <w:rFonts w:ascii="宋体" w:hAnsi="宋体" w:eastAsia="宋体" w:cs="宋体"/>
          <w:kern w:val="0"/>
          <w:sz w:val="24"/>
        </w:rPr>
        <w:t>0.1.5招标方设变发生在投标方模具投铸之后</w:t>
      </w:r>
      <w:r>
        <w:rPr>
          <w:rFonts w:hint="eastAsia" w:ascii="宋体" w:hAnsi="宋体" w:eastAsia="宋体" w:cs="宋体"/>
          <w:kern w:val="0"/>
          <w:sz w:val="24"/>
        </w:rPr>
        <w:t>，</w:t>
      </w:r>
      <w:r>
        <w:rPr>
          <w:rFonts w:ascii="宋体" w:hAnsi="宋体" w:eastAsia="宋体" w:cs="宋体"/>
          <w:kern w:val="0"/>
          <w:sz w:val="24"/>
        </w:rPr>
        <w:t>若对后续制造工作（如加工）没有</w:t>
      </w:r>
      <w:r>
        <w:rPr>
          <w:rFonts w:hint="eastAsia" w:ascii="宋体" w:hAnsi="宋体" w:eastAsia="宋体" w:cs="宋体"/>
          <w:kern w:val="0"/>
          <w:sz w:val="24"/>
        </w:rPr>
        <w:t>影响</w:t>
      </w:r>
      <w:r>
        <w:rPr>
          <w:rFonts w:ascii="宋体" w:hAnsi="宋体" w:eastAsia="宋体" w:cs="宋体"/>
          <w:kern w:val="0"/>
          <w:sz w:val="24"/>
        </w:rPr>
        <w:t>，不计设变费用。若影响后续制造工作产生费用，或因招标方产品变化，发生模具增加而产生费用，全部费用在模具总费用3％（含）以内的部分，费用由投标方承担</w:t>
      </w:r>
      <w:r>
        <w:rPr>
          <w:rFonts w:hint="eastAsia" w:ascii="宋体" w:hAnsi="宋体" w:eastAsia="宋体" w:cs="宋体"/>
          <w:kern w:val="0"/>
          <w:sz w:val="24"/>
        </w:rPr>
        <w:t>。</w:t>
      </w:r>
    </w:p>
    <w:p w14:paraId="1C868C0C">
      <w:pPr>
        <w:widowControl/>
        <w:spacing w:line="360" w:lineRule="exact"/>
        <w:ind w:firstLine="420" w:firstLineChars="175"/>
        <w:rPr>
          <w:rFonts w:hint="eastAsia" w:ascii="宋体" w:hAnsi="宋体" w:eastAsia="宋体" w:cs="宋体"/>
          <w:kern w:val="0"/>
          <w:sz w:val="24"/>
        </w:rPr>
      </w:pPr>
      <w:r>
        <w:rPr>
          <w:rFonts w:ascii="宋体" w:hAnsi="宋体" w:eastAsia="宋体" w:cs="宋体"/>
          <w:kern w:val="0"/>
          <w:sz w:val="24"/>
        </w:rPr>
        <w:t>10.1.6新增产品（投标工艺方案</w:t>
      </w:r>
      <w:r>
        <w:rPr>
          <w:rFonts w:hint="eastAsia" w:ascii="宋体" w:hAnsi="宋体" w:eastAsia="宋体" w:cs="宋体"/>
          <w:kern w:val="0"/>
          <w:sz w:val="24"/>
        </w:rPr>
        <w:t>以</w:t>
      </w:r>
      <w:r>
        <w:rPr>
          <w:rFonts w:ascii="宋体" w:hAnsi="宋体" w:eastAsia="宋体" w:cs="宋体"/>
          <w:kern w:val="0"/>
          <w:sz w:val="24"/>
        </w:rPr>
        <w:t>外）模具费用按模具实际出厂重量与中标单吨价格的乘积（中标单吨价格</w:t>
      </w:r>
      <w:r>
        <w:rPr>
          <w:rFonts w:hint="eastAsia" w:ascii="宋体" w:hAnsi="宋体" w:eastAsia="宋体" w:cs="宋体"/>
          <w:kern w:val="0"/>
          <w:sz w:val="24"/>
        </w:rPr>
        <w:t>=</w:t>
      </w:r>
      <w:r>
        <w:rPr>
          <w:rFonts w:ascii="宋体" w:hAnsi="宋体" w:eastAsia="宋体" w:cs="宋体"/>
          <w:kern w:val="0"/>
          <w:sz w:val="24"/>
        </w:rPr>
        <w:t>最终中标总价格/投标报价中模具总重量）。</w:t>
      </w:r>
    </w:p>
    <w:p w14:paraId="70B75A42">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10.1.6若因投标方提出产品设计变更要求，投标方需向招标方提出书面申请（含工艺分析报告），招标方确认后方可实施，但不计设变费用。</w:t>
      </w:r>
    </w:p>
    <w:p w14:paraId="450E9521">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10.2.关于模具重量：</w:t>
      </w:r>
    </w:p>
    <w:p w14:paraId="5B7BF644">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w:t>
      </w:r>
      <w:r>
        <w:rPr>
          <w:rFonts w:ascii="宋体" w:hAnsi="宋体" w:eastAsia="宋体" w:cs="宋体"/>
          <w:kern w:val="0"/>
          <w:sz w:val="24"/>
        </w:rPr>
        <w:t>0.2.1</w:t>
      </w:r>
      <w:r>
        <w:rPr>
          <w:rFonts w:hint="eastAsia" w:ascii="宋体" w:hAnsi="宋体" w:eastAsia="宋体" w:cs="宋体"/>
          <w:kern w:val="0"/>
          <w:sz w:val="24"/>
        </w:rPr>
        <w:t>模具预验收完成并运抵甲方工厂后，甲方对全部模具进行称重，如每组模具的重量少于每组模具理论重量的3%(含)，每组模具的合同价格需要重新核算，按模具实际出厂重量与中标单吨价格的乘积（中标单吨价格=最终中标总价格/投标报价中模具总重量）。</w:t>
      </w:r>
    </w:p>
    <w:p w14:paraId="3DA38265">
      <w:pPr>
        <w:widowControl/>
        <w:spacing w:line="360" w:lineRule="exact"/>
        <w:ind w:firstLine="420" w:firstLineChars="175"/>
        <w:jc w:val="left"/>
        <w:rPr>
          <w:rFonts w:hint="eastAsia" w:ascii="宋体" w:hAnsi="宋体" w:eastAsia="宋体" w:cs="宋体"/>
          <w:kern w:val="0"/>
          <w:sz w:val="24"/>
        </w:rPr>
      </w:pPr>
      <w:r>
        <w:rPr>
          <w:rFonts w:ascii="宋体" w:hAnsi="宋体" w:eastAsia="宋体" w:cs="宋体"/>
          <w:kern w:val="0"/>
          <w:sz w:val="24"/>
        </w:rPr>
        <w:t xml:space="preserve">10.2.2 </w:t>
      </w:r>
      <w:r>
        <w:rPr>
          <w:rFonts w:hint="eastAsia" w:ascii="宋体" w:hAnsi="宋体" w:eastAsia="宋体" w:cs="宋体"/>
          <w:kern w:val="0"/>
          <w:sz w:val="24"/>
        </w:rPr>
        <w:t>投</w:t>
      </w:r>
      <w:r>
        <w:rPr>
          <w:rFonts w:ascii="宋体" w:hAnsi="宋体" w:eastAsia="宋体" w:cs="宋体"/>
          <w:kern w:val="0"/>
          <w:sz w:val="24"/>
        </w:rPr>
        <w:t>标方负责对投标工艺方案中重量负责，超出合同商定部分的重量（不包含设变和新增件引起的模具重量增加）由投标方承担</w:t>
      </w:r>
      <w:r>
        <w:rPr>
          <w:rFonts w:hint="eastAsia" w:ascii="宋体" w:hAnsi="宋体" w:eastAsia="宋体" w:cs="宋体"/>
          <w:kern w:val="0"/>
          <w:sz w:val="24"/>
        </w:rPr>
        <w:t>。</w:t>
      </w:r>
    </w:p>
    <w:p w14:paraId="44CE218D">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10.3调试板料</w:t>
      </w:r>
    </w:p>
    <w:p w14:paraId="32E9F54A">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 xml:space="preserve">10.3.1关于调试板料：由乙方自行购买。 </w:t>
      </w:r>
    </w:p>
    <w:p w14:paraId="5473F445">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10.3.2板料及样件运输费用包含在总合同费用之内。</w:t>
      </w:r>
    </w:p>
    <w:p w14:paraId="7F6ED37A">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10.5关于不能准时交付的说明</w:t>
      </w:r>
    </w:p>
    <w:p w14:paraId="59B3FC69">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10.5.1如果因投标方原因模具不能在规定周期内交付,招标方装车所需样件由投标方负责免费生产及运输，且投标方承担相应的商务责任。</w:t>
      </w:r>
    </w:p>
    <w:p w14:paraId="68E7232E">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10.6关于保密的说明</w:t>
      </w:r>
    </w:p>
    <w:p w14:paraId="063D9027">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投标方对招标方提供的汽车产品数模、数据及相关技术资料负有保密责任，投标方负有保密责任，违者将按保密协议（详见</w:t>
      </w:r>
      <w:r>
        <w:rPr>
          <w:rFonts w:hint="eastAsia" w:ascii="宋体" w:hAnsi="宋体" w:eastAsia="宋体" w:cs="宋体"/>
          <w:kern w:val="0"/>
          <w:sz w:val="24"/>
          <w:lang w:val="en-US" w:eastAsia="zh-CN"/>
        </w:rPr>
        <w:t>技术协议</w:t>
      </w:r>
      <w:r>
        <w:rPr>
          <w:rFonts w:hint="eastAsia" w:ascii="宋体" w:hAnsi="宋体" w:eastAsia="宋体" w:cs="宋体"/>
          <w:kern w:val="0"/>
          <w:sz w:val="24"/>
        </w:rPr>
        <w:t>附件</w:t>
      </w:r>
      <w:r>
        <w:rPr>
          <w:rFonts w:hint="eastAsia" w:ascii="宋体" w:hAnsi="宋体" w:eastAsia="宋体" w:cs="宋体"/>
          <w:kern w:val="0"/>
          <w:sz w:val="24"/>
          <w:lang w:val="en-US" w:eastAsia="zh-CN"/>
        </w:rPr>
        <w:t>7</w:t>
      </w:r>
      <w:r>
        <w:rPr>
          <w:rFonts w:hint="eastAsia" w:ascii="宋体" w:hAnsi="宋体" w:eastAsia="宋体" w:cs="宋体"/>
          <w:kern w:val="0"/>
          <w:sz w:val="24"/>
        </w:rPr>
        <w:t>）有关条款执行。</w:t>
      </w:r>
    </w:p>
    <w:p w14:paraId="02CFE5FD">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10.7带*条款为否决项。</w:t>
      </w:r>
    </w:p>
    <w:p w14:paraId="7CB6C8C3">
      <w:pPr>
        <w:widowControl/>
        <w:spacing w:line="360" w:lineRule="exact"/>
        <w:jc w:val="left"/>
        <w:outlineLvl w:val="2"/>
        <w:rPr>
          <w:rFonts w:hint="eastAsia" w:ascii="宋体" w:hAnsi="宋体" w:eastAsia="宋体" w:cs="宋体"/>
          <w:b/>
          <w:bCs/>
          <w:kern w:val="0"/>
          <w:sz w:val="28"/>
          <w:szCs w:val="28"/>
        </w:rPr>
      </w:pPr>
      <w:r>
        <w:rPr>
          <w:rFonts w:hint="eastAsia" w:ascii="宋体" w:hAnsi="宋体" w:eastAsia="宋体" w:cs="宋体"/>
          <w:b/>
          <w:bCs/>
          <w:kern w:val="0"/>
          <w:sz w:val="28"/>
          <w:szCs w:val="28"/>
        </w:rPr>
        <w:t>（二）检具：</w:t>
      </w:r>
    </w:p>
    <w:p w14:paraId="0B40E758">
      <w:pPr>
        <w:spacing w:line="360" w:lineRule="exact"/>
        <w:ind w:firstLine="482" w:firstLineChars="200"/>
        <w:rPr>
          <w:rFonts w:hint="eastAsia" w:ascii="宋体" w:hAnsi="宋体" w:eastAsia="宋体" w:cs="宋体"/>
          <w:b/>
          <w:sz w:val="24"/>
          <w:szCs w:val="24"/>
        </w:rPr>
      </w:pPr>
      <w:r>
        <w:rPr>
          <w:rFonts w:hint="eastAsia" w:ascii="宋体" w:hAnsi="宋体" w:eastAsia="宋体" w:cs="宋体"/>
          <w:b/>
          <w:sz w:val="24"/>
          <w:szCs w:val="24"/>
        </w:rPr>
        <w:t>1、供货内容</w:t>
      </w:r>
    </w:p>
    <w:p w14:paraId="53F7C0CF">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1.1招标方负责提供产品开发零件清单及零件数模，投标方按检具清单（见</w:t>
      </w:r>
      <w:r>
        <w:rPr>
          <w:rFonts w:hint="eastAsia" w:ascii="宋体" w:hAnsi="宋体" w:eastAsia="宋体" w:cs="宋体"/>
          <w:kern w:val="0"/>
          <w:sz w:val="24"/>
          <w:lang w:val="en-US" w:eastAsia="zh-CN"/>
        </w:rPr>
        <w:t>技术协议附件1</w:t>
      </w:r>
      <w:r>
        <w:rPr>
          <w:rFonts w:hint="eastAsia" w:ascii="宋体" w:hAnsi="宋体" w:eastAsia="宋体" w:cs="宋体"/>
          <w:kern w:val="0"/>
          <w:sz w:val="24"/>
        </w:rPr>
        <w:t>）要求开发相应检具，</w:t>
      </w:r>
      <w:r>
        <w:rPr>
          <w:rFonts w:hint="eastAsia" w:ascii="宋体" w:hAnsi="宋体" w:eastAsia="宋体" w:cs="宋体"/>
          <w:kern w:val="0"/>
          <w:sz w:val="24"/>
          <w:highlight w:val="yellow"/>
        </w:rPr>
        <w:t>并且负责冲压件GD&amp;T图纸设计。</w:t>
      </w:r>
    </w:p>
    <w:p w14:paraId="62AC949F">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1.2投标方应对招标方提供的技术文件进行仔细的检查及核对，如有疑问应及时提出，招标方将给予解释或进行修改。否则，投标方将承担因技术文件不正确或因技术文件修改而产生的一切可能增加的额外费用。</w:t>
      </w:r>
    </w:p>
    <w:p w14:paraId="11CE8649">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1.3投标方应按照标准格式对检具进行分项报价，不得缺项。</w:t>
      </w:r>
    </w:p>
    <w:p w14:paraId="3B024EED">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1.4技术投标书应符合招标书的要求，当出现偏离时应在投标书中注明，如没有说明则视为对招标书的实质响应。</w:t>
      </w:r>
    </w:p>
    <w:p w14:paraId="629A9A9C">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1.5要求投标文件中提供检具主要部件、外购件明细表及备品备件清单。</w:t>
      </w:r>
    </w:p>
    <w:p w14:paraId="602A3B92">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1.6在检具发运前提交以下资料：格式由招标方指定，没有规定格式的由投标方准备并通过招标方确认。</w:t>
      </w:r>
    </w:p>
    <w:p w14:paraId="4F3C3544">
      <w:pPr>
        <w:ind w:firstLine="479" w:firstLineChars="199"/>
        <w:rPr>
          <w:rFonts w:hint="eastAsia" w:ascii="宋体" w:hAnsi="宋体" w:eastAsia="宋体" w:cs="宋体"/>
          <w:b/>
          <w:sz w:val="24"/>
          <w:szCs w:val="24"/>
        </w:rPr>
      </w:pPr>
    </w:p>
    <w:tbl>
      <w:tblPr>
        <w:tblStyle w:val="4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9"/>
        <w:gridCol w:w="2534"/>
        <w:gridCol w:w="720"/>
        <w:gridCol w:w="5413"/>
      </w:tblGrid>
      <w:tr w14:paraId="7B75B0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18" w:hRule="atLeast"/>
          <w:jc w:val="center"/>
        </w:trPr>
        <w:tc>
          <w:tcPr>
            <w:tcW w:w="829" w:type="dxa"/>
            <w:tcBorders>
              <w:top w:val="single" w:color="auto" w:sz="4" w:space="0"/>
              <w:left w:val="single" w:color="auto" w:sz="4" w:space="0"/>
              <w:bottom w:val="single" w:color="auto" w:sz="4" w:space="0"/>
              <w:right w:val="single" w:color="auto" w:sz="4" w:space="0"/>
            </w:tcBorders>
            <w:vAlign w:val="center"/>
          </w:tcPr>
          <w:p w14:paraId="53D45AC0">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序号</w:t>
            </w:r>
          </w:p>
        </w:tc>
        <w:tc>
          <w:tcPr>
            <w:tcW w:w="2534" w:type="dxa"/>
            <w:tcBorders>
              <w:top w:val="single" w:color="auto" w:sz="4" w:space="0"/>
              <w:left w:val="single" w:color="auto" w:sz="4" w:space="0"/>
              <w:bottom w:val="single" w:color="auto" w:sz="4" w:space="0"/>
              <w:right w:val="single" w:color="auto" w:sz="4" w:space="0"/>
            </w:tcBorders>
            <w:vAlign w:val="center"/>
          </w:tcPr>
          <w:p w14:paraId="14AA6AEB">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货物名称</w:t>
            </w:r>
          </w:p>
        </w:tc>
        <w:tc>
          <w:tcPr>
            <w:tcW w:w="720" w:type="dxa"/>
            <w:tcBorders>
              <w:top w:val="single" w:color="auto" w:sz="4" w:space="0"/>
              <w:left w:val="single" w:color="auto" w:sz="4" w:space="0"/>
              <w:bottom w:val="single" w:color="auto" w:sz="4" w:space="0"/>
              <w:right w:val="single" w:color="auto" w:sz="4" w:space="0"/>
            </w:tcBorders>
            <w:vAlign w:val="center"/>
          </w:tcPr>
          <w:p w14:paraId="68D473D0">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数量</w:t>
            </w:r>
          </w:p>
        </w:tc>
        <w:tc>
          <w:tcPr>
            <w:tcW w:w="5413" w:type="dxa"/>
            <w:tcBorders>
              <w:top w:val="single" w:color="auto" w:sz="4" w:space="0"/>
              <w:left w:val="single" w:color="auto" w:sz="4" w:space="0"/>
              <w:bottom w:val="single" w:color="auto" w:sz="4" w:space="0"/>
              <w:right w:val="single" w:color="auto" w:sz="4" w:space="0"/>
            </w:tcBorders>
            <w:vAlign w:val="center"/>
          </w:tcPr>
          <w:p w14:paraId="396BE67A">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备注</w:t>
            </w:r>
          </w:p>
        </w:tc>
      </w:tr>
      <w:tr w14:paraId="64BB7E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5" w:hRule="atLeast"/>
          <w:jc w:val="center"/>
        </w:trPr>
        <w:tc>
          <w:tcPr>
            <w:tcW w:w="829" w:type="dxa"/>
            <w:tcBorders>
              <w:top w:val="single" w:color="auto" w:sz="4" w:space="0"/>
              <w:left w:val="single" w:color="auto" w:sz="4" w:space="0"/>
              <w:bottom w:val="single" w:color="auto" w:sz="4" w:space="0"/>
              <w:right w:val="single" w:color="auto" w:sz="4" w:space="0"/>
            </w:tcBorders>
            <w:vAlign w:val="center"/>
          </w:tcPr>
          <w:p w14:paraId="6CF106B1">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1</w:t>
            </w:r>
          </w:p>
        </w:tc>
        <w:tc>
          <w:tcPr>
            <w:tcW w:w="2534" w:type="dxa"/>
            <w:tcBorders>
              <w:top w:val="single" w:color="auto" w:sz="4" w:space="0"/>
              <w:left w:val="single" w:color="auto" w:sz="4" w:space="0"/>
              <w:bottom w:val="single" w:color="auto" w:sz="4" w:space="0"/>
              <w:right w:val="single" w:color="auto" w:sz="4" w:space="0"/>
            </w:tcBorders>
            <w:vAlign w:val="center"/>
          </w:tcPr>
          <w:p w14:paraId="759AB83F">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检具数模（3D）</w:t>
            </w:r>
          </w:p>
        </w:tc>
        <w:tc>
          <w:tcPr>
            <w:tcW w:w="720" w:type="dxa"/>
            <w:tcBorders>
              <w:top w:val="single" w:color="auto" w:sz="4" w:space="0"/>
              <w:left w:val="single" w:color="auto" w:sz="4" w:space="0"/>
              <w:bottom w:val="single" w:color="auto" w:sz="4" w:space="0"/>
              <w:right w:val="single" w:color="auto" w:sz="4" w:space="0"/>
            </w:tcBorders>
            <w:vAlign w:val="center"/>
          </w:tcPr>
          <w:p w14:paraId="4B9B4425">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1套</w:t>
            </w:r>
          </w:p>
        </w:tc>
        <w:tc>
          <w:tcPr>
            <w:tcW w:w="5413" w:type="dxa"/>
            <w:tcBorders>
              <w:top w:val="single" w:color="auto" w:sz="4" w:space="0"/>
              <w:left w:val="single" w:color="auto" w:sz="4" w:space="0"/>
              <w:bottom w:val="single" w:color="auto" w:sz="4" w:space="0"/>
              <w:right w:val="single" w:color="auto" w:sz="4" w:space="0"/>
            </w:tcBorders>
            <w:vAlign w:val="center"/>
          </w:tcPr>
          <w:p w14:paraId="1E9211A4">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电子版</w:t>
            </w:r>
          </w:p>
        </w:tc>
      </w:tr>
      <w:tr w14:paraId="54C850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8" w:hRule="atLeast"/>
          <w:jc w:val="center"/>
        </w:trPr>
        <w:tc>
          <w:tcPr>
            <w:tcW w:w="829" w:type="dxa"/>
            <w:tcBorders>
              <w:top w:val="single" w:color="auto" w:sz="4" w:space="0"/>
              <w:left w:val="single" w:color="auto" w:sz="4" w:space="0"/>
              <w:bottom w:val="single" w:color="auto" w:sz="4" w:space="0"/>
              <w:right w:val="single" w:color="auto" w:sz="4" w:space="0"/>
            </w:tcBorders>
            <w:vAlign w:val="center"/>
          </w:tcPr>
          <w:p w14:paraId="07DE5D90">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2</w:t>
            </w:r>
          </w:p>
        </w:tc>
        <w:tc>
          <w:tcPr>
            <w:tcW w:w="2534" w:type="dxa"/>
            <w:tcBorders>
              <w:top w:val="single" w:color="auto" w:sz="4" w:space="0"/>
              <w:left w:val="single" w:color="auto" w:sz="4" w:space="0"/>
              <w:bottom w:val="single" w:color="auto" w:sz="4" w:space="0"/>
              <w:right w:val="single" w:color="auto" w:sz="4" w:space="0"/>
            </w:tcBorders>
            <w:vAlign w:val="center"/>
          </w:tcPr>
          <w:p w14:paraId="78B80552">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检具图纸（2D）</w:t>
            </w:r>
          </w:p>
        </w:tc>
        <w:tc>
          <w:tcPr>
            <w:tcW w:w="720" w:type="dxa"/>
            <w:tcBorders>
              <w:top w:val="single" w:color="auto" w:sz="4" w:space="0"/>
              <w:left w:val="single" w:color="auto" w:sz="4" w:space="0"/>
              <w:bottom w:val="single" w:color="auto" w:sz="4" w:space="0"/>
              <w:right w:val="single" w:color="auto" w:sz="4" w:space="0"/>
            </w:tcBorders>
            <w:vAlign w:val="center"/>
          </w:tcPr>
          <w:p w14:paraId="46B11AD7">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1套</w:t>
            </w:r>
          </w:p>
        </w:tc>
        <w:tc>
          <w:tcPr>
            <w:tcW w:w="5413" w:type="dxa"/>
            <w:tcBorders>
              <w:top w:val="single" w:color="auto" w:sz="4" w:space="0"/>
              <w:left w:val="single" w:color="auto" w:sz="4" w:space="0"/>
              <w:bottom w:val="single" w:color="auto" w:sz="4" w:space="0"/>
              <w:right w:val="single" w:color="auto" w:sz="4" w:space="0"/>
            </w:tcBorders>
            <w:vAlign w:val="center"/>
          </w:tcPr>
          <w:p w14:paraId="135F9448">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纸质和电子版</w:t>
            </w:r>
          </w:p>
        </w:tc>
      </w:tr>
      <w:tr w14:paraId="5FC12C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1" w:hRule="atLeast"/>
          <w:jc w:val="center"/>
        </w:trPr>
        <w:tc>
          <w:tcPr>
            <w:tcW w:w="829" w:type="dxa"/>
            <w:tcBorders>
              <w:top w:val="single" w:color="auto" w:sz="4" w:space="0"/>
              <w:left w:val="single" w:color="auto" w:sz="4" w:space="0"/>
              <w:bottom w:val="single" w:color="auto" w:sz="4" w:space="0"/>
              <w:right w:val="single" w:color="auto" w:sz="4" w:space="0"/>
            </w:tcBorders>
            <w:vAlign w:val="center"/>
          </w:tcPr>
          <w:p w14:paraId="23C0FC0C">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3</w:t>
            </w:r>
          </w:p>
        </w:tc>
        <w:tc>
          <w:tcPr>
            <w:tcW w:w="2534" w:type="dxa"/>
            <w:tcBorders>
              <w:top w:val="single" w:color="auto" w:sz="4" w:space="0"/>
              <w:left w:val="single" w:color="auto" w:sz="4" w:space="0"/>
              <w:bottom w:val="single" w:color="auto" w:sz="4" w:space="0"/>
              <w:right w:val="single" w:color="auto" w:sz="4" w:space="0"/>
            </w:tcBorders>
            <w:vAlign w:val="center"/>
          </w:tcPr>
          <w:p w14:paraId="3D922B88">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检具作业指导书</w:t>
            </w:r>
          </w:p>
        </w:tc>
        <w:tc>
          <w:tcPr>
            <w:tcW w:w="720" w:type="dxa"/>
            <w:tcBorders>
              <w:top w:val="single" w:color="auto" w:sz="4" w:space="0"/>
              <w:left w:val="single" w:color="auto" w:sz="4" w:space="0"/>
              <w:bottom w:val="single" w:color="auto" w:sz="4" w:space="0"/>
              <w:right w:val="single" w:color="auto" w:sz="4" w:space="0"/>
            </w:tcBorders>
            <w:vAlign w:val="center"/>
          </w:tcPr>
          <w:p w14:paraId="2B9CCBB6">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1套</w:t>
            </w:r>
          </w:p>
        </w:tc>
        <w:tc>
          <w:tcPr>
            <w:tcW w:w="5413" w:type="dxa"/>
            <w:tcBorders>
              <w:top w:val="single" w:color="auto" w:sz="4" w:space="0"/>
              <w:left w:val="single" w:color="auto" w:sz="4" w:space="0"/>
              <w:bottom w:val="single" w:color="auto" w:sz="4" w:space="0"/>
              <w:right w:val="single" w:color="auto" w:sz="4" w:space="0"/>
            </w:tcBorders>
            <w:vAlign w:val="center"/>
          </w:tcPr>
          <w:p w14:paraId="393FCDA6">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纸质和电子版</w:t>
            </w:r>
          </w:p>
        </w:tc>
      </w:tr>
      <w:tr w14:paraId="29C67A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45" w:hRule="atLeast"/>
          <w:jc w:val="center"/>
        </w:trPr>
        <w:tc>
          <w:tcPr>
            <w:tcW w:w="829" w:type="dxa"/>
            <w:tcBorders>
              <w:top w:val="single" w:color="auto" w:sz="4" w:space="0"/>
              <w:left w:val="single" w:color="auto" w:sz="4" w:space="0"/>
              <w:bottom w:val="single" w:color="auto" w:sz="4" w:space="0"/>
              <w:right w:val="single" w:color="auto" w:sz="4" w:space="0"/>
            </w:tcBorders>
            <w:vAlign w:val="center"/>
          </w:tcPr>
          <w:p w14:paraId="10D6EF7F">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4</w:t>
            </w:r>
          </w:p>
        </w:tc>
        <w:tc>
          <w:tcPr>
            <w:tcW w:w="2534" w:type="dxa"/>
            <w:tcBorders>
              <w:top w:val="single" w:color="auto" w:sz="4" w:space="0"/>
              <w:left w:val="single" w:color="auto" w:sz="4" w:space="0"/>
              <w:bottom w:val="single" w:color="auto" w:sz="4" w:space="0"/>
              <w:right w:val="single" w:color="auto" w:sz="4" w:space="0"/>
            </w:tcBorders>
            <w:vAlign w:val="center"/>
          </w:tcPr>
          <w:p w14:paraId="20AE9F8C">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检具使用维修文件</w:t>
            </w:r>
          </w:p>
        </w:tc>
        <w:tc>
          <w:tcPr>
            <w:tcW w:w="720" w:type="dxa"/>
            <w:tcBorders>
              <w:top w:val="single" w:color="auto" w:sz="4" w:space="0"/>
              <w:left w:val="single" w:color="auto" w:sz="4" w:space="0"/>
              <w:bottom w:val="single" w:color="auto" w:sz="4" w:space="0"/>
              <w:right w:val="single" w:color="auto" w:sz="4" w:space="0"/>
            </w:tcBorders>
            <w:vAlign w:val="center"/>
          </w:tcPr>
          <w:p w14:paraId="662B917A">
            <w:pPr>
              <w:spacing w:before="120" w:after="120" w:line="360" w:lineRule="exact"/>
              <w:jc w:val="center"/>
              <w:rPr>
                <w:rFonts w:hint="eastAsia" w:ascii="宋体" w:hAnsi="宋体" w:eastAsia="宋体" w:cs="宋体"/>
                <w:color w:val="FF6600"/>
                <w:sz w:val="24"/>
                <w:szCs w:val="24"/>
              </w:rPr>
            </w:pPr>
            <w:r>
              <w:rPr>
                <w:rFonts w:hint="eastAsia" w:ascii="宋体" w:hAnsi="宋体" w:eastAsia="宋体" w:cs="宋体"/>
                <w:sz w:val="24"/>
                <w:szCs w:val="24"/>
              </w:rPr>
              <w:t>1套</w:t>
            </w:r>
          </w:p>
        </w:tc>
        <w:tc>
          <w:tcPr>
            <w:tcW w:w="5413" w:type="dxa"/>
            <w:tcBorders>
              <w:top w:val="single" w:color="auto" w:sz="4" w:space="0"/>
              <w:left w:val="single" w:color="auto" w:sz="4" w:space="0"/>
              <w:bottom w:val="single" w:color="auto" w:sz="4" w:space="0"/>
              <w:right w:val="single" w:color="auto" w:sz="4" w:space="0"/>
            </w:tcBorders>
            <w:vAlign w:val="center"/>
          </w:tcPr>
          <w:p w14:paraId="3078EA6F">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纸质和电子版</w:t>
            </w:r>
          </w:p>
        </w:tc>
      </w:tr>
      <w:tr w14:paraId="5DBECB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45" w:hRule="atLeast"/>
          <w:jc w:val="center"/>
        </w:trPr>
        <w:tc>
          <w:tcPr>
            <w:tcW w:w="829" w:type="dxa"/>
            <w:tcBorders>
              <w:top w:val="single" w:color="auto" w:sz="4" w:space="0"/>
              <w:left w:val="single" w:color="auto" w:sz="4" w:space="0"/>
              <w:bottom w:val="single" w:color="auto" w:sz="4" w:space="0"/>
              <w:right w:val="single" w:color="auto" w:sz="4" w:space="0"/>
            </w:tcBorders>
            <w:vAlign w:val="center"/>
          </w:tcPr>
          <w:p w14:paraId="3E560944">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5</w:t>
            </w:r>
          </w:p>
        </w:tc>
        <w:tc>
          <w:tcPr>
            <w:tcW w:w="2534" w:type="dxa"/>
            <w:tcBorders>
              <w:top w:val="single" w:color="auto" w:sz="4" w:space="0"/>
              <w:left w:val="single" w:color="auto" w:sz="4" w:space="0"/>
              <w:bottom w:val="single" w:color="auto" w:sz="4" w:space="0"/>
              <w:right w:val="single" w:color="auto" w:sz="4" w:space="0"/>
            </w:tcBorders>
            <w:vAlign w:val="center"/>
          </w:tcPr>
          <w:p w14:paraId="05AE5936">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钣件检查表</w:t>
            </w:r>
          </w:p>
        </w:tc>
        <w:tc>
          <w:tcPr>
            <w:tcW w:w="720" w:type="dxa"/>
            <w:tcBorders>
              <w:top w:val="single" w:color="auto" w:sz="4" w:space="0"/>
              <w:left w:val="single" w:color="auto" w:sz="4" w:space="0"/>
              <w:bottom w:val="single" w:color="auto" w:sz="4" w:space="0"/>
              <w:right w:val="single" w:color="auto" w:sz="4" w:space="0"/>
            </w:tcBorders>
            <w:vAlign w:val="center"/>
          </w:tcPr>
          <w:p w14:paraId="0CA1287D">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1套</w:t>
            </w:r>
          </w:p>
        </w:tc>
        <w:tc>
          <w:tcPr>
            <w:tcW w:w="5413" w:type="dxa"/>
            <w:tcBorders>
              <w:top w:val="single" w:color="auto" w:sz="4" w:space="0"/>
              <w:left w:val="single" w:color="auto" w:sz="4" w:space="0"/>
              <w:bottom w:val="single" w:color="auto" w:sz="4" w:space="0"/>
              <w:right w:val="single" w:color="auto" w:sz="4" w:space="0"/>
            </w:tcBorders>
            <w:vAlign w:val="center"/>
          </w:tcPr>
          <w:p w14:paraId="1D9AFBE9">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电子版</w:t>
            </w:r>
          </w:p>
        </w:tc>
      </w:tr>
      <w:tr w14:paraId="453428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45" w:hRule="atLeast"/>
          <w:jc w:val="center"/>
        </w:trPr>
        <w:tc>
          <w:tcPr>
            <w:tcW w:w="829" w:type="dxa"/>
            <w:tcBorders>
              <w:top w:val="single" w:color="auto" w:sz="4" w:space="0"/>
              <w:left w:val="single" w:color="auto" w:sz="4" w:space="0"/>
              <w:right w:val="single" w:color="auto" w:sz="4" w:space="0"/>
            </w:tcBorders>
            <w:vAlign w:val="center"/>
          </w:tcPr>
          <w:p w14:paraId="7B90B2C7">
            <w:pPr>
              <w:spacing w:before="120" w:after="120" w:line="360" w:lineRule="exact"/>
              <w:jc w:val="center"/>
              <w:rPr>
                <w:rFonts w:hint="eastAsia" w:ascii="宋体" w:hAnsi="宋体" w:eastAsia="宋体" w:cs="宋体"/>
                <w:sz w:val="24"/>
                <w:szCs w:val="24"/>
                <w:highlight w:val="yellow"/>
              </w:rPr>
            </w:pPr>
            <w:r>
              <w:rPr>
                <w:rFonts w:hint="eastAsia" w:ascii="宋体" w:hAnsi="宋体" w:eastAsia="宋体" w:cs="宋体"/>
                <w:sz w:val="24"/>
                <w:szCs w:val="24"/>
                <w:highlight w:val="yellow"/>
              </w:rPr>
              <w:t>6</w:t>
            </w:r>
          </w:p>
        </w:tc>
        <w:tc>
          <w:tcPr>
            <w:tcW w:w="2534" w:type="dxa"/>
            <w:tcBorders>
              <w:top w:val="single" w:color="auto" w:sz="4" w:space="0"/>
              <w:left w:val="single" w:color="auto" w:sz="4" w:space="0"/>
              <w:bottom w:val="single" w:color="auto" w:sz="4" w:space="0"/>
              <w:right w:val="single" w:color="auto" w:sz="4" w:space="0"/>
            </w:tcBorders>
            <w:vAlign w:val="center"/>
          </w:tcPr>
          <w:p w14:paraId="7927639E">
            <w:pPr>
              <w:spacing w:before="120" w:after="120" w:line="360" w:lineRule="exact"/>
              <w:rPr>
                <w:rFonts w:hint="eastAsia" w:ascii="宋体" w:hAnsi="宋体" w:eastAsia="宋体" w:cs="宋体"/>
                <w:sz w:val="24"/>
                <w:szCs w:val="24"/>
                <w:highlight w:val="yellow"/>
              </w:rPr>
            </w:pPr>
            <w:r>
              <w:rPr>
                <w:rFonts w:hint="eastAsia" w:ascii="宋体" w:hAnsi="宋体" w:eastAsia="宋体" w:cs="宋体"/>
                <w:sz w:val="24"/>
                <w:szCs w:val="24"/>
                <w:highlight w:val="yellow"/>
              </w:rPr>
              <w:t>产品件GDT图纸</w:t>
            </w:r>
          </w:p>
        </w:tc>
        <w:tc>
          <w:tcPr>
            <w:tcW w:w="720" w:type="dxa"/>
            <w:tcBorders>
              <w:top w:val="single" w:color="auto" w:sz="4" w:space="0"/>
              <w:left w:val="single" w:color="auto" w:sz="4" w:space="0"/>
              <w:right w:val="single" w:color="auto" w:sz="4" w:space="0"/>
            </w:tcBorders>
            <w:vAlign w:val="center"/>
          </w:tcPr>
          <w:p w14:paraId="772590D1">
            <w:pPr>
              <w:spacing w:before="120" w:after="120" w:line="360" w:lineRule="exact"/>
              <w:jc w:val="center"/>
              <w:rPr>
                <w:rFonts w:hint="eastAsia" w:ascii="宋体" w:hAnsi="宋体" w:eastAsia="宋体" w:cs="宋体"/>
                <w:sz w:val="24"/>
                <w:szCs w:val="24"/>
                <w:highlight w:val="yellow"/>
              </w:rPr>
            </w:pPr>
            <w:r>
              <w:rPr>
                <w:rFonts w:hint="eastAsia" w:ascii="宋体" w:hAnsi="宋体" w:eastAsia="宋体" w:cs="宋体"/>
                <w:sz w:val="24"/>
                <w:szCs w:val="24"/>
                <w:highlight w:val="yellow"/>
              </w:rPr>
              <w:t>1套</w:t>
            </w:r>
          </w:p>
        </w:tc>
        <w:tc>
          <w:tcPr>
            <w:tcW w:w="5413" w:type="dxa"/>
            <w:tcBorders>
              <w:top w:val="single" w:color="auto" w:sz="4" w:space="0"/>
              <w:left w:val="single" w:color="auto" w:sz="4" w:space="0"/>
              <w:right w:val="single" w:color="auto" w:sz="4" w:space="0"/>
            </w:tcBorders>
            <w:vAlign w:val="center"/>
          </w:tcPr>
          <w:p w14:paraId="77319BD5">
            <w:pPr>
              <w:spacing w:before="120" w:after="120" w:line="360" w:lineRule="exact"/>
              <w:rPr>
                <w:rFonts w:hint="eastAsia" w:ascii="宋体" w:hAnsi="宋体" w:eastAsia="宋体" w:cs="宋体"/>
                <w:sz w:val="24"/>
                <w:szCs w:val="24"/>
                <w:highlight w:val="yellow"/>
              </w:rPr>
            </w:pPr>
            <w:r>
              <w:rPr>
                <w:rFonts w:hint="eastAsia" w:ascii="宋体" w:hAnsi="宋体" w:eastAsia="宋体" w:cs="宋体"/>
                <w:sz w:val="24"/>
                <w:szCs w:val="24"/>
                <w:highlight w:val="yellow"/>
              </w:rPr>
              <w:t>电子版</w:t>
            </w:r>
          </w:p>
        </w:tc>
      </w:tr>
    </w:tbl>
    <w:p w14:paraId="7D0656E9">
      <w:pPr>
        <w:spacing w:line="360" w:lineRule="exact"/>
        <w:ind w:firstLine="482" w:firstLineChars="200"/>
        <w:rPr>
          <w:rFonts w:hint="eastAsia" w:ascii="宋体" w:hAnsi="宋体" w:eastAsia="宋体" w:cs="宋体"/>
          <w:b/>
          <w:sz w:val="24"/>
          <w:szCs w:val="24"/>
        </w:rPr>
      </w:pPr>
      <w:r>
        <w:rPr>
          <w:rFonts w:hint="eastAsia" w:ascii="宋体" w:hAnsi="宋体" w:eastAsia="宋体" w:cs="宋体"/>
          <w:b/>
          <w:sz w:val="24"/>
          <w:szCs w:val="24"/>
        </w:rPr>
        <w:t>2、设计依据</w:t>
      </w:r>
      <w:bookmarkStart w:id="43" w:name="_Toc245193631"/>
      <w:bookmarkStart w:id="44" w:name="_Toc245199572"/>
      <w:bookmarkStart w:id="45" w:name="_Toc246218117"/>
    </w:p>
    <w:p w14:paraId="774126F8">
      <w:pPr>
        <w:spacing w:line="36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2.1检具用于检测下列特性</w:t>
      </w:r>
      <w:bookmarkEnd w:id="43"/>
      <w:bookmarkEnd w:id="44"/>
      <w:r>
        <w:rPr>
          <w:rFonts w:hint="eastAsia" w:ascii="宋体" w:hAnsi="宋体" w:eastAsia="宋体" w:cs="宋体"/>
          <w:sz w:val="24"/>
          <w:szCs w:val="24"/>
        </w:rPr>
        <w:t>：</w:t>
      </w:r>
      <w:bookmarkEnd w:id="45"/>
    </w:p>
    <w:p w14:paraId="198101E4">
      <w:pPr>
        <w:spacing w:line="36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（1）关键产品特性；</w:t>
      </w:r>
    </w:p>
    <w:p w14:paraId="05323CCE">
      <w:pPr>
        <w:spacing w:line="36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（2）特性线；</w:t>
      </w:r>
    </w:p>
    <w:p w14:paraId="73536E6B">
      <w:pPr>
        <w:spacing w:line="36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（3）功能孔；</w:t>
      </w:r>
    </w:p>
    <w:p w14:paraId="62BFF8ED">
      <w:pPr>
        <w:spacing w:line="36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（4）影响装焊精度及容易变形的区域。</w:t>
      </w:r>
      <w:bookmarkStart w:id="46" w:name="_Toc245193632"/>
      <w:bookmarkStart w:id="47" w:name="_Toc245199573"/>
      <w:bookmarkStart w:id="48" w:name="_Toc246218118"/>
    </w:p>
    <w:p w14:paraId="79BD9840">
      <w:pPr>
        <w:spacing w:line="36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2.2招标方提供的技术资料清单</w:t>
      </w:r>
      <w:bookmarkEnd w:id="46"/>
      <w:bookmarkEnd w:id="47"/>
      <w:bookmarkEnd w:id="48"/>
      <w:r>
        <w:rPr>
          <w:rFonts w:hint="eastAsia" w:ascii="宋体" w:hAnsi="宋体" w:eastAsia="宋体" w:cs="宋体"/>
          <w:sz w:val="24"/>
          <w:szCs w:val="24"/>
        </w:rPr>
        <w:t>：</w:t>
      </w:r>
    </w:p>
    <w:p w14:paraId="7986CEA0">
      <w:pPr>
        <w:spacing w:line="36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（1）产品数模；</w:t>
      </w:r>
    </w:p>
    <w:p w14:paraId="43B1C83C">
      <w:pPr>
        <w:spacing w:line="36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（2）检具明细：《</w:t>
      </w:r>
      <w:r>
        <w:rPr>
          <w:rFonts w:hint="eastAsia" w:ascii="宋体" w:hAnsi="宋体" w:eastAsia="宋体" w:cs="宋体"/>
          <w:sz w:val="24"/>
          <w:szCs w:val="24"/>
          <w:lang w:val="en-US" w:eastAsia="zh-CN"/>
        </w:rPr>
        <w:t>技术协议</w:t>
      </w:r>
      <w:r>
        <w:rPr>
          <w:rFonts w:hint="eastAsia" w:ascii="宋体" w:hAnsi="宋体" w:eastAsia="宋体" w:cs="宋体"/>
          <w:sz w:val="24"/>
          <w:szCs w:val="24"/>
        </w:rPr>
        <w:t>附件</w:t>
      </w:r>
      <w:r>
        <w:rPr>
          <w:rFonts w:hint="eastAsia" w:ascii="宋体" w:hAnsi="宋体" w:eastAsia="宋体" w:cs="宋体"/>
          <w:sz w:val="24"/>
          <w:szCs w:val="24"/>
          <w:lang w:val="en-US" w:eastAsia="zh-CN"/>
        </w:rPr>
        <w:t>1</w:t>
      </w:r>
      <w:r>
        <w:rPr>
          <w:rFonts w:hint="eastAsia" w:ascii="宋体" w:hAnsi="宋体" w:eastAsia="宋体" w:cs="宋体"/>
          <w:sz w:val="24"/>
          <w:szCs w:val="24"/>
        </w:rPr>
        <w:t>新产品模检具开发清单》。</w:t>
      </w:r>
    </w:p>
    <w:p w14:paraId="165B863C">
      <w:pPr>
        <w:spacing w:line="360" w:lineRule="exact"/>
        <w:ind w:firstLine="482" w:firstLineChars="200"/>
        <w:rPr>
          <w:rFonts w:hint="eastAsia" w:ascii="宋体" w:hAnsi="宋体" w:eastAsia="宋体" w:cs="宋体"/>
          <w:b/>
          <w:sz w:val="24"/>
          <w:szCs w:val="24"/>
        </w:rPr>
      </w:pPr>
      <w:r>
        <w:rPr>
          <w:rFonts w:hint="eastAsia" w:ascii="宋体" w:hAnsi="宋体" w:eastAsia="宋体" w:cs="宋体"/>
          <w:b/>
          <w:sz w:val="24"/>
          <w:szCs w:val="24"/>
        </w:rPr>
        <w:t>3、技术要求</w:t>
      </w:r>
    </w:p>
    <w:p w14:paraId="50395681">
      <w:pPr>
        <w:spacing w:line="360" w:lineRule="exact"/>
        <w:ind w:firstLine="480" w:firstLineChars="200"/>
        <w:rPr>
          <w:rFonts w:hint="eastAsia" w:ascii="宋体" w:hAnsi="宋体" w:eastAsia="宋体" w:cs="宋体"/>
          <w:b/>
          <w:sz w:val="24"/>
          <w:szCs w:val="24"/>
        </w:rPr>
      </w:pPr>
      <w:r>
        <w:rPr>
          <w:rFonts w:hint="eastAsia" w:ascii="宋体" w:hAnsi="宋体" w:eastAsia="宋体" w:cs="宋体"/>
          <w:sz w:val="24"/>
        </w:rPr>
        <w:t>检具的设计、制造规范详见</w:t>
      </w:r>
      <w:r>
        <w:rPr>
          <w:rFonts w:hint="eastAsia" w:ascii="宋体" w:hAnsi="宋体" w:eastAsia="宋体" w:cs="宋体"/>
          <w:sz w:val="24"/>
          <w:lang w:val="en-US" w:eastAsia="zh-CN"/>
        </w:rPr>
        <w:t>技术协议</w:t>
      </w:r>
      <w:r>
        <w:rPr>
          <w:rFonts w:hint="eastAsia" w:ascii="宋体" w:hAnsi="宋体" w:eastAsia="宋体" w:cs="宋体"/>
          <w:sz w:val="24"/>
        </w:rPr>
        <w:t>附件</w:t>
      </w:r>
      <w:r>
        <w:rPr>
          <w:rFonts w:hint="eastAsia" w:ascii="宋体" w:hAnsi="宋体" w:eastAsia="宋体" w:cs="宋体"/>
          <w:sz w:val="24"/>
          <w:lang w:val="en-US" w:eastAsia="zh-CN"/>
        </w:rPr>
        <w:t>6</w:t>
      </w:r>
      <w:r>
        <w:rPr>
          <w:rFonts w:hint="eastAsia" w:ascii="宋体" w:hAnsi="宋体" w:eastAsia="宋体" w:cs="宋体"/>
          <w:sz w:val="24"/>
        </w:rPr>
        <w:t>。</w:t>
      </w:r>
    </w:p>
    <w:p w14:paraId="42B8813C">
      <w:pPr>
        <w:tabs>
          <w:tab w:val="left" w:pos="1260"/>
        </w:tabs>
        <w:spacing w:before="120" w:after="120" w:line="360" w:lineRule="exact"/>
        <w:ind w:firstLine="482" w:firstLineChars="200"/>
        <w:rPr>
          <w:rFonts w:hint="eastAsia" w:ascii="宋体" w:hAnsi="宋体" w:eastAsia="宋体" w:cs="宋体"/>
          <w:b/>
          <w:sz w:val="24"/>
          <w:szCs w:val="24"/>
        </w:rPr>
      </w:pPr>
      <w:r>
        <w:rPr>
          <w:rFonts w:hint="eastAsia" w:ascii="宋体" w:hAnsi="宋体" w:eastAsia="宋体" w:cs="宋体"/>
          <w:b/>
          <w:sz w:val="24"/>
          <w:szCs w:val="24"/>
        </w:rPr>
        <w:t>4．包装、储存和运输</w:t>
      </w:r>
    </w:p>
    <w:p w14:paraId="3B42A3A1">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在保证能够在规定期限内提供给招标方合格产品的前提下，投标方自己确定货物的包装、储存及运输方式。包装、储存和运输费用包括在投标总报价内。</w:t>
      </w:r>
    </w:p>
    <w:p w14:paraId="068C203F">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4.1每个包装件应有装箱单，并至少标明名称、型号规格、数量、净重和毛重、投标方（或供货商）名称和制造日期等相关内容。</w:t>
      </w:r>
    </w:p>
    <w:p w14:paraId="48BDD2AC">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4.2每个包装箱应有明显标志，并具有中文书写的合同号、装运标志、发货和到货地点名称、发货人和收货人名称、货物（或生产线）名称和项目号、箱号和外型尺寸等内容。</w:t>
      </w:r>
    </w:p>
    <w:p w14:paraId="3547FCC2">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4.3包装件尺寸和重量不应超过中国公路运输所规定的尺寸限制。特殊情况应予以说明。</w:t>
      </w:r>
    </w:p>
    <w:p w14:paraId="25B86403">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4.4在每批货物（或设备）发出后，投标方应立即通知招标方；通知中应指明：合同号、货运单号、件数、重量和货物（或设备）发出日期等相关内容。</w:t>
      </w:r>
    </w:p>
    <w:p w14:paraId="2DE19025">
      <w:pPr>
        <w:tabs>
          <w:tab w:val="left" w:pos="1260"/>
        </w:tabs>
        <w:spacing w:before="120" w:after="120" w:line="360" w:lineRule="exact"/>
        <w:ind w:left="481" w:leftChars="229"/>
        <w:rPr>
          <w:rFonts w:hint="eastAsia" w:ascii="宋体" w:hAnsi="宋体" w:eastAsia="宋体" w:cs="宋体"/>
          <w:b/>
          <w:color w:val="FF0000"/>
          <w:sz w:val="24"/>
          <w:szCs w:val="24"/>
        </w:rPr>
      </w:pPr>
      <w:r>
        <w:rPr>
          <w:rFonts w:hint="eastAsia" w:ascii="宋体" w:hAnsi="宋体" w:eastAsia="宋体" w:cs="宋体"/>
          <w:b/>
          <w:sz w:val="24"/>
          <w:szCs w:val="24"/>
        </w:rPr>
        <w:t>5.投标方需在投标书中提交的技术资料</w:t>
      </w:r>
    </w:p>
    <w:p w14:paraId="4163B91A">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5.1投标方应提供所有易损件备件的明细、单价、供应商名单、建议采购数量等，并对供应商作简要说明。</w:t>
      </w:r>
    </w:p>
    <w:p w14:paraId="29C0F63C">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5.2提供对标书条款的偏离说明及投标方认为需要补充说明的其他资料。</w:t>
      </w:r>
    </w:p>
    <w:p w14:paraId="6AB322D4">
      <w:pPr>
        <w:tabs>
          <w:tab w:val="left" w:pos="1260"/>
        </w:tabs>
        <w:spacing w:before="120" w:after="120" w:line="360" w:lineRule="exact"/>
        <w:ind w:firstLine="482" w:firstLineChars="200"/>
        <w:rPr>
          <w:rFonts w:hint="eastAsia" w:ascii="宋体" w:hAnsi="宋体" w:eastAsia="宋体" w:cs="宋体"/>
          <w:b/>
          <w:sz w:val="24"/>
          <w:szCs w:val="24"/>
        </w:rPr>
      </w:pPr>
      <w:r>
        <w:rPr>
          <w:rFonts w:hint="eastAsia" w:ascii="宋体" w:hAnsi="宋体" w:eastAsia="宋体" w:cs="宋体"/>
          <w:b/>
          <w:sz w:val="24"/>
          <w:szCs w:val="24"/>
        </w:rPr>
        <w:t>6.投标报价</w:t>
      </w:r>
    </w:p>
    <w:p w14:paraId="754C0058">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6.1投标报价包括检具的相关技术数据，货物包装运输、保险及安装、调试、技术服务等一切费用。</w:t>
      </w:r>
    </w:p>
    <w:p w14:paraId="7FB62E4B">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6.2招标货物所规定的检具及其他资料应详细报价并计入投标总报价之内。</w:t>
      </w:r>
    </w:p>
    <w:p w14:paraId="0B1AFD0B">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6.3货物的包装、运输等费用应分类单列，并计入投标总报价之内。</w:t>
      </w:r>
    </w:p>
    <w:p w14:paraId="256A43F9">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6.4备品备件、易损件和专用耗材的费用应分类单列，不计入投标总报价之内。</w:t>
      </w:r>
    </w:p>
    <w:p w14:paraId="78BE6B0A">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6.5关于设变及费用：</w:t>
      </w:r>
    </w:p>
    <w:p w14:paraId="3C1D58B1">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6.5.1若因招标方零件产品数量减少，而发生的检具数量减少，由招标方直接扣除相应检具投标报价费用。</w:t>
      </w:r>
    </w:p>
    <w:p w14:paraId="4CE05418">
      <w:pPr>
        <w:widowControl/>
        <w:spacing w:line="360" w:lineRule="exact"/>
        <w:ind w:firstLine="420" w:firstLineChars="175"/>
        <w:jc w:val="left"/>
        <w:rPr>
          <w:rFonts w:hint="eastAsia" w:ascii="宋体" w:hAnsi="宋体" w:eastAsia="宋体" w:cs="宋体"/>
          <w:kern w:val="0"/>
          <w:sz w:val="24"/>
        </w:rPr>
      </w:pPr>
      <w:r>
        <w:rPr>
          <w:rFonts w:hint="eastAsia" w:ascii="宋体" w:hAnsi="宋体" w:eastAsia="宋体" w:cs="宋体"/>
          <w:kern w:val="0"/>
          <w:sz w:val="24"/>
        </w:rPr>
        <w:t>6.5.2招标方设变若对后续制造工作（如加工）没有影响，不计设变费用。若影响后续制造工作而产生费用，或因招标方零件产品数量增加，发生检具数量增加而产生费用，全部费用在检具总费用的3%(含)以内的部分，费用由投标方承担；超过3%的部分，双方协商解决。</w:t>
      </w:r>
    </w:p>
    <w:p w14:paraId="5506F5BC">
      <w:pPr>
        <w:spacing w:line="360" w:lineRule="exact"/>
        <w:ind w:firstLine="482" w:firstLineChars="200"/>
        <w:rPr>
          <w:rFonts w:hint="eastAsia" w:ascii="宋体" w:hAnsi="宋体" w:eastAsia="宋体" w:cs="宋体"/>
          <w:b/>
          <w:sz w:val="24"/>
        </w:rPr>
      </w:pPr>
      <w:r>
        <w:rPr>
          <w:rFonts w:hint="eastAsia" w:ascii="宋体" w:hAnsi="宋体" w:eastAsia="宋体" w:cs="宋体"/>
          <w:b/>
          <w:sz w:val="24"/>
        </w:rPr>
        <w:t>7、检具发运所附带的标准件等备品数量要求</w:t>
      </w:r>
    </w:p>
    <w:tbl>
      <w:tblPr>
        <w:tblStyle w:val="41"/>
        <w:tblW w:w="9709"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817"/>
        <w:gridCol w:w="1947"/>
        <w:gridCol w:w="1975"/>
        <w:gridCol w:w="3186"/>
        <w:gridCol w:w="1784"/>
      </w:tblGrid>
      <w:tr w14:paraId="79AC5B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0" w:hRule="atLeast"/>
          <w:jc w:val="center"/>
        </w:trPr>
        <w:tc>
          <w:tcPr>
            <w:tcW w:w="817" w:type="dxa"/>
            <w:vAlign w:val="center"/>
          </w:tcPr>
          <w:p w14:paraId="070DFF0C">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序号</w:t>
            </w:r>
          </w:p>
        </w:tc>
        <w:tc>
          <w:tcPr>
            <w:tcW w:w="3922" w:type="dxa"/>
            <w:gridSpan w:val="2"/>
            <w:vAlign w:val="center"/>
          </w:tcPr>
          <w:p w14:paraId="3EFE295B">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品种及规格</w:t>
            </w:r>
          </w:p>
        </w:tc>
        <w:tc>
          <w:tcPr>
            <w:tcW w:w="3186" w:type="dxa"/>
            <w:vAlign w:val="center"/>
          </w:tcPr>
          <w:p w14:paraId="3785522A">
            <w:pPr>
              <w:autoSpaceDE w:val="0"/>
              <w:autoSpaceDN w:val="0"/>
              <w:adjustRightInd w:val="0"/>
              <w:spacing w:line="360" w:lineRule="exact"/>
              <w:jc w:val="center"/>
              <w:rPr>
                <w:rFonts w:hint="eastAsia" w:ascii="宋体" w:hAnsi="宋体" w:eastAsia="宋体" w:cs="宋体"/>
                <w:kern w:val="0"/>
                <w:sz w:val="24"/>
              </w:rPr>
            </w:pPr>
            <w:r>
              <w:rPr>
                <w:rFonts w:hint="eastAsia" w:ascii="宋体" w:hAnsi="宋体" w:eastAsia="宋体" w:cs="宋体"/>
                <w:kern w:val="0"/>
                <w:sz w:val="24"/>
                <w:szCs w:val="24"/>
              </w:rPr>
              <w:t>备件数量</w:t>
            </w:r>
          </w:p>
        </w:tc>
        <w:tc>
          <w:tcPr>
            <w:tcW w:w="1784" w:type="dxa"/>
          </w:tcPr>
          <w:p w14:paraId="10ADE163">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备注</w:t>
            </w:r>
          </w:p>
        </w:tc>
      </w:tr>
      <w:tr w14:paraId="341767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17" w:type="dxa"/>
            <w:vAlign w:val="center"/>
          </w:tcPr>
          <w:p w14:paraId="643C0A82">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1</w:t>
            </w:r>
          </w:p>
        </w:tc>
        <w:tc>
          <w:tcPr>
            <w:tcW w:w="1947" w:type="dxa"/>
            <w:vAlign w:val="center"/>
          </w:tcPr>
          <w:p w14:paraId="6E6C1A21">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游标卡尺、间隙尺、面差尺</w:t>
            </w:r>
          </w:p>
        </w:tc>
        <w:tc>
          <w:tcPr>
            <w:tcW w:w="1975" w:type="dxa"/>
            <w:vAlign w:val="center"/>
          </w:tcPr>
          <w:p w14:paraId="44335C53">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w:t>
            </w:r>
          </w:p>
        </w:tc>
        <w:tc>
          <w:tcPr>
            <w:tcW w:w="3186" w:type="dxa"/>
            <w:vAlign w:val="center"/>
          </w:tcPr>
          <w:p w14:paraId="0169AB35">
            <w:pPr>
              <w:autoSpaceDE w:val="0"/>
              <w:autoSpaceDN w:val="0"/>
              <w:adjustRightInd w:val="0"/>
              <w:spacing w:line="360" w:lineRule="exact"/>
              <w:jc w:val="left"/>
              <w:rPr>
                <w:rFonts w:hint="eastAsia" w:ascii="宋体" w:hAnsi="宋体" w:eastAsia="宋体" w:cs="宋体"/>
                <w:kern w:val="0"/>
                <w:sz w:val="24"/>
                <w:szCs w:val="24"/>
              </w:rPr>
            </w:pPr>
            <w:r>
              <w:rPr>
                <w:rFonts w:hint="eastAsia" w:ascii="宋体" w:hAnsi="宋体" w:eastAsia="宋体" w:cs="宋体"/>
                <w:kern w:val="0"/>
                <w:sz w:val="24"/>
                <w:szCs w:val="24"/>
              </w:rPr>
              <w:t>每套检具配一套工具</w:t>
            </w:r>
          </w:p>
        </w:tc>
        <w:tc>
          <w:tcPr>
            <w:tcW w:w="1784" w:type="dxa"/>
            <w:vAlign w:val="center"/>
          </w:tcPr>
          <w:p w14:paraId="4DD9B591">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按单套检具提供备件</w:t>
            </w:r>
          </w:p>
        </w:tc>
      </w:tr>
      <w:tr w14:paraId="3A77C1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17" w:type="dxa"/>
            <w:vAlign w:val="center"/>
          </w:tcPr>
          <w:p w14:paraId="00D927D5">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2</w:t>
            </w:r>
          </w:p>
        </w:tc>
        <w:tc>
          <w:tcPr>
            <w:tcW w:w="1947" w:type="dxa"/>
            <w:vAlign w:val="center"/>
          </w:tcPr>
          <w:p w14:paraId="25D9BC25">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面差、修边止通规</w:t>
            </w:r>
          </w:p>
        </w:tc>
        <w:tc>
          <w:tcPr>
            <w:tcW w:w="1975" w:type="dxa"/>
            <w:vAlign w:val="center"/>
          </w:tcPr>
          <w:p w14:paraId="2D139FE6">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w:t>
            </w:r>
          </w:p>
        </w:tc>
        <w:tc>
          <w:tcPr>
            <w:tcW w:w="3186" w:type="dxa"/>
            <w:vAlign w:val="center"/>
          </w:tcPr>
          <w:p w14:paraId="64EA1255">
            <w:pPr>
              <w:autoSpaceDE w:val="0"/>
              <w:autoSpaceDN w:val="0"/>
              <w:adjustRightInd w:val="0"/>
              <w:spacing w:line="360" w:lineRule="exact"/>
              <w:jc w:val="left"/>
              <w:rPr>
                <w:rFonts w:hint="eastAsia" w:ascii="宋体" w:hAnsi="宋体" w:eastAsia="宋体" w:cs="宋体"/>
                <w:kern w:val="0"/>
                <w:sz w:val="24"/>
                <w:szCs w:val="24"/>
              </w:rPr>
            </w:pPr>
            <w:r>
              <w:rPr>
                <w:rFonts w:hint="eastAsia" w:ascii="宋体" w:hAnsi="宋体" w:eastAsia="宋体" w:cs="宋体"/>
                <w:kern w:val="0"/>
                <w:sz w:val="24"/>
                <w:szCs w:val="24"/>
              </w:rPr>
              <w:t>每套检具各一件</w:t>
            </w:r>
          </w:p>
        </w:tc>
        <w:tc>
          <w:tcPr>
            <w:tcW w:w="1784" w:type="dxa"/>
            <w:vAlign w:val="center"/>
          </w:tcPr>
          <w:p w14:paraId="02CE2BEC">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按单套检具提供备件</w:t>
            </w:r>
          </w:p>
        </w:tc>
      </w:tr>
      <w:tr w14:paraId="4B05C6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17" w:type="dxa"/>
            <w:vAlign w:val="center"/>
          </w:tcPr>
          <w:p w14:paraId="1F3C5BF0">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3</w:t>
            </w:r>
          </w:p>
        </w:tc>
        <w:tc>
          <w:tcPr>
            <w:tcW w:w="1947" w:type="dxa"/>
            <w:vAlign w:val="center"/>
          </w:tcPr>
          <w:p w14:paraId="699FC174">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快速夹头</w:t>
            </w:r>
          </w:p>
        </w:tc>
        <w:tc>
          <w:tcPr>
            <w:tcW w:w="1975" w:type="dxa"/>
            <w:vAlign w:val="center"/>
          </w:tcPr>
          <w:p w14:paraId="30CD72FB">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w:t>
            </w:r>
          </w:p>
        </w:tc>
        <w:tc>
          <w:tcPr>
            <w:tcW w:w="3186" w:type="dxa"/>
            <w:vAlign w:val="center"/>
          </w:tcPr>
          <w:p w14:paraId="54C0D9FA">
            <w:pPr>
              <w:autoSpaceDE w:val="0"/>
              <w:autoSpaceDN w:val="0"/>
              <w:adjustRightInd w:val="0"/>
              <w:spacing w:line="360" w:lineRule="exact"/>
              <w:jc w:val="left"/>
              <w:rPr>
                <w:rFonts w:hint="eastAsia" w:ascii="宋体" w:hAnsi="宋体" w:eastAsia="宋体" w:cs="宋体"/>
                <w:kern w:val="0"/>
                <w:sz w:val="24"/>
                <w:szCs w:val="24"/>
              </w:rPr>
            </w:pPr>
            <w:r>
              <w:rPr>
                <w:rFonts w:hint="eastAsia" w:ascii="宋体" w:hAnsi="宋体" w:eastAsia="宋体" w:cs="宋体"/>
                <w:kern w:val="0"/>
                <w:sz w:val="24"/>
                <w:szCs w:val="24"/>
              </w:rPr>
              <w:t>每套检具每种规格不少于20%</w:t>
            </w:r>
          </w:p>
        </w:tc>
        <w:tc>
          <w:tcPr>
            <w:tcW w:w="1784" w:type="dxa"/>
            <w:vAlign w:val="center"/>
          </w:tcPr>
          <w:p w14:paraId="05774103">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按单套检具提供备件，每种规格总数不少于2件</w:t>
            </w:r>
          </w:p>
        </w:tc>
      </w:tr>
      <w:tr w14:paraId="7C2EF8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17" w:type="dxa"/>
            <w:vAlign w:val="center"/>
          </w:tcPr>
          <w:p w14:paraId="37AADDA8">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4</w:t>
            </w:r>
          </w:p>
        </w:tc>
        <w:tc>
          <w:tcPr>
            <w:tcW w:w="1947" w:type="dxa"/>
            <w:vAlign w:val="center"/>
          </w:tcPr>
          <w:p w14:paraId="310659E9">
            <w:pPr>
              <w:autoSpaceDE w:val="0"/>
              <w:autoSpaceDN w:val="0"/>
              <w:adjustRightInd w:val="0"/>
              <w:spacing w:line="360" w:lineRule="exact"/>
              <w:rPr>
                <w:rFonts w:hint="eastAsia" w:ascii="宋体" w:hAnsi="宋体" w:eastAsia="宋体" w:cs="宋体"/>
                <w:kern w:val="0"/>
                <w:sz w:val="24"/>
                <w:szCs w:val="24"/>
              </w:rPr>
            </w:pPr>
            <w:r>
              <w:rPr>
                <w:rFonts w:hint="eastAsia" w:ascii="宋体" w:hAnsi="宋体" w:eastAsia="宋体" w:cs="宋体"/>
                <w:kern w:val="0"/>
                <w:sz w:val="24"/>
                <w:szCs w:val="24"/>
              </w:rPr>
              <w:t>检测销、划线销等各种销类</w:t>
            </w:r>
          </w:p>
        </w:tc>
        <w:tc>
          <w:tcPr>
            <w:tcW w:w="1975" w:type="dxa"/>
            <w:vAlign w:val="center"/>
          </w:tcPr>
          <w:p w14:paraId="5BB41E5A">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w:t>
            </w:r>
          </w:p>
        </w:tc>
        <w:tc>
          <w:tcPr>
            <w:tcW w:w="3186" w:type="dxa"/>
            <w:vAlign w:val="center"/>
          </w:tcPr>
          <w:p w14:paraId="27FD5350">
            <w:pPr>
              <w:autoSpaceDE w:val="0"/>
              <w:autoSpaceDN w:val="0"/>
              <w:adjustRightInd w:val="0"/>
              <w:spacing w:line="360" w:lineRule="exact"/>
              <w:jc w:val="left"/>
              <w:rPr>
                <w:rFonts w:hint="eastAsia" w:ascii="宋体" w:hAnsi="宋体" w:eastAsia="宋体" w:cs="宋体"/>
                <w:kern w:val="0"/>
                <w:sz w:val="24"/>
                <w:szCs w:val="24"/>
              </w:rPr>
            </w:pPr>
            <w:r>
              <w:rPr>
                <w:rFonts w:hint="eastAsia" w:ascii="宋体" w:hAnsi="宋体" w:eastAsia="宋体" w:cs="宋体"/>
                <w:kern w:val="0"/>
                <w:sz w:val="24"/>
                <w:szCs w:val="24"/>
              </w:rPr>
              <w:t>每套检具每种规格不少于2件</w:t>
            </w:r>
          </w:p>
        </w:tc>
        <w:tc>
          <w:tcPr>
            <w:tcW w:w="1784" w:type="dxa"/>
            <w:vAlign w:val="center"/>
          </w:tcPr>
          <w:p w14:paraId="3C71FE20">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按单套检具提供备件</w:t>
            </w:r>
          </w:p>
        </w:tc>
      </w:tr>
      <w:tr w14:paraId="1C8E70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9709" w:type="dxa"/>
            <w:gridSpan w:val="5"/>
            <w:vAlign w:val="center"/>
          </w:tcPr>
          <w:p w14:paraId="30F4AFEB">
            <w:pPr>
              <w:spacing w:line="360" w:lineRule="exact"/>
              <w:jc w:val="left"/>
              <w:rPr>
                <w:rFonts w:hint="eastAsia" w:ascii="宋体" w:hAnsi="宋体" w:eastAsia="宋体" w:cs="宋体"/>
                <w:sz w:val="24"/>
              </w:rPr>
            </w:pPr>
            <w:r>
              <w:rPr>
                <w:rFonts w:hint="eastAsia" w:ascii="宋体" w:hAnsi="宋体" w:eastAsia="宋体" w:cs="宋体"/>
                <w:sz w:val="24"/>
              </w:rPr>
              <w:t>备注：</w:t>
            </w:r>
          </w:p>
          <w:p w14:paraId="360D99B9">
            <w:pPr>
              <w:spacing w:line="360" w:lineRule="exact"/>
              <w:jc w:val="left"/>
              <w:rPr>
                <w:rFonts w:hint="eastAsia" w:ascii="宋体" w:hAnsi="宋体" w:eastAsia="宋体" w:cs="宋体"/>
                <w:sz w:val="24"/>
              </w:rPr>
            </w:pPr>
            <w:r>
              <w:rPr>
                <w:rFonts w:hint="eastAsia" w:ascii="宋体" w:hAnsi="宋体" w:eastAsia="宋体" w:cs="宋体"/>
                <w:sz w:val="24"/>
              </w:rPr>
              <w:t xml:space="preserve">  1）备件上应有标准、规格、型号标识，并按规格分类包装，包装袋外侧应有备件明细。</w:t>
            </w:r>
          </w:p>
          <w:p w14:paraId="42CF0F65">
            <w:pPr>
              <w:spacing w:line="360" w:lineRule="exact"/>
              <w:jc w:val="left"/>
              <w:rPr>
                <w:rFonts w:hint="eastAsia" w:ascii="宋体" w:hAnsi="宋体" w:eastAsia="宋体" w:cs="宋体"/>
                <w:sz w:val="24"/>
                <w:szCs w:val="24"/>
              </w:rPr>
            </w:pPr>
            <w:r>
              <w:rPr>
                <w:rFonts w:hint="eastAsia" w:ascii="宋体" w:hAnsi="宋体" w:eastAsia="宋体" w:cs="宋体"/>
                <w:sz w:val="24"/>
              </w:rPr>
              <w:t xml:space="preserve">  2）易损备件随模具一起交货。</w:t>
            </w:r>
          </w:p>
        </w:tc>
      </w:tr>
    </w:tbl>
    <w:p w14:paraId="1F81C445">
      <w:pPr>
        <w:widowControl/>
        <w:spacing w:line="360" w:lineRule="exact"/>
        <w:ind w:firstLine="420" w:firstLineChars="175"/>
        <w:jc w:val="left"/>
        <w:rPr>
          <w:rFonts w:hint="eastAsia" w:ascii="宋体" w:hAnsi="宋体" w:eastAsia="宋体" w:cs="宋体"/>
          <w:kern w:val="0"/>
          <w:sz w:val="24"/>
        </w:rPr>
      </w:pPr>
    </w:p>
    <w:p w14:paraId="50535120">
      <w:pPr>
        <w:spacing w:before="120" w:after="120" w:line="360" w:lineRule="exact"/>
        <w:ind w:firstLine="482" w:firstLineChars="200"/>
        <w:rPr>
          <w:rFonts w:hint="eastAsia" w:ascii="宋体" w:hAnsi="宋体" w:eastAsia="宋体" w:cs="宋体"/>
          <w:b/>
          <w:sz w:val="24"/>
          <w:szCs w:val="24"/>
        </w:rPr>
      </w:pPr>
      <w:r>
        <w:rPr>
          <w:rFonts w:hint="eastAsia" w:ascii="宋体" w:hAnsi="宋体" w:eastAsia="宋体" w:cs="宋体"/>
          <w:b/>
          <w:sz w:val="24"/>
          <w:szCs w:val="24"/>
        </w:rPr>
        <w:t>8.技术服务</w:t>
      </w:r>
    </w:p>
    <w:p w14:paraId="275C0C19">
      <w:pPr>
        <w:spacing w:line="360" w:lineRule="exact"/>
        <w:ind w:firstLine="465"/>
        <w:rPr>
          <w:rFonts w:hint="eastAsia" w:ascii="宋体" w:hAnsi="宋体" w:eastAsia="宋体" w:cs="宋体"/>
          <w:sz w:val="24"/>
        </w:rPr>
      </w:pPr>
      <w:r>
        <w:rPr>
          <w:rFonts w:hint="eastAsia" w:ascii="宋体" w:hAnsi="宋体" w:eastAsia="宋体" w:cs="宋体"/>
          <w:sz w:val="24"/>
        </w:rPr>
        <w:t>8.1投标方对招标方操作人员和维修人员进行免费技术培训，具体时间双方商定。</w:t>
      </w:r>
    </w:p>
    <w:p w14:paraId="1148DBE6">
      <w:pPr>
        <w:spacing w:line="360" w:lineRule="exact"/>
        <w:ind w:firstLine="465"/>
        <w:rPr>
          <w:rFonts w:hint="eastAsia" w:ascii="宋体" w:hAnsi="宋体" w:eastAsia="宋体" w:cs="宋体"/>
          <w:sz w:val="24"/>
        </w:rPr>
      </w:pPr>
      <w:r>
        <w:rPr>
          <w:rFonts w:hint="eastAsia" w:ascii="宋体" w:hAnsi="宋体" w:eastAsia="宋体" w:cs="宋体"/>
          <w:sz w:val="24"/>
        </w:rPr>
        <w:t>8.2投标方应提供检具的维修和保养所必需的专用工具和材料及相关资料，并对相关费用作出说明。</w:t>
      </w:r>
    </w:p>
    <w:p w14:paraId="3328BE9A">
      <w:pPr>
        <w:spacing w:line="360" w:lineRule="exact"/>
        <w:ind w:firstLine="465"/>
        <w:rPr>
          <w:rFonts w:hint="eastAsia" w:ascii="宋体" w:hAnsi="宋体" w:eastAsia="宋体" w:cs="宋体"/>
          <w:sz w:val="24"/>
        </w:rPr>
      </w:pPr>
      <w:r>
        <w:rPr>
          <w:rFonts w:hint="eastAsia" w:ascii="宋体" w:hAnsi="宋体" w:eastAsia="宋体" w:cs="宋体"/>
          <w:sz w:val="24"/>
        </w:rPr>
        <w:t>*8.3质保期:检具终验收合格后十二个月。</w:t>
      </w:r>
    </w:p>
    <w:p w14:paraId="3D24EEB1">
      <w:pPr>
        <w:spacing w:line="360" w:lineRule="exact"/>
        <w:ind w:firstLine="465"/>
        <w:rPr>
          <w:rFonts w:hint="eastAsia" w:ascii="宋体" w:hAnsi="宋体" w:eastAsia="宋体" w:cs="宋体"/>
          <w:sz w:val="24"/>
        </w:rPr>
      </w:pPr>
      <w:r>
        <w:rPr>
          <w:rFonts w:hint="eastAsia" w:ascii="宋体" w:hAnsi="宋体" w:eastAsia="宋体" w:cs="宋体"/>
          <w:sz w:val="24"/>
        </w:rPr>
        <w:t>8.4在质量保证期内，投标方应提供检具的免费维修或更换；在质量保证期外，接受用户维修咨询和必要的服务，并定期回访客户，指明可能出现故障的部位和维修要点。</w:t>
      </w:r>
    </w:p>
    <w:p w14:paraId="4CE5C07C">
      <w:pPr>
        <w:spacing w:line="360" w:lineRule="exact"/>
        <w:ind w:firstLine="465"/>
        <w:rPr>
          <w:rFonts w:hint="eastAsia" w:ascii="宋体" w:hAnsi="宋体" w:eastAsia="宋体" w:cs="宋体"/>
          <w:sz w:val="24"/>
        </w:rPr>
      </w:pPr>
      <w:r>
        <w:rPr>
          <w:rFonts w:hint="eastAsia" w:ascii="宋体" w:hAnsi="宋体" w:eastAsia="宋体" w:cs="宋体"/>
          <w:sz w:val="24"/>
        </w:rPr>
        <w:t>8.5检具出现局部设计变更时，投标方不能向招标方要求增加额外费用；如有较大设变，涉及到整体结构变更甚至检具报废时，招标方与投标方协商另外支付费用，但费用应以成本价格计算。</w:t>
      </w:r>
    </w:p>
    <w:p w14:paraId="25163A21">
      <w:pPr>
        <w:tabs>
          <w:tab w:val="left" w:pos="1260"/>
        </w:tabs>
        <w:spacing w:before="120" w:after="120" w:line="360" w:lineRule="exact"/>
        <w:ind w:firstLine="482" w:firstLineChars="200"/>
        <w:rPr>
          <w:rFonts w:hint="eastAsia" w:ascii="宋体" w:hAnsi="宋体" w:eastAsia="宋体" w:cs="宋体"/>
          <w:b/>
          <w:sz w:val="24"/>
          <w:szCs w:val="24"/>
        </w:rPr>
      </w:pPr>
      <w:r>
        <w:rPr>
          <w:rFonts w:hint="eastAsia" w:ascii="宋体" w:hAnsi="宋体" w:eastAsia="宋体" w:cs="宋体"/>
          <w:b/>
          <w:sz w:val="24"/>
          <w:szCs w:val="24"/>
        </w:rPr>
        <w:t>9.其他要求</w:t>
      </w:r>
    </w:p>
    <w:p w14:paraId="60C0B8BC">
      <w:pPr>
        <w:spacing w:line="360" w:lineRule="exact"/>
        <w:ind w:firstLine="465"/>
        <w:rPr>
          <w:rFonts w:hint="eastAsia" w:ascii="宋体" w:hAnsi="宋体" w:eastAsia="宋体" w:cs="宋体"/>
          <w:sz w:val="24"/>
        </w:rPr>
      </w:pPr>
      <w:r>
        <w:rPr>
          <w:rFonts w:hint="eastAsia" w:ascii="宋体" w:hAnsi="宋体" w:eastAsia="宋体" w:cs="宋体"/>
          <w:sz w:val="24"/>
        </w:rPr>
        <w:t>9.1招标文件中带有“*”的条款为否决项，不允许出现偏离。</w:t>
      </w:r>
    </w:p>
    <w:p w14:paraId="5C7BFFB4">
      <w:pPr>
        <w:spacing w:line="360" w:lineRule="exact"/>
        <w:ind w:firstLine="465"/>
        <w:rPr>
          <w:rFonts w:hint="eastAsia" w:ascii="宋体" w:hAnsi="宋体" w:eastAsia="宋体" w:cs="宋体"/>
          <w:sz w:val="24"/>
        </w:rPr>
      </w:pPr>
      <w:r>
        <w:rPr>
          <w:rFonts w:hint="eastAsia" w:ascii="宋体" w:hAnsi="宋体" w:eastAsia="宋体" w:cs="宋体"/>
          <w:sz w:val="24"/>
        </w:rPr>
        <w:t>9.2投标方提供的所有电子版的资料应使用常用或易于购买的商业软件打开(原则上以word、excel、AUTOCAD、CATIA为主)，并至少包括可修改的和不可修改的文件各一套。</w:t>
      </w:r>
    </w:p>
    <w:p w14:paraId="1C0D7C74">
      <w:pPr>
        <w:spacing w:line="360" w:lineRule="exact"/>
        <w:ind w:firstLine="465"/>
        <w:rPr>
          <w:rFonts w:hint="eastAsia" w:ascii="宋体" w:hAnsi="宋体" w:eastAsia="宋体" w:cs="宋体"/>
          <w:sz w:val="24"/>
        </w:rPr>
      </w:pPr>
      <w:r>
        <w:rPr>
          <w:rFonts w:hint="eastAsia" w:ascii="宋体" w:hAnsi="宋体" w:eastAsia="宋体" w:cs="宋体"/>
          <w:sz w:val="24"/>
        </w:rPr>
        <w:t>9.3投标方应就招标方提供的所有开发、设计资料与招标方签订保密协议（格式见</w:t>
      </w:r>
      <w:r>
        <w:rPr>
          <w:rFonts w:hint="eastAsia" w:ascii="宋体" w:hAnsi="宋体" w:eastAsia="宋体" w:cs="宋体"/>
          <w:sz w:val="24"/>
          <w:lang w:val="en-US" w:eastAsia="zh-CN"/>
        </w:rPr>
        <w:t>技术协议</w:t>
      </w:r>
      <w:r>
        <w:rPr>
          <w:rFonts w:hint="eastAsia" w:ascii="宋体" w:hAnsi="宋体" w:eastAsia="宋体" w:cs="宋体"/>
          <w:sz w:val="24"/>
        </w:rPr>
        <w:t>附件</w:t>
      </w:r>
      <w:r>
        <w:rPr>
          <w:rFonts w:hint="eastAsia" w:ascii="宋体" w:hAnsi="宋体" w:eastAsia="宋体" w:cs="宋体"/>
          <w:sz w:val="24"/>
          <w:lang w:val="en-US" w:eastAsia="zh-CN"/>
        </w:rPr>
        <w:t>7</w:t>
      </w:r>
      <w:r>
        <w:rPr>
          <w:rFonts w:hint="eastAsia" w:ascii="宋体" w:hAnsi="宋体" w:eastAsia="宋体" w:cs="宋体"/>
          <w:sz w:val="24"/>
        </w:rPr>
        <w:t>：商业及技术保密协议，允许双面打印），不得向第三方泄露。</w:t>
      </w:r>
    </w:p>
    <w:p w14:paraId="4C6C1C5F">
      <w:pPr>
        <w:spacing w:line="360" w:lineRule="exact"/>
        <w:ind w:firstLine="465"/>
        <w:rPr>
          <w:rFonts w:hint="eastAsia" w:ascii="宋体" w:hAnsi="宋体" w:eastAsia="宋体" w:cs="宋体"/>
          <w:sz w:val="24"/>
        </w:rPr>
      </w:pPr>
      <w:r>
        <w:rPr>
          <w:rFonts w:hint="eastAsia" w:ascii="宋体" w:hAnsi="宋体" w:eastAsia="宋体" w:cs="宋体"/>
          <w:sz w:val="24"/>
        </w:rPr>
        <w:t>9.4投标文件语言应为中文；提交货物时所带资料的语言可以为中文或英文。</w:t>
      </w:r>
    </w:p>
    <w:p w14:paraId="6A89451F">
      <w:pPr>
        <w:pStyle w:val="5"/>
        <w:widowControl/>
        <w:spacing w:before="120" w:after="120"/>
        <w:jc w:val="center"/>
        <w:rPr>
          <w:rFonts w:ascii="Times New Roman" w:hAnsi="Times New Roman" w:eastAsia="黑体"/>
          <w:szCs w:val="24"/>
        </w:rPr>
      </w:pPr>
      <w:bookmarkStart w:id="49" w:name="_Toc169605880"/>
      <w:bookmarkStart w:id="50" w:name="_Toc169605881"/>
      <w:r>
        <w:rPr>
          <w:rFonts w:ascii="Times New Roman" w:hAnsi="Times New Roman" w:eastAsia="黑体"/>
          <w:szCs w:val="24"/>
        </w:rPr>
        <w:t>第</w:t>
      </w:r>
      <w:r>
        <w:rPr>
          <w:rFonts w:hint="eastAsia" w:ascii="Times New Roman" w:hAnsi="Times New Roman" w:eastAsia="黑体"/>
          <w:szCs w:val="24"/>
        </w:rPr>
        <w:t>三</w:t>
      </w:r>
      <w:r>
        <w:rPr>
          <w:rFonts w:ascii="Times New Roman" w:hAnsi="Times New Roman" w:eastAsia="黑体"/>
          <w:szCs w:val="24"/>
        </w:rPr>
        <w:t>章  技术要求</w:t>
      </w:r>
      <w:bookmarkEnd w:id="49"/>
    </w:p>
    <w:p w14:paraId="2F2DA395">
      <w:pPr>
        <w:keepNext/>
        <w:keepLines/>
        <w:spacing w:line="360" w:lineRule="auto"/>
        <w:ind w:firstLine="482" w:firstLineChars="200"/>
        <w:outlineLvl w:val="2"/>
        <w:rPr>
          <w:rFonts w:ascii="Times New Roman" w:hAnsi="Times New Roman" w:eastAsia="宋体" w:cs="Times New Roman"/>
          <w:b/>
          <w:bCs/>
          <w:color w:val="000000"/>
          <w:sz w:val="24"/>
          <w:szCs w:val="24"/>
        </w:rPr>
      </w:pPr>
      <w:r>
        <w:rPr>
          <w:rFonts w:ascii="Times New Roman" w:hAnsi="Times New Roman" w:eastAsia="宋体" w:cs="Times New Roman"/>
          <w:b/>
          <w:bCs/>
          <w:color w:val="000000"/>
          <w:sz w:val="24"/>
          <w:szCs w:val="24"/>
        </w:rPr>
        <w:t>一、特别提示</w:t>
      </w:r>
    </w:p>
    <w:p w14:paraId="04E9657F">
      <w:pPr>
        <w:spacing w:before="156" w:beforeLines="50" w:line="360" w:lineRule="auto"/>
        <w:rPr>
          <w:rFonts w:ascii="Times New Roman" w:hAnsi="Times New Roman" w:eastAsia="宋体" w:cs="Times New Roman"/>
          <w:sz w:val="24"/>
          <w:szCs w:val="24"/>
        </w:rPr>
      </w:pPr>
      <w:r>
        <w:rPr>
          <w:rFonts w:ascii="Times New Roman" w:hAnsi="Times New Roman" w:eastAsia="宋体" w:cs="Times New Roman"/>
          <w:sz w:val="24"/>
          <w:szCs w:val="24"/>
        </w:rPr>
        <w:t xml:space="preserve">    1</w:t>
      </w:r>
      <w:r>
        <w:rPr>
          <w:rFonts w:hint="eastAsia" w:ascii="Times New Roman" w:hAnsi="Times New Roman" w:eastAsia="宋体" w:cs="Times New Roman"/>
          <w:sz w:val="24"/>
          <w:szCs w:val="24"/>
        </w:rPr>
        <w:t>、</w:t>
      </w:r>
      <w:r>
        <w:rPr>
          <w:rFonts w:ascii="Times New Roman" w:hAnsi="Times New Roman" w:eastAsia="宋体" w:cs="Times New Roman"/>
          <w:sz w:val="24"/>
          <w:szCs w:val="24"/>
        </w:rPr>
        <w:t>本章技术要求，仅对功能、设计、结构、性能、安装和试验检验等方面，提出了最低和一般性的技术要求，并未对一切技术细节作出规定。</w:t>
      </w:r>
    </w:p>
    <w:p w14:paraId="08E76EDD">
      <w:pPr>
        <w:spacing w:line="360" w:lineRule="auto"/>
        <w:rPr>
          <w:rFonts w:ascii="Times New Roman" w:hAnsi="Times New Roman" w:eastAsia="宋体" w:cs="Times New Roman"/>
          <w:sz w:val="24"/>
          <w:szCs w:val="24"/>
        </w:rPr>
      </w:pPr>
      <w:r>
        <w:rPr>
          <w:rFonts w:ascii="Times New Roman" w:hAnsi="Times New Roman" w:eastAsia="宋体" w:cs="Times New Roman"/>
          <w:sz w:val="24"/>
          <w:szCs w:val="24"/>
        </w:rPr>
        <w:t xml:space="preserve">    2.本技术要求所使用的标准、规范等，如与投标人所执行的标准、规范不一致时，应按高于本技术要求所列的标准、规范执行。</w:t>
      </w:r>
    </w:p>
    <w:p w14:paraId="3194D0D4">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3.投标人认为所供货物必需由招标人配备、解决或提供的其它要求，如设备基础隔振和减振设施、软化水、洁净气源等，均应在投标文件“技术偏离”中予以充分说明。</w:t>
      </w:r>
    </w:p>
    <w:p w14:paraId="351C25DD">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bCs/>
          <w:sz w:val="24"/>
          <w:szCs w:val="24"/>
        </w:rPr>
        <w:t>4.投标人应根据招投标货物具体要求，提出</w:t>
      </w:r>
      <w:r>
        <w:rPr>
          <w:rFonts w:ascii="Times New Roman" w:hAnsi="Times New Roman" w:eastAsia="宋体" w:cs="Times New Roman"/>
          <w:sz w:val="24"/>
          <w:szCs w:val="24"/>
        </w:rPr>
        <w:t>对厂房、设备基础（或安装平台）、公用设施、消防、环保等超出招标文件、投标文件、答疑文件、技术交流文件、技术协议书和合同等规定的、有特殊需要的解释、说明和要求。</w:t>
      </w:r>
    </w:p>
    <w:p w14:paraId="13E568C1">
      <w:pPr>
        <w:spacing w:line="360" w:lineRule="auto"/>
        <w:rPr>
          <w:rFonts w:ascii="Times New Roman" w:hAnsi="Times New Roman" w:eastAsia="宋体" w:cs="Times New Roman"/>
          <w:sz w:val="24"/>
          <w:szCs w:val="24"/>
        </w:rPr>
      </w:pPr>
      <w:r>
        <w:rPr>
          <w:rFonts w:ascii="Times New Roman" w:hAnsi="Times New Roman" w:eastAsia="宋体" w:cs="Times New Roman"/>
          <w:sz w:val="24"/>
          <w:szCs w:val="24"/>
        </w:rPr>
        <w:t xml:space="preserve">    5.无论是否有技术偏离，投标人均应在投标文件“技术偏离”中明确作出有无说明。若有异议，不管是多么微小，投标人必须予以明确和详细的说明或澄清。</w:t>
      </w:r>
    </w:p>
    <w:p w14:paraId="62F062F1">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6.为避免投标人优势在招标评审时漏项，质保期超出本技术标书要求的，应当在投标文件“技术偏离”中特别注明。</w:t>
      </w:r>
    </w:p>
    <w:p w14:paraId="3B10A58C">
      <w:pPr>
        <w:spacing w:line="360" w:lineRule="auto"/>
        <w:ind w:firstLine="480" w:firstLineChars="200"/>
        <w:rPr>
          <w:rFonts w:hint="eastAsia" w:ascii="宋体" w:hAnsi="宋体" w:eastAsia="宋体" w:cs="宋体"/>
          <w:sz w:val="24"/>
          <w:szCs w:val="24"/>
        </w:rPr>
      </w:pPr>
      <w:r>
        <w:rPr>
          <w:rFonts w:ascii="宋体" w:hAnsi="宋体" w:eastAsia="宋体" w:cs="宋体"/>
          <w:sz w:val="24"/>
          <w:szCs w:val="24"/>
        </w:rPr>
        <w:t>7</w:t>
      </w:r>
      <w:r>
        <w:rPr>
          <w:rFonts w:hint="eastAsia" w:ascii="宋体" w:hAnsi="宋体" w:eastAsia="宋体" w:cs="宋体"/>
          <w:sz w:val="24"/>
          <w:szCs w:val="24"/>
        </w:rPr>
        <w:t>、投标文件中，针对“特别提示”条款所做的回应，将作为投标方能否中标的重要依据之一。</w:t>
      </w:r>
    </w:p>
    <w:p w14:paraId="08ABB837">
      <w:pPr>
        <w:tabs>
          <w:tab w:val="left" w:pos="-720"/>
          <w:tab w:val="left" w:pos="400"/>
          <w:tab w:val="left" w:pos="851"/>
        </w:tabs>
        <w:overflowPunct w:val="0"/>
        <w:autoSpaceDE w:val="0"/>
        <w:autoSpaceDN w:val="0"/>
        <w:snapToGrid w:val="0"/>
        <w:spacing w:line="360" w:lineRule="auto"/>
        <w:ind w:left="420"/>
        <w:jc w:val="left"/>
        <w:rPr>
          <w:rFonts w:hint="eastAsia" w:ascii="宋体" w:hAnsi="宋体" w:eastAsia="宋体" w:cs="宋体"/>
          <w:b/>
          <w:sz w:val="24"/>
          <w:szCs w:val="24"/>
        </w:rPr>
      </w:pPr>
      <w:r>
        <w:rPr>
          <w:rFonts w:hint="eastAsia" w:ascii="宋体" w:hAnsi="宋体" w:eastAsia="宋体" w:cs="宋体"/>
          <w:b/>
          <w:sz w:val="24"/>
          <w:szCs w:val="24"/>
        </w:rPr>
        <w:t>二、基本要求</w:t>
      </w:r>
    </w:p>
    <w:p w14:paraId="3EC6CCFA">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1.投标人所供的货物，必须符合中国最新版的法律、法规和相关标准、规范的要求，符合项目所在地政府有关特殊要求。</w:t>
      </w:r>
    </w:p>
    <w:p w14:paraId="6BB27918">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2.投标人所供货物涉及的专利权技术以及知识产权保护的其它技术等，应保证招标人不因此受到任何侵权指控以及实际损失。</w:t>
      </w:r>
    </w:p>
    <w:p w14:paraId="38DC8B99">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3.投标人应保证所供货物的先进性、可靠性、经济性和实用性，并为全新货物（或设备）。</w:t>
      </w:r>
    </w:p>
    <w:p w14:paraId="7FE44C69">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4.投标人应满足招标人提出的各项技术要求，必要时应当免费提供技术承诺或担保。</w:t>
      </w:r>
    </w:p>
    <w:p w14:paraId="7454648F">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5.投标人应保证所供货物（或设备）为中国政府指定或规定的主管部门公布的非淘汰货物（或设备），并尽力提供中国政府指定或规定的主管部门认可的环保型和节能型货物（或设备）。</w:t>
      </w:r>
    </w:p>
    <w:p w14:paraId="64A2AB12">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6.投标人应保证所供货物的完整性和成套性，能保证货物的正常运行、使用。</w:t>
      </w:r>
    </w:p>
    <w:p w14:paraId="4F89CBBF">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7.投标人应对招标人采购的货物所涉及的技术、产能等信息负有保密义务，招标人拥有追究投标人泄密责任的权利；招标人如有需要，投标人应无条件签署保密协议。</w:t>
      </w:r>
    </w:p>
    <w:p w14:paraId="745A420A">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8.投标人预验收时需提供进口设备、部件的报关清关资料。</w:t>
      </w:r>
    </w:p>
    <w:p w14:paraId="45A469CD">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9.投标方积极协助和提供招标方和招标方所委托的工程设计单位有关人员与标的物有关的工程设计资料。</w:t>
      </w:r>
    </w:p>
    <w:p w14:paraId="4F7BB42A">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10.投标方所供的设备，必须符合中国最新版的法律、法规和相关标准、规范的要求。</w:t>
      </w:r>
    </w:p>
    <w:p w14:paraId="57BB8F2A">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11.投标方所供设备涉及的专利权技术以及知识产权保护其它技术等，应保证招标方不因此受到第三方侵权指控以及实际损失。</w:t>
      </w:r>
    </w:p>
    <w:p w14:paraId="51702B47">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12.投标方应满足招标方提出的各项技术要求，并为全新设备。</w:t>
      </w:r>
    </w:p>
    <w:p w14:paraId="573927A5">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13.投标方应对招标方采购的设备所涉及的产品、技术、产能等信息负有保密义务。</w:t>
      </w:r>
    </w:p>
    <w:p w14:paraId="46B2D183">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14本技术要求，仅对功能、设计、结构、性能、安装和试验等方面，提出了最低和一般性的技术要求；并未对一切技术细节做出规定，未充分引述有关标准和规范的条文。投标方应保证提供的货物是符合本技术标书和国家最新的有关标准、规范的优质产品。若有异议，应在投标文件“技术偏离”中予以详细说明。</w:t>
      </w:r>
    </w:p>
    <w:p w14:paraId="551C6FFF">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15.本技术要求所使用的标准、规范等，如与投标方所执行的标准、规范不一致时，应按高于本技术要求所列的标准、规范执行，并在投标文件“技术偏离”中予以说明。</w:t>
      </w:r>
    </w:p>
    <w:p w14:paraId="3F016892">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16.投标方认为所供货物必需由招标方配备、解决或提供的其它要求，如设备基础隔振和减振设施、洁净气源等，均应在投标文件中予以充分说明。</w:t>
      </w:r>
    </w:p>
    <w:p w14:paraId="34158833">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17.投标方可以根据自身经验以及对招标文件的理解，写明买方招标设备（或材料）应进行的优于招标文件要求的其它方案或建议意见；投标方的这些努力，买方表示感谢，并将有助于投标方优先胜出；即使有建议意见或建议方案，仍应依据招标文件要求，编写符合要求的投标文件。建议方案或建议意见，应以单独篇章或文件，予以说明。</w:t>
      </w:r>
    </w:p>
    <w:p w14:paraId="3916DA3B">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18.投标时提供的内容必须进行详细说明。在投标时提供设备主要部件、外购件明细表、易损件备品备件清单和相应特殊维修工具明细等，要考虑这些部件在中国使用的可行性。并提供关键部件的质保周期和响应时间清单。</w:t>
      </w:r>
    </w:p>
    <w:p w14:paraId="3CBECAC6">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*19.在本标书中没有提及到的部分，所有供应商必须保证设备各部分功能齐全并便于使用，这部分价格应该包含在报价中，而不得另行加价。</w:t>
      </w:r>
    </w:p>
    <w:p w14:paraId="7E75D063">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20.本招标文件中所有加注“*”的条款为否决项，不允许出现偏离。</w:t>
      </w:r>
    </w:p>
    <w:p w14:paraId="08C86A97">
      <w:pPr>
        <w:keepNext/>
        <w:keepLines/>
        <w:spacing w:line="360" w:lineRule="auto"/>
        <w:ind w:firstLine="482" w:firstLineChars="200"/>
        <w:outlineLvl w:val="2"/>
        <w:rPr>
          <w:rFonts w:ascii="Times New Roman" w:hAnsi="Times New Roman" w:eastAsia="宋体" w:cs="Times New Roman"/>
          <w:b/>
          <w:bCs/>
          <w:color w:val="000000"/>
          <w:sz w:val="24"/>
          <w:szCs w:val="24"/>
        </w:rPr>
      </w:pPr>
      <w:r>
        <w:rPr>
          <w:rFonts w:ascii="Times New Roman" w:hAnsi="Times New Roman" w:eastAsia="宋体" w:cs="Times New Roman"/>
          <w:b/>
          <w:bCs/>
          <w:color w:val="000000"/>
          <w:sz w:val="24"/>
          <w:szCs w:val="24"/>
        </w:rPr>
        <w:t>三、技术要求</w:t>
      </w:r>
    </w:p>
    <w:p w14:paraId="0BADE9D1">
      <w:pPr>
        <w:tabs>
          <w:tab w:val="left" w:pos="-720"/>
          <w:tab w:val="left" w:pos="400"/>
          <w:tab w:val="left" w:pos="851"/>
        </w:tabs>
        <w:overflowPunct w:val="0"/>
        <w:autoSpaceDE w:val="0"/>
        <w:autoSpaceDN w:val="0"/>
        <w:snapToGrid w:val="0"/>
        <w:spacing w:line="360" w:lineRule="auto"/>
        <w:ind w:left="420"/>
        <w:jc w:val="left"/>
        <w:rPr>
          <w:rFonts w:hint="eastAsia" w:ascii="宋体" w:hAnsi="宋体" w:eastAsia="宋体" w:cs="宋体"/>
          <w:b/>
          <w:sz w:val="24"/>
          <w:szCs w:val="24"/>
        </w:rPr>
      </w:pPr>
      <w:bookmarkStart w:id="51" w:name="_Toc155087142"/>
      <w:bookmarkStart w:id="52" w:name="_Toc156556060"/>
      <w:r>
        <w:rPr>
          <w:rFonts w:hint="eastAsia" w:ascii="宋体" w:hAnsi="宋体" w:eastAsia="宋体" w:cs="宋体"/>
          <w:b/>
          <w:sz w:val="24"/>
          <w:szCs w:val="24"/>
        </w:rPr>
        <w:t>1. 模具使用寿命</w:t>
      </w:r>
      <w:bookmarkEnd w:id="51"/>
      <w:bookmarkEnd w:id="52"/>
    </w:p>
    <w:p w14:paraId="29EFAAED">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模具使用寿命：</w:t>
      </w:r>
      <w:r>
        <w:rPr>
          <w:rFonts w:hint="eastAsia" w:ascii="Times New Roman" w:hAnsi="Times New Roman" w:eastAsia="宋体" w:cs="Times New Roman"/>
          <w:bCs/>
          <w:sz w:val="24"/>
          <w:szCs w:val="24"/>
          <w:highlight w:val="red"/>
        </w:rPr>
        <w:t>≥70万次；</w:t>
      </w:r>
    </w:p>
    <w:bookmarkEnd w:id="50"/>
    <w:p w14:paraId="6A7D222F">
      <w:pPr>
        <w:tabs>
          <w:tab w:val="left" w:pos="-720"/>
          <w:tab w:val="left" w:pos="400"/>
          <w:tab w:val="left" w:pos="851"/>
        </w:tabs>
        <w:overflowPunct w:val="0"/>
        <w:autoSpaceDE w:val="0"/>
        <w:autoSpaceDN w:val="0"/>
        <w:snapToGrid w:val="0"/>
        <w:spacing w:line="360" w:lineRule="auto"/>
        <w:ind w:left="420"/>
        <w:jc w:val="left"/>
        <w:rPr>
          <w:rFonts w:hint="eastAsia" w:ascii="宋体" w:hAnsi="宋体" w:eastAsia="宋体" w:cs="宋体"/>
          <w:b/>
          <w:sz w:val="24"/>
          <w:szCs w:val="24"/>
        </w:rPr>
      </w:pPr>
      <w:bookmarkStart w:id="53" w:name="_Toc29691"/>
      <w:r>
        <w:rPr>
          <w:rFonts w:hint="eastAsia" w:ascii="宋体" w:hAnsi="宋体" w:eastAsia="宋体" w:cs="宋体"/>
          <w:b/>
          <w:sz w:val="24"/>
          <w:szCs w:val="24"/>
        </w:rPr>
        <w:t>2. 生产匹配要求</w:t>
      </w:r>
    </w:p>
    <w:p w14:paraId="5D9547FA">
      <w:pPr>
        <w:spacing w:line="360" w:lineRule="auto"/>
        <w:ind w:firstLine="480" w:firstLineChars="200"/>
        <w:rPr>
          <w:rFonts w:ascii="Times New Roman" w:hAnsi="Times New Roman" w:eastAsia="宋体" w:cs="Times New Roman"/>
          <w:bCs/>
          <w:sz w:val="24"/>
          <w:szCs w:val="24"/>
        </w:rPr>
      </w:pPr>
      <w:bookmarkStart w:id="54" w:name="_Toc156556062"/>
      <w:bookmarkStart w:id="55" w:name="_Toc155087144"/>
      <w:r>
        <w:rPr>
          <w:rFonts w:hint="eastAsia" w:ascii="Times New Roman" w:hAnsi="Times New Roman" w:eastAsia="宋体" w:cs="Times New Roman"/>
          <w:bCs/>
          <w:sz w:val="24"/>
          <w:szCs w:val="24"/>
        </w:rPr>
        <w:t>2.1 自动线模具设计自动化气源退料，且注意气源接头方向等的合理性。手动线由于模具结构、尺寸等原因确无法使用自动化气源退料的，必须采用其他可靠方式，确保制件从下模脱落。</w:t>
      </w:r>
    </w:p>
    <w:p w14:paraId="42F73908">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2.2 废料尺寸要求：废料对角线长度应小于500mm，模具小孔废料以废料盒暂存后送出（最小存放量需满足单班次生产要求），废料滑槽超出模具底板部分的刚性良好并采用折叠式结构和带挂链。</w:t>
      </w:r>
    </w:p>
    <w:p w14:paraId="2153C15F">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2.3 自动化冲压模具需要的传感器和线缆由乙方负责采购、安装、调试。</w:t>
      </w:r>
    </w:p>
    <w:p w14:paraId="252E2EB5">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2.4 制件从模具中取出前，模具应具有将制件顶出的机构，该机构将制件从模具型腔中顶出，顶出高度应便于取件，不能有任何障碍及粘附现象，并不妨碍取件制件和废料排出。</w:t>
      </w:r>
    </w:p>
    <w:p w14:paraId="77C29D62">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2.5 相同制件模具闭合高度要求一致为原则，同一个件的送料高度要求能够符合自动线机器人要求。</w:t>
      </w:r>
    </w:p>
    <w:p w14:paraId="001CAB52">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2.6 乙方提供的所有模具应保证能使用快速安装夹紧装置。</w:t>
      </w:r>
    </w:p>
    <w:p w14:paraId="66E51FDC">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2.7 气动接头采用快换插头，并分别分布在冲模的左前侧，管路内应设有调压阀；接插座的排列顺序为定位装置升起、定位装置下降、托料装置升起、托料装置下降。</w:t>
      </w:r>
    </w:p>
    <w:p w14:paraId="7F04282A">
      <w:pPr>
        <w:spacing w:line="360" w:lineRule="auto"/>
        <w:ind w:firstLine="480" w:firstLineChars="200"/>
        <w:rPr>
          <w:rFonts w:hint="eastAsia" w:ascii="宋体" w:hAnsi="宋体" w:cs="宋体"/>
          <w:bCs/>
          <w:sz w:val="24"/>
          <w:szCs w:val="24"/>
        </w:rPr>
      </w:pPr>
      <w:r>
        <w:rPr>
          <w:rFonts w:hint="eastAsia" w:ascii="Times New Roman" w:hAnsi="Times New Roman" w:eastAsia="宋体" w:cs="Times New Roman"/>
          <w:bCs/>
          <w:sz w:val="24"/>
          <w:szCs w:val="24"/>
        </w:rPr>
        <w:t>2.8模具设计时应在冲压件上实现生产批次识别信息</w:t>
      </w:r>
      <w:r>
        <w:rPr>
          <w:rFonts w:hint="eastAsia" w:ascii="宋体" w:hAnsi="宋体" w:cs="宋体"/>
          <w:bCs/>
          <w:sz w:val="24"/>
          <w:szCs w:val="24"/>
        </w:rPr>
        <w:t>。</w:t>
      </w:r>
    </w:p>
    <w:p w14:paraId="5D85DB67">
      <w:pPr>
        <w:tabs>
          <w:tab w:val="left" w:pos="-720"/>
          <w:tab w:val="left" w:pos="400"/>
          <w:tab w:val="left" w:pos="851"/>
        </w:tabs>
        <w:overflowPunct w:val="0"/>
        <w:autoSpaceDE w:val="0"/>
        <w:autoSpaceDN w:val="0"/>
        <w:snapToGrid w:val="0"/>
        <w:spacing w:line="360" w:lineRule="auto"/>
        <w:ind w:left="420"/>
        <w:jc w:val="left"/>
        <w:rPr>
          <w:rFonts w:hint="eastAsia" w:ascii="宋体" w:hAnsi="宋体" w:eastAsia="宋体" w:cs="宋体"/>
          <w:b/>
          <w:sz w:val="24"/>
          <w:szCs w:val="24"/>
        </w:rPr>
      </w:pPr>
      <w:r>
        <w:rPr>
          <w:rFonts w:hint="eastAsia" w:ascii="宋体" w:hAnsi="宋体" w:eastAsia="宋体" w:cs="宋体"/>
          <w:b/>
          <w:sz w:val="24"/>
          <w:szCs w:val="24"/>
        </w:rPr>
        <w:t>3. 模具结构强度及功能性要求</w:t>
      </w:r>
      <w:bookmarkEnd w:id="54"/>
      <w:bookmarkEnd w:id="55"/>
    </w:p>
    <w:p w14:paraId="733ED9E7">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3.1</w:t>
      </w:r>
      <w:r>
        <w:rPr>
          <w:rFonts w:hint="eastAsia" w:ascii="Times New Roman" w:hAnsi="Times New Roman" w:eastAsia="宋体" w:cs="Times New Roman"/>
          <w:bCs/>
          <w:sz w:val="24"/>
          <w:szCs w:val="24"/>
        </w:rPr>
        <w:t xml:space="preserve"> 铸件加强筋的选择至少选用30,40,50mm 的厚度。</w:t>
      </w:r>
    </w:p>
    <w:p w14:paraId="4D3A6ACE">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3.2</w:t>
      </w:r>
      <w:r>
        <w:rPr>
          <w:rFonts w:hint="eastAsia" w:ascii="Times New Roman" w:hAnsi="Times New Roman" w:eastAsia="宋体" w:cs="Times New Roman"/>
          <w:bCs/>
          <w:sz w:val="24"/>
          <w:szCs w:val="24"/>
        </w:rPr>
        <w:t xml:space="preserve"> 铸件减轻孔连接处的铸造转角 R 角尽量加大，避免铸造应力。R15-R20 可作为参考。</w:t>
      </w:r>
    </w:p>
    <w:p w14:paraId="55202C4A">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3.3</w:t>
      </w:r>
      <w:r>
        <w:rPr>
          <w:rFonts w:hint="eastAsia" w:ascii="Times New Roman" w:hAnsi="Times New Roman" w:eastAsia="宋体" w:cs="Times New Roman"/>
          <w:bCs/>
          <w:sz w:val="24"/>
          <w:szCs w:val="24"/>
        </w:rPr>
        <w:t xml:space="preserve"> 优化背靠的强度设计，背靠高度和厚度加强。整形、修边模的靠背最小肉厚 50-60mm。</w:t>
      </w:r>
    </w:p>
    <w:p w14:paraId="4E4FE959">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3.4</w:t>
      </w:r>
      <w:r>
        <w:rPr>
          <w:rFonts w:hint="eastAsia" w:ascii="Times New Roman" w:hAnsi="Times New Roman" w:eastAsia="宋体" w:cs="Times New Roman"/>
          <w:bCs/>
          <w:sz w:val="24"/>
          <w:szCs w:val="24"/>
        </w:rPr>
        <w:t xml:space="preserve"> 导柱设计单侧双导柱形式，直径最小 60mm。若空间不够情况，其它结构需要 CFMA 批准。</w:t>
      </w:r>
    </w:p>
    <w:p w14:paraId="6AB7ECB2">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3.5</w:t>
      </w:r>
      <w:r>
        <w:rPr>
          <w:rFonts w:hint="eastAsia" w:ascii="Times New Roman" w:hAnsi="Times New Roman" w:eastAsia="宋体" w:cs="Times New Roman"/>
          <w:bCs/>
          <w:sz w:val="24"/>
          <w:szCs w:val="24"/>
        </w:rPr>
        <w:t xml:space="preserve"> 侧销与压料器之间必须选用缓冲标准件；限位螺钉与压料器之间也必须选用缓冲标准件。</w:t>
      </w:r>
    </w:p>
    <w:p w14:paraId="2D00620D">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3.6</w:t>
      </w:r>
      <w:r>
        <w:rPr>
          <w:rFonts w:hint="eastAsia" w:ascii="Times New Roman" w:hAnsi="Times New Roman" w:eastAsia="宋体" w:cs="Times New Roman"/>
          <w:bCs/>
          <w:sz w:val="24"/>
          <w:szCs w:val="24"/>
        </w:rPr>
        <w:t xml:space="preserve"> 优化压料器结构设计，注意侧销上部最小的尺寸要求（最小 70mm）以及整个压料器强度。</w:t>
      </w:r>
    </w:p>
    <w:p w14:paraId="02BE4A18">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3.7</w:t>
      </w:r>
      <w:r>
        <w:rPr>
          <w:rFonts w:hint="eastAsia" w:ascii="Times New Roman" w:hAnsi="Times New Roman" w:eastAsia="宋体" w:cs="Times New Roman"/>
          <w:bCs/>
          <w:sz w:val="24"/>
          <w:szCs w:val="24"/>
        </w:rPr>
        <w:t xml:space="preserve"> 模具工艺设计时，孔与孔，孔与边的距离如果小于 5 倍料厚，必须分开工序，避免造成模具强度不足。</w:t>
      </w:r>
    </w:p>
    <w:p w14:paraId="592D2521">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3.8</w:t>
      </w:r>
      <w:r>
        <w:rPr>
          <w:rFonts w:hint="eastAsia" w:ascii="Times New Roman" w:hAnsi="Times New Roman" w:eastAsia="宋体" w:cs="Times New Roman"/>
          <w:bCs/>
          <w:sz w:val="24"/>
          <w:szCs w:val="24"/>
        </w:rPr>
        <w:t xml:space="preserve"> 所有模具弹性元件全部选用氮气弹簧。</w:t>
      </w:r>
    </w:p>
    <w:p w14:paraId="33F6357D">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3.9</w:t>
      </w:r>
      <w:r>
        <w:rPr>
          <w:rFonts w:hint="eastAsia" w:ascii="Times New Roman" w:hAnsi="Times New Roman" w:eastAsia="宋体" w:cs="Times New Roman"/>
          <w:bCs/>
          <w:sz w:val="24"/>
          <w:szCs w:val="24"/>
        </w:rPr>
        <w:t xml:space="preserve"> 冲切类标准件应尽量选用重载，并增加备件数量。</w:t>
      </w:r>
    </w:p>
    <w:p w14:paraId="076EC65E">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3.10</w:t>
      </w:r>
      <w:r>
        <w:rPr>
          <w:rFonts w:hint="eastAsia" w:ascii="Times New Roman" w:hAnsi="Times New Roman" w:eastAsia="宋体" w:cs="Times New Roman"/>
          <w:bCs/>
          <w:sz w:val="24"/>
          <w:szCs w:val="24"/>
        </w:rPr>
        <w:t xml:space="preserve"> 斜楔基体必须满足 MoCr / QT600 等级以上的材料。</w:t>
      </w:r>
    </w:p>
    <w:p w14:paraId="3FBCC257">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3.11</w:t>
      </w:r>
      <w:r>
        <w:rPr>
          <w:rFonts w:hint="eastAsia" w:ascii="Times New Roman" w:hAnsi="Times New Roman" w:eastAsia="宋体" w:cs="Times New Roman"/>
          <w:bCs/>
          <w:sz w:val="24"/>
          <w:szCs w:val="24"/>
        </w:rPr>
        <w:t xml:space="preserve"> 模具凸模、凹模、废料刀原则上不允许悬空，对不可避免的必须控制其悬空量不大于10mm，并且告知甲方。</w:t>
      </w:r>
    </w:p>
    <w:p w14:paraId="4778544E">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3.12</w:t>
      </w:r>
      <w:r>
        <w:rPr>
          <w:rFonts w:hint="eastAsia" w:ascii="Times New Roman" w:hAnsi="Times New Roman" w:eastAsia="宋体" w:cs="Times New Roman"/>
          <w:bCs/>
          <w:sz w:val="24"/>
          <w:szCs w:val="24"/>
        </w:rPr>
        <w:t xml:space="preserve"> 模具的起重和翻转应在设计时考虑。活动部件设计安全措施，应有行程限位器、存放式限位器、安全块、防护板、防护罩等；零部件应考虑防松、防崩、防脱落、防冲击等措施；布置应考虑到压床安全、合理和便于操作及安装。</w:t>
      </w:r>
    </w:p>
    <w:p w14:paraId="6E46FFDC">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3.13</w:t>
      </w:r>
      <w:r>
        <w:rPr>
          <w:rFonts w:hint="eastAsia" w:ascii="Times New Roman" w:hAnsi="Times New Roman" w:eastAsia="宋体" w:cs="Times New Roman"/>
          <w:bCs/>
          <w:sz w:val="24"/>
          <w:szCs w:val="24"/>
        </w:rPr>
        <w:t xml:space="preserve"> 模具上无功能要求的棱角全部倒钝.</w:t>
      </w:r>
    </w:p>
    <w:p w14:paraId="34D29EB9">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3.14</w:t>
      </w:r>
      <w:r>
        <w:rPr>
          <w:rFonts w:hint="eastAsia" w:ascii="Times New Roman" w:hAnsi="Times New Roman" w:eastAsia="宋体" w:cs="Times New Roman"/>
          <w:bCs/>
          <w:sz w:val="24"/>
          <w:szCs w:val="24"/>
        </w:rPr>
        <w:t xml:space="preserve"> 铸件及钢镶块可拆卸件应进行打号标记，打号位置为可拆卸件对应的模座（阿拉伯数字）。</w:t>
      </w:r>
    </w:p>
    <w:p w14:paraId="0F1FE62B">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3.15</w:t>
      </w:r>
      <w:r>
        <w:rPr>
          <w:rFonts w:hint="eastAsia" w:ascii="Times New Roman" w:hAnsi="Times New Roman" w:eastAsia="宋体" w:cs="Times New Roman"/>
          <w:bCs/>
          <w:sz w:val="24"/>
          <w:szCs w:val="24"/>
        </w:rPr>
        <w:t xml:space="preserve"> 拉延、成形类模具，要求有合模到底标记，模具布置2个到底标记，且不可集中于模具一侧，标记深度为0.3mm以内，且深度均匀。内板件需左右区分时，标识为R、L，取代到底标记。最终制件上不能有任何影响外观质量的标记存在。</w:t>
      </w:r>
    </w:p>
    <w:p w14:paraId="55CDB39F">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3.16</w:t>
      </w:r>
      <w:r>
        <w:rPr>
          <w:rFonts w:hint="eastAsia" w:ascii="Times New Roman" w:hAnsi="Times New Roman" w:eastAsia="宋体" w:cs="Times New Roman"/>
          <w:bCs/>
          <w:sz w:val="24"/>
          <w:szCs w:val="24"/>
        </w:rPr>
        <w:t xml:space="preserve"> 压边圈压料面设置平衡块，两相邻垫块间距小于500mm，保证到底时同时接触。</w:t>
      </w:r>
    </w:p>
    <w:p w14:paraId="4F70B6D9">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3.17</w:t>
      </w:r>
      <w:r>
        <w:rPr>
          <w:rFonts w:hint="eastAsia" w:ascii="Times New Roman" w:hAnsi="Times New Roman" w:eastAsia="宋体" w:cs="Times New Roman"/>
          <w:bCs/>
          <w:sz w:val="24"/>
          <w:szCs w:val="24"/>
        </w:rPr>
        <w:t xml:space="preserve"> 压边圈与凸模的内导板不得少于8个，因模具尺寸等问题不能布置的，需得到甲方认可。导向间隙0.03～0.05mm，验收时配合垫片判定80%以上均匀接触视为合格。</w:t>
      </w:r>
    </w:p>
    <w:p w14:paraId="322385BD">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3.18</w:t>
      </w:r>
      <w:r>
        <w:rPr>
          <w:rFonts w:hint="eastAsia" w:ascii="Times New Roman" w:hAnsi="Times New Roman" w:eastAsia="宋体" w:cs="Times New Roman"/>
          <w:bCs/>
          <w:sz w:val="24"/>
          <w:szCs w:val="24"/>
        </w:rPr>
        <w:t xml:space="preserve"> 拉延模采用二级托杆。模具图纸上要附有顶杆布置图。为使顶杆长度规格统一，减少顶杆种类，采用二级顶杆方式，顶杆脚由乙方负责制造，甲方提供顶杆规格。</w:t>
      </w:r>
    </w:p>
    <w:p w14:paraId="17CE7483">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3.19</w:t>
      </w:r>
      <w:r>
        <w:rPr>
          <w:rFonts w:hint="eastAsia" w:ascii="Times New Roman" w:hAnsi="Times New Roman" w:eastAsia="宋体" w:cs="Times New Roman"/>
          <w:bCs/>
          <w:sz w:val="24"/>
          <w:szCs w:val="24"/>
        </w:rPr>
        <w:t xml:space="preserve"> 冲圆孔φ8以下的凸模采用快换冲头，冲孔凹模采用可换式的（工作边距、孔距较小者除外），标准的冲孔凹模采用镶套结构，非圆凸模及凹模采取防转措施。冲孔凹模套外形随型，仿形后有效刃口高度不少于6mm。</w:t>
      </w:r>
    </w:p>
    <w:p w14:paraId="665878B0">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3.20</w:t>
      </w:r>
      <w:r>
        <w:rPr>
          <w:rFonts w:hint="eastAsia" w:ascii="Times New Roman" w:hAnsi="Times New Roman" w:eastAsia="宋体" w:cs="Times New Roman"/>
          <w:bCs/>
          <w:sz w:val="24"/>
          <w:szCs w:val="24"/>
        </w:rPr>
        <w:t xml:space="preserve"> 当冲压件材料厚度＞0.8mm时，冲裁模镶块的背靠块与模具本体采用整体式铸造结构。所有镶块必须采用沉头螺钉和带内螺纹的销钉进行装配。</w:t>
      </w:r>
    </w:p>
    <w:p w14:paraId="6B1AF37E">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3.21</w:t>
      </w:r>
      <w:r>
        <w:rPr>
          <w:rFonts w:hint="eastAsia" w:ascii="Times New Roman" w:hAnsi="Times New Roman" w:eastAsia="宋体" w:cs="Times New Roman"/>
          <w:bCs/>
          <w:sz w:val="24"/>
          <w:szCs w:val="24"/>
        </w:rPr>
        <w:t xml:space="preserve"> 斜楔机构：斜楔机构尽可能设置在模具两侧非操作区域，不能妨碍制件的投入和取出。所有上斜楔均要设置强制复位机构，下斜楔若滑块不能顺利自动复位时也要设置强制复位机构。</w:t>
      </w:r>
    </w:p>
    <w:p w14:paraId="03FC16C6">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3.22</w:t>
      </w:r>
      <w:r>
        <w:rPr>
          <w:rFonts w:hint="eastAsia" w:ascii="Times New Roman" w:hAnsi="Times New Roman" w:eastAsia="宋体" w:cs="Times New Roman"/>
          <w:bCs/>
          <w:sz w:val="24"/>
          <w:szCs w:val="24"/>
        </w:rPr>
        <w:t xml:space="preserve"> 非标斜楔机构的滑块宽度≤500mm时，采用一组V型导板；滑块宽度＞500mm，采用两组或两组以上V型导板。</w:t>
      </w:r>
    </w:p>
    <w:p w14:paraId="79024FEA">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3.23</w:t>
      </w:r>
      <w:r>
        <w:rPr>
          <w:rFonts w:hint="eastAsia" w:ascii="Times New Roman" w:hAnsi="Times New Roman" w:eastAsia="宋体" w:cs="Times New Roman"/>
          <w:bCs/>
          <w:sz w:val="24"/>
          <w:szCs w:val="24"/>
        </w:rPr>
        <w:t xml:space="preserve"> 顶料和托料：乙方应确保零件可以通过机器人或人工从模具中取出，而不影响零件的尺寸或表面质量；根据需要模具应具有将制件顶出的机构，该机构将制件从模具型腔中顶出，顶出高度应便于取件不能有任何障碍及粘附现象，并不妨碍取放工件和废料的排出。</w:t>
      </w:r>
    </w:p>
    <w:p w14:paraId="68C0C7BB">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3.24</w:t>
      </w:r>
      <w:r>
        <w:rPr>
          <w:rFonts w:hint="eastAsia" w:ascii="Times New Roman" w:hAnsi="Times New Roman" w:eastAsia="宋体" w:cs="Times New Roman"/>
          <w:bCs/>
          <w:sz w:val="24"/>
          <w:szCs w:val="24"/>
        </w:rPr>
        <w:t xml:space="preserve"> 所有的翻边镶块、导板均应设有挡块或背托，不能仅用销钉。</w:t>
      </w:r>
    </w:p>
    <w:p w14:paraId="46BB375C">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3.25</w:t>
      </w:r>
      <w:r>
        <w:rPr>
          <w:rFonts w:hint="eastAsia" w:ascii="Times New Roman" w:hAnsi="Times New Roman" w:eastAsia="宋体" w:cs="Times New Roman"/>
          <w:bCs/>
          <w:sz w:val="24"/>
          <w:szCs w:val="24"/>
        </w:rPr>
        <w:t xml:space="preserve"> 起吊及用于翻转的结构采用甲方认可的标准，设计时考虑模具吊装的平衡。凡模具零件超过15KG或取放不方便的模具零件，均设置起重螺孔或起重孔，起重螺孔原则上用：M16、M20、M24公制螺纹，起重孔采用：Φ16、Φ21、Φ26、Φ34，较大件要求四点起重。模具镶块起吊孔至少采用M16以上，压料器起吊孔至少采用M20以上。</w:t>
      </w:r>
    </w:p>
    <w:p w14:paraId="1747A9E1">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3.26</w:t>
      </w:r>
      <w:r>
        <w:rPr>
          <w:rFonts w:hint="eastAsia" w:ascii="Times New Roman" w:hAnsi="Times New Roman" w:eastAsia="宋体" w:cs="Times New Roman"/>
          <w:bCs/>
          <w:sz w:val="24"/>
          <w:szCs w:val="24"/>
        </w:rPr>
        <w:t xml:space="preserve"> 模具重心和多副模具组合在模板上的组合式模具重心与模具的几何中心应尽量重合,以保证吊运安全。</w:t>
      </w:r>
    </w:p>
    <w:p w14:paraId="334CCDF8">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3.27</w:t>
      </w:r>
      <w:r>
        <w:rPr>
          <w:rFonts w:hint="eastAsia" w:ascii="Times New Roman" w:hAnsi="Times New Roman" w:eastAsia="宋体" w:cs="Times New Roman"/>
          <w:bCs/>
          <w:sz w:val="24"/>
          <w:szCs w:val="24"/>
        </w:rPr>
        <w:t xml:space="preserve"> 小型模具采用铸入式起重棒，起重棒要求安装于模具的前后侧，左右侧铸入起重翻转套，便于模具的起吊、反转；下模的活动部件应设置防护板，固定在下模座上；上下模均做出连接位置及孔。</w:t>
      </w:r>
    </w:p>
    <w:p w14:paraId="24866389">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3.28</w:t>
      </w:r>
      <w:r>
        <w:rPr>
          <w:rFonts w:hint="eastAsia" w:ascii="Times New Roman" w:hAnsi="Times New Roman" w:eastAsia="宋体" w:cs="Times New Roman"/>
          <w:bCs/>
          <w:sz w:val="24"/>
          <w:szCs w:val="24"/>
        </w:rPr>
        <w:t xml:space="preserve"> 冲模零部件应考虑防松、防崩、防脱落、防冲击等措施。</w:t>
      </w:r>
    </w:p>
    <w:p w14:paraId="52A53A56">
      <w:pPr>
        <w:tabs>
          <w:tab w:val="left" w:pos="-720"/>
          <w:tab w:val="left" w:pos="400"/>
          <w:tab w:val="left" w:pos="851"/>
        </w:tabs>
        <w:overflowPunct w:val="0"/>
        <w:autoSpaceDE w:val="0"/>
        <w:autoSpaceDN w:val="0"/>
        <w:snapToGrid w:val="0"/>
        <w:spacing w:line="360" w:lineRule="auto"/>
        <w:ind w:left="420"/>
        <w:jc w:val="left"/>
        <w:rPr>
          <w:rFonts w:hint="eastAsia" w:ascii="宋体" w:hAnsi="宋体" w:eastAsia="宋体" w:cs="宋体"/>
          <w:b/>
          <w:sz w:val="24"/>
          <w:szCs w:val="24"/>
        </w:rPr>
      </w:pPr>
      <w:bookmarkStart w:id="56" w:name="_Toc155087145"/>
      <w:bookmarkStart w:id="57" w:name="_Toc156556063"/>
      <w:r>
        <w:rPr>
          <w:rFonts w:hint="eastAsia" w:ascii="宋体" w:hAnsi="宋体" w:eastAsia="宋体" w:cs="宋体"/>
          <w:b/>
          <w:sz w:val="24"/>
          <w:szCs w:val="24"/>
        </w:rPr>
        <w:t>4. 模具材料及热处理要求</w:t>
      </w:r>
      <w:bookmarkEnd w:id="56"/>
      <w:bookmarkEnd w:id="57"/>
    </w:p>
    <w:p w14:paraId="27BBDE98">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模具材料依据附件3中要求。</w:t>
      </w:r>
    </w:p>
    <w:p w14:paraId="6D572F87">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4.1</w:t>
      </w:r>
      <w:r>
        <w:rPr>
          <w:rFonts w:hint="eastAsia" w:ascii="Times New Roman" w:hAnsi="Times New Roman" w:eastAsia="宋体" w:cs="Times New Roman"/>
          <w:bCs/>
          <w:sz w:val="24"/>
          <w:szCs w:val="24"/>
        </w:rPr>
        <w:t xml:space="preserve"> 拉延模模座采用HT300，工作表面圆角部位需采取有效的热处理方式，不允许制件表面出现拉毛、划痕等影响外观质量的缺陷。圆角处的热处理方式应该由乙方提出并通过甲方同意；均匀淬火硬度HRC55±2，工作部位表面粗糙度要求Ra0.8。硬度测试为每100mm随机取点，硬度平均值达到要求，且最小值≥50。</w:t>
      </w:r>
    </w:p>
    <w:p w14:paraId="44C744BB">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4.2</w:t>
      </w:r>
      <w:r>
        <w:rPr>
          <w:rFonts w:hint="eastAsia" w:ascii="Times New Roman" w:hAnsi="Times New Roman" w:eastAsia="宋体" w:cs="Times New Roman"/>
          <w:bCs/>
          <w:sz w:val="24"/>
          <w:szCs w:val="24"/>
        </w:rPr>
        <w:t xml:space="preserve"> 修边冲孔模：镶块采用7CrSiMnMoV，硬度HRC55～58。上模镶块、凸模采用Cr12MoV，硬度HRC58～62。工作部位表面及刃口表面粗糙度要求Ra0.8。</w:t>
      </w:r>
    </w:p>
    <w:p w14:paraId="2BA488FC">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4.3</w:t>
      </w:r>
      <w:r>
        <w:rPr>
          <w:rFonts w:hint="eastAsia" w:ascii="Times New Roman" w:hAnsi="Times New Roman" w:eastAsia="宋体" w:cs="Times New Roman"/>
          <w:bCs/>
          <w:sz w:val="24"/>
          <w:szCs w:val="24"/>
        </w:rPr>
        <w:t xml:space="preserve"> 翻边整形模：模座采用HT300，镶块采用7CrSiMnMoV，硬度HRC55～58；镶块采用Cr12MoV，硬度HRC58～62；</w:t>
      </w:r>
    </w:p>
    <w:p w14:paraId="6227F739">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4.4</w:t>
      </w:r>
      <w:r>
        <w:rPr>
          <w:rFonts w:hint="eastAsia" w:ascii="Times New Roman" w:hAnsi="Times New Roman" w:eastAsia="宋体" w:cs="Times New Roman"/>
          <w:bCs/>
          <w:sz w:val="24"/>
          <w:szCs w:val="24"/>
        </w:rPr>
        <w:t xml:space="preserve"> 压料芯等其他部件工作区域，采用QT600-3A，硬度要求达到HRC50以上。</w:t>
      </w:r>
    </w:p>
    <w:p w14:paraId="32443115">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4.5</w:t>
      </w:r>
      <w:r>
        <w:rPr>
          <w:rFonts w:hint="eastAsia" w:ascii="Times New Roman" w:hAnsi="Times New Roman" w:eastAsia="宋体" w:cs="Times New Roman"/>
          <w:bCs/>
          <w:sz w:val="24"/>
          <w:szCs w:val="24"/>
        </w:rPr>
        <w:t xml:space="preserve"> 同一套模具的同功能区域淬火硬度要求均匀。</w:t>
      </w:r>
    </w:p>
    <w:p w14:paraId="7D1BB144">
      <w:pPr>
        <w:tabs>
          <w:tab w:val="left" w:pos="-720"/>
          <w:tab w:val="left" w:pos="400"/>
          <w:tab w:val="left" w:pos="851"/>
        </w:tabs>
        <w:overflowPunct w:val="0"/>
        <w:autoSpaceDE w:val="0"/>
        <w:autoSpaceDN w:val="0"/>
        <w:snapToGrid w:val="0"/>
        <w:spacing w:line="360" w:lineRule="auto"/>
        <w:ind w:left="420"/>
        <w:jc w:val="left"/>
        <w:rPr>
          <w:rFonts w:hint="eastAsia" w:ascii="宋体" w:hAnsi="宋体" w:eastAsia="宋体" w:cs="宋体"/>
          <w:b/>
          <w:sz w:val="24"/>
          <w:szCs w:val="24"/>
        </w:rPr>
      </w:pPr>
      <w:bookmarkStart w:id="58" w:name="_Toc155087146"/>
      <w:bookmarkStart w:id="59" w:name="_Toc156556064"/>
      <w:r>
        <w:rPr>
          <w:rFonts w:hint="eastAsia" w:ascii="宋体" w:hAnsi="宋体" w:eastAsia="宋体" w:cs="宋体"/>
          <w:b/>
          <w:sz w:val="24"/>
          <w:szCs w:val="24"/>
        </w:rPr>
        <w:t>5. 模具焊接技术要求</w:t>
      </w:r>
      <w:bookmarkEnd w:id="58"/>
      <w:bookmarkEnd w:id="59"/>
    </w:p>
    <w:p w14:paraId="2A6C7836">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因设变模具成形型面需要焊接整改，与甲方商讨，获得甲方书面通知后实施；在调试过程中，确需要进行堆焊的，提出书面申请，获得甲方书面允许通知后实施。并如实填写《模具钳修记录单》，保证焊接质量。不允许有焊接裂纹等缺陷。</w:t>
      </w:r>
    </w:p>
    <w:p w14:paraId="1E4C88DC">
      <w:pPr>
        <w:tabs>
          <w:tab w:val="left" w:pos="-720"/>
          <w:tab w:val="left" w:pos="400"/>
          <w:tab w:val="left" w:pos="851"/>
        </w:tabs>
        <w:overflowPunct w:val="0"/>
        <w:autoSpaceDE w:val="0"/>
        <w:autoSpaceDN w:val="0"/>
        <w:snapToGrid w:val="0"/>
        <w:spacing w:line="360" w:lineRule="auto"/>
        <w:ind w:left="420"/>
        <w:jc w:val="left"/>
        <w:rPr>
          <w:rFonts w:hint="eastAsia" w:ascii="宋体" w:hAnsi="宋体" w:eastAsia="宋体" w:cs="宋体"/>
          <w:b/>
          <w:sz w:val="24"/>
          <w:szCs w:val="24"/>
        </w:rPr>
      </w:pPr>
      <w:bookmarkStart w:id="60" w:name="_Toc155087147"/>
      <w:bookmarkStart w:id="61" w:name="_Toc156556065"/>
      <w:r>
        <w:rPr>
          <w:rFonts w:hint="eastAsia" w:ascii="宋体" w:hAnsi="宋体" w:eastAsia="宋体" w:cs="宋体"/>
          <w:b/>
          <w:sz w:val="24"/>
          <w:szCs w:val="24"/>
        </w:rPr>
        <w:t>6. 铸件质量要求</w:t>
      </w:r>
      <w:bookmarkEnd w:id="60"/>
      <w:bookmarkEnd w:id="61"/>
    </w:p>
    <w:p w14:paraId="792B2035">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铸件厂家要求：该项目中铸件要求采用天津虹冈或长城精工。</w:t>
      </w:r>
    </w:p>
    <w:p w14:paraId="067F8B9E">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6.1</w:t>
      </w:r>
      <w:r>
        <w:rPr>
          <w:rFonts w:hint="eastAsia" w:ascii="Times New Roman" w:hAnsi="Times New Roman" w:eastAsia="宋体" w:cs="Times New Roman"/>
          <w:bCs/>
          <w:sz w:val="24"/>
          <w:szCs w:val="24"/>
        </w:rPr>
        <w:t xml:space="preserve"> 乙方必须在模具投入铸造前先提出清单交由甲方审查，若铸造厂商无法满足甲方质量与生产需求，甲方有权取消该铸造厂的资格，此工作必须于模具投入铸造前1个月由乙方提出清单，乙方排定考察计划提供甲方，甲方可以进行考察，考察后1周内甲方未提出异议时视同默认此厂家资格。</w:t>
      </w:r>
    </w:p>
    <w:p w14:paraId="661BD156">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6.2</w:t>
      </w:r>
      <w:r>
        <w:rPr>
          <w:rFonts w:hint="eastAsia" w:ascii="Times New Roman" w:hAnsi="Times New Roman" w:eastAsia="宋体" w:cs="Times New Roman"/>
          <w:bCs/>
          <w:sz w:val="24"/>
          <w:szCs w:val="24"/>
        </w:rPr>
        <w:t xml:space="preserve"> 模具本体为实型铸造，应保证模具的强度、刚度和外观质量，铸件本体带连体验棒（模具交付后至少保留一个验棒）。</w:t>
      </w:r>
    </w:p>
    <w:p w14:paraId="543ABF23">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6.3</w:t>
      </w:r>
      <w:r>
        <w:rPr>
          <w:rFonts w:hint="eastAsia" w:ascii="Times New Roman" w:hAnsi="Times New Roman" w:eastAsia="宋体" w:cs="Times New Roman"/>
          <w:bCs/>
          <w:sz w:val="24"/>
          <w:szCs w:val="24"/>
        </w:rPr>
        <w:t xml:space="preserve"> 乙方应保证对所采用的铸件进行消除应力处理，并向甲方提供试棒及其它有关材料的资料。铸造时必须同时带出标准材质检验棒（不少于3个），并要求铸造厂家提供材质单及铸件检验报告。主要模具铸件须经理化性能试验（理化性能试验包括：抗拉强度、硬度、化学成份、金相组织四个项目）合格后，方可开始加工重要模具铸件（如：凸模、凹模等），还须在铸件上预留用于理化性能复查的连体试棒。</w:t>
      </w:r>
    </w:p>
    <w:p w14:paraId="6CC374F5">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6.4</w:t>
      </w:r>
      <w:r>
        <w:rPr>
          <w:rFonts w:hint="eastAsia" w:ascii="Times New Roman" w:hAnsi="Times New Roman" w:eastAsia="宋体" w:cs="Times New Roman"/>
          <w:bCs/>
          <w:sz w:val="24"/>
          <w:szCs w:val="24"/>
        </w:rPr>
        <w:t xml:space="preserve"> 若铸件存在严重的质量缺陷，乙方应无条件报废重铸，费用由乙方承担，由此产生的进度拖延，乙方应采取相应措施补救。</w:t>
      </w:r>
    </w:p>
    <w:p w14:paraId="216AD3A4">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6.5</w:t>
      </w:r>
      <w:r>
        <w:rPr>
          <w:rFonts w:hint="eastAsia" w:ascii="Times New Roman" w:hAnsi="Times New Roman" w:eastAsia="宋体" w:cs="Times New Roman"/>
          <w:bCs/>
          <w:sz w:val="24"/>
          <w:szCs w:val="24"/>
        </w:rPr>
        <w:t xml:space="preserve"> 在铸件上需预留用于布置电、气线路和模具清洗时水安全留出的孔。</w:t>
      </w:r>
    </w:p>
    <w:p w14:paraId="1A45FF24">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6.6</w:t>
      </w:r>
      <w:r>
        <w:rPr>
          <w:rFonts w:hint="eastAsia" w:ascii="Times New Roman" w:hAnsi="Times New Roman" w:eastAsia="宋体" w:cs="Times New Roman"/>
          <w:bCs/>
          <w:sz w:val="24"/>
          <w:szCs w:val="24"/>
        </w:rPr>
        <w:t xml:space="preserve"> 泡沫模型（FMC）的制作应尽量减少拼接，特别是大件凸凹模型面上不允许有拼缝。</w:t>
      </w:r>
    </w:p>
    <w:p w14:paraId="0A59C346">
      <w:pPr>
        <w:tabs>
          <w:tab w:val="left" w:pos="-720"/>
          <w:tab w:val="left" w:pos="400"/>
          <w:tab w:val="left" w:pos="851"/>
        </w:tabs>
        <w:overflowPunct w:val="0"/>
        <w:autoSpaceDE w:val="0"/>
        <w:autoSpaceDN w:val="0"/>
        <w:snapToGrid w:val="0"/>
        <w:spacing w:line="360" w:lineRule="auto"/>
        <w:ind w:left="420"/>
        <w:jc w:val="left"/>
        <w:rPr>
          <w:rFonts w:hint="eastAsia" w:ascii="宋体" w:hAnsi="宋体" w:eastAsia="宋体" w:cs="宋体"/>
          <w:b/>
          <w:sz w:val="24"/>
          <w:szCs w:val="24"/>
        </w:rPr>
      </w:pPr>
      <w:bookmarkStart w:id="62" w:name="_Toc155087148"/>
      <w:bookmarkStart w:id="63" w:name="_Toc156556066"/>
      <w:r>
        <w:rPr>
          <w:rFonts w:hint="eastAsia" w:ascii="宋体" w:hAnsi="宋体" w:eastAsia="宋体" w:cs="宋体"/>
          <w:b/>
          <w:sz w:val="24"/>
          <w:szCs w:val="24"/>
        </w:rPr>
        <w:t>7. GGG70L铸件要求</w:t>
      </w:r>
      <w:bookmarkEnd w:id="62"/>
      <w:bookmarkEnd w:id="63"/>
    </w:p>
    <w:p w14:paraId="30A51AF0">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7.1</w:t>
      </w:r>
      <w:r>
        <w:rPr>
          <w:rFonts w:hint="eastAsia" w:ascii="Times New Roman" w:hAnsi="Times New Roman" w:eastAsia="宋体" w:cs="Times New Roman"/>
          <w:bCs/>
          <w:sz w:val="24"/>
          <w:szCs w:val="24"/>
        </w:rPr>
        <w:t xml:space="preserve"> 机械性能要求抗拉强度≥700Mpa；淬火后硬度≥50HRC；</w:t>
      </w:r>
    </w:p>
    <w:p w14:paraId="4907401B">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7.2</w:t>
      </w:r>
      <w:r>
        <w:rPr>
          <w:rFonts w:hint="eastAsia" w:ascii="Times New Roman" w:hAnsi="Times New Roman" w:eastAsia="宋体" w:cs="Times New Roman"/>
          <w:bCs/>
          <w:sz w:val="24"/>
          <w:szCs w:val="24"/>
        </w:rPr>
        <w:t xml:space="preserve"> 合金成分要求：Ni≥0.9%，Gu≥0.85%，Mo≥0.5%；</w:t>
      </w:r>
    </w:p>
    <w:p w14:paraId="36331A42">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7.3</w:t>
      </w:r>
      <w:r>
        <w:rPr>
          <w:rFonts w:hint="eastAsia" w:ascii="Times New Roman" w:hAnsi="Times New Roman" w:eastAsia="宋体" w:cs="Times New Roman"/>
          <w:bCs/>
          <w:sz w:val="24"/>
          <w:szCs w:val="24"/>
        </w:rPr>
        <w:t xml:space="preserve"> 金相等级要求：大于等于6级，石墨等级≤60μm；</w:t>
      </w:r>
    </w:p>
    <w:p w14:paraId="618336A2">
      <w:pPr>
        <w:spacing w:line="360" w:lineRule="exact"/>
        <w:ind w:firstLine="482" w:firstLineChars="200"/>
        <w:rPr>
          <w:rFonts w:hint="eastAsia" w:ascii="Times New Roman" w:hAnsi="Times New Roman" w:eastAsia="宋体" w:cs="Times New Roman"/>
          <w:bCs/>
          <w:sz w:val="24"/>
          <w:szCs w:val="24"/>
          <w:lang w:val="en-US" w:eastAsia="zh-CN"/>
        </w:rPr>
      </w:pPr>
      <w:r>
        <w:rPr>
          <w:rFonts w:hint="eastAsia" w:ascii="宋体" w:hAnsi="宋体" w:eastAsia="宋体" w:cs="宋体"/>
          <w:b/>
          <w:sz w:val="24"/>
          <w:szCs w:val="24"/>
        </w:rPr>
        <w:t>8、检具技术要求：</w:t>
      </w:r>
      <w:r>
        <w:rPr>
          <w:rFonts w:hint="eastAsia" w:ascii="宋体" w:hAnsi="宋体" w:eastAsia="宋体" w:cs="宋体"/>
          <w:sz w:val="24"/>
        </w:rPr>
        <w:t>检具的设计制造规范详见</w:t>
      </w:r>
      <w:r>
        <w:rPr>
          <w:rFonts w:hint="eastAsia" w:ascii="宋体" w:hAnsi="宋体" w:eastAsia="宋体" w:cs="宋体"/>
          <w:sz w:val="24"/>
          <w:lang w:val="en-US" w:eastAsia="zh-CN"/>
        </w:rPr>
        <w:t>技术协议</w:t>
      </w:r>
      <w:r>
        <w:rPr>
          <w:rFonts w:hint="eastAsia" w:ascii="宋体" w:hAnsi="宋体" w:eastAsia="宋体" w:cs="宋体"/>
          <w:sz w:val="24"/>
        </w:rPr>
        <w:t>附件</w:t>
      </w:r>
      <w:r>
        <w:rPr>
          <w:rFonts w:hint="eastAsia" w:ascii="宋体" w:hAnsi="宋体" w:eastAsia="宋体" w:cs="宋体"/>
          <w:sz w:val="24"/>
          <w:lang w:val="en-US" w:eastAsia="zh-CN"/>
        </w:rPr>
        <w:t>6</w:t>
      </w:r>
    </w:p>
    <w:p w14:paraId="01D3CAD5">
      <w:pPr>
        <w:keepNext/>
        <w:keepLines/>
        <w:spacing w:line="360" w:lineRule="auto"/>
        <w:ind w:firstLine="482" w:firstLineChars="200"/>
        <w:outlineLvl w:val="2"/>
        <w:rPr>
          <w:rFonts w:ascii="Times New Roman" w:hAnsi="Times New Roman" w:eastAsia="宋体" w:cs="Times New Roman"/>
          <w:b/>
          <w:bCs/>
          <w:color w:val="000000"/>
          <w:sz w:val="24"/>
          <w:szCs w:val="24"/>
        </w:rPr>
      </w:pPr>
      <w:bookmarkStart w:id="64" w:name="_Toc156556067"/>
      <w:bookmarkStart w:id="65" w:name="_Toc31462"/>
      <w:bookmarkStart w:id="66" w:name="_Toc155087149"/>
      <w:r>
        <w:rPr>
          <w:rFonts w:hint="eastAsia" w:ascii="Times New Roman" w:hAnsi="Times New Roman" w:eastAsia="宋体" w:cs="Times New Roman"/>
          <w:b/>
          <w:bCs/>
          <w:color w:val="000000"/>
          <w:sz w:val="24"/>
          <w:szCs w:val="24"/>
        </w:rPr>
        <w:t>四、设计会签</w:t>
      </w:r>
      <w:bookmarkEnd w:id="64"/>
      <w:bookmarkEnd w:id="65"/>
      <w:bookmarkEnd w:id="66"/>
    </w:p>
    <w:p w14:paraId="35190906">
      <w:pPr>
        <w:spacing w:line="360" w:lineRule="auto"/>
        <w:ind w:firstLine="480" w:firstLineChars="200"/>
        <w:rPr>
          <w:rFonts w:ascii="Times New Roman" w:hAnsi="Times New Roman" w:eastAsia="宋体" w:cs="Times New Roman"/>
          <w:bCs/>
          <w:sz w:val="24"/>
          <w:szCs w:val="24"/>
        </w:rPr>
      </w:pPr>
      <w:r>
        <w:rPr>
          <w:rFonts w:hint="eastAsia" w:ascii="宋体" w:hAnsi="宋体" w:cs="宋体"/>
          <w:bCs/>
          <w:sz w:val="24"/>
          <w:szCs w:val="24"/>
        </w:rPr>
        <w:t>DL图（冲压工艺过程图）及模具图纸会签：乙方依照定标的模具设计方案进行设计</w:t>
      </w:r>
      <w:r>
        <w:rPr>
          <w:rFonts w:hint="eastAsia" w:ascii="Times New Roman" w:hAnsi="Times New Roman" w:eastAsia="宋体" w:cs="Times New Roman"/>
          <w:bCs/>
          <w:sz w:val="24"/>
          <w:szCs w:val="24"/>
        </w:rPr>
        <w:t>若需调整，需经甲方认可。DL图在甲方会签，如甲方有特殊情况，到乙方会签；模具设计图纸在乙方，进行会签后方可投入后续工作。</w:t>
      </w:r>
    </w:p>
    <w:p w14:paraId="1C7BF524">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会签依据：会签以《会签纪要》为准，双方签字生效。设计通过会签，以最后一次《会签纪要》结论为准。会签未通过的图纸，在双方约定时间内乙方修改完毕，并再次会签，直至会签通过。</w:t>
      </w:r>
    </w:p>
    <w:p w14:paraId="5A7814E8">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会签内容:甲方主要审查乙方工法设计的合理性、图画质量符合技术协议及标准情况模具设计图纸的主要结构的合理性，与压机的安装位置及图纸的图画符合标准情况，对乙方的工法方案及模具图提出修改建议，不负责工法及模具图的成功性。</w:t>
      </w:r>
    </w:p>
    <w:p w14:paraId="4BC6F647">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会签之前，乙方应进行自审，自审合格后填写工法图、模具自检表，并签字确认，甲方再会签，否则甲方将不予会签。</w:t>
      </w:r>
    </w:p>
    <w:p w14:paraId="2AE2CE26">
      <w:pPr>
        <w:keepNext/>
        <w:keepLines/>
        <w:spacing w:line="360" w:lineRule="auto"/>
        <w:ind w:firstLine="482" w:firstLineChars="200"/>
        <w:outlineLvl w:val="2"/>
        <w:rPr>
          <w:rFonts w:ascii="Times New Roman" w:hAnsi="Times New Roman" w:eastAsia="宋体" w:cs="Times New Roman"/>
          <w:b/>
          <w:bCs/>
          <w:color w:val="000000"/>
          <w:sz w:val="24"/>
          <w:szCs w:val="24"/>
        </w:rPr>
      </w:pPr>
      <w:bookmarkStart w:id="67" w:name="_Toc156556071"/>
      <w:bookmarkStart w:id="68" w:name="_Toc155087153"/>
      <w:r>
        <w:rPr>
          <w:rFonts w:hint="eastAsia" w:ascii="Times New Roman" w:hAnsi="Times New Roman" w:eastAsia="宋体" w:cs="Times New Roman"/>
          <w:b/>
          <w:bCs/>
          <w:color w:val="000000"/>
          <w:sz w:val="24"/>
          <w:szCs w:val="24"/>
        </w:rPr>
        <w:t>五、模检具验收与包装发运</w:t>
      </w:r>
      <w:bookmarkEnd w:id="67"/>
      <w:bookmarkEnd w:id="68"/>
    </w:p>
    <w:p w14:paraId="5A0B3ECD">
      <w:pPr>
        <w:tabs>
          <w:tab w:val="left" w:pos="-720"/>
          <w:tab w:val="left" w:pos="400"/>
          <w:tab w:val="left" w:pos="851"/>
        </w:tabs>
        <w:overflowPunct w:val="0"/>
        <w:autoSpaceDE w:val="0"/>
        <w:autoSpaceDN w:val="0"/>
        <w:snapToGrid w:val="0"/>
        <w:spacing w:line="360" w:lineRule="auto"/>
        <w:ind w:left="420"/>
        <w:jc w:val="left"/>
        <w:rPr>
          <w:rFonts w:hint="eastAsia" w:ascii="宋体" w:hAnsi="宋体" w:eastAsia="宋体" w:cs="宋体"/>
          <w:b/>
          <w:sz w:val="24"/>
          <w:szCs w:val="24"/>
        </w:rPr>
      </w:pPr>
      <w:r>
        <w:rPr>
          <w:rFonts w:hint="eastAsia" w:ascii="宋体" w:hAnsi="宋体" w:eastAsia="宋体" w:cs="宋体"/>
          <w:b/>
          <w:sz w:val="24"/>
          <w:szCs w:val="24"/>
        </w:rPr>
        <w:t>1.模检具预验收</w:t>
      </w:r>
    </w:p>
    <w:p w14:paraId="7C7524BF">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1.1预验收启动条件：乙方完成模具制造，通过动、静态、硬度、外观质量和尺寸精度自检符合要求，冲压件自检质量达到冲压件零件质量判定标准（见</w:t>
      </w:r>
      <w:r>
        <w:rPr>
          <w:rFonts w:hint="eastAsia" w:ascii="Times New Roman" w:hAnsi="Times New Roman" w:eastAsia="宋体" w:cs="Times New Roman"/>
          <w:bCs/>
          <w:sz w:val="24"/>
          <w:szCs w:val="24"/>
          <w:lang w:val="en-US" w:eastAsia="zh-CN"/>
        </w:rPr>
        <w:t>技术协议</w:t>
      </w:r>
      <w:r>
        <w:rPr>
          <w:rFonts w:hint="eastAsia" w:ascii="Times New Roman" w:hAnsi="Times New Roman" w:eastAsia="宋体" w:cs="Times New Roman"/>
          <w:bCs/>
          <w:sz w:val="24"/>
          <w:szCs w:val="24"/>
        </w:rPr>
        <w:t>附件2《冲压件质量检验判定标准》）要求，并按照要求完成1.6条款所示的内容后，乙方向甲方提出预验收申请。</w:t>
      </w:r>
    </w:p>
    <w:p w14:paraId="350FB144">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1.2乙方负责向甲方提供冲压件，按照《冲压制件检查基准书》，并派技术人员参加零件匹配性验证甲方按产品图纸及技术要求对制件的形状及尺寸进行必要的检测，并负责协调组织零件匹配性验证工作，验证完成后双方签署《验收纪要》。零件匹配性验证在甲方现场组织实施。</w:t>
      </w:r>
    </w:p>
    <w:p w14:paraId="36105D8A">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1.3预验收场地在乙方处进行，并由乙方提供必要的设备、仪器、场地等预验收工作必须的条件。</w:t>
      </w:r>
    </w:p>
    <w:p w14:paraId="2CE136D3">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1.4预验收除完成动静态检测、硬度检测等基础检查项目外，连续试冲不少于30个合格冲压制件(以冲压件零件质量判定标准判定是否合格)，所有模具导向面着色率≥95%，其余拉延模着色率≥92%，视为预验收合格。预验收合格后，双方签署《预验收报告》。</w:t>
      </w:r>
    </w:p>
    <w:p w14:paraId="5C4D9989">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1.5合格制件随模具包装发运。</w:t>
      </w:r>
    </w:p>
    <w:p w14:paraId="280801B3">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1.6模具进甲方工厂调试前每批次提供的冲压件必须标注零件编号及零件名称，样件发货前必须经合格的检具检验。每件样件上标明零件号、零件名称及取件时间，并且每次提样对每种样件中随机选取三件采用检具检测并提供自检报告。</w:t>
      </w:r>
    </w:p>
    <w:p w14:paraId="5635FD34">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1.7检具验收标准：根据评审后的检具设计、加工、制造标准进行验收。</w:t>
      </w:r>
    </w:p>
    <w:p w14:paraId="703F912C">
      <w:pPr>
        <w:tabs>
          <w:tab w:val="left" w:pos="-720"/>
          <w:tab w:val="left" w:pos="400"/>
          <w:tab w:val="left" w:pos="851"/>
        </w:tabs>
        <w:overflowPunct w:val="0"/>
        <w:autoSpaceDE w:val="0"/>
        <w:autoSpaceDN w:val="0"/>
        <w:snapToGrid w:val="0"/>
        <w:spacing w:line="360" w:lineRule="auto"/>
        <w:ind w:left="420"/>
        <w:jc w:val="left"/>
        <w:rPr>
          <w:rFonts w:hint="eastAsia" w:ascii="宋体" w:hAnsi="宋体" w:eastAsia="宋体" w:cs="宋体"/>
          <w:b/>
          <w:sz w:val="24"/>
          <w:szCs w:val="24"/>
        </w:rPr>
      </w:pPr>
      <w:bookmarkStart w:id="69" w:name="_Toc155087155"/>
      <w:bookmarkStart w:id="70" w:name="_Toc156556073"/>
      <w:r>
        <w:rPr>
          <w:rFonts w:hint="eastAsia" w:ascii="宋体" w:hAnsi="宋体" w:eastAsia="宋体" w:cs="宋体"/>
          <w:b/>
          <w:sz w:val="24"/>
          <w:szCs w:val="24"/>
        </w:rPr>
        <w:t>2.甲方调试模具</w:t>
      </w:r>
      <w:bookmarkEnd w:id="69"/>
      <w:bookmarkEnd w:id="70"/>
    </w:p>
    <w:p w14:paraId="51B14AA8">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2.1乙方应负责按甲方生产计划，提交现场试模需求计划，得到甲方确认后，按计划进行。</w:t>
      </w:r>
    </w:p>
    <w:p w14:paraId="1989EAAC">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2.2甲方冲压车间是生产车间，故难免出现生产计划调整的情况，如出现此类情况，试模计划将做相应调整。乙方应无条件的保证按 甲方 要求配备足够的调试人员，甲方 有权依据工作情况要求安排双班进行调试。</w:t>
      </w:r>
    </w:p>
    <w:p w14:paraId="5AFC8194">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2.3乙方应支持现场调试的参数设定、压力机匹配。</w:t>
      </w:r>
    </w:p>
    <w:p w14:paraId="2403F457">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2.4在试模期间，根据甲方生产需求随时可能生产制件，乙方需积极配合，陪伴生产；</w:t>
      </w:r>
    </w:p>
    <w:p w14:paraId="46C184D2">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2.5终验收前，乙方负责对存在缺陷的零件进行返修。</w:t>
      </w:r>
    </w:p>
    <w:p w14:paraId="0911569E">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2.6甲方负责自动化程序的编制，如发生因模具结构影响自动化程序效率的情况，乙方应负责对模具整改。</w:t>
      </w:r>
    </w:p>
    <w:p w14:paraId="79349535">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2.7乙方应负责按甲方的要求改善模具及零件问题，以达到甲方投产质量目标。</w:t>
      </w:r>
    </w:p>
    <w:p w14:paraId="714CF9BA">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2.8乙方应负责厂内调试，视具体模具在生产使用中的状况，甲方 有权要求乙方无偿延长投产支持时间，直到终验收完成。</w:t>
      </w:r>
    </w:p>
    <w:p w14:paraId="31154EEE">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2.9乙方自己准备调试过程中使用的任何工具和设备（压机线及行车除外）。</w:t>
      </w:r>
    </w:p>
    <w:p w14:paraId="1981CBC4">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2.10乙方有责任保管好自己的工具和贵重物品，甲方不负责保管。</w:t>
      </w:r>
    </w:p>
    <w:p w14:paraId="2372E6BC">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2.11甲方有权指派人员参与调试全过程。</w:t>
      </w:r>
    </w:p>
    <w:p w14:paraId="0A0A8D8C">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2.12在安装调试过程中乙方必须服从甲方的安排。调试期间应每天汇报工作进度及状态，乙方必须安排有经验的现场经理来组织整个项目严格按计划完成全部工作，该项目经理的经验和能力需得到 甲方认可由于乙方的原因造成 甲方 设施设备等物资损坏，由乙方赔偿。</w:t>
      </w:r>
    </w:p>
    <w:p w14:paraId="51E4DFC4">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2.13支持人员技能达不到甲方的要求（同一问题连续2次不能在规定时间内解决的，视为支持人员能力不足），要求乙方在 48 小时之内更换人员。</w:t>
      </w:r>
    </w:p>
    <w:p w14:paraId="54694CFA">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2.14为了保证项目的按时进行，乙方现场支持负责人在货物进厂后，必须提供一份详细的支持计划给 甲方项目工程师。如果甲方更新了投产计划，乙方的支持计划也须及时更新。</w:t>
      </w:r>
    </w:p>
    <w:p w14:paraId="66BAE670">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2.15在模具投产支持期间，如工装出现故障，乙方必须保证 24 小时内提交报告，48 小时内解决问题。</w:t>
      </w:r>
    </w:p>
    <w:p w14:paraId="2B274BCD">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2.16在乙方能使工装达到可靠的有效工作时间前，乙方应保证有足够人手做工装支持工作。</w:t>
      </w:r>
    </w:p>
    <w:p w14:paraId="1D93CDA5">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2.17甲方保留在任意时候重新谈判现场支持期限的权利。</w:t>
      </w:r>
    </w:p>
    <w:p w14:paraId="2BFE15F0">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2.18模具调试台时限制为每种件48小时内调试完成，超出时间调试费用由乙方承担。</w:t>
      </w:r>
    </w:p>
    <w:p w14:paraId="4A44E212">
      <w:pPr>
        <w:tabs>
          <w:tab w:val="left" w:pos="-720"/>
          <w:tab w:val="left" w:pos="400"/>
          <w:tab w:val="left" w:pos="851"/>
        </w:tabs>
        <w:overflowPunct w:val="0"/>
        <w:autoSpaceDE w:val="0"/>
        <w:autoSpaceDN w:val="0"/>
        <w:snapToGrid w:val="0"/>
        <w:spacing w:line="360" w:lineRule="auto"/>
        <w:ind w:left="420"/>
        <w:jc w:val="left"/>
        <w:rPr>
          <w:rFonts w:hint="eastAsia" w:ascii="宋体" w:hAnsi="宋体" w:eastAsia="宋体" w:cs="宋体"/>
          <w:b/>
          <w:sz w:val="24"/>
          <w:szCs w:val="24"/>
        </w:rPr>
      </w:pPr>
      <w:bookmarkStart w:id="71" w:name="_Toc156556074"/>
      <w:bookmarkStart w:id="72" w:name="_Toc155087156"/>
      <w:r>
        <w:rPr>
          <w:rFonts w:hint="eastAsia" w:ascii="宋体" w:hAnsi="宋体" w:eastAsia="宋体" w:cs="宋体"/>
          <w:b/>
          <w:sz w:val="24"/>
          <w:szCs w:val="24"/>
        </w:rPr>
        <w:t>3.模检具终验收</w:t>
      </w:r>
      <w:bookmarkEnd w:id="71"/>
      <w:bookmarkEnd w:id="72"/>
    </w:p>
    <w:p w14:paraId="4FA1B00B">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3.1终验收依据：双方签署的《预验收报告》、预验收依据资料及终验收制件及模具评审报告。</w:t>
      </w:r>
    </w:p>
    <w:p w14:paraId="08EB783B">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3.2在模具所有者现场，用工艺规定的材料、设备压出合格的制件（符合合同及技术协议中相关条款），并能够装出合格汽车车身为准。</w:t>
      </w:r>
    </w:p>
    <w:p w14:paraId="4C7027EE">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3.3终验收前，模具应在甲方生产加工3000件，若因甲方原因，在模具甲方1年内，仍未生产加工3000件的，则满足模具在到达甲方一年后，由乙方提出书面申请，进行模具终验收工作。</w:t>
      </w:r>
    </w:p>
    <w:p w14:paraId="05B8ADA8">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3.4甲方收到乙方终验收申请后，根据生产情况，安排模具终验收工作。</w:t>
      </w:r>
    </w:p>
    <w:p w14:paraId="18EAB17E">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3.5模具的最终验收在甲方生产现场实施。乙方对全部模具在甲方的安装调整负全责。模具最终验收前为便于事前安排调整，乙方须提出压力机使用计划，以便尽快完成模具终验收。另外，由于乙方责任导致机械故障，须赔偿。模具在压力机上调试时，全工序必须要完全和生产状态同一条件下进行，不可添加生产状态以外的条件（涂油、贴薄膜等）。</w:t>
      </w:r>
    </w:p>
    <w:p w14:paraId="7EA7EFBC">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3.6模具终验时，乙方派遣模具技术人员在甲方工厂对接。甲方原则上只提供压机、行车及其操作人员，其他模具调试用的工具、焊接棒、其它易耗品、技术人员所需的工作服、安全保护用品等均由乙方准备。乙方派遣的模具技术人员（模具交付人员）必须取得国家相关部门承认的证书（如天车操作证、焊机操作证等），并且遵守甲方的各项规定，若有违法或违反甲方公司制度，甲方有权对其进行相应的处罚并要求更换交模人员。</w:t>
      </w:r>
    </w:p>
    <w:p w14:paraId="0BA4EBA6">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3.7拉延模具硬度，除满足硬度要求外，还应保证能完成连续500件生产（不涂油），而不产生有明显触感的拉毛情况。</w:t>
      </w:r>
    </w:p>
    <w:p w14:paraId="50F0E598">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3.8终验收时所生产零件需进行全尺寸检查及SPC检查。</w:t>
      </w:r>
    </w:p>
    <w:p w14:paraId="44A4CB17">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3.9零件在自由状态下放置于检具或检测支架上（不夹紧状态），零件的反弹在2mm以下时进行全尺寸检查，否则不进行全尺寸检查。</w:t>
      </w:r>
    </w:p>
    <w:p w14:paraId="01100727">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3.10全尺寸检测中，所有的尺寸公差，按照甲方提供的《冲压件质量检验判定标准》执行。</w:t>
      </w:r>
    </w:p>
    <w:p w14:paraId="1524EB0A">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3.11模具满足表面处理要求后，由乙方负责按照原合同中要求中的对模具进行表面处理。</w:t>
      </w:r>
    </w:p>
    <w:p w14:paraId="4459A417">
      <w:pPr>
        <w:tabs>
          <w:tab w:val="left" w:pos="-720"/>
          <w:tab w:val="left" w:pos="400"/>
          <w:tab w:val="left" w:pos="851"/>
        </w:tabs>
        <w:overflowPunct w:val="0"/>
        <w:autoSpaceDE w:val="0"/>
        <w:autoSpaceDN w:val="0"/>
        <w:snapToGrid w:val="0"/>
        <w:spacing w:line="360" w:lineRule="auto"/>
        <w:ind w:left="420"/>
        <w:jc w:val="left"/>
        <w:rPr>
          <w:rFonts w:hint="eastAsia" w:ascii="宋体" w:hAnsi="宋体" w:eastAsia="宋体" w:cs="宋体"/>
          <w:b/>
          <w:sz w:val="24"/>
          <w:szCs w:val="24"/>
        </w:rPr>
      </w:pPr>
      <w:bookmarkStart w:id="73" w:name="_Toc155087157"/>
      <w:bookmarkStart w:id="74" w:name="_Toc156556075"/>
      <w:r>
        <w:rPr>
          <w:rFonts w:hint="eastAsia" w:ascii="宋体" w:hAnsi="宋体" w:eastAsia="宋体" w:cs="宋体"/>
          <w:b/>
          <w:sz w:val="24"/>
          <w:szCs w:val="24"/>
        </w:rPr>
        <w:t>4.模检具包装发运</w:t>
      </w:r>
      <w:bookmarkEnd w:id="73"/>
      <w:bookmarkEnd w:id="74"/>
    </w:p>
    <w:p w14:paraId="3DF8EECE">
      <w:pPr>
        <w:spacing w:line="360" w:lineRule="auto"/>
        <w:ind w:firstLine="480" w:firstLineChars="200"/>
        <w:rPr>
          <w:rFonts w:ascii="Times New Roman" w:hAnsi="Times New Roman" w:eastAsia="宋体" w:cs="Times New Roman"/>
          <w:bCs/>
          <w:sz w:val="24"/>
          <w:szCs w:val="24"/>
        </w:rPr>
      </w:pPr>
      <w:bookmarkStart w:id="75" w:name="_Toc155087158"/>
      <w:bookmarkStart w:id="76" w:name="_Toc156556076"/>
      <w:r>
        <w:rPr>
          <w:rFonts w:hint="eastAsia" w:ascii="Times New Roman" w:hAnsi="Times New Roman" w:eastAsia="宋体" w:cs="Times New Roman"/>
          <w:bCs/>
          <w:sz w:val="24"/>
          <w:szCs w:val="24"/>
        </w:rPr>
        <w:t>4.1模具发运前提交资料</w:t>
      </w:r>
      <w:bookmarkEnd w:id="75"/>
      <w:bookmarkEnd w:id="76"/>
    </w:p>
    <w:p w14:paraId="11EE369F">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在模具发运前的提交以下资料，提交时间按下表所示。格式由甲方指定，没有规定格式的由乙方提供并通过甲方确认。</w:t>
      </w:r>
    </w:p>
    <w:tbl>
      <w:tblPr>
        <w:tblStyle w:val="41"/>
        <w:tblW w:w="9365"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1"/>
        <w:gridCol w:w="2670"/>
        <w:gridCol w:w="1674"/>
        <w:gridCol w:w="2040"/>
        <w:gridCol w:w="2260"/>
      </w:tblGrid>
      <w:tr w14:paraId="7AEC99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396C74E1">
            <w:pPr>
              <w:spacing w:line="360" w:lineRule="exact"/>
              <w:jc w:val="center"/>
              <w:rPr>
                <w:rFonts w:hint="eastAsia" w:ascii="宋体" w:hAnsi="宋体" w:eastAsia="宋体" w:cs="宋体"/>
                <w:sz w:val="24"/>
                <w:szCs w:val="24"/>
              </w:rPr>
            </w:pPr>
            <w:bookmarkStart w:id="77" w:name="_Toc155087159"/>
            <w:bookmarkStart w:id="78" w:name="_Toc156556077"/>
            <w:r>
              <w:rPr>
                <w:rFonts w:hint="eastAsia" w:ascii="宋体" w:hAnsi="宋体" w:eastAsia="宋体" w:cs="宋体"/>
                <w:sz w:val="24"/>
                <w:szCs w:val="24"/>
              </w:rPr>
              <w:t>序号</w:t>
            </w:r>
          </w:p>
        </w:tc>
        <w:tc>
          <w:tcPr>
            <w:tcW w:w="2670" w:type="dxa"/>
            <w:vAlign w:val="center"/>
          </w:tcPr>
          <w:p w14:paraId="10CC9FA0">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资料</w:t>
            </w:r>
          </w:p>
        </w:tc>
        <w:tc>
          <w:tcPr>
            <w:tcW w:w="1674" w:type="dxa"/>
            <w:vAlign w:val="center"/>
          </w:tcPr>
          <w:p w14:paraId="15148655">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固定格式</w:t>
            </w:r>
          </w:p>
        </w:tc>
        <w:tc>
          <w:tcPr>
            <w:tcW w:w="2040" w:type="dxa"/>
            <w:vAlign w:val="center"/>
          </w:tcPr>
          <w:p w14:paraId="4F72301D">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提交时间</w:t>
            </w:r>
          </w:p>
        </w:tc>
        <w:tc>
          <w:tcPr>
            <w:tcW w:w="2260" w:type="dxa"/>
            <w:vAlign w:val="center"/>
          </w:tcPr>
          <w:p w14:paraId="6AAC9C14">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备注</w:t>
            </w:r>
          </w:p>
        </w:tc>
      </w:tr>
      <w:tr w14:paraId="55B418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61C62B6E">
            <w:pPr>
              <w:spacing w:line="360" w:lineRule="exact"/>
              <w:jc w:val="center"/>
              <w:rPr>
                <w:rFonts w:hint="eastAsia" w:ascii="宋体" w:hAnsi="宋体" w:eastAsia="宋体" w:cs="宋体"/>
                <w:b/>
                <w:sz w:val="24"/>
                <w:szCs w:val="24"/>
              </w:rPr>
            </w:pPr>
            <w:r>
              <w:rPr>
                <w:rFonts w:hint="eastAsia" w:ascii="宋体" w:hAnsi="宋体" w:eastAsia="宋体" w:cs="宋体"/>
                <w:bCs/>
                <w:sz w:val="24"/>
                <w:szCs w:val="24"/>
              </w:rPr>
              <w:t>1</w:t>
            </w:r>
          </w:p>
        </w:tc>
        <w:tc>
          <w:tcPr>
            <w:tcW w:w="2670" w:type="dxa"/>
            <w:vAlign w:val="center"/>
          </w:tcPr>
          <w:p w14:paraId="0A7D1685">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CAE分析报告</w:t>
            </w:r>
          </w:p>
        </w:tc>
        <w:tc>
          <w:tcPr>
            <w:tcW w:w="1674" w:type="dxa"/>
            <w:vAlign w:val="center"/>
          </w:tcPr>
          <w:p w14:paraId="7BD5B3F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50653DA1">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模具设计前</w:t>
            </w:r>
          </w:p>
        </w:tc>
        <w:tc>
          <w:tcPr>
            <w:tcW w:w="2260" w:type="dxa"/>
            <w:vAlign w:val="center"/>
          </w:tcPr>
          <w:p w14:paraId="56FA26EC">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5E522B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792F2893">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2</w:t>
            </w:r>
          </w:p>
        </w:tc>
        <w:tc>
          <w:tcPr>
            <w:tcW w:w="2670" w:type="dxa"/>
            <w:vAlign w:val="center"/>
          </w:tcPr>
          <w:p w14:paraId="213495FA">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模具DL图（3D）</w:t>
            </w:r>
          </w:p>
        </w:tc>
        <w:tc>
          <w:tcPr>
            <w:tcW w:w="1674" w:type="dxa"/>
            <w:vAlign w:val="center"/>
          </w:tcPr>
          <w:p w14:paraId="796A53FC">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7F24E547">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模具设计前</w:t>
            </w:r>
          </w:p>
        </w:tc>
        <w:tc>
          <w:tcPr>
            <w:tcW w:w="2260" w:type="dxa"/>
            <w:vAlign w:val="center"/>
          </w:tcPr>
          <w:p w14:paraId="457CC303">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05CAF9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1158A634">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3</w:t>
            </w:r>
          </w:p>
        </w:tc>
        <w:tc>
          <w:tcPr>
            <w:tcW w:w="2670" w:type="dxa"/>
            <w:vAlign w:val="center"/>
          </w:tcPr>
          <w:p w14:paraId="10ECD5CF">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模具图检查表（DR及后工序）</w:t>
            </w:r>
          </w:p>
        </w:tc>
        <w:tc>
          <w:tcPr>
            <w:tcW w:w="1674" w:type="dxa"/>
            <w:vAlign w:val="center"/>
          </w:tcPr>
          <w:p w14:paraId="68D33386">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096C86E8">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模具图纸会签前</w:t>
            </w:r>
          </w:p>
        </w:tc>
        <w:tc>
          <w:tcPr>
            <w:tcW w:w="2260" w:type="dxa"/>
            <w:vAlign w:val="center"/>
          </w:tcPr>
          <w:p w14:paraId="238022FD">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68D906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56E31E3D">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4</w:t>
            </w:r>
          </w:p>
        </w:tc>
        <w:tc>
          <w:tcPr>
            <w:tcW w:w="2670" w:type="dxa"/>
            <w:vAlign w:val="center"/>
          </w:tcPr>
          <w:p w14:paraId="620BF0E3">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材料利用率报告书</w:t>
            </w:r>
          </w:p>
        </w:tc>
        <w:tc>
          <w:tcPr>
            <w:tcW w:w="1674" w:type="dxa"/>
            <w:vAlign w:val="center"/>
          </w:tcPr>
          <w:p w14:paraId="7F250F6D">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4BCDB611">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模具图设计前</w:t>
            </w:r>
          </w:p>
        </w:tc>
        <w:tc>
          <w:tcPr>
            <w:tcW w:w="2260" w:type="dxa"/>
            <w:vAlign w:val="center"/>
          </w:tcPr>
          <w:p w14:paraId="2DCE928D">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5E7F48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68C966CD">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5</w:t>
            </w:r>
          </w:p>
        </w:tc>
        <w:tc>
          <w:tcPr>
            <w:tcW w:w="2670" w:type="dxa"/>
            <w:vAlign w:val="center"/>
          </w:tcPr>
          <w:p w14:paraId="1179B705">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铸件的原始证明与金相分析报告</w:t>
            </w:r>
          </w:p>
        </w:tc>
        <w:tc>
          <w:tcPr>
            <w:tcW w:w="1674" w:type="dxa"/>
            <w:vAlign w:val="center"/>
          </w:tcPr>
          <w:p w14:paraId="056EE78D">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0AB5D090">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模具预验收前</w:t>
            </w:r>
          </w:p>
        </w:tc>
        <w:tc>
          <w:tcPr>
            <w:tcW w:w="2260" w:type="dxa"/>
            <w:vAlign w:val="center"/>
          </w:tcPr>
          <w:p w14:paraId="7C0ECA99">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50C4DA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54194FDE">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6</w:t>
            </w:r>
          </w:p>
        </w:tc>
        <w:tc>
          <w:tcPr>
            <w:tcW w:w="2670" w:type="dxa"/>
            <w:vAlign w:val="center"/>
          </w:tcPr>
          <w:p w14:paraId="6A19DE99">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静态检查表</w:t>
            </w:r>
          </w:p>
        </w:tc>
        <w:tc>
          <w:tcPr>
            <w:tcW w:w="1674" w:type="dxa"/>
            <w:vAlign w:val="center"/>
          </w:tcPr>
          <w:p w14:paraId="7D7D837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 xml:space="preserve">无 </w:t>
            </w:r>
          </w:p>
        </w:tc>
        <w:tc>
          <w:tcPr>
            <w:tcW w:w="2040" w:type="dxa"/>
            <w:vAlign w:val="center"/>
          </w:tcPr>
          <w:p w14:paraId="5328B3E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模具预验收前</w:t>
            </w:r>
          </w:p>
        </w:tc>
        <w:tc>
          <w:tcPr>
            <w:tcW w:w="2260" w:type="dxa"/>
            <w:vAlign w:val="center"/>
          </w:tcPr>
          <w:p w14:paraId="5B89CE86">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6C65B6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2AF86E5B">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7</w:t>
            </w:r>
          </w:p>
        </w:tc>
        <w:tc>
          <w:tcPr>
            <w:tcW w:w="2670" w:type="dxa"/>
            <w:vAlign w:val="center"/>
          </w:tcPr>
          <w:p w14:paraId="17AE687C">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硬度测定表</w:t>
            </w:r>
          </w:p>
        </w:tc>
        <w:tc>
          <w:tcPr>
            <w:tcW w:w="1674" w:type="dxa"/>
            <w:vAlign w:val="center"/>
          </w:tcPr>
          <w:p w14:paraId="18EB2535">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0FFF12A9">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模具预验收前</w:t>
            </w:r>
          </w:p>
        </w:tc>
        <w:tc>
          <w:tcPr>
            <w:tcW w:w="2260" w:type="dxa"/>
            <w:vAlign w:val="center"/>
          </w:tcPr>
          <w:p w14:paraId="477B9DE8">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0A9040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150AE7F1">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8</w:t>
            </w:r>
          </w:p>
        </w:tc>
        <w:tc>
          <w:tcPr>
            <w:tcW w:w="2670" w:type="dxa"/>
            <w:vAlign w:val="center"/>
          </w:tcPr>
          <w:p w14:paraId="5E70CB4F">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动态检查表</w:t>
            </w:r>
          </w:p>
        </w:tc>
        <w:tc>
          <w:tcPr>
            <w:tcW w:w="1674" w:type="dxa"/>
            <w:vAlign w:val="center"/>
          </w:tcPr>
          <w:p w14:paraId="28348FD6">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037EBB1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模具预验收前</w:t>
            </w:r>
          </w:p>
        </w:tc>
        <w:tc>
          <w:tcPr>
            <w:tcW w:w="2260" w:type="dxa"/>
            <w:vAlign w:val="center"/>
          </w:tcPr>
          <w:p w14:paraId="2FDB491A">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7D6DFB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5B0E7C66">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9</w:t>
            </w:r>
          </w:p>
        </w:tc>
        <w:tc>
          <w:tcPr>
            <w:tcW w:w="2670" w:type="dxa"/>
            <w:vAlign w:val="center"/>
          </w:tcPr>
          <w:p w14:paraId="55C73470">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冲压制件检查基准书</w:t>
            </w:r>
          </w:p>
        </w:tc>
        <w:tc>
          <w:tcPr>
            <w:tcW w:w="1674" w:type="dxa"/>
            <w:vAlign w:val="center"/>
          </w:tcPr>
          <w:p w14:paraId="56338F4B">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130D0B96">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模具预验收前</w:t>
            </w:r>
          </w:p>
        </w:tc>
        <w:tc>
          <w:tcPr>
            <w:tcW w:w="2260" w:type="dxa"/>
            <w:vAlign w:val="center"/>
          </w:tcPr>
          <w:p w14:paraId="76823D13">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4EFC0A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7F67E228">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10</w:t>
            </w:r>
          </w:p>
        </w:tc>
        <w:tc>
          <w:tcPr>
            <w:tcW w:w="2670" w:type="dxa"/>
            <w:vAlign w:val="center"/>
          </w:tcPr>
          <w:p w14:paraId="4F5C17FC">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零件精度检查表</w:t>
            </w:r>
          </w:p>
        </w:tc>
        <w:tc>
          <w:tcPr>
            <w:tcW w:w="1674" w:type="dxa"/>
            <w:vAlign w:val="center"/>
          </w:tcPr>
          <w:p w14:paraId="1B10F757">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74ED817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各阶段样品出货时</w:t>
            </w:r>
          </w:p>
        </w:tc>
        <w:tc>
          <w:tcPr>
            <w:tcW w:w="2260" w:type="dxa"/>
            <w:vAlign w:val="center"/>
          </w:tcPr>
          <w:p w14:paraId="568BDF2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7F72F6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3636053A">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11</w:t>
            </w:r>
          </w:p>
        </w:tc>
        <w:tc>
          <w:tcPr>
            <w:tcW w:w="2670" w:type="dxa"/>
            <w:vAlign w:val="center"/>
          </w:tcPr>
          <w:p w14:paraId="51735DDB">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试模报告书</w:t>
            </w:r>
          </w:p>
        </w:tc>
        <w:tc>
          <w:tcPr>
            <w:tcW w:w="1674" w:type="dxa"/>
            <w:vAlign w:val="center"/>
          </w:tcPr>
          <w:p w14:paraId="51E487F4">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47407CF9">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模具预验收前</w:t>
            </w:r>
          </w:p>
        </w:tc>
        <w:tc>
          <w:tcPr>
            <w:tcW w:w="2260" w:type="dxa"/>
            <w:vAlign w:val="center"/>
          </w:tcPr>
          <w:p w14:paraId="1007346D">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650D82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7867F347">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12</w:t>
            </w:r>
          </w:p>
        </w:tc>
        <w:tc>
          <w:tcPr>
            <w:tcW w:w="2670" w:type="dxa"/>
            <w:vAlign w:val="center"/>
          </w:tcPr>
          <w:p w14:paraId="46ECD604">
            <w:pPr>
              <w:spacing w:line="360" w:lineRule="exact"/>
              <w:jc w:val="center"/>
              <w:rPr>
                <w:rFonts w:hint="eastAsia" w:ascii="宋体" w:hAnsi="宋体" w:eastAsia="宋体" w:cs="宋体"/>
                <w:sz w:val="24"/>
              </w:rPr>
            </w:pPr>
            <w:r>
              <w:rPr>
                <w:rFonts w:hint="eastAsia" w:ascii="宋体" w:hAnsi="宋体" w:eastAsia="宋体" w:cs="宋体"/>
                <w:sz w:val="24"/>
              </w:rPr>
              <w:t>冲压工艺数模</w:t>
            </w:r>
          </w:p>
        </w:tc>
        <w:tc>
          <w:tcPr>
            <w:tcW w:w="1674" w:type="dxa"/>
            <w:vAlign w:val="center"/>
          </w:tcPr>
          <w:p w14:paraId="06DB2E99">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21976093">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模具预验收前</w:t>
            </w:r>
          </w:p>
        </w:tc>
        <w:tc>
          <w:tcPr>
            <w:tcW w:w="2260" w:type="dxa"/>
            <w:vAlign w:val="center"/>
          </w:tcPr>
          <w:p w14:paraId="4760BBB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CATIA V5R19格式</w:t>
            </w:r>
          </w:p>
        </w:tc>
      </w:tr>
      <w:tr w14:paraId="6AFA3B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525E70A5">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13</w:t>
            </w:r>
          </w:p>
        </w:tc>
        <w:tc>
          <w:tcPr>
            <w:tcW w:w="2670" w:type="dxa"/>
            <w:vAlign w:val="center"/>
          </w:tcPr>
          <w:p w14:paraId="0C1442CF">
            <w:pPr>
              <w:spacing w:line="360" w:lineRule="exact"/>
              <w:jc w:val="center"/>
              <w:rPr>
                <w:rFonts w:hint="eastAsia" w:ascii="宋体" w:hAnsi="宋体" w:eastAsia="宋体" w:cs="宋体"/>
                <w:sz w:val="24"/>
                <w:szCs w:val="24"/>
              </w:rPr>
            </w:pPr>
            <w:r>
              <w:rPr>
                <w:rFonts w:hint="eastAsia" w:ascii="宋体" w:hAnsi="宋体" w:eastAsia="宋体" w:cs="宋体"/>
                <w:sz w:val="24"/>
              </w:rPr>
              <w:t>冲压工艺文件</w:t>
            </w:r>
          </w:p>
        </w:tc>
        <w:tc>
          <w:tcPr>
            <w:tcW w:w="1674" w:type="dxa"/>
            <w:vAlign w:val="center"/>
          </w:tcPr>
          <w:p w14:paraId="0053C303">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有</w:t>
            </w:r>
          </w:p>
        </w:tc>
        <w:tc>
          <w:tcPr>
            <w:tcW w:w="2040" w:type="dxa"/>
            <w:vAlign w:val="center"/>
          </w:tcPr>
          <w:p w14:paraId="286D0C54">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模具预验收前</w:t>
            </w:r>
          </w:p>
        </w:tc>
        <w:tc>
          <w:tcPr>
            <w:tcW w:w="2260" w:type="dxa"/>
            <w:vAlign w:val="center"/>
          </w:tcPr>
          <w:p w14:paraId="7A7EBBDE">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招标方格式，</w:t>
            </w:r>
            <w:r>
              <w:rPr>
                <w:rFonts w:hint="eastAsia" w:ascii="宋体" w:hAnsi="宋体" w:eastAsia="宋体" w:cs="宋体"/>
              </w:rPr>
              <w:t xml:space="preserve"> </w:t>
            </w:r>
            <w:r>
              <w:rPr>
                <w:rFonts w:hint="eastAsia" w:ascii="宋体" w:hAnsi="宋体" w:eastAsia="宋体" w:cs="宋体"/>
                <w:sz w:val="24"/>
                <w:szCs w:val="24"/>
              </w:rPr>
              <w:t>AutoCAD2007版</w:t>
            </w:r>
          </w:p>
        </w:tc>
      </w:tr>
      <w:tr w14:paraId="2D6BE5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1CCC16B3">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14</w:t>
            </w:r>
          </w:p>
        </w:tc>
        <w:tc>
          <w:tcPr>
            <w:tcW w:w="2670" w:type="dxa"/>
            <w:vAlign w:val="center"/>
          </w:tcPr>
          <w:p w14:paraId="5C8F8F97">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零件设计变更记录表</w:t>
            </w:r>
          </w:p>
        </w:tc>
        <w:tc>
          <w:tcPr>
            <w:tcW w:w="1674" w:type="dxa"/>
            <w:vAlign w:val="center"/>
          </w:tcPr>
          <w:p w14:paraId="0A848766">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有</w:t>
            </w:r>
          </w:p>
        </w:tc>
        <w:tc>
          <w:tcPr>
            <w:tcW w:w="2040" w:type="dxa"/>
            <w:vAlign w:val="center"/>
          </w:tcPr>
          <w:p w14:paraId="194B0AFB">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模具预验收前</w:t>
            </w:r>
          </w:p>
        </w:tc>
        <w:tc>
          <w:tcPr>
            <w:tcW w:w="2260" w:type="dxa"/>
            <w:vAlign w:val="center"/>
          </w:tcPr>
          <w:p w14:paraId="6EF0F820">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招标方格式</w:t>
            </w:r>
          </w:p>
        </w:tc>
      </w:tr>
      <w:tr w14:paraId="63F4CE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1F550AA9">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15</w:t>
            </w:r>
          </w:p>
        </w:tc>
        <w:tc>
          <w:tcPr>
            <w:tcW w:w="2670" w:type="dxa"/>
            <w:vAlign w:val="center"/>
          </w:tcPr>
          <w:p w14:paraId="1C86BF93">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模具材料表</w:t>
            </w:r>
          </w:p>
        </w:tc>
        <w:tc>
          <w:tcPr>
            <w:tcW w:w="1674" w:type="dxa"/>
            <w:vAlign w:val="center"/>
          </w:tcPr>
          <w:p w14:paraId="78703D7F">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04F41BD7">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模具出货前</w:t>
            </w:r>
          </w:p>
        </w:tc>
        <w:tc>
          <w:tcPr>
            <w:tcW w:w="2260" w:type="dxa"/>
            <w:vAlign w:val="center"/>
          </w:tcPr>
          <w:p w14:paraId="23DCAD65">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3CF5FE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7DE08582">
            <w:pPr>
              <w:spacing w:line="360" w:lineRule="exact"/>
              <w:jc w:val="center"/>
              <w:rPr>
                <w:rFonts w:hint="eastAsia" w:ascii="宋体" w:hAnsi="宋体" w:eastAsia="宋体" w:cs="宋体"/>
                <w:sz w:val="24"/>
                <w:szCs w:val="24"/>
              </w:rPr>
            </w:pPr>
            <w:r>
              <w:rPr>
                <w:rFonts w:hint="eastAsia" w:ascii="宋体" w:hAnsi="宋体" w:eastAsia="宋体" w:cs="宋体"/>
                <w:bCs/>
                <w:sz w:val="24"/>
                <w:szCs w:val="24"/>
              </w:rPr>
              <w:t>16</w:t>
            </w:r>
          </w:p>
        </w:tc>
        <w:tc>
          <w:tcPr>
            <w:tcW w:w="2670" w:type="dxa"/>
          </w:tcPr>
          <w:p w14:paraId="296EB880">
            <w:pPr>
              <w:spacing w:line="360" w:lineRule="exact"/>
              <w:jc w:val="center"/>
              <w:rPr>
                <w:rFonts w:hint="eastAsia" w:ascii="宋体" w:hAnsi="宋体" w:eastAsia="宋体" w:cs="宋体"/>
                <w:sz w:val="24"/>
                <w:szCs w:val="24"/>
              </w:rPr>
            </w:pPr>
            <w:r>
              <w:rPr>
                <w:rFonts w:hint="eastAsia" w:ascii="宋体" w:hAnsi="宋体" w:eastAsia="宋体" w:cs="宋体"/>
                <w:bCs/>
                <w:sz w:val="24"/>
                <w:szCs w:val="24"/>
              </w:rPr>
              <w:t>模具明细表</w:t>
            </w:r>
          </w:p>
        </w:tc>
        <w:tc>
          <w:tcPr>
            <w:tcW w:w="1674" w:type="dxa"/>
          </w:tcPr>
          <w:p w14:paraId="17A8CC1C">
            <w:pPr>
              <w:spacing w:line="360" w:lineRule="exact"/>
              <w:jc w:val="center"/>
              <w:rPr>
                <w:rFonts w:hint="eastAsia" w:ascii="宋体" w:hAnsi="宋体" w:eastAsia="宋体" w:cs="宋体"/>
                <w:sz w:val="24"/>
                <w:szCs w:val="24"/>
              </w:rPr>
            </w:pPr>
            <w:r>
              <w:rPr>
                <w:rFonts w:hint="eastAsia" w:ascii="宋体" w:hAnsi="宋体" w:eastAsia="宋体" w:cs="宋体"/>
                <w:bCs/>
                <w:sz w:val="24"/>
                <w:szCs w:val="24"/>
              </w:rPr>
              <w:t>无</w:t>
            </w:r>
          </w:p>
        </w:tc>
        <w:tc>
          <w:tcPr>
            <w:tcW w:w="2040" w:type="dxa"/>
          </w:tcPr>
          <w:p w14:paraId="41AB1E32">
            <w:pPr>
              <w:spacing w:line="360" w:lineRule="exact"/>
              <w:jc w:val="center"/>
              <w:rPr>
                <w:rFonts w:hint="eastAsia" w:ascii="宋体" w:hAnsi="宋体" w:eastAsia="宋体" w:cs="宋体"/>
                <w:sz w:val="24"/>
                <w:szCs w:val="24"/>
              </w:rPr>
            </w:pPr>
            <w:r>
              <w:rPr>
                <w:rFonts w:hint="eastAsia" w:ascii="宋体" w:hAnsi="宋体" w:eastAsia="宋体" w:cs="宋体"/>
                <w:bCs/>
                <w:sz w:val="24"/>
                <w:szCs w:val="24"/>
              </w:rPr>
              <w:t>模具出货前</w:t>
            </w:r>
          </w:p>
        </w:tc>
        <w:tc>
          <w:tcPr>
            <w:tcW w:w="2260" w:type="dxa"/>
          </w:tcPr>
          <w:p w14:paraId="5CB23DB4">
            <w:pPr>
              <w:spacing w:line="360" w:lineRule="exact"/>
              <w:jc w:val="center"/>
              <w:rPr>
                <w:rFonts w:hint="eastAsia" w:ascii="宋体" w:hAnsi="宋体" w:eastAsia="宋体" w:cs="宋体"/>
                <w:sz w:val="24"/>
                <w:szCs w:val="24"/>
              </w:rPr>
            </w:pPr>
            <w:r>
              <w:rPr>
                <w:rFonts w:hint="eastAsia" w:ascii="宋体" w:hAnsi="宋体" w:eastAsia="宋体" w:cs="宋体"/>
                <w:bCs/>
                <w:sz w:val="24"/>
                <w:szCs w:val="24"/>
              </w:rPr>
              <w:t>双方会审</w:t>
            </w:r>
          </w:p>
        </w:tc>
      </w:tr>
      <w:tr w14:paraId="639EFE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vAlign w:val="center"/>
          </w:tcPr>
          <w:p w14:paraId="41A5401B">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17</w:t>
            </w:r>
          </w:p>
        </w:tc>
        <w:tc>
          <w:tcPr>
            <w:tcW w:w="2670" w:type="dxa"/>
            <w:vAlign w:val="center"/>
          </w:tcPr>
          <w:p w14:paraId="7B9924D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标准件清单</w:t>
            </w:r>
          </w:p>
        </w:tc>
        <w:tc>
          <w:tcPr>
            <w:tcW w:w="1674" w:type="dxa"/>
            <w:vAlign w:val="center"/>
          </w:tcPr>
          <w:p w14:paraId="3D268466">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09B21D7E">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模具出货前</w:t>
            </w:r>
          </w:p>
        </w:tc>
        <w:tc>
          <w:tcPr>
            <w:tcW w:w="2260" w:type="dxa"/>
            <w:vAlign w:val="center"/>
          </w:tcPr>
          <w:p w14:paraId="1122157C">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5AE860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 w:hRule="atLeast"/>
        </w:trPr>
        <w:tc>
          <w:tcPr>
            <w:tcW w:w="721" w:type="dxa"/>
            <w:vAlign w:val="center"/>
          </w:tcPr>
          <w:p w14:paraId="658527EA">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18</w:t>
            </w:r>
          </w:p>
        </w:tc>
        <w:tc>
          <w:tcPr>
            <w:tcW w:w="2670" w:type="dxa"/>
            <w:vAlign w:val="center"/>
          </w:tcPr>
          <w:p w14:paraId="40592B20">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备品备件清单</w:t>
            </w:r>
          </w:p>
        </w:tc>
        <w:tc>
          <w:tcPr>
            <w:tcW w:w="1674" w:type="dxa"/>
            <w:vAlign w:val="center"/>
          </w:tcPr>
          <w:p w14:paraId="37D852C7">
            <w:pPr>
              <w:keepNext/>
              <w:keepLines/>
              <w:spacing w:before="260" w:after="260"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00EC6235">
            <w:pPr>
              <w:keepNext/>
              <w:keepLines/>
              <w:spacing w:before="260" w:after="260" w:line="360" w:lineRule="exact"/>
              <w:jc w:val="center"/>
              <w:rPr>
                <w:rFonts w:hint="eastAsia" w:ascii="宋体" w:hAnsi="宋体" w:eastAsia="宋体" w:cs="宋体"/>
                <w:sz w:val="24"/>
                <w:szCs w:val="24"/>
              </w:rPr>
            </w:pPr>
            <w:r>
              <w:rPr>
                <w:rFonts w:hint="eastAsia" w:ascii="宋体" w:hAnsi="宋体" w:eastAsia="宋体" w:cs="宋体"/>
                <w:sz w:val="24"/>
                <w:szCs w:val="24"/>
              </w:rPr>
              <w:t>模具出货前</w:t>
            </w:r>
          </w:p>
        </w:tc>
        <w:tc>
          <w:tcPr>
            <w:tcW w:w="2260" w:type="dxa"/>
            <w:vAlign w:val="center"/>
          </w:tcPr>
          <w:p w14:paraId="07802A6E">
            <w:pPr>
              <w:keepNext/>
              <w:keepLines/>
              <w:spacing w:before="260" w:after="260"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4BB9AC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 w:hRule="atLeast"/>
        </w:trPr>
        <w:tc>
          <w:tcPr>
            <w:tcW w:w="721" w:type="dxa"/>
            <w:vAlign w:val="center"/>
          </w:tcPr>
          <w:p w14:paraId="1FD0CFD5">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19</w:t>
            </w:r>
          </w:p>
        </w:tc>
        <w:tc>
          <w:tcPr>
            <w:tcW w:w="2670" w:type="dxa"/>
            <w:vAlign w:val="center"/>
          </w:tcPr>
          <w:p w14:paraId="28C1E26A">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模具出厂合格证</w:t>
            </w:r>
          </w:p>
        </w:tc>
        <w:tc>
          <w:tcPr>
            <w:tcW w:w="1674" w:type="dxa"/>
            <w:vAlign w:val="center"/>
          </w:tcPr>
          <w:p w14:paraId="3117D3A7">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7A1F6AA8">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模检具出货前</w:t>
            </w:r>
          </w:p>
        </w:tc>
        <w:tc>
          <w:tcPr>
            <w:tcW w:w="2260" w:type="dxa"/>
            <w:vAlign w:val="center"/>
          </w:tcPr>
          <w:p w14:paraId="224BA9B1">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4B8FD9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 w:hRule="atLeast"/>
        </w:trPr>
        <w:tc>
          <w:tcPr>
            <w:tcW w:w="721" w:type="dxa"/>
            <w:vAlign w:val="center"/>
          </w:tcPr>
          <w:p w14:paraId="2D0CB2F2">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20</w:t>
            </w:r>
          </w:p>
        </w:tc>
        <w:tc>
          <w:tcPr>
            <w:tcW w:w="2670" w:type="dxa"/>
            <w:vAlign w:val="center"/>
          </w:tcPr>
          <w:p w14:paraId="5B39C2A8">
            <w:pPr>
              <w:spacing w:line="360" w:lineRule="exact"/>
              <w:jc w:val="center"/>
              <w:rPr>
                <w:rFonts w:hint="eastAsia" w:ascii="宋体" w:hAnsi="宋体" w:eastAsia="宋体" w:cs="宋体"/>
                <w:sz w:val="24"/>
                <w:szCs w:val="24"/>
              </w:rPr>
            </w:pPr>
            <w:r>
              <w:rPr>
                <w:rFonts w:hint="eastAsia" w:ascii="宋体" w:hAnsi="宋体" w:eastAsia="宋体" w:cs="宋体"/>
                <w:sz w:val="24"/>
              </w:rPr>
              <w:t>模具图纸（2D及3D）</w:t>
            </w:r>
          </w:p>
        </w:tc>
        <w:tc>
          <w:tcPr>
            <w:tcW w:w="1674" w:type="dxa"/>
            <w:vAlign w:val="center"/>
          </w:tcPr>
          <w:p w14:paraId="51ED9194">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有</w:t>
            </w:r>
          </w:p>
        </w:tc>
        <w:tc>
          <w:tcPr>
            <w:tcW w:w="2040" w:type="dxa"/>
            <w:vAlign w:val="center"/>
          </w:tcPr>
          <w:p w14:paraId="21F6BFD9">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模具终验收前</w:t>
            </w:r>
          </w:p>
        </w:tc>
        <w:tc>
          <w:tcPr>
            <w:tcW w:w="2260" w:type="dxa"/>
            <w:vAlign w:val="center"/>
          </w:tcPr>
          <w:p w14:paraId="122A9C96">
            <w:pPr>
              <w:spacing w:line="360" w:lineRule="exact"/>
              <w:jc w:val="center"/>
              <w:rPr>
                <w:rFonts w:hint="eastAsia" w:ascii="宋体" w:hAnsi="宋体" w:eastAsia="宋体" w:cs="宋体"/>
              </w:rPr>
            </w:pPr>
            <w:r>
              <w:rPr>
                <w:rFonts w:hint="eastAsia" w:ascii="宋体" w:hAnsi="宋体" w:eastAsia="宋体" w:cs="宋体"/>
                <w:sz w:val="24"/>
                <w:szCs w:val="24"/>
              </w:rPr>
              <w:t>格式按招标方格式</w:t>
            </w:r>
            <w:r>
              <w:rPr>
                <w:rFonts w:hint="eastAsia" w:ascii="宋体" w:hAnsi="宋体" w:eastAsia="宋体" w:cs="宋体"/>
              </w:rPr>
              <w:t>。</w:t>
            </w:r>
          </w:p>
          <w:p w14:paraId="07C5D52D">
            <w:pPr>
              <w:spacing w:line="360" w:lineRule="exact"/>
              <w:jc w:val="center"/>
              <w:rPr>
                <w:rFonts w:hint="eastAsia" w:ascii="宋体" w:hAnsi="宋体" w:eastAsia="宋体" w:cs="宋体"/>
              </w:rPr>
            </w:pPr>
            <w:r>
              <w:rPr>
                <w:rFonts w:hint="eastAsia" w:ascii="宋体" w:hAnsi="宋体" w:eastAsia="宋体" w:cs="宋体"/>
                <w:sz w:val="24"/>
                <w:szCs w:val="24"/>
              </w:rPr>
              <w:t>2D、3D均用NX 10.0格式，且2D、3D实现联动。除标准件外，其余单件均应出2D图纸。</w:t>
            </w:r>
          </w:p>
        </w:tc>
      </w:tr>
      <w:tr w14:paraId="7B835B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 w:hRule="atLeast"/>
        </w:trPr>
        <w:tc>
          <w:tcPr>
            <w:tcW w:w="721" w:type="dxa"/>
            <w:vAlign w:val="center"/>
          </w:tcPr>
          <w:p w14:paraId="68864F97">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21</w:t>
            </w:r>
          </w:p>
        </w:tc>
        <w:tc>
          <w:tcPr>
            <w:tcW w:w="2670" w:type="dxa"/>
            <w:vAlign w:val="center"/>
          </w:tcPr>
          <w:p w14:paraId="03A83079">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模具钳修记录表</w:t>
            </w:r>
          </w:p>
        </w:tc>
        <w:tc>
          <w:tcPr>
            <w:tcW w:w="1674" w:type="dxa"/>
            <w:vAlign w:val="center"/>
          </w:tcPr>
          <w:p w14:paraId="6658328D">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无</w:t>
            </w:r>
          </w:p>
        </w:tc>
        <w:tc>
          <w:tcPr>
            <w:tcW w:w="2040" w:type="dxa"/>
            <w:vAlign w:val="center"/>
          </w:tcPr>
          <w:p w14:paraId="60982596">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模具终验收前</w:t>
            </w:r>
          </w:p>
        </w:tc>
        <w:tc>
          <w:tcPr>
            <w:tcW w:w="2260" w:type="dxa"/>
            <w:vAlign w:val="center"/>
          </w:tcPr>
          <w:p w14:paraId="47E6C794">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双方会审</w:t>
            </w:r>
          </w:p>
        </w:tc>
      </w:tr>
      <w:tr w14:paraId="140703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 w:hRule="atLeast"/>
        </w:trPr>
        <w:tc>
          <w:tcPr>
            <w:tcW w:w="721" w:type="dxa"/>
            <w:vAlign w:val="center"/>
          </w:tcPr>
          <w:p w14:paraId="7960A654">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22</w:t>
            </w:r>
          </w:p>
        </w:tc>
        <w:tc>
          <w:tcPr>
            <w:tcW w:w="2670" w:type="dxa"/>
            <w:vAlign w:val="center"/>
          </w:tcPr>
          <w:p w14:paraId="0BD9E46C">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产品工序制件图</w:t>
            </w:r>
          </w:p>
        </w:tc>
        <w:tc>
          <w:tcPr>
            <w:tcW w:w="1674" w:type="dxa"/>
            <w:vAlign w:val="center"/>
          </w:tcPr>
          <w:p w14:paraId="411CB91C">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有</w:t>
            </w:r>
          </w:p>
        </w:tc>
        <w:tc>
          <w:tcPr>
            <w:tcW w:w="2040" w:type="dxa"/>
            <w:vAlign w:val="center"/>
          </w:tcPr>
          <w:p w14:paraId="05F631A8">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模具终验收前</w:t>
            </w:r>
          </w:p>
        </w:tc>
        <w:tc>
          <w:tcPr>
            <w:tcW w:w="2260" w:type="dxa"/>
            <w:vAlign w:val="center"/>
          </w:tcPr>
          <w:p w14:paraId="50DB9C46">
            <w:pPr>
              <w:spacing w:line="360" w:lineRule="exact"/>
              <w:jc w:val="center"/>
              <w:rPr>
                <w:rFonts w:hint="eastAsia" w:ascii="宋体" w:hAnsi="宋体" w:eastAsia="宋体" w:cs="宋体"/>
                <w:sz w:val="24"/>
                <w:szCs w:val="24"/>
              </w:rPr>
            </w:pPr>
            <w:r>
              <w:rPr>
                <w:rFonts w:hint="eastAsia" w:ascii="宋体" w:hAnsi="宋体" w:eastAsia="宋体" w:cs="宋体"/>
                <w:sz w:val="24"/>
                <w:szCs w:val="24"/>
              </w:rPr>
              <w:t>AutoCAD2007版；公差标注齐全</w:t>
            </w:r>
          </w:p>
        </w:tc>
      </w:tr>
    </w:tbl>
    <w:p w14:paraId="7DD907AF">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检具发运前提交资料：</w:t>
      </w:r>
    </w:p>
    <w:tbl>
      <w:tblPr>
        <w:tblStyle w:val="41"/>
        <w:tblW w:w="9496" w:type="dxa"/>
        <w:tblInd w:w="-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9"/>
        <w:gridCol w:w="2534"/>
        <w:gridCol w:w="720"/>
        <w:gridCol w:w="5413"/>
      </w:tblGrid>
      <w:tr w14:paraId="757125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18" w:hRule="atLeast"/>
        </w:trPr>
        <w:tc>
          <w:tcPr>
            <w:tcW w:w="829" w:type="dxa"/>
            <w:tcBorders>
              <w:top w:val="single" w:color="auto" w:sz="4" w:space="0"/>
              <w:left w:val="single" w:color="auto" w:sz="4" w:space="0"/>
              <w:bottom w:val="single" w:color="auto" w:sz="4" w:space="0"/>
              <w:right w:val="single" w:color="auto" w:sz="4" w:space="0"/>
            </w:tcBorders>
            <w:vAlign w:val="center"/>
          </w:tcPr>
          <w:p w14:paraId="453513B4">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序号</w:t>
            </w:r>
          </w:p>
        </w:tc>
        <w:tc>
          <w:tcPr>
            <w:tcW w:w="2534" w:type="dxa"/>
            <w:tcBorders>
              <w:top w:val="single" w:color="auto" w:sz="4" w:space="0"/>
              <w:left w:val="single" w:color="auto" w:sz="4" w:space="0"/>
              <w:bottom w:val="single" w:color="auto" w:sz="4" w:space="0"/>
              <w:right w:val="single" w:color="auto" w:sz="4" w:space="0"/>
            </w:tcBorders>
            <w:vAlign w:val="center"/>
          </w:tcPr>
          <w:p w14:paraId="2041A819">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货物名称</w:t>
            </w:r>
          </w:p>
        </w:tc>
        <w:tc>
          <w:tcPr>
            <w:tcW w:w="720" w:type="dxa"/>
            <w:tcBorders>
              <w:top w:val="single" w:color="auto" w:sz="4" w:space="0"/>
              <w:left w:val="single" w:color="auto" w:sz="4" w:space="0"/>
              <w:bottom w:val="single" w:color="auto" w:sz="4" w:space="0"/>
              <w:right w:val="single" w:color="auto" w:sz="4" w:space="0"/>
            </w:tcBorders>
            <w:vAlign w:val="center"/>
          </w:tcPr>
          <w:p w14:paraId="11DA9A68">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数量</w:t>
            </w:r>
          </w:p>
        </w:tc>
        <w:tc>
          <w:tcPr>
            <w:tcW w:w="5413" w:type="dxa"/>
            <w:tcBorders>
              <w:top w:val="single" w:color="auto" w:sz="4" w:space="0"/>
              <w:left w:val="single" w:color="auto" w:sz="4" w:space="0"/>
              <w:bottom w:val="single" w:color="auto" w:sz="4" w:space="0"/>
              <w:right w:val="single" w:color="auto" w:sz="4" w:space="0"/>
            </w:tcBorders>
            <w:vAlign w:val="center"/>
          </w:tcPr>
          <w:p w14:paraId="0A623AA9">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备注</w:t>
            </w:r>
          </w:p>
        </w:tc>
      </w:tr>
      <w:tr w14:paraId="0B80C0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5" w:hRule="atLeast"/>
        </w:trPr>
        <w:tc>
          <w:tcPr>
            <w:tcW w:w="829" w:type="dxa"/>
            <w:tcBorders>
              <w:top w:val="single" w:color="auto" w:sz="4" w:space="0"/>
              <w:left w:val="single" w:color="auto" w:sz="4" w:space="0"/>
              <w:bottom w:val="single" w:color="auto" w:sz="4" w:space="0"/>
              <w:right w:val="single" w:color="auto" w:sz="4" w:space="0"/>
            </w:tcBorders>
            <w:vAlign w:val="center"/>
          </w:tcPr>
          <w:p w14:paraId="10BF7E92">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1</w:t>
            </w:r>
          </w:p>
        </w:tc>
        <w:tc>
          <w:tcPr>
            <w:tcW w:w="2534" w:type="dxa"/>
            <w:tcBorders>
              <w:top w:val="single" w:color="auto" w:sz="4" w:space="0"/>
              <w:left w:val="single" w:color="auto" w:sz="4" w:space="0"/>
              <w:bottom w:val="single" w:color="auto" w:sz="4" w:space="0"/>
              <w:right w:val="single" w:color="auto" w:sz="4" w:space="0"/>
            </w:tcBorders>
            <w:vAlign w:val="center"/>
          </w:tcPr>
          <w:p w14:paraId="1D677258">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检具数模（3D）</w:t>
            </w:r>
          </w:p>
        </w:tc>
        <w:tc>
          <w:tcPr>
            <w:tcW w:w="720" w:type="dxa"/>
            <w:tcBorders>
              <w:top w:val="single" w:color="auto" w:sz="4" w:space="0"/>
              <w:left w:val="single" w:color="auto" w:sz="4" w:space="0"/>
              <w:bottom w:val="single" w:color="auto" w:sz="4" w:space="0"/>
              <w:right w:val="single" w:color="auto" w:sz="4" w:space="0"/>
            </w:tcBorders>
            <w:vAlign w:val="center"/>
          </w:tcPr>
          <w:p w14:paraId="249A6280">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1套</w:t>
            </w:r>
          </w:p>
        </w:tc>
        <w:tc>
          <w:tcPr>
            <w:tcW w:w="5413" w:type="dxa"/>
            <w:tcBorders>
              <w:top w:val="single" w:color="auto" w:sz="4" w:space="0"/>
              <w:left w:val="single" w:color="auto" w:sz="4" w:space="0"/>
              <w:bottom w:val="single" w:color="auto" w:sz="4" w:space="0"/>
              <w:right w:val="single" w:color="auto" w:sz="4" w:space="0"/>
            </w:tcBorders>
            <w:vAlign w:val="center"/>
          </w:tcPr>
          <w:p w14:paraId="51C19BBF">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电子版</w:t>
            </w:r>
          </w:p>
        </w:tc>
      </w:tr>
      <w:tr w14:paraId="57B665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8" w:hRule="atLeast"/>
        </w:trPr>
        <w:tc>
          <w:tcPr>
            <w:tcW w:w="829" w:type="dxa"/>
            <w:tcBorders>
              <w:top w:val="single" w:color="auto" w:sz="4" w:space="0"/>
              <w:left w:val="single" w:color="auto" w:sz="4" w:space="0"/>
              <w:bottom w:val="single" w:color="auto" w:sz="4" w:space="0"/>
              <w:right w:val="single" w:color="auto" w:sz="4" w:space="0"/>
            </w:tcBorders>
            <w:vAlign w:val="center"/>
          </w:tcPr>
          <w:p w14:paraId="656BD7CD">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2</w:t>
            </w:r>
          </w:p>
        </w:tc>
        <w:tc>
          <w:tcPr>
            <w:tcW w:w="2534" w:type="dxa"/>
            <w:tcBorders>
              <w:top w:val="single" w:color="auto" w:sz="4" w:space="0"/>
              <w:left w:val="single" w:color="auto" w:sz="4" w:space="0"/>
              <w:bottom w:val="single" w:color="auto" w:sz="4" w:space="0"/>
              <w:right w:val="single" w:color="auto" w:sz="4" w:space="0"/>
            </w:tcBorders>
            <w:vAlign w:val="center"/>
          </w:tcPr>
          <w:p w14:paraId="7542CD74">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检具图纸（2D）</w:t>
            </w:r>
          </w:p>
        </w:tc>
        <w:tc>
          <w:tcPr>
            <w:tcW w:w="720" w:type="dxa"/>
            <w:tcBorders>
              <w:top w:val="single" w:color="auto" w:sz="4" w:space="0"/>
              <w:left w:val="single" w:color="auto" w:sz="4" w:space="0"/>
              <w:bottom w:val="single" w:color="auto" w:sz="4" w:space="0"/>
              <w:right w:val="single" w:color="auto" w:sz="4" w:space="0"/>
            </w:tcBorders>
            <w:vAlign w:val="center"/>
          </w:tcPr>
          <w:p w14:paraId="1ED0D042">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1套</w:t>
            </w:r>
          </w:p>
        </w:tc>
        <w:tc>
          <w:tcPr>
            <w:tcW w:w="5413" w:type="dxa"/>
            <w:tcBorders>
              <w:top w:val="single" w:color="auto" w:sz="4" w:space="0"/>
              <w:left w:val="single" w:color="auto" w:sz="4" w:space="0"/>
              <w:bottom w:val="single" w:color="auto" w:sz="4" w:space="0"/>
              <w:right w:val="single" w:color="auto" w:sz="4" w:space="0"/>
            </w:tcBorders>
            <w:vAlign w:val="center"/>
          </w:tcPr>
          <w:p w14:paraId="4BD223DB">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纸质和电子版</w:t>
            </w:r>
          </w:p>
        </w:tc>
      </w:tr>
      <w:tr w14:paraId="2EC71B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1" w:hRule="atLeast"/>
        </w:trPr>
        <w:tc>
          <w:tcPr>
            <w:tcW w:w="829" w:type="dxa"/>
            <w:tcBorders>
              <w:top w:val="single" w:color="auto" w:sz="4" w:space="0"/>
              <w:left w:val="single" w:color="auto" w:sz="4" w:space="0"/>
              <w:bottom w:val="single" w:color="auto" w:sz="4" w:space="0"/>
              <w:right w:val="single" w:color="auto" w:sz="4" w:space="0"/>
            </w:tcBorders>
            <w:vAlign w:val="center"/>
          </w:tcPr>
          <w:p w14:paraId="0B4E5034">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3</w:t>
            </w:r>
          </w:p>
        </w:tc>
        <w:tc>
          <w:tcPr>
            <w:tcW w:w="2534" w:type="dxa"/>
            <w:tcBorders>
              <w:top w:val="single" w:color="auto" w:sz="4" w:space="0"/>
              <w:left w:val="single" w:color="auto" w:sz="4" w:space="0"/>
              <w:bottom w:val="single" w:color="auto" w:sz="4" w:space="0"/>
              <w:right w:val="single" w:color="auto" w:sz="4" w:space="0"/>
            </w:tcBorders>
            <w:vAlign w:val="center"/>
          </w:tcPr>
          <w:p w14:paraId="56679722">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检具作业指导书</w:t>
            </w:r>
          </w:p>
        </w:tc>
        <w:tc>
          <w:tcPr>
            <w:tcW w:w="720" w:type="dxa"/>
            <w:tcBorders>
              <w:top w:val="single" w:color="auto" w:sz="4" w:space="0"/>
              <w:left w:val="single" w:color="auto" w:sz="4" w:space="0"/>
              <w:bottom w:val="single" w:color="auto" w:sz="4" w:space="0"/>
              <w:right w:val="single" w:color="auto" w:sz="4" w:space="0"/>
            </w:tcBorders>
            <w:vAlign w:val="center"/>
          </w:tcPr>
          <w:p w14:paraId="5F1DCEB0">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1套</w:t>
            </w:r>
          </w:p>
        </w:tc>
        <w:tc>
          <w:tcPr>
            <w:tcW w:w="5413" w:type="dxa"/>
            <w:tcBorders>
              <w:top w:val="single" w:color="auto" w:sz="4" w:space="0"/>
              <w:left w:val="single" w:color="auto" w:sz="4" w:space="0"/>
              <w:bottom w:val="single" w:color="auto" w:sz="4" w:space="0"/>
              <w:right w:val="single" w:color="auto" w:sz="4" w:space="0"/>
            </w:tcBorders>
            <w:vAlign w:val="center"/>
          </w:tcPr>
          <w:p w14:paraId="158F1FE4">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纸质和电子版</w:t>
            </w:r>
          </w:p>
        </w:tc>
      </w:tr>
      <w:tr w14:paraId="286DA3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45" w:hRule="atLeast"/>
        </w:trPr>
        <w:tc>
          <w:tcPr>
            <w:tcW w:w="829" w:type="dxa"/>
            <w:tcBorders>
              <w:top w:val="single" w:color="auto" w:sz="4" w:space="0"/>
              <w:left w:val="single" w:color="auto" w:sz="4" w:space="0"/>
              <w:bottom w:val="single" w:color="auto" w:sz="4" w:space="0"/>
              <w:right w:val="single" w:color="auto" w:sz="4" w:space="0"/>
            </w:tcBorders>
            <w:vAlign w:val="center"/>
          </w:tcPr>
          <w:p w14:paraId="2769C99D">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4</w:t>
            </w:r>
          </w:p>
        </w:tc>
        <w:tc>
          <w:tcPr>
            <w:tcW w:w="2534" w:type="dxa"/>
            <w:tcBorders>
              <w:top w:val="single" w:color="auto" w:sz="4" w:space="0"/>
              <w:left w:val="single" w:color="auto" w:sz="4" w:space="0"/>
              <w:bottom w:val="single" w:color="auto" w:sz="4" w:space="0"/>
              <w:right w:val="single" w:color="auto" w:sz="4" w:space="0"/>
            </w:tcBorders>
            <w:vAlign w:val="center"/>
          </w:tcPr>
          <w:p w14:paraId="20685E15">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检具使用维修文件</w:t>
            </w:r>
          </w:p>
        </w:tc>
        <w:tc>
          <w:tcPr>
            <w:tcW w:w="720" w:type="dxa"/>
            <w:tcBorders>
              <w:top w:val="single" w:color="auto" w:sz="4" w:space="0"/>
              <w:left w:val="single" w:color="auto" w:sz="4" w:space="0"/>
              <w:bottom w:val="single" w:color="auto" w:sz="4" w:space="0"/>
              <w:right w:val="single" w:color="auto" w:sz="4" w:space="0"/>
            </w:tcBorders>
            <w:vAlign w:val="center"/>
          </w:tcPr>
          <w:p w14:paraId="5EEE217F">
            <w:pPr>
              <w:spacing w:before="120" w:after="120" w:line="360" w:lineRule="exact"/>
              <w:jc w:val="center"/>
              <w:rPr>
                <w:rFonts w:hint="eastAsia" w:ascii="宋体" w:hAnsi="宋体" w:eastAsia="宋体" w:cs="宋体"/>
                <w:color w:val="FF6600"/>
                <w:sz w:val="24"/>
                <w:szCs w:val="24"/>
              </w:rPr>
            </w:pPr>
            <w:r>
              <w:rPr>
                <w:rFonts w:hint="eastAsia" w:ascii="宋体" w:hAnsi="宋体" w:eastAsia="宋体" w:cs="宋体"/>
                <w:sz w:val="24"/>
                <w:szCs w:val="24"/>
              </w:rPr>
              <w:t>1套</w:t>
            </w:r>
          </w:p>
        </w:tc>
        <w:tc>
          <w:tcPr>
            <w:tcW w:w="5413" w:type="dxa"/>
            <w:tcBorders>
              <w:top w:val="single" w:color="auto" w:sz="4" w:space="0"/>
              <w:left w:val="single" w:color="auto" w:sz="4" w:space="0"/>
              <w:bottom w:val="single" w:color="auto" w:sz="4" w:space="0"/>
              <w:right w:val="single" w:color="auto" w:sz="4" w:space="0"/>
            </w:tcBorders>
            <w:vAlign w:val="center"/>
          </w:tcPr>
          <w:p w14:paraId="7087E51E">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纸质和电子版</w:t>
            </w:r>
          </w:p>
        </w:tc>
      </w:tr>
      <w:tr w14:paraId="0ACA7B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45" w:hRule="atLeast"/>
        </w:trPr>
        <w:tc>
          <w:tcPr>
            <w:tcW w:w="829" w:type="dxa"/>
            <w:tcBorders>
              <w:top w:val="single" w:color="auto" w:sz="4" w:space="0"/>
              <w:left w:val="single" w:color="auto" w:sz="4" w:space="0"/>
              <w:bottom w:val="single" w:color="auto" w:sz="4" w:space="0"/>
              <w:right w:val="single" w:color="auto" w:sz="4" w:space="0"/>
            </w:tcBorders>
            <w:vAlign w:val="center"/>
          </w:tcPr>
          <w:p w14:paraId="11351C33">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5</w:t>
            </w:r>
          </w:p>
        </w:tc>
        <w:tc>
          <w:tcPr>
            <w:tcW w:w="2534" w:type="dxa"/>
            <w:tcBorders>
              <w:top w:val="single" w:color="auto" w:sz="4" w:space="0"/>
              <w:left w:val="single" w:color="auto" w:sz="4" w:space="0"/>
              <w:bottom w:val="single" w:color="auto" w:sz="4" w:space="0"/>
              <w:right w:val="single" w:color="auto" w:sz="4" w:space="0"/>
            </w:tcBorders>
            <w:vAlign w:val="center"/>
          </w:tcPr>
          <w:p w14:paraId="3D87971C">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钣件检查表</w:t>
            </w:r>
          </w:p>
        </w:tc>
        <w:tc>
          <w:tcPr>
            <w:tcW w:w="720" w:type="dxa"/>
            <w:tcBorders>
              <w:top w:val="single" w:color="auto" w:sz="4" w:space="0"/>
              <w:left w:val="single" w:color="auto" w:sz="4" w:space="0"/>
              <w:bottom w:val="single" w:color="auto" w:sz="4" w:space="0"/>
              <w:right w:val="single" w:color="auto" w:sz="4" w:space="0"/>
            </w:tcBorders>
            <w:vAlign w:val="center"/>
          </w:tcPr>
          <w:p w14:paraId="15BCEB0F">
            <w:pPr>
              <w:spacing w:before="120" w:after="120" w:line="360" w:lineRule="exact"/>
              <w:jc w:val="center"/>
              <w:rPr>
                <w:rFonts w:hint="eastAsia" w:ascii="宋体" w:hAnsi="宋体" w:eastAsia="宋体" w:cs="宋体"/>
                <w:sz w:val="24"/>
                <w:szCs w:val="24"/>
              </w:rPr>
            </w:pPr>
            <w:r>
              <w:rPr>
                <w:rFonts w:hint="eastAsia" w:ascii="宋体" w:hAnsi="宋体" w:eastAsia="宋体" w:cs="宋体"/>
                <w:sz w:val="24"/>
                <w:szCs w:val="24"/>
              </w:rPr>
              <w:t>1套</w:t>
            </w:r>
          </w:p>
        </w:tc>
        <w:tc>
          <w:tcPr>
            <w:tcW w:w="5413" w:type="dxa"/>
            <w:tcBorders>
              <w:top w:val="single" w:color="auto" w:sz="4" w:space="0"/>
              <w:left w:val="single" w:color="auto" w:sz="4" w:space="0"/>
              <w:bottom w:val="single" w:color="auto" w:sz="4" w:space="0"/>
              <w:right w:val="single" w:color="auto" w:sz="4" w:space="0"/>
            </w:tcBorders>
            <w:vAlign w:val="center"/>
          </w:tcPr>
          <w:p w14:paraId="0B9268C8">
            <w:pPr>
              <w:spacing w:before="120" w:after="120" w:line="360" w:lineRule="exact"/>
              <w:rPr>
                <w:rFonts w:hint="eastAsia" w:ascii="宋体" w:hAnsi="宋体" w:eastAsia="宋体" w:cs="宋体"/>
                <w:sz w:val="24"/>
                <w:szCs w:val="24"/>
              </w:rPr>
            </w:pPr>
            <w:r>
              <w:rPr>
                <w:rFonts w:hint="eastAsia" w:ascii="宋体" w:hAnsi="宋体" w:eastAsia="宋体" w:cs="宋体"/>
                <w:sz w:val="24"/>
                <w:szCs w:val="24"/>
              </w:rPr>
              <w:t>电子版</w:t>
            </w:r>
          </w:p>
        </w:tc>
      </w:tr>
      <w:tr w14:paraId="3F8787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45" w:hRule="atLeast"/>
        </w:trPr>
        <w:tc>
          <w:tcPr>
            <w:tcW w:w="829" w:type="dxa"/>
            <w:tcBorders>
              <w:top w:val="single" w:color="auto" w:sz="4" w:space="0"/>
              <w:left w:val="single" w:color="auto" w:sz="4" w:space="0"/>
              <w:right w:val="single" w:color="auto" w:sz="4" w:space="0"/>
            </w:tcBorders>
            <w:vAlign w:val="center"/>
          </w:tcPr>
          <w:p w14:paraId="14EA019C">
            <w:pPr>
              <w:spacing w:before="120" w:after="120" w:line="360" w:lineRule="exact"/>
              <w:jc w:val="center"/>
              <w:rPr>
                <w:rFonts w:hint="eastAsia" w:ascii="宋体" w:hAnsi="宋体" w:eastAsia="宋体" w:cs="宋体"/>
                <w:sz w:val="24"/>
                <w:szCs w:val="24"/>
                <w:highlight w:val="yellow"/>
              </w:rPr>
            </w:pPr>
            <w:r>
              <w:rPr>
                <w:rFonts w:hint="eastAsia" w:ascii="宋体" w:hAnsi="宋体" w:eastAsia="宋体" w:cs="宋体"/>
                <w:sz w:val="24"/>
                <w:szCs w:val="24"/>
                <w:highlight w:val="yellow"/>
              </w:rPr>
              <w:t>6</w:t>
            </w:r>
          </w:p>
        </w:tc>
        <w:tc>
          <w:tcPr>
            <w:tcW w:w="2534" w:type="dxa"/>
            <w:tcBorders>
              <w:top w:val="single" w:color="auto" w:sz="4" w:space="0"/>
              <w:left w:val="single" w:color="auto" w:sz="4" w:space="0"/>
              <w:bottom w:val="single" w:color="auto" w:sz="4" w:space="0"/>
              <w:right w:val="single" w:color="auto" w:sz="4" w:space="0"/>
            </w:tcBorders>
            <w:vAlign w:val="center"/>
          </w:tcPr>
          <w:p w14:paraId="704C8B12">
            <w:pPr>
              <w:spacing w:before="120" w:after="120" w:line="360" w:lineRule="exact"/>
              <w:rPr>
                <w:rFonts w:hint="eastAsia" w:ascii="宋体" w:hAnsi="宋体" w:eastAsia="宋体" w:cs="宋体"/>
                <w:sz w:val="24"/>
                <w:szCs w:val="24"/>
                <w:highlight w:val="yellow"/>
              </w:rPr>
            </w:pPr>
            <w:r>
              <w:rPr>
                <w:rFonts w:hint="eastAsia" w:ascii="宋体" w:hAnsi="宋体" w:eastAsia="宋体" w:cs="宋体"/>
                <w:sz w:val="24"/>
                <w:szCs w:val="24"/>
                <w:highlight w:val="yellow"/>
              </w:rPr>
              <w:t>产品件GDT图纸</w:t>
            </w:r>
          </w:p>
        </w:tc>
        <w:tc>
          <w:tcPr>
            <w:tcW w:w="720" w:type="dxa"/>
            <w:tcBorders>
              <w:top w:val="single" w:color="auto" w:sz="4" w:space="0"/>
              <w:left w:val="single" w:color="auto" w:sz="4" w:space="0"/>
              <w:right w:val="single" w:color="auto" w:sz="4" w:space="0"/>
            </w:tcBorders>
            <w:vAlign w:val="center"/>
          </w:tcPr>
          <w:p w14:paraId="438023BB">
            <w:pPr>
              <w:spacing w:before="120" w:after="120" w:line="360" w:lineRule="exact"/>
              <w:jc w:val="center"/>
              <w:rPr>
                <w:rFonts w:hint="eastAsia" w:ascii="宋体" w:hAnsi="宋体" w:eastAsia="宋体" w:cs="宋体"/>
                <w:sz w:val="24"/>
                <w:szCs w:val="24"/>
                <w:highlight w:val="yellow"/>
              </w:rPr>
            </w:pPr>
            <w:r>
              <w:rPr>
                <w:rFonts w:hint="eastAsia" w:ascii="宋体" w:hAnsi="宋体" w:eastAsia="宋体" w:cs="宋体"/>
                <w:sz w:val="24"/>
                <w:szCs w:val="24"/>
                <w:highlight w:val="yellow"/>
              </w:rPr>
              <w:t>1套</w:t>
            </w:r>
          </w:p>
        </w:tc>
        <w:tc>
          <w:tcPr>
            <w:tcW w:w="5413" w:type="dxa"/>
            <w:tcBorders>
              <w:top w:val="single" w:color="auto" w:sz="4" w:space="0"/>
              <w:left w:val="single" w:color="auto" w:sz="4" w:space="0"/>
              <w:right w:val="single" w:color="auto" w:sz="4" w:space="0"/>
            </w:tcBorders>
            <w:vAlign w:val="center"/>
          </w:tcPr>
          <w:p w14:paraId="25E78FE2">
            <w:pPr>
              <w:spacing w:before="120" w:after="120" w:line="360" w:lineRule="exact"/>
              <w:rPr>
                <w:rFonts w:hint="eastAsia" w:ascii="宋体" w:hAnsi="宋体" w:eastAsia="宋体" w:cs="宋体"/>
                <w:sz w:val="24"/>
                <w:szCs w:val="24"/>
                <w:highlight w:val="yellow"/>
              </w:rPr>
            </w:pPr>
            <w:r>
              <w:rPr>
                <w:rFonts w:hint="eastAsia" w:ascii="宋体" w:hAnsi="宋体" w:eastAsia="宋体" w:cs="宋体"/>
                <w:sz w:val="24"/>
                <w:szCs w:val="24"/>
                <w:highlight w:val="yellow"/>
              </w:rPr>
              <w:t>电子版</w:t>
            </w:r>
          </w:p>
        </w:tc>
      </w:tr>
    </w:tbl>
    <w:p w14:paraId="2FB8C588">
      <w:pPr>
        <w:spacing w:line="360" w:lineRule="auto"/>
        <w:ind w:firstLine="480" w:firstLineChars="200"/>
        <w:rPr>
          <w:rFonts w:hint="eastAsia" w:ascii="Times New Roman" w:hAnsi="Times New Roman" w:eastAsia="宋体" w:cs="Times New Roman"/>
          <w:bCs/>
          <w:sz w:val="24"/>
          <w:szCs w:val="24"/>
        </w:rPr>
      </w:pPr>
    </w:p>
    <w:p w14:paraId="0FA90954">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4.2模检具发运要求</w:t>
      </w:r>
      <w:bookmarkEnd w:id="77"/>
      <w:bookmarkEnd w:id="78"/>
    </w:p>
    <w:p w14:paraId="62D795F5">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（1）随模具发运调试合格工序1件置于模具内，合格成品件1件置于检具内；</w:t>
      </w:r>
    </w:p>
    <w:p w14:paraId="03A0CBEC">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（2）乙方应负责所有投产样件的包装、运输及现场拆货，并保证货物及时送达，且完好无损；</w:t>
      </w:r>
    </w:p>
    <w:p w14:paraId="4ABBD023">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（3）乙方应负责按预验收问题整改计划调整模具及检具，并向甲方提交整改结果报告，经 甲方 确认后，方可准备发运。</w:t>
      </w:r>
    </w:p>
    <w:p w14:paraId="222C996C">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（4）乙方发货前应提交发运、到货时间计划、货物清单等，并提交甲方确认。</w:t>
      </w:r>
    </w:p>
    <w:p w14:paraId="24067B62">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（5）乙方应负责易损易耗件等随模具一同送抵 甲方指定生产场所，在乙方模具调试期间备用。对于采购周期长的部件，乙方要保证不影响后期调试。</w:t>
      </w:r>
    </w:p>
    <w:p w14:paraId="27B82C74">
      <w:pPr>
        <w:tabs>
          <w:tab w:val="left" w:pos="-720"/>
          <w:tab w:val="left" w:pos="400"/>
          <w:tab w:val="left" w:pos="851"/>
        </w:tabs>
        <w:overflowPunct w:val="0"/>
        <w:autoSpaceDE w:val="0"/>
        <w:autoSpaceDN w:val="0"/>
        <w:snapToGrid w:val="0"/>
        <w:spacing w:line="360" w:lineRule="auto"/>
        <w:ind w:left="420"/>
        <w:jc w:val="left"/>
        <w:rPr>
          <w:rFonts w:hint="eastAsia" w:ascii="宋体" w:hAnsi="宋体" w:eastAsia="宋体" w:cs="宋体"/>
          <w:b/>
          <w:sz w:val="24"/>
          <w:szCs w:val="24"/>
        </w:rPr>
      </w:pPr>
      <w:bookmarkStart w:id="79" w:name="_Toc155087160"/>
      <w:bookmarkStart w:id="80" w:name="_Toc156556078"/>
      <w:r>
        <w:rPr>
          <w:rFonts w:hint="eastAsia" w:ascii="宋体" w:hAnsi="宋体" w:eastAsia="宋体" w:cs="宋体"/>
          <w:b/>
          <w:sz w:val="24"/>
          <w:szCs w:val="24"/>
        </w:rPr>
        <w:t>5.标准件及备品要求</w:t>
      </w:r>
      <w:bookmarkEnd w:id="79"/>
      <w:bookmarkEnd w:id="80"/>
    </w:p>
    <w:p w14:paraId="5F8E2D6A">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本项目备品按照下表要求提供：</w:t>
      </w:r>
    </w:p>
    <w:p w14:paraId="18564110">
      <w:pPr>
        <w:spacing w:line="360" w:lineRule="auto"/>
        <w:ind w:firstLine="480" w:firstLineChars="200"/>
        <w:rPr>
          <w:rFonts w:hint="eastAsia" w:ascii="Times New Roman" w:hAnsi="Times New Roman" w:eastAsia="宋体" w:cs="Times New Roman"/>
          <w:bCs/>
          <w:sz w:val="24"/>
          <w:szCs w:val="24"/>
        </w:rPr>
      </w:pPr>
      <w:r>
        <w:rPr>
          <w:rFonts w:hint="eastAsia" w:ascii="Times New Roman" w:hAnsi="Times New Roman" w:eastAsia="宋体" w:cs="Times New Roman"/>
          <w:bCs/>
          <w:sz w:val="24"/>
          <w:szCs w:val="24"/>
        </w:rPr>
        <w:t>模具：</w:t>
      </w:r>
    </w:p>
    <w:tbl>
      <w:tblPr>
        <w:tblStyle w:val="41"/>
        <w:tblW w:w="9638"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844"/>
        <w:gridCol w:w="780"/>
        <w:gridCol w:w="857"/>
        <w:gridCol w:w="682"/>
        <w:gridCol w:w="2656"/>
        <w:gridCol w:w="2159"/>
        <w:gridCol w:w="1660"/>
      </w:tblGrid>
      <w:tr w14:paraId="2C6942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50" w:hRule="atLeast"/>
          <w:jc w:val="center"/>
        </w:trPr>
        <w:tc>
          <w:tcPr>
            <w:tcW w:w="844" w:type="dxa"/>
            <w:vAlign w:val="center"/>
          </w:tcPr>
          <w:p w14:paraId="6C711C17">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序号</w:t>
            </w:r>
          </w:p>
        </w:tc>
        <w:tc>
          <w:tcPr>
            <w:tcW w:w="4975" w:type="dxa"/>
            <w:gridSpan w:val="4"/>
            <w:vAlign w:val="center"/>
          </w:tcPr>
          <w:p w14:paraId="4A4F7D5D">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品种及规格</w:t>
            </w:r>
          </w:p>
        </w:tc>
        <w:tc>
          <w:tcPr>
            <w:tcW w:w="2159" w:type="dxa"/>
            <w:vAlign w:val="center"/>
          </w:tcPr>
          <w:p w14:paraId="66893EE9">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备件数量</w:t>
            </w:r>
          </w:p>
        </w:tc>
        <w:tc>
          <w:tcPr>
            <w:tcW w:w="1660" w:type="dxa"/>
          </w:tcPr>
          <w:p w14:paraId="3A3F6097">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备注</w:t>
            </w:r>
          </w:p>
        </w:tc>
      </w:tr>
      <w:tr w14:paraId="1EBD85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50" w:hRule="atLeast"/>
          <w:jc w:val="center"/>
        </w:trPr>
        <w:tc>
          <w:tcPr>
            <w:tcW w:w="844" w:type="dxa"/>
            <w:vAlign w:val="center"/>
          </w:tcPr>
          <w:p w14:paraId="5D2B99FA">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1</w:t>
            </w:r>
          </w:p>
        </w:tc>
        <w:tc>
          <w:tcPr>
            <w:tcW w:w="1637" w:type="dxa"/>
            <w:gridSpan w:val="2"/>
            <w:vAlign w:val="center"/>
          </w:tcPr>
          <w:p w14:paraId="6CBEFBD6">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氮气弹簧</w:t>
            </w:r>
          </w:p>
        </w:tc>
        <w:tc>
          <w:tcPr>
            <w:tcW w:w="3338" w:type="dxa"/>
            <w:gridSpan w:val="2"/>
            <w:vAlign w:val="center"/>
          </w:tcPr>
          <w:p w14:paraId="75D02FC8">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每种规格按总数的3％提供备件</w:t>
            </w:r>
          </w:p>
        </w:tc>
        <w:tc>
          <w:tcPr>
            <w:tcW w:w="2159" w:type="dxa"/>
            <w:vAlign w:val="center"/>
          </w:tcPr>
          <w:p w14:paraId="4EC6135A">
            <w:pPr>
              <w:autoSpaceDE w:val="0"/>
              <w:autoSpaceDN w:val="0"/>
              <w:adjustRightInd w:val="0"/>
              <w:rPr>
                <w:rFonts w:hint="eastAsia" w:ascii="宋体" w:hAnsi="宋体" w:eastAsia="宋体" w:cs="宋体"/>
                <w:kern w:val="0"/>
                <w:sz w:val="24"/>
                <w:szCs w:val="24"/>
              </w:rPr>
            </w:pPr>
            <w:r>
              <w:rPr>
                <w:rFonts w:hint="eastAsia" w:ascii="宋体" w:hAnsi="宋体" w:eastAsia="宋体" w:cs="宋体"/>
                <w:kern w:val="0"/>
                <w:sz w:val="24"/>
                <w:szCs w:val="24"/>
              </w:rPr>
              <w:t>每种规格按总数的3％提供备件</w:t>
            </w:r>
          </w:p>
        </w:tc>
        <w:tc>
          <w:tcPr>
            <w:tcW w:w="1660" w:type="dxa"/>
            <w:vAlign w:val="center"/>
          </w:tcPr>
          <w:p w14:paraId="1FE13BBD">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不少于1件</w:t>
            </w:r>
          </w:p>
        </w:tc>
      </w:tr>
      <w:tr w14:paraId="25750A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50" w:hRule="atLeast"/>
          <w:jc w:val="center"/>
        </w:trPr>
        <w:tc>
          <w:tcPr>
            <w:tcW w:w="844" w:type="dxa"/>
            <w:vAlign w:val="center"/>
          </w:tcPr>
          <w:p w14:paraId="67B91510">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2</w:t>
            </w:r>
          </w:p>
        </w:tc>
        <w:tc>
          <w:tcPr>
            <w:tcW w:w="1637" w:type="dxa"/>
            <w:gridSpan w:val="2"/>
            <w:vAlign w:val="center"/>
          </w:tcPr>
          <w:p w14:paraId="4269F269">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弹簧</w:t>
            </w:r>
          </w:p>
        </w:tc>
        <w:tc>
          <w:tcPr>
            <w:tcW w:w="3338" w:type="dxa"/>
            <w:gridSpan w:val="2"/>
            <w:vAlign w:val="center"/>
          </w:tcPr>
          <w:p w14:paraId="758579B0">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每种规格按总数的5％提供备件</w:t>
            </w:r>
          </w:p>
        </w:tc>
        <w:tc>
          <w:tcPr>
            <w:tcW w:w="2159" w:type="dxa"/>
            <w:vAlign w:val="center"/>
          </w:tcPr>
          <w:p w14:paraId="1C9A4316">
            <w:pPr>
              <w:autoSpaceDE w:val="0"/>
              <w:autoSpaceDN w:val="0"/>
              <w:adjustRightInd w:val="0"/>
              <w:rPr>
                <w:rFonts w:hint="eastAsia" w:ascii="宋体" w:hAnsi="宋体" w:eastAsia="宋体" w:cs="宋体"/>
                <w:kern w:val="0"/>
                <w:sz w:val="24"/>
                <w:szCs w:val="24"/>
              </w:rPr>
            </w:pPr>
            <w:r>
              <w:rPr>
                <w:rFonts w:hint="eastAsia" w:ascii="宋体" w:hAnsi="宋体" w:eastAsia="宋体" w:cs="宋体"/>
                <w:kern w:val="0"/>
                <w:sz w:val="24"/>
                <w:szCs w:val="24"/>
              </w:rPr>
              <w:t>每种规格按总数的5％提供备件</w:t>
            </w:r>
          </w:p>
        </w:tc>
        <w:tc>
          <w:tcPr>
            <w:tcW w:w="1660" w:type="dxa"/>
            <w:vAlign w:val="center"/>
          </w:tcPr>
          <w:p w14:paraId="650C5711">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不少于5件</w:t>
            </w:r>
          </w:p>
        </w:tc>
      </w:tr>
      <w:tr w14:paraId="1AE6BF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50" w:hRule="atLeast"/>
          <w:jc w:val="center"/>
        </w:trPr>
        <w:tc>
          <w:tcPr>
            <w:tcW w:w="844" w:type="dxa"/>
            <w:vMerge w:val="restart"/>
            <w:vAlign w:val="center"/>
          </w:tcPr>
          <w:p w14:paraId="16165839">
            <w:pPr>
              <w:jc w:val="center"/>
              <w:rPr>
                <w:rFonts w:hint="eastAsia" w:ascii="宋体" w:hAnsi="宋体" w:eastAsia="宋体" w:cs="宋体"/>
                <w:sz w:val="24"/>
                <w:szCs w:val="24"/>
              </w:rPr>
            </w:pPr>
            <w:r>
              <w:rPr>
                <w:rFonts w:hint="eastAsia" w:ascii="宋体" w:hAnsi="宋体" w:eastAsia="宋体" w:cs="宋体"/>
                <w:sz w:val="24"/>
                <w:szCs w:val="24"/>
              </w:rPr>
              <w:t>3</w:t>
            </w:r>
          </w:p>
        </w:tc>
        <w:tc>
          <w:tcPr>
            <w:tcW w:w="780" w:type="dxa"/>
            <w:vMerge w:val="restart"/>
            <w:tcBorders>
              <w:right w:val="single" w:color="auto" w:sz="4" w:space="0"/>
            </w:tcBorders>
            <w:vAlign w:val="center"/>
          </w:tcPr>
          <w:p w14:paraId="72432D90">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冲孔凸模</w:t>
            </w:r>
          </w:p>
          <w:p w14:paraId="1637E99F">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和凹模</w:t>
            </w:r>
          </w:p>
        </w:tc>
        <w:tc>
          <w:tcPr>
            <w:tcW w:w="857" w:type="dxa"/>
            <w:vMerge w:val="restart"/>
            <w:tcBorders>
              <w:left w:val="single" w:color="auto" w:sz="4" w:space="0"/>
            </w:tcBorders>
            <w:vAlign w:val="center"/>
          </w:tcPr>
          <w:p w14:paraId="7A0A396C">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圆孔</w:t>
            </w:r>
          </w:p>
        </w:tc>
        <w:tc>
          <w:tcPr>
            <w:tcW w:w="682" w:type="dxa"/>
            <w:vMerge w:val="restart"/>
            <w:tcBorders>
              <w:right w:val="single" w:color="auto" w:sz="4" w:space="0"/>
            </w:tcBorders>
            <w:vAlign w:val="center"/>
          </w:tcPr>
          <w:p w14:paraId="7549DB11">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标准件</w:t>
            </w:r>
          </w:p>
        </w:tc>
        <w:tc>
          <w:tcPr>
            <w:tcW w:w="2656" w:type="dxa"/>
            <w:tcBorders>
              <w:left w:val="single" w:color="auto" w:sz="4" w:space="0"/>
              <w:bottom w:val="single" w:color="auto" w:sz="4" w:space="0"/>
            </w:tcBorders>
            <w:vAlign w:val="center"/>
          </w:tcPr>
          <w:p w14:paraId="2D661EAD">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直径小于ф10mm</w:t>
            </w:r>
          </w:p>
        </w:tc>
        <w:tc>
          <w:tcPr>
            <w:tcW w:w="2159" w:type="dxa"/>
            <w:tcBorders>
              <w:bottom w:val="single" w:color="auto" w:sz="4" w:space="0"/>
            </w:tcBorders>
            <w:vAlign w:val="center"/>
          </w:tcPr>
          <w:p w14:paraId="41B3A44C">
            <w:pPr>
              <w:autoSpaceDE w:val="0"/>
              <w:autoSpaceDN w:val="0"/>
              <w:adjustRightInd w:val="0"/>
              <w:rPr>
                <w:rFonts w:hint="eastAsia" w:ascii="宋体" w:hAnsi="宋体" w:eastAsia="宋体" w:cs="宋体"/>
                <w:sz w:val="24"/>
                <w:szCs w:val="24"/>
              </w:rPr>
            </w:pPr>
            <w:r>
              <w:rPr>
                <w:rFonts w:hint="eastAsia" w:ascii="宋体" w:hAnsi="宋体" w:eastAsia="宋体" w:cs="宋体"/>
                <w:kern w:val="0"/>
                <w:sz w:val="24"/>
                <w:szCs w:val="24"/>
              </w:rPr>
              <w:t>每种规格按总数的3％提供备件</w:t>
            </w:r>
          </w:p>
        </w:tc>
        <w:tc>
          <w:tcPr>
            <w:tcW w:w="1660" w:type="dxa"/>
            <w:vAlign w:val="center"/>
          </w:tcPr>
          <w:p w14:paraId="23B2BC19">
            <w:pPr>
              <w:jc w:val="center"/>
              <w:rPr>
                <w:rFonts w:hint="eastAsia" w:ascii="宋体" w:hAnsi="宋体" w:eastAsia="宋体" w:cs="宋体"/>
                <w:sz w:val="24"/>
                <w:szCs w:val="24"/>
              </w:rPr>
            </w:pPr>
            <w:r>
              <w:rPr>
                <w:rFonts w:hint="eastAsia" w:ascii="宋体" w:hAnsi="宋体" w:eastAsia="宋体" w:cs="宋体"/>
                <w:kern w:val="0"/>
                <w:sz w:val="24"/>
                <w:szCs w:val="24"/>
              </w:rPr>
              <w:t>不少于5件</w:t>
            </w:r>
          </w:p>
        </w:tc>
      </w:tr>
      <w:tr w14:paraId="0E493E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50" w:hRule="atLeast"/>
          <w:jc w:val="center"/>
        </w:trPr>
        <w:tc>
          <w:tcPr>
            <w:tcW w:w="844" w:type="dxa"/>
            <w:vMerge w:val="continue"/>
            <w:vAlign w:val="center"/>
          </w:tcPr>
          <w:p w14:paraId="21460454">
            <w:pPr>
              <w:jc w:val="center"/>
              <w:rPr>
                <w:rFonts w:hint="eastAsia" w:ascii="宋体" w:hAnsi="宋体" w:eastAsia="宋体" w:cs="宋体"/>
                <w:sz w:val="24"/>
                <w:szCs w:val="24"/>
              </w:rPr>
            </w:pPr>
          </w:p>
        </w:tc>
        <w:tc>
          <w:tcPr>
            <w:tcW w:w="780" w:type="dxa"/>
            <w:vMerge w:val="continue"/>
            <w:tcBorders>
              <w:right w:val="single" w:color="auto" w:sz="4" w:space="0"/>
            </w:tcBorders>
            <w:vAlign w:val="center"/>
          </w:tcPr>
          <w:p w14:paraId="1620E110">
            <w:pPr>
              <w:keepNext/>
              <w:widowControl/>
              <w:numPr>
                <w:ilvl w:val="3"/>
                <w:numId w:val="12"/>
              </w:numPr>
              <w:autoSpaceDE w:val="0"/>
              <w:autoSpaceDN w:val="0"/>
              <w:adjustRightInd w:val="0"/>
              <w:ind w:right="206" w:rightChars="98"/>
              <w:jc w:val="center"/>
              <w:outlineLvl w:val="0"/>
              <w:rPr>
                <w:rFonts w:hint="eastAsia" w:ascii="宋体" w:hAnsi="宋体" w:eastAsia="宋体" w:cs="宋体"/>
                <w:kern w:val="0"/>
                <w:sz w:val="24"/>
                <w:szCs w:val="24"/>
              </w:rPr>
            </w:pPr>
            <w:bookmarkStart w:id="81" w:name="_Toc156556079"/>
            <w:bookmarkEnd w:id="81"/>
            <w:bookmarkStart w:id="82" w:name="_Toc155087347"/>
            <w:bookmarkEnd w:id="82"/>
            <w:bookmarkStart w:id="83" w:name="_Toc155087161"/>
            <w:bookmarkEnd w:id="83"/>
            <w:bookmarkStart w:id="84" w:name="_Toc155087423"/>
            <w:bookmarkEnd w:id="84"/>
          </w:p>
        </w:tc>
        <w:tc>
          <w:tcPr>
            <w:tcW w:w="857" w:type="dxa"/>
            <w:vMerge w:val="continue"/>
            <w:tcBorders>
              <w:left w:val="single" w:color="auto" w:sz="4" w:space="0"/>
            </w:tcBorders>
            <w:vAlign w:val="center"/>
          </w:tcPr>
          <w:p w14:paraId="0666CE6D">
            <w:pPr>
              <w:keepNext/>
              <w:widowControl/>
              <w:numPr>
                <w:ilvl w:val="3"/>
                <w:numId w:val="12"/>
              </w:numPr>
              <w:autoSpaceDE w:val="0"/>
              <w:autoSpaceDN w:val="0"/>
              <w:adjustRightInd w:val="0"/>
              <w:ind w:right="206" w:rightChars="98"/>
              <w:jc w:val="center"/>
              <w:outlineLvl w:val="0"/>
              <w:rPr>
                <w:rFonts w:hint="eastAsia" w:ascii="宋体" w:hAnsi="宋体" w:eastAsia="宋体" w:cs="宋体"/>
                <w:kern w:val="0"/>
                <w:sz w:val="24"/>
                <w:szCs w:val="24"/>
              </w:rPr>
            </w:pPr>
            <w:bookmarkStart w:id="85" w:name="_Toc155087424"/>
            <w:bookmarkEnd w:id="85"/>
            <w:bookmarkStart w:id="86" w:name="_Toc155087348"/>
            <w:bookmarkEnd w:id="86"/>
            <w:bookmarkStart w:id="87" w:name="_Toc156556080"/>
            <w:bookmarkEnd w:id="87"/>
            <w:bookmarkStart w:id="88" w:name="_Toc155087162"/>
            <w:bookmarkEnd w:id="88"/>
          </w:p>
        </w:tc>
        <w:tc>
          <w:tcPr>
            <w:tcW w:w="682" w:type="dxa"/>
            <w:vMerge w:val="continue"/>
            <w:tcBorders>
              <w:right w:val="single" w:color="auto" w:sz="4" w:space="0"/>
            </w:tcBorders>
            <w:vAlign w:val="center"/>
          </w:tcPr>
          <w:p w14:paraId="3109D423">
            <w:pPr>
              <w:jc w:val="center"/>
              <w:rPr>
                <w:rFonts w:hint="eastAsia" w:ascii="宋体" w:hAnsi="宋体" w:eastAsia="宋体" w:cs="宋体"/>
                <w:sz w:val="24"/>
                <w:szCs w:val="24"/>
              </w:rPr>
            </w:pPr>
          </w:p>
        </w:tc>
        <w:tc>
          <w:tcPr>
            <w:tcW w:w="2656" w:type="dxa"/>
            <w:tcBorders>
              <w:top w:val="single" w:color="auto" w:sz="4" w:space="0"/>
              <w:left w:val="single" w:color="auto" w:sz="4" w:space="0"/>
            </w:tcBorders>
            <w:vAlign w:val="center"/>
          </w:tcPr>
          <w:p w14:paraId="611C0074">
            <w:pPr>
              <w:jc w:val="center"/>
              <w:rPr>
                <w:rFonts w:hint="eastAsia" w:ascii="宋体" w:hAnsi="宋体" w:eastAsia="宋体" w:cs="宋体"/>
                <w:sz w:val="24"/>
                <w:szCs w:val="24"/>
              </w:rPr>
            </w:pPr>
            <w:r>
              <w:rPr>
                <w:rFonts w:hint="eastAsia" w:ascii="宋体" w:hAnsi="宋体" w:eastAsia="宋体" w:cs="宋体"/>
                <w:kern w:val="0"/>
                <w:sz w:val="24"/>
                <w:szCs w:val="24"/>
              </w:rPr>
              <w:t>直径ф10mm～ф20mm</w:t>
            </w:r>
          </w:p>
        </w:tc>
        <w:tc>
          <w:tcPr>
            <w:tcW w:w="2159" w:type="dxa"/>
            <w:tcBorders>
              <w:top w:val="single" w:color="auto" w:sz="4" w:space="0"/>
            </w:tcBorders>
            <w:vAlign w:val="center"/>
          </w:tcPr>
          <w:p w14:paraId="0A4A55C2">
            <w:pPr>
              <w:autoSpaceDE w:val="0"/>
              <w:autoSpaceDN w:val="0"/>
              <w:adjustRightInd w:val="0"/>
              <w:rPr>
                <w:rFonts w:hint="eastAsia" w:ascii="宋体" w:hAnsi="宋体" w:eastAsia="宋体" w:cs="宋体"/>
                <w:sz w:val="24"/>
                <w:szCs w:val="24"/>
              </w:rPr>
            </w:pPr>
            <w:r>
              <w:rPr>
                <w:rFonts w:hint="eastAsia" w:ascii="宋体" w:hAnsi="宋体" w:eastAsia="宋体" w:cs="宋体"/>
                <w:kern w:val="0"/>
                <w:sz w:val="24"/>
                <w:szCs w:val="24"/>
              </w:rPr>
              <w:t>每种规格按总数的2％提供备件</w:t>
            </w:r>
          </w:p>
        </w:tc>
        <w:tc>
          <w:tcPr>
            <w:tcW w:w="1660" w:type="dxa"/>
            <w:vAlign w:val="center"/>
          </w:tcPr>
          <w:p w14:paraId="60C8B15E">
            <w:pPr>
              <w:jc w:val="center"/>
              <w:rPr>
                <w:rFonts w:hint="eastAsia" w:ascii="宋体" w:hAnsi="宋体" w:eastAsia="宋体" w:cs="宋体"/>
                <w:sz w:val="24"/>
                <w:szCs w:val="24"/>
              </w:rPr>
            </w:pPr>
            <w:r>
              <w:rPr>
                <w:rFonts w:hint="eastAsia" w:ascii="宋体" w:hAnsi="宋体" w:eastAsia="宋体" w:cs="宋体"/>
                <w:kern w:val="0"/>
                <w:sz w:val="24"/>
                <w:szCs w:val="24"/>
              </w:rPr>
              <w:t>不少于3件</w:t>
            </w:r>
          </w:p>
        </w:tc>
      </w:tr>
      <w:tr w14:paraId="6A5E69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50" w:hRule="atLeast"/>
          <w:jc w:val="center"/>
        </w:trPr>
        <w:tc>
          <w:tcPr>
            <w:tcW w:w="844" w:type="dxa"/>
            <w:vMerge w:val="continue"/>
            <w:vAlign w:val="center"/>
          </w:tcPr>
          <w:p w14:paraId="2AE94541">
            <w:pPr>
              <w:jc w:val="center"/>
              <w:rPr>
                <w:rFonts w:hint="eastAsia" w:ascii="宋体" w:hAnsi="宋体" w:eastAsia="宋体" w:cs="宋体"/>
                <w:sz w:val="24"/>
                <w:szCs w:val="24"/>
              </w:rPr>
            </w:pPr>
          </w:p>
        </w:tc>
        <w:tc>
          <w:tcPr>
            <w:tcW w:w="780" w:type="dxa"/>
            <w:vMerge w:val="continue"/>
            <w:tcBorders>
              <w:right w:val="single" w:color="auto" w:sz="4" w:space="0"/>
            </w:tcBorders>
            <w:vAlign w:val="center"/>
          </w:tcPr>
          <w:p w14:paraId="5212AA8D">
            <w:pPr>
              <w:jc w:val="center"/>
              <w:rPr>
                <w:rFonts w:hint="eastAsia" w:ascii="宋体" w:hAnsi="宋体" w:eastAsia="宋体" w:cs="宋体"/>
                <w:sz w:val="24"/>
                <w:szCs w:val="24"/>
              </w:rPr>
            </w:pPr>
          </w:p>
        </w:tc>
        <w:tc>
          <w:tcPr>
            <w:tcW w:w="857" w:type="dxa"/>
            <w:vMerge w:val="continue"/>
            <w:tcBorders>
              <w:left w:val="single" w:color="auto" w:sz="4" w:space="0"/>
            </w:tcBorders>
            <w:vAlign w:val="center"/>
          </w:tcPr>
          <w:p w14:paraId="3125B831">
            <w:pPr>
              <w:jc w:val="center"/>
              <w:rPr>
                <w:rFonts w:hint="eastAsia" w:ascii="宋体" w:hAnsi="宋体" w:eastAsia="宋体" w:cs="宋体"/>
                <w:sz w:val="24"/>
                <w:szCs w:val="24"/>
              </w:rPr>
            </w:pPr>
          </w:p>
        </w:tc>
        <w:tc>
          <w:tcPr>
            <w:tcW w:w="3338" w:type="dxa"/>
            <w:gridSpan w:val="2"/>
            <w:vAlign w:val="center"/>
          </w:tcPr>
          <w:p w14:paraId="0F1808E5">
            <w:pPr>
              <w:jc w:val="center"/>
              <w:rPr>
                <w:rFonts w:hint="eastAsia" w:ascii="宋体" w:hAnsi="宋体" w:eastAsia="宋体" w:cs="宋体"/>
                <w:sz w:val="24"/>
                <w:szCs w:val="24"/>
              </w:rPr>
            </w:pPr>
            <w:r>
              <w:rPr>
                <w:rFonts w:hint="eastAsia" w:ascii="宋体" w:hAnsi="宋体" w:eastAsia="宋体" w:cs="宋体"/>
                <w:kern w:val="0"/>
                <w:sz w:val="24"/>
                <w:szCs w:val="24"/>
              </w:rPr>
              <w:t>非标准的冲孔凹模镶块</w:t>
            </w:r>
          </w:p>
        </w:tc>
        <w:tc>
          <w:tcPr>
            <w:tcW w:w="2159" w:type="dxa"/>
            <w:vAlign w:val="center"/>
          </w:tcPr>
          <w:p w14:paraId="2819EB8C">
            <w:pPr>
              <w:autoSpaceDE w:val="0"/>
              <w:autoSpaceDN w:val="0"/>
              <w:adjustRightInd w:val="0"/>
              <w:rPr>
                <w:rFonts w:hint="eastAsia" w:ascii="宋体" w:hAnsi="宋体" w:eastAsia="宋体" w:cs="宋体"/>
                <w:sz w:val="24"/>
                <w:szCs w:val="24"/>
              </w:rPr>
            </w:pPr>
            <w:r>
              <w:rPr>
                <w:rFonts w:hint="eastAsia" w:ascii="宋体" w:hAnsi="宋体" w:eastAsia="宋体" w:cs="宋体"/>
                <w:kern w:val="0"/>
                <w:sz w:val="24"/>
                <w:szCs w:val="24"/>
              </w:rPr>
              <w:t>按总数的100％提供备件</w:t>
            </w:r>
          </w:p>
        </w:tc>
        <w:tc>
          <w:tcPr>
            <w:tcW w:w="1660" w:type="dxa"/>
            <w:vAlign w:val="center"/>
          </w:tcPr>
          <w:p w14:paraId="056E0FBD">
            <w:pPr>
              <w:jc w:val="center"/>
              <w:rPr>
                <w:rFonts w:hint="eastAsia" w:ascii="宋体" w:hAnsi="宋体" w:eastAsia="宋体" w:cs="宋体"/>
                <w:sz w:val="24"/>
                <w:szCs w:val="24"/>
              </w:rPr>
            </w:pPr>
          </w:p>
        </w:tc>
      </w:tr>
      <w:tr w14:paraId="617176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50" w:hRule="atLeast"/>
          <w:jc w:val="center"/>
        </w:trPr>
        <w:tc>
          <w:tcPr>
            <w:tcW w:w="844" w:type="dxa"/>
            <w:vMerge w:val="continue"/>
            <w:vAlign w:val="center"/>
          </w:tcPr>
          <w:p w14:paraId="430CBFE6">
            <w:pPr>
              <w:jc w:val="center"/>
              <w:rPr>
                <w:rFonts w:hint="eastAsia" w:ascii="宋体" w:hAnsi="宋体" w:eastAsia="宋体" w:cs="宋体"/>
                <w:sz w:val="24"/>
                <w:szCs w:val="24"/>
              </w:rPr>
            </w:pPr>
          </w:p>
        </w:tc>
        <w:tc>
          <w:tcPr>
            <w:tcW w:w="780" w:type="dxa"/>
            <w:vMerge w:val="continue"/>
            <w:tcBorders>
              <w:right w:val="single" w:color="auto" w:sz="4" w:space="0"/>
            </w:tcBorders>
            <w:vAlign w:val="center"/>
          </w:tcPr>
          <w:p w14:paraId="5B2AB4C4">
            <w:pPr>
              <w:jc w:val="center"/>
              <w:rPr>
                <w:rFonts w:hint="eastAsia" w:ascii="宋体" w:hAnsi="宋体" w:eastAsia="宋体" w:cs="宋体"/>
                <w:sz w:val="24"/>
                <w:szCs w:val="24"/>
              </w:rPr>
            </w:pPr>
          </w:p>
        </w:tc>
        <w:tc>
          <w:tcPr>
            <w:tcW w:w="857" w:type="dxa"/>
            <w:vMerge w:val="restart"/>
            <w:tcBorders>
              <w:left w:val="single" w:color="auto" w:sz="4" w:space="0"/>
            </w:tcBorders>
            <w:vAlign w:val="center"/>
          </w:tcPr>
          <w:p w14:paraId="1065B7B8">
            <w:pPr>
              <w:jc w:val="center"/>
              <w:rPr>
                <w:rFonts w:hint="eastAsia" w:ascii="宋体" w:hAnsi="宋体" w:eastAsia="宋体" w:cs="宋体"/>
                <w:sz w:val="24"/>
                <w:szCs w:val="24"/>
              </w:rPr>
            </w:pPr>
            <w:r>
              <w:rPr>
                <w:rFonts w:hint="eastAsia" w:ascii="宋体" w:hAnsi="宋体" w:eastAsia="宋体" w:cs="宋体"/>
                <w:sz w:val="24"/>
                <w:szCs w:val="24"/>
              </w:rPr>
              <w:t>异形孔</w:t>
            </w:r>
          </w:p>
        </w:tc>
        <w:tc>
          <w:tcPr>
            <w:tcW w:w="682" w:type="dxa"/>
            <w:vMerge w:val="restart"/>
            <w:tcBorders>
              <w:right w:val="single" w:color="auto" w:sz="4" w:space="0"/>
            </w:tcBorders>
            <w:vAlign w:val="center"/>
          </w:tcPr>
          <w:p w14:paraId="2945D2A1">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标准件</w:t>
            </w:r>
          </w:p>
        </w:tc>
        <w:tc>
          <w:tcPr>
            <w:tcW w:w="2656" w:type="dxa"/>
            <w:tcBorders>
              <w:left w:val="single" w:color="auto" w:sz="4" w:space="0"/>
              <w:bottom w:val="single" w:color="auto" w:sz="4" w:space="0"/>
            </w:tcBorders>
            <w:vAlign w:val="center"/>
          </w:tcPr>
          <w:p w14:paraId="76AE3A95">
            <w:pPr>
              <w:autoSpaceDE w:val="0"/>
              <w:autoSpaceDN w:val="0"/>
              <w:adjustRightInd w:val="0"/>
              <w:jc w:val="center"/>
              <w:rPr>
                <w:rFonts w:hint="eastAsia" w:ascii="宋体" w:hAnsi="宋体" w:eastAsia="宋体" w:cs="宋体"/>
                <w:kern w:val="0"/>
                <w:sz w:val="24"/>
                <w:szCs w:val="24"/>
              </w:rPr>
            </w:pPr>
            <w:r>
              <w:rPr>
                <w:rFonts w:hint="eastAsia" w:ascii="宋体" w:hAnsi="宋体" w:eastAsia="宋体" w:cs="宋体"/>
                <w:kern w:val="0"/>
                <w:sz w:val="24"/>
                <w:szCs w:val="24"/>
              </w:rPr>
              <w:t>长边尺寸小于12mm</w:t>
            </w:r>
          </w:p>
        </w:tc>
        <w:tc>
          <w:tcPr>
            <w:tcW w:w="2159" w:type="dxa"/>
            <w:tcBorders>
              <w:bottom w:val="single" w:color="auto" w:sz="4" w:space="0"/>
            </w:tcBorders>
            <w:vAlign w:val="center"/>
          </w:tcPr>
          <w:p w14:paraId="150A6D01">
            <w:pPr>
              <w:rPr>
                <w:rFonts w:hint="eastAsia" w:ascii="宋体" w:hAnsi="宋体" w:eastAsia="宋体" w:cs="宋体"/>
                <w:sz w:val="24"/>
                <w:szCs w:val="24"/>
              </w:rPr>
            </w:pPr>
            <w:r>
              <w:rPr>
                <w:rFonts w:hint="eastAsia" w:ascii="宋体" w:hAnsi="宋体" w:eastAsia="宋体" w:cs="宋体"/>
                <w:kern w:val="0"/>
                <w:sz w:val="24"/>
                <w:szCs w:val="24"/>
              </w:rPr>
              <w:t>每种规格按总数的3％提供备件</w:t>
            </w:r>
          </w:p>
        </w:tc>
        <w:tc>
          <w:tcPr>
            <w:tcW w:w="1660" w:type="dxa"/>
            <w:vAlign w:val="center"/>
          </w:tcPr>
          <w:p w14:paraId="4C04710A">
            <w:pPr>
              <w:jc w:val="center"/>
              <w:rPr>
                <w:rFonts w:hint="eastAsia" w:ascii="宋体" w:hAnsi="宋体" w:eastAsia="宋体" w:cs="宋体"/>
                <w:sz w:val="24"/>
                <w:szCs w:val="24"/>
              </w:rPr>
            </w:pPr>
            <w:r>
              <w:rPr>
                <w:rFonts w:hint="eastAsia" w:ascii="宋体" w:hAnsi="宋体" w:eastAsia="宋体" w:cs="宋体"/>
                <w:kern w:val="0"/>
                <w:sz w:val="24"/>
                <w:szCs w:val="24"/>
              </w:rPr>
              <w:t>不少于5件</w:t>
            </w:r>
          </w:p>
        </w:tc>
      </w:tr>
      <w:tr w14:paraId="035BE4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50" w:hRule="atLeast"/>
          <w:jc w:val="center"/>
        </w:trPr>
        <w:tc>
          <w:tcPr>
            <w:tcW w:w="844" w:type="dxa"/>
            <w:vMerge w:val="continue"/>
            <w:vAlign w:val="center"/>
          </w:tcPr>
          <w:p w14:paraId="58EA854E">
            <w:pPr>
              <w:jc w:val="center"/>
              <w:rPr>
                <w:rFonts w:hint="eastAsia" w:ascii="宋体" w:hAnsi="宋体" w:eastAsia="宋体" w:cs="宋体"/>
                <w:sz w:val="24"/>
                <w:szCs w:val="24"/>
              </w:rPr>
            </w:pPr>
          </w:p>
        </w:tc>
        <w:tc>
          <w:tcPr>
            <w:tcW w:w="780" w:type="dxa"/>
            <w:vMerge w:val="continue"/>
            <w:tcBorders>
              <w:right w:val="single" w:color="auto" w:sz="4" w:space="0"/>
            </w:tcBorders>
            <w:vAlign w:val="center"/>
          </w:tcPr>
          <w:p w14:paraId="3808ECEF">
            <w:pPr>
              <w:jc w:val="center"/>
              <w:rPr>
                <w:rFonts w:hint="eastAsia" w:ascii="宋体" w:hAnsi="宋体" w:eastAsia="宋体" w:cs="宋体"/>
                <w:sz w:val="24"/>
                <w:szCs w:val="24"/>
              </w:rPr>
            </w:pPr>
          </w:p>
        </w:tc>
        <w:tc>
          <w:tcPr>
            <w:tcW w:w="857" w:type="dxa"/>
            <w:vMerge w:val="continue"/>
            <w:tcBorders>
              <w:left w:val="single" w:color="auto" w:sz="4" w:space="0"/>
            </w:tcBorders>
            <w:vAlign w:val="center"/>
          </w:tcPr>
          <w:p w14:paraId="4976605E">
            <w:pPr>
              <w:jc w:val="center"/>
              <w:rPr>
                <w:rFonts w:hint="eastAsia" w:ascii="宋体" w:hAnsi="宋体" w:eastAsia="宋体" w:cs="宋体"/>
                <w:sz w:val="24"/>
                <w:szCs w:val="24"/>
              </w:rPr>
            </w:pPr>
          </w:p>
        </w:tc>
        <w:tc>
          <w:tcPr>
            <w:tcW w:w="682" w:type="dxa"/>
            <w:vMerge w:val="continue"/>
            <w:tcBorders>
              <w:right w:val="single" w:color="auto" w:sz="4" w:space="0"/>
            </w:tcBorders>
            <w:vAlign w:val="center"/>
          </w:tcPr>
          <w:p w14:paraId="5D5BE44B">
            <w:pPr>
              <w:jc w:val="center"/>
              <w:rPr>
                <w:rFonts w:hint="eastAsia" w:ascii="宋体" w:hAnsi="宋体" w:eastAsia="宋体" w:cs="宋体"/>
                <w:sz w:val="24"/>
                <w:szCs w:val="24"/>
              </w:rPr>
            </w:pPr>
          </w:p>
        </w:tc>
        <w:tc>
          <w:tcPr>
            <w:tcW w:w="2656" w:type="dxa"/>
            <w:tcBorders>
              <w:top w:val="single" w:color="auto" w:sz="4" w:space="0"/>
              <w:left w:val="single" w:color="auto" w:sz="4" w:space="0"/>
            </w:tcBorders>
            <w:vAlign w:val="center"/>
          </w:tcPr>
          <w:p w14:paraId="2951EB89">
            <w:pPr>
              <w:jc w:val="center"/>
              <w:rPr>
                <w:rFonts w:hint="eastAsia" w:ascii="宋体" w:hAnsi="宋体" w:eastAsia="宋体" w:cs="宋体"/>
                <w:sz w:val="24"/>
                <w:szCs w:val="24"/>
              </w:rPr>
            </w:pPr>
            <w:r>
              <w:rPr>
                <w:rFonts w:hint="eastAsia" w:ascii="宋体" w:hAnsi="宋体" w:eastAsia="宋体" w:cs="宋体"/>
                <w:kern w:val="0"/>
                <w:sz w:val="24"/>
                <w:szCs w:val="24"/>
              </w:rPr>
              <w:t>长边尺寸12～24mm</w:t>
            </w:r>
          </w:p>
        </w:tc>
        <w:tc>
          <w:tcPr>
            <w:tcW w:w="2159" w:type="dxa"/>
            <w:tcBorders>
              <w:top w:val="single" w:color="auto" w:sz="4" w:space="0"/>
            </w:tcBorders>
            <w:vAlign w:val="center"/>
          </w:tcPr>
          <w:p w14:paraId="46C5BBE3">
            <w:pPr>
              <w:rPr>
                <w:rFonts w:hint="eastAsia" w:ascii="宋体" w:hAnsi="宋体" w:eastAsia="宋体" w:cs="宋体"/>
                <w:sz w:val="24"/>
                <w:szCs w:val="24"/>
              </w:rPr>
            </w:pPr>
            <w:r>
              <w:rPr>
                <w:rFonts w:hint="eastAsia" w:ascii="宋体" w:hAnsi="宋体" w:eastAsia="宋体" w:cs="宋体"/>
                <w:kern w:val="0"/>
                <w:sz w:val="24"/>
                <w:szCs w:val="24"/>
              </w:rPr>
              <w:t>每种规格按总数的2％提供备件</w:t>
            </w:r>
          </w:p>
        </w:tc>
        <w:tc>
          <w:tcPr>
            <w:tcW w:w="1660" w:type="dxa"/>
            <w:vAlign w:val="center"/>
          </w:tcPr>
          <w:p w14:paraId="2AC5DA7E">
            <w:pPr>
              <w:jc w:val="center"/>
              <w:rPr>
                <w:rFonts w:hint="eastAsia" w:ascii="宋体" w:hAnsi="宋体" w:eastAsia="宋体" w:cs="宋体"/>
                <w:sz w:val="24"/>
                <w:szCs w:val="24"/>
              </w:rPr>
            </w:pPr>
            <w:r>
              <w:rPr>
                <w:rFonts w:hint="eastAsia" w:ascii="宋体" w:hAnsi="宋体" w:eastAsia="宋体" w:cs="宋体"/>
                <w:kern w:val="0"/>
                <w:sz w:val="24"/>
                <w:szCs w:val="24"/>
              </w:rPr>
              <w:t>不少于3件</w:t>
            </w:r>
          </w:p>
        </w:tc>
      </w:tr>
      <w:tr w14:paraId="4BA6AE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50" w:hRule="atLeast"/>
          <w:jc w:val="center"/>
        </w:trPr>
        <w:tc>
          <w:tcPr>
            <w:tcW w:w="844" w:type="dxa"/>
            <w:vMerge w:val="continue"/>
            <w:vAlign w:val="center"/>
          </w:tcPr>
          <w:p w14:paraId="775021DF">
            <w:pPr>
              <w:jc w:val="center"/>
              <w:rPr>
                <w:rFonts w:hint="eastAsia" w:ascii="宋体" w:hAnsi="宋体" w:eastAsia="宋体" w:cs="宋体"/>
                <w:sz w:val="24"/>
                <w:szCs w:val="24"/>
              </w:rPr>
            </w:pPr>
          </w:p>
        </w:tc>
        <w:tc>
          <w:tcPr>
            <w:tcW w:w="780" w:type="dxa"/>
            <w:vMerge w:val="continue"/>
            <w:tcBorders>
              <w:right w:val="single" w:color="auto" w:sz="4" w:space="0"/>
            </w:tcBorders>
            <w:vAlign w:val="center"/>
          </w:tcPr>
          <w:p w14:paraId="583051CF">
            <w:pPr>
              <w:jc w:val="center"/>
              <w:rPr>
                <w:rFonts w:hint="eastAsia" w:ascii="宋体" w:hAnsi="宋体" w:eastAsia="宋体" w:cs="宋体"/>
                <w:sz w:val="24"/>
                <w:szCs w:val="24"/>
              </w:rPr>
            </w:pPr>
          </w:p>
        </w:tc>
        <w:tc>
          <w:tcPr>
            <w:tcW w:w="857" w:type="dxa"/>
            <w:vMerge w:val="continue"/>
            <w:tcBorders>
              <w:left w:val="single" w:color="auto" w:sz="4" w:space="0"/>
            </w:tcBorders>
            <w:vAlign w:val="center"/>
          </w:tcPr>
          <w:p w14:paraId="50BF5E52">
            <w:pPr>
              <w:jc w:val="center"/>
              <w:rPr>
                <w:rFonts w:hint="eastAsia" w:ascii="宋体" w:hAnsi="宋体" w:eastAsia="宋体" w:cs="宋体"/>
                <w:sz w:val="24"/>
                <w:szCs w:val="24"/>
              </w:rPr>
            </w:pPr>
          </w:p>
        </w:tc>
        <w:tc>
          <w:tcPr>
            <w:tcW w:w="3338" w:type="dxa"/>
            <w:gridSpan w:val="2"/>
            <w:vAlign w:val="center"/>
          </w:tcPr>
          <w:p w14:paraId="58924DBF">
            <w:pPr>
              <w:jc w:val="center"/>
              <w:rPr>
                <w:rFonts w:hint="eastAsia" w:ascii="宋体" w:hAnsi="宋体" w:eastAsia="宋体" w:cs="宋体"/>
                <w:sz w:val="24"/>
                <w:szCs w:val="24"/>
              </w:rPr>
            </w:pPr>
            <w:r>
              <w:rPr>
                <w:rFonts w:hint="eastAsia" w:ascii="宋体" w:hAnsi="宋体" w:eastAsia="宋体" w:cs="宋体"/>
                <w:kern w:val="0"/>
                <w:sz w:val="24"/>
                <w:szCs w:val="24"/>
              </w:rPr>
              <w:t>非标准的冲孔凹模镶块</w:t>
            </w:r>
          </w:p>
        </w:tc>
        <w:tc>
          <w:tcPr>
            <w:tcW w:w="2159" w:type="dxa"/>
          </w:tcPr>
          <w:p w14:paraId="7FBD900B">
            <w:pPr>
              <w:autoSpaceDE w:val="0"/>
              <w:autoSpaceDN w:val="0"/>
              <w:adjustRightInd w:val="0"/>
              <w:rPr>
                <w:rFonts w:hint="eastAsia" w:ascii="宋体" w:hAnsi="宋体" w:eastAsia="宋体" w:cs="宋体"/>
                <w:kern w:val="0"/>
                <w:sz w:val="24"/>
                <w:szCs w:val="24"/>
              </w:rPr>
            </w:pPr>
            <w:r>
              <w:rPr>
                <w:rFonts w:hint="eastAsia" w:ascii="宋体" w:hAnsi="宋体" w:eastAsia="宋体" w:cs="宋体"/>
                <w:kern w:val="0"/>
                <w:sz w:val="24"/>
                <w:szCs w:val="24"/>
              </w:rPr>
              <w:t>按总数的100％提供备件</w:t>
            </w:r>
          </w:p>
        </w:tc>
        <w:tc>
          <w:tcPr>
            <w:tcW w:w="1660" w:type="dxa"/>
            <w:vAlign w:val="center"/>
          </w:tcPr>
          <w:p w14:paraId="264BF946">
            <w:pPr>
              <w:jc w:val="center"/>
              <w:rPr>
                <w:rFonts w:hint="eastAsia" w:ascii="宋体" w:hAnsi="宋体" w:eastAsia="宋体" w:cs="宋体"/>
                <w:sz w:val="24"/>
                <w:szCs w:val="24"/>
              </w:rPr>
            </w:pPr>
          </w:p>
        </w:tc>
      </w:tr>
      <w:tr w14:paraId="7C870D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78" w:hRule="atLeast"/>
          <w:jc w:val="center"/>
        </w:trPr>
        <w:tc>
          <w:tcPr>
            <w:tcW w:w="9638" w:type="dxa"/>
            <w:gridSpan w:val="7"/>
            <w:vAlign w:val="center"/>
          </w:tcPr>
          <w:p w14:paraId="5490776F">
            <w:pPr>
              <w:rPr>
                <w:rFonts w:hint="eastAsia" w:ascii="宋体" w:hAnsi="宋体" w:eastAsia="宋体" w:cs="宋体"/>
                <w:sz w:val="24"/>
                <w:szCs w:val="24"/>
              </w:rPr>
            </w:pPr>
            <w:r>
              <w:rPr>
                <w:rFonts w:hint="eastAsia" w:ascii="宋体" w:hAnsi="宋体" w:eastAsia="宋体" w:cs="宋体"/>
                <w:sz w:val="24"/>
                <w:szCs w:val="24"/>
              </w:rPr>
              <w:t>备注：</w:t>
            </w:r>
          </w:p>
          <w:p w14:paraId="4542BAE9">
            <w:pPr>
              <w:rPr>
                <w:rFonts w:hint="eastAsia" w:ascii="宋体" w:hAnsi="宋体" w:eastAsia="宋体" w:cs="宋体"/>
                <w:sz w:val="24"/>
                <w:szCs w:val="24"/>
              </w:rPr>
            </w:pPr>
            <w:r>
              <w:rPr>
                <w:rFonts w:hint="eastAsia" w:ascii="宋体" w:hAnsi="宋体" w:eastAsia="宋体" w:cs="宋体"/>
                <w:sz w:val="24"/>
                <w:szCs w:val="24"/>
              </w:rPr>
              <w:t xml:space="preserve">  1）备件上应有标准、规格、型号标识，并按规格分类包装，包装袋外侧应有备件明细。</w:t>
            </w:r>
          </w:p>
          <w:p w14:paraId="2C095177">
            <w:pPr>
              <w:rPr>
                <w:rFonts w:hint="eastAsia" w:ascii="宋体" w:hAnsi="宋体" w:eastAsia="宋体" w:cs="宋体"/>
                <w:sz w:val="24"/>
                <w:szCs w:val="24"/>
              </w:rPr>
            </w:pPr>
            <w:r>
              <w:rPr>
                <w:rFonts w:hint="eastAsia" w:ascii="宋体" w:hAnsi="宋体" w:eastAsia="宋体" w:cs="宋体"/>
                <w:sz w:val="24"/>
                <w:szCs w:val="24"/>
              </w:rPr>
              <w:t xml:space="preserve">  2）易损备件随模具一起交货。</w:t>
            </w:r>
          </w:p>
        </w:tc>
      </w:tr>
    </w:tbl>
    <w:p w14:paraId="39593A26">
      <w:pPr>
        <w:spacing w:line="360" w:lineRule="auto"/>
        <w:ind w:firstLine="480" w:firstLineChars="200"/>
        <w:rPr>
          <w:rFonts w:ascii="Times New Roman" w:hAnsi="Times New Roman" w:eastAsia="宋体" w:cs="Times New Roman"/>
          <w:bCs/>
          <w:sz w:val="24"/>
          <w:szCs w:val="24"/>
        </w:rPr>
      </w:pPr>
      <w:bookmarkStart w:id="89" w:name="_Toc156556081"/>
      <w:bookmarkStart w:id="90" w:name="_Toc155087163"/>
      <w:r>
        <w:rPr>
          <w:rFonts w:hint="eastAsia" w:ascii="Times New Roman" w:hAnsi="Times New Roman" w:eastAsia="宋体" w:cs="Times New Roman"/>
          <w:bCs/>
          <w:sz w:val="24"/>
          <w:szCs w:val="24"/>
        </w:rPr>
        <w:t>检具：</w:t>
      </w:r>
    </w:p>
    <w:tbl>
      <w:tblPr>
        <w:tblStyle w:val="41"/>
        <w:tblW w:w="9709"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817"/>
        <w:gridCol w:w="1947"/>
        <w:gridCol w:w="1975"/>
        <w:gridCol w:w="3186"/>
        <w:gridCol w:w="1784"/>
      </w:tblGrid>
      <w:tr w14:paraId="3B703D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0" w:hRule="atLeast"/>
          <w:jc w:val="center"/>
        </w:trPr>
        <w:tc>
          <w:tcPr>
            <w:tcW w:w="817" w:type="dxa"/>
            <w:vAlign w:val="center"/>
          </w:tcPr>
          <w:p w14:paraId="584A9BB8">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序号</w:t>
            </w:r>
          </w:p>
        </w:tc>
        <w:tc>
          <w:tcPr>
            <w:tcW w:w="3922" w:type="dxa"/>
            <w:gridSpan w:val="2"/>
            <w:vAlign w:val="center"/>
          </w:tcPr>
          <w:p w14:paraId="4144CD4B">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品种及规格</w:t>
            </w:r>
          </w:p>
        </w:tc>
        <w:tc>
          <w:tcPr>
            <w:tcW w:w="3186" w:type="dxa"/>
            <w:vAlign w:val="center"/>
          </w:tcPr>
          <w:p w14:paraId="07847BDC">
            <w:pPr>
              <w:autoSpaceDE w:val="0"/>
              <w:autoSpaceDN w:val="0"/>
              <w:adjustRightInd w:val="0"/>
              <w:spacing w:line="360" w:lineRule="exact"/>
              <w:jc w:val="center"/>
              <w:rPr>
                <w:rFonts w:hint="eastAsia" w:ascii="宋体" w:hAnsi="宋体" w:eastAsia="宋体" w:cs="宋体"/>
                <w:kern w:val="0"/>
                <w:sz w:val="24"/>
              </w:rPr>
            </w:pPr>
            <w:r>
              <w:rPr>
                <w:rFonts w:hint="eastAsia" w:ascii="宋体" w:hAnsi="宋体" w:eastAsia="宋体" w:cs="宋体"/>
                <w:kern w:val="0"/>
                <w:sz w:val="24"/>
                <w:szCs w:val="24"/>
              </w:rPr>
              <w:t>备件数量</w:t>
            </w:r>
          </w:p>
        </w:tc>
        <w:tc>
          <w:tcPr>
            <w:tcW w:w="1784" w:type="dxa"/>
          </w:tcPr>
          <w:p w14:paraId="00905096">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备注</w:t>
            </w:r>
          </w:p>
        </w:tc>
      </w:tr>
      <w:tr w14:paraId="07C84C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17" w:type="dxa"/>
            <w:vAlign w:val="center"/>
          </w:tcPr>
          <w:p w14:paraId="5BFAA548">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1</w:t>
            </w:r>
          </w:p>
        </w:tc>
        <w:tc>
          <w:tcPr>
            <w:tcW w:w="1947" w:type="dxa"/>
            <w:vAlign w:val="center"/>
          </w:tcPr>
          <w:p w14:paraId="39A3B07F">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游标卡尺、间隙尺、面差尺</w:t>
            </w:r>
          </w:p>
        </w:tc>
        <w:tc>
          <w:tcPr>
            <w:tcW w:w="1975" w:type="dxa"/>
            <w:vAlign w:val="center"/>
          </w:tcPr>
          <w:p w14:paraId="57B6BCD8">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w:t>
            </w:r>
          </w:p>
        </w:tc>
        <w:tc>
          <w:tcPr>
            <w:tcW w:w="3186" w:type="dxa"/>
            <w:vAlign w:val="center"/>
          </w:tcPr>
          <w:p w14:paraId="187799F7">
            <w:pPr>
              <w:autoSpaceDE w:val="0"/>
              <w:autoSpaceDN w:val="0"/>
              <w:adjustRightInd w:val="0"/>
              <w:spacing w:line="360" w:lineRule="exact"/>
              <w:jc w:val="left"/>
              <w:rPr>
                <w:rFonts w:hint="eastAsia" w:ascii="宋体" w:hAnsi="宋体" w:eastAsia="宋体" w:cs="宋体"/>
                <w:kern w:val="0"/>
                <w:sz w:val="24"/>
                <w:szCs w:val="24"/>
              </w:rPr>
            </w:pPr>
            <w:r>
              <w:rPr>
                <w:rFonts w:hint="eastAsia" w:ascii="宋体" w:hAnsi="宋体" w:eastAsia="宋体" w:cs="宋体"/>
                <w:kern w:val="0"/>
                <w:sz w:val="24"/>
                <w:szCs w:val="24"/>
              </w:rPr>
              <w:t>每套检具配一套工具</w:t>
            </w:r>
          </w:p>
        </w:tc>
        <w:tc>
          <w:tcPr>
            <w:tcW w:w="1784" w:type="dxa"/>
            <w:vAlign w:val="center"/>
          </w:tcPr>
          <w:p w14:paraId="3F5A56FF">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按单套检具提供备件</w:t>
            </w:r>
          </w:p>
        </w:tc>
      </w:tr>
      <w:tr w14:paraId="3A2E19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17" w:type="dxa"/>
            <w:vAlign w:val="center"/>
          </w:tcPr>
          <w:p w14:paraId="2A2413BF">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2</w:t>
            </w:r>
          </w:p>
        </w:tc>
        <w:tc>
          <w:tcPr>
            <w:tcW w:w="1947" w:type="dxa"/>
            <w:vAlign w:val="center"/>
          </w:tcPr>
          <w:p w14:paraId="45163DD5">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面差、修边止通规</w:t>
            </w:r>
          </w:p>
        </w:tc>
        <w:tc>
          <w:tcPr>
            <w:tcW w:w="1975" w:type="dxa"/>
            <w:vAlign w:val="center"/>
          </w:tcPr>
          <w:p w14:paraId="014EFE1B">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w:t>
            </w:r>
          </w:p>
        </w:tc>
        <w:tc>
          <w:tcPr>
            <w:tcW w:w="3186" w:type="dxa"/>
            <w:vAlign w:val="center"/>
          </w:tcPr>
          <w:p w14:paraId="4E771099">
            <w:pPr>
              <w:autoSpaceDE w:val="0"/>
              <w:autoSpaceDN w:val="0"/>
              <w:adjustRightInd w:val="0"/>
              <w:spacing w:line="360" w:lineRule="exact"/>
              <w:jc w:val="left"/>
              <w:rPr>
                <w:rFonts w:hint="eastAsia" w:ascii="宋体" w:hAnsi="宋体" w:eastAsia="宋体" w:cs="宋体"/>
                <w:kern w:val="0"/>
                <w:sz w:val="24"/>
                <w:szCs w:val="24"/>
              </w:rPr>
            </w:pPr>
            <w:r>
              <w:rPr>
                <w:rFonts w:hint="eastAsia" w:ascii="宋体" w:hAnsi="宋体" w:eastAsia="宋体" w:cs="宋体"/>
                <w:kern w:val="0"/>
                <w:sz w:val="24"/>
                <w:szCs w:val="24"/>
              </w:rPr>
              <w:t>每套检具各一件</w:t>
            </w:r>
          </w:p>
        </w:tc>
        <w:tc>
          <w:tcPr>
            <w:tcW w:w="1784" w:type="dxa"/>
            <w:vAlign w:val="center"/>
          </w:tcPr>
          <w:p w14:paraId="48C49FAA">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按单套检具提供备件</w:t>
            </w:r>
          </w:p>
        </w:tc>
      </w:tr>
      <w:tr w14:paraId="4EEE12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17" w:type="dxa"/>
            <w:vAlign w:val="center"/>
          </w:tcPr>
          <w:p w14:paraId="158778DC">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3</w:t>
            </w:r>
          </w:p>
        </w:tc>
        <w:tc>
          <w:tcPr>
            <w:tcW w:w="1947" w:type="dxa"/>
            <w:vAlign w:val="center"/>
          </w:tcPr>
          <w:p w14:paraId="0934504A">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快速夹头</w:t>
            </w:r>
          </w:p>
        </w:tc>
        <w:tc>
          <w:tcPr>
            <w:tcW w:w="1975" w:type="dxa"/>
            <w:vAlign w:val="center"/>
          </w:tcPr>
          <w:p w14:paraId="36F8DB7C">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w:t>
            </w:r>
          </w:p>
        </w:tc>
        <w:tc>
          <w:tcPr>
            <w:tcW w:w="3186" w:type="dxa"/>
            <w:vAlign w:val="center"/>
          </w:tcPr>
          <w:p w14:paraId="0408EB28">
            <w:pPr>
              <w:autoSpaceDE w:val="0"/>
              <w:autoSpaceDN w:val="0"/>
              <w:adjustRightInd w:val="0"/>
              <w:spacing w:line="360" w:lineRule="exact"/>
              <w:jc w:val="left"/>
              <w:rPr>
                <w:rFonts w:hint="eastAsia" w:ascii="宋体" w:hAnsi="宋体" w:eastAsia="宋体" w:cs="宋体"/>
                <w:kern w:val="0"/>
                <w:sz w:val="24"/>
                <w:szCs w:val="24"/>
              </w:rPr>
            </w:pPr>
            <w:r>
              <w:rPr>
                <w:rFonts w:hint="eastAsia" w:ascii="宋体" w:hAnsi="宋体" w:eastAsia="宋体" w:cs="宋体"/>
                <w:kern w:val="0"/>
                <w:sz w:val="24"/>
                <w:szCs w:val="24"/>
              </w:rPr>
              <w:t>每套检具每种规格不少于20%</w:t>
            </w:r>
          </w:p>
        </w:tc>
        <w:tc>
          <w:tcPr>
            <w:tcW w:w="1784" w:type="dxa"/>
            <w:vAlign w:val="center"/>
          </w:tcPr>
          <w:p w14:paraId="65321F77">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按单套检具提供备件，每种规格总数不少于2件</w:t>
            </w:r>
          </w:p>
        </w:tc>
      </w:tr>
      <w:tr w14:paraId="041C8E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817" w:type="dxa"/>
            <w:vAlign w:val="center"/>
          </w:tcPr>
          <w:p w14:paraId="1E463658">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4</w:t>
            </w:r>
          </w:p>
        </w:tc>
        <w:tc>
          <w:tcPr>
            <w:tcW w:w="1947" w:type="dxa"/>
            <w:vAlign w:val="center"/>
          </w:tcPr>
          <w:p w14:paraId="069F97C7">
            <w:pPr>
              <w:autoSpaceDE w:val="0"/>
              <w:autoSpaceDN w:val="0"/>
              <w:adjustRightInd w:val="0"/>
              <w:spacing w:line="360" w:lineRule="exact"/>
              <w:rPr>
                <w:rFonts w:hint="eastAsia" w:ascii="宋体" w:hAnsi="宋体" w:eastAsia="宋体" w:cs="宋体"/>
                <w:kern w:val="0"/>
                <w:sz w:val="24"/>
                <w:szCs w:val="24"/>
              </w:rPr>
            </w:pPr>
            <w:r>
              <w:rPr>
                <w:rFonts w:hint="eastAsia" w:ascii="宋体" w:hAnsi="宋体" w:eastAsia="宋体" w:cs="宋体"/>
                <w:kern w:val="0"/>
                <w:sz w:val="24"/>
                <w:szCs w:val="24"/>
              </w:rPr>
              <w:t>检测销、划线销等各种销类</w:t>
            </w:r>
          </w:p>
        </w:tc>
        <w:tc>
          <w:tcPr>
            <w:tcW w:w="1975" w:type="dxa"/>
            <w:vAlign w:val="center"/>
          </w:tcPr>
          <w:p w14:paraId="338E5D8C">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w:t>
            </w:r>
          </w:p>
        </w:tc>
        <w:tc>
          <w:tcPr>
            <w:tcW w:w="3186" w:type="dxa"/>
            <w:vAlign w:val="center"/>
          </w:tcPr>
          <w:p w14:paraId="77A79CCC">
            <w:pPr>
              <w:autoSpaceDE w:val="0"/>
              <w:autoSpaceDN w:val="0"/>
              <w:adjustRightInd w:val="0"/>
              <w:spacing w:line="360" w:lineRule="exact"/>
              <w:jc w:val="left"/>
              <w:rPr>
                <w:rFonts w:hint="eastAsia" w:ascii="宋体" w:hAnsi="宋体" w:eastAsia="宋体" w:cs="宋体"/>
                <w:kern w:val="0"/>
                <w:sz w:val="24"/>
                <w:szCs w:val="24"/>
              </w:rPr>
            </w:pPr>
            <w:r>
              <w:rPr>
                <w:rFonts w:hint="eastAsia" w:ascii="宋体" w:hAnsi="宋体" w:eastAsia="宋体" w:cs="宋体"/>
                <w:kern w:val="0"/>
                <w:sz w:val="24"/>
                <w:szCs w:val="24"/>
              </w:rPr>
              <w:t>每套检具每种规格不少于2件</w:t>
            </w:r>
          </w:p>
        </w:tc>
        <w:tc>
          <w:tcPr>
            <w:tcW w:w="1784" w:type="dxa"/>
            <w:vAlign w:val="center"/>
          </w:tcPr>
          <w:p w14:paraId="74372F40">
            <w:pPr>
              <w:autoSpaceDE w:val="0"/>
              <w:autoSpaceDN w:val="0"/>
              <w:adjustRightInd w:val="0"/>
              <w:spacing w:line="36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按单套检具提供备件</w:t>
            </w:r>
          </w:p>
        </w:tc>
      </w:tr>
      <w:tr w14:paraId="68E6DB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9709" w:type="dxa"/>
            <w:gridSpan w:val="5"/>
            <w:vAlign w:val="center"/>
          </w:tcPr>
          <w:p w14:paraId="56A2257A">
            <w:pPr>
              <w:spacing w:line="360" w:lineRule="exact"/>
              <w:jc w:val="left"/>
              <w:rPr>
                <w:rFonts w:hint="eastAsia" w:ascii="宋体" w:hAnsi="宋体" w:eastAsia="宋体" w:cs="宋体"/>
                <w:sz w:val="24"/>
              </w:rPr>
            </w:pPr>
            <w:r>
              <w:rPr>
                <w:rFonts w:hint="eastAsia" w:ascii="宋体" w:hAnsi="宋体" w:eastAsia="宋体" w:cs="宋体"/>
                <w:sz w:val="24"/>
              </w:rPr>
              <w:t>备注：</w:t>
            </w:r>
          </w:p>
          <w:p w14:paraId="2584AE0F">
            <w:pPr>
              <w:spacing w:line="360" w:lineRule="exact"/>
              <w:jc w:val="left"/>
              <w:rPr>
                <w:rFonts w:hint="eastAsia" w:ascii="宋体" w:hAnsi="宋体" w:eastAsia="宋体" w:cs="宋体"/>
                <w:sz w:val="24"/>
              </w:rPr>
            </w:pPr>
            <w:r>
              <w:rPr>
                <w:rFonts w:hint="eastAsia" w:ascii="宋体" w:hAnsi="宋体" w:eastAsia="宋体" w:cs="宋体"/>
                <w:sz w:val="24"/>
              </w:rPr>
              <w:t xml:space="preserve">  1）备件上应有标准、规格、型号标识，并按规格分类包装，包装袋外侧应有备件明细。</w:t>
            </w:r>
          </w:p>
          <w:p w14:paraId="6E164F23">
            <w:pPr>
              <w:spacing w:line="360" w:lineRule="exact"/>
              <w:jc w:val="left"/>
              <w:rPr>
                <w:rFonts w:hint="eastAsia" w:ascii="宋体" w:hAnsi="宋体" w:eastAsia="宋体" w:cs="宋体"/>
                <w:sz w:val="24"/>
                <w:szCs w:val="24"/>
              </w:rPr>
            </w:pPr>
            <w:r>
              <w:rPr>
                <w:rFonts w:hint="eastAsia" w:ascii="宋体" w:hAnsi="宋体" w:eastAsia="宋体" w:cs="宋体"/>
                <w:sz w:val="24"/>
              </w:rPr>
              <w:t xml:space="preserve">  2）易损备件随检具一起交货。</w:t>
            </w:r>
          </w:p>
        </w:tc>
      </w:tr>
    </w:tbl>
    <w:p w14:paraId="1F496739">
      <w:pPr>
        <w:tabs>
          <w:tab w:val="left" w:pos="-720"/>
          <w:tab w:val="left" w:pos="400"/>
          <w:tab w:val="left" w:pos="851"/>
        </w:tabs>
        <w:overflowPunct w:val="0"/>
        <w:autoSpaceDE w:val="0"/>
        <w:autoSpaceDN w:val="0"/>
        <w:snapToGrid w:val="0"/>
        <w:spacing w:line="360" w:lineRule="auto"/>
        <w:ind w:left="420"/>
        <w:jc w:val="left"/>
        <w:rPr>
          <w:rFonts w:hint="eastAsia" w:ascii="宋体" w:hAnsi="宋体" w:eastAsia="宋体" w:cs="宋体"/>
          <w:b/>
          <w:sz w:val="24"/>
          <w:szCs w:val="24"/>
        </w:rPr>
      </w:pPr>
    </w:p>
    <w:p w14:paraId="6419498F">
      <w:pPr>
        <w:tabs>
          <w:tab w:val="left" w:pos="-720"/>
          <w:tab w:val="left" w:pos="400"/>
          <w:tab w:val="left" w:pos="851"/>
        </w:tabs>
        <w:overflowPunct w:val="0"/>
        <w:autoSpaceDE w:val="0"/>
        <w:autoSpaceDN w:val="0"/>
        <w:snapToGrid w:val="0"/>
        <w:spacing w:line="360" w:lineRule="auto"/>
        <w:ind w:left="420"/>
        <w:jc w:val="left"/>
        <w:rPr>
          <w:rFonts w:hint="eastAsia" w:ascii="宋体" w:hAnsi="宋体" w:eastAsia="宋体" w:cs="宋体"/>
          <w:b/>
          <w:sz w:val="24"/>
          <w:szCs w:val="24"/>
        </w:rPr>
      </w:pPr>
      <w:r>
        <w:rPr>
          <w:rFonts w:hint="eastAsia" w:ascii="宋体" w:hAnsi="宋体" w:eastAsia="宋体" w:cs="宋体"/>
          <w:b/>
          <w:sz w:val="24"/>
          <w:szCs w:val="24"/>
        </w:rPr>
        <w:t>6、服务</w:t>
      </w:r>
      <w:bookmarkEnd w:id="89"/>
      <w:bookmarkEnd w:id="90"/>
    </w:p>
    <w:p w14:paraId="3927CE96">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6.1工艺规划、设计和调试的整个过程须有甲方专业人员参与。</w:t>
      </w:r>
    </w:p>
    <w:p w14:paraId="472D2FF3">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6.2全序样件装车调试时，乙方项目开发小组成员需到甲方现场跟踪试装的装车过程及制件装车问题点，现场处理整改措施及整改计划。</w:t>
      </w:r>
    </w:p>
    <w:p w14:paraId="2B9566DA">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6.3在甲方工厂现场调试匹配过程中，当和其他相关厂家出现推诿扯皮的问题时，乙方人员需服从甲方管理。</w:t>
      </w:r>
    </w:p>
    <w:p w14:paraId="1D97906A">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6.4模具到甲方后，乙方需派遣人员在甲方现场对甲方人员进行模具安装调试、操作、维修及冲压件、板件测量检验方法等技能培训。上述培训应持续至甲方操作及维修人员完全掌握模具的使用为止，且费用由乙方承担。</w:t>
      </w:r>
    </w:p>
    <w:p w14:paraId="5A8BF677">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6.5现场服务内容及范围包括：现场安装、调试的技术准备；指导并参与现场安装、调试和运行工作；处理安装、调试和试运行工作中出现的各种问题；检验调试、生产产品的精度及设计的符合性等。</w:t>
      </w:r>
    </w:p>
    <w:p w14:paraId="7DFE2BAD">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6.6本项目终验收起一年内为项目质保期，乙方须在质保期内保证模具运行良好，且乙方免费提供维修服务。</w:t>
      </w:r>
    </w:p>
    <w:p w14:paraId="1ADE8622">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6.7在质保期内，正常使用条件下，乙方对模具出现的故障提供免费维修，零部件损坏须及时免费更换，免费维修与更换缺陷部件的期限为乙方收到甲方通知后3天。乙方需自备安装调试及维修用工具。</w:t>
      </w:r>
    </w:p>
    <w:p w14:paraId="65CC8A9C">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6.8质保期内，乙方在收到甲方关于模具故障通知后，能以通讯方式解决的故障，2小时之内给予答复；不能以通讯方式解决的故障，乙方维修人员应在48小时之内到达甲方现场，并确保对一般问题在此期限内排除故障。需维修与更换缺陷部件的故障，乙方维修人员应在到达货物使用方现场后2个日历日内解决。倘若乙方未能履行上述服务的，甲方有权自行或委托有能力的第三方对货物进行维修，所需的费用由乙方承担。</w:t>
      </w:r>
    </w:p>
    <w:p w14:paraId="72EE6EB7">
      <w:pPr>
        <w:spacing w:line="360" w:lineRule="auto"/>
        <w:ind w:firstLine="480" w:firstLineChars="200"/>
        <w:rPr>
          <w:rFonts w:hint="eastAsia" w:ascii="宋体" w:hAnsi="宋体" w:cs="宋体"/>
          <w:bCs/>
        </w:rPr>
      </w:pPr>
      <w:r>
        <w:rPr>
          <w:rFonts w:hint="eastAsia" w:ascii="宋体" w:hAnsi="宋体" w:eastAsia="宋体" w:cs="宋体"/>
          <w:bCs/>
          <w:sz w:val="24"/>
          <w:szCs w:val="24"/>
        </w:rPr>
        <w:t>6.9质量保证期不含乙方对其交付物的排除故障时间，即在质量保证</w:t>
      </w:r>
      <w:r>
        <w:rPr>
          <w:rFonts w:hint="eastAsia" w:ascii="宋体" w:hAnsi="宋体" w:cs="宋体"/>
          <w:bCs/>
        </w:rPr>
        <w:t>期内由乙方原因导致故障，质量保证期顺延，且更换的零件保质期自更换日起开始计算。</w:t>
      </w:r>
    </w:p>
    <w:p w14:paraId="401A5FD6">
      <w:pPr>
        <w:tabs>
          <w:tab w:val="left" w:pos="-720"/>
          <w:tab w:val="left" w:pos="400"/>
          <w:tab w:val="left" w:pos="851"/>
        </w:tabs>
        <w:overflowPunct w:val="0"/>
        <w:autoSpaceDE w:val="0"/>
        <w:autoSpaceDN w:val="0"/>
        <w:snapToGrid w:val="0"/>
        <w:spacing w:line="360" w:lineRule="auto"/>
        <w:ind w:left="420"/>
        <w:jc w:val="left"/>
        <w:rPr>
          <w:rFonts w:hint="eastAsia" w:ascii="宋体" w:hAnsi="宋体" w:eastAsia="宋体" w:cs="宋体"/>
          <w:b/>
          <w:sz w:val="24"/>
          <w:szCs w:val="24"/>
        </w:rPr>
      </w:pPr>
      <w:bookmarkStart w:id="91" w:name="_Toc155087164"/>
      <w:bookmarkStart w:id="92" w:name="_Toc156556082"/>
      <w:r>
        <w:rPr>
          <w:rFonts w:hint="eastAsia" w:ascii="宋体" w:hAnsi="宋体" w:eastAsia="宋体" w:cs="宋体"/>
          <w:b/>
          <w:sz w:val="24"/>
          <w:szCs w:val="24"/>
        </w:rPr>
        <w:t>7、其他</w:t>
      </w:r>
      <w:bookmarkEnd w:id="91"/>
      <w:bookmarkEnd w:id="92"/>
    </w:p>
    <w:p w14:paraId="4EDB6A3C">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7.1如果因乙方原因模具不能在规定周期内交付而影响甲方出车时，乙方应负责免费生产及运输，向甲方供其生产所需的制件，且乙方承担相应的商务责任。</w:t>
      </w:r>
    </w:p>
    <w:p w14:paraId="5287634D">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7.2乙方负责解决模具上存在的问题并使冲压件达到满足生产要求，若甲方产生修整费用由乙方承担，这些费用也包括对不合格零件必须进行的返修（但仅仅是指模具供货范围内的质量缺陷），直到这些缺陷由乙方解决为止。如果这些缺陷长时间得不到解决，甲方将视缺陷的具体情况采取相应的措施，所产生的费用由乙方承担。</w:t>
      </w:r>
    </w:p>
    <w:p w14:paraId="2EF96334">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7.3因乙方原因，在合同规定SOP后的5个月内零件、模具未达到合同所规定的质量要求，将停止在甲方的试模工作，遗留问题按工作量计算费用，从合同尾款中扣除。</w:t>
      </w:r>
    </w:p>
    <w:p w14:paraId="305FA0C0">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7.4本协议中未涉及到的其他技术问题，双方协商处理。</w:t>
      </w:r>
    </w:p>
    <w:p w14:paraId="5FA6BDF0">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7.5本项目涉及到需要进入甲方工厂的乙方人员必须按照甲方的施工制度，办理施工证。并且在甲方工厂内必须遵守甲方的一切规章制度。</w:t>
      </w:r>
    </w:p>
    <w:p w14:paraId="1AD19860">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7.6本项目产生的经过双方签字确认的文件或备忘录或会议纪要等具有同本技术协议同等的法律效力（本技术协议生效后），并以签署时间最晚者为准。</w:t>
      </w:r>
    </w:p>
    <w:p w14:paraId="75CF5BD6">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7.7本协议为合同的一部分，与合同具有同等的法律效力。</w:t>
      </w:r>
    </w:p>
    <w:p w14:paraId="2F030D17">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7.8乙方应就甲方提供的汽车产品数模、数据及相关技术资料签订保密协议负有保密责任，不得向第三方泄露，违者按有关条款执行。</w:t>
      </w:r>
    </w:p>
    <w:p w14:paraId="2319F802">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7.9本协议如有异议或变更，双方应本着友好协商的原则解决。</w:t>
      </w:r>
    </w:p>
    <w:p w14:paraId="364C3799">
      <w:pPr>
        <w:tabs>
          <w:tab w:val="left" w:pos="-720"/>
          <w:tab w:val="left" w:pos="400"/>
          <w:tab w:val="left" w:pos="851"/>
        </w:tabs>
        <w:overflowPunct w:val="0"/>
        <w:autoSpaceDE w:val="0"/>
        <w:autoSpaceDN w:val="0"/>
        <w:snapToGrid w:val="0"/>
        <w:spacing w:line="360" w:lineRule="auto"/>
        <w:ind w:firstLine="480" w:firstLineChars="200"/>
        <w:jc w:val="left"/>
        <w:rPr>
          <w:rFonts w:hint="eastAsia" w:ascii="宋体" w:hAnsi="宋体" w:eastAsia="宋体" w:cs="宋体"/>
          <w:bCs/>
          <w:sz w:val="24"/>
          <w:szCs w:val="24"/>
        </w:rPr>
      </w:pPr>
      <w:r>
        <w:rPr>
          <w:rFonts w:hint="eastAsia" w:ascii="宋体" w:hAnsi="宋体" w:eastAsia="宋体" w:cs="宋体"/>
          <w:bCs/>
          <w:sz w:val="24"/>
          <w:szCs w:val="24"/>
        </w:rPr>
        <w:t>7.10本协议一式6份，甲方4份，乙方2份；</w:t>
      </w:r>
      <w:bookmarkStart w:id="93" w:name="_Toc514853269"/>
    </w:p>
    <w:p w14:paraId="24FDBE60">
      <w:pPr>
        <w:tabs>
          <w:tab w:val="left" w:pos="-720"/>
          <w:tab w:val="left" w:pos="400"/>
          <w:tab w:val="left" w:pos="851"/>
        </w:tabs>
        <w:overflowPunct w:val="0"/>
        <w:autoSpaceDE w:val="0"/>
        <w:autoSpaceDN w:val="0"/>
        <w:snapToGrid w:val="0"/>
        <w:spacing w:line="360" w:lineRule="auto"/>
        <w:ind w:firstLine="480" w:firstLineChars="200"/>
        <w:jc w:val="left"/>
        <w:rPr>
          <w:rFonts w:hint="eastAsia" w:ascii="宋体" w:hAnsi="宋体" w:eastAsia="宋体" w:cs="宋体"/>
          <w:bCs/>
          <w:sz w:val="24"/>
          <w:szCs w:val="24"/>
        </w:rPr>
      </w:pPr>
      <w:r>
        <w:rPr>
          <w:rFonts w:hint="eastAsia" w:ascii="宋体" w:hAnsi="宋体" w:eastAsia="宋体" w:cs="宋体"/>
          <w:bCs/>
          <w:sz w:val="24"/>
          <w:szCs w:val="24"/>
        </w:rPr>
        <w:t>7.11 关于设变、板料运输、设变费用的说明</w:t>
      </w:r>
      <w:bookmarkEnd w:id="93"/>
    </w:p>
    <w:p w14:paraId="357D41E4">
      <w:pPr>
        <w:tabs>
          <w:tab w:val="left" w:pos="-720"/>
          <w:tab w:val="left" w:pos="400"/>
          <w:tab w:val="left" w:pos="851"/>
        </w:tabs>
        <w:overflowPunct w:val="0"/>
        <w:autoSpaceDE w:val="0"/>
        <w:autoSpaceDN w:val="0"/>
        <w:snapToGrid w:val="0"/>
        <w:spacing w:line="360" w:lineRule="auto"/>
        <w:ind w:firstLine="480" w:firstLineChars="200"/>
        <w:jc w:val="left"/>
        <w:rPr>
          <w:rFonts w:hint="eastAsia" w:ascii="宋体" w:hAnsi="宋体" w:eastAsia="宋体" w:cs="宋体"/>
          <w:bCs/>
          <w:sz w:val="24"/>
          <w:szCs w:val="24"/>
        </w:rPr>
      </w:pPr>
      <w:r>
        <w:rPr>
          <w:rFonts w:hint="eastAsia" w:ascii="宋体" w:hAnsi="宋体" w:eastAsia="宋体" w:cs="宋体"/>
          <w:bCs/>
          <w:sz w:val="24"/>
          <w:szCs w:val="24"/>
        </w:rPr>
        <w:t>7.11.1要求投标方报价详细到每一套模具的重量及价格（报价格式详见附件4）。</w:t>
      </w:r>
    </w:p>
    <w:p w14:paraId="21559994">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7.11.2关于模具重量</w:t>
      </w:r>
    </w:p>
    <w:p w14:paraId="6BF17CC2">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模具预验收完成并运抵招标方工厂后，招标方对全部模具进行称重，如每组模具的重量少于模具理论重量的3%(含)，模具的合同价格需要重新核算，按模具实际出厂重量与中标单吨价格的乘积（中标单吨价格=最终中标总价格/投标报价中模具总重量）。</w:t>
      </w:r>
    </w:p>
    <w:p w14:paraId="2A4C0EF2">
      <w:pPr>
        <w:spacing w:line="360" w:lineRule="auto"/>
        <w:ind w:firstLine="480" w:firstLineChars="200"/>
        <w:rPr>
          <w:rFonts w:hint="eastAsia" w:ascii="宋体" w:hAnsi="宋体" w:eastAsia="宋体" w:cs="宋体"/>
          <w:bCs/>
          <w:sz w:val="24"/>
          <w:szCs w:val="24"/>
        </w:rPr>
      </w:pPr>
      <w:bookmarkStart w:id="94" w:name="_Toc514853247"/>
      <w:bookmarkStart w:id="95" w:name="_Toc503952493"/>
      <w:r>
        <w:rPr>
          <w:rFonts w:hint="eastAsia" w:ascii="宋体" w:hAnsi="宋体" w:eastAsia="宋体" w:cs="宋体"/>
          <w:bCs/>
          <w:sz w:val="24"/>
          <w:szCs w:val="24"/>
        </w:rPr>
        <w:t>7.12调试板料</w:t>
      </w:r>
      <w:bookmarkEnd w:id="94"/>
      <w:bookmarkEnd w:id="95"/>
    </w:p>
    <w:p w14:paraId="42E6261E">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7.12.1关于新增件调试板料的约定：招标方提供每一个产品件的单车用量；投标方按照招标方制定的钢材品牌，自行购买调试板料；调试板料的数量由投标方自行判断，所有的板材的采购价格均包含在投标报价内。</w:t>
      </w:r>
    </w:p>
    <w:p w14:paraId="12511C53">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7.12.2 板料及样件运输费用包含在总合同费用之内。</w:t>
      </w:r>
    </w:p>
    <w:p w14:paraId="4CB8644F">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7.13材料利用率作为评标的重要依据，并在投标文件中予以说明。</w:t>
      </w:r>
    </w:p>
    <w:p w14:paraId="58ED0177">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7.14投标方需提供一个招标方指定产品详细CAE分析报告及ECR反馈。鼓励投标方对产品进行工艺性分析，提出改进方案，如有需要，可在招标方指定电脑，使用分析软件进行分析，分析结果可作为投标文件的附件，格式不做统一要求。</w:t>
      </w:r>
    </w:p>
    <w:p w14:paraId="175E191C">
      <w:pPr>
        <w:spacing w:line="360" w:lineRule="auto"/>
        <w:ind w:firstLine="480" w:firstLineChars="200"/>
        <w:rPr>
          <w:rFonts w:hint="eastAsia" w:ascii="宋体" w:hAnsi="宋体" w:eastAsia="宋体" w:cs="宋体"/>
          <w:bCs/>
          <w:sz w:val="24"/>
          <w:szCs w:val="24"/>
        </w:rPr>
      </w:pPr>
      <w:bookmarkStart w:id="96" w:name="_Toc514853270"/>
      <w:r>
        <w:rPr>
          <w:rFonts w:hint="eastAsia" w:ascii="宋体" w:hAnsi="宋体" w:eastAsia="宋体" w:cs="宋体"/>
          <w:bCs/>
          <w:sz w:val="24"/>
          <w:szCs w:val="24"/>
        </w:rPr>
        <w:t>7.15关于不能准时交付的说明</w:t>
      </w:r>
      <w:bookmarkEnd w:id="96"/>
    </w:p>
    <w:p w14:paraId="0FF609B6">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如果因投标方原因模具不能在规定周期内交付,招标方装车所需单件由投标方负责免费生产及运输，且投标方承担相应的商务责任。</w:t>
      </w:r>
    </w:p>
    <w:p w14:paraId="6CDF49FB">
      <w:pPr>
        <w:spacing w:line="360" w:lineRule="auto"/>
        <w:ind w:firstLine="480" w:firstLineChars="200"/>
        <w:rPr>
          <w:rFonts w:hint="eastAsia" w:ascii="宋体" w:hAnsi="宋体" w:eastAsia="宋体" w:cs="宋体"/>
          <w:bCs/>
          <w:sz w:val="24"/>
          <w:szCs w:val="24"/>
        </w:rPr>
      </w:pPr>
      <w:bookmarkStart w:id="97" w:name="_Toc514853271"/>
      <w:r>
        <w:rPr>
          <w:rFonts w:hint="eastAsia" w:ascii="宋体" w:hAnsi="宋体" w:eastAsia="宋体" w:cs="宋体"/>
          <w:bCs/>
          <w:sz w:val="24"/>
          <w:szCs w:val="24"/>
        </w:rPr>
        <w:t>7.16关于保密的说明</w:t>
      </w:r>
      <w:bookmarkEnd w:id="97"/>
    </w:p>
    <w:p w14:paraId="4D260B3C">
      <w:pPr>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投标方对招标方提供的汽车产品数模、数据及相关技术资料负有保密责任，投标方负有保密责任，违者将按保密协议（详见</w:t>
      </w:r>
      <w:r>
        <w:rPr>
          <w:rFonts w:hint="eastAsia" w:ascii="宋体" w:hAnsi="宋体" w:eastAsia="宋体" w:cs="宋体"/>
          <w:bCs/>
          <w:sz w:val="24"/>
          <w:szCs w:val="24"/>
          <w:lang w:val="en-US" w:eastAsia="zh-CN"/>
        </w:rPr>
        <w:t>技术协议</w:t>
      </w:r>
      <w:r>
        <w:rPr>
          <w:rFonts w:hint="eastAsia" w:ascii="宋体" w:hAnsi="宋体" w:eastAsia="宋体" w:cs="宋体"/>
          <w:bCs/>
          <w:sz w:val="24"/>
          <w:szCs w:val="24"/>
        </w:rPr>
        <w:t>附件</w:t>
      </w:r>
      <w:r>
        <w:rPr>
          <w:rFonts w:hint="eastAsia" w:ascii="宋体" w:hAnsi="宋体" w:eastAsia="宋体" w:cs="宋体"/>
          <w:bCs/>
          <w:sz w:val="24"/>
          <w:szCs w:val="24"/>
          <w:lang w:val="en-US" w:eastAsia="zh-CN"/>
        </w:rPr>
        <w:t>7</w:t>
      </w:r>
      <w:r>
        <w:rPr>
          <w:rFonts w:hint="eastAsia" w:ascii="宋体" w:hAnsi="宋体" w:eastAsia="宋体" w:cs="宋体"/>
          <w:bCs/>
          <w:sz w:val="24"/>
          <w:szCs w:val="24"/>
        </w:rPr>
        <w:t>）有关条款执行。</w:t>
      </w:r>
    </w:p>
    <w:p w14:paraId="4789C9C0">
      <w:pPr>
        <w:rPr>
          <w:rFonts w:hint="eastAsia" w:ascii="宋体" w:hAnsi="宋体" w:cs="宋体"/>
          <w:sz w:val="24"/>
          <w:szCs w:val="24"/>
        </w:rPr>
      </w:pPr>
      <w:r>
        <w:rPr>
          <w:rFonts w:hint="eastAsia" w:ascii="宋体" w:hAnsi="宋体" w:cs="宋体"/>
          <w:sz w:val="24"/>
          <w:szCs w:val="24"/>
        </w:rPr>
        <w:br w:type="page"/>
      </w:r>
    </w:p>
    <w:p w14:paraId="63BA409A">
      <w:pPr>
        <w:pStyle w:val="3"/>
        <w:bidi w:val="0"/>
        <w:rPr>
          <w:rFonts w:hint="eastAsia"/>
          <w:lang w:val="en-US" w:eastAsia="zh-CN"/>
        </w:rPr>
      </w:pPr>
      <w:bookmarkStart w:id="98" w:name="_Toc4436"/>
      <w:r>
        <w:rPr>
          <w:rFonts w:hint="eastAsia"/>
        </w:rPr>
        <w:t>第</w:t>
      </w:r>
      <w:r>
        <w:rPr>
          <w:rFonts w:hint="eastAsia"/>
          <w:lang w:val="en-US" w:eastAsia="zh-CN"/>
        </w:rPr>
        <w:t>五部分</w:t>
      </w:r>
      <w:r>
        <w:rPr>
          <w:rFonts w:hint="eastAsia"/>
        </w:rPr>
        <w:t xml:space="preserve"> 合同</w:t>
      </w:r>
      <w:r>
        <w:rPr>
          <w:rFonts w:hint="eastAsia"/>
          <w:lang w:val="en-US" w:eastAsia="zh-CN"/>
        </w:rPr>
        <w:t>样本</w:t>
      </w:r>
      <w:bookmarkEnd w:id="98"/>
    </w:p>
    <w:p w14:paraId="56602141">
      <w:pPr>
        <w:adjustRightInd w:val="0"/>
        <w:snapToGrid w:val="0"/>
        <w:spacing w:line="360" w:lineRule="auto"/>
        <w:jc w:val="left"/>
        <w:rPr>
          <w:rFonts w:hint="eastAsia" w:ascii="宋体" w:hAnsi="宋体"/>
          <w:sz w:val="20"/>
          <w:szCs w:val="20"/>
        </w:rPr>
      </w:pPr>
      <w:r>
        <w:rPr>
          <w:rFonts w:ascii="宋体" w:hAnsi="宋体"/>
          <w:sz w:val="20"/>
          <w:szCs w:val="20"/>
        </w:rPr>
        <w:t xml:space="preserve">                                      </w:t>
      </w:r>
      <w:r>
        <w:rPr>
          <w:rFonts w:hint="eastAsia" w:ascii="宋体" w:hAnsi="宋体"/>
          <w:sz w:val="20"/>
          <w:szCs w:val="20"/>
        </w:rPr>
        <w:t xml:space="preserve">  </w:t>
      </w:r>
    </w:p>
    <w:p w14:paraId="399C38B3">
      <w:pPr>
        <w:spacing w:line="360" w:lineRule="auto"/>
        <w:jc w:val="center"/>
        <w:rPr>
          <w:rFonts w:hint="eastAsia" w:ascii="方正小标宋简体" w:hAnsi="方正小标宋简体" w:eastAsia="方正小标宋简体" w:cs="方正小标宋简体"/>
          <w:w w:val="90"/>
          <w:sz w:val="56"/>
          <w:szCs w:val="56"/>
          <w:highlight w:val="none"/>
        </w:rPr>
      </w:pPr>
      <w:r>
        <w:rPr>
          <w:rFonts w:hint="eastAsia" w:ascii="方正小标宋简体" w:hAnsi="方正小标宋简体" w:eastAsia="方正小标宋简体" w:cs="方正小标宋简体"/>
          <w:w w:val="90"/>
          <w:sz w:val="56"/>
          <w:szCs w:val="56"/>
          <w:highlight w:val="none"/>
        </w:rPr>
        <w:t>设备采购合同</w:t>
      </w:r>
    </w:p>
    <w:p w14:paraId="13CFD41A">
      <w:pPr>
        <w:pStyle w:val="2"/>
        <w:ind w:firstLine="3041" w:firstLineChars="1600"/>
      </w:pPr>
      <w:r>
        <w:rPr>
          <w:rFonts w:ascii="Helvetica" w:hAnsi="Helvetica" w:eastAsia="Helvetica" w:cs="Helvetica"/>
          <w:b/>
          <w:bCs/>
          <w:i w:val="0"/>
          <w:iCs w:val="0"/>
          <w:caps w:val="0"/>
          <w:color w:val="111111"/>
          <w:spacing w:val="0"/>
          <w:sz w:val="19"/>
          <w:szCs w:val="19"/>
          <w:shd w:val="clear" w:fill="F6F7F8"/>
        </w:rPr>
        <w:t>（合同以双方最终签署的版本为准）</w:t>
      </w:r>
    </w:p>
    <w:p w14:paraId="43E16888">
      <w:pPr>
        <w:spacing w:line="360" w:lineRule="auto"/>
        <w:jc w:val="center"/>
        <w:rPr>
          <w:rFonts w:ascii="方正小标宋简体" w:hAnsi="方正小标宋简体" w:eastAsia="方正小标宋简体" w:cs="方正小标宋简体"/>
          <w:w w:val="90"/>
          <w:sz w:val="56"/>
          <w:szCs w:val="56"/>
          <w:highlight w:val="none"/>
        </w:rPr>
      </w:pPr>
    </w:p>
    <w:p w14:paraId="569477D7">
      <w:pPr>
        <w:spacing w:line="360" w:lineRule="auto"/>
        <w:jc w:val="center"/>
        <w:rPr>
          <w:rFonts w:ascii="仿宋_GB2312" w:hAnsi="仿宋_GB2312" w:eastAsia="仿宋_GB2312" w:cs="仿宋_GB2312"/>
          <w:bCs/>
          <w:sz w:val="24"/>
          <w:szCs w:val="24"/>
          <w:highlight w:val="none"/>
        </w:rPr>
      </w:pPr>
    </w:p>
    <w:p w14:paraId="6F68F625">
      <w:pPr>
        <w:spacing w:line="360" w:lineRule="auto"/>
        <w:jc w:val="center"/>
        <w:rPr>
          <w:rFonts w:ascii="仿宋_GB2312" w:hAnsi="仿宋_GB2312" w:eastAsia="仿宋_GB2312" w:cs="仿宋_GB2312"/>
          <w:bCs/>
          <w:sz w:val="24"/>
          <w:szCs w:val="24"/>
          <w:highlight w:val="none"/>
        </w:rPr>
      </w:pPr>
    </w:p>
    <w:p w14:paraId="6979E7FB">
      <w:pPr>
        <w:spacing w:line="276" w:lineRule="auto"/>
        <w:ind w:firstLine="2160" w:firstLineChars="900"/>
        <w:jc w:val="both"/>
        <w:rPr>
          <w:rFonts w:hint="default" w:ascii="仿宋_GB2312" w:hAnsi="仿宋_GB2312" w:eastAsia="仿宋_GB2312" w:cs="仿宋_GB2312"/>
          <w:b/>
          <w:sz w:val="24"/>
          <w:szCs w:val="24"/>
          <w:highlight w:val="none"/>
          <w:u w:val="single"/>
          <w:lang w:val="en-US" w:eastAsia="zh-CN"/>
        </w:rPr>
      </w:pPr>
      <w:r>
        <w:rPr>
          <w:rFonts w:hint="eastAsia" w:ascii="仿宋_GB2312" w:hAnsi="仿宋_GB2312" w:eastAsia="仿宋_GB2312" w:cs="仿宋_GB2312"/>
          <w:bCs/>
          <w:sz w:val="24"/>
          <w:szCs w:val="24"/>
          <w:highlight w:val="none"/>
        </w:rPr>
        <w:t xml:space="preserve">合同项目名称： </w:t>
      </w:r>
      <w:r>
        <w:rPr>
          <w:rFonts w:hint="eastAsia" w:ascii="仿宋_GB2312" w:hAnsi="仿宋_GB2312" w:eastAsia="仿宋_GB2312" w:cs="仿宋_GB2312"/>
          <w:b/>
          <w:sz w:val="24"/>
          <w:szCs w:val="24"/>
          <w:highlight w:val="none"/>
          <w:u w:val="single"/>
          <w:lang w:val="en-US" w:eastAsia="zh-CN"/>
        </w:rPr>
        <w:t xml:space="preserve">                     </w:t>
      </w:r>
    </w:p>
    <w:p w14:paraId="4563B87F">
      <w:pPr>
        <w:spacing w:line="360" w:lineRule="auto"/>
        <w:ind w:firstLine="2160" w:firstLineChars="900"/>
        <w:jc w:val="left"/>
        <w:rPr>
          <w:rFonts w:ascii="仿宋_GB2312" w:hAnsi="仿宋_GB2312" w:eastAsia="仿宋_GB2312" w:cs="仿宋_GB2312"/>
          <w:bCs/>
          <w:sz w:val="24"/>
          <w:szCs w:val="24"/>
          <w:highlight w:val="none"/>
        </w:rPr>
      </w:pPr>
    </w:p>
    <w:p w14:paraId="2FAFAC43">
      <w:pPr>
        <w:spacing w:line="360" w:lineRule="auto"/>
        <w:ind w:firstLine="2160" w:firstLineChars="900"/>
        <w:jc w:val="left"/>
        <w:rPr>
          <w:rFonts w:ascii="仿宋_GB2312" w:hAnsi="仿宋_GB2312" w:eastAsia="仿宋_GB2312" w:cs="仿宋_GB2312"/>
          <w:bCs/>
          <w:sz w:val="24"/>
          <w:szCs w:val="24"/>
          <w:highlight w:val="none"/>
        </w:rPr>
      </w:pPr>
    </w:p>
    <w:p w14:paraId="48A01CEC">
      <w:pPr>
        <w:spacing w:line="360" w:lineRule="auto"/>
        <w:ind w:firstLine="2160" w:firstLineChars="900"/>
        <w:jc w:val="left"/>
        <w:rPr>
          <w:rFonts w:hint="default" w:ascii="仿宋_GB2312" w:hAnsi="仿宋_GB2312" w:eastAsia="仿宋_GB2312" w:cs="仿宋_GB2312"/>
          <w:b/>
          <w:sz w:val="24"/>
          <w:szCs w:val="24"/>
          <w:highlight w:val="none"/>
          <w:u w:val="single"/>
          <w:lang w:val="en-US" w:eastAsia="zh-CN"/>
        </w:rPr>
      </w:pPr>
      <w:r>
        <w:rPr>
          <w:rFonts w:hint="eastAsia" w:ascii="仿宋_GB2312" w:hAnsi="仿宋_GB2312" w:eastAsia="仿宋_GB2312" w:cs="仿宋_GB2312"/>
          <w:bCs/>
          <w:sz w:val="24"/>
          <w:szCs w:val="24"/>
          <w:highlight w:val="none"/>
        </w:rPr>
        <w:t>甲方（买方）：</w:t>
      </w:r>
      <w:r>
        <w:rPr>
          <w:rFonts w:hint="eastAsia" w:ascii="仿宋_GB2312" w:hAnsi="仿宋_GB2312" w:eastAsia="仿宋_GB2312" w:cs="仿宋_GB2312"/>
          <w:b/>
          <w:sz w:val="24"/>
          <w:szCs w:val="24"/>
          <w:highlight w:val="none"/>
          <w:u w:val="single"/>
          <w:lang w:val="en-US" w:eastAsia="zh-CN"/>
        </w:rPr>
        <w:t xml:space="preserve">                       </w:t>
      </w:r>
    </w:p>
    <w:p w14:paraId="4975D383">
      <w:pPr>
        <w:spacing w:line="360" w:lineRule="auto"/>
        <w:ind w:firstLine="2168" w:firstLineChars="900"/>
        <w:jc w:val="left"/>
        <w:rPr>
          <w:rFonts w:ascii="仿宋_GB2312" w:hAnsi="仿宋_GB2312" w:eastAsia="仿宋_GB2312" w:cs="仿宋_GB2312"/>
          <w:b/>
          <w:sz w:val="24"/>
          <w:szCs w:val="24"/>
          <w:highlight w:val="none"/>
          <w:u w:val="single"/>
        </w:rPr>
      </w:pPr>
    </w:p>
    <w:p w14:paraId="25C81620">
      <w:pPr>
        <w:spacing w:line="360" w:lineRule="auto"/>
        <w:ind w:firstLine="2160" w:firstLineChars="900"/>
        <w:jc w:val="left"/>
        <w:rPr>
          <w:rFonts w:hint="default" w:ascii="仿宋_GB2312" w:hAnsi="仿宋_GB2312" w:eastAsia="仿宋_GB2312" w:cs="仿宋_GB2312"/>
          <w:b/>
          <w:sz w:val="24"/>
          <w:szCs w:val="24"/>
          <w:highlight w:val="none"/>
          <w:u w:val="single"/>
          <w:lang w:val="en-US" w:eastAsia="zh-CN"/>
        </w:rPr>
      </w:pPr>
      <w:r>
        <w:rPr>
          <w:rFonts w:hint="eastAsia" w:ascii="仿宋_GB2312" w:hAnsi="仿宋_GB2312" w:eastAsia="仿宋_GB2312" w:cs="仿宋_GB2312"/>
          <w:bCs/>
          <w:sz w:val="24"/>
          <w:szCs w:val="24"/>
          <w:highlight w:val="none"/>
        </w:rPr>
        <w:t>乙方（卖方）：</w:t>
      </w:r>
      <w:r>
        <w:rPr>
          <w:rFonts w:hint="eastAsia" w:ascii="仿宋_GB2312" w:hAnsi="仿宋_GB2312" w:eastAsia="仿宋_GB2312" w:cs="仿宋_GB2312"/>
          <w:b/>
          <w:sz w:val="24"/>
          <w:szCs w:val="24"/>
          <w:highlight w:val="none"/>
          <w:u w:val="single"/>
          <w:lang w:val="en-US" w:eastAsia="zh-CN"/>
        </w:rPr>
        <w:t xml:space="preserve">                       </w:t>
      </w:r>
    </w:p>
    <w:p w14:paraId="14CC1762">
      <w:pPr>
        <w:spacing w:line="360" w:lineRule="auto"/>
        <w:ind w:firstLine="2168" w:firstLineChars="900"/>
        <w:jc w:val="center"/>
        <w:rPr>
          <w:rFonts w:ascii="仿宋_GB2312" w:hAnsi="仿宋_GB2312" w:eastAsia="仿宋_GB2312" w:cs="仿宋_GB2312"/>
          <w:b/>
          <w:sz w:val="24"/>
          <w:szCs w:val="24"/>
          <w:highlight w:val="none"/>
          <w:u w:val="single"/>
        </w:rPr>
      </w:pPr>
    </w:p>
    <w:p w14:paraId="0B9FAF41">
      <w:pPr>
        <w:spacing w:line="360" w:lineRule="auto"/>
        <w:ind w:firstLine="2168" w:firstLineChars="900"/>
        <w:jc w:val="center"/>
        <w:rPr>
          <w:rFonts w:ascii="仿宋_GB2312" w:hAnsi="仿宋_GB2312" w:eastAsia="仿宋_GB2312" w:cs="仿宋_GB2312"/>
          <w:b/>
          <w:sz w:val="24"/>
          <w:szCs w:val="24"/>
          <w:highlight w:val="none"/>
          <w:u w:val="single"/>
        </w:rPr>
      </w:pPr>
    </w:p>
    <w:p w14:paraId="329A4FF3">
      <w:pPr>
        <w:spacing w:line="360" w:lineRule="auto"/>
        <w:ind w:firstLine="2160" w:firstLineChars="900"/>
        <w:jc w:val="left"/>
        <w:rPr>
          <w:rFonts w:ascii="仿宋_GB2312" w:hAnsi="仿宋_GB2312" w:eastAsia="仿宋_GB2312" w:cs="仿宋_GB2312"/>
          <w:b/>
          <w:sz w:val="24"/>
          <w:szCs w:val="24"/>
          <w:highlight w:val="none"/>
          <w:u w:val="single"/>
        </w:rPr>
      </w:pPr>
      <w:r>
        <w:rPr>
          <w:rFonts w:hint="eastAsia" w:ascii="仿宋_GB2312" w:hAnsi="仿宋_GB2312" w:eastAsia="仿宋_GB2312" w:cs="仿宋_GB2312"/>
          <w:bCs/>
          <w:sz w:val="24"/>
          <w:szCs w:val="24"/>
          <w:highlight w:val="none"/>
        </w:rPr>
        <w:t>合同签订地点：</w:t>
      </w:r>
      <w:r>
        <w:rPr>
          <w:rFonts w:hint="eastAsia" w:ascii="仿宋_GB2312" w:hAnsi="仿宋_GB2312" w:eastAsia="仿宋_GB2312" w:cs="仿宋_GB2312"/>
          <w:b/>
          <w:sz w:val="24"/>
          <w:szCs w:val="24"/>
          <w:highlight w:val="none"/>
          <w:u w:val="single"/>
        </w:rPr>
        <w:t>中国重汽集团济南商用车有限公司</w:t>
      </w:r>
    </w:p>
    <w:p w14:paraId="5B2CE623">
      <w:pPr>
        <w:spacing w:line="360" w:lineRule="auto"/>
        <w:ind w:firstLine="2160" w:firstLineChars="900"/>
        <w:jc w:val="left"/>
        <w:rPr>
          <w:rFonts w:ascii="仿宋_GB2312" w:hAnsi="仿宋_GB2312" w:eastAsia="仿宋_GB2312" w:cs="仿宋_GB2312"/>
          <w:bCs/>
          <w:sz w:val="24"/>
          <w:szCs w:val="24"/>
          <w:highlight w:val="none"/>
        </w:rPr>
      </w:pPr>
    </w:p>
    <w:p w14:paraId="7AAA37CB">
      <w:pPr>
        <w:spacing w:line="360" w:lineRule="auto"/>
        <w:ind w:firstLine="2160" w:firstLineChars="900"/>
        <w:jc w:val="left"/>
        <w:rPr>
          <w:rFonts w:ascii="仿宋_GB2312" w:hAnsi="仿宋_GB2312" w:eastAsia="仿宋_GB2312" w:cs="仿宋_GB2312"/>
          <w:b/>
          <w:sz w:val="24"/>
          <w:szCs w:val="24"/>
          <w:highlight w:val="none"/>
          <w:u w:val="single"/>
        </w:rPr>
        <w:sectPr>
          <w:footerReference r:id="rId11" w:type="default"/>
          <w:pgSz w:w="11907" w:h="16840"/>
          <w:pgMar w:top="1304" w:right="1418" w:bottom="1304" w:left="1418" w:header="724" w:footer="851" w:gutter="0"/>
          <w:pgNumType w:start="1"/>
          <w:cols w:space="720" w:num="1"/>
          <w:docGrid w:linePitch="290" w:charSpace="-3931"/>
        </w:sectPr>
      </w:pPr>
      <w:r>
        <w:rPr>
          <w:rFonts w:hint="eastAsia" w:ascii="仿宋_GB2312" w:hAnsi="仿宋_GB2312" w:eastAsia="仿宋_GB2312" w:cs="仿宋_GB2312"/>
          <w:bCs/>
          <w:sz w:val="24"/>
          <w:szCs w:val="24"/>
          <w:highlight w:val="none"/>
        </w:rPr>
        <w:t>合同签订时间：</w:t>
      </w:r>
      <w:r>
        <w:rPr>
          <w:rFonts w:hint="eastAsia" w:ascii="仿宋_GB2312" w:hAnsi="仿宋_GB2312" w:eastAsia="仿宋_GB2312" w:cs="仿宋_GB2312"/>
          <w:b/>
          <w:bCs/>
          <w:sz w:val="24"/>
          <w:szCs w:val="24"/>
          <w:highlight w:val="none"/>
          <w:u w:val="single"/>
          <w:lang w:val="en-US" w:eastAsia="zh-CN"/>
        </w:rPr>
        <w:t xml:space="preserve">       </w:t>
      </w:r>
      <w:r>
        <w:rPr>
          <w:rFonts w:hint="eastAsia" w:ascii="仿宋_GB2312" w:hAnsi="仿宋_GB2312" w:eastAsia="仿宋_GB2312" w:cs="仿宋_GB2312"/>
          <w:b/>
          <w:bCs/>
          <w:sz w:val="24"/>
          <w:szCs w:val="24"/>
          <w:highlight w:val="none"/>
          <w:u w:val="single"/>
        </w:rPr>
        <w:t>年</w:t>
      </w:r>
      <w:r>
        <w:rPr>
          <w:rFonts w:hint="eastAsia" w:ascii="仿宋_GB2312" w:hAnsi="仿宋_GB2312" w:eastAsia="仿宋_GB2312" w:cs="仿宋_GB2312"/>
          <w:b/>
          <w:bCs/>
          <w:sz w:val="24"/>
          <w:szCs w:val="24"/>
          <w:highlight w:val="none"/>
          <w:u w:val="single"/>
          <w:lang w:val="en-US" w:eastAsia="zh-CN"/>
        </w:rPr>
        <w:t xml:space="preserve">   </w:t>
      </w:r>
      <w:r>
        <w:rPr>
          <w:rFonts w:hint="eastAsia" w:ascii="仿宋_GB2312" w:hAnsi="仿宋_GB2312" w:eastAsia="仿宋_GB2312" w:cs="仿宋_GB2312"/>
          <w:b/>
          <w:bCs/>
          <w:sz w:val="24"/>
          <w:szCs w:val="24"/>
          <w:highlight w:val="none"/>
          <w:u w:val="single"/>
        </w:rPr>
        <w:t>月</w:t>
      </w:r>
    </w:p>
    <w:p w14:paraId="44E6E8E3">
      <w:pPr>
        <w:spacing w:line="360" w:lineRule="auto"/>
        <w:jc w:val="center"/>
        <w:rPr>
          <w:rFonts w:ascii="方正小标宋简体" w:hAnsi="方正小标宋简体" w:eastAsia="方正小标宋简体" w:cs="方正小标宋简体"/>
          <w:i/>
          <w:iCs/>
          <w:w w:val="90"/>
          <w:sz w:val="44"/>
          <w:szCs w:val="44"/>
          <w:highlight w:val="none"/>
        </w:rPr>
      </w:pPr>
      <w:r>
        <w:rPr>
          <w:rFonts w:hint="eastAsia" w:ascii="方正小标宋简体" w:hAnsi="方正小标宋简体" w:eastAsia="方正小标宋简体" w:cs="方正小标宋简体"/>
          <w:i/>
          <w:iCs/>
          <w:w w:val="90"/>
          <w:sz w:val="44"/>
          <w:szCs w:val="44"/>
          <w:highlight w:val="none"/>
        </w:rPr>
        <w:t>设备采购合同</w:t>
      </w:r>
    </w:p>
    <w:p w14:paraId="6108052E">
      <w:pPr>
        <w:spacing w:line="360" w:lineRule="auto"/>
        <w:jc w:val="center"/>
        <w:rPr>
          <w:rFonts w:ascii="方正小标宋简体" w:hAnsi="方正小标宋简体" w:eastAsia="方正小标宋简体" w:cs="方正小标宋简体"/>
          <w:i/>
          <w:iCs/>
          <w:w w:val="90"/>
          <w:sz w:val="44"/>
          <w:szCs w:val="44"/>
          <w:highlight w:val="none"/>
        </w:rPr>
      </w:pPr>
      <w:r>
        <w:rPr>
          <w:rFonts w:hint="eastAsia" w:ascii="方正小标宋简体" w:hAnsi="方正小标宋简体" w:eastAsia="方正小标宋简体" w:cs="方正小标宋简体"/>
          <w:i/>
          <w:iCs/>
          <w:w w:val="90"/>
          <w:sz w:val="44"/>
          <w:szCs w:val="44"/>
          <w:highlight w:val="none"/>
        </w:rPr>
        <w:t>专用条款</w:t>
      </w:r>
    </w:p>
    <w:p w14:paraId="57F1C4C6">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鉴于，买方向卖方购买</w:t>
      </w:r>
      <w:r>
        <w:rPr>
          <w:rFonts w:hint="eastAsia" w:ascii="仿宋_GB2312" w:hAnsi="仿宋_GB2312" w:eastAsia="仿宋_GB2312" w:cs="仿宋_GB2312"/>
          <w:b/>
          <w:bCs/>
          <w:i/>
          <w:iCs/>
          <w:sz w:val="24"/>
          <w:szCs w:val="24"/>
          <w:highlight w:val="none"/>
          <w:u w:val="single"/>
          <w:lang w:val="en-US" w:eastAsia="zh-CN"/>
        </w:rPr>
        <w:t xml:space="preserve">                    </w:t>
      </w:r>
      <w:r>
        <w:rPr>
          <w:rFonts w:hint="eastAsia" w:ascii="仿宋_GB2312" w:hAnsi="仿宋_GB2312" w:eastAsia="仿宋_GB2312" w:cs="仿宋_GB2312"/>
          <w:i/>
          <w:iCs/>
          <w:sz w:val="24"/>
          <w:szCs w:val="24"/>
          <w:highlight w:val="none"/>
          <w:u w:val="single"/>
        </w:rPr>
        <w:t>等</w:t>
      </w:r>
      <w:r>
        <w:rPr>
          <w:rFonts w:hint="eastAsia" w:ascii="仿宋_GB2312" w:hAnsi="仿宋_GB2312" w:eastAsia="仿宋_GB2312" w:cs="仿宋_GB2312"/>
          <w:i/>
          <w:iCs/>
          <w:sz w:val="24"/>
          <w:szCs w:val="24"/>
          <w:highlight w:val="none"/>
        </w:rPr>
        <w:t>，就该设备的设计、制造、运输、定点卸货、安装或指导安装、调试、验收、培训及售后服务等有关问题，在自愿协商的基础上达成本合同。</w:t>
      </w:r>
    </w:p>
    <w:p w14:paraId="157A296A">
      <w:pPr>
        <w:pStyle w:val="128"/>
        <w:bidi w:val="0"/>
        <w:rPr>
          <w:rFonts w:hint="eastAsia"/>
          <w:i/>
          <w:iCs/>
          <w:lang w:val="en-US" w:eastAsia="zh-CN"/>
        </w:rPr>
      </w:pPr>
      <w:bookmarkStart w:id="99" w:name="_Toc10115"/>
      <w:bookmarkStart w:id="100" w:name="_Toc24862"/>
      <w:r>
        <w:rPr>
          <w:rFonts w:hint="eastAsia"/>
          <w:i/>
          <w:iCs/>
          <w:lang w:val="en-US" w:eastAsia="zh-CN"/>
        </w:rPr>
        <w:t>1.合同设备标的</w:t>
      </w:r>
      <w:bookmarkEnd w:id="99"/>
      <w:bookmarkEnd w:id="100"/>
    </w:p>
    <w:p w14:paraId="6606AA5E">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1.1合同总价：为共同完成</w:t>
      </w:r>
      <w:r>
        <w:rPr>
          <w:rFonts w:hint="eastAsia" w:ascii="仿宋_GB2312" w:hAnsi="仿宋_GB2312" w:eastAsia="仿宋_GB2312" w:cs="仿宋_GB2312"/>
          <w:b/>
          <w:bCs/>
          <w:i/>
          <w:iCs/>
          <w:sz w:val="24"/>
          <w:szCs w:val="24"/>
          <w:highlight w:val="none"/>
          <w:u w:val="single"/>
          <w:lang w:val="en-US" w:eastAsia="zh-CN"/>
        </w:rPr>
        <w:t xml:space="preserve">                        </w:t>
      </w:r>
      <w:r>
        <w:rPr>
          <w:rFonts w:hint="eastAsia" w:ascii="仿宋_GB2312" w:hAnsi="仿宋_GB2312" w:eastAsia="仿宋_GB2312" w:cs="仿宋_GB2312"/>
          <w:b w:val="0"/>
          <w:bCs w:val="0"/>
          <w:i/>
          <w:iCs/>
          <w:sz w:val="24"/>
          <w:szCs w:val="24"/>
          <w:highlight w:val="none"/>
          <w:u w:val="none"/>
        </w:rPr>
        <w:t>项目</w:t>
      </w:r>
      <w:r>
        <w:rPr>
          <w:rFonts w:hint="eastAsia" w:ascii="仿宋_GB2312" w:hAnsi="仿宋_GB2312" w:eastAsia="仿宋_GB2312" w:cs="仿宋_GB2312"/>
          <w:i/>
          <w:iCs/>
          <w:sz w:val="24"/>
          <w:szCs w:val="24"/>
          <w:highlight w:val="none"/>
        </w:rPr>
        <w:t>，买方向卖方购买设备一宗，详见附件《设备清单明细表》，本合同不含税总价为</w:t>
      </w:r>
      <w:r>
        <w:rPr>
          <w:rFonts w:hint="eastAsia" w:ascii="仿宋_GB2312" w:hAnsi="仿宋_GB2312" w:eastAsia="仿宋_GB2312" w:cs="仿宋_GB2312"/>
          <w:b/>
          <w:bCs/>
          <w:i/>
          <w:iCs/>
          <w:sz w:val="24"/>
          <w:szCs w:val="24"/>
          <w:highlight w:val="none"/>
          <w:u w:val="single"/>
          <w:lang w:val="en-US" w:eastAsia="zh-CN"/>
        </w:rPr>
        <w:t xml:space="preserve">            </w:t>
      </w:r>
      <w:r>
        <w:rPr>
          <w:rFonts w:hint="eastAsia" w:ascii="仿宋_GB2312" w:hAnsi="仿宋_GB2312" w:eastAsia="仿宋_GB2312" w:cs="仿宋_GB2312"/>
          <w:i/>
          <w:iCs/>
          <w:sz w:val="24"/>
          <w:szCs w:val="24"/>
          <w:highlight w:val="none"/>
        </w:rPr>
        <w:t>元，税额</w:t>
      </w:r>
      <w:r>
        <w:rPr>
          <w:rFonts w:hint="eastAsia" w:ascii="仿宋_GB2312" w:hAnsi="仿宋_GB2312" w:eastAsia="仿宋_GB2312" w:cs="仿宋_GB2312"/>
          <w:b/>
          <w:bCs/>
          <w:i/>
          <w:iCs/>
          <w:sz w:val="24"/>
          <w:szCs w:val="24"/>
          <w:highlight w:val="none"/>
          <w:u w:val="single"/>
          <w:lang w:val="en-US" w:eastAsia="zh-CN"/>
        </w:rPr>
        <w:t xml:space="preserve">                </w:t>
      </w:r>
      <w:r>
        <w:rPr>
          <w:rFonts w:hint="eastAsia" w:ascii="仿宋_GB2312" w:hAnsi="仿宋_GB2312" w:eastAsia="仿宋_GB2312" w:cs="仿宋_GB2312"/>
          <w:i/>
          <w:iCs/>
          <w:sz w:val="24"/>
          <w:szCs w:val="24"/>
          <w:highlight w:val="none"/>
        </w:rPr>
        <w:t>元，含税总价</w:t>
      </w:r>
      <w:r>
        <w:rPr>
          <w:rFonts w:hint="eastAsia" w:ascii="仿宋_GB2312" w:hAnsi="仿宋_GB2312" w:eastAsia="仿宋_GB2312" w:cs="仿宋_GB2312"/>
          <w:b/>
          <w:bCs/>
          <w:i/>
          <w:iCs/>
          <w:sz w:val="24"/>
          <w:szCs w:val="24"/>
          <w:highlight w:val="none"/>
          <w:u w:val="single"/>
          <w:lang w:val="en-US" w:eastAsia="zh-CN"/>
        </w:rPr>
        <w:t xml:space="preserve">              </w:t>
      </w:r>
      <w:r>
        <w:rPr>
          <w:rFonts w:hint="eastAsia" w:ascii="仿宋_GB2312" w:hAnsi="仿宋_GB2312" w:eastAsia="仿宋_GB2312" w:cs="仿宋_GB2312"/>
          <w:i/>
          <w:iCs/>
          <w:sz w:val="24"/>
          <w:szCs w:val="24"/>
          <w:highlight w:val="none"/>
        </w:rPr>
        <w:t>元（大写：</w:t>
      </w:r>
      <w:r>
        <w:rPr>
          <w:rFonts w:hint="eastAsia" w:ascii="仿宋_GB2312" w:hAnsi="仿宋_GB2312" w:eastAsia="仿宋_GB2312" w:cs="仿宋_GB2312"/>
          <w:b/>
          <w:bCs/>
          <w:i/>
          <w:iCs/>
          <w:sz w:val="24"/>
          <w:szCs w:val="24"/>
          <w:highlight w:val="none"/>
          <w:u w:val="single"/>
        </w:rPr>
        <w:t xml:space="preserve"> </w:t>
      </w:r>
      <w:r>
        <w:rPr>
          <w:rFonts w:hint="eastAsia" w:ascii="仿宋_GB2312" w:hAnsi="仿宋_GB2312" w:eastAsia="仿宋_GB2312" w:cs="仿宋_GB2312"/>
          <w:b/>
          <w:bCs/>
          <w:i/>
          <w:iCs/>
          <w:sz w:val="24"/>
          <w:szCs w:val="24"/>
          <w:highlight w:val="none"/>
          <w:u w:val="single"/>
          <w:lang w:val="en-US" w:eastAsia="zh-CN"/>
        </w:rPr>
        <w:t xml:space="preserve">             </w:t>
      </w:r>
      <w:r>
        <w:rPr>
          <w:rFonts w:hint="eastAsia" w:ascii="仿宋_GB2312" w:hAnsi="仿宋_GB2312" w:eastAsia="仿宋_GB2312" w:cs="仿宋_GB2312"/>
          <w:i/>
          <w:iCs/>
          <w:sz w:val="24"/>
          <w:szCs w:val="24"/>
          <w:highlight w:val="none"/>
        </w:rPr>
        <w:t>）。</w:t>
      </w:r>
    </w:p>
    <w:p w14:paraId="785AF8BC">
      <w:pPr>
        <w:spacing w:line="360" w:lineRule="auto"/>
        <w:ind w:firstLine="480" w:firstLineChars="200"/>
        <w:rPr>
          <w:rFonts w:ascii="方正小标宋简体" w:hAnsi="宋体" w:eastAsia="仿宋_GB2312"/>
          <w:i/>
          <w:iCs/>
          <w:sz w:val="24"/>
          <w:szCs w:val="24"/>
          <w:highlight w:val="none"/>
          <w:u w:val="thick"/>
        </w:rPr>
      </w:pPr>
      <w:r>
        <w:rPr>
          <w:rFonts w:hint="eastAsia" w:ascii="仿宋_GB2312" w:eastAsia="仿宋_GB2312" w:hAnsiTheme="minorEastAsia" w:cstheme="minorEastAsia"/>
          <w:i/>
          <w:iCs/>
          <w:sz w:val="24"/>
          <w:szCs w:val="24"/>
          <w:highlight w:val="none"/>
        </w:rPr>
        <w:t>1.2交货方式</w:t>
      </w:r>
      <w:r>
        <w:rPr>
          <w:rFonts w:hint="eastAsia" w:ascii="仿宋_GB2312" w:eastAsia="仿宋_GB2312" w:hAnsiTheme="minorEastAsia" w:cstheme="minorEastAsia"/>
          <w:bCs/>
          <w:i/>
          <w:iCs/>
          <w:sz w:val="24"/>
          <w:szCs w:val="24"/>
          <w:highlight w:val="none"/>
        </w:rPr>
        <w:t>：</w:t>
      </w:r>
      <w:r>
        <w:rPr>
          <w:rFonts w:hint="eastAsia" w:ascii="仿宋_GB2312" w:hAnsi="宋体" w:eastAsia="仿宋_GB2312"/>
          <w:b/>
          <w:bCs/>
          <w:i/>
          <w:iCs/>
          <w:sz w:val="24"/>
          <w:szCs w:val="24"/>
          <w:highlight w:val="none"/>
          <w:u w:val="single"/>
          <w:lang w:val="en-US" w:eastAsia="zh-CN"/>
        </w:rPr>
        <w:t xml:space="preserve">           </w:t>
      </w:r>
      <w:r>
        <w:rPr>
          <w:rFonts w:hint="eastAsia" w:ascii="仿宋_GB2312" w:hAnsi="宋体" w:eastAsia="仿宋_GB2312"/>
          <w:b w:val="0"/>
          <w:bCs w:val="0"/>
          <w:i/>
          <w:iCs/>
          <w:sz w:val="24"/>
          <w:szCs w:val="24"/>
          <w:highlight w:val="none"/>
          <w:u w:val="none"/>
        </w:rPr>
        <w:t>。</w:t>
      </w:r>
    </w:p>
    <w:p w14:paraId="6548D746">
      <w:pPr>
        <w:spacing w:line="360" w:lineRule="auto"/>
        <w:ind w:firstLine="480" w:firstLineChars="200"/>
        <w:rPr>
          <w:rFonts w:ascii="仿宋_GB2312" w:eastAsia="仿宋_GB2312" w:hAnsiTheme="minorEastAsia" w:cstheme="minorEastAsia"/>
          <w:i/>
          <w:iCs/>
          <w:sz w:val="24"/>
          <w:szCs w:val="24"/>
          <w:highlight w:val="none"/>
        </w:rPr>
      </w:pPr>
      <w:r>
        <w:rPr>
          <w:rFonts w:hint="eastAsia" w:ascii="仿宋_GB2312" w:eastAsia="仿宋_GB2312" w:hAnsiTheme="minorEastAsia" w:cstheme="minorEastAsia"/>
          <w:i/>
          <w:iCs/>
          <w:sz w:val="24"/>
          <w:szCs w:val="24"/>
          <w:highlight w:val="none"/>
        </w:rPr>
        <w:t>1.3交货地点：</w:t>
      </w:r>
      <w:r>
        <w:rPr>
          <w:rFonts w:hint="eastAsia" w:ascii="仿宋_GB2312" w:eastAsia="仿宋_GB2312" w:hAnsiTheme="minorEastAsia" w:cstheme="minorEastAsia"/>
          <w:b/>
          <w:bCs/>
          <w:i/>
          <w:iCs/>
          <w:sz w:val="24"/>
          <w:szCs w:val="24"/>
          <w:highlight w:val="none"/>
          <w:u w:val="single"/>
          <w:lang w:val="en-US" w:eastAsia="zh-CN"/>
        </w:rPr>
        <w:t xml:space="preserve">                    </w:t>
      </w:r>
      <w:r>
        <w:rPr>
          <w:rFonts w:hint="eastAsia" w:ascii="仿宋_GB2312" w:eastAsia="仿宋_GB2312" w:hAnsiTheme="minorEastAsia" w:cstheme="minorEastAsia"/>
          <w:b w:val="0"/>
          <w:bCs w:val="0"/>
          <w:i/>
          <w:iCs/>
          <w:sz w:val="24"/>
          <w:szCs w:val="24"/>
          <w:highlight w:val="none"/>
          <w:u w:val="none"/>
        </w:rPr>
        <w:t>。</w:t>
      </w:r>
      <w:r>
        <w:rPr>
          <w:rFonts w:hint="eastAsia" w:ascii="仿宋_GB2312" w:eastAsia="仿宋_GB2312" w:hAnsiTheme="minorEastAsia" w:cstheme="minorEastAsia"/>
          <w:i/>
          <w:iCs/>
          <w:sz w:val="24"/>
          <w:szCs w:val="24"/>
          <w:highlight w:val="none"/>
          <w:u w:val="none"/>
        </w:rPr>
        <w:t xml:space="preserve">  </w:t>
      </w:r>
    </w:p>
    <w:p w14:paraId="78C67564">
      <w:pPr>
        <w:spacing w:line="360" w:lineRule="auto"/>
        <w:ind w:firstLine="480" w:firstLineChars="200"/>
        <w:rPr>
          <w:rFonts w:ascii="方正小标宋简体" w:hAnsi="宋体" w:eastAsia="仿宋_GB2312"/>
          <w:i/>
          <w:iCs/>
          <w:sz w:val="24"/>
          <w:szCs w:val="24"/>
          <w:highlight w:val="none"/>
          <w:u w:val="thick"/>
        </w:rPr>
      </w:pPr>
      <w:r>
        <w:rPr>
          <w:rFonts w:hint="eastAsia" w:ascii="仿宋_GB2312" w:eastAsia="仿宋_GB2312" w:hAnsiTheme="minorEastAsia" w:cstheme="minorEastAsia"/>
          <w:i/>
          <w:iCs/>
          <w:sz w:val="24"/>
          <w:szCs w:val="24"/>
          <w:highlight w:val="none"/>
        </w:rPr>
        <w:t>1.4到货时间：</w:t>
      </w:r>
      <w:r>
        <w:rPr>
          <w:rFonts w:hint="eastAsia" w:ascii="仿宋_GB2312" w:eastAsia="仿宋_GB2312" w:hAnsiTheme="minorEastAsia" w:cstheme="minorEastAsia"/>
          <w:b/>
          <w:bCs/>
          <w:i/>
          <w:iCs/>
          <w:sz w:val="24"/>
          <w:szCs w:val="24"/>
          <w:highlight w:val="none"/>
          <w:u w:val="single"/>
          <w:lang w:val="en-US" w:eastAsia="zh-CN"/>
        </w:rPr>
        <w:t xml:space="preserve">                 </w:t>
      </w:r>
      <w:r>
        <w:rPr>
          <w:rFonts w:hint="eastAsia" w:ascii="仿宋_GB2312" w:eastAsia="仿宋_GB2312" w:hAnsiTheme="minorEastAsia" w:cstheme="minorEastAsia"/>
          <w:b/>
          <w:bCs/>
          <w:i/>
          <w:iCs/>
          <w:sz w:val="24"/>
          <w:szCs w:val="24"/>
          <w:highlight w:val="none"/>
          <w:u w:val="none"/>
          <w:lang w:val="en-US" w:eastAsia="zh-CN"/>
        </w:rPr>
        <w:t xml:space="preserve"> </w:t>
      </w:r>
      <w:r>
        <w:rPr>
          <w:rFonts w:hint="eastAsia" w:ascii="仿宋_GB2312" w:eastAsia="仿宋_GB2312" w:hAnsiTheme="minorEastAsia" w:cstheme="minorEastAsia"/>
          <w:i/>
          <w:iCs/>
          <w:sz w:val="24"/>
          <w:szCs w:val="24"/>
          <w:highlight w:val="none"/>
          <w:u w:val="none"/>
        </w:rPr>
        <w:t>。</w:t>
      </w:r>
    </w:p>
    <w:p w14:paraId="4AF26931">
      <w:pPr>
        <w:pStyle w:val="15"/>
        <w:spacing w:after="0" w:line="360" w:lineRule="auto"/>
        <w:ind w:firstLine="480" w:firstLineChars="200"/>
        <w:rPr>
          <w:rFonts w:ascii="仿宋_GB2312" w:eastAsia="仿宋_GB2312" w:hAnsiTheme="minorEastAsia" w:cstheme="minorEastAsia"/>
          <w:i/>
          <w:iCs/>
          <w:kern w:val="2"/>
          <w:sz w:val="24"/>
          <w:szCs w:val="24"/>
          <w:highlight w:val="none"/>
        </w:rPr>
      </w:pPr>
      <w:r>
        <w:rPr>
          <w:rFonts w:hint="eastAsia" w:ascii="仿宋_GB2312" w:eastAsia="仿宋_GB2312" w:hAnsiTheme="minorEastAsia" w:cstheme="minorEastAsia"/>
          <w:i/>
          <w:iCs/>
          <w:kern w:val="2"/>
          <w:sz w:val="24"/>
          <w:szCs w:val="24"/>
          <w:highlight w:val="none"/>
        </w:rPr>
        <w:t>1.5</w:t>
      </w:r>
      <w:r>
        <w:rPr>
          <w:rFonts w:ascii="仿宋_GB2312" w:eastAsia="仿宋_GB2312" w:hAnsiTheme="minorEastAsia" w:cstheme="minorEastAsia"/>
          <w:i/>
          <w:iCs/>
          <w:kern w:val="2"/>
          <w:sz w:val="24"/>
          <w:szCs w:val="24"/>
          <w:highlight w:val="none"/>
        </w:rPr>
        <w:t xml:space="preserve"> </w:t>
      </w:r>
      <w:r>
        <w:rPr>
          <w:rFonts w:hint="eastAsia" w:ascii="仿宋_GB2312" w:eastAsia="仿宋_GB2312" w:hAnsiTheme="minorEastAsia" w:cstheme="minorEastAsia"/>
          <w:i/>
          <w:iCs/>
          <w:kern w:val="2"/>
          <w:sz w:val="24"/>
          <w:szCs w:val="24"/>
          <w:highlight w:val="none"/>
        </w:rPr>
        <w:t>安装调试时长：</w:t>
      </w:r>
      <w:r>
        <w:rPr>
          <w:rFonts w:ascii="仿宋_GB2312" w:eastAsia="仿宋_GB2312" w:hAnsiTheme="minorEastAsia" w:cstheme="minorEastAsia"/>
          <w:i/>
          <w:iCs/>
          <w:kern w:val="2"/>
          <w:sz w:val="24"/>
          <w:szCs w:val="24"/>
          <w:highlight w:val="none"/>
        </w:rPr>
        <w:t>卖方须在到货后</w:t>
      </w:r>
      <w:r>
        <w:rPr>
          <w:rFonts w:hint="eastAsia" w:ascii="仿宋_GB2312" w:eastAsia="仿宋_GB2312" w:hAnsiTheme="minorEastAsia" w:cstheme="minorEastAsia"/>
          <w:b/>
          <w:bCs/>
          <w:i/>
          <w:iCs/>
          <w:kern w:val="2"/>
          <w:sz w:val="24"/>
          <w:szCs w:val="24"/>
          <w:highlight w:val="none"/>
          <w:u w:val="single"/>
          <w:lang w:val="en-US" w:eastAsia="zh-CN"/>
        </w:rPr>
        <w:t xml:space="preserve">    </w:t>
      </w:r>
      <w:r>
        <w:rPr>
          <w:rFonts w:hint="eastAsia" w:ascii="仿宋_GB2312" w:eastAsia="仿宋_GB2312" w:hAnsiTheme="minorEastAsia" w:cstheme="minorEastAsia"/>
          <w:b/>
          <w:bCs/>
          <w:i/>
          <w:iCs/>
          <w:kern w:val="2"/>
          <w:sz w:val="24"/>
          <w:szCs w:val="24"/>
          <w:highlight w:val="none"/>
          <w:u w:val="single"/>
        </w:rPr>
        <w:t>日</w:t>
      </w:r>
      <w:r>
        <w:rPr>
          <w:rFonts w:hint="eastAsia" w:ascii="仿宋_GB2312" w:eastAsia="仿宋_GB2312" w:hAnsiTheme="minorEastAsia" w:cstheme="minorEastAsia"/>
          <w:i/>
          <w:iCs/>
          <w:kern w:val="2"/>
          <w:sz w:val="24"/>
          <w:szCs w:val="24"/>
          <w:highlight w:val="none"/>
        </w:rPr>
        <w:t>个日历日内安装调试完成。</w:t>
      </w:r>
    </w:p>
    <w:p w14:paraId="071CE968">
      <w:pPr>
        <w:pStyle w:val="15"/>
        <w:spacing w:after="0" w:line="360" w:lineRule="auto"/>
        <w:ind w:firstLine="480" w:firstLineChars="200"/>
        <w:rPr>
          <w:rFonts w:ascii="仿宋_GB2312" w:eastAsia="仿宋_GB2312" w:hAnsiTheme="minorEastAsia" w:cstheme="minorEastAsia"/>
          <w:i/>
          <w:iCs/>
          <w:kern w:val="2"/>
          <w:sz w:val="24"/>
          <w:szCs w:val="24"/>
          <w:highlight w:val="none"/>
        </w:rPr>
      </w:pPr>
      <w:r>
        <w:rPr>
          <w:rFonts w:hint="eastAsia" w:ascii="仿宋_GB2312" w:eastAsia="仿宋_GB2312" w:hAnsiTheme="minorEastAsia" w:cstheme="minorEastAsia"/>
          <w:i/>
          <w:iCs/>
          <w:kern w:val="2"/>
          <w:sz w:val="24"/>
          <w:szCs w:val="24"/>
          <w:highlight w:val="none"/>
        </w:rPr>
        <w:t>1.6 终验收时长：安装调试完成后</w:t>
      </w:r>
      <w:r>
        <w:rPr>
          <w:rFonts w:hint="eastAsia" w:ascii="仿宋_GB2312" w:eastAsia="仿宋_GB2312" w:hAnsiTheme="minorEastAsia" w:cstheme="minorEastAsia"/>
          <w:i/>
          <w:iCs/>
          <w:kern w:val="2"/>
          <w:sz w:val="24"/>
          <w:szCs w:val="24"/>
          <w:highlight w:val="none"/>
          <w:u w:val="single"/>
          <w:lang w:val="en-US" w:eastAsia="zh-CN"/>
        </w:rPr>
        <w:t xml:space="preserve">   </w:t>
      </w:r>
      <w:r>
        <w:rPr>
          <w:rFonts w:hint="eastAsia" w:ascii="仿宋_GB2312" w:eastAsia="仿宋_GB2312" w:hAnsiTheme="minorEastAsia" w:cstheme="minorEastAsia"/>
          <w:i/>
          <w:iCs/>
          <w:kern w:val="2"/>
          <w:sz w:val="24"/>
          <w:szCs w:val="24"/>
          <w:highlight w:val="none"/>
        </w:rPr>
        <w:t>个工作日内完成终验收。</w:t>
      </w:r>
    </w:p>
    <w:p w14:paraId="702F19EC">
      <w:pPr>
        <w:pStyle w:val="15"/>
        <w:spacing w:after="0" w:line="360" w:lineRule="auto"/>
        <w:ind w:firstLine="480" w:firstLineChars="200"/>
        <w:rPr>
          <w:rFonts w:ascii="仿宋_GB2312" w:eastAsia="仿宋_GB2312" w:hAnsiTheme="minorEastAsia" w:cstheme="minorEastAsia"/>
          <w:i/>
          <w:iCs/>
          <w:sz w:val="24"/>
          <w:szCs w:val="24"/>
          <w:highlight w:val="none"/>
        </w:rPr>
      </w:pPr>
      <w:r>
        <w:rPr>
          <w:rFonts w:hint="eastAsia" w:ascii="仿宋_GB2312" w:eastAsia="仿宋_GB2312" w:hAnsiTheme="minorEastAsia" w:cstheme="minorEastAsia"/>
          <w:i/>
          <w:iCs/>
          <w:sz w:val="24"/>
          <w:szCs w:val="24"/>
          <w:highlight w:val="none"/>
        </w:rPr>
        <w:t>1.7调试消耗产品数量：</w:t>
      </w:r>
      <w:r>
        <w:rPr>
          <w:rFonts w:ascii="仿宋_GB2312" w:eastAsia="仿宋_GB2312" w:hAnsiTheme="minorEastAsia" w:cstheme="minorEastAsia"/>
          <w:i/>
          <w:iCs/>
          <w:sz w:val="24"/>
          <w:szCs w:val="24"/>
          <w:highlight w:val="none"/>
        </w:rPr>
        <w:t>若设备安装、调试过程中需使用买方产品的，买方提供调试所用产品数量</w:t>
      </w:r>
      <w:r>
        <w:rPr>
          <w:rFonts w:hint="eastAsia" w:ascii="仿宋_GB2312" w:eastAsia="仿宋_GB2312" w:hAnsiTheme="minorEastAsia" w:cstheme="minorEastAsia"/>
          <w:b/>
          <w:bCs/>
          <w:i/>
          <w:iCs/>
          <w:sz w:val="24"/>
          <w:szCs w:val="24"/>
          <w:highlight w:val="none"/>
          <w:u w:val="single"/>
          <w:lang w:val="en-US" w:eastAsia="zh-CN"/>
        </w:rPr>
        <w:t xml:space="preserve">    </w:t>
      </w:r>
      <w:r>
        <w:rPr>
          <w:rFonts w:ascii="仿宋_GB2312" w:eastAsia="仿宋_GB2312" w:hAnsiTheme="minorEastAsia" w:cstheme="minorEastAsia"/>
          <w:i/>
          <w:iCs/>
          <w:sz w:val="24"/>
          <w:szCs w:val="24"/>
          <w:highlight w:val="none"/>
        </w:rPr>
        <w:t>件，超出此数量部分由卖方提供，由此产生的相关费用由卖方承担。</w:t>
      </w:r>
    </w:p>
    <w:p w14:paraId="6B119828">
      <w:pPr>
        <w:spacing w:line="360" w:lineRule="auto"/>
        <w:ind w:firstLine="480" w:firstLineChars="200"/>
        <w:rPr>
          <w:rFonts w:ascii="仿宋_GB2312" w:hAnsi="黑体" w:eastAsia="仿宋_GB2312" w:cstheme="minorEastAsia"/>
          <w:i/>
          <w:iCs/>
          <w:sz w:val="24"/>
          <w:szCs w:val="24"/>
          <w:highlight w:val="none"/>
        </w:rPr>
      </w:pPr>
      <w:r>
        <w:rPr>
          <w:rFonts w:hint="eastAsia" w:ascii="仿宋_GB2312" w:hAnsi="黑体" w:eastAsia="仿宋_GB2312" w:cstheme="minorEastAsia"/>
          <w:i/>
          <w:iCs/>
          <w:sz w:val="24"/>
          <w:szCs w:val="24"/>
          <w:highlight w:val="none"/>
        </w:rPr>
        <w:t>1.8设备质量保证期：自最终验收报告签署之日（存在分批次到货安装调试情形的，以验收报告签署日期最晚者为准）起</w:t>
      </w:r>
      <w:r>
        <w:rPr>
          <w:rFonts w:hint="eastAsia" w:ascii="仿宋_GB2312" w:eastAsia="仿宋_GB2312" w:hAnsiTheme="minorEastAsia" w:cstheme="minorEastAsia"/>
          <w:b/>
          <w:bCs/>
          <w:i/>
          <w:iCs/>
          <w:sz w:val="24"/>
          <w:szCs w:val="24"/>
          <w:highlight w:val="none"/>
          <w:u w:val="single"/>
          <w:lang w:val="en-US" w:eastAsia="zh-CN"/>
        </w:rPr>
        <w:t xml:space="preserve">     </w:t>
      </w:r>
      <w:r>
        <w:rPr>
          <w:rFonts w:hint="eastAsia" w:ascii="仿宋_GB2312" w:eastAsia="仿宋_GB2312" w:hAnsiTheme="minorEastAsia" w:cstheme="minorEastAsia"/>
          <w:i/>
          <w:iCs/>
          <w:sz w:val="24"/>
          <w:szCs w:val="24"/>
          <w:highlight w:val="none"/>
        </w:rPr>
        <w:t>个月</w:t>
      </w:r>
      <w:r>
        <w:rPr>
          <w:rFonts w:hint="eastAsia" w:ascii="仿宋_GB2312" w:hAnsi="黑体" w:eastAsia="仿宋_GB2312" w:cstheme="minorEastAsia"/>
          <w:i/>
          <w:iCs/>
          <w:sz w:val="24"/>
          <w:szCs w:val="24"/>
          <w:highlight w:val="none"/>
        </w:rPr>
        <w:t>。</w:t>
      </w:r>
    </w:p>
    <w:p w14:paraId="4A19A59B">
      <w:pPr>
        <w:pStyle w:val="128"/>
        <w:bidi w:val="0"/>
        <w:rPr>
          <w:rFonts w:hint="eastAsia" w:ascii="宋体" w:eastAsia="宋体"/>
          <w:i/>
          <w:iCs/>
          <w:lang w:val="en-US" w:eastAsia="zh-CN"/>
        </w:rPr>
      </w:pPr>
      <w:bookmarkStart w:id="101" w:name="_Toc30605"/>
      <w:bookmarkStart w:id="102" w:name="_Toc10163"/>
      <w:r>
        <w:rPr>
          <w:rFonts w:hint="eastAsia" w:ascii="宋体" w:eastAsia="宋体"/>
          <w:i/>
          <w:iCs/>
          <w:lang w:val="en-US" w:eastAsia="zh-CN"/>
        </w:rPr>
        <w:t>2.结算付款约定</w:t>
      </w:r>
      <w:bookmarkEnd w:id="101"/>
      <w:bookmarkEnd w:id="102"/>
    </w:p>
    <w:p w14:paraId="7F1BFED4">
      <w:pPr>
        <w:spacing w:line="360" w:lineRule="auto"/>
        <w:ind w:firstLine="480" w:firstLineChars="200"/>
        <w:rPr>
          <w:rFonts w:ascii="仿宋_GB2312" w:hAnsi="黑体" w:eastAsia="仿宋_GB2312" w:cstheme="minorEastAsia"/>
          <w:b/>
          <w:bCs/>
          <w:i/>
          <w:iCs/>
          <w:sz w:val="24"/>
          <w:szCs w:val="24"/>
          <w:highlight w:val="none"/>
          <w:u w:val="single"/>
        </w:rPr>
      </w:pPr>
      <w:r>
        <w:rPr>
          <w:rFonts w:hint="eastAsia" w:ascii="仿宋_GB2312" w:hAnsi="黑体" w:eastAsia="仿宋_GB2312" w:cstheme="minorEastAsia"/>
          <w:i/>
          <w:iCs/>
          <w:sz w:val="24"/>
          <w:szCs w:val="24"/>
          <w:highlight w:val="none"/>
        </w:rPr>
        <w:t>2.1结算方式：</w:t>
      </w:r>
      <w:r>
        <w:rPr>
          <w:rFonts w:hint="eastAsia" w:ascii="仿宋_GB2312" w:hAnsi="宋体" w:eastAsia="仿宋_GB2312"/>
          <w:b/>
          <w:bCs/>
          <w:i/>
          <w:iCs/>
          <w:sz w:val="24"/>
          <w:szCs w:val="24"/>
          <w:highlight w:val="none"/>
          <w:u w:val="single"/>
          <w:lang w:val="en-US" w:eastAsia="zh-CN"/>
        </w:rPr>
        <w:t xml:space="preserve">                </w:t>
      </w:r>
      <w:r>
        <w:rPr>
          <w:rFonts w:hint="eastAsia" w:ascii="仿宋_GB2312" w:hAnsi="黑体" w:eastAsia="仿宋_GB2312" w:cstheme="minorEastAsia"/>
          <w:b w:val="0"/>
          <w:bCs w:val="0"/>
          <w:i/>
          <w:iCs/>
          <w:sz w:val="24"/>
          <w:szCs w:val="24"/>
          <w:highlight w:val="none"/>
          <w:u w:val="none"/>
        </w:rPr>
        <w:t>。</w:t>
      </w:r>
    </w:p>
    <w:p w14:paraId="31499B87">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2.2结算币种：本合同使用</w:t>
      </w:r>
      <w:r>
        <w:rPr>
          <w:rFonts w:hint="eastAsia" w:ascii="仿宋_GB2312" w:hAnsi="仿宋_GB2312" w:eastAsia="仿宋_GB2312" w:cs="仿宋_GB2312"/>
          <w:b w:val="0"/>
          <w:bCs w:val="0"/>
          <w:i/>
          <w:iCs/>
          <w:sz w:val="24"/>
          <w:szCs w:val="24"/>
          <w:highlight w:val="none"/>
          <w:u w:val="single"/>
          <w:lang w:val="en-US" w:eastAsia="zh-CN"/>
        </w:rPr>
        <w:t xml:space="preserve">     </w:t>
      </w:r>
      <w:r>
        <w:rPr>
          <w:rFonts w:hint="eastAsia" w:ascii="仿宋_GB2312" w:hAnsi="仿宋_GB2312" w:eastAsia="仿宋_GB2312" w:cs="仿宋_GB2312"/>
          <w:i/>
          <w:iCs/>
          <w:sz w:val="24"/>
          <w:szCs w:val="24"/>
          <w:highlight w:val="none"/>
        </w:rPr>
        <w:t>进行结算。</w:t>
      </w:r>
    </w:p>
    <w:p w14:paraId="23D856BA">
      <w:pPr>
        <w:spacing w:line="360" w:lineRule="auto"/>
        <w:ind w:firstLine="480" w:firstLineChars="200"/>
        <w:rPr>
          <w:rFonts w:ascii="仿宋_GB2312" w:hAnsi="黑体" w:eastAsia="仿宋_GB2312" w:cstheme="minorEastAsia"/>
          <w:i/>
          <w:iCs/>
          <w:sz w:val="24"/>
          <w:szCs w:val="24"/>
          <w:highlight w:val="none"/>
        </w:rPr>
      </w:pPr>
      <w:r>
        <w:rPr>
          <w:rFonts w:hint="eastAsia" w:ascii="仿宋_GB2312" w:hAnsi="黑体" w:eastAsia="仿宋_GB2312" w:cstheme="minorEastAsia"/>
          <w:i/>
          <w:iCs/>
          <w:sz w:val="24"/>
          <w:szCs w:val="24"/>
          <w:highlight w:val="none"/>
        </w:rPr>
        <w:t>2.3合同价款支付：</w:t>
      </w:r>
    </w:p>
    <w:p w14:paraId="10932A3A">
      <w:pPr>
        <w:spacing w:line="360" w:lineRule="auto"/>
        <w:ind w:firstLine="480" w:firstLineChars="200"/>
        <w:rPr>
          <w:rFonts w:ascii="仿宋_GB2312" w:hAnsi="黑体" w:eastAsia="仿宋_GB2312" w:cstheme="minorEastAsia"/>
          <w:i/>
          <w:iCs/>
          <w:sz w:val="24"/>
          <w:szCs w:val="24"/>
          <w:highlight w:val="none"/>
        </w:rPr>
      </w:pPr>
      <w:r>
        <w:rPr>
          <w:rFonts w:hint="eastAsia" w:ascii="仿宋_GB2312" w:hAnsi="黑体" w:eastAsia="仿宋_GB2312" w:cstheme="minorEastAsia"/>
          <w:i/>
          <w:iCs/>
          <w:sz w:val="24"/>
          <w:szCs w:val="24"/>
          <w:highlight w:val="none"/>
        </w:rPr>
        <w:t>2.3.1</w:t>
      </w:r>
      <w:r>
        <w:rPr>
          <w:rFonts w:hint="eastAsia" w:ascii="仿宋_GB2312" w:hAnsi="黑体" w:eastAsia="仿宋_GB2312" w:cstheme="minorEastAsia"/>
          <w:b/>
          <w:bCs/>
          <w:i/>
          <w:iCs/>
          <w:sz w:val="24"/>
          <w:szCs w:val="24"/>
          <w:highlight w:val="none"/>
          <w:u w:val="single"/>
          <w:lang w:val="en-US" w:eastAsia="zh-CN"/>
        </w:rPr>
        <w:t xml:space="preserve">                </w:t>
      </w:r>
      <w:r>
        <w:rPr>
          <w:rFonts w:hint="eastAsia" w:ascii="仿宋_GB2312" w:hAnsi="黑体" w:eastAsia="仿宋_GB2312" w:cstheme="minorEastAsia"/>
          <w:i/>
          <w:iCs/>
          <w:sz w:val="24"/>
          <w:szCs w:val="24"/>
          <w:highlight w:val="none"/>
        </w:rPr>
        <w:t>, 卖方提交金额为合同含税总价款</w:t>
      </w:r>
      <w:r>
        <w:rPr>
          <w:rFonts w:hint="eastAsia" w:ascii="仿宋_GB2312" w:hAnsi="黑体" w:eastAsia="仿宋_GB2312" w:cstheme="minorEastAsia"/>
          <w:b/>
          <w:bCs/>
          <w:i/>
          <w:iCs/>
          <w:sz w:val="24"/>
          <w:szCs w:val="24"/>
          <w:highlight w:val="none"/>
          <w:u w:val="single"/>
          <w:lang w:val="en-US" w:eastAsia="zh-CN"/>
        </w:rPr>
        <w:t xml:space="preserve">  </w:t>
      </w:r>
      <w:r>
        <w:rPr>
          <w:rFonts w:hint="eastAsia" w:ascii="仿宋_GB2312" w:hAnsi="黑体" w:eastAsia="仿宋_GB2312" w:cstheme="minorEastAsia"/>
          <w:i/>
          <w:iCs/>
          <w:sz w:val="24"/>
          <w:szCs w:val="24"/>
          <w:highlight w:val="none"/>
        </w:rPr>
        <w:t>%即</w:t>
      </w:r>
      <w:r>
        <w:rPr>
          <w:rFonts w:hint="eastAsia" w:ascii="仿宋_GB2312" w:hAnsi="黑体" w:eastAsia="仿宋_GB2312" w:cstheme="minorEastAsia"/>
          <w:b/>
          <w:bCs/>
          <w:i/>
          <w:iCs/>
          <w:sz w:val="24"/>
          <w:szCs w:val="24"/>
          <w:highlight w:val="none"/>
          <w:u w:val="single"/>
          <w:lang w:val="en-US" w:eastAsia="zh-CN"/>
        </w:rPr>
        <w:t xml:space="preserve">           </w:t>
      </w:r>
      <w:r>
        <w:rPr>
          <w:rFonts w:hint="eastAsia" w:ascii="仿宋_GB2312" w:hAnsi="黑体" w:eastAsia="仿宋_GB2312" w:cstheme="minorEastAsia"/>
          <w:i/>
          <w:iCs/>
          <w:sz w:val="24"/>
          <w:szCs w:val="24"/>
          <w:highlight w:val="none"/>
        </w:rPr>
        <w:t>元的收据及对应金额的增值税专用发票，经买方财务审核无误后按照</w:t>
      </w:r>
      <w:r>
        <w:rPr>
          <w:rFonts w:hint="eastAsia" w:ascii="仿宋_GB2312" w:hAnsi="黑体" w:eastAsia="仿宋_GB2312" w:cstheme="minorEastAsia"/>
          <w:b/>
          <w:bCs/>
          <w:i/>
          <w:iCs/>
          <w:sz w:val="24"/>
          <w:szCs w:val="24"/>
          <w:highlight w:val="none"/>
          <w:u w:val="single"/>
          <w:lang w:val="en-US" w:eastAsia="zh-CN"/>
        </w:rPr>
        <w:t xml:space="preserve">                 </w:t>
      </w:r>
      <w:r>
        <w:rPr>
          <w:rFonts w:hint="eastAsia" w:ascii="仿宋_GB2312" w:hAnsi="黑体" w:eastAsia="仿宋_GB2312" w:cstheme="minorEastAsia"/>
          <w:i/>
          <w:iCs/>
          <w:sz w:val="24"/>
          <w:szCs w:val="24"/>
          <w:highlight w:val="none"/>
        </w:rPr>
        <w:t>执行。</w:t>
      </w:r>
    </w:p>
    <w:p w14:paraId="5AA1E567">
      <w:pPr>
        <w:spacing w:line="360" w:lineRule="auto"/>
        <w:ind w:firstLine="480" w:firstLineChars="200"/>
        <w:rPr>
          <w:rFonts w:ascii="仿宋_GB2312" w:hAnsi="黑体" w:eastAsia="仿宋_GB2312" w:cstheme="minorEastAsia"/>
          <w:i/>
          <w:iCs/>
          <w:sz w:val="24"/>
          <w:szCs w:val="24"/>
          <w:highlight w:val="none"/>
        </w:rPr>
      </w:pPr>
      <w:r>
        <w:rPr>
          <w:rFonts w:hint="eastAsia" w:ascii="仿宋_GB2312" w:hAnsi="黑体" w:eastAsia="仿宋_GB2312" w:cstheme="minorEastAsia"/>
          <w:i/>
          <w:iCs/>
          <w:sz w:val="24"/>
          <w:szCs w:val="24"/>
          <w:highlight w:val="none"/>
        </w:rPr>
        <w:t>2.3.2</w:t>
      </w:r>
      <w:r>
        <w:rPr>
          <w:rFonts w:hint="eastAsia" w:ascii="仿宋_GB2312" w:hAnsi="黑体" w:eastAsia="仿宋_GB2312" w:cstheme="minorEastAsia"/>
          <w:b/>
          <w:bCs/>
          <w:i/>
          <w:iCs/>
          <w:sz w:val="24"/>
          <w:szCs w:val="24"/>
          <w:highlight w:val="none"/>
          <w:u w:val="single"/>
          <w:lang w:val="en-US" w:eastAsia="zh-CN"/>
        </w:rPr>
        <w:t xml:space="preserve">              </w:t>
      </w:r>
      <w:r>
        <w:rPr>
          <w:rFonts w:hint="eastAsia" w:ascii="仿宋_GB2312" w:hAnsi="黑体" w:eastAsia="仿宋_GB2312" w:cstheme="minorEastAsia"/>
          <w:b/>
          <w:bCs/>
          <w:i/>
          <w:iCs/>
          <w:sz w:val="24"/>
          <w:szCs w:val="24"/>
          <w:highlight w:val="none"/>
        </w:rPr>
        <w:t>，</w:t>
      </w:r>
      <w:r>
        <w:rPr>
          <w:rFonts w:hint="eastAsia" w:ascii="仿宋_GB2312" w:hAnsi="黑体" w:eastAsia="仿宋_GB2312" w:cstheme="minorEastAsia"/>
          <w:i/>
          <w:iCs/>
          <w:sz w:val="24"/>
          <w:szCs w:val="24"/>
          <w:highlight w:val="none"/>
        </w:rPr>
        <w:t>卖方提交金额为合同含税总价款</w:t>
      </w:r>
      <w:r>
        <w:rPr>
          <w:rFonts w:hint="eastAsia" w:ascii="仿宋_GB2312" w:hAnsi="黑体" w:eastAsia="仿宋_GB2312" w:cstheme="minorEastAsia"/>
          <w:b/>
          <w:bCs/>
          <w:i/>
          <w:iCs/>
          <w:sz w:val="24"/>
          <w:szCs w:val="24"/>
          <w:highlight w:val="none"/>
          <w:u w:val="single"/>
          <w:lang w:val="en-US" w:eastAsia="zh-CN"/>
        </w:rPr>
        <w:t xml:space="preserve">  </w:t>
      </w:r>
      <w:r>
        <w:rPr>
          <w:rFonts w:hint="eastAsia" w:ascii="仿宋_GB2312" w:hAnsi="黑体" w:eastAsia="仿宋_GB2312" w:cstheme="minorEastAsia"/>
          <w:i/>
          <w:iCs/>
          <w:sz w:val="24"/>
          <w:szCs w:val="24"/>
          <w:highlight w:val="none"/>
        </w:rPr>
        <w:t>%即</w:t>
      </w:r>
      <w:r>
        <w:rPr>
          <w:rFonts w:hint="eastAsia" w:ascii="仿宋_GB2312" w:hAnsi="黑体" w:eastAsia="仿宋_GB2312" w:cstheme="minorEastAsia"/>
          <w:b/>
          <w:bCs/>
          <w:i/>
          <w:iCs/>
          <w:sz w:val="24"/>
          <w:szCs w:val="24"/>
          <w:highlight w:val="none"/>
          <w:u w:val="single"/>
          <w:lang w:val="en-US" w:eastAsia="zh-CN"/>
        </w:rPr>
        <w:t xml:space="preserve">                </w:t>
      </w:r>
      <w:r>
        <w:rPr>
          <w:rFonts w:hint="eastAsia" w:ascii="仿宋_GB2312" w:hAnsi="黑体" w:eastAsia="仿宋_GB2312" w:cstheme="minorEastAsia"/>
          <w:i/>
          <w:iCs/>
          <w:sz w:val="24"/>
          <w:szCs w:val="24"/>
          <w:highlight w:val="none"/>
        </w:rPr>
        <w:t>元的收据及对应金额的增值税专用发票，经买方财务审核无误后按照</w:t>
      </w:r>
      <w:r>
        <w:rPr>
          <w:rFonts w:hint="eastAsia" w:ascii="仿宋_GB2312" w:hAnsi="黑体" w:eastAsia="仿宋_GB2312" w:cstheme="minorEastAsia"/>
          <w:b/>
          <w:bCs/>
          <w:i/>
          <w:iCs/>
          <w:sz w:val="24"/>
          <w:szCs w:val="24"/>
          <w:highlight w:val="none"/>
          <w:u w:val="single"/>
          <w:lang w:val="en-US" w:eastAsia="zh-CN"/>
        </w:rPr>
        <w:t xml:space="preserve">               </w:t>
      </w:r>
      <w:r>
        <w:rPr>
          <w:rFonts w:hint="eastAsia" w:ascii="仿宋_GB2312" w:hAnsi="黑体" w:eastAsia="仿宋_GB2312" w:cstheme="minorEastAsia"/>
          <w:i/>
          <w:iCs/>
          <w:sz w:val="24"/>
          <w:szCs w:val="24"/>
          <w:highlight w:val="none"/>
        </w:rPr>
        <w:t>执行。</w:t>
      </w:r>
    </w:p>
    <w:p w14:paraId="71828A87">
      <w:pPr>
        <w:tabs>
          <w:tab w:val="right" w:leader="dot" w:pos="9061"/>
        </w:tabs>
        <w:spacing w:before="312" w:beforeLines="100" w:line="360" w:lineRule="auto"/>
        <w:ind w:firstLine="453" w:firstLineChars="189"/>
        <w:outlineLvl w:val="1"/>
        <w:rPr>
          <w:rFonts w:hint="eastAsia" w:ascii="仿宋_GB2312" w:hAnsi="黑体" w:eastAsia="仿宋_GB2312" w:cstheme="minorEastAsia"/>
          <w:i/>
          <w:iCs/>
          <w:sz w:val="24"/>
          <w:szCs w:val="24"/>
          <w:highlight w:val="none"/>
        </w:rPr>
      </w:pPr>
      <w:bookmarkStart w:id="103" w:name="_Toc27272"/>
      <w:bookmarkStart w:id="104" w:name="_Toc7533"/>
      <w:r>
        <w:rPr>
          <w:rFonts w:hint="eastAsia" w:ascii="仿宋_GB2312" w:hAnsi="黑体" w:eastAsia="仿宋_GB2312" w:cstheme="minorEastAsia"/>
          <w:i/>
          <w:iCs/>
          <w:sz w:val="24"/>
          <w:szCs w:val="24"/>
          <w:highlight w:val="none"/>
        </w:rPr>
        <w:t>2.3.3合同含税总价款的</w:t>
      </w:r>
      <w:r>
        <w:rPr>
          <w:rFonts w:hint="eastAsia" w:ascii="仿宋_GB2312" w:hAnsi="黑体" w:eastAsia="仿宋_GB2312" w:cstheme="minorEastAsia"/>
          <w:b/>
          <w:bCs/>
          <w:i/>
          <w:iCs/>
          <w:sz w:val="24"/>
          <w:szCs w:val="24"/>
          <w:highlight w:val="none"/>
          <w:u w:val="single"/>
          <w:lang w:val="en-US" w:eastAsia="zh-CN"/>
        </w:rPr>
        <w:t xml:space="preserve">   </w:t>
      </w:r>
      <w:r>
        <w:rPr>
          <w:rFonts w:hint="eastAsia" w:ascii="仿宋_GB2312" w:hAnsi="黑体" w:eastAsia="仿宋_GB2312" w:cstheme="minorEastAsia"/>
          <w:i/>
          <w:iCs/>
          <w:sz w:val="24"/>
          <w:szCs w:val="24"/>
          <w:highlight w:val="none"/>
        </w:rPr>
        <w:t>%即</w:t>
      </w:r>
      <w:r>
        <w:rPr>
          <w:rFonts w:hint="eastAsia" w:ascii="仿宋_GB2312" w:hAnsi="黑体" w:eastAsia="仿宋_GB2312" w:cstheme="minorEastAsia"/>
          <w:b/>
          <w:bCs/>
          <w:i/>
          <w:iCs/>
          <w:sz w:val="24"/>
          <w:szCs w:val="24"/>
          <w:highlight w:val="none"/>
          <w:u w:val="single"/>
          <w:lang w:val="en-US" w:eastAsia="zh-CN"/>
        </w:rPr>
        <w:t xml:space="preserve">          </w:t>
      </w:r>
      <w:r>
        <w:rPr>
          <w:rFonts w:hint="eastAsia" w:ascii="仿宋_GB2312" w:hAnsi="黑体" w:eastAsia="仿宋_GB2312" w:cstheme="minorEastAsia"/>
          <w:i/>
          <w:iCs/>
          <w:sz w:val="24"/>
          <w:szCs w:val="24"/>
          <w:highlight w:val="none"/>
        </w:rPr>
        <w:t>元作为本合同约定设备的质量保证金，质量保证金在质量保证期内不计利息。待合同设备质量保证期满后，卖方向买方提交质量保证金收据及设备使用单位的使用情况说明，经买方财务审核无误后按照</w:t>
      </w:r>
      <w:r>
        <w:rPr>
          <w:rFonts w:hint="eastAsia" w:ascii="仿宋_GB2312" w:hAnsi="黑体" w:eastAsia="仿宋_GB2312" w:cstheme="minorEastAsia"/>
          <w:b/>
          <w:bCs/>
          <w:i/>
          <w:iCs/>
          <w:sz w:val="24"/>
          <w:szCs w:val="24"/>
          <w:highlight w:val="none"/>
          <w:u w:val="single"/>
          <w:lang w:val="en-US" w:eastAsia="zh-CN"/>
        </w:rPr>
        <w:t xml:space="preserve">       </w:t>
      </w:r>
      <w:r>
        <w:rPr>
          <w:rFonts w:hint="eastAsia" w:ascii="仿宋_GB2312" w:hAnsi="黑体" w:eastAsia="仿宋_GB2312" w:cstheme="minorEastAsia"/>
          <w:i/>
          <w:iCs/>
          <w:sz w:val="24"/>
          <w:szCs w:val="24"/>
          <w:highlight w:val="none"/>
        </w:rPr>
        <w:t>支付。如有质量问题，质量保证金予以相应扣除。</w:t>
      </w:r>
      <w:bookmarkEnd w:id="103"/>
      <w:bookmarkEnd w:id="104"/>
    </w:p>
    <w:p w14:paraId="4207DEEF">
      <w:pPr>
        <w:spacing w:line="360" w:lineRule="auto"/>
        <w:ind w:firstLine="432" w:firstLineChars="200"/>
        <w:rPr>
          <w:rFonts w:ascii="仿宋_GB2312" w:hAnsi="仿宋_GB2312" w:eastAsia="仿宋_GB2312" w:cs="仿宋_GB2312"/>
          <w:i/>
          <w:iCs/>
          <w:w w:val="90"/>
          <w:sz w:val="24"/>
          <w:szCs w:val="24"/>
          <w:highlight w:val="none"/>
        </w:rPr>
      </w:pPr>
      <w:r>
        <w:rPr>
          <w:rFonts w:hint="eastAsia" w:ascii="仿宋_GB2312" w:hAnsi="仿宋_GB2312" w:eastAsia="仿宋_GB2312" w:cs="仿宋_GB2312"/>
          <w:i/>
          <w:iCs/>
          <w:w w:val="90"/>
          <w:sz w:val="24"/>
          <w:szCs w:val="24"/>
          <w:highlight w:val="none"/>
        </w:rPr>
        <w:t>合同履行过程中，如甲乙双方基本信息发生变更，应及时以书面形式告知对方并就付款账户信息变更签署相关补充协议。</w:t>
      </w:r>
    </w:p>
    <w:p w14:paraId="09B2ABDD">
      <w:pPr>
        <w:pStyle w:val="128"/>
        <w:bidi w:val="0"/>
        <w:rPr>
          <w:rFonts w:hint="eastAsia" w:ascii="宋体" w:eastAsia="宋体"/>
          <w:i/>
          <w:iCs/>
          <w:lang w:val="en-US" w:eastAsia="zh-CN"/>
        </w:rPr>
      </w:pPr>
      <w:r>
        <w:rPr>
          <w:rFonts w:hint="eastAsia" w:ascii="宋体" w:eastAsia="宋体"/>
          <w:i/>
          <w:iCs/>
          <w:lang w:val="en-US" w:eastAsia="zh-CN"/>
        </w:rPr>
        <w:t>3.生效条款</w:t>
      </w:r>
    </w:p>
    <w:p w14:paraId="26341F3B">
      <w:pPr>
        <w:spacing w:line="360" w:lineRule="auto"/>
        <w:ind w:firstLine="480"/>
        <w:rPr>
          <w:i/>
          <w:iCs/>
          <w:highlight w:val="none"/>
        </w:rPr>
      </w:pPr>
      <w:r>
        <w:rPr>
          <w:rFonts w:ascii="仿宋_GB2312" w:hAnsi="仿宋_GB2312" w:eastAsia="仿宋_GB2312"/>
          <w:i/>
          <w:iCs/>
          <w:sz w:val="24"/>
          <w:highlight w:val="none"/>
        </w:rPr>
        <w:t>3.1本合同经双方签署后生效。</w:t>
      </w:r>
    </w:p>
    <w:p w14:paraId="4FC9466C">
      <w:pPr>
        <w:spacing w:line="360" w:lineRule="auto"/>
        <w:ind w:firstLine="480"/>
        <w:rPr>
          <w:i/>
          <w:iCs/>
          <w:highlight w:val="none"/>
        </w:rPr>
      </w:pPr>
      <w:r>
        <w:rPr>
          <w:rFonts w:ascii="仿宋_GB2312" w:hAnsi="仿宋_GB2312" w:eastAsia="仿宋_GB2312"/>
          <w:i/>
          <w:iCs/>
          <w:sz w:val="24"/>
          <w:highlight w:val="none"/>
        </w:rPr>
        <w:t>3.2本合同一式四份，甲乙双方各执两份，具有同等法律效力。</w:t>
      </w:r>
    </w:p>
    <w:p w14:paraId="0EB2E8DF">
      <w:pPr>
        <w:pStyle w:val="128"/>
        <w:bidi w:val="0"/>
        <w:rPr>
          <w:rFonts w:hint="eastAsia" w:ascii="宋体" w:eastAsia="宋体"/>
          <w:i/>
          <w:iCs/>
          <w:lang w:val="en-US" w:eastAsia="zh-CN"/>
        </w:rPr>
      </w:pPr>
      <w:r>
        <w:rPr>
          <w:rFonts w:hint="eastAsia" w:ascii="宋体" w:eastAsia="宋体"/>
          <w:i/>
          <w:iCs/>
          <w:lang w:val="en-US" w:eastAsia="zh-CN"/>
        </w:rPr>
        <w:t>4.特殊约定</w:t>
      </w:r>
    </w:p>
    <w:p w14:paraId="67315AEC">
      <w:pPr>
        <w:widowControl/>
        <w:adjustRightInd w:val="0"/>
        <w:snapToGrid w:val="0"/>
        <w:spacing w:line="360" w:lineRule="auto"/>
        <w:ind w:firstLine="480" w:firstLineChars="200"/>
        <w:jc w:val="left"/>
        <w:rPr>
          <w:rFonts w:hint="eastAsia" w:ascii="仿宋_GB2312" w:hAnsi="宋体" w:eastAsia="仿宋_GB2312"/>
          <w:i/>
          <w:iCs/>
          <w:snapToGrid w:val="0"/>
          <w:kern w:val="0"/>
          <w:sz w:val="24"/>
          <w:szCs w:val="24"/>
          <w:highlight w:val="none"/>
          <w:lang w:eastAsia="zh-Hans"/>
        </w:rPr>
      </w:pPr>
    </w:p>
    <w:p w14:paraId="54971012">
      <w:pPr>
        <w:widowControl/>
        <w:adjustRightInd w:val="0"/>
        <w:snapToGrid w:val="0"/>
        <w:spacing w:line="360" w:lineRule="auto"/>
        <w:ind w:firstLine="480" w:firstLineChars="200"/>
        <w:jc w:val="left"/>
        <w:rPr>
          <w:rFonts w:hint="eastAsia" w:ascii="仿宋_GB2312" w:hAnsi="宋体" w:eastAsia="仿宋_GB2312"/>
          <w:i/>
          <w:iCs/>
          <w:snapToGrid w:val="0"/>
          <w:kern w:val="0"/>
          <w:sz w:val="24"/>
          <w:szCs w:val="24"/>
          <w:highlight w:val="none"/>
          <w:lang w:eastAsia="zh-Hans"/>
        </w:rPr>
      </w:pPr>
    </w:p>
    <w:p w14:paraId="4BBED396">
      <w:pPr>
        <w:widowControl/>
        <w:adjustRightInd w:val="0"/>
        <w:snapToGrid w:val="0"/>
        <w:spacing w:line="360" w:lineRule="auto"/>
        <w:ind w:firstLine="480" w:firstLineChars="200"/>
        <w:jc w:val="left"/>
        <w:rPr>
          <w:rFonts w:hint="default" w:ascii="仿宋_GB2312" w:hAnsi="宋体" w:eastAsia="仿宋_GB2312"/>
          <w:i/>
          <w:iCs/>
          <w:snapToGrid w:val="0"/>
          <w:kern w:val="0"/>
          <w:sz w:val="24"/>
          <w:szCs w:val="24"/>
          <w:highlight w:val="none"/>
          <w:lang w:val="en-US" w:eastAsia="zh-CN"/>
        </w:rPr>
      </w:pPr>
      <w:r>
        <w:rPr>
          <w:rFonts w:hint="eastAsia" w:ascii="仿宋_GB2312" w:hAnsi="宋体" w:eastAsia="仿宋_GB2312"/>
          <w:i/>
          <w:iCs/>
          <w:snapToGrid w:val="0"/>
          <w:kern w:val="0"/>
          <w:sz w:val="24"/>
          <w:szCs w:val="24"/>
          <w:highlight w:val="none"/>
          <w:lang w:eastAsia="zh-Hans"/>
        </w:rPr>
        <w:t>甲方</w:t>
      </w:r>
      <w:r>
        <w:rPr>
          <w:rFonts w:hint="eastAsia" w:ascii="仿宋_GB2312" w:hAnsi="宋体" w:eastAsia="仿宋_GB2312"/>
          <w:i/>
          <w:iCs/>
          <w:snapToGrid w:val="0"/>
          <w:kern w:val="0"/>
          <w:sz w:val="24"/>
          <w:szCs w:val="24"/>
          <w:highlight w:val="none"/>
        </w:rPr>
        <w:t>（盖章）</w:t>
      </w:r>
      <w:r>
        <w:rPr>
          <w:rFonts w:hint="eastAsia" w:ascii="仿宋_GB2312" w:hAnsi="宋体" w:eastAsia="仿宋_GB2312"/>
          <w:i/>
          <w:iCs/>
          <w:snapToGrid w:val="0"/>
          <w:kern w:val="0"/>
          <w:sz w:val="24"/>
          <w:szCs w:val="24"/>
          <w:highlight w:val="none"/>
          <w:lang w:eastAsia="zh-Hans"/>
        </w:rPr>
        <w:t>：</w:t>
      </w:r>
      <w:r>
        <w:rPr>
          <w:rFonts w:hint="eastAsia" w:ascii="仿宋_GB2312" w:hAnsi="宋体" w:eastAsia="仿宋_GB2312"/>
          <w:b/>
          <w:bCs/>
          <w:i/>
          <w:iCs/>
          <w:snapToGrid w:val="0"/>
          <w:kern w:val="0"/>
          <w:sz w:val="24"/>
          <w:szCs w:val="24"/>
          <w:highlight w:val="none"/>
          <w:u w:val="single"/>
          <w:lang w:val="en-US" w:eastAsia="zh-CN"/>
        </w:rPr>
        <w:t xml:space="preserve">                         </w:t>
      </w:r>
    </w:p>
    <w:p w14:paraId="0053F67C">
      <w:pPr>
        <w:widowControl/>
        <w:adjustRightInd w:val="0"/>
        <w:snapToGrid w:val="0"/>
        <w:spacing w:line="360" w:lineRule="auto"/>
        <w:ind w:firstLine="480" w:firstLineChars="200"/>
        <w:jc w:val="left"/>
        <w:rPr>
          <w:rFonts w:hint="eastAsia" w:ascii="仿宋_GB2312" w:hAnsi="宋体" w:eastAsia="仿宋_GB2312"/>
          <w:i/>
          <w:iCs/>
          <w:snapToGrid w:val="0"/>
          <w:color w:val="000000"/>
          <w:kern w:val="0"/>
          <w:sz w:val="24"/>
          <w:szCs w:val="24"/>
          <w:highlight w:val="none"/>
        </w:rPr>
      </w:pPr>
    </w:p>
    <w:p w14:paraId="750945D4">
      <w:pPr>
        <w:widowControl/>
        <w:adjustRightInd w:val="0"/>
        <w:snapToGrid w:val="0"/>
        <w:spacing w:line="360" w:lineRule="auto"/>
        <w:ind w:firstLine="480" w:firstLineChars="200"/>
        <w:jc w:val="left"/>
        <w:rPr>
          <w:rFonts w:ascii="仿宋_GB2312" w:hAnsi="宋体" w:eastAsia="仿宋_GB2312"/>
          <w:i/>
          <w:iCs/>
          <w:snapToGrid w:val="0"/>
          <w:color w:val="000000"/>
          <w:kern w:val="0"/>
          <w:sz w:val="24"/>
          <w:szCs w:val="24"/>
          <w:highlight w:val="none"/>
          <w:lang w:eastAsia="zh-Hans"/>
        </w:rPr>
      </w:pPr>
      <w:r>
        <w:rPr>
          <w:rFonts w:hint="eastAsia" w:ascii="仿宋_GB2312" w:hAnsi="宋体" w:eastAsia="仿宋_GB2312"/>
          <w:i/>
          <w:iCs/>
          <w:snapToGrid w:val="0"/>
          <w:color w:val="000000"/>
          <w:kern w:val="0"/>
          <w:sz w:val="24"/>
          <w:szCs w:val="24"/>
          <w:highlight w:val="none"/>
        </w:rPr>
        <w:t>甲方代表</w:t>
      </w:r>
      <w:r>
        <w:rPr>
          <w:rFonts w:hint="eastAsia" w:ascii="仿宋_GB2312" w:hAnsi="宋体" w:eastAsia="仿宋_GB2312"/>
          <w:i/>
          <w:iCs/>
          <w:snapToGrid w:val="0"/>
          <w:color w:val="000000"/>
          <w:kern w:val="0"/>
          <w:sz w:val="24"/>
          <w:szCs w:val="24"/>
          <w:highlight w:val="none"/>
          <w:lang w:eastAsia="zh-Hans"/>
        </w:rPr>
        <w:t xml:space="preserve">（签字）：         </w:t>
      </w:r>
      <w:r>
        <w:rPr>
          <w:rFonts w:hint="eastAsia" w:ascii="仿宋_GB2312" w:hAnsi="宋体" w:eastAsia="仿宋_GB2312"/>
          <w:i/>
          <w:iCs/>
          <w:snapToGrid w:val="0"/>
          <w:kern w:val="0"/>
          <w:sz w:val="24"/>
          <w:szCs w:val="24"/>
          <w:highlight w:val="none"/>
          <w:lang w:eastAsia="zh-Hans"/>
        </w:rPr>
        <w:t xml:space="preserve">       </w:t>
      </w:r>
      <w:r>
        <w:rPr>
          <w:rFonts w:hint="eastAsia" w:ascii="仿宋_GB2312" w:hAnsi="宋体" w:eastAsia="仿宋_GB2312"/>
          <w:i/>
          <w:iCs/>
          <w:snapToGrid w:val="0"/>
          <w:color w:val="000000"/>
          <w:kern w:val="0"/>
          <w:sz w:val="24"/>
          <w:szCs w:val="24"/>
          <w:highlight w:val="none"/>
          <w:lang w:eastAsia="zh-Hans"/>
        </w:rPr>
        <w:t xml:space="preserve"> </w:t>
      </w:r>
    </w:p>
    <w:p w14:paraId="348E4B3E">
      <w:pPr>
        <w:widowControl/>
        <w:adjustRightInd w:val="0"/>
        <w:snapToGrid w:val="0"/>
        <w:spacing w:line="360" w:lineRule="auto"/>
        <w:ind w:firstLine="480" w:firstLineChars="200"/>
        <w:jc w:val="left"/>
        <w:rPr>
          <w:rFonts w:ascii="仿宋_GB2312" w:hAnsi="宋体" w:eastAsia="仿宋_GB2312"/>
          <w:i/>
          <w:iCs/>
          <w:snapToGrid w:val="0"/>
          <w:kern w:val="0"/>
          <w:sz w:val="24"/>
          <w:szCs w:val="24"/>
          <w:highlight w:val="none"/>
        </w:rPr>
      </w:pPr>
      <w:r>
        <w:rPr>
          <w:rFonts w:hint="eastAsia" w:ascii="仿宋_GB2312" w:hAnsi="宋体" w:eastAsia="仿宋_GB2312"/>
          <w:i/>
          <w:iCs/>
          <w:snapToGrid w:val="0"/>
          <w:color w:val="000000"/>
          <w:kern w:val="0"/>
          <w:sz w:val="24"/>
          <w:szCs w:val="24"/>
          <w:highlight w:val="none"/>
          <w:lang w:eastAsia="zh-Hans"/>
        </w:rPr>
        <w:t xml:space="preserve">                        </w:t>
      </w:r>
      <w:r>
        <w:rPr>
          <w:rFonts w:hint="eastAsia" w:ascii="仿宋_GB2312" w:hAnsi="宋体" w:eastAsia="仿宋_GB2312"/>
          <w:i/>
          <w:iCs/>
          <w:snapToGrid w:val="0"/>
          <w:kern w:val="0"/>
          <w:sz w:val="24"/>
          <w:szCs w:val="24"/>
          <w:highlight w:val="none"/>
          <w:lang w:eastAsia="zh-Hans"/>
        </w:rPr>
        <w:t xml:space="preserve">        </w:t>
      </w:r>
    </w:p>
    <w:p w14:paraId="16106AAE">
      <w:pPr>
        <w:widowControl/>
        <w:adjustRightInd w:val="0"/>
        <w:snapToGrid w:val="0"/>
        <w:spacing w:line="360" w:lineRule="auto"/>
        <w:ind w:firstLine="480" w:firstLineChars="200"/>
        <w:jc w:val="left"/>
        <w:rPr>
          <w:rFonts w:hint="default" w:ascii="仿宋_GB2312" w:hAnsi="仿宋_GB2312" w:eastAsia="仿宋_GB2312" w:cs="仿宋_GB2312"/>
          <w:b/>
          <w:i/>
          <w:iCs/>
          <w:sz w:val="24"/>
          <w:szCs w:val="24"/>
          <w:highlight w:val="none"/>
          <w:u w:val="single"/>
          <w:lang w:val="en-US" w:eastAsia="zh-CN"/>
        </w:rPr>
      </w:pPr>
      <w:r>
        <w:rPr>
          <w:rFonts w:hint="eastAsia" w:ascii="仿宋_GB2312" w:hAnsi="宋体" w:eastAsia="仿宋_GB2312"/>
          <w:i/>
          <w:iCs/>
          <w:snapToGrid w:val="0"/>
          <w:kern w:val="0"/>
          <w:sz w:val="24"/>
          <w:szCs w:val="24"/>
          <w:highlight w:val="none"/>
        </w:rPr>
        <w:t>乙</w:t>
      </w:r>
      <w:r>
        <w:rPr>
          <w:rFonts w:hint="eastAsia" w:ascii="仿宋_GB2312" w:hAnsi="宋体" w:eastAsia="仿宋_GB2312"/>
          <w:i/>
          <w:iCs/>
          <w:snapToGrid w:val="0"/>
          <w:kern w:val="0"/>
          <w:sz w:val="24"/>
          <w:szCs w:val="24"/>
          <w:highlight w:val="none"/>
          <w:lang w:eastAsia="zh-Hans"/>
        </w:rPr>
        <w:t>方</w:t>
      </w:r>
      <w:r>
        <w:rPr>
          <w:rFonts w:hint="eastAsia" w:ascii="仿宋_GB2312" w:hAnsi="宋体" w:eastAsia="仿宋_GB2312"/>
          <w:i/>
          <w:iCs/>
          <w:snapToGrid w:val="0"/>
          <w:kern w:val="0"/>
          <w:sz w:val="24"/>
          <w:szCs w:val="24"/>
          <w:highlight w:val="none"/>
        </w:rPr>
        <w:t>（盖章）</w:t>
      </w:r>
      <w:r>
        <w:rPr>
          <w:rFonts w:hint="eastAsia" w:ascii="仿宋_GB2312" w:hAnsi="宋体" w:eastAsia="仿宋_GB2312"/>
          <w:i/>
          <w:iCs/>
          <w:snapToGrid w:val="0"/>
          <w:kern w:val="0"/>
          <w:sz w:val="24"/>
          <w:szCs w:val="24"/>
          <w:highlight w:val="none"/>
          <w:lang w:eastAsia="zh-Hans"/>
        </w:rPr>
        <w:t>：</w:t>
      </w:r>
      <w:r>
        <w:rPr>
          <w:rFonts w:hint="eastAsia" w:ascii="仿宋_GB2312" w:hAnsi="仿宋_GB2312" w:eastAsia="仿宋_GB2312" w:cs="仿宋_GB2312"/>
          <w:b/>
          <w:bCs/>
          <w:i/>
          <w:iCs/>
          <w:sz w:val="24"/>
          <w:szCs w:val="24"/>
          <w:highlight w:val="none"/>
          <w:u w:val="single"/>
          <w:lang w:val="en-US" w:eastAsia="zh-CN"/>
        </w:rPr>
        <w:t xml:space="preserve">                          </w:t>
      </w:r>
    </w:p>
    <w:p w14:paraId="17225C18">
      <w:pPr>
        <w:ind w:firstLine="480" w:firstLineChars="200"/>
        <w:rPr>
          <w:rFonts w:hint="eastAsia" w:ascii="仿宋_GB2312" w:hAnsi="宋体" w:eastAsia="仿宋_GB2312"/>
          <w:i/>
          <w:iCs/>
          <w:snapToGrid w:val="0"/>
          <w:color w:val="000000"/>
          <w:kern w:val="0"/>
          <w:sz w:val="24"/>
          <w:szCs w:val="24"/>
          <w:highlight w:val="none"/>
        </w:rPr>
      </w:pPr>
    </w:p>
    <w:p w14:paraId="407FA7FE">
      <w:pPr>
        <w:ind w:firstLine="480" w:firstLineChars="200"/>
        <w:rPr>
          <w:rFonts w:ascii="仿宋_GB2312" w:hAnsi="宋体" w:eastAsia="仿宋_GB2312"/>
          <w:i/>
          <w:iCs/>
          <w:snapToGrid w:val="0"/>
          <w:color w:val="000000"/>
          <w:kern w:val="0"/>
          <w:sz w:val="24"/>
          <w:szCs w:val="24"/>
          <w:highlight w:val="none"/>
          <w:lang w:eastAsia="zh-Hans"/>
        </w:rPr>
        <w:sectPr>
          <w:footerReference r:id="rId12" w:type="default"/>
          <w:pgSz w:w="11907" w:h="16840"/>
          <w:pgMar w:top="1304" w:right="1418" w:bottom="1304" w:left="1418" w:header="724" w:footer="851" w:gutter="0"/>
          <w:cols w:space="720" w:num="1"/>
          <w:docGrid w:linePitch="290" w:charSpace="-3931"/>
        </w:sectPr>
      </w:pPr>
      <w:r>
        <w:rPr>
          <w:rFonts w:hint="eastAsia" w:ascii="仿宋_GB2312" w:hAnsi="宋体" w:eastAsia="仿宋_GB2312"/>
          <w:i/>
          <w:iCs/>
          <w:snapToGrid w:val="0"/>
          <w:color w:val="000000"/>
          <w:kern w:val="0"/>
          <w:sz w:val="24"/>
          <w:szCs w:val="24"/>
          <w:highlight w:val="none"/>
        </w:rPr>
        <w:t>乙方代表</w:t>
      </w:r>
      <w:r>
        <w:rPr>
          <w:rFonts w:hint="eastAsia" w:ascii="仿宋_GB2312" w:hAnsi="宋体" w:eastAsia="仿宋_GB2312"/>
          <w:i/>
          <w:iCs/>
          <w:snapToGrid w:val="0"/>
          <w:color w:val="000000"/>
          <w:kern w:val="0"/>
          <w:sz w:val="24"/>
          <w:szCs w:val="24"/>
          <w:highlight w:val="none"/>
          <w:lang w:eastAsia="zh-Hans"/>
        </w:rPr>
        <w:t xml:space="preserve">（签字）：  </w:t>
      </w:r>
    </w:p>
    <w:p w14:paraId="65F2FE89">
      <w:pPr>
        <w:tabs>
          <w:tab w:val="right" w:leader="dot" w:pos="9061"/>
        </w:tabs>
        <w:spacing w:before="312" w:beforeLines="100" w:line="360" w:lineRule="auto"/>
        <w:outlineLvl w:val="1"/>
        <w:rPr>
          <w:rFonts w:hint="default" w:ascii="仿宋_GB2312" w:hAnsi="黑体" w:eastAsia="仿宋_GB2312" w:cstheme="minorEastAsia"/>
          <w:sz w:val="24"/>
          <w:szCs w:val="24"/>
          <w:highlight w:val="none"/>
          <w:lang w:val="en-US" w:eastAsia="zh-CN"/>
        </w:rPr>
      </w:pPr>
    </w:p>
    <w:p w14:paraId="2528CF3C">
      <w:pPr>
        <w:jc w:val="center"/>
        <w:rPr>
          <w:rFonts w:ascii="方正小标宋简体" w:hAnsi="方正小标宋简体" w:eastAsia="方正小标宋简体" w:cs="方正小标宋简体"/>
          <w:i/>
          <w:iCs/>
          <w:w w:val="90"/>
          <w:sz w:val="44"/>
          <w:szCs w:val="44"/>
          <w:highlight w:val="none"/>
        </w:rPr>
      </w:pPr>
      <w:r>
        <w:rPr>
          <w:rFonts w:hint="eastAsia" w:ascii="方正小标宋简体" w:hAnsi="方正小标宋简体" w:eastAsia="方正小标宋简体" w:cs="方正小标宋简体"/>
          <w:i/>
          <w:iCs/>
          <w:w w:val="90"/>
          <w:sz w:val="44"/>
          <w:szCs w:val="44"/>
          <w:highlight w:val="none"/>
        </w:rPr>
        <w:t>设备采购合同</w:t>
      </w:r>
    </w:p>
    <w:p w14:paraId="4BBE796C">
      <w:pPr>
        <w:spacing w:line="360" w:lineRule="auto"/>
        <w:jc w:val="center"/>
        <w:rPr>
          <w:rFonts w:ascii="方正小标宋简体" w:hAnsi="方正小标宋简体" w:eastAsia="方正小标宋简体" w:cs="方正小标宋简体"/>
          <w:i/>
          <w:iCs/>
          <w:w w:val="90"/>
          <w:sz w:val="44"/>
          <w:szCs w:val="44"/>
          <w:highlight w:val="none"/>
        </w:rPr>
      </w:pPr>
      <w:r>
        <w:rPr>
          <w:rFonts w:hint="eastAsia" w:ascii="方正小标宋简体" w:hAnsi="方正小标宋简体" w:eastAsia="方正小标宋简体" w:cs="方正小标宋简体"/>
          <w:i/>
          <w:iCs/>
          <w:w w:val="90"/>
          <w:sz w:val="44"/>
          <w:szCs w:val="44"/>
          <w:highlight w:val="none"/>
        </w:rPr>
        <w:t>通用条款</w:t>
      </w:r>
    </w:p>
    <w:p w14:paraId="4A412624">
      <w:pPr>
        <w:pStyle w:val="128"/>
        <w:bidi w:val="0"/>
        <w:rPr>
          <w:i/>
          <w:iCs/>
        </w:rPr>
      </w:pPr>
      <w:bookmarkStart w:id="105" w:name="_Toc16330018"/>
      <w:bookmarkStart w:id="106" w:name="_Toc17100"/>
      <w:bookmarkStart w:id="107" w:name="_Toc11823"/>
      <w:bookmarkStart w:id="108" w:name="_Toc17619"/>
      <w:bookmarkStart w:id="109" w:name="_Toc19825"/>
      <w:bookmarkStart w:id="110" w:name="_Toc11930"/>
      <w:r>
        <w:rPr>
          <w:rFonts w:hint="eastAsia"/>
          <w:i/>
          <w:iCs/>
        </w:rPr>
        <w:t>1 合同设备</w:t>
      </w:r>
      <w:bookmarkEnd w:id="105"/>
      <w:bookmarkEnd w:id="106"/>
      <w:bookmarkEnd w:id="107"/>
      <w:bookmarkEnd w:id="108"/>
      <w:bookmarkEnd w:id="109"/>
      <w:bookmarkEnd w:id="110"/>
    </w:p>
    <w:p w14:paraId="42654EE0">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1.1</w:t>
      </w:r>
      <w:bookmarkStart w:id="111" w:name="_Toc32510"/>
      <w:bookmarkStart w:id="112" w:name="_Toc29026"/>
      <w:bookmarkStart w:id="113" w:name="_Toc22800"/>
      <w:r>
        <w:rPr>
          <w:rFonts w:hint="eastAsia" w:ascii="仿宋_GB2312" w:hAnsi="仿宋_GB2312" w:eastAsia="仿宋_GB2312" w:cs="仿宋_GB2312"/>
          <w:i/>
          <w:iCs/>
          <w:sz w:val="24"/>
          <w:szCs w:val="24"/>
          <w:highlight w:val="none"/>
        </w:rPr>
        <w:t>本合同约定设备的技术规格详见附件二《技术协议书》。</w:t>
      </w:r>
    </w:p>
    <w:p w14:paraId="1E0C9594">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1.2本合同约定设备的技术规格应与《技术协议书》中规定的相应标准一致。若《技术协议书》无相应规定或未签署《技术协议书》，设备的技术规格则应符合相应的国家标准、其原产地国家有关部门最新颁布的相应正式标准、买方招标文件及卖方一切书面承诺中要求的技术标准。</w:t>
      </w:r>
    </w:p>
    <w:p w14:paraId="413A4505">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1.3在设备所有权转移到买方之前，有关设备的保险由卖方负责办理并承担保险费用。</w:t>
      </w:r>
    </w:p>
    <w:p w14:paraId="55C94FF2">
      <w:pPr>
        <w:pStyle w:val="128"/>
        <w:bidi w:val="0"/>
        <w:rPr>
          <w:i/>
          <w:iCs/>
        </w:rPr>
      </w:pPr>
      <w:bookmarkStart w:id="114" w:name="_Toc5404"/>
      <w:bookmarkStart w:id="115" w:name="_Toc16330019"/>
      <w:bookmarkStart w:id="116" w:name="_Toc17080"/>
      <w:r>
        <w:rPr>
          <w:rFonts w:hint="eastAsia"/>
          <w:i/>
          <w:iCs/>
        </w:rPr>
        <w:t>2 包装</w:t>
      </w:r>
      <w:bookmarkEnd w:id="111"/>
      <w:bookmarkEnd w:id="112"/>
      <w:bookmarkEnd w:id="113"/>
      <w:bookmarkEnd w:id="114"/>
      <w:bookmarkEnd w:id="115"/>
      <w:bookmarkEnd w:id="116"/>
    </w:p>
    <w:p w14:paraId="39241512">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2.1设备的包装需采用国家标准，没有国家标准的采用行业标准，没有行业标准的应当按照通用的方式包装，没有通用方式的，应当采取足以保护设备的包装方式。这种包装应适于长途运输，并有良好的防潮、防锈和防野蛮装卸等保护措施，以确保设备在运输过程中不受损伤安全抵运现场。卖方应承担由于其包装、防护不妥而引起的设备锈蚀、损坏、丢失等任何损失的责任和费用。</w:t>
      </w:r>
    </w:p>
    <w:p w14:paraId="3D9ADA88">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2.2每件包装应附有详细的装箱单和质量证书各两套，一套在包装箱里，一套在包装箱外。</w:t>
      </w:r>
    </w:p>
    <w:p w14:paraId="51C4F6E3">
      <w:pPr>
        <w:pStyle w:val="128"/>
        <w:bidi w:val="0"/>
        <w:rPr>
          <w:i/>
          <w:iCs/>
        </w:rPr>
      </w:pPr>
      <w:bookmarkStart w:id="117" w:name="_Toc16330020"/>
      <w:bookmarkStart w:id="118" w:name="_Toc27453"/>
      <w:bookmarkStart w:id="119" w:name="_Toc27144"/>
      <w:bookmarkStart w:id="120" w:name="_Toc10188"/>
      <w:bookmarkStart w:id="121" w:name="_Toc2833"/>
      <w:bookmarkStart w:id="122" w:name="_Toc16661"/>
      <w:r>
        <w:rPr>
          <w:rFonts w:hint="eastAsia"/>
          <w:i/>
          <w:iCs/>
        </w:rPr>
        <w:t>3 运输标记</w:t>
      </w:r>
      <w:bookmarkEnd w:id="117"/>
      <w:bookmarkEnd w:id="118"/>
      <w:bookmarkEnd w:id="119"/>
      <w:bookmarkEnd w:id="120"/>
      <w:bookmarkEnd w:id="121"/>
      <w:bookmarkEnd w:id="122"/>
    </w:p>
    <w:p w14:paraId="581B0742">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3.1卖方应在每一包装箱邻近的四个侧面用不易褪色的油漆以醒目的中文印刷字体标明以下各项：</w:t>
      </w:r>
    </w:p>
    <w:p w14:paraId="7D642B65">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3.1.1收货人</w:t>
      </w:r>
    </w:p>
    <w:p w14:paraId="349C8B3C">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3.1.2合同号</w:t>
      </w:r>
    </w:p>
    <w:p w14:paraId="422FDC0D">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3.1.3发货标记（唛头）</w:t>
      </w:r>
    </w:p>
    <w:p w14:paraId="71AACFAA">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3.1.4设备的名称、品目号、箱号</w:t>
      </w:r>
    </w:p>
    <w:p w14:paraId="6DE02C16">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3.1.5毛重/净重（公斤）</w:t>
      </w:r>
    </w:p>
    <w:p w14:paraId="12092246">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3.1.6尺寸（长×宽×高，以厘米计）</w:t>
      </w:r>
    </w:p>
    <w:p w14:paraId="667F820A">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3.2根据设备的特点和运输的不同要求，卖方应在每件包装箱的两侧以国内贸易相宜的运输标志标明“重心”和“吊装点”，并以清晰的字样在包装箱上注明“小心轻放”、“勿倒置”、“防潮”等适当的标志，以方便装卸和搬运。</w:t>
      </w:r>
    </w:p>
    <w:p w14:paraId="4E52D46D">
      <w:pPr>
        <w:pStyle w:val="128"/>
        <w:bidi w:val="0"/>
        <w:rPr>
          <w:i/>
          <w:iCs/>
        </w:rPr>
      </w:pPr>
      <w:bookmarkStart w:id="123" w:name="_Toc16330021"/>
      <w:bookmarkStart w:id="124" w:name="_Toc27451"/>
      <w:bookmarkStart w:id="125" w:name="_Toc10630"/>
      <w:bookmarkStart w:id="126" w:name="_Toc16133"/>
      <w:bookmarkStart w:id="127" w:name="_Toc30635"/>
      <w:bookmarkStart w:id="128" w:name="_Toc7431"/>
      <w:r>
        <w:rPr>
          <w:rFonts w:hint="eastAsia"/>
          <w:i/>
          <w:iCs/>
        </w:rPr>
        <w:t>4 检验</w:t>
      </w:r>
      <w:bookmarkEnd w:id="123"/>
      <w:bookmarkEnd w:id="124"/>
      <w:bookmarkEnd w:id="125"/>
      <w:bookmarkEnd w:id="126"/>
      <w:bookmarkEnd w:id="127"/>
      <w:bookmarkEnd w:id="128"/>
    </w:p>
    <w:p w14:paraId="39508760">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4.1卖方在发货之前，对设备有关外观、质量、规格、性能、数量和重量进行准确的和全面的检验，并出具其设备符合本合同规定的质量保证书，但不应将其视为是对设备质量、规格、性能、数量或重量的最终定论。质量保证书应附有写明制造商检验的细节、结果的说明。设备到货并安装调试正常运行后，买方按照《技术协议书》和相关标准进行检验，检验合格后，买方签署最终验收报告。</w:t>
      </w:r>
    </w:p>
    <w:p w14:paraId="1E2FDA72">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4.2国家强制检验检测的设备，需要经过国家有关部门进行检验检测，卖方保证提供的设备通过其检验并承担费用。</w:t>
      </w:r>
    </w:p>
    <w:p w14:paraId="51DD4D8E">
      <w:pPr>
        <w:pStyle w:val="128"/>
        <w:bidi w:val="0"/>
        <w:rPr>
          <w:i/>
          <w:iCs/>
        </w:rPr>
      </w:pPr>
      <w:bookmarkStart w:id="129" w:name="_Toc6678"/>
      <w:bookmarkStart w:id="130" w:name="_Toc9562"/>
      <w:bookmarkStart w:id="131" w:name="_Toc19850"/>
      <w:bookmarkStart w:id="132" w:name="_Toc11217"/>
      <w:bookmarkStart w:id="133" w:name="_Toc16330022"/>
      <w:bookmarkStart w:id="134" w:name="_Toc24467"/>
      <w:r>
        <w:rPr>
          <w:rFonts w:hint="eastAsia"/>
          <w:i/>
          <w:iCs/>
        </w:rPr>
        <w:t>5 权利担保</w:t>
      </w:r>
      <w:bookmarkEnd w:id="129"/>
      <w:bookmarkEnd w:id="130"/>
      <w:bookmarkEnd w:id="131"/>
      <w:bookmarkEnd w:id="132"/>
      <w:bookmarkEnd w:id="133"/>
      <w:bookmarkEnd w:id="134"/>
    </w:p>
    <w:p w14:paraId="55C81CDE">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5.1卖方所交付的设备，必须是第三方不能提出任何权利或要求的设备，卖方应担保设备不存在订立本合同时不为买方所知的第三方的权利（包括但不限于抵押权、留置权等）或行政、司法查封。</w:t>
      </w:r>
    </w:p>
    <w:p w14:paraId="156DFE70">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5.2卖方应保证第三方对其提交的设备不得以侵权或其他类似理由提出合法要求，如侵犯知识产权等。</w:t>
      </w:r>
    </w:p>
    <w:p w14:paraId="41BDEDAA">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5.3任何第三方如果提出侵权指控，卖方应与第三方交涉，并承担由此引起的一切法律责任和费用以及给买方所造成的损失。</w:t>
      </w:r>
    </w:p>
    <w:p w14:paraId="047AD8FC">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5.4买方应在已知道第三方的权利或要求后的一段合理时间内，将此权利或要求的性质通知卖方。</w:t>
      </w:r>
    </w:p>
    <w:p w14:paraId="3F419EB4">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5.5如卖方需要根据买方提供的技术协议书或图纸进行生产并供货的，所有本项目中合同交付物直接包含有买方商业秘密的部分所涉及的全部知识产权（包括但不限于商标、专利、产品外观或产品生产制造的过程、方法、技术）的所有权、使用权、申请权、许可权均归买方、买方母公司或母公司其他关联方所有。</w:t>
      </w:r>
    </w:p>
    <w:p w14:paraId="562D5195">
      <w:pPr>
        <w:pStyle w:val="128"/>
        <w:bidi w:val="0"/>
        <w:rPr>
          <w:i/>
          <w:iCs/>
        </w:rPr>
      </w:pPr>
      <w:bookmarkStart w:id="135" w:name="_Toc11759"/>
      <w:bookmarkStart w:id="136" w:name="_Toc5226"/>
      <w:bookmarkStart w:id="137" w:name="_Toc16195"/>
      <w:bookmarkStart w:id="138" w:name="_Toc27500"/>
      <w:bookmarkStart w:id="139" w:name="_Toc16330023"/>
      <w:bookmarkStart w:id="140" w:name="_Toc14809"/>
      <w:r>
        <w:rPr>
          <w:rFonts w:hint="eastAsia"/>
          <w:i/>
          <w:iCs/>
        </w:rPr>
        <w:t>6 交货</w:t>
      </w:r>
      <w:bookmarkEnd w:id="135"/>
      <w:bookmarkEnd w:id="136"/>
      <w:bookmarkEnd w:id="137"/>
      <w:bookmarkEnd w:id="138"/>
      <w:bookmarkEnd w:id="139"/>
      <w:bookmarkEnd w:id="140"/>
    </w:p>
    <w:p w14:paraId="17E6C6A2">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6.1卖方应在本合同规定的到货时间前传真、邮件等给买方详细交货清单，包括合同号、设备名称、规格、数量、总毛重、总体积（立方米）和每一包装箱的尺寸（长×宽×高）、单价和总价、备妥待运日期，以及设备在运输和仓储中的特殊要求和注意事项。</w:t>
      </w:r>
    </w:p>
    <w:p w14:paraId="38CED87D">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6.2卖方应在设备装运完成后当天以传真、邮件等的形式通知买方合同号、设备名称、数量、毛重、体积（立方米）、发票金额、启运日期、预计到达日期。</w:t>
      </w:r>
    </w:p>
    <w:p w14:paraId="3D55CE00">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6.3技术资料：签订本合同后，卖方应按买方要求免费提供给买方包括但不限于：设备总装图、安装尺寸图、设备基础图、操作手册、使用说明、维修指南、服务手册等买方所需要的、与执行本合同有关的各类资料，如上述资料未按买方要求交付的，买方有权拒绝对合同设备验收（包括预验收和最终验收），并且卖方应赔偿因此给买方造成的一切损失。</w:t>
      </w:r>
    </w:p>
    <w:p w14:paraId="176C20D8">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6.4交货方式的释义</w:t>
      </w:r>
    </w:p>
    <w:p w14:paraId="58E4BD03">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6.4.1交钥匙方式：卖方负责合同设备的设计、制造、运输、定点卸货、安装、调试、培训及售后服务等所有内容，直至买方验收合格并交付使用。</w:t>
      </w:r>
    </w:p>
    <w:p w14:paraId="595D372A">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6.4.2指定地点交货：卖方依照合同约定将合同设备卸载至约定地点，经买方根据合同所约定的数量、型号及配置等内容逐一确认无误后，双方完成交付手续，同时卖方应指导协助买方进行安装调试等工作。</w:t>
      </w:r>
    </w:p>
    <w:p w14:paraId="5AFF8B32">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6.4.3自提：买方依照合同约定到卖方所在地提取合同设备，经买方根据合同所约定的数量、型号及配置等内容逐一确认无误后，双方完成交付手续。</w:t>
      </w:r>
    </w:p>
    <w:p w14:paraId="1D468B86">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6.5到货后，买卖双方代表办理移交手续，此时的移交不代表卖方合同设备所有权的转移，合同设备的保管责任仍然由卖方承担。移交内容包括：合同设备、硬件、软件、图纸、资料、质量证明文件等。</w:t>
      </w:r>
    </w:p>
    <w:p w14:paraId="6E2F1589">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6.6卖方在交付设备前需通知买方。</w:t>
      </w:r>
    </w:p>
    <w:p w14:paraId="59F7AC11">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6.7风险的转移：</w:t>
      </w:r>
    </w:p>
    <w:p w14:paraId="0E607504">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设备最终验收合格后，设备所有权由卖方转移至买方。如果在对该设备进行最终验收之前，卖方被解散、破产、收购等，其接收方应无条件承担该合同的所有责任和义务，且卖方应自出现上述事项之日起一个月内书面通知买方，如买方没有在一个月内收到明确责任义务的书面通知，则该设备所有权自动由卖方转移至买方，余款作为该设备的后续质量维护费用，买方无须再支付给卖方。在设备所有权转移之前，设备毁损、灭失等风险由卖方承担。</w:t>
      </w:r>
    </w:p>
    <w:p w14:paraId="243D76B1">
      <w:pPr>
        <w:pStyle w:val="128"/>
        <w:bidi w:val="0"/>
        <w:rPr>
          <w:i/>
          <w:iCs/>
        </w:rPr>
      </w:pPr>
      <w:bookmarkStart w:id="141" w:name="_Toc25510"/>
      <w:bookmarkStart w:id="142" w:name="_Toc2984"/>
      <w:bookmarkStart w:id="143" w:name="_Toc16330024"/>
      <w:bookmarkStart w:id="144" w:name="_Toc19871"/>
      <w:bookmarkStart w:id="145" w:name="_Toc8024"/>
      <w:bookmarkStart w:id="146" w:name="_Toc11997"/>
      <w:r>
        <w:rPr>
          <w:rFonts w:hint="eastAsia"/>
          <w:i/>
          <w:iCs/>
        </w:rPr>
        <w:t>7 安装、调试</w:t>
      </w:r>
      <w:bookmarkEnd w:id="141"/>
      <w:bookmarkEnd w:id="142"/>
      <w:bookmarkEnd w:id="143"/>
      <w:bookmarkEnd w:id="144"/>
      <w:bookmarkEnd w:id="145"/>
      <w:bookmarkEnd w:id="146"/>
    </w:p>
    <w:p w14:paraId="3C91C118">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7.1 卖方应自带用以安装、调试过程中所需的各种工具、仪器、仪表及易损件。在安装、调试过程中，卖方应自负其工作人员的食宿、交通等费用。</w:t>
      </w:r>
    </w:p>
    <w:p w14:paraId="0B280914">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7.2在安装、调试过程中，安装场地及施工人员安全，由卖方负责。由于安装、调试等原因造成买方或他人人身损害或财产损失的，由卖方承担赔偿责任。</w:t>
      </w:r>
    </w:p>
    <w:p w14:paraId="4F2C6FE0">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7.3</w:t>
      </w:r>
      <w:r>
        <w:rPr>
          <w:rFonts w:hint="eastAsia" w:ascii="仿宋_GB2312" w:hAnsi="仿宋_GB2312" w:eastAsia="仿宋_GB2312" w:cs="仿宋_GB2312"/>
          <w:bCs/>
          <w:i/>
          <w:iCs/>
          <w:sz w:val="24"/>
          <w:szCs w:val="24"/>
          <w:highlight w:val="none"/>
        </w:rPr>
        <w:t xml:space="preserve"> </w:t>
      </w:r>
      <w:r>
        <w:rPr>
          <w:rFonts w:hint="eastAsia" w:ascii="仿宋_GB2312" w:hAnsi="仿宋_GB2312" w:eastAsia="仿宋_GB2312" w:cs="仿宋_GB2312"/>
          <w:i/>
          <w:iCs/>
          <w:sz w:val="24"/>
          <w:szCs w:val="24"/>
          <w:highlight w:val="none"/>
        </w:rPr>
        <w:t>卖方须对安装、调试过程中因卖方原因造成的买方或他人人身损害或财产损失承担赔偿责任。</w:t>
      </w:r>
    </w:p>
    <w:p w14:paraId="5D6C0226">
      <w:pPr>
        <w:pStyle w:val="128"/>
        <w:bidi w:val="0"/>
        <w:rPr>
          <w:i/>
          <w:iCs/>
        </w:rPr>
      </w:pPr>
      <w:bookmarkStart w:id="147" w:name="_Toc6350"/>
      <w:bookmarkStart w:id="148" w:name="_Toc10447"/>
      <w:bookmarkStart w:id="149" w:name="_Toc14260"/>
      <w:bookmarkStart w:id="150" w:name="_Toc32595"/>
      <w:bookmarkStart w:id="151" w:name="_Toc16330025"/>
      <w:bookmarkStart w:id="152" w:name="_Toc14098"/>
      <w:r>
        <w:rPr>
          <w:rFonts w:hint="eastAsia"/>
          <w:i/>
          <w:iCs/>
        </w:rPr>
        <w:t>8 价款与支付</w:t>
      </w:r>
      <w:bookmarkEnd w:id="147"/>
      <w:bookmarkEnd w:id="148"/>
      <w:bookmarkEnd w:id="149"/>
      <w:bookmarkEnd w:id="150"/>
      <w:bookmarkEnd w:id="151"/>
      <w:bookmarkEnd w:id="152"/>
    </w:p>
    <w:p w14:paraId="72B45D14">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8.1合同价格以不含税价格为准。若因国家税收法律法规或政策调整对本合同业务的税目、税率等产生影响，双方确定本合同约定的各项业务的不含税价格不做调整，各项业务的含税价格依法依规进行调整。</w:t>
      </w:r>
    </w:p>
    <w:p w14:paraId="572BD3CF">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8.2本合同约定的含税总价包括但不限于全部（全新）产品价、备品备件价、专用工具价、运杂费（包括现场卸车费）、设计、制造、安装（或指导安装）、调试、验收、培训、技术及售后服务费、技术资料费等所有费用的总和。</w:t>
      </w:r>
    </w:p>
    <w:p w14:paraId="1A712CE6">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8.3双方约定的付款条件执行中，满足付款条件后甲方在30日内完成付款不被视为付款延迟；若甲方在满足付款条件30日后尚未完成付款的，付款延迟违约计算从满足付款条件第31日起开始计算。</w:t>
      </w:r>
    </w:p>
    <w:p w14:paraId="014EB3FC">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8.4乙方结算时，必须使用合法有效并经甲方认可的增值税专用发票，否则不予结算。因发票违规给甲方造成的增值税、所得税等损失，由乙方承担相关责任，包括但不限于税款、滞纳金、罚款及其它相关损失。</w:t>
      </w:r>
    </w:p>
    <w:p w14:paraId="32E81935">
      <w:pPr>
        <w:pStyle w:val="128"/>
        <w:bidi w:val="0"/>
        <w:rPr>
          <w:i/>
          <w:iCs/>
        </w:rPr>
      </w:pPr>
      <w:bookmarkStart w:id="153" w:name="_Toc24085"/>
      <w:bookmarkStart w:id="154" w:name="_Toc16330026"/>
      <w:bookmarkStart w:id="155" w:name="_Toc7820"/>
      <w:bookmarkStart w:id="156" w:name="_Toc25708"/>
      <w:bookmarkStart w:id="157" w:name="_Toc4241"/>
      <w:bookmarkStart w:id="158" w:name="_Toc6726"/>
      <w:r>
        <w:rPr>
          <w:rFonts w:hint="eastAsia"/>
          <w:i/>
          <w:iCs/>
        </w:rPr>
        <w:t>9 质量保证及售后服务</w:t>
      </w:r>
      <w:bookmarkEnd w:id="153"/>
      <w:bookmarkEnd w:id="154"/>
      <w:bookmarkEnd w:id="155"/>
      <w:bookmarkEnd w:id="156"/>
      <w:bookmarkEnd w:id="157"/>
      <w:bookmarkEnd w:id="158"/>
    </w:p>
    <w:p w14:paraId="76BC8AAF">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9.1卖方保证其提供的合同设备是全新的、未使用的、未经改装的、包装完好的、原厂正品，采用最佳材料和一流工艺的，并在各个方面符合本合同规定的质量、规格和性能要求。卖方保证其合同设备经过正确安装、合理操作和维护保养，在合同设备寿命期内运转良好。</w:t>
      </w:r>
    </w:p>
    <w:p w14:paraId="7EE15820">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9.2卖方承诺其提供的设备不存在任何产品缺陷，否则因卖方提供的设备存在产品缺陷而给买方造成的人身伤害和财产损失由卖方承担。</w:t>
      </w:r>
    </w:p>
    <w:p w14:paraId="71F23770">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9.3卖方承诺因其提供的设备存在瑕疵或产品缺陷而导致第三方向买方主张权利或提起诉讼的，卖方应积极配合买方进行解决或应诉，因此而发生的一切费用（包括但不限于诉讼费、仲裁费、律师费、交通费、通讯费、住宿费、餐饮费、调查取证费等）由卖方承担。</w:t>
      </w:r>
    </w:p>
    <w:p w14:paraId="557F4B6E">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9.4合同约定的设备在质量保证期届满前，如有质量问题，卖方应在收到买方或设备使用单位通知后2小时内做出回复，如需到现场解决问题，卖方应派工作人员在24小时内到达设备使用现场，并按买方要求的时间免费修复、更换相关部件，将设备修复完成。</w:t>
      </w:r>
    </w:p>
    <w:p w14:paraId="2422C466">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9.5卖方负责在买方指定的地点免费为买方培训操作及维修人员，培训内容包括：基本原理、操作使用、安全操作注意事项以及维修保养等内容。</w:t>
      </w:r>
    </w:p>
    <w:p w14:paraId="4B50104A">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9.6质量保证期满后，卖方保证向买方提供及时的、质优的、价格优惠的技术服务和备品备件供应。</w:t>
      </w:r>
    </w:p>
    <w:p w14:paraId="680DF435">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9.7质量保证期满后，如出现质量问题，卖方也应及时修复和更换，且只收取成本费，费用由买方承担，卖方对设备质量问题所负的责任直到设备使用寿命周期结束。</w:t>
      </w:r>
    </w:p>
    <w:p w14:paraId="39506A36">
      <w:pPr>
        <w:pStyle w:val="128"/>
        <w:bidi w:val="0"/>
        <w:rPr>
          <w:i/>
          <w:iCs/>
        </w:rPr>
      </w:pPr>
      <w:bookmarkStart w:id="159" w:name="_Toc15570"/>
      <w:bookmarkStart w:id="160" w:name="_Toc10359"/>
      <w:bookmarkStart w:id="161" w:name="_Toc12927"/>
      <w:bookmarkStart w:id="162" w:name="_Toc16330027"/>
      <w:bookmarkStart w:id="163" w:name="_Toc29626"/>
      <w:bookmarkStart w:id="164" w:name="_Toc5192"/>
      <w:r>
        <w:rPr>
          <w:rFonts w:hint="eastAsia"/>
          <w:i/>
          <w:iCs/>
        </w:rPr>
        <w:t>10法定责任</w:t>
      </w:r>
      <w:bookmarkEnd w:id="159"/>
      <w:bookmarkEnd w:id="160"/>
      <w:bookmarkEnd w:id="161"/>
      <w:bookmarkEnd w:id="162"/>
      <w:r>
        <w:rPr>
          <w:rFonts w:hint="eastAsia"/>
          <w:i/>
          <w:iCs/>
        </w:rPr>
        <w:t>及合规责任</w:t>
      </w:r>
      <w:bookmarkEnd w:id="163"/>
      <w:bookmarkEnd w:id="164"/>
    </w:p>
    <w:p w14:paraId="53F1F98A">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10.1卖方需遵从国家有关的法律、法规，缴纳有关的法定费用和税项。若卖方未按期交纳法定费用、税项，则卖方须补偿买方由此造成的所有费用及损失。</w:t>
      </w:r>
    </w:p>
    <w:p w14:paraId="1A308889">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10.2除非本合同中另有规定或买方同意，卖方不得全部或部分转让本合同项下的权利义务。</w:t>
      </w:r>
    </w:p>
    <w:p w14:paraId="50ECF2E6">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10.3买卖双方同意在履行本合同期间双方之间交换、披露、传递或通信的所有工业和商业信息，任何附加文件或相关文件，应该被视为商业秘密，双方应该按照此处规定仅用于本合同的签订和履行。</w:t>
      </w:r>
    </w:p>
    <w:p w14:paraId="6A8DB521">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10.4除对方预先书面同意外，任何一方在本合同签订和履行期间或本合同终止后不得向第三方披露在本合同履行过程中知悉的与对方有关的任何商业秘密。</w:t>
      </w:r>
    </w:p>
    <w:p w14:paraId="754FB650">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10.5卖方保证截至本合同签署之日，卖方及其子公司和关联公司未被列入任何国家或者地区的政府机构或者相关国际组织等发布的限制、制裁或反制清单，未隐瞒任何阻碍及可能阻碍此次交易的相关信息。如在本合同签署后发生上述情形，卖方应当在获知被列入清单后24小时之内以书面形式通知买方。</w:t>
      </w:r>
    </w:p>
    <w:p w14:paraId="1286870B">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10.6卖方已经充分了解并确保会严格遵守开展业务所需适用国家或者地区的出口管制、经济制裁和反制裁相关法律法规（简称“出口管制与制裁法律法规”）。卖方确认不存在任何因违反所需适用国家或者地区出口管制与制裁法律或其他因卖方原因导致本合同无法履行或者延迟履行的情形。如果卖方在本合同履行过程中发生或者预见到可能发生该等情形，应当及时以书面形式告知买方。如由于卖方未履行前述义务或其他可归责于卖方的原因导致延迟履行供货或无法按照本合同约定履行供货义务，卖方应承担买方因此受到的全部损失。</w:t>
      </w:r>
    </w:p>
    <w:p w14:paraId="022E9795">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10.7如本合同项下卖方所销售或者提供的任何产品、零部件、软件、技术和服务（以下统称“物项”）有可能受任何国家或者地区出口管制与制裁法律法规管辖，卖方承诺遵守全部所需适用的有关规定，并确保向买方提供该等物项的合法性与合规性。对于受到出口管制管辖的物项，卖方应当书面告知买方受控物项的全部管制信息，包括但不限于原产国、发运国、ECCN、USML编码等方面的特殊限制、物项管控要求等。</w:t>
      </w:r>
    </w:p>
    <w:p w14:paraId="0B7FC57D">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10.8如因卖方不遵守销售物项所需适用国家或地区的出口管制与制裁法律法规及监管政策而使买方遭受任何损失、费用、索赔、处罚、诉讼因由、损害、责任和费用（包括但不限于律师费，所有诉讼和/或和解费用以及法院费用），卖方应当就此承担全部赔偿责任。买方有权视情况暂停或终止其对相关合同的履行。在该等情况下，买方不构成对相关合同的违约、且不免除卖方履行合同的义务。</w:t>
      </w:r>
    </w:p>
    <w:p w14:paraId="658CE01B">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10.9买方</w:t>
      </w:r>
      <w:r>
        <w:rPr>
          <w:rFonts w:ascii="仿宋_GB2312" w:hAnsi="仿宋_GB2312" w:eastAsia="仿宋_GB2312" w:cs="仿宋_GB2312"/>
          <w:i/>
          <w:iCs/>
          <w:sz w:val="24"/>
          <w:szCs w:val="24"/>
          <w:highlight w:val="none"/>
        </w:rPr>
        <w:t>声明其不会将从</w:t>
      </w:r>
      <w:r>
        <w:rPr>
          <w:rFonts w:hint="eastAsia" w:ascii="仿宋_GB2312" w:hAnsi="仿宋_GB2312" w:eastAsia="仿宋_GB2312" w:cs="仿宋_GB2312"/>
          <w:i/>
          <w:iCs/>
          <w:sz w:val="24"/>
          <w:szCs w:val="24"/>
          <w:highlight w:val="none"/>
        </w:rPr>
        <w:t>卖方</w:t>
      </w:r>
      <w:r>
        <w:rPr>
          <w:rFonts w:ascii="仿宋_GB2312" w:hAnsi="仿宋_GB2312" w:eastAsia="仿宋_GB2312" w:cs="仿宋_GB2312"/>
          <w:i/>
          <w:iCs/>
          <w:sz w:val="24"/>
          <w:szCs w:val="24"/>
          <w:highlight w:val="none"/>
        </w:rPr>
        <w:t>处接收的任何物品直接或间接出售、出口、再出口、让与、传输或以其它方式转移给任何受限制</w:t>
      </w:r>
      <w:r>
        <w:rPr>
          <w:rFonts w:hint="eastAsia" w:ascii="仿宋_GB2312" w:hAnsi="仿宋_GB2312" w:eastAsia="仿宋_GB2312" w:cs="仿宋_GB2312"/>
          <w:i/>
          <w:iCs/>
          <w:sz w:val="24"/>
          <w:szCs w:val="24"/>
          <w:highlight w:val="none"/>
        </w:rPr>
        <w:t>方</w:t>
      </w:r>
      <w:r>
        <w:rPr>
          <w:rFonts w:ascii="仿宋_GB2312" w:hAnsi="仿宋_GB2312" w:eastAsia="仿宋_GB2312" w:cs="仿宋_GB2312"/>
          <w:i/>
          <w:iCs/>
          <w:sz w:val="24"/>
          <w:szCs w:val="24"/>
          <w:highlight w:val="none"/>
        </w:rPr>
        <w:t>，或</w:t>
      </w:r>
      <w:r>
        <w:rPr>
          <w:rFonts w:hint="eastAsia" w:ascii="仿宋_GB2312" w:hAnsi="仿宋_GB2312" w:eastAsia="仿宋_GB2312" w:cs="仿宋_GB2312"/>
          <w:i/>
          <w:iCs/>
          <w:sz w:val="24"/>
          <w:szCs w:val="24"/>
          <w:highlight w:val="none"/>
        </w:rPr>
        <w:t>者在俄罗斯、白俄罗斯、或受美国、欧盟或瑞士全面制裁的国家/地区运营的各方，或者最终用途将是在上述禁止区域的各方。</w:t>
      </w:r>
      <w:r>
        <w:rPr>
          <w:rFonts w:ascii="仿宋_GB2312" w:hAnsi="仿宋_GB2312" w:eastAsia="仿宋_GB2312" w:cs="仿宋_GB2312"/>
          <w:i/>
          <w:iCs/>
          <w:sz w:val="24"/>
          <w:szCs w:val="24"/>
          <w:highlight w:val="none"/>
        </w:rPr>
        <w:t>受限制</w:t>
      </w:r>
      <w:r>
        <w:rPr>
          <w:rFonts w:hint="eastAsia" w:ascii="仿宋_GB2312" w:hAnsi="仿宋_GB2312" w:eastAsia="仿宋_GB2312" w:cs="仿宋_GB2312"/>
          <w:i/>
          <w:iCs/>
          <w:sz w:val="24"/>
          <w:szCs w:val="24"/>
          <w:highlight w:val="none"/>
        </w:rPr>
        <w:t>方</w:t>
      </w:r>
      <w:r>
        <w:rPr>
          <w:rFonts w:ascii="仿宋_GB2312" w:hAnsi="仿宋_GB2312" w:eastAsia="仿宋_GB2312" w:cs="仿宋_GB2312"/>
          <w:i/>
          <w:iCs/>
          <w:sz w:val="24"/>
          <w:szCs w:val="24"/>
          <w:highlight w:val="none"/>
        </w:rPr>
        <w:t>是指</w:t>
      </w:r>
      <w:r>
        <w:rPr>
          <w:rFonts w:hint="eastAsia" w:ascii="仿宋_GB2312" w:hAnsi="仿宋_GB2312" w:eastAsia="仿宋_GB2312" w:cs="仿宋_GB2312"/>
          <w:i/>
          <w:iCs/>
          <w:sz w:val="24"/>
          <w:szCs w:val="24"/>
          <w:highlight w:val="none"/>
        </w:rPr>
        <w:t>政府名单上（包括欧盟、瑞士和美国）受封锁或被冻结资产或遭受其他贸易或金融限制的实体。制裁范围包括由受限制方直接或间接、合计或单独拥有50%或以上权益，或受其控制的实体。 如买方违反本条规定，卖方</w:t>
      </w:r>
      <w:r>
        <w:rPr>
          <w:rFonts w:ascii="仿宋_GB2312" w:hAnsi="仿宋_GB2312" w:eastAsia="仿宋_GB2312" w:cs="仿宋_GB2312"/>
          <w:i/>
          <w:iCs/>
          <w:sz w:val="24"/>
          <w:szCs w:val="24"/>
          <w:highlight w:val="none"/>
        </w:rPr>
        <w:t>有权单方面终止本协议并立即生效。该等终止不影响</w:t>
      </w:r>
      <w:r>
        <w:rPr>
          <w:rFonts w:hint="eastAsia" w:ascii="仿宋_GB2312" w:hAnsi="仿宋_GB2312" w:eastAsia="仿宋_GB2312" w:cs="仿宋_GB2312"/>
          <w:i/>
          <w:iCs/>
          <w:sz w:val="24"/>
          <w:szCs w:val="24"/>
          <w:highlight w:val="none"/>
        </w:rPr>
        <w:t>卖方</w:t>
      </w:r>
      <w:r>
        <w:rPr>
          <w:rFonts w:ascii="仿宋_GB2312" w:hAnsi="仿宋_GB2312" w:eastAsia="仿宋_GB2312" w:cs="仿宋_GB2312"/>
          <w:i/>
          <w:iCs/>
          <w:sz w:val="24"/>
          <w:szCs w:val="24"/>
          <w:highlight w:val="none"/>
        </w:rPr>
        <w:t>有权行使的任何追索权，且</w:t>
      </w:r>
      <w:bookmarkStart w:id="165" w:name="_Hlk162298791"/>
      <w:r>
        <w:rPr>
          <w:rFonts w:ascii="仿宋_GB2312" w:hAnsi="仿宋_GB2312" w:eastAsia="仿宋_GB2312" w:cs="仿宋_GB2312"/>
          <w:i/>
          <w:iCs/>
          <w:sz w:val="24"/>
          <w:szCs w:val="24"/>
          <w:highlight w:val="none"/>
        </w:rPr>
        <w:t>对于与</w:t>
      </w:r>
      <w:r>
        <w:rPr>
          <w:rFonts w:hint="eastAsia" w:ascii="仿宋_GB2312" w:hAnsi="仿宋_GB2312" w:eastAsia="仿宋_GB2312" w:cs="仿宋_GB2312"/>
          <w:i/>
          <w:iCs/>
          <w:sz w:val="24"/>
          <w:szCs w:val="24"/>
          <w:highlight w:val="none"/>
        </w:rPr>
        <w:t>卖方</w:t>
      </w:r>
      <w:r>
        <w:rPr>
          <w:rFonts w:ascii="仿宋_GB2312" w:hAnsi="仿宋_GB2312" w:eastAsia="仿宋_GB2312" w:cs="仿宋_GB2312"/>
          <w:i/>
          <w:iCs/>
          <w:sz w:val="24"/>
          <w:szCs w:val="24"/>
          <w:highlight w:val="none"/>
        </w:rPr>
        <w:t>决定终止履行本条项下的义务相关的任何索赔、损失或损害，</w:t>
      </w:r>
      <w:r>
        <w:rPr>
          <w:rFonts w:hint="eastAsia" w:ascii="仿宋_GB2312" w:hAnsi="仿宋_GB2312" w:eastAsia="仿宋_GB2312" w:cs="仿宋_GB2312"/>
          <w:i/>
          <w:iCs/>
          <w:sz w:val="24"/>
          <w:szCs w:val="24"/>
          <w:highlight w:val="none"/>
        </w:rPr>
        <w:t>卖方</w:t>
      </w:r>
      <w:r>
        <w:rPr>
          <w:rFonts w:ascii="仿宋_GB2312" w:hAnsi="仿宋_GB2312" w:eastAsia="仿宋_GB2312" w:cs="仿宋_GB2312"/>
          <w:i/>
          <w:iCs/>
          <w:sz w:val="24"/>
          <w:szCs w:val="24"/>
          <w:highlight w:val="none"/>
        </w:rPr>
        <w:t>无义务向</w:t>
      </w:r>
      <w:r>
        <w:rPr>
          <w:rFonts w:hint="eastAsia" w:ascii="仿宋_GB2312" w:hAnsi="仿宋_GB2312" w:eastAsia="仿宋_GB2312" w:cs="仿宋_GB2312"/>
          <w:i/>
          <w:iCs/>
          <w:sz w:val="24"/>
          <w:szCs w:val="24"/>
          <w:highlight w:val="none"/>
        </w:rPr>
        <w:t>买方</w:t>
      </w:r>
      <w:r>
        <w:rPr>
          <w:rFonts w:ascii="仿宋_GB2312" w:hAnsi="仿宋_GB2312" w:eastAsia="仿宋_GB2312" w:cs="仿宋_GB2312"/>
          <w:i/>
          <w:iCs/>
          <w:sz w:val="24"/>
          <w:szCs w:val="24"/>
          <w:highlight w:val="none"/>
        </w:rPr>
        <w:t>承担责任</w:t>
      </w:r>
      <w:bookmarkEnd w:id="165"/>
      <w:r>
        <w:rPr>
          <w:rFonts w:ascii="仿宋_GB2312" w:hAnsi="仿宋_GB2312" w:eastAsia="仿宋_GB2312" w:cs="仿宋_GB2312"/>
          <w:i/>
          <w:iCs/>
          <w:sz w:val="24"/>
          <w:szCs w:val="24"/>
          <w:highlight w:val="none"/>
        </w:rPr>
        <w:t>。</w:t>
      </w:r>
      <w:r>
        <w:rPr>
          <w:rFonts w:hint="eastAsia" w:ascii="仿宋_GB2312" w:hAnsi="仿宋_GB2312" w:eastAsia="仿宋_GB2312" w:cs="仿宋_GB2312"/>
          <w:i/>
          <w:iCs/>
          <w:sz w:val="24"/>
          <w:szCs w:val="24"/>
          <w:highlight w:val="none"/>
        </w:rPr>
        <w:t xml:space="preserve"> </w:t>
      </w:r>
    </w:p>
    <w:p w14:paraId="4D585FBC">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10.10出于项目合作目的，披露方已经或将要向接受方提供有关项目的保密信息。“保密信息”指披露方现在或将来向接受方提供的与本协议有关的任何信息和数据，包括但不限于任何类型的经营信息、技术信息、商务信息、人力资源管理信息及财务信息等，无论该等信息以何种形式提供，如纸质文件、录音、录像、照片、磁（光）盘、数据电文（包括电传、电报、传真、电子数据交换、电子邮件、电子文档）或其他，也无论该信息是以口头还是书面方式、是否标识为保密、也无论该等信息储存于何种载体（包括电子信息）。接受方承诺：</w:t>
      </w:r>
    </w:p>
    <w:p w14:paraId="4AA61EAD">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1）接受方仅能将披露方提供的保密信息用于本协议所约定的项目并承担保密义务。</w:t>
      </w:r>
    </w:p>
    <w:p w14:paraId="7AA9F3B9">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2）接受方将采取有效措施使用披露方提供的保密信息，只将该等保密信息提供给本方负责决策或实施合作事项的具体参与人员，接受方及其相关人员不得以任何方式或形式散布、披露或传播给该范围以外的人（包括接受方关联机构），也不得允许任何保密信息被泄漏、被披露、被交流。</w:t>
      </w:r>
    </w:p>
    <w:p w14:paraId="26B69DD7">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3）如果接受方为项目需要，而不得不向该第三方披露保密信息，则接受方应事先从披露方得到书面同意。接受方应在披露保密信息之前，按照与本协议相同的保护程度与该第三方签署一份保密协议。若上述第三方（包括其股东、高管、雇员）发生泄密，接受方应与该第三方承担连带责任。</w:t>
      </w:r>
    </w:p>
    <w:p w14:paraId="1B540195">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4）如接受方得悉披露方的任何保密信息遭侵犯或疑似侵权，接受方应立即通知</w:t>
      </w:r>
      <w:r>
        <w:rPr>
          <w:rFonts w:ascii="仿宋_GB2312" w:hAnsi="仿宋_GB2312" w:eastAsia="仿宋_GB2312" w:cs="仿宋_GB2312"/>
          <w:i/>
          <w:iCs/>
          <w:sz w:val="24"/>
          <w:szCs w:val="24"/>
          <w:highlight w:val="none"/>
        </w:rPr>
        <w:t>披露</w:t>
      </w:r>
      <w:r>
        <w:rPr>
          <w:rFonts w:hint="eastAsia" w:ascii="仿宋_GB2312" w:hAnsi="仿宋_GB2312" w:eastAsia="仿宋_GB2312" w:cs="仿宋_GB2312"/>
          <w:i/>
          <w:iCs/>
          <w:sz w:val="24"/>
          <w:szCs w:val="24"/>
          <w:highlight w:val="none"/>
        </w:rPr>
        <w:t>方。如果</w:t>
      </w:r>
      <w:r>
        <w:rPr>
          <w:rFonts w:ascii="仿宋_GB2312" w:hAnsi="仿宋_GB2312" w:eastAsia="仿宋_GB2312" w:cs="仿宋_GB2312"/>
          <w:i/>
          <w:iCs/>
          <w:sz w:val="24"/>
          <w:szCs w:val="24"/>
          <w:highlight w:val="none"/>
        </w:rPr>
        <w:t>披露</w:t>
      </w:r>
      <w:r>
        <w:rPr>
          <w:rFonts w:hint="eastAsia" w:ascii="仿宋_GB2312" w:hAnsi="仿宋_GB2312" w:eastAsia="仿宋_GB2312" w:cs="仿宋_GB2312"/>
          <w:i/>
          <w:iCs/>
          <w:sz w:val="24"/>
          <w:szCs w:val="24"/>
          <w:highlight w:val="none"/>
        </w:rPr>
        <w:t xml:space="preserve">方决定就侵权行为进行起诉，或以其他方式停止或阻止该实际或可能发生的侵权行为，接受方尽最大限度予以协助。 </w:t>
      </w:r>
    </w:p>
    <w:p w14:paraId="30E3C48D">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5）接受方不得在世界任何地方就保密信息进行升级、变更和/或改进，亦不得直接或间接提交或促使提交专利或著作权或其它权利的申请，也不得以其名义取得或促使以其他人名义取得任何专利或其它权利注册。</w:t>
      </w:r>
    </w:p>
    <w:p w14:paraId="6AB3493E">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 xml:space="preserve">6）接受方应遵从披露方不时发出的有关使用、处理和保管保密信息的任何指令或政策，并按照披露方的要求将本协议项下保密信息的使用情况向披露方汇报。 </w:t>
      </w:r>
    </w:p>
    <w:p w14:paraId="10BE8DF3">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7）接受方不得为第三方利益使用保密信息，不得非为实现双方合作目的使用保密信息，不得对保密信息采取任何反向工程、反向编译或反向分解等行为。</w:t>
      </w:r>
    </w:p>
    <w:p w14:paraId="15C03F27">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8）双方合作期间形成的与本协议有关的任何信息和数据受本协议约束。</w:t>
      </w:r>
    </w:p>
    <w:p w14:paraId="2906771A">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10.11卖方在双方合作期间严格承诺遵循中国国家法律法规和政策规章的要求，确保数据合规，始终遵循数据搜集、存储、使用、处理、传输的合法性原则、正当性和必要性原则、透明度原则、安全性原则和数据主体权利保障原则，确保合同签约履约过程中所涉及到的所有个人隐私、个人信息与敏感信息、企业商业数据、大数据分析结果、公共数据等均得到尊重和保护。卖方承诺：</w:t>
      </w:r>
    </w:p>
    <w:p w14:paraId="16894257">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数据收集必须基于合法授权，卖方需向数据主体明确告知数据用途，并获得明确同意；卖方处理数据应当符合法律、法规和强制性标准的规定，不得从事危害国家安全、公共利益的数据处理活动，不得非法收集、使用、加工、传输、买卖、提供、公开他人个人信息，不得通过误导、欺诈、胁迫等方式处理个人信息。‌</w:t>
      </w:r>
    </w:p>
    <w:p w14:paraId="22C308C2">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2）卖方在存储数据时需采取严格的安全措施，通过加密、访问控制等措施确保数据的完整性和机密性；在使用和传输数据时，卖方需确保数据使用符合收集时的声明，不得超出必要范围；跨境数据传输时，需符合法律规定的合规要求。卖方需确保数据的收集、存储、使用、传输和销毁等过程符合法律要求，防止数据泄露、滥用和侵犯个人隐私，遵守相关的法律法规、行业准则和道德规范，以保护数据主体的合法权益。‌</w:t>
      </w:r>
    </w:p>
    <w:p w14:paraId="50D0372F">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3）如需要数据共享时需取得买方的书面同意并确保各方在使用数据时符合合规要求；当数据不再需要时，卖方需采取适当的措施彻底销毁数据，防止其被恢复和滥用。</w:t>
      </w:r>
    </w:p>
    <w:p w14:paraId="340F5C80">
      <w:pPr>
        <w:pStyle w:val="128"/>
        <w:bidi w:val="0"/>
        <w:rPr>
          <w:i/>
          <w:iCs/>
        </w:rPr>
      </w:pPr>
      <w:bookmarkStart w:id="166" w:name="_Toc9708"/>
      <w:bookmarkStart w:id="167" w:name="_Toc10182"/>
      <w:bookmarkStart w:id="168" w:name="_Toc16330028"/>
      <w:bookmarkStart w:id="169" w:name="_Toc27314"/>
      <w:bookmarkStart w:id="170" w:name="_Toc26926"/>
      <w:bookmarkStart w:id="171" w:name="_Toc30381"/>
      <w:r>
        <w:rPr>
          <w:rFonts w:hint="eastAsia"/>
          <w:i/>
          <w:iCs/>
        </w:rPr>
        <w:t>11 违约责任</w:t>
      </w:r>
      <w:bookmarkEnd w:id="166"/>
      <w:bookmarkEnd w:id="167"/>
      <w:bookmarkEnd w:id="168"/>
      <w:bookmarkEnd w:id="169"/>
      <w:bookmarkEnd w:id="170"/>
      <w:bookmarkEnd w:id="171"/>
    </w:p>
    <w:p w14:paraId="334BDEB8">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11.1卖方应承担提供的设备与本合同约定不符的一切责任，买方有权在检验、安装、调试、验收测试期限内、质量保证期内等任何时间提出索赔，买方有权按下述一种或多种方法要求卖方赔偿：</w:t>
      </w:r>
    </w:p>
    <w:p w14:paraId="25CF8623">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11.1.1卖方同意买方拒收设备并把被与拒收设备等值且已支付的价款在买方要求的时间内以本合同规定的货币付给买方，卖方承担因此而发生的一切损失和费用，包括但不限于同期银行贷款利息、银行费用、运输和保险费、检验费、仓储和装卸费以及为保管和保护被拒绝设备所需要的其他必需的费用，并赔偿因此给买方造成的损失。</w:t>
      </w:r>
    </w:p>
    <w:p w14:paraId="553788A8">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11.1.2根据设备的瑕疵和受损程度以及买方遭受损失的金额，经买方同意降低设备价格。</w:t>
      </w:r>
    </w:p>
    <w:p w14:paraId="14B6AEB1">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11.1.3更换有缺陷的零件、部件、设备或修理缺陷部分，以达到本合同规定的规格、质量和性能，卖方承担一切费用和风险并负担买方遭受的一切损失，同时卖方应相应延长被修理或更换设备的质量保证期，但不超过原质保期结束后一年。</w:t>
      </w:r>
    </w:p>
    <w:p w14:paraId="3043E684">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11.2如果买方就卖方的设备质量问题提出索赔通知后10日内卖方未能予以答复，该索赔视为已被卖方接受。若卖方未能在买方提出索赔通知后10日内或买方同意的更长一些的时间内，按买方同意的上述任何一种方式处理索赔事宜，买方将从货款中扣回索赔金额，同时保留进一步要求赔偿的权利。</w:t>
      </w:r>
    </w:p>
    <w:p w14:paraId="2A901AE5">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11.3如果卖方未能按期到货，卖方应向买方支付违约金，违约金比率为每迟交壹日，按合同总价的3‰计算，但是违约金金额不得超过合同总价款的5%，如果卖方在达到违约金的最高限额后仍不能交货，买方有权就卖方违约而解除本合同，且卖方仍须支付上述违约金，并赔偿由此给买方造成的一切损失。</w:t>
      </w:r>
      <w:r>
        <w:rPr>
          <w:rFonts w:hint="eastAsia" w:ascii="仿宋_GB2312" w:hAnsi="仿宋_GB2312" w:eastAsia="仿宋_GB2312" w:cs="仿宋_GB2312"/>
          <w:i/>
          <w:iCs/>
          <w:sz w:val="24"/>
          <w:szCs w:val="24"/>
          <w:highlight w:val="none"/>
        </w:rPr>
        <w:br w:type="textWrapping"/>
      </w:r>
      <w:r>
        <w:rPr>
          <w:rFonts w:hint="eastAsia" w:ascii="仿宋_GB2312" w:hAnsi="仿宋_GB2312" w:eastAsia="仿宋_GB2312" w:cs="仿宋_GB2312"/>
          <w:i/>
          <w:iCs/>
          <w:sz w:val="24"/>
          <w:szCs w:val="24"/>
          <w:highlight w:val="none"/>
        </w:rPr>
        <w:t xml:space="preserve">   11.4如卖方未按合同专用条款1.5条履行义务，从逾期之日起卖方每天按合同总价款的3‰支付给买方违约金，但是违约金金额不得超过合同总价款的5%。如果卖方在达到违约金的最高限额后仍不能使设备通过最终验收，买方有权就卖方违约而解除本合同，且卖方仍须支付上述违约金，并返还买方支付的设备款，并赔偿由此给买方造成的一切损失。</w:t>
      </w:r>
    </w:p>
    <w:p w14:paraId="79756531">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11.5买方延期付款时（有正当拒付理由者除外），每日按延付金额的3‰向卖方偿付延期付款违约金，但违约金总额不超过延付金额的50‰。</w:t>
      </w:r>
    </w:p>
    <w:p w14:paraId="070B9A24">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11.6如卖方违反合同通用条款9.4条，则买方有权自行或请第三方进行维修或更换，相应的费用由卖方承担，买方有权在质保金中扣除，不足部分由卖方进行补足。</w:t>
      </w:r>
    </w:p>
    <w:p w14:paraId="11DD6005">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11.7因发票违规给买方造成的增值税、所得税等损失，由卖方承担相关责任，包括但不限于税款、滞纳金、罚款及其它相关损失。</w:t>
      </w:r>
    </w:p>
    <w:p w14:paraId="23300FC6">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11.8如果卖方违反本合同其他约定（包括本合同及所有附件）应赔偿因此给买方造成的一切损失。</w:t>
      </w:r>
    </w:p>
    <w:p w14:paraId="0FB410FA">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11.9无论合同条款有任何相反规定，卖方将不负责任何利润损失、收入损失、使用损失、生产损失、投资成本及与运行中断有关的成本费用、预期节省损失、或任何性质的特殊性、间接性或继发性损失。对无论是因其履约或不履约有关的任何一切损害或损失之索偿要求，卖方之责任总限额不得超过合同价格的</w:t>
      </w:r>
      <w:r>
        <w:rPr>
          <w:rFonts w:ascii="仿宋_GB2312" w:hAnsi="仿宋_GB2312" w:eastAsia="仿宋_GB2312" w:cs="仿宋_GB2312"/>
          <w:i/>
          <w:iCs/>
          <w:sz w:val="24"/>
          <w:szCs w:val="24"/>
          <w:highlight w:val="none"/>
        </w:rPr>
        <w:t>100</w:t>
      </w:r>
      <w:r>
        <w:rPr>
          <w:rFonts w:hint="eastAsia" w:ascii="仿宋_GB2312" w:hAnsi="仿宋_GB2312" w:eastAsia="仿宋_GB2312" w:cs="仿宋_GB2312"/>
          <w:i/>
          <w:iCs/>
          <w:sz w:val="24"/>
          <w:szCs w:val="24"/>
          <w:highlight w:val="none"/>
        </w:rPr>
        <w:t>％（百分之百）。</w:t>
      </w:r>
    </w:p>
    <w:p w14:paraId="0EBB5CF1">
      <w:pPr>
        <w:pStyle w:val="128"/>
        <w:bidi w:val="0"/>
        <w:rPr>
          <w:i/>
          <w:iCs/>
        </w:rPr>
      </w:pPr>
      <w:bookmarkStart w:id="172" w:name="_Toc16330029"/>
      <w:bookmarkStart w:id="173" w:name="_Toc9172"/>
      <w:bookmarkStart w:id="174" w:name="_Toc31554"/>
      <w:bookmarkStart w:id="175" w:name="_Toc22364"/>
      <w:bookmarkStart w:id="176" w:name="_Toc19579"/>
      <w:bookmarkStart w:id="177" w:name="_Toc1827"/>
      <w:r>
        <w:rPr>
          <w:rFonts w:hint="eastAsia"/>
          <w:i/>
          <w:iCs/>
        </w:rPr>
        <w:t>12 合同的终止与解除</w:t>
      </w:r>
      <w:bookmarkEnd w:id="172"/>
      <w:bookmarkEnd w:id="173"/>
      <w:bookmarkEnd w:id="174"/>
      <w:bookmarkEnd w:id="175"/>
      <w:bookmarkEnd w:id="176"/>
      <w:bookmarkEnd w:id="177"/>
    </w:p>
    <w:p w14:paraId="35C4F119">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12.1本合同订立后，卖方由于履行义务的能力或信用有严重缺陷，买方可以终止履行本合同，要求卖方返还已支付的款项并不承担违约责任。</w:t>
      </w:r>
    </w:p>
    <w:p w14:paraId="06839C67">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12.2经双方协商一致，可以解除本合同。</w:t>
      </w:r>
    </w:p>
    <w:p w14:paraId="03F0A8EF">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12.3有下列情形之一的，买方可以解除本合同：</w:t>
      </w:r>
    </w:p>
    <w:p w14:paraId="35608919">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12.3.1卖方明确表示或者以自己的行为表明不履行主要义务的；</w:t>
      </w:r>
    </w:p>
    <w:p w14:paraId="1EB8F2CC">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12.3.2卖方所提交的设备不符合本合同的规定且根据合同约定未能补救；</w:t>
      </w:r>
    </w:p>
    <w:p w14:paraId="0518D7C5">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12.3.3按照本合同第11.3条或第11.4条的规定，达到违约金的最高限额的；</w:t>
      </w:r>
    </w:p>
    <w:p w14:paraId="0C920028">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12.3.4卖方有其他违约行为且经买方书面通知后仍未能按照合同约定补救。</w:t>
      </w:r>
    </w:p>
    <w:p w14:paraId="6D8BC776">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12.4卖方分批交付设备的，卖方对其中一批设备不交付或者交付不符合约定，致使该批设备不能实现本合同目的的，买方可以就该批设备解除合同。</w:t>
      </w:r>
    </w:p>
    <w:p w14:paraId="588F4377">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12.5卖方不交付其中一批设备或者交付不符合约定，致使今后其他各批设备的交付不能实现本合同目的的，买方可以就该批以及今后其他各批设备解除合同。</w:t>
      </w:r>
    </w:p>
    <w:p w14:paraId="63DB6694">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12.6买方如果就其中一批设备解除合同，该批设备与其他各批设备相互依存的，可以就已经交付和未交付的各批设备解除合同。</w:t>
      </w:r>
    </w:p>
    <w:p w14:paraId="692DD746">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12.7因为卖方违约导致买方解除合同的，卖方应赔偿买方因此所遭受的一切损失。</w:t>
      </w:r>
    </w:p>
    <w:p w14:paraId="353009E5">
      <w:pPr>
        <w:pStyle w:val="128"/>
        <w:bidi w:val="0"/>
        <w:rPr>
          <w:i/>
          <w:iCs/>
        </w:rPr>
      </w:pPr>
      <w:bookmarkStart w:id="178" w:name="_Toc8620"/>
      <w:bookmarkStart w:id="179" w:name="_Toc31945"/>
      <w:bookmarkStart w:id="180" w:name="_Toc20353"/>
      <w:bookmarkStart w:id="181" w:name="_Toc13671"/>
      <w:bookmarkStart w:id="182" w:name="_Toc16330030"/>
      <w:bookmarkStart w:id="183" w:name="_Toc22685"/>
      <w:r>
        <w:rPr>
          <w:rFonts w:hint="eastAsia"/>
          <w:i/>
          <w:iCs/>
        </w:rPr>
        <w:t>13 不可抗力</w:t>
      </w:r>
      <w:bookmarkEnd w:id="178"/>
      <w:bookmarkEnd w:id="179"/>
      <w:bookmarkEnd w:id="180"/>
      <w:bookmarkEnd w:id="181"/>
      <w:bookmarkEnd w:id="182"/>
      <w:bookmarkEnd w:id="183"/>
    </w:p>
    <w:p w14:paraId="33C501D7">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13.1如果本合同的任何一方因不可抗力导致履行本合同义务受阻，并且不可抗力的发生和后果无法阻止和不可避免，在受阻方有能力发出通知的前提下，受阻方应在知道或应当知道不可抗力发生后十五日内通知对方，并在此后提供事件详细信息和由相关政府部门出具的有效证明文件说明其不能履行或推迟履行本合同全部或部分内容的理由。</w:t>
      </w:r>
    </w:p>
    <w:p w14:paraId="4019B649">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13.2各方应该通过协商决定是否终止本合同，或推迟全部或部分本合同的履行或免除对方全部或部分相关履行义务。</w:t>
      </w:r>
    </w:p>
    <w:p w14:paraId="33ED1470">
      <w:pPr>
        <w:pStyle w:val="128"/>
        <w:bidi w:val="0"/>
        <w:rPr>
          <w:i/>
          <w:iCs/>
        </w:rPr>
      </w:pPr>
      <w:bookmarkStart w:id="184" w:name="_Toc31243"/>
      <w:bookmarkStart w:id="185" w:name="_Toc637"/>
      <w:bookmarkStart w:id="186" w:name="_Toc6128"/>
      <w:bookmarkStart w:id="187" w:name="_Toc31274"/>
      <w:bookmarkStart w:id="188" w:name="_Toc16330031"/>
      <w:bookmarkStart w:id="189" w:name="_Toc30389"/>
      <w:r>
        <w:rPr>
          <w:rFonts w:hint="eastAsia"/>
          <w:i/>
          <w:iCs/>
        </w:rPr>
        <w:t>14 通讯</w:t>
      </w:r>
      <w:bookmarkEnd w:id="184"/>
      <w:bookmarkEnd w:id="185"/>
      <w:bookmarkEnd w:id="186"/>
      <w:bookmarkEnd w:id="187"/>
      <w:bookmarkEnd w:id="188"/>
      <w:bookmarkEnd w:id="189"/>
    </w:p>
    <w:p w14:paraId="44BBFDB5">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14.1通讯地址：</w:t>
      </w:r>
    </w:p>
    <w:p w14:paraId="1FE9C659">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本合同下的任何通讯按照本合同双方提供的信息，以书信、传真、电子通讯方式或电话作出。</w:t>
      </w:r>
    </w:p>
    <w:p w14:paraId="10C79474">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14.2生效</w:t>
      </w:r>
    </w:p>
    <w:p w14:paraId="3947D295">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14.2.1书信。书信为送达时生效；</w:t>
      </w:r>
    </w:p>
    <w:p w14:paraId="72728B95">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14.2.2传真。发送人取得成功传输的信息时生效；</w:t>
      </w:r>
    </w:p>
    <w:p w14:paraId="7FB3595B">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14.2.3电子邮件。电子邮件于发送之时生效，前提是寄件者于该邮件发送后24小时内没有收到发送失败通知；</w:t>
      </w:r>
    </w:p>
    <w:p w14:paraId="5A91BE2F">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14.2.4电话。电话于打出时生效，以电话作出的任何通讯必须以书信、传真或电子邮件确认，如果没有发送或者接收该确认不会使原有通讯失效。</w:t>
      </w:r>
    </w:p>
    <w:p w14:paraId="5FF00E90">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14.3书面法律证据。根据本合同以书信、传真或电子邮件方式送达任何订约方的任何通讯，将作为书面法律证据。</w:t>
      </w:r>
    </w:p>
    <w:p w14:paraId="33B0F9FC">
      <w:pPr>
        <w:pStyle w:val="128"/>
        <w:bidi w:val="0"/>
        <w:rPr>
          <w:i/>
          <w:iCs/>
        </w:rPr>
      </w:pPr>
      <w:bookmarkStart w:id="190" w:name="_Toc11290"/>
      <w:bookmarkStart w:id="191" w:name="_Toc19329"/>
      <w:bookmarkStart w:id="192" w:name="_Toc16330032"/>
      <w:bookmarkStart w:id="193" w:name="_Toc12984"/>
      <w:bookmarkStart w:id="194" w:name="_Toc9915"/>
      <w:bookmarkStart w:id="195" w:name="_Toc6988"/>
      <w:r>
        <w:rPr>
          <w:rFonts w:hint="eastAsia"/>
          <w:i/>
          <w:iCs/>
        </w:rPr>
        <w:t>15 适用法律及争议解决</w:t>
      </w:r>
      <w:bookmarkEnd w:id="190"/>
      <w:bookmarkEnd w:id="191"/>
      <w:bookmarkEnd w:id="192"/>
      <w:bookmarkEnd w:id="193"/>
      <w:bookmarkEnd w:id="194"/>
      <w:bookmarkEnd w:id="195"/>
    </w:p>
    <w:p w14:paraId="09AF1C6B">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15.1本合同条款的效力和解释适用中华人民共和国法律。</w:t>
      </w:r>
    </w:p>
    <w:p w14:paraId="72EDB031">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15.2双方同意将本着诚信的态度协商解决本合同履行过程中产生的任何争议。如果争议事项不能通过双方协商解决，本合同双方同意采用向买方所在地人民法院提起诉讼的方式解决。</w:t>
      </w:r>
    </w:p>
    <w:p w14:paraId="10AD44C9">
      <w:pPr>
        <w:pStyle w:val="128"/>
        <w:bidi w:val="0"/>
        <w:rPr>
          <w:i/>
          <w:iCs/>
        </w:rPr>
      </w:pPr>
      <w:bookmarkStart w:id="196" w:name="_Toc18207"/>
      <w:bookmarkStart w:id="197" w:name="_Toc23765"/>
      <w:bookmarkStart w:id="198" w:name="_Toc16330033"/>
      <w:bookmarkStart w:id="199" w:name="_Toc947"/>
      <w:bookmarkStart w:id="200" w:name="_Toc18352"/>
      <w:bookmarkStart w:id="201" w:name="_Toc23906"/>
      <w:r>
        <w:rPr>
          <w:rFonts w:hint="eastAsia"/>
          <w:i/>
          <w:iCs/>
        </w:rPr>
        <w:t>16 附件</w:t>
      </w:r>
      <w:bookmarkEnd w:id="196"/>
      <w:bookmarkEnd w:id="197"/>
      <w:bookmarkEnd w:id="198"/>
      <w:bookmarkEnd w:id="199"/>
      <w:bookmarkEnd w:id="200"/>
      <w:bookmarkEnd w:id="201"/>
    </w:p>
    <w:p w14:paraId="3CCBF6CC">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本合同及其附件构成双方关于本合同标的之全部协议，包括但不限于下列文件：</w:t>
      </w:r>
    </w:p>
    <w:p w14:paraId="730EDD0A">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16.1技术协议书；</w:t>
      </w:r>
    </w:p>
    <w:p w14:paraId="5B2E9855">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16.2合同设备一览表；</w:t>
      </w:r>
    </w:p>
    <w:p w14:paraId="1332BCAF">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16.3卖方中标的设备投标书以及一切书面承诺；</w:t>
      </w:r>
    </w:p>
    <w:p w14:paraId="2DC76F39">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16.4招标文件。</w:t>
      </w:r>
    </w:p>
    <w:p w14:paraId="5FB47CFB">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上述附件内容与本合同约定有冲突的，以本合同约定为准。</w:t>
      </w:r>
    </w:p>
    <w:p w14:paraId="1F86EEB4">
      <w:pPr>
        <w:pStyle w:val="128"/>
        <w:bidi w:val="0"/>
        <w:rPr>
          <w:i/>
          <w:iCs/>
        </w:rPr>
      </w:pPr>
      <w:bookmarkStart w:id="202" w:name="_Toc17656"/>
      <w:bookmarkStart w:id="203" w:name="_Toc31331"/>
      <w:bookmarkStart w:id="204" w:name="_Toc27202"/>
      <w:bookmarkStart w:id="205" w:name="_Toc16330034"/>
      <w:bookmarkStart w:id="206" w:name="_Toc31182"/>
      <w:bookmarkStart w:id="207" w:name="_Toc11242"/>
      <w:r>
        <w:rPr>
          <w:rFonts w:hint="eastAsia"/>
          <w:i/>
          <w:iCs/>
        </w:rPr>
        <w:t>17 其他规定</w:t>
      </w:r>
      <w:bookmarkEnd w:id="202"/>
      <w:bookmarkEnd w:id="203"/>
      <w:bookmarkEnd w:id="204"/>
      <w:bookmarkEnd w:id="205"/>
      <w:bookmarkEnd w:id="206"/>
      <w:bookmarkEnd w:id="207"/>
    </w:p>
    <w:p w14:paraId="46CD658D">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17.1本合同及其附件构成了双方就本合同所含交易而达成的全部合同，并取代双方先前与该等交易有关的全部口头和书面合同。</w:t>
      </w:r>
    </w:p>
    <w:p w14:paraId="130E9530">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17.2如果本合同的任何条款和条件在任何时间成为非法、无效或不可强制执行的，则其他条款不应受其影响。</w:t>
      </w:r>
    </w:p>
    <w:p w14:paraId="0BCAD6D4">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17.3除非另有规定，一方未行使或迟延行使本合同项下的权利、权力或特权并不构成放弃这些权利、权力和特权，而单一或部分行使这些权利、权力和特权并不排斥行使任何其他权利、权力和特权。</w:t>
      </w:r>
    </w:p>
    <w:p w14:paraId="6D1FB7D8">
      <w:pPr>
        <w:spacing w:line="360" w:lineRule="auto"/>
        <w:ind w:firstLine="480" w:firstLineChars="200"/>
        <w:rPr>
          <w:rFonts w:ascii="仿宋_GB2312" w:hAnsi="仿宋_GB2312" w:eastAsia="仿宋_GB2312" w:cs="仿宋_GB2312"/>
          <w:i/>
          <w:iCs/>
          <w:sz w:val="24"/>
          <w:szCs w:val="24"/>
          <w:highlight w:val="none"/>
        </w:rPr>
      </w:pPr>
      <w:bookmarkStart w:id="208" w:name="_Toc16330035"/>
      <w:bookmarkStart w:id="209" w:name="_Toc19077"/>
      <w:bookmarkStart w:id="210" w:name="_Toc29136"/>
      <w:bookmarkStart w:id="211" w:name="_Toc17952"/>
      <w:r>
        <w:rPr>
          <w:rFonts w:hint="eastAsia" w:ascii="仿宋_GB2312" w:hAnsi="仿宋_GB2312" w:eastAsia="仿宋_GB2312" w:cs="仿宋_GB2312"/>
          <w:i/>
          <w:iCs/>
          <w:sz w:val="24"/>
          <w:szCs w:val="24"/>
          <w:highlight w:val="none"/>
        </w:rPr>
        <w:t>17.4监造，在合同设备的制造过程中，买方有权派出代表对合同设备制造过程中的关键工序进行质量监督，卖方有配合买方监造的义务。</w:t>
      </w:r>
    </w:p>
    <w:p w14:paraId="560AE55B">
      <w:pPr>
        <w:spacing w:line="360" w:lineRule="auto"/>
        <w:ind w:firstLine="480" w:firstLineChars="200"/>
        <w:rPr>
          <w:rFonts w:ascii="仿宋_GB2312" w:hAnsi="仿宋_GB2312" w:eastAsia="仿宋_GB2312" w:cs="仿宋_GB2312"/>
          <w:i/>
          <w:iCs/>
          <w:sz w:val="24"/>
          <w:szCs w:val="24"/>
          <w:highlight w:val="none"/>
        </w:rPr>
      </w:pPr>
      <w:r>
        <w:rPr>
          <w:rFonts w:hint="eastAsia" w:ascii="仿宋_GB2312" w:hAnsi="仿宋_GB2312" w:eastAsia="仿宋_GB2312" w:cs="仿宋_GB2312"/>
          <w:i/>
          <w:iCs/>
          <w:sz w:val="24"/>
          <w:szCs w:val="24"/>
          <w:highlight w:val="none"/>
        </w:rPr>
        <w:t>17.5非因买方原因，卖方不能向其分包商或外购材料设备供货商及时付款等原因造成了分包商或外购材料设备供货商对买方发生了围堵上访、法律诉讼等不利的影响，卖方须承担违约责任及对买方造成的一切损失。</w:t>
      </w:r>
    </w:p>
    <w:p w14:paraId="63F4B9A9">
      <w:pPr>
        <w:pStyle w:val="128"/>
        <w:bidi w:val="0"/>
        <w:rPr>
          <w:i/>
          <w:iCs/>
        </w:rPr>
      </w:pPr>
      <w:bookmarkStart w:id="212" w:name="_Toc28035"/>
      <w:bookmarkStart w:id="213" w:name="_Toc143"/>
      <w:r>
        <w:rPr>
          <w:rFonts w:hint="eastAsia"/>
          <w:i/>
          <w:iCs/>
        </w:rPr>
        <w:t>18 签署事项</w:t>
      </w:r>
      <w:bookmarkEnd w:id="208"/>
      <w:bookmarkEnd w:id="209"/>
      <w:bookmarkEnd w:id="210"/>
      <w:bookmarkEnd w:id="211"/>
      <w:bookmarkEnd w:id="212"/>
      <w:bookmarkEnd w:id="213"/>
    </w:p>
    <w:p w14:paraId="460E0562">
      <w:pPr>
        <w:spacing w:line="360" w:lineRule="auto"/>
        <w:ind w:firstLine="480" w:firstLineChars="200"/>
        <w:rPr>
          <w:rFonts w:ascii="仿宋_GB2312" w:hAnsi="仿宋_GB2312" w:eastAsia="仿宋_GB2312"/>
          <w:i/>
          <w:iCs/>
          <w:sz w:val="24"/>
          <w:highlight w:val="none"/>
        </w:rPr>
      </w:pPr>
      <w:r>
        <w:rPr>
          <w:rFonts w:hint="eastAsia" w:ascii="仿宋_GB2312" w:hAnsi="仿宋_GB2312" w:eastAsia="仿宋_GB2312" w:cs="仿宋_GB2312"/>
          <w:i/>
          <w:iCs/>
          <w:sz w:val="24"/>
          <w:szCs w:val="24"/>
          <w:highlight w:val="none"/>
        </w:rPr>
        <w:t>本合同或协议的各签约方选择使用电子签约的，已由法定代表人本人或授权其代理人在电子签约平台进行了实名注册，并通过CA证书进行签约。电子签约的任一方均已知晓且同意通过代理人密码登录账户后的所有操作视为该方的行为，并自愿承担由此产生的一切法律后果。电子签约方的代理人包括在平台完成认证并具有相应盖章、签字权限的管理员、盖章人或签名人。电子签约方在相关电子合同通过CA证书进行电子签章的，视为该方有效签署合同。</w:t>
      </w:r>
      <w:r>
        <w:rPr>
          <w:rFonts w:ascii="仿宋_GB2312" w:hAnsi="仿宋_GB2312" w:eastAsia="仿宋_GB2312"/>
          <w:i/>
          <w:iCs/>
          <w:sz w:val="24"/>
          <w:highlight w:val="none"/>
        </w:rPr>
        <w:t>如各方签章时间不一致的，以最后签章的时间为准。本合同所有的手写涂改、一方擅自增加、删改、篡改部分无效（个人手写签名除外）。</w:t>
      </w:r>
    </w:p>
    <w:p w14:paraId="7D400370">
      <w:pPr>
        <w:spacing w:line="360" w:lineRule="auto"/>
        <w:ind w:firstLine="420" w:firstLineChars="200"/>
        <w:rPr>
          <w:rFonts w:ascii="仿宋_GB2312" w:hAnsi="宋体" w:eastAsia="仿宋_GB2312"/>
          <w:b/>
          <w:bCs/>
          <w:i/>
          <w:iCs/>
          <w:snapToGrid w:val="0"/>
          <w:kern w:val="0"/>
          <w:sz w:val="24"/>
          <w:szCs w:val="24"/>
          <w:highlight w:val="none"/>
          <w:u w:val="single"/>
        </w:rPr>
      </w:pPr>
      <w:r>
        <w:rPr>
          <w:i/>
          <w:iCs/>
          <w:highlight w:val="none"/>
        </w:rPr>
        <w:br w:type="textWrapping"/>
      </w:r>
      <w:r>
        <w:rPr>
          <w:rFonts w:hint="eastAsia" w:ascii="仿宋_GB2312" w:hAnsi="仿宋_GB2312" w:eastAsia="仿宋_GB2312" w:cs="仿宋_GB2312"/>
          <w:i/>
          <w:iCs/>
          <w:sz w:val="24"/>
          <w:szCs w:val="24"/>
          <w:highlight w:val="none"/>
        </w:rPr>
        <w:t xml:space="preserve">    若一方不使用电子签约，此情形下各方认可并同意电子签章与在纸质合同上手写签名或者盖章具有同等的法律效力，一方在合同上使用电子签章，另一方将已完成电子签章的合同打印纸质合同后，再于合同签署处加盖实物印章、手写签名视为双方签署完毕。</w:t>
      </w:r>
      <w:r>
        <w:rPr>
          <w:rFonts w:hint="eastAsia" w:ascii="仿宋_GB2312" w:hAnsi="仿宋_GB2312" w:eastAsia="仿宋_GB2312" w:cs="仿宋_GB2312"/>
          <w:i/>
          <w:iCs/>
          <w:sz w:val="24"/>
          <w:szCs w:val="24"/>
          <w:highlight w:val="none"/>
        </w:rPr>
        <w:br w:type="textWrapping"/>
      </w:r>
    </w:p>
    <w:p w14:paraId="09BE7DBF">
      <w:pPr>
        <w:widowControl/>
        <w:adjustRightInd w:val="0"/>
        <w:snapToGrid w:val="0"/>
        <w:spacing w:line="360" w:lineRule="auto"/>
        <w:ind w:firstLine="480" w:firstLineChars="200"/>
        <w:jc w:val="left"/>
        <w:rPr>
          <w:rFonts w:hint="default" w:ascii="仿宋_GB2312" w:hAnsi="宋体" w:eastAsia="仿宋_GB2312"/>
          <w:b/>
          <w:bCs/>
          <w:i/>
          <w:iCs/>
          <w:snapToGrid w:val="0"/>
          <w:kern w:val="0"/>
          <w:sz w:val="24"/>
          <w:szCs w:val="24"/>
          <w:highlight w:val="none"/>
          <w:u w:val="single"/>
          <w:lang w:val="en-US" w:eastAsia="zh-CN"/>
        </w:rPr>
      </w:pPr>
      <w:r>
        <w:rPr>
          <w:rFonts w:hint="eastAsia" w:ascii="仿宋_GB2312" w:hAnsi="宋体" w:eastAsia="仿宋_GB2312"/>
          <w:i/>
          <w:iCs/>
          <w:snapToGrid w:val="0"/>
          <w:kern w:val="0"/>
          <w:sz w:val="24"/>
          <w:szCs w:val="24"/>
          <w:highlight w:val="none"/>
          <w:lang w:eastAsia="zh-Hans"/>
        </w:rPr>
        <w:t>甲方</w:t>
      </w:r>
      <w:r>
        <w:rPr>
          <w:rFonts w:hint="eastAsia" w:ascii="仿宋_GB2312" w:hAnsi="宋体" w:eastAsia="仿宋_GB2312"/>
          <w:i/>
          <w:iCs/>
          <w:snapToGrid w:val="0"/>
          <w:kern w:val="0"/>
          <w:sz w:val="24"/>
          <w:szCs w:val="24"/>
          <w:highlight w:val="none"/>
        </w:rPr>
        <w:t>（盖章）</w:t>
      </w:r>
      <w:r>
        <w:rPr>
          <w:rFonts w:hint="eastAsia" w:ascii="仿宋_GB2312" w:hAnsi="宋体" w:eastAsia="仿宋_GB2312"/>
          <w:i/>
          <w:iCs/>
          <w:snapToGrid w:val="0"/>
          <w:kern w:val="0"/>
          <w:sz w:val="24"/>
          <w:szCs w:val="24"/>
          <w:highlight w:val="none"/>
          <w:lang w:eastAsia="zh-Hans"/>
        </w:rPr>
        <w:t>：</w:t>
      </w:r>
      <w:r>
        <w:rPr>
          <w:rFonts w:hint="eastAsia" w:ascii="仿宋_GB2312" w:hAnsi="宋体" w:eastAsia="仿宋_GB2312"/>
          <w:b/>
          <w:bCs/>
          <w:i/>
          <w:iCs/>
          <w:snapToGrid w:val="0"/>
          <w:kern w:val="0"/>
          <w:sz w:val="24"/>
          <w:szCs w:val="24"/>
          <w:highlight w:val="none"/>
          <w:u w:val="single"/>
          <w:lang w:val="en-US" w:eastAsia="zh-CN"/>
        </w:rPr>
        <w:t xml:space="preserve">                        </w:t>
      </w:r>
    </w:p>
    <w:p w14:paraId="7978B1AB">
      <w:pPr>
        <w:widowControl/>
        <w:adjustRightInd w:val="0"/>
        <w:snapToGrid w:val="0"/>
        <w:spacing w:line="360" w:lineRule="auto"/>
        <w:ind w:firstLine="480" w:firstLineChars="200"/>
        <w:jc w:val="left"/>
        <w:rPr>
          <w:rFonts w:ascii="仿宋_GB2312" w:hAnsi="宋体" w:eastAsia="仿宋_GB2312"/>
          <w:i/>
          <w:iCs/>
          <w:snapToGrid w:val="0"/>
          <w:kern w:val="0"/>
          <w:sz w:val="24"/>
          <w:szCs w:val="24"/>
          <w:highlight w:val="none"/>
        </w:rPr>
      </w:pPr>
    </w:p>
    <w:p w14:paraId="3230A37D">
      <w:pPr>
        <w:widowControl/>
        <w:adjustRightInd w:val="0"/>
        <w:snapToGrid w:val="0"/>
        <w:spacing w:line="360" w:lineRule="auto"/>
        <w:ind w:firstLine="480" w:firstLineChars="200"/>
        <w:jc w:val="left"/>
        <w:rPr>
          <w:rFonts w:ascii="仿宋_GB2312" w:hAnsi="宋体" w:eastAsia="仿宋_GB2312"/>
          <w:i/>
          <w:iCs/>
          <w:snapToGrid w:val="0"/>
          <w:color w:val="000000"/>
          <w:kern w:val="0"/>
          <w:sz w:val="24"/>
          <w:szCs w:val="24"/>
          <w:highlight w:val="none"/>
          <w:lang w:eastAsia="zh-Hans"/>
        </w:rPr>
      </w:pPr>
      <w:r>
        <w:rPr>
          <w:rFonts w:hint="eastAsia" w:ascii="仿宋_GB2312" w:hAnsi="宋体" w:eastAsia="仿宋_GB2312"/>
          <w:i/>
          <w:iCs/>
          <w:snapToGrid w:val="0"/>
          <w:color w:val="000000"/>
          <w:kern w:val="0"/>
          <w:sz w:val="24"/>
          <w:szCs w:val="24"/>
          <w:highlight w:val="none"/>
        </w:rPr>
        <w:t>甲方代表</w:t>
      </w:r>
      <w:r>
        <w:rPr>
          <w:rFonts w:hint="eastAsia" w:ascii="仿宋_GB2312" w:hAnsi="宋体" w:eastAsia="仿宋_GB2312"/>
          <w:i/>
          <w:iCs/>
          <w:snapToGrid w:val="0"/>
          <w:color w:val="000000"/>
          <w:kern w:val="0"/>
          <w:sz w:val="24"/>
          <w:szCs w:val="24"/>
          <w:highlight w:val="none"/>
          <w:lang w:eastAsia="zh-Hans"/>
        </w:rPr>
        <w:t xml:space="preserve">（签字）：         </w:t>
      </w:r>
      <w:r>
        <w:rPr>
          <w:rFonts w:hint="eastAsia" w:ascii="仿宋_GB2312" w:hAnsi="宋体" w:eastAsia="仿宋_GB2312"/>
          <w:i/>
          <w:iCs/>
          <w:snapToGrid w:val="0"/>
          <w:kern w:val="0"/>
          <w:sz w:val="24"/>
          <w:szCs w:val="24"/>
          <w:highlight w:val="none"/>
          <w:lang w:eastAsia="zh-Hans"/>
        </w:rPr>
        <w:t xml:space="preserve">       </w:t>
      </w:r>
      <w:r>
        <w:rPr>
          <w:rFonts w:hint="eastAsia" w:ascii="仿宋_GB2312" w:hAnsi="宋体" w:eastAsia="仿宋_GB2312"/>
          <w:i/>
          <w:iCs/>
          <w:snapToGrid w:val="0"/>
          <w:color w:val="000000"/>
          <w:kern w:val="0"/>
          <w:sz w:val="24"/>
          <w:szCs w:val="24"/>
          <w:highlight w:val="none"/>
          <w:lang w:eastAsia="zh-Hans"/>
        </w:rPr>
        <w:t xml:space="preserve"> </w:t>
      </w:r>
    </w:p>
    <w:p w14:paraId="08D01752">
      <w:pPr>
        <w:widowControl/>
        <w:adjustRightInd w:val="0"/>
        <w:snapToGrid w:val="0"/>
        <w:spacing w:line="360" w:lineRule="auto"/>
        <w:ind w:firstLine="480" w:firstLineChars="200"/>
        <w:jc w:val="left"/>
        <w:rPr>
          <w:rFonts w:ascii="仿宋_GB2312" w:hAnsi="宋体" w:eastAsia="仿宋_GB2312"/>
          <w:i/>
          <w:iCs/>
          <w:snapToGrid w:val="0"/>
          <w:kern w:val="0"/>
          <w:sz w:val="24"/>
          <w:szCs w:val="24"/>
          <w:highlight w:val="none"/>
          <w:lang w:eastAsia="zh-Hans"/>
        </w:rPr>
      </w:pPr>
      <w:r>
        <w:rPr>
          <w:rFonts w:hint="eastAsia" w:ascii="仿宋_GB2312" w:hAnsi="宋体" w:eastAsia="仿宋_GB2312"/>
          <w:i/>
          <w:iCs/>
          <w:snapToGrid w:val="0"/>
          <w:color w:val="000000"/>
          <w:kern w:val="0"/>
          <w:sz w:val="24"/>
          <w:szCs w:val="24"/>
          <w:highlight w:val="none"/>
          <w:lang w:eastAsia="zh-Hans"/>
        </w:rPr>
        <w:t xml:space="preserve">                  </w:t>
      </w:r>
      <w:r>
        <w:rPr>
          <w:rFonts w:hint="eastAsia" w:ascii="仿宋_GB2312" w:hAnsi="宋体" w:eastAsia="仿宋_GB2312"/>
          <w:i/>
          <w:iCs/>
          <w:snapToGrid w:val="0"/>
          <w:kern w:val="0"/>
          <w:sz w:val="24"/>
          <w:szCs w:val="24"/>
          <w:highlight w:val="none"/>
          <w:lang w:eastAsia="zh-Hans"/>
        </w:rPr>
        <w:t xml:space="preserve">        </w:t>
      </w:r>
    </w:p>
    <w:p w14:paraId="31793717">
      <w:pPr>
        <w:widowControl/>
        <w:adjustRightInd w:val="0"/>
        <w:snapToGrid w:val="0"/>
        <w:spacing w:line="360" w:lineRule="auto"/>
        <w:ind w:firstLine="480" w:firstLineChars="200"/>
        <w:jc w:val="left"/>
        <w:rPr>
          <w:rFonts w:ascii="仿宋_GB2312" w:hAnsi="宋体" w:eastAsia="仿宋_GB2312"/>
          <w:i/>
          <w:iCs/>
          <w:snapToGrid w:val="0"/>
          <w:kern w:val="0"/>
          <w:sz w:val="24"/>
          <w:szCs w:val="24"/>
          <w:highlight w:val="none"/>
          <w:lang w:eastAsia="zh-Hans"/>
        </w:rPr>
      </w:pPr>
    </w:p>
    <w:p w14:paraId="122FA34A">
      <w:pPr>
        <w:widowControl/>
        <w:adjustRightInd w:val="0"/>
        <w:snapToGrid w:val="0"/>
        <w:spacing w:line="360" w:lineRule="auto"/>
        <w:ind w:firstLine="480" w:firstLineChars="200"/>
        <w:jc w:val="left"/>
        <w:rPr>
          <w:rFonts w:ascii="仿宋_GB2312" w:hAnsi="宋体" w:eastAsia="仿宋_GB2312"/>
          <w:i/>
          <w:iCs/>
          <w:snapToGrid w:val="0"/>
          <w:kern w:val="0"/>
          <w:sz w:val="24"/>
          <w:szCs w:val="24"/>
          <w:highlight w:val="none"/>
        </w:rPr>
      </w:pPr>
    </w:p>
    <w:p w14:paraId="2F8C205A">
      <w:pPr>
        <w:widowControl/>
        <w:adjustRightInd w:val="0"/>
        <w:snapToGrid w:val="0"/>
        <w:spacing w:line="360" w:lineRule="auto"/>
        <w:ind w:firstLine="480" w:firstLineChars="200"/>
        <w:jc w:val="left"/>
        <w:rPr>
          <w:rFonts w:hint="default" w:ascii="仿宋_GB2312" w:hAnsi="仿宋_GB2312" w:eastAsia="仿宋_GB2312" w:cs="仿宋_GB2312"/>
          <w:b/>
          <w:bCs/>
          <w:i/>
          <w:iCs/>
          <w:sz w:val="24"/>
          <w:szCs w:val="24"/>
          <w:highlight w:val="none"/>
          <w:u w:val="single"/>
          <w:lang w:val="en-US" w:eastAsia="zh-CN"/>
        </w:rPr>
      </w:pPr>
      <w:r>
        <w:rPr>
          <w:rFonts w:hint="eastAsia" w:ascii="仿宋_GB2312" w:hAnsi="宋体" w:eastAsia="仿宋_GB2312"/>
          <w:i/>
          <w:iCs/>
          <w:snapToGrid w:val="0"/>
          <w:kern w:val="0"/>
          <w:sz w:val="24"/>
          <w:szCs w:val="24"/>
          <w:highlight w:val="none"/>
        </w:rPr>
        <w:t>乙</w:t>
      </w:r>
      <w:r>
        <w:rPr>
          <w:rFonts w:hint="eastAsia" w:ascii="仿宋_GB2312" w:hAnsi="宋体" w:eastAsia="仿宋_GB2312"/>
          <w:i/>
          <w:iCs/>
          <w:snapToGrid w:val="0"/>
          <w:kern w:val="0"/>
          <w:sz w:val="24"/>
          <w:szCs w:val="24"/>
          <w:highlight w:val="none"/>
          <w:lang w:eastAsia="zh-Hans"/>
        </w:rPr>
        <w:t>方</w:t>
      </w:r>
      <w:r>
        <w:rPr>
          <w:rFonts w:hint="eastAsia" w:ascii="仿宋_GB2312" w:hAnsi="宋体" w:eastAsia="仿宋_GB2312"/>
          <w:i/>
          <w:iCs/>
          <w:snapToGrid w:val="0"/>
          <w:kern w:val="0"/>
          <w:sz w:val="24"/>
          <w:szCs w:val="24"/>
          <w:highlight w:val="none"/>
        </w:rPr>
        <w:t>（盖章）</w:t>
      </w:r>
      <w:r>
        <w:rPr>
          <w:rFonts w:hint="eastAsia" w:ascii="仿宋_GB2312" w:hAnsi="宋体" w:eastAsia="仿宋_GB2312"/>
          <w:i/>
          <w:iCs/>
          <w:snapToGrid w:val="0"/>
          <w:kern w:val="0"/>
          <w:sz w:val="24"/>
          <w:szCs w:val="24"/>
          <w:highlight w:val="none"/>
          <w:lang w:eastAsia="zh-Hans"/>
        </w:rPr>
        <w:t>：</w:t>
      </w:r>
      <w:r>
        <w:rPr>
          <w:rFonts w:hint="eastAsia" w:ascii="仿宋_GB2312" w:hAnsi="仿宋_GB2312" w:eastAsia="仿宋_GB2312" w:cs="仿宋_GB2312"/>
          <w:b/>
          <w:bCs/>
          <w:i/>
          <w:iCs/>
          <w:sz w:val="24"/>
          <w:szCs w:val="24"/>
          <w:highlight w:val="none"/>
          <w:u w:val="single"/>
          <w:lang w:val="en-US" w:eastAsia="zh-CN"/>
        </w:rPr>
        <w:t xml:space="preserve">                       </w:t>
      </w:r>
    </w:p>
    <w:p w14:paraId="5461714B">
      <w:pPr>
        <w:widowControl/>
        <w:adjustRightInd w:val="0"/>
        <w:snapToGrid w:val="0"/>
        <w:spacing w:line="360" w:lineRule="auto"/>
        <w:ind w:firstLine="482" w:firstLineChars="200"/>
        <w:jc w:val="left"/>
        <w:rPr>
          <w:rFonts w:ascii="仿宋_GB2312" w:hAnsi="仿宋_GB2312" w:eastAsia="仿宋_GB2312" w:cs="仿宋_GB2312"/>
          <w:b/>
          <w:i/>
          <w:iCs/>
          <w:sz w:val="24"/>
          <w:szCs w:val="24"/>
          <w:highlight w:val="none"/>
          <w:u w:val="single"/>
        </w:rPr>
      </w:pPr>
    </w:p>
    <w:p w14:paraId="4BCB421B">
      <w:pPr>
        <w:widowControl/>
        <w:adjustRightInd w:val="0"/>
        <w:snapToGrid w:val="0"/>
        <w:spacing w:line="360" w:lineRule="auto"/>
        <w:ind w:firstLine="480" w:firstLineChars="200"/>
        <w:jc w:val="left"/>
        <w:rPr>
          <w:rFonts w:ascii="仿宋_GB2312" w:hAnsi="仿宋_GB2312" w:eastAsia="仿宋_GB2312" w:cs="仿宋_GB2312"/>
          <w:i/>
          <w:iCs/>
          <w:snapToGrid w:val="0"/>
          <w:color w:val="000000"/>
          <w:kern w:val="0"/>
          <w:sz w:val="24"/>
          <w:szCs w:val="24"/>
          <w:highlight w:val="none"/>
          <w:lang w:eastAsia="zh-Hans"/>
        </w:rPr>
      </w:pPr>
      <w:r>
        <w:rPr>
          <w:rFonts w:hint="eastAsia" w:ascii="仿宋_GB2312" w:hAnsi="宋体" w:eastAsia="仿宋_GB2312"/>
          <w:i/>
          <w:iCs/>
          <w:snapToGrid w:val="0"/>
          <w:color w:val="000000"/>
          <w:kern w:val="0"/>
          <w:sz w:val="24"/>
          <w:szCs w:val="24"/>
          <w:highlight w:val="none"/>
        </w:rPr>
        <w:t>乙方代表</w:t>
      </w:r>
      <w:r>
        <w:rPr>
          <w:rFonts w:hint="eastAsia" w:ascii="仿宋_GB2312" w:hAnsi="宋体" w:eastAsia="仿宋_GB2312"/>
          <w:i/>
          <w:iCs/>
          <w:snapToGrid w:val="0"/>
          <w:color w:val="000000"/>
          <w:kern w:val="0"/>
          <w:sz w:val="24"/>
          <w:szCs w:val="24"/>
          <w:highlight w:val="none"/>
          <w:lang w:eastAsia="zh-Hans"/>
        </w:rPr>
        <w:t xml:space="preserve">（签字）：   </w:t>
      </w:r>
    </w:p>
    <w:p w14:paraId="3EEE0641">
      <w:pPr>
        <w:rPr>
          <w:rFonts w:ascii="黑体" w:hAnsi="黑体" w:eastAsia="黑体" w:cstheme="minorEastAsia"/>
          <w:i/>
          <w:iCs/>
          <w:sz w:val="28"/>
          <w:szCs w:val="28"/>
          <w:highlight w:val="none"/>
        </w:rPr>
        <w:sectPr>
          <w:pgSz w:w="11907" w:h="16840"/>
          <w:pgMar w:top="1304" w:right="1418" w:bottom="1304" w:left="1418" w:header="724" w:footer="851" w:gutter="0"/>
          <w:cols w:space="720" w:num="1"/>
          <w:docGrid w:linePitch="290" w:charSpace="-3931"/>
        </w:sectPr>
      </w:pPr>
    </w:p>
    <w:p w14:paraId="34DA095D">
      <w:pPr>
        <w:bidi w:val="0"/>
      </w:pPr>
      <w:r>
        <w:rPr>
          <w:rFonts w:hint="eastAsia"/>
        </w:rPr>
        <w:t>附件一：设备清单明细表【作为附件另附】</w:t>
      </w:r>
    </w:p>
    <w:tbl>
      <w:tblPr>
        <w:tblStyle w:val="41"/>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2"/>
        <w:gridCol w:w="756"/>
        <w:gridCol w:w="790"/>
        <w:gridCol w:w="701"/>
        <w:gridCol w:w="1066"/>
        <w:gridCol w:w="1046"/>
        <w:gridCol w:w="977"/>
        <w:gridCol w:w="881"/>
        <w:gridCol w:w="997"/>
        <w:gridCol w:w="677"/>
        <w:gridCol w:w="677"/>
      </w:tblGrid>
      <w:tr w14:paraId="7019F3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8" w:hRule="atLeast"/>
          <w:jc w:val="center"/>
        </w:trPr>
        <w:tc>
          <w:tcPr>
            <w:tcW w:w="712" w:type="dxa"/>
            <w:vAlign w:val="center"/>
          </w:tcPr>
          <w:p w14:paraId="69197264">
            <w:pPr>
              <w:bidi w:val="0"/>
            </w:pPr>
            <w:r>
              <w:rPr>
                <w:rFonts w:hint="eastAsia"/>
              </w:rPr>
              <w:t>序号</w:t>
            </w:r>
          </w:p>
        </w:tc>
        <w:tc>
          <w:tcPr>
            <w:tcW w:w="756" w:type="dxa"/>
            <w:vAlign w:val="center"/>
          </w:tcPr>
          <w:p w14:paraId="06944240">
            <w:pPr>
              <w:bidi w:val="0"/>
            </w:pPr>
            <w:r>
              <w:rPr>
                <w:rFonts w:hint="eastAsia"/>
              </w:rPr>
              <w:t>产品及部件名称</w:t>
            </w:r>
          </w:p>
        </w:tc>
        <w:tc>
          <w:tcPr>
            <w:tcW w:w="790" w:type="dxa"/>
            <w:vAlign w:val="center"/>
          </w:tcPr>
          <w:p w14:paraId="3CD2D3F3">
            <w:pPr>
              <w:bidi w:val="0"/>
            </w:pPr>
            <w:r>
              <w:rPr>
                <w:rFonts w:hint="eastAsia"/>
              </w:rPr>
              <w:t>规格型号及技术参数</w:t>
            </w:r>
          </w:p>
        </w:tc>
        <w:tc>
          <w:tcPr>
            <w:tcW w:w="701" w:type="dxa"/>
            <w:vAlign w:val="center"/>
          </w:tcPr>
          <w:p w14:paraId="15946C00">
            <w:pPr>
              <w:bidi w:val="0"/>
            </w:pPr>
            <w:r>
              <w:rPr>
                <w:rFonts w:hint="eastAsia"/>
              </w:rPr>
              <w:t>单位</w:t>
            </w:r>
          </w:p>
        </w:tc>
        <w:tc>
          <w:tcPr>
            <w:tcW w:w="1066" w:type="dxa"/>
            <w:vAlign w:val="center"/>
          </w:tcPr>
          <w:p w14:paraId="5608DF42">
            <w:pPr>
              <w:bidi w:val="0"/>
            </w:pPr>
            <w:r>
              <w:rPr>
                <w:rFonts w:hint="eastAsia"/>
              </w:rPr>
              <w:t>数量</w:t>
            </w:r>
          </w:p>
        </w:tc>
        <w:tc>
          <w:tcPr>
            <w:tcW w:w="1046" w:type="dxa"/>
            <w:vAlign w:val="center"/>
          </w:tcPr>
          <w:p w14:paraId="695024C2">
            <w:pPr>
              <w:bidi w:val="0"/>
            </w:pPr>
            <w:r>
              <w:rPr>
                <w:rFonts w:hint="eastAsia"/>
              </w:rPr>
              <w:t>不含税</w:t>
            </w:r>
          </w:p>
          <w:p w14:paraId="181CA453">
            <w:pPr>
              <w:bidi w:val="0"/>
            </w:pPr>
            <w:r>
              <w:rPr>
                <w:rFonts w:hint="eastAsia"/>
              </w:rPr>
              <w:t>单价</w:t>
            </w:r>
          </w:p>
        </w:tc>
        <w:tc>
          <w:tcPr>
            <w:tcW w:w="977" w:type="dxa"/>
            <w:vAlign w:val="center"/>
          </w:tcPr>
          <w:p w14:paraId="2F4BE044">
            <w:pPr>
              <w:bidi w:val="0"/>
            </w:pPr>
            <w:r>
              <w:rPr>
                <w:rFonts w:hint="eastAsia"/>
              </w:rPr>
              <w:t>税率</w:t>
            </w:r>
          </w:p>
        </w:tc>
        <w:tc>
          <w:tcPr>
            <w:tcW w:w="881" w:type="dxa"/>
            <w:vAlign w:val="center"/>
          </w:tcPr>
          <w:p w14:paraId="14AD8A05">
            <w:pPr>
              <w:bidi w:val="0"/>
            </w:pPr>
            <w:r>
              <w:rPr>
                <w:rFonts w:hint="eastAsia"/>
              </w:rPr>
              <w:t>税额</w:t>
            </w:r>
          </w:p>
        </w:tc>
        <w:tc>
          <w:tcPr>
            <w:tcW w:w="997" w:type="dxa"/>
            <w:vAlign w:val="center"/>
          </w:tcPr>
          <w:p w14:paraId="2EF25E0D">
            <w:pPr>
              <w:bidi w:val="0"/>
            </w:pPr>
            <w:r>
              <w:rPr>
                <w:rFonts w:hint="eastAsia"/>
              </w:rPr>
              <w:t>含税</w:t>
            </w:r>
          </w:p>
          <w:p w14:paraId="715B4BBF">
            <w:pPr>
              <w:bidi w:val="0"/>
            </w:pPr>
            <w:r>
              <w:rPr>
                <w:rFonts w:hint="eastAsia"/>
              </w:rPr>
              <w:t>单价</w:t>
            </w:r>
          </w:p>
        </w:tc>
        <w:tc>
          <w:tcPr>
            <w:tcW w:w="677" w:type="dxa"/>
            <w:vAlign w:val="center"/>
          </w:tcPr>
          <w:p w14:paraId="630EC5FA">
            <w:pPr>
              <w:bidi w:val="0"/>
            </w:pPr>
            <w:r>
              <w:rPr>
                <w:rFonts w:hint="eastAsia"/>
              </w:rPr>
              <w:t>品牌</w:t>
            </w:r>
          </w:p>
        </w:tc>
        <w:tc>
          <w:tcPr>
            <w:tcW w:w="677" w:type="dxa"/>
            <w:vAlign w:val="center"/>
          </w:tcPr>
          <w:p w14:paraId="3AFEE361">
            <w:pPr>
              <w:bidi w:val="0"/>
            </w:pPr>
            <w:r>
              <w:rPr>
                <w:rFonts w:hint="eastAsia"/>
              </w:rPr>
              <w:t>其他</w:t>
            </w:r>
          </w:p>
        </w:tc>
      </w:tr>
      <w:tr w14:paraId="01B1A6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jc w:val="center"/>
        </w:trPr>
        <w:tc>
          <w:tcPr>
            <w:tcW w:w="712" w:type="dxa"/>
            <w:vAlign w:val="center"/>
          </w:tcPr>
          <w:p w14:paraId="4B11BB64">
            <w:pPr>
              <w:bidi w:val="0"/>
            </w:pPr>
            <w:r>
              <w:rPr>
                <w:rFonts w:hint="eastAsia"/>
              </w:rPr>
              <w:t>1</w:t>
            </w:r>
          </w:p>
        </w:tc>
        <w:tc>
          <w:tcPr>
            <w:tcW w:w="756" w:type="dxa"/>
            <w:vAlign w:val="center"/>
          </w:tcPr>
          <w:p w14:paraId="6440C935">
            <w:pPr>
              <w:bidi w:val="0"/>
            </w:pPr>
          </w:p>
        </w:tc>
        <w:tc>
          <w:tcPr>
            <w:tcW w:w="790" w:type="dxa"/>
            <w:vAlign w:val="center"/>
          </w:tcPr>
          <w:p w14:paraId="6A7A7814">
            <w:pPr>
              <w:bidi w:val="0"/>
            </w:pPr>
          </w:p>
        </w:tc>
        <w:tc>
          <w:tcPr>
            <w:tcW w:w="701" w:type="dxa"/>
            <w:vAlign w:val="center"/>
          </w:tcPr>
          <w:p w14:paraId="3297A580">
            <w:pPr>
              <w:bidi w:val="0"/>
            </w:pPr>
          </w:p>
        </w:tc>
        <w:tc>
          <w:tcPr>
            <w:tcW w:w="1066" w:type="dxa"/>
            <w:vAlign w:val="center"/>
          </w:tcPr>
          <w:p w14:paraId="5148266B">
            <w:pPr>
              <w:bidi w:val="0"/>
            </w:pPr>
          </w:p>
        </w:tc>
        <w:tc>
          <w:tcPr>
            <w:tcW w:w="1046" w:type="dxa"/>
            <w:vAlign w:val="center"/>
          </w:tcPr>
          <w:p w14:paraId="240C75A5">
            <w:pPr>
              <w:bidi w:val="0"/>
            </w:pPr>
          </w:p>
        </w:tc>
        <w:tc>
          <w:tcPr>
            <w:tcW w:w="977" w:type="dxa"/>
            <w:vAlign w:val="center"/>
          </w:tcPr>
          <w:p w14:paraId="0C5BA71E">
            <w:pPr>
              <w:bidi w:val="0"/>
            </w:pPr>
          </w:p>
        </w:tc>
        <w:tc>
          <w:tcPr>
            <w:tcW w:w="881" w:type="dxa"/>
            <w:vAlign w:val="center"/>
          </w:tcPr>
          <w:p w14:paraId="086D0114">
            <w:pPr>
              <w:bidi w:val="0"/>
            </w:pPr>
          </w:p>
        </w:tc>
        <w:tc>
          <w:tcPr>
            <w:tcW w:w="997" w:type="dxa"/>
            <w:vAlign w:val="center"/>
          </w:tcPr>
          <w:p w14:paraId="26CF4D52">
            <w:pPr>
              <w:bidi w:val="0"/>
            </w:pPr>
          </w:p>
        </w:tc>
        <w:tc>
          <w:tcPr>
            <w:tcW w:w="677" w:type="dxa"/>
            <w:vAlign w:val="center"/>
          </w:tcPr>
          <w:p w14:paraId="2D5A42D0">
            <w:pPr>
              <w:bidi w:val="0"/>
            </w:pPr>
          </w:p>
        </w:tc>
        <w:tc>
          <w:tcPr>
            <w:tcW w:w="677" w:type="dxa"/>
            <w:vAlign w:val="center"/>
          </w:tcPr>
          <w:p w14:paraId="4719CD32">
            <w:pPr>
              <w:bidi w:val="0"/>
            </w:pPr>
          </w:p>
        </w:tc>
      </w:tr>
      <w:tr w14:paraId="4A32CA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jc w:val="center"/>
        </w:trPr>
        <w:tc>
          <w:tcPr>
            <w:tcW w:w="712" w:type="dxa"/>
            <w:vAlign w:val="center"/>
          </w:tcPr>
          <w:p w14:paraId="6BAB6B39">
            <w:pPr>
              <w:bidi w:val="0"/>
            </w:pPr>
            <w:r>
              <w:rPr>
                <w:rFonts w:hint="eastAsia"/>
              </w:rPr>
              <w:t>2</w:t>
            </w:r>
          </w:p>
        </w:tc>
        <w:tc>
          <w:tcPr>
            <w:tcW w:w="756" w:type="dxa"/>
            <w:vAlign w:val="center"/>
          </w:tcPr>
          <w:p w14:paraId="47283773">
            <w:pPr>
              <w:bidi w:val="0"/>
            </w:pPr>
          </w:p>
        </w:tc>
        <w:tc>
          <w:tcPr>
            <w:tcW w:w="790" w:type="dxa"/>
            <w:vAlign w:val="center"/>
          </w:tcPr>
          <w:p w14:paraId="768C66AC">
            <w:pPr>
              <w:bidi w:val="0"/>
            </w:pPr>
          </w:p>
        </w:tc>
        <w:tc>
          <w:tcPr>
            <w:tcW w:w="701" w:type="dxa"/>
            <w:vAlign w:val="center"/>
          </w:tcPr>
          <w:p w14:paraId="3B0D0DC4">
            <w:pPr>
              <w:bidi w:val="0"/>
            </w:pPr>
          </w:p>
        </w:tc>
        <w:tc>
          <w:tcPr>
            <w:tcW w:w="1066" w:type="dxa"/>
            <w:vAlign w:val="center"/>
          </w:tcPr>
          <w:p w14:paraId="4E717196">
            <w:pPr>
              <w:bidi w:val="0"/>
            </w:pPr>
          </w:p>
        </w:tc>
        <w:tc>
          <w:tcPr>
            <w:tcW w:w="1046" w:type="dxa"/>
            <w:vAlign w:val="center"/>
          </w:tcPr>
          <w:p w14:paraId="6EC2A12B">
            <w:pPr>
              <w:bidi w:val="0"/>
            </w:pPr>
          </w:p>
        </w:tc>
        <w:tc>
          <w:tcPr>
            <w:tcW w:w="977" w:type="dxa"/>
            <w:vAlign w:val="center"/>
          </w:tcPr>
          <w:p w14:paraId="77E7D0CF">
            <w:pPr>
              <w:bidi w:val="0"/>
            </w:pPr>
          </w:p>
        </w:tc>
        <w:tc>
          <w:tcPr>
            <w:tcW w:w="881" w:type="dxa"/>
            <w:vAlign w:val="center"/>
          </w:tcPr>
          <w:p w14:paraId="27CC4EFD">
            <w:pPr>
              <w:bidi w:val="0"/>
            </w:pPr>
          </w:p>
        </w:tc>
        <w:tc>
          <w:tcPr>
            <w:tcW w:w="997" w:type="dxa"/>
            <w:vAlign w:val="center"/>
          </w:tcPr>
          <w:p w14:paraId="76131BA6">
            <w:pPr>
              <w:bidi w:val="0"/>
            </w:pPr>
          </w:p>
        </w:tc>
        <w:tc>
          <w:tcPr>
            <w:tcW w:w="677" w:type="dxa"/>
            <w:vAlign w:val="center"/>
          </w:tcPr>
          <w:p w14:paraId="5C9B5B32">
            <w:pPr>
              <w:bidi w:val="0"/>
            </w:pPr>
          </w:p>
        </w:tc>
        <w:tc>
          <w:tcPr>
            <w:tcW w:w="677" w:type="dxa"/>
            <w:vAlign w:val="center"/>
          </w:tcPr>
          <w:p w14:paraId="6403F948">
            <w:pPr>
              <w:bidi w:val="0"/>
            </w:pPr>
          </w:p>
        </w:tc>
      </w:tr>
      <w:tr w14:paraId="7EC7B3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jc w:val="center"/>
        </w:trPr>
        <w:tc>
          <w:tcPr>
            <w:tcW w:w="712" w:type="dxa"/>
            <w:vAlign w:val="center"/>
          </w:tcPr>
          <w:p w14:paraId="7C2A7194">
            <w:pPr>
              <w:bidi w:val="0"/>
            </w:pPr>
            <w:r>
              <w:rPr>
                <w:rFonts w:hint="eastAsia"/>
              </w:rPr>
              <w:t>…</w:t>
            </w:r>
          </w:p>
        </w:tc>
        <w:tc>
          <w:tcPr>
            <w:tcW w:w="756" w:type="dxa"/>
            <w:vAlign w:val="center"/>
          </w:tcPr>
          <w:p w14:paraId="719D2E6B">
            <w:pPr>
              <w:bidi w:val="0"/>
            </w:pPr>
          </w:p>
        </w:tc>
        <w:tc>
          <w:tcPr>
            <w:tcW w:w="790" w:type="dxa"/>
            <w:vAlign w:val="center"/>
          </w:tcPr>
          <w:p w14:paraId="58AD890A">
            <w:pPr>
              <w:bidi w:val="0"/>
            </w:pPr>
          </w:p>
        </w:tc>
        <w:tc>
          <w:tcPr>
            <w:tcW w:w="701" w:type="dxa"/>
            <w:vAlign w:val="center"/>
          </w:tcPr>
          <w:p w14:paraId="1236E46B">
            <w:pPr>
              <w:bidi w:val="0"/>
            </w:pPr>
          </w:p>
        </w:tc>
        <w:tc>
          <w:tcPr>
            <w:tcW w:w="1066" w:type="dxa"/>
            <w:vAlign w:val="center"/>
          </w:tcPr>
          <w:p w14:paraId="614D29DC">
            <w:pPr>
              <w:bidi w:val="0"/>
            </w:pPr>
          </w:p>
        </w:tc>
        <w:tc>
          <w:tcPr>
            <w:tcW w:w="1046" w:type="dxa"/>
            <w:vAlign w:val="center"/>
          </w:tcPr>
          <w:p w14:paraId="657CF34D">
            <w:pPr>
              <w:bidi w:val="0"/>
            </w:pPr>
          </w:p>
        </w:tc>
        <w:tc>
          <w:tcPr>
            <w:tcW w:w="977" w:type="dxa"/>
            <w:vAlign w:val="center"/>
          </w:tcPr>
          <w:p w14:paraId="0CF9C205">
            <w:pPr>
              <w:bidi w:val="0"/>
            </w:pPr>
          </w:p>
        </w:tc>
        <w:tc>
          <w:tcPr>
            <w:tcW w:w="881" w:type="dxa"/>
            <w:vAlign w:val="center"/>
          </w:tcPr>
          <w:p w14:paraId="363EA596">
            <w:pPr>
              <w:bidi w:val="0"/>
            </w:pPr>
          </w:p>
        </w:tc>
        <w:tc>
          <w:tcPr>
            <w:tcW w:w="997" w:type="dxa"/>
            <w:vAlign w:val="center"/>
          </w:tcPr>
          <w:p w14:paraId="54032004">
            <w:pPr>
              <w:bidi w:val="0"/>
            </w:pPr>
          </w:p>
        </w:tc>
        <w:tc>
          <w:tcPr>
            <w:tcW w:w="677" w:type="dxa"/>
            <w:vAlign w:val="center"/>
          </w:tcPr>
          <w:p w14:paraId="00E7F90B">
            <w:pPr>
              <w:bidi w:val="0"/>
            </w:pPr>
          </w:p>
        </w:tc>
        <w:tc>
          <w:tcPr>
            <w:tcW w:w="677" w:type="dxa"/>
            <w:vAlign w:val="center"/>
          </w:tcPr>
          <w:p w14:paraId="21C1EA15">
            <w:pPr>
              <w:bidi w:val="0"/>
            </w:pPr>
          </w:p>
        </w:tc>
      </w:tr>
      <w:tr w14:paraId="45329E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jc w:val="center"/>
        </w:trPr>
        <w:tc>
          <w:tcPr>
            <w:tcW w:w="712" w:type="dxa"/>
            <w:vAlign w:val="center"/>
          </w:tcPr>
          <w:p w14:paraId="2E37704B">
            <w:pPr>
              <w:bidi w:val="0"/>
            </w:pPr>
            <w:r>
              <w:rPr>
                <w:rFonts w:hint="eastAsia"/>
              </w:rPr>
              <w:t>合计</w:t>
            </w:r>
          </w:p>
        </w:tc>
        <w:tc>
          <w:tcPr>
            <w:tcW w:w="756" w:type="dxa"/>
            <w:vAlign w:val="center"/>
          </w:tcPr>
          <w:p w14:paraId="6E7BED60">
            <w:pPr>
              <w:bidi w:val="0"/>
            </w:pPr>
          </w:p>
        </w:tc>
        <w:tc>
          <w:tcPr>
            <w:tcW w:w="790" w:type="dxa"/>
            <w:vAlign w:val="center"/>
          </w:tcPr>
          <w:p w14:paraId="617FCBB7">
            <w:pPr>
              <w:bidi w:val="0"/>
            </w:pPr>
          </w:p>
        </w:tc>
        <w:tc>
          <w:tcPr>
            <w:tcW w:w="701" w:type="dxa"/>
            <w:vAlign w:val="center"/>
          </w:tcPr>
          <w:p w14:paraId="5EC80CD3">
            <w:pPr>
              <w:bidi w:val="0"/>
            </w:pPr>
          </w:p>
        </w:tc>
        <w:tc>
          <w:tcPr>
            <w:tcW w:w="1066" w:type="dxa"/>
            <w:vAlign w:val="center"/>
          </w:tcPr>
          <w:p w14:paraId="0D6EA592">
            <w:pPr>
              <w:bidi w:val="0"/>
            </w:pPr>
          </w:p>
        </w:tc>
        <w:tc>
          <w:tcPr>
            <w:tcW w:w="1046" w:type="dxa"/>
            <w:vAlign w:val="center"/>
          </w:tcPr>
          <w:p w14:paraId="51E1900E">
            <w:pPr>
              <w:bidi w:val="0"/>
            </w:pPr>
          </w:p>
        </w:tc>
        <w:tc>
          <w:tcPr>
            <w:tcW w:w="977" w:type="dxa"/>
            <w:vAlign w:val="center"/>
          </w:tcPr>
          <w:p w14:paraId="00BB0DEE">
            <w:pPr>
              <w:bidi w:val="0"/>
            </w:pPr>
          </w:p>
        </w:tc>
        <w:tc>
          <w:tcPr>
            <w:tcW w:w="881" w:type="dxa"/>
            <w:vAlign w:val="center"/>
          </w:tcPr>
          <w:p w14:paraId="42883D9E">
            <w:pPr>
              <w:bidi w:val="0"/>
            </w:pPr>
          </w:p>
        </w:tc>
        <w:tc>
          <w:tcPr>
            <w:tcW w:w="997" w:type="dxa"/>
            <w:vAlign w:val="center"/>
          </w:tcPr>
          <w:p w14:paraId="78BC8C88">
            <w:pPr>
              <w:bidi w:val="0"/>
            </w:pPr>
          </w:p>
        </w:tc>
        <w:tc>
          <w:tcPr>
            <w:tcW w:w="677" w:type="dxa"/>
            <w:vAlign w:val="center"/>
          </w:tcPr>
          <w:p w14:paraId="7DFD9556">
            <w:pPr>
              <w:bidi w:val="0"/>
            </w:pPr>
          </w:p>
        </w:tc>
        <w:tc>
          <w:tcPr>
            <w:tcW w:w="677" w:type="dxa"/>
            <w:vAlign w:val="center"/>
          </w:tcPr>
          <w:p w14:paraId="5595CBD1">
            <w:pPr>
              <w:bidi w:val="0"/>
            </w:pPr>
          </w:p>
        </w:tc>
      </w:tr>
    </w:tbl>
    <w:p w14:paraId="5A41C45B">
      <w:pPr>
        <w:bidi w:val="0"/>
      </w:pPr>
      <w:bookmarkStart w:id="214" w:name="_Toc9321"/>
      <w:bookmarkEnd w:id="214"/>
      <w:bookmarkStart w:id="215" w:name="_Toc7086"/>
      <w:bookmarkEnd w:id="215"/>
    </w:p>
    <w:p w14:paraId="1454A8E5">
      <w:pPr>
        <w:bidi w:val="0"/>
      </w:pPr>
    </w:p>
    <w:p w14:paraId="7171E729">
      <w:pPr>
        <w:bidi w:val="0"/>
        <w:rPr>
          <w:lang w:eastAsia="zh-Hans"/>
        </w:rPr>
      </w:pPr>
    </w:p>
    <w:p w14:paraId="5F9896BD">
      <w:pPr>
        <w:bidi w:val="0"/>
      </w:pPr>
      <w:r>
        <w:rPr>
          <w:rFonts w:hint="eastAsia"/>
          <w:lang w:eastAsia="zh-Hans"/>
        </w:rPr>
        <w:t>甲方</w:t>
      </w:r>
      <w:r>
        <w:rPr>
          <w:rFonts w:hint="eastAsia"/>
        </w:rPr>
        <w:t>（盖章）</w:t>
      </w:r>
      <w:r>
        <w:rPr>
          <w:rFonts w:hint="eastAsia"/>
          <w:lang w:eastAsia="zh-Hans"/>
        </w:rPr>
        <w:t>：</w:t>
      </w:r>
      <w:r>
        <w:rPr>
          <w:rFonts w:hint="eastAsia"/>
        </w:rPr>
        <w:t>甲方单位全称</w:t>
      </w:r>
    </w:p>
    <w:p w14:paraId="34EBFADD">
      <w:pPr>
        <w:bidi w:val="0"/>
      </w:pPr>
    </w:p>
    <w:p w14:paraId="4A569C82">
      <w:pPr>
        <w:bidi w:val="0"/>
      </w:pPr>
      <w:r>
        <w:rPr>
          <w:rFonts w:hint="eastAsia"/>
        </w:rPr>
        <w:t>甲方代表</w:t>
      </w:r>
      <w:r>
        <w:rPr>
          <w:rFonts w:hint="eastAsia"/>
          <w:lang w:eastAsia="zh-Hans"/>
        </w:rPr>
        <w:t xml:space="preserve">（签字）： </w:t>
      </w:r>
    </w:p>
    <w:p w14:paraId="2E1FD7D9">
      <w:pPr>
        <w:bidi w:val="0"/>
      </w:pPr>
    </w:p>
    <w:p w14:paraId="7801B69F">
      <w:pPr>
        <w:bidi w:val="0"/>
      </w:pPr>
    </w:p>
    <w:p w14:paraId="63C71502">
      <w:pPr>
        <w:bidi w:val="0"/>
      </w:pPr>
    </w:p>
    <w:p w14:paraId="5A15A191">
      <w:pPr>
        <w:bidi w:val="0"/>
      </w:pPr>
      <w:r>
        <w:rPr>
          <w:rFonts w:hint="eastAsia"/>
        </w:rPr>
        <w:t>乙</w:t>
      </w:r>
      <w:r>
        <w:rPr>
          <w:rFonts w:hint="eastAsia"/>
          <w:lang w:eastAsia="zh-Hans"/>
        </w:rPr>
        <w:t>方</w:t>
      </w:r>
      <w:r>
        <w:rPr>
          <w:rFonts w:hint="eastAsia"/>
        </w:rPr>
        <w:t>（盖章）</w:t>
      </w:r>
      <w:r>
        <w:rPr>
          <w:rFonts w:hint="eastAsia"/>
          <w:lang w:eastAsia="zh-Hans"/>
        </w:rPr>
        <w:t>：</w:t>
      </w:r>
      <w:r>
        <w:rPr>
          <w:rFonts w:hint="eastAsia"/>
        </w:rPr>
        <w:t>乙方单位全称</w:t>
      </w:r>
    </w:p>
    <w:p w14:paraId="60AF0669">
      <w:pPr>
        <w:bidi w:val="0"/>
      </w:pPr>
    </w:p>
    <w:p w14:paraId="5B27DF4A">
      <w:pPr>
        <w:bidi w:val="0"/>
        <w:rPr>
          <w:lang w:eastAsia="zh-Hans"/>
        </w:rPr>
      </w:pPr>
      <w:r>
        <w:rPr>
          <w:rFonts w:hint="eastAsia"/>
        </w:rPr>
        <w:t>乙方代表</w:t>
      </w:r>
      <w:r>
        <w:rPr>
          <w:rFonts w:hint="eastAsia"/>
          <w:lang w:eastAsia="zh-Hans"/>
        </w:rPr>
        <w:t xml:space="preserve">（签字）： </w:t>
      </w:r>
    </w:p>
    <w:p w14:paraId="0179763A">
      <w:pPr>
        <w:bidi w:val="0"/>
        <w:rPr>
          <w:lang w:eastAsia="zh-Hans"/>
        </w:rPr>
      </w:pPr>
    </w:p>
    <w:p w14:paraId="7349E170">
      <w:pPr>
        <w:bidi w:val="0"/>
      </w:pPr>
      <w:r>
        <w:rPr>
          <w:rFonts w:hint="eastAsia"/>
        </w:rPr>
        <w:t>附件二 技术协议书</w:t>
      </w:r>
    </w:p>
    <w:p w14:paraId="53F03D10">
      <w:pPr>
        <w:bidi w:val="0"/>
        <w:rPr>
          <w:lang w:eastAsia="zh-Hans"/>
        </w:rPr>
      </w:pPr>
      <w:r>
        <w:rPr>
          <w:rFonts w:hint="eastAsia"/>
        </w:rPr>
        <w:t>作为附件另附</w:t>
      </w:r>
    </w:p>
    <w:p w14:paraId="7D741E60">
      <w:pPr>
        <w:bidi w:val="0"/>
        <w:rPr>
          <w:rFonts w:hint="eastAsia"/>
          <w:lang w:eastAsia="zh-Hans"/>
        </w:rPr>
      </w:pPr>
    </w:p>
    <w:p w14:paraId="24A306F4">
      <w:pPr>
        <w:bidi w:val="0"/>
        <w:rPr>
          <w:rFonts w:hint="eastAsia"/>
        </w:rPr>
      </w:pPr>
    </w:p>
    <w:p w14:paraId="1D4E7E68">
      <w:pPr>
        <w:pStyle w:val="128"/>
        <w:bidi w:val="0"/>
        <w:jc w:val="center"/>
        <w:rPr>
          <w:rFonts w:hint="eastAsia" w:ascii="楷体" w:hAnsi="楷体" w:eastAsia="楷体" w:cs="楷体"/>
          <w:szCs w:val="21"/>
        </w:rPr>
      </w:pPr>
      <w:r>
        <w:rPr>
          <w:rFonts w:hint="eastAsia"/>
          <w:sz w:val="40"/>
          <w:szCs w:val="36"/>
        </w:rPr>
        <w:t>廉洁诚信协议</w:t>
      </w:r>
    </w:p>
    <w:p w14:paraId="6754255C">
      <w:pPr>
        <w:pStyle w:val="2"/>
        <w:spacing w:before="8" w:after="156"/>
        <w:rPr>
          <w:rFonts w:hint="eastAsia" w:ascii="楷体" w:hAnsi="楷体" w:eastAsia="楷体" w:cs="楷体"/>
          <w:sz w:val="44"/>
          <w:szCs w:val="28"/>
        </w:rPr>
      </w:pPr>
    </w:p>
    <w:p w14:paraId="222A2280">
      <w:pPr>
        <w:spacing w:line="607" w:lineRule="auto"/>
        <w:ind w:left="117" w:right="3769"/>
        <w:rPr>
          <w:rFonts w:hint="eastAsia" w:ascii="楷体" w:hAnsi="楷体" w:eastAsia="楷体" w:cs="楷体"/>
          <w:b/>
          <w:sz w:val="28"/>
          <w:szCs w:val="21"/>
        </w:rPr>
      </w:pPr>
      <w:r>
        <w:rPr>
          <w:rFonts w:hint="eastAsia" w:ascii="楷体" w:hAnsi="楷体" w:eastAsia="楷体" w:cs="楷体"/>
          <w:b/>
          <w:sz w:val="28"/>
          <w:szCs w:val="21"/>
        </w:rPr>
        <w:t>甲方：</w:t>
      </w:r>
    </w:p>
    <w:p w14:paraId="457A4771">
      <w:pPr>
        <w:spacing w:line="607" w:lineRule="auto"/>
        <w:ind w:left="117" w:right="3769"/>
        <w:rPr>
          <w:rFonts w:hint="eastAsia" w:ascii="楷体" w:hAnsi="楷体" w:eastAsia="楷体" w:cs="楷体"/>
          <w:b/>
          <w:sz w:val="28"/>
          <w:szCs w:val="21"/>
        </w:rPr>
      </w:pPr>
      <w:r>
        <w:rPr>
          <w:rFonts w:hint="eastAsia" w:ascii="楷体" w:hAnsi="楷体" w:eastAsia="楷体" w:cs="楷体"/>
          <w:b/>
          <w:sz w:val="28"/>
          <w:szCs w:val="21"/>
        </w:rPr>
        <w:t>乙方：</w:t>
      </w:r>
    </w:p>
    <w:p w14:paraId="7F1383B4">
      <w:pPr>
        <w:pStyle w:val="131"/>
        <w:tabs>
          <w:tab w:val="left" w:pos="1244"/>
        </w:tabs>
        <w:adjustRightInd w:val="0"/>
        <w:spacing w:line="305" w:lineRule="auto"/>
        <w:ind w:firstLine="552"/>
        <w:rPr>
          <w:rFonts w:hint="eastAsia" w:ascii="楷体" w:hAnsi="楷体" w:eastAsia="楷体" w:cs="楷体"/>
          <w:spacing w:val="-2"/>
          <w:sz w:val="28"/>
          <w:szCs w:val="28"/>
        </w:rPr>
      </w:pPr>
      <w:r>
        <w:rPr>
          <w:rFonts w:hint="eastAsia" w:ascii="楷体" w:hAnsi="楷体" w:eastAsia="楷体" w:cs="楷体"/>
          <w:spacing w:val="-2"/>
          <w:sz w:val="28"/>
          <w:szCs w:val="28"/>
        </w:rPr>
        <w:t>乙方是甲方或甲方全资、控股、参股企业的供应商、服务商或采购商、经销商，甲方作为采购方或销售方（包含甲方及其关联企业，以下统称甲方），为保证双方长期稳定合作和健康发展，保证各合作主体之间公平、公正、公开的良性竞争，共同抵制商业贿赂等一切不正当行为，营造诚实信用的商业氛围，积极维护双方信誉</w:t>
      </w:r>
      <w:r>
        <w:rPr>
          <w:rFonts w:ascii="楷体" w:hAnsi="楷体" w:eastAsia="楷体" w:cs="楷体"/>
          <w:spacing w:val="-2"/>
          <w:sz w:val="28"/>
          <w:szCs w:val="28"/>
        </w:rPr>
        <w:t>,共同加强廉洁自律建设，甲乙双方在平等、自愿、协商一致的原则下，签订本协议。</w:t>
      </w:r>
    </w:p>
    <w:p w14:paraId="2AB07F70">
      <w:pPr>
        <w:pStyle w:val="131"/>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1.甲乙双方应当共同遵守国家、地方法律法规以及本协议的约定，在合同的订立、履行过程中廉洁自律，绝不弄虚作假、以次充好，虚结虚算。</w:t>
      </w:r>
    </w:p>
    <w:p w14:paraId="5015A6A8">
      <w:pPr>
        <w:pStyle w:val="131"/>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2.乙方声明并承诺甲方人员或其</w:t>
      </w:r>
      <w:r>
        <w:rPr>
          <w:rFonts w:hint="eastAsia" w:ascii="楷体" w:hAnsi="楷体" w:eastAsia="楷体" w:cs="楷体"/>
          <w:spacing w:val="-2"/>
          <w:sz w:val="28"/>
          <w:szCs w:val="28"/>
        </w:rPr>
        <w:t>配偶、子女及其配偶等</w:t>
      </w:r>
      <w:r>
        <w:rPr>
          <w:rFonts w:ascii="楷体" w:hAnsi="楷体" w:eastAsia="楷体" w:cs="楷体"/>
          <w:spacing w:val="-2"/>
          <w:sz w:val="28"/>
          <w:szCs w:val="28"/>
        </w:rPr>
        <w:t>亲属</w:t>
      </w:r>
      <w:r>
        <w:rPr>
          <w:rFonts w:hint="eastAsia" w:ascii="楷体" w:hAnsi="楷体" w:eastAsia="楷体" w:cs="楷体"/>
          <w:spacing w:val="-2"/>
          <w:sz w:val="28"/>
          <w:szCs w:val="28"/>
        </w:rPr>
        <w:t>和其他特定关系人（甲方人员为领导干部的，其他特定关系人包含身边工作人员）</w:t>
      </w:r>
      <w:r>
        <w:rPr>
          <w:rFonts w:ascii="楷体" w:hAnsi="楷体" w:eastAsia="楷体" w:cs="楷体"/>
          <w:spacing w:val="-2"/>
          <w:sz w:val="28"/>
          <w:szCs w:val="28"/>
        </w:rPr>
        <w:t>没有直接或间接投资乙方或持有乙方股权，没有直接或间接投资乙方关联企业或持有乙方关联企业股权。</w:t>
      </w:r>
    </w:p>
    <w:p w14:paraId="69A752FF">
      <w:pPr>
        <w:pStyle w:val="131"/>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3.乙方承诺乙方或乙方关联企业股东、实际出资人或持股人、高管、主要业务人员不得与甲方人员或其</w:t>
      </w:r>
      <w:r>
        <w:rPr>
          <w:rFonts w:hint="eastAsia" w:ascii="楷体" w:hAnsi="楷体" w:eastAsia="楷体" w:cs="楷体"/>
          <w:spacing w:val="-2"/>
          <w:sz w:val="28"/>
          <w:szCs w:val="28"/>
        </w:rPr>
        <w:t>配偶、子女及其配偶等</w:t>
      </w:r>
      <w:r>
        <w:rPr>
          <w:rFonts w:ascii="楷体" w:hAnsi="楷体" w:eastAsia="楷体" w:cs="楷体"/>
          <w:spacing w:val="-2"/>
          <w:sz w:val="28"/>
          <w:szCs w:val="28"/>
        </w:rPr>
        <w:t>亲属</w:t>
      </w:r>
      <w:r>
        <w:rPr>
          <w:rFonts w:hint="eastAsia" w:ascii="楷体" w:hAnsi="楷体" w:eastAsia="楷体" w:cs="楷体"/>
          <w:spacing w:val="-2"/>
          <w:sz w:val="28"/>
          <w:szCs w:val="28"/>
        </w:rPr>
        <w:t>和其他特定关系人</w:t>
      </w:r>
      <w:r>
        <w:rPr>
          <w:rFonts w:ascii="楷体" w:hAnsi="楷体" w:eastAsia="楷体" w:cs="楷体"/>
          <w:spacing w:val="-2"/>
          <w:sz w:val="28"/>
          <w:szCs w:val="28"/>
        </w:rPr>
        <w:t>共同成立公司，不得聘请甲方人员或其</w:t>
      </w:r>
      <w:r>
        <w:rPr>
          <w:rFonts w:hint="eastAsia" w:ascii="楷体" w:hAnsi="楷体" w:eastAsia="楷体" w:cs="楷体"/>
          <w:spacing w:val="-2"/>
          <w:sz w:val="28"/>
          <w:szCs w:val="28"/>
        </w:rPr>
        <w:t>配偶、子女及其配偶等</w:t>
      </w:r>
      <w:r>
        <w:rPr>
          <w:rFonts w:ascii="楷体" w:hAnsi="楷体" w:eastAsia="楷体" w:cs="楷体"/>
          <w:spacing w:val="-2"/>
          <w:sz w:val="28"/>
          <w:szCs w:val="28"/>
        </w:rPr>
        <w:t>亲属</w:t>
      </w:r>
      <w:r>
        <w:rPr>
          <w:rFonts w:hint="eastAsia" w:ascii="楷体" w:hAnsi="楷体" w:eastAsia="楷体" w:cs="楷体"/>
          <w:spacing w:val="-2"/>
          <w:sz w:val="28"/>
          <w:szCs w:val="28"/>
        </w:rPr>
        <w:t>和其他特定关系人</w:t>
      </w:r>
      <w:r>
        <w:rPr>
          <w:rFonts w:ascii="楷体" w:hAnsi="楷体" w:eastAsia="楷体" w:cs="楷体"/>
          <w:spacing w:val="-2"/>
          <w:sz w:val="28"/>
          <w:szCs w:val="28"/>
        </w:rPr>
        <w:t>在乙方或乙方关联企业股东或实际出资人或高管或主要业务人员成立的企业中担任高管或为其</w:t>
      </w:r>
      <w:r>
        <w:rPr>
          <w:rFonts w:hint="eastAsia" w:ascii="楷体" w:hAnsi="楷体" w:eastAsia="楷体" w:cs="楷体"/>
          <w:spacing w:val="-2"/>
          <w:sz w:val="28"/>
          <w:szCs w:val="28"/>
        </w:rPr>
        <w:t>违规</w:t>
      </w:r>
      <w:r>
        <w:rPr>
          <w:rFonts w:ascii="楷体" w:hAnsi="楷体" w:eastAsia="楷体" w:cs="楷体"/>
          <w:spacing w:val="-2"/>
          <w:sz w:val="28"/>
          <w:szCs w:val="28"/>
        </w:rPr>
        <w:t>发放薪酬。</w:t>
      </w:r>
      <w:r>
        <w:rPr>
          <w:rFonts w:hint="eastAsia" w:ascii="楷体" w:hAnsi="楷体" w:eastAsia="楷体" w:cs="楷体"/>
          <w:spacing w:val="-2"/>
          <w:sz w:val="28"/>
          <w:szCs w:val="28"/>
        </w:rPr>
        <w:t>违规发放薪酬包括不实际工作而获取薪酬或者虽实际工作但领取明显超出同职级标准薪酬。</w:t>
      </w:r>
      <w:r>
        <w:rPr>
          <w:rFonts w:ascii="楷体" w:hAnsi="楷体" w:eastAsia="楷体" w:cs="楷体"/>
          <w:spacing w:val="-2"/>
          <w:sz w:val="28"/>
          <w:szCs w:val="28"/>
        </w:rPr>
        <w:t>（</w:t>
      </w:r>
      <w:r>
        <w:rPr>
          <w:rFonts w:hint="eastAsia" w:ascii="楷体" w:hAnsi="楷体" w:eastAsia="楷体" w:cs="楷体"/>
          <w:spacing w:val="-2"/>
          <w:sz w:val="28"/>
          <w:szCs w:val="28"/>
        </w:rPr>
        <w:t>若乙方为甲方</w:t>
      </w:r>
      <w:r>
        <w:rPr>
          <w:rFonts w:ascii="楷体" w:hAnsi="楷体" w:eastAsia="楷体" w:cs="楷体"/>
          <w:spacing w:val="-2"/>
          <w:sz w:val="28"/>
          <w:szCs w:val="28"/>
        </w:rPr>
        <w:t>新</w:t>
      </w:r>
      <w:r>
        <w:rPr>
          <w:rFonts w:hint="eastAsia" w:ascii="楷体" w:hAnsi="楷体" w:eastAsia="楷体" w:cs="楷体"/>
          <w:spacing w:val="-2"/>
          <w:sz w:val="28"/>
          <w:szCs w:val="28"/>
        </w:rPr>
        <w:t>合作伙伴</w:t>
      </w:r>
      <w:r>
        <w:rPr>
          <w:rFonts w:ascii="楷体" w:hAnsi="楷体" w:eastAsia="楷体" w:cs="楷体"/>
          <w:spacing w:val="-2"/>
          <w:sz w:val="28"/>
          <w:szCs w:val="28"/>
        </w:rPr>
        <w:t>，如在本协议签订前乙方存在本条规定情形的，需在本协议签订后30日内，将相关情况报</w:t>
      </w:r>
      <w:r>
        <w:rPr>
          <w:rFonts w:hint="eastAsia" w:ascii="楷体" w:hAnsi="楷体" w:eastAsia="楷体" w:cs="楷体"/>
          <w:spacing w:val="-2"/>
          <w:sz w:val="28"/>
          <w:szCs w:val="28"/>
        </w:rPr>
        <w:t>甲方所属</w:t>
      </w:r>
      <w:r>
        <w:rPr>
          <w:rFonts w:ascii="楷体" w:hAnsi="楷体" w:eastAsia="楷体" w:cs="楷体"/>
          <w:spacing w:val="-2"/>
          <w:sz w:val="28"/>
          <w:szCs w:val="28"/>
        </w:rPr>
        <w:t>重汽集团</w:t>
      </w:r>
      <w:r>
        <w:rPr>
          <w:rFonts w:hint="eastAsia" w:ascii="楷体" w:hAnsi="楷体" w:eastAsia="楷体" w:cs="楷体"/>
          <w:spacing w:val="-2"/>
          <w:sz w:val="28"/>
          <w:szCs w:val="28"/>
        </w:rPr>
        <w:t>的</w:t>
      </w:r>
      <w:r>
        <w:rPr>
          <w:rFonts w:ascii="楷体" w:hAnsi="楷体" w:eastAsia="楷体" w:cs="楷体"/>
          <w:spacing w:val="-2"/>
          <w:sz w:val="28"/>
          <w:szCs w:val="28"/>
        </w:rPr>
        <w:t>纪委监察部</w:t>
      </w:r>
      <w:r>
        <w:rPr>
          <w:rFonts w:hint="eastAsia" w:ascii="楷体" w:hAnsi="楷体" w:eastAsia="楷体" w:cs="楷体"/>
          <w:spacing w:val="-2"/>
          <w:sz w:val="28"/>
          <w:szCs w:val="28"/>
        </w:rPr>
        <w:t>门</w:t>
      </w:r>
      <w:r>
        <w:rPr>
          <w:rFonts w:ascii="楷体" w:hAnsi="楷体" w:eastAsia="楷体" w:cs="楷体"/>
          <w:spacing w:val="-2"/>
          <w:sz w:val="28"/>
          <w:szCs w:val="28"/>
        </w:rPr>
        <w:t>备案）。</w:t>
      </w:r>
    </w:p>
    <w:p w14:paraId="5327E3EA">
      <w:pPr>
        <w:pStyle w:val="131"/>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4.乙方承诺依法开展经营活动，不得有任何形式的商业贿赂行为。乙方一经发现其员工或其</w:t>
      </w:r>
      <w:r>
        <w:rPr>
          <w:rFonts w:hint="eastAsia" w:ascii="楷体" w:hAnsi="楷体" w:eastAsia="楷体" w:cs="楷体"/>
          <w:spacing w:val="-2"/>
          <w:sz w:val="28"/>
          <w:szCs w:val="28"/>
        </w:rPr>
        <w:t>配偶、子女及其配偶等亲属和其他特定关系人</w:t>
      </w:r>
      <w:r>
        <w:rPr>
          <w:rFonts w:ascii="楷体" w:hAnsi="楷体" w:eastAsia="楷体" w:cs="楷体"/>
          <w:spacing w:val="-2"/>
          <w:sz w:val="28"/>
          <w:szCs w:val="28"/>
        </w:rPr>
        <w:t>存在任何商业贿赂行为，应立即通知甲方并自行进行查处和整改。若甲方认为上述行为严重影响到甲方的利益，则甲方有权单方解除双方</w:t>
      </w:r>
      <w:r>
        <w:rPr>
          <w:rFonts w:hint="eastAsia" w:ascii="楷体" w:hAnsi="楷体" w:eastAsia="楷体" w:cs="楷体"/>
          <w:spacing w:val="-2"/>
          <w:sz w:val="28"/>
          <w:szCs w:val="28"/>
        </w:rPr>
        <w:t>已</w:t>
      </w:r>
      <w:r>
        <w:rPr>
          <w:rFonts w:ascii="楷体" w:hAnsi="楷体" w:eastAsia="楷体" w:cs="楷体"/>
          <w:spacing w:val="-2"/>
          <w:sz w:val="28"/>
          <w:szCs w:val="28"/>
        </w:rPr>
        <w:t>签订的</w:t>
      </w:r>
      <w:r>
        <w:rPr>
          <w:rFonts w:hint="eastAsia" w:ascii="楷体" w:hAnsi="楷体" w:eastAsia="楷体" w:cs="楷体"/>
          <w:spacing w:val="-2"/>
          <w:sz w:val="28"/>
          <w:szCs w:val="28"/>
        </w:rPr>
        <w:t>所有合同</w:t>
      </w:r>
      <w:r>
        <w:rPr>
          <w:rFonts w:ascii="楷体" w:hAnsi="楷体" w:eastAsia="楷体" w:cs="楷体"/>
          <w:spacing w:val="-2"/>
          <w:sz w:val="28"/>
          <w:szCs w:val="28"/>
        </w:rPr>
        <w:t>协议，并要求乙方赔偿。</w:t>
      </w:r>
    </w:p>
    <w:p w14:paraId="3C5F7BB3">
      <w:pPr>
        <w:pStyle w:val="131"/>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5.乙方承诺不以任何理由为甲方人员及其</w:t>
      </w:r>
      <w:r>
        <w:rPr>
          <w:rFonts w:hint="eastAsia" w:ascii="楷体" w:hAnsi="楷体" w:eastAsia="楷体" w:cs="楷体"/>
          <w:spacing w:val="-2"/>
          <w:sz w:val="28"/>
          <w:szCs w:val="28"/>
        </w:rPr>
        <w:t>配偶、子女及其配偶等亲属和其他特定关系人提供如下：</w:t>
      </w:r>
    </w:p>
    <w:p w14:paraId="361946E3">
      <w:pPr>
        <w:pStyle w:val="131"/>
        <w:tabs>
          <w:tab w:val="left" w:pos="1244"/>
        </w:tabs>
        <w:adjustRightInd w:val="0"/>
        <w:spacing w:line="305" w:lineRule="auto"/>
        <w:ind w:firstLine="552"/>
        <w:rPr>
          <w:rFonts w:hint="eastAsia" w:ascii="楷体" w:hAnsi="楷体" w:eastAsia="楷体" w:cs="楷体"/>
          <w:spacing w:val="-2"/>
          <w:sz w:val="28"/>
          <w:szCs w:val="28"/>
        </w:rPr>
      </w:pPr>
      <w:r>
        <w:rPr>
          <w:rFonts w:hint="eastAsia" w:ascii="楷体" w:hAnsi="楷体" w:eastAsia="楷体" w:cs="楷体"/>
          <w:spacing w:val="-2"/>
          <w:sz w:val="28"/>
          <w:szCs w:val="28"/>
        </w:rPr>
        <w:t>a)</w:t>
      </w:r>
      <w:r>
        <w:rPr>
          <w:rFonts w:ascii="楷体" w:hAnsi="楷体" w:eastAsia="楷体" w:cs="楷体"/>
          <w:spacing w:val="-2"/>
          <w:sz w:val="28"/>
          <w:szCs w:val="28"/>
        </w:rPr>
        <w:t>赠送</w:t>
      </w:r>
      <w:r>
        <w:rPr>
          <w:rFonts w:hint="eastAsia" w:ascii="楷体" w:hAnsi="楷体" w:eastAsia="楷体" w:cs="楷体"/>
          <w:spacing w:val="-2"/>
          <w:sz w:val="28"/>
          <w:szCs w:val="28"/>
        </w:rPr>
        <w:t>礼品、</w:t>
      </w:r>
      <w:r>
        <w:rPr>
          <w:rFonts w:ascii="楷体" w:hAnsi="楷体" w:eastAsia="楷体" w:cs="楷体"/>
          <w:spacing w:val="-2"/>
          <w:sz w:val="28"/>
          <w:szCs w:val="28"/>
        </w:rPr>
        <w:t>礼金、</w:t>
      </w:r>
      <w:r>
        <w:rPr>
          <w:rFonts w:hint="eastAsia" w:ascii="楷体" w:hAnsi="楷体" w:eastAsia="楷体" w:cs="楷体"/>
          <w:spacing w:val="-2"/>
          <w:sz w:val="28"/>
          <w:szCs w:val="28"/>
        </w:rPr>
        <w:t>消费卡（券）、</w:t>
      </w:r>
      <w:r>
        <w:rPr>
          <w:rFonts w:ascii="楷体" w:hAnsi="楷体" w:eastAsia="楷体" w:cs="楷体"/>
          <w:spacing w:val="-2"/>
          <w:sz w:val="28"/>
          <w:szCs w:val="28"/>
        </w:rPr>
        <w:t>购物卡、充值卡、信用卡</w:t>
      </w:r>
      <w:r>
        <w:rPr>
          <w:rFonts w:hint="eastAsia" w:ascii="楷体" w:hAnsi="楷体" w:eastAsia="楷体" w:cs="楷体"/>
          <w:spacing w:val="-2"/>
          <w:sz w:val="28"/>
          <w:szCs w:val="28"/>
        </w:rPr>
        <w:t>和</w:t>
      </w:r>
      <w:r>
        <w:rPr>
          <w:rFonts w:ascii="楷体" w:hAnsi="楷体" w:eastAsia="楷体" w:cs="楷体"/>
          <w:spacing w:val="-2"/>
          <w:sz w:val="28"/>
          <w:szCs w:val="28"/>
        </w:rPr>
        <w:t>有价证券</w:t>
      </w:r>
      <w:r>
        <w:rPr>
          <w:rFonts w:hint="eastAsia" w:ascii="楷体" w:hAnsi="楷体" w:eastAsia="楷体" w:cs="楷体"/>
          <w:spacing w:val="-2"/>
          <w:sz w:val="28"/>
          <w:szCs w:val="28"/>
        </w:rPr>
        <w:t>、股权、其他金融产品等财物</w:t>
      </w:r>
      <w:r>
        <w:rPr>
          <w:rFonts w:ascii="楷体" w:hAnsi="楷体" w:eastAsia="楷体" w:cs="楷体"/>
          <w:spacing w:val="-2"/>
          <w:sz w:val="28"/>
          <w:szCs w:val="28"/>
        </w:rPr>
        <w:t>和其他贵重物品；</w:t>
      </w:r>
    </w:p>
    <w:p w14:paraId="02C14989">
      <w:pPr>
        <w:pStyle w:val="131"/>
        <w:tabs>
          <w:tab w:val="left" w:pos="1244"/>
        </w:tabs>
        <w:adjustRightInd w:val="0"/>
        <w:spacing w:line="305" w:lineRule="auto"/>
        <w:ind w:firstLine="552"/>
        <w:rPr>
          <w:rFonts w:hint="eastAsia" w:ascii="楷体" w:hAnsi="楷体" w:eastAsia="楷体" w:cs="楷体"/>
          <w:spacing w:val="-2"/>
          <w:sz w:val="28"/>
          <w:szCs w:val="28"/>
        </w:rPr>
      </w:pPr>
      <w:r>
        <w:rPr>
          <w:rFonts w:hint="eastAsia" w:ascii="楷体" w:hAnsi="楷体" w:eastAsia="楷体" w:cs="楷体"/>
          <w:spacing w:val="-2"/>
          <w:sz w:val="28"/>
          <w:szCs w:val="28"/>
        </w:rPr>
        <w:t>b)</w:t>
      </w:r>
      <w:r>
        <w:rPr>
          <w:rFonts w:ascii="楷体" w:hAnsi="楷体" w:eastAsia="楷体" w:cs="楷体"/>
          <w:spacing w:val="-2"/>
          <w:sz w:val="28"/>
          <w:szCs w:val="28"/>
        </w:rPr>
        <w:t>报销个人费用</w:t>
      </w:r>
      <w:r>
        <w:rPr>
          <w:rFonts w:hint="eastAsia" w:ascii="楷体" w:hAnsi="楷体" w:eastAsia="楷体" w:cs="楷体"/>
          <w:spacing w:val="-2"/>
          <w:sz w:val="28"/>
          <w:szCs w:val="28"/>
        </w:rPr>
        <w:t>或以讲课费、课题费、咨询费等名义支付费用</w:t>
      </w:r>
      <w:r>
        <w:rPr>
          <w:rFonts w:ascii="楷体" w:hAnsi="楷体" w:eastAsia="楷体" w:cs="楷体"/>
          <w:spacing w:val="-2"/>
          <w:sz w:val="28"/>
          <w:szCs w:val="28"/>
        </w:rPr>
        <w:t>；</w:t>
      </w:r>
    </w:p>
    <w:p w14:paraId="4C2EC2CB">
      <w:pPr>
        <w:pStyle w:val="131"/>
        <w:tabs>
          <w:tab w:val="left" w:pos="1244"/>
        </w:tabs>
        <w:adjustRightInd w:val="0"/>
        <w:spacing w:line="305" w:lineRule="auto"/>
        <w:ind w:firstLine="552"/>
        <w:rPr>
          <w:rFonts w:hint="eastAsia" w:ascii="楷体" w:hAnsi="楷体" w:eastAsia="楷体" w:cs="楷体"/>
          <w:spacing w:val="-2"/>
          <w:sz w:val="28"/>
          <w:szCs w:val="28"/>
        </w:rPr>
      </w:pPr>
      <w:r>
        <w:rPr>
          <w:rFonts w:hint="eastAsia" w:ascii="楷体" w:hAnsi="楷体" w:eastAsia="楷体" w:cs="楷体"/>
          <w:spacing w:val="-2"/>
          <w:sz w:val="28"/>
          <w:szCs w:val="28"/>
        </w:rPr>
        <w:t>c)</w:t>
      </w:r>
      <w:r>
        <w:rPr>
          <w:rFonts w:ascii="楷体" w:hAnsi="楷体" w:eastAsia="楷体" w:cs="楷体"/>
          <w:spacing w:val="-2"/>
          <w:sz w:val="28"/>
          <w:szCs w:val="28"/>
        </w:rPr>
        <w:t>以洽谈业务、签订合同等为借口宴请或邀请外出旅游</w:t>
      </w:r>
      <w:r>
        <w:rPr>
          <w:rFonts w:hint="eastAsia" w:ascii="楷体" w:hAnsi="楷体" w:eastAsia="楷体" w:cs="楷体"/>
          <w:spacing w:val="-2"/>
          <w:sz w:val="28"/>
          <w:szCs w:val="28"/>
        </w:rPr>
        <w:t>、健身、娱乐</w:t>
      </w:r>
      <w:r>
        <w:rPr>
          <w:rFonts w:ascii="楷体" w:hAnsi="楷体" w:eastAsia="楷体" w:cs="楷体"/>
          <w:spacing w:val="-2"/>
          <w:sz w:val="28"/>
          <w:szCs w:val="28"/>
        </w:rPr>
        <w:t>和进入营业性娱乐场所；</w:t>
      </w:r>
    </w:p>
    <w:p w14:paraId="38F3BE2A">
      <w:pPr>
        <w:pStyle w:val="131"/>
        <w:tabs>
          <w:tab w:val="left" w:pos="1244"/>
        </w:tabs>
        <w:adjustRightInd w:val="0"/>
        <w:spacing w:line="305" w:lineRule="auto"/>
        <w:ind w:firstLine="552"/>
        <w:rPr>
          <w:rFonts w:hint="eastAsia" w:ascii="楷体" w:hAnsi="楷体" w:eastAsia="楷体" w:cs="楷体"/>
          <w:spacing w:val="-2"/>
          <w:sz w:val="28"/>
          <w:szCs w:val="28"/>
        </w:rPr>
      </w:pPr>
      <w:r>
        <w:rPr>
          <w:rFonts w:hint="eastAsia" w:ascii="楷体" w:hAnsi="楷体" w:eastAsia="楷体" w:cs="楷体"/>
          <w:spacing w:val="-2"/>
          <w:sz w:val="28"/>
          <w:szCs w:val="28"/>
        </w:rPr>
        <w:t>d)</w:t>
      </w:r>
      <w:r>
        <w:rPr>
          <w:rFonts w:ascii="楷体" w:hAnsi="楷体" w:eastAsia="楷体" w:cs="楷体"/>
          <w:spacing w:val="-2"/>
          <w:sz w:val="28"/>
          <w:szCs w:val="28"/>
        </w:rPr>
        <w:t>购置或提供通讯、交通工具</w:t>
      </w:r>
      <w:r>
        <w:rPr>
          <w:rFonts w:hint="eastAsia" w:ascii="楷体" w:hAnsi="楷体" w:eastAsia="楷体" w:cs="楷体"/>
          <w:spacing w:val="-2"/>
          <w:sz w:val="28"/>
          <w:szCs w:val="28"/>
        </w:rPr>
        <w:t>、钱款、住房、车辆等或提供通过民间借贷等金融助其获得大额回报</w:t>
      </w:r>
      <w:r>
        <w:rPr>
          <w:rFonts w:ascii="楷体" w:hAnsi="楷体" w:eastAsia="楷体" w:cs="楷体"/>
          <w:spacing w:val="-2"/>
          <w:sz w:val="28"/>
          <w:szCs w:val="28"/>
        </w:rPr>
        <w:t>；</w:t>
      </w:r>
    </w:p>
    <w:p w14:paraId="79D3289F">
      <w:pPr>
        <w:pStyle w:val="131"/>
        <w:tabs>
          <w:tab w:val="left" w:pos="1244"/>
        </w:tabs>
        <w:adjustRightInd w:val="0"/>
        <w:spacing w:line="305" w:lineRule="auto"/>
        <w:ind w:firstLine="552"/>
        <w:rPr>
          <w:rFonts w:hint="eastAsia" w:ascii="楷体" w:hAnsi="楷体" w:eastAsia="楷体" w:cs="楷体"/>
          <w:spacing w:val="-2"/>
          <w:sz w:val="28"/>
          <w:szCs w:val="28"/>
        </w:rPr>
      </w:pPr>
      <w:r>
        <w:rPr>
          <w:rFonts w:hint="eastAsia" w:ascii="楷体" w:hAnsi="楷体" w:eastAsia="楷体" w:cs="楷体"/>
          <w:spacing w:val="-2"/>
          <w:sz w:val="28"/>
          <w:szCs w:val="28"/>
        </w:rPr>
        <w:t>e)</w:t>
      </w:r>
      <w:r>
        <w:rPr>
          <w:rFonts w:ascii="楷体" w:hAnsi="楷体" w:eastAsia="楷体" w:cs="楷体"/>
          <w:spacing w:val="-2"/>
          <w:sz w:val="28"/>
          <w:szCs w:val="28"/>
        </w:rPr>
        <w:t>住房装修、婚丧嫁娶、家属和子女的工作安排以及出国等提供任何金钱或非金钱方式的资助或帮助</w:t>
      </w:r>
      <w:r>
        <w:rPr>
          <w:rFonts w:hint="eastAsia" w:ascii="楷体" w:hAnsi="楷体" w:eastAsia="楷体" w:cs="楷体"/>
          <w:spacing w:val="-2"/>
          <w:sz w:val="28"/>
          <w:szCs w:val="28"/>
        </w:rPr>
        <w:t>；</w:t>
      </w:r>
    </w:p>
    <w:p w14:paraId="34CA5406">
      <w:pPr>
        <w:pStyle w:val="131"/>
        <w:tabs>
          <w:tab w:val="left" w:pos="1244"/>
        </w:tabs>
        <w:adjustRightInd w:val="0"/>
        <w:spacing w:line="305" w:lineRule="auto"/>
        <w:ind w:firstLine="552"/>
        <w:rPr>
          <w:rFonts w:hint="eastAsia" w:ascii="楷体" w:hAnsi="楷体" w:eastAsia="楷体" w:cs="楷体"/>
          <w:spacing w:val="-2"/>
          <w:sz w:val="28"/>
          <w:szCs w:val="28"/>
        </w:rPr>
      </w:pPr>
      <w:r>
        <w:rPr>
          <w:rFonts w:hint="eastAsia" w:ascii="楷体" w:hAnsi="楷体" w:eastAsia="楷体" w:cs="楷体"/>
          <w:spacing w:val="-2"/>
          <w:sz w:val="28"/>
          <w:szCs w:val="28"/>
        </w:rPr>
        <w:t>f)吸收存款、推销金融产品、经营名贵特产类资源等提供帮助谋取利益；</w:t>
      </w:r>
    </w:p>
    <w:p w14:paraId="5106322F">
      <w:pPr>
        <w:pStyle w:val="131"/>
        <w:tabs>
          <w:tab w:val="left" w:pos="1244"/>
        </w:tabs>
        <w:adjustRightInd w:val="0"/>
        <w:spacing w:line="305" w:lineRule="auto"/>
        <w:ind w:firstLine="552"/>
        <w:rPr>
          <w:rFonts w:hint="eastAsia" w:ascii="楷体" w:hAnsi="楷体" w:eastAsia="楷体" w:cs="楷体"/>
          <w:spacing w:val="-2"/>
          <w:sz w:val="28"/>
          <w:szCs w:val="28"/>
        </w:rPr>
      </w:pPr>
      <w:r>
        <w:rPr>
          <w:rFonts w:hint="eastAsia" w:ascii="楷体" w:hAnsi="楷体" w:eastAsia="楷体" w:cs="楷体"/>
          <w:spacing w:val="-2"/>
          <w:sz w:val="28"/>
          <w:szCs w:val="28"/>
        </w:rPr>
        <w:t>g)其他可能影响甲方人员公平、公正的履行职权或者履行职责的情形</w:t>
      </w:r>
      <w:r>
        <w:rPr>
          <w:rFonts w:ascii="楷体" w:hAnsi="楷体" w:eastAsia="楷体" w:cs="楷体"/>
          <w:spacing w:val="-2"/>
          <w:sz w:val="28"/>
          <w:szCs w:val="28"/>
        </w:rPr>
        <w:t>。</w:t>
      </w:r>
    </w:p>
    <w:p w14:paraId="75C02444">
      <w:pPr>
        <w:pStyle w:val="131"/>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6.乙方应当通过正常途径开展相关业务，决不为谋取不正当利益诱使甲方人员就</w:t>
      </w:r>
      <w:r>
        <w:rPr>
          <w:rFonts w:hint="eastAsia" w:ascii="楷体" w:hAnsi="楷体" w:eastAsia="楷体" w:cs="楷体"/>
          <w:spacing w:val="-2"/>
          <w:sz w:val="28"/>
          <w:szCs w:val="28"/>
        </w:rPr>
        <w:t>采购、服务或销售、经销的物项种类</w:t>
      </w:r>
      <w:r>
        <w:rPr>
          <w:rFonts w:ascii="楷体" w:hAnsi="楷体" w:eastAsia="楷体" w:cs="楷体"/>
          <w:spacing w:val="-2"/>
          <w:sz w:val="28"/>
          <w:szCs w:val="28"/>
        </w:rPr>
        <w:t>、</w:t>
      </w:r>
      <w:r>
        <w:rPr>
          <w:rFonts w:hint="eastAsia" w:ascii="楷体" w:hAnsi="楷体" w:eastAsia="楷体" w:cs="楷体"/>
          <w:spacing w:val="-2"/>
          <w:sz w:val="28"/>
          <w:szCs w:val="28"/>
        </w:rPr>
        <w:t>物项</w:t>
      </w:r>
      <w:r>
        <w:rPr>
          <w:rFonts w:ascii="楷体" w:hAnsi="楷体" w:eastAsia="楷体" w:cs="楷体"/>
          <w:spacing w:val="-2"/>
          <w:sz w:val="28"/>
          <w:szCs w:val="28"/>
        </w:rPr>
        <w:t>数量、价格</w:t>
      </w:r>
      <w:r>
        <w:rPr>
          <w:rFonts w:hint="eastAsia" w:ascii="楷体" w:hAnsi="楷体" w:eastAsia="楷体" w:cs="楷体"/>
          <w:spacing w:val="-2"/>
          <w:sz w:val="28"/>
          <w:szCs w:val="28"/>
        </w:rPr>
        <w:t>条件</w:t>
      </w:r>
      <w:r>
        <w:rPr>
          <w:rFonts w:ascii="楷体" w:hAnsi="楷体" w:eastAsia="楷体" w:cs="楷体"/>
          <w:spacing w:val="-2"/>
          <w:sz w:val="28"/>
          <w:szCs w:val="28"/>
        </w:rPr>
        <w:t>、</w:t>
      </w:r>
      <w:r>
        <w:rPr>
          <w:rFonts w:hint="eastAsia" w:ascii="楷体" w:hAnsi="楷体" w:eastAsia="楷体" w:cs="楷体"/>
          <w:spacing w:val="-2"/>
          <w:sz w:val="28"/>
          <w:szCs w:val="28"/>
        </w:rPr>
        <w:t>付款条件、</w:t>
      </w:r>
      <w:r>
        <w:rPr>
          <w:rFonts w:ascii="楷体" w:hAnsi="楷体" w:eastAsia="楷体" w:cs="楷体"/>
          <w:spacing w:val="-2"/>
          <w:sz w:val="28"/>
          <w:szCs w:val="28"/>
        </w:rPr>
        <w:t>质量问题处理等方面私下商谈或达成默契</w:t>
      </w:r>
      <w:r>
        <w:rPr>
          <w:rFonts w:hint="eastAsia" w:ascii="楷体" w:hAnsi="楷体" w:eastAsia="楷体" w:cs="楷体"/>
          <w:spacing w:val="-2"/>
          <w:sz w:val="28"/>
          <w:szCs w:val="28"/>
        </w:rPr>
        <w:t>；</w:t>
      </w:r>
      <w:r>
        <w:rPr>
          <w:rFonts w:ascii="楷体" w:hAnsi="楷体" w:eastAsia="楷体" w:cs="楷体"/>
          <w:spacing w:val="-2"/>
          <w:sz w:val="28"/>
          <w:szCs w:val="28"/>
        </w:rPr>
        <w:t>决不以任何方式诱使甲方人员接受或共同编造虚假议价及质量资料、影响交易价格或交易之达成、违背职务、将合同权利义务转让给第三方及其它损害甲方利益的行为。</w:t>
      </w:r>
    </w:p>
    <w:p w14:paraId="673C33D2">
      <w:pPr>
        <w:pStyle w:val="131"/>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7.若乙方发现甲方人员或其</w:t>
      </w:r>
      <w:r>
        <w:rPr>
          <w:rFonts w:hint="eastAsia" w:ascii="楷体" w:hAnsi="楷体" w:eastAsia="楷体" w:cs="楷体"/>
          <w:spacing w:val="-2"/>
          <w:sz w:val="28"/>
          <w:szCs w:val="28"/>
        </w:rPr>
        <w:t>配偶、子女及其配偶等亲属和其他特定关系人</w:t>
      </w:r>
      <w:r>
        <w:rPr>
          <w:rFonts w:ascii="楷体" w:hAnsi="楷体" w:eastAsia="楷体" w:cs="楷体"/>
          <w:spacing w:val="-2"/>
          <w:sz w:val="28"/>
          <w:szCs w:val="28"/>
        </w:rPr>
        <w:t>有任何形式的索贿受贿行为，乙方有责任向甲方</w:t>
      </w:r>
      <w:r>
        <w:rPr>
          <w:rFonts w:hint="eastAsia" w:ascii="楷体" w:hAnsi="楷体" w:eastAsia="楷体" w:cs="楷体"/>
          <w:spacing w:val="-2"/>
          <w:sz w:val="28"/>
          <w:szCs w:val="28"/>
        </w:rPr>
        <w:t>所属</w:t>
      </w:r>
      <w:r>
        <w:rPr>
          <w:rFonts w:ascii="楷体" w:hAnsi="楷体" w:eastAsia="楷体" w:cs="楷体"/>
          <w:spacing w:val="-2"/>
          <w:sz w:val="28"/>
          <w:szCs w:val="28"/>
        </w:rPr>
        <w:t>重汽集团</w:t>
      </w:r>
      <w:r>
        <w:rPr>
          <w:rFonts w:hint="eastAsia" w:ascii="楷体" w:hAnsi="楷体" w:eastAsia="楷体" w:cs="楷体"/>
          <w:spacing w:val="-2"/>
          <w:sz w:val="28"/>
          <w:szCs w:val="28"/>
        </w:rPr>
        <w:t>的</w:t>
      </w:r>
      <w:r>
        <w:rPr>
          <w:rFonts w:ascii="楷体" w:hAnsi="楷体" w:eastAsia="楷体" w:cs="楷体"/>
          <w:spacing w:val="-2"/>
          <w:sz w:val="28"/>
          <w:szCs w:val="28"/>
        </w:rPr>
        <w:t>纪委监察部门举报（举报电话：0531-58062233，举报邮箱：jianchabu@sinotruk.com）。甲方不得</w:t>
      </w:r>
      <w:r>
        <w:rPr>
          <w:rFonts w:hint="eastAsia" w:ascii="楷体" w:hAnsi="楷体" w:eastAsia="楷体" w:cs="楷体"/>
          <w:spacing w:val="-2"/>
          <w:sz w:val="28"/>
          <w:szCs w:val="28"/>
        </w:rPr>
        <w:t>以</w:t>
      </w:r>
      <w:r>
        <w:rPr>
          <w:rFonts w:ascii="楷体" w:hAnsi="楷体" w:eastAsia="楷体" w:cs="楷体"/>
          <w:spacing w:val="-2"/>
          <w:sz w:val="28"/>
          <w:szCs w:val="28"/>
        </w:rPr>
        <w:t>任何借口对乙方进行报复。对举报属实和严格遵守廉洁协议的乙方，在同等条件下甲方优先考虑与乙方继续合作并给予更优惠的商务合作条件。</w:t>
      </w:r>
    </w:p>
    <w:p w14:paraId="0B9CE785">
      <w:pPr>
        <w:pStyle w:val="131"/>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8.若乙方知悉其它与甲方合作的供应商</w:t>
      </w:r>
      <w:r>
        <w:rPr>
          <w:rFonts w:hint="eastAsia" w:ascii="楷体" w:hAnsi="楷体" w:eastAsia="楷体" w:cs="楷体"/>
          <w:spacing w:val="-2"/>
          <w:sz w:val="28"/>
          <w:szCs w:val="28"/>
        </w:rPr>
        <w:t>、服务商或采购商、经销商等合作伙伴</w:t>
      </w:r>
      <w:r>
        <w:rPr>
          <w:rFonts w:ascii="楷体" w:hAnsi="楷体" w:eastAsia="楷体" w:cs="楷体"/>
          <w:spacing w:val="-2"/>
          <w:sz w:val="28"/>
          <w:szCs w:val="28"/>
        </w:rPr>
        <w:t>存在违反本协议规定之行为，乙方应向甲方</w:t>
      </w:r>
      <w:r>
        <w:rPr>
          <w:rFonts w:hint="eastAsia" w:ascii="楷体" w:hAnsi="楷体" w:eastAsia="楷体" w:cs="楷体"/>
          <w:spacing w:val="-2"/>
          <w:sz w:val="28"/>
          <w:szCs w:val="28"/>
        </w:rPr>
        <w:t>或</w:t>
      </w:r>
      <w:r>
        <w:rPr>
          <w:rFonts w:ascii="楷体" w:hAnsi="楷体" w:eastAsia="楷体" w:cs="楷体"/>
          <w:spacing w:val="-2"/>
          <w:sz w:val="28"/>
          <w:szCs w:val="28"/>
        </w:rPr>
        <w:t>甲方</w:t>
      </w:r>
      <w:r>
        <w:rPr>
          <w:rFonts w:hint="eastAsia" w:ascii="楷体" w:hAnsi="楷体" w:eastAsia="楷体" w:cs="楷体"/>
          <w:spacing w:val="-2"/>
          <w:sz w:val="28"/>
          <w:szCs w:val="28"/>
        </w:rPr>
        <w:t>所属</w:t>
      </w:r>
      <w:r>
        <w:rPr>
          <w:rFonts w:ascii="楷体" w:hAnsi="楷体" w:eastAsia="楷体" w:cs="楷体"/>
          <w:spacing w:val="-2"/>
          <w:sz w:val="28"/>
          <w:szCs w:val="28"/>
        </w:rPr>
        <w:t>重汽集团</w:t>
      </w:r>
      <w:r>
        <w:rPr>
          <w:rFonts w:hint="eastAsia" w:ascii="楷体" w:hAnsi="楷体" w:eastAsia="楷体" w:cs="楷体"/>
          <w:spacing w:val="-2"/>
          <w:sz w:val="28"/>
          <w:szCs w:val="28"/>
        </w:rPr>
        <w:t>的</w:t>
      </w:r>
      <w:r>
        <w:rPr>
          <w:rFonts w:ascii="楷体" w:hAnsi="楷体" w:eastAsia="楷体" w:cs="楷体"/>
          <w:spacing w:val="-2"/>
          <w:sz w:val="28"/>
          <w:szCs w:val="28"/>
        </w:rPr>
        <w:t>纪委监察部门检举并提供证据。</w:t>
      </w:r>
    </w:p>
    <w:p w14:paraId="1D6A7FD5">
      <w:pPr>
        <w:pStyle w:val="131"/>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9.乙方承诺在双方业务往来期间，不得对甲方人员采取任何手段使其离开甲方到乙方或乙方关联企业任职，若出现上述情况，则属于乙方违约，应承担给甲方造成的一切损失。</w:t>
      </w:r>
    </w:p>
    <w:p w14:paraId="19B6CFCB">
      <w:pPr>
        <w:pStyle w:val="131"/>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10.乙方承诺不聘任甲方内退领导干部或其他人员在乙方或乙方关联企业工作；乙方承诺不聘任甲方离职或退休三年内的领导干部或其他人员在乙方或乙方关联企业工作。</w:t>
      </w:r>
    </w:p>
    <w:p w14:paraId="154E682E">
      <w:pPr>
        <w:pStyle w:val="131"/>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11.若乙方违反本协议约定的任何一项，乙方自愿向甲方支付5万元至50万元人民币或违反协议约定事件发现的上年度采购额的10%作为违约金，给甲方造成损失的，还应承担全部赔偿责任。另外甲方还有权对乙方采取降低供货比例、取消供货资格、单方解除采购合同等措施。情节特别严重或触犯法律法规的，将交由甲方住所地司法机关依法进行处理。</w:t>
      </w:r>
    </w:p>
    <w:p w14:paraId="7BFF607C">
      <w:pPr>
        <w:pStyle w:val="131"/>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12.关联企业是指：a）本企业的实际控制人，如甲方的实际控制人中国重型汽车集团有限公司或山东重工集团有限公司等；b）本企业实际控制人对外出资，拥有股权超过50%的各级子公司；c）本企业实际控制人直接或间接持股比例虽未超过50%，但为第一大股东，并且通过股东协议、公司章程、董事会决议或者其他协议安排</w:t>
      </w:r>
      <w:r>
        <w:rPr>
          <w:rFonts w:hint="eastAsia" w:ascii="楷体" w:hAnsi="楷体" w:eastAsia="楷体" w:cs="楷体"/>
          <w:spacing w:val="-2"/>
          <w:sz w:val="28"/>
          <w:szCs w:val="28"/>
        </w:rPr>
        <w:t>等</w:t>
      </w:r>
      <w:r>
        <w:rPr>
          <w:rFonts w:ascii="楷体" w:hAnsi="楷体" w:eastAsia="楷体" w:cs="楷体"/>
          <w:spacing w:val="-2"/>
          <w:sz w:val="28"/>
          <w:szCs w:val="28"/>
        </w:rPr>
        <w:t>能够对其实际支配的企业或单位。</w:t>
      </w:r>
    </w:p>
    <w:p w14:paraId="0F256298">
      <w:pPr>
        <w:pStyle w:val="131"/>
        <w:tabs>
          <w:tab w:val="left" w:pos="1244"/>
        </w:tabs>
        <w:adjustRightInd w:val="0"/>
        <w:spacing w:line="305" w:lineRule="auto"/>
        <w:ind w:firstLine="552"/>
        <w:rPr>
          <w:rFonts w:hint="eastAsia" w:ascii="楷体" w:hAnsi="楷体" w:eastAsia="楷体" w:cs="楷体"/>
          <w:spacing w:val="-2"/>
          <w:sz w:val="28"/>
          <w:szCs w:val="28"/>
        </w:rPr>
      </w:pPr>
      <w:r>
        <w:rPr>
          <w:rFonts w:hint="eastAsia" w:ascii="楷体" w:hAnsi="楷体" w:eastAsia="楷体" w:cs="楷体"/>
          <w:spacing w:val="-2"/>
          <w:sz w:val="28"/>
          <w:szCs w:val="28"/>
        </w:rPr>
        <w:t>本企业股东、管理人员及其配偶、子女及其配偶等亲属和其他特定关系人以及本企业实际控制人、实际控制人持股超过50%的各级子公司、实际控制人持股未超过50%但能够实际支配的企业或单位的股东、管理人员及其配偶、子女及其配偶等亲属和其他特定关系人，直接持股、间接持股或以其他形式投资的企业或单位，视同本企业的关联企业。</w:t>
      </w:r>
    </w:p>
    <w:p w14:paraId="28442A47">
      <w:pPr>
        <w:pStyle w:val="131"/>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13.本合同的各签约方选择使用电子签约的，已由法定代表人本人或授权其代理人在电子签约平台进行了实名注册，并通过CA证书进行签约。电子签约的任一方均已知晓且同意通过代理人密码登录账户后的所有操作视为该方的行为，并自愿承担由此产生的一切法律后果。电子签约方的代理人包括在平台完成认证并具有相应盖章、签字权限的管理员、盖章人或签名人。电子签约方在相关电子合同通过CA证书进行电子签章的，视为该方有效签署合同。如各方签章时间不一致的，以最后签章的时间为准。本合同所有的手写涂改部分无效（个人手写签名除外）。</w:t>
      </w:r>
    </w:p>
    <w:p w14:paraId="5A169D17">
      <w:pPr>
        <w:pStyle w:val="131"/>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若一方不使用电子签约，此情形下各方认可并同意电子签章与在纸质合同上手写签名或者盖章具有同等的法律效力，一方在合同上使用电子签章，另一方将已完成电子签章的合同打印为纸质合同后，再于合同签署处加盖实物印章、手写签名视为双方已签署完毕。</w:t>
      </w:r>
    </w:p>
    <w:p w14:paraId="30955725">
      <w:pPr>
        <w:pStyle w:val="131"/>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14.本协议作为执行</w:t>
      </w:r>
      <w:r>
        <w:rPr>
          <w:rFonts w:hint="eastAsia" w:ascii="楷体" w:hAnsi="楷体" w:eastAsia="楷体" w:cs="楷体"/>
          <w:spacing w:val="-2"/>
          <w:sz w:val="28"/>
          <w:szCs w:val="28"/>
        </w:rPr>
        <w:t>甲乙双方</w:t>
      </w:r>
      <w:r>
        <w:rPr>
          <w:rFonts w:ascii="楷体" w:hAnsi="楷体" w:eastAsia="楷体" w:cs="楷体"/>
          <w:spacing w:val="-2"/>
          <w:sz w:val="28"/>
          <w:szCs w:val="28"/>
        </w:rPr>
        <w:t>采购协议</w:t>
      </w:r>
      <w:r>
        <w:rPr>
          <w:rFonts w:hint="eastAsia" w:ascii="楷体" w:hAnsi="楷体" w:eastAsia="楷体" w:cs="楷体"/>
          <w:spacing w:val="-2"/>
          <w:sz w:val="28"/>
          <w:szCs w:val="28"/>
        </w:rPr>
        <w:t>或其他合作合同、协议</w:t>
      </w:r>
      <w:r>
        <w:rPr>
          <w:rFonts w:ascii="楷体" w:hAnsi="楷体" w:eastAsia="楷体" w:cs="楷体"/>
          <w:spacing w:val="-2"/>
          <w:sz w:val="28"/>
          <w:szCs w:val="28"/>
        </w:rPr>
        <w:t>的附件，自双方签署之日起生效，此协议在</w:t>
      </w:r>
      <w:r>
        <w:rPr>
          <w:rFonts w:hint="eastAsia" w:ascii="楷体" w:hAnsi="楷体" w:eastAsia="楷体" w:cs="楷体"/>
          <w:spacing w:val="-2"/>
          <w:sz w:val="28"/>
          <w:szCs w:val="28"/>
        </w:rPr>
        <w:t>甲乙</w:t>
      </w:r>
      <w:r>
        <w:rPr>
          <w:rFonts w:ascii="楷体" w:hAnsi="楷体" w:eastAsia="楷体" w:cs="楷体"/>
          <w:spacing w:val="-2"/>
          <w:sz w:val="28"/>
          <w:szCs w:val="28"/>
        </w:rPr>
        <w:t>双方</w:t>
      </w:r>
      <w:r>
        <w:rPr>
          <w:rFonts w:hint="eastAsia" w:ascii="楷体" w:hAnsi="楷体" w:eastAsia="楷体" w:cs="楷体"/>
          <w:spacing w:val="-2"/>
          <w:sz w:val="28"/>
          <w:szCs w:val="28"/>
        </w:rPr>
        <w:t>业务</w:t>
      </w:r>
      <w:r>
        <w:rPr>
          <w:rFonts w:ascii="楷体" w:hAnsi="楷体" w:eastAsia="楷体" w:cs="楷体"/>
          <w:spacing w:val="-2"/>
          <w:sz w:val="28"/>
          <w:szCs w:val="28"/>
        </w:rPr>
        <w:t>合作期间有效</w:t>
      </w:r>
      <w:r>
        <w:rPr>
          <w:rFonts w:hint="eastAsia" w:ascii="楷体" w:hAnsi="楷体" w:eastAsia="楷体" w:cs="楷体"/>
          <w:spacing w:val="-2"/>
          <w:sz w:val="28"/>
          <w:szCs w:val="28"/>
        </w:rPr>
        <w:t>；本协议生效后将自动替代生效日之前双方已签订的《供应商廉洁诚信协议》或类同协议约定；本协议生效前甲乙双方未签署《供应商廉洁诚信协议》或类同协议约定等但实际已存在供应采购等业务合作关系的，甲乙双方同意有关业务合作适用本协议的所有条款约定。</w:t>
      </w:r>
    </w:p>
    <w:p w14:paraId="6C3CED79">
      <w:pPr>
        <w:pStyle w:val="131"/>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1</w:t>
      </w:r>
      <w:r>
        <w:rPr>
          <w:rFonts w:hint="eastAsia" w:ascii="楷体" w:hAnsi="楷体" w:eastAsia="楷体" w:cs="楷体"/>
          <w:spacing w:val="-2"/>
          <w:sz w:val="28"/>
          <w:szCs w:val="28"/>
        </w:rPr>
        <w:t>5</w:t>
      </w:r>
      <w:r>
        <w:rPr>
          <w:rFonts w:ascii="楷体" w:hAnsi="楷体" w:eastAsia="楷体" w:cs="楷体"/>
          <w:spacing w:val="-2"/>
          <w:sz w:val="28"/>
          <w:szCs w:val="28"/>
        </w:rPr>
        <w:t>.本协议一式二份，双方各执一份，具有同等法律效力。若产生争议，双方协商解决，协商不成的在甲方所在地有管辖权的法院诉讼解决。</w:t>
      </w:r>
    </w:p>
    <w:p w14:paraId="786F1C49">
      <w:pPr>
        <w:pStyle w:val="2"/>
        <w:spacing w:before="9" w:after="156"/>
        <w:rPr>
          <w:rFonts w:hint="eastAsia" w:ascii="楷体" w:hAnsi="楷体" w:eastAsia="楷体" w:cs="楷体"/>
          <w:sz w:val="40"/>
          <w:szCs w:val="28"/>
        </w:rPr>
      </w:pPr>
    </w:p>
    <w:p w14:paraId="599D1AEC">
      <w:pPr>
        <w:tabs>
          <w:tab w:val="left" w:pos="5457"/>
        </w:tabs>
        <w:spacing w:before="1"/>
        <w:ind w:left="117"/>
        <w:rPr>
          <w:rFonts w:hint="eastAsia" w:ascii="楷体" w:hAnsi="楷体" w:eastAsia="楷体" w:cs="楷体"/>
          <w:b/>
          <w:sz w:val="24"/>
          <w:szCs w:val="21"/>
        </w:rPr>
      </w:pPr>
      <w:r>
        <w:rPr>
          <w:rFonts w:hint="eastAsia" w:ascii="楷体" w:hAnsi="楷体" w:eastAsia="楷体" w:cs="楷体"/>
          <w:b/>
          <w:spacing w:val="-1"/>
          <w:w w:val="99"/>
          <w:sz w:val="24"/>
          <w:szCs w:val="21"/>
        </w:rPr>
        <w:t>甲方（盖章</w:t>
      </w:r>
      <w:r>
        <w:rPr>
          <w:rFonts w:hint="eastAsia" w:ascii="楷体" w:hAnsi="楷体" w:eastAsia="楷体" w:cs="楷体"/>
          <w:b/>
          <w:spacing w:val="-140"/>
          <w:w w:val="99"/>
          <w:sz w:val="24"/>
          <w:szCs w:val="21"/>
        </w:rPr>
        <w:t>）</w:t>
      </w:r>
      <w:r>
        <w:rPr>
          <w:rFonts w:hint="eastAsia" w:ascii="楷体" w:hAnsi="楷体" w:eastAsia="楷体" w:cs="楷体"/>
          <w:b/>
          <w:w w:val="99"/>
          <w:sz w:val="24"/>
          <w:szCs w:val="21"/>
        </w:rPr>
        <w:t>：</w:t>
      </w:r>
      <w:r>
        <w:rPr>
          <w:rFonts w:hint="eastAsia" w:ascii="楷体" w:hAnsi="楷体" w:eastAsia="楷体" w:cs="楷体"/>
          <w:b/>
          <w:sz w:val="24"/>
          <w:szCs w:val="21"/>
        </w:rPr>
        <w:tab/>
      </w:r>
      <w:r>
        <w:rPr>
          <w:rFonts w:hint="eastAsia" w:ascii="楷体" w:hAnsi="楷体" w:eastAsia="楷体" w:cs="楷体"/>
          <w:b/>
          <w:spacing w:val="-1"/>
          <w:w w:val="99"/>
          <w:sz w:val="24"/>
          <w:szCs w:val="21"/>
        </w:rPr>
        <w:t>乙方（盖</w:t>
      </w:r>
      <w:r>
        <w:rPr>
          <w:rFonts w:hint="eastAsia" w:ascii="楷体" w:hAnsi="楷体" w:eastAsia="楷体" w:cs="楷体"/>
          <w:b/>
          <w:spacing w:val="2"/>
          <w:w w:val="99"/>
          <w:sz w:val="24"/>
          <w:szCs w:val="21"/>
        </w:rPr>
        <w:t>章</w:t>
      </w:r>
      <w:r>
        <w:rPr>
          <w:rFonts w:hint="eastAsia" w:ascii="楷体" w:hAnsi="楷体" w:eastAsia="楷体" w:cs="楷体"/>
          <w:b/>
          <w:spacing w:val="-142"/>
          <w:w w:val="99"/>
          <w:sz w:val="24"/>
          <w:szCs w:val="21"/>
        </w:rPr>
        <w:t>）</w:t>
      </w:r>
      <w:r>
        <w:rPr>
          <w:rFonts w:hint="eastAsia" w:ascii="楷体" w:hAnsi="楷体" w:eastAsia="楷体" w:cs="楷体"/>
          <w:b/>
          <w:w w:val="99"/>
          <w:sz w:val="24"/>
          <w:szCs w:val="21"/>
        </w:rPr>
        <w:t>：</w:t>
      </w:r>
    </w:p>
    <w:p w14:paraId="7B1EBA0E">
      <w:pPr>
        <w:pStyle w:val="2"/>
        <w:spacing w:after="156"/>
        <w:rPr>
          <w:rFonts w:hint="eastAsia" w:ascii="楷体" w:hAnsi="楷体" w:eastAsia="楷体" w:cs="楷体"/>
          <w:b/>
          <w:sz w:val="24"/>
          <w:szCs w:val="28"/>
        </w:rPr>
      </w:pPr>
    </w:p>
    <w:p w14:paraId="64D4A19F">
      <w:pPr>
        <w:pStyle w:val="2"/>
        <w:spacing w:before="1" w:after="156"/>
        <w:rPr>
          <w:rFonts w:hint="eastAsia" w:ascii="楷体" w:hAnsi="楷体" w:eastAsia="楷体" w:cs="楷体"/>
          <w:b/>
          <w:sz w:val="24"/>
          <w:szCs w:val="28"/>
        </w:rPr>
      </w:pPr>
    </w:p>
    <w:p w14:paraId="4C493863">
      <w:pPr>
        <w:tabs>
          <w:tab w:val="left" w:pos="5457"/>
        </w:tabs>
        <w:ind w:left="117"/>
        <w:rPr>
          <w:rFonts w:hint="eastAsia" w:ascii="楷体" w:hAnsi="楷体" w:eastAsia="楷体" w:cs="楷体"/>
          <w:b/>
          <w:sz w:val="24"/>
          <w:szCs w:val="21"/>
        </w:rPr>
      </w:pPr>
      <w:r>
        <w:rPr>
          <w:rFonts w:hint="eastAsia" w:ascii="楷体" w:hAnsi="楷体" w:eastAsia="楷体" w:cs="楷体"/>
          <w:b/>
          <w:sz w:val="24"/>
          <w:szCs w:val="21"/>
        </w:rPr>
        <w:t>法定代表/授权代表</w:t>
      </w:r>
      <w:r>
        <w:rPr>
          <w:rFonts w:hint="eastAsia" w:ascii="楷体" w:hAnsi="楷体" w:eastAsia="楷体" w:cs="楷体"/>
          <w:b/>
          <w:sz w:val="24"/>
          <w:szCs w:val="21"/>
        </w:rPr>
        <w:tab/>
      </w:r>
      <w:r>
        <w:rPr>
          <w:rFonts w:hint="eastAsia" w:ascii="楷体" w:hAnsi="楷体" w:eastAsia="楷体" w:cs="楷体"/>
          <w:b/>
          <w:sz w:val="24"/>
          <w:szCs w:val="21"/>
        </w:rPr>
        <w:t>法定代表/授权代表</w:t>
      </w:r>
    </w:p>
    <w:p w14:paraId="30050FD3">
      <w:pPr>
        <w:pStyle w:val="2"/>
        <w:spacing w:after="156"/>
        <w:rPr>
          <w:rFonts w:hint="eastAsia" w:ascii="楷体" w:hAnsi="楷体" w:eastAsia="楷体" w:cs="楷体"/>
          <w:b/>
          <w:sz w:val="24"/>
          <w:szCs w:val="28"/>
        </w:rPr>
      </w:pPr>
    </w:p>
    <w:p w14:paraId="4D3CCDAB">
      <w:pPr>
        <w:pStyle w:val="2"/>
        <w:spacing w:before="4" w:after="156"/>
        <w:rPr>
          <w:rFonts w:hint="eastAsia" w:ascii="楷体" w:hAnsi="楷体" w:eastAsia="楷体" w:cs="楷体"/>
          <w:b/>
          <w:sz w:val="24"/>
          <w:szCs w:val="28"/>
        </w:rPr>
      </w:pPr>
    </w:p>
    <w:p w14:paraId="30AB05EB">
      <w:pPr>
        <w:tabs>
          <w:tab w:val="left" w:pos="5457"/>
        </w:tabs>
        <w:ind w:left="117"/>
        <w:rPr>
          <w:rFonts w:hint="eastAsia" w:ascii="楷体" w:hAnsi="楷体" w:eastAsia="楷体" w:cs="楷体"/>
          <w:b/>
          <w:sz w:val="24"/>
          <w:szCs w:val="21"/>
        </w:rPr>
      </w:pPr>
      <w:r>
        <w:rPr>
          <w:rFonts w:hint="eastAsia" w:ascii="楷体" w:hAnsi="楷体" w:eastAsia="楷体" w:cs="楷体"/>
          <w:b/>
          <w:sz w:val="24"/>
          <w:szCs w:val="21"/>
        </w:rPr>
        <w:t>日</w:t>
      </w:r>
      <w:r>
        <w:rPr>
          <w:rFonts w:hint="eastAsia" w:ascii="楷体" w:hAnsi="楷体" w:eastAsia="楷体" w:cs="楷体"/>
          <w:b/>
          <w:spacing w:val="-4"/>
          <w:sz w:val="24"/>
          <w:szCs w:val="21"/>
        </w:rPr>
        <w:t xml:space="preserve"> </w:t>
      </w:r>
      <w:r>
        <w:rPr>
          <w:rFonts w:hint="eastAsia" w:ascii="楷体" w:hAnsi="楷体" w:eastAsia="楷体" w:cs="楷体"/>
          <w:b/>
          <w:sz w:val="24"/>
          <w:szCs w:val="21"/>
        </w:rPr>
        <w:t>期:</w:t>
      </w:r>
      <w:r>
        <w:rPr>
          <w:rFonts w:hint="eastAsia" w:ascii="楷体" w:hAnsi="楷体" w:eastAsia="楷体" w:cs="楷体"/>
          <w:b/>
          <w:sz w:val="24"/>
          <w:szCs w:val="21"/>
        </w:rPr>
        <w:tab/>
      </w:r>
      <w:r>
        <w:rPr>
          <w:rFonts w:hint="eastAsia" w:ascii="楷体" w:hAnsi="楷体" w:eastAsia="楷体" w:cs="楷体"/>
          <w:b/>
          <w:sz w:val="24"/>
          <w:szCs w:val="21"/>
        </w:rPr>
        <w:t>日 期:</w:t>
      </w:r>
    </w:p>
    <w:p w14:paraId="2C0ED852">
      <w:pPr>
        <w:tabs>
          <w:tab w:val="left" w:pos="5457"/>
        </w:tabs>
        <w:ind w:left="117"/>
        <w:rPr>
          <w:rFonts w:hint="eastAsia" w:ascii="楷体" w:hAnsi="楷体" w:eastAsia="楷体" w:cs="楷体"/>
          <w:b/>
          <w:sz w:val="24"/>
          <w:szCs w:val="21"/>
        </w:rPr>
      </w:pPr>
    </w:p>
    <w:p w14:paraId="508D945C">
      <w:pPr>
        <w:keepNext/>
        <w:keepLines/>
        <w:jc w:val="center"/>
        <w:outlineLvl w:val="0"/>
        <w:rPr>
          <w:rFonts w:ascii="Calibri" w:hAnsi="Calibri" w:eastAsia="宋体" w:cs="Times New Roman"/>
          <w:b/>
          <w:bCs/>
          <w:kern w:val="44"/>
          <w:sz w:val="36"/>
          <w:szCs w:val="44"/>
        </w:rPr>
        <w:sectPr>
          <w:footerReference r:id="rId15" w:type="first"/>
          <w:headerReference r:id="rId13" w:type="default"/>
          <w:footerReference r:id="rId14" w:type="default"/>
          <w:pgSz w:w="11906" w:h="16838"/>
          <w:pgMar w:top="1588" w:right="1418" w:bottom="1134" w:left="1418" w:header="851" w:footer="992" w:gutter="0"/>
          <w:cols w:space="720" w:num="1"/>
          <w:titlePg/>
          <w:docGrid w:type="lines" w:linePitch="312" w:charSpace="0"/>
        </w:sectPr>
      </w:pPr>
    </w:p>
    <w:p w14:paraId="62816DB4">
      <w:pPr>
        <w:pStyle w:val="3"/>
        <w:bidi w:val="0"/>
      </w:pPr>
      <w:bookmarkStart w:id="216" w:name="_Toc18437"/>
      <w:r>
        <w:rPr>
          <w:rFonts w:hint="eastAsia"/>
        </w:rPr>
        <w:t>第六部分</w:t>
      </w:r>
      <w:r>
        <w:t xml:space="preserve"> </w:t>
      </w:r>
      <w:r>
        <w:rPr>
          <w:rFonts w:hint="eastAsia"/>
        </w:rPr>
        <w:t>投标文件附件</w:t>
      </w:r>
      <w:bookmarkEnd w:id="53"/>
      <w:bookmarkEnd w:id="216"/>
    </w:p>
    <w:p w14:paraId="1A5A7BE4">
      <w:pPr>
        <w:keepNext/>
        <w:keepLines/>
        <w:rPr>
          <w:rFonts w:ascii="Times New Roman" w:hAnsi="Times New Roman" w:eastAsia="宋体" w:cs="Times New Roman"/>
          <w:b/>
          <w:bCs/>
          <w:color w:val="000000"/>
          <w:sz w:val="24"/>
          <w:szCs w:val="24"/>
        </w:rPr>
      </w:pPr>
    </w:p>
    <w:p w14:paraId="1C4FAA14">
      <w:pPr>
        <w:pStyle w:val="20"/>
        <w:rPr>
          <w:rFonts w:ascii="Times New Roman" w:hAnsi="Times New Roman" w:eastAsia="宋体" w:cs="Times New Roman"/>
          <w:b/>
          <w:bCs/>
          <w:color w:val="000000"/>
          <w:sz w:val="24"/>
          <w:szCs w:val="24"/>
        </w:rPr>
      </w:pPr>
    </w:p>
    <w:p w14:paraId="373C8959">
      <w:pPr>
        <w:spacing w:line="42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说明：</w:t>
      </w:r>
    </w:p>
    <w:p w14:paraId="286DEB22">
      <w:pPr>
        <w:spacing w:line="42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1.投标人须认真填写和提交本部分中的附件文件；</w:t>
      </w:r>
    </w:p>
    <w:p w14:paraId="1BE23BFD">
      <w:pPr>
        <w:spacing w:line="42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2.对附件文件中所要求的内容应给予明确的答复；</w:t>
      </w:r>
    </w:p>
    <w:p w14:paraId="51241B12">
      <w:pPr>
        <w:spacing w:line="42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3.附件文件的签字人应保证其对一切问题的答复、所做的声明及出具的资格资质文件、资料等具有真实性和准确性；</w:t>
      </w:r>
    </w:p>
    <w:p w14:paraId="712F6A49">
      <w:pPr>
        <w:spacing w:line="42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4.招标人将对投标人提交的文件、资料等内容予以保密，但不退还；</w:t>
      </w:r>
    </w:p>
    <w:p w14:paraId="430D702D">
      <w:pPr>
        <w:spacing w:line="42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5.所有附件文件应以中文书写，作为投标文件的组成部分。</w:t>
      </w:r>
    </w:p>
    <w:p w14:paraId="75953959">
      <w:pPr>
        <w:pStyle w:val="20"/>
        <w:rPr>
          <w:rFonts w:ascii="Times New Roman" w:hAnsi="Times New Roman" w:eastAsia="宋体" w:cs="Times New Roman"/>
          <w:b/>
          <w:bCs/>
          <w:color w:val="000000"/>
          <w:sz w:val="24"/>
          <w:szCs w:val="24"/>
        </w:rPr>
        <w:sectPr>
          <w:footerReference r:id="rId18" w:type="first"/>
          <w:headerReference r:id="rId16" w:type="default"/>
          <w:footerReference r:id="rId17" w:type="default"/>
          <w:pgSz w:w="11906" w:h="16838"/>
          <w:pgMar w:top="1588" w:right="1418" w:bottom="1134" w:left="1418" w:header="851" w:footer="992" w:gutter="0"/>
          <w:cols w:space="720" w:num="1"/>
          <w:titlePg/>
          <w:docGrid w:type="lines" w:linePitch="312" w:charSpace="0"/>
        </w:sectPr>
      </w:pPr>
    </w:p>
    <w:p w14:paraId="78C604B6">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w:t>
      </w:r>
      <w:r>
        <w:rPr>
          <w:rFonts w:ascii="Times New Roman" w:hAnsi="Times New Roman" w:eastAsia="宋体" w:cs="Times New Roman"/>
          <w:b/>
          <w:bCs/>
          <w:color w:val="000000"/>
          <w:sz w:val="24"/>
          <w:szCs w:val="24"/>
        </w:rPr>
        <w:t>1</w:t>
      </w:r>
      <w:bookmarkStart w:id="217" w:name="_Toc25811"/>
      <w:bookmarkStart w:id="218" w:name="_Toc639004"/>
      <w:bookmarkStart w:id="219" w:name="_Toc212369550"/>
      <w:bookmarkStart w:id="220" w:name="_Toc353881012"/>
      <w:r>
        <w:rPr>
          <w:rFonts w:ascii="Times New Roman" w:hAnsi="Times New Roman" w:eastAsia="宋体" w:cs="Times New Roman"/>
          <w:b/>
          <w:bCs/>
          <w:color w:val="000000"/>
          <w:sz w:val="24"/>
          <w:szCs w:val="24"/>
        </w:rPr>
        <w:t xml:space="preserve"> </w:t>
      </w:r>
      <w:r>
        <w:rPr>
          <w:rFonts w:hint="eastAsia" w:ascii="Times New Roman" w:hAnsi="Times New Roman" w:eastAsia="宋体" w:cs="Times New Roman"/>
          <w:b/>
          <w:bCs/>
          <w:color w:val="000000"/>
          <w:sz w:val="24"/>
          <w:szCs w:val="24"/>
        </w:rPr>
        <w:t>投标函</w:t>
      </w:r>
      <w:bookmarkEnd w:id="217"/>
      <w:bookmarkEnd w:id="218"/>
      <w:bookmarkEnd w:id="219"/>
      <w:bookmarkEnd w:id="220"/>
    </w:p>
    <w:p w14:paraId="5FAFC435">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致：中国重汽集团济南商用车有限公司：</w:t>
      </w:r>
    </w:p>
    <w:p w14:paraId="75071C76">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根据贵方</w:t>
      </w:r>
      <w:r>
        <w:rPr>
          <w:rFonts w:hint="eastAsia" w:ascii="仿宋_GB2312" w:hAnsi="宋体" w:eastAsia="仿宋_GB2312"/>
          <w:sz w:val="24"/>
          <w:u w:val="single"/>
        </w:rPr>
        <w:t>全新一代中重卡宽体平地板驾驶室2300车型平顶金属顶盖模检具项目</w:t>
      </w:r>
      <w:r>
        <w:rPr>
          <w:rFonts w:hint="eastAsia" w:ascii="宋体" w:hAnsi="宋体" w:eastAsia="宋体" w:cs="Times New Roman"/>
          <w:color w:val="000000"/>
          <w:sz w:val="24"/>
          <w:szCs w:val="24"/>
        </w:rPr>
        <w:t>招</w:t>
      </w:r>
      <w:r>
        <w:rPr>
          <w:rFonts w:hint="eastAsia" w:ascii="宋体" w:hAnsi="宋体" w:eastAsia="宋体" w:cs="Times New Roman"/>
          <w:bCs/>
          <w:snapToGrid w:val="0"/>
          <w:color w:val="000000"/>
          <w:kern w:val="0"/>
          <w:sz w:val="24"/>
          <w:szCs w:val="24"/>
        </w:rPr>
        <w:t>标公告</w:t>
      </w:r>
      <w:r>
        <w:rPr>
          <w:rFonts w:hint="eastAsia" w:ascii="宋体" w:hAnsi="宋体" w:eastAsia="宋体" w:cs="Times New Roman"/>
          <w:color w:val="000000"/>
          <w:sz w:val="24"/>
          <w:szCs w:val="24"/>
        </w:rPr>
        <w:t>，</w:t>
      </w:r>
      <w:r>
        <w:rPr>
          <w:rFonts w:ascii="宋体" w:hAnsi="宋体" w:eastAsia="宋体" w:cs="Times New Roman"/>
          <w:b/>
          <w:color w:val="000000"/>
          <w:sz w:val="24"/>
          <w:szCs w:val="24"/>
          <w:u w:val="single"/>
        </w:rPr>
        <w:t xml:space="preserve">            </w:t>
      </w:r>
      <w:r>
        <w:rPr>
          <w:rFonts w:hint="eastAsia" w:ascii="宋体" w:hAnsi="宋体" w:eastAsia="宋体" w:cs="Times New Roman"/>
          <w:color w:val="000000"/>
          <w:sz w:val="24"/>
          <w:szCs w:val="24"/>
        </w:rPr>
        <w:t>投标公司，</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法人代表人为</w:t>
      </w:r>
      <w:r>
        <w:rPr>
          <w:rFonts w:ascii="宋体" w:hAnsi="宋体" w:eastAsia="宋体" w:cs="Times New Roman"/>
          <w:color w:val="000000"/>
          <w:sz w:val="24"/>
          <w:szCs w:val="24"/>
          <w:u w:val="single"/>
        </w:rPr>
        <w:t xml:space="preserve">         </w:t>
      </w:r>
      <w:r>
        <w:rPr>
          <w:rFonts w:hint="eastAsia" w:ascii="宋体" w:hAnsi="宋体" w:eastAsia="宋体" w:cs="Times New Roman"/>
          <w:color w:val="000000"/>
          <w:sz w:val="24"/>
          <w:szCs w:val="24"/>
        </w:rPr>
        <w:t>，正式授权</w:t>
      </w:r>
      <w:r>
        <w:rPr>
          <w:rFonts w:ascii="宋体" w:hAnsi="宋体" w:eastAsia="宋体" w:cs="Times New Roman"/>
          <w:color w:val="000000"/>
          <w:sz w:val="24"/>
          <w:szCs w:val="24"/>
          <w:u w:val="single"/>
        </w:rPr>
        <w:t xml:space="preserve">           </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提交纸质投标文件：资质证明文件、商务文件和技术文件正本五份；电子版投标文件一份。</w:t>
      </w:r>
    </w:p>
    <w:p w14:paraId="2CDBDAB2">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据此函，签字代表宣布同意如下：</w:t>
      </w:r>
    </w:p>
    <w:p w14:paraId="0961B403">
      <w:pPr>
        <w:spacing w:line="360" w:lineRule="auto"/>
        <w:ind w:firstLine="480" w:firstLineChars="200"/>
        <w:rPr>
          <w:rFonts w:hint="eastAsia" w:ascii="宋体" w:hAnsi="宋体" w:eastAsia="宋体" w:cs="Times New Roman"/>
          <w:color w:val="000000"/>
          <w:sz w:val="24"/>
          <w:szCs w:val="24"/>
        </w:rPr>
      </w:pPr>
      <w:r>
        <w:rPr>
          <w:rFonts w:ascii="宋体" w:hAnsi="宋体" w:eastAsia="宋体" w:cs="Times New Roman"/>
          <w:color w:val="000000"/>
          <w:sz w:val="24"/>
          <w:szCs w:val="24"/>
        </w:rPr>
        <w:t>1</w:t>
      </w:r>
      <w:r>
        <w:rPr>
          <w:rFonts w:hint="eastAsia" w:ascii="宋体" w:hAnsi="宋体" w:eastAsia="宋体" w:cs="Times New Roman"/>
          <w:color w:val="000000"/>
          <w:sz w:val="24"/>
          <w:szCs w:val="24"/>
        </w:rPr>
        <w:t>.投标人已详细审查全部“招标文件”，包括修改文件（如有的话）以及全部参考资料和有关附件，已经了解我方对于招标文件、采购过程、采购结果有依法进行询问、质疑、投诉的权利及相关渠道和要求。</w:t>
      </w:r>
    </w:p>
    <w:p w14:paraId="0443864C">
      <w:pPr>
        <w:spacing w:line="360" w:lineRule="auto"/>
        <w:ind w:firstLine="480" w:firstLineChars="200"/>
        <w:rPr>
          <w:rFonts w:hint="eastAsia" w:ascii="宋体" w:hAnsi="宋体" w:eastAsia="宋体" w:cs="Times New Roman"/>
          <w:color w:val="000000"/>
          <w:sz w:val="24"/>
          <w:szCs w:val="24"/>
        </w:rPr>
      </w:pPr>
      <w:r>
        <w:rPr>
          <w:rFonts w:ascii="宋体" w:hAnsi="宋体" w:eastAsia="宋体" w:cs="Times New Roman"/>
          <w:color w:val="000000"/>
          <w:sz w:val="24"/>
          <w:szCs w:val="24"/>
        </w:rPr>
        <w:t>2</w:t>
      </w:r>
      <w:r>
        <w:rPr>
          <w:rFonts w:hint="eastAsia" w:ascii="宋体" w:hAnsi="宋体" w:eastAsia="宋体" w:cs="Times New Roman"/>
          <w:color w:val="000000"/>
          <w:sz w:val="24"/>
          <w:szCs w:val="24"/>
        </w:rPr>
        <w:t>.投标人在投标之前已经与贵方进行了充分的沟通，完全理解并接受招标文件的各项规定和要求，对招标文件的合理性、合法性不再有异议。</w:t>
      </w:r>
    </w:p>
    <w:p w14:paraId="2D83D5B8">
      <w:pPr>
        <w:spacing w:line="360" w:lineRule="auto"/>
        <w:ind w:firstLine="480" w:firstLineChars="200"/>
        <w:rPr>
          <w:rFonts w:hint="eastAsia" w:ascii="宋体" w:hAnsi="宋体" w:eastAsia="宋体" w:cs="Times New Roman"/>
          <w:color w:val="000000"/>
          <w:sz w:val="24"/>
          <w:szCs w:val="24"/>
        </w:rPr>
      </w:pPr>
      <w:r>
        <w:rPr>
          <w:rFonts w:ascii="宋体" w:hAnsi="宋体" w:eastAsia="宋体" w:cs="Times New Roman"/>
          <w:color w:val="000000"/>
          <w:sz w:val="24"/>
          <w:szCs w:val="24"/>
        </w:rPr>
        <w:t>3</w:t>
      </w:r>
      <w:r>
        <w:rPr>
          <w:rFonts w:hint="eastAsia" w:ascii="宋体" w:hAnsi="宋体" w:eastAsia="宋体" w:cs="Times New Roman"/>
          <w:color w:val="000000"/>
          <w:sz w:val="24"/>
          <w:szCs w:val="24"/>
        </w:rPr>
        <w:t>.本投标有效期自开标日起</w:t>
      </w:r>
      <w:r>
        <w:rPr>
          <w:rFonts w:ascii="宋体" w:hAnsi="宋体" w:eastAsia="宋体" w:cs="Times New Roman"/>
          <w:bCs/>
          <w:color w:val="000000"/>
          <w:sz w:val="24"/>
          <w:szCs w:val="24"/>
          <w:u w:val="single"/>
        </w:rPr>
        <w:t xml:space="preserve"> 90</w:t>
      </w:r>
      <w:r>
        <w:rPr>
          <w:rFonts w:hint="eastAsia" w:ascii="宋体" w:hAnsi="宋体" w:eastAsia="宋体" w:cs="Times New Roman"/>
          <w:color w:val="000000"/>
          <w:sz w:val="24"/>
          <w:szCs w:val="24"/>
        </w:rPr>
        <w:t>个日历日。</w:t>
      </w:r>
    </w:p>
    <w:p w14:paraId="35AAD1F4">
      <w:pPr>
        <w:spacing w:line="360" w:lineRule="auto"/>
        <w:ind w:firstLine="480" w:firstLineChars="200"/>
        <w:rPr>
          <w:rFonts w:hint="eastAsia" w:ascii="宋体" w:hAnsi="宋体" w:eastAsia="宋体" w:cs="Times New Roman"/>
          <w:color w:val="000000"/>
          <w:sz w:val="24"/>
          <w:szCs w:val="24"/>
        </w:rPr>
      </w:pPr>
      <w:r>
        <w:rPr>
          <w:rFonts w:ascii="宋体" w:hAnsi="宋体" w:eastAsia="宋体" w:cs="Times New Roman"/>
          <w:color w:val="000000"/>
          <w:sz w:val="24"/>
          <w:szCs w:val="24"/>
        </w:rPr>
        <w:t>4</w:t>
      </w:r>
      <w:r>
        <w:rPr>
          <w:rFonts w:hint="eastAsia" w:ascii="宋体" w:hAnsi="宋体" w:eastAsia="宋体" w:cs="Times New Roman"/>
          <w:color w:val="000000"/>
          <w:sz w:val="24"/>
          <w:szCs w:val="24"/>
        </w:rPr>
        <w:t>.如中标，本投标文件至本项目合同履行完毕止均保持有效，本投标人将按“招标文件”及政府采购法律、法规的规定履行合同责任和义务。</w:t>
      </w:r>
    </w:p>
    <w:p w14:paraId="75455CDF">
      <w:pPr>
        <w:spacing w:line="360" w:lineRule="auto"/>
        <w:ind w:firstLine="480" w:firstLineChars="200"/>
        <w:rPr>
          <w:rFonts w:hint="eastAsia" w:ascii="宋体" w:hAnsi="宋体" w:eastAsia="宋体" w:cs="Times New Roman"/>
          <w:color w:val="000000"/>
          <w:sz w:val="24"/>
          <w:szCs w:val="24"/>
        </w:rPr>
      </w:pPr>
      <w:r>
        <w:rPr>
          <w:rFonts w:ascii="宋体" w:hAnsi="宋体" w:eastAsia="宋体" w:cs="Times New Roman"/>
          <w:color w:val="000000"/>
          <w:sz w:val="24"/>
          <w:szCs w:val="24"/>
        </w:rPr>
        <w:t>5</w:t>
      </w:r>
      <w:r>
        <w:rPr>
          <w:rFonts w:hint="eastAsia" w:ascii="宋体" w:hAnsi="宋体" w:eastAsia="宋体" w:cs="Times New Roman"/>
          <w:color w:val="000000"/>
          <w:sz w:val="24"/>
          <w:szCs w:val="24"/>
        </w:rPr>
        <w:t>.投标人同意按照贵方要求提供与投标有关的一切数据或资料。</w:t>
      </w:r>
    </w:p>
    <w:p w14:paraId="0108D20C">
      <w:pPr>
        <w:spacing w:line="360" w:lineRule="auto"/>
        <w:ind w:firstLine="480" w:firstLineChars="200"/>
        <w:rPr>
          <w:rFonts w:hint="eastAsia" w:ascii="宋体" w:hAnsi="宋体" w:eastAsia="宋体" w:cs="Times New Roman"/>
          <w:color w:val="000000"/>
          <w:sz w:val="24"/>
          <w:szCs w:val="24"/>
        </w:rPr>
      </w:pPr>
      <w:r>
        <w:rPr>
          <w:rFonts w:ascii="宋体" w:hAnsi="宋体" w:eastAsia="宋体" w:cs="Times New Roman"/>
          <w:color w:val="000000"/>
          <w:sz w:val="24"/>
          <w:szCs w:val="24"/>
        </w:rPr>
        <w:t>6</w:t>
      </w:r>
      <w:r>
        <w:rPr>
          <w:rFonts w:hint="eastAsia" w:ascii="宋体" w:hAnsi="宋体" w:eastAsia="宋体" w:cs="Times New Roman"/>
          <w:color w:val="000000"/>
          <w:sz w:val="24"/>
          <w:szCs w:val="24"/>
        </w:rPr>
        <w:t>.与本投标有关的一切正式往来信函请寄：</w:t>
      </w:r>
    </w:p>
    <w:p w14:paraId="4A6ED3BA">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地址：</w:t>
      </w:r>
      <w:r>
        <w:rPr>
          <w:rFonts w:ascii="宋体" w:hAnsi="宋体" w:eastAsia="宋体" w:cs="Times New Roman"/>
          <w:color w:val="000000"/>
          <w:sz w:val="24"/>
          <w:szCs w:val="24"/>
        </w:rPr>
        <w:t xml:space="preserve">                             </w:t>
      </w:r>
    </w:p>
    <w:p w14:paraId="18BD5759">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邮编：</w:t>
      </w:r>
      <w:r>
        <w:rPr>
          <w:rFonts w:ascii="宋体" w:hAnsi="宋体" w:eastAsia="宋体" w:cs="Times New Roman"/>
          <w:color w:val="000000"/>
          <w:sz w:val="24"/>
          <w:szCs w:val="24"/>
        </w:rPr>
        <w:t xml:space="preserve">        </w:t>
      </w:r>
    </w:p>
    <w:p w14:paraId="32CCA8EE">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电话：</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传真：</w:t>
      </w:r>
      <w:r>
        <w:rPr>
          <w:rFonts w:ascii="宋体" w:hAnsi="宋体" w:eastAsia="宋体" w:cs="Times New Roman"/>
          <w:color w:val="000000"/>
          <w:sz w:val="24"/>
          <w:szCs w:val="24"/>
        </w:rPr>
        <w:t xml:space="preserve">                   </w:t>
      </w:r>
    </w:p>
    <w:p w14:paraId="707983C1">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投标人代表姓名：</w:t>
      </w:r>
      <w:r>
        <w:rPr>
          <w:rFonts w:hint="eastAsia" w:ascii="宋体" w:hAnsi="宋体" w:eastAsia="宋体" w:cs="Times New Roman"/>
          <w:color w:val="000000"/>
          <w:sz w:val="24"/>
          <w:szCs w:val="24"/>
          <w:u w:val="single"/>
        </w:rPr>
        <w:t xml:space="preserve">         </w:t>
      </w:r>
      <w:r>
        <w:rPr>
          <w:rFonts w:hint="eastAsia" w:ascii="宋体" w:hAnsi="宋体" w:eastAsia="宋体" w:cs="Times New Roman"/>
          <w:color w:val="000000"/>
          <w:sz w:val="24"/>
          <w:szCs w:val="24"/>
        </w:rPr>
        <w:t>职务：</w:t>
      </w:r>
      <w:r>
        <w:rPr>
          <w:rFonts w:ascii="宋体" w:hAnsi="宋体" w:eastAsia="宋体" w:cs="Times New Roman"/>
          <w:color w:val="000000"/>
          <w:sz w:val="24"/>
          <w:szCs w:val="24"/>
        </w:rPr>
        <w:t xml:space="preserve">          </w:t>
      </w:r>
    </w:p>
    <w:p w14:paraId="00C08664">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开户银行：</w:t>
      </w:r>
      <w:r>
        <w:rPr>
          <w:rFonts w:ascii="宋体" w:hAnsi="宋体" w:eastAsia="宋体" w:cs="Times New Roman"/>
          <w:color w:val="000000"/>
          <w:sz w:val="24"/>
          <w:szCs w:val="24"/>
        </w:rPr>
        <w:t xml:space="preserve">                   </w:t>
      </w:r>
    </w:p>
    <w:p w14:paraId="74F066CB">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银行帐号：</w:t>
      </w:r>
      <w:r>
        <w:rPr>
          <w:rFonts w:ascii="宋体" w:hAnsi="宋体" w:eastAsia="宋体" w:cs="Times New Roman"/>
          <w:color w:val="000000"/>
          <w:sz w:val="24"/>
          <w:szCs w:val="24"/>
        </w:rPr>
        <w:t xml:space="preserve">                   </w:t>
      </w:r>
    </w:p>
    <w:p w14:paraId="45A469FD">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 xml:space="preserve">联行号：                     </w:t>
      </w:r>
    </w:p>
    <w:p w14:paraId="4F82F809">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投标人名称（</w:t>
      </w:r>
      <w:r>
        <w:rPr>
          <w:rFonts w:hint="eastAsia" w:ascii="宋体" w:hAnsi="宋体" w:eastAsia="宋体" w:cs="Times New Roman"/>
          <w:bCs/>
          <w:color w:val="000000"/>
          <w:sz w:val="24"/>
          <w:szCs w:val="24"/>
        </w:rPr>
        <w:t>盖章）</w:t>
      </w:r>
      <w:r>
        <w:rPr>
          <w:rFonts w:ascii="宋体" w:hAnsi="宋体" w:eastAsia="宋体" w:cs="Times New Roman"/>
          <w:color w:val="000000"/>
          <w:sz w:val="24"/>
          <w:szCs w:val="24"/>
        </w:rPr>
        <w:t xml:space="preserve">: </w:t>
      </w:r>
    </w:p>
    <w:p w14:paraId="6E724509">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授权代表签字</w:t>
      </w:r>
      <w:r>
        <w:rPr>
          <w:rFonts w:hint="eastAsia" w:ascii="宋体" w:hAnsi="宋体" w:eastAsia="宋体" w:cs="Times New Roman"/>
          <w:bCs/>
          <w:color w:val="000000"/>
          <w:sz w:val="24"/>
          <w:szCs w:val="24"/>
        </w:rPr>
        <w:t>：</w:t>
      </w:r>
    </w:p>
    <w:p w14:paraId="30CF6D52">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日期：</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年</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月</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日</w:t>
      </w:r>
    </w:p>
    <w:p w14:paraId="20A1B0CB">
      <w:pPr>
        <w:rPr>
          <w:rFonts w:ascii="黑体" w:hAnsi="Calibri" w:eastAsia="黑体" w:cs="Times New Roman"/>
          <w:color w:val="000000"/>
          <w:sz w:val="24"/>
          <w:szCs w:val="24"/>
        </w:rPr>
      </w:pPr>
    </w:p>
    <w:p w14:paraId="76081297">
      <w:pPr>
        <w:rPr>
          <w:rFonts w:ascii="黑体" w:hAnsi="Calibri" w:eastAsia="黑体" w:cs="Times New Roman"/>
          <w:color w:val="000000"/>
          <w:sz w:val="24"/>
          <w:szCs w:val="24"/>
        </w:rPr>
      </w:pPr>
    </w:p>
    <w:p w14:paraId="2EBE2990">
      <w:pPr>
        <w:pStyle w:val="20"/>
        <w:rPr>
          <w:rFonts w:ascii="黑体" w:hAnsi="Calibri" w:eastAsia="黑体" w:cs="Times New Roman"/>
          <w:color w:val="000000"/>
          <w:sz w:val="24"/>
          <w:szCs w:val="24"/>
        </w:rPr>
      </w:pPr>
    </w:p>
    <w:p w14:paraId="504D32C8">
      <w:pPr>
        <w:pStyle w:val="20"/>
        <w:rPr>
          <w:rFonts w:ascii="黑体" w:hAnsi="Calibri" w:eastAsia="黑体" w:cs="Times New Roman"/>
          <w:color w:val="000000"/>
          <w:sz w:val="24"/>
          <w:szCs w:val="24"/>
        </w:rPr>
      </w:pPr>
    </w:p>
    <w:p w14:paraId="3CA208B6">
      <w:pPr>
        <w:pStyle w:val="20"/>
        <w:rPr>
          <w:rFonts w:ascii="黑体" w:hAnsi="Calibri" w:eastAsia="黑体" w:cs="Times New Roman"/>
          <w:color w:val="000000"/>
          <w:sz w:val="24"/>
          <w:szCs w:val="24"/>
        </w:rPr>
      </w:pPr>
    </w:p>
    <w:p w14:paraId="2F34F0BB">
      <w:pPr>
        <w:pStyle w:val="20"/>
        <w:rPr>
          <w:rFonts w:ascii="黑体" w:hAnsi="Calibri" w:eastAsia="黑体" w:cs="Times New Roman"/>
          <w:color w:val="000000"/>
          <w:sz w:val="24"/>
          <w:szCs w:val="24"/>
        </w:rPr>
      </w:pPr>
    </w:p>
    <w:p w14:paraId="1D03FBC5">
      <w:pPr>
        <w:rPr>
          <w:rFonts w:ascii="黑体" w:hAnsi="Calibri" w:eastAsia="黑体" w:cs="Times New Roman"/>
          <w:color w:val="000000"/>
          <w:sz w:val="24"/>
          <w:szCs w:val="24"/>
        </w:rPr>
      </w:pPr>
    </w:p>
    <w:p w14:paraId="3CDE7322">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w:t>
      </w:r>
      <w:r>
        <w:rPr>
          <w:rFonts w:ascii="Times New Roman" w:hAnsi="Times New Roman" w:eastAsia="宋体" w:cs="Times New Roman"/>
          <w:b/>
          <w:bCs/>
          <w:color w:val="000000"/>
          <w:sz w:val="24"/>
          <w:szCs w:val="24"/>
        </w:rPr>
        <w:t xml:space="preserve">2 </w:t>
      </w:r>
      <w:r>
        <w:rPr>
          <w:rFonts w:hint="eastAsia" w:ascii="Times New Roman" w:hAnsi="Times New Roman" w:eastAsia="宋体" w:cs="Times New Roman"/>
          <w:b/>
          <w:bCs/>
          <w:color w:val="000000"/>
          <w:sz w:val="24"/>
          <w:szCs w:val="24"/>
        </w:rPr>
        <w:t>法定代表人授权委托书</w:t>
      </w:r>
    </w:p>
    <w:p w14:paraId="3CF3AC87">
      <w:pPr>
        <w:adjustRightInd w:val="0"/>
        <w:snapToGrid w:val="0"/>
        <w:spacing w:before="93" w:beforeLines="30" w:line="240" w:lineRule="exact"/>
        <w:jc w:val="center"/>
        <w:rPr>
          <w:rFonts w:ascii="宋体" w:hAnsi="Calibri" w:eastAsia="宋体" w:cs="Times New Roman"/>
          <w:sz w:val="24"/>
          <w:szCs w:val="20"/>
        </w:rPr>
      </w:pPr>
    </w:p>
    <w:p w14:paraId="6B2E9454">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本授权委托书声明：我＿＿＿＿＿＿＿（姓名）系＿＿＿＿＿＿＿＿＿＿＿＿＿＿＿＿＿＿＿＿＿＿＿＿＿＿＿＿（投标人全称）的法定代表人，就</w:t>
      </w:r>
      <w:r>
        <w:rPr>
          <w:rFonts w:hint="eastAsia" w:ascii="仿宋_GB2312" w:hAnsi="宋体" w:eastAsia="仿宋_GB2312"/>
          <w:sz w:val="24"/>
          <w:u w:val="single"/>
        </w:rPr>
        <w:t>全新一代中重卡宽体平地板驾驶室2300车型平顶金属顶盖模检具项目</w:t>
      </w:r>
      <w:r>
        <w:rPr>
          <w:rFonts w:ascii="宋体" w:hAnsi="宋体" w:eastAsia="宋体" w:cs="Times New Roman"/>
          <w:b/>
          <w:bCs/>
          <w:color w:val="000000"/>
          <w:sz w:val="24"/>
          <w:szCs w:val="24"/>
        </w:rPr>
        <w:t xml:space="preserve"> </w:t>
      </w:r>
      <w:r>
        <w:rPr>
          <w:rFonts w:hint="eastAsia" w:ascii="宋体" w:hAnsi="宋体" w:eastAsia="宋体" w:cs="Times New Roman"/>
          <w:color w:val="000000"/>
          <w:sz w:val="24"/>
          <w:szCs w:val="24"/>
        </w:rPr>
        <w:t>现授权委托＿＿＿＿＿＿＿＿＿＿＿＿＿＿＿＿＿＿＿＿＿＿＿＿＿＿＿＿（单位名称）的＿＿＿＿＿＿＿＿（姓名、职务）为我公司全权代表，全权代表在投标文件、评标过程中的书面承诺、合同等所签署的一切文件和处理与之有关的一切事务，我均予以承认。</w:t>
      </w:r>
    </w:p>
    <w:p w14:paraId="74FD39D2">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全权代表无转委权。特此委托。</w:t>
      </w:r>
    </w:p>
    <w:tbl>
      <w:tblPr>
        <w:tblStyle w:val="41"/>
        <w:tblW w:w="8590"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8590"/>
      </w:tblGrid>
      <w:tr w14:paraId="4BCD180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407" w:hRule="atLeast"/>
          <w:jc w:val="center"/>
        </w:trPr>
        <w:tc>
          <w:tcPr>
            <w:tcW w:w="8590" w:type="dxa"/>
            <w:tcBorders>
              <w:top w:val="single" w:color="auto" w:sz="4" w:space="0"/>
              <w:bottom w:val="single" w:color="auto" w:sz="4" w:space="0"/>
            </w:tcBorders>
            <w:vAlign w:val="center"/>
          </w:tcPr>
          <w:p w14:paraId="31A02F4A">
            <w:pPr>
              <w:adjustRightInd w:val="0"/>
              <w:snapToGrid w:val="0"/>
              <w:spacing w:before="93" w:beforeLines="30" w:line="312" w:lineRule="auto"/>
              <w:jc w:val="center"/>
              <w:rPr>
                <w:rFonts w:ascii="宋体" w:hAnsi="Calibri" w:eastAsia="宋体" w:cs="Times New Roman"/>
                <w:sz w:val="24"/>
                <w:szCs w:val="20"/>
              </w:rPr>
            </w:pPr>
            <w:r>
              <w:rPr>
                <w:rFonts w:hint="eastAsia" w:ascii="宋体" w:hAnsi="宋体" w:eastAsia="宋体" w:cs="Times New Roman"/>
                <w:sz w:val="24"/>
                <w:szCs w:val="20"/>
              </w:rPr>
              <w:t>附法人身份证明复印件（</w:t>
            </w:r>
            <w:r>
              <w:rPr>
                <w:rFonts w:hint="eastAsia" w:ascii="宋体" w:hAnsi="宋体" w:eastAsia="宋体" w:cs="Times New Roman"/>
                <w:color w:val="000000" w:themeColor="text1"/>
                <w:sz w:val="24"/>
                <w:szCs w:val="20"/>
                <w14:textFill>
                  <w14:solidFill>
                    <w14:schemeClr w14:val="tx1"/>
                  </w14:solidFill>
                </w14:textFill>
              </w:rPr>
              <w:t>正反面）</w:t>
            </w:r>
          </w:p>
          <w:p w14:paraId="6943096A">
            <w:pPr>
              <w:adjustRightInd w:val="0"/>
              <w:snapToGrid w:val="0"/>
              <w:spacing w:before="93" w:beforeLines="30" w:line="312" w:lineRule="auto"/>
              <w:jc w:val="center"/>
              <w:rPr>
                <w:rFonts w:ascii="宋体" w:hAnsi="Calibri" w:eastAsia="宋体" w:cs="Times New Roman"/>
                <w:sz w:val="24"/>
                <w:szCs w:val="20"/>
              </w:rPr>
            </w:pPr>
            <w:r>
              <w:rPr>
                <w:rFonts w:hint="eastAsia" w:ascii="宋体" w:hAnsi="宋体" w:eastAsia="宋体" w:cs="Times New Roman"/>
                <w:sz w:val="24"/>
                <w:szCs w:val="20"/>
              </w:rPr>
              <w:t>附授权代理人身份证明复印件（正反面）</w:t>
            </w:r>
          </w:p>
        </w:tc>
      </w:tr>
    </w:tbl>
    <w:p w14:paraId="16207DD2">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全权代表姓名：</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性别：</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年龄：</w:t>
      </w:r>
    </w:p>
    <w:p w14:paraId="7787A59F">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单位：</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部门：</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职务：</w:t>
      </w:r>
    </w:p>
    <w:p w14:paraId="29E9B7C7">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法定代表人签字或盖章</w:t>
      </w:r>
      <w:r>
        <w:rPr>
          <w:rFonts w:ascii="宋体" w:hAnsi="宋体" w:eastAsia="宋体" w:cs="Times New Roman"/>
          <w:color w:val="000000"/>
          <w:sz w:val="24"/>
          <w:szCs w:val="24"/>
        </w:rPr>
        <w:t xml:space="preserve">                          </w:t>
      </w:r>
    </w:p>
    <w:p w14:paraId="063C203E">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被授权人签字</w:t>
      </w:r>
      <w:r>
        <w:rPr>
          <w:rFonts w:ascii="宋体" w:hAnsi="宋体" w:eastAsia="宋体" w:cs="Times New Roman"/>
          <w:color w:val="000000"/>
          <w:sz w:val="24"/>
          <w:szCs w:val="24"/>
        </w:rPr>
        <w:t xml:space="preserve">  </w:t>
      </w:r>
    </w:p>
    <w:p w14:paraId="4BADA0EC">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被授权人电话：</w:t>
      </w:r>
      <w:r>
        <w:rPr>
          <w:rFonts w:ascii="宋体" w:hAnsi="宋体" w:eastAsia="宋体" w:cs="Times New Roman"/>
          <w:color w:val="000000"/>
          <w:sz w:val="24"/>
          <w:szCs w:val="24"/>
        </w:rPr>
        <w:t xml:space="preserve">                          </w:t>
      </w:r>
    </w:p>
    <w:p w14:paraId="5F0352A0">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投标人名称（公章）</w:t>
      </w:r>
      <w:r>
        <w:rPr>
          <w:rFonts w:ascii="宋体" w:hAnsi="宋体" w:eastAsia="宋体" w:cs="Times New Roman"/>
          <w:color w:val="000000"/>
          <w:sz w:val="24"/>
          <w:szCs w:val="24"/>
        </w:rPr>
        <w:t xml:space="preserve">                       </w:t>
      </w:r>
    </w:p>
    <w:p w14:paraId="1D85BC9D">
      <w:pPr>
        <w:spacing w:line="460" w:lineRule="exact"/>
        <w:ind w:firstLine="5520" w:firstLineChars="2300"/>
        <w:rPr>
          <w:rFonts w:ascii="宋体" w:hAnsi="Calibri" w:eastAsia="宋体" w:cs="Times New Roman"/>
          <w:sz w:val="24"/>
          <w:szCs w:val="20"/>
          <w:u w:val="single"/>
        </w:rPr>
      </w:pPr>
      <w:r>
        <w:rPr>
          <w:rFonts w:ascii="宋体" w:hAnsi="宋体" w:eastAsia="宋体" w:cs="Times New Roman"/>
          <w:sz w:val="24"/>
          <w:szCs w:val="20"/>
          <w:u w:val="single"/>
        </w:rPr>
        <w:t xml:space="preserve">      </w:t>
      </w:r>
      <w:r>
        <w:rPr>
          <w:rFonts w:hint="eastAsia" w:ascii="宋体" w:hAnsi="宋体" w:eastAsia="宋体" w:cs="Times New Roman"/>
          <w:sz w:val="24"/>
          <w:szCs w:val="20"/>
        </w:rPr>
        <w:t>年</w:t>
      </w:r>
      <w:r>
        <w:rPr>
          <w:rFonts w:ascii="宋体" w:hAnsi="宋体" w:eastAsia="宋体" w:cs="Times New Roman"/>
          <w:sz w:val="24"/>
          <w:szCs w:val="20"/>
          <w:u w:val="single"/>
        </w:rPr>
        <w:t xml:space="preserve">   </w:t>
      </w:r>
      <w:r>
        <w:rPr>
          <w:rFonts w:hint="eastAsia" w:ascii="宋体" w:hAnsi="宋体" w:eastAsia="宋体" w:cs="Times New Roman"/>
          <w:sz w:val="24"/>
          <w:szCs w:val="20"/>
        </w:rPr>
        <w:t>月</w:t>
      </w:r>
      <w:r>
        <w:rPr>
          <w:rFonts w:ascii="宋体" w:hAnsi="宋体" w:eastAsia="宋体" w:cs="Times New Roman"/>
          <w:sz w:val="24"/>
          <w:szCs w:val="20"/>
          <w:u w:val="single"/>
        </w:rPr>
        <w:t xml:space="preserve">   </w:t>
      </w:r>
      <w:r>
        <w:rPr>
          <w:rFonts w:hint="eastAsia" w:ascii="宋体" w:hAnsi="宋体" w:eastAsia="宋体" w:cs="Times New Roman"/>
          <w:sz w:val="24"/>
          <w:szCs w:val="20"/>
        </w:rPr>
        <w:t>日</w:t>
      </w:r>
    </w:p>
    <w:p w14:paraId="2EA18982">
      <w:pPr>
        <w:rPr>
          <w:rFonts w:ascii="Calibri" w:hAnsi="Calibri" w:eastAsia="黑体" w:cs="Times New Roman"/>
          <w:b/>
          <w:bCs/>
          <w:color w:val="000000"/>
          <w:sz w:val="28"/>
          <w:szCs w:val="20"/>
        </w:rPr>
      </w:pPr>
    </w:p>
    <w:p w14:paraId="06251C18">
      <w:pPr>
        <w:pStyle w:val="20"/>
        <w:rPr>
          <w:rFonts w:ascii="Calibri" w:hAnsi="Calibri" w:eastAsia="黑体" w:cs="Times New Roman"/>
          <w:b/>
          <w:bCs/>
          <w:color w:val="000000"/>
          <w:sz w:val="28"/>
          <w:szCs w:val="20"/>
        </w:rPr>
        <w:sectPr>
          <w:pgSz w:w="11906" w:h="16838"/>
          <w:pgMar w:top="1588" w:right="1418" w:bottom="1134" w:left="1418" w:header="851" w:footer="992" w:gutter="0"/>
          <w:cols w:space="720" w:num="1"/>
          <w:titlePg/>
          <w:docGrid w:type="lines" w:linePitch="312" w:charSpace="0"/>
        </w:sectPr>
      </w:pPr>
    </w:p>
    <w:p w14:paraId="58B36C5B">
      <w:pPr>
        <w:keepNext/>
        <w:keepLines/>
        <w:outlineLvl w:val="2"/>
        <w:rPr>
          <w:rFonts w:hint="eastAsia" w:ascii="宋体" w:hAnsi="宋体" w:eastAsia="宋体" w:cs="宋体"/>
          <w:spacing w:val="-9"/>
          <w:sz w:val="24"/>
          <w:szCs w:val="24"/>
          <w14:textOutline w14:w="4356" w14:cap="flat" w14:cmpd="sng" w14:algn="ctr">
            <w14:solidFill>
              <w14:srgbClr w14:val="000000"/>
            </w14:solidFill>
            <w14:prstDash w14:val="solid"/>
            <w14:miter w14:val="0"/>
          </w14:textOutline>
        </w:rPr>
      </w:pPr>
      <w:r>
        <w:rPr>
          <w:rFonts w:hint="eastAsia" w:ascii="宋体" w:hAnsi="宋体" w:eastAsia="宋体" w:cs="宋体"/>
          <w:spacing w:val="-17"/>
          <w:sz w:val="24"/>
          <w:szCs w:val="24"/>
          <w14:textOutline w14:w="4356" w14:cap="sq" w14:cmpd="sng" w14:algn="ctr">
            <w14:solidFill>
              <w14:srgbClr w14:val="000000"/>
            </w14:solidFill>
            <w14:prstDash w14:val="solid"/>
            <w14:bevel/>
          </w14:textOutline>
        </w:rPr>
        <w:t>附</w:t>
      </w:r>
      <w:r>
        <w:rPr>
          <w:rFonts w:hint="eastAsia" w:ascii="宋体" w:hAnsi="宋体" w:eastAsia="宋体" w:cs="宋体"/>
          <w:spacing w:val="-14"/>
          <w:sz w:val="24"/>
          <w:szCs w:val="24"/>
          <w14:textOutline w14:w="4356" w14:cap="sq" w14:cmpd="sng" w14:algn="ctr">
            <w14:solidFill>
              <w14:srgbClr w14:val="000000"/>
            </w14:solidFill>
            <w14:prstDash w14:val="solid"/>
            <w14:bevel/>
          </w14:textOutline>
        </w:rPr>
        <w:t>件</w:t>
      </w:r>
      <w:r>
        <w:rPr>
          <w:rFonts w:ascii="宋体" w:hAnsi="宋体" w:eastAsia="宋体" w:cs="宋体"/>
          <w:spacing w:val="-17"/>
          <w:sz w:val="24"/>
          <w:szCs w:val="24"/>
          <w14:textOutline w14:w="4356" w14:cap="sq" w14:cmpd="sng" w14:algn="ctr">
            <w14:solidFill>
              <w14:srgbClr w14:val="000000"/>
            </w14:solidFill>
            <w14:prstDash w14:val="solid"/>
            <w14:bevel/>
          </w14:textOutline>
        </w:rPr>
        <w:t>3</w:t>
      </w:r>
      <w:r>
        <w:rPr>
          <w:rFonts w:hint="eastAsia" w:ascii="宋体" w:hAnsi="宋体" w:eastAsia="宋体" w:cs="宋体"/>
          <w:spacing w:val="-17"/>
          <w:sz w:val="24"/>
          <w:szCs w:val="24"/>
          <w14:textOutline w14:w="4356" w14:cap="sq" w14:cmpd="sng" w14:algn="ctr">
            <w14:solidFill>
              <w14:srgbClr w14:val="000000"/>
            </w14:solidFill>
            <w14:prstDash w14:val="solid"/>
            <w14:bevel/>
          </w14:textOutline>
        </w:rPr>
        <w:t xml:space="preserve"> </w:t>
      </w:r>
      <w:r>
        <w:rPr>
          <w:rFonts w:hint="eastAsia" w:ascii="宋体" w:hAnsi="宋体" w:eastAsia="宋体" w:cs="宋体"/>
          <w:spacing w:val="15"/>
          <w:position w:val="3"/>
          <w:sz w:val="24"/>
          <w:szCs w:val="24"/>
          <w14:textOutline w14:w="4356" w14:cap="sq" w14:cmpd="sng" w14:algn="ctr">
            <w14:solidFill>
              <w14:srgbClr w14:val="000000"/>
            </w14:solidFill>
            <w14:prstDash w14:val="solid"/>
            <w14:bevel/>
          </w14:textOutline>
        </w:rPr>
        <w:t>投</w:t>
      </w:r>
      <w:r>
        <w:rPr>
          <w:rFonts w:hint="eastAsia" w:ascii="宋体" w:hAnsi="宋体" w:eastAsia="宋体" w:cs="宋体"/>
          <w:spacing w:val="8"/>
          <w:position w:val="3"/>
          <w:sz w:val="24"/>
          <w:szCs w:val="24"/>
          <w14:textOutline w14:w="4356" w14:cap="sq" w14:cmpd="sng" w14:algn="ctr">
            <w14:solidFill>
              <w14:srgbClr w14:val="000000"/>
            </w14:solidFill>
            <w14:prstDash w14:val="solid"/>
            <w14:bevel/>
          </w14:textOutline>
        </w:rPr>
        <w:t>标人基本情况及</w:t>
      </w:r>
      <w:r>
        <w:rPr>
          <w:rFonts w:hint="eastAsia" w:ascii="宋体" w:hAnsi="宋体" w:eastAsia="宋体" w:cs="宋体"/>
          <w:spacing w:val="8"/>
          <w:sz w:val="24"/>
          <w:szCs w:val="24"/>
          <w14:textOutline w14:w="4356" w14:cap="sq" w14:cmpd="sng" w14:algn="ctr">
            <w14:solidFill>
              <w14:srgbClr w14:val="000000"/>
            </w14:solidFill>
            <w14:prstDash w14:val="solid"/>
            <w14:bevel/>
          </w14:textOutline>
        </w:rPr>
        <w:t>资产情况汇总</w:t>
      </w:r>
      <w:r>
        <w:rPr>
          <w:rFonts w:hint="eastAsia" w:ascii="宋体" w:hAnsi="宋体" w:eastAsia="宋体" w:cs="宋体"/>
          <w:spacing w:val="7"/>
          <w:sz w:val="24"/>
          <w:szCs w:val="24"/>
          <w14:textOutline w14:w="4356" w14:cap="sq" w14:cmpd="sng" w14:algn="ctr">
            <w14:solidFill>
              <w14:srgbClr w14:val="000000"/>
            </w14:solidFill>
            <w14:prstDash w14:val="solid"/>
            <w14:bevel/>
          </w14:textOutline>
        </w:rPr>
        <w:t>表</w:t>
      </w:r>
    </w:p>
    <w:p w14:paraId="7650BC44">
      <w:pPr>
        <w:keepNext/>
        <w:keepLines/>
        <w:outlineLvl w:val="3"/>
        <w:rPr>
          <w:rFonts w:ascii="Times New Roman" w:hAnsi="Times New Roman" w:eastAsia="宋体" w:cs="Times New Roman"/>
          <w:b/>
          <w:bCs/>
          <w:color w:val="000000"/>
          <w:sz w:val="24"/>
          <w:szCs w:val="24"/>
        </w:rPr>
      </w:pPr>
      <w:r>
        <w:rPr>
          <w:rFonts w:ascii="宋体" w:hAnsi="宋体" w:eastAsia="宋体" w:cs="宋体"/>
          <w:spacing w:val="-9"/>
          <w:sz w:val="24"/>
          <w:szCs w:val="24"/>
          <w14:textOutline w14:w="4356" w14:cap="flat" w14:cmpd="sng" w14:algn="ctr">
            <w14:solidFill>
              <w14:srgbClr w14:val="000000"/>
            </w14:solidFill>
            <w14:prstDash w14:val="solid"/>
            <w14:miter w14:val="0"/>
          </w14:textOutline>
        </w:rPr>
        <w:t>表</w:t>
      </w:r>
      <w:r>
        <w:rPr>
          <w:rFonts w:ascii="宋体" w:hAnsi="宋体" w:eastAsia="宋体" w:cs="宋体"/>
          <w:spacing w:val="-7"/>
          <w:sz w:val="24"/>
          <w:szCs w:val="24"/>
        </w:rPr>
        <w:t xml:space="preserve"> </w:t>
      </w:r>
      <w:r>
        <w:rPr>
          <w:rFonts w:ascii="宋体" w:hAnsi="宋体" w:eastAsia="宋体" w:cs="宋体"/>
          <w:spacing w:val="-7"/>
          <w:sz w:val="24"/>
          <w:szCs w:val="24"/>
          <w14:textOutline w14:w="4356" w14:cap="flat" w14:cmpd="sng" w14:algn="ctr">
            <w14:solidFill>
              <w14:srgbClr w14:val="000000"/>
            </w14:solidFill>
            <w14:prstDash w14:val="solid"/>
            <w14:miter w14:val="0"/>
          </w14:textOutline>
        </w:rPr>
        <w:t>1</w:t>
      </w:r>
      <w:r>
        <w:rPr>
          <w:rFonts w:hint="eastAsia" w:ascii="宋体" w:hAnsi="宋体" w:eastAsia="宋体" w:cs="宋体"/>
          <w:spacing w:val="-7"/>
          <w:sz w:val="24"/>
          <w:szCs w:val="24"/>
          <w14:textOutline w14:w="4356" w14:cap="flat" w14:cmpd="sng" w14:algn="ctr">
            <w14:solidFill>
              <w14:srgbClr w14:val="000000"/>
            </w14:solidFill>
            <w14:prstDash w14:val="solid"/>
            <w14:miter w14:val="0"/>
          </w14:textOutline>
        </w:rPr>
        <w:t xml:space="preserve"> </w:t>
      </w:r>
      <w:r>
        <w:rPr>
          <w:rFonts w:hint="eastAsia" w:ascii="Times New Roman" w:hAnsi="Times New Roman" w:eastAsia="宋体" w:cs="Times New Roman"/>
          <w:b/>
          <w:bCs/>
          <w:color w:val="000000"/>
          <w:sz w:val="24"/>
          <w:szCs w:val="24"/>
        </w:rPr>
        <w:t>投标人基本情况表(格式)</w:t>
      </w:r>
    </w:p>
    <w:tbl>
      <w:tblPr>
        <w:tblStyle w:val="133"/>
        <w:tblpPr w:leftFromText="180" w:rightFromText="180" w:vertAnchor="text" w:horzAnchor="page" w:tblpX="1053" w:tblpY="310"/>
        <w:tblOverlap w:val="never"/>
        <w:tblW w:w="9456"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956"/>
        <w:gridCol w:w="990"/>
        <w:gridCol w:w="1530"/>
        <w:gridCol w:w="1063"/>
        <w:gridCol w:w="1097"/>
        <w:gridCol w:w="1310"/>
        <w:gridCol w:w="1510"/>
      </w:tblGrid>
      <w:tr w14:paraId="7D7A1D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1" w:hRule="atLeast"/>
        </w:trPr>
        <w:tc>
          <w:tcPr>
            <w:tcW w:w="1956" w:type="dxa"/>
          </w:tcPr>
          <w:p w14:paraId="12537B69">
            <w:pPr>
              <w:pStyle w:val="135"/>
              <w:spacing w:before="114"/>
              <w:ind w:left="720"/>
              <w:rPr>
                <w:rFonts w:hint="eastAsia"/>
              </w:rPr>
            </w:pPr>
            <w:r>
              <w:t xml:space="preserve">企业名称 </w:t>
            </w:r>
          </w:p>
        </w:tc>
        <w:tc>
          <w:tcPr>
            <w:tcW w:w="4680" w:type="dxa"/>
            <w:gridSpan w:val="4"/>
            <w:vAlign w:val="center"/>
          </w:tcPr>
          <w:p w14:paraId="27B2249E">
            <w:pPr>
              <w:widowControl/>
              <w:jc w:val="center"/>
              <w:textAlignment w:val="center"/>
              <w:rPr>
                <w:rFonts w:hint="eastAsia" w:ascii="宋体" w:hAnsi="宋体" w:eastAsia="宋体" w:cs="宋体"/>
                <w:color w:val="000000" w:themeColor="text1"/>
                <w14:textFill>
                  <w14:solidFill>
                    <w14:schemeClr w14:val="tx1"/>
                  </w14:solidFill>
                </w14:textFill>
              </w:rPr>
            </w:pPr>
          </w:p>
        </w:tc>
        <w:tc>
          <w:tcPr>
            <w:tcW w:w="1310" w:type="dxa"/>
          </w:tcPr>
          <w:p w14:paraId="78338116">
            <w:pPr>
              <w:pStyle w:val="135"/>
              <w:spacing w:before="106"/>
              <w:ind w:left="154" w:right="26"/>
              <w:jc w:val="center"/>
              <w:rPr>
                <w:rFonts w:hint="eastAsia"/>
                <w:color w:val="000000" w:themeColor="text1"/>
                <w14:textFill>
                  <w14:solidFill>
                    <w14:schemeClr w14:val="tx1"/>
                  </w14:solidFill>
                </w14:textFill>
              </w:rPr>
            </w:pPr>
            <w:r>
              <w:rPr>
                <w:color w:val="000000" w:themeColor="text1"/>
                <w14:textFill>
                  <w14:solidFill>
                    <w14:schemeClr w14:val="tx1"/>
                  </w14:solidFill>
                </w14:textFill>
              </w:rPr>
              <w:t xml:space="preserve">联系人 </w:t>
            </w:r>
          </w:p>
        </w:tc>
        <w:tc>
          <w:tcPr>
            <w:tcW w:w="1510" w:type="dxa"/>
            <w:vAlign w:val="center"/>
          </w:tcPr>
          <w:p w14:paraId="6AEC11F7">
            <w:pPr>
              <w:widowControl/>
              <w:jc w:val="center"/>
              <w:textAlignment w:val="center"/>
              <w:rPr>
                <w:rFonts w:hint="eastAsia" w:ascii="宋体" w:hAnsi="宋体" w:eastAsia="宋体" w:cs="宋体"/>
                <w:color w:val="000000" w:themeColor="text1"/>
                <w:szCs w:val="21"/>
                <w14:textFill>
                  <w14:solidFill>
                    <w14:schemeClr w14:val="tx1"/>
                  </w14:solidFill>
                </w14:textFill>
              </w:rPr>
            </w:pPr>
          </w:p>
        </w:tc>
      </w:tr>
      <w:tr w14:paraId="048868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02" w:hRule="atLeast"/>
        </w:trPr>
        <w:tc>
          <w:tcPr>
            <w:tcW w:w="1956" w:type="dxa"/>
          </w:tcPr>
          <w:p w14:paraId="50B774F9">
            <w:pPr>
              <w:pStyle w:val="135"/>
              <w:spacing w:before="114"/>
              <w:ind w:left="720"/>
              <w:rPr>
                <w:rFonts w:hint="eastAsia"/>
              </w:rPr>
            </w:pPr>
            <w:r>
              <w:t xml:space="preserve">企业地址 </w:t>
            </w:r>
          </w:p>
        </w:tc>
        <w:tc>
          <w:tcPr>
            <w:tcW w:w="4680" w:type="dxa"/>
            <w:gridSpan w:val="4"/>
            <w:vAlign w:val="center"/>
          </w:tcPr>
          <w:p w14:paraId="290F448F">
            <w:pPr>
              <w:widowControl/>
              <w:jc w:val="center"/>
              <w:textAlignment w:val="center"/>
              <w:rPr>
                <w:rFonts w:hint="eastAsia" w:ascii="宋体" w:hAnsi="宋体" w:eastAsia="宋体" w:cs="宋体"/>
                <w:color w:val="000000" w:themeColor="text1"/>
                <w14:textFill>
                  <w14:solidFill>
                    <w14:schemeClr w14:val="tx1"/>
                  </w14:solidFill>
                </w14:textFill>
              </w:rPr>
            </w:pPr>
          </w:p>
        </w:tc>
        <w:tc>
          <w:tcPr>
            <w:tcW w:w="1310" w:type="dxa"/>
          </w:tcPr>
          <w:p w14:paraId="49C5DC18">
            <w:pPr>
              <w:pStyle w:val="135"/>
              <w:spacing w:before="106"/>
              <w:ind w:left="154" w:right="26"/>
              <w:jc w:val="center"/>
              <w:rPr>
                <w:rFonts w:hint="eastAsia"/>
                <w:color w:val="000000" w:themeColor="text1"/>
                <w14:textFill>
                  <w14:solidFill>
                    <w14:schemeClr w14:val="tx1"/>
                  </w14:solidFill>
                </w14:textFill>
              </w:rPr>
            </w:pPr>
            <w:r>
              <w:rPr>
                <w:color w:val="000000" w:themeColor="text1"/>
                <w14:textFill>
                  <w14:solidFill>
                    <w14:schemeClr w14:val="tx1"/>
                  </w14:solidFill>
                </w14:textFill>
              </w:rPr>
              <w:t xml:space="preserve">联系人电话 </w:t>
            </w:r>
          </w:p>
        </w:tc>
        <w:tc>
          <w:tcPr>
            <w:tcW w:w="1510" w:type="dxa"/>
            <w:vAlign w:val="center"/>
          </w:tcPr>
          <w:p w14:paraId="46995CC2">
            <w:pPr>
              <w:widowControl/>
              <w:jc w:val="center"/>
              <w:textAlignment w:val="center"/>
              <w:rPr>
                <w:rFonts w:hint="eastAsia" w:ascii="宋体" w:hAnsi="宋体" w:eastAsia="宋体" w:cs="宋体"/>
                <w:color w:val="000000" w:themeColor="text1"/>
                <w:szCs w:val="21"/>
                <w14:textFill>
                  <w14:solidFill>
                    <w14:schemeClr w14:val="tx1"/>
                  </w14:solidFill>
                </w14:textFill>
              </w:rPr>
            </w:pPr>
          </w:p>
        </w:tc>
      </w:tr>
      <w:tr w14:paraId="3A2257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6" w:hRule="atLeast"/>
        </w:trPr>
        <w:tc>
          <w:tcPr>
            <w:tcW w:w="1956" w:type="dxa"/>
          </w:tcPr>
          <w:p w14:paraId="002670C8">
            <w:pPr>
              <w:pStyle w:val="135"/>
              <w:spacing w:before="111"/>
              <w:ind w:left="720"/>
              <w:rPr>
                <w:rFonts w:hint="eastAsia"/>
              </w:rPr>
            </w:pPr>
            <w:r>
              <w:t xml:space="preserve">企业性质 </w:t>
            </w:r>
          </w:p>
        </w:tc>
        <w:tc>
          <w:tcPr>
            <w:tcW w:w="4680" w:type="dxa"/>
            <w:gridSpan w:val="4"/>
            <w:vAlign w:val="center"/>
          </w:tcPr>
          <w:p w14:paraId="5DC14786">
            <w:pPr>
              <w:widowControl/>
              <w:jc w:val="center"/>
              <w:textAlignment w:val="center"/>
              <w:rPr>
                <w:rFonts w:hint="eastAsia" w:ascii="宋体" w:hAnsi="宋体" w:eastAsia="宋体" w:cs="宋体"/>
                <w:color w:val="000000" w:themeColor="text1"/>
                <w14:textFill>
                  <w14:solidFill>
                    <w14:schemeClr w14:val="tx1"/>
                  </w14:solidFill>
                </w14:textFill>
              </w:rPr>
            </w:pPr>
          </w:p>
        </w:tc>
        <w:tc>
          <w:tcPr>
            <w:tcW w:w="1310" w:type="dxa"/>
          </w:tcPr>
          <w:p w14:paraId="5AE1D997">
            <w:pPr>
              <w:pStyle w:val="135"/>
              <w:spacing w:before="103"/>
              <w:ind w:left="154" w:right="26"/>
              <w:jc w:val="center"/>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注册时间</w:t>
            </w:r>
            <w:r>
              <w:rPr>
                <w:color w:val="000000" w:themeColor="text1"/>
                <w14:textFill>
                  <w14:solidFill>
                    <w14:schemeClr w14:val="tx1"/>
                  </w14:solidFill>
                </w14:textFill>
              </w:rPr>
              <w:t xml:space="preserve"> </w:t>
            </w:r>
          </w:p>
        </w:tc>
        <w:tc>
          <w:tcPr>
            <w:tcW w:w="1510" w:type="dxa"/>
            <w:vAlign w:val="center"/>
          </w:tcPr>
          <w:p w14:paraId="25654C06">
            <w:pPr>
              <w:widowControl/>
              <w:jc w:val="center"/>
              <w:textAlignment w:val="center"/>
              <w:rPr>
                <w:rFonts w:hint="eastAsia" w:ascii="宋体" w:hAnsi="宋体" w:eastAsia="宋体" w:cs="宋体"/>
                <w:color w:val="000000" w:themeColor="text1"/>
                <w:szCs w:val="21"/>
                <w14:textFill>
                  <w14:solidFill>
                    <w14:schemeClr w14:val="tx1"/>
                  </w14:solidFill>
                </w14:textFill>
              </w:rPr>
            </w:pPr>
          </w:p>
        </w:tc>
      </w:tr>
      <w:tr w14:paraId="53F9A9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4" w:hRule="atLeast"/>
        </w:trPr>
        <w:tc>
          <w:tcPr>
            <w:tcW w:w="1956" w:type="dxa"/>
          </w:tcPr>
          <w:p w14:paraId="528A44FD">
            <w:pPr>
              <w:pStyle w:val="135"/>
              <w:spacing w:before="111"/>
              <w:ind w:left="509"/>
              <w:rPr>
                <w:rFonts w:hint="eastAsia"/>
              </w:rPr>
            </w:pPr>
            <w:r>
              <w:t xml:space="preserve">企业法人代表  </w:t>
            </w:r>
          </w:p>
        </w:tc>
        <w:tc>
          <w:tcPr>
            <w:tcW w:w="4680" w:type="dxa"/>
            <w:gridSpan w:val="4"/>
          </w:tcPr>
          <w:p w14:paraId="1D858025">
            <w:pPr>
              <w:pStyle w:val="6"/>
              <w:keepNext w:val="0"/>
              <w:keepLines w:val="0"/>
              <w:widowControl/>
              <w:shd w:val="clear" w:color="auto" w:fill="FFFFFF"/>
              <w:spacing w:before="0" w:after="0" w:line="450" w:lineRule="atLeast"/>
              <w:rPr>
                <w:rFonts w:hint="eastAsia" w:ascii="宋体" w:hAnsi="宋体" w:cs="宋体"/>
                <w:color w:val="000000" w:themeColor="text1"/>
                <w14:textFill>
                  <w14:solidFill>
                    <w14:schemeClr w14:val="tx1"/>
                  </w14:solidFill>
                </w14:textFill>
              </w:rPr>
            </w:pPr>
          </w:p>
        </w:tc>
        <w:tc>
          <w:tcPr>
            <w:tcW w:w="1310" w:type="dxa"/>
          </w:tcPr>
          <w:p w14:paraId="2591C3F0">
            <w:pPr>
              <w:pStyle w:val="135"/>
              <w:spacing w:before="103"/>
              <w:ind w:right="26"/>
              <w:jc w:val="center"/>
              <w:rPr>
                <w:rFonts w:hint="eastAsia"/>
                <w:color w:val="000000" w:themeColor="text1"/>
                <w14:textFill>
                  <w14:solidFill>
                    <w14:schemeClr w14:val="tx1"/>
                  </w14:solidFill>
                </w14:textFill>
              </w:rPr>
            </w:pPr>
            <w:r>
              <w:rPr>
                <w:color w:val="000000" w:themeColor="text1"/>
                <w14:textFill>
                  <w14:solidFill>
                    <w14:schemeClr w14:val="tx1"/>
                  </w14:solidFill>
                </w14:textFill>
              </w:rPr>
              <w:t>企业资质</w:t>
            </w:r>
          </w:p>
        </w:tc>
        <w:tc>
          <w:tcPr>
            <w:tcW w:w="1510" w:type="dxa"/>
            <w:vAlign w:val="center"/>
          </w:tcPr>
          <w:p w14:paraId="6416A660">
            <w:pPr>
              <w:widowControl/>
              <w:jc w:val="center"/>
              <w:textAlignment w:val="center"/>
              <w:rPr>
                <w:rFonts w:hint="eastAsia" w:ascii="宋体" w:hAnsi="宋体" w:eastAsia="宋体" w:cs="宋体"/>
                <w:color w:val="000000" w:themeColor="text1"/>
                <w:szCs w:val="21"/>
                <w14:textFill>
                  <w14:solidFill>
                    <w14:schemeClr w14:val="tx1"/>
                  </w14:solidFill>
                </w14:textFill>
              </w:rPr>
            </w:pPr>
          </w:p>
        </w:tc>
      </w:tr>
      <w:tr w14:paraId="0EFBCB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2" w:hRule="atLeast"/>
        </w:trPr>
        <w:tc>
          <w:tcPr>
            <w:tcW w:w="1956" w:type="dxa"/>
          </w:tcPr>
          <w:p w14:paraId="2BD78BC7">
            <w:pPr>
              <w:pStyle w:val="135"/>
              <w:spacing w:before="114"/>
              <w:ind w:left="720"/>
              <w:rPr>
                <w:rFonts w:hint="eastAsia"/>
              </w:rPr>
            </w:pPr>
            <w:r>
              <w:t xml:space="preserve">品牌区分 </w:t>
            </w:r>
          </w:p>
        </w:tc>
        <w:tc>
          <w:tcPr>
            <w:tcW w:w="7500" w:type="dxa"/>
            <w:gridSpan w:val="6"/>
          </w:tcPr>
          <w:p w14:paraId="071A1748">
            <w:pPr>
              <w:pStyle w:val="135"/>
              <w:spacing w:before="106"/>
              <w:ind w:left="401"/>
              <w:rPr>
                <w:rFonts w:hint="eastAsia"/>
              </w:rPr>
            </w:pPr>
            <w:r>
              <w:t xml:space="preserve"> </w:t>
            </w:r>
            <w:r>
              <w:rPr/>
              <w:sym w:font="Wingdings 2" w:char="00A3"/>
            </w:r>
            <w:r>
              <w:t xml:space="preserve">自产 </w:t>
            </w:r>
            <w:r>
              <w:rPr/>
              <w:sym w:font="Wingdings 2" w:char="00A3"/>
            </w:r>
            <w:r>
              <w:t xml:space="preserve">总代理 </w:t>
            </w:r>
            <w:r>
              <w:rPr/>
              <w:sym w:font="Wingdings 2" w:char="00A3"/>
            </w:r>
            <w:r>
              <w:t xml:space="preserve">代理  </w:t>
            </w:r>
            <w:r>
              <w:rPr/>
              <w:sym w:font="Wingdings 2" w:char="00A3"/>
            </w:r>
            <w:r>
              <w:t xml:space="preserve">经销 </w:t>
            </w:r>
          </w:p>
        </w:tc>
      </w:tr>
      <w:tr w14:paraId="557784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2" w:hRule="atLeast"/>
        </w:trPr>
        <w:tc>
          <w:tcPr>
            <w:tcW w:w="1956" w:type="dxa"/>
          </w:tcPr>
          <w:p w14:paraId="6CB2E78A">
            <w:pPr>
              <w:pStyle w:val="135"/>
              <w:spacing w:before="178"/>
              <w:ind w:left="720"/>
              <w:rPr>
                <w:rFonts w:hint="eastAsia"/>
              </w:rPr>
            </w:pPr>
            <w:r>
              <w:t xml:space="preserve">品牌名称 </w:t>
            </w:r>
          </w:p>
        </w:tc>
        <w:tc>
          <w:tcPr>
            <w:tcW w:w="3583" w:type="dxa"/>
            <w:gridSpan w:val="3"/>
            <w:vAlign w:val="center"/>
          </w:tcPr>
          <w:p w14:paraId="26699D88">
            <w:pPr>
              <w:widowControl/>
              <w:rPr>
                <w:rFonts w:hint="eastAsia" w:ascii="宋体" w:hAnsi="宋体" w:eastAsia="仿宋_GB2312"/>
                <w:kern w:val="0"/>
                <w:szCs w:val="21"/>
                <w:lang w:bidi="ar"/>
              </w:rPr>
            </w:pPr>
          </w:p>
        </w:tc>
        <w:tc>
          <w:tcPr>
            <w:tcW w:w="1097" w:type="dxa"/>
          </w:tcPr>
          <w:p w14:paraId="3CCD42BF">
            <w:pPr>
              <w:pStyle w:val="135"/>
              <w:spacing w:before="15"/>
              <w:ind w:left="279"/>
              <w:rPr>
                <w:rFonts w:hint="eastAsia"/>
              </w:rPr>
            </w:pPr>
            <w:r>
              <w:rPr>
                <w:spacing w:val="-2"/>
              </w:rPr>
              <w:t>质量</w:t>
            </w:r>
            <w:r>
              <w:t xml:space="preserve"> </w:t>
            </w:r>
          </w:p>
          <w:p w14:paraId="29867926">
            <w:pPr>
              <w:pStyle w:val="135"/>
              <w:spacing w:before="30" w:line="277" w:lineRule="exact"/>
              <w:ind w:left="279"/>
              <w:rPr>
                <w:rFonts w:hint="eastAsia"/>
              </w:rPr>
            </w:pPr>
            <w:r>
              <w:rPr>
                <w:rFonts w:hint="eastAsia"/>
              </w:rPr>
              <w:t>体系</w:t>
            </w:r>
          </w:p>
        </w:tc>
        <w:tc>
          <w:tcPr>
            <w:tcW w:w="2820" w:type="dxa"/>
            <w:gridSpan w:val="2"/>
          </w:tcPr>
          <w:p w14:paraId="26E25F87">
            <w:pPr>
              <w:pStyle w:val="135"/>
              <w:spacing w:before="158"/>
              <w:jc w:val="center"/>
              <w:rPr>
                <w:rFonts w:hint="eastAsia"/>
                <w:sz w:val="24"/>
              </w:rPr>
            </w:pPr>
            <w:r>
              <w:rPr>
                <w:rFonts w:hint="eastAsia"/>
                <w:kern w:val="0"/>
                <w:szCs w:val="21"/>
                <w:lang w:bidi="ar"/>
              </w:rPr>
              <w:t>/</w:t>
            </w:r>
          </w:p>
        </w:tc>
      </w:tr>
      <w:tr w14:paraId="1F572D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5" w:hRule="atLeast"/>
        </w:trPr>
        <w:tc>
          <w:tcPr>
            <w:tcW w:w="9456" w:type="dxa"/>
            <w:gridSpan w:val="7"/>
          </w:tcPr>
          <w:p w14:paraId="652D8BC0">
            <w:pPr>
              <w:pStyle w:val="135"/>
              <w:spacing w:before="149"/>
              <w:ind w:left="3345" w:right="3223"/>
              <w:jc w:val="center"/>
              <w:rPr>
                <w:rFonts w:hint="eastAsia"/>
              </w:rPr>
            </w:pPr>
            <w:r>
              <w:rPr>
                <w:rFonts w:hint="eastAsia"/>
                <w:szCs w:val="21"/>
              </w:rPr>
              <w:t>单位概况</w:t>
            </w:r>
          </w:p>
        </w:tc>
      </w:tr>
      <w:tr w14:paraId="75F700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5" w:hRule="atLeast"/>
        </w:trPr>
        <w:tc>
          <w:tcPr>
            <w:tcW w:w="1956" w:type="dxa"/>
            <w:vAlign w:val="center"/>
          </w:tcPr>
          <w:p w14:paraId="6E6DDF4E">
            <w:pPr>
              <w:widowControl/>
              <w:jc w:val="center"/>
              <w:textAlignment w:val="center"/>
              <w:rPr>
                <w:rFonts w:hint="eastAsia" w:ascii="宋体" w:hAnsi="宋体" w:eastAsia="宋体" w:cs="宋体"/>
                <w:szCs w:val="21"/>
              </w:rPr>
            </w:pPr>
            <w:r>
              <w:rPr>
                <w:rFonts w:hint="eastAsia" w:ascii="宋体" w:hAnsi="宋体" w:eastAsia="宋体" w:cs="宋体"/>
                <w:spacing w:val="-2"/>
                <w:szCs w:val="21"/>
              </w:rPr>
              <w:t>参保</w:t>
            </w:r>
            <w:r>
              <w:rPr>
                <w:rFonts w:ascii="宋体" w:hAnsi="宋体" w:eastAsia="宋体" w:cs="宋体"/>
                <w:spacing w:val="-2"/>
                <w:szCs w:val="21"/>
              </w:rPr>
              <w:t>职工总人</w:t>
            </w:r>
            <w:r>
              <w:rPr>
                <w:rFonts w:ascii="宋体" w:hAnsi="宋体" w:eastAsia="宋体" w:cs="宋体"/>
                <w:spacing w:val="-1"/>
                <w:szCs w:val="21"/>
              </w:rPr>
              <w:t>数</w:t>
            </w:r>
          </w:p>
        </w:tc>
        <w:tc>
          <w:tcPr>
            <w:tcW w:w="990" w:type="dxa"/>
            <w:vAlign w:val="center"/>
          </w:tcPr>
          <w:p w14:paraId="081CB51E">
            <w:pPr>
              <w:widowControl/>
              <w:textAlignment w:val="center"/>
              <w:rPr>
                <w:rFonts w:hint="eastAsia" w:ascii="宋体" w:hAnsi="宋体" w:eastAsia="宋体" w:cs="宋体"/>
                <w:szCs w:val="21"/>
              </w:rPr>
            </w:pPr>
          </w:p>
        </w:tc>
        <w:tc>
          <w:tcPr>
            <w:tcW w:w="1530" w:type="dxa"/>
            <w:vAlign w:val="center"/>
          </w:tcPr>
          <w:p w14:paraId="505CE417">
            <w:pPr>
              <w:widowControl/>
              <w:jc w:val="center"/>
              <w:textAlignment w:val="center"/>
              <w:rPr>
                <w:rFonts w:hint="eastAsia" w:ascii="宋体" w:hAnsi="宋体" w:eastAsia="宋体" w:cs="宋体"/>
                <w:szCs w:val="21"/>
              </w:rPr>
            </w:pPr>
            <w:r>
              <w:rPr>
                <w:rFonts w:ascii="宋体" w:hAnsi="宋体" w:eastAsia="宋体" w:cs="宋体"/>
                <w:spacing w:val="-2"/>
                <w:szCs w:val="21"/>
              </w:rPr>
              <w:t>工程技术人</w:t>
            </w:r>
            <w:r>
              <w:rPr>
                <w:rFonts w:ascii="宋体" w:hAnsi="宋体" w:eastAsia="宋体" w:cs="宋体"/>
                <w:spacing w:val="-1"/>
                <w:szCs w:val="21"/>
              </w:rPr>
              <w:t>员</w:t>
            </w:r>
          </w:p>
        </w:tc>
        <w:tc>
          <w:tcPr>
            <w:tcW w:w="1063" w:type="dxa"/>
            <w:vAlign w:val="center"/>
          </w:tcPr>
          <w:p w14:paraId="16A715EF">
            <w:pPr>
              <w:widowControl/>
              <w:jc w:val="center"/>
              <w:textAlignment w:val="center"/>
              <w:rPr>
                <w:rFonts w:hint="eastAsia" w:ascii="宋体" w:hAnsi="宋体" w:eastAsia="宋体" w:cs="宋体"/>
                <w:szCs w:val="21"/>
              </w:rPr>
            </w:pPr>
          </w:p>
        </w:tc>
        <w:tc>
          <w:tcPr>
            <w:tcW w:w="1097" w:type="dxa"/>
            <w:vAlign w:val="center"/>
          </w:tcPr>
          <w:p w14:paraId="2301218E">
            <w:pPr>
              <w:widowControl/>
              <w:textAlignment w:val="center"/>
              <w:rPr>
                <w:rFonts w:hint="eastAsia" w:ascii="宋体" w:hAnsi="宋体" w:eastAsia="宋体" w:cs="宋体"/>
                <w:szCs w:val="21"/>
              </w:rPr>
            </w:pPr>
            <w:r>
              <w:rPr>
                <w:rFonts w:ascii="宋体" w:hAnsi="宋体" w:eastAsia="宋体" w:cs="宋体"/>
                <w:spacing w:val="-3"/>
                <w:szCs w:val="21"/>
              </w:rPr>
              <w:t>生</w:t>
            </w:r>
            <w:r>
              <w:rPr>
                <w:rFonts w:ascii="宋体" w:hAnsi="宋体" w:eastAsia="宋体" w:cs="宋体"/>
                <w:spacing w:val="-2"/>
                <w:szCs w:val="21"/>
              </w:rPr>
              <w:t>产</w:t>
            </w:r>
            <w:r>
              <w:rPr>
                <w:rFonts w:hint="eastAsia" w:ascii="宋体" w:hAnsi="宋体" w:eastAsia="宋体" w:cs="宋体"/>
                <w:spacing w:val="-2"/>
                <w:szCs w:val="21"/>
              </w:rPr>
              <w:t>、销售人员</w:t>
            </w:r>
          </w:p>
        </w:tc>
        <w:tc>
          <w:tcPr>
            <w:tcW w:w="2820" w:type="dxa"/>
            <w:gridSpan w:val="2"/>
            <w:vAlign w:val="center"/>
          </w:tcPr>
          <w:p w14:paraId="7D71131B">
            <w:pPr>
              <w:widowControl/>
              <w:jc w:val="center"/>
              <w:textAlignment w:val="center"/>
              <w:rPr>
                <w:rFonts w:hint="eastAsia" w:ascii="宋体" w:hAnsi="宋体" w:eastAsia="宋体" w:cs="宋体"/>
                <w:szCs w:val="21"/>
              </w:rPr>
            </w:pPr>
          </w:p>
        </w:tc>
      </w:tr>
      <w:tr w14:paraId="4E7641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75" w:hRule="atLeast"/>
        </w:trPr>
        <w:tc>
          <w:tcPr>
            <w:tcW w:w="1956" w:type="dxa"/>
            <w:vAlign w:val="center"/>
          </w:tcPr>
          <w:p w14:paraId="1FE6740B">
            <w:pPr>
              <w:widowControl/>
              <w:jc w:val="center"/>
              <w:textAlignment w:val="center"/>
              <w:rPr>
                <w:rFonts w:hint="eastAsia" w:ascii="宋体" w:hAnsi="宋体" w:eastAsia="宋体" w:cs="宋体"/>
                <w:szCs w:val="21"/>
              </w:rPr>
            </w:pPr>
            <w:r>
              <w:rPr>
                <w:rFonts w:hint="eastAsia" w:ascii="宋体" w:hAnsi="宋体" w:eastAsia="宋体" w:cs="宋体"/>
                <w:kern w:val="0"/>
                <w:szCs w:val="21"/>
                <w:lang w:bidi="ar"/>
              </w:rPr>
              <w:t>企业优势、关键产品特点</w:t>
            </w:r>
          </w:p>
        </w:tc>
        <w:tc>
          <w:tcPr>
            <w:tcW w:w="7500" w:type="dxa"/>
            <w:gridSpan w:val="6"/>
            <w:vAlign w:val="center"/>
          </w:tcPr>
          <w:p w14:paraId="66FE8D0E">
            <w:pPr>
              <w:widowControl/>
              <w:jc w:val="left"/>
              <w:rPr>
                <w:rFonts w:hint="eastAsia" w:ascii="宋体" w:hAnsi="宋体" w:eastAsia="宋体" w:cs="宋体"/>
                <w:szCs w:val="21"/>
              </w:rPr>
            </w:pPr>
            <w:r>
              <w:rPr>
                <w:rFonts w:hint="eastAsia" w:ascii="宋体" w:hAnsi="宋体" w:eastAsia="宋体" w:cs="宋体"/>
                <w:kern w:val="0"/>
                <w:szCs w:val="21"/>
                <w:lang w:bidi="ar"/>
              </w:rPr>
              <w:t>　</w:t>
            </w:r>
          </w:p>
        </w:tc>
      </w:tr>
      <w:tr w14:paraId="40E36A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86" w:hRule="atLeast"/>
        </w:trPr>
        <w:tc>
          <w:tcPr>
            <w:tcW w:w="1956" w:type="dxa"/>
            <w:vAlign w:val="center"/>
          </w:tcPr>
          <w:p w14:paraId="29C46F23">
            <w:pPr>
              <w:widowControl/>
              <w:jc w:val="center"/>
              <w:textAlignment w:val="center"/>
              <w:rPr>
                <w:rFonts w:hint="eastAsia" w:ascii="宋体" w:hAnsi="宋体" w:eastAsia="宋体" w:cs="宋体"/>
                <w:szCs w:val="21"/>
              </w:rPr>
            </w:pPr>
            <w:r>
              <w:rPr>
                <w:rFonts w:hint="eastAsia" w:ascii="宋体" w:hAnsi="宋体" w:eastAsia="宋体" w:cs="宋体"/>
                <w:color w:val="000000"/>
                <w:kern w:val="0"/>
                <w:szCs w:val="21"/>
                <w:lang w:bidi="ar"/>
              </w:rPr>
              <w:t>企业行业水平及行业口碑</w:t>
            </w:r>
          </w:p>
        </w:tc>
        <w:tc>
          <w:tcPr>
            <w:tcW w:w="7500" w:type="dxa"/>
            <w:gridSpan w:val="6"/>
            <w:vAlign w:val="center"/>
          </w:tcPr>
          <w:p w14:paraId="6FE86123">
            <w:pPr>
              <w:widowControl/>
              <w:jc w:val="left"/>
              <w:rPr>
                <w:rFonts w:hint="eastAsia" w:ascii="宋体" w:hAnsi="宋体" w:eastAsia="宋体" w:cs="宋体"/>
                <w:szCs w:val="21"/>
              </w:rPr>
            </w:pPr>
            <w:r>
              <w:rPr>
                <w:rFonts w:hint="eastAsia" w:ascii="宋体" w:hAnsi="宋体" w:eastAsia="宋体" w:cs="宋体"/>
                <w:kern w:val="0"/>
                <w:szCs w:val="21"/>
                <w:lang w:bidi="ar"/>
              </w:rPr>
              <w:t>　</w:t>
            </w:r>
          </w:p>
        </w:tc>
      </w:tr>
      <w:tr w14:paraId="5E0BB9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49" w:hRule="atLeast"/>
        </w:trPr>
        <w:tc>
          <w:tcPr>
            <w:tcW w:w="1956" w:type="dxa"/>
            <w:vAlign w:val="center"/>
          </w:tcPr>
          <w:p w14:paraId="6F6F56A3">
            <w:pPr>
              <w:widowControl/>
              <w:jc w:val="center"/>
              <w:textAlignment w:val="center"/>
              <w:rPr>
                <w:rFonts w:hint="eastAsia" w:ascii="宋体" w:hAnsi="宋体" w:eastAsia="宋体" w:cs="宋体"/>
                <w:szCs w:val="21"/>
              </w:rPr>
            </w:pPr>
            <w:r>
              <w:rPr>
                <w:rFonts w:ascii="宋体" w:hAnsi="宋体" w:eastAsia="宋体" w:cs="宋体"/>
                <w:spacing w:val="-10"/>
                <w:szCs w:val="21"/>
              </w:rPr>
              <w:t>公</w:t>
            </w:r>
            <w:r>
              <w:rPr>
                <w:rFonts w:ascii="宋体" w:hAnsi="宋体" w:eastAsia="宋体" w:cs="宋体"/>
                <w:spacing w:val="-7"/>
                <w:szCs w:val="21"/>
              </w:rPr>
              <w:t>司</w:t>
            </w:r>
            <w:r>
              <w:rPr>
                <w:rFonts w:ascii="宋体" w:hAnsi="宋体" w:eastAsia="宋体" w:cs="宋体"/>
                <w:spacing w:val="-5"/>
                <w:szCs w:val="21"/>
              </w:rPr>
              <w:t>现有主要研发、</w:t>
            </w:r>
            <w:r>
              <w:rPr>
                <w:rFonts w:ascii="宋体" w:hAnsi="宋体" w:eastAsia="宋体" w:cs="宋体"/>
                <w:szCs w:val="21"/>
              </w:rPr>
              <w:t xml:space="preserve"> </w:t>
            </w:r>
            <w:r>
              <w:rPr>
                <w:rFonts w:ascii="宋体" w:hAnsi="宋体" w:eastAsia="宋体" w:cs="宋体"/>
                <w:spacing w:val="-4"/>
                <w:szCs w:val="21"/>
              </w:rPr>
              <w:t>实</w:t>
            </w:r>
            <w:r>
              <w:rPr>
                <w:rFonts w:ascii="宋体" w:hAnsi="宋体" w:eastAsia="宋体" w:cs="宋体"/>
                <w:spacing w:val="-2"/>
                <w:szCs w:val="21"/>
              </w:rPr>
              <w:t>验、生产设备</w:t>
            </w:r>
          </w:p>
        </w:tc>
        <w:tc>
          <w:tcPr>
            <w:tcW w:w="7500" w:type="dxa"/>
            <w:gridSpan w:val="6"/>
            <w:vAlign w:val="center"/>
          </w:tcPr>
          <w:p w14:paraId="1D5B9910">
            <w:pPr>
              <w:widowControl/>
              <w:jc w:val="left"/>
              <w:rPr>
                <w:rFonts w:hint="eastAsia" w:ascii="宋体" w:hAnsi="宋体" w:eastAsia="宋体" w:cs="宋体"/>
                <w:szCs w:val="21"/>
              </w:rPr>
            </w:pPr>
            <w:r>
              <w:rPr>
                <w:rFonts w:hint="eastAsia" w:ascii="宋体" w:hAnsi="宋体" w:eastAsia="宋体" w:cs="宋体"/>
                <w:kern w:val="0"/>
                <w:szCs w:val="21"/>
                <w:lang w:bidi="ar"/>
              </w:rPr>
              <w:t>　</w:t>
            </w:r>
          </w:p>
        </w:tc>
      </w:tr>
      <w:tr w14:paraId="53ADD1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5" w:hRule="atLeast"/>
        </w:trPr>
        <w:tc>
          <w:tcPr>
            <w:tcW w:w="1956" w:type="dxa"/>
            <w:vAlign w:val="center"/>
          </w:tcPr>
          <w:p w14:paraId="02D38B6B">
            <w:pPr>
              <w:widowControl/>
              <w:jc w:val="center"/>
              <w:textAlignment w:val="center"/>
              <w:rPr>
                <w:rFonts w:hint="eastAsia" w:ascii="宋体" w:hAnsi="宋体" w:eastAsia="宋体" w:cs="宋体"/>
                <w:szCs w:val="21"/>
              </w:rPr>
            </w:pPr>
            <w:r>
              <w:rPr>
                <w:rFonts w:hint="eastAsia" w:ascii="宋体" w:hAnsi="宋体" w:eastAsia="宋体" w:cs="宋体"/>
                <w:kern w:val="0"/>
                <w:szCs w:val="21"/>
                <w:lang w:bidi="ar"/>
              </w:rPr>
              <w:t>近三或五年企业类似业绩及履约情况</w:t>
            </w:r>
          </w:p>
        </w:tc>
        <w:tc>
          <w:tcPr>
            <w:tcW w:w="7500" w:type="dxa"/>
            <w:gridSpan w:val="6"/>
            <w:vAlign w:val="center"/>
          </w:tcPr>
          <w:p w14:paraId="08983ECC">
            <w:pPr>
              <w:widowControl/>
              <w:jc w:val="left"/>
              <w:rPr>
                <w:rFonts w:hint="eastAsia" w:ascii="宋体" w:hAnsi="宋体" w:eastAsia="宋体" w:cs="宋体"/>
                <w:szCs w:val="21"/>
              </w:rPr>
            </w:pPr>
            <w:r>
              <w:rPr>
                <w:rFonts w:hint="eastAsia" w:ascii="宋体" w:hAnsi="宋体" w:eastAsia="宋体" w:cs="宋体"/>
                <w:kern w:val="0"/>
                <w:szCs w:val="21"/>
                <w:lang w:bidi="ar"/>
              </w:rPr>
              <w:t>　</w:t>
            </w:r>
          </w:p>
        </w:tc>
      </w:tr>
      <w:tr w14:paraId="35AB5F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20" w:hRule="atLeast"/>
        </w:trPr>
        <w:tc>
          <w:tcPr>
            <w:tcW w:w="1956" w:type="dxa"/>
            <w:vAlign w:val="center"/>
          </w:tcPr>
          <w:p w14:paraId="4E39F8B7">
            <w:pPr>
              <w:widowControl/>
              <w:jc w:val="center"/>
              <w:textAlignment w:val="center"/>
              <w:rPr>
                <w:rFonts w:hint="eastAsia" w:ascii="宋体" w:hAnsi="宋体" w:eastAsia="宋体" w:cs="宋体"/>
                <w:szCs w:val="21"/>
              </w:rPr>
            </w:pPr>
            <w:r>
              <w:rPr>
                <w:rFonts w:hint="eastAsia" w:ascii="宋体" w:hAnsi="宋体" w:eastAsia="宋体" w:cs="宋体"/>
                <w:kern w:val="0"/>
                <w:szCs w:val="21"/>
                <w:lang w:bidi="ar"/>
              </w:rPr>
              <w:t>售后服务及质量</w:t>
            </w:r>
          </w:p>
        </w:tc>
        <w:tc>
          <w:tcPr>
            <w:tcW w:w="7500" w:type="dxa"/>
            <w:gridSpan w:val="6"/>
            <w:vAlign w:val="center"/>
          </w:tcPr>
          <w:p w14:paraId="210771F4">
            <w:pPr>
              <w:widowControl/>
              <w:jc w:val="left"/>
              <w:rPr>
                <w:rFonts w:hint="eastAsia" w:ascii="宋体" w:hAnsi="宋体" w:eastAsia="宋体" w:cs="宋体"/>
                <w:szCs w:val="21"/>
              </w:rPr>
            </w:pPr>
            <w:r>
              <w:rPr>
                <w:rFonts w:hint="eastAsia" w:ascii="宋体" w:hAnsi="宋体" w:eastAsia="宋体" w:cs="宋体"/>
                <w:kern w:val="0"/>
                <w:szCs w:val="21"/>
                <w:lang w:bidi="ar"/>
              </w:rPr>
              <w:t>　</w:t>
            </w:r>
          </w:p>
        </w:tc>
      </w:tr>
      <w:tr w14:paraId="7A27B8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20" w:hRule="atLeast"/>
        </w:trPr>
        <w:tc>
          <w:tcPr>
            <w:tcW w:w="1956" w:type="dxa"/>
            <w:vAlign w:val="center"/>
          </w:tcPr>
          <w:p w14:paraId="0A7E849D">
            <w:pPr>
              <w:widowControl/>
              <w:textAlignment w:val="center"/>
              <w:rPr>
                <w:rFonts w:hint="eastAsia" w:ascii="宋体" w:hAnsi="宋体" w:eastAsia="宋体" w:cs="宋体"/>
                <w:kern w:val="0"/>
                <w:szCs w:val="21"/>
                <w:lang w:bidi="ar"/>
              </w:rPr>
            </w:pPr>
            <w:r>
              <w:rPr>
                <w:rFonts w:ascii="宋体" w:hAnsi="宋体" w:eastAsia="宋体" w:cs="宋体"/>
                <w:spacing w:val="-4"/>
                <w:szCs w:val="21"/>
              </w:rPr>
              <w:t>对本项目在设计、制造、进度、财务等方面采取的组织措施和相</w:t>
            </w:r>
            <w:r>
              <w:rPr>
                <w:rFonts w:ascii="宋体" w:hAnsi="宋体" w:eastAsia="宋体" w:cs="宋体"/>
                <w:spacing w:val="-2"/>
                <w:szCs w:val="21"/>
              </w:rPr>
              <w:t>关</w:t>
            </w:r>
            <w:r>
              <w:rPr>
                <w:rFonts w:ascii="宋体" w:hAnsi="宋体" w:eastAsia="宋体" w:cs="宋体"/>
                <w:spacing w:val="-3"/>
                <w:szCs w:val="21"/>
              </w:rPr>
              <w:t>人</w:t>
            </w:r>
            <w:r>
              <w:rPr>
                <w:rFonts w:ascii="宋体" w:hAnsi="宋体" w:eastAsia="宋体" w:cs="宋体"/>
                <w:spacing w:val="-2"/>
                <w:szCs w:val="21"/>
              </w:rPr>
              <w:t>员简介</w:t>
            </w:r>
          </w:p>
        </w:tc>
        <w:tc>
          <w:tcPr>
            <w:tcW w:w="7500" w:type="dxa"/>
            <w:gridSpan w:val="6"/>
            <w:vAlign w:val="center"/>
          </w:tcPr>
          <w:p w14:paraId="32B23854">
            <w:pPr>
              <w:widowControl/>
              <w:jc w:val="left"/>
              <w:rPr>
                <w:rFonts w:hint="eastAsia" w:ascii="宋体" w:hAnsi="宋体" w:eastAsia="宋体" w:cs="宋体"/>
                <w:kern w:val="0"/>
                <w:szCs w:val="21"/>
                <w:lang w:bidi="ar"/>
              </w:rPr>
            </w:pPr>
          </w:p>
        </w:tc>
      </w:tr>
    </w:tbl>
    <w:p w14:paraId="60D6F868">
      <w:pPr>
        <w:pStyle w:val="20"/>
        <w:rPr>
          <w:rFonts w:ascii="Times New Roman" w:hAnsi="Times New Roman" w:eastAsia="宋体" w:cs="Times New Roman"/>
          <w:b/>
          <w:bCs/>
          <w:color w:val="000000"/>
          <w:sz w:val="24"/>
          <w:szCs w:val="24"/>
        </w:rPr>
      </w:pPr>
    </w:p>
    <w:p w14:paraId="320486B9">
      <w:pPr>
        <w:pStyle w:val="20"/>
        <w:rPr>
          <w:rFonts w:ascii="Times New Roman" w:hAnsi="Times New Roman" w:eastAsia="宋体" w:cs="Times New Roman"/>
          <w:b/>
          <w:bCs/>
          <w:color w:val="000000"/>
          <w:sz w:val="24"/>
          <w:szCs w:val="24"/>
        </w:rPr>
      </w:pPr>
    </w:p>
    <w:p w14:paraId="72B131FC">
      <w:pPr>
        <w:pStyle w:val="20"/>
        <w:rPr>
          <w:rFonts w:ascii="Times New Roman" w:hAnsi="Times New Roman" w:eastAsia="宋体" w:cs="Times New Roman"/>
          <w:b/>
          <w:bCs/>
          <w:color w:val="000000"/>
          <w:sz w:val="24"/>
          <w:szCs w:val="24"/>
        </w:rPr>
      </w:pPr>
    </w:p>
    <w:p w14:paraId="12D77507">
      <w:pPr>
        <w:pStyle w:val="20"/>
        <w:rPr>
          <w:rFonts w:ascii="Times New Roman" w:hAnsi="Times New Roman" w:eastAsia="宋体" w:cs="Times New Roman"/>
          <w:b/>
          <w:bCs/>
          <w:color w:val="000000"/>
          <w:sz w:val="24"/>
          <w:szCs w:val="24"/>
        </w:rPr>
      </w:pPr>
    </w:p>
    <w:p w14:paraId="6EB15758">
      <w:pPr>
        <w:pStyle w:val="20"/>
        <w:rPr>
          <w:rFonts w:ascii="Times New Roman" w:hAnsi="Times New Roman" w:eastAsia="宋体" w:cs="Times New Roman"/>
          <w:b/>
          <w:bCs/>
          <w:color w:val="000000"/>
          <w:sz w:val="24"/>
          <w:szCs w:val="24"/>
        </w:rPr>
      </w:pPr>
    </w:p>
    <w:p w14:paraId="2470C7F3">
      <w:pPr>
        <w:pStyle w:val="20"/>
        <w:rPr>
          <w:rFonts w:ascii="Times New Roman" w:hAnsi="Times New Roman" w:eastAsia="宋体" w:cs="Times New Roman"/>
          <w:b/>
          <w:bCs/>
          <w:color w:val="000000"/>
          <w:sz w:val="24"/>
          <w:szCs w:val="24"/>
        </w:rPr>
      </w:pPr>
    </w:p>
    <w:p w14:paraId="15B38E38">
      <w:pPr>
        <w:pStyle w:val="20"/>
        <w:rPr>
          <w:rFonts w:ascii="Times New Roman" w:hAnsi="Times New Roman" w:eastAsia="宋体" w:cs="Times New Roman"/>
          <w:b/>
          <w:bCs/>
          <w:color w:val="000000"/>
          <w:sz w:val="24"/>
          <w:szCs w:val="24"/>
        </w:rPr>
      </w:pPr>
    </w:p>
    <w:p w14:paraId="2463C520">
      <w:pPr>
        <w:pStyle w:val="20"/>
        <w:rPr>
          <w:rFonts w:ascii="Times New Roman" w:hAnsi="Times New Roman" w:eastAsia="宋体" w:cs="Times New Roman"/>
          <w:b/>
          <w:bCs/>
          <w:color w:val="000000"/>
          <w:sz w:val="24"/>
          <w:szCs w:val="24"/>
        </w:rPr>
      </w:pPr>
    </w:p>
    <w:p w14:paraId="228E1ABE">
      <w:pPr>
        <w:pStyle w:val="20"/>
        <w:outlineLvl w:val="3"/>
        <w:rPr>
          <w:rFonts w:ascii="Times New Roman" w:hAnsi="Times New Roman" w:eastAsia="宋体" w:cs="Times New Roman"/>
          <w:b/>
          <w:bCs/>
          <w:color w:val="000000"/>
          <w:sz w:val="24"/>
          <w:szCs w:val="24"/>
        </w:rPr>
      </w:pPr>
      <w:r>
        <w:rPr>
          <w:rFonts w:hAnsi="宋体" w:eastAsia="宋体" w:cs="宋体"/>
          <w:spacing w:val="-9"/>
          <w:sz w:val="24"/>
          <w:szCs w:val="24"/>
          <w14:textOutline w14:w="4356" w14:cap="flat" w14:cmpd="sng" w14:algn="ctr">
            <w14:solidFill>
              <w14:srgbClr w14:val="000000"/>
            </w14:solidFill>
            <w14:prstDash w14:val="solid"/>
            <w14:miter w14:val="0"/>
          </w14:textOutline>
        </w:rPr>
        <w:t>表</w:t>
      </w:r>
      <w:r>
        <w:rPr>
          <w:rFonts w:hAnsi="宋体" w:eastAsia="宋体" w:cs="宋体"/>
          <w:spacing w:val="-7"/>
          <w:sz w:val="24"/>
          <w:szCs w:val="24"/>
        </w:rPr>
        <w:t xml:space="preserve"> </w:t>
      </w:r>
      <w:r>
        <w:rPr>
          <w:rFonts w:hAnsi="宋体" w:eastAsia="宋体" w:cs="宋体"/>
          <w:spacing w:val="-7"/>
          <w:sz w:val="24"/>
          <w:szCs w:val="24"/>
          <w14:textOutline w14:w="4356" w14:cap="flat" w14:cmpd="sng" w14:algn="ctr">
            <w14:solidFill>
              <w14:srgbClr w14:val="000000"/>
            </w14:solidFill>
            <w14:prstDash w14:val="solid"/>
            <w14:miter w14:val="0"/>
          </w14:textOutline>
        </w:rPr>
        <w:t>2</w:t>
      </w:r>
      <w:r>
        <w:rPr>
          <w:rFonts w:hint="eastAsia" w:hAnsi="宋体" w:eastAsia="宋体" w:cs="宋体"/>
          <w:spacing w:val="-7"/>
          <w:sz w:val="24"/>
          <w:szCs w:val="24"/>
          <w14:textOutline w14:w="4356" w14:cap="flat" w14:cmpd="sng" w14:algn="ctr">
            <w14:solidFill>
              <w14:srgbClr w14:val="000000"/>
            </w14:solidFill>
            <w14:prstDash w14:val="solid"/>
            <w14:miter w14:val="0"/>
          </w14:textOutline>
        </w:rPr>
        <w:t xml:space="preserve"> </w:t>
      </w:r>
      <w:r>
        <w:rPr>
          <w:rFonts w:hint="eastAsia" w:ascii="Times New Roman" w:hAnsi="Times New Roman" w:eastAsia="宋体" w:cs="Times New Roman"/>
          <w:b/>
          <w:bCs/>
          <w:color w:val="000000"/>
          <w:sz w:val="24"/>
          <w:szCs w:val="24"/>
        </w:rPr>
        <w:t>资产情况汇总表</w:t>
      </w:r>
    </w:p>
    <w:p w14:paraId="40A4B4C1">
      <w:pPr>
        <w:pStyle w:val="20"/>
        <w:rPr>
          <w:rFonts w:ascii="Times New Roman" w:hAnsi="Times New Roman" w:eastAsia="宋体" w:cs="Times New Roman"/>
          <w:b/>
          <w:bCs/>
          <w:color w:val="000000"/>
          <w:sz w:val="24"/>
          <w:szCs w:val="24"/>
        </w:rPr>
      </w:pPr>
    </w:p>
    <w:tbl>
      <w:tblPr>
        <w:tblStyle w:val="4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584"/>
        <w:gridCol w:w="1287"/>
        <w:gridCol w:w="1288"/>
        <w:gridCol w:w="1290"/>
      </w:tblGrid>
      <w:tr w14:paraId="514A58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8449" w:type="dxa"/>
            <w:gridSpan w:val="4"/>
            <w:vAlign w:val="center"/>
          </w:tcPr>
          <w:p w14:paraId="09B71FC4">
            <w:pPr>
              <w:spacing w:line="440" w:lineRule="exact"/>
              <w:jc w:val="center"/>
              <w:rPr>
                <w:rFonts w:hint="eastAsia" w:ascii="宋体" w:hAnsi="宋体"/>
                <w:szCs w:val="24"/>
              </w:rPr>
            </w:pPr>
            <w:r>
              <w:rPr>
                <w:rFonts w:ascii="宋体" w:hAnsi="宋体" w:eastAsia="宋体"/>
                <w:color w:val="000000"/>
                <w:sz w:val="24"/>
                <w:szCs w:val="24"/>
                <w:u w:val="single"/>
              </w:rPr>
              <w:t xml:space="preserve">                   </w:t>
            </w:r>
            <w:r>
              <w:rPr>
                <w:rFonts w:hint="eastAsia" w:ascii="宋体" w:hAnsi="宋体" w:eastAsia="宋体"/>
                <w:color w:val="000000"/>
                <w:sz w:val="24"/>
                <w:szCs w:val="24"/>
              </w:rPr>
              <w:t>公司资产情况汇总表</w:t>
            </w:r>
          </w:p>
        </w:tc>
      </w:tr>
      <w:tr w14:paraId="53CC50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2C416053">
            <w:pPr>
              <w:spacing w:line="440" w:lineRule="exact"/>
              <w:jc w:val="center"/>
              <w:rPr>
                <w:rFonts w:hint="eastAsia" w:ascii="宋体" w:hAnsi="宋体"/>
                <w:color w:val="000000"/>
                <w:sz w:val="24"/>
                <w:szCs w:val="24"/>
              </w:rPr>
            </w:pPr>
            <w:r>
              <w:rPr>
                <w:rFonts w:hint="eastAsia" w:ascii="宋体" w:hAnsi="宋体" w:eastAsia="宋体"/>
                <w:color w:val="000000"/>
                <w:sz w:val="24"/>
                <w:szCs w:val="24"/>
              </w:rPr>
              <w:t>注册资金（万元）</w:t>
            </w:r>
          </w:p>
        </w:tc>
        <w:tc>
          <w:tcPr>
            <w:tcW w:w="3865" w:type="dxa"/>
            <w:gridSpan w:val="3"/>
          </w:tcPr>
          <w:p w14:paraId="631911CA">
            <w:pPr>
              <w:spacing w:line="440" w:lineRule="exact"/>
              <w:jc w:val="center"/>
              <w:rPr>
                <w:rFonts w:hint="eastAsia" w:ascii="宋体" w:hAnsi="宋体"/>
                <w:color w:val="000000"/>
                <w:sz w:val="24"/>
                <w:szCs w:val="24"/>
              </w:rPr>
            </w:pPr>
          </w:p>
        </w:tc>
      </w:tr>
      <w:tr w14:paraId="59950C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6041709E">
            <w:pPr>
              <w:spacing w:line="440" w:lineRule="exact"/>
              <w:jc w:val="center"/>
              <w:rPr>
                <w:rFonts w:hint="eastAsia" w:ascii="宋体" w:hAnsi="宋体"/>
                <w:color w:val="000000"/>
                <w:sz w:val="24"/>
                <w:szCs w:val="24"/>
              </w:rPr>
            </w:pPr>
            <w:r>
              <w:rPr>
                <w:rFonts w:ascii="宋体" w:hAnsi="宋体" w:eastAsia="宋体"/>
                <w:color w:val="000000"/>
                <w:sz w:val="24"/>
                <w:szCs w:val="24"/>
              </w:rPr>
              <w:t>实收资金（万元）</w:t>
            </w:r>
          </w:p>
        </w:tc>
        <w:tc>
          <w:tcPr>
            <w:tcW w:w="3865" w:type="dxa"/>
            <w:gridSpan w:val="3"/>
          </w:tcPr>
          <w:p w14:paraId="498A4C11">
            <w:pPr>
              <w:spacing w:line="440" w:lineRule="exact"/>
              <w:jc w:val="center"/>
              <w:rPr>
                <w:rFonts w:hint="eastAsia" w:ascii="宋体" w:hAnsi="宋体"/>
                <w:color w:val="000000"/>
                <w:sz w:val="24"/>
                <w:szCs w:val="24"/>
              </w:rPr>
            </w:pPr>
          </w:p>
        </w:tc>
      </w:tr>
      <w:tr w14:paraId="1E6DA8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461BF25F">
            <w:pPr>
              <w:spacing w:line="440" w:lineRule="exact"/>
              <w:jc w:val="center"/>
              <w:rPr>
                <w:rFonts w:hint="eastAsia" w:ascii="宋体" w:hAnsi="宋体"/>
                <w:color w:val="000000"/>
                <w:sz w:val="24"/>
                <w:szCs w:val="24"/>
              </w:rPr>
            </w:pPr>
            <w:r>
              <w:rPr>
                <w:rFonts w:hint="eastAsia" w:ascii="宋体" w:hAnsi="宋体" w:eastAsia="宋体"/>
                <w:color w:val="000000"/>
                <w:sz w:val="24"/>
                <w:szCs w:val="24"/>
              </w:rPr>
              <w:t>年度资产情况</w:t>
            </w:r>
          </w:p>
        </w:tc>
        <w:tc>
          <w:tcPr>
            <w:tcW w:w="1287" w:type="dxa"/>
            <w:vAlign w:val="center"/>
          </w:tcPr>
          <w:p w14:paraId="392E1029">
            <w:pPr>
              <w:spacing w:line="440" w:lineRule="exact"/>
              <w:jc w:val="center"/>
              <w:rPr>
                <w:rFonts w:hint="eastAsia" w:ascii="宋体" w:hAnsi="宋体"/>
                <w:color w:val="000000"/>
                <w:sz w:val="24"/>
                <w:szCs w:val="24"/>
              </w:rPr>
            </w:pPr>
            <w:r>
              <w:rPr>
                <w:rFonts w:hint="eastAsia" w:ascii="宋体" w:hAnsi="宋体" w:eastAsia="宋体"/>
                <w:color w:val="000000"/>
                <w:sz w:val="24"/>
                <w:szCs w:val="24"/>
              </w:rPr>
              <w:t>2022年</w:t>
            </w:r>
          </w:p>
        </w:tc>
        <w:tc>
          <w:tcPr>
            <w:tcW w:w="1288" w:type="dxa"/>
            <w:vAlign w:val="center"/>
          </w:tcPr>
          <w:p w14:paraId="372ED315">
            <w:pPr>
              <w:spacing w:line="440" w:lineRule="exact"/>
              <w:jc w:val="center"/>
              <w:rPr>
                <w:rFonts w:hint="eastAsia" w:ascii="宋体" w:hAnsi="宋体"/>
                <w:color w:val="000000"/>
                <w:sz w:val="24"/>
                <w:szCs w:val="24"/>
              </w:rPr>
            </w:pPr>
            <w:r>
              <w:rPr>
                <w:rFonts w:hint="eastAsia" w:ascii="宋体" w:hAnsi="宋体" w:eastAsia="宋体"/>
                <w:color w:val="000000"/>
                <w:sz w:val="24"/>
                <w:szCs w:val="24"/>
              </w:rPr>
              <w:t>2023年</w:t>
            </w:r>
          </w:p>
        </w:tc>
        <w:tc>
          <w:tcPr>
            <w:tcW w:w="1288" w:type="dxa"/>
            <w:vAlign w:val="center"/>
          </w:tcPr>
          <w:p w14:paraId="1A648C78">
            <w:pPr>
              <w:spacing w:line="440" w:lineRule="exact"/>
              <w:jc w:val="center"/>
              <w:rPr>
                <w:rFonts w:hint="eastAsia" w:ascii="宋体" w:hAnsi="宋体"/>
                <w:color w:val="000000"/>
                <w:sz w:val="24"/>
                <w:szCs w:val="24"/>
              </w:rPr>
            </w:pPr>
            <w:r>
              <w:rPr>
                <w:rFonts w:hint="eastAsia" w:ascii="宋体" w:hAnsi="宋体" w:eastAsia="宋体"/>
                <w:color w:val="000000"/>
                <w:sz w:val="24"/>
                <w:szCs w:val="24"/>
              </w:rPr>
              <w:t>2024年</w:t>
            </w:r>
          </w:p>
        </w:tc>
      </w:tr>
      <w:tr w14:paraId="3C66BE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6FD85108">
            <w:pPr>
              <w:spacing w:line="440" w:lineRule="exact"/>
              <w:jc w:val="center"/>
              <w:rPr>
                <w:rFonts w:hint="eastAsia" w:ascii="宋体" w:hAnsi="宋体"/>
                <w:color w:val="000000"/>
                <w:sz w:val="24"/>
                <w:szCs w:val="24"/>
              </w:rPr>
            </w:pPr>
            <w:r>
              <w:rPr>
                <w:rFonts w:hint="eastAsia" w:ascii="宋体" w:hAnsi="宋体" w:eastAsia="宋体"/>
                <w:color w:val="000000"/>
                <w:sz w:val="24"/>
                <w:szCs w:val="24"/>
              </w:rPr>
              <w:t>流动资产（万元）</w:t>
            </w:r>
          </w:p>
        </w:tc>
        <w:tc>
          <w:tcPr>
            <w:tcW w:w="1287" w:type="dxa"/>
          </w:tcPr>
          <w:p w14:paraId="58A98595">
            <w:pPr>
              <w:spacing w:line="440" w:lineRule="exact"/>
              <w:jc w:val="center"/>
              <w:rPr>
                <w:rFonts w:hint="eastAsia" w:ascii="宋体" w:hAnsi="宋体"/>
                <w:color w:val="000000"/>
                <w:sz w:val="24"/>
                <w:szCs w:val="24"/>
              </w:rPr>
            </w:pPr>
          </w:p>
        </w:tc>
        <w:tc>
          <w:tcPr>
            <w:tcW w:w="1288" w:type="dxa"/>
          </w:tcPr>
          <w:p w14:paraId="7A7691B2">
            <w:pPr>
              <w:spacing w:line="440" w:lineRule="exact"/>
              <w:jc w:val="center"/>
              <w:rPr>
                <w:rFonts w:hint="eastAsia" w:ascii="宋体" w:hAnsi="宋体"/>
                <w:color w:val="000000"/>
                <w:sz w:val="24"/>
                <w:szCs w:val="24"/>
              </w:rPr>
            </w:pPr>
          </w:p>
        </w:tc>
        <w:tc>
          <w:tcPr>
            <w:tcW w:w="1288" w:type="dxa"/>
          </w:tcPr>
          <w:p w14:paraId="31C0616F">
            <w:pPr>
              <w:spacing w:line="440" w:lineRule="exact"/>
              <w:jc w:val="center"/>
              <w:rPr>
                <w:rFonts w:hint="eastAsia" w:ascii="宋体" w:hAnsi="宋体"/>
                <w:color w:val="000000"/>
                <w:sz w:val="24"/>
                <w:szCs w:val="24"/>
              </w:rPr>
            </w:pPr>
          </w:p>
        </w:tc>
      </w:tr>
      <w:tr w14:paraId="7825FE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4C9DC923">
            <w:pPr>
              <w:spacing w:line="440" w:lineRule="exact"/>
              <w:jc w:val="center"/>
              <w:rPr>
                <w:rFonts w:hint="eastAsia" w:ascii="宋体" w:hAnsi="宋体"/>
                <w:color w:val="000000"/>
                <w:sz w:val="24"/>
                <w:szCs w:val="24"/>
              </w:rPr>
            </w:pPr>
            <w:r>
              <w:rPr>
                <w:rFonts w:hint="eastAsia" w:ascii="宋体" w:hAnsi="宋体" w:eastAsia="宋体"/>
                <w:color w:val="000000"/>
                <w:sz w:val="24"/>
                <w:szCs w:val="24"/>
              </w:rPr>
              <w:t>非流动资产（万元）</w:t>
            </w:r>
          </w:p>
        </w:tc>
        <w:tc>
          <w:tcPr>
            <w:tcW w:w="1287" w:type="dxa"/>
          </w:tcPr>
          <w:p w14:paraId="5C3A116A">
            <w:pPr>
              <w:spacing w:line="440" w:lineRule="exact"/>
              <w:jc w:val="center"/>
              <w:rPr>
                <w:rFonts w:hint="eastAsia" w:ascii="宋体" w:hAnsi="宋体"/>
                <w:color w:val="000000"/>
                <w:sz w:val="24"/>
                <w:szCs w:val="24"/>
              </w:rPr>
            </w:pPr>
          </w:p>
        </w:tc>
        <w:tc>
          <w:tcPr>
            <w:tcW w:w="1288" w:type="dxa"/>
          </w:tcPr>
          <w:p w14:paraId="3ABAF736">
            <w:pPr>
              <w:spacing w:line="440" w:lineRule="exact"/>
              <w:jc w:val="center"/>
              <w:rPr>
                <w:rFonts w:hint="eastAsia" w:ascii="宋体" w:hAnsi="宋体"/>
                <w:color w:val="000000"/>
                <w:sz w:val="24"/>
                <w:szCs w:val="24"/>
              </w:rPr>
            </w:pPr>
          </w:p>
        </w:tc>
        <w:tc>
          <w:tcPr>
            <w:tcW w:w="1288" w:type="dxa"/>
          </w:tcPr>
          <w:p w14:paraId="31AA9514">
            <w:pPr>
              <w:spacing w:line="440" w:lineRule="exact"/>
              <w:jc w:val="center"/>
              <w:rPr>
                <w:rFonts w:hint="eastAsia" w:ascii="宋体" w:hAnsi="宋体"/>
                <w:color w:val="000000"/>
                <w:sz w:val="24"/>
                <w:szCs w:val="24"/>
              </w:rPr>
            </w:pPr>
          </w:p>
        </w:tc>
      </w:tr>
      <w:tr w14:paraId="08680F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64A247D9">
            <w:pPr>
              <w:spacing w:line="440" w:lineRule="exact"/>
              <w:jc w:val="center"/>
              <w:rPr>
                <w:rFonts w:hint="eastAsia" w:ascii="宋体" w:hAnsi="宋体"/>
                <w:color w:val="000000"/>
                <w:sz w:val="24"/>
                <w:szCs w:val="24"/>
              </w:rPr>
            </w:pPr>
            <w:r>
              <w:rPr>
                <w:rFonts w:hint="eastAsia" w:ascii="宋体" w:hAnsi="宋体" w:eastAsia="宋体"/>
                <w:color w:val="000000"/>
                <w:sz w:val="24"/>
                <w:szCs w:val="24"/>
              </w:rPr>
              <w:t>营业收入（万元）</w:t>
            </w:r>
          </w:p>
        </w:tc>
        <w:tc>
          <w:tcPr>
            <w:tcW w:w="1287" w:type="dxa"/>
          </w:tcPr>
          <w:p w14:paraId="40AB42B3">
            <w:pPr>
              <w:spacing w:line="440" w:lineRule="exact"/>
              <w:jc w:val="center"/>
              <w:rPr>
                <w:rFonts w:hint="eastAsia" w:ascii="宋体" w:hAnsi="宋体"/>
                <w:color w:val="000000"/>
                <w:sz w:val="24"/>
                <w:szCs w:val="24"/>
              </w:rPr>
            </w:pPr>
          </w:p>
        </w:tc>
        <w:tc>
          <w:tcPr>
            <w:tcW w:w="1288" w:type="dxa"/>
          </w:tcPr>
          <w:p w14:paraId="052A91F7">
            <w:pPr>
              <w:spacing w:line="440" w:lineRule="exact"/>
              <w:jc w:val="center"/>
              <w:rPr>
                <w:rFonts w:hint="eastAsia" w:ascii="宋体" w:hAnsi="宋体"/>
                <w:color w:val="000000"/>
                <w:sz w:val="24"/>
                <w:szCs w:val="24"/>
              </w:rPr>
            </w:pPr>
          </w:p>
        </w:tc>
        <w:tc>
          <w:tcPr>
            <w:tcW w:w="1288" w:type="dxa"/>
          </w:tcPr>
          <w:p w14:paraId="4D2E6867">
            <w:pPr>
              <w:spacing w:line="440" w:lineRule="exact"/>
              <w:jc w:val="center"/>
              <w:rPr>
                <w:rFonts w:hint="eastAsia" w:ascii="宋体" w:hAnsi="宋体"/>
                <w:color w:val="000000"/>
                <w:sz w:val="24"/>
                <w:szCs w:val="24"/>
              </w:rPr>
            </w:pPr>
          </w:p>
        </w:tc>
      </w:tr>
      <w:tr w14:paraId="1ED8EA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1B2E855E">
            <w:pPr>
              <w:spacing w:line="440" w:lineRule="exact"/>
              <w:jc w:val="center"/>
              <w:rPr>
                <w:rFonts w:hint="eastAsia" w:ascii="宋体" w:hAnsi="宋体"/>
                <w:color w:val="000000"/>
                <w:sz w:val="24"/>
                <w:szCs w:val="24"/>
              </w:rPr>
            </w:pPr>
            <w:r>
              <w:rPr>
                <w:rFonts w:hint="eastAsia" w:ascii="宋体" w:hAnsi="宋体" w:eastAsia="宋体"/>
                <w:color w:val="000000"/>
                <w:sz w:val="24"/>
                <w:szCs w:val="24"/>
              </w:rPr>
              <w:t>年底资产总值（万元）</w:t>
            </w:r>
          </w:p>
        </w:tc>
        <w:tc>
          <w:tcPr>
            <w:tcW w:w="1287" w:type="dxa"/>
          </w:tcPr>
          <w:p w14:paraId="62BF23FD">
            <w:pPr>
              <w:spacing w:line="440" w:lineRule="exact"/>
              <w:jc w:val="center"/>
              <w:rPr>
                <w:rFonts w:hint="eastAsia" w:ascii="宋体" w:hAnsi="宋体"/>
                <w:color w:val="000000"/>
                <w:sz w:val="24"/>
                <w:szCs w:val="24"/>
              </w:rPr>
            </w:pPr>
          </w:p>
        </w:tc>
        <w:tc>
          <w:tcPr>
            <w:tcW w:w="1288" w:type="dxa"/>
          </w:tcPr>
          <w:p w14:paraId="59D48DA1">
            <w:pPr>
              <w:spacing w:line="440" w:lineRule="exact"/>
              <w:jc w:val="center"/>
              <w:rPr>
                <w:rFonts w:hint="eastAsia" w:ascii="宋体" w:hAnsi="宋体"/>
                <w:color w:val="000000"/>
                <w:sz w:val="24"/>
                <w:szCs w:val="24"/>
              </w:rPr>
            </w:pPr>
          </w:p>
        </w:tc>
        <w:tc>
          <w:tcPr>
            <w:tcW w:w="1288" w:type="dxa"/>
          </w:tcPr>
          <w:p w14:paraId="4A4A48D5">
            <w:pPr>
              <w:spacing w:line="440" w:lineRule="exact"/>
              <w:jc w:val="center"/>
              <w:rPr>
                <w:rFonts w:hint="eastAsia" w:ascii="宋体" w:hAnsi="宋体"/>
                <w:color w:val="000000"/>
                <w:sz w:val="24"/>
                <w:szCs w:val="24"/>
              </w:rPr>
            </w:pPr>
          </w:p>
        </w:tc>
      </w:tr>
      <w:tr w14:paraId="512030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02989474">
            <w:pPr>
              <w:spacing w:line="440" w:lineRule="exact"/>
              <w:jc w:val="center"/>
              <w:rPr>
                <w:rFonts w:hint="eastAsia" w:ascii="宋体" w:hAnsi="宋体"/>
                <w:color w:val="000000"/>
                <w:sz w:val="24"/>
                <w:szCs w:val="24"/>
              </w:rPr>
            </w:pPr>
            <w:r>
              <w:rPr>
                <w:rFonts w:hint="eastAsia" w:ascii="宋体" w:hAnsi="宋体" w:eastAsia="宋体"/>
                <w:color w:val="000000"/>
                <w:sz w:val="24"/>
                <w:szCs w:val="24"/>
              </w:rPr>
              <w:t>年底负债总值（万元）</w:t>
            </w:r>
          </w:p>
        </w:tc>
        <w:tc>
          <w:tcPr>
            <w:tcW w:w="1287" w:type="dxa"/>
          </w:tcPr>
          <w:p w14:paraId="3283C670">
            <w:pPr>
              <w:spacing w:line="440" w:lineRule="exact"/>
              <w:jc w:val="center"/>
              <w:rPr>
                <w:rFonts w:hint="eastAsia" w:ascii="宋体" w:hAnsi="宋体"/>
                <w:color w:val="000000"/>
                <w:sz w:val="24"/>
                <w:szCs w:val="24"/>
              </w:rPr>
            </w:pPr>
          </w:p>
        </w:tc>
        <w:tc>
          <w:tcPr>
            <w:tcW w:w="1288" w:type="dxa"/>
          </w:tcPr>
          <w:p w14:paraId="0460752F">
            <w:pPr>
              <w:spacing w:line="440" w:lineRule="exact"/>
              <w:jc w:val="center"/>
              <w:rPr>
                <w:rFonts w:hint="eastAsia" w:ascii="宋体" w:hAnsi="宋体"/>
                <w:color w:val="000000"/>
                <w:sz w:val="24"/>
                <w:szCs w:val="24"/>
              </w:rPr>
            </w:pPr>
          </w:p>
        </w:tc>
        <w:tc>
          <w:tcPr>
            <w:tcW w:w="1288" w:type="dxa"/>
          </w:tcPr>
          <w:p w14:paraId="037C42ED">
            <w:pPr>
              <w:spacing w:line="440" w:lineRule="exact"/>
              <w:jc w:val="center"/>
              <w:rPr>
                <w:rFonts w:hint="eastAsia" w:ascii="宋体" w:hAnsi="宋体"/>
                <w:color w:val="000000"/>
                <w:sz w:val="24"/>
                <w:szCs w:val="24"/>
              </w:rPr>
            </w:pPr>
          </w:p>
        </w:tc>
      </w:tr>
      <w:tr w14:paraId="797E93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5AE128A9">
            <w:pPr>
              <w:spacing w:line="440" w:lineRule="exact"/>
              <w:jc w:val="center"/>
              <w:rPr>
                <w:rFonts w:hint="eastAsia" w:ascii="宋体" w:hAnsi="宋体"/>
                <w:color w:val="000000"/>
                <w:sz w:val="24"/>
                <w:szCs w:val="24"/>
              </w:rPr>
            </w:pPr>
            <w:r>
              <w:rPr>
                <w:rFonts w:ascii="宋体" w:hAnsi="宋体" w:eastAsia="宋体"/>
                <w:color w:val="000000"/>
                <w:sz w:val="24"/>
                <w:szCs w:val="24"/>
              </w:rPr>
              <w:t>资产负债率</w:t>
            </w:r>
            <w:r>
              <w:rPr>
                <w:rFonts w:hint="eastAsia" w:ascii="宋体" w:hAnsi="宋体" w:eastAsia="宋体"/>
                <w:color w:val="000000"/>
                <w:sz w:val="24"/>
                <w:szCs w:val="24"/>
              </w:rPr>
              <w:t>（  %）</w:t>
            </w:r>
          </w:p>
        </w:tc>
        <w:tc>
          <w:tcPr>
            <w:tcW w:w="1287" w:type="dxa"/>
          </w:tcPr>
          <w:p w14:paraId="0AE1BA7B">
            <w:pPr>
              <w:spacing w:line="440" w:lineRule="exact"/>
              <w:jc w:val="center"/>
              <w:rPr>
                <w:rFonts w:hint="eastAsia" w:ascii="宋体" w:hAnsi="宋体"/>
                <w:color w:val="000000"/>
                <w:sz w:val="24"/>
                <w:szCs w:val="24"/>
              </w:rPr>
            </w:pPr>
          </w:p>
        </w:tc>
        <w:tc>
          <w:tcPr>
            <w:tcW w:w="1288" w:type="dxa"/>
          </w:tcPr>
          <w:p w14:paraId="10BBC76B">
            <w:pPr>
              <w:spacing w:line="440" w:lineRule="exact"/>
              <w:jc w:val="center"/>
              <w:rPr>
                <w:rFonts w:hint="eastAsia" w:ascii="宋体" w:hAnsi="宋体"/>
                <w:color w:val="000000"/>
                <w:sz w:val="24"/>
                <w:szCs w:val="24"/>
              </w:rPr>
            </w:pPr>
          </w:p>
        </w:tc>
        <w:tc>
          <w:tcPr>
            <w:tcW w:w="1288" w:type="dxa"/>
          </w:tcPr>
          <w:p w14:paraId="0EDE1955">
            <w:pPr>
              <w:spacing w:line="440" w:lineRule="exact"/>
              <w:jc w:val="center"/>
              <w:rPr>
                <w:rFonts w:hint="eastAsia" w:ascii="宋体" w:hAnsi="宋体"/>
                <w:color w:val="000000"/>
                <w:sz w:val="24"/>
                <w:szCs w:val="24"/>
              </w:rPr>
            </w:pPr>
          </w:p>
        </w:tc>
      </w:tr>
      <w:tr w14:paraId="297785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07FF4C84">
            <w:pPr>
              <w:spacing w:line="440" w:lineRule="exact"/>
              <w:jc w:val="center"/>
              <w:rPr>
                <w:rFonts w:hint="eastAsia" w:ascii="宋体" w:hAnsi="宋体"/>
                <w:color w:val="000000"/>
                <w:sz w:val="24"/>
                <w:szCs w:val="24"/>
              </w:rPr>
            </w:pPr>
            <w:r>
              <w:rPr>
                <w:rFonts w:hint="eastAsia" w:ascii="宋体" w:hAnsi="宋体" w:eastAsia="宋体"/>
                <w:color w:val="000000"/>
                <w:sz w:val="24"/>
                <w:szCs w:val="24"/>
              </w:rPr>
              <w:t>净利润（万元）</w:t>
            </w:r>
          </w:p>
        </w:tc>
        <w:tc>
          <w:tcPr>
            <w:tcW w:w="1287" w:type="dxa"/>
          </w:tcPr>
          <w:p w14:paraId="68271913">
            <w:pPr>
              <w:spacing w:line="440" w:lineRule="exact"/>
              <w:jc w:val="center"/>
              <w:rPr>
                <w:rFonts w:hint="eastAsia" w:ascii="宋体" w:hAnsi="宋体"/>
                <w:color w:val="000000"/>
                <w:sz w:val="24"/>
                <w:szCs w:val="24"/>
              </w:rPr>
            </w:pPr>
          </w:p>
        </w:tc>
        <w:tc>
          <w:tcPr>
            <w:tcW w:w="1288" w:type="dxa"/>
          </w:tcPr>
          <w:p w14:paraId="3EF9E5CA">
            <w:pPr>
              <w:spacing w:line="440" w:lineRule="exact"/>
              <w:jc w:val="center"/>
              <w:rPr>
                <w:rFonts w:hint="eastAsia" w:ascii="宋体" w:hAnsi="宋体"/>
                <w:color w:val="000000"/>
                <w:sz w:val="24"/>
                <w:szCs w:val="24"/>
              </w:rPr>
            </w:pPr>
          </w:p>
        </w:tc>
        <w:tc>
          <w:tcPr>
            <w:tcW w:w="1288" w:type="dxa"/>
          </w:tcPr>
          <w:p w14:paraId="13F141D7">
            <w:pPr>
              <w:spacing w:line="440" w:lineRule="exact"/>
              <w:jc w:val="center"/>
              <w:rPr>
                <w:rFonts w:hint="eastAsia" w:ascii="宋体" w:hAnsi="宋体"/>
                <w:color w:val="000000"/>
                <w:sz w:val="24"/>
                <w:szCs w:val="24"/>
              </w:rPr>
            </w:pPr>
          </w:p>
        </w:tc>
      </w:tr>
      <w:tr w14:paraId="799F10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693E339E">
            <w:pPr>
              <w:spacing w:line="440" w:lineRule="exact"/>
              <w:jc w:val="center"/>
              <w:rPr>
                <w:rFonts w:hint="eastAsia" w:ascii="宋体" w:hAnsi="宋体"/>
                <w:color w:val="000000"/>
                <w:sz w:val="24"/>
                <w:szCs w:val="24"/>
              </w:rPr>
            </w:pPr>
            <w:r>
              <w:rPr>
                <w:rFonts w:hint="eastAsia" w:ascii="宋体" w:hAnsi="宋体" w:eastAsia="宋体"/>
                <w:color w:val="000000"/>
                <w:sz w:val="24"/>
                <w:szCs w:val="24"/>
              </w:rPr>
              <w:t>未分配利润（万元）</w:t>
            </w:r>
          </w:p>
        </w:tc>
        <w:tc>
          <w:tcPr>
            <w:tcW w:w="1287" w:type="dxa"/>
          </w:tcPr>
          <w:p w14:paraId="124F2DC9">
            <w:pPr>
              <w:spacing w:line="440" w:lineRule="exact"/>
              <w:jc w:val="center"/>
              <w:rPr>
                <w:rFonts w:hint="eastAsia" w:ascii="宋体" w:hAnsi="宋体"/>
                <w:color w:val="000000"/>
                <w:sz w:val="24"/>
                <w:szCs w:val="24"/>
              </w:rPr>
            </w:pPr>
          </w:p>
        </w:tc>
        <w:tc>
          <w:tcPr>
            <w:tcW w:w="1288" w:type="dxa"/>
          </w:tcPr>
          <w:p w14:paraId="029C3564">
            <w:pPr>
              <w:spacing w:line="440" w:lineRule="exact"/>
              <w:jc w:val="center"/>
              <w:rPr>
                <w:rFonts w:hint="eastAsia" w:ascii="宋体" w:hAnsi="宋体"/>
                <w:color w:val="000000"/>
                <w:sz w:val="24"/>
                <w:szCs w:val="24"/>
              </w:rPr>
            </w:pPr>
          </w:p>
        </w:tc>
        <w:tc>
          <w:tcPr>
            <w:tcW w:w="1288" w:type="dxa"/>
          </w:tcPr>
          <w:p w14:paraId="3DB8E7BD">
            <w:pPr>
              <w:spacing w:line="440" w:lineRule="exact"/>
              <w:jc w:val="center"/>
              <w:rPr>
                <w:rFonts w:hint="eastAsia" w:ascii="宋体" w:hAnsi="宋体"/>
                <w:color w:val="000000"/>
                <w:sz w:val="24"/>
                <w:szCs w:val="24"/>
              </w:rPr>
            </w:pPr>
          </w:p>
        </w:tc>
      </w:tr>
      <w:tr w14:paraId="02EFB0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663BBED9">
            <w:pPr>
              <w:spacing w:line="440" w:lineRule="exact"/>
              <w:jc w:val="center"/>
              <w:rPr>
                <w:rFonts w:hint="eastAsia" w:ascii="宋体" w:hAnsi="宋体"/>
                <w:color w:val="000000"/>
                <w:sz w:val="24"/>
                <w:szCs w:val="24"/>
              </w:rPr>
            </w:pPr>
            <w:r>
              <w:rPr>
                <w:rFonts w:hint="eastAsia" w:ascii="宋体" w:hAnsi="宋体" w:eastAsia="宋体"/>
                <w:color w:val="000000"/>
                <w:sz w:val="24"/>
                <w:szCs w:val="24"/>
              </w:rPr>
              <w:t>营运</w:t>
            </w:r>
            <w:r>
              <w:rPr>
                <w:rFonts w:ascii="宋体" w:hAnsi="宋体" w:eastAsia="宋体"/>
                <w:color w:val="000000"/>
                <w:sz w:val="24"/>
                <w:szCs w:val="24"/>
              </w:rPr>
              <w:t>资</w:t>
            </w:r>
            <w:r>
              <w:rPr>
                <w:rFonts w:hint="eastAsia" w:ascii="宋体" w:hAnsi="宋体" w:eastAsia="宋体"/>
                <w:color w:val="000000"/>
                <w:sz w:val="24"/>
                <w:szCs w:val="24"/>
              </w:rPr>
              <w:t>金</w:t>
            </w:r>
          </w:p>
        </w:tc>
        <w:tc>
          <w:tcPr>
            <w:tcW w:w="1287" w:type="dxa"/>
          </w:tcPr>
          <w:p w14:paraId="1D156F77">
            <w:pPr>
              <w:spacing w:line="440" w:lineRule="exact"/>
              <w:jc w:val="center"/>
              <w:rPr>
                <w:rFonts w:hint="eastAsia" w:ascii="宋体" w:hAnsi="宋体"/>
                <w:color w:val="000000"/>
                <w:sz w:val="24"/>
                <w:szCs w:val="24"/>
              </w:rPr>
            </w:pPr>
          </w:p>
        </w:tc>
        <w:tc>
          <w:tcPr>
            <w:tcW w:w="1288" w:type="dxa"/>
          </w:tcPr>
          <w:p w14:paraId="5A61D988">
            <w:pPr>
              <w:spacing w:line="440" w:lineRule="exact"/>
              <w:jc w:val="center"/>
              <w:rPr>
                <w:rFonts w:hint="eastAsia" w:ascii="宋体" w:hAnsi="宋体"/>
                <w:color w:val="000000"/>
                <w:sz w:val="24"/>
                <w:szCs w:val="24"/>
              </w:rPr>
            </w:pPr>
          </w:p>
        </w:tc>
        <w:tc>
          <w:tcPr>
            <w:tcW w:w="1288" w:type="dxa"/>
          </w:tcPr>
          <w:p w14:paraId="76E3242C">
            <w:pPr>
              <w:spacing w:line="440" w:lineRule="exact"/>
              <w:jc w:val="center"/>
              <w:rPr>
                <w:rFonts w:hint="eastAsia" w:ascii="宋体" w:hAnsi="宋体"/>
                <w:color w:val="000000"/>
                <w:sz w:val="24"/>
                <w:szCs w:val="24"/>
              </w:rPr>
            </w:pPr>
          </w:p>
        </w:tc>
      </w:tr>
      <w:tr w14:paraId="0BEE73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4045D841">
            <w:pPr>
              <w:spacing w:line="440" w:lineRule="exact"/>
              <w:jc w:val="center"/>
              <w:rPr>
                <w:rFonts w:hint="eastAsia" w:ascii="宋体" w:hAnsi="宋体"/>
                <w:color w:val="000000"/>
                <w:sz w:val="24"/>
                <w:szCs w:val="24"/>
              </w:rPr>
            </w:pPr>
            <w:r>
              <w:rPr>
                <w:rFonts w:hint="eastAsia" w:ascii="宋体" w:hAnsi="宋体" w:eastAsia="宋体"/>
                <w:color w:val="000000"/>
                <w:sz w:val="24"/>
                <w:szCs w:val="24"/>
              </w:rPr>
              <w:t>（本年营业收入-上年营业收入）÷上年营业收入</w:t>
            </w:r>
          </w:p>
        </w:tc>
        <w:tc>
          <w:tcPr>
            <w:tcW w:w="1287" w:type="dxa"/>
          </w:tcPr>
          <w:p w14:paraId="52861AC5">
            <w:pPr>
              <w:spacing w:line="440" w:lineRule="exact"/>
              <w:jc w:val="center"/>
              <w:rPr>
                <w:rFonts w:hint="eastAsia" w:ascii="宋体" w:hAnsi="宋体"/>
                <w:color w:val="000000"/>
                <w:sz w:val="24"/>
                <w:szCs w:val="24"/>
              </w:rPr>
            </w:pPr>
          </w:p>
        </w:tc>
        <w:tc>
          <w:tcPr>
            <w:tcW w:w="1288" w:type="dxa"/>
          </w:tcPr>
          <w:p w14:paraId="7DBDCA49">
            <w:pPr>
              <w:spacing w:line="440" w:lineRule="exact"/>
              <w:jc w:val="center"/>
              <w:rPr>
                <w:rFonts w:hint="eastAsia" w:ascii="宋体" w:hAnsi="宋体"/>
                <w:color w:val="000000"/>
                <w:sz w:val="24"/>
                <w:szCs w:val="24"/>
              </w:rPr>
            </w:pPr>
          </w:p>
        </w:tc>
        <w:tc>
          <w:tcPr>
            <w:tcW w:w="1288" w:type="dxa"/>
          </w:tcPr>
          <w:p w14:paraId="750640BC">
            <w:pPr>
              <w:spacing w:line="440" w:lineRule="exact"/>
              <w:jc w:val="center"/>
              <w:rPr>
                <w:rFonts w:hint="eastAsia" w:ascii="宋体" w:hAnsi="宋体"/>
                <w:color w:val="000000"/>
                <w:sz w:val="24"/>
                <w:szCs w:val="24"/>
              </w:rPr>
            </w:pPr>
          </w:p>
        </w:tc>
      </w:tr>
    </w:tbl>
    <w:p w14:paraId="55E4AF50">
      <w:pPr>
        <w:spacing w:line="660" w:lineRule="exact"/>
        <w:ind w:firstLine="240" w:firstLineChars="100"/>
        <w:rPr>
          <w:rFonts w:ascii="宋体" w:hAnsi="Calibri" w:eastAsia="宋体" w:cs="Times New Roman"/>
          <w:sz w:val="24"/>
          <w:szCs w:val="20"/>
        </w:rPr>
      </w:pPr>
      <w:r>
        <w:rPr>
          <w:rFonts w:hint="eastAsia" w:ascii="宋体" w:hAnsi="宋体" w:eastAsia="宋体" w:cs="Times New Roman"/>
          <w:sz w:val="24"/>
          <w:szCs w:val="20"/>
        </w:rPr>
        <w:t>投标人：（盖章）</w:t>
      </w:r>
    </w:p>
    <w:p w14:paraId="41267A50">
      <w:pPr>
        <w:spacing w:line="660" w:lineRule="exact"/>
        <w:ind w:firstLine="240" w:firstLineChars="100"/>
        <w:rPr>
          <w:rFonts w:ascii="宋体" w:hAnsi="Calibri" w:eastAsia="宋体" w:cs="Times New Roman"/>
          <w:sz w:val="24"/>
          <w:szCs w:val="20"/>
        </w:rPr>
      </w:pPr>
      <w:r>
        <w:rPr>
          <w:rFonts w:hint="eastAsia" w:ascii="宋体" w:hAnsi="宋体" w:eastAsia="宋体" w:cs="Times New Roman"/>
          <w:sz w:val="24"/>
          <w:szCs w:val="20"/>
        </w:rPr>
        <w:t>法定代表人（委托代理人）：（签字）</w:t>
      </w:r>
    </w:p>
    <w:p w14:paraId="7C2F1844">
      <w:pPr>
        <w:spacing w:line="660" w:lineRule="exact"/>
        <w:ind w:firstLine="240" w:firstLineChars="100"/>
        <w:rPr>
          <w:rFonts w:ascii="宋体" w:hAnsi="Calibri" w:eastAsia="宋体" w:cs="Times New Roman"/>
          <w:sz w:val="24"/>
          <w:szCs w:val="20"/>
        </w:rPr>
      </w:pPr>
      <w:r>
        <w:rPr>
          <w:rFonts w:hint="eastAsia" w:ascii="宋体" w:hAnsi="宋体" w:eastAsia="宋体" w:cs="Times New Roman"/>
          <w:sz w:val="24"/>
          <w:szCs w:val="20"/>
        </w:rPr>
        <w:t>日</w:t>
      </w:r>
      <w:r>
        <w:rPr>
          <w:rFonts w:ascii="宋体" w:hAnsi="宋体" w:eastAsia="宋体" w:cs="Times New Roman"/>
          <w:sz w:val="24"/>
          <w:szCs w:val="20"/>
        </w:rPr>
        <w:t xml:space="preserve">  </w:t>
      </w:r>
      <w:r>
        <w:rPr>
          <w:rFonts w:hint="eastAsia" w:ascii="宋体" w:hAnsi="宋体" w:eastAsia="宋体" w:cs="Times New Roman"/>
          <w:sz w:val="24"/>
          <w:szCs w:val="20"/>
        </w:rPr>
        <w:t>期：</w:t>
      </w:r>
      <w:r>
        <w:rPr>
          <w:rFonts w:ascii="宋体" w:hAnsi="宋体" w:eastAsia="宋体" w:cs="Times New Roman"/>
          <w:sz w:val="24"/>
          <w:szCs w:val="20"/>
          <w:u w:val="single"/>
        </w:rPr>
        <w:t xml:space="preserve">       </w:t>
      </w:r>
      <w:r>
        <w:rPr>
          <w:rFonts w:hint="eastAsia" w:ascii="宋体" w:hAnsi="宋体" w:eastAsia="宋体" w:cs="Times New Roman"/>
          <w:sz w:val="24"/>
          <w:szCs w:val="20"/>
        </w:rPr>
        <w:t>年</w:t>
      </w:r>
      <w:r>
        <w:rPr>
          <w:rFonts w:ascii="宋体" w:hAnsi="宋体" w:eastAsia="宋体" w:cs="Times New Roman"/>
          <w:sz w:val="24"/>
          <w:szCs w:val="20"/>
          <w:u w:val="single"/>
        </w:rPr>
        <w:t xml:space="preserve">    </w:t>
      </w:r>
      <w:r>
        <w:rPr>
          <w:rFonts w:hint="eastAsia" w:ascii="宋体" w:hAnsi="宋体" w:eastAsia="宋体" w:cs="Times New Roman"/>
          <w:sz w:val="24"/>
          <w:szCs w:val="20"/>
        </w:rPr>
        <w:t>月</w:t>
      </w:r>
      <w:r>
        <w:rPr>
          <w:rFonts w:ascii="宋体" w:hAnsi="宋体" w:eastAsia="宋体" w:cs="Times New Roman"/>
          <w:sz w:val="24"/>
          <w:szCs w:val="20"/>
          <w:u w:val="single"/>
        </w:rPr>
        <w:t xml:space="preserve">    </w:t>
      </w:r>
      <w:r>
        <w:rPr>
          <w:rFonts w:hint="eastAsia" w:ascii="宋体" w:hAnsi="宋体" w:eastAsia="宋体" w:cs="Times New Roman"/>
          <w:sz w:val="24"/>
          <w:szCs w:val="20"/>
        </w:rPr>
        <w:t>日</w:t>
      </w:r>
    </w:p>
    <w:p w14:paraId="35C2D44D">
      <w:pPr>
        <w:rPr>
          <w:rFonts w:ascii="宋体" w:hAnsi="Calibri" w:eastAsia="宋体" w:cs="宋体"/>
          <w:b/>
          <w:bCs/>
          <w:color w:val="000000"/>
          <w:sz w:val="28"/>
          <w:szCs w:val="20"/>
        </w:rPr>
        <w:sectPr>
          <w:footerReference r:id="rId20" w:type="first"/>
          <w:footerReference r:id="rId19" w:type="default"/>
          <w:pgSz w:w="11906" w:h="16838"/>
          <w:pgMar w:top="1588" w:right="1418" w:bottom="1134" w:left="1418" w:header="851" w:footer="992" w:gutter="0"/>
          <w:cols w:space="720" w:num="1"/>
          <w:titlePg/>
          <w:docGrid w:type="lines" w:linePitch="312" w:charSpace="0"/>
        </w:sectPr>
      </w:pPr>
    </w:p>
    <w:p w14:paraId="0E576185">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附件4</w:t>
      </w:r>
      <w:r>
        <w:rPr>
          <w:rFonts w:ascii="Times New Roman" w:hAnsi="Times New Roman" w:eastAsia="宋体" w:cs="Times New Roman"/>
          <w:b/>
          <w:bCs/>
          <w:color w:val="000000"/>
          <w:sz w:val="24"/>
          <w:szCs w:val="24"/>
        </w:rPr>
        <w:t xml:space="preserve"> </w:t>
      </w:r>
      <w:r>
        <w:rPr>
          <w:rFonts w:hint="eastAsia" w:ascii="Times New Roman" w:hAnsi="Times New Roman" w:eastAsia="宋体" w:cs="Times New Roman"/>
          <w:b/>
          <w:bCs/>
          <w:color w:val="000000"/>
          <w:sz w:val="24"/>
          <w:szCs w:val="24"/>
        </w:rPr>
        <w:t>保密承诺函</w:t>
      </w:r>
    </w:p>
    <w:p w14:paraId="4944F319">
      <w:pPr>
        <w:spacing w:line="240" w:lineRule="exact"/>
        <w:jc w:val="center"/>
        <w:rPr>
          <w:rFonts w:ascii="宋体" w:hAnsi="Calibri" w:eastAsia="宋体" w:cs="Times New Roman"/>
          <w:b/>
          <w:bCs/>
          <w:sz w:val="36"/>
          <w:szCs w:val="20"/>
        </w:rPr>
      </w:pPr>
    </w:p>
    <w:p w14:paraId="752EE05E">
      <w:pPr>
        <w:spacing w:line="360" w:lineRule="auto"/>
        <w:rPr>
          <w:rFonts w:ascii="宋体" w:hAnsi="Calibri" w:eastAsia="宋体" w:cs="Times New Roman"/>
          <w:sz w:val="24"/>
          <w:szCs w:val="20"/>
        </w:rPr>
      </w:pPr>
      <w:r>
        <w:rPr>
          <w:rFonts w:hint="eastAsia" w:ascii="宋体" w:hAnsi="宋体" w:eastAsia="宋体" w:cs="Times New Roman"/>
          <w:sz w:val="24"/>
          <w:szCs w:val="20"/>
        </w:rPr>
        <w:t>项目名称：</w:t>
      </w:r>
      <w:r>
        <w:rPr>
          <w:rFonts w:hint="eastAsia" w:ascii="仿宋_GB2312" w:hAnsi="宋体" w:eastAsia="仿宋_GB2312"/>
          <w:sz w:val="24"/>
          <w:u w:val="single"/>
        </w:rPr>
        <w:t>全新一代中重卡宽体平地板驾驶室2300车型平顶金属顶盖模检具项目</w:t>
      </w:r>
    </w:p>
    <w:p w14:paraId="226271A2">
      <w:pPr>
        <w:spacing w:line="360" w:lineRule="auto"/>
        <w:rPr>
          <w:rFonts w:ascii="宋体" w:hAnsi="Calibri" w:eastAsia="宋体" w:cs="Times New Roman"/>
          <w:b/>
          <w:bCs/>
          <w:sz w:val="24"/>
          <w:szCs w:val="20"/>
        </w:rPr>
      </w:pPr>
      <w:r>
        <w:rPr>
          <w:rFonts w:hint="eastAsia" w:ascii="宋体" w:hAnsi="宋体" w:eastAsia="宋体" w:cs="Times New Roman"/>
          <w:b/>
          <w:bCs/>
          <w:sz w:val="24"/>
          <w:szCs w:val="20"/>
        </w:rPr>
        <w:t>中国重汽集团济南商用车有限公司：</w:t>
      </w:r>
    </w:p>
    <w:p w14:paraId="35AE1484">
      <w:pPr>
        <w:spacing w:line="360" w:lineRule="auto"/>
        <w:ind w:firstLine="480"/>
        <w:rPr>
          <w:rFonts w:ascii="宋体" w:hAnsi="Calibri" w:eastAsia="宋体" w:cs="Times New Roman"/>
          <w:sz w:val="24"/>
          <w:szCs w:val="20"/>
        </w:rPr>
      </w:pPr>
      <w:r>
        <w:rPr>
          <w:rFonts w:hint="eastAsia" w:ascii="宋体" w:hAnsi="宋体" w:eastAsia="宋体" w:cs="Times New Roman"/>
          <w:sz w:val="24"/>
          <w:szCs w:val="20"/>
        </w:rPr>
        <w:t>我代表（投标人名称）对招标人的商业秘密作如下承诺：</w:t>
      </w:r>
    </w:p>
    <w:p w14:paraId="7255DC6C">
      <w:pPr>
        <w:spacing w:line="360" w:lineRule="auto"/>
        <w:ind w:left="479" w:leftChars="228"/>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r>
        <w:rPr>
          <w:rFonts w:hint="eastAsia" w:ascii="宋体" w:hAnsi="宋体" w:eastAsia="宋体" w:cs="Times New Roman"/>
          <w:sz w:val="24"/>
          <w:szCs w:val="20"/>
          <w:u w:val="single"/>
        </w:rPr>
        <w:t>无论是否中标、是否签署合同，对获得的招标人商业秘密（包括但不限于产品和/或装备的技术文件、制造文件、实验文件和销售及售后服务文件等，如报告、通知、记录、会议纪要、备忘录、图纸、草图、样品、模型、企业标准、软件；不论以何种形式提供，如光盘、磁盘、录像带、照片或其他表述，无论该信息是以口头还是书面方式还是何种语言提供、是否标识为保密，也无论该等信息储存于任何载体）承担保密责任。</w:t>
      </w:r>
      <w:r>
        <w:rPr>
          <w:rFonts w:ascii="宋体" w:hAnsi="宋体" w:eastAsia="宋体" w:cs="Times New Roman"/>
          <w:sz w:val="24"/>
          <w:szCs w:val="20"/>
          <w:u w:val="single"/>
        </w:rPr>
        <w:t xml:space="preserve">                                                                 </w:t>
      </w:r>
    </w:p>
    <w:p w14:paraId="62F61E95">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17002401">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7B720716">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6086D731">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2FFA6AEA">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34E44D01">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356AE978">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618B6CB8">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3CD6BDAA">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1536EF0A">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777D02A9">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11DBF7CC">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3EBDFDE3">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19C1D0D3">
      <w:pPr>
        <w:spacing w:line="360" w:lineRule="auto"/>
        <w:ind w:firstLine="480" w:firstLineChars="200"/>
        <w:rPr>
          <w:rFonts w:hint="eastAsia" w:ascii="宋体" w:hAnsi="宋体" w:eastAsia="宋体" w:cs="Times New Roman"/>
          <w:sz w:val="24"/>
          <w:szCs w:val="20"/>
          <w:u w:val="single"/>
        </w:rPr>
      </w:pPr>
    </w:p>
    <w:p w14:paraId="3B74DC96">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投标人：（盖章）</w:t>
      </w:r>
    </w:p>
    <w:p w14:paraId="0D3F273C">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法定代表人（委托代理人）：（签字）</w:t>
      </w:r>
    </w:p>
    <w:p w14:paraId="4AD0D9E0">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日</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期：</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年</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月</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日</w:t>
      </w:r>
    </w:p>
    <w:p w14:paraId="49433F3D">
      <w:pPr>
        <w:rPr>
          <w:rFonts w:ascii="宋体" w:hAnsi="Calibri" w:eastAsia="宋体" w:cs="宋体"/>
          <w:b/>
          <w:bCs/>
          <w:color w:val="000000"/>
          <w:sz w:val="28"/>
          <w:szCs w:val="20"/>
        </w:rPr>
        <w:sectPr>
          <w:footerReference r:id="rId22" w:type="first"/>
          <w:footerReference r:id="rId21" w:type="default"/>
          <w:pgSz w:w="11906" w:h="16838"/>
          <w:pgMar w:top="1588" w:right="1418" w:bottom="1134" w:left="1418" w:header="851" w:footer="992" w:gutter="0"/>
          <w:cols w:space="720" w:num="1"/>
          <w:titlePg/>
          <w:docGrid w:type="lines" w:linePitch="312" w:charSpace="0"/>
        </w:sectPr>
      </w:pPr>
    </w:p>
    <w:p w14:paraId="33DDF156">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宋体"/>
          <w:b/>
          <w:bCs/>
          <w:color w:val="000000"/>
          <w:sz w:val="24"/>
          <w:szCs w:val="24"/>
        </w:rPr>
        <w:t>附件5</w:t>
      </w:r>
      <w:r>
        <w:rPr>
          <w:rFonts w:hint="eastAsia" w:ascii="Times New Roman" w:hAnsi="Times New Roman" w:eastAsia="宋体" w:cs="Times New Roman"/>
          <w:b/>
          <w:bCs/>
          <w:color w:val="000000"/>
          <w:sz w:val="24"/>
          <w:szCs w:val="24"/>
        </w:rPr>
        <w:t>技术规格偏离表</w:t>
      </w:r>
    </w:p>
    <w:p w14:paraId="6480327A">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项目名称：</w:t>
      </w:r>
      <w:r>
        <w:rPr>
          <w:rFonts w:hint="eastAsia" w:ascii="仿宋_GB2312" w:hAnsi="宋体" w:eastAsia="仿宋_GB2312"/>
          <w:sz w:val="24"/>
          <w:u w:val="single"/>
        </w:rPr>
        <w:t>全新一代中重卡宽体平地板驾驶室2300车型平顶金属顶盖模检具项目</w:t>
      </w:r>
      <w:r>
        <w:rPr>
          <w:rFonts w:ascii="宋体" w:hAnsi="宋体" w:eastAsia="宋体" w:cs="Times New Roman"/>
          <w:color w:val="000000"/>
          <w:sz w:val="24"/>
          <w:szCs w:val="24"/>
        </w:rPr>
        <w:t xml:space="preserve">                                                        </w:t>
      </w:r>
    </w:p>
    <w:tbl>
      <w:tblPr>
        <w:tblStyle w:val="41"/>
        <w:tblW w:w="90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85"/>
        <w:gridCol w:w="3449"/>
        <w:gridCol w:w="2414"/>
        <w:gridCol w:w="1608"/>
      </w:tblGrid>
      <w:tr w14:paraId="37FC82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585" w:type="dxa"/>
            <w:vAlign w:val="center"/>
          </w:tcPr>
          <w:p w14:paraId="251D620A">
            <w:pPr>
              <w:jc w:val="center"/>
              <w:rPr>
                <w:rFonts w:ascii="Times New Roman" w:hAnsi="Times New Roman" w:eastAsia="宋体" w:cs="Times New Roman"/>
                <w:b/>
                <w:szCs w:val="20"/>
              </w:rPr>
            </w:pPr>
            <w:r>
              <w:rPr>
                <w:rFonts w:hint="eastAsia" w:ascii="宋体" w:hAnsi="宋体" w:eastAsia="宋体" w:cs="宋体"/>
                <w:b/>
                <w:szCs w:val="20"/>
              </w:rPr>
              <w:t>序号</w:t>
            </w:r>
          </w:p>
        </w:tc>
        <w:tc>
          <w:tcPr>
            <w:tcW w:w="3449" w:type="dxa"/>
            <w:vAlign w:val="center"/>
          </w:tcPr>
          <w:p w14:paraId="7346ECCD">
            <w:pPr>
              <w:jc w:val="center"/>
              <w:rPr>
                <w:rFonts w:ascii="Times New Roman" w:hAnsi="Times New Roman" w:eastAsia="宋体" w:cs="Times New Roman"/>
                <w:b/>
                <w:szCs w:val="20"/>
              </w:rPr>
            </w:pPr>
            <w:r>
              <w:rPr>
                <w:rFonts w:hint="eastAsia" w:ascii="宋体" w:hAnsi="宋体" w:eastAsia="宋体" w:cs="宋体"/>
                <w:b/>
                <w:szCs w:val="20"/>
              </w:rPr>
              <w:t>招标要求</w:t>
            </w:r>
          </w:p>
        </w:tc>
        <w:tc>
          <w:tcPr>
            <w:tcW w:w="2414" w:type="dxa"/>
            <w:vAlign w:val="center"/>
          </w:tcPr>
          <w:p w14:paraId="02F76625">
            <w:pPr>
              <w:jc w:val="center"/>
              <w:rPr>
                <w:rFonts w:ascii="Times New Roman" w:hAnsi="Times New Roman" w:eastAsia="宋体" w:cs="Times New Roman"/>
                <w:b/>
                <w:szCs w:val="20"/>
              </w:rPr>
            </w:pPr>
            <w:r>
              <w:rPr>
                <w:rFonts w:hint="eastAsia" w:ascii="宋体" w:hAnsi="宋体" w:eastAsia="宋体" w:cs="宋体"/>
                <w:b/>
                <w:szCs w:val="20"/>
              </w:rPr>
              <w:t>响应规格</w:t>
            </w:r>
          </w:p>
        </w:tc>
        <w:tc>
          <w:tcPr>
            <w:tcW w:w="1608" w:type="dxa"/>
            <w:vAlign w:val="center"/>
          </w:tcPr>
          <w:p w14:paraId="68163BAE">
            <w:pPr>
              <w:jc w:val="center"/>
              <w:rPr>
                <w:rFonts w:ascii="Times New Roman" w:hAnsi="Times New Roman" w:eastAsia="宋体" w:cs="Times New Roman"/>
                <w:b/>
                <w:szCs w:val="20"/>
              </w:rPr>
            </w:pPr>
            <w:r>
              <w:rPr>
                <w:rFonts w:hint="eastAsia" w:ascii="宋体" w:hAnsi="宋体" w:eastAsia="宋体" w:cs="宋体"/>
                <w:b/>
                <w:szCs w:val="20"/>
              </w:rPr>
              <w:t>是否偏离</w:t>
            </w:r>
          </w:p>
        </w:tc>
      </w:tr>
      <w:tr w14:paraId="7B1A87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6D326489">
            <w:pPr>
              <w:jc w:val="center"/>
              <w:rPr>
                <w:rFonts w:ascii="Times New Roman" w:hAnsi="Times New Roman" w:eastAsia="宋体" w:cs="Times New Roman"/>
                <w:b/>
                <w:sz w:val="24"/>
                <w:szCs w:val="20"/>
              </w:rPr>
            </w:pPr>
          </w:p>
        </w:tc>
        <w:tc>
          <w:tcPr>
            <w:tcW w:w="3449" w:type="dxa"/>
          </w:tcPr>
          <w:p w14:paraId="4147BDDA">
            <w:pPr>
              <w:jc w:val="center"/>
              <w:rPr>
                <w:rFonts w:ascii="Times New Roman" w:hAnsi="Times New Roman" w:eastAsia="宋体" w:cs="Times New Roman"/>
                <w:b/>
                <w:sz w:val="24"/>
                <w:szCs w:val="20"/>
              </w:rPr>
            </w:pPr>
          </w:p>
        </w:tc>
        <w:tc>
          <w:tcPr>
            <w:tcW w:w="2414" w:type="dxa"/>
          </w:tcPr>
          <w:p w14:paraId="784B2531">
            <w:pPr>
              <w:jc w:val="center"/>
              <w:rPr>
                <w:rFonts w:ascii="Times New Roman" w:hAnsi="Times New Roman" w:eastAsia="宋体" w:cs="Times New Roman"/>
                <w:b/>
                <w:sz w:val="24"/>
                <w:szCs w:val="20"/>
              </w:rPr>
            </w:pPr>
          </w:p>
        </w:tc>
        <w:tc>
          <w:tcPr>
            <w:tcW w:w="1608" w:type="dxa"/>
          </w:tcPr>
          <w:p w14:paraId="75DEB033">
            <w:pPr>
              <w:jc w:val="center"/>
              <w:rPr>
                <w:rFonts w:ascii="Times New Roman" w:hAnsi="Times New Roman" w:eastAsia="宋体" w:cs="Times New Roman"/>
                <w:b/>
                <w:sz w:val="24"/>
                <w:szCs w:val="20"/>
              </w:rPr>
            </w:pPr>
          </w:p>
        </w:tc>
      </w:tr>
      <w:tr w14:paraId="51832D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585" w:type="dxa"/>
          </w:tcPr>
          <w:p w14:paraId="43DA31ED">
            <w:pPr>
              <w:jc w:val="center"/>
              <w:rPr>
                <w:rFonts w:ascii="Times New Roman" w:hAnsi="Times New Roman" w:eastAsia="宋体" w:cs="Times New Roman"/>
                <w:b/>
                <w:sz w:val="24"/>
                <w:szCs w:val="20"/>
              </w:rPr>
            </w:pPr>
          </w:p>
        </w:tc>
        <w:tc>
          <w:tcPr>
            <w:tcW w:w="3449" w:type="dxa"/>
          </w:tcPr>
          <w:p w14:paraId="24BA1D74">
            <w:pPr>
              <w:jc w:val="center"/>
              <w:rPr>
                <w:rFonts w:ascii="Times New Roman" w:hAnsi="Times New Roman" w:eastAsia="宋体" w:cs="Times New Roman"/>
                <w:b/>
                <w:sz w:val="24"/>
                <w:szCs w:val="20"/>
              </w:rPr>
            </w:pPr>
          </w:p>
        </w:tc>
        <w:tc>
          <w:tcPr>
            <w:tcW w:w="2414" w:type="dxa"/>
          </w:tcPr>
          <w:p w14:paraId="1308A224">
            <w:pPr>
              <w:jc w:val="center"/>
              <w:rPr>
                <w:rFonts w:ascii="Times New Roman" w:hAnsi="Times New Roman" w:eastAsia="宋体" w:cs="Times New Roman"/>
                <w:b/>
                <w:sz w:val="24"/>
                <w:szCs w:val="20"/>
              </w:rPr>
            </w:pPr>
          </w:p>
        </w:tc>
        <w:tc>
          <w:tcPr>
            <w:tcW w:w="1608" w:type="dxa"/>
          </w:tcPr>
          <w:p w14:paraId="4D40FEFE">
            <w:pPr>
              <w:jc w:val="center"/>
              <w:rPr>
                <w:rFonts w:ascii="Times New Roman" w:hAnsi="Times New Roman" w:eastAsia="宋体" w:cs="Times New Roman"/>
                <w:b/>
                <w:sz w:val="24"/>
                <w:szCs w:val="20"/>
              </w:rPr>
            </w:pPr>
          </w:p>
        </w:tc>
      </w:tr>
      <w:tr w14:paraId="7778B1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30807E38">
            <w:pPr>
              <w:jc w:val="center"/>
              <w:rPr>
                <w:rFonts w:ascii="Times New Roman" w:hAnsi="Times New Roman" w:eastAsia="宋体" w:cs="Times New Roman"/>
                <w:b/>
                <w:sz w:val="24"/>
                <w:szCs w:val="20"/>
              </w:rPr>
            </w:pPr>
          </w:p>
        </w:tc>
        <w:tc>
          <w:tcPr>
            <w:tcW w:w="3449" w:type="dxa"/>
          </w:tcPr>
          <w:p w14:paraId="4C76EA08">
            <w:pPr>
              <w:jc w:val="center"/>
              <w:rPr>
                <w:rFonts w:ascii="Times New Roman" w:hAnsi="Times New Roman" w:eastAsia="宋体" w:cs="Times New Roman"/>
                <w:b/>
                <w:sz w:val="24"/>
                <w:szCs w:val="20"/>
              </w:rPr>
            </w:pPr>
          </w:p>
        </w:tc>
        <w:tc>
          <w:tcPr>
            <w:tcW w:w="2414" w:type="dxa"/>
          </w:tcPr>
          <w:p w14:paraId="08FD1DE2">
            <w:pPr>
              <w:jc w:val="center"/>
              <w:rPr>
                <w:rFonts w:ascii="Times New Roman" w:hAnsi="Times New Roman" w:eastAsia="宋体" w:cs="Times New Roman"/>
                <w:b/>
                <w:sz w:val="24"/>
                <w:szCs w:val="20"/>
              </w:rPr>
            </w:pPr>
          </w:p>
        </w:tc>
        <w:tc>
          <w:tcPr>
            <w:tcW w:w="1608" w:type="dxa"/>
          </w:tcPr>
          <w:p w14:paraId="71702CEF">
            <w:pPr>
              <w:jc w:val="center"/>
              <w:rPr>
                <w:rFonts w:ascii="Times New Roman" w:hAnsi="Times New Roman" w:eastAsia="宋体" w:cs="Times New Roman"/>
                <w:b/>
                <w:sz w:val="24"/>
                <w:szCs w:val="20"/>
              </w:rPr>
            </w:pPr>
          </w:p>
        </w:tc>
      </w:tr>
      <w:tr w14:paraId="575158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exact"/>
        </w:trPr>
        <w:tc>
          <w:tcPr>
            <w:tcW w:w="1585" w:type="dxa"/>
          </w:tcPr>
          <w:p w14:paraId="6C48065D">
            <w:pPr>
              <w:jc w:val="center"/>
              <w:rPr>
                <w:rFonts w:ascii="Times New Roman" w:hAnsi="Times New Roman" w:eastAsia="宋体" w:cs="Times New Roman"/>
                <w:b/>
                <w:sz w:val="24"/>
                <w:szCs w:val="20"/>
              </w:rPr>
            </w:pPr>
          </w:p>
        </w:tc>
        <w:tc>
          <w:tcPr>
            <w:tcW w:w="3449" w:type="dxa"/>
          </w:tcPr>
          <w:p w14:paraId="2229021E">
            <w:pPr>
              <w:jc w:val="center"/>
              <w:rPr>
                <w:rFonts w:ascii="Times New Roman" w:hAnsi="Times New Roman" w:eastAsia="宋体" w:cs="Times New Roman"/>
                <w:b/>
                <w:sz w:val="24"/>
                <w:szCs w:val="20"/>
              </w:rPr>
            </w:pPr>
          </w:p>
        </w:tc>
        <w:tc>
          <w:tcPr>
            <w:tcW w:w="2414" w:type="dxa"/>
          </w:tcPr>
          <w:p w14:paraId="1A42F4C5">
            <w:pPr>
              <w:jc w:val="center"/>
              <w:rPr>
                <w:rFonts w:ascii="Times New Roman" w:hAnsi="Times New Roman" w:eastAsia="宋体" w:cs="Times New Roman"/>
                <w:b/>
                <w:sz w:val="24"/>
                <w:szCs w:val="20"/>
              </w:rPr>
            </w:pPr>
          </w:p>
        </w:tc>
        <w:tc>
          <w:tcPr>
            <w:tcW w:w="1608" w:type="dxa"/>
          </w:tcPr>
          <w:p w14:paraId="15B4E211">
            <w:pPr>
              <w:jc w:val="center"/>
              <w:rPr>
                <w:rFonts w:ascii="Times New Roman" w:hAnsi="Times New Roman" w:eastAsia="宋体" w:cs="Times New Roman"/>
                <w:b/>
                <w:sz w:val="24"/>
                <w:szCs w:val="20"/>
              </w:rPr>
            </w:pPr>
          </w:p>
        </w:tc>
      </w:tr>
      <w:tr w14:paraId="0F3AD8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66A9F02F">
            <w:pPr>
              <w:jc w:val="center"/>
              <w:rPr>
                <w:rFonts w:ascii="Times New Roman" w:hAnsi="Times New Roman" w:eastAsia="宋体" w:cs="Times New Roman"/>
                <w:b/>
                <w:sz w:val="24"/>
                <w:szCs w:val="20"/>
              </w:rPr>
            </w:pPr>
          </w:p>
        </w:tc>
        <w:tc>
          <w:tcPr>
            <w:tcW w:w="3449" w:type="dxa"/>
          </w:tcPr>
          <w:p w14:paraId="20702267">
            <w:pPr>
              <w:jc w:val="center"/>
              <w:rPr>
                <w:rFonts w:ascii="Times New Roman" w:hAnsi="Times New Roman" w:eastAsia="宋体" w:cs="Times New Roman"/>
                <w:b/>
                <w:sz w:val="24"/>
                <w:szCs w:val="20"/>
              </w:rPr>
            </w:pPr>
          </w:p>
        </w:tc>
        <w:tc>
          <w:tcPr>
            <w:tcW w:w="2414" w:type="dxa"/>
          </w:tcPr>
          <w:p w14:paraId="08E48F68">
            <w:pPr>
              <w:jc w:val="center"/>
              <w:rPr>
                <w:rFonts w:ascii="Times New Roman" w:hAnsi="Times New Roman" w:eastAsia="宋体" w:cs="Times New Roman"/>
                <w:b/>
                <w:sz w:val="24"/>
                <w:szCs w:val="20"/>
              </w:rPr>
            </w:pPr>
          </w:p>
        </w:tc>
        <w:tc>
          <w:tcPr>
            <w:tcW w:w="1608" w:type="dxa"/>
          </w:tcPr>
          <w:p w14:paraId="435E2EEB">
            <w:pPr>
              <w:jc w:val="center"/>
              <w:rPr>
                <w:rFonts w:ascii="Times New Roman" w:hAnsi="Times New Roman" w:eastAsia="宋体" w:cs="Times New Roman"/>
                <w:b/>
                <w:sz w:val="24"/>
                <w:szCs w:val="20"/>
              </w:rPr>
            </w:pPr>
          </w:p>
        </w:tc>
      </w:tr>
      <w:tr w14:paraId="22D8EF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585" w:type="dxa"/>
          </w:tcPr>
          <w:p w14:paraId="5F96F628">
            <w:pPr>
              <w:jc w:val="center"/>
              <w:rPr>
                <w:rFonts w:ascii="Times New Roman" w:hAnsi="Times New Roman" w:eastAsia="宋体" w:cs="Times New Roman"/>
                <w:b/>
                <w:sz w:val="24"/>
                <w:szCs w:val="20"/>
              </w:rPr>
            </w:pPr>
          </w:p>
        </w:tc>
        <w:tc>
          <w:tcPr>
            <w:tcW w:w="3449" w:type="dxa"/>
          </w:tcPr>
          <w:p w14:paraId="3D6E34CC">
            <w:pPr>
              <w:jc w:val="center"/>
              <w:rPr>
                <w:rFonts w:ascii="Times New Roman" w:hAnsi="Times New Roman" w:eastAsia="宋体" w:cs="Times New Roman"/>
                <w:b/>
                <w:sz w:val="24"/>
                <w:szCs w:val="20"/>
              </w:rPr>
            </w:pPr>
          </w:p>
        </w:tc>
        <w:tc>
          <w:tcPr>
            <w:tcW w:w="2414" w:type="dxa"/>
          </w:tcPr>
          <w:p w14:paraId="47EC4EE6">
            <w:pPr>
              <w:jc w:val="center"/>
              <w:rPr>
                <w:rFonts w:ascii="Times New Roman" w:hAnsi="Times New Roman" w:eastAsia="宋体" w:cs="Times New Roman"/>
                <w:b/>
                <w:sz w:val="24"/>
                <w:szCs w:val="20"/>
              </w:rPr>
            </w:pPr>
          </w:p>
        </w:tc>
        <w:tc>
          <w:tcPr>
            <w:tcW w:w="1608" w:type="dxa"/>
          </w:tcPr>
          <w:p w14:paraId="4F9BB0C2">
            <w:pPr>
              <w:jc w:val="center"/>
              <w:rPr>
                <w:rFonts w:ascii="Times New Roman" w:hAnsi="Times New Roman" w:eastAsia="宋体" w:cs="Times New Roman"/>
                <w:b/>
                <w:sz w:val="24"/>
                <w:szCs w:val="20"/>
              </w:rPr>
            </w:pPr>
          </w:p>
        </w:tc>
      </w:tr>
      <w:tr w14:paraId="64E9AE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775D4081">
            <w:pPr>
              <w:jc w:val="center"/>
              <w:rPr>
                <w:rFonts w:ascii="Times New Roman" w:hAnsi="Times New Roman" w:eastAsia="宋体" w:cs="Times New Roman"/>
                <w:b/>
                <w:sz w:val="24"/>
                <w:szCs w:val="20"/>
              </w:rPr>
            </w:pPr>
          </w:p>
        </w:tc>
        <w:tc>
          <w:tcPr>
            <w:tcW w:w="3449" w:type="dxa"/>
          </w:tcPr>
          <w:p w14:paraId="4F8091EB">
            <w:pPr>
              <w:jc w:val="center"/>
              <w:rPr>
                <w:rFonts w:ascii="Times New Roman" w:hAnsi="Times New Roman" w:eastAsia="宋体" w:cs="Times New Roman"/>
                <w:b/>
                <w:sz w:val="24"/>
                <w:szCs w:val="20"/>
              </w:rPr>
            </w:pPr>
          </w:p>
        </w:tc>
        <w:tc>
          <w:tcPr>
            <w:tcW w:w="2414" w:type="dxa"/>
          </w:tcPr>
          <w:p w14:paraId="126AC45B">
            <w:pPr>
              <w:jc w:val="center"/>
              <w:rPr>
                <w:rFonts w:ascii="Times New Roman" w:hAnsi="Times New Roman" w:eastAsia="宋体" w:cs="Times New Roman"/>
                <w:b/>
                <w:sz w:val="24"/>
                <w:szCs w:val="20"/>
              </w:rPr>
            </w:pPr>
          </w:p>
        </w:tc>
        <w:tc>
          <w:tcPr>
            <w:tcW w:w="1608" w:type="dxa"/>
          </w:tcPr>
          <w:p w14:paraId="24FBA4B0">
            <w:pPr>
              <w:jc w:val="center"/>
              <w:rPr>
                <w:rFonts w:ascii="Times New Roman" w:hAnsi="Times New Roman" w:eastAsia="宋体" w:cs="Times New Roman"/>
                <w:b/>
                <w:sz w:val="24"/>
                <w:szCs w:val="20"/>
              </w:rPr>
            </w:pPr>
          </w:p>
        </w:tc>
      </w:tr>
      <w:tr w14:paraId="07B03F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585" w:type="dxa"/>
          </w:tcPr>
          <w:p w14:paraId="73D0D347">
            <w:pPr>
              <w:jc w:val="center"/>
              <w:rPr>
                <w:rFonts w:ascii="Times New Roman" w:hAnsi="Times New Roman" w:eastAsia="宋体" w:cs="Times New Roman"/>
                <w:b/>
                <w:sz w:val="24"/>
                <w:szCs w:val="20"/>
              </w:rPr>
            </w:pPr>
          </w:p>
        </w:tc>
        <w:tc>
          <w:tcPr>
            <w:tcW w:w="3449" w:type="dxa"/>
          </w:tcPr>
          <w:p w14:paraId="2D464F0B">
            <w:pPr>
              <w:jc w:val="center"/>
              <w:rPr>
                <w:rFonts w:ascii="Times New Roman" w:hAnsi="Times New Roman" w:eastAsia="宋体" w:cs="Times New Roman"/>
                <w:b/>
                <w:sz w:val="24"/>
                <w:szCs w:val="20"/>
              </w:rPr>
            </w:pPr>
          </w:p>
        </w:tc>
        <w:tc>
          <w:tcPr>
            <w:tcW w:w="2414" w:type="dxa"/>
          </w:tcPr>
          <w:p w14:paraId="7D532365">
            <w:pPr>
              <w:jc w:val="center"/>
              <w:rPr>
                <w:rFonts w:ascii="Times New Roman" w:hAnsi="Times New Roman" w:eastAsia="宋体" w:cs="Times New Roman"/>
                <w:b/>
                <w:sz w:val="24"/>
                <w:szCs w:val="20"/>
              </w:rPr>
            </w:pPr>
          </w:p>
        </w:tc>
        <w:tc>
          <w:tcPr>
            <w:tcW w:w="1608" w:type="dxa"/>
          </w:tcPr>
          <w:p w14:paraId="7981E80D">
            <w:pPr>
              <w:jc w:val="center"/>
              <w:rPr>
                <w:rFonts w:ascii="Times New Roman" w:hAnsi="Times New Roman" w:eastAsia="宋体" w:cs="Times New Roman"/>
                <w:b/>
                <w:sz w:val="24"/>
                <w:szCs w:val="20"/>
              </w:rPr>
            </w:pPr>
          </w:p>
        </w:tc>
      </w:tr>
      <w:tr w14:paraId="1F79F4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0F7DE017">
            <w:pPr>
              <w:jc w:val="center"/>
              <w:rPr>
                <w:rFonts w:ascii="Times New Roman" w:hAnsi="Times New Roman" w:eastAsia="宋体" w:cs="Times New Roman"/>
                <w:b/>
                <w:sz w:val="24"/>
                <w:szCs w:val="20"/>
              </w:rPr>
            </w:pPr>
          </w:p>
        </w:tc>
        <w:tc>
          <w:tcPr>
            <w:tcW w:w="3449" w:type="dxa"/>
          </w:tcPr>
          <w:p w14:paraId="6B0A7B44">
            <w:pPr>
              <w:jc w:val="center"/>
              <w:rPr>
                <w:rFonts w:ascii="Times New Roman" w:hAnsi="Times New Roman" w:eastAsia="宋体" w:cs="Times New Roman"/>
                <w:b/>
                <w:sz w:val="24"/>
                <w:szCs w:val="20"/>
              </w:rPr>
            </w:pPr>
          </w:p>
        </w:tc>
        <w:tc>
          <w:tcPr>
            <w:tcW w:w="2414" w:type="dxa"/>
          </w:tcPr>
          <w:p w14:paraId="0C27C04A">
            <w:pPr>
              <w:jc w:val="center"/>
              <w:rPr>
                <w:rFonts w:ascii="Times New Roman" w:hAnsi="Times New Roman" w:eastAsia="宋体" w:cs="Times New Roman"/>
                <w:b/>
                <w:sz w:val="24"/>
                <w:szCs w:val="20"/>
              </w:rPr>
            </w:pPr>
          </w:p>
        </w:tc>
        <w:tc>
          <w:tcPr>
            <w:tcW w:w="1608" w:type="dxa"/>
          </w:tcPr>
          <w:p w14:paraId="6C088F9A">
            <w:pPr>
              <w:jc w:val="center"/>
              <w:rPr>
                <w:rFonts w:ascii="Times New Roman" w:hAnsi="Times New Roman" w:eastAsia="宋体" w:cs="Times New Roman"/>
                <w:b/>
                <w:sz w:val="24"/>
                <w:szCs w:val="20"/>
              </w:rPr>
            </w:pPr>
          </w:p>
        </w:tc>
      </w:tr>
      <w:tr w14:paraId="028BD6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585" w:type="dxa"/>
          </w:tcPr>
          <w:p w14:paraId="24940F75">
            <w:pPr>
              <w:jc w:val="center"/>
              <w:rPr>
                <w:rFonts w:ascii="Times New Roman" w:hAnsi="Times New Roman" w:eastAsia="宋体" w:cs="Times New Roman"/>
                <w:b/>
                <w:sz w:val="24"/>
                <w:szCs w:val="20"/>
              </w:rPr>
            </w:pPr>
          </w:p>
        </w:tc>
        <w:tc>
          <w:tcPr>
            <w:tcW w:w="3449" w:type="dxa"/>
          </w:tcPr>
          <w:p w14:paraId="5F21BD97">
            <w:pPr>
              <w:jc w:val="center"/>
              <w:rPr>
                <w:rFonts w:ascii="Times New Roman" w:hAnsi="Times New Roman" w:eastAsia="宋体" w:cs="Times New Roman"/>
                <w:b/>
                <w:sz w:val="24"/>
                <w:szCs w:val="20"/>
              </w:rPr>
            </w:pPr>
          </w:p>
        </w:tc>
        <w:tc>
          <w:tcPr>
            <w:tcW w:w="2414" w:type="dxa"/>
          </w:tcPr>
          <w:p w14:paraId="2C732BA3">
            <w:pPr>
              <w:jc w:val="center"/>
              <w:rPr>
                <w:rFonts w:ascii="Times New Roman" w:hAnsi="Times New Roman" w:eastAsia="宋体" w:cs="Times New Roman"/>
                <w:b/>
                <w:sz w:val="24"/>
                <w:szCs w:val="20"/>
              </w:rPr>
            </w:pPr>
          </w:p>
        </w:tc>
        <w:tc>
          <w:tcPr>
            <w:tcW w:w="1608" w:type="dxa"/>
          </w:tcPr>
          <w:p w14:paraId="595DE7A0">
            <w:pPr>
              <w:jc w:val="center"/>
              <w:rPr>
                <w:rFonts w:ascii="Times New Roman" w:hAnsi="Times New Roman" w:eastAsia="宋体" w:cs="Times New Roman"/>
                <w:b/>
                <w:sz w:val="24"/>
                <w:szCs w:val="20"/>
              </w:rPr>
            </w:pPr>
          </w:p>
        </w:tc>
      </w:tr>
      <w:tr w14:paraId="35577F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499F3392">
            <w:pPr>
              <w:jc w:val="center"/>
              <w:rPr>
                <w:rFonts w:ascii="Times New Roman" w:hAnsi="Times New Roman" w:eastAsia="宋体" w:cs="Times New Roman"/>
                <w:b/>
                <w:sz w:val="24"/>
                <w:szCs w:val="20"/>
              </w:rPr>
            </w:pPr>
          </w:p>
        </w:tc>
        <w:tc>
          <w:tcPr>
            <w:tcW w:w="3449" w:type="dxa"/>
          </w:tcPr>
          <w:p w14:paraId="7B8A3E21">
            <w:pPr>
              <w:jc w:val="center"/>
              <w:rPr>
                <w:rFonts w:ascii="Times New Roman" w:hAnsi="Times New Roman" w:eastAsia="宋体" w:cs="Times New Roman"/>
                <w:b/>
                <w:sz w:val="24"/>
                <w:szCs w:val="20"/>
              </w:rPr>
            </w:pPr>
          </w:p>
        </w:tc>
        <w:tc>
          <w:tcPr>
            <w:tcW w:w="2414" w:type="dxa"/>
          </w:tcPr>
          <w:p w14:paraId="017E83E2">
            <w:pPr>
              <w:jc w:val="center"/>
              <w:rPr>
                <w:rFonts w:ascii="Times New Roman" w:hAnsi="Times New Roman" w:eastAsia="宋体" w:cs="Times New Roman"/>
                <w:b/>
                <w:sz w:val="24"/>
                <w:szCs w:val="20"/>
              </w:rPr>
            </w:pPr>
          </w:p>
        </w:tc>
        <w:tc>
          <w:tcPr>
            <w:tcW w:w="1608" w:type="dxa"/>
          </w:tcPr>
          <w:p w14:paraId="6D962D5F">
            <w:pPr>
              <w:jc w:val="center"/>
              <w:rPr>
                <w:rFonts w:ascii="Times New Roman" w:hAnsi="Times New Roman" w:eastAsia="宋体" w:cs="Times New Roman"/>
                <w:b/>
                <w:sz w:val="24"/>
                <w:szCs w:val="20"/>
              </w:rPr>
            </w:pPr>
          </w:p>
        </w:tc>
      </w:tr>
      <w:tr w14:paraId="03D7B6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585" w:type="dxa"/>
          </w:tcPr>
          <w:p w14:paraId="78B6319D">
            <w:pPr>
              <w:jc w:val="center"/>
              <w:rPr>
                <w:rFonts w:ascii="Times New Roman" w:hAnsi="Times New Roman" w:eastAsia="宋体" w:cs="Times New Roman"/>
                <w:b/>
                <w:sz w:val="24"/>
                <w:szCs w:val="20"/>
              </w:rPr>
            </w:pPr>
          </w:p>
        </w:tc>
        <w:tc>
          <w:tcPr>
            <w:tcW w:w="3449" w:type="dxa"/>
          </w:tcPr>
          <w:p w14:paraId="009A5F8E">
            <w:pPr>
              <w:jc w:val="center"/>
              <w:rPr>
                <w:rFonts w:ascii="Times New Roman" w:hAnsi="Times New Roman" w:eastAsia="宋体" w:cs="Times New Roman"/>
                <w:b/>
                <w:sz w:val="24"/>
                <w:szCs w:val="20"/>
              </w:rPr>
            </w:pPr>
          </w:p>
        </w:tc>
        <w:tc>
          <w:tcPr>
            <w:tcW w:w="2414" w:type="dxa"/>
          </w:tcPr>
          <w:p w14:paraId="3D508674">
            <w:pPr>
              <w:jc w:val="center"/>
              <w:rPr>
                <w:rFonts w:ascii="Times New Roman" w:hAnsi="Times New Roman" w:eastAsia="宋体" w:cs="Times New Roman"/>
                <w:b/>
                <w:sz w:val="24"/>
                <w:szCs w:val="20"/>
              </w:rPr>
            </w:pPr>
          </w:p>
        </w:tc>
        <w:tc>
          <w:tcPr>
            <w:tcW w:w="1608" w:type="dxa"/>
          </w:tcPr>
          <w:p w14:paraId="5542EF00">
            <w:pPr>
              <w:jc w:val="center"/>
              <w:rPr>
                <w:rFonts w:ascii="Times New Roman" w:hAnsi="Times New Roman" w:eastAsia="宋体" w:cs="Times New Roman"/>
                <w:b/>
                <w:sz w:val="24"/>
                <w:szCs w:val="20"/>
              </w:rPr>
            </w:pPr>
          </w:p>
        </w:tc>
      </w:tr>
      <w:tr w14:paraId="6C6B18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058714D7">
            <w:pPr>
              <w:jc w:val="center"/>
              <w:rPr>
                <w:rFonts w:ascii="Times New Roman" w:hAnsi="Times New Roman" w:eastAsia="宋体" w:cs="Times New Roman"/>
                <w:b/>
                <w:sz w:val="24"/>
                <w:szCs w:val="20"/>
              </w:rPr>
            </w:pPr>
          </w:p>
        </w:tc>
        <w:tc>
          <w:tcPr>
            <w:tcW w:w="3449" w:type="dxa"/>
          </w:tcPr>
          <w:p w14:paraId="2A372C5C">
            <w:pPr>
              <w:jc w:val="center"/>
              <w:rPr>
                <w:rFonts w:ascii="Times New Roman" w:hAnsi="Times New Roman" w:eastAsia="宋体" w:cs="Times New Roman"/>
                <w:b/>
                <w:sz w:val="24"/>
                <w:szCs w:val="20"/>
              </w:rPr>
            </w:pPr>
          </w:p>
        </w:tc>
        <w:tc>
          <w:tcPr>
            <w:tcW w:w="2414" w:type="dxa"/>
          </w:tcPr>
          <w:p w14:paraId="21AD9E5D">
            <w:pPr>
              <w:jc w:val="center"/>
              <w:rPr>
                <w:rFonts w:ascii="Times New Roman" w:hAnsi="Times New Roman" w:eastAsia="宋体" w:cs="Times New Roman"/>
                <w:b/>
                <w:sz w:val="24"/>
                <w:szCs w:val="20"/>
              </w:rPr>
            </w:pPr>
          </w:p>
        </w:tc>
        <w:tc>
          <w:tcPr>
            <w:tcW w:w="1608" w:type="dxa"/>
          </w:tcPr>
          <w:p w14:paraId="1CA12091">
            <w:pPr>
              <w:jc w:val="center"/>
              <w:rPr>
                <w:rFonts w:ascii="Times New Roman" w:hAnsi="Times New Roman" w:eastAsia="宋体" w:cs="Times New Roman"/>
                <w:b/>
                <w:sz w:val="24"/>
                <w:szCs w:val="20"/>
              </w:rPr>
            </w:pPr>
          </w:p>
        </w:tc>
      </w:tr>
      <w:tr w14:paraId="091D8F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63A2ED79">
            <w:pPr>
              <w:jc w:val="center"/>
              <w:rPr>
                <w:rFonts w:ascii="Times New Roman" w:hAnsi="Times New Roman" w:eastAsia="宋体" w:cs="Times New Roman"/>
                <w:b/>
                <w:sz w:val="24"/>
                <w:szCs w:val="20"/>
              </w:rPr>
            </w:pPr>
          </w:p>
        </w:tc>
        <w:tc>
          <w:tcPr>
            <w:tcW w:w="3449" w:type="dxa"/>
          </w:tcPr>
          <w:p w14:paraId="7C7D30F7">
            <w:pPr>
              <w:jc w:val="center"/>
              <w:rPr>
                <w:rFonts w:ascii="Times New Roman" w:hAnsi="Times New Roman" w:eastAsia="宋体" w:cs="Times New Roman"/>
                <w:b/>
                <w:sz w:val="24"/>
                <w:szCs w:val="20"/>
              </w:rPr>
            </w:pPr>
          </w:p>
        </w:tc>
        <w:tc>
          <w:tcPr>
            <w:tcW w:w="2414" w:type="dxa"/>
          </w:tcPr>
          <w:p w14:paraId="69CC7727">
            <w:pPr>
              <w:jc w:val="center"/>
              <w:rPr>
                <w:rFonts w:ascii="Times New Roman" w:hAnsi="Times New Roman" w:eastAsia="宋体" w:cs="Times New Roman"/>
                <w:b/>
                <w:sz w:val="24"/>
                <w:szCs w:val="20"/>
              </w:rPr>
            </w:pPr>
          </w:p>
        </w:tc>
        <w:tc>
          <w:tcPr>
            <w:tcW w:w="1608" w:type="dxa"/>
          </w:tcPr>
          <w:p w14:paraId="64040415">
            <w:pPr>
              <w:jc w:val="center"/>
              <w:rPr>
                <w:rFonts w:ascii="Times New Roman" w:hAnsi="Times New Roman" w:eastAsia="宋体" w:cs="Times New Roman"/>
                <w:b/>
                <w:sz w:val="24"/>
                <w:szCs w:val="20"/>
              </w:rPr>
            </w:pPr>
          </w:p>
        </w:tc>
      </w:tr>
    </w:tbl>
    <w:p w14:paraId="4E1983C5">
      <w:pPr>
        <w:spacing w:line="660" w:lineRule="exact"/>
        <w:rPr>
          <w:rFonts w:ascii="宋体" w:hAnsi="Calibri" w:eastAsia="宋体" w:cs="Times New Roman"/>
          <w:sz w:val="24"/>
          <w:szCs w:val="20"/>
        </w:rPr>
      </w:pPr>
      <w:r>
        <w:rPr>
          <w:rFonts w:hint="eastAsia" w:ascii="宋体" w:hAnsi="宋体" w:eastAsia="宋体" w:cs="Times New Roman"/>
          <w:sz w:val="24"/>
          <w:szCs w:val="20"/>
        </w:rPr>
        <w:t>投标人：（盖章）</w:t>
      </w:r>
    </w:p>
    <w:p w14:paraId="43E0EB17">
      <w:pPr>
        <w:spacing w:line="660" w:lineRule="exact"/>
        <w:rPr>
          <w:rFonts w:hint="eastAsia" w:ascii="宋体" w:hAnsi="宋体" w:eastAsia="宋体" w:cs="Times New Roman"/>
          <w:sz w:val="24"/>
          <w:szCs w:val="20"/>
        </w:rPr>
      </w:pPr>
      <w:r>
        <w:rPr>
          <w:rFonts w:hint="eastAsia" w:ascii="宋体" w:hAnsi="宋体" w:eastAsia="宋体" w:cs="Times New Roman"/>
          <w:sz w:val="24"/>
          <w:szCs w:val="20"/>
        </w:rPr>
        <w:t>法定代表人（委托代理人）：（签字）</w:t>
      </w:r>
    </w:p>
    <w:p w14:paraId="093ACC59">
      <w:pPr>
        <w:pStyle w:val="2"/>
        <w:rPr>
          <w:rFonts w:hint="eastAsia" w:ascii="宋体" w:hAnsi="宋体" w:eastAsia="宋体" w:cs="Times New Roman"/>
          <w:sz w:val="24"/>
          <w:szCs w:val="20"/>
        </w:rPr>
      </w:pPr>
    </w:p>
    <w:p w14:paraId="05407AE4">
      <w:pPr>
        <w:pStyle w:val="2"/>
        <w:rPr>
          <w:rFonts w:hint="eastAsia" w:ascii="宋体" w:hAnsi="宋体" w:eastAsia="宋体" w:cs="Times New Roman"/>
          <w:sz w:val="24"/>
          <w:szCs w:val="20"/>
        </w:rPr>
      </w:pPr>
    </w:p>
    <w:p w14:paraId="7269F8C5">
      <w:pPr>
        <w:pStyle w:val="2"/>
        <w:rPr>
          <w:rFonts w:hint="eastAsia" w:ascii="宋体" w:hAnsi="宋体" w:eastAsia="宋体" w:cs="Times New Roman"/>
          <w:sz w:val="24"/>
          <w:szCs w:val="20"/>
        </w:rPr>
      </w:pPr>
    </w:p>
    <w:p w14:paraId="02E17934">
      <w:pPr>
        <w:pStyle w:val="2"/>
        <w:rPr>
          <w:rFonts w:hint="eastAsia" w:ascii="宋体" w:hAnsi="宋体" w:eastAsia="宋体" w:cs="Times New Roman"/>
          <w:sz w:val="24"/>
          <w:szCs w:val="20"/>
        </w:rPr>
      </w:pPr>
    </w:p>
    <w:p w14:paraId="73646174">
      <w:pPr>
        <w:pStyle w:val="2"/>
        <w:rPr>
          <w:rFonts w:hint="eastAsia" w:ascii="宋体" w:hAnsi="宋体" w:eastAsia="宋体" w:cs="Times New Roman"/>
          <w:sz w:val="24"/>
          <w:szCs w:val="20"/>
        </w:rPr>
      </w:pPr>
    </w:p>
    <w:p w14:paraId="6FC7FD03">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附件6</w:t>
      </w:r>
      <w:r>
        <w:rPr>
          <w:rFonts w:ascii="Times New Roman" w:hAnsi="Times New Roman" w:eastAsia="宋体" w:cs="Times New Roman"/>
          <w:b/>
          <w:bCs/>
          <w:color w:val="000000"/>
          <w:sz w:val="24"/>
          <w:szCs w:val="24"/>
        </w:rPr>
        <w:t xml:space="preserve"> </w:t>
      </w:r>
      <w:r>
        <w:rPr>
          <w:rFonts w:hint="eastAsia" w:ascii="Times New Roman" w:hAnsi="Times New Roman" w:eastAsia="宋体" w:cs="Times New Roman"/>
          <w:b/>
          <w:bCs/>
          <w:color w:val="000000"/>
          <w:sz w:val="24"/>
          <w:szCs w:val="24"/>
        </w:rPr>
        <w:t xml:space="preserve"> 2023年1月1日至今同类项目业绩一览表</w:t>
      </w:r>
    </w:p>
    <w:p w14:paraId="664248E2">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项目名称：</w:t>
      </w:r>
      <w:r>
        <w:rPr>
          <w:rFonts w:hint="eastAsia" w:ascii="仿宋_GB2312" w:hAnsi="宋体" w:eastAsia="仿宋_GB2312"/>
          <w:sz w:val="24"/>
          <w:u w:val="single"/>
        </w:rPr>
        <w:t>全新一代中重卡宽体平地板驾驶室2300车型平顶金属顶盖模检具项目</w:t>
      </w:r>
      <w:r>
        <w:rPr>
          <w:rFonts w:ascii="宋体" w:hAnsi="宋体" w:eastAsia="宋体" w:cs="Times New Roman"/>
          <w:color w:val="000000"/>
          <w:sz w:val="24"/>
          <w:szCs w:val="24"/>
        </w:rPr>
        <w:t xml:space="preserve">                                                         </w:t>
      </w:r>
    </w:p>
    <w:tbl>
      <w:tblPr>
        <w:tblStyle w:val="41"/>
        <w:tblW w:w="823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60"/>
        <w:gridCol w:w="2082"/>
        <w:gridCol w:w="1355"/>
        <w:gridCol w:w="1320"/>
        <w:gridCol w:w="1023"/>
        <w:gridCol w:w="1590"/>
      </w:tblGrid>
      <w:tr w14:paraId="1E6B0E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vAlign w:val="center"/>
          </w:tcPr>
          <w:p w14:paraId="17F2FC6B">
            <w:pPr>
              <w:ind w:left="420" w:hanging="420"/>
              <w:jc w:val="center"/>
              <w:rPr>
                <w:rFonts w:ascii="宋体" w:hAnsi="Times New Roman" w:eastAsia="宋体" w:cs="Times New Roman"/>
                <w:b/>
                <w:szCs w:val="21"/>
              </w:rPr>
            </w:pPr>
            <w:r>
              <w:rPr>
                <w:rFonts w:hint="eastAsia" w:ascii="宋体" w:hAnsi="宋体" w:eastAsia="宋体" w:cs="Times New Roman"/>
                <w:b/>
                <w:szCs w:val="21"/>
              </w:rPr>
              <w:t>序号</w:t>
            </w:r>
          </w:p>
        </w:tc>
        <w:tc>
          <w:tcPr>
            <w:tcW w:w="2082" w:type="dxa"/>
            <w:vAlign w:val="center"/>
          </w:tcPr>
          <w:p w14:paraId="5FCA4114">
            <w:pPr>
              <w:ind w:left="420" w:hanging="420"/>
              <w:jc w:val="center"/>
              <w:rPr>
                <w:rFonts w:ascii="宋体" w:hAnsi="Times New Roman" w:eastAsia="宋体" w:cs="Times New Roman"/>
                <w:b/>
                <w:szCs w:val="21"/>
              </w:rPr>
            </w:pPr>
            <w:r>
              <w:rPr>
                <w:rFonts w:hint="eastAsia" w:ascii="宋体" w:hAnsi="宋体" w:eastAsia="宋体" w:cs="Times New Roman"/>
                <w:b/>
                <w:szCs w:val="21"/>
              </w:rPr>
              <w:t>采购单位</w:t>
            </w:r>
          </w:p>
        </w:tc>
        <w:tc>
          <w:tcPr>
            <w:tcW w:w="1355" w:type="dxa"/>
            <w:vAlign w:val="center"/>
          </w:tcPr>
          <w:p w14:paraId="6D2F7C8C">
            <w:pPr>
              <w:ind w:left="420" w:hanging="420"/>
              <w:jc w:val="center"/>
              <w:rPr>
                <w:rFonts w:ascii="宋体" w:hAnsi="Times New Roman" w:eastAsia="宋体" w:cs="Times New Roman"/>
                <w:b/>
                <w:szCs w:val="21"/>
              </w:rPr>
            </w:pPr>
            <w:r>
              <w:rPr>
                <w:rFonts w:hint="eastAsia" w:ascii="宋体" w:hAnsi="宋体" w:eastAsia="宋体" w:cs="Times New Roman"/>
                <w:b/>
                <w:szCs w:val="21"/>
              </w:rPr>
              <w:t>项目名称</w:t>
            </w:r>
          </w:p>
          <w:p w14:paraId="51C9F05C">
            <w:pPr>
              <w:ind w:left="420" w:hanging="420"/>
              <w:jc w:val="center"/>
              <w:rPr>
                <w:rFonts w:ascii="宋体" w:hAnsi="Times New Roman" w:eastAsia="宋体" w:cs="Times New Roman"/>
                <w:b/>
                <w:szCs w:val="21"/>
              </w:rPr>
            </w:pPr>
            <w:r>
              <w:rPr>
                <w:rFonts w:hint="eastAsia" w:ascii="宋体" w:hAnsi="宋体" w:eastAsia="宋体" w:cs="Times New Roman"/>
                <w:b/>
                <w:szCs w:val="21"/>
              </w:rPr>
              <w:t>（万元）</w:t>
            </w:r>
          </w:p>
        </w:tc>
        <w:tc>
          <w:tcPr>
            <w:tcW w:w="1320" w:type="dxa"/>
            <w:vAlign w:val="center"/>
          </w:tcPr>
          <w:p w14:paraId="4B16C9AB">
            <w:pPr>
              <w:jc w:val="center"/>
              <w:rPr>
                <w:rFonts w:ascii="宋体" w:hAnsi="Times New Roman" w:eastAsia="宋体" w:cs="Times New Roman"/>
                <w:b/>
                <w:szCs w:val="21"/>
              </w:rPr>
            </w:pPr>
            <w:r>
              <w:rPr>
                <w:rFonts w:hint="eastAsia" w:ascii="宋体" w:hAnsi="宋体" w:eastAsia="宋体" w:cs="Times New Roman"/>
                <w:b/>
                <w:szCs w:val="21"/>
              </w:rPr>
              <w:t>合同金额</w:t>
            </w:r>
          </w:p>
        </w:tc>
        <w:tc>
          <w:tcPr>
            <w:tcW w:w="1023" w:type="dxa"/>
            <w:vAlign w:val="center"/>
          </w:tcPr>
          <w:p w14:paraId="44439391">
            <w:pPr>
              <w:jc w:val="center"/>
              <w:rPr>
                <w:rFonts w:ascii="宋体" w:hAnsi="Times New Roman" w:eastAsia="宋体" w:cs="Times New Roman"/>
                <w:b/>
                <w:szCs w:val="21"/>
              </w:rPr>
            </w:pPr>
            <w:r>
              <w:rPr>
                <w:rFonts w:hint="eastAsia" w:ascii="宋体" w:hAnsi="宋体" w:eastAsia="宋体" w:cs="Times New Roman"/>
                <w:b/>
                <w:szCs w:val="21"/>
              </w:rPr>
              <w:t>合同签订时间</w:t>
            </w:r>
          </w:p>
        </w:tc>
        <w:tc>
          <w:tcPr>
            <w:tcW w:w="1590" w:type="dxa"/>
            <w:vAlign w:val="center"/>
          </w:tcPr>
          <w:p w14:paraId="6F80F179">
            <w:pPr>
              <w:ind w:left="420" w:hanging="420"/>
              <w:jc w:val="center"/>
              <w:rPr>
                <w:rFonts w:ascii="宋体" w:hAnsi="Times New Roman" w:eastAsia="宋体" w:cs="Times New Roman"/>
                <w:b/>
                <w:szCs w:val="21"/>
              </w:rPr>
            </w:pPr>
            <w:r>
              <w:rPr>
                <w:rFonts w:hint="eastAsia" w:ascii="宋体" w:hAnsi="宋体" w:eastAsia="宋体" w:cs="Times New Roman"/>
                <w:b/>
                <w:szCs w:val="21"/>
              </w:rPr>
              <w:t>联系人及</w:t>
            </w:r>
          </w:p>
          <w:p w14:paraId="40BC99F4">
            <w:pPr>
              <w:ind w:left="420" w:hanging="420"/>
              <w:jc w:val="center"/>
              <w:rPr>
                <w:rFonts w:ascii="宋体" w:hAnsi="Times New Roman" w:eastAsia="宋体" w:cs="Times New Roman"/>
                <w:b/>
                <w:szCs w:val="21"/>
              </w:rPr>
            </w:pPr>
            <w:r>
              <w:rPr>
                <w:rFonts w:hint="eastAsia" w:ascii="宋体" w:hAnsi="宋体" w:eastAsia="宋体" w:cs="Times New Roman"/>
                <w:b/>
                <w:szCs w:val="21"/>
              </w:rPr>
              <w:t>联系电话</w:t>
            </w:r>
          </w:p>
        </w:tc>
      </w:tr>
      <w:tr w14:paraId="460E7C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0C0B4A03">
            <w:pPr>
              <w:ind w:left="420" w:hanging="420"/>
              <w:rPr>
                <w:rFonts w:ascii="宋体" w:hAnsi="Times New Roman" w:eastAsia="宋体" w:cs="Times New Roman"/>
                <w:b/>
                <w:szCs w:val="20"/>
              </w:rPr>
            </w:pPr>
          </w:p>
        </w:tc>
        <w:tc>
          <w:tcPr>
            <w:tcW w:w="2082" w:type="dxa"/>
          </w:tcPr>
          <w:p w14:paraId="28230605">
            <w:pPr>
              <w:ind w:left="420" w:hanging="420"/>
              <w:rPr>
                <w:rFonts w:ascii="宋体" w:hAnsi="Times New Roman" w:eastAsia="宋体" w:cs="Times New Roman"/>
                <w:b/>
                <w:szCs w:val="20"/>
              </w:rPr>
            </w:pPr>
          </w:p>
        </w:tc>
        <w:tc>
          <w:tcPr>
            <w:tcW w:w="1355" w:type="dxa"/>
          </w:tcPr>
          <w:p w14:paraId="62AAB8BE">
            <w:pPr>
              <w:ind w:left="420" w:hanging="420"/>
              <w:rPr>
                <w:rFonts w:ascii="宋体" w:hAnsi="Times New Roman" w:eastAsia="宋体" w:cs="Times New Roman"/>
                <w:b/>
                <w:szCs w:val="20"/>
              </w:rPr>
            </w:pPr>
          </w:p>
        </w:tc>
        <w:tc>
          <w:tcPr>
            <w:tcW w:w="1320" w:type="dxa"/>
          </w:tcPr>
          <w:p w14:paraId="4A7E4370">
            <w:pPr>
              <w:ind w:left="420" w:hanging="420"/>
              <w:rPr>
                <w:rFonts w:ascii="宋体" w:hAnsi="Times New Roman" w:eastAsia="宋体" w:cs="Times New Roman"/>
                <w:b/>
                <w:szCs w:val="20"/>
              </w:rPr>
            </w:pPr>
          </w:p>
        </w:tc>
        <w:tc>
          <w:tcPr>
            <w:tcW w:w="1023" w:type="dxa"/>
          </w:tcPr>
          <w:p w14:paraId="68EE0789">
            <w:pPr>
              <w:ind w:left="420" w:hanging="420"/>
              <w:rPr>
                <w:rFonts w:ascii="宋体" w:hAnsi="Times New Roman" w:eastAsia="宋体" w:cs="Times New Roman"/>
                <w:b/>
                <w:szCs w:val="20"/>
              </w:rPr>
            </w:pPr>
          </w:p>
        </w:tc>
        <w:tc>
          <w:tcPr>
            <w:tcW w:w="1590" w:type="dxa"/>
          </w:tcPr>
          <w:p w14:paraId="0EA40989">
            <w:pPr>
              <w:ind w:left="420" w:hanging="420"/>
              <w:rPr>
                <w:rFonts w:ascii="宋体" w:hAnsi="Times New Roman" w:eastAsia="宋体" w:cs="Times New Roman"/>
                <w:b/>
                <w:szCs w:val="20"/>
              </w:rPr>
            </w:pPr>
          </w:p>
        </w:tc>
      </w:tr>
      <w:tr w14:paraId="586100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34C82928">
            <w:pPr>
              <w:ind w:left="420" w:hanging="420"/>
              <w:rPr>
                <w:rFonts w:ascii="宋体" w:hAnsi="Times New Roman" w:eastAsia="宋体" w:cs="Times New Roman"/>
                <w:b/>
                <w:szCs w:val="20"/>
              </w:rPr>
            </w:pPr>
          </w:p>
        </w:tc>
        <w:tc>
          <w:tcPr>
            <w:tcW w:w="2082" w:type="dxa"/>
          </w:tcPr>
          <w:p w14:paraId="7DDFA8E9">
            <w:pPr>
              <w:ind w:left="420" w:hanging="420"/>
              <w:rPr>
                <w:rFonts w:ascii="宋体" w:hAnsi="Times New Roman" w:eastAsia="宋体" w:cs="Times New Roman"/>
                <w:b/>
                <w:szCs w:val="20"/>
              </w:rPr>
            </w:pPr>
          </w:p>
        </w:tc>
        <w:tc>
          <w:tcPr>
            <w:tcW w:w="1355" w:type="dxa"/>
          </w:tcPr>
          <w:p w14:paraId="085FFA7E">
            <w:pPr>
              <w:ind w:left="420" w:hanging="420"/>
              <w:rPr>
                <w:rFonts w:ascii="宋体" w:hAnsi="Times New Roman" w:eastAsia="宋体" w:cs="Times New Roman"/>
                <w:b/>
                <w:szCs w:val="20"/>
              </w:rPr>
            </w:pPr>
          </w:p>
        </w:tc>
        <w:tc>
          <w:tcPr>
            <w:tcW w:w="1320" w:type="dxa"/>
          </w:tcPr>
          <w:p w14:paraId="65197363">
            <w:pPr>
              <w:ind w:left="420" w:hanging="420"/>
              <w:rPr>
                <w:rFonts w:ascii="宋体" w:hAnsi="Times New Roman" w:eastAsia="宋体" w:cs="Times New Roman"/>
                <w:b/>
                <w:szCs w:val="20"/>
              </w:rPr>
            </w:pPr>
          </w:p>
        </w:tc>
        <w:tc>
          <w:tcPr>
            <w:tcW w:w="1023" w:type="dxa"/>
          </w:tcPr>
          <w:p w14:paraId="1C6C7EF9">
            <w:pPr>
              <w:ind w:left="420" w:hanging="420"/>
              <w:rPr>
                <w:rFonts w:ascii="宋体" w:hAnsi="Times New Roman" w:eastAsia="宋体" w:cs="Times New Roman"/>
                <w:b/>
                <w:szCs w:val="20"/>
              </w:rPr>
            </w:pPr>
          </w:p>
        </w:tc>
        <w:tc>
          <w:tcPr>
            <w:tcW w:w="1590" w:type="dxa"/>
          </w:tcPr>
          <w:p w14:paraId="094FE06A">
            <w:pPr>
              <w:ind w:left="420" w:hanging="420"/>
              <w:rPr>
                <w:rFonts w:ascii="宋体" w:hAnsi="Times New Roman" w:eastAsia="宋体" w:cs="Times New Roman"/>
                <w:b/>
                <w:szCs w:val="20"/>
              </w:rPr>
            </w:pPr>
          </w:p>
        </w:tc>
      </w:tr>
      <w:tr w14:paraId="4D8EB7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1C64A3BA">
            <w:pPr>
              <w:ind w:left="420" w:hanging="420"/>
              <w:rPr>
                <w:rFonts w:ascii="宋体" w:hAnsi="Times New Roman" w:eastAsia="宋体" w:cs="Times New Roman"/>
                <w:b/>
                <w:szCs w:val="20"/>
              </w:rPr>
            </w:pPr>
          </w:p>
        </w:tc>
        <w:tc>
          <w:tcPr>
            <w:tcW w:w="2082" w:type="dxa"/>
          </w:tcPr>
          <w:p w14:paraId="5BE9E219">
            <w:pPr>
              <w:ind w:left="420" w:hanging="420"/>
              <w:rPr>
                <w:rFonts w:ascii="宋体" w:hAnsi="Times New Roman" w:eastAsia="宋体" w:cs="Times New Roman"/>
                <w:b/>
                <w:szCs w:val="20"/>
              </w:rPr>
            </w:pPr>
          </w:p>
        </w:tc>
        <w:tc>
          <w:tcPr>
            <w:tcW w:w="1355" w:type="dxa"/>
          </w:tcPr>
          <w:p w14:paraId="3693B685">
            <w:pPr>
              <w:ind w:left="420" w:hanging="420"/>
              <w:rPr>
                <w:rFonts w:ascii="宋体" w:hAnsi="Times New Roman" w:eastAsia="宋体" w:cs="Times New Roman"/>
                <w:b/>
                <w:szCs w:val="20"/>
              </w:rPr>
            </w:pPr>
          </w:p>
        </w:tc>
        <w:tc>
          <w:tcPr>
            <w:tcW w:w="1320" w:type="dxa"/>
          </w:tcPr>
          <w:p w14:paraId="5BCDD332">
            <w:pPr>
              <w:ind w:left="420" w:hanging="420"/>
              <w:rPr>
                <w:rFonts w:ascii="宋体" w:hAnsi="Times New Roman" w:eastAsia="宋体" w:cs="Times New Roman"/>
                <w:b/>
                <w:szCs w:val="20"/>
              </w:rPr>
            </w:pPr>
          </w:p>
        </w:tc>
        <w:tc>
          <w:tcPr>
            <w:tcW w:w="1023" w:type="dxa"/>
          </w:tcPr>
          <w:p w14:paraId="022C1EED">
            <w:pPr>
              <w:ind w:left="420" w:hanging="420"/>
              <w:rPr>
                <w:rFonts w:ascii="宋体" w:hAnsi="Times New Roman" w:eastAsia="宋体" w:cs="Times New Roman"/>
                <w:b/>
                <w:szCs w:val="20"/>
              </w:rPr>
            </w:pPr>
          </w:p>
        </w:tc>
        <w:tc>
          <w:tcPr>
            <w:tcW w:w="1590" w:type="dxa"/>
          </w:tcPr>
          <w:p w14:paraId="71AB23F1">
            <w:pPr>
              <w:ind w:left="420" w:hanging="420"/>
              <w:rPr>
                <w:rFonts w:ascii="宋体" w:hAnsi="Times New Roman" w:eastAsia="宋体" w:cs="Times New Roman"/>
                <w:b/>
                <w:szCs w:val="20"/>
              </w:rPr>
            </w:pPr>
          </w:p>
        </w:tc>
      </w:tr>
      <w:tr w14:paraId="6DFEF5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77128C00">
            <w:pPr>
              <w:ind w:left="420" w:hanging="420"/>
              <w:rPr>
                <w:rFonts w:ascii="宋体" w:hAnsi="Times New Roman" w:eastAsia="宋体" w:cs="Times New Roman"/>
                <w:b/>
                <w:szCs w:val="20"/>
              </w:rPr>
            </w:pPr>
          </w:p>
        </w:tc>
        <w:tc>
          <w:tcPr>
            <w:tcW w:w="2082" w:type="dxa"/>
          </w:tcPr>
          <w:p w14:paraId="1D91C101">
            <w:pPr>
              <w:ind w:left="420" w:hanging="420"/>
              <w:rPr>
                <w:rFonts w:ascii="宋体" w:hAnsi="Times New Roman" w:eastAsia="宋体" w:cs="Times New Roman"/>
                <w:b/>
                <w:szCs w:val="20"/>
              </w:rPr>
            </w:pPr>
          </w:p>
        </w:tc>
        <w:tc>
          <w:tcPr>
            <w:tcW w:w="1355" w:type="dxa"/>
          </w:tcPr>
          <w:p w14:paraId="7BA61781">
            <w:pPr>
              <w:ind w:left="420" w:hanging="420"/>
              <w:rPr>
                <w:rFonts w:ascii="宋体" w:hAnsi="Times New Roman" w:eastAsia="宋体" w:cs="Times New Roman"/>
                <w:b/>
                <w:szCs w:val="20"/>
              </w:rPr>
            </w:pPr>
          </w:p>
        </w:tc>
        <w:tc>
          <w:tcPr>
            <w:tcW w:w="1320" w:type="dxa"/>
          </w:tcPr>
          <w:p w14:paraId="2DE0AF65">
            <w:pPr>
              <w:ind w:left="420" w:hanging="420"/>
              <w:rPr>
                <w:rFonts w:ascii="宋体" w:hAnsi="Times New Roman" w:eastAsia="宋体" w:cs="Times New Roman"/>
                <w:b/>
                <w:szCs w:val="20"/>
              </w:rPr>
            </w:pPr>
          </w:p>
        </w:tc>
        <w:tc>
          <w:tcPr>
            <w:tcW w:w="1023" w:type="dxa"/>
          </w:tcPr>
          <w:p w14:paraId="1FB56F2A">
            <w:pPr>
              <w:ind w:left="420" w:hanging="420"/>
              <w:rPr>
                <w:rFonts w:ascii="宋体" w:hAnsi="Times New Roman" w:eastAsia="宋体" w:cs="Times New Roman"/>
                <w:b/>
                <w:szCs w:val="20"/>
              </w:rPr>
            </w:pPr>
          </w:p>
        </w:tc>
        <w:tc>
          <w:tcPr>
            <w:tcW w:w="1590" w:type="dxa"/>
          </w:tcPr>
          <w:p w14:paraId="0E765DF3">
            <w:pPr>
              <w:ind w:left="420" w:hanging="420"/>
              <w:rPr>
                <w:rFonts w:ascii="宋体" w:hAnsi="Times New Roman" w:eastAsia="宋体" w:cs="Times New Roman"/>
                <w:b/>
                <w:szCs w:val="20"/>
              </w:rPr>
            </w:pPr>
          </w:p>
        </w:tc>
      </w:tr>
      <w:tr w14:paraId="7B3386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692BF1A9">
            <w:pPr>
              <w:ind w:left="420" w:hanging="420"/>
              <w:rPr>
                <w:rFonts w:ascii="宋体" w:hAnsi="Times New Roman" w:eastAsia="宋体" w:cs="Times New Roman"/>
                <w:b/>
                <w:szCs w:val="20"/>
              </w:rPr>
            </w:pPr>
          </w:p>
        </w:tc>
        <w:tc>
          <w:tcPr>
            <w:tcW w:w="2082" w:type="dxa"/>
          </w:tcPr>
          <w:p w14:paraId="55E2C552">
            <w:pPr>
              <w:ind w:left="420" w:hanging="420"/>
              <w:rPr>
                <w:rFonts w:ascii="宋体" w:hAnsi="Times New Roman" w:eastAsia="宋体" w:cs="Times New Roman"/>
                <w:b/>
                <w:szCs w:val="20"/>
              </w:rPr>
            </w:pPr>
          </w:p>
        </w:tc>
        <w:tc>
          <w:tcPr>
            <w:tcW w:w="1355" w:type="dxa"/>
          </w:tcPr>
          <w:p w14:paraId="77B8CE53">
            <w:pPr>
              <w:ind w:left="420" w:hanging="420"/>
              <w:rPr>
                <w:rFonts w:ascii="宋体" w:hAnsi="Times New Roman" w:eastAsia="宋体" w:cs="Times New Roman"/>
                <w:b/>
                <w:szCs w:val="20"/>
              </w:rPr>
            </w:pPr>
          </w:p>
        </w:tc>
        <w:tc>
          <w:tcPr>
            <w:tcW w:w="1320" w:type="dxa"/>
          </w:tcPr>
          <w:p w14:paraId="07D049CE">
            <w:pPr>
              <w:ind w:left="420" w:hanging="420"/>
              <w:rPr>
                <w:rFonts w:ascii="宋体" w:hAnsi="Times New Roman" w:eastAsia="宋体" w:cs="Times New Roman"/>
                <w:b/>
                <w:szCs w:val="20"/>
              </w:rPr>
            </w:pPr>
          </w:p>
        </w:tc>
        <w:tc>
          <w:tcPr>
            <w:tcW w:w="1023" w:type="dxa"/>
          </w:tcPr>
          <w:p w14:paraId="5CAC1CDB">
            <w:pPr>
              <w:ind w:left="420" w:hanging="420"/>
              <w:rPr>
                <w:rFonts w:ascii="宋体" w:hAnsi="Times New Roman" w:eastAsia="宋体" w:cs="Times New Roman"/>
                <w:b/>
                <w:szCs w:val="20"/>
              </w:rPr>
            </w:pPr>
          </w:p>
        </w:tc>
        <w:tc>
          <w:tcPr>
            <w:tcW w:w="1590" w:type="dxa"/>
          </w:tcPr>
          <w:p w14:paraId="51DBE02A">
            <w:pPr>
              <w:ind w:left="420" w:hanging="420"/>
              <w:rPr>
                <w:rFonts w:ascii="宋体" w:hAnsi="Times New Roman" w:eastAsia="宋体" w:cs="Times New Roman"/>
                <w:b/>
                <w:szCs w:val="20"/>
              </w:rPr>
            </w:pPr>
          </w:p>
        </w:tc>
      </w:tr>
      <w:tr w14:paraId="4E650D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02BF5F2C">
            <w:pPr>
              <w:ind w:left="420" w:hanging="420"/>
              <w:rPr>
                <w:rFonts w:ascii="宋体" w:hAnsi="Times New Roman" w:eastAsia="宋体" w:cs="Times New Roman"/>
                <w:b/>
                <w:szCs w:val="20"/>
              </w:rPr>
            </w:pPr>
          </w:p>
        </w:tc>
        <w:tc>
          <w:tcPr>
            <w:tcW w:w="2082" w:type="dxa"/>
          </w:tcPr>
          <w:p w14:paraId="02B2C878">
            <w:pPr>
              <w:ind w:left="420" w:hanging="420"/>
              <w:rPr>
                <w:rFonts w:ascii="宋体" w:hAnsi="Times New Roman" w:eastAsia="宋体" w:cs="Times New Roman"/>
                <w:b/>
                <w:szCs w:val="20"/>
              </w:rPr>
            </w:pPr>
          </w:p>
        </w:tc>
        <w:tc>
          <w:tcPr>
            <w:tcW w:w="1355" w:type="dxa"/>
          </w:tcPr>
          <w:p w14:paraId="1FC160E4">
            <w:pPr>
              <w:ind w:left="420" w:hanging="420"/>
              <w:rPr>
                <w:rFonts w:ascii="宋体" w:hAnsi="Times New Roman" w:eastAsia="宋体" w:cs="Times New Roman"/>
                <w:b/>
                <w:szCs w:val="20"/>
              </w:rPr>
            </w:pPr>
          </w:p>
        </w:tc>
        <w:tc>
          <w:tcPr>
            <w:tcW w:w="1320" w:type="dxa"/>
          </w:tcPr>
          <w:p w14:paraId="58AEC544">
            <w:pPr>
              <w:ind w:left="420" w:hanging="420"/>
              <w:rPr>
                <w:rFonts w:ascii="宋体" w:hAnsi="Times New Roman" w:eastAsia="宋体" w:cs="Times New Roman"/>
                <w:b/>
                <w:szCs w:val="20"/>
              </w:rPr>
            </w:pPr>
          </w:p>
        </w:tc>
        <w:tc>
          <w:tcPr>
            <w:tcW w:w="1023" w:type="dxa"/>
          </w:tcPr>
          <w:p w14:paraId="43D2ADF9">
            <w:pPr>
              <w:ind w:left="420" w:hanging="420"/>
              <w:rPr>
                <w:rFonts w:ascii="宋体" w:hAnsi="Times New Roman" w:eastAsia="宋体" w:cs="Times New Roman"/>
                <w:b/>
                <w:szCs w:val="20"/>
              </w:rPr>
            </w:pPr>
          </w:p>
        </w:tc>
        <w:tc>
          <w:tcPr>
            <w:tcW w:w="1590" w:type="dxa"/>
          </w:tcPr>
          <w:p w14:paraId="0469155C">
            <w:pPr>
              <w:ind w:left="420" w:hanging="420"/>
              <w:rPr>
                <w:rFonts w:ascii="宋体" w:hAnsi="Times New Roman" w:eastAsia="宋体" w:cs="Times New Roman"/>
                <w:b/>
                <w:szCs w:val="20"/>
              </w:rPr>
            </w:pPr>
          </w:p>
        </w:tc>
      </w:tr>
      <w:tr w14:paraId="17BE4C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15B4EF33">
            <w:pPr>
              <w:ind w:left="420" w:hanging="420"/>
              <w:rPr>
                <w:rFonts w:ascii="宋体" w:hAnsi="Times New Roman" w:eastAsia="宋体" w:cs="Times New Roman"/>
                <w:b/>
                <w:szCs w:val="20"/>
              </w:rPr>
            </w:pPr>
          </w:p>
        </w:tc>
        <w:tc>
          <w:tcPr>
            <w:tcW w:w="2082" w:type="dxa"/>
          </w:tcPr>
          <w:p w14:paraId="59492CF3">
            <w:pPr>
              <w:ind w:left="420" w:hanging="420"/>
              <w:rPr>
                <w:rFonts w:ascii="宋体" w:hAnsi="Times New Roman" w:eastAsia="宋体" w:cs="Times New Roman"/>
                <w:b/>
                <w:szCs w:val="20"/>
              </w:rPr>
            </w:pPr>
          </w:p>
        </w:tc>
        <w:tc>
          <w:tcPr>
            <w:tcW w:w="1355" w:type="dxa"/>
          </w:tcPr>
          <w:p w14:paraId="674E53AC">
            <w:pPr>
              <w:ind w:left="420" w:hanging="420"/>
              <w:rPr>
                <w:rFonts w:ascii="宋体" w:hAnsi="Times New Roman" w:eastAsia="宋体" w:cs="Times New Roman"/>
                <w:b/>
                <w:szCs w:val="20"/>
              </w:rPr>
            </w:pPr>
          </w:p>
        </w:tc>
        <w:tc>
          <w:tcPr>
            <w:tcW w:w="1320" w:type="dxa"/>
          </w:tcPr>
          <w:p w14:paraId="42ECCED1">
            <w:pPr>
              <w:ind w:left="420" w:hanging="420"/>
              <w:rPr>
                <w:rFonts w:ascii="宋体" w:hAnsi="Times New Roman" w:eastAsia="宋体" w:cs="Times New Roman"/>
                <w:b/>
                <w:szCs w:val="20"/>
              </w:rPr>
            </w:pPr>
          </w:p>
        </w:tc>
        <w:tc>
          <w:tcPr>
            <w:tcW w:w="1023" w:type="dxa"/>
          </w:tcPr>
          <w:p w14:paraId="11C6FFE5">
            <w:pPr>
              <w:ind w:left="420" w:hanging="420"/>
              <w:rPr>
                <w:rFonts w:ascii="宋体" w:hAnsi="Times New Roman" w:eastAsia="宋体" w:cs="Times New Roman"/>
                <w:b/>
                <w:szCs w:val="20"/>
              </w:rPr>
            </w:pPr>
          </w:p>
        </w:tc>
        <w:tc>
          <w:tcPr>
            <w:tcW w:w="1590" w:type="dxa"/>
          </w:tcPr>
          <w:p w14:paraId="1A53B11C">
            <w:pPr>
              <w:ind w:left="420" w:hanging="420"/>
              <w:rPr>
                <w:rFonts w:ascii="宋体" w:hAnsi="Times New Roman" w:eastAsia="宋体" w:cs="Times New Roman"/>
                <w:b/>
                <w:szCs w:val="20"/>
              </w:rPr>
            </w:pPr>
          </w:p>
        </w:tc>
      </w:tr>
      <w:tr w14:paraId="1C8D48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7A898F5B">
            <w:pPr>
              <w:ind w:left="420" w:hanging="420"/>
              <w:rPr>
                <w:rFonts w:ascii="宋体" w:hAnsi="Times New Roman" w:eastAsia="宋体" w:cs="Times New Roman"/>
                <w:b/>
                <w:szCs w:val="20"/>
              </w:rPr>
            </w:pPr>
          </w:p>
        </w:tc>
        <w:tc>
          <w:tcPr>
            <w:tcW w:w="2082" w:type="dxa"/>
          </w:tcPr>
          <w:p w14:paraId="0A4D937E">
            <w:pPr>
              <w:ind w:left="420" w:hanging="420"/>
              <w:rPr>
                <w:rFonts w:ascii="宋体" w:hAnsi="Times New Roman" w:eastAsia="宋体" w:cs="Times New Roman"/>
                <w:b/>
                <w:szCs w:val="20"/>
              </w:rPr>
            </w:pPr>
          </w:p>
        </w:tc>
        <w:tc>
          <w:tcPr>
            <w:tcW w:w="1355" w:type="dxa"/>
          </w:tcPr>
          <w:p w14:paraId="5D1FFEF2">
            <w:pPr>
              <w:ind w:left="420" w:hanging="420"/>
              <w:rPr>
                <w:rFonts w:ascii="宋体" w:hAnsi="Times New Roman" w:eastAsia="宋体" w:cs="Times New Roman"/>
                <w:b/>
                <w:szCs w:val="20"/>
              </w:rPr>
            </w:pPr>
          </w:p>
        </w:tc>
        <w:tc>
          <w:tcPr>
            <w:tcW w:w="1320" w:type="dxa"/>
          </w:tcPr>
          <w:p w14:paraId="2F847044">
            <w:pPr>
              <w:ind w:left="420" w:hanging="420"/>
              <w:rPr>
                <w:rFonts w:ascii="宋体" w:hAnsi="Times New Roman" w:eastAsia="宋体" w:cs="Times New Roman"/>
                <w:b/>
                <w:szCs w:val="20"/>
              </w:rPr>
            </w:pPr>
          </w:p>
        </w:tc>
        <w:tc>
          <w:tcPr>
            <w:tcW w:w="1023" w:type="dxa"/>
          </w:tcPr>
          <w:p w14:paraId="06D3BF31">
            <w:pPr>
              <w:ind w:left="420" w:hanging="420"/>
              <w:rPr>
                <w:rFonts w:ascii="宋体" w:hAnsi="Times New Roman" w:eastAsia="宋体" w:cs="Times New Roman"/>
                <w:b/>
                <w:szCs w:val="20"/>
              </w:rPr>
            </w:pPr>
          </w:p>
        </w:tc>
        <w:tc>
          <w:tcPr>
            <w:tcW w:w="1590" w:type="dxa"/>
          </w:tcPr>
          <w:p w14:paraId="045A7027">
            <w:pPr>
              <w:ind w:left="420" w:hanging="420"/>
              <w:rPr>
                <w:rFonts w:ascii="宋体" w:hAnsi="Times New Roman" w:eastAsia="宋体" w:cs="Times New Roman"/>
                <w:b/>
                <w:szCs w:val="20"/>
              </w:rPr>
            </w:pPr>
          </w:p>
        </w:tc>
      </w:tr>
      <w:tr w14:paraId="4F584F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7318E4E2">
            <w:pPr>
              <w:ind w:left="420" w:hanging="420"/>
              <w:rPr>
                <w:rFonts w:ascii="宋体" w:hAnsi="Times New Roman" w:eastAsia="宋体" w:cs="Times New Roman"/>
                <w:b/>
                <w:szCs w:val="20"/>
              </w:rPr>
            </w:pPr>
          </w:p>
        </w:tc>
        <w:tc>
          <w:tcPr>
            <w:tcW w:w="2082" w:type="dxa"/>
          </w:tcPr>
          <w:p w14:paraId="1D11B00F">
            <w:pPr>
              <w:ind w:left="420" w:hanging="420"/>
              <w:rPr>
                <w:rFonts w:ascii="宋体" w:hAnsi="Times New Roman" w:eastAsia="宋体" w:cs="Times New Roman"/>
                <w:b/>
                <w:szCs w:val="20"/>
              </w:rPr>
            </w:pPr>
          </w:p>
        </w:tc>
        <w:tc>
          <w:tcPr>
            <w:tcW w:w="1355" w:type="dxa"/>
          </w:tcPr>
          <w:p w14:paraId="4A9BEFF6">
            <w:pPr>
              <w:ind w:left="420" w:hanging="420"/>
              <w:rPr>
                <w:rFonts w:ascii="宋体" w:hAnsi="Times New Roman" w:eastAsia="宋体" w:cs="Times New Roman"/>
                <w:b/>
                <w:szCs w:val="20"/>
              </w:rPr>
            </w:pPr>
          </w:p>
        </w:tc>
        <w:tc>
          <w:tcPr>
            <w:tcW w:w="1320" w:type="dxa"/>
          </w:tcPr>
          <w:p w14:paraId="5B519944">
            <w:pPr>
              <w:ind w:left="420" w:hanging="420"/>
              <w:rPr>
                <w:rFonts w:ascii="宋体" w:hAnsi="Times New Roman" w:eastAsia="宋体" w:cs="Times New Roman"/>
                <w:b/>
                <w:szCs w:val="20"/>
              </w:rPr>
            </w:pPr>
          </w:p>
        </w:tc>
        <w:tc>
          <w:tcPr>
            <w:tcW w:w="1023" w:type="dxa"/>
          </w:tcPr>
          <w:p w14:paraId="6471AAEE">
            <w:pPr>
              <w:ind w:left="420" w:hanging="420"/>
              <w:rPr>
                <w:rFonts w:ascii="宋体" w:hAnsi="Times New Roman" w:eastAsia="宋体" w:cs="Times New Roman"/>
                <w:b/>
                <w:szCs w:val="20"/>
              </w:rPr>
            </w:pPr>
          </w:p>
        </w:tc>
        <w:tc>
          <w:tcPr>
            <w:tcW w:w="1590" w:type="dxa"/>
          </w:tcPr>
          <w:p w14:paraId="77B75582">
            <w:pPr>
              <w:ind w:left="420" w:hanging="420"/>
              <w:rPr>
                <w:rFonts w:ascii="宋体" w:hAnsi="Times New Roman" w:eastAsia="宋体" w:cs="Times New Roman"/>
                <w:b/>
                <w:szCs w:val="20"/>
              </w:rPr>
            </w:pPr>
          </w:p>
        </w:tc>
      </w:tr>
      <w:tr w14:paraId="48AFBF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09EA9037">
            <w:pPr>
              <w:ind w:left="420" w:hanging="420"/>
              <w:rPr>
                <w:rFonts w:ascii="宋体" w:hAnsi="Times New Roman" w:eastAsia="宋体" w:cs="Times New Roman"/>
                <w:b/>
                <w:szCs w:val="20"/>
              </w:rPr>
            </w:pPr>
          </w:p>
        </w:tc>
        <w:tc>
          <w:tcPr>
            <w:tcW w:w="2082" w:type="dxa"/>
          </w:tcPr>
          <w:p w14:paraId="06AB3C24">
            <w:pPr>
              <w:ind w:left="420" w:hanging="420"/>
              <w:rPr>
                <w:rFonts w:ascii="宋体" w:hAnsi="Times New Roman" w:eastAsia="宋体" w:cs="Times New Roman"/>
                <w:b/>
                <w:szCs w:val="20"/>
              </w:rPr>
            </w:pPr>
          </w:p>
        </w:tc>
        <w:tc>
          <w:tcPr>
            <w:tcW w:w="1355" w:type="dxa"/>
          </w:tcPr>
          <w:p w14:paraId="722EE05B">
            <w:pPr>
              <w:ind w:left="420" w:hanging="420"/>
              <w:rPr>
                <w:rFonts w:ascii="宋体" w:hAnsi="Times New Roman" w:eastAsia="宋体" w:cs="Times New Roman"/>
                <w:b/>
                <w:szCs w:val="20"/>
              </w:rPr>
            </w:pPr>
          </w:p>
        </w:tc>
        <w:tc>
          <w:tcPr>
            <w:tcW w:w="1320" w:type="dxa"/>
          </w:tcPr>
          <w:p w14:paraId="0B61F481">
            <w:pPr>
              <w:ind w:left="420" w:hanging="420"/>
              <w:rPr>
                <w:rFonts w:ascii="宋体" w:hAnsi="Times New Roman" w:eastAsia="宋体" w:cs="Times New Roman"/>
                <w:b/>
                <w:szCs w:val="20"/>
              </w:rPr>
            </w:pPr>
          </w:p>
        </w:tc>
        <w:tc>
          <w:tcPr>
            <w:tcW w:w="1023" w:type="dxa"/>
          </w:tcPr>
          <w:p w14:paraId="47EDACA3">
            <w:pPr>
              <w:ind w:left="420" w:hanging="420"/>
              <w:rPr>
                <w:rFonts w:ascii="宋体" w:hAnsi="Times New Roman" w:eastAsia="宋体" w:cs="Times New Roman"/>
                <w:b/>
                <w:szCs w:val="20"/>
              </w:rPr>
            </w:pPr>
          </w:p>
        </w:tc>
        <w:tc>
          <w:tcPr>
            <w:tcW w:w="1590" w:type="dxa"/>
          </w:tcPr>
          <w:p w14:paraId="0404D6C4">
            <w:pPr>
              <w:ind w:left="420" w:hanging="420"/>
              <w:rPr>
                <w:rFonts w:ascii="宋体" w:hAnsi="Times New Roman" w:eastAsia="宋体" w:cs="Times New Roman"/>
                <w:b/>
                <w:szCs w:val="20"/>
              </w:rPr>
            </w:pPr>
          </w:p>
        </w:tc>
      </w:tr>
      <w:tr w14:paraId="0983F5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195BD21D">
            <w:pPr>
              <w:ind w:left="420" w:hanging="420"/>
              <w:rPr>
                <w:rFonts w:ascii="宋体" w:hAnsi="Times New Roman" w:eastAsia="宋体" w:cs="Times New Roman"/>
                <w:b/>
                <w:szCs w:val="20"/>
              </w:rPr>
            </w:pPr>
          </w:p>
        </w:tc>
        <w:tc>
          <w:tcPr>
            <w:tcW w:w="2082" w:type="dxa"/>
          </w:tcPr>
          <w:p w14:paraId="72986033">
            <w:pPr>
              <w:ind w:left="420" w:hanging="420"/>
              <w:rPr>
                <w:rFonts w:ascii="宋体" w:hAnsi="Times New Roman" w:eastAsia="宋体" w:cs="Times New Roman"/>
                <w:b/>
                <w:szCs w:val="20"/>
              </w:rPr>
            </w:pPr>
          </w:p>
        </w:tc>
        <w:tc>
          <w:tcPr>
            <w:tcW w:w="1355" w:type="dxa"/>
          </w:tcPr>
          <w:p w14:paraId="5AAF712C">
            <w:pPr>
              <w:ind w:left="420" w:hanging="420"/>
              <w:rPr>
                <w:rFonts w:ascii="宋体" w:hAnsi="Times New Roman" w:eastAsia="宋体" w:cs="Times New Roman"/>
                <w:b/>
                <w:szCs w:val="20"/>
              </w:rPr>
            </w:pPr>
          </w:p>
        </w:tc>
        <w:tc>
          <w:tcPr>
            <w:tcW w:w="1320" w:type="dxa"/>
          </w:tcPr>
          <w:p w14:paraId="17958D83">
            <w:pPr>
              <w:ind w:left="420" w:hanging="420"/>
              <w:rPr>
                <w:rFonts w:ascii="宋体" w:hAnsi="Times New Roman" w:eastAsia="宋体" w:cs="Times New Roman"/>
                <w:b/>
                <w:szCs w:val="20"/>
              </w:rPr>
            </w:pPr>
          </w:p>
        </w:tc>
        <w:tc>
          <w:tcPr>
            <w:tcW w:w="1023" w:type="dxa"/>
          </w:tcPr>
          <w:p w14:paraId="5F629CFA">
            <w:pPr>
              <w:ind w:left="420" w:hanging="420"/>
              <w:rPr>
                <w:rFonts w:ascii="宋体" w:hAnsi="Times New Roman" w:eastAsia="宋体" w:cs="Times New Roman"/>
                <w:b/>
                <w:szCs w:val="20"/>
              </w:rPr>
            </w:pPr>
          </w:p>
        </w:tc>
        <w:tc>
          <w:tcPr>
            <w:tcW w:w="1590" w:type="dxa"/>
          </w:tcPr>
          <w:p w14:paraId="652CFA1C">
            <w:pPr>
              <w:ind w:left="420" w:hanging="420"/>
              <w:rPr>
                <w:rFonts w:ascii="宋体" w:hAnsi="Times New Roman" w:eastAsia="宋体" w:cs="Times New Roman"/>
                <w:b/>
                <w:szCs w:val="20"/>
              </w:rPr>
            </w:pPr>
          </w:p>
        </w:tc>
      </w:tr>
      <w:tr w14:paraId="15EEBD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266CA249">
            <w:pPr>
              <w:ind w:left="420" w:hanging="420"/>
              <w:rPr>
                <w:rFonts w:ascii="宋体" w:hAnsi="Times New Roman" w:eastAsia="宋体" w:cs="Times New Roman"/>
                <w:b/>
                <w:szCs w:val="20"/>
              </w:rPr>
            </w:pPr>
          </w:p>
        </w:tc>
        <w:tc>
          <w:tcPr>
            <w:tcW w:w="2082" w:type="dxa"/>
          </w:tcPr>
          <w:p w14:paraId="309A8C02">
            <w:pPr>
              <w:ind w:left="420" w:hanging="420"/>
              <w:rPr>
                <w:rFonts w:ascii="宋体" w:hAnsi="Times New Roman" w:eastAsia="宋体" w:cs="Times New Roman"/>
                <w:b/>
                <w:szCs w:val="20"/>
              </w:rPr>
            </w:pPr>
          </w:p>
        </w:tc>
        <w:tc>
          <w:tcPr>
            <w:tcW w:w="1355" w:type="dxa"/>
          </w:tcPr>
          <w:p w14:paraId="33F9F920">
            <w:pPr>
              <w:ind w:left="420" w:hanging="420"/>
              <w:rPr>
                <w:rFonts w:ascii="宋体" w:hAnsi="Times New Roman" w:eastAsia="宋体" w:cs="Times New Roman"/>
                <w:b/>
                <w:szCs w:val="20"/>
              </w:rPr>
            </w:pPr>
          </w:p>
        </w:tc>
        <w:tc>
          <w:tcPr>
            <w:tcW w:w="1320" w:type="dxa"/>
          </w:tcPr>
          <w:p w14:paraId="17D716A5">
            <w:pPr>
              <w:ind w:left="420" w:hanging="420"/>
              <w:rPr>
                <w:rFonts w:ascii="宋体" w:hAnsi="Times New Roman" w:eastAsia="宋体" w:cs="Times New Roman"/>
                <w:b/>
                <w:szCs w:val="20"/>
              </w:rPr>
            </w:pPr>
          </w:p>
        </w:tc>
        <w:tc>
          <w:tcPr>
            <w:tcW w:w="1023" w:type="dxa"/>
          </w:tcPr>
          <w:p w14:paraId="318C7F80">
            <w:pPr>
              <w:ind w:left="420" w:hanging="420"/>
              <w:rPr>
                <w:rFonts w:ascii="宋体" w:hAnsi="Times New Roman" w:eastAsia="宋体" w:cs="Times New Roman"/>
                <w:b/>
                <w:szCs w:val="20"/>
              </w:rPr>
            </w:pPr>
          </w:p>
        </w:tc>
        <w:tc>
          <w:tcPr>
            <w:tcW w:w="1590" w:type="dxa"/>
          </w:tcPr>
          <w:p w14:paraId="760416E1">
            <w:pPr>
              <w:ind w:left="420" w:hanging="420"/>
              <w:rPr>
                <w:rFonts w:ascii="宋体" w:hAnsi="Times New Roman" w:eastAsia="宋体" w:cs="Times New Roman"/>
                <w:b/>
                <w:szCs w:val="20"/>
              </w:rPr>
            </w:pPr>
          </w:p>
        </w:tc>
      </w:tr>
      <w:tr w14:paraId="369759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4297" w:type="dxa"/>
            <w:gridSpan w:val="3"/>
          </w:tcPr>
          <w:p w14:paraId="02EBE31C">
            <w:pPr>
              <w:ind w:left="420" w:hanging="420"/>
              <w:rPr>
                <w:rFonts w:ascii="宋体" w:hAnsi="Times New Roman" w:eastAsia="宋体" w:cs="Times New Roman"/>
                <w:b/>
                <w:szCs w:val="20"/>
              </w:rPr>
            </w:pPr>
            <w:r>
              <w:rPr>
                <w:rFonts w:ascii="宋体" w:hAnsi="宋体" w:eastAsia="宋体" w:cs="宋体"/>
                <w:sz w:val="24"/>
                <w:szCs w:val="24"/>
              </w:rPr>
              <w:t>20</w:t>
            </w:r>
            <w:r>
              <w:rPr>
                <w:rFonts w:hint="eastAsia" w:ascii="宋体" w:hAnsi="宋体" w:eastAsia="宋体" w:cs="宋体"/>
                <w:sz w:val="24"/>
                <w:szCs w:val="24"/>
              </w:rPr>
              <w:t>23</w:t>
            </w:r>
            <w:r>
              <w:rPr>
                <w:rFonts w:ascii="宋体" w:hAnsi="宋体" w:eastAsia="宋体" w:cs="宋体"/>
                <w:sz w:val="24"/>
                <w:szCs w:val="24"/>
              </w:rPr>
              <w:t>年1月1日至今所有业绩合同总额汇总（必填）</w:t>
            </w:r>
          </w:p>
        </w:tc>
        <w:tc>
          <w:tcPr>
            <w:tcW w:w="1320" w:type="dxa"/>
          </w:tcPr>
          <w:p w14:paraId="2E7464D1">
            <w:pPr>
              <w:ind w:left="420" w:hanging="420"/>
              <w:rPr>
                <w:rFonts w:ascii="宋体" w:hAnsi="Times New Roman" w:eastAsia="宋体" w:cs="Times New Roman"/>
                <w:b/>
                <w:szCs w:val="20"/>
              </w:rPr>
            </w:pPr>
          </w:p>
        </w:tc>
        <w:tc>
          <w:tcPr>
            <w:tcW w:w="1023" w:type="dxa"/>
          </w:tcPr>
          <w:p w14:paraId="424C6FE2">
            <w:pPr>
              <w:ind w:left="420" w:hanging="420"/>
              <w:rPr>
                <w:rFonts w:ascii="宋体" w:hAnsi="Times New Roman" w:eastAsia="宋体" w:cs="Times New Roman"/>
                <w:b/>
                <w:szCs w:val="20"/>
              </w:rPr>
            </w:pPr>
          </w:p>
        </w:tc>
        <w:tc>
          <w:tcPr>
            <w:tcW w:w="1590" w:type="dxa"/>
          </w:tcPr>
          <w:p w14:paraId="096D064C">
            <w:pPr>
              <w:ind w:left="420" w:hanging="420"/>
              <w:rPr>
                <w:rFonts w:ascii="宋体" w:hAnsi="Times New Roman" w:eastAsia="宋体" w:cs="Times New Roman"/>
                <w:b/>
                <w:szCs w:val="20"/>
              </w:rPr>
            </w:pPr>
          </w:p>
        </w:tc>
      </w:tr>
    </w:tbl>
    <w:p w14:paraId="67476BE0">
      <w:pPr>
        <w:spacing w:line="240" w:lineRule="atLeast"/>
        <w:rPr>
          <w:rFonts w:ascii="宋体" w:hAnsi="Calibri" w:eastAsia="宋体" w:cs="Times New Roman"/>
          <w:sz w:val="24"/>
          <w:szCs w:val="20"/>
        </w:rPr>
      </w:pPr>
      <w:r>
        <w:rPr>
          <w:rFonts w:hint="eastAsia" w:ascii="宋体" w:hAnsi="宋体" w:eastAsia="宋体" w:cs="Times New Roman"/>
          <w:sz w:val="24"/>
          <w:szCs w:val="20"/>
        </w:rPr>
        <w:t>注：</w:t>
      </w:r>
      <w:r>
        <w:rPr>
          <w:rFonts w:hint="eastAsia" w:ascii="宋体" w:hAnsi="宋体" w:eastAsia="宋体" w:cs="宋体"/>
          <w:kern w:val="0"/>
          <w:sz w:val="24"/>
          <w:szCs w:val="20"/>
        </w:rPr>
        <w:t>提供2023年1月1日以来同类产品的制造销售业绩（用户名单、联系方式）</w:t>
      </w:r>
      <w:r>
        <w:rPr>
          <w:rFonts w:hint="eastAsia" w:ascii="宋体" w:hAnsi="宋体" w:eastAsia="宋体" w:cs="Times New Roman"/>
          <w:sz w:val="24"/>
          <w:szCs w:val="20"/>
        </w:rPr>
        <w:t>，并附合同复印件。</w:t>
      </w:r>
      <w:r>
        <w:rPr>
          <w:rFonts w:hint="eastAsia" w:ascii="宋体" w:hAnsi="宋体" w:eastAsia="宋体" w:cs="宋体"/>
          <w:kern w:val="0"/>
          <w:sz w:val="24"/>
          <w:szCs w:val="20"/>
        </w:rPr>
        <w:t>该同类项目业绩一览表</w:t>
      </w:r>
      <w:r>
        <w:rPr>
          <w:rFonts w:hint="eastAsia" w:ascii="宋体" w:hAnsi="宋体" w:eastAsia="宋体" w:cs="宋体"/>
          <w:b/>
          <w:bCs/>
          <w:kern w:val="0"/>
          <w:sz w:val="24"/>
          <w:szCs w:val="20"/>
        </w:rPr>
        <w:t>必须如实填写，应全尽全</w:t>
      </w:r>
      <w:r>
        <w:rPr>
          <w:rFonts w:hint="eastAsia" w:ascii="宋体" w:hAnsi="宋体" w:eastAsia="宋体" w:cs="宋体"/>
          <w:kern w:val="0"/>
          <w:sz w:val="24"/>
          <w:szCs w:val="20"/>
        </w:rPr>
        <w:t>；一览表最终的所有业绩</w:t>
      </w:r>
      <w:r>
        <w:rPr>
          <w:rFonts w:hint="eastAsia" w:ascii="宋体" w:hAnsi="宋体" w:eastAsia="宋体" w:cs="宋体"/>
          <w:b/>
          <w:bCs/>
          <w:kern w:val="0"/>
          <w:sz w:val="24"/>
          <w:szCs w:val="20"/>
        </w:rPr>
        <w:t>合同总额汇总必填</w:t>
      </w:r>
      <w:r>
        <w:rPr>
          <w:rFonts w:hint="eastAsia" w:ascii="宋体" w:hAnsi="宋体" w:eastAsia="宋体" w:cs="宋体"/>
          <w:kern w:val="0"/>
          <w:sz w:val="24"/>
          <w:szCs w:val="20"/>
        </w:rPr>
        <w:t>，此项很重要，数据将影响现场评标专家组对投标单位的业绩考评。若未提供相应业绩证明，根据技术标评分规则，将影响现场评标专家组对投标单位业绩判定打分</w:t>
      </w:r>
      <w:r>
        <w:rPr>
          <w:rFonts w:hint="eastAsia" w:ascii="宋体" w:hAnsi="宋体" w:eastAsia="宋体" w:cs="Times New Roman"/>
          <w:sz w:val="24"/>
          <w:szCs w:val="20"/>
        </w:rPr>
        <w:t>。</w:t>
      </w:r>
    </w:p>
    <w:p w14:paraId="3A024DBD">
      <w:pPr>
        <w:spacing w:line="660" w:lineRule="exact"/>
        <w:rPr>
          <w:rFonts w:ascii="宋体" w:hAnsi="Calibri" w:eastAsia="宋体" w:cs="Times New Roman"/>
          <w:sz w:val="24"/>
          <w:szCs w:val="20"/>
        </w:rPr>
      </w:pPr>
      <w:r>
        <w:rPr>
          <w:rFonts w:hint="eastAsia" w:ascii="宋体" w:hAnsi="宋体" w:eastAsia="宋体" w:cs="Times New Roman"/>
          <w:sz w:val="24"/>
          <w:szCs w:val="20"/>
        </w:rPr>
        <w:t>投标人：（盖章）</w:t>
      </w:r>
    </w:p>
    <w:p w14:paraId="056D0B94">
      <w:pPr>
        <w:spacing w:line="660" w:lineRule="exact"/>
        <w:rPr>
          <w:rFonts w:ascii="宋体" w:hAnsi="Calibri" w:eastAsia="宋体" w:cs="Times New Roman"/>
          <w:sz w:val="24"/>
          <w:szCs w:val="20"/>
        </w:rPr>
      </w:pPr>
      <w:r>
        <w:rPr>
          <w:rFonts w:hint="eastAsia" w:ascii="宋体" w:hAnsi="宋体" w:eastAsia="宋体" w:cs="Times New Roman"/>
          <w:sz w:val="24"/>
          <w:szCs w:val="20"/>
        </w:rPr>
        <w:t>法定代表人（委托代理人）：（签字）</w:t>
      </w:r>
    </w:p>
    <w:p w14:paraId="4361DDEB">
      <w:pPr>
        <w:spacing w:line="660" w:lineRule="exact"/>
        <w:rPr>
          <w:rFonts w:ascii="宋体" w:hAnsi="Calibri" w:eastAsia="宋体" w:cs="Times New Roman"/>
          <w:sz w:val="24"/>
          <w:szCs w:val="20"/>
        </w:rPr>
      </w:pPr>
      <w:r>
        <w:rPr>
          <w:rFonts w:hint="eastAsia" w:ascii="宋体" w:hAnsi="宋体" w:eastAsia="宋体" w:cs="Times New Roman"/>
          <w:sz w:val="24"/>
          <w:szCs w:val="20"/>
        </w:rPr>
        <w:t>日</w:t>
      </w:r>
      <w:r>
        <w:rPr>
          <w:rFonts w:ascii="宋体" w:hAnsi="宋体" w:eastAsia="宋体" w:cs="Times New Roman"/>
          <w:sz w:val="24"/>
          <w:szCs w:val="20"/>
        </w:rPr>
        <w:t xml:space="preserve">  </w:t>
      </w:r>
      <w:r>
        <w:rPr>
          <w:rFonts w:hint="eastAsia" w:ascii="宋体" w:hAnsi="宋体" w:eastAsia="宋体" w:cs="Times New Roman"/>
          <w:sz w:val="24"/>
          <w:szCs w:val="20"/>
        </w:rPr>
        <w:t>期：</w:t>
      </w:r>
      <w:r>
        <w:rPr>
          <w:rFonts w:ascii="宋体" w:hAnsi="宋体" w:eastAsia="宋体" w:cs="Times New Roman"/>
          <w:sz w:val="24"/>
          <w:szCs w:val="20"/>
          <w:u w:val="single"/>
        </w:rPr>
        <w:t xml:space="preserve">       </w:t>
      </w:r>
      <w:r>
        <w:rPr>
          <w:rFonts w:hint="eastAsia" w:ascii="宋体" w:hAnsi="宋体" w:eastAsia="宋体" w:cs="Times New Roman"/>
          <w:sz w:val="24"/>
          <w:szCs w:val="20"/>
        </w:rPr>
        <w:t>年</w:t>
      </w:r>
      <w:r>
        <w:rPr>
          <w:rFonts w:ascii="宋体" w:hAnsi="宋体" w:eastAsia="宋体" w:cs="Times New Roman"/>
          <w:sz w:val="24"/>
          <w:szCs w:val="20"/>
          <w:u w:val="single"/>
        </w:rPr>
        <w:t xml:space="preserve">    </w:t>
      </w:r>
      <w:r>
        <w:rPr>
          <w:rFonts w:hint="eastAsia" w:ascii="宋体" w:hAnsi="宋体" w:eastAsia="宋体" w:cs="Times New Roman"/>
          <w:sz w:val="24"/>
          <w:szCs w:val="20"/>
        </w:rPr>
        <w:t>月</w:t>
      </w:r>
      <w:r>
        <w:rPr>
          <w:rFonts w:ascii="宋体" w:hAnsi="宋体" w:eastAsia="宋体" w:cs="Times New Roman"/>
          <w:sz w:val="24"/>
          <w:szCs w:val="20"/>
          <w:u w:val="single"/>
        </w:rPr>
        <w:t xml:space="preserve">    </w:t>
      </w:r>
      <w:r>
        <w:rPr>
          <w:rFonts w:hint="eastAsia" w:ascii="宋体" w:hAnsi="宋体" w:eastAsia="宋体" w:cs="Times New Roman"/>
          <w:sz w:val="24"/>
          <w:szCs w:val="20"/>
        </w:rPr>
        <w:t>日</w:t>
      </w:r>
    </w:p>
    <w:p w14:paraId="1C8B6035">
      <w:pPr>
        <w:rPr>
          <w:rFonts w:ascii="宋体" w:hAnsi="Calibri" w:eastAsia="宋体" w:cs="宋体"/>
          <w:b/>
          <w:bCs/>
          <w:color w:val="000000"/>
          <w:sz w:val="28"/>
        </w:rPr>
      </w:pPr>
    </w:p>
    <w:p w14:paraId="29F690F2">
      <w:pPr>
        <w:rPr>
          <w:rFonts w:ascii="宋体" w:hAnsi="Calibri" w:eastAsia="宋体" w:cs="宋体"/>
          <w:b/>
          <w:bCs/>
          <w:color w:val="000000"/>
          <w:sz w:val="28"/>
        </w:rPr>
        <w:sectPr>
          <w:footerReference r:id="rId24" w:type="first"/>
          <w:footerReference r:id="rId23" w:type="default"/>
          <w:pgSz w:w="11906" w:h="16838"/>
          <w:pgMar w:top="1588" w:right="1418" w:bottom="1134" w:left="1418" w:header="851" w:footer="992" w:gutter="0"/>
          <w:cols w:space="720" w:num="1"/>
          <w:titlePg/>
          <w:docGrid w:type="lines" w:linePitch="312" w:charSpace="0"/>
        </w:sectPr>
      </w:pPr>
    </w:p>
    <w:p w14:paraId="73235686">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附件7</w:t>
      </w:r>
      <w:r>
        <w:rPr>
          <w:rFonts w:ascii="Times New Roman" w:hAnsi="Times New Roman" w:eastAsia="宋体" w:cs="Times New Roman"/>
          <w:b/>
          <w:bCs/>
          <w:color w:val="000000"/>
          <w:sz w:val="24"/>
          <w:szCs w:val="24"/>
        </w:rPr>
        <w:t xml:space="preserve"> </w:t>
      </w:r>
      <w:r>
        <w:rPr>
          <w:rFonts w:hint="eastAsia" w:ascii="Times New Roman" w:hAnsi="Times New Roman" w:eastAsia="宋体" w:cs="Times New Roman"/>
          <w:b/>
          <w:bCs/>
          <w:color w:val="000000"/>
          <w:sz w:val="24"/>
          <w:szCs w:val="24"/>
        </w:rPr>
        <w:t>设备质量承诺函</w:t>
      </w:r>
    </w:p>
    <w:p w14:paraId="2DBB3EE1">
      <w:pPr>
        <w:spacing w:line="240" w:lineRule="exact"/>
        <w:rPr>
          <w:rFonts w:hint="eastAsia" w:ascii="宋体" w:hAnsi="宋体" w:eastAsia="宋体" w:cs="Times New Roman"/>
          <w:szCs w:val="20"/>
        </w:rPr>
      </w:pPr>
      <w:r>
        <w:rPr>
          <w:rFonts w:ascii="宋体" w:hAnsi="宋体" w:eastAsia="宋体" w:cs="Times New Roman"/>
          <w:szCs w:val="20"/>
        </w:rPr>
        <w:t xml:space="preserve">                                               </w:t>
      </w:r>
    </w:p>
    <w:p w14:paraId="0367FC4F">
      <w:pPr>
        <w:spacing w:line="360" w:lineRule="auto"/>
        <w:rPr>
          <w:rFonts w:hint="eastAsia" w:ascii="宋体" w:hAnsi="宋体" w:eastAsia="宋体" w:cs="Times New Roman"/>
          <w:sz w:val="24"/>
          <w:szCs w:val="20"/>
          <w:u w:val="single"/>
        </w:rPr>
      </w:pPr>
      <w:r>
        <w:rPr>
          <w:rFonts w:hint="eastAsia" w:ascii="宋体" w:hAnsi="宋体" w:eastAsia="宋体" w:cs="Times New Roman"/>
          <w:sz w:val="24"/>
          <w:szCs w:val="20"/>
        </w:rPr>
        <w:t>项目名称</w:t>
      </w:r>
      <w:r>
        <w:rPr>
          <w:rFonts w:ascii="宋体" w:hAnsi="宋体" w:eastAsia="宋体" w:cs="Times New Roman"/>
          <w:sz w:val="24"/>
          <w:szCs w:val="20"/>
        </w:rPr>
        <w:t xml:space="preserve">: </w:t>
      </w:r>
      <w:r>
        <w:rPr>
          <w:rFonts w:hint="eastAsia" w:ascii="仿宋_GB2312" w:hAnsi="宋体" w:eastAsia="仿宋_GB2312"/>
          <w:sz w:val="24"/>
          <w:u w:val="single"/>
        </w:rPr>
        <w:t>全新一代中重卡宽体平地板驾驶室2300车型平顶金属顶盖模检具项目</w:t>
      </w:r>
    </w:p>
    <w:p w14:paraId="47470983">
      <w:pPr>
        <w:spacing w:line="360" w:lineRule="auto"/>
        <w:rPr>
          <w:rFonts w:ascii="宋体" w:hAnsi="Calibri" w:eastAsia="宋体" w:cs="Times New Roman"/>
          <w:b/>
          <w:bCs/>
          <w:sz w:val="24"/>
          <w:szCs w:val="20"/>
        </w:rPr>
      </w:pPr>
      <w:r>
        <w:rPr>
          <w:rFonts w:hint="eastAsia" w:ascii="宋体" w:hAnsi="宋体" w:eastAsia="宋体" w:cs="Times New Roman"/>
          <w:b/>
          <w:bCs/>
          <w:sz w:val="24"/>
          <w:szCs w:val="20"/>
        </w:rPr>
        <w:t>中国重汽集团济南商用车有限公司：</w:t>
      </w:r>
    </w:p>
    <w:p w14:paraId="0B44C3E1">
      <w:pPr>
        <w:spacing w:line="360" w:lineRule="auto"/>
        <w:ind w:firstLine="480" w:firstLineChars="200"/>
        <w:rPr>
          <w:rFonts w:ascii="宋体" w:hAnsi="Calibri" w:eastAsia="宋体" w:cs="Times New Roman"/>
          <w:sz w:val="24"/>
          <w:szCs w:val="20"/>
        </w:rPr>
      </w:pPr>
      <w:r>
        <w:rPr>
          <w:rFonts w:hint="eastAsia" w:ascii="宋体" w:hAnsi="宋体" w:eastAsia="宋体" w:cs="Times New Roman"/>
          <w:sz w:val="24"/>
          <w:szCs w:val="20"/>
        </w:rPr>
        <w:t>我代表</w:t>
      </w:r>
      <w:r>
        <w:rPr>
          <w:rFonts w:ascii="宋体" w:hAnsi="宋体" w:eastAsia="宋体" w:cs="Times New Roman"/>
          <w:sz w:val="24"/>
          <w:szCs w:val="20"/>
        </w:rPr>
        <w:t>(</w:t>
      </w:r>
      <w:r>
        <w:rPr>
          <w:rFonts w:hint="eastAsia" w:ascii="宋体" w:hAnsi="宋体" w:eastAsia="宋体" w:cs="Times New Roman"/>
          <w:sz w:val="24"/>
          <w:szCs w:val="20"/>
        </w:rPr>
        <w:t>投标人名称</w:t>
      </w:r>
      <w:r>
        <w:rPr>
          <w:rFonts w:ascii="宋体" w:hAnsi="宋体" w:eastAsia="宋体" w:cs="Times New Roman"/>
          <w:sz w:val="24"/>
          <w:szCs w:val="20"/>
        </w:rPr>
        <w:t>)</w:t>
      </w:r>
      <w:r>
        <w:rPr>
          <w:rFonts w:hint="eastAsia" w:ascii="宋体" w:hAnsi="宋体" w:eastAsia="宋体" w:cs="Times New Roman"/>
          <w:sz w:val="24"/>
          <w:szCs w:val="20"/>
        </w:rPr>
        <w:t>为保证中标产品的质量特作如下承诺：</w:t>
      </w:r>
    </w:p>
    <w:p w14:paraId="681B47AF">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7999E035">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1F3B5714">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42885DA0">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047CA848">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3D508DE0">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565F9B4C">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2CD5930B">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1876DE12">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2332208C">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551763B0">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7D58460E">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3E846F3D">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79AC3D37">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5FB560D0">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4C4FF2E3">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3225DAD0">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71482A10">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7882931B">
      <w:pPr>
        <w:spacing w:line="360" w:lineRule="auto"/>
        <w:ind w:left="480"/>
        <w:rPr>
          <w:rFonts w:hint="eastAsia" w:ascii="宋体" w:hAnsi="宋体" w:eastAsia="宋体" w:cs="Times New Roman"/>
          <w:sz w:val="24"/>
          <w:szCs w:val="20"/>
        </w:rPr>
      </w:pPr>
      <w:r>
        <w:rPr>
          <w:rFonts w:ascii="宋体" w:hAnsi="宋体" w:eastAsia="宋体" w:cs="Times New Roman"/>
          <w:sz w:val="24"/>
          <w:szCs w:val="20"/>
        </w:rPr>
        <w:t xml:space="preserve">                           </w:t>
      </w:r>
    </w:p>
    <w:p w14:paraId="44527735">
      <w:pPr>
        <w:spacing w:line="660" w:lineRule="exact"/>
        <w:rPr>
          <w:rFonts w:ascii="宋体" w:hAnsi="Calibri" w:eastAsia="宋体" w:cs="Times New Roman"/>
          <w:sz w:val="24"/>
          <w:szCs w:val="20"/>
        </w:rPr>
      </w:pPr>
      <w:r>
        <w:rPr>
          <w:rFonts w:hint="eastAsia" w:ascii="宋体" w:hAnsi="宋体" w:eastAsia="宋体" w:cs="Times New Roman"/>
          <w:sz w:val="24"/>
          <w:szCs w:val="20"/>
        </w:rPr>
        <w:t>投标人：（盖章）</w:t>
      </w:r>
    </w:p>
    <w:p w14:paraId="2AB40499">
      <w:pPr>
        <w:spacing w:line="660" w:lineRule="exact"/>
        <w:rPr>
          <w:rFonts w:ascii="宋体" w:hAnsi="Calibri" w:eastAsia="宋体" w:cs="Times New Roman"/>
          <w:sz w:val="24"/>
          <w:szCs w:val="20"/>
        </w:rPr>
      </w:pPr>
      <w:r>
        <w:rPr>
          <w:rFonts w:hint="eastAsia" w:ascii="宋体" w:hAnsi="宋体" w:eastAsia="宋体" w:cs="Times New Roman"/>
          <w:sz w:val="24"/>
          <w:szCs w:val="20"/>
        </w:rPr>
        <w:t>法定代表人（委托代理人）：（签字）</w:t>
      </w:r>
    </w:p>
    <w:p w14:paraId="57211AFA">
      <w:pPr>
        <w:spacing w:line="660" w:lineRule="exact"/>
        <w:rPr>
          <w:rFonts w:ascii="宋体" w:hAnsi="Calibri" w:eastAsia="宋体" w:cs="Times New Roman"/>
          <w:sz w:val="24"/>
          <w:szCs w:val="20"/>
        </w:rPr>
      </w:pPr>
      <w:r>
        <w:rPr>
          <w:rFonts w:hint="eastAsia" w:ascii="宋体" w:hAnsi="宋体" w:eastAsia="宋体" w:cs="Times New Roman"/>
          <w:sz w:val="24"/>
          <w:szCs w:val="20"/>
        </w:rPr>
        <w:t>日</w:t>
      </w:r>
      <w:r>
        <w:rPr>
          <w:rFonts w:ascii="宋体" w:hAnsi="宋体" w:eastAsia="宋体" w:cs="Times New Roman"/>
          <w:sz w:val="24"/>
          <w:szCs w:val="20"/>
        </w:rPr>
        <w:t xml:space="preserve">  </w:t>
      </w:r>
      <w:r>
        <w:rPr>
          <w:rFonts w:hint="eastAsia" w:ascii="宋体" w:hAnsi="宋体" w:eastAsia="宋体" w:cs="Times New Roman"/>
          <w:sz w:val="24"/>
          <w:szCs w:val="20"/>
        </w:rPr>
        <w:t>期：</w:t>
      </w:r>
      <w:r>
        <w:rPr>
          <w:rFonts w:ascii="宋体" w:hAnsi="宋体" w:eastAsia="宋体" w:cs="Times New Roman"/>
          <w:sz w:val="24"/>
          <w:szCs w:val="20"/>
          <w:u w:val="single"/>
        </w:rPr>
        <w:t xml:space="preserve">       </w:t>
      </w:r>
      <w:r>
        <w:rPr>
          <w:rFonts w:hint="eastAsia" w:ascii="宋体" w:hAnsi="宋体" w:eastAsia="宋体" w:cs="Times New Roman"/>
          <w:sz w:val="24"/>
          <w:szCs w:val="20"/>
        </w:rPr>
        <w:t>年</w:t>
      </w:r>
      <w:r>
        <w:rPr>
          <w:rFonts w:ascii="宋体" w:hAnsi="宋体" w:eastAsia="宋体" w:cs="Times New Roman"/>
          <w:sz w:val="24"/>
          <w:szCs w:val="20"/>
          <w:u w:val="single"/>
        </w:rPr>
        <w:t xml:space="preserve">    </w:t>
      </w:r>
      <w:r>
        <w:rPr>
          <w:rFonts w:hint="eastAsia" w:ascii="宋体" w:hAnsi="宋体" w:eastAsia="宋体" w:cs="Times New Roman"/>
          <w:sz w:val="24"/>
          <w:szCs w:val="20"/>
        </w:rPr>
        <w:t>月</w:t>
      </w:r>
      <w:r>
        <w:rPr>
          <w:rFonts w:ascii="宋体" w:hAnsi="宋体" w:eastAsia="宋体" w:cs="Times New Roman"/>
          <w:sz w:val="24"/>
          <w:szCs w:val="20"/>
          <w:u w:val="single"/>
        </w:rPr>
        <w:t xml:space="preserve">    </w:t>
      </w:r>
      <w:r>
        <w:rPr>
          <w:rFonts w:hint="eastAsia" w:ascii="宋体" w:hAnsi="宋体" w:eastAsia="宋体" w:cs="Times New Roman"/>
          <w:sz w:val="24"/>
          <w:szCs w:val="20"/>
        </w:rPr>
        <w:t>日</w:t>
      </w:r>
    </w:p>
    <w:p w14:paraId="2C14C7E8">
      <w:pPr>
        <w:rPr>
          <w:rFonts w:ascii="宋体" w:hAnsi="Calibri" w:eastAsia="宋体" w:cs="宋体"/>
          <w:b/>
          <w:bCs/>
          <w:color w:val="000000"/>
          <w:sz w:val="28"/>
          <w:szCs w:val="20"/>
        </w:rPr>
        <w:sectPr>
          <w:footerReference r:id="rId26" w:type="first"/>
          <w:footerReference r:id="rId25" w:type="default"/>
          <w:pgSz w:w="11906" w:h="16838"/>
          <w:pgMar w:top="1588" w:right="1418" w:bottom="1134" w:left="1418" w:header="851" w:footer="992" w:gutter="0"/>
          <w:cols w:space="720" w:num="1"/>
          <w:titlePg/>
          <w:docGrid w:type="lines" w:linePitch="312" w:charSpace="0"/>
        </w:sectPr>
      </w:pPr>
    </w:p>
    <w:p w14:paraId="3445D604">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附件8</w:t>
      </w:r>
      <w:r>
        <w:rPr>
          <w:rFonts w:ascii="Times New Roman" w:hAnsi="Times New Roman" w:eastAsia="宋体" w:cs="Times New Roman"/>
          <w:b/>
          <w:bCs/>
          <w:color w:val="000000"/>
          <w:sz w:val="24"/>
          <w:szCs w:val="24"/>
        </w:rPr>
        <w:t xml:space="preserve"> </w:t>
      </w:r>
      <w:r>
        <w:rPr>
          <w:rFonts w:hint="eastAsia" w:ascii="Times New Roman" w:hAnsi="Times New Roman" w:eastAsia="宋体" w:cs="Times New Roman"/>
          <w:b/>
          <w:bCs/>
          <w:color w:val="000000"/>
          <w:sz w:val="24"/>
          <w:szCs w:val="24"/>
        </w:rPr>
        <w:t>开标一览表</w:t>
      </w:r>
    </w:p>
    <w:p w14:paraId="76301CE9">
      <w:pPr>
        <w:spacing w:line="360" w:lineRule="auto"/>
        <w:ind w:firstLine="482" w:firstLineChars="200"/>
        <w:rPr>
          <w:rFonts w:hint="eastAsia" w:ascii="宋体" w:hAnsi="宋体" w:eastAsia="宋体" w:cs="Times New Roman"/>
          <w:b/>
          <w:color w:val="000000"/>
          <w:sz w:val="24"/>
          <w:szCs w:val="24"/>
        </w:rPr>
      </w:pPr>
      <w:r>
        <w:rPr>
          <w:rFonts w:hint="eastAsia" w:ascii="宋体" w:hAnsi="宋体" w:eastAsia="宋体" w:cs="Times New Roman"/>
          <w:b/>
          <w:color w:val="000000"/>
          <w:sz w:val="24"/>
          <w:szCs w:val="24"/>
        </w:rPr>
        <w:t>《开标一览表》单独封存，以备唱标使用</w:t>
      </w:r>
    </w:p>
    <w:p w14:paraId="2ED1FF19">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项目名称：</w:t>
      </w:r>
      <w:r>
        <w:rPr>
          <w:rFonts w:hint="eastAsia" w:ascii="仿宋_GB2312" w:hAnsi="宋体" w:eastAsia="仿宋_GB2312"/>
          <w:sz w:val="24"/>
          <w:u w:val="single"/>
        </w:rPr>
        <w:t>全新一代中重卡宽体平地板驾驶室2300车型平顶金属顶盖模检具项目</w:t>
      </w:r>
      <w:r>
        <w:rPr>
          <w:rFonts w:ascii="宋体" w:hAnsi="宋体" w:eastAsia="宋体" w:cs="Times New Roman"/>
          <w:color w:val="000000"/>
          <w:sz w:val="24"/>
          <w:szCs w:val="24"/>
          <w:u w:val="single"/>
        </w:rPr>
        <w:t xml:space="preserve">    </w:t>
      </w:r>
      <w:r>
        <w:rPr>
          <w:rFonts w:ascii="宋体" w:hAnsi="宋体" w:eastAsia="宋体" w:cs="Times New Roman"/>
          <w:color w:val="000000"/>
          <w:sz w:val="24"/>
          <w:szCs w:val="24"/>
        </w:rPr>
        <w:t xml:space="preserve">                                                    </w:t>
      </w:r>
    </w:p>
    <w:tbl>
      <w:tblPr>
        <w:tblStyle w:val="41"/>
        <w:tblW w:w="906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7"/>
        <w:gridCol w:w="1518"/>
        <w:gridCol w:w="848"/>
        <w:gridCol w:w="2004"/>
        <w:gridCol w:w="1200"/>
        <w:gridCol w:w="1143"/>
        <w:gridCol w:w="844"/>
        <w:gridCol w:w="826"/>
      </w:tblGrid>
      <w:tr w14:paraId="494B30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65" w:hRule="atLeast"/>
          <w:jc w:val="center"/>
        </w:trPr>
        <w:tc>
          <w:tcPr>
            <w:tcW w:w="677" w:type="dxa"/>
            <w:vAlign w:val="center"/>
          </w:tcPr>
          <w:p w14:paraId="49341DA6">
            <w:pPr>
              <w:jc w:val="center"/>
              <w:rPr>
                <w:rFonts w:ascii="Times New Roman" w:hAnsi="Times New Roman" w:eastAsia="宋体" w:cs="Times New Roman"/>
                <w:b/>
                <w:szCs w:val="20"/>
              </w:rPr>
            </w:pPr>
            <w:r>
              <w:rPr>
                <w:rFonts w:hint="eastAsia" w:ascii="Times New Roman" w:hAnsi="Times New Roman" w:eastAsia="宋体" w:cs="Times New Roman"/>
                <w:b/>
                <w:szCs w:val="20"/>
              </w:rPr>
              <w:t>序号</w:t>
            </w:r>
          </w:p>
        </w:tc>
        <w:tc>
          <w:tcPr>
            <w:tcW w:w="1518" w:type="dxa"/>
            <w:vAlign w:val="center"/>
          </w:tcPr>
          <w:p w14:paraId="6F6252A7">
            <w:pPr>
              <w:jc w:val="center"/>
              <w:rPr>
                <w:rFonts w:ascii="Times New Roman" w:hAnsi="Times New Roman" w:eastAsia="宋体" w:cs="Times New Roman"/>
                <w:b/>
                <w:szCs w:val="20"/>
              </w:rPr>
            </w:pPr>
            <w:r>
              <w:rPr>
                <w:rFonts w:hint="eastAsia" w:ascii="Times New Roman" w:hAnsi="Times New Roman" w:eastAsia="宋体" w:cs="Times New Roman"/>
                <w:b/>
                <w:szCs w:val="20"/>
              </w:rPr>
              <w:t>货物名称</w:t>
            </w:r>
          </w:p>
        </w:tc>
        <w:tc>
          <w:tcPr>
            <w:tcW w:w="848" w:type="dxa"/>
            <w:vAlign w:val="center"/>
          </w:tcPr>
          <w:p w14:paraId="2A09B958">
            <w:pPr>
              <w:jc w:val="center"/>
              <w:rPr>
                <w:rFonts w:ascii="Times New Roman" w:hAnsi="Times New Roman" w:eastAsia="宋体" w:cs="Times New Roman"/>
                <w:b/>
                <w:szCs w:val="20"/>
              </w:rPr>
            </w:pPr>
            <w:r>
              <w:rPr>
                <w:rFonts w:hint="eastAsia" w:ascii="Times New Roman" w:hAnsi="Times New Roman" w:eastAsia="宋体" w:cs="Times New Roman"/>
                <w:b/>
                <w:szCs w:val="20"/>
              </w:rPr>
              <w:t>数量</w:t>
            </w:r>
          </w:p>
        </w:tc>
        <w:tc>
          <w:tcPr>
            <w:tcW w:w="2004" w:type="dxa"/>
            <w:vAlign w:val="center"/>
          </w:tcPr>
          <w:p w14:paraId="5218355E">
            <w:pPr>
              <w:jc w:val="center"/>
              <w:rPr>
                <w:rFonts w:ascii="Times New Roman" w:hAnsi="Times New Roman" w:eastAsia="宋体" w:cs="Times New Roman"/>
                <w:b/>
                <w:szCs w:val="20"/>
              </w:rPr>
            </w:pPr>
            <w:r>
              <w:rPr>
                <w:rFonts w:hint="eastAsia" w:ascii="Times New Roman" w:hAnsi="Times New Roman" w:eastAsia="宋体" w:cs="Times New Roman"/>
                <w:b/>
                <w:szCs w:val="20"/>
              </w:rPr>
              <w:t>投标总价</w:t>
            </w:r>
            <w:r>
              <w:rPr>
                <w:rFonts w:hint="eastAsia" w:ascii="等线" w:hAnsi="等线" w:eastAsia="等线" w:cs="Times New Roman"/>
                <w:b/>
                <w:szCs w:val="20"/>
              </w:rPr>
              <w:t>（元）</w:t>
            </w:r>
          </w:p>
        </w:tc>
        <w:tc>
          <w:tcPr>
            <w:tcW w:w="1200" w:type="dxa"/>
            <w:vAlign w:val="center"/>
          </w:tcPr>
          <w:p w14:paraId="05C42D2C">
            <w:pPr>
              <w:jc w:val="center"/>
              <w:rPr>
                <w:rFonts w:ascii="Times New Roman" w:hAnsi="Times New Roman" w:eastAsia="宋体" w:cs="Times New Roman"/>
                <w:b/>
                <w:szCs w:val="20"/>
              </w:rPr>
            </w:pPr>
            <w:r>
              <w:rPr>
                <w:rFonts w:hint="eastAsia" w:ascii="Times New Roman" w:hAnsi="Times New Roman" w:eastAsia="宋体" w:cs="Times New Roman"/>
                <w:b/>
                <w:szCs w:val="20"/>
              </w:rPr>
              <w:t>质保期</w:t>
            </w:r>
          </w:p>
        </w:tc>
        <w:tc>
          <w:tcPr>
            <w:tcW w:w="1143" w:type="dxa"/>
            <w:vAlign w:val="center"/>
          </w:tcPr>
          <w:p w14:paraId="5205922D">
            <w:pPr>
              <w:jc w:val="center"/>
              <w:rPr>
                <w:rFonts w:ascii="Times New Roman" w:hAnsi="Times New Roman" w:eastAsia="宋体" w:cs="Times New Roman"/>
                <w:b/>
                <w:szCs w:val="20"/>
              </w:rPr>
            </w:pPr>
            <w:r>
              <w:rPr>
                <w:rFonts w:hint="eastAsia" w:ascii="Times New Roman" w:hAnsi="Times New Roman" w:eastAsia="宋体" w:cs="Times New Roman"/>
                <w:b/>
                <w:szCs w:val="20"/>
              </w:rPr>
              <w:t>交货及安装时间</w:t>
            </w:r>
          </w:p>
        </w:tc>
        <w:tc>
          <w:tcPr>
            <w:tcW w:w="844" w:type="dxa"/>
            <w:vAlign w:val="center"/>
          </w:tcPr>
          <w:p w14:paraId="3AC5B418">
            <w:pPr>
              <w:jc w:val="center"/>
              <w:rPr>
                <w:rFonts w:ascii="Times New Roman" w:hAnsi="Times New Roman" w:eastAsia="宋体" w:cs="Times New Roman"/>
                <w:b/>
                <w:szCs w:val="20"/>
              </w:rPr>
            </w:pPr>
            <w:r>
              <w:rPr>
                <w:rFonts w:hint="eastAsia" w:ascii="等线" w:hAnsi="等线" w:eastAsia="等线" w:cs="Times New Roman"/>
                <w:b/>
                <w:szCs w:val="20"/>
              </w:rPr>
              <w:t>付款方式及比例如何响应</w:t>
            </w:r>
          </w:p>
        </w:tc>
        <w:tc>
          <w:tcPr>
            <w:tcW w:w="826" w:type="dxa"/>
            <w:vAlign w:val="center"/>
          </w:tcPr>
          <w:p w14:paraId="4D9ADE33">
            <w:pPr>
              <w:jc w:val="center"/>
              <w:rPr>
                <w:rFonts w:hint="eastAsia" w:ascii="等线" w:hAnsi="等线" w:eastAsia="等线" w:cs="Times New Roman"/>
                <w:b/>
                <w:szCs w:val="20"/>
              </w:rPr>
            </w:pPr>
            <w:r>
              <w:rPr>
                <w:rFonts w:hint="eastAsia" w:ascii="等线" w:hAnsi="等线" w:eastAsia="等线" w:cs="Times New Roman"/>
                <w:b/>
                <w:szCs w:val="20"/>
              </w:rPr>
              <w:t>付款方式及比例是否偏离</w:t>
            </w:r>
          </w:p>
        </w:tc>
      </w:tr>
      <w:tr w14:paraId="1D7893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534" w:hRule="atLeast"/>
          <w:jc w:val="center"/>
        </w:trPr>
        <w:tc>
          <w:tcPr>
            <w:tcW w:w="677" w:type="dxa"/>
            <w:vAlign w:val="center"/>
          </w:tcPr>
          <w:p w14:paraId="648DC6FF">
            <w:pPr>
              <w:jc w:val="center"/>
              <w:rPr>
                <w:rFonts w:ascii="Times New Roman" w:hAnsi="Times New Roman" w:eastAsia="宋体" w:cs="Times New Roman"/>
                <w:b/>
                <w:szCs w:val="20"/>
              </w:rPr>
            </w:pPr>
            <w:r>
              <w:rPr>
                <w:rFonts w:ascii="Times New Roman" w:hAnsi="Times New Roman" w:eastAsia="宋体" w:cs="Times New Roman"/>
                <w:b/>
                <w:szCs w:val="20"/>
              </w:rPr>
              <w:t>1</w:t>
            </w:r>
          </w:p>
        </w:tc>
        <w:tc>
          <w:tcPr>
            <w:tcW w:w="1518" w:type="dxa"/>
            <w:vAlign w:val="center"/>
          </w:tcPr>
          <w:p w14:paraId="2E181914">
            <w:pPr>
              <w:jc w:val="center"/>
              <w:rPr>
                <w:rFonts w:ascii="Times New Roman" w:hAnsi="Times New Roman" w:eastAsia="宋体" w:cs="Times New Roman"/>
                <w:b/>
                <w:szCs w:val="20"/>
              </w:rPr>
            </w:pPr>
            <w:r>
              <w:rPr>
                <w:rFonts w:hint="eastAsia" w:ascii="仿宋_GB2312" w:hAnsi="宋体" w:eastAsia="仿宋_GB2312"/>
                <w:sz w:val="24"/>
                <w:u w:val="single"/>
              </w:rPr>
              <w:t>全新一代中重卡宽体平地板驾驶室2300车型平顶金属顶盖模检具项目</w:t>
            </w:r>
          </w:p>
        </w:tc>
        <w:tc>
          <w:tcPr>
            <w:tcW w:w="848" w:type="dxa"/>
            <w:vAlign w:val="center"/>
          </w:tcPr>
          <w:p w14:paraId="6D86D214">
            <w:pPr>
              <w:jc w:val="center"/>
              <w:rPr>
                <w:rFonts w:ascii="Times New Roman" w:hAnsi="Times New Roman" w:eastAsia="宋体" w:cs="Times New Roman"/>
                <w:b/>
                <w:szCs w:val="20"/>
              </w:rPr>
            </w:pPr>
            <w:r>
              <w:rPr>
                <w:rFonts w:ascii="Times New Roman" w:hAnsi="Times New Roman" w:eastAsia="宋体" w:cs="Times New Roman"/>
                <w:b/>
                <w:szCs w:val="20"/>
              </w:rPr>
              <w:t>1</w:t>
            </w:r>
            <w:r>
              <w:rPr>
                <w:rFonts w:hint="eastAsia" w:ascii="Times New Roman" w:hAnsi="Times New Roman" w:eastAsia="宋体" w:cs="Times New Roman"/>
                <w:b/>
                <w:szCs w:val="20"/>
              </w:rPr>
              <w:t>批</w:t>
            </w:r>
          </w:p>
        </w:tc>
        <w:tc>
          <w:tcPr>
            <w:tcW w:w="2004" w:type="dxa"/>
            <w:vAlign w:val="center"/>
          </w:tcPr>
          <w:p w14:paraId="683643D9">
            <w:pPr>
              <w:rPr>
                <w:rFonts w:hint="eastAsia" w:ascii="等线" w:hAnsi="等线" w:eastAsia="等线" w:cs="Times New Roman"/>
                <w:b/>
                <w:szCs w:val="20"/>
              </w:rPr>
            </w:pPr>
            <w:r>
              <w:rPr>
                <w:rFonts w:hint="eastAsia" w:ascii="等线" w:hAnsi="等线" w:eastAsia="等线" w:cs="Times New Roman"/>
                <w:b/>
                <w:szCs w:val="20"/>
              </w:rPr>
              <w:t>不含税价：</w:t>
            </w:r>
          </w:p>
          <w:p w14:paraId="04D5BBF8">
            <w:pPr>
              <w:rPr>
                <w:rFonts w:hint="eastAsia" w:ascii="等线" w:hAnsi="等线" w:eastAsia="等线" w:cs="Times New Roman"/>
                <w:b/>
                <w:szCs w:val="20"/>
              </w:rPr>
            </w:pPr>
            <w:r>
              <w:rPr>
                <w:rFonts w:hint="eastAsia" w:ascii="等线" w:hAnsi="等线" w:eastAsia="等线" w:cs="Times New Roman"/>
                <w:b/>
                <w:szCs w:val="20"/>
              </w:rPr>
              <w:t>含税价格：</w:t>
            </w:r>
          </w:p>
          <w:p w14:paraId="1698CE4C">
            <w:pPr>
              <w:rPr>
                <w:rFonts w:ascii="Times New Roman" w:hAnsi="Times New Roman" w:eastAsia="宋体" w:cs="Times New Roman"/>
                <w:b/>
                <w:szCs w:val="20"/>
              </w:rPr>
            </w:pPr>
            <w:r>
              <w:rPr>
                <w:rFonts w:hint="eastAsia" w:ascii="等线" w:hAnsi="等线" w:eastAsia="等线" w:cs="Times New Roman"/>
                <w:b/>
                <w:szCs w:val="20"/>
              </w:rPr>
              <w:t>税率：</w:t>
            </w:r>
          </w:p>
        </w:tc>
        <w:tc>
          <w:tcPr>
            <w:tcW w:w="1200" w:type="dxa"/>
            <w:vAlign w:val="center"/>
          </w:tcPr>
          <w:p w14:paraId="7F2EEBBC">
            <w:pPr>
              <w:jc w:val="center"/>
              <w:rPr>
                <w:rFonts w:ascii="Times New Roman" w:hAnsi="Times New Roman" w:eastAsia="宋体" w:cs="Times New Roman"/>
                <w:b/>
                <w:szCs w:val="20"/>
              </w:rPr>
            </w:pPr>
          </w:p>
        </w:tc>
        <w:tc>
          <w:tcPr>
            <w:tcW w:w="1143" w:type="dxa"/>
            <w:vAlign w:val="center"/>
          </w:tcPr>
          <w:p w14:paraId="461678FE">
            <w:pPr>
              <w:jc w:val="center"/>
              <w:rPr>
                <w:rFonts w:ascii="Times New Roman" w:hAnsi="Times New Roman" w:eastAsia="宋体" w:cs="Times New Roman"/>
                <w:b/>
                <w:szCs w:val="20"/>
              </w:rPr>
            </w:pPr>
          </w:p>
        </w:tc>
        <w:tc>
          <w:tcPr>
            <w:tcW w:w="844" w:type="dxa"/>
            <w:vAlign w:val="center"/>
          </w:tcPr>
          <w:p w14:paraId="672C7F1D">
            <w:pPr>
              <w:jc w:val="center"/>
              <w:rPr>
                <w:rFonts w:ascii="Times New Roman" w:hAnsi="Times New Roman" w:eastAsia="宋体" w:cs="Times New Roman"/>
                <w:b/>
                <w:szCs w:val="20"/>
              </w:rPr>
            </w:pPr>
          </w:p>
        </w:tc>
        <w:tc>
          <w:tcPr>
            <w:tcW w:w="826" w:type="dxa"/>
            <w:vAlign w:val="center"/>
          </w:tcPr>
          <w:p w14:paraId="31156962">
            <w:pPr>
              <w:jc w:val="center"/>
              <w:rPr>
                <w:rFonts w:ascii="Times New Roman" w:hAnsi="Times New Roman" w:eastAsia="宋体" w:cs="Times New Roman"/>
                <w:b/>
                <w:szCs w:val="20"/>
              </w:rPr>
            </w:pPr>
          </w:p>
        </w:tc>
      </w:tr>
      <w:tr w14:paraId="03C221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534" w:hRule="atLeast"/>
          <w:jc w:val="center"/>
        </w:trPr>
        <w:tc>
          <w:tcPr>
            <w:tcW w:w="3043" w:type="dxa"/>
            <w:gridSpan w:val="3"/>
            <w:vAlign w:val="center"/>
          </w:tcPr>
          <w:p w14:paraId="35ACE60F">
            <w:pPr>
              <w:jc w:val="center"/>
              <w:rPr>
                <w:rFonts w:ascii="Times New Roman" w:hAnsi="Times New Roman" w:eastAsia="宋体" w:cs="Times New Roman"/>
                <w:b/>
                <w:szCs w:val="20"/>
              </w:rPr>
            </w:pPr>
            <w:r>
              <w:rPr>
                <w:rFonts w:hint="eastAsia" w:ascii="宋体" w:hAnsi="宋体" w:eastAsia="宋体" w:cs="Times New Roman"/>
                <w:b/>
                <w:szCs w:val="21"/>
              </w:rPr>
              <w:t>投标总价</w:t>
            </w:r>
            <w:r>
              <w:rPr>
                <w:rFonts w:hint="eastAsia" w:ascii="等线" w:hAnsi="等线" w:eastAsia="等线" w:cs="Times New Roman"/>
                <w:b/>
                <w:szCs w:val="21"/>
              </w:rPr>
              <w:t>（元，含税）大写</w:t>
            </w:r>
          </w:p>
        </w:tc>
        <w:tc>
          <w:tcPr>
            <w:tcW w:w="2004" w:type="dxa"/>
            <w:vAlign w:val="center"/>
          </w:tcPr>
          <w:p w14:paraId="45028C9D">
            <w:pPr>
              <w:jc w:val="center"/>
              <w:rPr>
                <w:rFonts w:hint="eastAsia" w:ascii="等线" w:hAnsi="等线" w:eastAsia="等线" w:cs="Times New Roman"/>
                <w:b/>
                <w:szCs w:val="20"/>
              </w:rPr>
            </w:pPr>
          </w:p>
        </w:tc>
        <w:tc>
          <w:tcPr>
            <w:tcW w:w="1200" w:type="dxa"/>
            <w:vAlign w:val="center"/>
          </w:tcPr>
          <w:p w14:paraId="0DD94199">
            <w:pPr>
              <w:jc w:val="center"/>
              <w:rPr>
                <w:rFonts w:ascii="Times New Roman" w:hAnsi="Times New Roman" w:eastAsia="宋体" w:cs="Times New Roman"/>
                <w:b/>
                <w:szCs w:val="20"/>
              </w:rPr>
            </w:pPr>
          </w:p>
        </w:tc>
        <w:tc>
          <w:tcPr>
            <w:tcW w:w="1143" w:type="dxa"/>
            <w:vAlign w:val="center"/>
          </w:tcPr>
          <w:p w14:paraId="62B646E6">
            <w:pPr>
              <w:jc w:val="center"/>
              <w:rPr>
                <w:rFonts w:ascii="Times New Roman" w:hAnsi="Times New Roman" w:eastAsia="宋体" w:cs="Times New Roman"/>
                <w:b/>
                <w:szCs w:val="20"/>
              </w:rPr>
            </w:pPr>
          </w:p>
        </w:tc>
        <w:tc>
          <w:tcPr>
            <w:tcW w:w="844" w:type="dxa"/>
            <w:vAlign w:val="center"/>
          </w:tcPr>
          <w:p w14:paraId="05CAC7DD">
            <w:pPr>
              <w:jc w:val="center"/>
              <w:rPr>
                <w:rFonts w:ascii="Times New Roman" w:hAnsi="Times New Roman" w:eastAsia="宋体" w:cs="Times New Roman"/>
                <w:b/>
                <w:szCs w:val="20"/>
              </w:rPr>
            </w:pPr>
          </w:p>
        </w:tc>
        <w:tc>
          <w:tcPr>
            <w:tcW w:w="826" w:type="dxa"/>
            <w:vAlign w:val="center"/>
          </w:tcPr>
          <w:p w14:paraId="4F6228C0">
            <w:pPr>
              <w:jc w:val="center"/>
              <w:rPr>
                <w:rFonts w:ascii="Times New Roman" w:hAnsi="Times New Roman" w:eastAsia="宋体" w:cs="Times New Roman"/>
                <w:b/>
                <w:szCs w:val="20"/>
              </w:rPr>
            </w:pPr>
          </w:p>
        </w:tc>
      </w:tr>
    </w:tbl>
    <w:p w14:paraId="4998477C">
      <w:pPr>
        <w:rPr>
          <w:rFonts w:ascii="宋体" w:hAnsi="Arial" w:eastAsia="宋体" w:cs="Times New Roman"/>
          <w:sz w:val="24"/>
          <w:szCs w:val="24"/>
        </w:rPr>
      </w:pPr>
    </w:p>
    <w:p w14:paraId="71FB43D9">
      <w:pPr>
        <w:spacing w:line="400" w:lineRule="exact"/>
        <w:rPr>
          <w:rFonts w:ascii="宋体" w:hAnsi="Calibri" w:eastAsia="宋体" w:cs="Times New Roman"/>
          <w:szCs w:val="21"/>
        </w:rPr>
      </w:pPr>
      <w:r>
        <w:rPr>
          <w:rFonts w:hint="eastAsia" w:ascii="宋体" w:hAnsi="宋体" w:eastAsia="宋体" w:cs="Times New Roman"/>
          <w:b/>
          <w:bCs/>
          <w:szCs w:val="21"/>
        </w:rPr>
        <w:t>注：</w:t>
      </w:r>
    </w:p>
    <w:p w14:paraId="4F66D9F0">
      <w:pPr>
        <w:spacing w:line="520" w:lineRule="exact"/>
        <w:rPr>
          <w:rFonts w:hint="eastAsia" w:ascii="宋体" w:hAnsi="宋体" w:eastAsia="宋体" w:cs="Times New Roman"/>
          <w:b/>
          <w:bCs/>
          <w:szCs w:val="21"/>
        </w:rPr>
      </w:pPr>
      <w:r>
        <w:rPr>
          <w:rFonts w:hint="eastAsia" w:ascii="宋体" w:hAnsi="宋体" w:eastAsia="宋体" w:cs="Times New Roman"/>
          <w:b/>
          <w:bCs/>
          <w:szCs w:val="21"/>
        </w:rPr>
        <w:t>1.此表中的报价必须与相应的报价明细表中的报价一致。</w:t>
      </w:r>
    </w:p>
    <w:p w14:paraId="37C39AA3">
      <w:pPr>
        <w:spacing w:line="520" w:lineRule="exact"/>
        <w:rPr>
          <w:rFonts w:hint="eastAsia" w:ascii="宋体" w:hAnsi="宋体" w:eastAsia="宋体" w:cs="Times New Roman"/>
          <w:b/>
          <w:bCs/>
          <w:szCs w:val="21"/>
        </w:rPr>
      </w:pPr>
      <w:r>
        <w:rPr>
          <w:rFonts w:hint="eastAsia" w:ascii="宋体" w:hAnsi="宋体" w:eastAsia="宋体" w:cs="Times New Roman"/>
          <w:b/>
          <w:bCs/>
          <w:szCs w:val="21"/>
        </w:rPr>
        <w:t>2.此表在投递标书时请单独密封两份，否则不予唱标。</w:t>
      </w:r>
    </w:p>
    <w:p w14:paraId="66103FDF">
      <w:pPr>
        <w:spacing w:line="520" w:lineRule="exact"/>
        <w:rPr>
          <w:rFonts w:hint="eastAsia" w:ascii="宋体" w:hAnsi="宋体" w:eastAsia="宋体" w:cs="Times New Roman"/>
          <w:b/>
          <w:bCs/>
          <w:szCs w:val="21"/>
        </w:rPr>
      </w:pPr>
      <w:r>
        <w:rPr>
          <w:rFonts w:hint="eastAsia" w:ascii="宋体" w:hAnsi="宋体" w:eastAsia="宋体" w:cs="Times New Roman"/>
          <w:b/>
          <w:bCs/>
          <w:szCs w:val="21"/>
        </w:rPr>
        <w:t>3.需写明含税价、不含税价格、税率。</w:t>
      </w:r>
    </w:p>
    <w:p w14:paraId="186F33FE">
      <w:pPr>
        <w:spacing w:line="520" w:lineRule="exact"/>
        <w:rPr>
          <w:rFonts w:hint="eastAsia" w:ascii="宋体" w:hAnsi="宋体" w:eastAsia="宋体" w:cs="Times New Roman"/>
          <w:b/>
          <w:bCs/>
          <w:szCs w:val="21"/>
        </w:rPr>
      </w:pPr>
      <w:r>
        <w:rPr>
          <w:rFonts w:hint="eastAsia" w:ascii="宋体" w:hAnsi="宋体" w:eastAsia="宋体" w:cs="Times New Roman"/>
          <w:b/>
          <w:bCs/>
          <w:szCs w:val="21"/>
        </w:rPr>
        <w:t>4.投标总价大写为必填项，如发生大小写不一致，以大写为准。</w:t>
      </w:r>
    </w:p>
    <w:p w14:paraId="7D2A52EA">
      <w:pPr>
        <w:spacing w:line="520" w:lineRule="exact"/>
        <w:rPr>
          <w:rFonts w:hint="eastAsia" w:ascii="宋体" w:hAnsi="宋体" w:eastAsia="宋体" w:cs="Times New Roman"/>
          <w:b/>
          <w:bCs/>
          <w:szCs w:val="21"/>
        </w:rPr>
      </w:pPr>
      <w:r>
        <w:rPr>
          <w:rFonts w:hint="eastAsia" w:ascii="宋体" w:hAnsi="宋体" w:eastAsia="宋体" w:cs="Times New Roman"/>
          <w:b/>
          <w:bCs/>
          <w:szCs w:val="21"/>
        </w:rPr>
        <w:t>5.</w:t>
      </w:r>
      <w:r>
        <w:rPr>
          <w:rFonts w:hint="eastAsia" w:ascii="宋体" w:hAnsi="宋体" w:eastAsia="宋体" w:cs="Times New Roman"/>
          <w:b/>
          <w:bCs/>
          <w:szCs w:val="21"/>
          <w:highlight w:val="yellow"/>
        </w:rPr>
        <w:t>投标总价包括全部（全新）产品价、表面处理费用、运杂费（包括现场卸车费）、设计、制造、安装、调试（含现场调试）、包装运输费、验收、技术及售后服务费、技术资料费、备品备件费等所有费用的总和。</w:t>
      </w:r>
    </w:p>
    <w:p w14:paraId="5BBBCB53">
      <w:pPr>
        <w:pStyle w:val="20"/>
        <w:rPr>
          <w:rFonts w:hint="eastAsia" w:hAnsi="宋体" w:eastAsia="宋体" w:cs="Times New Roman"/>
          <w:b/>
          <w:bCs/>
          <w:szCs w:val="21"/>
        </w:rPr>
      </w:pPr>
    </w:p>
    <w:p w14:paraId="4E7413C8">
      <w:pPr>
        <w:spacing w:line="660" w:lineRule="exact"/>
        <w:rPr>
          <w:rFonts w:ascii="宋体" w:hAnsi="Calibri" w:eastAsia="宋体" w:cs="Times New Roman"/>
          <w:sz w:val="24"/>
          <w:szCs w:val="20"/>
        </w:rPr>
      </w:pPr>
      <w:r>
        <w:rPr>
          <w:rFonts w:hint="eastAsia" w:ascii="宋体" w:hAnsi="宋体" w:eastAsia="宋体" w:cs="Times New Roman"/>
          <w:sz w:val="24"/>
          <w:szCs w:val="20"/>
        </w:rPr>
        <w:t>投标人：（盖章）</w:t>
      </w:r>
    </w:p>
    <w:p w14:paraId="5627B752">
      <w:pPr>
        <w:spacing w:line="660" w:lineRule="exact"/>
        <w:rPr>
          <w:rFonts w:ascii="宋体" w:hAnsi="Calibri" w:eastAsia="宋体" w:cs="Times New Roman"/>
          <w:sz w:val="24"/>
          <w:szCs w:val="20"/>
        </w:rPr>
      </w:pPr>
      <w:r>
        <w:rPr>
          <w:rFonts w:hint="eastAsia" w:ascii="宋体" w:hAnsi="宋体" w:eastAsia="宋体" w:cs="Times New Roman"/>
          <w:sz w:val="24"/>
          <w:szCs w:val="20"/>
        </w:rPr>
        <w:t>法定代表人（委托代理人）：（签字）</w:t>
      </w:r>
    </w:p>
    <w:p w14:paraId="4CB0B28F">
      <w:pPr>
        <w:spacing w:line="660" w:lineRule="exact"/>
        <w:rPr>
          <w:rFonts w:ascii="宋体" w:hAnsi="Calibri" w:eastAsia="宋体" w:cs="Times New Roman"/>
          <w:sz w:val="24"/>
          <w:szCs w:val="20"/>
        </w:rPr>
      </w:pPr>
      <w:r>
        <w:rPr>
          <w:rFonts w:hint="eastAsia" w:ascii="宋体" w:hAnsi="宋体" w:eastAsia="宋体" w:cs="Times New Roman"/>
          <w:sz w:val="24"/>
          <w:szCs w:val="20"/>
        </w:rPr>
        <w:t>日</w:t>
      </w:r>
      <w:r>
        <w:rPr>
          <w:rFonts w:ascii="宋体" w:hAnsi="宋体" w:eastAsia="宋体" w:cs="Times New Roman"/>
          <w:sz w:val="24"/>
          <w:szCs w:val="20"/>
        </w:rPr>
        <w:t xml:space="preserve">  </w:t>
      </w:r>
      <w:r>
        <w:rPr>
          <w:rFonts w:hint="eastAsia" w:ascii="宋体" w:hAnsi="宋体" w:eastAsia="宋体" w:cs="Times New Roman"/>
          <w:sz w:val="24"/>
          <w:szCs w:val="20"/>
        </w:rPr>
        <w:t>期：</w:t>
      </w:r>
      <w:r>
        <w:rPr>
          <w:rFonts w:ascii="宋体" w:hAnsi="宋体" w:eastAsia="宋体" w:cs="Times New Roman"/>
          <w:sz w:val="24"/>
          <w:szCs w:val="20"/>
          <w:u w:val="single"/>
        </w:rPr>
        <w:t xml:space="preserve">       </w:t>
      </w:r>
      <w:r>
        <w:rPr>
          <w:rFonts w:hint="eastAsia" w:ascii="宋体" w:hAnsi="宋体" w:eastAsia="宋体" w:cs="Times New Roman"/>
          <w:sz w:val="24"/>
          <w:szCs w:val="20"/>
        </w:rPr>
        <w:t>年</w:t>
      </w:r>
      <w:r>
        <w:rPr>
          <w:rFonts w:ascii="宋体" w:hAnsi="宋体" w:eastAsia="宋体" w:cs="Times New Roman"/>
          <w:sz w:val="24"/>
          <w:szCs w:val="20"/>
          <w:u w:val="single"/>
        </w:rPr>
        <w:t xml:space="preserve">    </w:t>
      </w:r>
      <w:r>
        <w:rPr>
          <w:rFonts w:hint="eastAsia" w:ascii="宋体" w:hAnsi="宋体" w:eastAsia="宋体" w:cs="Times New Roman"/>
          <w:sz w:val="24"/>
          <w:szCs w:val="20"/>
        </w:rPr>
        <w:t>月</w:t>
      </w:r>
      <w:r>
        <w:rPr>
          <w:rFonts w:ascii="宋体" w:hAnsi="宋体" w:eastAsia="宋体" w:cs="Times New Roman"/>
          <w:sz w:val="24"/>
          <w:szCs w:val="20"/>
          <w:u w:val="single"/>
        </w:rPr>
        <w:t xml:space="preserve">    </w:t>
      </w:r>
      <w:r>
        <w:rPr>
          <w:rFonts w:hint="eastAsia" w:ascii="宋体" w:hAnsi="宋体" w:eastAsia="宋体" w:cs="Times New Roman"/>
          <w:sz w:val="24"/>
          <w:szCs w:val="20"/>
        </w:rPr>
        <w:t>日</w:t>
      </w:r>
    </w:p>
    <w:p w14:paraId="31BEF5C3">
      <w:pPr>
        <w:ind w:firstLine="480"/>
        <w:rPr>
          <w:rFonts w:ascii="宋体" w:hAnsi="Calibri" w:eastAsia="宋体" w:cs="Times New Roman"/>
          <w:color w:val="000000"/>
          <w:sz w:val="24"/>
          <w:szCs w:val="24"/>
        </w:rPr>
      </w:pPr>
    </w:p>
    <w:p w14:paraId="05E6FD34">
      <w:pPr>
        <w:pStyle w:val="20"/>
        <w:sectPr>
          <w:pgSz w:w="11906" w:h="16838"/>
          <w:pgMar w:top="1588" w:right="1418" w:bottom="1134" w:left="1418" w:header="851" w:footer="992" w:gutter="0"/>
          <w:cols w:space="720" w:num="1"/>
          <w:titlePg/>
          <w:docGrid w:type="lines" w:linePitch="312" w:charSpace="0"/>
        </w:sectPr>
      </w:pPr>
    </w:p>
    <w:p w14:paraId="098C72AF">
      <w:pPr>
        <w:rPr>
          <w:rFonts w:hint="eastAsia" w:ascii="宋体" w:hAnsi="宋体" w:cs="宋体"/>
          <w:color w:val="000000"/>
          <w:sz w:val="24"/>
          <w:szCs w:val="24"/>
        </w:rPr>
      </w:pPr>
    </w:p>
    <w:p w14:paraId="6C185F4A">
      <w:pPr>
        <w:pStyle w:val="6"/>
        <w:spacing w:after="0" w:line="240" w:lineRule="auto"/>
        <w:jc w:val="left"/>
        <w:rPr>
          <w:rFonts w:hint="eastAsia" w:ascii="宋体" w:hAnsi="宋体" w:cs="宋体"/>
          <w:spacing w:val="8"/>
          <w:sz w:val="24"/>
          <w:szCs w:val="24"/>
          <w14:textOutline w14:w="5791" w14:cap="flat" w14:cmpd="sng" w14:algn="ctr">
            <w14:solidFill>
              <w14:srgbClr w14:val="000000"/>
            </w14:solidFill>
            <w14:prstDash w14:val="solid"/>
            <w14:miter w14:val="0"/>
          </w14:textOutline>
        </w:rPr>
      </w:pPr>
      <w:r>
        <w:rPr>
          <w:rFonts w:hint="eastAsia" w:ascii="宋体" w:hAnsi="宋体" w:cs="宋体"/>
          <w:color w:val="000000"/>
          <w:sz w:val="24"/>
          <w:szCs w:val="24"/>
        </w:rPr>
        <w:t xml:space="preserve">附件9 </w:t>
      </w:r>
      <w:r>
        <w:rPr>
          <w:rFonts w:ascii="宋体" w:hAnsi="宋体" w:cs="宋体"/>
          <w:spacing w:val="13"/>
          <w:sz w:val="24"/>
          <w:szCs w:val="24"/>
          <w14:textOutline w14:w="5791" w14:cap="flat" w14:cmpd="sng" w14:algn="ctr">
            <w14:solidFill>
              <w14:srgbClr w14:val="000000"/>
            </w14:solidFill>
            <w14:prstDash w14:val="solid"/>
            <w14:miter w14:val="0"/>
          </w14:textOutline>
        </w:rPr>
        <w:t>设</w:t>
      </w:r>
      <w:r>
        <w:rPr>
          <w:rFonts w:ascii="宋体" w:hAnsi="宋体" w:cs="宋体"/>
          <w:spacing w:val="8"/>
          <w:sz w:val="24"/>
          <w:szCs w:val="24"/>
          <w14:textOutline w14:w="5791" w14:cap="flat" w14:cmpd="sng" w14:algn="ctr">
            <w14:solidFill>
              <w14:srgbClr w14:val="000000"/>
            </w14:solidFill>
            <w14:prstDash w14:val="solid"/>
            <w14:miter w14:val="0"/>
          </w14:textOutline>
        </w:rPr>
        <w:t>备分项报价表</w:t>
      </w:r>
    </w:p>
    <w:p w14:paraId="7E0C912A">
      <w:pPr>
        <w:pStyle w:val="7"/>
        <w:spacing w:after="0"/>
      </w:pPr>
      <w:r>
        <w:rPr>
          <w:rFonts w:ascii="宋体" w:hAnsi="宋体" w:eastAsia="宋体" w:cs="宋体"/>
          <w:spacing w:val="-9"/>
          <w:sz w:val="24"/>
          <w:szCs w:val="24"/>
          <w14:textOutline w14:w="4356" w14:cap="flat" w14:cmpd="sng" w14:algn="ctr">
            <w14:solidFill>
              <w14:srgbClr w14:val="000000"/>
            </w14:solidFill>
            <w14:prstDash w14:val="solid"/>
            <w14:miter w14:val="0"/>
          </w14:textOutline>
        </w:rPr>
        <w:t>表</w:t>
      </w:r>
      <w:r>
        <w:rPr>
          <w:rFonts w:ascii="宋体" w:hAnsi="宋体" w:eastAsia="宋体" w:cs="宋体"/>
          <w:spacing w:val="-7"/>
          <w:sz w:val="24"/>
          <w:szCs w:val="24"/>
        </w:rPr>
        <w:t xml:space="preserve"> </w:t>
      </w:r>
      <w:r>
        <w:rPr>
          <w:rFonts w:hint="eastAsia" w:ascii="宋体" w:hAnsi="宋体" w:eastAsia="宋体" w:cs="宋体"/>
          <w:spacing w:val="-7"/>
          <w:sz w:val="24"/>
          <w:szCs w:val="24"/>
          <w14:textOutline w14:w="4356" w14:cap="flat" w14:cmpd="sng" w14:algn="ctr">
            <w14:solidFill>
              <w14:srgbClr w14:val="000000"/>
            </w14:solidFill>
            <w14:prstDash w14:val="solid"/>
            <w14:miter w14:val="0"/>
          </w14:textOutline>
        </w:rPr>
        <w:t>9</w:t>
      </w:r>
      <w:r>
        <w:rPr>
          <w:rFonts w:ascii="宋体" w:hAnsi="宋体" w:eastAsia="宋体" w:cs="宋体"/>
          <w:spacing w:val="-7"/>
          <w:sz w:val="24"/>
          <w:szCs w:val="24"/>
          <w14:textOutline w14:w="4356" w14:cap="flat" w14:cmpd="sng" w14:algn="ctr">
            <w14:solidFill>
              <w14:srgbClr w14:val="000000"/>
            </w14:solidFill>
            <w14:prstDash w14:val="solid"/>
            <w14:miter w14:val="0"/>
          </w14:textOutline>
        </w:rPr>
        <w:t>-1</w:t>
      </w:r>
    </w:p>
    <w:p w14:paraId="4329FF0E">
      <w:pPr>
        <w:keepNext/>
        <w:keepLines/>
        <w:spacing w:line="400" w:lineRule="exact"/>
        <w:jc w:val="center"/>
        <w:rPr>
          <w:rFonts w:hint="eastAsia" w:ascii="宋体" w:hAnsi="宋体" w:eastAsia="宋体" w:cs="Times New Roman"/>
          <w:b/>
          <w:bCs/>
          <w:sz w:val="24"/>
          <w:szCs w:val="24"/>
        </w:rPr>
      </w:pPr>
      <w:r>
        <w:rPr>
          <w:rFonts w:ascii="宋体" w:hAnsi="宋体" w:eastAsia="宋体" w:cs="宋体"/>
          <w:spacing w:val="13"/>
          <w:sz w:val="24"/>
          <w:szCs w:val="24"/>
          <w14:textOutline w14:w="5791" w14:cap="flat" w14:cmpd="sng" w14:algn="ctr">
            <w14:solidFill>
              <w14:srgbClr w14:val="000000"/>
            </w14:solidFill>
            <w14:prstDash w14:val="solid"/>
            <w14:miter w14:val="0"/>
          </w14:textOutline>
        </w:rPr>
        <w:t>设</w:t>
      </w:r>
      <w:r>
        <w:rPr>
          <w:rFonts w:ascii="宋体" w:hAnsi="宋体" w:eastAsia="宋体" w:cs="宋体"/>
          <w:spacing w:val="8"/>
          <w:sz w:val="24"/>
          <w:szCs w:val="24"/>
          <w14:textOutline w14:w="5791" w14:cap="flat" w14:cmpd="sng" w14:algn="ctr">
            <w14:solidFill>
              <w14:srgbClr w14:val="000000"/>
            </w14:solidFill>
            <w14:prstDash w14:val="solid"/>
            <w14:miter w14:val="0"/>
          </w14:textOutline>
        </w:rPr>
        <w:t>备分项报价表</w:t>
      </w:r>
    </w:p>
    <w:p w14:paraId="3D2A8D3C">
      <w:pPr>
        <w:spacing w:before="52" w:line="221" w:lineRule="auto"/>
        <w:ind w:left="9"/>
        <w:jc w:val="right"/>
        <w:rPr>
          <w:rFonts w:hint="eastAsia" w:ascii="宋体" w:hAnsi="宋体" w:eastAsia="宋体" w:cs="Times New Roman"/>
          <w:b/>
          <w:bCs/>
          <w:sz w:val="24"/>
          <w:szCs w:val="24"/>
        </w:rPr>
      </w:pPr>
      <w:r>
        <w:rPr>
          <w:rFonts w:ascii="宋体" w:hAnsi="宋体" w:eastAsia="宋体" w:cs="宋体"/>
          <w:spacing w:val="-1"/>
          <w:szCs w:val="21"/>
        </w:rPr>
        <w:t xml:space="preserve">                                                                </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r>
        <w:rPr>
          <w:rFonts w:hint="eastAsia" w:ascii="宋体" w:hAnsi="宋体" w:eastAsia="宋体" w:cs="宋体"/>
          <w:szCs w:val="21"/>
          <w14:textOutline w14:w="3835" w14:cap="flat" w14:cmpd="sng" w14:algn="ctr">
            <w14:solidFill>
              <w14:srgbClr w14:val="000000"/>
            </w14:solidFill>
            <w14:prstDash w14:val="solid"/>
            <w14:miter w14:val="0"/>
          </w14:textOutline>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共</w:t>
      </w:r>
      <w:r>
        <w:rPr>
          <w:rFonts w:hint="eastAsia" w:ascii="宋体" w:hAnsi="宋体" w:eastAsia="宋体" w:cs="宋体"/>
          <w:szCs w:val="21"/>
          <w14:textOutline w14:w="3835" w14:cap="flat" w14:cmpd="sng" w14:algn="ctr">
            <w14:solidFill>
              <w14:srgbClr w14:val="000000"/>
            </w14:solidFill>
            <w14:prstDash w14:val="solid"/>
            <w14:miter w14:val="0"/>
          </w14:textOutline>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tbl>
      <w:tblPr>
        <w:tblStyle w:val="133"/>
        <w:tblW w:w="14116"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606"/>
        <w:gridCol w:w="910"/>
        <w:gridCol w:w="1405"/>
        <w:gridCol w:w="1668"/>
        <w:gridCol w:w="757"/>
        <w:gridCol w:w="755"/>
        <w:gridCol w:w="2400"/>
        <w:gridCol w:w="2063"/>
        <w:gridCol w:w="2588"/>
        <w:gridCol w:w="964"/>
      </w:tblGrid>
      <w:tr w14:paraId="5444AE3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7" w:hRule="atLeast"/>
        </w:trPr>
        <w:tc>
          <w:tcPr>
            <w:tcW w:w="606" w:type="dxa"/>
            <w:vAlign w:val="center"/>
          </w:tcPr>
          <w:p w14:paraId="247905C6">
            <w:pPr>
              <w:spacing w:line="186" w:lineRule="auto"/>
              <w:jc w:val="center"/>
              <w:rPr>
                <w:rFonts w:hint="eastAsia" w:ascii="宋体" w:hAnsi="宋体" w:eastAsia="宋体" w:cs="宋体"/>
                <w:szCs w:val="21"/>
              </w:rPr>
            </w:pPr>
            <w:r>
              <w:rPr>
                <w:rFonts w:ascii="宋体" w:hAnsi="宋体" w:eastAsia="宋体" w:cs="宋体"/>
                <w:szCs w:val="21"/>
              </w:rPr>
              <w:t>1</w:t>
            </w:r>
          </w:p>
        </w:tc>
        <w:tc>
          <w:tcPr>
            <w:tcW w:w="2315" w:type="dxa"/>
            <w:gridSpan w:val="2"/>
            <w:vAlign w:val="center"/>
          </w:tcPr>
          <w:p w14:paraId="51DF41A3">
            <w:pPr>
              <w:spacing w:line="185" w:lineRule="auto"/>
              <w:jc w:val="center"/>
              <w:rPr>
                <w:rFonts w:hint="eastAsia" w:ascii="宋体" w:hAnsi="宋体" w:eastAsia="宋体" w:cs="宋体"/>
                <w:szCs w:val="21"/>
              </w:rPr>
            </w:pPr>
            <w:r>
              <w:rPr>
                <w:rFonts w:ascii="宋体" w:hAnsi="宋体" w:eastAsia="宋体" w:cs="宋体"/>
                <w:szCs w:val="21"/>
              </w:rPr>
              <w:t>2</w:t>
            </w:r>
          </w:p>
        </w:tc>
        <w:tc>
          <w:tcPr>
            <w:tcW w:w="1668" w:type="dxa"/>
            <w:vAlign w:val="center"/>
          </w:tcPr>
          <w:p w14:paraId="7CE5F9B4">
            <w:pPr>
              <w:spacing w:line="183" w:lineRule="auto"/>
              <w:jc w:val="center"/>
              <w:rPr>
                <w:rFonts w:hint="eastAsia" w:ascii="宋体" w:hAnsi="宋体" w:eastAsia="宋体" w:cs="宋体"/>
                <w:szCs w:val="21"/>
              </w:rPr>
            </w:pPr>
            <w:r>
              <w:rPr>
                <w:rFonts w:ascii="宋体" w:hAnsi="宋体" w:eastAsia="宋体" w:cs="宋体"/>
                <w:szCs w:val="21"/>
              </w:rPr>
              <w:t>3</w:t>
            </w:r>
          </w:p>
        </w:tc>
        <w:tc>
          <w:tcPr>
            <w:tcW w:w="757" w:type="dxa"/>
            <w:vAlign w:val="center"/>
          </w:tcPr>
          <w:p w14:paraId="1DA97963">
            <w:pPr>
              <w:spacing w:line="185" w:lineRule="auto"/>
              <w:jc w:val="center"/>
              <w:rPr>
                <w:rFonts w:hint="eastAsia" w:ascii="宋体" w:hAnsi="宋体" w:eastAsia="宋体" w:cs="宋体"/>
                <w:szCs w:val="21"/>
              </w:rPr>
            </w:pPr>
            <w:r>
              <w:rPr>
                <w:rFonts w:ascii="宋体" w:hAnsi="宋体" w:eastAsia="宋体" w:cs="宋体"/>
                <w:szCs w:val="21"/>
              </w:rPr>
              <w:t>4</w:t>
            </w:r>
          </w:p>
        </w:tc>
        <w:tc>
          <w:tcPr>
            <w:tcW w:w="755" w:type="dxa"/>
            <w:vAlign w:val="center"/>
          </w:tcPr>
          <w:p w14:paraId="09A27C59">
            <w:pPr>
              <w:spacing w:line="182" w:lineRule="auto"/>
              <w:jc w:val="center"/>
              <w:rPr>
                <w:rFonts w:hint="eastAsia" w:ascii="宋体" w:hAnsi="宋体" w:eastAsia="宋体" w:cs="宋体"/>
                <w:szCs w:val="21"/>
              </w:rPr>
            </w:pPr>
            <w:r>
              <w:rPr>
                <w:rFonts w:hint="eastAsia" w:ascii="宋体" w:hAnsi="宋体" w:eastAsia="宋体" w:cs="宋体"/>
                <w:szCs w:val="21"/>
              </w:rPr>
              <w:t>5</w:t>
            </w:r>
          </w:p>
        </w:tc>
        <w:tc>
          <w:tcPr>
            <w:tcW w:w="2400" w:type="dxa"/>
            <w:vAlign w:val="center"/>
          </w:tcPr>
          <w:p w14:paraId="39890A58">
            <w:pPr>
              <w:spacing w:line="183" w:lineRule="auto"/>
              <w:jc w:val="center"/>
              <w:rPr>
                <w:rFonts w:hint="eastAsia" w:ascii="宋体" w:hAnsi="宋体" w:eastAsia="宋体" w:cs="宋体"/>
                <w:szCs w:val="21"/>
              </w:rPr>
            </w:pPr>
            <w:r>
              <w:rPr>
                <w:rFonts w:ascii="宋体" w:hAnsi="宋体" w:eastAsia="宋体" w:cs="宋体"/>
                <w:szCs w:val="21"/>
              </w:rPr>
              <w:t>6</w:t>
            </w:r>
          </w:p>
        </w:tc>
        <w:tc>
          <w:tcPr>
            <w:tcW w:w="2063" w:type="dxa"/>
            <w:tcBorders>
              <w:right w:val="single" w:color="000000" w:sz="4" w:space="0"/>
            </w:tcBorders>
            <w:vAlign w:val="center"/>
          </w:tcPr>
          <w:p w14:paraId="595EABA8">
            <w:pPr>
              <w:spacing w:line="182" w:lineRule="auto"/>
              <w:jc w:val="center"/>
              <w:rPr>
                <w:rFonts w:hint="eastAsia" w:ascii="宋体" w:hAnsi="宋体" w:eastAsia="宋体" w:cs="宋体"/>
                <w:szCs w:val="21"/>
              </w:rPr>
            </w:pPr>
            <w:r>
              <w:rPr>
                <w:rFonts w:ascii="宋体" w:hAnsi="宋体" w:eastAsia="宋体" w:cs="宋体"/>
                <w:szCs w:val="21"/>
              </w:rPr>
              <w:t>7</w:t>
            </w:r>
          </w:p>
        </w:tc>
        <w:tc>
          <w:tcPr>
            <w:tcW w:w="2588" w:type="dxa"/>
            <w:tcBorders>
              <w:left w:val="single" w:color="000000" w:sz="4" w:space="0"/>
            </w:tcBorders>
            <w:vAlign w:val="center"/>
          </w:tcPr>
          <w:p w14:paraId="1FEC3622">
            <w:pPr>
              <w:spacing w:line="183" w:lineRule="auto"/>
              <w:ind w:firstLine="420" w:firstLineChars="200"/>
              <w:jc w:val="center"/>
              <w:rPr>
                <w:rFonts w:hint="eastAsia" w:ascii="宋体" w:hAnsi="宋体" w:eastAsia="宋体" w:cs="宋体"/>
                <w:szCs w:val="21"/>
              </w:rPr>
            </w:pPr>
            <w:r>
              <w:rPr>
                <w:rFonts w:ascii="宋体" w:hAnsi="宋体" w:eastAsia="宋体" w:cs="宋体"/>
                <w:szCs w:val="21"/>
              </w:rPr>
              <w:t>8</w:t>
            </w:r>
          </w:p>
        </w:tc>
        <w:tc>
          <w:tcPr>
            <w:tcW w:w="964" w:type="dxa"/>
            <w:vAlign w:val="center"/>
          </w:tcPr>
          <w:p w14:paraId="43E5719F">
            <w:pPr>
              <w:spacing w:line="183" w:lineRule="auto"/>
              <w:ind w:firstLine="420" w:firstLineChars="200"/>
              <w:jc w:val="center"/>
              <w:rPr>
                <w:rFonts w:hint="eastAsia" w:ascii="宋体" w:hAnsi="宋体" w:eastAsia="宋体" w:cs="宋体"/>
                <w:szCs w:val="21"/>
              </w:rPr>
            </w:pPr>
            <w:r>
              <w:rPr>
                <w:rFonts w:hint="eastAsia" w:ascii="宋体" w:hAnsi="宋体" w:eastAsia="宋体" w:cs="宋体"/>
                <w:szCs w:val="21"/>
              </w:rPr>
              <w:t>9</w:t>
            </w:r>
          </w:p>
        </w:tc>
      </w:tr>
      <w:tr w14:paraId="72B3FB8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51" w:hRule="atLeast"/>
        </w:trPr>
        <w:tc>
          <w:tcPr>
            <w:tcW w:w="606" w:type="dxa"/>
            <w:vAlign w:val="center"/>
          </w:tcPr>
          <w:p w14:paraId="69DD2CF4">
            <w:pPr>
              <w:spacing w:line="221" w:lineRule="auto"/>
              <w:jc w:val="center"/>
              <w:rPr>
                <w:rFonts w:hint="eastAsia" w:ascii="宋体" w:hAnsi="宋体" w:eastAsia="宋体" w:cs="宋体"/>
                <w:spacing w:val="-1"/>
                <w:szCs w:val="21"/>
              </w:rPr>
            </w:pPr>
            <w:r>
              <w:rPr>
                <w:rFonts w:hint="eastAsia" w:ascii="宋体" w:hAnsi="宋体" w:eastAsia="宋体" w:cs="宋体"/>
                <w:spacing w:val="-1"/>
                <w:szCs w:val="21"/>
              </w:rPr>
              <w:t>序号</w:t>
            </w:r>
          </w:p>
        </w:tc>
        <w:tc>
          <w:tcPr>
            <w:tcW w:w="2315" w:type="dxa"/>
            <w:gridSpan w:val="2"/>
            <w:vAlign w:val="center"/>
          </w:tcPr>
          <w:p w14:paraId="651281D4">
            <w:pPr>
              <w:spacing w:line="221" w:lineRule="auto"/>
              <w:jc w:val="center"/>
              <w:rPr>
                <w:rFonts w:hint="eastAsia" w:ascii="宋体" w:hAnsi="宋体" w:eastAsia="宋体" w:cs="宋体"/>
                <w:spacing w:val="-1"/>
                <w:szCs w:val="21"/>
              </w:rPr>
            </w:pPr>
            <w:r>
              <w:rPr>
                <w:rFonts w:hint="eastAsia" w:ascii="宋体" w:hAnsi="宋体" w:eastAsia="宋体" w:cs="宋体"/>
                <w:spacing w:val="-1"/>
                <w:szCs w:val="21"/>
              </w:rPr>
              <w:t>货物名称</w:t>
            </w:r>
          </w:p>
        </w:tc>
        <w:tc>
          <w:tcPr>
            <w:tcW w:w="1668" w:type="dxa"/>
            <w:vAlign w:val="center"/>
          </w:tcPr>
          <w:p w14:paraId="120B7F28">
            <w:pPr>
              <w:spacing w:line="221" w:lineRule="auto"/>
              <w:jc w:val="center"/>
              <w:rPr>
                <w:rFonts w:hint="eastAsia" w:ascii="宋体" w:hAnsi="宋体" w:eastAsia="宋体" w:cs="宋体"/>
                <w:spacing w:val="-1"/>
                <w:szCs w:val="21"/>
              </w:rPr>
            </w:pPr>
            <w:r>
              <w:rPr>
                <w:rFonts w:hint="eastAsia" w:ascii="宋体" w:hAnsi="宋体" w:eastAsia="宋体" w:cs="宋体"/>
                <w:spacing w:val="-1"/>
                <w:szCs w:val="21"/>
              </w:rPr>
              <w:t>型号和规格</w:t>
            </w:r>
          </w:p>
        </w:tc>
        <w:tc>
          <w:tcPr>
            <w:tcW w:w="757" w:type="dxa"/>
            <w:vAlign w:val="center"/>
          </w:tcPr>
          <w:p w14:paraId="5E19CC8A">
            <w:pPr>
              <w:spacing w:line="221" w:lineRule="auto"/>
              <w:jc w:val="center"/>
              <w:rPr>
                <w:rFonts w:hint="eastAsia" w:ascii="宋体" w:hAnsi="宋体" w:eastAsia="宋体" w:cs="宋体"/>
                <w:spacing w:val="-1"/>
                <w:szCs w:val="21"/>
              </w:rPr>
            </w:pPr>
            <w:r>
              <w:rPr>
                <w:rFonts w:hint="eastAsia" w:ascii="宋体" w:hAnsi="宋体" w:eastAsia="宋体" w:cs="宋体"/>
                <w:spacing w:val="-1"/>
                <w:szCs w:val="21"/>
              </w:rPr>
              <w:t>数量</w:t>
            </w:r>
          </w:p>
        </w:tc>
        <w:tc>
          <w:tcPr>
            <w:tcW w:w="755" w:type="dxa"/>
            <w:vAlign w:val="center"/>
          </w:tcPr>
          <w:p w14:paraId="1EC8AE04">
            <w:pPr>
              <w:spacing w:line="221" w:lineRule="auto"/>
              <w:jc w:val="center"/>
              <w:rPr>
                <w:rFonts w:hint="eastAsia" w:ascii="宋体" w:hAnsi="宋体" w:eastAsia="宋体" w:cs="宋体"/>
                <w:spacing w:val="-1"/>
                <w:szCs w:val="21"/>
              </w:rPr>
            </w:pPr>
            <w:r>
              <w:rPr>
                <w:rFonts w:hint="eastAsia" w:ascii="宋体" w:hAnsi="宋体" w:eastAsia="宋体" w:cs="宋体"/>
                <w:spacing w:val="-1"/>
                <w:szCs w:val="21"/>
              </w:rPr>
              <w:t>单位</w:t>
            </w:r>
          </w:p>
        </w:tc>
        <w:tc>
          <w:tcPr>
            <w:tcW w:w="2400" w:type="dxa"/>
            <w:vAlign w:val="center"/>
          </w:tcPr>
          <w:p w14:paraId="13C887CD">
            <w:pPr>
              <w:spacing w:line="221" w:lineRule="auto"/>
              <w:jc w:val="center"/>
              <w:rPr>
                <w:rFonts w:hint="eastAsia" w:ascii="宋体" w:hAnsi="宋体" w:eastAsia="宋体" w:cs="宋体"/>
                <w:spacing w:val="-1"/>
                <w:szCs w:val="21"/>
              </w:rPr>
            </w:pPr>
            <w:r>
              <w:rPr>
                <w:rFonts w:hint="eastAsia" w:ascii="宋体" w:hAnsi="宋体" w:eastAsia="宋体" w:cs="宋体"/>
                <w:spacing w:val="-1"/>
                <w:szCs w:val="21"/>
              </w:rPr>
              <w:t>原产地和制造商名称</w:t>
            </w:r>
          </w:p>
        </w:tc>
        <w:tc>
          <w:tcPr>
            <w:tcW w:w="2063" w:type="dxa"/>
            <w:tcBorders>
              <w:right w:val="single" w:color="000000" w:sz="4" w:space="0"/>
            </w:tcBorders>
            <w:vAlign w:val="center"/>
          </w:tcPr>
          <w:p w14:paraId="0F0E8DBB">
            <w:pPr>
              <w:spacing w:line="221" w:lineRule="auto"/>
              <w:jc w:val="center"/>
              <w:rPr>
                <w:rFonts w:hint="eastAsia" w:ascii="宋体" w:hAnsi="宋体" w:eastAsia="宋体" w:cs="宋体"/>
                <w:spacing w:val="-1"/>
                <w:szCs w:val="21"/>
              </w:rPr>
            </w:pPr>
            <w:r>
              <w:rPr>
                <w:rFonts w:hint="eastAsia" w:ascii="宋体" w:hAnsi="宋体" w:eastAsia="宋体" w:cs="宋体"/>
                <w:spacing w:val="-1"/>
                <w:szCs w:val="21"/>
              </w:rPr>
              <w:t>单价（不含税）</w:t>
            </w:r>
          </w:p>
          <w:p w14:paraId="3C5FF2A2">
            <w:pPr>
              <w:spacing w:line="221" w:lineRule="auto"/>
              <w:jc w:val="center"/>
              <w:rPr>
                <w:rFonts w:hint="eastAsia" w:ascii="宋体" w:hAnsi="宋体" w:eastAsia="宋体" w:cs="宋体"/>
                <w:spacing w:val="-1"/>
                <w:szCs w:val="21"/>
              </w:rPr>
            </w:pPr>
            <w:r>
              <w:rPr>
                <w:rFonts w:hint="eastAsia" w:ascii="宋体" w:hAnsi="宋体" w:eastAsia="宋体" w:cs="宋体"/>
                <w:spacing w:val="-1"/>
                <w:szCs w:val="21"/>
              </w:rPr>
              <w:t>(元)</w:t>
            </w:r>
          </w:p>
        </w:tc>
        <w:tc>
          <w:tcPr>
            <w:tcW w:w="2588" w:type="dxa"/>
            <w:tcBorders>
              <w:left w:val="single" w:color="000000" w:sz="4" w:space="0"/>
            </w:tcBorders>
            <w:vAlign w:val="center"/>
          </w:tcPr>
          <w:p w14:paraId="47EC176E">
            <w:pPr>
              <w:spacing w:line="221" w:lineRule="auto"/>
              <w:jc w:val="center"/>
              <w:rPr>
                <w:rFonts w:hint="eastAsia" w:ascii="宋体" w:hAnsi="宋体" w:eastAsia="宋体" w:cs="宋体"/>
                <w:spacing w:val="-1"/>
                <w:szCs w:val="21"/>
              </w:rPr>
            </w:pPr>
            <w:r>
              <w:rPr>
                <w:rFonts w:hint="eastAsia" w:ascii="宋体" w:hAnsi="宋体" w:eastAsia="宋体" w:cs="宋体"/>
                <w:spacing w:val="-1"/>
                <w:szCs w:val="21"/>
              </w:rPr>
              <w:t>总价[4×7]（不含税）</w:t>
            </w:r>
          </w:p>
          <w:p w14:paraId="474BA3FD">
            <w:pPr>
              <w:spacing w:line="221" w:lineRule="auto"/>
              <w:jc w:val="center"/>
              <w:rPr>
                <w:rFonts w:hint="eastAsia" w:ascii="宋体" w:hAnsi="宋体" w:eastAsia="宋体" w:cs="宋体"/>
                <w:spacing w:val="-1"/>
                <w:szCs w:val="21"/>
              </w:rPr>
            </w:pPr>
            <w:r>
              <w:rPr>
                <w:rFonts w:hint="eastAsia" w:ascii="宋体" w:hAnsi="宋体" w:eastAsia="宋体" w:cs="宋体"/>
                <w:spacing w:val="-1"/>
                <w:szCs w:val="21"/>
              </w:rPr>
              <w:t>(元)</w:t>
            </w:r>
          </w:p>
        </w:tc>
        <w:tc>
          <w:tcPr>
            <w:tcW w:w="964" w:type="dxa"/>
            <w:vAlign w:val="center"/>
          </w:tcPr>
          <w:p w14:paraId="3BDEF043">
            <w:pPr>
              <w:spacing w:line="221" w:lineRule="auto"/>
              <w:jc w:val="center"/>
              <w:rPr>
                <w:rFonts w:hint="eastAsia" w:ascii="宋体" w:hAnsi="宋体" w:eastAsia="宋体" w:cs="宋体"/>
                <w:spacing w:val="-1"/>
                <w:szCs w:val="21"/>
              </w:rPr>
            </w:pPr>
            <w:r>
              <w:rPr>
                <w:rFonts w:hint="eastAsia" w:ascii="宋体" w:hAnsi="宋体" w:eastAsia="宋体" w:cs="宋体"/>
                <w:spacing w:val="-1"/>
                <w:szCs w:val="21"/>
              </w:rPr>
              <w:t>备  注</w:t>
            </w:r>
          </w:p>
        </w:tc>
      </w:tr>
      <w:tr w14:paraId="37666B6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trPr>
        <w:tc>
          <w:tcPr>
            <w:tcW w:w="606" w:type="dxa"/>
            <w:vAlign w:val="center"/>
          </w:tcPr>
          <w:p w14:paraId="7DC544ED">
            <w:pPr>
              <w:pStyle w:val="131"/>
              <w:adjustRightInd w:val="0"/>
              <w:snapToGrid w:val="0"/>
              <w:ind w:firstLine="0" w:firstLineChars="0"/>
              <w:jc w:val="center"/>
              <w:rPr>
                <w:rFonts w:hint="eastAsia" w:ascii="宋体" w:hAnsi="宋体" w:eastAsia="宋体" w:cs="宋体"/>
                <w:szCs w:val="21"/>
              </w:rPr>
            </w:pPr>
            <w:r>
              <w:rPr>
                <w:rFonts w:hint="eastAsia" w:ascii="宋体" w:hAnsi="宋体" w:eastAsia="宋体" w:cs="宋体"/>
                <w:color w:val="000000"/>
                <w:szCs w:val="21"/>
              </w:rPr>
              <w:t>1</w:t>
            </w:r>
          </w:p>
        </w:tc>
        <w:tc>
          <w:tcPr>
            <w:tcW w:w="2315" w:type="dxa"/>
            <w:gridSpan w:val="2"/>
            <w:vAlign w:val="center"/>
          </w:tcPr>
          <w:p w14:paraId="13F2450A">
            <w:pPr>
              <w:jc w:val="center"/>
              <w:rPr>
                <w:rFonts w:hint="eastAsia" w:ascii="宋体" w:hAnsi="宋体" w:eastAsia="宋体" w:cs="宋体"/>
                <w:szCs w:val="21"/>
              </w:rPr>
            </w:pPr>
          </w:p>
        </w:tc>
        <w:tc>
          <w:tcPr>
            <w:tcW w:w="1668" w:type="dxa"/>
          </w:tcPr>
          <w:p w14:paraId="504F5DBC">
            <w:pPr>
              <w:jc w:val="center"/>
              <w:rPr>
                <w:rFonts w:hint="eastAsia" w:ascii="宋体" w:hAnsi="宋体" w:eastAsia="宋体" w:cs="宋体"/>
                <w:szCs w:val="21"/>
              </w:rPr>
            </w:pPr>
            <w:r>
              <w:rPr>
                <w:rFonts w:hint="eastAsia" w:ascii="宋体" w:hAnsi="宋体" w:eastAsia="宋体" w:cs="宋体"/>
                <w:szCs w:val="21"/>
              </w:rPr>
              <w:t xml:space="preserve"> </w:t>
            </w:r>
          </w:p>
        </w:tc>
        <w:tc>
          <w:tcPr>
            <w:tcW w:w="757" w:type="dxa"/>
            <w:vAlign w:val="center"/>
          </w:tcPr>
          <w:p w14:paraId="0FCBCB9E">
            <w:pPr>
              <w:jc w:val="center"/>
              <w:rPr>
                <w:rFonts w:ascii="Times New Roman" w:hAnsi="Times New Roman" w:eastAsia="宋体" w:cs="Times New Roman"/>
                <w:sz w:val="18"/>
                <w:szCs w:val="18"/>
              </w:rPr>
            </w:pPr>
          </w:p>
        </w:tc>
        <w:tc>
          <w:tcPr>
            <w:tcW w:w="755" w:type="dxa"/>
            <w:vAlign w:val="center"/>
          </w:tcPr>
          <w:p w14:paraId="184F2978">
            <w:pPr>
              <w:jc w:val="center"/>
              <w:rPr>
                <w:rFonts w:ascii="Times New Roman" w:hAnsi="Times New Roman" w:eastAsia="宋体" w:cs="Times New Roman"/>
                <w:sz w:val="18"/>
                <w:szCs w:val="18"/>
              </w:rPr>
            </w:pPr>
          </w:p>
        </w:tc>
        <w:tc>
          <w:tcPr>
            <w:tcW w:w="2400" w:type="dxa"/>
          </w:tcPr>
          <w:p w14:paraId="2FF6957F">
            <w:pPr>
              <w:rPr>
                <w:rFonts w:hint="eastAsia" w:ascii="宋体" w:hAnsi="宋体" w:eastAsia="宋体" w:cs="宋体"/>
                <w:szCs w:val="21"/>
              </w:rPr>
            </w:pPr>
          </w:p>
        </w:tc>
        <w:tc>
          <w:tcPr>
            <w:tcW w:w="2063" w:type="dxa"/>
            <w:tcBorders>
              <w:right w:val="single" w:color="000000" w:sz="4" w:space="0"/>
            </w:tcBorders>
          </w:tcPr>
          <w:p w14:paraId="21D1E5C2">
            <w:pPr>
              <w:ind w:left="105" w:leftChars="50"/>
              <w:jc w:val="left"/>
              <w:rPr>
                <w:rFonts w:hint="eastAsia" w:ascii="宋体" w:hAnsi="宋体" w:eastAsia="宋体" w:cs="宋体"/>
                <w:szCs w:val="21"/>
              </w:rPr>
            </w:pPr>
          </w:p>
        </w:tc>
        <w:tc>
          <w:tcPr>
            <w:tcW w:w="2588" w:type="dxa"/>
            <w:tcBorders>
              <w:left w:val="single" w:color="000000" w:sz="4" w:space="0"/>
            </w:tcBorders>
          </w:tcPr>
          <w:p w14:paraId="0C67F4EF">
            <w:pPr>
              <w:ind w:left="105" w:leftChars="50"/>
              <w:jc w:val="left"/>
              <w:rPr>
                <w:rFonts w:hint="eastAsia" w:ascii="宋体" w:hAnsi="宋体" w:eastAsia="宋体" w:cs="宋体"/>
                <w:szCs w:val="21"/>
              </w:rPr>
            </w:pPr>
          </w:p>
        </w:tc>
        <w:tc>
          <w:tcPr>
            <w:tcW w:w="964" w:type="dxa"/>
          </w:tcPr>
          <w:p w14:paraId="0B2C23CF">
            <w:pPr>
              <w:rPr>
                <w:rFonts w:hint="eastAsia" w:ascii="宋体" w:hAnsi="宋体" w:eastAsia="宋体" w:cs="宋体"/>
                <w:szCs w:val="21"/>
              </w:rPr>
            </w:pPr>
          </w:p>
        </w:tc>
      </w:tr>
      <w:tr w14:paraId="10F17E7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trPr>
        <w:tc>
          <w:tcPr>
            <w:tcW w:w="606" w:type="dxa"/>
            <w:vAlign w:val="center"/>
          </w:tcPr>
          <w:p w14:paraId="6F3338E3">
            <w:pPr>
              <w:pStyle w:val="131"/>
              <w:adjustRightInd w:val="0"/>
              <w:snapToGrid w:val="0"/>
              <w:ind w:firstLine="0" w:firstLineChars="0"/>
              <w:jc w:val="center"/>
              <w:rPr>
                <w:rFonts w:hint="eastAsia" w:ascii="宋体" w:hAnsi="宋体" w:eastAsia="宋体" w:cs="宋体"/>
                <w:szCs w:val="21"/>
              </w:rPr>
            </w:pPr>
            <w:r>
              <w:rPr>
                <w:rFonts w:hint="eastAsia" w:ascii="宋体" w:hAnsi="宋体" w:eastAsia="宋体" w:cs="宋体"/>
                <w:szCs w:val="21"/>
              </w:rPr>
              <w:t>2</w:t>
            </w:r>
          </w:p>
        </w:tc>
        <w:tc>
          <w:tcPr>
            <w:tcW w:w="2315" w:type="dxa"/>
            <w:gridSpan w:val="2"/>
            <w:vAlign w:val="center"/>
          </w:tcPr>
          <w:p w14:paraId="1B1A60F1">
            <w:pPr>
              <w:jc w:val="center"/>
              <w:rPr>
                <w:rFonts w:hint="eastAsia" w:ascii="宋体" w:hAnsi="宋体" w:eastAsia="宋体" w:cs="宋体"/>
                <w:szCs w:val="21"/>
              </w:rPr>
            </w:pPr>
          </w:p>
        </w:tc>
        <w:tc>
          <w:tcPr>
            <w:tcW w:w="1668" w:type="dxa"/>
          </w:tcPr>
          <w:p w14:paraId="5E05B66B">
            <w:pPr>
              <w:jc w:val="center"/>
              <w:rPr>
                <w:rFonts w:hint="eastAsia" w:ascii="宋体" w:hAnsi="宋体" w:eastAsia="宋体" w:cs="宋体"/>
                <w:szCs w:val="21"/>
              </w:rPr>
            </w:pPr>
            <w:r>
              <w:rPr>
                <w:rFonts w:hint="eastAsia" w:ascii="宋体" w:hAnsi="宋体" w:eastAsia="宋体" w:cs="宋体"/>
                <w:szCs w:val="21"/>
              </w:rPr>
              <w:t xml:space="preserve"> </w:t>
            </w:r>
          </w:p>
        </w:tc>
        <w:tc>
          <w:tcPr>
            <w:tcW w:w="757" w:type="dxa"/>
            <w:vAlign w:val="center"/>
          </w:tcPr>
          <w:p w14:paraId="1C3421E8">
            <w:pPr>
              <w:jc w:val="center"/>
              <w:rPr>
                <w:rFonts w:ascii="Times New Roman" w:hAnsi="Times New Roman" w:eastAsia="宋体" w:cs="Times New Roman"/>
                <w:sz w:val="18"/>
                <w:szCs w:val="18"/>
              </w:rPr>
            </w:pPr>
          </w:p>
        </w:tc>
        <w:tc>
          <w:tcPr>
            <w:tcW w:w="755" w:type="dxa"/>
            <w:vAlign w:val="center"/>
          </w:tcPr>
          <w:p w14:paraId="17057E80">
            <w:pPr>
              <w:jc w:val="center"/>
              <w:rPr>
                <w:rFonts w:ascii="Times New Roman" w:hAnsi="Times New Roman" w:eastAsia="宋体" w:cs="Times New Roman"/>
                <w:sz w:val="18"/>
                <w:szCs w:val="18"/>
              </w:rPr>
            </w:pPr>
          </w:p>
        </w:tc>
        <w:tc>
          <w:tcPr>
            <w:tcW w:w="2400" w:type="dxa"/>
          </w:tcPr>
          <w:p w14:paraId="48D2B756">
            <w:pPr>
              <w:rPr>
                <w:rFonts w:hint="eastAsia" w:ascii="宋体" w:hAnsi="宋体" w:eastAsia="宋体" w:cs="宋体"/>
                <w:szCs w:val="21"/>
              </w:rPr>
            </w:pPr>
          </w:p>
        </w:tc>
        <w:tc>
          <w:tcPr>
            <w:tcW w:w="2063" w:type="dxa"/>
            <w:tcBorders>
              <w:right w:val="single" w:color="000000" w:sz="4" w:space="0"/>
            </w:tcBorders>
          </w:tcPr>
          <w:p w14:paraId="56D038FB">
            <w:pPr>
              <w:ind w:left="105" w:leftChars="50"/>
              <w:jc w:val="left"/>
              <w:rPr>
                <w:rFonts w:hint="eastAsia" w:ascii="宋体" w:hAnsi="宋体" w:eastAsia="宋体" w:cs="宋体"/>
                <w:szCs w:val="21"/>
              </w:rPr>
            </w:pPr>
          </w:p>
        </w:tc>
        <w:tc>
          <w:tcPr>
            <w:tcW w:w="2588" w:type="dxa"/>
            <w:tcBorders>
              <w:left w:val="single" w:color="000000" w:sz="4" w:space="0"/>
            </w:tcBorders>
          </w:tcPr>
          <w:p w14:paraId="0D26CDC1">
            <w:pPr>
              <w:ind w:left="105" w:leftChars="50"/>
              <w:jc w:val="left"/>
              <w:rPr>
                <w:rFonts w:hint="eastAsia" w:ascii="宋体" w:hAnsi="宋体" w:eastAsia="宋体" w:cs="宋体"/>
                <w:szCs w:val="21"/>
              </w:rPr>
            </w:pPr>
          </w:p>
        </w:tc>
        <w:tc>
          <w:tcPr>
            <w:tcW w:w="964" w:type="dxa"/>
          </w:tcPr>
          <w:p w14:paraId="24B00D0D">
            <w:pPr>
              <w:rPr>
                <w:rFonts w:hint="eastAsia" w:ascii="宋体" w:hAnsi="宋体" w:eastAsia="宋体" w:cs="宋体"/>
                <w:szCs w:val="21"/>
              </w:rPr>
            </w:pPr>
          </w:p>
        </w:tc>
      </w:tr>
      <w:tr w14:paraId="74AE284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trPr>
        <w:tc>
          <w:tcPr>
            <w:tcW w:w="606" w:type="dxa"/>
            <w:vAlign w:val="center"/>
          </w:tcPr>
          <w:p w14:paraId="1B8CA346">
            <w:pPr>
              <w:pStyle w:val="131"/>
              <w:adjustRightInd w:val="0"/>
              <w:snapToGrid w:val="0"/>
              <w:ind w:firstLine="0" w:firstLineChars="0"/>
              <w:jc w:val="center"/>
              <w:rPr>
                <w:rFonts w:hint="eastAsia" w:ascii="宋体" w:hAnsi="宋体" w:eastAsia="宋体" w:cs="宋体"/>
                <w:szCs w:val="21"/>
              </w:rPr>
            </w:pPr>
            <w:r>
              <w:rPr>
                <w:rFonts w:hint="eastAsia" w:ascii="宋体" w:hAnsi="宋体" w:eastAsia="宋体" w:cs="宋体"/>
                <w:szCs w:val="21"/>
              </w:rPr>
              <w:t>3</w:t>
            </w:r>
          </w:p>
        </w:tc>
        <w:tc>
          <w:tcPr>
            <w:tcW w:w="2315" w:type="dxa"/>
            <w:gridSpan w:val="2"/>
            <w:vAlign w:val="center"/>
          </w:tcPr>
          <w:p w14:paraId="7D606F52">
            <w:pPr>
              <w:jc w:val="center"/>
              <w:rPr>
                <w:rFonts w:hint="eastAsia" w:ascii="宋体" w:hAnsi="宋体" w:eastAsia="宋体" w:cs="宋体"/>
                <w:szCs w:val="21"/>
              </w:rPr>
            </w:pPr>
          </w:p>
        </w:tc>
        <w:tc>
          <w:tcPr>
            <w:tcW w:w="1668" w:type="dxa"/>
          </w:tcPr>
          <w:p w14:paraId="779B9426">
            <w:pPr>
              <w:jc w:val="center"/>
              <w:rPr>
                <w:rFonts w:hint="eastAsia" w:ascii="宋体" w:hAnsi="宋体" w:eastAsia="宋体" w:cs="宋体"/>
                <w:szCs w:val="21"/>
              </w:rPr>
            </w:pPr>
            <w:r>
              <w:rPr>
                <w:rFonts w:hint="eastAsia" w:ascii="宋体" w:hAnsi="宋体" w:eastAsia="宋体" w:cs="宋体"/>
                <w:szCs w:val="21"/>
              </w:rPr>
              <w:t xml:space="preserve"> </w:t>
            </w:r>
          </w:p>
        </w:tc>
        <w:tc>
          <w:tcPr>
            <w:tcW w:w="757" w:type="dxa"/>
            <w:vAlign w:val="center"/>
          </w:tcPr>
          <w:p w14:paraId="268F5D48">
            <w:pPr>
              <w:jc w:val="center"/>
              <w:rPr>
                <w:rFonts w:ascii="Times New Roman" w:hAnsi="Times New Roman" w:eastAsia="宋体" w:cs="Times New Roman"/>
                <w:sz w:val="18"/>
                <w:szCs w:val="18"/>
              </w:rPr>
            </w:pPr>
          </w:p>
        </w:tc>
        <w:tc>
          <w:tcPr>
            <w:tcW w:w="755" w:type="dxa"/>
            <w:vAlign w:val="center"/>
          </w:tcPr>
          <w:p w14:paraId="64FA6726">
            <w:pPr>
              <w:jc w:val="center"/>
              <w:rPr>
                <w:rFonts w:ascii="Times New Roman" w:hAnsi="Times New Roman" w:eastAsia="宋体" w:cs="Times New Roman"/>
                <w:sz w:val="18"/>
                <w:szCs w:val="18"/>
              </w:rPr>
            </w:pPr>
          </w:p>
        </w:tc>
        <w:tc>
          <w:tcPr>
            <w:tcW w:w="2400" w:type="dxa"/>
          </w:tcPr>
          <w:p w14:paraId="75540E65">
            <w:pPr>
              <w:rPr>
                <w:rFonts w:hint="eastAsia" w:ascii="宋体" w:hAnsi="宋体" w:eastAsia="宋体" w:cs="宋体"/>
                <w:szCs w:val="21"/>
              </w:rPr>
            </w:pPr>
          </w:p>
        </w:tc>
        <w:tc>
          <w:tcPr>
            <w:tcW w:w="2063" w:type="dxa"/>
            <w:tcBorders>
              <w:right w:val="single" w:color="000000" w:sz="4" w:space="0"/>
            </w:tcBorders>
          </w:tcPr>
          <w:p w14:paraId="34B9209E">
            <w:pPr>
              <w:ind w:left="105" w:leftChars="50"/>
              <w:jc w:val="left"/>
              <w:rPr>
                <w:rFonts w:hint="eastAsia" w:ascii="宋体" w:hAnsi="宋体" w:eastAsia="宋体" w:cs="宋体"/>
                <w:szCs w:val="21"/>
              </w:rPr>
            </w:pPr>
          </w:p>
        </w:tc>
        <w:tc>
          <w:tcPr>
            <w:tcW w:w="2588" w:type="dxa"/>
            <w:tcBorders>
              <w:left w:val="single" w:color="000000" w:sz="4" w:space="0"/>
            </w:tcBorders>
          </w:tcPr>
          <w:p w14:paraId="3D2524D7">
            <w:pPr>
              <w:ind w:left="105" w:leftChars="50"/>
              <w:jc w:val="left"/>
              <w:rPr>
                <w:rFonts w:hint="eastAsia" w:ascii="宋体" w:hAnsi="宋体" w:eastAsia="宋体" w:cs="宋体"/>
                <w:szCs w:val="21"/>
              </w:rPr>
            </w:pPr>
          </w:p>
        </w:tc>
        <w:tc>
          <w:tcPr>
            <w:tcW w:w="964" w:type="dxa"/>
          </w:tcPr>
          <w:p w14:paraId="550324F8">
            <w:pPr>
              <w:rPr>
                <w:rFonts w:hint="eastAsia" w:ascii="宋体" w:hAnsi="宋体" w:eastAsia="宋体" w:cs="宋体"/>
                <w:szCs w:val="21"/>
              </w:rPr>
            </w:pPr>
          </w:p>
        </w:tc>
      </w:tr>
      <w:tr w14:paraId="6964C43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2" w:hRule="atLeast"/>
        </w:trPr>
        <w:tc>
          <w:tcPr>
            <w:tcW w:w="606" w:type="dxa"/>
            <w:vAlign w:val="center"/>
          </w:tcPr>
          <w:p w14:paraId="584BA14D">
            <w:pPr>
              <w:pStyle w:val="131"/>
              <w:adjustRightInd w:val="0"/>
              <w:snapToGrid w:val="0"/>
              <w:ind w:firstLine="0" w:firstLineChars="0"/>
              <w:jc w:val="center"/>
              <w:rPr>
                <w:rFonts w:hint="eastAsia" w:ascii="宋体" w:hAnsi="宋体" w:eastAsia="宋体" w:cs="宋体"/>
                <w:szCs w:val="21"/>
              </w:rPr>
            </w:pPr>
            <w:r>
              <w:rPr>
                <w:rFonts w:hint="eastAsia" w:ascii="宋体" w:hAnsi="宋体" w:eastAsia="宋体" w:cs="宋体"/>
                <w:szCs w:val="21"/>
              </w:rPr>
              <w:t>4</w:t>
            </w:r>
          </w:p>
        </w:tc>
        <w:tc>
          <w:tcPr>
            <w:tcW w:w="2315" w:type="dxa"/>
            <w:gridSpan w:val="2"/>
            <w:vAlign w:val="center"/>
          </w:tcPr>
          <w:p w14:paraId="6877F6B0">
            <w:pPr>
              <w:jc w:val="center"/>
              <w:rPr>
                <w:rFonts w:hint="eastAsia" w:ascii="宋体" w:hAnsi="宋体" w:eastAsia="宋体" w:cs="宋体"/>
                <w:szCs w:val="21"/>
              </w:rPr>
            </w:pPr>
          </w:p>
        </w:tc>
        <w:tc>
          <w:tcPr>
            <w:tcW w:w="1668" w:type="dxa"/>
          </w:tcPr>
          <w:p w14:paraId="5D3FB778">
            <w:pPr>
              <w:jc w:val="center"/>
              <w:rPr>
                <w:rFonts w:hint="eastAsia" w:ascii="宋体" w:hAnsi="宋体" w:eastAsia="宋体" w:cs="宋体"/>
                <w:szCs w:val="21"/>
              </w:rPr>
            </w:pPr>
            <w:r>
              <w:rPr>
                <w:rFonts w:hint="eastAsia" w:ascii="宋体" w:hAnsi="宋体" w:eastAsia="宋体" w:cs="宋体"/>
                <w:szCs w:val="21"/>
              </w:rPr>
              <w:t xml:space="preserve"> </w:t>
            </w:r>
          </w:p>
        </w:tc>
        <w:tc>
          <w:tcPr>
            <w:tcW w:w="757" w:type="dxa"/>
            <w:vAlign w:val="center"/>
          </w:tcPr>
          <w:p w14:paraId="706E6842">
            <w:pPr>
              <w:jc w:val="center"/>
              <w:rPr>
                <w:rFonts w:ascii="Times New Roman" w:hAnsi="Times New Roman" w:eastAsia="宋体" w:cs="Times New Roman"/>
                <w:sz w:val="18"/>
                <w:szCs w:val="18"/>
              </w:rPr>
            </w:pPr>
          </w:p>
        </w:tc>
        <w:tc>
          <w:tcPr>
            <w:tcW w:w="755" w:type="dxa"/>
            <w:vAlign w:val="center"/>
          </w:tcPr>
          <w:p w14:paraId="56A29ADF">
            <w:pPr>
              <w:jc w:val="center"/>
              <w:rPr>
                <w:rFonts w:ascii="Times New Roman" w:hAnsi="Times New Roman" w:eastAsia="宋体" w:cs="Times New Roman"/>
                <w:sz w:val="18"/>
                <w:szCs w:val="18"/>
              </w:rPr>
            </w:pPr>
          </w:p>
        </w:tc>
        <w:tc>
          <w:tcPr>
            <w:tcW w:w="2400" w:type="dxa"/>
          </w:tcPr>
          <w:p w14:paraId="371C3042">
            <w:pPr>
              <w:rPr>
                <w:rFonts w:hint="eastAsia" w:ascii="宋体" w:hAnsi="宋体" w:eastAsia="宋体" w:cs="宋体"/>
                <w:szCs w:val="21"/>
              </w:rPr>
            </w:pPr>
          </w:p>
        </w:tc>
        <w:tc>
          <w:tcPr>
            <w:tcW w:w="2063" w:type="dxa"/>
            <w:tcBorders>
              <w:right w:val="single" w:color="000000" w:sz="4" w:space="0"/>
            </w:tcBorders>
          </w:tcPr>
          <w:p w14:paraId="4F74263F">
            <w:pPr>
              <w:ind w:left="105" w:leftChars="50"/>
              <w:jc w:val="left"/>
              <w:rPr>
                <w:rFonts w:hint="eastAsia" w:ascii="宋体" w:hAnsi="宋体" w:eastAsia="宋体" w:cs="宋体"/>
                <w:szCs w:val="21"/>
              </w:rPr>
            </w:pPr>
          </w:p>
        </w:tc>
        <w:tc>
          <w:tcPr>
            <w:tcW w:w="2588" w:type="dxa"/>
            <w:tcBorders>
              <w:left w:val="single" w:color="000000" w:sz="4" w:space="0"/>
            </w:tcBorders>
          </w:tcPr>
          <w:p w14:paraId="35EC29A9">
            <w:pPr>
              <w:ind w:left="105" w:leftChars="50"/>
              <w:jc w:val="left"/>
              <w:rPr>
                <w:rFonts w:hint="eastAsia" w:ascii="宋体" w:hAnsi="宋体" w:eastAsia="宋体" w:cs="宋体"/>
                <w:szCs w:val="21"/>
              </w:rPr>
            </w:pPr>
          </w:p>
        </w:tc>
        <w:tc>
          <w:tcPr>
            <w:tcW w:w="964" w:type="dxa"/>
          </w:tcPr>
          <w:p w14:paraId="40070C04">
            <w:pPr>
              <w:rPr>
                <w:rFonts w:hint="eastAsia" w:ascii="宋体" w:hAnsi="宋体" w:eastAsia="宋体" w:cs="宋体"/>
                <w:szCs w:val="21"/>
              </w:rPr>
            </w:pPr>
          </w:p>
        </w:tc>
      </w:tr>
      <w:tr w14:paraId="5CDABB6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trPr>
        <w:tc>
          <w:tcPr>
            <w:tcW w:w="606" w:type="dxa"/>
            <w:vAlign w:val="center"/>
          </w:tcPr>
          <w:p w14:paraId="59C7D50F">
            <w:pPr>
              <w:pStyle w:val="131"/>
              <w:adjustRightInd w:val="0"/>
              <w:snapToGrid w:val="0"/>
              <w:ind w:firstLine="0" w:firstLineChars="0"/>
              <w:jc w:val="center"/>
              <w:rPr>
                <w:rFonts w:hint="eastAsia" w:ascii="宋体" w:hAnsi="宋体" w:eastAsia="宋体" w:cs="宋体"/>
                <w:szCs w:val="21"/>
              </w:rPr>
            </w:pPr>
            <w:r>
              <w:rPr>
                <w:rFonts w:hint="eastAsia" w:ascii="宋体" w:hAnsi="宋体" w:eastAsia="宋体" w:cs="宋体"/>
                <w:szCs w:val="21"/>
              </w:rPr>
              <w:t>5</w:t>
            </w:r>
          </w:p>
        </w:tc>
        <w:tc>
          <w:tcPr>
            <w:tcW w:w="2315" w:type="dxa"/>
            <w:gridSpan w:val="2"/>
            <w:vAlign w:val="center"/>
          </w:tcPr>
          <w:p w14:paraId="624575F1">
            <w:pPr>
              <w:jc w:val="center"/>
              <w:rPr>
                <w:rFonts w:hint="eastAsia" w:ascii="宋体" w:hAnsi="宋体" w:eastAsia="宋体" w:cs="宋体"/>
                <w:szCs w:val="21"/>
              </w:rPr>
            </w:pPr>
          </w:p>
        </w:tc>
        <w:tc>
          <w:tcPr>
            <w:tcW w:w="1668" w:type="dxa"/>
          </w:tcPr>
          <w:p w14:paraId="1DCA820F">
            <w:pPr>
              <w:jc w:val="center"/>
              <w:rPr>
                <w:rFonts w:hint="eastAsia" w:ascii="宋体" w:hAnsi="宋体" w:eastAsia="宋体" w:cs="宋体"/>
                <w:szCs w:val="21"/>
              </w:rPr>
            </w:pPr>
            <w:r>
              <w:rPr>
                <w:rFonts w:hint="eastAsia" w:ascii="宋体" w:hAnsi="宋体" w:eastAsia="宋体" w:cs="宋体"/>
                <w:szCs w:val="21"/>
              </w:rPr>
              <w:t xml:space="preserve"> </w:t>
            </w:r>
          </w:p>
        </w:tc>
        <w:tc>
          <w:tcPr>
            <w:tcW w:w="757" w:type="dxa"/>
            <w:vAlign w:val="center"/>
          </w:tcPr>
          <w:p w14:paraId="7CEC3550">
            <w:pPr>
              <w:jc w:val="center"/>
              <w:rPr>
                <w:rFonts w:ascii="Times New Roman" w:hAnsi="Times New Roman" w:eastAsia="宋体" w:cs="Times New Roman"/>
                <w:sz w:val="18"/>
                <w:szCs w:val="18"/>
              </w:rPr>
            </w:pPr>
          </w:p>
        </w:tc>
        <w:tc>
          <w:tcPr>
            <w:tcW w:w="755" w:type="dxa"/>
            <w:vAlign w:val="center"/>
          </w:tcPr>
          <w:p w14:paraId="0CC6434A">
            <w:pPr>
              <w:jc w:val="center"/>
              <w:rPr>
                <w:rFonts w:ascii="Times New Roman" w:hAnsi="Times New Roman" w:eastAsia="宋体" w:cs="Times New Roman"/>
                <w:sz w:val="18"/>
                <w:szCs w:val="18"/>
              </w:rPr>
            </w:pPr>
          </w:p>
        </w:tc>
        <w:tc>
          <w:tcPr>
            <w:tcW w:w="2400" w:type="dxa"/>
          </w:tcPr>
          <w:p w14:paraId="2D101FDD">
            <w:pPr>
              <w:rPr>
                <w:rFonts w:hint="eastAsia" w:ascii="宋体" w:hAnsi="宋体" w:eastAsia="宋体" w:cs="宋体"/>
                <w:szCs w:val="21"/>
              </w:rPr>
            </w:pPr>
          </w:p>
        </w:tc>
        <w:tc>
          <w:tcPr>
            <w:tcW w:w="2063" w:type="dxa"/>
            <w:tcBorders>
              <w:right w:val="single" w:color="000000" w:sz="4" w:space="0"/>
            </w:tcBorders>
          </w:tcPr>
          <w:p w14:paraId="5EA31AAE">
            <w:pPr>
              <w:ind w:left="105" w:leftChars="50"/>
              <w:jc w:val="left"/>
              <w:rPr>
                <w:rFonts w:hint="eastAsia" w:ascii="宋体" w:hAnsi="宋体" w:eastAsia="宋体" w:cs="宋体"/>
                <w:szCs w:val="21"/>
              </w:rPr>
            </w:pPr>
          </w:p>
        </w:tc>
        <w:tc>
          <w:tcPr>
            <w:tcW w:w="2588" w:type="dxa"/>
            <w:tcBorders>
              <w:left w:val="single" w:color="000000" w:sz="4" w:space="0"/>
            </w:tcBorders>
          </w:tcPr>
          <w:p w14:paraId="3243644C">
            <w:pPr>
              <w:ind w:left="105" w:leftChars="50"/>
              <w:jc w:val="left"/>
              <w:rPr>
                <w:rFonts w:hint="eastAsia" w:ascii="宋体" w:hAnsi="宋体" w:eastAsia="宋体" w:cs="宋体"/>
                <w:szCs w:val="21"/>
              </w:rPr>
            </w:pPr>
          </w:p>
        </w:tc>
        <w:tc>
          <w:tcPr>
            <w:tcW w:w="964" w:type="dxa"/>
          </w:tcPr>
          <w:p w14:paraId="5E6B7E57">
            <w:pPr>
              <w:rPr>
                <w:rFonts w:hint="eastAsia" w:ascii="宋体" w:hAnsi="宋体" w:eastAsia="宋体" w:cs="宋体"/>
                <w:szCs w:val="21"/>
              </w:rPr>
            </w:pPr>
          </w:p>
        </w:tc>
      </w:tr>
      <w:tr w14:paraId="5AFD721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11" w:hRule="atLeast"/>
        </w:trPr>
        <w:tc>
          <w:tcPr>
            <w:tcW w:w="606" w:type="dxa"/>
            <w:vAlign w:val="center"/>
          </w:tcPr>
          <w:p w14:paraId="4E552D0C">
            <w:pPr>
              <w:jc w:val="center"/>
              <w:rPr>
                <w:rFonts w:hint="eastAsia" w:ascii="宋体" w:hAnsi="宋体" w:eastAsia="宋体" w:cs="宋体"/>
                <w:szCs w:val="21"/>
              </w:rPr>
            </w:pPr>
            <w:r>
              <w:rPr>
                <w:rFonts w:ascii="宋体" w:hAnsi="宋体" w:eastAsia="宋体" w:cs="宋体"/>
                <w:position w:val="1"/>
                <w:szCs w:val="21"/>
              </w:rPr>
              <w:t>…</w:t>
            </w:r>
          </w:p>
        </w:tc>
        <w:tc>
          <w:tcPr>
            <w:tcW w:w="2315" w:type="dxa"/>
            <w:gridSpan w:val="2"/>
          </w:tcPr>
          <w:p w14:paraId="34AE0724">
            <w:pPr>
              <w:rPr>
                <w:rFonts w:hint="eastAsia" w:ascii="宋体" w:hAnsi="宋体" w:eastAsia="宋体" w:cs="宋体"/>
                <w:szCs w:val="21"/>
              </w:rPr>
            </w:pPr>
            <w:r>
              <w:rPr>
                <w:rFonts w:hint="eastAsia" w:ascii="宋体" w:hAnsi="宋体" w:eastAsia="宋体" w:cs="Times New Roman"/>
                <w:sz w:val="18"/>
                <w:szCs w:val="18"/>
              </w:rPr>
              <w:t>以上投标设备不足之处请往下添加序号自行补充</w:t>
            </w:r>
          </w:p>
        </w:tc>
        <w:tc>
          <w:tcPr>
            <w:tcW w:w="1668" w:type="dxa"/>
          </w:tcPr>
          <w:p w14:paraId="1354CB7E">
            <w:pPr>
              <w:rPr>
                <w:rFonts w:hint="eastAsia" w:ascii="Arial"/>
              </w:rPr>
            </w:pPr>
            <w:r>
              <w:rPr>
                <w:rFonts w:hint="eastAsia" w:ascii="宋体" w:hAnsi="宋体" w:eastAsia="宋体" w:cs="宋体"/>
                <w:szCs w:val="21"/>
              </w:rPr>
              <w:t xml:space="preserve"> </w:t>
            </w:r>
          </w:p>
        </w:tc>
        <w:tc>
          <w:tcPr>
            <w:tcW w:w="757" w:type="dxa"/>
          </w:tcPr>
          <w:p w14:paraId="370F6B54">
            <w:pPr>
              <w:rPr>
                <w:rFonts w:hint="eastAsia" w:ascii="Arial"/>
              </w:rPr>
            </w:pPr>
            <w:r>
              <w:rPr>
                <w:rFonts w:hint="eastAsia" w:ascii="宋体" w:hAnsi="宋体" w:eastAsia="宋体" w:cs="宋体"/>
                <w:szCs w:val="21"/>
              </w:rPr>
              <w:t xml:space="preserve"> </w:t>
            </w:r>
          </w:p>
        </w:tc>
        <w:tc>
          <w:tcPr>
            <w:tcW w:w="755" w:type="dxa"/>
          </w:tcPr>
          <w:p w14:paraId="65954516">
            <w:pPr>
              <w:rPr>
                <w:rFonts w:hint="eastAsia" w:ascii="Arial"/>
              </w:rPr>
            </w:pPr>
            <w:r>
              <w:rPr>
                <w:rFonts w:hint="eastAsia" w:ascii="宋体" w:hAnsi="宋体" w:eastAsia="宋体" w:cs="宋体"/>
                <w:szCs w:val="21"/>
              </w:rPr>
              <w:t xml:space="preserve"> </w:t>
            </w:r>
          </w:p>
        </w:tc>
        <w:tc>
          <w:tcPr>
            <w:tcW w:w="2400" w:type="dxa"/>
          </w:tcPr>
          <w:p w14:paraId="2A885973">
            <w:pPr>
              <w:rPr>
                <w:rFonts w:hint="eastAsia" w:ascii="Arial"/>
              </w:rPr>
            </w:pPr>
          </w:p>
        </w:tc>
        <w:tc>
          <w:tcPr>
            <w:tcW w:w="2063" w:type="dxa"/>
            <w:tcBorders>
              <w:right w:val="single" w:color="000000" w:sz="4" w:space="0"/>
            </w:tcBorders>
          </w:tcPr>
          <w:p w14:paraId="4BDC5F4D">
            <w:pPr>
              <w:rPr>
                <w:rFonts w:hint="eastAsia" w:ascii="Arial"/>
              </w:rPr>
            </w:pPr>
          </w:p>
        </w:tc>
        <w:tc>
          <w:tcPr>
            <w:tcW w:w="2588" w:type="dxa"/>
            <w:tcBorders>
              <w:left w:val="single" w:color="000000" w:sz="4" w:space="0"/>
            </w:tcBorders>
          </w:tcPr>
          <w:p w14:paraId="6040F499">
            <w:pPr>
              <w:rPr>
                <w:rFonts w:hint="eastAsia" w:ascii="Arial"/>
              </w:rPr>
            </w:pPr>
          </w:p>
        </w:tc>
        <w:tc>
          <w:tcPr>
            <w:tcW w:w="964" w:type="dxa"/>
          </w:tcPr>
          <w:p w14:paraId="36F47370">
            <w:pPr>
              <w:rPr>
                <w:rFonts w:hint="eastAsia" w:ascii="Arial"/>
              </w:rPr>
            </w:pPr>
          </w:p>
        </w:tc>
      </w:tr>
      <w:tr w14:paraId="71C1965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4" w:hRule="atLeast"/>
        </w:trPr>
        <w:tc>
          <w:tcPr>
            <w:tcW w:w="1516" w:type="dxa"/>
            <w:gridSpan w:val="2"/>
            <w:tcBorders>
              <w:right w:val="single" w:color="000000" w:sz="4" w:space="0"/>
            </w:tcBorders>
          </w:tcPr>
          <w:p w14:paraId="480DE2F9">
            <w:pPr>
              <w:jc w:val="center"/>
              <w:rPr>
                <w:rFonts w:hint="eastAsia" w:ascii="宋体" w:hAnsi="宋体" w:eastAsia="宋体" w:cs="宋体"/>
                <w:spacing w:val="-6"/>
                <w:szCs w:val="21"/>
              </w:rPr>
            </w:pPr>
          </w:p>
        </w:tc>
        <w:tc>
          <w:tcPr>
            <w:tcW w:w="9048" w:type="dxa"/>
            <w:gridSpan w:val="6"/>
            <w:tcBorders>
              <w:right w:val="single" w:color="000000" w:sz="4" w:space="0"/>
            </w:tcBorders>
          </w:tcPr>
          <w:p w14:paraId="57C93A68">
            <w:pPr>
              <w:jc w:val="center"/>
              <w:rPr>
                <w:rFonts w:hint="eastAsia" w:ascii="Arial"/>
              </w:rPr>
            </w:pPr>
            <w:r>
              <w:rPr>
                <w:rFonts w:ascii="宋体" w:hAnsi="宋体" w:eastAsia="宋体" w:cs="宋体"/>
                <w:spacing w:val="-6"/>
                <w:szCs w:val="21"/>
              </w:rPr>
              <w:t>总</w:t>
            </w:r>
            <w:r>
              <w:rPr>
                <w:rFonts w:ascii="宋体" w:hAnsi="宋体" w:eastAsia="宋体" w:cs="宋体"/>
                <w:spacing w:val="-4"/>
                <w:szCs w:val="21"/>
              </w:rPr>
              <w:t xml:space="preserve">价合计列入价格汇总表 </w:t>
            </w:r>
            <w:r>
              <w:rPr>
                <w:rFonts w:hint="eastAsia" w:ascii="宋体" w:hAnsi="宋体" w:eastAsia="宋体" w:cs="宋体"/>
                <w:spacing w:val="-4"/>
                <w:szCs w:val="21"/>
              </w:rPr>
              <w:t>9</w:t>
            </w:r>
            <w:r>
              <w:rPr>
                <w:rFonts w:ascii="宋体" w:hAnsi="宋体" w:eastAsia="宋体" w:cs="宋体"/>
                <w:spacing w:val="-4"/>
                <w:szCs w:val="21"/>
              </w:rPr>
              <w:t>-</w:t>
            </w:r>
            <w:r>
              <w:rPr>
                <w:rFonts w:hint="eastAsia" w:ascii="宋体" w:hAnsi="宋体" w:eastAsia="宋体" w:cs="宋体"/>
                <w:spacing w:val="-4"/>
                <w:szCs w:val="21"/>
              </w:rPr>
              <w:t>5</w:t>
            </w:r>
          </w:p>
        </w:tc>
        <w:tc>
          <w:tcPr>
            <w:tcW w:w="2588" w:type="dxa"/>
            <w:tcBorders>
              <w:left w:val="single" w:color="000000" w:sz="4" w:space="0"/>
            </w:tcBorders>
          </w:tcPr>
          <w:p w14:paraId="5DD27A5A">
            <w:pPr>
              <w:rPr>
                <w:rFonts w:hint="eastAsia" w:ascii="Arial"/>
              </w:rPr>
            </w:pPr>
          </w:p>
        </w:tc>
        <w:tc>
          <w:tcPr>
            <w:tcW w:w="964" w:type="dxa"/>
          </w:tcPr>
          <w:p w14:paraId="6EACAEFA">
            <w:pPr>
              <w:rPr>
                <w:rFonts w:hint="eastAsia" w:ascii="Arial"/>
              </w:rPr>
            </w:pPr>
          </w:p>
        </w:tc>
      </w:tr>
    </w:tbl>
    <w:p w14:paraId="2AB0980A">
      <w:pPr>
        <w:spacing w:before="58" w:line="219" w:lineRule="auto"/>
        <w:ind w:left="8"/>
        <w:rPr>
          <w:rFonts w:hint="eastAsia" w:ascii="宋体" w:hAnsi="宋体" w:eastAsia="宋体" w:cs="宋体"/>
          <w:spacing w:val="-8"/>
          <w:szCs w:val="21"/>
        </w:rPr>
      </w:pPr>
    </w:p>
    <w:p w14:paraId="53C57FCA">
      <w:pPr>
        <w:spacing w:before="58" w:line="219" w:lineRule="auto"/>
        <w:ind w:left="8"/>
        <w:rPr>
          <w:rFonts w:hint="eastAsia" w:ascii="宋体" w:hAnsi="宋体" w:eastAsia="宋体" w:cs="宋体"/>
          <w:spacing w:val="-4"/>
          <w:szCs w:val="21"/>
        </w:rPr>
      </w:pPr>
      <w:r>
        <w:rPr>
          <w:rFonts w:ascii="宋体" w:hAnsi="宋体" w:eastAsia="宋体" w:cs="宋体"/>
          <w:spacing w:val="-8"/>
          <w:szCs w:val="21"/>
        </w:rPr>
        <w:t>注：</w:t>
      </w:r>
      <w:r>
        <w:rPr>
          <w:rFonts w:hint="eastAsia" w:ascii="宋体" w:hAnsi="宋体" w:eastAsia="宋体" w:cs="宋体"/>
          <w:spacing w:val="-8"/>
          <w:szCs w:val="21"/>
        </w:rPr>
        <w:t xml:space="preserve"> </w:t>
      </w:r>
      <w:r>
        <w:rPr>
          <w:rFonts w:ascii="宋体" w:hAnsi="宋体" w:eastAsia="宋体" w:cs="宋体"/>
          <w:spacing w:val="-8"/>
          <w:szCs w:val="21"/>
        </w:rPr>
        <w:t>1.以上</w:t>
      </w:r>
      <w:r>
        <w:rPr>
          <w:rFonts w:ascii="宋体" w:hAnsi="宋体" w:eastAsia="宋体" w:cs="宋体"/>
          <w:spacing w:val="-5"/>
          <w:szCs w:val="21"/>
        </w:rPr>
        <w:t>是</w:t>
      </w:r>
      <w:r>
        <w:rPr>
          <w:rFonts w:ascii="宋体" w:hAnsi="宋体" w:eastAsia="宋体" w:cs="宋体"/>
          <w:spacing w:val="-4"/>
          <w:szCs w:val="21"/>
        </w:rPr>
        <w:t>各单体设备分项报价应包括的内容， 但不限于此，表中“总价合计”构成主机价格的一部分。</w:t>
      </w:r>
    </w:p>
    <w:p w14:paraId="5AC43F26">
      <w:pPr>
        <w:spacing w:line="219" w:lineRule="auto"/>
        <w:ind w:left="431"/>
        <w:rPr>
          <w:rFonts w:hint="eastAsia" w:ascii="宋体" w:hAnsi="宋体" w:eastAsia="宋体" w:cs="宋体"/>
          <w:szCs w:val="21"/>
        </w:rPr>
      </w:pPr>
      <w:r>
        <w:rPr>
          <w:rFonts w:ascii="宋体" w:hAnsi="宋体" w:eastAsia="宋体" w:cs="宋体"/>
          <w:spacing w:val="-6"/>
          <w:szCs w:val="21"/>
        </w:rPr>
        <w:t>2.如果按单</w:t>
      </w:r>
      <w:r>
        <w:rPr>
          <w:rFonts w:ascii="宋体" w:hAnsi="宋体" w:eastAsia="宋体" w:cs="宋体"/>
          <w:spacing w:val="-5"/>
          <w:szCs w:val="21"/>
        </w:rPr>
        <w:t>价</w:t>
      </w:r>
      <w:r>
        <w:rPr>
          <w:rFonts w:ascii="宋体" w:hAnsi="宋体" w:eastAsia="宋体" w:cs="宋体"/>
          <w:spacing w:val="-3"/>
          <w:szCs w:val="21"/>
        </w:rPr>
        <w:t>计算的结果与总价不一致，以单价为准修正总价。</w:t>
      </w:r>
    </w:p>
    <w:p w14:paraId="35B77BAF">
      <w:pPr>
        <w:spacing w:before="85" w:line="198" w:lineRule="auto"/>
        <w:ind w:left="432"/>
        <w:rPr>
          <w:rFonts w:hint="eastAsia"/>
        </w:rPr>
      </w:pPr>
      <w:r>
        <w:rPr>
          <w:rFonts w:ascii="宋体" w:hAnsi="宋体" w:eastAsia="宋体" w:cs="宋体"/>
          <w:spacing w:val="-4"/>
          <w:szCs w:val="21"/>
        </w:rPr>
        <w:t>3.此分项报价，仅是为</w:t>
      </w:r>
      <w:r>
        <w:rPr>
          <w:rFonts w:ascii="宋体" w:hAnsi="宋体" w:eastAsia="宋体" w:cs="宋体"/>
          <w:spacing w:val="-2"/>
          <w:szCs w:val="21"/>
        </w:rPr>
        <w:t>了方便招标人对投标文件进行分析比较，不作为限制订立合同的条件</w:t>
      </w:r>
      <w:r>
        <w:rPr>
          <w:rFonts w:ascii="宋体" w:hAnsi="宋体" w:eastAsia="宋体" w:cs="宋体"/>
          <w:spacing w:val="-2"/>
          <w:sz w:val="24"/>
          <w:szCs w:val="24"/>
        </w:rPr>
        <w:t>。</w:t>
      </w:r>
    </w:p>
    <w:p w14:paraId="5B10AB1C">
      <w:pPr>
        <w:spacing w:before="78" w:line="219" w:lineRule="auto"/>
        <w:ind w:left="431"/>
        <w:rPr>
          <w:rFonts w:hint="eastAsia"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29813667">
      <w:pPr>
        <w:spacing w:before="78" w:line="219" w:lineRule="auto"/>
        <w:ind w:left="431"/>
        <w:rPr>
          <w:rFonts w:hint="eastAsia"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5D10D01A">
      <w:pPr>
        <w:spacing w:before="78" w:line="219" w:lineRule="auto"/>
        <w:ind w:left="431"/>
        <w:rPr>
          <w:rFonts w:hint="eastAsia" w:ascii="宋体" w:hAnsi="宋体" w:eastAsia="宋体" w:cs="宋体"/>
          <w:spacing w:val="-6"/>
          <w:szCs w:val="21"/>
        </w:rPr>
      </w:pPr>
      <w:r>
        <w:rPr>
          <w:rFonts w:hint="eastAsia" w:ascii="宋体" w:hAnsi="宋体" w:eastAsia="宋体" w:cs="宋体"/>
          <w:spacing w:val="-6"/>
          <w:szCs w:val="21"/>
        </w:rPr>
        <w:t>6.因填写不规范造成废标及终止招标的，责任由投标人自负。</w:t>
      </w:r>
    </w:p>
    <w:p w14:paraId="690C689C">
      <w:pPr>
        <w:spacing w:before="78" w:line="219" w:lineRule="auto"/>
        <w:ind w:left="431"/>
        <w:rPr>
          <w:rFonts w:hint="eastAsia" w:ascii="宋体" w:hAnsi="宋体" w:eastAsia="宋体" w:cs="宋体"/>
          <w:spacing w:val="-6"/>
          <w:szCs w:val="21"/>
        </w:rPr>
      </w:pPr>
    </w:p>
    <w:p w14:paraId="1C16097B">
      <w:pPr>
        <w:spacing w:before="78" w:line="219" w:lineRule="auto"/>
        <w:ind w:left="431"/>
        <w:rPr>
          <w:rFonts w:hint="eastAsia" w:ascii="宋体" w:hAnsi="宋体" w:eastAsia="宋体" w:cs="宋体"/>
          <w:spacing w:val="-6"/>
          <w:szCs w:val="21"/>
        </w:rPr>
      </w:pPr>
    </w:p>
    <w:p w14:paraId="1476813D">
      <w:pPr>
        <w:spacing w:before="78" w:line="219" w:lineRule="auto"/>
        <w:ind w:left="431"/>
        <w:rPr>
          <w:rFonts w:hint="eastAsia" w:ascii="宋体" w:hAnsi="宋体" w:eastAsia="宋体" w:cs="宋体"/>
          <w:spacing w:val="-6"/>
          <w:szCs w:val="21"/>
        </w:rPr>
      </w:pPr>
    </w:p>
    <w:p w14:paraId="2148B490">
      <w:pPr>
        <w:spacing w:before="78" w:line="219" w:lineRule="auto"/>
        <w:ind w:left="431"/>
        <w:rPr>
          <w:rFonts w:hint="eastAsia" w:ascii="宋体" w:hAnsi="宋体" w:eastAsia="宋体" w:cs="宋体"/>
          <w:spacing w:val="-6"/>
          <w:szCs w:val="21"/>
        </w:rPr>
      </w:pPr>
    </w:p>
    <w:p w14:paraId="7D43C303">
      <w:pPr>
        <w:spacing w:before="85" w:line="198" w:lineRule="auto"/>
        <w:ind w:firstLine="696" w:firstLineChars="300"/>
        <w:rPr>
          <w:rFonts w:hint="eastAsia" w:ascii="宋体" w:hAnsi="宋体" w:eastAsia="宋体" w:cs="宋体"/>
          <w:sz w:val="24"/>
          <w:szCs w:val="24"/>
        </w:rPr>
      </w:pPr>
      <w:r>
        <w:rPr>
          <w:rFonts w:hint="eastAsia" w:ascii="宋体" w:hAnsi="宋体" w:eastAsia="宋体" w:cs="宋体"/>
          <w:spacing w:val="-4"/>
          <w:sz w:val="24"/>
          <w:szCs w:val="24"/>
        </w:rPr>
        <w:t xml:space="preserve">投标人(章)：                                 </w:t>
      </w:r>
      <w:r>
        <w:rPr>
          <w:rFonts w:hint="eastAsia" w:ascii="宋体" w:hAnsi="宋体" w:eastAsia="宋体" w:cs="宋体"/>
          <w:spacing w:val="-2"/>
          <w:sz w:val="24"/>
          <w:szCs w:val="24"/>
        </w:rPr>
        <w:t>授权代表(签字)：</w:t>
      </w:r>
      <w:r>
        <w:rPr>
          <w:rFonts w:hint="eastAsia" w:ascii="宋体" w:hAnsi="宋体" w:eastAsia="宋体" w:cs="宋体"/>
          <w:spacing w:val="4"/>
          <w:sz w:val="24"/>
          <w:szCs w:val="24"/>
        </w:rPr>
        <w:t xml:space="preserve"> </w:t>
      </w:r>
      <w:r>
        <w:rPr>
          <w:rFonts w:hint="eastAsia" w:ascii="宋体" w:hAnsi="宋体" w:eastAsia="宋体" w:cs="宋体"/>
          <w:spacing w:val="3"/>
          <w:sz w:val="24"/>
          <w:szCs w:val="24"/>
        </w:rPr>
        <w:t xml:space="preserve">                         </w:t>
      </w:r>
      <w:r>
        <w:rPr>
          <w:rFonts w:hint="eastAsia" w:ascii="宋体" w:hAnsi="宋体" w:eastAsia="宋体" w:cs="宋体"/>
          <w:spacing w:val="-2"/>
          <w:sz w:val="24"/>
          <w:szCs w:val="24"/>
        </w:rPr>
        <w:t xml:space="preserve">年    月  </w:t>
      </w:r>
    </w:p>
    <w:p w14:paraId="2B9D4DF7">
      <w:pPr>
        <w:rPr>
          <w:rFonts w:hint="eastAsia" w:ascii="宋体" w:hAnsi="宋体" w:eastAsia="宋体" w:cs="宋体"/>
          <w:sz w:val="24"/>
          <w:szCs w:val="24"/>
        </w:rPr>
      </w:pPr>
    </w:p>
    <w:p w14:paraId="4CC4CA95">
      <w:pPr>
        <w:pStyle w:val="7"/>
        <w:jc w:val="left"/>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pP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表 9-2</w:t>
      </w:r>
    </w:p>
    <w:p w14:paraId="349C8567">
      <w:pPr>
        <w:spacing w:before="186" w:line="224" w:lineRule="auto"/>
        <w:ind w:left="5342"/>
        <w:rPr>
          <w:rFonts w:hint="eastAsia" w:ascii="宋体" w:hAnsi="宋体" w:eastAsia="宋体" w:cs="宋体"/>
          <w:sz w:val="24"/>
          <w:szCs w:val="24"/>
        </w:rPr>
      </w:pPr>
      <w:r>
        <w:rPr>
          <w:rFonts w:ascii="宋体" w:hAnsi="宋体" w:eastAsia="宋体" w:cs="宋体"/>
          <w:spacing w:val="16"/>
          <w:sz w:val="24"/>
          <w:szCs w:val="24"/>
          <w14:textOutline w14:w="5791" w14:cap="flat" w14:cmpd="sng" w14:algn="ctr">
            <w14:solidFill>
              <w14:srgbClr w14:val="000000"/>
            </w14:solidFill>
            <w14:prstDash w14:val="solid"/>
            <w14:miter w14:val="0"/>
          </w14:textOutline>
        </w:rPr>
        <w:t>运</w:t>
      </w:r>
      <w:r>
        <w:rPr>
          <w:rFonts w:ascii="宋体" w:hAnsi="宋体" w:eastAsia="宋体" w:cs="宋体"/>
          <w:spacing w:val="9"/>
          <w:sz w:val="24"/>
          <w:szCs w:val="24"/>
          <w14:textOutline w14:w="5791" w14:cap="flat" w14:cmpd="sng" w14:algn="ctr">
            <w14:solidFill>
              <w14:srgbClr w14:val="000000"/>
            </w14:solidFill>
            <w14:prstDash w14:val="solid"/>
            <w14:miter w14:val="0"/>
          </w14:textOutline>
        </w:rPr>
        <w:t>输及服务分项报价表</w:t>
      </w:r>
    </w:p>
    <w:p w14:paraId="73B6A0FF">
      <w:pPr>
        <w:spacing w:before="132" w:line="221" w:lineRule="auto"/>
        <w:ind w:left="310"/>
        <w:jc w:val="right"/>
        <w:rPr>
          <w:rFonts w:hint="eastAsia" w:ascii="宋体" w:hAnsi="宋体" w:eastAsia="宋体" w:cs="宋体"/>
          <w:szCs w:val="21"/>
        </w:rPr>
      </w:pPr>
      <w:r>
        <w:rPr>
          <w:rFonts w:ascii="宋体" w:hAnsi="宋体" w:eastAsia="宋体" w:cs="宋体"/>
          <w:spacing w:val="-1"/>
          <w:szCs w:val="21"/>
        </w:rPr>
        <w:t xml:space="preserve">                                             </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tbl>
      <w:tblPr>
        <w:tblStyle w:val="133"/>
        <w:tblW w:w="13434" w:type="dxa"/>
        <w:tblInd w:w="22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99"/>
        <w:gridCol w:w="3530"/>
        <w:gridCol w:w="2159"/>
        <w:gridCol w:w="2186"/>
        <w:gridCol w:w="2596"/>
        <w:gridCol w:w="2164"/>
      </w:tblGrid>
      <w:tr w14:paraId="397AB9B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0" w:hRule="atLeast"/>
        </w:trPr>
        <w:tc>
          <w:tcPr>
            <w:tcW w:w="799" w:type="dxa"/>
            <w:vMerge w:val="restart"/>
            <w:tcBorders>
              <w:bottom w:val="nil"/>
            </w:tcBorders>
          </w:tcPr>
          <w:p w14:paraId="404B5C02">
            <w:pPr>
              <w:spacing w:line="296" w:lineRule="auto"/>
              <w:rPr>
                <w:rFonts w:hint="eastAsia" w:ascii="Arial"/>
              </w:rPr>
            </w:pPr>
          </w:p>
          <w:p w14:paraId="26159EDB">
            <w:pPr>
              <w:spacing w:before="68" w:line="222" w:lineRule="auto"/>
              <w:ind w:left="194"/>
              <w:rPr>
                <w:rFonts w:hint="eastAsia" w:ascii="宋体" w:hAnsi="宋体" w:eastAsia="宋体" w:cs="宋体"/>
                <w:szCs w:val="21"/>
              </w:rPr>
            </w:pPr>
            <w:r>
              <w:rPr>
                <w:rFonts w:ascii="宋体" w:hAnsi="宋体" w:eastAsia="宋体" w:cs="宋体"/>
                <w:spacing w:val="-1"/>
                <w:szCs w:val="21"/>
              </w:rPr>
              <w:t>序号</w:t>
            </w:r>
          </w:p>
        </w:tc>
        <w:tc>
          <w:tcPr>
            <w:tcW w:w="3530" w:type="dxa"/>
            <w:vMerge w:val="restart"/>
            <w:tcBorders>
              <w:bottom w:val="nil"/>
            </w:tcBorders>
          </w:tcPr>
          <w:p w14:paraId="267C0124">
            <w:pPr>
              <w:spacing w:line="295" w:lineRule="auto"/>
              <w:rPr>
                <w:rFonts w:hint="eastAsia" w:ascii="Arial"/>
              </w:rPr>
            </w:pPr>
          </w:p>
          <w:p w14:paraId="7E4483C9">
            <w:pPr>
              <w:spacing w:before="68" w:line="221" w:lineRule="auto"/>
              <w:ind w:left="1476"/>
              <w:rPr>
                <w:rFonts w:hint="eastAsia" w:ascii="宋体" w:hAnsi="宋体" w:eastAsia="宋体" w:cs="宋体"/>
                <w:szCs w:val="21"/>
              </w:rPr>
            </w:pPr>
            <w:r>
              <w:rPr>
                <w:rFonts w:ascii="宋体" w:hAnsi="宋体" w:eastAsia="宋体" w:cs="宋体"/>
                <w:spacing w:val="-1"/>
                <w:szCs w:val="21"/>
              </w:rPr>
              <w:t>内  容</w:t>
            </w:r>
          </w:p>
        </w:tc>
        <w:tc>
          <w:tcPr>
            <w:tcW w:w="2159" w:type="dxa"/>
          </w:tcPr>
          <w:p w14:paraId="2580C1B0">
            <w:pPr>
              <w:spacing w:before="130" w:line="221" w:lineRule="auto"/>
              <w:ind w:left="766"/>
              <w:rPr>
                <w:rFonts w:hint="eastAsia" w:ascii="宋体" w:hAnsi="宋体" w:eastAsia="宋体" w:cs="宋体"/>
                <w:szCs w:val="21"/>
              </w:rPr>
            </w:pPr>
            <w:r>
              <w:rPr>
                <w:rFonts w:ascii="宋体" w:hAnsi="宋体" w:eastAsia="宋体" w:cs="宋体"/>
                <w:spacing w:val="-1"/>
                <w:szCs w:val="21"/>
              </w:rPr>
              <w:t>数  量</w:t>
            </w:r>
          </w:p>
        </w:tc>
        <w:tc>
          <w:tcPr>
            <w:tcW w:w="2186" w:type="dxa"/>
          </w:tcPr>
          <w:p w14:paraId="57934697">
            <w:pPr>
              <w:spacing w:before="131" w:line="219" w:lineRule="auto"/>
              <w:jc w:val="center"/>
              <w:rPr>
                <w:rFonts w:hint="eastAsia" w:ascii="宋体" w:hAnsi="宋体" w:eastAsia="宋体" w:cs="宋体"/>
                <w:spacing w:val="-1"/>
                <w:szCs w:val="21"/>
              </w:rPr>
            </w:pPr>
            <w:r>
              <w:rPr>
                <w:rFonts w:ascii="宋体" w:hAnsi="宋体" w:eastAsia="宋体" w:cs="宋体"/>
                <w:spacing w:val="-1"/>
                <w:szCs w:val="21"/>
              </w:rPr>
              <w:t>单价(元)</w:t>
            </w:r>
            <w:r>
              <w:rPr>
                <w:rFonts w:hint="eastAsia" w:ascii="宋体" w:hAnsi="宋体" w:eastAsia="宋体" w:cs="宋体"/>
                <w:spacing w:val="-1"/>
                <w:szCs w:val="21"/>
              </w:rPr>
              <w:t>（不含税）</w:t>
            </w:r>
          </w:p>
        </w:tc>
        <w:tc>
          <w:tcPr>
            <w:tcW w:w="2596" w:type="dxa"/>
          </w:tcPr>
          <w:p w14:paraId="4807FDE6">
            <w:pPr>
              <w:spacing w:before="131" w:line="219" w:lineRule="auto"/>
              <w:jc w:val="center"/>
              <w:rPr>
                <w:rFonts w:hint="eastAsia" w:ascii="宋体" w:hAnsi="宋体" w:eastAsia="宋体" w:cs="宋体"/>
                <w:spacing w:val="-1"/>
                <w:szCs w:val="21"/>
              </w:rPr>
            </w:pPr>
            <w:r>
              <w:rPr>
                <w:rFonts w:ascii="宋体" w:hAnsi="宋体" w:eastAsia="宋体" w:cs="宋体"/>
                <w:spacing w:val="-1"/>
                <w:szCs w:val="21"/>
              </w:rPr>
              <w:t>总价(元)</w:t>
            </w:r>
            <w:r>
              <w:rPr>
                <w:rFonts w:hint="eastAsia" w:ascii="宋体" w:hAnsi="宋体" w:eastAsia="宋体" w:cs="宋体"/>
                <w:spacing w:val="-1"/>
                <w:szCs w:val="21"/>
              </w:rPr>
              <w:t>（不含税）</w:t>
            </w:r>
          </w:p>
        </w:tc>
        <w:tc>
          <w:tcPr>
            <w:tcW w:w="2164" w:type="dxa"/>
          </w:tcPr>
          <w:p w14:paraId="75A441BC">
            <w:pPr>
              <w:spacing w:before="130" w:line="222" w:lineRule="auto"/>
              <w:ind w:left="770"/>
              <w:rPr>
                <w:rFonts w:hint="eastAsia" w:ascii="宋体" w:hAnsi="宋体" w:eastAsia="宋体" w:cs="宋体"/>
                <w:szCs w:val="21"/>
              </w:rPr>
            </w:pPr>
            <w:r>
              <w:rPr>
                <w:rFonts w:ascii="宋体" w:hAnsi="宋体" w:eastAsia="宋体" w:cs="宋体"/>
                <w:spacing w:val="-1"/>
                <w:szCs w:val="21"/>
              </w:rPr>
              <w:t>备  注</w:t>
            </w:r>
          </w:p>
        </w:tc>
      </w:tr>
      <w:tr w14:paraId="57488E0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5" w:hRule="atLeast"/>
        </w:trPr>
        <w:tc>
          <w:tcPr>
            <w:tcW w:w="799" w:type="dxa"/>
            <w:vMerge w:val="continue"/>
            <w:tcBorders>
              <w:top w:val="nil"/>
            </w:tcBorders>
          </w:tcPr>
          <w:p w14:paraId="34328076">
            <w:pPr>
              <w:rPr>
                <w:rFonts w:hint="eastAsia" w:ascii="Arial"/>
              </w:rPr>
            </w:pPr>
          </w:p>
        </w:tc>
        <w:tc>
          <w:tcPr>
            <w:tcW w:w="3530" w:type="dxa"/>
            <w:vMerge w:val="continue"/>
            <w:tcBorders>
              <w:top w:val="nil"/>
            </w:tcBorders>
          </w:tcPr>
          <w:p w14:paraId="1076FB72">
            <w:pPr>
              <w:rPr>
                <w:rFonts w:hint="eastAsia" w:ascii="Arial"/>
              </w:rPr>
            </w:pPr>
          </w:p>
        </w:tc>
        <w:tc>
          <w:tcPr>
            <w:tcW w:w="2159" w:type="dxa"/>
          </w:tcPr>
          <w:p w14:paraId="3F991051">
            <w:pPr>
              <w:spacing w:before="160" w:line="186" w:lineRule="auto"/>
              <w:ind w:left="1044"/>
              <w:rPr>
                <w:rFonts w:hint="eastAsia" w:ascii="宋体" w:hAnsi="宋体" w:eastAsia="宋体" w:cs="宋体"/>
                <w:szCs w:val="21"/>
              </w:rPr>
            </w:pPr>
            <w:r>
              <w:rPr>
                <w:rFonts w:ascii="宋体" w:hAnsi="宋体" w:eastAsia="宋体" w:cs="宋体"/>
                <w:szCs w:val="21"/>
              </w:rPr>
              <w:t>1</w:t>
            </w:r>
          </w:p>
        </w:tc>
        <w:tc>
          <w:tcPr>
            <w:tcW w:w="2186" w:type="dxa"/>
          </w:tcPr>
          <w:p w14:paraId="6E13CD56">
            <w:pPr>
              <w:spacing w:before="161" w:line="185" w:lineRule="auto"/>
              <w:ind w:left="1047"/>
              <w:rPr>
                <w:rFonts w:hint="eastAsia" w:ascii="宋体" w:hAnsi="宋体" w:eastAsia="宋体" w:cs="宋体"/>
                <w:szCs w:val="21"/>
              </w:rPr>
            </w:pPr>
            <w:r>
              <w:rPr>
                <w:rFonts w:ascii="宋体" w:hAnsi="宋体" w:eastAsia="宋体" w:cs="宋体"/>
                <w:szCs w:val="21"/>
              </w:rPr>
              <w:t>2</w:t>
            </w:r>
          </w:p>
        </w:tc>
        <w:tc>
          <w:tcPr>
            <w:tcW w:w="2596" w:type="dxa"/>
          </w:tcPr>
          <w:p w14:paraId="08B95B40">
            <w:pPr>
              <w:spacing w:before="126" w:line="223" w:lineRule="auto"/>
              <w:ind w:left="835"/>
              <w:rPr>
                <w:rFonts w:hint="eastAsia" w:ascii="宋体" w:hAnsi="宋体" w:eastAsia="宋体" w:cs="宋体"/>
                <w:szCs w:val="21"/>
              </w:rPr>
            </w:pPr>
            <w:r>
              <w:rPr>
                <w:rFonts w:ascii="宋体" w:hAnsi="宋体" w:eastAsia="宋体" w:cs="宋体"/>
                <w:spacing w:val="-2"/>
                <w:szCs w:val="21"/>
              </w:rPr>
              <w:t>3 (1</w:t>
            </w:r>
            <w:r>
              <w:rPr>
                <w:rFonts w:ascii="宋体" w:hAnsi="宋体" w:eastAsia="宋体" w:cs="宋体"/>
                <w:spacing w:val="-1"/>
                <w:szCs w:val="21"/>
              </w:rPr>
              <w:t>×2)</w:t>
            </w:r>
          </w:p>
        </w:tc>
        <w:tc>
          <w:tcPr>
            <w:tcW w:w="2164" w:type="dxa"/>
          </w:tcPr>
          <w:p w14:paraId="49EE553B">
            <w:pPr>
              <w:spacing w:before="161" w:line="185" w:lineRule="auto"/>
              <w:ind w:left="1031"/>
              <w:rPr>
                <w:rFonts w:hint="eastAsia" w:ascii="宋体" w:hAnsi="宋体" w:eastAsia="宋体" w:cs="宋体"/>
                <w:szCs w:val="21"/>
              </w:rPr>
            </w:pPr>
            <w:r>
              <w:rPr>
                <w:rFonts w:ascii="宋体" w:hAnsi="宋体" w:eastAsia="宋体" w:cs="宋体"/>
                <w:szCs w:val="21"/>
              </w:rPr>
              <w:t>4</w:t>
            </w:r>
          </w:p>
        </w:tc>
      </w:tr>
      <w:tr w14:paraId="0A8A468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157C807A">
            <w:pPr>
              <w:spacing w:before="244" w:line="185" w:lineRule="auto"/>
              <w:ind w:left="353"/>
              <w:rPr>
                <w:rFonts w:hint="eastAsia" w:ascii="宋体" w:hAnsi="宋体" w:eastAsia="宋体" w:cs="宋体"/>
                <w:szCs w:val="21"/>
              </w:rPr>
            </w:pPr>
            <w:r>
              <w:rPr>
                <w:rFonts w:hint="eastAsia" w:ascii="宋体" w:hAnsi="宋体" w:eastAsia="宋体" w:cs="宋体"/>
                <w:szCs w:val="21"/>
              </w:rPr>
              <w:t>1</w:t>
            </w:r>
          </w:p>
        </w:tc>
        <w:tc>
          <w:tcPr>
            <w:tcW w:w="3530" w:type="dxa"/>
          </w:tcPr>
          <w:p w14:paraId="64598011">
            <w:pPr>
              <w:spacing w:before="209" w:line="221" w:lineRule="auto"/>
              <w:ind w:left="1450"/>
              <w:rPr>
                <w:rFonts w:hint="eastAsia" w:ascii="宋体" w:hAnsi="宋体" w:eastAsia="宋体" w:cs="宋体"/>
                <w:szCs w:val="21"/>
              </w:rPr>
            </w:pPr>
            <w:r>
              <w:rPr>
                <w:rFonts w:ascii="宋体" w:hAnsi="宋体" w:eastAsia="宋体" w:cs="宋体"/>
                <w:spacing w:val="-2"/>
                <w:szCs w:val="21"/>
              </w:rPr>
              <w:t>包</w:t>
            </w:r>
            <w:r>
              <w:rPr>
                <w:rFonts w:ascii="宋体" w:hAnsi="宋体" w:eastAsia="宋体" w:cs="宋体"/>
                <w:spacing w:val="-1"/>
                <w:szCs w:val="21"/>
              </w:rPr>
              <w:t>装费</w:t>
            </w:r>
          </w:p>
        </w:tc>
        <w:tc>
          <w:tcPr>
            <w:tcW w:w="2159" w:type="dxa"/>
          </w:tcPr>
          <w:p w14:paraId="5892EB69">
            <w:pPr>
              <w:rPr>
                <w:rFonts w:hint="eastAsia" w:ascii="Arial"/>
              </w:rPr>
            </w:pPr>
          </w:p>
        </w:tc>
        <w:tc>
          <w:tcPr>
            <w:tcW w:w="2186" w:type="dxa"/>
          </w:tcPr>
          <w:p w14:paraId="175DEFD1">
            <w:pPr>
              <w:rPr>
                <w:rFonts w:hint="eastAsia" w:ascii="Arial"/>
              </w:rPr>
            </w:pPr>
          </w:p>
        </w:tc>
        <w:tc>
          <w:tcPr>
            <w:tcW w:w="2596" w:type="dxa"/>
          </w:tcPr>
          <w:p w14:paraId="09C5E225">
            <w:pPr>
              <w:rPr>
                <w:rFonts w:hint="eastAsia" w:ascii="Arial"/>
              </w:rPr>
            </w:pPr>
          </w:p>
        </w:tc>
        <w:tc>
          <w:tcPr>
            <w:tcW w:w="2164" w:type="dxa"/>
          </w:tcPr>
          <w:p w14:paraId="07816848">
            <w:pPr>
              <w:rPr>
                <w:rFonts w:hint="eastAsia" w:ascii="Arial"/>
              </w:rPr>
            </w:pPr>
          </w:p>
        </w:tc>
      </w:tr>
      <w:tr w14:paraId="0077FF0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75C0A7F8">
            <w:pPr>
              <w:spacing w:before="245" w:line="183" w:lineRule="auto"/>
              <w:ind w:left="355"/>
              <w:rPr>
                <w:rFonts w:hint="eastAsia" w:ascii="宋体" w:hAnsi="宋体" w:eastAsia="宋体" w:cs="宋体"/>
                <w:szCs w:val="21"/>
              </w:rPr>
            </w:pPr>
            <w:r>
              <w:rPr>
                <w:rFonts w:hint="eastAsia" w:ascii="宋体" w:hAnsi="宋体" w:eastAsia="宋体" w:cs="宋体"/>
                <w:szCs w:val="21"/>
              </w:rPr>
              <w:t>2</w:t>
            </w:r>
          </w:p>
        </w:tc>
        <w:tc>
          <w:tcPr>
            <w:tcW w:w="3530" w:type="dxa"/>
          </w:tcPr>
          <w:p w14:paraId="7AF8C9C1">
            <w:pPr>
              <w:spacing w:before="209" w:line="221" w:lineRule="auto"/>
              <w:ind w:left="1450"/>
              <w:rPr>
                <w:rFonts w:hint="eastAsia" w:ascii="宋体" w:hAnsi="宋体" w:eastAsia="宋体" w:cs="宋体"/>
                <w:szCs w:val="21"/>
              </w:rPr>
            </w:pPr>
            <w:r>
              <w:rPr>
                <w:rFonts w:ascii="宋体" w:hAnsi="宋体" w:eastAsia="宋体" w:cs="宋体"/>
                <w:spacing w:val="-2"/>
                <w:szCs w:val="21"/>
              </w:rPr>
              <w:t>运</w:t>
            </w:r>
            <w:r>
              <w:rPr>
                <w:rFonts w:ascii="宋体" w:hAnsi="宋体" w:eastAsia="宋体" w:cs="宋体"/>
                <w:spacing w:val="-1"/>
                <w:szCs w:val="21"/>
              </w:rPr>
              <w:t>输费</w:t>
            </w:r>
          </w:p>
        </w:tc>
        <w:tc>
          <w:tcPr>
            <w:tcW w:w="2159" w:type="dxa"/>
          </w:tcPr>
          <w:p w14:paraId="3560EA46">
            <w:pPr>
              <w:rPr>
                <w:rFonts w:hint="eastAsia" w:ascii="Arial"/>
              </w:rPr>
            </w:pPr>
          </w:p>
        </w:tc>
        <w:tc>
          <w:tcPr>
            <w:tcW w:w="2186" w:type="dxa"/>
          </w:tcPr>
          <w:p w14:paraId="62084E54">
            <w:pPr>
              <w:rPr>
                <w:rFonts w:hint="eastAsia" w:ascii="Arial"/>
              </w:rPr>
            </w:pPr>
          </w:p>
        </w:tc>
        <w:tc>
          <w:tcPr>
            <w:tcW w:w="2596" w:type="dxa"/>
          </w:tcPr>
          <w:p w14:paraId="73B1D09E">
            <w:pPr>
              <w:rPr>
                <w:rFonts w:hint="eastAsia" w:ascii="Arial"/>
              </w:rPr>
            </w:pPr>
          </w:p>
        </w:tc>
        <w:tc>
          <w:tcPr>
            <w:tcW w:w="2164" w:type="dxa"/>
            <w:vMerge w:val="restart"/>
            <w:tcBorders>
              <w:bottom w:val="nil"/>
            </w:tcBorders>
          </w:tcPr>
          <w:p w14:paraId="079D3104">
            <w:pPr>
              <w:spacing w:line="295" w:lineRule="auto"/>
              <w:rPr>
                <w:rFonts w:hint="eastAsia" w:ascii="Arial"/>
              </w:rPr>
            </w:pPr>
          </w:p>
          <w:p w14:paraId="346E246B">
            <w:pPr>
              <w:spacing w:before="68" w:line="300" w:lineRule="auto"/>
              <w:ind w:left="873" w:right="133" w:hanging="734"/>
              <w:rPr>
                <w:rFonts w:hint="eastAsia" w:ascii="宋体" w:hAnsi="宋体" w:eastAsia="宋体" w:cs="宋体"/>
                <w:szCs w:val="21"/>
              </w:rPr>
            </w:pPr>
            <w:r>
              <w:rPr>
                <w:rFonts w:ascii="宋体" w:hAnsi="宋体" w:eastAsia="宋体" w:cs="宋体"/>
                <w:spacing w:val="-1"/>
                <w:szCs w:val="21"/>
              </w:rPr>
              <w:t>运输方式及</w:t>
            </w:r>
            <w:r>
              <w:rPr>
                <w:rFonts w:ascii="宋体" w:hAnsi="宋体" w:eastAsia="宋体" w:cs="宋体"/>
                <w:szCs w:val="21"/>
              </w:rPr>
              <w:t xml:space="preserve">运输起止 </w:t>
            </w:r>
            <w:r>
              <w:rPr>
                <w:rFonts w:ascii="宋体" w:hAnsi="宋体" w:eastAsia="宋体" w:cs="宋体"/>
                <w:spacing w:val="-2"/>
                <w:szCs w:val="21"/>
              </w:rPr>
              <w:t>地</w:t>
            </w:r>
            <w:r>
              <w:rPr>
                <w:rFonts w:ascii="宋体" w:hAnsi="宋体" w:eastAsia="宋体" w:cs="宋体"/>
                <w:spacing w:val="-1"/>
                <w:szCs w:val="21"/>
              </w:rPr>
              <w:t>点</w:t>
            </w:r>
          </w:p>
        </w:tc>
      </w:tr>
      <w:tr w14:paraId="30CCDA0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1" w:hRule="atLeast"/>
        </w:trPr>
        <w:tc>
          <w:tcPr>
            <w:tcW w:w="799" w:type="dxa"/>
          </w:tcPr>
          <w:p w14:paraId="167F8770">
            <w:pPr>
              <w:spacing w:before="248" w:line="185" w:lineRule="auto"/>
              <w:ind w:left="350"/>
              <w:rPr>
                <w:rFonts w:hint="eastAsia" w:ascii="宋体" w:hAnsi="宋体" w:eastAsia="宋体" w:cs="宋体"/>
                <w:szCs w:val="21"/>
              </w:rPr>
            </w:pPr>
            <w:r>
              <w:rPr>
                <w:rFonts w:hint="eastAsia" w:ascii="宋体" w:hAnsi="宋体" w:eastAsia="宋体" w:cs="宋体"/>
                <w:szCs w:val="21"/>
              </w:rPr>
              <w:t>3</w:t>
            </w:r>
          </w:p>
        </w:tc>
        <w:tc>
          <w:tcPr>
            <w:tcW w:w="3530" w:type="dxa"/>
          </w:tcPr>
          <w:p w14:paraId="357B89A3">
            <w:pPr>
              <w:spacing w:before="212" w:line="221" w:lineRule="auto"/>
              <w:ind w:left="1241"/>
              <w:rPr>
                <w:rFonts w:hint="eastAsia" w:ascii="宋体" w:hAnsi="宋体" w:eastAsia="宋体" w:cs="宋体"/>
                <w:szCs w:val="21"/>
              </w:rPr>
            </w:pPr>
            <w:r>
              <w:rPr>
                <w:rFonts w:ascii="宋体" w:hAnsi="宋体" w:eastAsia="宋体" w:cs="宋体"/>
                <w:spacing w:val="-1"/>
                <w:szCs w:val="21"/>
              </w:rPr>
              <w:t>运输保险费</w:t>
            </w:r>
          </w:p>
        </w:tc>
        <w:tc>
          <w:tcPr>
            <w:tcW w:w="2159" w:type="dxa"/>
          </w:tcPr>
          <w:p w14:paraId="5F5C0F29">
            <w:pPr>
              <w:rPr>
                <w:rFonts w:hint="eastAsia" w:ascii="Arial"/>
              </w:rPr>
            </w:pPr>
          </w:p>
        </w:tc>
        <w:tc>
          <w:tcPr>
            <w:tcW w:w="2186" w:type="dxa"/>
          </w:tcPr>
          <w:p w14:paraId="69BE916D">
            <w:pPr>
              <w:rPr>
                <w:rFonts w:hint="eastAsia" w:ascii="Arial"/>
              </w:rPr>
            </w:pPr>
          </w:p>
        </w:tc>
        <w:tc>
          <w:tcPr>
            <w:tcW w:w="2596" w:type="dxa"/>
          </w:tcPr>
          <w:p w14:paraId="4EDDF443">
            <w:pPr>
              <w:rPr>
                <w:rFonts w:hint="eastAsia" w:ascii="Arial"/>
              </w:rPr>
            </w:pPr>
          </w:p>
        </w:tc>
        <w:tc>
          <w:tcPr>
            <w:tcW w:w="2164" w:type="dxa"/>
            <w:vMerge w:val="continue"/>
            <w:tcBorders>
              <w:top w:val="nil"/>
            </w:tcBorders>
          </w:tcPr>
          <w:p w14:paraId="33F09D3C">
            <w:pPr>
              <w:rPr>
                <w:rFonts w:hint="eastAsia" w:ascii="Arial"/>
              </w:rPr>
            </w:pPr>
          </w:p>
        </w:tc>
      </w:tr>
      <w:tr w14:paraId="369FEED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3DD5AA45">
            <w:pPr>
              <w:spacing w:before="247" w:line="182" w:lineRule="auto"/>
              <w:ind w:left="355"/>
              <w:rPr>
                <w:rFonts w:hint="eastAsia" w:ascii="宋体" w:hAnsi="宋体" w:eastAsia="宋体" w:cs="宋体"/>
                <w:szCs w:val="21"/>
              </w:rPr>
            </w:pPr>
            <w:r>
              <w:rPr>
                <w:rFonts w:hint="eastAsia" w:ascii="宋体" w:hAnsi="宋体" w:eastAsia="宋体" w:cs="宋体"/>
                <w:szCs w:val="21"/>
              </w:rPr>
              <w:t>4</w:t>
            </w:r>
          </w:p>
        </w:tc>
        <w:tc>
          <w:tcPr>
            <w:tcW w:w="3530" w:type="dxa"/>
          </w:tcPr>
          <w:p w14:paraId="48F1DD7A">
            <w:pPr>
              <w:spacing w:before="210" w:line="221" w:lineRule="auto"/>
              <w:ind w:left="1450"/>
              <w:rPr>
                <w:rFonts w:hint="eastAsia" w:ascii="宋体" w:hAnsi="宋体" w:eastAsia="宋体" w:cs="宋体"/>
                <w:szCs w:val="21"/>
              </w:rPr>
            </w:pPr>
            <w:r>
              <w:rPr>
                <w:rFonts w:ascii="宋体" w:hAnsi="宋体" w:eastAsia="宋体" w:cs="宋体"/>
                <w:spacing w:val="-2"/>
                <w:szCs w:val="21"/>
              </w:rPr>
              <w:t>装</w:t>
            </w:r>
            <w:r>
              <w:rPr>
                <w:rFonts w:ascii="宋体" w:hAnsi="宋体" w:eastAsia="宋体" w:cs="宋体"/>
                <w:spacing w:val="-1"/>
                <w:szCs w:val="21"/>
              </w:rPr>
              <w:t>卸费</w:t>
            </w:r>
          </w:p>
        </w:tc>
        <w:tc>
          <w:tcPr>
            <w:tcW w:w="2159" w:type="dxa"/>
          </w:tcPr>
          <w:p w14:paraId="01CA64F2">
            <w:pPr>
              <w:rPr>
                <w:rFonts w:hint="eastAsia" w:ascii="Arial"/>
              </w:rPr>
            </w:pPr>
          </w:p>
        </w:tc>
        <w:tc>
          <w:tcPr>
            <w:tcW w:w="2186" w:type="dxa"/>
          </w:tcPr>
          <w:p w14:paraId="4C8F404D">
            <w:pPr>
              <w:rPr>
                <w:rFonts w:hint="eastAsia" w:ascii="Arial"/>
              </w:rPr>
            </w:pPr>
          </w:p>
        </w:tc>
        <w:tc>
          <w:tcPr>
            <w:tcW w:w="2596" w:type="dxa"/>
          </w:tcPr>
          <w:p w14:paraId="2EA2A025">
            <w:pPr>
              <w:rPr>
                <w:rFonts w:hint="eastAsia" w:ascii="Arial"/>
              </w:rPr>
            </w:pPr>
          </w:p>
        </w:tc>
        <w:tc>
          <w:tcPr>
            <w:tcW w:w="2164" w:type="dxa"/>
          </w:tcPr>
          <w:p w14:paraId="2FE67193">
            <w:pPr>
              <w:spacing w:before="210" w:line="221" w:lineRule="auto"/>
              <w:ind w:left="457"/>
              <w:rPr>
                <w:rFonts w:hint="eastAsia" w:ascii="宋体" w:hAnsi="宋体" w:eastAsia="宋体" w:cs="宋体"/>
                <w:szCs w:val="21"/>
              </w:rPr>
            </w:pPr>
            <w:r>
              <w:rPr>
                <w:rFonts w:ascii="宋体" w:hAnsi="宋体" w:eastAsia="宋体" w:cs="宋体"/>
                <w:spacing w:val="-2"/>
                <w:szCs w:val="21"/>
              </w:rPr>
              <w:t>发生</w:t>
            </w:r>
            <w:r>
              <w:rPr>
                <w:rFonts w:ascii="宋体" w:hAnsi="宋体" w:eastAsia="宋体" w:cs="宋体"/>
                <w:spacing w:val="-1"/>
                <w:szCs w:val="21"/>
              </w:rPr>
              <w:t>费用地点</w:t>
            </w:r>
          </w:p>
        </w:tc>
      </w:tr>
      <w:tr w14:paraId="1517019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309A9129">
            <w:pPr>
              <w:spacing w:before="247" w:line="183" w:lineRule="auto"/>
              <w:ind w:left="352"/>
              <w:rPr>
                <w:rFonts w:hint="eastAsia" w:ascii="宋体" w:hAnsi="宋体" w:eastAsia="宋体" w:cs="宋体"/>
                <w:szCs w:val="21"/>
              </w:rPr>
            </w:pPr>
            <w:r>
              <w:rPr>
                <w:rFonts w:hint="eastAsia" w:ascii="宋体" w:hAnsi="宋体" w:eastAsia="宋体" w:cs="宋体"/>
                <w:szCs w:val="21"/>
              </w:rPr>
              <w:t>5</w:t>
            </w:r>
          </w:p>
        </w:tc>
        <w:tc>
          <w:tcPr>
            <w:tcW w:w="3530" w:type="dxa"/>
          </w:tcPr>
          <w:p w14:paraId="34BFB0AE">
            <w:pPr>
              <w:spacing w:before="211" w:line="221" w:lineRule="auto"/>
              <w:ind w:left="1557"/>
              <w:rPr>
                <w:rFonts w:hint="eastAsia" w:ascii="宋体" w:hAnsi="宋体" w:eastAsia="宋体" w:cs="宋体"/>
                <w:spacing w:val="-2"/>
                <w:szCs w:val="21"/>
              </w:rPr>
            </w:pPr>
            <w:r>
              <w:rPr>
                <w:rFonts w:ascii="宋体" w:hAnsi="宋体" w:eastAsia="宋体" w:cs="宋体"/>
                <w:spacing w:val="-2"/>
                <w:szCs w:val="21"/>
              </w:rPr>
              <w:t>其他</w:t>
            </w:r>
          </w:p>
        </w:tc>
        <w:tc>
          <w:tcPr>
            <w:tcW w:w="2159" w:type="dxa"/>
          </w:tcPr>
          <w:p w14:paraId="38E9D46F">
            <w:pPr>
              <w:rPr>
                <w:rFonts w:hint="eastAsia" w:ascii="Arial"/>
              </w:rPr>
            </w:pPr>
          </w:p>
        </w:tc>
        <w:tc>
          <w:tcPr>
            <w:tcW w:w="2186" w:type="dxa"/>
          </w:tcPr>
          <w:p w14:paraId="7D877C43">
            <w:pPr>
              <w:rPr>
                <w:rFonts w:hint="eastAsia" w:ascii="Arial"/>
              </w:rPr>
            </w:pPr>
          </w:p>
        </w:tc>
        <w:tc>
          <w:tcPr>
            <w:tcW w:w="2596" w:type="dxa"/>
          </w:tcPr>
          <w:p w14:paraId="51B723A7">
            <w:pPr>
              <w:rPr>
                <w:rFonts w:hint="eastAsia" w:ascii="Arial"/>
              </w:rPr>
            </w:pPr>
          </w:p>
        </w:tc>
        <w:tc>
          <w:tcPr>
            <w:tcW w:w="2164" w:type="dxa"/>
          </w:tcPr>
          <w:p w14:paraId="79DFADAF">
            <w:pPr>
              <w:spacing w:before="210" w:line="221" w:lineRule="auto"/>
              <w:ind w:left="456"/>
              <w:rPr>
                <w:rFonts w:hint="eastAsia" w:ascii="宋体" w:hAnsi="宋体" w:eastAsia="宋体" w:cs="宋体"/>
                <w:spacing w:val="-2"/>
                <w:szCs w:val="21"/>
              </w:rPr>
            </w:pPr>
            <w:r>
              <w:rPr>
                <w:rFonts w:ascii="宋体" w:hAnsi="宋体" w:eastAsia="宋体" w:cs="宋体"/>
                <w:spacing w:val="-2"/>
                <w:szCs w:val="21"/>
              </w:rPr>
              <w:t>说明</w:t>
            </w:r>
            <w:r>
              <w:rPr>
                <w:rFonts w:ascii="宋体" w:hAnsi="宋体" w:eastAsia="宋体" w:cs="宋体"/>
                <w:spacing w:val="-1"/>
                <w:szCs w:val="21"/>
              </w:rPr>
              <w:t>具体内容</w:t>
            </w:r>
          </w:p>
        </w:tc>
      </w:tr>
      <w:tr w14:paraId="7D9A26D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3" w:hRule="atLeast"/>
        </w:trPr>
        <w:tc>
          <w:tcPr>
            <w:tcW w:w="8674" w:type="dxa"/>
            <w:gridSpan w:val="4"/>
          </w:tcPr>
          <w:p w14:paraId="2EA5EBBB">
            <w:pPr>
              <w:spacing w:before="211" w:line="219" w:lineRule="auto"/>
              <w:ind w:left="3008"/>
              <w:rPr>
                <w:rFonts w:hint="eastAsia" w:ascii="宋体" w:hAnsi="宋体" w:eastAsia="宋体" w:cs="宋体"/>
                <w:szCs w:val="21"/>
              </w:rPr>
            </w:pPr>
            <w:r>
              <w:rPr>
                <w:rFonts w:ascii="宋体" w:hAnsi="宋体" w:eastAsia="宋体" w:cs="宋体"/>
                <w:spacing w:val="-6"/>
                <w:szCs w:val="21"/>
              </w:rPr>
              <w:t>总</w:t>
            </w:r>
            <w:r>
              <w:rPr>
                <w:rFonts w:ascii="宋体" w:hAnsi="宋体" w:eastAsia="宋体" w:cs="宋体"/>
                <w:spacing w:val="-4"/>
                <w:szCs w:val="21"/>
              </w:rPr>
              <w:t xml:space="preserve">价合计列入价格汇总表 </w:t>
            </w:r>
            <w:r>
              <w:rPr>
                <w:rFonts w:hint="eastAsia" w:ascii="宋体" w:hAnsi="宋体" w:eastAsia="宋体" w:cs="宋体"/>
                <w:spacing w:val="-4"/>
                <w:szCs w:val="21"/>
              </w:rPr>
              <w:t>9</w:t>
            </w:r>
            <w:r>
              <w:rPr>
                <w:rFonts w:ascii="宋体" w:hAnsi="宋体" w:eastAsia="宋体" w:cs="宋体"/>
                <w:spacing w:val="-4"/>
                <w:szCs w:val="21"/>
              </w:rPr>
              <w:t>-</w:t>
            </w:r>
            <w:r>
              <w:rPr>
                <w:rFonts w:hint="eastAsia" w:ascii="宋体" w:hAnsi="宋体" w:eastAsia="宋体" w:cs="宋体"/>
                <w:spacing w:val="-4"/>
                <w:szCs w:val="21"/>
              </w:rPr>
              <w:t>5</w:t>
            </w:r>
          </w:p>
        </w:tc>
        <w:tc>
          <w:tcPr>
            <w:tcW w:w="4760" w:type="dxa"/>
            <w:gridSpan w:val="2"/>
          </w:tcPr>
          <w:p w14:paraId="2E513CE7">
            <w:pPr>
              <w:spacing w:before="211" w:line="219" w:lineRule="auto"/>
              <w:jc w:val="left"/>
              <w:rPr>
                <w:rFonts w:hint="eastAsia" w:ascii="宋体" w:hAnsi="宋体" w:eastAsia="宋体" w:cs="宋体"/>
                <w:szCs w:val="21"/>
              </w:rPr>
            </w:pPr>
            <w:r>
              <w:rPr>
                <w:rFonts w:ascii="宋体" w:hAnsi="宋体" w:eastAsia="宋体" w:cs="宋体"/>
                <w:b/>
                <w:bCs/>
                <w:szCs w:val="21"/>
              </w:rPr>
              <w:t>总价合计</w:t>
            </w:r>
            <w:r>
              <w:rPr>
                <w:rFonts w:hint="eastAsia" w:ascii="宋体" w:hAnsi="宋体" w:eastAsia="宋体" w:cs="宋体"/>
                <w:b/>
                <w:bCs/>
                <w:szCs w:val="21"/>
              </w:rPr>
              <w:t>（不含税）</w:t>
            </w:r>
            <w:r>
              <w:rPr>
                <w:rFonts w:ascii="宋体" w:hAnsi="宋体" w:eastAsia="宋体" w:cs="宋体"/>
                <w:b/>
                <w:bCs/>
                <w:szCs w:val="21"/>
              </w:rPr>
              <w:t>￥    元</w:t>
            </w:r>
          </w:p>
        </w:tc>
      </w:tr>
    </w:tbl>
    <w:p w14:paraId="1DD0AD12">
      <w:pPr>
        <w:spacing w:line="172" w:lineRule="exact"/>
        <w:rPr>
          <w:rFonts w:hint="eastAsia"/>
        </w:rPr>
      </w:pPr>
    </w:p>
    <w:p w14:paraId="698C5065">
      <w:pPr>
        <w:spacing w:before="59" w:line="219" w:lineRule="auto"/>
        <w:ind w:left="211"/>
        <w:rPr>
          <w:rFonts w:hint="eastAsia" w:ascii="宋体" w:hAnsi="宋体" w:eastAsia="宋体" w:cs="宋体"/>
          <w:szCs w:val="21"/>
        </w:rPr>
      </w:pPr>
      <w:r>
        <w:rPr>
          <w:rFonts w:ascii="宋体" w:hAnsi="宋体" w:eastAsia="宋体" w:cs="宋体"/>
          <w:spacing w:val="-10"/>
          <w:szCs w:val="21"/>
        </w:rPr>
        <w:t>注：</w:t>
      </w:r>
      <w:r>
        <w:rPr>
          <w:rFonts w:hint="eastAsia" w:ascii="宋体" w:hAnsi="宋体" w:eastAsia="宋体" w:cs="宋体"/>
          <w:spacing w:val="-10"/>
          <w:szCs w:val="21"/>
        </w:rPr>
        <w:t xml:space="preserve"> </w:t>
      </w:r>
      <w:r>
        <w:rPr>
          <w:rFonts w:ascii="宋体" w:hAnsi="宋体" w:eastAsia="宋体" w:cs="宋体"/>
          <w:spacing w:val="-5"/>
          <w:szCs w:val="21"/>
        </w:rPr>
        <w:t>1.投标人需另附页给出价格的详细说明。</w:t>
      </w:r>
    </w:p>
    <w:p w14:paraId="46F5301F">
      <w:pPr>
        <w:spacing w:before="77"/>
        <w:ind w:left="633"/>
        <w:rPr>
          <w:rFonts w:hint="eastAsia" w:ascii="宋体" w:hAnsi="宋体" w:eastAsia="宋体" w:cs="宋体"/>
          <w:szCs w:val="21"/>
        </w:rPr>
      </w:pPr>
      <w:r>
        <w:rPr>
          <w:rFonts w:ascii="宋体" w:hAnsi="宋体" w:eastAsia="宋体" w:cs="宋体"/>
          <w:spacing w:val="-1"/>
          <w:szCs w:val="21"/>
        </w:rPr>
        <w:t>2.如果按单价计算的结果与总价不一致，以单</w:t>
      </w:r>
      <w:r>
        <w:rPr>
          <w:rFonts w:ascii="宋体" w:hAnsi="宋体" w:eastAsia="宋体" w:cs="宋体"/>
          <w:szCs w:val="21"/>
        </w:rPr>
        <w:t>价为准修正总价。</w:t>
      </w:r>
    </w:p>
    <w:p w14:paraId="4743F1A6">
      <w:pPr>
        <w:spacing w:before="64" w:line="198" w:lineRule="auto"/>
        <w:ind w:firstLine="606" w:firstLineChars="300"/>
        <w:rPr>
          <w:rFonts w:hint="eastAsia" w:ascii="宋体" w:hAnsi="宋体" w:eastAsia="宋体" w:cs="宋体"/>
          <w:sz w:val="24"/>
          <w:szCs w:val="24"/>
        </w:rPr>
      </w:pPr>
      <w:r>
        <w:rPr>
          <w:rFonts w:ascii="宋体" w:hAnsi="宋体" w:eastAsia="宋体" w:cs="宋体"/>
          <w:spacing w:val="-4"/>
          <w:szCs w:val="21"/>
        </w:rPr>
        <w:t>3.此分项报价， 仅是为了方</w:t>
      </w:r>
      <w:r>
        <w:rPr>
          <w:rFonts w:ascii="宋体" w:hAnsi="宋体" w:eastAsia="宋体" w:cs="宋体"/>
          <w:spacing w:val="-2"/>
          <w:szCs w:val="21"/>
        </w:rPr>
        <w:t>便招标人对投标文件进行比较，不作为限制订立合同的条件</w:t>
      </w:r>
      <w:r>
        <w:rPr>
          <w:rFonts w:ascii="宋体" w:hAnsi="宋体" w:eastAsia="宋体" w:cs="宋体"/>
          <w:spacing w:val="-2"/>
          <w:sz w:val="24"/>
          <w:szCs w:val="24"/>
        </w:rPr>
        <w:t>。</w:t>
      </w:r>
    </w:p>
    <w:p w14:paraId="149A45B9">
      <w:pPr>
        <w:spacing w:before="78" w:line="219" w:lineRule="auto"/>
        <w:ind w:firstLine="594" w:firstLineChars="300"/>
        <w:rPr>
          <w:rFonts w:hint="eastAsia"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7D718A91">
      <w:pPr>
        <w:spacing w:before="78" w:line="219" w:lineRule="auto"/>
        <w:ind w:firstLine="594" w:firstLineChars="300"/>
        <w:rPr>
          <w:rFonts w:hint="eastAsia"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07DDDE01">
      <w:pPr>
        <w:spacing w:before="78" w:line="219" w:lineRule="auto"/>
        <w:ind w:firstLine="594" w:firstLineChars="300"/>
        <w:rPr>
          <w:rFonts w:hint="eastAsia" w:ascii="宋体" w:hAnsi="宋体" w:eastAsia="宋体" w:cs="宋体"/>
          <w:spacing w:val="6"/>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6"/>
          <w:szCs w:val="21"/>
        </w:rPr>
        <w:t>6.因填写不规范造成废标及终止招标的，责任由投标人自负。</w:t>
      </w:r>
    </w:p>
    <w:p w14:paraId="659A939E">
      <w:pPr>
        <w:spacing w:before="140" w:line="220" w:lineRule="auto"/>
        <w:ind w:left="2" w:firstLine="464" w:firstLineChars="200"/>
        <w:rPr>
          <w:rFonts w:hint="eastAsia" w:ascii="宋体" w:hAnsi="宋体" w:eastAsia="宋体" w:cs="宋体"/>
          <w:spacing w:val="-2"/>
          <w:sz w:val="24"/>
          <w:szCs w:val="24"/>
        </w:rPr>
      </w:pPr>
      <w:r>
        <w:rPr>
          <w:rFonts w:ascii="宋体" w:hAnsi="宋体" w:eastAsia="宋体" w:cs="宋体"/>
          <w:spacing w:val="-4"/>
          <w:sz w:val="24"/>
          <w:szCs w:val="24"/>
        </w:rPr>
        <w:t>投标人(章)：</w:t>
      </w:r>
      <w:r>
        <w:rPr>
          <w:rFonts w:ascii="宋体" w:hAnsi="宋体" w:eastAsia="宋体" w:cs="宋体"/>
          <w:spacing w:val="6"/>
          <w:szCs w:val="21"/>
        </w:rPr>
        <w:t xml:space="preserve">    </w:t>
      </w:r>
      <w:r>
        <w:rPr>
          <w:rFonts w:ascii="宋体" w:hAnsi="宋体" w:eastAsia="宋体" w:cs="宋体"/>
          <w:spacing w:val="3"/>
          <w:szCs w:val="21"/>
        </w:rPr>
        <w:t xml:space="preserve">                          </w:t>
      </w:r>
      <w:r>
        <w:rPr>
          <w:rFonts w:ascii="宋体" w:hAnsi="宋体" w:eastAsia="宋体" w:cs="宋体"/>
          <w:spacing w:val="-2"/>
          <w:sz w:val="24"/>
          <w:szCs w:val="24"/>
        </w:rPr>
        <w:t xml:space="preserve"> 授权代表(签字)：    </w:t>
      </w:r>
      <w:r>
        <w:rPr>
          <w:rFonts w:ascii="宋体" w:hAnsi="宋体" w:eastAsia="宋体" w:cs="宋体"/>
          <w:spacing w:val="3"/>
          <w:sz w:val="24"/>
          <w:szCs w:val="24"/>
        </w:rPr>
        <w:t xml:space="preserve">  </w:t>
      </w:r>
      <w:r>
        <w:rPr>
          <w:rFonts w:ascii="宋体" w:hAnsi="宋体" w:eastAsia="宋体" w:cs="宋体"/>
          <w:spacing w:val="3"/>
          <w:szCs w:val="21"/>
        </w:rPr>
        <w:t xml:space="preserve">                        </w:t>
      </w:r>
      <w:r>
        <w:rPr>
          <w:rFonts w:ascii="宋体" w:hAnsi="宋体" w:eastAsia="宋体" w:cs="宋体"/>
          <w:spacing w:val="-2"/>
          <w:sz w:val="24"/>
          <w:szCs w:val="24"/>
        </w:rPr>
        <w:t>年  月  日</w:t>
      </w:r>
    </w:p>
    <w:p w14:paraId="761E0AA2">
      <w:pPr>
        <w:rPr>
          <w:rFonts w:hint="eastAsia"/>
          <w:sz w:val="24"/>
          <w:szCs w:val="24"/>
        </w:rPr>
        <w:sectPr>
          <w:headerReference r:id="rId27" w:type="default"/>
          <w:footerReference r:id="rId28" w:type="default"/>
          <w:pgSz w:w="16841" w:h="11907"/>
          <w:pgMar w:top="400" w:right="1699" w:bottom="1184" w:left="1481" w:header="0" w:footer="1022" w:gutter="0"/>
          <w:cols w:space="720" w:num="1"/>
        </w:sectPr>
      </w:pPr>
    </w:p>
    <w:p w14:paraId="798ADAD0">
      <w:pPr>
        <w:pStyle w:val="7"/>
        <w:jc w:val="left"/>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pP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表 9-3</w:t>
      </w:r>
    </w:p>
    <w:p w14:paraId="5EF96867">
      <w:pPr>
        <w:spacing w:before="104" w:line="224" w:lineRule="auto"/>
        <w:ind w:left="5024"/>
        <w:rPr>
          <w:rFonts w:hint="eastAsia" w:ascii="宋体" w:hAnsi="宋体" w:eastAsia="宋体" w:cs="宋体"/>
          <w:sz w:val="31"/>
          <w:szCs w:val="31"/>
        </w:rPr>
      </w:pPr>
      <w:r>
        <w:rPr>
          <w:rFonts w:ascii="宋体" w:hAnsi="宋体" w:eastAsia="宋体" w:cs="宋体"/>
          <w:spacing w:val="10"/>
          <w:sz w:val="24"/>
          <w:szCs w:val="24"/>
          <w14:textOutline w14:w="5791" w14:cap="flat" w14:cmpd="sng" w14:algn="ctr">
            <w14:solidFill>
              <w14:srgbClr w14:val="000000"/>
            </w14:solidFill>
            <w14:prstDash w14:val="solid"/>
            <w14:miter w14:val="0"/>
          </w14:textOutline>
        </w:rPr>
        <w:t>技术服务和培训分项报价</w:t>
      </w:r>
      <w:r>
        <w:rPr>
          <w:rFonts w:ascii="宋体" w:hAnsi="宋体" w:eastAsia="宋体" w:cs="宋体"/>
          <w:spacing w:val="9"/>
          <w:sz w:val="24"/>
          <w:szCs w:val="24"/>
          <w14:textOutline w14:w="5791" w14:cap="flat" w14:cmpd="sng" w14:algn="ctr">
            <w14:solidFill>
              <w14:srgbClr w14:val="000000"/>
            </w14:solidFill>
            <w14:prstDash w14:val="solid"/>
            <w14:miter w14:val="0"/>
          </w14:textOutline>
        </w:rPr>
        <w:t>表</w:t>
      </w:r>
    </w:p>
    <w:p w14:paraId="21272796">
      <w:pPr>
        <w:spacing w:before="134" w:line="221" w:lineRule="auto"/>
        <w:ind w:left="212"/>
        <w:jc w:val="right"/>
        <w:rPr>
          <w:rFonts w:hint="eastAsia" w:ascii="宋体" w:hAnsi="宋体" w:eastAsia="宋体" w:cs="宋体"/>
          <w:szCs w:val="21"/>
        </w:rPr>
      </w:pPr>
      <w:r>
        <w:rPr>
          <w:rFonts w:ascii="宋体" w:hAnsi="宋体" w:eastAsia="宋体" w:cs="宋体"/>
          <w:spacing w:val="-1"/>
          <w:szCs w:val="21"/>
        </w:rPr>
        <w:t xml:space="preserve">                                       </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76267C1B">
      <w:pPr>
        <w:rPr>
          <w:rFonts w:hint="eastAsia"/>
        </w:rPr>
      </w:pPr>
    </w:p>
    <w:p w14:paraId="3D74171D">
      <w:pPr>
        <w:spacing w:line="20" w:lineRule="exact"/>
        <w:rPr>
          <w:rFonts w:hint="eastAsia"/>
        </w:rPr>
      </w:pPr>
    </w:p>
    <w:tbl>
      <w:tblPr>
        <w:tblStyle w:val="133"/>
        <w:tblW w:w="13514" w:type="dxa"/>
        <w:tblInd w:w="22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10"/>
        <w:gridCol w:w="3625"/>
        <w:gridCol w:w="1126"/>
        <w:gridCol w:w="1138"/>
        <w:gridCol w:w="1138"/>
        <w:gridCol w:w="2449"/>
        <w:gridCol w:w="3328"/>
      </w:tblGrid>
      <w:tr w14:paraId="5356B78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7" w:hRule="atLeast"/>
        </w:trPr>
        <w:tc>
          <w:tcPr>
            <w:tcW w:w="710" w:type="dxa"/>
            <w:vAlign w:val="center"/>
          </w:tcPr>
          <w:p w14:paraId="29A77E64">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序号</w:t>
            </w:r>
          </w:p>
        </w:tc>
        <w:tc>
          <w:tcPr>
            <w:tcW w:w="3625" w:type="dxa"/>
            <w:vAlign w:val="center"/>
          </w:tcPr>
          <w:p w14:paraId="19A8876A">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内       容</w:t>
            </w:r>
          </w:p>
        </w:tc>
        <w:tc>
          <w:tcPr>
            <w:tcW w:w="1126" w:type="dxa"/>
            <w:vAlign w:val="center"/>
          </w:tcPr>
          <w:p w14:paraId="715FB31D">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单位</w:t>
            </w:r>
          </w:p>
        </w:tc>
        <w:tc>
          <w:tcPr>
            <w:tcW w:w="1138" w:type="dxa"/>
            <w:vAlign w:val="center"/>
          </w:tcPr>
          <w:p w14:paraId="7F6755EB">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单价(元)（不含税）</w:t>
            </w:r>
          </w:p>
        </w:tc>
        <w:tc>
          <w:tcPr>
            <w:tcW w:w="1138" w:type="dxa"/>
            <w:vAlign w:val="center"/>
          </w:tcPr>
          <w:p w14:paraId="3A581846">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数量</w:t>
            </w:r>
          </w:p>
        </w:tc>
        <w:tc>
          <w:tcPr>
            <w:tcW w:w="2449" w:type="dxa"/>
            <w:vAlign w:val="center"/>
          </w:tcPr>
          <w:p w14:paraId="60A811AA">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价格(元)（不含税）</w:t>
            </w:r>
          </w:p>
        </w:tc>
        <w:tc>
          <w:tcPr>
            <w:tcW w:w="3328" w:type="dxa"/>
            <w:vAlign w:val="center"/>
          </w:tcPr>
          <w:p w14:paraId="2ABA979A">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详 细 说 明</w:t>
            </w:r>
          </w:p>
        </w:tc>
      </w:tr>
      <w:tr w14:paraId="3C41AFD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00" w:hRule="atLeast"/>
        </w:trPr>
        <w:tc>
          <w:tcPr>
            <w:tcW w:w="710" w:type="dxa"/>
            <w:vAlign w:val="center"/>
          </w:tcPr>
          <w:p w14:paraId="40CC7670">
            <w:pPr>
              <w:autoSpaceDE w:val="0"/>
              <w:jc w:val="center"/>
              <w:rPr>
                <w:rFonts w:hint="eastAsia" w:ascii="宋体" w:hAnsi="宋体" w:eastAsia="宋体" w:cs="宋体"/>
                <w:szCs w:val="21"/>
              </w:rPr>
            </w:pPr>
            <w:r>
              <w:rPr>
                <w:rFonts w:hint="eastAsia" w:ascii="宋体" w:hAnsi="宋体" w:eastAsia="宋体" w:cs="Times New Roman"/>
                <w:spacing w:val="-1"/>
                <w:szCs w:val="21"/>
              </w:rPr>
              <w:t>1</w:t>
            </w:r>
          </w:p>
        </w:tc>
        <w:tc>
          <w:tcPr>
            <w:tcW w:w="3625" w:type="dxa"/>
            <w:vAlign w:val="center"/>
          </w:tcPr>
          <w:p w14:paraId="7EE874D6">
            <w:pPr>
              <w:spacing w:before="266"/>
              <w:jc w:val="center"/>
              <w:rPr>
                <w:rFonts w:hint="eastAsia" w:ascii="宋体" w:hAnsi="宋体" w:eastAsia="宋体" w:cs="宋体"/>
                <w:szCs w:val="21"/>
              </w:rPr>
            </w:pPr>
            <w:r>
              <w:rPr>
                <w:rFonts w:hint="eastAsia" w:ascii="宋体" w:hAnsi="宋体" w:eastAsia="宋体" w:cs="Times New Roman"/>
                <w:spacing w:val="-1"/>
                <w:szCs w:val="21"/>
              </w:rPr>
              <w:t>现场安装调试</w:t>
            </w:r>
          </w:p>
        </w:tc>
        <w:tc>
          <w:tcPr>
            <w:tcW w:w="1126" w:type="dxa"/>
            <w:vAlign w:val="center"/>
          </w:tcPr>
          <w:p w14:paraId="36D720E4">
            <w:pPr>
              <w:spacing w:before="266"/>
              <w:jc w:val="center"/>
              <w:rPr>
                <w:rFonts w:hint="eastAsia" w:ascii="宋体" w:hAnsi="宋体" w:eastAsia="宋体" w:cs="宋体"/>
                <w:spacing w:val="-2"/>
                <w:szCs w:val="21"/>
              </w:rPr>
            </w:pPr>
            <w:r>
              <w:rPr>
                <w:rFonts w:hint="eastAsia" w:ascii="宋体" w:hAnsi="宋体" w:eastAsia="宋体" w:cs="Times New Roman"/>
                <w:spacing w:val="-1"/>
                <w:szCs w:val="21"/>
              </w:rPr>
              <w:t>人·天</w:t>
            </w:r>
          </w:p>
        </w:tc>
        <w:tc>
          <w:tcPr>
            <w:tcW w:w="1138" w:type="dxa"/>
            <w:vAlign w:val="center"/>
          </w:tcPr>
          <w:p w14:paraId="76159B13">
            <w:pPr>
              <w:spacing w:before="266"/>
              <w:jc w:val="center"/>
              <w:rPr>
                <w:rFonts w:hint="eastAsia" w:ascii="宋体" w:hAnsi="宋体" w:eastAsia="宋体" w:cs="宋体"/>
                <w:spacing w:val="-2"/>
                <w:szCs w:val="21"/>
              </w:rPr>
            </w:pPr>
          </w:p>
        </w:tc>
        <w:tc>
          <w:tcPr>
            <w:tcW w:w="1138" w:type="dxa"/>
            <w:vAlign w:val="center"/>
          </w:tcPr>
          <w:p w14:paraId="35EB1659">
            <w:pPr>
              <w:spacing w:before="266"/>
              <w:jc w:val="center"/>
              <w:rPr>
                <w:rFonts w:hint="eastAsia" w:ascii="宋体" w:hAnsi="宋体" w:eastAsia="宋体" w:cs="宋体"/>
                <w:spacing w:val="-2"/>
                <w:szCs w:val="21"/>
              </w:rPr>
            </w:pPr>
          </w:p>
        </w:tc>
        <w:tc>
          <w:tcPr>
            <w:tcW w:w="2449" w:type="dxa"/>
            <w:vAlign w:val="center"/>
          </w:tcPr>
          <w:p w14:paraId="16C52449">
            <w:pPr>
              <w:jc w:val="center"/>
              <w:rPr>
                <w:rFonts w:hint="eastAsia" w:ascii="Arial"/>
              </w:rPr>
            </w:pPr>
          </w:p>
        </w:tc>
        <w:tc>
          <w:tcPr>
            <w:tcW w:w="3328" w:type="dxa"/>
            <w:vAlign w:val="center"/>
          </w:tcPr>
          <w:p w14:paraId="240DB0BB">
            <w:pPr>
              <w:autoSpaceDE w:val="0"/>
              <w:jc w:val="center"/>
              <w:rPr>
                <w:rFonts w:hint="eastAsia" w:ascii="宋体" w:hAnsi="宋体" w:eastAsia="宋体" w:cs="宋体"/>
                <w:spacing w:val="-1"/>
                <w:szCs w:val="21"/>
              </w:rPr>
            </w:pPr>
            <w:r>
              <w:rPr>
                <w:rFonts w:hint="eastAsia" w:ascii="宋体" w:hAnsi="宋体" w:eastAsia="宋体" w:cs="Times New Roman"/>
                <w:spacing w:val="-1"/>
                <w:szCs w:val="21"/>
              </w:rPr>
              <w:t>(可另附页)</w:t>
            </w:r>
          </w:p>
        </w:tc>
      </w:tr>
      <w:tr w14:paraId="09496A5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3" w:hRule="atLeast"/>
        </w:trPr>
        <w:tc>
          <w:tcPr>
            <w:tcW w:w="710" w:type="dxa"/>
            <w:vAlign w:val="center"/>
          </w:tcPr>
          <w:p w14:paraId="3F0427B2">
            <w:pPr>
              <w:autoSpaceDE w:val="0"/>
              <w:jc w:val="center"/>
              <w:rPr>
                <w:rFonts w:hint="eastAsia" w:ascii="宋体" w:hAnsi="宋体" w:eastAsia="宋体" w:cs="宋体"/>
                <w:szCs w:val="21"/>
              </w:rPr>
            </w:pPr>
            <w:r>
              <w:rPr>
                <w:rFonts w:hint="eastAsia" w:ascii="宋体" w:hAnsi="宋体" w:eastAsia="宋体" w:cs="Times New Roman"/>
                <w:spacing w:val="-1"/>
                <w:szCs w:val="21"/>
              </w:rPr>
              <w:t>3</w:t>
            </w:r>
          </w:p>
        </w:tc>
        <w:tc>
          <w:tcPr>
            <w:tcW w:w="3625" w:type="dxa"/>
            <w:vAlign w:val="center"/>
          </w:tcPr>
          <w:p w14:paraId="1D73A7EA">
            <w:pPr>
              <w:spacing w:before="266"/>
              <w:jc w:val="center"/>
              <w:rPr>
                <w:rFonts w:hint="eastAsia" w:ascii="宋体" w:hAnsi="宋体" w:eastAsia="宋体" w:cs="宋体"/>
                <w:spacing w:val="-2"/>
                <w:szCs w:val="21"/>
              </w:rPr>
            </w:pPr>
            <w:r>
              <w:rPr>
                <w:rFonts w:hint="eastAsia" w:ascii="宋体" w:hAnsi="宋体" w:eastAsia="宋体" w:cs="Times New Roman"/>
                <w:spacing w:val="-1"/>
                <w:szCs w:val="21"/>
              </w:rPr>
              <w:t>性能考核验</w:t>
            </w:r>
            <w:r>
              <w:rPr>
                <w:rFonts w:hint="eastAsia" w:ascii="宋体" w:hAnsi="宋体" w:eastAsia="宋体" w:cs="Times New Roman"/>
                <w:szCs w:val="21"/>
              </w:rPr>
              <w:t>收</w:t>
            </w:r>
          </w:p>
        </w:tc>
        <w:tc>
          <w:tcPr>
            <w:tcW w:w="1126" w:type="dxa"/>
            <w:vAlign w:val="center"/>
          </w:tcPr>
          <w:p w14:paraId="78FD8416">
            <w:pPr>
              <w:spacing w:before="266"/>
              <w:jc w:val="center"/>
              <w:rPr>
                <w:rFonts w:hint="eastAsia" w:ascii="宋体" w:hAnsi="宋体" w:eastAsia="宋体" w:cs="宋体"/>
                <w:spacing w:val="-1"/>
                <w:szCs w:val="21"/>
              </w:rPr>
            </w:pPr>
          </w:p>
        </w:tc>
        <w:tc>
          <w:tcPr>
            <w:tcW w:w="1138" w:type="dxa"/>
            <w:vAlign w:val="center"/>
          </w:tcPr>
          <w:p w14:paraId="30C13628">
            <w:pPr>
              <w:spacing w:before="266"/>
              <w:jc w:val="center"/>
              <w:rPr>
                <w:rFonts w:hint="eastAsia" w:ascii="宋体" w:hAnsi="宋体" w:eastAsia="宋体" w:cs="宋体"/>
                <w:spacing w:val="-2"/>
                <w:szCs w:val="21"/>
              </w:rPr>
            </w:pPr>
          </w:p>
        </w:tc>
        <w:tc>
          <w:tcPr>
            <w:tcW w:w="1138" w:type="dxa"/>
            <w:vAlign w:val="center"/>
          </w:tcPr>
          <w:p w14:paraId="7F47613D">
            <w:pPr>
              <w:spacing w:before="266"/>
              <w:jc w:val="center"/>
              <w:rPr>
                <w:rFonts w:hint="eastAsia" w:ascii="宋体" w:hAnsi="宋体" w:eastAsia="宋体" w:cs="宋体"/>
                <w:spacing w:val="-2"/>
                <w:szCs w:val="21"/>
              </w:rPr>
            </w:pPr>
          </w:p>
        </w:tc>
        <w:tc>
          <w:tcPr>
            <w:tcW w:w="2449" w:type="dxa"/>
            <w:vAlign w:val="center"/>
          </w:tcPr>
          <w:p w14:paraId="706A50A7">
            <w:pPr>
              <w:jc w:val="center"/>
              <w:rPr>
                <w:rFonts w:hint="eastAsia" w:ascii="Arial"/>
              </w:rPr>
            </w:pPr>
          </w:p>
        </w:tc>
        <w:tc>
          <w:tcPr>
            <w:tcW w:w="3328" w:type="dxa"/>
            <w:vAlign w:val="center"/>
          </w:tcPr>
          <w:p w14:paraId="39A4FB4C">
            <w:pPr>
              <w:autoSpaceDE w:val="0"/>
              <w:jc w:val="center"/>
              <w:rPr>
                <w:rFonts w:hint="eastAsia" w:ascii="宋体" w:hAnsi="宋体" w:eastAsia="宋体" w:cs="宋体"/>
                <w:spacing w:val="-1"/>
                <w:szCs w:val="21"/>
              </w:rPr>
            </w:pPr>
            <w:r>
              <w:rPr>
                <w:rFonts w:hint="eastAsia" w:ascii="宋体" w:hAnsi="宋体" w:eastAsia="宋体" w:cs="Times New Roman"/>
                <w:spacing w:val="-1"/>
                <w:szCs w:val="21"/>
              </w:rPr>
              <w:t>(可另附页)</w:t>
            </w:r>
          </w:p>
        </w:tc>
      </w:tr>
      <w:tr w14:paraId="2F8ADE6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32" w:hRule="atLeast"/>
        </w:trPr>
        <w:tc>
          <w:tcPr>
            <w:tcW w:w="710" w:type="dxa"/>
            <w:vAlign w:val="center"/>
          </w:tcPr>
          <w:p w14:paraId="6081CD12">
            <w:pPr>
              <w:spacing w:before="303" w:line="183" w:lineRule="auto"/>
              <w:jc w:val="center"/>
              <w:rPr>
                <w:rFonts w:hint="eastAsia" w:ascii="宋体" w:hAnsi="宋体" w:eastAsia="宋体" w:cs="宋体"/>
                <w:szCs w:val="21"/>
              </w:rPr>
            </w:pPr>
            <w:r>
              <w:rPr>
                <w:rFonts w:ascii="宋体" w:hAnsi="宋体" w:eastAsia="宋体" w:cs="宋体"/>
                <w:szCs w:val="21"/>
              </w:rPr>
              <w:t>3</w:t>
            </w:r>
          </w:p>
        </w:tc>
        <w:tc>
          <w:tcPr>
            <w:tcW w:w="3625" w:type="dxa"/>
            <w:vAlign w:val="center"/>
          </w:tcPr>
          <w:p w14:paraId="6EA5053A">
            <w:pPr>
              <w:spacing w:before="266" w:line="221" w:lineRule="auto"/>
              <w:jc w:val="center"/>
              <w:rPr>
                <w:rFonts w:hint="eastAsia" w:ascii="宋体" w:hAnsi="宋体" w:eastAsia="宋体" w:cs="宋体"/>
                <w:szCs w:val="21"/>
              </w:rPr>
            </w:pPr>
            <w:r>
              <w:rPr>
                <w:rFonts w:hint="eastAsia" w:ascii="宋体" w:hAnsi="宋体" w:eastAsia="宋体" w:cs="宋体"/>
                <w:spacing w:val="-2"/>
                <w:szCs w:val="21"/>
              </w:rPr>
              <w:t>技术</w:t>
            </w:r>
            <w:r>
              <w:rPr>
                <w:rFonts w:ascii="宋体" w:hAnsi="宋体" w:eastAsia="宋体" w:cs="宋体"/>
                <w:spacing w:val="-2"/>
                <w:szCs w:val="21"/>
              </w:rPr>
              <w:t>培</w:t>
            </w:r>
            <w:r>
              <w:rPr>
                <w:rFonts w:ascii="宋体" w:hAnsi="宋体" w:eastAsia="宋体" w:cs="宋体"/>
                <w:spacing w:val="-1"/>
                <w:szCs w:val="21"/>
              </w:rPr>
              <w:t>训费</w:t>
            </w:r>
          </w:p>
        </w:tc>
        <w:tc>
          <w:tcPr>
            <w:tcW w:w="1126" w:type="dxa"/>
          </w:tcPr>
          <w:p w14:paraId="4BC66C2B">
            <w:pPr>
              <w:spacing w:before="266" w:line="221" w:lineRule="auto"/>
              <w:jc w:val="center"/>
              <w:rPr>
                <w:rFonts w:hint="eastAsia" w:ascii="宋体" w:hAnsi="宋体" w:eastAsia="宋体" w:cs="宋体"/>
                <w:spacing w:val="-2"/>
                <w:szCs w:val="21"/>
              </w:rPr>
            </w:pPr>
            <w:r>
              <w:rPr>
                <w:rFonts w:ascii="宋体" w:hAnsi="宋体" w:eastAsia="宋体" w:cs="宋体"/>
                <w:spacing w:val="-1"/>
                <w:szCs w:val="21"/>
              </w:rPr>
              <w:t>人</w:t>
            </w:r>
            <w:r>
              <w:rPr>
                <w:rFonts w:hint="eastAsia" w:ascii="宋体" w:hAnsi="宋体" w:eastAsia="宋体" w:cs="宋体"/>
                <w:spacing w:val="-1"/>
                <w:szCs w:val="21"/>
              </w:rPr>
              <w:t>·</w:t>
            </w:r>
            <w:r>
              <w:rPr>
                <w:rFonts w:ascii="宋体" w:hAnsi="宋体" w:eastAsia="宋体" w:cs="宋体"/>
                <w:spacing w:val="-1"/>
                <w:szCs w:val="21"/>
              </w:rPr>
              <w:t>天</w:t>
            </w:r>
          </w:p>
        </w:tc>
        <w:tc>
          <w:tcPr>
            <w:tcW w:w="1138" w:type="dxa"/>
          </w:tcPr>
          <w:p w14:paraId="16308F41">
            <w:pPr>
              <w:spacing w:before="266" w:line="221" w:lineRule="auto"/>
              <w:jc w:val="center"/>
              <w:rPr>
                <w:rFonts w:hint="eastAsia" w:ascii="宋体" w:hAnsi="宋体" w:eastAsia="宋体" w:cs="宋体"/>
                <w:spacing w:val="-2"/>
                <w:szCs w:val="21"/>
              </w:rPr>
            </w:pPr>
          </w:p>
        </w:tc>
        <w:tc>
          <w:tcPr>
            <w:tcW w:w="1138" w:type="dxa"/>
          </w:tcPr>
          <w:p w14:paraId="5FF47E16">
            <w:pPr>
              <w:spacing w:before="266" w:line="221" w:lineRule="auto"/>
              <w:jc w:val="center"/>
              <w:rPr>
                <w:rFonts w:hint="eastAsia" w:ascii="宋体" w:hAnsi="宋体" w:eastAsia="宋体" w:cs="宋体"/>
                <w:spacing w:val="-2"/>
                <w:szCs w:val="21"/>
              </w:rPr>
            </w:pPr>
          </w:p>
        </w:tc>
        <w:tc>
          <w:tcPr>
            <w:tcW w:w="2449" w:type="dxa"/>
          </w:tcPr>
          <w:p w14:paraId="41960B27">
            <w:pPr>
              <w:rPr>
                <w:rFonts w:hint="eastAsia" w:ascii="Arial"/>
              </w:rPr>
            </w:pPr>
          </w:p>
        </w:tc>
        <w:tc>
          <w:tcPr>
            <w:tcW w:w="3328" w:type="dxa"/>
          </w:tcPr>
          <w:p w14:paraId="3436A5FE">
            <w:pPr>
              <w:spacing w:before="266" w:line="221" w:lineRule="auto"/>
              <w:jc w:val="center"/>
              <w:rPr>
                <w:rFonts w:hint="eastAsia" w:ascii="宋体" w:hAnsi="宋体" w:eastAsia="宋体" w:cs="宋体"/>
                <w:spacing w:val="-1"/>
                <w:szCs w:val="21"/>
              </w:rPr>
            </w:pPr>
            <w:r>
              <w:rPr>
                <w:rFonts w:ascii="宋体" w:hAnsi="宋体" w:eastAsia="宋体" w:cs="宋体"/>
                <w:spacing w:val="-1"/>
                <w:szCs w:val="21"/>
              </w:rPr>
              <w:t>(可另附页)</w:t>
            </w:r>
          </w:p>
        </w:tc>
      </w:tr>
      <w:tr w14:paraId="25B1CBA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78" w:hRule="atLeast"/>
        </w:trPr>
        <w:tc>
          <w:tcPr>
            <w:tcW w:w="710" w:type="dxa"/>
            <w:vAlign w:val="center"/>
          </w:tcPr>
          <w:p w14:paraId="7D833383">
            <w:pPr>
              <w:autoSpaceDE w:val="0"/>
              <w:jc w:val="center"/>
              <w:rPr>
                <w:rFonts w:hint="eastAsia" w:ascii="宋体" w:hAnsi="宋体" w:eastAsia="宋体" w:cs="宋体"/>
                <w:szCs w:val="21"/>
              </w:rPr>
            </w:pPr>
            <w:r>
              <w:rPr>
                <w:rFonts w:hint="eastAsia" w:ascii="宋体" w:hAnsi="宋体" w:eastAsia="宋体" w:cs="Times New Roman"/>
                <w:spacing w:val="-1"/>
                <w:szCs w:val="21"/>
              </w:rPr>
              <w:t>4</w:t>
            </w:r>
          </w:p>
        </w:tc>
        <w:tc>
          <w:tcPr>
            <w:tcW w:w="3625" w:type="dxa"/>
            <w:vAlign w:val="center"/>
          </w:tcPr>
          <w:p w14:paraId="2D5C32D6">
            <w:pPr>
              <w:autoSpaceDE w:val="0"/>
              <w:jc w:val="center"/>
              <w:rPr>
                <w:rFonts w:hint="eastAsia" w:ascii="宋体" w:hAnsi="宋体" w:eastAsia="宋体" w:cs="宋体"/>
                <w:szCs w:val="21"/>
              </w:rPr>
            </w:pPr>
            <w:r>
              <w:rPr>
                <w:rFonts w:hint="eastAsia" w:ascii="宋体" w:hAnsi="宋体" w:eastAsia="宋体" w:cs="Times New Roman"/>
                <w:spacing w:val="-1"/>
                <w:szCs w:val="21"/>
              </w:rPr>
              <w:t>其它(列出明细)</w:t>
            </w:r>
          </w:p>
        </w:tc>
        <w:tc>
          <w:tcPr>
            <w:tcW w:w="1126" w:type="dxa"/>
            <w:vAlign w:val="center"/>
          </w:tcPr>
          <w:p w14:paraId="4516F42A">
            <w:pPr>
              <w:autoSpaceDE w:val="0"/>
              <w:jc w:val="center"/>
              <w:rPr>
                <w:rFonts w:hint="eastAsia" w:ascii="宋体" w:hAnsi="宋体" w:eastAsia="宋体" w:cs="宋体"/>
                <w:spacing w:val="-2"/>
                <w:szCs w:val="21"/>
              </w:rPr>
            </w:pPr>
          </w:p>
        </w:tc>
        <w:tc>
          <w:tcPr>
            <w:tcW w:w="1138" w:type="dxa"/>
            <w:vAlign w:val="center"/>
          </w:tcPr>
          <w:p w14:paraId="1CA1C07C">
            <w:pPr>
              <w:spacing w:before="266"/>
              <w:jc w:val="center"/>
              <w:rPr>
                <w:rFonts w:hint="eastAsia" w:ascii="宋体" w:hAnsi="宋体" w:eastAsia="宋体" w:cs="宋体"/>
                <w:spacing w:val="-2"/>
                <w:szCs w:val="21"/>
              </w:rPr>
            </w:pPr>
          </w:p>
        </w:tc>
        <w:tc>
          <w:tcPr>
            <w:tcW w:w="1138" w:type="dxa"/>
            <w:vAlign w:val="center"/>
          </w:tcPr>
          <w:p w14:paraId="046204A1">
            <w:pPr>
              <w:spacing w:before="266"/>
              <w:jc w:val="center"/>
              <w:rPr>
                <w:rFonts w:hint="eastAsia" w:ascii="宋体" w:hAnsi="宋体" w:eastAsia="宋体" w:cs="宋体"/>
                <w:spacing w:val="-2"/>
                <w:szCs w:val="21"/>
              </w:rPr>
            </w:pPr>
          </w:p>
        </w:tc>
        <w:tc>
          <w:tcPr>
            <w:tcW w:w="2449" w:type="dxa"/>
            <w:vAlign w:val="center"/>
          </w:tcPr>
          <w:p w14:paraId="3F585514">
            <w:pPr>
              <w:jc w:val="center"/>
              <w:rPr>
                <w:rFonts w:hint="eastAsia" w:ascii="Arial"/>
              </w:rPr>
            </w:pPr>
          </w:p>
        </w:tc>
        <w:tc>
          <w:tcPr>
            <w:tcW w:w="3328" w:type="dxa"/>
            <w:vAlign w:val="center"/>
          </w:tcPr>
          <w:p w14:paraId="3AC4A9C5">
            <w:pPr>
              <w:autoSpaceDE w:val="0"/>
              <w:jc w:val="center"/>
              <w:rPr>
                <w:rFonts w:hint="eastAsia" w:ascii="宋体" w:hAnsi="宋体" w:eastAsia="宋体" w:cs="宋体"/>
                <w:spacing w:val="-1"/>
                <w:szCs w:val="21"/>
              </w:rPr>
            </w:pPr>
            <w:r>
              <w:rPr>
                <w:rFonts w:hint="eastAsia" w:ascii="宋体" w:hAnsi="宋体" w:eastAsia="宋体" w:cs="Times New Roman"/>
                <w:spacing w:val="-1"/>
                <w:szCs w:val="21"/>
              </w:rPr>
              <w:t>(可另附页)</w:t>
            </w:r>
          </w:p>
        </w:tc>
      </w:tr>
      <w:tr w14:paraId="1A14C75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34" w:hRule="atLeast"/>
        </w:trPr>
        <w:tc>
          <w:tcPr>
            <w:tcW w:w="4335" w:type="dxa"/>
            <w:gridSpan w:val="2"/>
            <w:vAlign w:val="center"/>
          </w:tcPr>
          <w:p w14:paraId="30DF6EE9">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 xml:space="preserve">总价合计列入价格汇总表 </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9</w:t>
            </w:r>
            <w:r>
              <w:rPr>
                <w:rFonts w:ascii="宋体" w:hAnsi="宋体" w:eastAsia="宋体" w:cs="宋体"/>
                <w:spacing w:val="-1"/>
                <w:szCs w:val="21"/>
                <w14:textOutline w14:w="3835" w14:cap="flat" w14:cmpd="sng" w14:algn="ctr">
                  <w14:solidFill>
                    <w14:srgbClr w14:val="000000"/>
                  </w14:solidFill>
                  <w14:prstDash w14:val="solid"/>
                  <w14:miter w14:val="0"/>
                </w14:textOutline>
              </w:rPr>
              <w:t>-</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5</w:t>
            </w:r>
          </w:p>
        </w:tc>
        <w:tc>
          <w:tcPr>
            <w:tcW w:w="1126" w:type="dxa"/>
            <w:tcBorders>
              <w:right w:val="nil"/>
            </w:tcBorders>
            <w:vAlign w:val="center"/>
          </w:tcPr>
          <w:p w14:paraId="06AEA9EE">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p>
        </w:tc>
        <w:tc>
          <w:tcPr>
            <w:tcW w:w="1138" w:type="dxa"/>
            <w:tcBorders>
              <w:right w:val="nil"/>
            </w:tcBorders>
            <w:vAlign w:val="center"/>
          </w:tcPr>
          <w:p w14:paraId="75B9B54C">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p>
        </w:tc>
        <w:tc>
          <w:tcPr>
            <w:tcW w:w="1138" w:type="dxa"/>
            <w:tcBorders>
              <w:right w:val="nil"/>
            </w:tcBorders>
            <w:vAlign w:val="center"/>
          </w:tcPr>
          <w:p w14:paraId="706D1A65">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p>
        </w:tc>
        <w:tc>
          <w:tcPr>
            <w:tcW w:w="2449" w:type="dxa"/>
            <w:tcBorders>
              <w:right w:val="nil"/>
            </w:tcBorders>
            <w:vAlign w:val="center"/>
          </w:tcPr>
          <w:p w14:paraId="249A8336">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w:t>
            </w:r>
            <w:r>
              <w:rPr>
                <w:rFonts w:hint="eastAsia" w:ascii="宋体" w:hAnsi="宋体" w:eastAsia="宋体" w:cs="宋体"/>
                <w:b/>
                <w:bCs/>
                <w:szCs w:val="21"/>
              </w:rPr>
              <w:t>（不含税）</w:t>
            </w:r>
            <w:r>
              <w:rPr>
                <w:rFonts w:ascii="宋体" w:hAnsi="宋体" w:eastAsia="宋体" w:cs="宋体"/>
                <w:spacing w:val="-1"/>
                <w:szCs w:val="21"/>
                <w14:textOutline w14:w="3835" w14:cap="flat" w14:cmpd="sng" w14:algn="ctr">
                  <w14:solidFill>
                    <w14:srgbClr w14:val="000000"/>
                  </w14:solidFill>
                  <w14:prstDash w14:val="solid"/>
                  <w14:miter w14:val="0"/>
                </w14:textOutline>
              </w:rPr>
              <w:t>￥</w:t>
            </w:r>
          </w:p>
        </w:tc>
        <w:tc>
          <w:tcPr>
            <w:tcW w:w="3328" w:type="dxa"/>
            <w:tcBorders>
              <w:left w:val="nil"/>
            </w:tcBorders>
            <w:vAlign w:val="center"/>
          </w:tcPr>
          <w:p w14:paraId="56A88575">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元</w:t>
            </w:r>
          </w:p>
        </w:tc>
      </w:tr>
    </w:tbl>
    <w:p w14:paraId="2A30861D">
      <w:pPr>
        <w:spacing w:before="78" w:line="224" w:lineRule="auto"/>
        <w:ind w:firstLine="178" w:firstLineChars="100"/>
        <w:rPr>
          <w:rFonts w:hint="eastAsia" w:ascii="宋体" w:hAnsi="宋体" w:eastAsia="宋体" w:cs="宋体"/>
          <w:spacing w:val="-8"/>
          <w:szCs w:val="21"/>
        </w:rPr>
      </w:pPr>
      <w:r>
        <w:rPr>
          <w:rFonts w:ascii="宋体" w:hAnsi="宋体" w:eastAsia="宋体" w:cs="宋体"/>
          <w:spacing w:val="-16"/>
          <w:szCs w:val="21"/>
        </w:rPr>
        <w:t>注</w:t>
      </w:r>
      <w:r>
        <w:rPr>
          <w:rFonts w:ascii="宋体" w:hAnsi="宋体" w:eastAsia="宋体" w:cs="宋体"/>
          <w:spacing w:val="-8"/>
          <w:szCs w:val="21"/>
        </w:rPr>
        <w:t xml:space="preserve">： </w:t>
      </w:r>
      <w:r>
        <w:rPr>
          <w:rFonts w:hint="eastAsia" w:ascii="宋体" w:hAnsi="宋体" w:eastAsia="宋体" w:cs="宋体"/>
          <w:spacing w:val="-8"/>
          <w:szCs w:val="21"/>
        </w:rPr>
        <w:t xml:space="preserve">  </w:t>
      </w:r>
      <w:r>
        <w:rPr>
          <w:rFonts w:ascii="宋体" w:hAnsi="宋体" w:eastAsia="宋体" w:cs="宋体"/>
          <w:spacing w:val="-8"/>
          <w:szCs w:val="21"/>
        </w:rPr>
        <w:t>1.投标人需给出价格的详细说明。</w:t>
      </w:r>
    </w:p>
    <w:p w14:paraId="2295C5C7">
      <w:pPr>
        <w:spacing w:before="75" w:line="219" w:lineRule="auto"/>
        <w:ind w:left="409" w:firstLine="396" w:firstLineChars="200"/>
        <w:rPr>
          <w:rFonts w:hint="eastAsia"/>
        </w:rPr>
      </w:pPr>
      <w:r>
        <w:rPr>
          <w:rFonts w:ascii="宋体" w:hAnsi="宋体" w:eastAsia="宋体" w:cs="宋体"/>
          <w:spacing w:val="-6"/>
          <w:szCs w:val="21"/>
        </w:rPr>
        <w:t>2.如果按单</w:t>
      </w:r>
      <w:r>
        <w:rPr>
          <w:rFonts w:ascii="宋体" w:hAnsi="宋体" w:eastAsia="宋体" w:cs="宋体"/>
          <w:spacing w:val="-5"/>
          <w:szCs w:val="21"/>
        </w:rPr>
        <w:t>价</w:t>
      </w:r>
      <w:r>
        <w:rPr>
          <w:rFonts w:ascii="宋体" w:hAnsi="宋体" w:eastAsia="宋体" w:cs="宋体"/>
          <w:spacing w:val="-3"/>
          <w:szCs w:val="21"/>
        </w:rPr>
        <w:t>计算的结果与总价不一致， 以单价为准修正总价。</w:t>
      </w:r>
    </w:p>
    <w:p w14:paraId="66D12275">
      <w:pPr>
        <w:spacing w:before="35" w:line="239" w:lineRule="auto"/>
        <w:ind w:firstLine="824" w:firstLineChars="400"/>
        <w:rPr>
          <w:rFonts w:hint="eastAsia" w:ascii="宋体" w:hAnsi="宋体" w:eastAsia="宋体" w:cs="宋体"/>
          <w:szCs w:val="21"/>
        </w:rPr>
      </w:pPr>
      <w:r>
        <w:rPr>
          <w:rFonts w:hint="eastAsia" w:ascii="宋体" w:hAnsi="宋体" w:eastAsia="宋体" w:cs="宋体"/>
          <w:spacing w:val="-2"/>
          <w:szCs w:val="21"/>
        </w:rPr>
        <w:t>3</w:t>
      </w:r>
      <w:r>
        <w:rPr>
          <w:rFonts w:ascii="宋体" w:hAnsi="宋体" w:eastAsia="宋体" w:cs="宋体"/>
          <w:spacing w:val="-2"/>
          <w:szCs w:val="21"/>
        </w:rPr>
        <w:t>.此分项</w:t>
      </w:r>
      <w:r>
        <w:rPr>
          <w:rFonts w:ascii="宋体" w:hAnsi="宋体" w:eastAsia="宋体" w:cs="宋体"/>
          <w:spacing w:val="-1"/>
          <w:szCs w:val="21"/>
        </w:rPr>
        <w:t>报价，仅是为了方便招标人对投标文件进行比较，不作为限制订立合同的条件。</w:t>
      </w:r>
    </w:p>
    <w:p w14:paraId="0023C111">
      <w:pPr>
        <w:spacing w:before="78" w:line="219" w:lineRule="auto"/>
        <w:ind w:firstLine="792" w:firstLineChars="400"/>
        <w:rPr>
          <w:rFonts w:hint="eastAsia"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76B2657D">
      <w:pPr>
        <w:spacing w:before="78" w:line="219" w:lineRule="auto"/>
        <w:ind w:firstLine="792" w:firstLineChars="400"/>
        <w:rPr>
          <w:rFonts w:hint="eastAsia"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34EC7515">
      <w:pPr>
        <w:spacing w:before="78" w:line="219" w:lineRule="auto"/>
        <w:ind w:firstLine="792" w:firstLineChars="400"/>
        <w:rPr>
          <w:rFonts w:hint="eastAsia" w:ascii="宋体" w:hAnsi="宋体" w:eastAsia="宋体" w:cs="宋体"/>
          <w:spacing w:val="-6"/>
          <w:szCs w:val="21"/>
        </w:rPr>
      </w:pPr>
      <w:r>
        <w:rPr>
          <w:rFonts w:hint="eastAsia" w:ascii="宋体" w:hAnsi="宋体" w:eastAsia="宋体" w:cs="宋体"/>
          <w:spacing w:val="-6"/>
          <w:szCs w:val="21"/>
        </w:rPr>
        <w:t>6.因填写不规范造成废标及终止招标的，责任由投标人自负。</w:t>
      </w:r>
    </w:p>
    <w:p w14:paraId="6E54747A">
      <w:pPr>
        <w:rPr>
          <w:rFonts w:hint="eastAsia"/>
        </w:rPr>
      </w:pPr>
    </w:p>
    <w:p w14:paraId="390561F5">
      <w:pPr>
        <w:pStyle w:val="20"/>
      </w:pPr>
    </w:p>
    <w:p w14:paraId="1E8BD4BD">
      <w:pPr>
        <w:spacing w:before="35" w:line="239" w:lineRule="auto"/>
        <w:ind w:left="724"/>
        <w:rPr>
          <w:rFonts w:hint="eastAsia" w:ascii="宋体" w:hAnsi="宋体" w:eastAsia="宋体" w:cs="宋体"/>
          <w:spacing w:val="-1"/>
          <w:sz w:val="24"/>
          <w:szCs w:val="24"/>
        </w:rPr>
      </w:pPr>
      <w:r>
        <w:rPr>
          <w:rFonts w:ascii="宋体" w:hAnsi="宋体" w:eastAsia="宋体" w:cs="宋体"/>
          <w:spacing w:val="-2"/>
          <w:sz w:val="24"/>
          <w:szCs w:val="24"/>
        </w:rPr>
        <w:t>投标人(章)：</w:t>
      </w:r>
      <w:r>
        <w:rPr>
          <w:rFonts w:ascii="宋体" w:hAnsi="宋体" w:eastAsia="宋体" w:cs="宋体"/>
          <w:spacing w:val="6"/>
          <w:szCs w:val="21"/>
        </w:rPr>
        <w:t xml:space="preserve">    </w:t>
      </w:r>
      <w:r>
        <w:rPr>
          <w:rFonts w:ascii="宋体" w:hAnsi="宋体" w:eastAsia="宋体" w:cs="宋体"/>
          <w:spacing w:val="3"/>
          <w:szCs w:val="21"/>
        </w:rPr>
        <w:t xml:space="preserve">                           </w:t>
      </w:r>
      <w:r>
        <w:rPr>
          <w:rFonts w:ascii="宋体" w:hAnsi="宋体" w:eastAsia="宋体" w:cs="宋体"/>
          <w:spacing w:val="-1"/>
          <w:sz w:val="24"/>
          <w:szCs w:val="24"/>
        </w:rPr>
        <w:t xml:space="preserve">授权代表(签字)： </w:t>
      </w:r>
      <w:r>
        <w:rPr>
          <w:rFonts w:ascii="宋体" w:hAnsi="宋体" w:eastAsia="宋体" w:cs="宋体"/>
          <w:spacing w:val="3"/>
          <w:szCs w:val="21"/>
        </w:rPr>
        <w:t xml:space="preserve">                             </w:t>
      </w:r>
      <w:r>
        <w:rPr>
          <w:rFonts w:ascii="宋体" w:hAnsi="宋体" w:eastAsia="宋体" w:cs="宋体"/>
          <w:spacing w:val="-1"/>
          <w:sz w:val="24"/>
          <w:szCs w:val="24"/>
        </w:rPr>
        <w:t>年  月  日</w:t>
      </w:r>
    </w:p>
    <w:p w14:paraId="756D1D3D">
      <w:pPr>
        <w:spacing w:before="35" w:line="239" w:lineRule="auto"/>
        <w:ind w:left="724"/>
        <w:rPr>
          <w:rFonts w:hint="eastAsia" w:ascii="宋体" w:hAnsi="宋体" w:eastAsia="宋体" w:cs="宋体"/>
          <w:spacing w:val="-1"/>
          <w:sz w:val="24"/>
          <w:szCs w:val="24"/>
        </w:rPr>
        <w:sectPr>
          <w:footerReference r:id="rId29" w:type="default"/>
          <w:pgSz w:w="16841" w:h="11907"/>
          <w:pgMar w:top="400" w:right="1699" w:bottom="1184" w:left="1481" w:header="0" w:footer="1022" w:gutter="0"/>
          <w:cols w:space="720" w:num="1"/>
        </w:sectPr>
      </w:pPr>
    </w:p>
    <w:p w14:paraId="7607B168">
      <w:pPr>
        <w:pStyle w:val="7"/>
        <w:jc w:val="left"/>
        <w:rPr>
          <w:rFonts w:hint="eastAsia" w:ascii="宋体" w:hAnsi="宋体" w:eastAsia="宋体" w:cs="宋体"/>
          <w:sz w:val="24"/>
          <w:szCs w:val="24"/>
        </w:rPr>
      </w:pPr>
      <w:r>
        <w:rPr>
          <w:rFonts w:ascii="宋体" w:hAnsi="宋体" w:eastAsia="宋体" w:cs="宋体"/>
          <w:spacing w:val="-10"/>
          <w:sz w:val="24"/>
          <w:szCs w:val="24"/>
          <w14:textOutline w14:w="3835" w14:cap="flat" w14:cmpd="sng" w14:algn="ctr">
            <w14:solidFill>
              <w14:srgbClr w14:val="000000"/>
            </w14:solidFill>
            <w14:prstDash w14:val="solid"/>
            <w14:miter w14:val="0"/>
          </w14:textOutline>
        </w:rPr>
        <w:t>表</w:t>
      </w:r>
      <w:r>
        <w:rPr>
          <w:rFonts w:ascii="宋体" w:hAnsi="宋体" w:eastAsia="宋体" w:cs="宋体"/>
          <w:spacing w:val="-9"/>
          <w:sz w:val="24"/>
          <w:szCs w:val="24"/>
        </w:rPr>
        <w:t xml:space="preserve"> </w:t>
      </w:r>
      <w:r>
        <w:rPr>
          <w:rFonts w:hint="eastAsia" w:ascii="宋体" w:hAnsi="宋体" w:eastAsia="宋体" w:cs="宋体"/>
          <w:spacing w:val="-9"/>
          <w:sz w:val="24"/>
          <w:szCs w:val="24"/>
          <w14:textOutline w14:w="3835" w14:cap="flat" w14:cmpd="sng" w14:algn="ctr">
            <w14:solidFill>
              <w14:srgbClr w14:val="000000"/>
            </w14:solidFill>
            <w14:prstDash w14:val="solid"/>
            <w14:miter w14:val="0"/>
          </w14:textOutline>
        </w:rPr>
        <w:t>9</w:t>
      </w:r>
      <w:r>
        <w:rPr>
          <w:rFonts w:ascii="宋体" w:hAnsi="宋体" w:eastAsia="宋体" w:cs="宋体"/>
          <w:spacing w:val="-9"/>
          <w:sz w:val="24"/>
          <w:szCs w:val="24"/>
          <w14:textOutline w14:w="3835" w14:cap="flat" w14:cmpd="sng" w14:algn="ctr">
            <w14:solidFill>
              <w14:srgbClr w14:val="000000"/>
            </w14:solidFill>
            <w14:prstDash w14:val="solid"/>
            <w14:miter w14:val="0"/>
          </w14:textOutline>
        </w:rPr>
        <w:t>-</w:t>
      </w:r>
      <w:r>
        <w:rPr>
          <w:rFonts w:hint="eastAsia" w:ascii="宋体" w:hAnsi="宋体" w:eastAsia="宋体" w:cs="宋体"/>
          <w:spacing w:val="-9"/>
          <w:sz w:val="24"/>
          <w:szCs w:val="24"/>
          <w14:textOutline w14:w="3835" w14:cap="flat" w14:cmpd="sng" w14:algn="ctr">
            <w14:solidFill>
              <w14:srgbClr w14:val="000000"/>
            </w14:solidFill>
            <w14:prstDash w14:val="solid"/>
            <w14:miter w14:val="0"/>
          </w14:textOutline>
        </w:rPr>
        <w:t>4</w:t>
      </w:r>
    </w:p>
    <w:p w14:paraId="202DD38D">
      <w:pPr>
        <w:spacing w:before="125" w:line="294" w:lineRule="auto"/>
        <w:ind w:left="6150" w:right="1626" w:hanging="4500"/>
        <w:rPr>
          <w:rFonts w:hint="eastAsia" w:ascii="宋体" w:hAnsi="宋体" w:eastAsia="宋体" w:cs="宋体"/>
          <w:sz w:val="24"/>
          <w:szCs w:val="24"/>
        </w:rPr>
      </w:pPr>
      <w:r>
        <w:rPr>
          <w:rFonts w:ascii="宋体" w:hAnsi="宋体" w:eastAsia="宋体" w:cs="宋体"/>
          <w:spacing w:val="10"/>
          <w:sz w:val="24"/>
          <w:szCs w:val="24"/>
          <w14:textOutline w14:w="5791" w14:cap="flat" w14:cmpd="sng" w14:algn="ctr">
            <w14:solidFill>
              <w14:srgbClr w14:val="000000"/>
            </w14:solidFill>
            <w14:prstDash w14:val="solid"/>
            <w14:miter w14:val="0"/>
          </w14:textOutline>
        </w:rPr>
        <w:t>随机标准附件及易损件、备品备件、专用工具、专用检测仪器仪表</w:t>
      </w:r>
      <w:r>
        <w:rPr>
          <w:rFonts w:ascii="宋体" w:hAnsi="宋体" w:eastAsia="宋体" w:cs="宋体"/>
          <w:sz w:val="24"/>
          <w:szCs w:val="24"/>
        </w:rPr>
        <w:t xml:space="preserve"> </w:t>
      </w:r>
      <w:r>
        <w:rPr>
          <w:rFonts w:ascii="宋体" w:hAnsi="宋体" w:eastAsia="宋体" w:cs="宋体"/>
          <w:spacing w:val="8"/>
          <w:sz w:val="24"/>
          <w:szCs w:val="24"/>
          <w14:textOutline w14:w="5791" w14:cap="flat" w14:cmpd="sng" w14:algn="ctr">
            <w14:solidFill>
              <w14:srgbClr w14:val="000000"/>
            </w14:solidFill>
            <w14:prstDash w14:val="solid"/>
            <w14:miter w14:val="0"/>
          </w14:textOutline>
        </w:rPr>
        <w:t>分项报价</w:t>
      </w:r>
      <w:r>
        <w:rPr>
          <w:rFonts w:ascii="宋体" w:hAnsi="宋体" w:eastAsia="宋体" w:cs="宋体"/>
          <w:spacing w:val="7"/>
          <w:sz w:val="24"/>
          <w:szCs w:val="24"/>
          <w14:textOutline w14:w="5791" w14:cap="flat" w14:cmpd="sng" w14:algn="ctr">
            <w14:solidFill>
              <w14:srgbClr w14:val="000000"/>
            </w14:solidFill>
            <w14:prstDash w14:val="solid"/>
            <w14:miter w14:val="0"/>
          </w14:textOutline>
        </w:rPr>
        <w:t>表</w:t>
      </w:r>
    </w:p>
    <w:p w14:paraId="191989F0">
      <w:pPr>
        <w:spacing w:line="220" w:lineRule="auto"/>
        <w:ind w:left="1"/>
        <w:jc w:val="right"/>
        <w:rPr>
          <w:rFonts w:hint="eastAsia" w:ascii="宋体" w:hAnsi="宋体" w:eastAsia="宋体" w:cs="宋体"/>
          <w:szCs w:val="21"/>
        </w:rPr>
      </w:pPr>
      <w:r>
        <w:rPr>
          <w:rFonts w:ascii="宋体" w:hAnsi="宋体" w:eastAsia="宋体" w:cs="宋体"/>
          <w:spacing w:val="-1"/>
          <w:szCs w:val="21"/>
        </w:rPr>
        <w:t xml:space="preserve">                                          </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03CD7B22">
      <w:pPr>
        <w:spacing w:line="172" w:lineRule="exact"/>
        <w:rPr>
          <w:rFonts w:hint="eastAsia"/>
        </w:rPr>
      </w:pPr>
    </w:p>
    <w:tbl>
      <w:tblPr>
        <w:tblStyle w:val="133"/>
        <w:tblW w:w="13835" w:type="dxa"/>
        <w:tblInd w:w="2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509"/>
        <w:gridCol w:w="2543"/>
        <w:gridCol w:w="2100"/>
        <w:gridCol w:w="840"/>
        <w:gridCol w:w="2239"/>
        <w:gridCol w:w="1498"/>
        <w:gridCol w:w="1861"/>
        <w:gridCol w:w="1120"/>
        <w:gridCol w:w="1125"/>
      </w:tblGrid>
      <w:tr w14:paraId="43A4015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6" w:hRule="atLeast"/>
        </w:trPr>
        <w:tc>
          <w:tcPr>
            <w:tcW w:w="509" w:type="dxa"/>
          </w:tcPr>
          <w:p w14:paraId="7CF96AA4">
            <w:pPr>
              <w:spacing w:before="100" w:line="186" w:lineRule="auto"/>
              <w:ind w:left="223"/>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1</w:t>
            </w:r>
          </w:p>
        </w:tc>
        <w:tc>
          <w:tcPr>
            <w:tcW w:w="2543" w:type="dxa"/>
          </w:tcPr>
          <w:p w14:paraId="077D04A0">
            <w:pPr>
              <w:spacing w:before="101" w:line="185" w:lineRule="auto"/>
              <w:ind w:left="122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2</w:t>
            </w:r>
          </w:p>
        </w:tc>
        <w:tc>
          <w:tcPr>
            <w:tcW w:w="2100" w:type="dxa"/>
          </w:tcPr>
          <w:p w14:paraId="62272918">
            <w:pPr>
              <w:spacing w:before="102" w:line="183" w:lineRule="auto"/>
              <w:ind w:left="100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3</w:t>
            </w:r>
          </w:p>
        </w:tc>
        <w:tc>
          <w:tcPr>
            <w:tcW w:w="840" w:type="dxa"/>
          </w:tcPr>
          <w:p w14:paraId="136055B0">
            <w:pPr>
              <w:spacing w:before="101" w:line="185" w:lineRule="auto"/>
              <w:ind w:left="371"/>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4</w:t>
            </w:r>
          </w:p>
        </w:tc>
        <w:tc>
          <w:tcPr>
            <w:tcW w:w="2239" w:type="dxa"/>
          </w:tcPr>
          <w:p w14:paraId="71C3FDDA">
            <w:pPr>
              <w:spacing w:before="103" w:line="182" w:lineRule="auto"/>
              <w:ind w:left="107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5</w:t>
            </w:r>
          </w:p>
        </w:tc>
        <w:tc>
          <w:tcPr>
            <w:tcW w:w="1498" w:type="dxa"/>
          </w:tcPr>
          <w:p w14:paraId="06EE87E3">
            <w:pPr>
              <w:spacing w:before="102" w:line="183" w:lineRule="auto"/>
              <w:ind w:left="58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6</w:t>
            </w:r>
          </w:p>
        </w:tc>
        <w:tc>
          <w:tcPr>
            <w:tcW w:w="1861" w:type="dxa"/>
          </w:tcPr>
          <w:p w14:paraId="07DFD454">
            <w:pPr>
              <w:spacing w:before="103" w:line="182" w:lineRule="auto"/>
              <w:ind w:left="1010"/>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7</w:t>
            </w:r>
          </w:p>
        </w:tc>
        <w:tc>
          <w:tcPr>
            <w:tcW w:w="1120" w:type="dxa"/>
          </w:tcPr>
          <w:p w14:paraId="30E14B38">
            <w:pPr>
              <w:spacing w:before="102" w:line="183" w:lineRule="auto"/>
              <w:ind w:left="516"/>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8</w:t>
            </w:r>
          </w:p>
        </w:tc>
        <w:tc>
          <w:tcPr>
            <w:tcW w:w="1125" w:type="dxa"/>
          </w:tcPr>
          <w:p w14:paraId="4E0F7FBB">
            <w:pPr>
              <w:spacing w:before="102" w:line="183" w:lineRule="auto"/>
              <w:ind w:left="51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9</w:t>
            </w:r>
          </w:p>
        </w:tc>
      </w:tr>
      <w:tr w14:paraId="2BFD270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19" w:hRule="atLeast"/>
        </w:trPr>
        <w:tc>
          <w:tcPr>
            <w:tcW w:w="509" w:type="dxa"/>
            <w:textDirection w:val="tbRlV"/>
            <w:vAlign w:val="center"/>
          </w:tcPr>
          <w:p w14:paraId="05D49A10">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序 号</w:t>
            </w:r>
          </w:p>
        </w:tc>
        <w:tc>
          <w:tcPr>
            <w:tcW w:w="2543" w:type="dxa"/>
            <w:vAlign w:val="center"/>
          </w:tcPr>
          <w:p w14:paraId="48270C69">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备件或</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工具名称</w:t>
            </w:r>
          </w:p>
        </w:tc>
        <w:tc>
          <w:tcPr>
            <w:tcW w:w="2100" w:type="dxa"/>
            <w:vAlign w:val="center"/>
          </w:tcPr>
          <w:p w14:paraId="1D14059E">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型号和</w:t>
            </w:r>
            <w:r>
              <w:rPr>
                <w:rFonts w:ascii="宋体" w:hAnsi="宋体" w:eastAsia="宋体" w:cs="宋体"/>
                <w:spacing w:val="-1"/>
                <w:szCs w:val="21"/>
                <w14:textOutline w14:w="3835" w14:cap="flat" w14:cmpd="sng" w14:algn="ctr">
                  <w14:solidFill>
                    <w14:srgbClr w14:val="000000"/>
                  </w14:solidFill>
                  <w14:prstDash w14:val="solid"/>
                  <w14:miter w14:val="0"/>
                </w14:textOutline>
              </w:rPr>
              <w:t>规格</w:t>
            </w:r>
          </w:p>
        </w:tc>
        <w:tc>
          <w:tcPr>
            <w:tcW w:w="840" w:type="dxa"/>
            <w:vAlign w:val="center"/>
          </w:tcPr>
          <w:p w14:paraId="24284056">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数量</w:t>
            </w:r>
          </w:p>
        </w:tc>
        <w:tc>
          <w:tcPr>
            <w:tcW w:w="2239" w:type="dxa"/>
            <w:vAlign w:val="center"/>
          </w:tcPr>
          <w:p w14:paraId="3738F716">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原产地和</w:t>
            </w:r>
          </w:p>
          <w:p w14:paraId="1F6BEAA6">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制造商</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名称</w:t>
            </w:r>
          </w:p>
        </w:tc>
        <w:tc>
          <w:tcPr>
            <w:tcW w:w="1498" w:type="dxa"/>
            <w:vAlign w:val="center"/>
          </w:tcPr>
          <w:p w14:paraId="0A15AC1D">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单价（不含税）</w:t>
            </w:r>
          </w:p>
          <w:p w14:paraId="7C7884C9">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(元)</w:t>
            </w:r>
          </w:p>
        </w:tc>
        <w:tc>
          <w:tcPr>
            <w:tcW w:w="1861" w:type="dxa"/>
            <w:vAlign w:val="center"/>
          </w:tcPr>
          <w:p w14:paraId="368B1253">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4×6]（不含税）(元)</w:t>
            </w:r>
          </w:p>
        </w:tc>
        <w:tc>
          <w:tcPr>
            <w:tcW w:w="1120" w:type="dxa"/>
            <w:vAlign w:val="center"/>
          </w:tcPr>
          <w:p w14:paraId="104AC502">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更换</w:t>
            </w:r>
          </w:p>
          <w:p w14:paraId="1F74A2D0">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周期</w:t>
            </w:r>
          </w:p>
        </w:tc>
        <w:tc>
          <w:tcPr>
            <w:tcW w:w="1125" w:type="dxa"/>
            <w:vAlign w:val="center"/>
          </w:tcPr>
          <w:p w14:paraId="5896CB2B">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备</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 xml:space="preserve">  注</w:t>
            </w:r>
          </w:p>
        </w:tc>
      </w:tr>
      <w:tr w14:paraId="435111A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8" w:hRule="atLeast"/>
        </w:trPr>
        <w:tc>
          <w:tcPr>
            <w:tcW w:w="509" w:type="dxa"/>
          </w:tcPr>
          <w:p w14:paraId="29CE5144">
            <w:pPr>
              <w:spacing w:before="237" w:line="186" w:lineRule="auto"/>
              <w:ind w:left="223"/>
              <w:rPr>
                <w:rFonts w:hint="eastAsia" w:ascii="宋体" w:hAnsi="宋体" w:eastAsia="宋体" w:cs="宋体"/>
                <w:szCs w:val="21"/>
              </w:rPr>
            </w:pPr>
            <w:r>
              <w:rPr>
                <w:rFonts w:ascii="宋体" w:hAnsi="宋体" w:eastAsia="宋体" w:cs="宋体"/>
                <w:szCs w:val="21"/>
              </w:rPr>
              <w:t>1</w:t>
            </w:r>
          </w:p>
        </w:tc>
        <w:tc>
          <w:tcPr>
            <w:tcW w:w="2543" w:type="dxa"/>
          </w:tcPr>
          <w:p w14:paraId="6B1079DD">
            <w:pPr>
              <w:rPr>
                <w:rFonts w:hint="eastAsia" w:ascii="Arial"/>
              </w:rPr>
            </w:pPr>
          </w:p>
        </w:tc>
        <w:tc>
          <w:tcPr>
            <w:tcW w:w="2100" w:type="dxa"/>
          </w:tcPr>
          <w:p w14:paraId="721FFD28">
            <w:pPr>
              <w:rPr>
                <w:rFonts w:hint="eastAsia" w:ascii="Arial"/>
              </w:rPr>
            </w:pPr>
          </w:p>
        </w:tc>
        <w:tc>
          <w:tcPr>
            <w:tcW w:w="840" w:type="dxa"/>
          </w:tcPr>
          <w:p w14:paraId="503FDAB2">
            <w:pPr>
              <w:rPr>
                <w:rFonts w:hint="eastAsia" w:ascii="Arial"/>
              </w:rPr>
            </w:pPr>
          </w:p>
        </w:tc>
        <w:tc>
          <w:tcPr>
            <w:tcW w:w="2239" w:type="dxa"/>
          </w:tcPr>
          <w:p w14:paraId="3CB5BF8C">
            <w:pPr>
              <w:rPr>
                <w:rFonts w:hint="eastAsia" w:ascii="Arial"/>
              </w:rPr>
            </w:pPr>
          </w:p>
        </w:tc>
        <w:tc>
          <w:tcPr>
            <w:tcW w:w="1498" w:type="dxa"/>
          </w:tcPr>
          <w:p w14:paraId="23823261">
            <w:pPr>
              <w:rPr>
                <w:rFonts w:hint="eastAsia" w:ascii="Arial"/>
              </w:rPr>
            </w:pPr>
          </w:p>
        </w:tc>
        <w:tc>
          <w:tcPr>
            <w:tcW w:w="1861" w:type="dxa"/>
          </w:tcPr>
          <w:p w14:paraId="54D388E1">
            <w:pPr>
              <w:rPr>
                <w:rFonts w:hint="eastAsia" w:ascii="Arial"/>
              </w:rPr>
            </w:pPr>
          </w:p>
        </w:tc>
        <w:tc>
          <w:tcPr>
            <w:tcW w:w="1120" w:type="dxa"/>
          </w:tcPr>
          <w:p w14:paraId="5237112E">
            <w:pPr>
              <w:rPr>
                <w:rFonts w:hint="eastAsia" w:ascii="Arial"/>
              </w:rPr>
            </w:pPr>
          </w:p>
        </w:tc>
        <w:tc>
          <w:tcPr>
            <w:tcW w:w="1125" w:type="dxa"/>
          </w:tcPr>
          <w:p w14:paraId="259AEBB4">
            <w:pPr>
              <w:rPr>
                <w:rFonts w:hint="eastAsia" w:ascii="Arial"/>
              </w:rPr>
            </w:pPr>
          </w:p>
        </w:tc>
      </w:tr>
      <w:tr w14:paraId="6F66A87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9" w:hRule="atLeast"/>
        </w:trPr>
        <w:tc>
          <w:tcPr>
            <w:tcW w:w="509" w:type="dxa"/>
          </w:tcPr>
          <w:p w14:paraId="181E6B5D">
            <w:pPr>
              <w:spacing w:before="239" w:line="185" w:lineRule="auto"/>
              <w:ind w:left="210"/>
              <w:rPr>
                <w:rFonts w:hint="eastAsia" w:ascii="宋体" w:hAnsi="宋体" w:eastAsia="宋体" w:cs="宋体"/>
                <w:szCs w:val="21"/>
              </w:rPr>
            </w:pPr>
            <w:r>
              <w:rPr>
                <w:rFonts w:ascii="宋体" w:hAnsi="宋体" w:eastAsia="宋体" w:cs="宋体"/>
                <w:szCs w:val="21"/>
              </w:rPr>
              <w:t>2</w:t>
            </w:r>
          </w:p>
        </w:tc>
        <w:tc>
          <w:tcPr>
            <w:tcW w:w="2543" w:type="dxa"/>
          </w:tcPr>
          <w:p w14:paraId="62099DC2">
            <w:pPr>
              <w:rPr>
                <w:rFonts w:hint="eastAsia" w:ascii="Arial"/>
              </w:rPr>
            </w:pPr>
          </w:p>
        </w:tc>
        <w:tc>
          <w:tcPr>
            <w:tcW w:w="2100" w:type="dxa"/>
          </w:tcPr>
          <w:p w14:paraId="25F6068D">
            <w:pPr>
              <w:rPr>
                <w:rFonts w:hint="eastAsia" w:ascii="Arial"/>
              </w:rPr>
            </w:pPr>
          </w:p>
        </w:tc>
        <w:tc>
          <w:tcPr>
            <w:tcW w:w="840" w:type="dxa"/>
          </w:tcPr>
          <w:p w14:paraId="6A66185A">
            <w:pPr>
              <w:rPr>
                <w:rFonts w:hint="eastAsia" w:ascii="Arial"/>
              </w:rPr>
            </w:pPr>
          </w:p>
        </w:tc>
        <w:tc>
          <w:tcPr>
            <w:tcW w:w="2239" w:type="dxa"/>
          </w:tcPr>
          <w:p w14:paraId="69C11952">
            <w:pPr>
              <w:rPr>
                <w:rFonts w:hint="eastAsia" w:ascii="Arial"/>
              </w:rPr>
            </w:pPr>
          </w:p>
        </w:tc>
        <w:tc>
          <w:tcPr>
            <w:tcW w:w="1498" w:type="dxa"/>
          </w:tcPr>
          <w:p w14:paraId="2FF55CD2">
            <w:pPr>
              <w:rPr>
                <w:rFonts w:hint="eastAsia" w:ascii="Arial"/>
              </w:rPr>
            </w:pPr>
          </w:p>
        </w:tc>
        <w:tc>
          <w:tcPr>
            <w:tcW w:w="1861" w:type="dxa"/>
          </w:tcPr>
          <w:p w14:paraId="72F6ABB1">
            <w:pPr>
              <w:rPr>
                <w:rFonts w:hint="eastAsia" w:ascii="Arial"/>
              </w:rPr>
            </w:pPr>
          </w:p>
        </w:tc>
        <w:tc>
          <w:tcPr>
            <w:tcW w:w="1120" w:type="dxa"/>
          </w:tcPr>
          <w:p w14:paraId="7C25A979">
            <w:pPr>
              <w:rPr>
                <w:rFonts w:hint="eastAsia" w:ascii="Arial"/>
              </w:rPr>
            </w:pPr>
          </w:p>
        </w:tc>
        <w:tc>
          <w:tcPr>
            <w:tcW w:w="1125" w:type="dxa"/>
          </w:tcPr>
          <w:p w14:paraId="4BE370AE">
            <w:pPr>
              <w:rPr>
                <w:rFonts w:hint="eastAsia" w:ascii="Arial"/>
              </w:rPr>
            </w:pPr>
          </w:p>
        </w:tc>
      </w:tr>
      <w:tr w14:paraId="6CE810E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9" w:hRule="atLeast"/>
        </w:trPr>
        <w:tc>
          <w:tcPr>
            <w:tcW w:w="509" w:type="dxa"/>
          </w:tcPr>
          <w:p w14:paraId="5058B9BC">
            <w:pPr>
              <w:rPr>
                <w:rFonts w:hint="eastAsia" w:ascii="Arial"/>
              </w:rPr>
            </w:pPr>
          </w:p>
        </w:tc>
        <w:tc>
          <w:tcPr>
            <w:tcW w:w="2543" w:type="dxa"/>
          </w:tcPr>
          <w:p w14:paraId="76DA549C">
            <w:pPr>
              <w:rPr>
                <w:rFonts w:hint="eastAsia" w:ascii="Arial"/>
              </w:rPr>
            </w:pPr>
          </w:p>
        </w:tc>
        <w:tc>
          <w:tcPr>
            <w:tcW w:w="2100" w:type="dxa"/>
          </w:tcPr>
          <w:p w14:paraId="30ECD36B">
            <w:pPr>
              <w:rPr>
                <w:rFonts w:hint="eastAsia" w:ascii="Arial"/>
              </w:rPr>
            </w:pPr>
          </w:p>
        </w:tc>
        <w:tc>
          <w:tcPr>
            <w:tcW w:w="840" w:type="dxa"/>
          </w:tcPr>
          <w:p w14:paraId="08777555">
            <w:pPr>
              <w:rPr>
                <w:rFonts w:hint="eastAsia" w:ascii="Arial"/>
              </w:rPr>
            </w:pPr>
          </w:p>
        </w:tc>
        <w:tc>
          <w:tcPr>
            <w:tcW w:w="2239" w:type="dxa"/>
          </w:tcPr>
          <w:p w14:paraId="69DCFFF7">
            <w:pPr>
              <w:rPr>
                <w:rFonts w:hint="eastAsia" w:ascii="Arial"/>
              </w:rPr>
            </w:pPr>
          </w:p>
        </w:tc>
        <w:tc>
          <w:tcPr>
            <w:tcW w:w="1498" w:type="dxa"/>
          </w:tcPr>
          <w:p w14:paraId="5E548883">
            <w:pPr>
              <w:rPr>
                <w:rFonts w:hint="eastAsia" w:ascii="Arial"/>
              </w:rPr>
            </w:pPr>
          </w:p>
        </w:tc>
        <w:tc>
          <w:tcPr>
            <w:tcW w:w="1861" w:type="dxa"/>
          </w:tcPr>
          <w:p w14:paraId="6C05E500">
            <w:pPr>
              <w:rPr>
                <w:rFonts w:hint="eastAsia" w:ascii="Arial"/>
              </w:rPr>
            </w:pPr>
          </w:p>
        </w:tc>
        <w:tc>
          <w:tcPr>
            <w:tcW w:w="1120" w:type="dxa"/>
          </w:tcPr>
          <w:p w14:paraId="392F21EB">
            <w:pPr>
              <w:rPr>
                <w:rFonts w:hint="eastAsia" w:ascii="Arial"/>
              </w:rPr>
            </w:pPr>
          </w:p>
        </w:tc>
        <w:tc>
          <w:tcPr>
            <w:tcW w:w="1125" w:type="dxa"/>
          </w:tcPr>
          <w:p w14:paraId="60350405">
            <w:pPr>
              <w:rPr>
                <w:rFonts w:hint="eastAsia" w:ascii="Arial"/>
              </w:rPr>
            </w:pPr>
          </w:p>
        </w:tc>
      </w:tr>
      <w:tr w14:paraId="76EA78B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8" w:hRule="atLeast"/>
        </w:trPr>
        <w:tc>
          <w:tcPr>
            <w:tcW w:w="509" w:type="dxa"/>
          </w:tcPr>
          <w:p w14:paraId="1DDC5225">
            <w:pPr>
              <w:rPr>
                <w:rFonts w:hint="eastAsia" w:ascii="Arial"/>
              </w:rPr>
            </w:pPr>
          </w:p>
        </w:tc>
        <w:tc>
          <w:tcPr>
            <w:tcW w:w="2543" w:type="dxa"/>
          </w:tcPr>
          <w:p w14:paraId="28481728">
            <w:pPr>
              <w:rPr>
                <w:rFonts w:hint="eastAsia" w:ascii="Arial"/>
              </w:rPr>
            </w:pPr>
          </w:p>
        </w:tc>
        <w:tc>
          <w:tcPr>
            <w:tcW w:w="2100" w:type="dxa"/>
          </w:tcPr>
          <w:p w14:paraId="70AD1878">
            <w:pPr>
              <w:rPr>
                <w:rFonts w:hint="eastAsia" w:ascii="Arial"/>
              </w:rPr>
            </w:pPr>
          </w:p>
        </w:tc>
        <w:tc>
          <w:tcPr>
            <w:tcW w:w="840" w:type="dxa"/>
          </w:tcPr>
          <w:p w14:paraId="3B90A39D">
            <w:pPr>
              <w:rPr>
                <w:rFonts w:hint="eastAsia" w:ascii="Arial"/>
              </w:rPr>
            </w:pPr>
          </w:p>
        </w:tc>
        <w:tc>
          <w:tcPr>
            <w:tcW w:w="2239" w:type="dxa"/>
          </w:tcPr>
          <w:p w14:paraId="36E186CB">
            <w:pPr>
              <w:rPr>
                <w:rFonts w:hint="eastAsia" w:ascii="Arial"/>
              </w:rPr>
            </w:pPr>
          </w:p>
        </w:tc>
        <w:tc>
          <w:tcPr>
            <w:tcW w:w="1498" w:type="dxa"/>
          </w:tcPr>
          <w:p w14:paraId="04FCDB89">
            <w:pPr>
              <w:rPr>
                <w:rFonts w:hint="eastAsia" w:ascii="Arial"/>
              </w:rPr>
            </w:pPr>
          </w:p>
        </w:tc>
        <w:tc>
          <w:tcPr>
            <w:tcW w:w="1861" w:type="dxa"/>
          </w:tcPr>
          <w:p w14:paraId="737EDCAD">
            <w:pPr>
              <w:rPr>
                <w:rFonts w:hint="eastAsia" w:ascii="Arial"/>
              </w:rPr>
            </w:pPr>
          </w:p>
        </w:tc>
        <w:tc>
          <w:tcPr>
            <w:tcW w:w="1120" w:type="dxa"/>
          </w:tcPr>
          <w:p w14:paraId="64E4C4BE">
            <w:pPr>
              <w:rPr>
                <w:rFonts w:hint="eastAsia" w:ascii="Arial"/>
              </w:rPr>
            </w:pPr>
          </w:p>
        </w:tc>
        <w:tc>
          <w:tcPr>
            <w:tcW w:w="1125" w:type="dxa"/>
          </w:tcPr>
          <w:p w14:paraId="375C9C71">
            <w:pPr>
              <w:rPr>
                <w:rFonts w:hint="eastAsia" w:ascii="Arial"/>
              </w:rPr>
            </w:pPr>
          </w:p>
        </w:tc>
      </w:tr>
      <w:tr w14:paraId="7AB9497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8" w:hRule="atLeast"/>
        </w:trPr>
        <w:tc>
          <w:tcPr>
            <w:tcW w:w="509" w:type="dxa"/>
          </w:tcPr>
          <w:p w14:paraId="1C25B9E8">
            <w:pPr>
              <w:rPr>
                <w:rFonts w:hint="eastAsia" w:ascii="Arial"/>
              </w:rPr>
            </w:pPr>
          </w:p>
        </w:tc>
        <w:tc>
          <w:tcPr>
            <w:tcW w:w="2543" w:type="dxa"/>
          </w:tcPr>
          <w:p w14:paraId="6E59C063">
            <w:pPr>
              <w:rPr>
                <w:rFonts w:hint="eastAsia" w:ascii="Arial"/>
              </w:rPr>
            </w:pPr>
          </w:p>
        </w:tc>
        <w:tc>
          <w:tcPr>
            <w:tcW w:w="2100" w:type="dxa"/>
          </w:tcPr>
          <w:p w14:paraId="04367E45">
            <w:pPr>
              <w:rPr>
                <w:rFonts w:hint="eastAsia" w:ascii="Arial"/>
              </w:rPr>
            </w:pPr>
          </w:p>
        </w:tc>
        <w:tc>
          <w:tcPr>
            <w:tcW w:w="840" w:type="dxa"/>
          </w:tcPr>
          <w:p w14:paraId="3996CA8C">
            <w:pPr>
              <w:rPr>
                <w:rFonts w:hint="eastAsia" w:ascii="Arial"/>
              </w:rPr>
            </w:pPr>
          </w:p>
        </w:tc>
        <w:tc>
          <w:tcPr>
            <w:tcW w:w="2239" w:type="dxa"/>
          </w:tcPr>
          <w:p w14:paraId="68E54083">
            <w:pPr>
              <w:rPr>
                <w:rFonts w:hint="eastAsia" w:ascii="Arial"/>
              </w:rPr>
            </w:pPr>
          </w:p>
        </w:tc>
        <w:tc>
          <w:tcPr>
            <w:tcW w:w="1498" w:type="dxa"/>
          </w:tcPr>
          <w:p w14:paraId="3DE8D1C2">
            <w:pPr>
              <w:rPr>
                <w:rFonts w:hint="eastAsia" w:ascii="Arial"/>
              </w:rPr>
            </w:pPr>
          </w:p>
        </w:tc>
        <w:tc>
          <w:tcPr>
            <w:tcW w:w="1861" w:type="dxa"/>
          </w:tcPr>
          <w:p w14:paraId="27C3D618">
            <w:pPr>
              <w:rPr>
                <w:rFonts w:hint="eastAsia" w:ascii="Arial"/>
              </w:rPr>
            </w:pPr>
          </w:p>
        </w:tc>
        <w:tc>
          <w:tcPr>
            <w:tcW w:w="1120" w:type="dxa"/>
          </w:tcPr>
          <w:p w14:paraId="1EF92FA9">
            <w:pPr>
              <w:rPr>
                <w:rFonts w:hint="eastAsia" w:ascii="Arial"/>
              </w:rPr>
            </w:pPr>
          </w:p>
        </w:tc>
        <w:tc>
          <w:tcPr>
            <w:tcW w:w="1125" w:type="dxa"/>
          </w:tcPr>
          <w:p w14:paraId="58A6312C">
            <w:pPr>
              <w:rPr>
                <w:rFonts w:hint="eastAsia" w:ascii="Arial"/>
              </w:rPr>
            </w:pPr>
          </w:p>
        </w:tc>
      </w:tr>
      <w:tr w14:paraId="751DCA8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3" w:hRule="atLeast"/>
        </w:trPr>
        <w:tc>
          <w:tcPr>
            <w:tcW w:w="9729" w:type="dxa"/>
            <w:gridSpan w:val="6"/>
          </w:tcPr>
          <w:p w14:paraId="314423F6">
            <w:pPr>
              <w:spacing w:before="207" w:line="219" w:lineRule="auto"/>
              <w:ind w:left="3416"/>
              <w:rPr>
                <w:rFonts w:hint="eastAsia" w:ascii="宋体" w:hAnsi="宋体" w:eastAsia="宋体" w:cs="宋体"/>
                <w:szCs w:val="21"/>
              </w:rPr>
            </w:pPr>
            <w:r>
              <w:rPr>
                <w:rFonts w:ascii="宋体" w:hAnsi="宋体" w:eastAsia="宋体" w:cs="宋体"/>
                <w:spacing w:val="-6"/>
                <w:szCs w:val="21"/>
              </w:rPr>
              <w:t>总</w:t>
            </w:r>
            <w:r>
              <w:rPr>
                <w:rFonts w:ascii="宋体" w:hAnsi="宋体" w:eastAsia="宋体" w:cs="宋体"/>
                <w:spacing w:val="-4"/>
                <w:szCs w:val="21"/>
              </w:rPr>
              <w:t xml:space="preserve">价合计列入价格汇总表 </w:t>
            </w:r>
            <w:r>
              <w:rPr>
                <w:rFonts w:hint="eastAsia" w:ascii="宋体" w:hAnsi="宋体" w:eastAsia="宋体" w:cs="宋体"/>
                <w:spacing w:val="-4"/>
                <w:szCs w:val="21"/>
              </w:rPr>
              <w:t>9</w:t>
            </w:r>
            <w:r>
              <w:rPr>
                <w:rFonts w:ascii="宋体" w:hAnsi="宋体" w:eastAsia="宋体" w:cs="宋体"/>
                <w:spacing w:val="-4"/>
                <w:szCs w:val="21"/>
              </w:rPr>
              <w:t>-</w:t>
            </w:r>
            <w:r>
              <w:rPr>
                <w:rFonts w:hint="eastAsia" w:ascii="宋体" w:hAnsi="宋体" w:eastAsia="宋体" w:cs="宋体"/>
                <w:spacing w:val="-4"/>
                <w:szCs w:val="21"/>
              </w:rPr>
              <w:t>5</w:t>
            </w:r>
          </w:p>
        </w:tc>
        <w:tc>
          <w:tcPr>
            <w:tcW w:w="4106" w:type="dxa"/>
            <w:gridSpan w:val="3"/>
          </w:tcPr>
          <w:p w14:paraId="1E246405">
            <w:pPr>
              <w:spacing w:before="207" w:line="219" w:lineRule="auto"/>
              <w:jc w:val="left"/>
              <w:rPr>
                <w:rFonts w:hint="eastAsia" w:ascii="宋体" w:hAnsi="宋体" w:eastAsia="宋体" w:cs="宋体"/>
                <w:szCs w:val="21"/>
              </w:rPr>
            </w:pPr>
            <w:r>
              <w:rPr>
                <w:rFonts w:ascii="宋体" w:hAnsi="宋体" w:eastAsia="宋体" w:cs="宋体"/>
                <w:b/>
                <w:bCs/>
                <w:szCs w:val="21"/>
              </w:rPr>
              <w:t>总价合计</w:t>
            </w:r>
            <w:r>
              <w:rPr>
                <w:rFonts w:hint="eastAsia" w:ascii="宋体" w:hAnsi="宋体" w:eastAsia="宋体" w:cs="宋体"/>
                <w:b/>
                <w:bCs/>
                <w:szCs w:val="21"/>
              </w:rPr>
              <w:t>（不含税）</w:t>
            </w:r>
            <w:r>
              <w:rPr>
                <w:rFonts w:ascii="宋体" w:hAnsi="宋体" w:eastAsia="宋体" w:cs="宋体"/>
                <w:b/>
                <w:bCs/>
                <w:szCs w:val="21"/>
              </w:rPr>
              <w:t>￥    元</w:t>
            </w:r>
          </w:p>
        </w:tc>
      </w:tr>
    </w:tbl>
    <w:p w14:paraId="12EEF45C">
      <w:pPr>
        <w:spacing w:before="69" w:line="219" w:lineRule="auto"/>
        <w:rPr>
          <w:rFonts w:hint="eastAsia" w:ascii="宋体" w:hAnsi="宋体" w:eastAsia="宋体" w:cs="宋体"/>
          <w:szCs w:val="21"/>
        </w:rPr>
      </w:pPr>
      <w:r>
        <w:rPr>
          <w:rFonts w:ascii="宋体" w:hAnsi="宋体" w:eastAsia="宋体" w:cs="宋体"/>
          <w:spacing w:val="-3"/>
          <w:szCs w:val="21"/>
        </w:rPr>
        <w:t>注：1.本表须详细列出质保期内全部随机备品备件和专用工具等的详细价格</w:t>
      </w:r>
      <w:r>
        <w:rPr>
          <w:rFonts w:ascii="宋体" w:hAnsi="宋体" w:eastAsia="宋体" w:cs="宋体"/>
          <w:spacing w:val="-1"/>
          <w:szCs w:val="21"/>
        </w:rPr>
        <w:t>。</w:t>
      </w:r>
    </w:p>
    <w:p w14:paraId="74212F22">
      <w:pPr>
        <w:spacing w:before="75" w:line="219" w:lineRule="auto"/>
        <w:ind w:left="409"/>
        <w:rPr>
          <w:rFonts w:hint="eastAsia" w:ascii="宋体" w:hAnsi="宋体" w:eastAsia="宋体" w:cs="宋体"/>
          <w:szCs w:val="21"/>
        </w:rPr>
      </w:pPr>
      <w:r>
        <w:rPr>
          <w:rFonts w:ascii="宋体" w:hAnsi="宋体" w:eastAsia="宋体" w:cs="宋体"/>
          <w:spacing w:val="-6"/>
          <w:szCs w:val="21"/>
        </w:rPr>
        <w:t>2.如果按单</w:t>
      </w:r>
      <w:r>
        <w:rPr>
          <w:rFonts w:ascii="宋体" w:hAnsi="宋体" w:eastAsia="宋体" w:cs="宋体"/>
          <w:spacing w:val="-5"/>
          <w:szCs w:val="21"/>
        </w:rPr>
        <w:t>价</w:t>
      </w:r>
      <w:r>
        <w:rPr>
          <w:rFonts w:ascii="宋体" w:hAnsi="宋体" w:eastAsia="宋体" w:cs="宋体"/>
          <w:spacing w:val="-3"/>
          <w:szCs w:val="21"/>
        </w:rPr>
        <w:t>计算的结果与总价不一致， 以单价为准修正总价。</w:t>
      </w:r>
    </w:p>
    <w:p w14:paraId="381A10A8">
      <w:pPr>
        <w:spacing w:before="87" w:line="198" w:lineRule="auto"/>
        <w:ind w:left="411"/>
        <w:rPr>
          <w:rFonts w:hint="eastAsia" w:ascii="宋体" w:hAnsi="宋体" w:eastAsia="宋体" w:cs="宋体"/>
          <w:sz w:val="24"/>
          <w:szCs w:val="24"/>
        </w:rPr>
      </w:pPr>
      <w:r>
        <w:rPr>
          <w:rFonts w:ascii="宋体" w:hAnsi="宋体" w:eastAsia="宋体" w:cs="宋体"/>
          <w:spacing w:val="-4"/>
          <w:szCs w:val="21"/>
        </w:rPr>
        <w:t>3.此分项报价， 仅是为了方</w:t>
      </w:r>
      <w:r>
        <w:rPr>
          <w:rFonts w:ascii="宋体" w:hAnsi="宋体" w:eastAsia="宋体" w:cs="宋体"/>
          <w:spacing w:val="-2"/>
          <w:szCs w:val="21"/>
        </w:rPr>
        <w:t>便招标人对投标文件进行比较，不作为限制订立合同的条件</w:t>
      </w:r>
      <w:r>
        <w:rPr>
          <w:rFonts w:ascii="宋体" w:hAnsi="宋体" w:eastAsia="宋体" w:cs="宋体"/>
          <w:spacing w:val="-2"/>
          <w:sz w:val="24"/>
          <w:szCs w:val="24"/>
        </w:rPr>
        <w:t>。</w:t>
      </w:r>
    </w:p>
    <w:p w14:paraId="5AFDC6AF">
      <w:pPr>
        <w:spacing w:before="78" w:line="219" w:lineRule="auto"/>
        <w:ind w:firstLine="396" w:firstLineChars="200"/>
        <w:rPr>
          <w:rFonts w:hint="eastAsia"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54BC169E">
      <w:pPr>
        <w:spacing w:before="78" w:line="219" w:lineRule="auto"/>
        <w:ind w:firstLine="396" w:firstLineChars="200"/>
        <w:rPr>
          <w:rFonts w:hint="eastAsia"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4EBC8C94">
      <w:pPr>
        <w:spacing w:before="78" w:line="219" w:lineRule="auto"/>
        <w:ind w:firstLine="396" w:firstLineChars="200"/>
        <w:rPr>
          <w:rFonts w:hint="eastAsia" w:ascii="宋体" w:hAnsi="宋体" w:eastAsia="宋体" w:cs="宋体"/>
          <w:spacing w:val="-6"/>
          <w:szCs w:val="21"/>
        </w:rPr>
      </w:pPr>
      <w:r>
        <w:rPr>
          <w:rFonts w:hint="eastAsia" w:ascii="宋体" w:hAnsi="宋体" w:eastAsia="宋体" w:cs="宋体"/>
          <w:spacing w:val="-6"/>
          <w:szCs w:val="21"/>
        </w:rPr>
        <w:t>6.因填写不规范造成废标及终止招标的，责任由投标人自负。</w:t>
      </w:r>
    </w:p>
    <w:p w14:paraId="3269FA29">
      <w:pPr>
        <w:spacing w:before="140" w:line="220" w:lineRule="auto"/>
        <w:ind w:left="215"/>
        <w:rPr>
          <w:rFonts w:hint="eastAsia" w:ascii="宋体" w:hAnsi="宋体" w:eastAsia="宋体" w:cs="宋体"/>
          <w:spacing w:val="6"/>
          <w:szCs w:val="21"/>
          <w14:textOutline w14:w="3835" w14:cap="flat" w14:cmpd="sng" w14:algn="ctr">
            <w14:solidFill>
              <w14:srgbClr w14:val="000000"/>
            </w14:solidFill>
            <w14:prstDash w14:val="solid"/>
            <w14:miter w14:val="0"/>
          </w14:textOutline>
        </w:rPr>
      </w:pPr>
    </w:p>
    <w:p w14:paraId="26AEBC0E">
      <w:pPr>
        <w:spacing w:before="140" w:line="220" w:lineRule="auto"/>
        <w:ind w:left="215"/>
        <w:rPr>
          <w:rFonts w:hint="eastAsia" w:ascii="宋体" w:hAnsi="宋体" w:eastAsia="宋体" w:cs="宋体"/>
          <w:spacing w:val="6"/>
          <w:szCs w:val="21"/>
          <w14:textOutline w14:w="3835" w14:cap="flat" w14:cmpd="sng" w14:algn="ctr">
            <w14:solidFill>
              <w14:srgbClr w14:val="000000"/>
            </w14:solidFill>
            <w14:prstDash w14:val="solid"/>
            <w14:miter w14:val="0"/>
          </w14:textOutline>
        </w:rPr>
      </w:pPr>
    </w:p>
    <w:p w14:paraId="187131AA">
      <w:pPr>
        <w:spacing w:before="87" w:line="198" w:lineRule="auto"/>
        <w:ind w:left="411"/>
        <w:rPr>
          <w:rFonts w:hint="eastAsia" w:ascii="宋体" w:hAnsi="宋体" w:eastAsia="宋体" w:cs="宋体"/>
          <w:spacing w:val="-2"/>
          <w:sz w:val="24"/>
          <w:szCs w:val="24"/>
        </w:rPr>
      </w:pPr>
      <w:r>
        <w:rPr>
          <w:rFonts w:ascii="宋体" w:hAnsi="宋体" w:eastAsia="宋体" w:cs="宋体"/>
          <w:spacing w:val="-4"/>
          <w:sz w:val="24"/>
          <w:szCs w:val="24"/>
        </w:rPr>
        <w:t xml:space="preserve">投标人(章)： </w:t>
      </w:r>
      <w:r>
        <w:rPr>
          <w:rFonts w:ascii="宋体" w:hAnsi="宋体" w:eastAsia="宋体" w:cs="宋体"/>
          <w:spacing w:val="6"/>
          <w:sz w:val="24"/>
          <w:szCs w:val="24"/>
        </w:rPr>
        <w:t xml:space="preserve">    </w:t>
      </w:r>
      <w:r>
        <w:rPr>
          <w:rFonts w:ascii="宋体" w:hAnsi="宋体" w:eastAsia="宋体" w:cs="宋体"/>
          <w:spacing w:val="4"/>
          <w:sz w:val="24"/>
          <w:szCs w:val="24"/>
        </w:rPr>
        <w:t xml:space="preserve"> </w:t>
      </w:r>
      <w:r>
        <w:rPr>
          <w:rFonts w:ascii="宋体" w:hAnsi="宋体" w:eastAsia="宋体" w:cs="宋体"/>
          <w:spacing w:val="3"/>
          <w:sz w:val="24"/>
          <w:szCs w:val="24"/>
        </w:rPr>
        <w:t xml:space="preserve">  </w:t>
      </w:r>
      <w:r>
        <w:rPr>
          <w:rFonts w:ascii="宋体" w:hAnsi="宋体" w:eastAsia="宋体" w:cs="宋体"/>
          <w:spacing w:val="3"/>
          <w:szCs w:val="21"/>
        </w:rPr>
        <w:t xml:space="preserve">                      </w:t>
      </w:r>
      <w:r>
        <w:rPr>
          <w:rFonts w:ascii="宋体" w:hAnsi="宋体" w:eastAsia="宋体" w:cs="宋体"/>
          <w:spacing w:val="-2"/>
          <w:sz w:val="24"/>
          <w:szCs w:val="24"/>
        </w:rPr>
        <w:t xml:space="preserve">授权代表(签字)：  </w:t>
      </w:r>
      <w:r>
        <w:rPr>
          <w:rFonts w:ascii="宋体" w:hAnsi="宋体" w:eastAsia="宋体" w:cs="宋体"/>
          <w:spacing w:val="3"/>
          <w:szCs w:val="21"/>
        </w:rPr>
        <w:t xml:space="preserve">                         </w:t>
      </w:r>
      <w:r>
        <w:rPr>
          <w:rFonts w:ascii="宋体" w:hAnsi="宋体" w:eastAsia="宋体" w:cs="宋体"/>
          <w:spacing w:val="3"/>
          <w:sz w:val="24"/>
          <w:szCs w:val="24"/>
        </w:rPr>
        <w:t xml:space="preserve">  </w:t>
      </w:r>
      <w:r>
        <w:rPr>
          <w:rFonts w:ascii="宋体" w:hAnsi="宋体" w:eastAsia="宋体" w:cs="宋体"/>
          <w:spacing w:val="-2"/>
          <w:sz w:val="24"/>
          <w:szCs w:val="24"/>
        </w:rPr>
        <w:t>年  月  日</w:t>
      </w:r>
    </w:p>
    <w:p w14:paraId="498B12A9">
      <w:pPr>
        <w:spacing w:before="87" w:line="198" w:lineRule="auto"/>
        <w:ind w:left="411"/>
        <w:rPr>
          <w:rFonts w:hint="eastAsia" w:ascii="宋体" w:hAnsi="宋体" w:eastAsia="宋体" w:cs="宋体"/>
          <w:spacing w:val="-2"/>
          <w:sz w:val="24"/>
          <w:szCs w:val="24"/>
        </w:rPr>
        <w:sectPr>
          <w:footerReference r:id="rId30" w:type="default"/>
          <w:pgSz w:w="16841" w:h="11907"/>
          <w:pgMar w:top="400" w:right="1500" w:bottom="1184" w:left="1480" w:header="0" w:footer="1022" w:gutter="0"/>
          <w:cols w:space="720" w:num="1"/>
        </w:sectPr>
      </w:pPr>
    </w:p>
    <w:p w14:paraId="7757B74E">
      <w:pPr>
        <w:pStyle w:val="7"/>
        <w:jc w:val="left"/>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pP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表 9-5</w:t>
      </w:r>
    </w:p>
    <w:p w14:paraId="7B202A56">
      <w:pPr>
        <w:spacing w:before="253" w:line="224" w:lineRule="auto"/>
        <w:ind w:left="6488"/>
        <w:rPr>
          <w:rFonts w:hint="eastAsia" w:ascii="宋体" w:hAnsi="宋体" w:eastAsia="宋体" w:cs="宋体"/>
          <w:sz w:val="31"/>
          <w:szCs w:val="31"/>
        </w:rPr>
      </w:pPr>
      <w:r>
        <w:rPr>
          <w:rFonts w:ascii="宋体" w:hAnsi="宋体" w:eastAsia="宋体" w:cs="宋体"/>
          <w:spacing w:val="9"/>
          <w:sz w:val="24"/>
          <w:szCs w:val="24"/>
          <w14:textOutline w14:w="5791" w14:cap="flat" w14:cmpd="sng" w14:algn="ctr">
            <w14:solidFill>
              <w14:srgbClr w14:val="000000"/>
            </w14:solidFill>
            <w14:prstDash w14:val="solid"/>
            <w14:miter w14:val="0"/>
          </w14:textOutline>
        </w:rPr>
        <w:t>价</w:t>
      </w:r>
      <w:r>
        <w:rPr>
          <w:rFonts w:ascii="宋体" w:hAnsi="宋体" w:eastAsia="宋体" w:cs="宋体"/>
          <w:spacing w:val="8"/>
          <w:sz w:val="24"/>
          <w:szCs w:val="24"/>
          <w14:textOutline w14:w="5791" w14:cap="flat" w14:cmpd="sng" w14:algn="ctr">
            <w14:solidFill>
              <w14:srgbClr w14:val="000000"/>
            </w14:solidFill>
            <w14:prstDash w14:val="solid"/>
            <w14:miter w14:val="0"/>
          </w14:textOutline>
        </w:rPr>
        <w:t>格汇总表</w:t>
      </w:r>
    </w:p>
    <w:p w14:paraId="1C0520F4">
      <w:pPr>
        <w:spacing w:before="24" w:line="221" w:lineRule="auto"/>
        <w:ind w:left="211" w:firstLine="2310" w:firstLineChars="1100"/>
        <w:jc w:val="right"/>
        <w:rPr>
          <w:rFonts w:hint="eastAsia" w:ascii="宋体" w:hAnsi="宋体" w:eastAsia="宋体" w:cs="宋体"/>
          <w:szCs w:val="21"/>
        </w:rPr>
      </w:pP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0BCDDFED">
      <w:pPr>
        <w:spacing w:line="127" w:lineRule="exact"/>
        <w:rPr>
          <w:rFonts w:hint="eastAsia"/>
        </w:rPr>
      </w:pPr>
    </w:p>
    <w:tbl>
      <w:tblPr>
        <w:tblStyle w:val="133"/>
        <w:tblW w:w="13561" w:type="dxa"/>
        <w:tblInd w:w="498"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080"/>
        <w:gridCol w:w="5765"/>
        <w:gridCol w:w="3354"/>
        <w:gridCol w:w="3362"/>
      </w:tblGrid>
      <w:tr w14:paraId="40C9F3E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5" w:hRule="atLeast"/>
        </w:trPr>
        <w:tc>
          <w:tcPr>
            <w:tcW w:w="1080" w:type="dxa"/>
          </w:tcPr>
          <w:p w14:paraId="74142BCF">
            <w:pPr>
              <w:spacing w:before="276" w:line="222" w:lineRule="auto"/>
              <w:ind w:left="334"/>
              <w:rPr>
                <w:rFonts w:hint="eastAsia" w:ascii="宋体" w:hAnsi="宋体" w:eastAsia="宋体" w:cs="宋体"/>
                <w:szCs w:val="21"/>
              </w:rPr>
            </w:pPr>
            <w:r>
              <w:rPr>
                <w:rFonts w:ascii="宋体" w:hAnsi="宋体" w:eastAsia="宋体" w:cs="宋体"/>
                <w:spacing w:val="-2"/>
                <w:szCs w:val="21"/>
              </w:rPr>
              <w:t>序</w:t>
            </w:r>
            <w:r>
              <w:rPr>
                <w:rFonts w:ascii="宋体" w:hAnsi="宋体" w:eastAsia="宋体" w:cs="宋体"/>
                <w:spacing w:val="-1"/>
                <w:szCs w:val="21"/>
              </w:rPr>
              <w:t>号</w:t>
            </w:r>
          </w:p>
        </w:tc>
        <w:tc>
          <w:tcPr>
            <w:tcW w:w="5765" w:type="dxa"/>
          </w:tcPr>
          <w:p w14:paraId="44E1A48D">
            <w:pPr>
              <w:spacing w:before="276" w:line="221" w:lineRule="auto"/>
              <w:ind w:left="2544"/>
              <w:rPr>
                <w:rFonts w:hint="eastAsia" w:ascii="宋体" w:hAnsi="宋体" w:eastAsia="宋体" w:cs="宋体"/>
                <w:szCs w:val="21"/>
              </w:rPr>
            </w:pPr>
            <w:r>
              <w:rPr>
                <w:rFonts w:ascii="宋体" w:hAnsi="宋体" w:eastAsia="宋体" w:cs="宋体"/>
                <w:spacing w:val="-6"/>
                <w:szCs w:val="21"/>
              </w:rPr>
              <w:t>内</w:t>
            </w:r>
            <w:r>
              <w:rPr>
                <w:rFonts w:ascii="宋体" w:hAnsi="宋体" w:eastAsia="宋体" w:cs="宋体"/>
                <w:spacing w:val="-4"/>
                <w:szCs w:val="21"/>
              </w:rPr>
              <w:t xml:space="preserve">   容</w:t>
            </w:r>
          </w:p>
        </w:tc>
        <w:tc>
          <w:tcPr>
            <w:tcW w:w="3354" w:type="dxa"/>
          </w:tcPr>
          <w:p w14:paraId="1F7294E9">
            <w:pPr>
              <w:spacing w:before="276" w:line="219" w:lineRule="auto"/>
              <w:jc w:val="center"/>
              <w:rPr>
                <w:rFonts w:hint="eastAsia" w:ascii="宋体" w:hAnsi="宋体" w:eastAsia="宋体" w:cs="宋体"/>
                <w:szCs w:val="21"/>
              </w:rPr>
            </w:pPr>
            <w:r>
              <w:rPr>
                <w:rFonts w:ascii="宋体" w:hAnsi="宋体" w:eastAsia="宋体" w:cs="宋体"/>
                <w:spacing w:val="18"/>
                <w:szCs w:val="21"/>
              </w:rPr>
              <w:t>总</w:t>
            </w:r>
            <w:r>
              <w:rPr>
                <w:rFonts w:ascii="宋体" w:hAnsi="宋体" w:eastAsia="宋体" w:cs="宋体"/>
                <w:spacing w:val="14"/>
                <w:szCs w:val="21"/>
              </w:rPr>
              <w:t>价(元)</w:t>
            </w:r>
            <w:r>
              <w:rPr>
                <w:rFonts w:hint="eastAsia" w:ascii="宋体" w:hAnsi="宋体" w:eastAsia="宋体" w:cs="宋体"/>
                <w:spacing w:val="-3"/>
                <w:szCs w:val="21"/>
                <w14:textOutline w14:w="3835" w14:cap="flat" w14:cmpd="sng" w14:algn="ctr">
                  <w14:solidFill>
                    <w14:srgbClr w14:val="000000"/>
                  </w14:solidFill>
                  <w14:prstDash w14:val="solid"/>
                  <w14:miter w14:val="0"/>
                </w14:textOutline>
              </w:rPr>
              <w:t>（不含税）</w:t>
            </w:r>
          </w:p>
        </w:tc>
        <w:tc>
          <w:tcPr>
            <w:tcW w:w="3362" w:type="dxa"/>
          </w:tcPr>
          <w:p w14:paraId="09C76067">
            <w:pPr>
              <w:spacing w:before="276" w:line="222" w:lineRule="auto"/>
              <w:ind w:left="1215"/>
              <w:rPr>
                <w:rFonts w:hint="eastAsia" w:ascii="宋体" w:hAnsi="宋体" w:eastAsia="宋体" w:cs="宋体"/>
                <w:szCs w:val="21"/>
              </w:rPr>
            </w:pPr>
            <w:r>
              <w:rPr>
                <w:rFonts w:ascii="宋体" w:hAnsi="宋体" w:eastAsia="宋体" w:cs="宋体"/>
                <w:spacing w:val="-1"/>
                <w:szCs w:val="21"/>
              </w:rPr>
              <w:t>备</w:t>
            </w:r>
            <w:r>
              <w:rPr>
                <w:rFonts w:ascii="宋体" w:hAnsi="宋体" w:eastAsia="宋体" w:cs="宋体"/>
                <w:szCs w:val="21"/>
              </w:rPr>
              <w:t xml:space="preserve">     注</w:t>
            </w:r>
          </w:p>
        </w:tc>
      </w:tr>
      <w:tr w14:paraId="3F4289C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5" w:hRule="atLeast"/>
        </w:trPr>
        <w:tc>
          <w:tcPr>
            <w:tcW w:w="1080" w:type="dxa"/>
          </w:tcPr>
          <w:p w14:paraId="1E9EF6BB">
            <w:pPr>
              <w:spacing w:before="309" w:line="186" w:lineRule="auto"/>
              <w:ind w:left="508"/>
              <w:rPr>
                <w:rFonts w:hint="eastAsia" w:ascii="宋体" w:hAnsi="宋体" w:eastAsia="宋体" w:cs="宋体"/>
                <w:szCs w:val="21"/>
              </w:rPr>
            </w:pPr>
            <w:r>
              <w:rPr>
                <w:rFonts w:ascii="宋体" w:hAnsi="宋体" w:eastAsia="宋体" w:cs="宋体"/>
                <w:szCs w:val="21"/>
              </w:rPr>
              <w:t>1</w:t>
            </w:r>
          </w:p>
        </w:tc>
        <w:tc>
          <w:tcPr>
            <w:tcW w:w="5765" w:type="dxa"/>
          </w:tcPr>
          <w:p w14:paraId="536C298B">
            <w:pPr>
              <w:spacing w:before="275" w:line="222" w:lineRule="auto"/>
              <w:ind w:left="2378"/>
              <w:rPr>
                <w:rFonts w:hint="eastAsia" w:ascii="宋体" w:hAnsi="宋体" w:eastAsia="宋体" w:cs="宋体"/>
                <w:szCs w:val="21"/>
              </w:rPr>
            </w:pPr>
            <w:r>
              <w:rPr>
                <w:rFonts w:ascii="宋体" w:hAnsi="宋体" w:eastAsia="宋体" w:cs="宋体"/>
                <w:spacing w:val="-17"/>
                <w:szCs w:val="21"/>
              </w:rPr>
              <w:t>表</w:t>
            </w:r>
            <w:r>
              <w:rPr>
                <w:rFonts w:ascii="宋体" w:hAnsi="宋体" w:eastAsia="宋体" w:cs="宋体"/>
                <w:spacing w:val="-11"/>
                <w:szCs w:val="21"/>
              </w:rPr>
              <w:t xml:space="preserve"> </w:t>
            </w:r>
            <w:r>
              <w:rPr>
                <w:rFonts w:hint="eastAsia" w:ascii="Times New Roman" w:hAnsi="Times New Roman" w:eastAsia="宋体" w:cs="Times New Roman"/>
                <w:spacing w:val="-11"/>
                <w:szCs w:val="21"/>
              </w:rPr>
              <w:t>9</w:t>
            </w:r>
            <w:r>
              <w:rPr>
                <w:rFonts w:ascii="Times New Roman" w:hAnsi="Times New Roman" w:eastAsia="Times New Roman" w:cs="Times New Roman"/>
                <w:spacing w:val="-11"/>
                <w:szCs w:val="21"/>
              </w:rPr>
              <w:t xml:space="preserve">- 1 </w:t>
            </w:r>
            <w:r>
              <w:rPr>
                <w:rFonts w:ascii="宋体" w:hAnsi="宋体" w:eastAsia="宋体" w:cs="宋体"/>
                <w:spacing w:val="-11"/>
                <w:szCs w:val="21"/>
              </w:rPr>
              <w:t>总计</w:t>
            </w:r>
          </w:p>
        </w:tc>
        <w:tc>
          <w:tcPr>
            <w:tcW w:w="3354" w:type="dxa"/>
          </w:tcPr>
          <w:p w14:paraId="77828984">
            <w:pPr>
              <w:rPr>
                <w:rFonts w:hint="eastAsia" w:ascii="Arial"/>
              </w:rPr>
            </w:pPr>
          </w:p>
        </w:tc>
        <w:tc>
          <w:tcPr>
            <w:tcW w:w="3362" w:type="dxa"/>
          </w:tcPr>
          <w:p w14:paraId="65E28CDB">
            <w:pPr>
              <w:rPr>
                <w:rFonts w:hint="eastAsia" w:ascii="Arial"/>
              </w:rPr>
            </w:pPr>
          </w:p>
        </w:tc>
      </w:tr>
      <w:tr w14:paraId="31C7DD3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43" w:hRule="atLeast"/>
        </w:trPr>
        <w:tc>
          <w:tcPr>
            <w:tcW w:w="1080" w:type="dxa"/>
          </w:tcPr>
          <w:p w14:paraId="76AD2196">
            <w:pPr>
              <w:spacing w:before="299" w:line="185" w:lineRule="auto"/>
              <w:ind w:left="495"/>
              <w:rPr>
                <w:rFonts w:hint="eastAsia" w:ascii="宋体" w:hAnsi="宋体" w:eastAsia="宋体" w:cs="宋体"/>
                <w:szCs w:val="21"/>
              </w:rPr>
            </w:pPr>
            <w:r>
              <w:rPr>
                <w:rFonts w:ascii="宋体" w:hAnsi="宋体" w:eastAsia="宋体" w:cs="宋体"/>
                <w:szCs w:val="21"/>
              </w:rPr>
              <w:t>2</w:t>
            </w:r>
          </w:p>
        </w:tc>
        <w:tc>
          <w:tcPr>
            <w:tcW w:w="5765" w:type="dxa"/>
          </w:tcPr>
          <w:p w14:paraId="6AEE6675">
            <w:pPr>
              <w:spacing w:before="263" w:line="222" w:lineRule="auto"/>
              <w:ind w:left="2378"/>
              <w:rPr>
                <w:rFonts w:hint="eastAsia" w:ascii="宋体" w:hAnsi="宋体" w:eastAsia="宋体" w:cs="宋体"/>
                <w:szCs w:val="21"/>
              </w:rPr>
            </w:pPr>
            <w:r>
              <w:rPr>
                <w:rFonts w:ascii="宋体" w:hAnsi="宋体" w:eastAsia="宋体" w:cs="宋体"/>
                <w:spacing w:val="-11"/>
                <w:szCs w:val="21"/>
              </w:rPr>
              <w:t>表</w:t>
            </w:r>
            <w:r>
              <w:rPr>
                <w:rFonts w:ascii="宋体" w:hAnsi="宋体" w:eastAsia="宋体" w:cs="宋体"/>
                <w:spacing w:val="-6"/>
                <w:szCs w:val="21"/>
              </w:rPr>
              <w:t xml:space="preserve"> </w:t>
            </w:r>
            <w:r>
              <w:rPr>
                <w:rFonts w:hint="eastAsia" w:ascii="Times New Roman" w:hAnsi="Times New Roman" w:eastAsia="宋体" w:cs="Times New Roman"/>
                <w:spacing w:val="-6"/>
                <w:szCs w:val="21"/>
              </w:rPr>
              <w:t>9</w:t>
            </w:r>
            <w:r>
              <w:rPr>
                <w:rFonts w:ascii="Times New Roman" w:hAnsi="Times New Roman" w:eastAsia="Times New Roman" w:cs="Times New Roman"/>
                <w:spacing w:val="-6"/>
                <w:szCs w:val="21"/>
              </w:rPr>
              <w:t xml:space="preserve">-2 </w:t>
            </w:r>
            <w:r>
              <w:rPr>
                <w:rFonts w:ascii="宋体" w:hAnsi="宋体" w:eastAsia="宋体" w:cs="宋体"/>
                <w:spacing w:val="-6"/>
                <w:szCs w:val="21"/>
              </w:rPr>
              <w:t>总计</w:t>
            </w:r>
          </w:p>
        </w:tc>
        <w:tc>
          <w:tcPr>
            <w:tcW w:w="3354" w:type="dxa"/>
          </w:tcPr>
          <w:p w14:paraId="56DD9728">
            <w:pPr>
              <w:rPr>
                <w:rFonts w:hint="eastAsia" w:ascii="Arial"/>
              </w:rPr>
            </w:pPr>
          </w:p>
        </w:tc>
        <w:tc>
          <w:tcPr>
            <w:tcW w:w="3362" w:type="dxa"/>
          </w:tcPr>
          <w:p w14:paraId="0DFCAEBA">
            <w:pPr>
              <w:rPr>
                <w:rFonts w:hint="eastAsia" w:ascii="Arial"/>
              </w:rPr>
            </w:pPr>
          </w:p>
        </w:tc>
      </w:tr>
      <w:tr w14:paraId="33B953F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2" w:hRule="atLeast"/>
        </w:trPr>
        <w:tc>
          <w:tcPr>
            <w:tcW w:w="1080" w:type="dxa"/>
          </w:tcPr>
          <w:p w14:paraId="5B7DE03E">
            <w:pPr>
              <w:rPr>
                <w:rFonts w:hint="eastAsia" w:ascii="Arial"/>
              </w:rPr>
            </w:pPr>
          </w:p>
          <w:p w14:paraId="071087E3">
            <w:pPr>
              <w:spacing w:before="68" w:line="183" w:lineRule="auto"/>
              <w:ind w:left="497"/>
              <w:rPr>
                <w:rFonts w:hint="eastAsia" w:ascii="宋体" w:hAnsi="宋体" w:eastAsia="宋体" w:cs="宋体"/>
                <w:szCs w:val="21"/>
              </w:rPr>
            </w:pPr>
            <w:r>
              <w:rPr>
                <w:rFonts w:ascii="宋体" w:hAnsi="宋体" w:eastAsia="宋体" w:cs="宋体"/>
                <w:szCs w:val="21"/>
              </w:rPr>
              <w:t>3</w:t>
            </w:r>
          </w:p>
        </w:tc>
        <w:tc>
          <w:tcPr>
            <w:tcW w:w="5765" w:type="dxa"/>
          </w:tcPr>
          <w:p w14:paraId="2039CF62">
            <w:pPr>
              <w:spacing w:before="274" w:line="222" w:lineRule="auto"/>
              <w:ind w:left="2378"/>
              <w:rPr>
                <w:rFonts w:hint="eastAsia" w:ascii="宋体" w:hAnsi="宋体" w:eastAsia="宋体" w:cs="宋体"/>
                <w:szCs w:val="21"/>
              </w:rPr>
            </w:pPr>
            <w:r>
              <w:rPr>
                <w:rFonts w:ascii="宋体" w:hAnsi="宋体" w:eastAsia="宋体" w:cs="宋体"/>
                <w:spacing w:val="-11"/>
                <w:szCs w:val="21"/>
              </w:rPr>
              <w:t>表</w:t>
            </w:r>
            <w:r>
              <w:rPr>
                <w:rFonts w:ascii="宋体" w:hAnsi="宋体" w:eastAsia="宋体" w:cs="宋体"/>
                <w:spacing w:val="-6"/>
                <w:szCs w:val="21"/>
              </w:rPr>
              <w:t xml:space="preserve"> </w:t>
            </w:r>
            <w:r>
              <w:rPr>
                <w:rFonts w:hint="eastAsia" w:ascii="Times New Roman" w:hAnsi="Times New Roman" w:eastAsia="宋体" w:cs="Times New Roman"/>
                <w:spacing w:val="-6"/>
                <w:szCs w:val="21"/>
              </w:rPr>
              <w:t>9</w:t>
            </w:r>
            <w:r>
              <w:rPr>
                <w:rFonts w:ascii="Times New Roman" w:hAnsi="Times New Roman" w:eastAsia="Times New Roman" w:cs="Times New Roman"/>
                <w:spacing w:val="-6"/>
                <w:szCs w:val="21"/>
              </w:rPr>
              <w:t xml:space="preserve">-3 </w:t>
            </w:r>
            <w:r>
              <w:rPr>
                <w:rFonts w:ascii="宋体" w:hAnsi="宋体" w:eastAsia="宋体" w:cs="宋体"/>
                <w:spacing w:val="-6"/>
                <w:szCs w:val="21"/>
              </w:rPr>
              <w:t>总计</w:t>
            </w:r>
          </w:p>
        </w:tc>
        <w:tc>
          <w:tcPr>
            <w:tcW w:w="3354" w:type="dxa"/>
          </w:tcPr>
          <w:p w14:paraId="64D593C1">
            <w:pPr>
              <w:rPr>
                <w:rFonts w:hint="eastAsia" w:ascii="Arial"/>
              </w:rPr>
            </w:pPr>
          </w:p>
        </w:tc>
        <w:tc>
          <w:tcPr>
            <w:tcW w:w="3362" w:type="dxa"/>
          </w:tcPr>
          <w:p w14:paraId="709232F2">
            <w:pPr>
              <w:rPr>
                <w:rFonts w:hint="eastAsia" w:ascii="Arial"/>
              </w:rPr>
            </w:pPr>
          </w:p>
        </w:tc>
      </w:tr>
      <w:tr w14:paraId="3D21672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41" w:hRule="atLeast"/>
        </w:trPr>
        <w:tc>
          <w:tcPr>
            <w:tcW w:w="1080" w:type="dxa"/>
          </w:tcPr>
          <w:p w14:paraId="67D713DA">
            <w:pPr>
              <w:spacing w:before="300" w:line="185" w:lineRule="auto"/>
              <w:ind w:left="492"/>
              <w:rPr>
                <w:rFonts w:hint="eastAsia" w:ascii="宋体" w:hAnsi="宋体" w:eastAsia="宋体" w:cs="宋体"/>
                <w:szCs w:val="21"/>
              </w:rPr>
            </w:pPr>
            <w:r>
              <w:rPr>
                <w:rFonts w:ascii="宋体" w:hAnsi="宋体" w:eastAsia="宋体" w:cs="宋体"/>
                <w:szCs w:val="21"/>
              </w:rPr>
              <w:t>4</w:t>
            </w:r>
          </w:p>
        </w:tc>
        <w:tc>
          <w:tcPr>
            <w:tcW w:w="5765" w:type="dxa"/>
          </w:tcPr>
          <w:p w14:paraId="41218C54">
            <w:pPr>
              <w:spacing w:before="265" w:line="222" w:lineRule="auto"/>
              <w:ind w:left="2378"/>
              <w:rPr>
                <w:rFonts w:hint="eastAsia" w:ascii="宋体" w:hAnsi="宋体" w:eastAsia="宋体" w:cs="宋体"/>
                <w:szCs w:val="21"/>
              </w:rPr>
            </w:pPr>
            <w:r>
              <w:rPr>
                <w:rFonts w:ascii="宋体" w:hAnsi="宋体" w:eastAsia="宋体" w:cs="宋体"/>
                <w:spacing w:val="-11"/>
                <w:szCs w:val="21"/>
              </w:rPr>
              <w:t>表</w:t>
            </w:r>
            <w:r>
              <w:rPr>
                <w:rFonts w:ascii="宋体" w:hAnsi="宋体" w:eastAsia="宋体" w:cs="宋体"/>
                <w:spacing w:val="-6"/>
                <w:szCs w:val="21"/>
              </w:rPr>
              <w:t xml:space="preserve"> </w:t>
            </w:r>
            <w:r>
              <w:rPr>
                <w:rFonts w:hint="eastAsia" w:ascii="Times New Roman" w:hAnsi="Times New Roman" w:eastAsia="宋体" w:cs="Times New Roman"/>
                <w:spacing w:val="-6"/>
                <w:szCs w:val="21"/>
              </w:rPr>
              <w:t>9</w:t>
            </w:r>
            <w:r>
              <w:rPr>
                <w:rFonts w:ascii="Times New Roman" w:hAnsi="Times New Roman" w:eastAsia="Times New Roman" w:cs="Times New Roman"/>
                <w:spacing w:val="-6"/>
                <w:szCs w:val="21"/>
              </w:rPr>
              <w:t xml:space="preserve">-4 </w:t>
            </w:r>
            <w:r>
              <w:rPr>
                <w:rFonts w:ascii="宋体" w:hAnsi="宋体" w:eastAsia="宋体" w:cs="宋体"/>
                <w:spacing w:val="-6"/>
                <w:szCs w:val="21"/>
              </w:rPr>
              <w:t>总计</w:t>
            </w:r>
          </w:p>
        </w:tc>
        <w:tc>
          <w:tcPr>
            <w:tcW w:w="3354" w:type="dxa"/>
          </w:tcPr>
          <w:p w14:paraId="3F114F34">
            <w:pPr>
              <w:rPr>
                <w:rFonts w:hint="eastAsia" w:ascii="Arial"/>
              </w:rPr>
            </w:pPr>
          </w:p>
        </w:tc>
        <w:tc>
          <w:tcPr>
            <w:tcW w:w="3362" w:type="dxa"/>
          </w:tcPr>
          <w:p w14:paraId="16184BD2">
            <w:pPr>
              <w:rPr>
                <w:rFonts w:hint="eastAsia" w:ascii="Arial"/>
              </w:rPr>
            </w:pPr>
          </w:p>
        </w:tc>
      </w:tr>
      <w:tr w14:paraId="56E8F30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0" w:hRule="atLeast"/>
        </w:trPr>
        <w:tc>
          <w:tcPr>
            <w:tcW w:w="6845" w:type="dxa"/>
            <w:gridSpan w:val="2"/>
          </w:tcPr>
          <w:p w14:paraId="457FB915">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总价合计(列入投标货物数量及价目表 )</w:t>
            </w:r>
          </w:p>
        </w:tc>
        <w:tc>
          <w:tcPr>
            <w:tcW w:w="3354" w:type="dxa"/>
            <w:tcBorders>
              <w:right w:val="nil"/>
            </w:tcBorders>
          </w:tcPr>
          <w:p w14:paraId="4FEC3A03">
            <w:pPr>
              <w:spacing w:before="266" w:line="221" w:lineRule="auto"/>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w:t>
            </w:r>
            <w:r>
              <w:rPr>
                <w:rFonts w:hint="eastAsia" w:ascii="宋体" w:hAnsi="宋体" w:eastAsia="宋体" w:cs="宋体"/>
                <w:b/>
                <w:bCs/>
                <w:spacing w:val="-3"/>
                <w:szCs w:val="21"/>
              </w:rPr>
              <w:t>（不含税）</w:t>
            </w:r>
            <w:r>
              <w:rPr>
                <w:rFonts w:ascii="宋体" w:hAnsi="宋体" w:eastAsia="宋体" w:cs="宋体"/>
                <w:spacing w:val="-1"/>
                <w:szCs w:val="21"/>
                <w14:textOutline w14:w="3835" w14:cap="flat" w14:cmpd="sng" w14:algn="ctr">
                  <w14:solidFill>
                    <w14:srgbClr w14:val="000000"/>
                  </w14:solidFill>
                  <w14:prstDash w14:val="solid"/>
                  <w14:miter w14:val="0"/>
                </w14:textOutline>
              </w:rPr>
              <w:t>￥</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 xml:space="preserve">    </w:t>
            </w:r>
          </w:p>
        </w:tc>
        <w:tc>
          <w:tcPr>
            <w:tcW w:w="3362" w:type="dxa"/>
            <w:tcBorders>
              <w:left w:val="nil"/>
            </w:tcBorders>
          </w:tcPr>
          <w:p w14:paraId="347A67B2">
            <w:pPr>
              <w:spacing w:before="266" w:line="221" w:lineRule="auto"/>
              <w:ind w:firstLine="416" w:firstLineChars="200"/>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元</w:t>
            </w:r>
          </w:p>
        </w:tc>
      </w:tr>
      <w:tr w14:paraId="5ADD336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0" w:hRule="atLeast"/>
        </w:trPr>
        <w:tc>
          <w:tcPr>
            <w:tcW w:w="6845" w:type="dxa"/>
            <w:gridSpan w:val="2"/>
          </w:tcPr>
          <w:p w14:paraId="41BF30F3">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总价合计(列入投标货物数量及价目表 )</w:t>
            </w:r>
          </w:p>
        </w:tc>
        <w:tc>
          <w:tcPr>
            <w:tcW w:w="3354" w:type="dxa"/>
            <w:tcBorders>
              <w:right w:val="nil"/>
            </w:tcBorders>
          </w:tcPr>
          <w:p w14:paraId="5EC5ADF8">
            <w:pPr>
              <w:spacing w:before="266" w:line="221" w:lineRule="auto"/>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w:t>
            </w:r>
            <w:r>
              <w:rPr>
                <w:rFonts w:hint="eastAsia" w:ascii="宋体" w:hAnsi="宋体" w:eastAsia="宋体" w:cs="宋体"/>
                <w:b/>
                <w:bCs/>
                <w:spacing w:val="-3"/>
                <w:szCs w:val="21"/>
              </w:rPr>
              <w:t>（含税）</w:t>
            </w:r>
            <w:r>
              <w:rPr>
                <w:rFonts w:ascii="宋体" w:hAnsi="宋体" w:eastAsia="宋体" w:cs="宋体"/>
                <w:spacing w:val="-1"/>
                <w:szCs w:val="21"/>
                <w14:textOutline w14:w="3835" w14:cap="flat" w14:cmpd="sng" w14:algn="ctr">
                  <w14:solidFill>
                    <w14:srgbClr w14:val="000000"/>
                  </w14:solidFill>
                  <w14:prstDash w14:val="solid"/>
                  <w14:miter w14:val="0"/>
                </w14:textOutline>
              </w:rPr>
              <w:t>￥</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 xml:space="preserve">    </w:t>
            </w:r>
          </w:p>
        </w:tc>
        <w:tc>
          <w:tcPr>
            <w:tcW w:w="3362" w:type="dxa"/>
            <w:tcBorders>
              <w:left w:val="nil"/>
            </w:tcBorders>
          </w:tcPr>
          <w:p w14:paraId="60AFFF2C">
            <w:pPr>
              <w:spacing w:before="266" w:line="221" w:lineRule="auto"/>
              <w:ind w:firstLine="416" w:firstLineChars="200"/>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元</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 xml:space="preserve"> （税率：</w:t>
            </w:r>
            <w:r>
              <w:rPr>
                <w:rFonts w:hint="eastAsia" w:ascii="宋体" w:hAnsi="宋体" w:eastAsia="宋体" w:cs="宋体"/>
                <w:spacing w:val="-1"/>
                <w:szCs w:val="21"/>
                <w:u w:val="single"/>
                <w14:textOutline w14:w="3835" w14:cap="flat" w14:cmpd="sng" w14:algn="ctr">
                  <w14:solidFill>
                    <w14:srgbClr w14:val="000000"/>
                  </w14:solidFill>
                  <w14:prstDash w14:val="solid"/>
                  <w14:miter w14:val="0"/>
                </w14:textOutline>
              </w:rPr>
              <w:t xml:space="preserve">   </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w:t>
            </w:r>
          </w:p>
        </w:tc>
      </w:tr>
    </w:tbl>
    <w:p w14:paraId="73097F8E">
      <w:pPr>
        <w:spacing w:line="291" w:lineRule="auto"/>
        <w:rPr>
          <w:rFonts w:hint="eastAsia" w:ascii="Arial"/>
        </w:rPr>
      </w:pPr>
    </w:p>
    <w:p w14:paraId="4E6F70EF">
      <w:pPr>
        <w:spacing w:before="78" w:line="198" w:lineRule="auto"/>
        <w:ind w:left="211" w:firstLine="202" w:firstLineChars="100"/>
        <w:rPr>
          <w:rFonts w:hint="eastAsia" w:ascii="宋体" w:hAnsi="宋体" w:eastAsia="宋体" w:cs="宋体"/>
          <w:sz w:val="24"/>
          <w:szCs w:val="24"/>
        </w:rPr>
      </w:pPr>
      <w:r>
        <w:rPr>
          <w:rFonts w:ascii="宋体" w:hAnsi="宋体" w:eastAsia="宋体" w:cs="宋体"/>
          <w:spacing w:val="-4"/>
          <w:szCs w:val="21"/>
        </w:rPr>
        <w:t xml:space="preserve">注： </w:t>
      </w:r>
      <w:r>
        <w:rPr>
          <w:rFonts w:hint="eastAsia" w:ascii="宋体" w:hAnsi="宋体" w:eastAsia="宋体" w:cs="宋体"/>
          <w:spacing w:val="-4"/>
          <w:szCs w:val="21"/>
        </w:rPr>
        <w:t xml:space="preserve"> </w:t>
      </w:r>
      <w:r>
        <w:rPr>
          <w:rFonts w:ascii="宋体" w:hAnsi="宋体" w:eastAsia="宋体" w:cs="宋体"/>
          <w:spacing w:val="-4"/>
          <w:szCs w:val="21"/>
        </w:rPr>
        <w:t>1.此表格中的总价合</w:t>
      </w:r>
      <w:r>
        <w:rPr>
          <w:rFonts w:ascii="宋体" w:hAnsi="宋体" w:eastAsia="宋体" w:cs="宋体"/>
          <w:spacing w:val="-2"/>
          <w:szCs w:val="21"/>
        </w:rPr>
        <w:t>计应与“投标货物数量及价目表”及开标一览表的价格一致</w:t>
      </w:r>
      <w:r>
        <w:rPr>
          <w:rFonts w:ascii="宋体" w:hAnsi="宋体" w:eastAsia="宋体" w:cs="宋体"/>
          <w:spacing w:val="-2"/>
          <w:sz w:val="24"/>
          <w:szCs w:val="24"/>
        </w:rPr>
        <w:t>。</w:t>
      </w:r>
    </w:p>
    <w:p w14:paraId="244C4E87">
      <w:pPr>
        <w:spacing w:before="78" w:line="219" w:lineRule="auto"/>
        <w:ind w:firstLine="990" w:firstLineChars="500"/>
        <w:rPr>
          <w:rFonts w:hint="eastAsia" w:ascii="宋体" w:hAnsi="宋体" w:eastAsia="宋体" w:cs="宋体"/>
          <w:spacing w:val="-6"/>
          <w:szCs w:val="21"/>
        </w:rPr>
      </w:pPr>
      <w:r>
        <w:rPr>
          <w:rFonts w:hint="eastAsia" w:ascii="宋体" w:hAnsi="宋体" w:eastAsia="宋体" w:cs="宋体"/>
          <w:spacing w:val="-6"/>
          <w:szCs w:val="21"/>
        </w:rPr>
        <w:t>2.该明细表所有信息均为必填项，不得删减，价格部分不得合并，可细化可增加。</w:t>
      </w:r>
    </w:p>
    <w:p w14:paraId="1E6D5262">
      <w:pPr>
        <w:spacing w:before="78" w:line="219" w:lineRule="auto"/>
        <w:ind w:firstLine="990" w:firstLineChars="500"/>
        <w:rPr>
          <w:rFonts w:hint="eastAsia" w:ascii="宋体" w:hAnsi="宋体" w:eastAsia="宋体" w:cs="宋体"/>
          <w:spacing w:val="-6"/>
          <w:szCs w:val="21"/>
        </w:rPr>
      </w:pPr>
      <w:r>
        <w:rPr>
          <w:rFonts w:hint="eastAsia" w:ascii="宋体" w:hAnsi="宋体" w:eastAsia="宋体" w:cs="宋体"/>
          <w:spacing w:val="-6"/>
          <w:szCs w:val="21"/>
        </w:rPr>
        <w:t>3.因填写不规范造成废标及终止招标的，责任由投标人自负。</w:t>
      </w:r>
    </w:p>
    <w:p w14:paraId="62FE3C10">
      <w:pPr>
        <w:pStyle w:val="20"/>
      </w:pPr>
    </w:p>
    <w:p w14:paraId="4E531012">
      <w:pPr>
        <w:pStyle w:val="20"/>
      </w:pPr>
    </w:p>
    <w:p w14:paraId="639C6FB5">
      <w:pPr>
        <w:spacing w:before="140" w:line="220" w:lineRule="auto"/>
        <w:ind w:left="2" w:firstLine="464" w:firstLineChars="200"/>
        <w:rPr>
          <w:rFonts w:hint="eastAsia" w:ascii="宋体" w:hAnsi="宋体" w:eastAsia="宋体" w:cs="宋体"/>
          <w:spacing w:val="-2"/>
          <w:szCs w:val="21"/>
        </w:rPr>
        <w:sectPr>
          <w:footerReference r:id="rId31" w:type="default"/>
          <w:pgSz w:w="16841" w:h="11907"/>
          <w:pgMar w:top="400" w:right="1699" w:bottom="1168" w:left="1481" w:header="0" w:footer="990" w:gutter="0"/>
          <w:cols w:equalWidth="0" w:num="1">
            <w:col w:w="13660"/>
          </w:cols>
        </w:sectPr>
      </w:pPr>
      <w:r>
        <w:rPr>
          <w:rFonts w:ascii="宋体" w:hAnsi="宋体" w:eastAsia="宋体" w:cs="宋体"/>
          <w:spacing w:val="-4"/>
          <w:sz w:val="24"/>
          <w:szCs w:val="24"/>
        </w:rPr>
        <w:t xml:space="preserve">投标人(章)： </w:t>
      </w:r>
      <w:r>
        <w:rPr>
          <w:rFonts w:ascii="宋体" w:hAnsi="宋体" w:eastAsia="宋体" w:cs="宋体"/>
          <w:spacing w:val="6"/>
          <w:sz w:val="24"/>
          <w:szCs w:val="24"/>
        </w:rPr>
        <w:t xml:space="preserve"> </w:t>
      </w:r>
      <w:r>
        <w:rPr>
          <w:rFonts w:ascii="宋体" w:hAnsi="宋体" w:eastAsia="宋体" w:cs="宋体"/>
          <w:spacing w:val="6"/>
          <w:szCs w:val="21"/>
        </w:rPr>
        <w:t xml:space="preserve">  </w:t>
      </w:r>
      <w:r>
        <w:rPr>
          <w:rFonts w:ascii="宋体" w:hAnsi="宋体" w:eastAsia="宋体" w:cs="宋体"/>
          <w:spacing w:val="3"/>
          <w:szCs w:val="21"/>
        </w:rPr>
        <w:t xml:space="preserve">                         </w:t>
      </w:r>
      <w:r>
        <w:rPr>
          <w:rFonts w:ascii="宋体" w:hAnsi="宋体" w:eastAsia="宋体" w:cs="宋体"/>
          <w:spacing w:val="3"/>
          <w:sz w:val="24"/>
          <w:szCs w:val="24"/>
        </w:rPr>
        <w:t xml:space="preserve"> </w:t>
      </w:r>
      <w:r>
        <w:rPr>
          <w:rFonts w:ascii="宋体" w:hAnsi="宋体" w:eastAsia="宋体" w:cs="宋体"/>
          <w:spacing w:val="-2"/>
          <w:sz w:val="24"/>
          <w:szCs w:val="24"/>
        </w:rPr>
        <w:t xml:space="preserve"> 授权代表(签字)：</w:t>
      </w:r>
      <w:r>
        <w:rPr>
          <w:rFonts w:ascii="宋体" w:hAnsi="宋体" w:eastAsia="宋体" w:cs="宋体"/>
          <w:spacing w:val="-2"/>
          <w:szCs w:val="21"/>
        </w:rPr>
        <w:t xml:space="preserve">     </w:t>
      </w:r>
      <w:r>
        <w:rPr>
          <w:rFonts w:ascii="宋体" w:hAnsi="宋体" w:eastAsia="宋体" w:cs="宋体"/>
          <w:spacing w:val="3"/>
          <w:szCs w:val="21"/>
        </w:rPr>
        <w:t xml:space="preserve">                       </w:t>
      </w:r>
      <w:r>
        <w:rPr>
          <w:rFonts w:ascii="宋体" w:hAnsi="宋体" w:eastAsia="宋体" w:cs="宋体"/>
          <w:spacing w:val="3"/>
          <w:sz w:val="24"/>
          <w:szCs w:val="24"/>
        </w:rPr>
        <w:t xml:space="preserve">  </w:t>
      </w:r>
      <w:r>
        <w:rPr>
          <w:rFonts w:ascii="宋体" w:hAnsi="宋体" w:eastAsia="宋体" w:cs="宋体"/>
          <w:spacing w:val="-2"/>
          <w:sz w:val="24"/>
          <w:szCs w:val="24"/>
        </w:rPr>
        <w:t xml:space="preserve">年  月  </w:t>
      </w:r>
      <w:r>
        <w:rPr>
          <w:rFonts w:hint="eastAsia" w:ascii="宋体" w:hAnsi="宋体" w:eastAsia="宋体" w:cs="宋体"/>
          <w:spacing w:val="-2"/>
          <w:sz w:val="24"/>
          <w:szCs w:val="24"/>
        </w:rPr>
        <w:t>日</w:t>
      </w:r>
    </w:p>
    <w:p w14:paraId="0376658C">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附件10</w:t>
      </w:r>
      <w:r>
        <w:rPr>
          <w:rFonts w:ascii="Times New Roman" w:hAnsi="Times New Roman" w:eastAsia="宋体" w:cs="Times New Roman"/>
          <w:b/>
          <w:bCs/>
          <w:color w:val="000000"/>
          <w:sz w:val="24"/>
          <w:szCs w:val="24"/>
        </w:rPr>
        <w:t xml:space="preserve"> </w:t>
      </w:r>
      <w:r>
        <w:rPr>
          <w:rFonts w:hint="eastAsia" w:ascii="Times New Roman" w:hAnsi="Times New Roman" w:eastAsia="宋体" w:cs="Times New Roman"/>
          <w:b/>
          <w:bCs/>
          <w:color w:val="000000"/>
          <w:sz w:val="24"/>
          <w:szCs w:val="24"/>
        </w:rPr>
        <w:t>商务条款偏离表</w:t>
      </w:r>
    </w:p>
    <w:p w14:paraId="702269D3">
      <w:pPr>
        <w:rPr>
          <w:rFonts w:ascii="Calibri" w:hAnsi="Calibri" w:eastAsia="宋体" w:cs="Times New Roman"/>
          <w:szCs w:val="20"/>
        </w:rPr>
      </w:pPr>
    </w:p>
    <w:tbl>
      <w:tblPr>
        <w:tblStyle w:val="41"/>
        <w:tblW w:w="9056" w:type="dxa"/>
        <w:tblInd w:w="0"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1651"/>
        <w:gridCol w:w="2875"/>
        <w:gridCol w:w="2885"/>
        <w:gridCol w:w="1645"/>
      </w:tblGrid>
      <w:tr w14:paraId="7C394C3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651" w:type="dxa"/>
            <w:tcBorders>
              <w:top w:val="single" w:color="auto" w:sz="4" w:space="0"/>
              <w:bottom w:val="single" w:color="auto" w:sz="4" w:space="0"/>
              <w:right w:val="single" w:color="auto" w:sz="4" w:space="0"/>
            </w:tcBorders>
            <w:vAlign w:val="center"/>
          </w:tcPr>
          <w:p w14:paraId="7342A5CE">
            <w:pPr>
              <w:jc w:val="center"/>
              <w:rPr>
                <w:rFonts w:ascii="Times New Roman" w:hAnsi="Times New Roman" w:eastAsia="宋体" w:cs="Times New Roman"/>
                <w:b/>
                <w:szCs w:val="20"/>
              </w:rPr>
            </w:pPr>
            <w:r>
              <w:rPr>
                <w:rFonts w:hint="eastAsia" w:ascii="仿宋_GB2312" w:hAnsi="宋体" w:eastAsia="仿宋_GB2312"/>
                <w:b/>
                <w:bCs/>
                <w:sz w:val="24"/>
              </w:rPr>
              <w:t>项目</w:t>
            </w:r>
          </w:p>
        </w:tc>
        <w:tc>
          <w:tcPr>
            <w:tcW w:w="2875" w:type="dxa"/>
            <w:tcBorders>
              <w:top w:val="single" w:color="auto" w:sz="4" w:space="0"/>
              <w:left w:val="single" w:color="auto" w:sz="4" w:space="0"/>
              <w:bottom w:val="single" w:color="auto" w:sz="4" w:space="0"/>
              <w:right w:val="single" w:color="auto" w:sz="4" w:space="0"/>
            </w:tcBorders>
            <w:vAlign w:val="center"/>
          </w:tcPr>
          <w:p w14:paraId="5EDFCE3D">
            <w:pPr>
              <w:jc w:val="center"/>
              <w:rPr>
                <w:rFonts w:ascii="Times New Roman" w:hAnsi="Times New Roman" w:eastAsia="宋体" w:cs="Times New Roman"/>
                <w:b/>
                <w:szCs w:val="20"/>
              </w:rPr>
            </w:pPr>
            <w:r>
              <w:rPr>
                <w:rFonts w:hint="eastAsia" w:ascii="宋体" w:hAnsi="宋体" w:eastAsia="宋体" w:cs="宋体"/>
                <w:b/>
                <w:szCs w:val="20"/>
              </w:rPr>
              <w:t>招标文件要求</w:t>
            </w:r>
          </w:p>
        </w:tc>
        <w:tc>
          <w:tcPr>
            <w:tcW w:w="2885" w:type="dxa"/>
            <w:tcBorders>
              <w:top w:val="single" w:color="auto" w:sz="4" w:space="0"/>
              <w:left w:val="single" w:color="auto" w:sz="4" w:space="0"/>
              <w:bottom w:val="single" w:color="auto" w:sz="4" w:space="0"/>
              <w:right w:val="single" w:color="auto" w:sz="4" w:space="0"/>
            </w:tcBorders>
            <w:vAlign w:val="center"/>
          </w:tcPr>
          <w:p w14:paraId="4AF7E47C">
            <w:pPr>
              <w:jc w:val="center"/>
              <w:rPr>
                <w:rFonts w:ascii="Times New Roman" w:hAnsi="Times New Roman" w:eastAsia="宋体" w:cs="Times New Roman"/>
                <w:b/>
                <w:szCs w:val="20"/>
              </w:rPr>
            </w:pPr>
            <w:r>
              <w:rPr>
                <w:rFonts w:hint="eastAsia" w:ascii="宋体" w:hAnsi="宋体" w:eastAsia="宋体" w:cs="宋体"/>
                <w:b/>
                <w:szCs w:val="20"/>
              </w:rPr>
              <w:t>响应规格</w:t>
            </w:r>
          </w:p>
        </w:tc>
        <w:tc>
          <w:tcPr>
            <w:tcW w:w="1645" w:type="dxa"/>
            <w:tcBorders>
              <w:top w:val="single" w:color="auto" w:sz="4" w:space="0"/>
              <w:left w:val="single" w:color="auto" w:sz="4" w:space="0"/>
              <w:bottom w:val="single" w:color="auto" w:sz="4" w:space="0"/>
            </w:tcBorders>
            <w:vAlign w:val="center"/>
          </w:tcPr>
          <w:p w14:paraId="23053939">
            <w:pPr>
              <w:jc w:val="center"/>
              <w:rPr>
                <w:rFonts w:ascii="Times New Roman" w:hAnsi="Times New Roman" w:eastAsia="宋体" w:cs="Times New Roman"/>
                <w:b/>
                <w:szCs w:val="20"/>
              </w:rPr>
            </w:pPr>
            <w:r>
              <w:rPr>
                <w:rFonts w:hint="eastAsia" w:ascii="宋体" w:hAnsi="宋体" w:eastAsia="宋体" w:cs="宋体"/>
                <w:b/>
                <w:szCs w:val="20"/>
              </w:rPr>
              <w:t>是否偏离</w:t>
            </w:r>
          </w:p>
          <w:p w14:paraId="1A7100D3">
            <w:pPr>
              <w:jc w:val="center"/>
              <w:rPr>
                <w:rFonts w:ascii="Times New Roman" w:hAnsi="Times New Roman" w:eastAsia="宋体" w:cs="Times New Roman"/>
                <w:b/>
                <w:szCs w:val="20"/>
              </w:rPr>
            </w:pPr>
            <w:r>
              <w:rPr>
                <w:rFonts w:hint="eastAsia" w:ascii="宋体" w:hAnsi="宋体" w:eastAsia="宋体" w:cs="宋体"/>
                <w:b/>
                <w:szCs w:val="20"/>
              </w:rPr>
              <w:t>（提供说明）</w:t>
            </w:r>
          </w:p>
        </w:tc>
      </w:tr>
      <w:tr w14:paraId="55E8E42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651" w:type="dxa"/>
            <w:tcBorders>
              <w:top w:val="single" w:color="auto" w:sz="4" w:space="0"/>
              <w:bottom w:val="single" w:color="auto" w:sz="4" w:space="0"/>
              <w:right w:val="single" w:color="auto" w:sz="4" w:space="0"/>
            </w:tcBorders>
            <w:vAlign w:val="center"/>
          </w:tcPr>
          <w:p w14:paraId="3D2D77E1">
            <w:pPr>
              <w:jc w:val="center"/>
              <w:rPr>
                <w:rFonts w:ascii="Times New Roman" w:hAnsi="Times New Roman" w:eastAsia="宋体" w:cs="Times New Roman"/>
                <w:b/>
                <w:szCs w:val="20"/>
              </w:rPr>
            </w:pPr>
            <w:r>
              <w:rPr>
                <w:rFonts w:hint="eastAsia" w:ascii="宋体" w:hAnsi="宋体" w:eastAsia="宋体" w:cs="宋体"/>
                <w:b/>
                <w:szCs w:val="20"/>
              </w:rPr>
              <w:t>质保期</w:t>
            </w:r>
          </w:p>
        </w:tc>
        <w:tc>
          <w:tcPr>
            <w:tcW w:w="2875" w:type="dxa"/>
            <w:tcBorders>
              <w:top w:val="single" w:color="auto" w:sz="4" w:space="0"/>
              <w:left w:val="single" w:color="auto" w:sz="4" w:space="0"/>
              <w:bottom w:val="single" w:color="auto" w:sz="4" w:space="0"/>
              <w:right w:val="single" w:color="auto" w:sz="4" w:space="0"/>
            </w:tcBorders>
            <w:vAlign w:val="center"/>
          </w:tcPr>
          <w:p w14:paraId="145CB880">
            <w:pPr>
              <w:jc w:val="center"/>
              <w:rPr>
                <w:rFonts w:ascii="Times New Roman" w:hAnsi="Times New Roman" w:eastAsia="宋体" w:cs="Times New Roman"/>
                <w:b/>
                <w:szCs w:val="21"/>
              </w:rPr>
            </w:pPr>
          </w:p>
        </w:tc>
        <w:tc>
          <w:tcPr>
            <w:tcW w:w="2885" w:type="dxa"/>
            <w:tcBorders>
              <w:top w:val="single" w:color="auto" w:sz="4" w:space="0"/>
              <w:left w:val="single" w:color="auto" w:sz="4" w:space="0"/>
              <w:bottom w:val="single" w:color="auto" w:sz="4" w:space="0"/>
              <w:right w:val="single" w:color="auto" w:sz="4" w:space="0"/>
            </w:tcBorders>
            <w:vAlign w:val="center"/>
          </w:tcPr>
          <w:p w14:paraId="441EBE19">
            <w:pPr>
              <w:jc w:val="center"/>
              <w:rPr>
                <w:rFonts w:ascii="Times New Roman" w:hAnsi="Times New Roman" w:eastAsia="宋体" w:cs="Times New Roman"/>
                <w:b/>
                <w:szCs w:val="21"/>
              </w:rPr>
            </w:pPr>
          </w:p>
        </w:tc>
        <w:tc>
          <w:tcPr>
            <w:tcW w:w="1645" w:type="dxa"/>
            <w:tcBorders>
              <w:top w:val="single" w:color="auto" w:sz="4" w:space="0"/>
              <w:left w:val="single" w:color="auto" w:sz="4" w:space="0"/>
              <w:bottom w:val="single" w:color="auto" w:sz="4" w:space="0"/>
            </w:tcBorders>
            <w:vAlign w:val="center"/>
          </w:tcPr>
          <w:p w14:paraId="6A6F9661">
            <w:pPr>
              <w:jc w:val="center"/>
              <w:rPr>
                <w:rFonts w:ascii="Times New Roman" w:hAnsi="Times New Roman" w:eastAsia="宋体" w:cs="Times New Roman"/>
                <w:b/>
                <w:szCs w:val="20"/>
              </w:rPr>
            </w:pPr>
          </w:p>
        </w:tc>
      </w:tr>
      <w:tr w14:paraId="1337BBB0">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651" w:type="dxa"/>
            <w:tcBorders>
              <w:top w:val="single" w:color="auto" w:sz="4" w:space="0"/>
              <w:bottom w:val="single" w:color="auto" w:sz="4" w:space="0"/>
              <w:right w:val="single" w:color="auto" w:sz="4" w:space="0"/>
            </w:tcBorders>
            <w:vAlign w:val="center"/>
          </w:tcPr>
          <w:p w14:paraId="628568A2">
            <w:pPr>
              <w:jc w:val="center"/>
              <w:rPr>
                <w:rFonts w:ascii="Times New Roman" w:hAnsi="Times New Roman" w:eastAsia="宋体" w:cs="Times New Roman"/>
                <w:b/>
                <w:szCs w:val="20"/>
              </w:rPr>
            </w:pPr>
            <w:r>
              <w:rPr>
                <w:rFonts w:hint="eastAsia" w:ascii="宋体" w:hAnsi="宋体" w:eastAsia="宋体" w:cs="宋体"/>
                <w:b/>
                <w:szCs w:val="20"/>
              </w:rPr>
              <w:t>交货时间及地点</w:t>
            </w:r>
          </w:p>
        </w:tc>
        <w:tc>
          <w:tcPr>
            <w:tcW w:w="2875" w:type="dxa"/>
            <w:tcBorders>
              <w:top w:val="single" w:color="auto" w:sz="4" w:space="0"/>
              <w:left w:val="single" w:color="auto" w:sz="4" w:space="0"/>
              <w:bottom w:val="single" w:color="auto" w:sz="4" w:space="0"/>
              <w:right w:val="single" w:color="auto" w:sz="4" w:space="0"/>
            </w:tcBorders>
            <w:vAlign w:val="center"/>
          </w:tcPr>
          <w:p w14:paraId="330BFF18">
            <w:pPr>
              <w:jc w:val="center"/>
              <w:rPr>
                <w:rFonts w:ascii="Times New Roman" w:hAnsi="Times New Roman" w:eastAsia="宋体" w:cs="Times New Roman"/>
                <w:b/>
                <w:szCs w:val="21"/>
              </w:rPr>
            </w:pPr>
          </w:p>
        </w:tc>
        <w:tc>
          <w:tcPr>
            <w:tcW w:w="2885" w:type="dxa"/>
            <w:tcBorders>
              <w:top w:val="single" w:color="auto" w:sz="4" w:space="0"/>
              <w:left w:val="single" w:color="auto" w:sz="4" w:space="0"/>
              <w:bottom w:val="single" w:color="auto" w:sz="4" w:space="0"/>
              <w:right w:val="single" w:color="auto" w:sz="4" w:space="0"/>
            </w:tcBorders>
            <w:vAlign w:val="center"/>
          </w:tcPr>
          <w:p w14:paraId="6E46194D">
            <w:pPr>
              <w:jc w:val="center"/>
              <w:rPr>
                <w:rFonts w:ascii="Times New Roman" w:hAnsi="Times New Roman" w:eastAsia="宋体" w:cs="Times New Roman"/>
                <w:b/>
                <w:szCs w:val="21"/>
              </w:rPr>
            </w:pPr>
          </w:p>
        </w:tc>
        <w:tc>
          <w:tcPr>
            <w:tcW w:w="1645" w:type="dxa"/>
            <w:tcBorders>
              <w:top w:val="single" w:color="auto" w:sz="4" w:space="0"/>
              <w:left w:val="single" w:color="auto" w:sz="4" w:space="0"/>
              <w:bottom w:val="single" w:color="auto" w:sz="4" w:space="0"/>
            </w:tcBorders>
            <w:vAlign w:val="center"/>
          </w:tcPr>
          <w:p w14:paraId="12459A28">
            <w:pPr>
              <w:jc w:val="center"/>
              <w:rPr>
                <w:rFonts w:ascii="Times New Roman" w:hAnsi="Times New Roman" w:eastAsia="宋体" w:cs="Times New Roman"/>
                <w:b/>
                <w:szCs w:val="21"/>
              </w:rPr>
            </w:pPr>
          </w:p>
        </w:tc>
      </w:tr>
      <w:tr w14:paraId="5DE6D94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651" w:type="dxa"/>
            <w:tcBorders>
              <w:top w:val="single" w:color="auto" w:sz="4" w:space="0"/>
              <w:bottom w:val="single" w:color="auto" w:sz="4" w:space="0"/>
              <w:right w:val="single" w:color="auto" w:sz="4" w:space="0"/>
            </w:tcBorders>
            <w:vAlign w:val="center"/>
          </w:tcPr>
          <w:p w14:paraId="5C280988">
            <w:pPr>
              <w:jc w:val="center"/>
              <w:rPr>
                <w:rFonts w:ascii="Times New Roman" w:hAnsi="Times New Roman" w:eastAsia="宋体" w:cs="Times New Roman"/>
                <w:b/>
                <w:szCs w:val="20"/>
              </w:rPr>
            </w:pPr>
            <w:r>
              <w:rPr>
                <w:rFonts w:hint="eastAsia" w:ascii="宋体" w:hAnsi="宋体" w:eastAsia="宋体" w:cs="宋体"/>
                <w:b/>
                <w:szCs w:val="20"/>
              </w:rPr>
              <w:t>付款条件</w:t>
            </w:r>
          </w:p>
        </w:tc>
        <w:tc>
          <w:tcPr>
            <w:tcW w:w="2875" w:type="dxa"/>
            <w:tcBorders>
              <w:top w:val="single" w:color="auto" w:sz="4" w:space="0"/>
              <w:left w:val="single" w:color="auto" w:sz="4" w:space="0"/>
              <w:bottom w:val="single" w:color="auto" w:sz="4" w:space="0"/>
              <w:right w:val="single" w:color="auto" w:sz="4" w:space="0"/>
            </w:tcBorders>
          </w:tcPr>
          <w:p w14:paraId="070281E6">
            <w:pPr>
              <w:jc w:val="center"/>
              <w:rPr>
                <w:rFonts w:ascii="Times New Roman" w:hAnsi="Times New Roman" w:eastAsia="宋体" w:cs="Times New Roman"/>
                <w:b/>
                <w:szCs w:val="21"/>
              </w:rPr>
            </w:pPr>
          </w:p>
        </w:tc>
        <w:tc>
          <w:tcPr>
            <w:tcW w:w="2885" w:type="dxa"/>
            <w:tcBorders>
              <w:top w:val="single" w:color="auto" w:sz="4" w:space="0"/>
              <w:left w:val="single" w:color="auto" w:sz="4" w:space="0"/>
              <w:bottom w:val="single" w:color="auto" w:sz="4" w:space="0"/>
              <w:right w:val="single" w:color="auto" w:sz="4" w:space="0"/>
            </w:tcBorders>
          </w:tcPr>
          <w:p w14:paraId="063DFFB8">
            <w:pPr>
              <w:jc w:val="center"/>
              <w:rPr>
                <w:rFonts w:ascii="Times New Roman" w:hAnsi="Times New Roman" w:eastAsia="宋体" w:cs="Times New Roman"/>
                <w:b/>
                <w:szCs w:val="21"/>
              </w:rPr>
            </w:pPr>
          </w:p>
        </w:tc>
        <w:tc>
          <w:tcPr>
            <w:tcW w:w="1645" w:type="dxa"/>
            <w:tcBorders>
              <w:top w:val="single" w:color="auto" w:sz="4" w:space="0"/>
              <w:left w:val="single" w:color="auto" w:sz="4" w:space="0"/>
              <w:bottom w:val="single" w:color="auto" w:sz="4" w:space="0"/>
            </w:tcBorders>
            <w:vAlign w:val="center"/>
          </w:tcPr>
          <w:p w14:paraId="1387DAF0">
            <w:pPr>
              <w:jc w:val="center"/>
              <w:rPr>
                <w:rFonts w:ascii="Times New Roman" w:hAnsi="Times New Roman" w:eastAsia="宋体" w:cs="Times New Roman"/>
                <w:b/>
                <w:szCs w:val="20"/>
              </w:rPr>
            </w:pPr>
          </w:p>
        </w:tc>
      </w:tr>
      <w:tr w14:paraId="3BC807B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651" w:type="dxa"/>
            <w:tcBorders>
              <w:top w:val="single" w:color="auto" w:sz="4" w:space="0"/>
              <w:bottom w:val="single" w:color="auto" w:sz="4" w:space="0"/>
              <w:right w:val="single" w:color="auto" w:sz="4" w:space="0"/>
            </w:tcBorders>
            <w:vAlign w:val="center"/>
          </w:tcPr>
          <w:p w14:paraId="7C2ADD3F">
            <w:pPr>
              <w:jc w:val="center"/>
              <w:rPr>
                <w:rFonts w:ascii="Times New Roman" w:hAnsi="Times New Roman" w:eastAsia="宋体" w:cs="Times New Roman"/>
                <w:b/>
                <w:szCs w:val="20"/>
              </w:rPr>
            </w:pPr>
            <w:r>
              <w:rPr>
                <w:rFonts w:hint="eastAsia" w:ascii="宋体" w:hAnsi="宋体" w:eastAsia="宋体" w:cs="宋体"/>
                <w:b/>
                <w:szCs w:val="20"/>
              </w:rPr>
              <w:t>售后技术服务要求</w:t>
            </w:r>
          </w:p>
        </w:tc>
        <w:tc>
          <w:tcPr>
            <w:tcW w:w="2875" w:type="dxa"/>
            <w:tcBorders>
              <w:top w:val="single" w:color="auto" w:sz="4" w:space="0"/>
              <w:left w:val="single" w:color="auto" w:sz="4" w:space="0"/>
              <w:bottom w:val="single" w:color="auto" w:sz="4" w:space="0"/>
              <w:right w:val="single" w:color="auto" w:sz="4" w:space="0"/>
            </w:tcBorders>
            <w:vAlign w:val="center"/>
          </w:tcPr>
          <w:p w14:paraId="1376B346">
            <w:pPr>
              <w:jc w:val="center"/>
              <w:rPr>
                <w:rFonts w:ascii="Times New Roman" w:hAnsi="Times New Roman" w:eastAsia="宋体" w:cs="Times New Roman"/>
                <w:b/>
                <w:szCs w:val="21"/>
              </w:rPr>
            </w:pPr>
          </w:p>
        </w:tc>
        <w:tc>
          <w:tcPr>
            <w:tcW w:w="2885" w:type="dxa"/>
            <w:tcBorders>
              <w:top w:val="single" w:color="auto" w:sz="4" w:space="0"/>
              <w:left w:val="single" w:color="auto" w:sz="4" w:space="0"/>
              <w:bottom w:val="single" w:color="auto" w:sz="4" w:space="0"/>
              <w:right w:val="single" w:color="auto" w:sz="4" w:space="0"/>
            </w:tcBorders>
            <w:vAlign w:val="center"/>
          </w:tcPr>
          <w:p w14:paraId="4BC841CC">
            <w:pPr>
              <w:jc w:val="center"/>
              <w:rPr>
                <w:rFonts w:ascii="Times New Roman" w:hAnsi="Times New Roman" w:eastAsia="宋体" w:cs="Times New Roman"/>
                <w:b/>
                <w:szCs w:val="21"/>
              </w:rPr>
            </w:pPr>
          </w:p>
        </w:tc>
        <w:tc>
          <w:tcPr>
            <w:tcW w:w="1645" w:type="dxa"/>
            <w:tcBorders>
              <w:top w:val="single" w:color="auto" w:sz="4" w:space="0"/>
              <w:left w:val="single" w:color="auto" w:sz="4" w:space="0"/>
              <w:bottom w:val="single" w:color="auto" w:sz="4" w:space="0"/>
            </w:tcBorders>
            <w:vAlign w:val="center"/>
          </w:tcPr>
          <w:p w14:paraId="5C90FFE1">
            <w:pPr>
              <w:jc w:val="center"/>
              <w:rPr>
                <w:rFonts w:ascii="Times New Roman" w:hAnsi="Times New Roman" w:eastAsia="宋体" w:cs="Times New Roman"/>
                <w:b/>
                <w:szCs w:val="21"/>
              </w:rPr>
            </w:pPr>
          </w:p>
          <w:p w14:paraId="41B55399">
            <w:pPr>
              <w:jc w:val="center"/>
              <w:rPr>
                <w:rFonts w:ascii="Times New Roman" w:hAnsi="Times New Roman" w:eastAsia="宋体" w:cs="Times New Roman"/>
                <w:b/>
                <w:szCs w:val="21"/>
              </w:rPr>
            </w:pPr>
          </w:p>
          <w:p w14:paraId="6454EDE5">
            <w:pPr>
              <w:jc w:val="center"/>
              <w:rPr>
                <w:rFonts w:ascii="Times New Roman" w:hAnsi="Times New Roman" w:eastAsia="宋体" w:cs="Times New Roman"/>
                <w:b/>
                <w:szCs w:val="21"/>
              </w:rPr>
            </w:pPr>
          </w:p>
          <w:p w14:paraId="293757D0">
            <w:pPr>
              <w:jc w:val="center"/>
              <w:rPr>
                <w:rFonts w:ascii="Times New Roman" w:hAnsi="Times New Roman" w:eastAsia="宋体" w:cs="Times New Roman"/>
                <w:b/>
                <w:szCs w:val="21"/>
              </w:rPr>
            </w:pPr>
          </w:p>
          <w:p w14:paraId="4B309670">
            <w:pPr>
              <w:jc w:val="center"/>
              <w:rPr>
                <w:rFonts w:ascii="Times New Roman" w:hAnsi="Times New Roman" w:eastAsia="宋体" w:cs="Times New Roman"/>
                <w:b/>
                <w:szCs w:val="21"/>
              </w:rPr>
            </w:pPr>
          </w:p>
          <w:p w14:paraId="2208124B">
            <w:pPr>
              <w:jc w:val="center"/>
              <w:rPr>
                <w:rFonts w:ascii="Times New Roman" w:hAnsi="Times New Roman" w:eastAsia="宋体" w:cs="Times New Roman"/>
                <w:b/>
                <w:szCs w:val="21"/>
              </w:rPr>
            </w:pPr>
          </w:p>
          <w:p w14:paraId="2AB2854A">
            <w:pPr>
              <w:jc w:val="center"/>
              <w:rPr>
                <w:rFonts w:ascii="Times New Roman" w:hAnsi="Times New Roman" w:eastAsia="宋体" w:cs="Times New Roman"/>
                <w:b/>
                <w:szCs w:val="21"/>
              </w:rPr>
            </w:pPr>
          </w:p>
          <w:p w14:paraId="1DB02AA5">
            <w:pPr>
              <w:jc w:val="center"/>
              <w:rPr>
                <w:rFonts w:ascii="Times New Roman" w:hAnsi="Times New Roman" w:eastAsia="宋体" w:cs="Times New Roman"/>
                <w:b/>
                <w:szCs w:val="21"/>
              </w:rPr>
            </w:pPr>
          </w:p>
          <w:p w14:paraId="0A60CFB7">
            <w:pPr>
              <w:jc w:val="center"/>
              <w:rPr>
                <w:rFonts w:ascii="Times New Roman" w:hAnsi="Times New Roman" w:eastAsia="宋体" w:cs="Times New Roman"/>
                <w:b/>
                <w:szCs w:val="21"/>
              </w:rPr>
            </w:pPr>
          </w:p>
          <w:p w14:paraId="3F0D55CE">
            <w:pPr>
              <w:jc w:val="center"/>
              <w:rPr>
                <w:rFonts w:ascii="Times New Roman" w:hAnsi="Times New Roman" w:eastAsia="宋体" w:cs="Times New Roman"/>
                <w:b/>
                <w:szCs w:val="21"/>
              </w:rPr>
            </w:pPr>
          </w:p>
          <w:p w14:paraId="7DA18DC2">
            <w:pPr>
              <w:jc w:val="center"/>
              <w:rPr>
                <w:rFonts w:ascii="Times New Roman" w:hAnsi="Times New Roman" w:eastAsia="宋体" w:cs="Times New Roman"/>
                <w:b/>
                <w:szCs w:val="21"/>
              </w:rPr>
            </w:pPr>
          </w:p>
          <w:p w14:paraId="39C84815">
            <w:pPr>
              <w:jc w:val="center"/>
              <w:rPr>
                <w:rFonts w:ascii="Times New Roman" w:hAnsi="Times New Roman" w:eastAsia="宋体" w:cs="Times New Roman"/>
                <w:b/>
                <w:szCs w:val="21"/>
              </w:rPr>
            </w:pPr>
          </w:p>
          <w:p w14:paraId="53822A2A">
            <w:pPr>
              <w:jc w:val="center"/>
              <w:rPr>
                <w:rFonts w:ascii="Times New Roman" w:hAnsi="Times New Roman" w:eastAsia="宋体" w:cs="Times New Roman"/>
                <w:b/>
                <w:szCs w:val="21"/>
              </w:rPr>
            </w:pPr>
          </w:p>
          <w:p w14:paraId="4398739C">
            <w:pPr>
              <w:jc w:val="center"/>
              <w:rPr>
                <w:rFonts w:ascii="Times New Roman" w:hAnsi="Times New Roman" w:eastAsia="宋体" w:cs="Times New Roman"/>
                <w:b/>
                <w:szCs w:val="21"/>
              </w:rPr>
            </w:pPr>
          </w:p>
          <w:p w14:paraId="4A980628">
            <w:pPr>
              <w:jc w:val="center"/>
              <w:rPr>
                <w:rFonts w:ascii="Times New Roman" w:hAnsi="Times New Roman" w:eastAsia="宋体" w:cs="Times New Roman"/>
                <w:b/>
                <w:szCs w:val="21"/>
              </w:rPr>
            </w:pPr>
          </w:p>
          <w:p w14:paraId="4531083E">
            <w:pPr>
              <w:jc w:val="center"/>
              <w:rPr>
                <w:rFonts w:ascii="Times New Roman" w:hAnsi="Times New Roman" w:eastAsia="宋体" w:cs="Times New Roman"/>
                <w:b/>
                <w:szCs w:val="21"/>
              </w:rPr>
            </w:pPr>
          </w:p>
          <w:p w14:paraId="051618F4">
            <w:pPr>
              <w:jc w:val="center"/>
              <w:rPr>
                <w:rFonts w:ascii="Times New Roman" w:hAnsi="Times New Roman" w:eastAsia="宋体" w:cs="Times New Roman"/>
                <w:b/>
                <w:szCs w:val="20"/>
              </w:rPr>
            </w:pPr>
          </w:p>
        </w:tc>
      </w:tr>
      <w:tr w14:paraId="62F4E76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651" w:type="dxa"/>
            <w:tcBorders>
              <w:top w:val="single" w:color="auto" w:sz="4" w:space="0"/>
              <w:bottom w:val="single" w:color="auto" w:sz="4" w:space="0"/>
              <w:right w:val="single" w:color="auto" w:sz="4" w:space="0"/>
            </w:tcBorders>
            <w:vAlign w:val="center"/>
          </w:tcPr>
          <w:p w14:paraId="03DD6887">
            <w:pPr>
              <w:jc w:val="center"/>
              <w:rPr>
                <w:rFonts w:ascii="Times New Roman" w:hAnsi="Times New Roman" w:eastAsia="宋体" w:cs="Times New Roman"/>
                <w:b/>
                <w:szCs w:val="20"/>
              </w:rPr>
            </w:pPr>
            <w:r>
              <w:rPr>
                <w:rFonts w:hint="eastAsia" w:ascii="宋体" w:hAnsi="宋体" w:eastAsia="宋体" w:cs="宋体"/>
                <w:b/>
                <w:szCs w:val="20"/>
              </w:rPr>
              <w:t>备品备件及耗材等要求</w:t>
            </w:r>
          </w:p>
        </w:tc>
        <w:tc>
          <w:tcPr>
            <w:tcW w:w="2875" w:type="dxa"/>
            <w:tcBorders>
              <w:top w:val="single" w:color="auto" w:sz="4" w:space="0"/>
              <w:left w:val="single" w:color="auto" w:sz="4" w:space="0"/>
              <w:bottom w:val="single" w:color="auto" w:sz="4" w:space="0"/>
              <w:right w:val="single" w:color="auto" w:sz="4" w:space="0"/>
            </w:tcBorders>
            <w:vAlign w:val="center"/>
          </w:tcPr>
          <w:p w14:paraId="5FFFC37B">
            <w:pPr>
              <w:jc w:val="center"/>
              <w:rPr>
                <w:rFonts w:ascii="Times New Roman" w:hAnsi="Times New Roman" w:eastAsia="宋体" w:cs="Times New Roman"/>
                <w:b/>
                <w:szCs w:val="20"/>
              </w:rPr>
            </w:pPr>
          </w:p>
        </w:tc>
        <w:tc>
          <w:tcPr>
            <w:tcW w:w="2885" w:type="dxa"/>
            <w:tcBorders>
              <w:top w:val="single" w:color="auto" w:sz="4" w:space="0"/>
              <w:left w:val="single" w:color="auto" w:sz="4" w:space="0"/>
              <w:bottom w:val="single" w:color="auto" w:sz="4" w:space="0"/>
              <w:right w:val="single" w:color="auto" w:sz="4" w:space="0"/>
            </w:tcBorders>
            <w:vAlign w:val="center"/>
          </w:tcPr>
          <w:p w14:paraId="71FB279D">
            <w:pPr>
              <w:jc w:val="center"/>
              <w:rPr>
                <w:rFonts w:ascii="Times New Roman" w:hAnsi="Times New Roman" w:eastAsia="宋体" w:cs="Times New Roman"/>
                <w:b/>
                <w:szCs w:val="20"/>
              </w:rPr>
            </w:pPr>
          </w:p>
        </w:tc>
        <w:tc>
          <w:tcPr>
            <w:tcW w:w="1645" w:type="dxa"/>
            <w:tcBorders>
              <w:top w:val="single" w:color="auto" w:sz="4" w:space="0"/>
              <w:left w:val="single" w:color="auto" w:sz="4" w:space="0"/>
              <w:bottom w:val="single" w:color="auto" w:sz="4" w:space="0"/>
            </w:tcBorders>
            <w:vAlign w:val="center"/>
          </w:tcPr>
          <w:p w14:paraId="4B2B9B62">
            <w:pPr>
              <w:jc w:val="center"/>
              <w:rPr>
                <w:rFonts w:ascii="Times New Roman" w:hAnsi="Times New Roman" w:eastAsia="宋体" w:cs="Times New Roman"/>
                <w:b/>
                <w:szCs w:val="20"/>
              </w:rPr>
            </w:pPr>
          </w:p>
        </w:tc>
      </w:tr>
    </w:tbl>
    <w:p w14:paraId="685F1EDB">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投标人名称：</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授权代表签字：</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日期：</w:t>
      </w:r>
    </w:p>
    <w:p w14:paraId="242FA4BB">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注：为避免歧义，无偏离也应要提报该表，并注明“无”字。如无该表则即使在其它部分已反映，将也被视为“无偏离”。</w:t>
      </w:r>
    </w:p>
    <w:p w14:paraId="52CF665C">
      <w:pPr>
        <w:rPr>
          <w:rFonts w:ascii="宋体" w:hAnsi="Calibri" w:eastAsia="宋体" w:cs="Times New Roman"/>
          <w:szCs w:val="20"/>
        </w:rPr>
      </w:pPr>
    </w:p>
    <w:p w14:paraId="7996BBBF">
      <w:pPr>
        <w:rPr>
          <w:rFonts w:ascii="宋体" w:hAnsi="Calibri" w:eastAsia="宋体" w:cs="宋体"/>
          <w:b/>
          <w:bCs/>
          <w:color w:val="000000"/>
          <w:sz w:val="28"/>
          <w:szCs w:val="20"/>
        </w:rPr>
        <w:sectPr>
          <w:pgSz w:w="11906" w:h="16838"/>
          <w:pgMar w:top="1588" w:right="1418" w:bottom="1134" w:left="1418" w:header="851" w:footer="992" w:gutter="0"/>
          <w:cols w:space="720" w:num="1"/>
          <w:titlePg/>
          <w:docGrid w:type="lines" w:linePitch="312" w:charSpace="0"/>
        </w:sectPr>
      </w:pPr>
    </w:p>
    <w:p w14:paraId="26AD96E8">
      <w:pPr>
        <w:spacing w:before="110" w:line="227" w:lineRule="auto"/>
        <w:ind w:left="29"/>
        <w:outlineLvl w:val="2"/>
        <w:rPr>
          <w:rFonts w:hint="eastAsia" w:ascii="宋体" w:hAnsi="宋体" w:eastAsia="宋体" w:cs="宋体"/>
          <w:sz w:val="24"/>
          <w:szCs w:val="24"/>
        </w:rPr>
      </w:pPr>
      <w:r>
        <w:rPr>
          <w:rFonts w:hint="eastAsia" w:ascii="Times New Roman" w:hAnsi="Times New Roman" w:eastAsia="宋体" w:cs="Times New Roman"/>
          <w:b/>
          <w:bCs/>
          <w:color w:val="000000"/>
          <w:sz w:val="24"/>
          <w:szCs w:val="24"/>
        </w:rPr>
        <w:t>附件11 投标人承诺</w:t>
      </w:r>
    </w:p>
    <w:p w14:paraId="6C831A52">
      <w:pPr>
        <w:spacing w:line="272" w:lineRule="auto"/>
        <w:rPr>
          <w:rFonts w:hint="eastAsia" w:ascii="Arial"/>
        </w:rPr>
      </w:pPr>
    </w:p>
    <w:p w14:paraId="7C95A609">
      <w:pPr>
        <w:spacing w:before="75" w:line="228" w:lineRule="auto"/>
        <w:ind w:left="134"/>
        <w:rPr>
          <w:rFonts w:hint="eastAsia" w:ascii="宋体" w:hAnsi="宋体" w:eastAsia="宋体" w:cs="宋体"/>
          <w:sz w:val="24"/>
          <w:szCs w:val="24"/>
        </w:rPr>
      </w:pPr>
      <w:r>
        <w:rPr>
          <w:rFonts w:ascii="宋体" w:hAnsi="宋体" w:eastAsia="宋体" w:cs="宋体"/>
          <w:spacing w:val="-10"/>
          <w:sz w:val="24"/>
          <w:szCs w:val="24"/>
        </w:rPr>
        <w:t>项</w:t>
      </w:r>
      <w:r>
        <w:rPr>
          <w:rFonts w:ascii="宋体" w:hAnsi="宋体" w:eastAsia="宋体" w:cs="宋体"/>
          <w:spacing w:val="-9"/>
          <w:sz w:val="24"/>
          <w:szCs w:val="24"/>
        </w:rPr>
        <w:t>目</w:t>
      </w:r>
      <w:r>
        <w:rPr>
          <w:rFonts w:ascii="宋体" w:hAnsi="宋体" w:eastAsia="宋体" w:cs="宋体"/>
          <w:spacing w:val="-5"/>
          <w:sz w:val="24"/>
          <w:szCs w:val="24"/>
        </w:rPr>
        <w:t>名称：</w:t>
      </w:r>
      <w:r>
        <w:rPr>
          <w:rFonts w:hint="eastAsia" w:ascii="仿宋_GB2312" w:hAnsi="宋体" w:eastAsia="仿宋_GB2312"/>
          <w:sz w:val="24"/>
          <w:u w:val="single"/>
        </w:rPr>
        <w:t>全新一代中重卡宽体平地板驾驶室2300车型平顶金属顶盖模检具项目</w:t>
      </w:r>
    </w:p>
    <w:p w14:paraId="140F96FE">
      <w:pPr>
        <w:spacing w:before="306" w:line="227" w:lineRule="auto"/>
        <w:ind w:left="205"/>
        <w:rPr>
          <w:rFonts w:hint="eastAsia" w:ascii="宋体" w:hAnsi="宋体" w:eastAsia="宋体" w:cs="宋体"/>
          <w:sz w:val="24"/>
          <w:szCs w:val="24"/>
        </w:rPr>
      </w:pPr>
      <w:r>
        <w:rPr>
          <w:rFonts w:ascii="宋体" w:hAnsi="宋体" w:eastAsia="宋体" w:cs="宋体"/>
          <w:spacing w:val="-4"/>
          <w:sz w:val="24"/>
          <w:szCs w:val="24"/>
        </w:rPr>
        <w:t xml:space="preserve">日期： </w:t>
      </w:r>
      <w:r>
        <w:rPr>
          <w:rFonts w:ascii="宋体" w:hAnsi="宋体" w:eastAsia="宋体" w:cs="宋体"/>
          <w:spacing w:val="-2"/>
          <w:sz w:val="24"/>
          <w:szCs w:val="24"/>
        </w:rPr>
        <w:t xml:space="preserve">   年   月   日</w:t>
      </w:r>
    </w:p>
    <w:p w14:paraId="35203B28">
      <w:pPr>
        <w:rPr>
          <w:rFonts w:hint="eastAsia"/>
        </w:rPr>
      </w:pPr>
    </w:p>
    <w:p w14:paraId="308A3FCE">
      <w:pPr>
        <w:spacing w:line="109" w:lineRule="exact"/>
        <w:rPr>
          <w:rFonts w:hint="eastAsia"/>
        </w:rPr>
      </w:pPr>
    </w:p>
    <w:tbl>
      <w:tblPr>
        <w:tblStyle w:val="133"/>
        <w:tblW w:w="9289" w:type="dxa"/>
        <w:tblInd w:w="2" w:type="dxa"/>
        <w:tblBorders>
          <w:top w:val="single" w:color="000000" w:sz="2" w:space="0"/>
          <w:left w:val="single" w:color="000000" w:sz="2" w:space="0"/>
          <w:bottom w:val="single" w:color="000000" w:sz="2" w:space="0"/>
          <w:right w:val="single" w:color="000000" w:sz="2" w:space="0"/>
          <w:insideH w:val="none" w:color="auto" w:sz="0" w:space="0"/>
          <w:insideV w:val="none" w:color="auto" w:sz="0" w:space="0"/>
        </w:tblBorders>
        <w:tblLayout w:type="fixed"/>
        <w:tblCellMar>
          <w:top w:w="0" w:type="dxa"/>
          <w:left w:w="0" w:type="dxa"/>
          <w:bottom w:w="0" w:type="dxa"/>
          <w:right w:w="0" w:type="dxa"/>
        </w:tblCellMar>
      </w:tblPr>
      <w:tblGrid>
        <w:gridCol w:w="9289"/>
      </w:tblGrid>
      <w:tr w14:paraId="4AD433FA">
        <w:tblPrEx>
          <w:tblBorders>
            <w:top w:val="single" w:color="000000" w:sz="2" w:space="0"/>
            <w:left w:val="single" w:color="000000" w:sz="2" w:space="0"/>
            <w:bottom w:val="single" w:color="000000" w:sz="2" w:space="0"/>
            <w:right w:val="single" w:color="000000" w:sz="2" w:space="0"/>
            <w:insideH w:val="none" w:color="auto" w:sz="0" w:space="0"/>
            <w:insideV w:val="none" w:color="auto" w:sz="0" w:space="0"/>
          </w:tblBorders>
          <w:tblCellMar>
            <w:top w:w="0" w:type="dxa"/>
            <w:left w:w="0" w:type="dxa"/>
            <w:bottom w:w="0" w:type="dxa"/>
            <w:right w:w="0" w:type="dxa"/>
          </w:tblCellMar>
        </w:tblPrEx>
        <w:trPr>
          <w:trHeight w:val="4186" w:hRule="atLeast"/>
        </w:trPr>
        <w:tc>
          <w:tcPr>
            <w:tcW w:w="9289" w:type="dxa"/>
          </w:tcPr>
          <w:p w14:paraId="42BE863F">
            <w:pPr>
              <w:spacing w:before="52" w:line="227" w:lineRule="auto"/>
              <w:ind w:left="128"/>
              <w:rPr>
                <w:rFonts w:hint="eastAsia" w:ascii="宋体" w:hAnsi="宋体" w:eastAsia="宋体" w:cs="宋体"/>
                <w:sz w:val="24"/>
                <w:szCs w:val="24"/>
              </w:rPr>
            </w:pPr>
            <w:r>
              <w:rPr>
                <w:rFonts w:ascii="宋体" w:hAnsi="宋体" w:eastAsia="宋体" w:cs="宋体"/>
                <w:spacing w:val="5"/>
                <w:sz w:val="24"/>
                <w:szCs w:val="24"/>
              </w:rPr>
              <w:t>投</w:t>
            </w:r>
            <w:r>
              <w:rPr>
                <w:rFonts w:ascii="宋体" w:hAnsi="宋体" w:eastAsia="宋体" w:cs="宋体"/>
                <w:spacing w:val="3"/>
                <w:sz w:val="24"/>
                <w:szCs w:val="24"/>
              </w:rPr>
              <w:t>标人承诺：</w:t>
            </w:r>
          </w:p>
          <w:p w14:paraId="2230F282">
            <w:pPr>
              <w:spacing w:before="48" w:line="391" w:lineRule="auto"/>
              <w:ind w:left="125" w:right="115" w:firstLine="491"/>
              <w:rPr>
                <w:rFonts w:hint="eastAsia" w:ascii="宋体" w:hAnsi="宋体" w:eastAsia="宋体" w:cs="宋体"/>
                <w:sz w:val="23"/>
                <w:szCs w:val="23"/>
              </w:rPr>
            </w:pPr>
            <w:r>
              <w:rPr>
                <w:rFonts w:ascii="宋体" w:hAnsi="宋体" w:eastAsia="宋体" w:cs="宋体"/>
                <w:spacing w:val="38"/>
                <w:sz w:val="24"/>
                <w:szCs w:val="24"/>
              </w:rPr>
              <w:t>我</w:t>
            </w:r>
            <w:r>
              <w:rPr>
                <w:rFonts w:ascii="宋体" w:hAnsi="宋体" w:eastAsia="宋体" w:cs="宋体"/>
                <w:spacing w:val="21"/>
                <w:sz w:val="24"/>
                <w:szCs w:val="24"/>
              </w:rPr>
              <w:t>公司承诺遵守贵公司由于招标人公司政策变化引起的随时终止项目的要求并</w:t>
            </w:r>
            <w:r>
              <w:rPr>
                <w:rFonts w:ascii="宋体" w:hAnsi="宋体" w:eastAsia="宋体" w:cs="宋体"/>
                <w:spacing w:val="12"/>
                <w:sz w:val="24"/>
                <w:szCs w:val="24"/>
              </w:rPr>
              <w:t>承</w:t>
            </w:r>
            <w:r>
              <w:rPr>
                <w:rFonts w:ascii="宋体" w:hAnsi="宋体" w:eastAsia="宋体" w:cs="宋体"/>
                <w:spacing w:val="6"/>
                <w:sz w:val="24"/>
                <w:szCs w:val="24"/>
              </w:rPr>
              <w:t>担由此带来的一切损失</w:t>
            </w:r>
            <w:r>
              <w:rPr>
                <w:rFonts w:ascii="宋体" w:hAnsi="宋体" w:eastAsia="宋体" w:cs="宋体"/>
                <w:spacing w:val="6"/>
                <w:sz w:val="23"/>
                <w:szCs w:val="23"/>
              </w:rPr>
              <w:t>。</w:t>
            </w:r>
          </w:p>
        </w:tc>
      </w:tr>
    </w:tbl>
    <w:p w14:paraId="49DAD3FD">
      <w:pPr>
        <w:keepNext/>
        <w:keepLines/>
        <w:rPr>
          <w:rFonts w:ascii="Times New Roman" w:hAnsi="Times New Roman" w:eastAsia="宋体" w:cs="Times New Roman"/>
          <w:b/>
          <w:bCs/>
          <w:color w:val="000000"/>
          <w:sz w:val="24"/>
          <w:szCs w:val="24"/>
        </w:rPr>
      </w:pPr>
    </w:p>
    <w:p w14:paraId="6B036667">
      <w:pPr>
        <w:spacing w:before="75" w:line="227" w:lineRule="auto"/>
        <w:ind w:left="135"/>
        <w:rPr>
          <w:rFonts w:hint="eastAsia" w:ascii="宋体" w:hAnsi="宋体" w:eastAsia="宋体" w:cs="宋体"/>
          <w:spacing w:val="-2"/>
          <w:sz w:val="24"/>
          <w:szCs w:val="24"/>
        </w:rPr>
      </w:pPr>
    </w:p>
    <w:p w14:paraId="7C7C60EB">
      <w:pPr>
        <w:spacing w:before="75" w:line="227" w:lineRule="auto"/>
        <w:ind w:left="135"/>
        <w:rPr>
          <w:rFonts w:hint="eastAsia" w:ascii="宋体" w:hAnsi="宋体" w:eastAsia="宋体" w:cs="宋体"/>
          <w:spacing w:val="-2"/>
          <w:sz w:val="24"/>
          <w:szCs w:val="24"/>
        </w:rPr>
      </w:pPr>
    </w:p>
    <w:p w14:paraId="4A9F1FF7">
      <w:pPr>
        <w:spacing w:before="75" w:line="227" w:lineRule="auto"/>
        <w:ind w:left="135"/>
        <w:rPr>
          <w:rFonts w:hint="eastAsia" w:eastAsia="宋体"/>
          <w:sz w:val="24"/>
          <w:szCs w:val="24"/>
        </w:rPr>
        <w:sectPr>
          <w:footerReference r:id="rId32" w:type="default"/>
          <w:pgSz w:w="11906" w:h="16839"/>
          <w:pgMar w:top="1431" w:right="1417" w:bottom="1179" w:left="1304" w:header="850" w:footer="992" w:gutter="0"/>
          <w:cols w:space="720" w:num="1"/>
        </w:sectPr>
      </w:pPr>
      <w:r>
        <w:rPr>
          <w:rFonts w:ascii="宋体" w:hAnsi="宋体" w:eastAsia="宋体" w:cs="宋体"/>
          <w:spacing w:val="-2"/>
          <w:sz w:val="24"/>
          <w:szCs w:val="24"/>
        </w:rPr>
        <w:t>投标人名称 (盖章)：                法定代表人或授权代表(签字</w:t>
      </w:r>
      <w:r>
        <w:rPr>
          <w:rFonts w:ascii="宋体" w:hAnsi="宋体" w:eastAsia="宋体" w:cs="宋体"/>
          <w:sz w:val="24"/>
          <w:szCs w:val="24"/>
        </w:rPr>
        <w:t>)</w:t>
      </w:r>
      <w:r>
        <w:rPr>
          <w:rFonts w:hint="eastAsia" w:ascii="宋体" w:hAnsi="宋体" w:eastAsia="宋体" w:cs="宋体"/>
          <w:sz w:val="24"/>
          <w:szCs w:val="24"/>
        </w:rPr>
        <w:t>：</w:t>
      </w:r>
    </w:p>
    <w:p w14:paraId="559A25AA">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附件12</w:t>
      </w:r>
      <w:r>
        <w:rPr>
          <w:rFonts w:ascii="Times New Roman" w:hAnsi="Times New Roman" w:eastAsia="宋体" w:cs="Times New Roman"/>
          <w:b/>
          <w:bCs/>
          <w:color w:val="000000"/>
          <w:sz w:val="24"/>
          <w:szCs w:val="24"/>
        </w:rPr>
        <w:t xml:space="preserve"> </w:t>
      </w:r>
      <w:r>
        <w:rPr>
          <w:rFonts w:hint="eastAsia" w:ascii="Times New Roman" w:hAnsi="Times New Roman" w:eastAsia="宋体" w:cs="Times New Roman"/>
          <w:b/>
          <w:bCs/>
          <w:color w:val="000000"/>
          <w:sz w:val="24"/>
          <w:szCs w:val="24"/>
        </w:rPr>
        <w:t>服务承诺函</w:t>
      </w:r>
    </w:p>
    <w:p w14:paraId="15A3C9EB">
      <w:pPr>
        <w:spacing w:line="240" w:lineRule="exact"/>
        <w:jc w:val="center"/>
        <w:rPr>
          <w:rFonts w:ascii="宋体" w:hAnsi="Calibri" w:eastAsia="宋体" w:cs="Times New Roman"/>
          <w:b/>
          <w:bCs/>
          <w:sz w:val="36"/>
          <w:szCs w:val="20"/>
        </w:rPr>
      </w:pPr>
    </w:p>
    <w:p w14:paraId="47860A12">
      <w:pPr>
        <w:spacing w:line="360" w:lineRule="auto"/>
        <w:rPr>
          <w:rFonts w:ascii="宋体" w:hAnsi="Calibri" w:eastAsia="宋体" w:cs="Times New Roman"/>
          <w:sz w:val="24"/>
          <w:szCs w:val="20"/>
        </w:rPr>
      </w:pPr>
      <w:r>
        <w:rPr>
          <w:rFonts w:hint="eastAsia" w:ascii="宋体" w:hAnsi="宋体" w:eastAsia="宋体" w:cs="Times New Roman"/>
          <w:sz w:val="24"/>
          <w:szCs w:val="20"/>
        </w:rPr>
        <w:t>项目名称：</w:t>
      </w:r>
      <w:r>
        <w:rPr>
          <w:rFonts w:hint="eastAsia" w:ascii="仿宋_GB2312" w:hAnsi="宋体" w:eastAsia="仿宋_GB2312"/>
          <w:sz w:val="24"/>
          <w:u w:val="single"/>
        </w:rPr>
        <w:t>全新一代中重卡宽体平地板驾驶室2300车型平顶金属顶盖模检具项目</w:t>
      </w:r>
    </w:p>
    <w:p w14:paraId="7C3D3C3D">
      <w:pPr>
        <w:spacing w:line="360" w:lineRule="auto"/>
        <w:rPr>
          <w:rFonts w:ascii="宋体" w:hAnsi="Calibri" w:eastAsia="宋体" w:cs="Times New Roman"/>
          <w:b/>
          <w:bCs/>
          <w:sz w:val="24"/>
          <w:szCs w:val="20"/>
          <w:highlight w:val="red"/>
        </w:rPr>
      </w:pPr>
      <w:r>
        <w:rPr>
          <w:rFonts w:hint="eastAsia" w:ascii="宋体" w:hAnsi="宋体" w:eastAsia="宋体" w:cs="Times New Roman"/>
          <w:b/>
          <w:bCs/>
          <w:sz w:val="24"/>
          <w:szCs w:val="20"/>
          <w:highlight w:val="red"/>
        </w:rPr>
        <w:t>中国重汽集团济南商用车有限公司：</w:t>
      </w:r>
    </w:p>
    <w:p w14:paraId="543CD8FC">
      <w:pPr>
        <w:spacing w:line="360" w:lineRule="auto"/>
        <w:ind w:firstLine="480"/>
        <w:rPr>
          <w:rFonts w:ascii="宋体" w:hAnsi="Calibri" w:eastAsia="宋体" w:cs="Times New Roman"/>
          <w:sz w:val="24"/>
          <w:szCs w:val="20"/>
        </w:rPr>
      </w:pPr>
      <w:r>
        <w:rPr>
          <w:rFonts w:hint="eastAsia" w:ascii="宋体" w:hAnsi="宋体" w:eastAsia="宋体" w:cs="Times New Roman"/>
          <w:sz w:val="24"/>
          <w:szCs w:val="20"/>
        </w:rPr>
        <w:t>我代表（投标人名称）对中标合同产品的服务作如下承诺：</w:t>
      </w:r>
    </w:p>
    <w:p w14:paraId="3D5D19E2">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37B6C0E1">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7912400A">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4C2FCAB3">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608013A9">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2C7F240C">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2496982F">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405902EA">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31D19B8F">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51497A8A">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0AEEE5D0">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09F322B3">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4F86E11A">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04768581">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51EC5E49">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73E9E7BD">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6F6C39F7">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25F89FC2">
      <w:pPr>
        <w:spacing w:line="360" w:lineRule="auto"/>
        <w:ind w:firstLine="480" w:firstLineChars="200"/>
        <w:rPr>
          <w:rFonts w:hint="eastAsia" w:ascii="宋体" w:hAnsi="宋体" w:eastAsia="宋体" w:cs="Times New Roman"/>
          <w:sz w:val="24"/>
          <w:szCs w:val="20"/>
          <w:u w:val="single"/>
        </w:rPr>
      </w:pPr>
    </w:p>
    <w:p w14:paraId="4E15A606">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投标人：（盖章）</w:t>
      </w:r>
    </w:p>
    <w:p w14:paraId="2F8F1823">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法定代表人（委托代理人）：（签字）</w:t>
      </w:r>
    </w:p>
    <w:p w14:paraId="1F9DB608">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日</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期：</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年</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月</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日</w:t>
      </w:r>
    </w:p>
    <w:p w14:paraId="005D170B">
      <w:pPr>
        <w:rPr>
          <w:rFonts w:ascii="宋体" w:hAnsi="Calibri" w:eastAsia="宋体" w:cs="宋体"/>
          <w:b/>
          <w:bCs/>
          <w:color w:val="000000"/>
          <w:sz w:val="28"/>
          <w:szCs w:val="20"/>
        </w:rPr>
      </w:pPr>
    </w:p>
    <w:p w14:paraId="0E49B513">
      <w:pPr>
        <w:pStyle w:val="20"/>
        <w:rPr>
          <w:rFonts w:hAnsi="Calibri" w:eastAsia="宋体" w:cs="宋体"/>
          <w:b/>
          <w:bCs/>
          <w:color w:val="000000"/>
          <w:sz w:val="28"/>
          <w:szCs w:val="20"/>
        </w:rPr>
      </w:pPr>
    </w:p>
    <w:p w14:paraId="3CB45699">
      <w:pPr>
        <w:rPr>
          <w:rFonts w:ascii="宋体" w:hAnsi="Calibri" w:eastAsia="宋体" w:cs="宋体"/>
          <w:b/>
          <w:bCs/>
          <w:color w:val="000000"/>
          <w:sz w:val="28"/>
          <w:szCs w:val="20"/>
        </w:rPr>
      </w:pPr>
    </w:p>
    <w:p w14:paraId="6D6AF25E">
      <w:pPr>
        <w:outlineLvl w:val="2"/>
        <w:rPr>
          <w:rFonts w:ascii="Calibri" w:hAnsi="Calibri" w:eastAsia="宋体" w:cs="Times New Roman"/>
          <w:szCs w:val="20"/>
        </w:rPr>
      </w:pPr>
      <w:r>
        <w:rPr>
          <w:rFonts w:ascii="Calibri" w:hAnsi="Calibri" w:eastAsia="宋体" w:cs="Times New Roman"/>
          <w:szCs w:val="20"/>
        </w:rPr>
        <w:br w:type="page"/>
      </w:r>
      <w:r>
        <w:rPr>
          <w:rFonts w:hint="eastAsia" w:ascii="Times New Roman" w:hAnsi="Times New Roman" w:eastAsia="宋体" w:cs="Times New Roman"/>
          <w:b/>
          <w:bCs/>
          <w:color w:val="000000"/>
          <w:sz w:val="24"/>
          <w:szCs w:val="24"/>
        </w:rPr>
        <w:t>附件13 投标文件封面及封口格式</w:t>
      </w:r>
    </w:p>
    <w:p w14:paraId="3AE0FACF">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封面格式：</w:t>
      </w:r>
    </w:p>
    <w:tbl>
      <w:tblPr>
        <w:tblStyle w:val="41"/>
        <w:tblW w:w="90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60"/>
      </w:tblGrid>
      <w:tr w14:paraId="2CE3CB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60" w:type="dxa"/>
          </w:tcPr>
          <w:p w14:paraId="64029803">
            <w:pPr>
              <w:jc w:val="center"/>
              <w:rPr>
                <w:rFonts w:ascii="Times New Roman" w:hAnsi="Times New Roman" w:eastAsia="宋体" w:cs="Times New Roman"/>
                <w:b/>
                <w:szCs w:val="20"/>
              </w:rPr>
            </w:pPr>
          </w:p>
          <w:p w14:paraId="528E8980">
            <w:pPr>
              <w:jc w:val="center"/>
              <w:rPr>
                <w:rFonts w:ascii="宋体" w:hAnsi="Times New Roman" w:eastAsia="宋体" w:cs="宋体"/>
                <w:b/>
                <w:sz w:val="30"/>
                <w:szCs w:val="30"/>
              </w:rPr>
            </w:pPr>
            <w:r>
              <w:rPr>
                <w:rFonts w:hint="eastAsia" w:ascii="宋体" w:hAnsi="宋体" w:eastAsia="宋体" w:cs="宋体"/>
                <w:b/>
                <w:sz w:val="30"/>
                <w:szCs w:val="30"/>
              </w:rPr>
              <w:t>技术</w:t>
            </w:r>
            <w:r>
              <w:rPr>
                <w:rFonts w:ascii="宋体" w:hAnsi="宋体" w:eastAsia="宋体" w:cs="宋体"/>
                <w:b/>
                <w:sz w:val="30"/>
                <w:szCs w:val="30"/>
              </w:rPr>
              <w:t>/</w:t>
            </w:r>
            <w:r>
              <w:rPr>
                <w:rFonts w:hint="eastAsia" w:ascii="宋体" w:hAnsi="宋体" w:eastAsia="宋体" w:cs="宋体"/>
                <w:b/>
                <w:sz w:val="30"/>
                <w:szCs w:val="30"/>
              </w:rPr>
              <w:t>资质</w:t>
            </w:r>
            <w:r>
              <w:rPr>
                <w:rFonts w:ascii="宋体" w:hAnsi="宋体" w:eastAsia="宋体" w:cs="宋体"/>
                <w:b/>
                <w:sz w:val="30"/>
                <w:szCs w:val="30"/>
              </w:rPr>
              <w:t>/</w:t>
            </w:r>
            <w:r>
              <w:rPr>
                <w:rFonts w:hint="eastAsia" w:ascii="宋体" w:hAnsi="宋体" w:eastAsia="宋体" w:cs="宋体"/>
                <w:b/>
                <w:sz w:val="30"/>
                <w:szCs w:val="30"/>
              </w:rPr>
              <w:t>商务文件</w:t>
            </w:r>
          </w:p>
          <w:p w14:paraId="413DC83F">
            <w:pPr>
              <w:rPr>
                <w:rFonts w:ascii="Times New Roman" w:hAnsi="Times New Roman" w:eastAsia="等线" w:cs="Times New Roman"/>
                <w:b/>
                <w:sz w:val="30"/>
                <w:szCs w:val="30"/>
              </w:rPr>
            </w:pPr>
          </w:p>
          <w:p w14:paraId="7A37DD11">
            <w:pPr>
              <w:jc w:val="center"/>
              <w:rPr>
                <w:rFonts w:ascii="Times New Roman" w:hAnsi="Times New Roman" w:eastAsia="宋体" w:cs="Times New Roman"/>
                <w:b/>
                <w:sz w:val="30"/>
                <w:szCs w:val="30"/>
              </w:rPr>
            </w:pPr>
            <w:r>
              <w:rPr>
                <w:rFonts w:hint="eastAsia" w:ascii="宋体" w:hAnsi="宋体" w:eastAsia="宋体" w:cs="宋体"/>
                <w:b/>
                <w:sz w:val="30"/>
                <w:szCs w:val="30"/>
              </w:rPr>
              <w:t>（</w:t>
            </w:r>
            <w:r>
              <w:rPr>
                <w:rFonts w:ascii="等线" w:hAnsi="等线" w:eastAsia="等线" w:cs="Times New Roman"/>
                <w:b/>
                <w:sz w:val="30"/>
                <w:szCs w:val="30"/>
              </w:rPr>
              <w:t>1</w:t>
            </w:r>
            <w:r>
              <w:rPr>
                <w:rFonts w:hint="eastAsia" w:ascii="宋体" w:hAnsi="宋体" w:eastAsia="宋体" w:cs="宋体"/>
                <w:b/>
                <w:sz w:val="30"/>
                <w:szCs w:val="30"/>
              </w:rPr>
              <w:t>正本/</w:t>
            </w:r>
            <w:r>
              <w:rPr>
                <w:rFonts w:ascii="等线" w:hAnsi="等线" w:eastAsia="等线" w:cs="Times New Roman"/>
                <w:b/>
                <w:sz w:val="30"/>
                <w:szCs w:val="30"/>
                <w:u w:val="single"/>
              </w:rPr>
              <w:t xml:space="preserve"> </w:t>
            </w:r>
            <w:r>
              <w:rPr>
                <w:rFonts w:hint="eastAsia" w:ascii="等线" w:hAnsi="等线" w:eastAsia="等线" w:cs="Times New Roman"/>
                <w:b/>
                <w:sz w:val="30"/>
                <w:szCs w:val="30"/>
                <w:highlight w:val="yellow"/>
                <w:u w:val="single"/>
              </w:rPr>
              <w:t>6</w:t>
            </w:r>
            <w:r>
              <w:rPr>
                <w:rFonts w:ascii="等线" w:hAnsi="等线" w:eastAsia="等线" w:cs="Times New Roman"/>
                <w:b/>
                <w:sz w:val="30"/>
                <w:szCs w:val="30"/>
                <w:u w:val="single"/>
              </w:rPr>
              <w:t xml:space="preserve"> </w:t>
            </w:r>
            <w:r>
              <w:rPr>
                <w:rFonts w:hint="eastAsia" w:ascii="宋体" w:hAnsi="宋体" w:eastAsia="宋体" w:cs="宋体"/>
                <w:b/>
                <w:sz w:val="30"/>
                <w:szCs w:val="30"/>
              </w:rPr>
              <w:t>副本）</w:t>
            </w:r>
          </w:p>
          <w:p w14:paraId="4C28E09E">
            <w:pPr>
              <w:jc w:val="center"/>
              <w:rPr>
                <w:rFonts w:ascii="Times New Roman" w:hAnsi="Times New Roman" w:eastAsia="宋体" w:cs="Times New Roman"/>
                <w:b/>
                <w:szCs w:val="20"/>
              </w:rPr>
            </w:pPr>
          </w:p>
          <w:p w14:paraId="573DE896">
            <w:pPr>
              <w:jc w:val="center"/>
              <w:rPr>
                <w:rFonts w:ascii="Times New Roman" w:hAnsi="Times New Roman" w:eastAsia="宋体" w:cs="Times New Roman"/>
                <w:b/>
                <w:szCs w:val="20"/>
              </w:rPr>
            </w:pPr>
          </w:p>
          <w:p w14:paraId="7D109E80">
            <w:pPr>
              <w:jc w:val="center"/>
              <w:rPr>
                <w:rFonts w:ascii="Times New Roman" w:hAnsi="Times New Roman" w:eastAsia="宋体" w:cs="Times New Roman"/>
                <w:b/>
                <w:szCs w:val="20"/>
              </w:rPr>
            </w:pPr>
            <w:r>
              <w:rPr>
                <w:rFonts w:hint="eastAsia" w:ascii="宋体" w:hAnsi="宋体" w:eastAsia="宋体" w:cs="宋体"/>
                <w:b/>
                <w:szCs w:val="20"/>
              </w:rPr>
              <w:t>项目名称：</w:t>
            </w:r>
            <w:r>
              <w:rPr>
                <w:rFonts w:hint="eastAsia" w:ascii="仿宋_GB2312" w:hAnsi="宋体" w:eastAsia="仿宋_GB2312"/>
                <w:b/>
                <w:bCs/>
                <w:sz w:val="24"/>
                <w:u w:val="single"/>
              </w:rPr>
              <w:t>全新一代中重卡宽体平地板驾驶室2300车型平顶金属顶盖模检具项目</w:t>
            </w:r>
          </w:p>
          <w:p w14:paraId="019D96CE">
            <w:pPr>
              <w:jc w:val="center"/>
              <w:rPr>
                <w:rFonts w:ascii="Times New Roman" w:hAnsi="Times New Roman" w:eastAsia="宋体" w:cs="Times New Roman"/>
                <w:b/>
                <w:szCs w:val="20"/>
              </w:rPr>
            </w:pPr>
            <w:r>
              <w:rPr>
                <w:rFonts w:hint="eastAsia" w:ascii="宋体" w:hAnsi="宋体" w:eastAsia="宋体" w:cs="宋体"/>
                <w:b/>
                <w:szCs w:val="20"/>
              </w:rPr>
              <w:t>投标人名称（公章）：</w:t>
            </w:r>
          </w:p>
          <w:p w14:paraId="15AF0B85">
            <w:pPr>
              <w:jc w:val="center"/>
              <w:rPr>
                <w:rFonts w:ascii="Times New Roman" w:hAnsi="Times New Roman" w:eastAsia="宋体" w:cs="Times New Roman"/>
                <w:b/>
                <w:szCs w:val="20"/>
              </w:rPr>
            </w:pPr>
            <w:r>
              <w:rPr>
                <w:rFonts w:hint="eastAsia" w:ascii="宋体" w:hAnsi="宋体" w:eastAsia="宋体" w:cs="宋体"/>
                <w:b/>
                <w:szCs w:val="20"/>
              </w:rPr>
              <w:t>地址：</w:t>
            </w:r>
          </w:p>
          <w:p w14:paraId="7759A702">
            <w:pPr>
              <w:jc w:val="center"/>
              <w:rPr>
                <w:rFonts w:ascii="Times New Roman" w:hAnsi="Times New Roman" w:eastAsia="宋体" w:cs="Times New Roman"/>
                <w:b/>
                <w:szCs w:val="20"/>
              </w:rPr>
            </w:pPr>
            <w:r>
              <w:rPr>
                <w:rFonts w:hint="eastAsia" w:ascii="宋体" w:hAnsi="宋体" w:eastAsia="宋体" w:cs="宋体"/>
                <w:b/>
                <w:szCs w:val="20"/>
              </w:rPr>
              <w:t>授权代表电话：</w:t>
            </w:r>
          </w:p>
          <w:p w14:paraId="4568FE2F">
            <w:pPr>
              <w:jc w:val="center"/>
              <w:rPr>
                <w:rFonts w:ascii="Times New Roman" w:hAnsi="Times New Roman" w:eastAsia="宋体" w:cs="Times New Roman"/>
                <w:b/>
                <w:szCs w:val="20"/>
              </w:rPr>
            </w:pPr>
            <w:r>
              <w:rPr>
                <w:rFonts w:hint="eastAsia" w:ascii="宋体" w:hAnsi="宋体" w:eastAsia="宋体" w:cs="宋体"/>
                <w:b/>
                <w:szCs w:val="20"/>
              </w:rPr>
              <w:t>传真：</w:t>
            </w:r>
          </w:p>
          <w:p w14:paraId="67EC3C72">
            <w:pPr>
              <w:jc w:val="center"/>
              <w:rPr>
                <w:rFonts w:ascii="Times New Roman" w:hAnsi="Times New Roman" w:eastAsia="宋体" w:cs="Times New Roman"/>
                <w:b/>
                <w:szCs w:val="20"/>
              </w:rPr>
            </w:pPr>
          </w:p>
          <w:p w14:paraId="6CD7C66A">
            <w:pPr>
              <w:jc w:val="center"/>
              <w:rPr>
                <w:rFonts w:ascii="Times New Roman" w:hAnsi="Times New Roman" w:eastAsia="宋体" w:cs="Times New Roman"/>
                <w:b/>
                <w:szCs w:val="20"/>
              </w:rPr>
            </w:pPr>
          </w:p>
        </w:tc>
      </w:tr>
    </w:tbl>
    <w:p w14:paraId="39F031B2">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投标人名称：</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授权代表签字：</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日期：</w:t>
      </w:r>
    </w:p>
    <w:p w14:paraId="4EAF39F4">
      <w:pPr>
        <w:pStyle w:val="20"/>
      </w:pPr>
    </w:p>
    <w:p w14:paraId="334F19A3">
      <w:pPr>
        <w:jc w:val="right"/>
        <w:rPr>
          <w:rFonts w:hint="eastAsia" w:asciiTheme="minorEastAsia" w:hAnsiTheme="minorEastAsia" w:cstheme="minorEastAsia"/>
          <w:sz w:val="20"/>
          <w:szCs w:val="20"/>
        </w:rPr>
      </w:pPr>
    </w:p>
    <w:p w14:paraId="7C974D71">
      <w:pPr>
        <w:jc w:val="right"/>
        <w:rPr>
          <w:rFonts w:hint="eastAsia" w:asciiTheme="minorEastAsia" w:hAnsiTheme="minorEastAsia" w:cstheme="minorEastAsia"/>
          <w:sz w:val="20"/>
          <w:szCs w:val="20"/>
        </w:rPr>
      </w:pPr>
    </w:p>
    <w:p w14:paraId="5382CFFA">
      <w:pPr>
        <w:rPr>
          <w:rFonts w:hint="eastAsia"/>
        </w:rPr>
        <w:sectPr>
          <w:headerReference r:id="rId34" w:type="first"/>
          <w:footerReference r:id="rId36" w:type="first"/>
          <w:headerReference r:id="rId33" w:type="default"/>
          <w:footerReference r:id="rId35" w:type="default"/>
          <w:pgSz w:w="11906" w:h="16838"/>
          <w:pgMar w:top="1588" w:right="1418" w:bottom="1134" w:left="1418" w:header="851" w:footer="992" w:gutter="0"/>
          <w:cols w:space="720" w:num="1"/>
          <w:titlePg/>
          <w:docGrid w:type="lines" w:linePitch="312" w:charSpace="0"/>
        </w:sectPr>
      </w:pPr>
    </w:p>
    <w:p w14:paraId="5C718143">
      <w:pPr>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附件14技术要求承诺书</w:t>
      </w:r>
    </w:p>
    <w:p w14:paraId="0978C035">
      <w:pPr>
        <w:spacing w:line="360" w:lineRule="auto"/>
        <w:rPr>
          <w:rFonts w:ascii="宋体" w:hAnsi="Calibri" w:eastAsia="宋体" w:cs="Times New Roman"/>
          <w:sz w:val="24"/>
          <w:szCs w:val="20"/>
          <w:u w:val="single"/>
        </w:rPr>
      </w:pPr>
      <w:r>
        <w:rPr>
          <w:rFonts w:hint="eastAsia" w:ascii="宋体" w:hAnsi="宋体" w:eastAsia="宋体" w:cs="Times New Roman"/>
          <w:sz w:val="24"/>
          <w:szCs w:val="20"/>
        </w:rPr>
        <w:t>项目名称：</w:t>
      </w:r>
      <w:r>
        <w:rPr>
          <w:rFonts w:hint="eastAsia" w:ascii="仿宋_GB2312" w:hAnsi="宋体" w:eastAsia="仿宋_GB2312"/>
          <w:sz w:val="24"/>
          <w:u w:val="single"/>
        </w:rPr>
        <w:t>全新一代中重卡宽体平地板驾驶室2300车型平顶金属顶盖模检具项目</w:t>
      </w:r>
    </w:p>
    <w:p w14:paraId="78727510">
      <w:pPr>
        <w:spacing w:line="360" w:lineRule="auto"/>
        <w:rPr>
          <w:rFonts w:ascii="宋体" w:hAnsi="Calibri" w:eastAsia="宋体" w:cs="Times New Roman"/>
          <w:b/>
          <w:bCs/>
          <w:sz w:val="24"/>
          <w:szCs w:val="20"/>
          <w:highlight w:val="red"/>
        </w:rPr>
      </w:pPr>
      <w:r>
        <w:rPr>
          <w:rFonts w:hint="eastAsia" w:ascii="宋体" w:hAnsi="宋体" w:cs="Times New Roman"/>
          <w:b/>
          <w:bCs/>
          <w:sz w:val="24"/>
          <w:szCs w:val="20"/>
          <w:highlight w:val="red"/>
        </w:rPr>
        <w:t>中国重汽集团济南商用车有限公司</w:t>
      </w:r>
      <w:r>
        <w:rPr>
          <w:rFonts w:hint="eastAsia" w:ascii="宋体" w:hAnsi="宋体" w:eastAsia="宋体" w:cs="Times New Roman"/>
          <w:b/>
          <w:bCs/>
          <w:sz w:val="24"/>
          <w:szCs w:val="20"/>
          <w:highlight w:val="red"/>
        </w:rPr>
        <w:t>：</w:t>
      </w:r>
    </w:p>
    <w:p w14:paraId="5A01CF69">
      <w:pPr>
        <w:spacing w:line="360" w:lineRule="auto"/>
        <w:ind w:firstLine="480"/>
        <w:rPr>
          <w:rFonts w:hint="eastAsia" w:ascii="宋体" w:hAnsi="宋体" w:eastAsia="宋体" w:cs="Times New Roman"/>
          <w:sz w:val="24"/>
          <w:szCs w:val="20"/>
        </w:rPr>
      </w:pPr>
      <w:r>
        <w:rPr>
          <w:rFonts w:hint="eastAsia" w:ascii="宋体" w:hAnsi="宋体" w:eastAsia="宋体" w:cs="Times New Roman"/>
          <w:sz w:val="24"/>
          <w:szCs w:val="20"/>
        </w:rPr>
        <w:t>我代表</w:t>
      </w:r>
      <w:r>
        <w:rPr>
          <w:rFonts w:hint="eastAsia" w:ascii="宋体" w:hAnsi="宋体" w:eastAsia="宋体" w:cs="Times New Roman"/>
          <w:sz w:val="24"/>
          <w:szCs w:val="20"/>
          <w:highlight w:val="red"/>
        </w:rPr>
        <w:t>（投标单位名称）</w:t>
      </w:r>
      <w:r>
        <w:rPr>
          <w:rFonts w:hint="eastAsia" w:ascii="宋体" w:hAnsi="宋体" w:eastAsia="宋体" w:cs="Times New Roman"/>
          <w:sz w:val="24"/>
          <w:szCs w:val="20"/>
        </w:rPr>
        <w:t>对中标合同产品的服务作如下承诺：</w:t>
      </w:r>
    </w:p>
    <w:p w14:paraId="127EDEDE">
      <w:pPr>
        <w:pStyle w:val="5"/>
        <w:tabs>
          <w:tab w:val="right" w:leader="dot" w:pos="9061"/>
        </w:tabs>
        <w:rPr>
          <w:szCs w:val="24"/>
        </w:rPr>
      </w:pPr>
      <w:r>
        <w:rPr>
          <w:rFonts w:hint="eastAsia"/>
          <w:szCs w:val="24"/>
        </w:rPr>
        <w:t>我司提供的产品完全相应并满足本次项目招标文件的技术要求。</w:t>
      </w:r>
    </w:p>
    <w:p w14:paraId="28389775">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1E172ECF">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7A6B83BA">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09A9702F">
      <w:pPr>
        <w:spacing w:line="360" w:lineRule="auto"/>
        <w:ind w:firstLine="480" w:firstLineChars="200"/>
        <w:rPr>
          <w:rFonts w:hint="eastAsia" w:ascii="宋体" w:hAnsi="宋体" w:eastAsia="宋体" w:cs="Times New Roman"/>
          <w:sz w:val="24"/>
          <w:szCs w:val="20"/>
          <w:u w:val="single"/>
        </w:rPr>
      </w:pPr>
      <w:r>
        <w:rPr>
          <w:rFonts w:ascii="宋体" w:hAnsi="宋体" w:eastAsia="宋体" w:cs="Times New Roman"/>
          <w:sz w:val="24"/>
          <w:szCs w:val="20"/>
          <w:u w:val="single"/>
        </w:rPr>
        <w:t xml:space="preserve">                                                                       </w:t>
      </w:r>
    </w:p>
    <w:p w14:paraId="4441670F">
      <w:pPr>
        <w:pStyle w:val="5"/>
        <w:tabs>
          <w:tab w:val="right" w:leader="dot" w:pos="9061"/>
        </w:tabs>
      </w:pPr>
    </w:p>
    <w:p w14:paraId="1C1B75D4">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投标人：（盖章）</w:t>
      </w:r>
    </w:p>
    <w:p w14:paraId="64841583">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法定代表人（委托代理人）：（签字）</w:t>
      </w:r>
    </w:p>
    <w:p w14:paraId="3A3A3814">
      <w:pPr>
        <w:spacing w:line="360" w:lineRule="auto"/>
        <w:ind w:firstLine="480" w:firstLineChars="200"/>
        <w:rPr>
          <w:rFonts w:hint="eastAsia" w:ascii="宋体" w:hAnsi="宋体" w:eastAsia="宋体" w:cs="Times New Roman"/>
          <w:color w:val="000000"/>
          <w:sz w:val="24"/>
          <w:szCs w:val="24"/>
        </w:rPr>
        <w:sectPr>
          <w:pgSz w:w="11906" w:h="16838"/>
          <w:pgMar w:top="1587" w:right="1417" w:bottom="1134" w:left="1417" w:header="850" w:footer="992" w:gutter="0"/>
          <w:cols w:space="0" w:num="1"/>
          <w:titlePg/>
          <w:docGrid w:type="lines" w:linePitch="324" w:charSpace="0"/>
        </w:sectPr>
      </w:pPr>
      <w:r>
        <w:rPr>
          <w:rFonts w:hint="eastAsia" w:ascii="宋体" w:hAnsi="宋体" w:eastAsia="宋体" w:cs="Times New Roman"/>
          <w:color w:val="000000"/>
          <w:sz w:val="24"/>
          <w:szCs w:val="24"/>
        </w:rPr>
        <w:t>日</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期：</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年</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月</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日</w:t>
      </w:r>
    </w:p>
    <w:p w14:paraId="668629E9">
      <w:pPr>
        <w:outlineLvl w:val="2"/>
        <w:rPr>
          <w:rFonts w:ascii="Times New Roman" w:hAnsi="Times New Roman" w:eastAsia="宋体" w:cs="Times New Roman"/>
          <w:b/>
          <w:bCs/>
          <w:color w:val="000000"/>
          <w:sz w:val="24"/>
          <w:szCs w:val="24"/>
        </w:rPr>
      </w:pPr>
      <w:r>
        <w:rPr>
          <w:rFonts w:hint="eastAsia" w:ascii="宋体" w:hAnsi="宋体" w:eastAsia="宋体" w:cs="Times New Roman"/>
          <w:b/>
          <w:bCs/>
          <w:color w:val="000000"/>
          <w:sz w:val="24"/>
          <w:szCs w:val="24"/>
        </w:rPr>
        <w:t>附件</w:t>
      </w:r>
      <w:r>
        <w:rPr>
          <w:rFonts w:hint="eastAsia" w:ascii="Times New Roman" w:hAnsi="Times New Roman" w:eastAsia="宋体" w:cs="Times New Roman"/>
          <w:b/>
          <w:bCs/>
          <w:color w:val="000000"/>
          <w:sz w:val="24"/>
          <w:szCs w:val="24"/>
        </w:rPr>
        <w:t>15</w:t>
      </w:r>
      <w:r>
        <w:rPr>
          <w:rFonts w:hint="eastAsia" w:ascii="宋体" w:hAnsi="宋体" w:eastAsia="宋体" w:cs="Times New Roman"/>
          <w:b/>
          <w:bCs/>
          <w:color w:val="000000"/>
          <w:sz w:val="24"/>
          <w:szCs w:val="24"/>
        </w:rPr>
        <w:t>评分标准</w:t>
      </w:r>
    </w:p>
    <w:p w14:paraId="4402B6E5">
      <w:pPr>
        <w:jc w:val="center"/>
        <w:outlineLvl w:val="2"/>
        <w:rPr>
          <w:rFonts w:hint="eastAsia" w:ascii="宋体" w:hAnsi="宋体" w:eastAsia="宋体" w:cs="Times New Roman"/>
          <w:b/>
          <w:bCs/>
          <w:sz w:val="28"/>
          <w:szCs w:val="28"/>
        </w:rPr>
      </w:pPr>
      <w:r>
        <w:rPr>
          <w:rFonts w:hint="eastAsia" w:ascii="宋体" w:hAnsi="宋体" w:eastAsia="宋体" w:cs="Times New Roman"/>
          <w:b/>
          <w:bCs/>
          <w:sz w:val="28"/>
          <w:szCs w:val="28"/>
        </w:rPr>
        <w:t>技术标评审表（100分）</w:t>
      </w:r>
    </w:p>
    <w:tbl>
      <w:tblPr>
        <w:tblStyle w:val="41"/>
        <w:tblW w:w="14129" w:type="dxa"/>
        <w:tblInd w:w="93" w:type="dxa"/>
        <w:tblLayout w:type="fixed"/>
        <w:tblCellMar>
          <w:top w:w="0" w:type="dxa"/>
          <w:left w:w="108" w:type="dxa"/>
          <w:bottom w:w="0" w:type="dxa"/>
          <w:right w:w="108" w:type="dxa"/>
        </w:tblCellMar>
      </w:tblPr>
      <w:tblGrid>
        <w:gridCol w:w="1074"/>
        <w:gridCol w:w="420"/>
        <w:gridCol w:w="1633"/>
        <w:gridCol w:w="1114"/>
        <w:gridCol w:w="9888"/>
      </w:tblGrid>
      <w:tr w14:paraId="66B8B100">
        <w:tblPrEx>
          <w:tblCellMar>
            <w:top w:w="0" w:type="dxa"/>
            <w:left w:w="108" w:type="dxa"/>
            <w:bottom w:w="0" w:type="dxa"/>
            <w:right w:w="108" w:type="dxa"/>
          </w:tblCellMar>
        </w:tblPrEx>
        <w:trPr>
          <w:trHeight w:val="539" w:hRule="atLeast"/>
        </w:trPr>
        <w:tc>
          <w:tcPr>
            <w:tcW w:w="1074" w:type="dxa"/>
            <w:tcBorders>
              <w:top w:val="single" w:color="000000" w:sz="8" w:space="0"/>
              <w:left w:val="single" w:color="000000" w:sz="8" w:space="0"/>
              <w:bottom w:val="single" w:color="auto" w:sz="4" w:space="0"/>
              <w:right w:val="single" w:color="000000" w:sz="4" w:space="0"/>
            </w:tcBorders>
            <w:vAlign w:val="center"/>
          </w:tcPr>
          <w:p w14:paraId="372F5492">
            <w:pPr>
              <w:widowControl/>
              <w:jc w:val="center"/>
              <w:textAlignment w:val="center"/>
              <w:rPr>
                <w:rFonts w:hint="eastAsia" w:ascii="宋体" w:hAnsi="宋体" w:eastAsia="宋体" w:cs="Times New Roman"/>
                <w:b/>
                <w:bCs/>
                <w:color w:val="000000"/>
                <w:szCs w:val="21"/>
              </w:rPr>
            </w:pPr>
            <w:r>
              <w:rPr>
                <w:rFonts w:ascii="宋体" w:hAnsi="宋体" w:eastAsia="宋体" w:cs="Times New Roman"/>
                <w:b/>
                <w:bCs/>
                <w:color w:val="000000"/>
                <w:szCs w:val="21"/>
              </w:rPr>
              <w:t>评价类型</w:t>
            </w:r>
          </w:p>
        </w:tc>
        <w:tc>
          <w:tcPr>
            <w:tcW w:w="420" w:type="dxa"/>
            <w:tcBorders>
              <w:top w:val="single" w:color="000000" w:sz="8" w:space="0"/>
              <w:left w:val="nil"/>
              <w:bottom w:val="single" w:color="auto" w:sz="4" w:space="0"/>
              <w:right w:val="single" w:color="000000" w:sz="4" w:space="0"/>
            </w:tcBorders>
            <w:vAlign w:val="center"/>
          </w:tcPr>
          <w:p w14:paraId="2DCC35AA">
            <w:pPr>
              <w:widowControl/>
              <w:jc w:val="center"/>
              <w:textAlignment w:val="center"/>
              <w:rPr>
                <w:rFonts w:hint="eastAsia" w:ascii="宋体" w:hAnsi="宋体" w:eastAsia="宋体" w:cs="Times New Roman"/>
                <w:b/>
                <w:bCs/>
                <w:color w:val="000000"/>
                <w:szCs w:val="21"/>
              </w:rPr>
            </w:pPr>
            <w:r>
              <w:rPr>
                <w:rFonts w:ascii="宋体" w:hAnsi="宋体" w:eastAsia="宋体" w:cs="Times New Roman"/>
                <w:b/>
                <w:bCs/>
                <w:color w:val="000000"/>
                <w:szCs w:val="21"/>
              </w:rPr>
              <w:t>序号</w:t>
            </w:r>
          </w:p>
        </w:tc>
        <w:tc>
          <w:tcPr>
            <w:tcW w:w="1633" w:type="dxa"/>
            <w:tcBorders>
              <w:top w:val="single" w:color="000000" w:sz="8" w:space="0"/>
              <w:left w:val="nil"/>
              <w:bottom w:val="single" w:color="auto" w:sz="4" w:space="0"/>
              <w:right w:val="single" w:color="000000" w:sz="4" w:space="0"/>
            </w:tcBorders>
            <w:vAlign w:val="center"/>
          </w:tcPr>
          <w:p w14:paraId="0E337F52">
            <w:pPr>
              <w:widowControl/>
              <w:jc w:val="center"/>
              <w:textAlignment w:val="center"/>
              <w:rPr>
                <w:rFonts w:hint="eastAsia" w:ascii="宋体" w:hAnsi="宋体" w:eastAsia="宋体" w:cs="Times New Roman"/>
                <w:b/>
                <w:bCs/>
                <w:color w:val="000000"/>
                <w:szCs w:val="21"/>
              </w:rPr>
            </w:pPr>
            <w:r>
              <w:rPr>
                <w:rFonts w:ascii="宋体" w:hAnsi="宋体" w:eastAsia="宋体" w:cs="Times New Roman"/>
                <w:b/>
                <w:bCs/>
                <w:color w:val="000000"/>
                <w:spacing w:val="39"/>
                <w:kern w:val="0"/>
                <w:szCs w:val="21"/>
              </w:rPr>
              <w:t xml:space="preserve">内   </w:t>
            </w:r>
            <w:r>
              <w:rPr>
                <w:rFonts w:ascii="宋体" w:hAnsi="宋体" w:eastAsia="宋体" w:cs="Times New Roman"/>
                <w:b/>
                <w:bCs/>
                <w:color w:val="000000"/>
                <w:spacing w:val="1"/>
                <w:kern w:val="0"/>
                <w:szCs w:val="21"/>
              </w:rPr>
              <w:t>容</w:t>
            </w:r>
          </w:p>
        </w:tc>
        <w:tc>
          <w:tcPr>
            <w:tcW w:w="1114" w:type="dxa"/>
            <w:tcBorders>
              <w:top w:val="single" w:color="000000" w:sz="8" w:space="0"/>
              <w:left w:val="nil"/>
              <w:bottom w:val="single" w:color="auto" w:sz="4" w:space="0"/>
              <w:right w:val="single" w:color="000000" w:sz="4" w:space="0"/>
            </w:tcBorders>
            <w:vAlign w:val="center"/>
          </w:tcPr>
          <w:p w14:paraId="68A827FB">
            <w:pPr>
              <w:widowControl/>
              <w:jc w:val="center"/>
              <w:textAlignment w:val="center"/>
              <w:rPr>
                <w:rFonts w:hint="eastAsia" w:ascii="宋体" w:hAnsi="宋体" w:eastAsia="宋体" w:cs="Times New Roman"/>
                <w:b/>
                <w:bCs/>
                <w:color w:val="000000"/>
                <w:szCs w:val="21"/>
              </w:rPr>
            </w:pPr>
            <w:r>
              <w:rPr>
                <w:rFonts w:ascii="宋体" w:hAnsi="宋体" w:eastAsia="宋体" w:cs="Times New Roman"/>
                <w:b/>
                <w:bCs/>
                <w:color w:val="000000"/>
                <w:szCs w:val="21"/>
              </w:rPr>
              <w:t>标准分</w:t>
            </w:r>
          </w:p>
        </w:tc>
        <w:tc>
          <w:tcPr>
            <w:tcW w:w="9888" w:type="dxa"/>
            <w:tcBorders>
              <w:top w:val="single" w:color="000000" w:sz="8" w:space="0"/>
              <w:left w:val="nil"/>
              <w:bottom w:val="single" w:color="auto" w:sz="4" w:space="0"/>
              <w:right w:val="single" w:color="000000" w:sz="8" w:space="0"/>
            </w:tcBorders>
            <w:vAlign w:val="center"/>
          </w:tcPr>
          <w:p w14:paraId="1612B50F">
            <w:pPr>
              <w:widowControl/>
              <w:jc w:val="center"/>
              <w:textAlignment w:val="center"/>
              <w:rPr>
                <w:rFonts w:hint="eastAsia" w:ascii="宋体" w:hAnsi="宋体" w:eastAsia="宋体" w:cs="Times New Roman"/>
                <w:b/>
                <w:bCs/>
                <w:color w:val="000000"/>
                <w:szCs w:val="21"/>
              </w:rPr>
            </w:pPr>
            <w:r>
              <w:rPr>
                <w:rFonts w:ascii="宋体" w:hAnsi="宋体" w:eastAsia="宋体" w:cs="Times New Roman"/>
                <w:b/>
                <w:bCs/>
                <w:color w:val="000000"/>
                <w:szCs w:val="21"/>
              </w:rPr>
              <w:t>评分标准</w:t>
            </w:r>
          </w:p>
        </w:tc>
      </w:tr>
      <w:tr w14:paraId="4A4B4E42">
        <w:tblPrEx>
          <w:tblCellMar>
            <w:top w:w="0" w:type="dxa"/>
            <w:left w:w="108" w:type="dxa"/>
            <w:bottom w:w="0" w:type="dxa"/>
            <w:right w:w="108" w:type="dxa"/>
          </w:tblCellMar>
        </w:tblPrEx>
        <w:trPr>
          <w:trHeight w:val="1023" w:hRule="atLeast"/>
        </w:trPr>
        <w:tc>
          <w:tcPr>
            <w:tcW w:w="1074" w:type="dxa"/>
            <w:vMerge w:val="restart"/>
            <w:tcBorders>
              <w:top w:val="single" w:color="auto" w:sz="4" w:space="0"/>
              <w:left w:val="single" w:color="auto" w:sz="4" w:space="0"/>
              <w:bottom w:val="single" w:color="auto" w:sz="4" w:space="0"/>
              <w:right w:val="single" w:color="auto" w:sz="4" w:space="0"/>
            </w:tcBorders>
            <w:vAlign w:val="center"/>
          </w:tcPr>
          <w:p w14:paraId="566B41D0">
            <w:pPr>
              <w:widowControl/>
              <w:jc w:val="center"/>
              <w:textAlignment w:val="center"/>
              <w:rPr>
                <w:rFonts w:hint="eastAsia" w:ascii="宋体" w:hAnsi="宋体" w:eastAsia="宋体" w:cs="Times New Roman"/>
                <w:color w:val="000000"/>
                <w:szCs w:val="21"/>
              </w:rPr>
            </w:pPr>
            <w:r>
              <w:rPr>
                <w:rFonts w:hint="eastAsia" w:ascii="宋体" w:hAnsi="宋体" w:eastAsia="宋体" w:cs="Times New Roman"/>
                <w:color w:val="000000"/>
                <w:kern w:val="0"/>
                <w:szCs w:val="21"/>
              </w:rPr>
              <w:t>技术100分</w:t>
            </w:r>
          </w:p>
        </w:tc>
        <w:tc>
          <w:tcPr>
            <w:tcW w:w="420" w:type="dxa"/>
            <w:tcBorders>
              <w:top w:val="single" w:color="auto" w:sz="4" w:space="0"/>
              <w:left w:val="single" w:color="auto" w:sz="4" w:space="0"/>
              <w:bottom w:val="single" w:color="auto" w:sz="4" w:space="0"/>
              <w:right w:val="single" w:color="auto" w:sz="4" w:space="0"/>
            </w:tcBorders>
            <w:vAlign w:val="center"/>
          </w:tcPr>
          <w:p w14:paraId="6BC8A938">
            <w:pPr>
              <w:widowControl/>
              <w:jc w:val="center"/>
              <w:textAlignment w:val="center"/>
              <w:rPr>
                <w:rFonts w:hint="eastAsia" w:ascii="宋体" w:hAnsi="宋体" w:eastAsia="宋体" w:cs="Times New Roman"/>
                <w:color w:val="000000"/>
                <w:szCs w:val="21"/>
              </w:rPr>
            </w:pPr>
            <w:r>
              <w:rPr>
                <w:rFonts w:hint="eastAsia" w:ascii="宋体" w:hAnsi="宋体" w:eastAsia="宋体" w:cs="Times New Roman"/>
                <w:color w:val="000000"/>
                <w:kern w:val="0"/>
                <w:szCs w:val="21"/>
              </w:rPr>
              <w:t>1</w:t>
            </w:r>
          </w:p>
        </w:tc>
        <w:tc>
          <w:tcPr>
            <w:tcW w:w="1633" w:type="dxa"/>
            <w:tcBorders>
              <w:top w:val="single" w:color="auto" w:sz="4" w:space="0"/>
              <w:left w:val="single" w:color="auto" w:sz="4" w:space="0"/>
              <w:bottom w:val="single" w:color="auto" w:sz="4" w:space="0"/>
              <w:right w:val="single" w:color="auto" w:sz="4" w:space="0"/>
            </w:tcBorders>
            <w:vAlign w:val="center"/>
          </w:tcPr>
          <w:p w14:paraId="0C10AF53">
            <w:pPr>
              <w:widowControl/>
              <w:jc w:val="center"/>
              <w:textAlignment w:val="center"/>
              <w:rPr>
                <w:rFonts w:hint="eastAsia" w:ascii="宋体" w:hAnsi="宋体" w:eastAsia="宋体" w:cs="Times New Roman"/>
                <w:color w:val="000000"/>
                <w:kern w:val="0"/>
                <w:szCs w:val="21"/>
              </w:rPr>
            </w:pPr>
            <w:r>
              <w:rPr>
                <w:rFonts w:hint="eastAsia" w:ascii="宋体" w:hAnsi="宋体" w:eastAsia="宋体" w:cs="Times New Roman"/>
                <w:color w:val="000000"/>
                <w:kern w:val="0"/>
                <w:szCs w:val="21"/>
              </w:rPr>
              <w:t>技术方案</w:t>
            </w:r>
          </w:p>
        </w:tc>
        <w:tc>
          <w:tcPr>
            <w:tcW w:w="1114" w:type="dxa"/>
            <w:tcBorders>
              <w:top w:val="single" w:color="auto" w:sz="4" w:space="0"/>
              <w:left w:val="single" w:color="auto" w:sz="4" w:space="0"/>
              <w:bottom w:val="single" w:color="auto" w:sz="4" w:space="0"/>
              <w:right w:val="single" w:color="auto" w:sz="4" w:space="0"/>
            </w:tcBorders>
            <w:vAlign w:val="center"/>
          </w:tcPr>
          <w:p w14:paraId="7722BEDE">
            <w:pPr>
              <w:widowControl/>
              <w:jc w:val="center"/>
              <w:textAlignment w:val="center"/>
              <w:rPr>
                <w:rFonts w:hint="eastAsia" w:ascii="宋体" w:hAnsi="宋体" w:eastAsia="宋体" w:cs="Times New Roman"/>
                <w:color w:val="000000"/>
                <w:szCs w:val="21"/>
              </w:rPr>
            </w:pPr>
            <w:r>
              <w:rPr>
                <w:rFonts w:hint="eastAsia" w:ascii="宋体" w:hAnsi="宋体" w:eastAsia="宋体" w:cs="Times New Roman"/>
                <w:color w:val="000000"/>
                <w:kern w:val="0"/>
                <w:szCs w:val="21"/>
              </w:rPr>
              <w:t>40</w:t>
            </w:r>
          </w:p>
        </w:tc>
        <w:tc>
          <w:tcPr>
            <w:tcW w:w="9888" w:type="dxa"/>
            <w:tcBorders>
              <w:top w:val="single" w:color="auto" w:sz="4" w:space="0"/>
              <w:left w:val="single" w:color="auto" w:sz="4" w:space="0"/>
              <w:bottom w:val="single" w:color="auto" w:sz="4" w:space="0"/>
              <w:right w:val="single" w:color="auto" w:sz="4" w:space="0"/>
            </w:tcBorders>
            <w:vAlign w:val="center"/>
          </w:tcPr>
          <w:p w14:paraId="0B0141F0">
            <w:pPr>
              <w:widowControl/>
              <w:jc w:val="left"/>
              <w:rPr>
                <w:rFonts w:hint="eastAsia" w:ascii="宋体" w:hAnsi="宋体" w:eastAsia="宋体" w:cs="Times New Roman"/>
                <w:color w:val="000000"/>
                <w:kern w:val="0"/>
                <w:szCs w:val="21"/>
              </w:rPr>
            </w:pPr>
            <w:r>
              <w:rPr>
                <w:rFonts w:hint="eastAsia" w:ascii="宋体" w:hAnsi="宋体" w:eastAsia="宋体" w:cs="Times New Roman"/>
                <w:color w:val="000000"/>
                <w:kern w:val="0"/>
                <w:szCs w:val="21"/>
              </w:rPr>
              <w:t>所报产品的技术方案先进，装备制造能力、生产设备、加工工艺先进，各系统完善、性能可靠，设备主要核心部件具备自身技术优势，技术参数优于招标文件要求，视情况优得35-40分，良得21-30分，一般得1-20分。</w:t>
            </w:r>
          </w:p>
        </w:tc>
      </w:tr>
      <w:tr w14:paraId="19DB3571">
        <w:tblPrEx>
          <w:tblCellMar>
            <w:top w:w="0" w:type="dxa"/>
            <w:left w:w="108" w:type="dxa"/>
            <w:bottom w:w="0" w:type="dxa"/>
            <w:right w:w="108" w:type="dxa"/>
          </w:tblCellMar>
        </w:tblPrEx>
        <w:trPr>
          <w:trHeight w:val="452" w:hRule="atLeast"/>
        </w:trPr>
        <w:tc>
          <w:tcPr>
            <w:tcW w:w="1074" w:type="dxa"/>
            <w:vMerge w:val="continue"/>
            <w:tcBorders>
              <w:top w:val="single" w:color="auto" w:sz="4" w:space="0"/>
              <w:left w:val="single" w:color="auto" w:sz="4" w:space="0"/>
              <w:bottom w:val="single" w:color="auto" w:sz="4" w:space="0"/>
              <w:right w:val="single" w:color="auto" w:sz="4" w:space="0"/>
            </w:tcBorders>
            <w:vAlign w:val="center"/>
          </w:tcPr>
          <w:p w14:paraId="46060B0D">
            <w:pPr>
              <w:widowControl/>
              <w:jc w:val="left"/>
              <w:rPr>
                <w:rFonts w:hint="eastAsia" w:ascii="宋体" w:hAnsi="宋体" w:eastAsia="宋体" w:cs="Times New Roman"/>
                <w:color w:val="000000"/>
                <w:szCs w:val="21"/>
              </w:rPr>
            </w:pPr>
          </w:p>
        </w:tc>
        <w:tc>
          <w:tcPr>
            <w:tcW w:w="420" w:type="dxa"/>
            <w:tcBorders>
              <w:top w:val="single" w:color="auto" w:sz="4" w:space="0"/>
              <w:left w:val="single" w:color="auto" w:sz="4" w:space="0"/>
              <w:bottom w:val="single" w:color="auto" w:sz="4" w:space="0"/>
              <w:right w:val="single" w:color="auto" w:sz="4" w:space="0"/>
            </w:tcBorders>
            <w:vAlign w:val="center"/>
          </w:tcPr>
          <w:p w14:paraId="70E2B9BA">
            <w:pPr>
              <w:widowControl/>
              <w:jc w:val="center"/>
              <w:textAlignment w:val="center"/>
              <w:rPr>
                <w:rFonts w:hint="eastAsia" w:ascii="宋体" w:hAnsi="宋体" w:eastAsia="宋体" w:cs="Times New Roman"/>
                <w:color w:val="000000"/>
                <w:szCs w:val="21"/>
              </w:rPr>
            </w:pPr>
            <w:r>
              <w:rPr>
                <w:rFonts w:hint="eastAsia" w:ascii="宋体" w:hAnsi="宋体" w:eastAsia="宋体" w:cs="Times New Roman"/>
                <w:color w:val="000000"/>
                <w:kern w:val="0"/>
                <w:szCs w:val="21"/>
              </w:rPr>
              <w:t>2</w:t>
            </w:r>
          </w:p>
        </w:tc>
        <w:tc>
          <w:tcPr>
            <w:tcW w:w="1633" w:type="dxa"/>
            <w:tcBorders>
              <w:top w:val="single" w:color="auto" w:sz="4" w:space="0"/>
              <w:left w:val="single" w:color="auto" w:sz="4" w:space="0"/>
              <w:bottom w:val="single" w:color="auto" w:sz="4" w:space="0"/>
              <w:right w:val="single" w:color="auto" w:sz="4" w:space="0"/>
            </w:tcBorders>
            <w:vAlign w:val="center"/>
          </w:tcPr>
          <w:p w14:paraId="44FC03C4">
            <w:pPr>
              <w:widowControl/>
              <w:jc w:val="center"/>
              <w:textAlignment w:val="center"/>
              <w:rPr>
                <w:rFonts w:hint="eastAsia" w:ascii="宋体" w:hAnsi="宋体" w:eastAsia="宋体" w:cs="Times New Roman"/>
                <w:color w:val="000000"/>
                <w:kern w:val="0"/>
                <w:szCs w:val="21"/>
              </w:rPr>
            </w:pPr>
            <w:r>
              <w:rPr>
                <w:rFonts w:hint="eastAsia" w:ascii="宋体" w:hAnsi="宋体" w:eastAsia="宋体" w:cs="Times New Roman"/>
                <w:color w:val="000000"/>
                <w:kern w:val="0"/>
                <w:szCs w:val="21"/>
              </w:rPr>
              <w:t>项目组织及人员</w:t>
            </w:r>
          </w:p>
        </w:tc>
        <w:tc>
          <w:tcPr>
            <w:tcW w:w="1114" w:type="dxa"/>
            <w:tcBorders>
              <w:top w:val="single" w:color="auto" w:sz="4" w:space="0"/>
              <w:left w:val="single" w:color="auto" w:sz="4" w:space="0"/>
              <w:bottom w:val="single" w:color="auto" w:sz="4" w:space="0"/>
              <w:right w:val="single" w:color="auto" w:sz="4" w:space="0"/>
            </w:tcBorders>
            <w:vAlign w:val="center"/>
          </w:tcPr>
          <w:p w14:paraId="13293EF6">
            <w:pPr>
              <w:widowControl/>
              <w:jc w:val="center"/>
              <w:textAlignment w:val="center"/>
              <w:rPr>
                <w:rFonts w:hint="eastAsia" w:ascii="宋体" w:hAnsi="宋体" w:eastAsia="宋体" w:cs="Times New Roman"/>
                <w:color w:val="000000"/>
                <w:szCs w:val="21"/>
              </w:rPr>
            </w:pPr>
            <w:r>
              <w:rPr>
                <w:rFonts w:hint="eastAsia" w:ascii="宋体" w:hAnsi="宋体" w:eastAsia="宋体" w:cs="Times New Roman"/>
                <w:color w:val="000000"/>
                <w:kern w:val="0"/>
                <w:szCs w:val="21"/>
              </w:rPr>
              <w:t>10</w:t>
            </w:r>
          </w:p>
        </w:tc>
        <w:tc>
          <w:tcPr>
            <w:tcW w:w="9888" w:type="dxa"/>
            <w:tcBorders>
              <w:top w:val="single" w:color="auto" w:sz="4" w:space="0"/>
              <w:left w:val="single" w:color="auto" w:sz="4" w:space="0"/>
              <w:bottom w:val="single" w:color="auto" w:sz="4" w:space="0"/>
              <w:right w:val="single" w:color="auto" w:sz="4" w:space="0"/>
            </w:tcBorders>
            <w:vAlign w:val="center"/>
          </w:tcPr>
          <w:p w14:paraId="30612528">
            <w:pPr>
              <w:widowControl/>
              <w:jc w:val="left"/>
              <w:rPr>
                <w:rFonts w:hint="eastAsia" w:ascii="宋体" w:hAnsi="宋体" w:eastAsia="宋体" w:cs="Times New Roman"/>
                <w:color w:val="000000"/>
                <w:kern w:val="0"/>
                <w:szCs w:val="21"/>
              </w:rPr>
            </w:pPr>
            <w:r>
              <w:rPr>
                <w:rFonts w:hint="eastAsia" w:ascii="宋体" w:hAnsi="宋体" w:eastAsia="宋体" w:cs="Times New Roman"/>
                <w:color w:val="000000"/>
                <w:kern w:val="0"/>
                <w:szCs w:val="21"/>
              </w:rPr>
              <w:t>成立专项小组且职责明确，全流程项目人员经验丰富。根据方案进行综合评审，优得8-10分；良得5-7分；一般得1-4分。</w:t>
            </w:r>
          </w:p>
        </w:tc>
      </w:tr>
      <w:tr w14:paraId="4CA5B970">
        <w:tblPrEx>
          <w:tblCellMar>
            <w:top w:w="0" w:type="dxa"/>
            <w:left w:w="108" w:type="dxa"/>
            <w:bottom w:w="0" w:type="dxa"/>
            <w:right w:w="108" w:type="dxa"/>
          </w:tblCellMar>
        </w:tblPrEx>
        <w:trPr>
          <w:trHeight w:val="776" w:hRule="atLeast"/>
        </w:trPr>
        <w:tc>
          <w:tcPr>
            <w:tcW w:w="1074" w:type="dxa"/>
            <w:vMerge w:val="continue"/>
            <w:tcBorders>
              <w:top w:val="single" w:color="auto" w:sz="4" w:space="0"/>
              <w:left w:val="single" w:color="auto" w:sz="4" w:space="0"/>
              <w:bottom w:val="single" w:color="auto" w:sz="4" w:space="0"/>
              <w:right w:val="single" w:color="auto" w:sz="4" w:space="0"/>
            </w:tcBorders>
            <w:vAlign w:val="center"/>
          </w:tcPr>
          <w:p w14:paraId="099DF596">
            <w:pPr>
              <w:widowControl/>
              <w:jc w:val="left"/>
              <w:rPr>
                <w:rFonts w:hint="eastAsia" w:ascii="宋体" w:hAnsi="宋体" w:eastAsia="宋体" w:cs="Times New Roman"/>
                <w:color w:val="000000"/>
                <w:szCs w:val="21"/>
              </w:rPr>
            </w:pPr>
          </w:p>
        </w:tc>
        <w:tc>
          <w:tcPr>
            <w:tcW w:w="420" w:type="dxa"/>
            <w:tcBorders>
              <w:top w:val="single" w:color="auto" w:sz="4" w:space="0"/>
              <w:left w:val="single" w:color="auto" w:sz="4" w:space="0"/>
              <w:bottom w:val="single" w:color="auto" w:sz="4" w:space="0"/>
              <w:right w:val="single" w:color="auto" w:sz="4" w:space="0"/>
            </w:tcBorders>
            <w:vAlign w:val="center"/>
          </w:tcPr>
          <w:p w14:paraId="0BE3448D">
            <w:pPr>
              <w:widowControl/>
              <w:jc w:val="center"/>
              <w:textAlignment w:val="center"/>
              <w:rPr>
                <w:rFonts w:hint="eastAsia" w:ascii="宋体" w:hAnsi="宋体" w:eastAsia="宋体" w:cs="Times New Roman"/>
                <w:color w:val="000000"/>
                <w:szCs w:val="21"/>
              </w:rPr>
            </w:pPr>
            <w:r>
              <w:rPr>
                <w:rFonts w:hint="eastAsia" w:ascii="宋体" w:hAnsi="宋体" w:eastAsia="宋体" w:cs="Times New Roman"/>
                <w:color w:val="000000"/>
                <w:kern w:val="0"/>
                <w:szCs w:val="21"/>
              </w:rPr>
              <w:t>3</w:t>
            </w:r>
          </w:p>
        </w:tc>
        <w:tc>
          <w:tcPr>
            <w:tcW w:w="1633" w:type="dxa"/>
            <w:tcBorders>
              <w:top w:val="single" w:color="auto" w:sz="4" w:space="0"/>
              <w:left w:val="single" w:color="auto" w:sz="4" w:space="0"/>
              <w:bottom w:val="single" w:color="auto" w:sz="4" w:space="0"/>
              <w:right w:val="single" w:color="auto" w:sz="4" w:space="0"/>
            </w:tcBorders>
            <w:vAlign w:val="center"/>
          </w:tcPr>
          <w:p w14:paraId="28C98C85">
            <w:pPr>
              <w:widowControl/>
              <w:jc w:val="center"/>
              <w:textAlignment w:val="center"/>
              <w:rPr>
                <w:rFonts w:hint="eastAsia" w:ascii="宋体" w:hAnsi="宋体" w:eastAsia="宋体" w:cs="Times New Roman"/>
                <w:color w:val="000000"/>
                <w:kern w:val="0"/>
                <w:szCs w:val="21"/>
              </w:rPr>
            </w:pPr>
            <w:r>
              <w:rPr>
                <w:rFonts w:hint="eastAsia" w:ascii="宋体" w:hAnsi="宋体" w:eastAsia="宋体" w:cs="Times New Roman"/>
                <w:color w:val="000000"/>
                <w:kern w:val="0"/>
                <w:szCs w:val="21"/>
              </w:rPr>
              <w:t>供货周期</w:t>
            </w:r>
          </w:p>
        </w:tc>
        <w:tc>
          <w:tcPr>
            <w:tcW w:w="1114" w:type="dxa"/>
            <w:tcBorders>
              <w:top w:val="single" w:color="auto" w:sz="4" w:space="0"/>
              <w:left w:val="single" w:color="auto" w:sz="4" w:space="0"/>
              <w:bottom w:val="single" w:color="auto" w:sz="4" w:space="0"/>
              <w:right w:val="single" w:color="auto" w:sz="4" w:space="0"/>
            </w:tcBorders>
            <w:vAlign w:val="center"/>
          </w:tcPr>
          <w:p w14:paraId="5720A61A">
            <w:pPr>
              <w:widowControl/>
              <w:jc w:val="center"/>
              <w:textAlignment w:val="center"/>
              <w:rPr>
                <w:rFonts w:hint="eastAsia" w:ascii="宋体" w:hAnsi="宋体" w:eastAsia="宋体" w:cs="Times New Roman"/>
                <w:color w:val="000000"/>
                <w:szCs w:val="21"/>
              </w:rPr>
            </w:pPr>
            <w:r>
              <w:rPr>
                <w:rFonts w:hint="eastAsia" w:ascii="宋体" w:hAnsi="宋体" w:eastAsia="宋体" w:cs="Times New Roman"/>
                <w:color w:val="000000"/>
                <w:kern w:val="0"/>
                <w:szCs w:val="21"/>
              </w:rPr>
              <w:t>20</w:t>
            </w:r>
          </w:p>
        </w:tc>
        <w:tc>
          <w:tcPr>
            <w:tcW w:w="9888" w:type="dxa"/>
            <w:tcBorders>
              <w:top w:val="single" w:color="auto" w:sz="4" w:space="0"/>
              <w:left w:val="single" w:color="auto" w:sz="4" w:space="0"/>
              <w:bottom w:val="single" w:color="auto" w:sz="4" w:space="0"/>
              <w:right w:val="single" w:color="auto" w:sz="4" w:space="0"/>
            </w:tcBorders>
            <w:vAlign w:val="center"/>
          </w:tcPr>
          <w:p w14:paraId="1A9120D8">
            <w:pPr>
              <w:widowControl/>
              <w:jc w:val="left"/>
              <w:rPr>
                <w:rFonts w:hint="eastAsia" w:ascii="宋体" w:hAnsi="宋体" w:eastAsia="宋体" w:cs="Times New Roman"/>
                <w:color w:val="000000"/>
                <w:kern w:val="0"/>
                <w:szCs w:val="21"/>
              </w:rPr>
            </w:pPr>
            <w:r>
              <w:rPr>
                <w:rFonts w:hint="eastAsia" w:ascii="宋体" w:hAnsi="宋体" w:eastAsia="宋体" w:cs="Times New Roman"/>
                <w:color w:val="000000"/>
                <w:kern w:val="0"/>
                <w:szCs w:val="21"/>
              </w:rPr>
              <w:t>响应供货期和现场停工期基本要求，有详细可行的行动计划能保证项目进度，有风险管理措施；加工、制作方案合理、完善、切实可行能确保安全；能满足交货期者视情况得15-20分；剩余投标方得1-14分。</w:t>
            </w:r>
          </w:p>
        </w:tc>
      </w:tr>
      <w:tr w14:paraId="276B1853">
        <w:tblPrEx>
          <w:tblCellMar>
            <w:top w:w="0" w:type="dxa"/>
            <w:left w:w="108" w:type="dxa"/>
            <w:bottom w:w="0" w:type="dxa"/>
            <w:right w:w="108" w:type="dxa"/>
          </w:tblCellMar>
        </w:tblPrEx>
        <w:trPr>
          <w:trHeight w:val="510" w:hRule="atLeast"/>
        </w:trPr>
        <w:tc>
          <w:tcPr>
            <w:tcW w:w="1074" w:type="dxa"/>
            <w:vMerge w:val="continue"/>
            <w:tcBorders>
              <w:top w:val="single" w:color="auto" w:sz="4" w:space="0"/>
              <w:left w:val="single" w:color="auto" w:sz="4" w:space="0"/>
              <w:bottom w:val="single" w:color="auto" w:sz="4" w:space="0"/>
              <w:right w:val="single" w:color="auto" w:sz="4" w:space="0"/>
            </w:tcBorders>
            <w:vAlign w:val="center"/>
          </w:tcPr>
          <w:p w14:paraId="0CC7D5A8">
            <w:pPr>
              <w:widowControl/>
              <w:jc w:val="left"/>
              <w:rPr>
                <w:rFonts w:hint="eastAsia" w:ascii="宋体" w:hAnsi="宋体" w:eastAsia="宋体" w:cs="Times New Roman"/>
                <w:color w:val="000000"/>
                <w:szCs w:val="21"/>
              </w:rPr>
            </w:pPr>
          </w:p>
        </w:tc>
        <w:tc>
          <w:tcPr>
            <w:tcW w:w="420" w:type="dxa"/>
            <w:tcBorders>
              <w:top w:val="single" w:color="auto" w:sz="4" w:space="0"/>
              <w:left w:val="single" w:color="auto" w:sz="4" w:space="0"/>
              <w:bottom w:val="single" w:color="auto" w:sz="4" w:space="0"/>
              <w:right w:val="single" w:color="auto" w:sz="4" w:space="0"/>
            </w:tcBorders>
            <w:vAlign w:val="center"/>
          </w:tcPr>
          <w:p w14:paraId="695C4AF2">
            <w:pPr>
              <w:widowControl/>
              <w:jc w:val="center"/>
              <w:textAlignment w:val="center"/>
              <w:rPr>
                <w:rFonts w:hint="eastAsia" w:ascii="宋体" w:hAnsi="宋体" w:eastAsia="宋体" w:cs="Times New Roman"/>
                <w:color w:val="000000"/>
                <w:szCs w:val="21"/>
              </w:rPr>
            </w:pPr>
            <w:r>
              <w:rPr>
                <w:rFonts w:hint="eastAsia" w:ascii="宋体" w:hAnsi="宋体" w:eastAsia="宋体" w:cs="Times New Roman"/>
                <w:color w:val="000000"/>
                <w:kern w:val="0"/>
                <w:szCs w:val="21"/>
              </w:rPr>
              <w:t>4</w:t>
            </w:r>
          </w:p>
        </w:tc>
        <w:tc>
          <w:tcPr>
            <w:tcW w:w="1633" w:type="dxa"/>
            <w:tcBorders>
              <w:top w:val="single" w:color="auto" w:sz="4" w:space="0"/>
              <w:left w:val="single" w:color="auto" w:sz="4" w:space="0"/>
              <w:bottom w:val="single" w:color="auto" w:sz="4" w:space="0"/>
              <w:right w:val="single" w:color="auto" w:sz="4" w:space="0"/>
            </w:tcBorders>
            <w:vAlign w:val="center"/>
          </w:tcPr>
          <w:p w14:paraId="14B4199B">
            <w:pPr>
              <w:widowControl/>
              <w:jc w:val="center"/>
              <w:textAlignment w:val="center"/>
              <w:rPr>
                <w:rFonts w:hint="eastAsia" w:ascii="宋体" w:hAnsi="宋体" w:eastAsia="宋体" w:cs="Times New Roman"/>
                <w:color w:val="000000"/>
                <w:kern w:val="0"/>
                <w:szCs w:val="21"/>
              </w:rPr>
            </w:pPr>
            <w:r>
              <w:rPr>
                <w:rFonts w:hint="eastAsia" w:ascii="宋体" w:hAnsi="宋体" w:eastAsia="宋体" w:cs="Times New Roman"/>
                <w:color w:val="000000"/>
                <w:kern w:val="0"/>
                <w:szCs w:val="21"/>
              </w:rPr>
              <w:t>类似业绩</w:t>
            </w:r>
          </w:p>
        </w:tc>
        <w:tc>
          <w:tcPr>
            <w:tcW w:w="1114" w:type="dxa"/>
            <w:tcBorders>
              <w:top w:val="single" w:color="auto" w:sz="4" w:space="0"/>
              <w:left w:val="single" w:color="auto" w:sz="4" w:space="0"/>
              <w:bottom w:val="single" w:color="auto" w:sz="4" w:space="0"/>
              <w:right w:val="single" w:color="auto" w:sz="4" w:space="0"/>
            </w:tcBorders>
            <w:vAlign w:val="center"/>
          </w:tcPr>
          <w:p w14:paraId="5C47142B">
            <w:pPr>
              <w:widowControl/>
              <w:jc w:val="center"/>
              <w:textAlignment w:val="center"/>
              <w:rPr>
                <w:rFonts w:hint="eastAsia" w:ascii="宋体" w:hAnsi="宋体" w:eastAsia="宋体" w:cs="Times New Roman"/>
                <w:color w:val="000000"/>
                <w:szCs w:val="21"/>
              </w:rPr>
            </w:pPr>
            <w:r>
              <w:rPr>
                <w:rFonts w:hint="eastAsia" w:ascii="宋体" w:hAnsi="宋体" w:eastAsia="宋体" w:cs="Times New Roman"/>
                <w:color w:val="000000"/>
                <w:kern w:val="0"/>
                <w:szCs w:val="21"/>
              </w:rPr>
              <w:t>10</w:t>
            </w:r>
          </w:p>
        </w:tc>
        <w:tc>
          <w:tcPr>
            <w:tcW w:w="9888" w:type="dxa"/>
            <w:tcBorders>
              <w:top w:val="single" w:color="auto" w:sz="4" w:space="0"/>
              <w:left w:val="single" w:color="auto" w:sz="4" w:space="0"/>
              <w:bottom w:val="single" w:color="auto" w:sz="4" w:space="0"/>
              <w:right w:val="single" w:color="auto" w:sz="4" w:space="0"/>
            </w:tcBorders>
            <w:vAlign w:val="center"/>
          </w:tcPr>
          <w:p w14:paraId="2DDD8CB0">
            <w:pPr>
              <w:widowControl/>
              <w:jc w:val="left"/>
              <w:rPr>
                <w:rFonts w:hint="eastAsia" w:ascii="宋体" w:hAnsi="宋体" w:eastAsia="宋体" w:cs="Times New Roman"/>
                <w:color w:val="000000"/>
                <w:kern w:val="0"/>
                <w:szCs w:val="21"/>
              </w:rPr>
            </w:pPr>
            <w:r>
              <w:rPr>
                <w:rFonts w:hint="eastAsia" w:ascii="宋体" w:hAnsi="宋体" w:eastAsia="宋体" w:cs="Times New Roman"/>
                <w:color w:val="000000"/>
                <w:kern w:val="0"/>
                <w:szCs w:val="21"/>
              </w:rPr>
              <w:t>近三年国内或国外知名品牌商用车或乘用车供货经历和经验或其他大型供货经历，提供1份投标同类产品开发合同证明材料，得2分，最高得10分。</w:t>
            </w:r>
          </w:p>
        </w:tc>
      </w:tr>
      <w:tr w14:paraId="44213DCD">
        <w:tblPrEx>
          <w:tblCellMar>
            <w:top w:w="0" w:type="dxa"/>
            <w:left w:w="108" w:type="dxa"/>
            <w:bottom w:w="0" w:type="dxa"/>
            <w:right w:w="108" w:type="dxa"/>
          </w:tblCellMar>
        </w:tblPrEx>
        <w:trPr>
          <w:trHeight w:val="510" w:hRule="atLeast"/>
        </w:trPr>
        <w:tc>
          <w:tcPr>
            <w:tcW w:w="1074" w:type="dxa"/>
            <w:vMerge w:val="continue"/>
            <w:tcBorders>
              <w:top w:val="single" w:color="auto" w:sz="4" w:space="0"/>
              <w:left w:val="single" w:color="auto" w:sz="4" w:space="0"/>
              <w:bottom w:val="single" w:color="auto" w:sz="4" w:space="0"/>
              <w:right w:val="single" w:color="auto" w:sz="4" w:space="0"/>
            </w:tcBorders>
            <w:vAlign w:val="center"/>
          </w:tcPr>
          <w:p w14:paraId="52910091">
            <w:pPr>
              <w:widowControl/>
              <w:jc w:val="left"/>
              <w:rPr>
                <w:rFonts w:hint="eastAsia" w:ascii="宋体" w:hAnsi="宋体" w:eastAsia="宋体" w:cs="Times New Roman"/>
                <w:color w:val="000000"/>
                <w:szCs w:val="21"/>
              </w:rPr>
            </w:pPr>
          </w:p>
        </w:tc>
        <w:tc>
          <w:tcPr>
            <w:tcW w:w="420" w:type="dxa"/>
            <w:tcBorders>
              <w:top w:val="single" w:color="auto" w:sz="4" w:space="0"/>
              <w:left w:val="single" w:color="auto" w:sz="4" w:space="0"/>
              <w:bottom w:val="single" w:color="auto" w:sz="4" w:space="0"/>
              <w:right w:val="single" w:color="auto" w:sz="4" w:space="0"/>
            </w:tcBorders>
            <w:vAlign w:val="center"/>
          </w:tcPr>
          <w:p w14:paraId="1FCFA168">
            <w:pPr>
              <w:widowControl/>
              <w:jc w:val="center"/>
              <w:textAlignment w:val="center"/>
              <w:rPr>
                <w:rFonts w:hint="eastAsia" w:ascii="宋体" w:hAnsi="宋体" w:eastAsia="宋体" w:cs="Times New Roman"/>
                <w:color w:val="000000"/>
                <w:szCs w:val="21"/>
              </w:rPr>
            </w:pPr>
            <w:r>
              <w:rPr>
                <w:rFonts w:hint="eastAsia" w:ascii="宋体" w:hAnsi="宋体" w:eastAsia="宋体" w:cs="Times New Roman"/>
                <w:color w:val="000000"/>
                <w:kern w:val="0"/>
                <w:szCs w:val="21"/>
              </w:rPr>
              <w:t>5</w:t>
            </w:r>
          </w:p>
        </w:tc>
        <w:tc>
          <w:tcPr>
            <w:tcW w:w="1633" w:type="dxa"/>
            <w:tcBorders>
              <w:top w:val="single" w:color="auto" w:sz="4" w:space="0"/>
              <w:left w:val="single" w:color="auto" w:sz="4" w:space="0"/>
              <w:bottom w:val="single" w:color="auto" w:sz="4" w:space="0"/>
              <w:right w:val="single" w:color="auto" w:sz="4" w:space="0"/>
            </w:tcBorders>
            <w:vAlign w:val="center"/>
          </w:tcPr>
          <w:p w14:paraId="7B6FC761">
            <w:pPr>
              <w:widowControl/>
              <w:jc w:val="center"/>
              <w:rPr>
                <w:rFonts w:hint="eastAsia" w:ascii="宋体" w:hAnsi="宋体" w:eastAsia="宋体" w:cs="Times New Roman"/>
                <w:color w:val="000000"/>
                <w:kern w:val="0"/>
                <w:szCs w:val="21"/>
              </w:rPr>
            </w:pPr>
            <w:r>
              <w:rPr>
                <w:rFonts w:hint="eastAsia" w:ascii="宋体" w:hAnsi="宋体" w:eastAsia="宋体" w:cs="Times New Roman"/>
                <w:color w:val="000000"/>
                <w:kern w:val="0"/>
                <w:szCs w:val="21"/>
              </w:rPr>
              <w:t>质量保障</w:t>
            </w:r>
          </w:p>
        </w:tc>
        <w:tc>
          <w:tcPr>
            <w:tcW w:w="1114" w:type="dxa"/>
            <w:tcBorders>
              <w:top w:val="single" w:color="auto" w:sz="4" w:space="0"/>
              <w:left w:val="single" w:color="auto" w:sz="4" w:space="0"/>
              <w:bottom w:val="single" w:color="auto" w:sz="4" w:space="0"/>
              <w:right w:val="single" w:color="auto" w:sz="4" w:space="0"/>
            </w:tcBorders>
            <w:vAlign w:val="center"/>
          </w:tcPr>
          <w:p w14:paraId="0A40C1B6">
            <w:pPr>
              <w:widowControl/>
              <w:jc w:val="center"/>
              <w:textAlignment w:val="center"/>
              <w:rPr>
                <w:rFonts w:hint="eastAsia" w:ascii="宋体" w:hAnsi="宋体" w:eastAsia="宋体" w:cs="Times New Roman"/>
                <w:color w:val="000000"/>
                <w:szCs w:val="21"/>
              </w:rPr>
            </w:pPr>
            <w:r>
              <w:rPr>
                <w:rFonts w:hint="eastAsia" w:ascii="宋体" w:hAnsi="宋体" w:eastAsia="宋体" w:cs="Times New Roman"/>
                <w:color w:val="000000"/>
                <w:kern w:val="0"/>
                <w:szCs w:val="21"/>
              </w:rPr>
              <w:t>10</w:t>
            </w:r>
          </w:p>
        </w:tc>
        <w:tc>
          <w:tcPr>
            <w:tcW w:w="9888" w:type="dxa"/>
            <w:tcBorders>
              <w:top w:val="single" w:color="auto" w:sz="4" w:space="0"/>
              <w:left w:val="single" w:color="auto" w:sz="4" w:space="0"/>
              <w:bottom w:val="single" w:color="auto" w:sz="4" w:space="0"/>
              <w:right w:val="single" w:color="auto" w:sz="4" w:space="0"/>
            </w:tcBorders>
            <w:vAlign w:val="center"/>
          </w:tcPr>
          <w:p w14:paraId="71542520">
            <w:pPr>
              <w:widowControl/>
              <w:jc w:val="left"/>
              <w:rPr>
                <w:rFonts w:hint="eastAsia" w:ascii="宋体" w:hAnsi="宋体" w:eastAsia="宋体" w:cs="Times New Roman"/>
                <w:color w:val="000000"/>
                <w:kern w:val="0"/>
                <w:szCs w:val="21"/>
              </w:rPr>
            </w:pPr>
            <w:r>
              <w:rPr>
                <w:rFonts w:hint="eastAsia" w:ascii="宋体" w:hAnsi="宋体" w:eastAsia="宋体" w:cs="Times New Roman"/>
                <w:color w:val="000000"/>
                <w:kern w:val="0"/>
                <w:szCs w:val="21"/>
              </w:rPr>
              <w:t>具有良好的质量管理体系和完备的检测体系，保证提供的产品质量、性能稳定可靠。根据提供的证明资料进行综合评审，优得10分，良得5-9分，一般得1-4分。</w:t>
            </w:r>
          </w:p>
        </w:tc>
      </w:tr>
      <w:tr w14:paraId="7D9533E7">
        <w:tblPrEx>
          <w:tblCellMar>
            <w:top w:w="0" w:type="dxa"/>
            <w:left w:w="108" w:type="dxa"/>
            <w:bottom w:w="0" w:type="dxa"/>
            <w:right w:w="108" w:type="dxa"/>
          </w:tblCellMar>
        </w:tblPrEx>
        <w:trPr>
          <w:trHeight w:val="510" w:hRule="atLeast"/>
        </w:trPr>
        <w:tc>
          <w:tcPr>
            <w:tcW w:w="14129" w:type="dxa"/>
            <w:gridSpan w:val="5"/>
            <w:tcBorders>
              <w:top w:val="single" w:color="auto" w:sz="4" w:space="0"/>
              <w:left w:val="single" w:color="auto" w:sz="4" w:space="0"/>
              <w:bottom w:val="single" w:color="auto" w:sz="4" w:space="0"/>
              <w:right w:val="single" w:color="auto" w:sz="4" w:space="0"/>
            </w:tcBorders>
            <w:vAlign w:val="center"/>
          </w:tcPr>
          <w:p w14:paraId="4A4CC102">
            <w:pPr>
              <w:widowControl/>
              <w:jc w:val="left"/>
              <w:rPr>
                <w:rFonts w:hint="eastAsia" w:ascii="宋体" w:hAnsi="宋体" w:eastAsia="宋体" w:cs="Times New Roman"/>
                <w:color w:val="000000"/>
                <w:kern w:val="0"/>
                <w:szCs w:val="21"/>
              </w:rPr>
            </w:pPr>
            <w:r>
              <w:rPr>
                <w:rFonts w:hint="eastAsia" w:ascii="宋体" w:hAnsi="宋体" w:eastAsia="宋体" w:cs="Times New Roman"/>
                <w:color w:val="000000"/>
                <w:szCs w:val="21"/>
              </w:rPr>
              <w:t>商务标</w:t>
            </w:r>
          </w:p>
        </w:tc>
      </w:tr>
      <w:tr w14:paraId="6387AEFF">
        <w:tblPrEx>
          <w:tblCellMar>
            <w:top w:w="0" w:type="dxa"/>
            <w:left w:w="108" w:type="dxa"/>
            <w:bottom w:w="0" w:type="dxa"/>
            <w:right w:w="108" w:type="dxa"/>
          </w:tblCellMar>
        </w:tblPrEx>
        <w:trPr>
          <w:trHeight w:val="510" w:hRule="atLeast"/>
        </w:trPr>
        <w:tc>
          <w:tcPr>
            <w:tcW w:w="14129" w:type="dxa"/>
            <w:gridSpan w:val="5"/>
            <w:tcBorders>
              <w:top w:val="single" w:color="auto" w:sz="4" w:space="0"/>
              <w:left w:val="single" w:color="auto" w:sz="4" w:space="0"/>
              <w:bottom w:val="single" w:color="auto" w:sz="4" w:space="0"/>
              <w:right w:val="single" w:color="auto" w:sz="4" w:space="0"/>
            </w:tcBorders>
            <w:vAlign w:val="center"/>
          </w:tcPr>
          <w:p w14:paraId="5FF51E60">
            <w:pPr>
              <w:tabs>
                <w:tab w:val="left" w:pos="7854"/>
              </w:tabs>
              <w:rPr>
                <w:rFonts w:ascii="Times New Roman" w:hAnsi="Times New Roman" w:eastAsia="宋体" w:cs="Times New Roman"/>
              </w:rPr>
            </w:pPr>
            <w:r>
              <w:rPr>
                <w:rFonts w:hint="eastAsia" w:ascii="Times New Roman" w:hAnsi="Times New Roman" w:eastAsia="宋体" w:cs="Times New Roman"/>
              </w:rPr>
              <w:t xml:space="preserve">评标基准价： </w:t>
            </w:r>
          </w:p>
          <w:p w14:paraId="599B33A6">
            <w:pPr>
              <w:tabs>
                <w:tab w:val="left" w:pos="7854"/>
              </w:tabs>
              <w:rPr>
                <w:rFonts w:ascii="Times New Roman" w:hAnsi="Times New Roman" w:eastAsia="宋体" w:cs="Times New Roman"/>
              </w:rPr>
            </w:pPr>
            <w:r>
              <w:rPr>
                <w:rFonts w:hint="eastAsia" w:ascii="Times New Roman" w:hAnsi="Times New Roman" w:eastAsia="宋体" w:cs="Times New Roman"/>
              </w:rPr>
              <w:t>1、评标基准价为本轮次有效的最终投标报价的最低价。</w:t>
            </w:r>
          </w:p>
          <w:p w14:paraId="32193AED">
            <w:pPr>
              <w:tabs>
                <w:tab w:val="left" w:pos="7854"/>
              </w:tabs>
              <w:rPr>
                <w:rFonts w:ascii="Times New Roman" w:hAnsi="Times New Roman" w:eastAsia="宋体" w:cs="Times New Roman"/>
              </w:rPr>
            </w:pPr>
            <w:r>
              <w:rPr>
                <w:rFonts w:hint="eastAsia" w:ascii="Times New Roman" w:hAnsi="Times New Roman" w:eastAsia="宋体" w:cs="Times New Roman"/>
              </w:rPr>
              <w:t>2、有效的评标基准价得100分；其他投标人的价格得分按下列公式计算：投标价格得分=100×（评标基准价/投标报价）。</w:t>
            </w:r>
          </w:p>
          <w:p w14:paraId="0CF664DA">
            <w:pPr>
              <w:widowControl/>
              <w:jc w:val="left"/>
              <w:rPr>
                <w:rFonts w:hint="eastAsia" w:ascii="宋体" w:hAnsi="宋体" w:eastAsia="宋体" w:cs="Times New Roman"/>
                <w:color w:val="000000"/>
                <w:kern w:val="0"/>
                <w:szCs w:val="21"/>
              </w:rPr>
            </w:pPr>
            <w:r>
              <w:rPr>
                <w:rFonts w:hint="eastAsia" w:ascii="Times New Roman" w:hAnsi="Times New Roman" w:eastAsia="宋体" w:cs="Times New Roman"/>
              </w:rPr>
              <w:t>注：得分值取小数点后两位，不足一个百分点的，按照四舍五入法计算。</w:t>
            </w:r>
          </w:p>
        </w:tc>
      </w:tr>
      <w:tr w14:paraId="39228D47">
        <w:tblPrEx>
          <w:tblCellMar>
            <w:top w:w="0" w:type="dxa"/>
            <w:left w:w="108" w:type="dxa"/>
            <w:bottom w:w="0" w:type="dxa"/>
            <w:right w:w="108" w:type="dxa"/>
          </w:tblCellMar>
        </w:tblPrEx>
        <w:trPr>
          <w:trHeight w:val="510" w:hRule="atLeast"/>
        </w:trPr>
        <w:tc>
          <w:tcPr>
            <w:tcW w:w="14129" w:type="dxa"/>
            <w:gridSpan w:val="5"/>
            <w:tcBorders>
              <w:top w:val="single" w:color="auto" w:sz="4" w:space="0"/>
              <w:left w:val="single" w:color="auto" w:sz="4" w:space="0"/>
              <w:bottom w:val="single" w:color="auto" w:sz="4" w:space="0"/>
              <w:right w:val="single" w:color="auto" w:sz="4" w:space="0"/>
            </w:tcBorders>
            <w:vAlign w:val="center"/>
          </w:tcPr>
          <w:p w14:paraId="6751687E">
            <w:pPr>
              <w:widowControl/>
              <w:jc w:val="left"/>
              <w:rPr>
                <w:rFonts w:hint="eastAsia" w:ascii="宋体" w:hAnsi="宋体" w:eastAsia="宋体" w:cs="Times New Roman"/>
                <w:color w:val="000000"/>
                <w:kern w:val="0"/>
                <w:szCs w:val="21"/>
              </w:rPr>
            </w:pPr>
            <w:r>
              <w:rPr>
                <w:rFonts w:hint="eastAsia" w:ascii="Times New Roman" w:hAnsi="Times New Roman" w:eastAsia="宋体" w:cs="Times New Roman"/>
                <w:b/>
                <w:szCs w:val="21"/>
              </w:rPr>
              <w:t>综合得分</w:t>
            </w:r>
          </w:p>
        </w:tc>
      </w:tr>
      <w:tr w14:paraId="01B7280B">
        <w:tblPrEx>
          <w:tblCellMar>
            <w:top w:w="0" w:type="dxa"/>
            <w:left w:w="108" w:type="dxa"/>
            <w:bottom w:w="0" w:type="dxa"/>
            <w:right w:w="108" w:type="dxa"/>
          </w:tblCellMar>
        </w:tblPrEx>
        <w:trPr>
          <w:trHeight w:val="510" w:hRule="atLeast"/>
        </w:trPr>
        <w:tc>
          <w:tcPr>
            <w:tcW w:w="14129" w:type="dxa"/>
            <w:gridSpan w:val="5"/>
            <w:tcBorders>
              <w:top w:val="single" w:color="auto" w:sz="4" w:space="0"/>
              <w:left w:val="single" w:color="auto" w:sz="4" w:space="0"/>
              <w:bottom w:val="single" w:color="auto" w:sz="4" w:space="0"/>
              <w:right w:val="single" w:color="auto" w:sz="4" w:space="0"/>
            </w:tcBorders>
            <w:vAlign w:val="center"/>
          </w:tcPr>
          <w:p w14:paraId="7D92BF05">
            <w:pPr>
              <w:widowControl/>
              <w:jc w:val="left"/>
              <w:rPr>
                <w:rFonts w:hint="eastAsia" w:ascii="宋体" w:hAnsi="宋体" w:eastAsia="宋体" w:cs="Times New Roman"/>
                <w:color w:val="000000"/>
                <w:kern w:val="0"/>
                <w:szCs w:val="21"/>
              </w:rPr>
            </w:pPr>
            <w:r>
              <w:rPr>
                <w:rFonts w:hint="eastAsia" w:ascii="Times New Roman" w:hAnsi="Times New Roman" w:eastAsia="宋体" w:cs="Times New Roman"/>
                <w:b/>
                <w:szCs w:val="21"/>
              </w:rPr>
              <w:t>综合得分=技术分×</w:t>
            </w:r>
            <w:r>
              <w:rPr>
                <w:rFonts w:hint="eastAsia" w:ascii="Times New Roman" w:hAnsi="Times New Roman" w:eastAsia="宋体" w:cs="Times New Roman"/>
                <w:b/>
                <w:szCs w:val="21"/>
                <w:lang w:val="en-US" w:eastAsia="zh-CN"/>
              </w:rPr>
              <w:t>4</w:t>
            </w:r>
            <w:r>
              <w:rPr>
                <w:rFonts w:hint="eastAsia" w:ascii="Times New Roman" w:hAnsi="Times New Roman" w:eastAsia="宋体" w:cs="Times New Roman"/>
                <w:b/>
                <w:szCs w:val="21"/>
              </w:rPr>
              <w:t>0%＋商务标得分×</w:t>
            </w:r>
            <w:r>
              <w:rPr>
                <w:rFonts w:hint="eastAsia" w:ascii="Times New Roman" w:hAnsi="Times New Roman" w:eastAsia="宋体" w:cs="Times New Roman"/>
                <w:b/>
                <w:szCs w:val="21"/>
                <w:lang w:val="en-US" w:eastAsia="zh-CN"/>
              </w:rPr>
              <w:t>6</w:t>
            </w:r>
            <w:r>
              <w:rPr>
                <w:rFonts w:hint="eastAsia" w:ascii="Times New Roman" w:hAnsi="Times New Roman" w:eastAsia="宋体" w:cs="Times New Roman"/>
                <w:b/>
                <w:szCs w:val="21"/>
              </w:rPr>
              <w:t>0%</w:t>
            </w:r>
          </w:p>
        </w:tc>
      </w:tr>
    </w:tbl>
    <w:p w14:paraId="6A87DFF9">
      <w:pPr>
        <w:spacing w:line="360" w:lineRule="auto"/>
        <w:ind w:firstLine="482" w:firstLineChars="200"/>
        <w:rPr>
          <w:rFonts w:hint="eastAsia" w:ascii="宋体" w:hAnsi="宋体" w:eastAsia="宋体" w:cs="Times New Roman"/>
          <w:color w:val="000000"/>
          <w:sz w:val="24"/>
          <w:szCs w:val="24"/>
        </w:rPr>
      </w:pPr>
      <w:r>
        <w:rPr>
          <w:rFonts w:hint="eastAsia" w:ascii="宋体" w:hAnsi="宋体" w:eastAsia="宋体" w:cs="Times New Roman"/>
          <w:b/>
          <w:bCs/>
          <w:color w:val="000000"/>
          <w:sz w:val="24"/>
          <w:szCs w:val="24"/>
        </w:rPr>
        <w:t>技术标80分及以上推荐入围商务标阶段</w:t>
      </w:r>
      <w:r>
        <w:rPr>
          <w:rFonts w:hint="eastAsia" w:ascii="宋体" w:hAnsi="宋体" w:eastAsia="宋体" w:cs="Times New Roman"/>
          <w:color w:val="000000"/>
          <w:sz w:val="24"/>
          <w:szCs w:val="24"/>
        </w:rPr>
        <w:t>，评标过程中必须确保推荐的入围候选中标人，在功能、质量、先进性、业绩等方面均符合招标标准要求。</w:t>
      </w:r>
    </w:p>
    <w:p w14:paraId="79A83337">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评标方法</w:t>
      </w:r>
    </w:p>
    <w:p w14:paraId="44C1BB11">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a、若技术标评审出现总分并列时，比较产品技术与服务承诺部分综合得分，此分项得分高者排序在前；若产品技术与服务承诺综合得分仍相同，则由全体评委成员无记名投票，得票高者排序在前。</w:t>
      </w:r>
    </w:p>
    <w:p w14:paraId="57325F34">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b、评委打分超过得分界限或未按本方法赋分时，该评委的打分按废票处理。</w:t>
      </w:r>
    </w:p>
    <w:p w14:paraId="427B3A89">
      <w:pPr>
        <w:keepNext/>
        <w:keepLines/>
        <w:spacing w:line="360" w:lineRule="auto"/>
        <w:ind w:firstLine="480" w:firstLineChars="200"/>
        <w:outlineLvl w:val="1"/>
        <w:rPr>
          <w:rFonts w:ascii="Arial" w:hAnsi="Arial" w:eastAsia="宋体" w:cs="Times New Roman"/>
          <w:b/>
          <w:bCs/>
          <w:sz w:val="24"/>
          <w:szCs w:val="24"/>
        </w:rPr>
      </w:pPr>
      <w:r>
        <w:rPr>
          <w:rFonts w:hint="eastAsia" w:ascii="宋体" w:hAnsi="宋体" w:eastAsia="宋体" w:cs="Times New Roman"/>
          <w:color w:val="000000"/>
          <w:sz w:val="24"/>
          <w:szCs w:val="24"/>
        </w:rPr>
        <w:t>c、评标过程中，若出现本办法以外的特殊情况时，将暂停评标，有关情况处理意见待招标工作小组确认后，再行评定。</w:t>
      </w:r>
    </w:p>
    <w:p w14:paraId="0C818226">
      <w:pPr>
        <w:rPr>
          <w:rFonts w:hint="eastAsia"/>
        </w:rPr>
        <w:sectPr>
          <w:pgSz w:w="16838" w:h="11906" w:orient="landscape"/>
          <w:pgMar w:top="1417" w:right="1587" w:bottom="1417" w:left="1134" w:header="850" w:footer="992" w:gutter="0"/>
          <w:cols w:space="0" w:num="1"/>
          <w:titlePg/>
          <w:docGrid w:type="lines" w:linePitch="324" w:charSpace="0"/>
        </w:sectPr>
      </w:pPr>
    </w:p>
    <w:p w14:paraId="5F6AA041">
      <w:pPr>
        <w:rPr>
          <w:rFonts w:hint="eastAsia" w:ascii="宋体" w:hAnsi="宋体" w:eastAsia="宋体" w:cs="宋体"/>
          <w:b/>
          <w:bCs/>
          <w:color w:val="000000"/>
          <w:sz w:val="24"/>
          <w:szCs w:val="24"/>
        </w:rPr>
      </w:pPr>
    </w:p>
    <w:p w14:paraId="1892BD26">
      <w:pPr>
        <w:rPr>
          <w:rFonts w:hint="eastAsia" w:ascii="宋体" w:hAnsi="宋体" w:eastAsia="宋体" w:cs="Times New Roman"/>
          <w:b/>
          <w:bCs/>
          <w:color w:val="000000"/>
          <w:sz w:val="24"/>
          <w:szCs w:val="24"/>
        </w:rPr>
      </w:pPr>
      <w:r>
        <w:rPr>
          <w:rFonts w:hint="eastAsia" w:ascii="宋体" w:hAnsi="宋体" w:eastAsia="宋体" w:cs="Times New Roman"/>
          <w:b/>
          <w:bCs/>
          <w:color w:val="000000"/>
          <w:sz w:val="24"/>
          <w:szCs w:val="24"/>
        </w:rPr>
        <w:t>附件</w:t>
      </w:r>
      <w:r>
        <w:rPr>
          <w:rFonts w:hint="eastAsia" w:ascii="等线" w:hAnsi="等线" w:eastAsia="等线" w:cs="Times New Roman"/>
          <w:b/>
          <w:bCs/>
          <w:color w:val="000000"/>
          <w:sz w:val="24"/>
          <w:szCs w:val="24"/>
        </w:rPr>
        <w:t xml:space="preserve">16 </w:t>
      </w:r>
      <w:r>
        <w:rPr>
          <w:rFonts w:hint="eastAsia" w:ascii="宋体" w:hAnsi="宋体" w:eastAsia="宋体" w:cs="Times New Roman"/>
          <w:b/>
          <w:bCs/>
          <w:color w:val="000000"/>
          <w:sz w:val="24"/>
          <w:szCs w:val="24"/>
        </w:rPr>
        <w:t>SRM非生产供应商注册操作手册</w:t>
      </w:r>
    </w:p>
    <w:p w14:paraId="506F24FC">
      <w:pPr>
        <w:rPr>
          <w:rFonts w:ascii="宋体" w:hAnsi="Courier New" w:eastAsia="宋体" w:cs="Times New Roman"/>
          <w:szCs w:val="21"/>
        </w:rPr>
      </w:pPr>
      <w:r>
        <w:rPr>
          <w:rFonts w:hint="eastAsia" w:ascii="宋体" w:hAnsi="Courier New" w:eastAsia="宋体" w:cs="Times New Roman"/>
          <w:szCs w:val="21"/>
        </w:rPr>
        <w:t xml:space="preserve"> </w:t>
      </w:r>
    </w:p>
    <w:p w14:paraId="52EAAAA4">
      <w:pPr>
        <w:adjustRightInd w:val="0"/>
        <w:snapToGrid w:val="0"/>
        <w:spacing w:line="360" w:lineRule="auto"/>
        <w:jc w:val="left"/>
        <w:rPr>
          <w:rFonts w:hint="eastAsia" w:ascii="宋体" w:hAnsi="宋体" w:eastAsia="宋体" w:cs="Times New Roman"/>
          <w:sz w:val="24"/>
          <w:szCs w:val="24"/>
        </w:rPr>
      </w:pPr>
      <w:r>
        <w:rPr>
          <w:rFonts w:hint="eastAsia" w:ascii="宋体" w:hAnsi="宋体" w:eastAsia="宋体" w:cs="Times New Roman"/>
          <w:sz w:val="24"/>
          <w:szCs w:val="24"/>
        </w:rPr>
        <w:t>浏览器中输入地址;</w:t>
      </w:r>
    </w:p>
    <w:p w14:paraId="0FA14047">
      <w:pPr>
        <w:adjustRightInd w:val="0"/>
        <w:snapToGrid w:val="0"/>
        <w:spacing w:line="360" w:lineRule="auto"/>
        <w:jc w:val="left"/>
        <w:rPr>
          <w:rFonts w:hint="eastAsia" w:ascii="宋体" w:hAnsi="宋体" w:eastAsia="宋体" w:cs="Times New Roman"/>
          <w:sz w:val="24"/>
          <w:szCs w:val="24"/>
        </w:rPr>
      </w:pPr>
      <w:r>
        <w:rPr>
          <w:rFonts w:hint="eastAsia" w:ascii="宋体" w:hAnsi="宋体" w:eastAsia="宋体" w:cs="Times New Roman"/>
          <w:sz w:val="24"/>
          <w:szCs w:val="24"/>
        </w:rPr>
        <w:t>http://ecaitong.sinotruk.com:8012/#/login</w:t>
      </w:r>
    </w:p>
    <w:p w14:paraId="382BB072">
      <w:pPr>
        <w:adjustRightInd w:val="0"/>
        <w:snapToGrid w:val="0"/>
        <w:spacing w:line="360" w:lineRule="auto"/>
        <w:jc w:val="left"/>
        <w:rPr>
          <w:rFonts w:hint="eastAsia" w:ascii="宋体" w:hAnsi="宋体" w:cs="宋体"/>
          <w:b/>
          <w:bCs/>
          <w:sz w:val="24"/>
          <w:szCs w:val="24"/>
        </w:rPr>
      </w:pPr>
      <w:r>
        <w:rPr>
          <w:rFonts w:hint="eastAsia" w:ascii="宋体" w:hAnsi="宋体" w:eastAsia="宋体" w:cs="宋体"/>
          <w:sz w:val="24"/>
          <w:szCs w:val="24"/>
        </w:rPr>
        <w:t>下载《供应商用户手册》</w:t>
      </w:r>
    </w:p>
    <w:p w14:paraId="7F1CD848">
      <w:pPr>
        <w:adjustRightInd w:val="0"/>
        <w:snapToGrid w:val="0"/>
        <w:spacing w:line="360" w:lineRule="auto"/>
        <w:jc w:val="left"/>
        <w:rPr>
          <w:rFonts w:hint="eastAsia" w:ascii="宋体" w:hAnsi="宋体" w:eastAsia="宋体" w:cs="Times New Roman"/>
          <w:sz w:val="24"/>
          <w:szCs w:val="24"/>
        </w:rPr>
      </w:pPr>
      <w:r>
        <w:drawing>
          <wp:inline distT="0" distB="0" distL="114300" distR="114300">
            <wp:extent cx="5758815" cy="2764790"/>
            <wp:effectExtent l="0" t="0" r="13335" b="1651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0"/>
                    <a:stretch>
                      <a:fillRect/>
                    </a:stretch>
                  </pic:blipFill>
                  <pic:spPr>
                    <a:xfrm>
                      <a:off x="0" y="0"/>
                      <a:ext cx="5758815" cy="2764790"/>
                    </a:xfrm>
                    <a:prstGeom prst="rect">
                      <a:avLst/>
                    </a:prstGeom>
                    <a:noFill/>
                    <a:ln>
                      <a:noFill/>
                    </a:ln>
                  </pic:spPr>
                </pic:pic>
              </a:graphicData>
            </a:graphic>
          </wp:inline>
        </w:drawing>
      </w:r>
    </w:p>
    <w:p w14:paraId="10A23E51">
      <w:pPr>
        <w:adjustRightInd w:val="0"/>
        <w:snapToGrid w:val="0"/>
        <w:spacing w:before="312" w:beforeLines="100" w:after="156" w:afterLines="50" w:line="440" w:lineRule="exact"/>
        <w:jc w:val="left"/>
        <w:outlineLvl w:val="2"/>
        <w:rPr>
          <w:rFonts w:hint="eastAsia" w:ascii="宋体" w:hAnsi="宋体" w:eastAsia="宋体" w:cs="Times New Roman"/>
          <w:sz w:val="24"/>
          <w:szCs w:val="24"/>
        </w:rPr>
      </w:pPr>
      <w:r>
        <w:rPr>
          <w:rFonts w:hint="eastAsia" w:ascii="宋体" w:hAnsi="宋体" w:cs="宋体"/>
          <w:b/>
          <w:bCs/>
          <w:sz w:val="24"/>
          <w:szCs w:val="24"/>
        </w:rPr>
        <w:t>一、首次注册</w:t>
      </w:r>
    </w:p>
    <w:p w14:paraId="3B3D5C27">
      <w:pPr>
        <w:adjustRightInd w:val="0"/>
        <w:snapToGrid w:val="0"/>
        <w:spacing w:line="360" w:lineRule="auto"/>
        <w:jc w:val="left"/>
        <w:rPr>
          <w:rFonts w:hint="eastAsia" w:ascii="宋体" w:hAnsi="宋体" w:eastAsia="宋体" w:cs="Times New Roman"/>
          <w:sz w:val="24"/>
          <w:szCs w:val="24"/>
        </w:rPr>
      </w:pPr>
      <w:r>
        <w:rPr>
          <w:rFonts w:hint="eastAsia" w:ascii="宋体" w:hAnsi="宋体" w:eastAsia="宋体" w:cs="Times New Roman"/>
          <w:sz w:val="24"/>
          <w:szCs w:val="24"/>
        </w:rPr>
        <w:t>1.点击立即注册</w:t>
      </w:r>
    </w:p>
    <w:p w14:paraId="3C051CE2">
      <w:pPr>
        <w:snapToGrid w:val="0"/>
        <w:spacing w:line="312" w:lineRule="auto"/>
        <w:rPr>
          <w:rFonts w:hint="eastAsia" w:ascii="等线" w:hAnsi="等线" w:eastAsia="等线" w:cs="Times New Roman"/>
          <w:szCs w:val="21"/>
        </w:rPr>
      </w:pPr>
      <w:r>
        <w:rPr>
          <w:rFonts w:hint="eastAsia" w:ascii="等线" w:hAnsi="等线" w:eastAsia="等线" w:cs="Times New Roman"/>
          <w:szCs w:val="21"/>
        </w:rPr>
        <w:drawing>
          <wp:inline distT="0" distB="0" distL="0" distR="0">
            <wp:extent cx="5762625" cy="2933700"/>
            <wp:effectExtent l="0" t="0" r="9525" b="0"/>
            <wp:docPr id="2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a:xfrm>
                      <a:off x="0" y="0"/>
                      <a:ext cx="5762625" cy="2933700"/>
                    </a:xfrm>
                    <a:prstGeom prst="rect">
                      <a:avLst/>
                    </a:prstGeom>
                    <a:noFill/>
                    <a:ln>
                      <a:noFill/>
                    </a:ln>
                  </pic:spPr>
                </pic:pic>
              </a:graphicData>
            </a:graphic>
          </wp:inline>
        </w:drawing>
      </w:r>
      <w:r>
        <w:rPr>
          <w:rFonts w:hint="eastAsia" w:ascii="等线" w:hAnsi="等线" w:eastAsia="等线" w:cs="Times New Roman"/>
          <w:szCs w:val="21"/>
        </w:rPr>
        <w:t xml:space="preserve"> </w:t>
      </w:r>
    </w:p>
    <w:p w14:paraId="2B31E657">
      <w:pPr>
        <w:spacing w:line="360" w:lineRule="auto"/>
        <w:rPr>
          <w:rFonts w:hint="eastAsia" w:ascii="宋体" w:hAnsi="宋体" w:eastAsia="宋体" w:cs="Times New Roman"/>
          <w:sz w:val="24"/>
          <w:szCs w:val="24"/>
        </w:rPr>
      </w:pPr>
      <w:r>
        <w:rPr>
          <w:rFonts w:hint="eastAsia" w:ascii="宋体" w:hAnsi="宋体" w:eastAsia="宋体" w:cs="Times New Roman"/>
          <w:color w:val="000000"/>
          <w:sz w:val="24"/>
          <w:szCs w:val="24"/>
        </w:rPr>
        <w:t>2.填写手机号码（没有注册过的）</w:t>
      </w:r>
    </w:p>
    <w:p w14:paraId="345E6216">
      <w:pPr>
        <w:snapToGrid w:val="0"/>
        <w:spacing w:line="312" w:lineRule="auto"/>
        <w:rPr>
          <w:rFonts w:hint="eastAsia" w:ascii="等线" w:hAnsi="等线" w:eastAsia="等线" w:cs="Times New Roman"/>
          <w:szCs w:val="21"/>
        </w:rPr>
      </w:pPr>
      <w:r>
        <w:rPr>
          <w:rFonts w:hint="eastAsia" w:ascii="等线" w:hAnsi="等线" w:eastAsia="等线" w:cs="Times New Roman"/>
          <w:szCs w:val="21"/>
        </w:rPr>
        <w:drawing>
          <wp:inline distT="0" distB="0" distL="0" distR="0">
            <wp:extent cx="5762625" cy="2771775"/>
            <wp:effectExtent l="0" t="0" r="9525" b="9525"/>
            <wp:docPr id="30"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a:xfrm>
                      <a:off x="0" y="0"/>
                      <a:ext cx="5762625" cy="2771775"/>
                    </a:xfrm>
                    <a:prstGeom prst="rect">
                      <a:avLst/>
                    </a:prstGeom>
                    <a:noFill/>
                    <a:ln>
                      <a:noFill/>
                    </a:ln>
                  </pic:spPr>
                </pic:pic>
              </a:graphicData>
            </a:graphic>
          </wp:inline>
        </w:drawing>
      </w:r>
      <w:r>
        <w:rPr>
          <w:rFonts w:hint="eastAsia" w:ascii="等线" w:hAnsi="等线" w:eastAsia="等线" w:cs="Times New Roman"/>
          <w:szCs w:val="21"/>
        </w:rPr>
        <w:t xml:space="preserve"> </w:t>
      </w:r>
    </w:p>
    <w:p w14:paraId="23E5AE9A">
      <w:pPr>
        <w:spacing w:line="360" w:lineRule="auto"/>
        <w:rPr>
          <w:rFonts w:hint="eastAsia" w:ascii="宋体" w:hAnsi="宋体" w:eastAsia="宋体" w:cs="Times New Roman"/>
          <w:sz w:val="24"/>
          <w:szCs w:val="24"/>
        </w:rPr>
      </w:pPr>
      <w:r>
        <w:rPr>
          <w:rFonts w:hint="eastAsia" w:ascii="宋体" w:hAnsi="宋体" w:eastAsia="宋体" w:cs="Times New Roman"/>
          <w:color w:val="000000"/>
          <w:sz w:val="24"/>
          <w:szCs w:val="24"/>
        </w:rPr>
        <w:t>3.注册成功登录这个手机号码的账号进入系统，点击供应商注册</w:t>
      </w:r>
    </w:p>
    <w:p w14:paraId="3D67FDCC">
      <w:pPr>
        <w:snapToGrid w:val="0"/>
        <w:spacing w:line="312" w:lineRule="auto"/>
        <w:rPr>
          <w:rFonts w:hint="eastAsia" w:ascii="等线" w:hAnsi="等线" w:eastAsia="等线" w:cs="Times New Roman"/>
          <w:szCs w:val="21"/>
        </w:rPr>
      </w:pPr>
      <w:r>
        <w:drawing>
          <wp:inline distT="0" distB="0" distL="0" distR="0">
            <wp:extent cx="5760085" cy="2869565"/>
            <wp:effectExtent l="0" t="0" r="12065" b="6985"/>
            <wp:docPr id="1028" name="picture" descr="descript"/>
            <wp:cNvGraphicFramePr/>
            <a:graphic xmlns:a="http://schemas.openxmlformats.org/drawingml/2006/main">
              <a:graphicData uri="http://schemas.openxmlformats.org/drawingml/2006/picture">
                <pic:pic xmlns:pic="http://schemas.openxmlformats.org/drawingml/2006/picture">
                  <pic:nvPicPr>
                    <pic:cNvPr id="1028" name="picture" descr="descript"/>
                    <pic:cNvPicPr/>
                  </pic:nvPicPr>
                  <pic:blipFill>
                    <a:blip r:embed="rId43" cstate="print"/>
                    <a:srcRect/>
                    <a:stretch>
                      <a:fillRect/>
                    </a:stretch>
                  </pic:blipFill>
                  <pic:spPr>
                    <a:xfrm>
                      <a:off x="0" y="0"/>
                      <a:ext cx="5760085" cy="2869565"/>
                    </a:xfrm>
                    <a:prstGeom prst="rect">
                      <a:avLst/>
                    </a:prstGeom>
                  </pic:spPr>
                </pic:pic>
              </a:graphicData>
            </a:graphic>
          </wp:inline>
        </w:drawing>
      </w:r>
    </w:p>
    <w:p w14:paraId="59804942">
      <w:pPr>
        <w:spacing w:line="360" w:lineRule="auto"/>
        <w:rPr>
          <w:rFonts w:hint="eastAsia" w:ascii="宋体" w:hAnsi="宋体" w:eastAsia="宋体" w:cs="Times New Roman"/>
          <w:sz w:val="24"/>
          <w:szCs w:val="24"/>
        </w:rPr>
      </w:pPr>
      <w:r>
        <w:rPr>
          <w:rFonts w:hint="eastAsia" w:ascii="宋体" w:hAnsi="宋体" w:eastAsia="宋体" w:cs="Times New Roman"/>
          <w:color w:val="000000"/>
          <w:sz w:val="24"/>
          <w:szCs w:val="24"/>
        </w:rPr>
        <w:t>4.点击新增</w:t>
      </w:r>
    </w:p>
    <w:p w14:paraId="29875420">
      <w:pPr>
        <w:snapToGrid w:val="0"/>
        <w:spacing w:line="312" w:lineRule="auto"/>
        <w:rPr>
          <w:rFonts w:hint="eastAsia" w:ascii="等线" w:hAnsi="等线" w:eastAsia="等线" w:cs="Times New Roman"/>
          <w:szCs w:val="21"/>
        </w:rPr>
      </w:pPr>
      <w:r>
        <w:drawing>
          <wp:inline distT="0" distB="0" distL="0" distR="0">
            <wp:extent cx="5760085" cy="2853055"/>
            <wp:effectExtent l="0" t="0" r="12065" b="4445"/>
            <wp:docPr id="1029" name="picture" descr="descript"/>
            <wp:cNvGraphicFramePr/>
            <a:graphic xmlns:a="http://schemas.openxmlformats.org/drawingml/2006/main">
              <a:graphicData uri="http://schemas.openxmlformats.org/drawingml/2006/picture">
                <pic:pic xmlns:pic="http://schemas.openxmlformats.org/drawingml/2006/picture">
                  <pic:nvPicPr>
                    <pic:cNvPr id="1029" name="picture" descr="descript"/>
                    <pic:cNvPicPr/>
                  </pic:nvPicPr>
                  <pic:blipFill>
                    <a:blip r:embed="rId44" cstate="print"/>
                    <a:srcRect/>
                    <a:stretch>
                      <a:fillRect/>
                    </a:stretch>
                  </pic:blipFill>
                  <pic:spPr>
                    <a:xfrm>
                      <a:off x="0" y="0"/>
                      <a:ext cx="5760085" cy="2853055"/>
                    </a:xfrm>
                    <a:prstGeom prst="rect">
                      <a:avLst/>
                    </a:prstGeom>
                  </pic:spPr>
                </pic:pic>
              </a:graphicData>
            </a:graphic>
          </wp:inline>
        </w:drawing>
      </w:r>
      <w:r>
        <w:rPr>
          <w:rFonts w:hint="eastAsia" w:ascii="等线" w:hAnsi="等线" w:eastAsia="等线" w:cs="Times New Roman"/>
          <w:szCs w:val="21"/>
        </w:rPr>
        <w:t xml:space="preserve"> </w:t>
      </w:r>
    </w:p>
    <w:p w14:paraId="47B31FB9">
      <w:pPr>
        <w:spacing w:line="360" w:lineRule="auto"/>
        <w:rPr>
          <w:rFonts w:hint="eastAsia" w:ascii="宋体" w:hAnsi="宋体" w:eastAsia="宋体" w:cs="Times New Roman"/>
          <w:sz w:val="24"/>
          <w:szCs w:val="24"/>
        </w:rPr>
      </w:pPr>
      <w:r>
        <w:rPr>
          <w:rFonts w:hint="eastAsia" w:ascii="宋体" w:hAnsi="宋体" w:eastAsia="宋体" w:cs="Times New Roman"/>
          <w:sz w:val="24"/>
          <w:szCs w:val="24"/>
        </w:rPr>
        <w:t>5</w:t>
      </w:r>
      <w:r>
        <w:rPr>
          <w:rFonts w:hint="eastAsia" w:ascii="宋体" w:hAnsi="宋体" w:eastAsia="宋体" w:cs="Times New Roman"/>
          <w:color w:val="000000"/>
          <w:sz w:val="24"/>
          <w:szCs w:val="24"/>
        </w:rPr>
        <w:t>.按要求填写所有信息，注意非生产类要填写合作单位，最后提交审批</w:t>
      </w:r>
    </w:p>
    <w:p w14:paraId="3DD4DCB7">
      <w:pPr>
        <w:rPr>
          <w:rFonts w:hint="eastAsia" w:ascii="宋体" w:hAnsi="宋体" w:eastAsia="宋体" w:cs="Times New Roman"/>
          <w:b/>
          <w:bCs/>
          <w:szCs w:val="21"/>
        </w:rPr>
      </w:pPr>
      <w:r>
        <w:rPr>
          <w:rFonts w:hint="eastAsia" w:ascii="宋体" w:hAnsi="宋体" w:eastAsia="宋体" w:cs="Times New Roman"/>
          <w:b/>
          <w:bCs/>
          <w:szCs w:val="21"/>
        </w:rPr>
        <w:t>审批通过后，注意记录本单位的“供应商代码”，代码用于登录系统后应标。登录信息如下：</w:t>
      </w:r>
    </w:p>
    <w:p w14:paraId="2A243086">
      <w:pPr>
        <w:spacing w:line="360" w:lineRule="auto"/>
        <w:rPr>
          <w:rFonts w:hint="eastAsia" w:ascii="宋体" w:hAnsi="宋体" w:eastAsia="宋体" w:cs="Times New Roman"/>
          <w:sz w:val="24"/>
          <w:szCs w:val="24"/>
        </w:rPr>
      </w:pPr>
      <w:r>
        <w:rPr>
          <w:rFonts w:hint="eastAsia" w:ascii="宋体" w:hAnsi="宋体" w:eastAsia="宋体" w:cs="Times New Roman"/>
          <w:color w:val="000000"/>
          <w:sz w:val="24"/>
          <w:szCs w:val="24"/>
        </w:rPr>
        <w:t>用 户 名：gys+供应商代码</w:t>
      </w:r>
      <w:r>
        <w:rPr>
          <w:rFonts w:ascii="Times New Roman" w:hAnsi="Times New Roman" w:eastAsia="宋体" w:cs="Times New Roman"/>
          <w:color w:val="000000"/>
          <w:sz w:val="24"/>
          <w:szCs w:val="24"/>
        </w:rPr>
        <w:t>（</w:t>
      </w:r>
      <w:r>
        <w:rPr>
          <w:rFonts w:ascii="Times New Roman" w:hAnsi="Times New Roman" w:eastAsia="宋体" w:cs="Times New Roman"/>
          <w:color w:val="FF0000"/>
          <w:sz w:val="24"/>
          <w:szCs w:val="24"/>
        </w:rPr>
        <w:t>注意：注册完毕后，用户名不要用手机号登录</w:t>
      </w:r>
      <w:r>
        <w:rPr>
          <w:rFonts w:ascii="Times New Roman" w:hAnsi="Times New Roman" w:eastAsia="宋体" w:cs="Times New Roman"/>
          <w:color w:val="000000"/>
          <w:sz w:val="24"/>
          <w:szCs w:val="24"/>
        </w:rPr>
        <w:t>）</w:t>
      </w:r>
    </w:p>
    <w:p w14:paraId="49664891">
      <w:pPr>
        <w:spacing w:line="360" w:lineRule="auto"/>
        <w:rPr>
          <w:rFonts w:hint="eastAsia" w:ascii="宋体" w:hAnsi="宋体" w:eastAsia="宋体" w:cs="Times New Roman"/>
          <w:sz w:val="24"/>
          <w:szCs w:val="24"/>
        </w:rPr>
      </w:pPr>
      <w:r>
        <w:rPr>
          <w:rFonts w:hint="eastAsia" w:ascii="宋体" w:hAnsi="宋体" w:eastAsia="宋体" w:cs="Times New Roman"/>
          <w:color w:val="000000"/>
          <w:sz w:val="24"/>
          <w:szCs w:val="24"/>
        </w:rPr>
        <w:t>初始密码：</w:t>
      </w:r>
      <w:r>
        <w:rPr>
          <w:rFonts w:hint="eastAsia"/>
          <w:sz w:val="24"/>
        </w:rPr>
        <w:t>scm@2022或@2023</w:t>
      </w:r>
      <w:r>
        <w:rPr>
          <w:rFonts w:hint="eastAsia" w:ascii="宋体" w:hAnsi="宋体" w:eastAsia="宋体" w:cs="Times New Roman"/>
          <w:color w:val="000000"/>
          <w:sz w:val="24"/>
          <w:szCs w:val="24"/>
          <w:highlight w:val="yellow"/>
        </w:rPr>
        <w:t>（注册成功后，请立即修改密码）</w:t>
      </w:r>
    </w:p>
    <w:p w14:paraId="73FAABE1">
      <w:pPr>
        <w:rPr>
          <w:rFonts w:ascii="宋体" w:hAnsi="Courier New" w:eastAsia="等线" w:cs="Times New Roman"/>
          <w:szCs w:val="21"/>
        </w:rPr>
      </w:pPr>
      <w:r>
        <w:rPr>
          <w:rFonts w:hint="eastAsia" w:ascii="宋体" w:hAnsi="Courier New" w:eastAsia="等线" w:cs="Times New Roman"/>
          <w:szCs w:val="21"/>
        </w:rPr>
        <w:t xml:space="preserve"> </w:t>
      </w:r>
    </w:p>
    <w:p w14:paraId="72A0C255">
      <w:pPr>
        <w:rPr>
          <w:rFonts w:hint="eastAsia" w:ascii="等线" w:hAnsi="等线" w:eastAsia="等线" w:cs="Times New Roman"/>
          <w:szCs w:val="21"/>
        </w:rPr>
      </w:pPr>
      <w:r>
        <w:rPr>
          <w:rFonts w:hint="eastAsia" w:ascii="等线" w:hAnsi="等线" w:eastAsia="等线" w:cs="Times New Roman"/>
          <w:szCs w:val="21"/>
        </w:rPr>
        <w:drawing>
          <wp:inline distT="0" distB="0" distL="0" distR="0">
            <wp:extent cx="5762625" cy="2809875"/>
            <wp:effectExtent l="0" t="0" r="9525" b="9525"/>
            <wp:docPr id="3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a:xfrm>
                      <a:off x="0" y="0"/>
                      <a:ext cx="5762625" cy="2809875"/>
                    </a:xfrm>
                    <a:prstGeom prst="rect">
                      <a:avLst/>
                    </a:prstGeom>
                    <a:noFill/>
                    <a:ln>
                      <a:noFill/>
                    </a:ln>
                  </pic:spPr>
                </pic:pic>
              </a:graphicData>
            </a:graphic>
          </wp:inline>
        </w:drawing>
      </w:r>
      <w:r>
        <w:rPr>
          <w:rFonts w:hint="eastAsia" w:ascii="等线" w:hAnsi="等线" w:eastAsia="等线" w:cs="Times New Roman"/>
          <w:szCs w:val="21"/>
        </w:rPr>
        <w:t xml:space="preserve"> </w:t>
      </w:r>
    </w:p>
    <w:p w14:paraId="1C4C30CA">
      <w:pPr>
        <w:rPr>
          <w:rFonts w:ascii="宋体" w:hAnsi="Courier New" w:eastAsia="等线" w:cs="Times New Roman"/>
          <w:szCs w:val="21"/>
        </w:rPr>
      </w:pPr>
      <w:r>
        <w:rPr>
          <w:rFonts w:ascii="宋体" w:hAnsi="Courier New" w:eastAsia="等线" w:cs="Times New Roman"/>
          <w:szCs w:val="21"/>
        </w:rPr>
        <w:drawing>
          <wp:inline distT="0" distB="0" distL="0" distR="0">
            <wp:extent cx="5762625" cy="2828925"/>
            <wp:effectExtent l="0" t="0" r="9525" b="9525"/>
            <wp:docPr id="82320816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3208160" name="图片 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a:xfrm>
                      <a:off x="0" y="0"/>
                      <a:ext cx="5762625" cy="2828925"/>
                    </a:xfrm>
                    <a:prstGeom prst="rect">
                      <a:avLst/>
                    </a:prstGeom>
                    <a:noFill/>
                    <a:ln>
                      <a:noFill/>
                    </a:ln>
                  </pic:spPr>
                </pic:pic>
              </a:graphicData>
            </a:graphic>
          </wp:inline>
        </w:drawing>
      </w:r>
      <w:r>
        <w:rPr>
          <w:rFonts w:hint="eastAsia" w:ascii="宋体" w:hAnsi="Courier New" w:eastAsia="等线" w:cs="Times New Roman"/>
          <w:szCs w:val="21"/>
        </w:rPr>
        <w:t xml:space="preserve"> </w:t>
      </w:r>
    </w:p>
    <w:p w14:paraId="31F87D3D">
      <w:pPr>
        <w:rPr>
          <w:rFonts w:hint="eastAsia" w:ascii="宋体" w:hAnsi="宋体" w:eastAsia="宋体" w:cs="宋体"/>
          <w:b/>
          <w:bCs/>
          <w:color w:val="000000"/>
          <w:sz w:val="24"/>
          <w:szCs w:val="28"/>
        </w:rPr>
      </w:pPr>
      <w:r>
        <w:rPr>
          <w:rFonts w:hint="eastAsia" w:ascii="宋体" w:hAnsi="宋体" w:eastAsia="宋体" w:cs="宋体"/>
          <w:b/>
          <w:bCs/>
          <w:color w:val="000000"/>
          <w:sz w:val="24"/>
          <w:szCs w:val="28"/>
        </w:rPr>
        <w:t>注：</w:t>
      </w:r>
    </w:p>
    <w:p w14:paraId="24E96E6B">
      <w:pPr>
        <w:numPr>
          <w:ilvl w:val="0"/>
          <w:numId w:val="13"/>
        </w:numPr>
        <w:rPr>
          <w:rFonts w:ascii="宋体" w:hAnsi="Courier New" w:eastAsia="宋体" w:cs="Times New Roman"/>
          <w:b/>
          <w:bCs/>
        </w:rPr>
      </w:pPr>
      <w:r>
        <w:rPr>
          <w:rFonts w:hint="eastAsia" w:ascii="宋体" w:hAnsi="Courier New" w:eastAsia="宋体" w:cs="Times New Roman"/>
          <w:b/>
          <w:bCs/>
        </w:rPr>
        <w:t>“项目名称”和“采购形式编号”见第一部分的“项目介绍”；</w:t>
      </w:r>
    </w:p>
    <w:p w14:paraId="2A3DCFDF">
      <w:pPr>
        <w:numPr>
          <w:ilvl w:val="0"/>
          <w:numId w:val="13"/>
        </w:numPr>
        <w:rPr>
          <w:rFonts w:hint="eastAsia"/>
        </w:rPr>
      </w:pPr>
      <w:r>
        <w:rPr>
          <w:rFonts w:hint="eastAsia" w:ascii="宋体" w:hAnsi="Courier New" w:eastAsia="宋体" w:cs="Times New Roman"/>
          <w:b/>
          <w:bCs/>
        </w:rPr>
        <w:t>基本信息完整填写，原则上要求供应商必须填写近三年财务指标情况；</w:t>
      </w:r>
    </w:p>
    <w:p w14:paraId="205C5F0D">
      <w:pPr>
        <w:pStyle w:val="20"/>
        <w:numPr>
          <w:ilvl w:val="0"/>
          <w:numId w:val="13"/>
        </w:numPr>
        <w:rPr>
          <w:b/>
          <w:bCs/>
        </w:rPr>
      </w:pPr>
      <w:r>
        <w:rPr>
          <w:rFonts w:hint="eastAsia"/>
          <w:b/>
          <w:bCs/>
        </w:rPr>
        <w:t>管理单位选择【直管单位】、意向配套单位选择【直管单位】，配套能力“供货类别”填“直管单位非生产招标 / 工艺设备 / 工艺设备”，业务主管部门选择“工艺研究院“。</w:t>
      </w:r>
    </w:p>
    <w:p w14:paraId="12B742AD">
      <w:pPr>
        <w:adjustRightInd w:val="0"/>
        <w:snapToGrid w:val="0"/>
        <w:spacing w:before="312" w:beforeLines="100" w:after="156" w:afterLines="50" w:line="440" w:lineRule="exact"/>
        <w:jc w:val="left"/>
        <w:outlineLvl w:val="2"/>
        <w:rPr>
          <w:rFonts w:hint="eastAsia"/>
          <w:sz w:val="24"/>
          <w:szCs w:val="24"/>
        </w:rPr>
      </w:pPr>
      <w:r>
        <w:rPr>
          <w:rFonts w:hint="eastAsia"/>
          <w:b/>
          <w:bCs/>
          <w:sz w:val="24"/>
          <w:szCs w:val="24"/>
        </w:rPr>
        <w:t>二、维护近三年财务指标</w:t>
      </w:r>
    </w:p>
    <w:p w14:paraId="1B85AF3B">
      <w:pPr>
        <w:spacing w:line="360" w:lineRule="auto"/>
        <w:rPr>
          <w:rFonts w:hint="eastAsia" w:ascii="宋体" w:hAnsi="宋体" w:eastAsia="宋体" w:cs="宋体"/>
          <w:color w:val="000000"/>
          <w:sz w:val="24"/>
          <w:szCs w:val="28"/>
        </w:rPr>
      </w:pPr>
      <w:r>
        <w:rPr>
          <w:rFonts w:hint="eastAsia" w:ascii="宋体" w:hAnsi="宋体" w:cs="宋体"/>
          <w:color w:val="000000"/>
          <w:sz w:val="24"/>
          <w:szCs w:val="28"/>
        </w:rPr>
        <w:t>1.</w:t>
      </w:r>
      <w:r>
        <w:rPr>
          <w:rFonts w:hint="eastAsia" w:ascii="宋体" w:hAnsi="宋体" w:eastAsia="宋体" w:cs="宋体"/>
          <w:color w:val="000000"/>
          <w:sz w:val="24"/>
          <w:szCs w:val="28"/>
        </w:rPr>
        <w:t>供应商使用业务账号登录系统后，通过菜单路径：供应商中心→供应商变更→供应商财务数据变更管理，点击【发起变更】按钮，进入供应商财务数据变更填写界面。</w:t>
      </w:r>
    </w:p>
    <w:p w14:paraId="72A02FBD">
      <w:pPr>
        <w:pStyle w:val="16"/>
        <w:rPr>
          <w:rFonts w:hint="eastAsia"/>
        </w:rPr>
        <w:sectPr>
          <w:pgSz w:w="11906" w:h="16838"/>
          <w:pgMar w:top="1588" w:right="1418" w:bottom="1134" w:left="1418" w:header="851" w:footer="992" w:gutter="0"/>
          <w:cols w:space="720" w:num="1"/>
          <w:titlePg/>
          <w:docGrid w:type="lines" w:linePitch="312" w:charSpace="0"/>
        </w:sectPr>
      </w:pPr>
      <w:r>
        <w:br w:type="textWrapping"/>
      </w:r>
      <w:r>
        <w:drawing>
          <wp:inline distT="0" distB="0" distL="114300" distR="114300">
            <wp:extent cx="5486400" cy="2661285"/>
            <wp:effectExtent l="0" t="0" r="0" b="5715"/>
            <wp:docPr id="1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
                    <pic:cNvPicPr>
                      <a:picLocks noChangeAspect="1"/>
                    </pic:cNvPicPr>
                  </pic:nvPicPr>
                  <pic:blipFill>
                    <a:blip r:embed="rId47"/>
                    <a:stretch>
                      <a:fillRect/>
                    </a:stretch>
                  </pic:blipFill>
                  <pic:spPr>
                    <a:xfrm>
                      <a:off x="0" y="0"/>
                      <a:ext cx="5486400" cy="2661285"/>
                    </a:xfrm>
                    <a:prstGeom prst="rect">
                      <a:avLst/>
                    </a:prstGeom>
                    <a:noFill/>
                    <a:ln>
                      <a:noFill/>
                    </a:ln>
                  </pic:spPr>
                </pic:pic>
              </a:graphicData>
            </a:graphic>
          </wp:inline>
        </w:drawing>
      </w:r>
    </w:p>
    <w:p w14:paraId="0654668A">
      <w:pPr>
        <w:pStyle w:val="20"/>
        <w:outlineLvl w:val="2"/>
        <w:rPr>
          <w:rFonts w:hint="eastAsia" w:hAnsi="宋体" w:eastAsia="宋体" w:cs="Times New Roman"/>
          <w:b/>
          <w:color w:val="000000"/>
          <w:sz w:val="24"/>
          <w:szCs w:val="24"/>
        </w:rPr>
      </w:pPr>
      <w:r>
        <w:rPr>
          <w:rFonts w:hint="eastAsia" w:hAnsi="宋体" w:eastAsia="宋体" w:cs="宋体"/>
          <w:b/>
          <w:bCs/>
          <w:color w:val="000000"/>
          <w:sz w:val="24"/>
          <w:szCs w:val="24"/>
        </w:rPr>
        <w:t xml:space="preserve">附件17  </w:t>
      </w:r>
      <w:r>
        <w:rPr>
          <w:rFonts w:hint="eastAsia" w:hAnsi="宋体" w:eastAsia="宋体" w:cs="Times New Roman"/>
          <w:b/>
          <w:color w:val="000000"/>
          <w:sz w:val="24"/>
          <w:szCs w:val="24"/>
        </w:rPr>
        <w:t>SRM系统供应商用户手册</w:t>
      </w:r>
    </w:p>
    <w:p w14:paraId="6EEE7FCA">
      <w:pPr>
        <w:spacing w:line="360" w:lineRule="auto"/>
        <w:rPr>
          <w:rStyle w:val="49"/>
          <w:rFonts w:hint="eastAsia" w:ascii="宋体" w:hAnsi="宋体" w:eastAsia="宋体" w:cs="宋体"/>
          <w:sz w:val="24"/>
          <w:szCs w:val="24"/>
        </w:rPr>
      </w:pPr>
      <w:r>
        <w:rPr>
          <w:rFonts w:hint="eastAsia" w:ascii="宋体" w:hAnsi="宋体" w:eastAsia="宋体" w:cs="宋体"/>
          <w:color w:val="000000"/>
          <w:sz w:val="24"/>
          <w:szCs w:val="24"/>
        </w:rPr>
        <w:t>系统网址：</w:t>
      </w:r>
      <w:r>
        <w:fldChar w:fldCharType="begin"/>
      </w:r>
      <w:r>
        <w:instrText xml:space="preserve"> HYPERLINK "http://ecaitong.sinotruk.com:8012/" \t "dlt" </w:instrText>
      </w:r>
      <w:r>
        <w:fldChar w:fldCharType="separate"/>
      </w:r>
      <w:r>
        <w:rPr>
          <w:rStyle w:val="49"/>
          <w:rFonts w:hint="eastAsia" w:ascii="宋体" w:hAnsi="宋体" w:eastAsia="宋体" w:cs="宋体"/>
          <w:sz w:val="24"/>
          <w:szCs w:val="24"/>
        </w:rPr>
        <w:t>https://ecaitong.sinotruk.com:8012/</w:t>
      </w:r>
      <w:r>
        <w:rPr>
          <w:rStyle w:val="49"/>
          <w:rFonts w:hint="eastAsia" w:ascii="宋体" w:hAnsi="宋体" w:eastAsia="宋体" w:cs="宋体"/>
          <w:sz w:val="24"/>
          <w:szCs w:val="24"/>
        </w:rPr>
        <w:fldChar w:fldCharType="end"/>
      </w:r>
    </w:p>
    <w:p w14:paraId="4EA96969">
      <w:pPr>
        <w:spacing w:line="360" w:lineRule="auto"/>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用 户 名：gys+供应商代码（</w:t>
      </w:r>
      <w:r>
        <w:rPr>
          <w:rFonts w:ascii="Times New Roman" w:hAnsi="Times New Roman" w:eastAsia="宋体" w:cs="Times New Roman"/>
          <w:color w:val="FF0000"/>
          <w:sz w:val="24"/>
          <w:szCs w:val="24"/>
        </w:rPr>
        <w:t>注意：注册完毕后，用户名不要用手机号登录</w:t>
      </w:r>
      <w:r>
        <w:rPr>
          <w:rFonts w:ascii="Times New Roman" w:hAnsi="Times New Roman" w:eastAsia="宋体" w:cs="Times New Roman"/>
          <w:color w:val="000000"/>
          <w:sz w:val="24"/>
          <w:szCs w:val="24"/>
        </w:rPr>
        <w:t>）</w:t>
      </w:r>
    </w:p>
    <w:p w14:paraId="543DB2E4">
      <w:pPr>
        <w:pStyle w:val="2"/>
        <w:spacing w:after="156"/>
      </w:pPr>
      <w:r>
        <w:rPr>
          <w:rFonts w:hint="eastAsia"/>
          <w:sz w:val="24"/>
        </w:rPr>
        <w:t>初始密码为scm@2022或@2023</w:t>
      </w:r>
    </w:p>
    <w:p w14:paraId="5E04B52F">
      <w:pPr>
        <w:spacing w:line="360" w:lineRule="auto"/>
        <w:rPr>
          <w:rFonts w:hint="eastAsia" w:ascii="宋体" w:hAnsi="宋体" w:eastAsia="宋体" w:cs="宋体"/>
          <w:b/>
          <w:bCs/>
          <w:color w:val="000000"/>
          <w:sz w:val="24"/>
          <w:szCs w:val="24"/>
        </w:rPr>
      </w:pPr>
      <w:r>
        <w:rPr>
          <w:rFonts w:hint="eastAsia" w:ascii="宋体" w:hAnsi="宋体" w:eastAsia="宋体" w:cs="宋体"/>
          <w:b/>
          <w:bCs/>
          <w:color w:val="000000"/>
          <w:sz w:val="24"/>
          <w:szCs w:val="24"/>
        </w:rPr>
        <w:t>1.供应商应标</w:t>
      </w:r>
    </w:p>
    <w:p w14:paraId="75A7BC8A">
      <w:pPr>
        <w:spacing w:line="360" w:lineRule="auto"/>
        <w:rPr>
          <w:rFonts w:hint="eastAsia" w:ascii="宋体" w:hAnsi="宋体" w:eastAsia="宋体" w:cs="宋体"/>
          <w:sz w:val="24"/>
          <w:szCs w:val="24"/>
        </w:rPr>
      </w:pPr>
      <w:r>
        <w:rPr>
          <w:rFonts w:ascii="宋体" w:hAnsi="宋体" w:eastAsia="宋体" w:cs="宋体"/>
          <w:color w:val="000000"/>
          <w:sz w:val="24"/>
          <w:szCs w:val="24"/>
        </w:rPr>
        <w:t>路径：招投标中心</w:t>
      </w:r>
      <w:r>
        <w:rPr>
          <w:rFonts w:hint="eastAsia" w:ascii="宋体" w:hAnsi="宋体" w:eastAsia="宋体" w:cs="宋体"/>
          <w:color w:val="000000"/>
          <w:sz w:val="24"/>
          <w:szCs w:val="24"/>
        </w:rPr>
        <w:t>-</w:t>
      </w:r>
      <w:r>
        <w:rPr>
          <w:rFonts w:ascii="宋体" w:hAnsi="宋体" w:eastAsia="宋体" w:cs="宋体"/>
          <w:color w:val="000000"/>
          <w:sz w:val="24"/>
          <w:szCs w:val="24"/>
        </w:rPr>
        <w:t>非生产类招投标</w:t>
      </w:r>
      <w:r>
        <w:rPr>
          <w:rFonts w:hint="eastAsia" w:ascii="宋体" w:hAnsi="宋体" w:eastAsia="宋体" w:cs="宋体"/>
          <w:color w:val="000000"/>
          <w:sz w:val="24"/>
          <w:szCs w:val="24"/>
        </w:rPr>
        <w:t>-</w:t>
      </w:r>
      <w:r>
        <w:rPr>
          <w:rFonts w:ascii="宋体" w:hAnsi="宋体" w:eastAsia="宋体" w:cs="宋体"/>
          <w:color w:val="000000"/>
          <w:sz w:val="24"/>
          <w:szCs w:val="24"/>
        </w:rPr>
        <w:t>供应商应标</w:t>
      </w:r>
    </w:p>
    <w:p w14:paraId="3EF8ECA0">
      <w:pPr>
        <w:spacing w:line="360" w:lineRule="auto"/>
        <w:rPr>
          <w:rFonts w:hint="eastAsia" w:ascii="宋体" w:hAnsi="宋体" w:eastAsia="宋体" w:cs="宋体"/>
          <w:color w:val="000000"/>
          <w:sz w:val="24"/>
          <w:szCs w:val="24"/>
        </w:rPr>
      </w:pPr>
      <w:r>
        <w:rPr>
          <w:rFonts w:ascii="宋体" w:hAnsi="宋体" w:eastAsia="宋体" w:cs="宋体"/>
          <w:color w:val="000000"/>
          <w:sz w:val="24"/>
          <w:szCs w:val="24"/>
        </w:rPr>
        <w:t>点击应标，上传文件之后点击提交。</w:t>
      </w:r>
    </w:p>
    <w:p w14:paraId="6E9A7E94">
      <w:pPr>
        <w:rPr>
          <w:rFonts w:hint="eastAsia"/>
        </w:rPr>
      </w:pPr>
      <w:r>
        <w:drawing>
          <wp:inline distT="0" distB="0" distL="0" distR="0">
            <wp:extent cx="5922645" cy="2418080"/>
            <wp:effectExtent l="0" t="0" r="1905" b="1270"/>
            <wp:docPr id="25" name="picture" descr="descript"/>
            <wp:cNvGraphicFramePr/>
            <a:graphic xmlns:a="http://schemas.openxmlformats.org/drawingml/2006/main">
              <a:graphicData uri="http://schemas.openxmlformats.org/drawingml/2006/picture">
                <pic:pic xmlns:pic="http://schemas.openxmlformats.org/drawingml/2006/picture">
                  <pic:nvPicPr>
                    <pic:cNvPr id="25" name="picture" descr="descript"/>
                    <pic:cNvPicPr/>
                  </pic:nvPicPr>
                  <pic:blipFill>
                    <a:blip r:embed="rId48"/>
                    <a:stretch>
                      <a:fillRect/>
                    </a:stretch>
                  </pic:blipFill>
                  <pic:spPr>
                    <a:xfrm>
                      <a:off x="0" y="0"/>
                      <a:ext cx="5922645" cy="2418080"/>
                    </a:xfrm>
                    <a:prstGeom prst="rect">
                      <a:avLst/>
                    </a:prstGeom>
                  </pic:spPr>
                </pic:pic>
              </a:graphicData>
            </a:graphic>
          </wp:inline>
        </w:drawing>
      </w:r>
    </w:p>
    <w:p w14:paraId="37F6E668">
      <w:pPr>
        <w:rPr>
          <w:rFonts w:hint="eastAsia"/>
        </w:rPr>
      </w:pPr>
    </w:p>
    <w:p w14:paraId="15F1FA54">
      <w:pPr>
        <w:spacing w:line="360" w:lineRule="auto"/>
        <w:rPr>
          <w:rFonts w:hint="eastAsia" w:ascii="宋体" w:hAnsi="宋体" w:eastAsia="宋体" w:cs="宋体"/>
          <w:b/>
          <w:bCs/>
          <w:color w:val="000000"/>
          <w:sz w:val="24"/>
          <w:szCs w:val="24"/>
        </w:rPr>
      </w:pPr>
      <w:r>
        <w:rPr>
          <w:rFonts w:hint="eastAsia" w:ascii="宋体" w:hAnsi="宋体" w:eastAsia="宋体" w:cs="宋体"/>
          <w:b/>
          <w:bCs/>
          <w:color w:val="000000"/>
          <w:sz w:val="24"/>
          <w:szCs w:val="24"/>
        </w:rPr>
        <w:t>2.供应商投标</w:t>
      </w:r>
    </w:p>
    <w:p w14:paraId="7F1D141F">
      <w:pPr>
        <w:spacing w:line="360" w:lineRule="auto"/>
        <w:rPr>
          <w:rFonts w:hint="eastAsia" w:ascii="宋体" w:hAnsi="宋体" w:eastAsia="宋体" w:cs="宋体"/>
          <w:sz w:val="24"/>
          <w:szCs w:val="24"/>
        </w:rPr>
      </w:pPr>
      <w:r>
        <w:rPr>
          <w:rFonts w:ascii="宋体" w:hAnsi="宋体" w:eastAsia="宋体" w:cs="宋体"/>
          <w:color w:val="000000"/>
          <w:sz w:val="24"/>
          <w:szCs w:val="24"/>
        </w:rPr>
        <w:t>路径：招投标中心</w:t>
      </w:r>
      <w:r>
        <w:rPr>
          <w:rFonts w:hint="eastAsia" w:ascii="宋体" w:hAnsi="宋体" w:eastAsia="宋体" w:cs="宋体"/>
          <w:color w:val="000000"/>
          <w:sz w:val="24"/>
          <w:szCs w:val="24"/>
        </w:rPr>
        <w:t>-</w:t>
      </w:r>
      <w:r>
        <w:rPr>
          <w:rFonts w:ascii="宋体" w:hAnsi="宋体" w:eastAsia="宋体" w:cs="宋体"/>
          <w:color w:val="000000"/>
          <w:sz w:val="24"/>
          <w:szCs w:val="24"/>
        </w:rPr>
        <w:t>非生产类招投标</w:t>
      </w:r>
      <w:r>
        <w:rPr>
          <w:rFonts w:hint="eastAsia" w:ascii="宋体" w:hAnsi="宋体" w:eastAsia="宋体" w:cs="宋体"/>
          <w:color w:val="000000"/>
          <w:sz w:val="24"/>
          <w:szCs w:val="24"/>
        </w:rPr>
        <w:t>-</w:t>
      </w:r>
      <w:r>
        <w:rPr>
          <w:rFonts w:ascii="宋体" w:hAnsi="宋体" w:eastAsia="宋体" w:cs="宋体"/>
          <w:color w:val="000000"/>
          <w:sz w:val="24"/>
          <w:szCs w:val="24"/>
        </w:rPr>
        <w:t>供应商投标</w:t>
      </w:r>
    </w:p>
    <w:p w14:paraId="1999DE87">
      <w:pPr>
        <w:rPr>
          <w:rFonts w:hint="eastAsia" w:ascii="宋体" w:hAnsi="宋体" w:eastAsia="宋体" w:cs="宋体"/>
          <w:color w:val="000000"/>
        </w:rPr>
      </w:pPr>
      <w:r>
        <w:rPr>
          <w:rFonts w:ascii="宋体" w:hAnsi="宋体" w:eastAsia="宋体" w:cs="宋体"/>
          <w:color w:val="000000"/>
        </w:rPr>
        <w:drawing>
          <wp:inline distT="0" distB="0" distL="0" distR="0">
            <wp:extent cx="5956300" cy="2280285"/>
            <wp:effectExtent l="0" t="0" r="6350" b="5715"/>
            <wp:docPr id="26" name="picture" descr="descript"/>
            <wp:cNvGraphicFramePr/>
            <a:graphic xmlns:a="http://schemas.openxmlformats.org/drawingml/2006/main">
              <a:graphicData uri="http://schemas.openxmlformats.org/drawingml/2006/picture">
                <pic:pic xmlns:pic="http://schemas.openxmlformats.org/drawingml/2006/picture">
                  <pic:nvPicPr>
                    <pic:cNvPr id="26" name="picture" descr="descript"/>
                    <pic:cNvPicPr/>
                  </pic:nvPicPr>
                  <pic:blipFill>
                    <a:blip r:embed="rId49"/>
                    <a:stretch>
                      <a:fillRect/>
                    </a:stretch>
                  </pic:blipFill>
                  <pic:spPr>
                    <a:xfrm>
                      <a:off x="0" y="0"/>
                      <a:ext cx="5956300" cy="2280285"/>
                    </a:xfrm>
                    <a:prstGeom prst="rect">
                      <a:avLst/>
                    </a:prstGeom>
                  </pic:spPr>
                </pic:pic>
              </a:graphicData>
            </a:graphic>
          </wp:inline>
        </w:drawing>
      </w:r>
    </w:p>
    <w:p w14:paraId="3EFA9EDC">
      <w:pPr>
        <w:spacing w:line="360" w:lineRule="auto"/>
        <w:rPr>
          <w:rFonts w:hint="eastAsia" w:ascii="宋体" w:hAnsi="宋体" w:eastAsia="宋体" w:cs="宋体"/>
          <w:color w:val="000000"/>
          <w:sz w:val="24"/>
          <w:szCs w:val="28"/>
        </w:rPr>
      </w:pPr>
      <w:r>
        <w:rPr>
          <w:rFonts w:ascii="宋体" w:hAnsi="宋体" w:eastAsia="宋体" w:cs="宋体"/>
          <w:color w:val="000000"/>
          <w:sz w:val="24"/>
          <w:szCs w:val="28"/>
        </w:rPr>
        <w:t>点击投标按钮，进入详情页，输入投标报价并上传相应的附件。</w:t>
      </w:r>
    </w:p>
    <w:p w14:paraId="2FAD3225">
      <w:pPr>
        <w:pStyle w:val="20"/>
        <w:rPr>
          <w:b/>
          <w:bCs/>
        </w:rPr>
      </w:pPr>
      <w:r>
        <w:rPr>
          <w:rFonts w:hint="eastAsia" w:hAnsi="宋体" w:eastAsia="宋体" w:cs="宋体"/>
          <w:b/>
          <w:bCs/>
          <w:color w:val="000000"/>
          <w:sz w:val="24"/>
          <w:szCs w:val="28"/>
        </w:rPr>
        <w:t>注意：系统内的投标报价单位为“万元”，如开标现场发现填错报价，即直接淘汰。</w:t>
      </w:r>
    </w:p>
    <w:p w14:paraId="22696F37">
      <w:pPr>
        <w:spacing w:before="280" w:after="290" w:line="372" w:lineRule="auto"/>
        <w:ind w:left="425" w:hanging="425"/>
        <w:rPr>
          <w:rFonts w:ascii="Arial" w:hAnsi="Arial" w:eastAsia="Arial" w:cs="Arial"/>
          <w:color w:val="000000"/>
          <w:sz w:val="28"/>
        </w:rPr>
      </w:pPr>
      <w:r>
        <w:rPr>
          <w:rFonts w:ascii="Arial" w:hAnsi="Arial" w:eastAsia="Arial" w:cs="Arial"/>
          <w:color w:val="000000"/>
          <w:sz w:val="28"/>
        </w:rPr>
        <w:drawing>
          <wp:inline distT="0" distB="0" distL="0" distR="0">
            <wp:extent cx="5645150" cy="2830830"/>
            <wp:effectExtent l="0" t="0" r="12700" b="7620"/>
            <wp:docPr id="27" name="picture" descr="descript"/>
            <wp:cNvGraphicFramePr/>
            <a:graphic xmlns:a="http://schemas.openxmlformats.org/drawingml/2006/main">
              <a:graphicData uri="http://schemas.openxmlformats.org/drawingml/2006/picture">
                <pic:pic xmlns:pic="http://schemas.openxmlformats.org/drawingml/2006/picture">
                  <pic:nvPicPr>
                    <pic:cNvPr id="27" name="picture" descr="descript"/>
                    <pic:cNvPicPr/>
                  </pic:nvPicPr>
                  <pic:blipFill>
                    <a:blip r:embed="rId50"/>
                    <a:stretch>
                      <a:fillRect/>
                    </a:stretch>
                  </pic:blipFill>
                  <pic:spPr>
                    <a:xfrm>
                      <a:off x="0" y="0"/>
                      <a:ext cx="5645150" cy="2830830"/>
                    </a:xfrm>
                    <a:prstGeom prst="rect">
                      <a:avLst/>
                    </a:prstGeom>
                  </pic:spPr>
                </pic:pic>
              </a:graphicData>
            </a:graphic>
          </wp:inline>
        </w:drawing>
      </w:r>
    </w:p>
    <w:p w14:paraId="41DC462E">
      <w:pPr>
        <w:spacing w:line="360" w:lineRule="auto"/>
        <w:rPr>
          <w:rFonts w:hint="eastAsia" w:ascii="宋体" w:hAnsi="宋体" w:eastAsia="宋体" w:cs="宋体"/>
          <w:b/>
          <w:bCs/>
          <w:color w:val="000000"/>
          <w:sz w:val="24"/>
          <w:szCs w:val="24"/>
        </w:rPr>
      </w:pPr>
      <w:r>
        <w:rPr>
          <w:rFonts w:hint="eastAsia" w:ascii="宋体" w:hAnsi="宋体" w:eastAsia="宋体" w:cs="宋体"/>
          <w:b/>
          <w:bCs/>
          <w:color w:val="000000"/>
          <w:sz w:val="24"/>
          <w:szCs w:val="24"/>
        </w:rPr>
        <w:t>3.供应商技术标澄清函</w:t>
      </w:r>
    </w:p>
    <w:p w14:paraId="3A7D2B34">
      <w:pPr>
        <w:spacing w:line="360" w:lineRule="auto"/>
        <w:rPr>
          <w:rFonts w:hint="eastAsia" w:ascii="宋体" w:hAnsi="宋体" w:eastAsia="宋体" w:cs="宋体"/>
          <w:sz w:val="24"/>
          <w:szCs w:val="24"/>
        </w:rPr>
      </w:pPr>
      <w:r>
        <w:rPr>
          <w:rFonts w:ascii="宋体" w:hAnsi="宋体" w:eastAsia="宋体" w:cs="宋体"/>
          <w:color w:val="000000"/>
          <w:sz w:val="24"/>
          <w:szCs w:val="24"/>
        </w:rPr>
        <w:t>路径：招投标中心</w:t>
      </w:r>
      <w:r>
        <w:rPr>
          <w:rFonts w:hint="eastAsia" w:ascii="宋体" w:hAnsi="宋体" w:eastAsia="宋体" w:cs="宋体"/>
          <w:color w:val="000000"/>
          <w:sz w:val="24"/>
          <w:szCs w:val="24"/>
        </w:rPr>
        <w:t>-</w:t>
      </w:r>
      <w:r>
        <w:rPr>
          <w:rFonts w:ascii="宋体" w:hAnsi="宋体" w:eastAsia="宋体" w:cs="宋体"/>
          <w:color w:val="000000"/>
          <w:sz w:val="24"/>
          <w:szCs w:val="24"/>
        </w:rPr>
        <w:t>非生产类招投标</w:t>
      </w:r>
      <w:r>
        <w:rPr>
          <w:rFonts w:hint="eastAsia" w:ascii="宋体" w:hAnsi="宋体" w:eastAsia="宋体" w:cs="宋体"/>
          <w:color w:val="000000"/>
          <w:sz w:val="24"/>
          <w:szCs w:val="24"/>
        </w:rPr>
        <w:t>-</w:t>
      </w:r>
      <w:r>
        <w:rPr>
          <w:rFonts w:ascii="宋体" w:hAnsi="宋体" w:eastAsia="宋体" w:cs="宋体"/>
          <w:color w:val="000000"/>
          <w:sz w:val="24"/>
          <w:szCs w:val="24"/>
        </w:rPr>
        <w:t>供应商技术标澄清函</w:t>
      </w:r>
    </w:p>
    <w:p w14:paraId="6EEF3138">
      <w:pPr>
        <w:spacing w:line="360" w:lineRule="auto"/>
        <w:rPr>
          <w:rFonts w:hint="eastAsia" w:ascii="宋体" w:hAnsi="宋体" w:eastAsia="宋体" w:cs="宋体"/>
          <w:sz w:val="24"/>
          <w:szCs w:val="24"/>
        </w:rPr>
      </w:pPr>
      <w:r>
        <w:rPr>
          <w:rFonts w:ascii="宋体" w:hAnsi="宋体" w:eastAsia="宋体" w:cs="宋体"/>
          <w:color w:val="000000"/>
          <w:sz w:val="24"/>
          <w:szCs w:val="24"/>
        </w:rPr>
        <w:t>点击编辑按钮进入系统，上传技术标澄清函。</w:t>
      </w:r>
    </w:p>
    <w:p w14:paraId="69402E8C">
      <w:pPr>
        <w:spacing w:line="360" w:lineRule="auto"/>
        <w:rPr>
          <w:rFonts w:ascii="Arial" w:hAnsi="Arial" w:eastAsia="Arial" w:cs="Arial"/>
          <w:color w:val="000000"/>
          <w:sz w:val="28"/>
        </w:rPr>
      </w:pPr>
      <w:r>
        <w:rPr>
          <w:rFonts w:ascii="宋体" w:hAnsi="宋体" w:eastAsia="宋体" w:cs="宋体"/>
          <w:color w:val="000000"/>
          <w:sz w:val="24"/>
          <w:szCs w:val="24"/>
        </w:rPr>
        <w:t>开标之后所有投标的供应商都可编辑提交，技术标入围之后</w:t>
      </w:r>
      <w:r>
        <w:rPr>
          <w:rFonts w:hint="eastAsia" w:ascii="宋体" w:hAnsi="宋体" w:eastAsia="宋体" w:cs="宋体"/>
          <w:color w:val="000000"/>
          <w:sz w:val="24"/>
          <w:szCs w:val="24"/>
        </w:rPr>
        <w:t xml:space="preserve"> </w:t>
      </w:r>
      <w:r>
        <w:rPr>
          <w:rFonts w:ascii="宋体" w:hAnsi="宋体" w:eastAsia="宋体" w:cs="宋体"/>
          <w:color w:val="000000"/>
          <w:sz w:val="24"/>
          <w:szCs w:val="24"/>
        </w:rPr>
        <w:t>都不可编辑</w:t>
      </w:r>
      <w:r>
        <w:rPr>
          <w:rFonts w:ascii="Arial" w:hAnsi="Arial" w:eastAsia="Arial" w:cs="Arial"/>
          <w:color w:val="000000"/>
          <w:sz w:val="28"/>
        </w:rPr>
        <w:drawing>
          <wp:inline distT="0" distB="0" distL="0" distR="0">
            <wp:extent cx="5638800" cy="2183130"/>
            <wp:effectExtent l="0" t="0" r="0" b="7620"/>
            <wp:docPr id="28" name="picture" descr="descript"/>
            <wp:cNvGraphicFramePr/>
            <a:graphic xmlns:a="http://schemas.openxmlformats.org/drawingml/2006/main">
              <a:graphicData uri="http://schemas.openxmlformats.org/drawingml/2006/picture">
                <pic:pic xmlns:pic="http://schemas.openxmlformats.org/drawingml/2006/picture">
                  <pic:nvPicPr>
                    <pic:cNvPr id="28" name="picture" descr="descript"/>
                    <pic:cNvPicPr/>
                  </pic:nvPicPr>
                  <pic:blipFill>
                    <a:blip r:embed="rId51"/>
                    <a:stretch>
                      <a:fillRect/>
                    </a:stretch>
                  </pic:blipFill>
                  <pic:spPr>
                    <a:xfrm>
                      <a:off x="0" y="0"/>
                      <a:ext cx="5638800" cy="2183130"/>
                    </a:xfrm>
                    <a:prstGeom prst="rect">
                      <a:avLst/>
                    </a:prstGeom>
                  </pic:spPr>
                </pic:pic>
              </a:graphicData>
            </a:graphic>
          </wp:inline>
        </w:drawing>
      </w:r>
    </w:p>
    <w:p w14:paraId="5E469EC7">
      <w:pPr>
        <w:spacing w:line="360" w:lineRule="auto"/>
        <w:rPr>
          <w:rFonts w:hint="eastAsia" w:ascii="宋体" w:hAnsi="宋体" w:eastAsia="宋体" w:cs="宋体"/>
          <w:b/>
          <w:bCs/>
          <w:color w:val="000000"/>
          <w:sz w:val="24"/>
          <w:szCs w:val="24"/>
        </w:rPr>
      </w:pPr>
      <w:r>
        <w:rPr>
          <w:rFonts w:hint="eastAsia" w:ascii="宋体" w:hAnsi="宋体" w:eastAsia="宋体" w:cs="宋体"/>
          <w:b/>
          <w:bCs/>
          <w:color w:val="000000"/>
          <w:sz w:val="24"/>
          <w:szCs w:val="24"/>
        </w:rPr>
        <w:t>4.供应商报价</w:t>
      </w:r>
    </w:p>
    <w:p w14:paraId="5646240A">
      <w:pPr>
        <w:spacing w:line="360" w:lineRule="auto"/>
        <w:rPr>
          <w:rFonts w:hint="eastAsia" w:ascii="宋体" w:hAnsi="宋体" w:eastAsia="宋体" w:cs="宋体"/>
          <w:sz w:val="24"/>
          <w:szCs w:val="24"/>
        </w:rPr>
      </w:pPr>
      <w:r>
        <w:rPr>
          <w:rFonts w:ascii="宋体" w:hAnsi="宋体" w:eastAsia="宋体" w:cs="宋体"/>
          <w:color w:val="000000"/>
          <w:sz w:val="24"/>
          <w:szCs w:val="24"/>
        </w:rPr>
        <w:t>路径：招投标中心</w:t>
      </w:r>
      <w:r>
        <w:rPr>
          <w:rFonts w:hint="eastAsia" w:ascii="宋体" w:hAnsi="宋体" w:eastAsia="宋体" w:cs="宋体"/>
          <w:color w:val="000000"/>
          <w:sz w:val="24"/>
          <w:szCs w:val="24"/>
        </w:rPr>
        <w:t>-</w:t>
      </w:r>
      <w:r>
        <w:rPr>
          <w:rFonts w:ascii="宋体" w:hAnsi="宋体" w:eastAsia="宋体" w:cs="宋体"/>
          <w:color w:val="000000"/>
          <w:sz w:val="24"/>
          <w:szCs w:val="24"/>
        </w:rPr>
        <w:t>非生产类招投标</w:t>
      </w:r>
      <w:r>
        <w:rPr>
          <w:rFonts w:hint="eastAsia" w:ascii="宋体" w:hAnsi="宋体" w:eastAsia="宋体" w:cs="宋体"/>
          <w:color w:val="000000"/>
          <w:sz w:val="24"/>
          <w:szCs w:val="24"/>
        </w:rPr>
        <w:t>-</w:t>
      </w:r>
      <w:r>
        <w:rPr>
          <w:rFonts w:ascii="宋体" w:hAnsi="宋体" w:eastAsia="宋体" w:cs="宋体"/>
          <w:color w:val="000000"/>
          <w:sz w:val="24"/>
          <w:szCs w:val="24"/>
        </w:rPr>
        <w:t>供应商报价</w:t>
      </w:r>
    </w:p>
    <w:p w14:paraId="5BE1751D">
      <w:pPr>
        <w:spacing w:line="360" w:lineRule="auto"/>
        <w:rPr>
          <w:rFonts w:hint="eastAsia" w:ascii="宋体" w:hAnsi="宋体" w:eastAsia="宋体" w:cs="宋体"/>
          <w:sz w:val="24"/>
          <w:szCs w:val="24"/>
        </w:rPr>
      </w:pPr>
      <w:r>
        <w:rPr>
          <w:rFonts w:ascii="宋体" w:hAnsi="宋体" w:eastAsia="宋体" w:cs="宋体"/>
          <w:color w:val="000000"/>
          <w:sz w:val="24"/>
          <w:szCs w:val="24"/>
        </w:rPr>
        <w:t>点击报价按钮进入报价详情界面，请在此轮报价起止时间内报价，否则无法报价。</w:t>
      </w:r>
    </w:p>
    <w:p w14:paraId="7356BF6F">
      <w:pPr>
        <w:spacing w:line="360" w:lineRule="auto"/>
        <w:rPr>
          <w:rFonts w:hint="eastAsia" w:ascii="宋体" w:hAnsi="宋体" w:eastAsia="宋体" w:cs="宋体"/>
          <w:b/>
          <w:bCs/>
          <w:color w:val="000000"/>
          <w:sz w:val="24"/>
          <w:szCs w:val="24"/>
        </w:rPr>
      </w:pPr>
      <w:r>
        <w:rPr>
          <w:rFonts w:hint="eastAsia" w:ascii="宋体" w:hAnsi="宋体" w:eastAsia="宋体" w:cs="宋体"/>
          <w:b/>
          <w:bCs/>
          <w:color w:val="000000"/>
          <w:sz w:val="24"/>
          <w:szCs w:val="24"/>
        </w:rPr>
        <w:t>5.供应商澄清报价</w:t>
      </w:r>
    </w:p>
    <w:p w14:paraId="61FB06B9">
      <w:pPr>
        <w:spacing w:line="360" w:lineRule="auto"/>
        <w:rPr>
          <w:rFonts w:hint="eastAsia" w:ascii="宋体" w:hAnsi="宋体" w:eastAsia="宋体" w:cs="宋体"/>
          <w:sz w:val="24"/>
          <w:szCs w:val="24"/>
        </w:rPr>
      </w:pPr>
      <w:r>
        <w:rPr>
          <w:rFonts w:ascii="宋体" w:hAnsi="宋体" w:eastAsia="宋体" w:cs="宋体"/>
          <w:color w:val="000000"/>
          <w:sz w:val="24"/>
          <w:szCs w:val="24"/>
        </w:rPr>
        <w:t>路径：招投标中心</w:t>
      </w:r>
      <w:r>
        <w:rPr>
          <w:rFonts w:hint="eastAsia" w:ascii="宋体" w:hAnsi="宋体" w:eastAsia="宋体" w:cs="宋体"/>
          <w:color w:val="000000"/>
          <w:sz w:val="24"/>
          <w:szCs w:val="24"/>
        </w:rPr>
        <w:t>-</w:t>
      </w:r>
      <w:r>
        <w:rPr>
          <w:rFonts w:ascii="宋体" w:hAnsi="宋体" w:eastAsia="宋体" w:cs="宋体"/>
          <w:color w:val="000000"/>
          <w:sz w:val="24"/>
          <w:szCs w:val="24"/>
        </w:rPr>
        <w:t>非生产类招投标</w:t>
      </w:r>
      <w:r>
        <w:rPr>
          <w:rFonts w:hint="eastAsia" w:ascii="宋体" w:hAnsi="宋体" w:eastAsia="宋体" w:cs="宋体"/>
          <w:color w:val="000000"/>
          <w:sz w:val="24"/>
          <w:szCs w:val="24"/>
        </w:rPr>
        <w:t>-</w:t>
      </w:r>
      <w:r>
        <w:rPr>
          <w:rFonts w:ascii="宋体" w:hAnsi="宋体" w:eastAsia="宋体" w:cs="宋体"/>
          <w:color w:val="000000"/>
          <w:sz w:val="24"/>
          <w:szCs w:val="24"/>
        </w:rPr>
        <w:t>供应商澄清报价</w:t>
      </w:r>
    </w:p>
    <w:p w14:paraId="763DDBB8">
      <w:pPr>
        <w:spacing w:line="360" w:lineRule="auto"/>
        <w:rPr>
          <w:rFonts w:ascii="Arial" w:hAnsi="Arial" w:eastAsia="Arial" w:cs="Arial"/>
          <w:color w:val="000000"/>
          <w:sz w:val="28"/>
        </w:rPr>
      </w:pPr>
      <w:r>
        <w:rPr>
          <w:rFonts w:ascii="宋体" w:hAnsi="宋体" w:eastAsia="宋体" w:cs="宋体"/>
          <w:color w:val="000000"/>
          <w:sz w:val="24"/>
          <w:szCs w:val="24"/>
        </w:rPr>
        <w:t>招标发起人接收建议价的同时会给供应商发送澄清报价，供应商在此界面进行澄清报价，点击编辑按钮进入澄清报价详细界面，输入价格并上传澄清函，之后点击提交。</w:t>
      </w:r>
      <w:r>
        <w:rPr>
          <w:rFonts w:ascii="Arial" w:hAnsi="Arial" w:eastAsia="Arial" w:cs="Arial"/>
          <w:color w:val="000000"/>
          <w:sz w:val="28"/>
        </w:rPr>
        <w:drawing>
          <wp:inline distT="0" distB="0" distL="0" distR="0">
            <wp:extent cx="5680075" cy="2823210"/>
            <wp:effectExtent l="0" t="0" r="15875" b="15240"/>
            <wp:docPr id="6" name="picture" descr="descript"/>
            <wp:cNvGraphicFramePr/>
            <a:graphic xmlns:a="http://schemas.openxmlformats.org/drawingml/2006/main">
              <a:graphicData uri="http://schemas.openxmlformats.org/drawingml/2006/picture">
                <pic:pic xmlns:pic="http://schemas.openxmlformats.org/drawingml/2006/picture">
                  <pic:nvPicPr>
                    <pic:cNvPr id="6" name="picture" descr="descript"/>
                    <pic:cNvPicPr/>
                  </pic:nvPicPr>
                  <pic:blipFill>
                    <a:blip r:embed="rId52"/>
                    <a:stretch>
                      <a:fillRect/>
                    </a:stretch>
                  </pic:blipFill>
                  <pic:spPr>
                    <a:xfrm>
                      <a:off x="0" y="0"/>
                      <a:ext cx="5680075" cy="2823210"/>
                    </a:xfrm>
                    <a:prstGeom prst="rect">
                      <a:avLst/>
                    </a:prstGeom>
                  </pic:spPr>
                </pic:pic>
              </a:graphicData>
            </a:graphic>
          </wp:inline>
        </w:drawing>
      </w:r>
    </w:p>
    <w:p w14:paraId="3E230CFE">
      <w:pPr>
        <w:spacing w:line="360" w:lineRule="auto"/>
        <w:rPr>
          <w:rFonts w:hint="eastAsia" w:ascii="宋体" w:hAnsi="宋体" w:eastAsia="宋体" w:cs="宋体"/>
          <w:b/>
          <w:bCs/>
          <w:color w:val="000000"/>
          <w:sz w:val="24"/>
          <w:szCs w:val="24"/>
        </w:rPr>
      </w:pPr>
      <w:r>
        <w:rPr>
          <w:rFonts w:hint="eastAsia" w:ascii="宋体" w:hAnsi="宋体" w:eastAsia="宋体" w:cs="宋体"/>
          <w:b/>
          <w:bCs/>
          <w:color w:val="000000"/>
          <w:sz w:val="24"/>
          <w:szCs w:val="24"/>
        </w:rPr>
        <w:t>6.供应商查看中标通知</w:t>
      </w:r>
    </w:p>
    <w:p w14:paraId="61B63C85">
      <w:pPr>
        <w:spacing w:line="360" w:lineRule="auto"/>
        <w:rPr>
          <w:rFonts w:hint="eastAsia" w:ascii="宋体" w:hAnsi="宋体" w:eastAsia="宋体" w:cs="宋体"/>
          <w:sz w:val="24"/>
          <w:szCs w:val="24"/>
        </w:rPr>
      </w:pPr>
      <w:r>
        <w:rPr>
          <w:rFonts w:ascii="宋体" w:hAnsi="宋体" w:eastAsia="宋体" w:cs="宋体"/>
          <w:color w:val="000000"/>
          <w:sz w:val="24"/>
          <w:szCs w:val="24"/>
        </w:rPr>
        <w:t>路径：招投标中心</w:t>
      </w:r>
      <w:r>
        <w:rPr>
          <w:rFonts w:hint="eastAsia" w:ascii="宋体" w:hAnsi="宋体" w:eastAsia="宋体" w:cs="宋体"/>
          <w:color w:val="000000"/>
          <w:sz w:val="24"/>
          <w:szCs w:val="24"/>
        </w:rPr>
        <w:t>-</w:t>
      </w:r>
      <w:r>
        <w:rPr>
          <w:rFonts w:ascii="宋体" w:hAnsi="宋体" w:eastAsia="宋体" w:cs="宋体"/>
          <w:color w:val="000000"/>
          <w:sz w:val="24"/>
          <w:szCs w:val="24"/>
        </w:rPr>
        <w:t>非生产类招投标</w:t>
      </w:r>
      <w:r>
        <w:rPr>
          <w:rFonts w:hint="eastAsia" w:ascii="宋体" w:hAnsi="宋体" w:eastAsia="宋体" w:cs="宋体"/>
          <w:color w:val="000000"/>
          <w:sz w:val="24"/>
          <w:szCs w:val="24"/>
        </w:rPr>
        <w:t>-</w:t>
      </w:r>
      <w:r>
        <w:rPr>
          <w:rFonts w:ascii="宋体" w:hAnsi="宋体" w:eastAsia="宋体" w:cs="宋体"/>
          <w:color w:val="000000"/>
          <w:sz w:val="24"/>
          <w:szCs w:val="24"/>
        </w:rPr>
        <w:t>中标项目</w:t>
      </w:r>
    </w:p>
    <w:p w14:paraId="273CA8C3">
      <w:pPr>
        <w:spacing w:line="360" w:lineRule="auto"/>
        <w:rPr>
          <w:rFonts w:hint="eastAsia" w:ascii="宋体" w:hAnsi="宋体" w:eastAsia="宋体" w:cs="宋体"/>
          <w:sz w:val="24"/>
          <w:szCs w:val="24"/>
        </w:rPr>
      </w:pPr>
      <w:r>
        <w:rPr>
          <w:rFonts w:ascii="宋体" w:hAnsi="宋体" w:eastAsia="宋体" w:cs="宋体"/>
          <w:color w:val="000000"/>
          <w:sz w:val="24"/>
          <w:szCs w:val="24"/>
        </w:rPr>
        <w:t>点击查看进入查看中标项目详情</w:t>
      </w:r>
    </w:p>
    <w:p w14:paraId="5D2310A3">
      <w:pPr>
        <w:rPr>
          <w:rFonts w:hint="eastAsia" w:hAnsi="宋体" w:eastAsia="宋体" w:cs="Times New Roman"/>
          <w:b/>
          <w:color w:val="000000"/>
          <w:sz w:val="24"/>
          <w:szCs w:val="24"/>
        </w:rPr>
      </w:pPr>
      <w:r>
        <w:drawing>
          <wp:inline distT="0" distB="0" distL="0" distR="0">
            <wp:extent cx="5902960" cy="2201545"/>
            <wp:effectExtent l="0" t="0" r="2540" b="8255"/>
            <wp:docPr id="7" name="picture" descr="descript"/>
            <wp:cNvGraphicFramePr/>
            <a:graphic xmlns:a="http://schemas.openxmlformats.org/drawingml/2006/main">
              <a:graphicData uri="http://schemas.openxmlformats.org/drawingml/2006/picture">
                <pic:pic xmlns:pic="http://schemas.openxmlformats.org/drawingml/2006/picture">
                  <pic:nvPicPr>
                    <pic:cNvPr id="7" name="picture" descr="descript"/>
                    <pic:cNvPicPr/>
                  </pic:nvPicPr>
                  <pic:blipFill>
                    <a:blip r:embed="rId53"/>
                    <a:stretch>
                      <a:fillRect/>
                    </a:stretch>
                  </pic:blipFill>
                  <pic:spPr>
                    <a:xfrm>
                      <a:off x="0" y="0"/>
                      <a:ext cx="5902960" cy="2201545"/>
                    </a:xfrm>
                    <a:prstGeom prst="rect">
                      <a:avLst/>
                    </a:prstGeom>
                  </pic:spPr>
                </pic:pic>
              </a:graphicData>
            </a:graphic>
          </wp:inline>
        </w:drawing>
      </w:r>
    </w:p>
    <w:sectPr>
      <w:headerReference r:id="rId37" w:type="default"/>
      <w:footerReference r:id="rId38" w:type="default"/>
      <w:pgSz w:w="11906" w:h="16838"/>
      <w:pgMar w:top="1304" w:right="1417" w:bottom="1304" w:left="141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8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新宋体">
    <w:panose1 w:val="02010609030101010101"/>
    <w:charset w:val="86"/>
    <w:family w:val="modern"/>
    <w:pitch w:val="default"/>
    <w:sig w:usb0="00000203" w:usb1="288F0000" w:usb2="00000006" w:usb3="00000000" w:csb0="00040001" w:csb1="00000000"/>
  </w:font>
  <w:font w:name="仿宋">
    <w:panose1 w:val="02010609060101010101"/>
    <w:charset w:val="86"/>
    <w:family w:val="modern"/>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00" w:usb3="00000000" w:csb0="00040000" w:csb1="00000000"/>
  </w:font>
  <w:font w:name="Microsoft YaHei UI">
    <w:panose1 w:val="020B0503020204020204"/>
    <w:charset w:val="86"/>
    <w:family w:val="swiss"/>
    <w:pitch w:val="default"/>
    <w:sig w:usb0="80000287" w:usb1="2ACF3C50" w:usb2="00000016" w:usb3="00000000" w:csb0="0004001F" w:csb1="00000000"/>
  </w:font>
  <w:font w:name="等线 Light">
    <w:panose1 w:val="02010600030101010101"/>
    <w:charset w:val="86"/>
    <w:family w:val="auto"/>
    <w:pitch w:val="default"/>
    <w:sig w:usb0="A00002BF" w:usb1="38CF7CFA" w:usb2="00000016" w:usb3="00000000" w:csb0="0004000F" w:csb1="00000000"/>
  </w:font>
  <w:font w:name="Verdana">
    <w:panose1 w:val="020B0604030504040204"/>
    <w:charset w:val="00"/>
    <w:family w:val="swiss"/>
    <w:pitch w:val="default"/>
    <w:sig w:usb0="A00006FF" w:usb1="4000205B" w:usb2="00000010" w:usb3="00000000" w:csb0="2000019F" w:csb1="00000000"/>
  </w:font>
  <w:font w:name="楷体_GB2312">
    <w:altName w:val="楷体"/>
    <w:panose1 w:val="00000000000000000000"/>
    <w:charset w:val="86"/>
    <w:family w:val="modern"/>
    <w:pitch w:val="default"/>
    <w:sig w:usb0="00000000" w:usb1="00000000" w:usb2="00000000" w:usb3="00000000" w:csb0="00040000" w:csb1="00000000"/>
  </w:font>
  <w:font w:name="楷体">
    <w:panose1 w:val="02010609060101010101"/>
    <w:charset w:val="86"/>
    <w:family w:val="modern"/>
    <w:pitch w:val="default"/>
    <w:sig w:usb0="800002BF" w:usb1="38CF7CFA" w:usb2="00000016" w:usb3="00000000" w:csb0="00040001" w:csb1="00000000"/>
  </w:font>
  <w:font w:name="文鼎大标宋简">
    <w:altName w:val="宋体"/>
    <w:panose1 w:val="00000000000000000000"/>
    <w:charset w:val="86"/>
    <w:family w:val="modern"/>
    <w:pitch w:val="default"/>
    <w:sig w:usb0="00000000" w:usb1="00000000" w:usb2="00000010" w:usb3="00000000" w:csb0="00040000" w:csb1="00000000"/>
  </w:font>
  <w:font w:name="华文中宋">
    <w:altName w:val="宋体"/>
    <w:panose1 w:val="02010600040101010101"/>
    <w:charset w:val="86"/>
    <w:family w:val="auto"/>
    <w:pitch w:val="default"/>
    <w:sig w:usb0="00000000" w:usb1="00000000" w:usb2="00000000" w:usb3="00000000" w:csb0="0004009F" w:csb1="DFD70000"/>
  </w:font>
  <w:font w:name="华文仿宋">
    <w:altName w:val="仿宋"/>
    <w:panose1 w:val="02010600040101010101"/>
    <w:charset w:val="86"/>
    <w:family w:val="auto"/>
    <w:pitch w:val="default"/>
    <w:sig w:usb0="00000000" w:usb1="00000000" w:usb2="00000000" w:usb3="00000000" w:csb0="0004009F" w:csb1="DFD70000"/>
  </w:font>
  <w:font w:name="方正小标宋简体">
    <w:panose1 w:val="02000000000000000000"/>
    <w:charset w:val="86"/>
    <w:family w:val="script"/>
    <w:pitch w:val="default"/>
    <w:sig w:usb0="A00002BF" w:usb1="184F6CFA" w:usb2="00000012" w:usb3="00000000" w:csb0="00040001" w:csb1="00000000"/>
  </w:font>
  <w:font w:name="Helvetica">
    <w:altName w:val="Arial"/>
    <w:panose1 w:val="020B0604020202020204"/>
    <w:charset w:val="00"/>
    <w:family w:val="auto"/>
    <w:pitch w:val="default"/>
    <w:sig w:usb0="00000000" w:usb1="00000000" w:usb2="00000000" w:usb3="00000000" w:csb0="00000000" w:csb1="00000000"/>
  </w:font>
  <w:font w:name="Wingdings 2">
    <w:altName w:val="Wingdings"/>
    <w:panose1 w:val="05020102010507070707"/>
    <w:charset w:val="02"/>
    <w:family w:val="roman"/>
    <w:pitch w:val="default"/>
    <w:sig w:usb0="00000000" w:usb1="00000000" w:usb2="00000000" w:usb3="00000000" w:csb0="80000000" w:csb1="00000000"/>
  </w:font>
  <w:font w:name="KSOF0B7949D1">
    <w:panose1 w:val="02010609060101010101"/>
    <w:charset w:val="86"/>
    <w:family w:val="auto"/>
    <w:pitch w:val="default"/>
    <w:sig w:usb0="00000001" w:usb1="00000000" w:usb2="00000000" w:usb3="00000000" w:csb0="00040001" w:csb1="00000000"/>
  </w:font>
  <w:font w:name="KSOF0B79BE30">
    <w:panose1 w:val="02010609060101010101"/>
    <w:charset w:val="86"/>
    <w:family w:val="auto"/>
    <w:pitch w:val="default"/>
    <w:sig w:usb0="00000001" w:usb1="00000000" w:usb2="00000000" w:usb3="00000000" w:csb0="00040001" w:csb1="00000000"/>
  </w:font>
  <w:font w:name="KSOFE44F9426">
    <w:panose1 w:val="02010609060101010101"/>
    <w:charset w:val="86"/>
    <w:family w:val="auto"/>
    <w:pitch w:val="default"/>
    <w:sig w:usb0="00000001" w:usb1="00000000" w:usb2="00000000" w:usb3="00000000" w:csb0="00040001" w:csb1="00000000"/>
  </w:font>
  <w:font w:name="KSOFE4500885">
    <w:panose1 w:val="02010609060101010101"/>
    <w:charset w:val="86"/>
    <w:family w:val="auto"/>
    <w:pitch w:val="default"/>
    <w:sig w:usb0="00000001" w:usb1="00000000" w:usb2="00000000" w:usb3="00000000" w:csb0="00040001" w:csb1="00000000"/>
  </w:font>
  <w:font w:name="KSOFE450F143">
    <w:panose1 w:val="02010609060101010101"/>
    <w:charset w:val="86"/>
    <w:family w:val="auto"/>
    <w:pitch w:val="default"/>
    <w:sig w:usb0="00000001" w:usb1="00000000" w:usb2="00000000" w:usb3="00000000" w:csb0="00040001" w:csb1="00000000"/>
  </w:font>
  <w:font w:name="KSOFE4507CE4">
    <w:panose1 w:val="02010609060101010101"/>
    <w:charset w:val="86"/>
    <w:family w:val="auto"/>
    <w:pitch w:val="default"/>
    <w:sig w:usb0="00000001" w:usb1="00000000" w:usb2="00000000" w:usb3="00000000" w:csb0="00040001" w:csb1="00000000"/>
  </w:font>
  <w:font w:name="Kingsoft UE">
    <w:panose1 w:val="02000100010000000000"/>
    <w:charset w:val="00"/>
    <w:family w:val="auto"/>
    <w:pitch w:val="default"/>
    <w:sig w:usb0="00000001" w:usb1="00004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F4FF1A3">
    <w:pPr>
      <w:pStyle w:val="25"/>
      <w:rPr>
        <w:rFonts w:hint="eastAsia"/>
      </w:rPr>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22EC194">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9</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cMibgsAgAAVQ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RoplCwU/fv51+&#10;/Dr9/Equojyt9TNEPVjEhe6t6dA0w7nHYWTdVU7FL/gQ+CHu8SKu6ALh8dJ0Mp3mcHH4hg3ws8fr&#10;1vnwThhFolFQh+olUdlh40MfOoTEbNqsGylTBaUmbUGvX7/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FwyJuCwCAABVBAAADgAAAAAAAAABACAAAAAfAQAAZHJzL2Uyb0RvYy54bWxQSwUGAAAAAAYA&#10;BgBZAQAAvQUAAAAA&#10;">
              <v:fill on="f" focussize="0,0"/>
              <v:stroke on="f" weight="0.5pt"/>
              <v:imagedata o:title=""/>
              <o:lock v:ext="edit" aspectratio="f"/>
              <v:textbox inset="0mm,0mm,0mm,0mm" style="mso-fit-shape-to-text:t;">
                <w:txbxContent>
                  <w:p w14:paraId="722EC194">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9</w:t>
                    </w:r>
                    <w:r>
                      <w:rPr>
                        <w:rFonts w:hint="eastAsia"/>
                        <w:sz w:val="18"/>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5AB872">
    <w:pPr>
      <w:pStyle w:val="25"/>
      <w:jc w:val="center"/>
      <w:rPr>
        <w:rFonts w:hint="eastAsia"/>
      </w:rPr>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B711501">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9j2DAsAgAAVQ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3k7T9sLVA3CpkSOS6B4brdDsm57Z3uRn&#10;EHOm6wxv+aZC8i3z4YE5tAIejGEJ91gKaZDE9BYlpXFf/3Ue41EheCmp0VoZ1ZgkSuQHjcoBMAyG&#10;G4z9YOijujPo1TGG0PLWxAUX5GAWzqgvmKBVzAEX0xyZMhoG8y507Y0J5GK1aoPQa5aFrd5ZHqGj&#10;eN6ujgECtrpGUToleq3QbW1l+smI7fznvo16+hssH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r2PYMCwCAABVBAAADgAAAAAAAAABACAAAAAfAQAAZHJzL2Uyb0RvYy54bWxQSwUGAAAAAAYA&#10;BgBZAQAAvQUAAAAA&#10;">
              <v:fill on="f" focussize="0,0"/>
              <v:stroke on="f" weight="0.5pt"/>
              <v:imagedata o:title=""/>
              <o:lock v:ext="edit" aspectratio="f"/>
              <v:textbox inset="0mm,0mm,0mm,0mm" style="mso-fit-shape-to-text:t;">
                <w:txbxContent>
                  <w:p w14:paraId="7B711501">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w:t>
                    </w:r>
                    <w:r>
                      <w:rPr>
                        <w:rFonts w:hint="eastAsia"/>
                        <w:sz w:val="18"/>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B005319">
    <w:pPr>
      <w:pStyle w:val="25"/>
      <w:jc w:val="center"/>
      <w:rPr>
        <w:rFonts w:hint="eastAsia"/>
      </w:rPr>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4EBD61D">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8</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VhjD8rAgAAVQ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AFYYw/KwIAAFUEAAAOAAAAAAAAAAEAIAAAAB8BAABkcnMvZTJvRG9jLnhtbFBLBQYAAAAABgAG&#10;AFkBAAC8BQAAAAA=&#10;">
              <v:fill on="f" focussize="0,0"/>
              <v:stroke on="f" weight="0.5pt"/>
              <v:imagedata o:title=""/>
              <o:lock v:ext="edit" aspectratio="f"/>
              <v:textbox inset="0mm,0mm,0mm,0mm" style="mso-fit-shape-to-text:t;">
                <w:txbxContent>
                  <w:p w14:paraId="44EBD61D">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8</w:t>
                    </w:r>
                    <w:r>
                      <w:rPr>
                        <w:rFonts w:hint="eastAsia"/>
                        <w:sz w:val="18"/>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DE4E29">
    <w:pPr>
      <w:tabs>
        <w:tab w:val="right" w:pos="8306"/>
      </w:tabs>
      <w:snapToGrid w:val="0"/>
      <w:jc w:val="center"/>
      <w:rPr>
        <w:rFonts w:ascii="Calibri" w:hAnsi="Calibri" w:eastAsia="宋体" w:cs="Times New Roman"/>
        <w:kern w:val="0"/>
        <w:sz w:val="18"/>
        <w:szCs w:val="18"/>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E0F0D57">
    <w:pPr>
      <w:pStyle w:val="25"/>
      <w:jc w:val="center"/>
    </w:pPr>
    <w: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B1BD6BD">
                          <w:pPr>
                            <w:pStyle w:val="25"/>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16</w:t>
                          </w:r>
                          <w:r>
                            <w:fldChar w:fldCharType="end"/>
                          </w:r>
                          <w:r>
                            <w:t xml:space="preserve"> 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文本框 14"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h3v+/iwCAABWBAAADgAAAAAAAAABACAAAAAfAQAAZHJzL2Uyb0RvYy54bWxQSwUGAAAAAAYA&#10;BgBZAQAAvQUAAAAA&#10;">
              <v:fill on="f" focussize="0,0"/>
              <v:stroke on="f" weight="0.5pt"/>
              <v:imagedata o:title=""/>
              <o:lock v:ext="edit" aspectratio="f"/>
              <v:textbox inset="0mm,0mm,0mm,0mm" style="mso-fit-shape-to-text:t;">
                <w:txbxContent>
                  <w:p w14:paraId="6B1BD6BD">
                    <w:pPr>
                      <w:pStyle w:val="25"/>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16</w:t>
                    </w:r>
                    <w:r>
                      <w:fldChar w:fldCharType="end"/>
                    </w:r>
                    <w:r>
                      <w:t xml:space="preserve"> 页</w:t>
                    </w:r>
                  </w:p>
                </w:txbxContent>
              </v:textbox>
            </v:shape>
          </w:pict>
        </mc:Fallback>
      </mc:AlternateContent>
    </w:r>
    <w: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15"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8037A74">
                          <w:pPr>
                            <w:pStyle w:val="25"/>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文本框 4"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2jo4IsAgAAVgQAAA4AAABkcnMvZTJvRG9jLnhtbK1UzY7TMBC+I/EO&#10;lu80aWFX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faOjgiwCAABWBAAADgAAAAAAAAABACAAAAAfAQAAZHJzL2Uyb0RvYy54bWxQSwUGAAAAAAYA&#10;BgBZAQAAvQUAAAAA&#10;">
              <v:fill on="f" focussize="0,0"/>
              <v:stroke on="f" weight="0.5pt"/>
              <v:imagedata o:title=""/>
              <o:lock v:ext="edit" aspectratio="f"/>
              <v:textbox inset="0mm,0mm,0mm,0mm" style="mso-fit-shape-to-text:t;">
                <w:txbxContent>
                  <w:p w14:paraId="58037A74">
                    <w:pPr>
                      <w:pStyle w:val="25"/>
                    </w:pPr>
                  </w:p>
                </w:txbxContent>
              </v:textbox>
            </v:shape>
          </w:pict>
        </mc:Fallback>
      </mc:AlternateContent>
    </w:r>
    <w: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21"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4C511CE">
                          <w:pPr>
                            <w:pStyle w:val="25"/>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文本框 5"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8uznyywCAABWBAAADgAAAAAAAAABACAAAAAfAQAAZHJzL2Uyb0RvYy54bWxQSwUGAAAAAAYA&#10;BgBZAQAAvQUAAAAA&#10;">
              <v:fill on="f" focussize="0,0"/>
              <v:stroke on="f" weight="0.5pt"/>
              <v:imagedata o:title=""/>
              <o:lock v:ext="edit" aspectratio="f"/>
              <v:textbox inset="0mm,0mm,0mm,0mm" style="mso-fit-shape-to-text:t;">
                <w:txbxContent>
                  <w:p w14:paraId="14C511CE">
                    <w:pPr>
                      <w:pStyle w:val="25"/>
                    </w:pPr>
                  </w:p>
                </w:txbxContent>
              </v:textbox>
            </v:shape>
          </w:pict>
        </mc:Fallback>
      </mc:AlternateContent>
    </w:r>
    <w:r>
      <mc:AlternateContent>
        <mc:Choice Requires="wps">
          <w:drawing>
            <wp:anchor distT="0" distB="0" distL="114300" distR="114300" simplePos="0" relativeHeight="251667456" behindDoc="0" locked="0" layoutInCell="1" allowOverlap="1">
              <wp:simplePos x="0" y="0"/>
              <wp:positionH relativeFrom="margin">
                <wp:posOffset>2823845</wp:posOffset>
              </wp:positionH>
              <wp:positionV relativeFrom="paragraph">
                <wp:posOffset>3175</wp:posOffset>
              </wp:positionV>
              <wp:extent cx="752475" cy="238125"/>
              <wp:effectExtent l="0" t="0" r="0" b="0"/>
              <wp:wrapNone/>
              <wp:docPr id="22" name="文本框 6"/>
              <wp:cNvGraphicFramePr/>
              <a:graphic xmlns:a="http://schemas.openxmlformats.org/drawingml/2006/main">
                <a:graphicData uri="http://schemas.microsoft.com/office/word/2010/wordprocessingShape">
                  <wps:wsp>
                    <wps:cNvSpPr txBox="1"/>
                    <wps:spPr>
                      <a:xfrm>
                        <a:off x="0" y="0"/>
                        <a:ext cx="752475" cy="23812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E5DBD68">
                          <w:pPr>
                            <w:pStyle w:val="25"/>
                          </w:pP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文本框 6" o:spid="_x0000_s1026" o:spt="202" type="#_x0000_t202" style="position:absolute;left:0pt;margin-left:222.35pt;margin-top:0.25pt;height:18.75pt;width:59.25pt;mso-position-horizontal-relative:margin;z-index:251667456;mso-width-relative:page;mso-height-relative:page;" filled="f" stroked="f" coordsize="21600,21600" o:gfxdata="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qfMXktYAAAAHAQAADwAAAAAAAAABACAAAAAiAAAAZHJzL2Rvd25yZXYueG1s&#10;UEsBAhQAFAAAAAgAh07iQMolK8EzAgAAVgQAAA4AAAAAAAAAAQAgAAAAJQEAAGRycy9lMm9Eb2Mu&#10;eG1sUEsFBgAAAAAGAAYAWQEAAMoFAAAAAA==&#10;">
              <v:fill on="f" focussize="0,0"/>
              <v:stroke on="f" weight="0.5pt"/>
              <v:imagedata o:title=""/>
              <o:lock v:ext="edit" aspectratio="f"/>
              <v:textbox inset="0mm,0mm,0mm,0mm">
                <w:txbxContent>
                  <w:p w14:paraId="5E5DBD68">
                    <w:pPr>
                      <w:pStyle w:val="25"/>
                    </w:pPr>
                  </w:p>
                </w:txbxContent>
              </v:textbox>
            </v:shape>
          </w:pict>
        </mc:Fallback>
      </mc:AlternateContent>
    </w:r>
  </w:p>
  <w:p w14:paraId="1A868FFF">
    <w:pPr>
      <w:pStyle w:val="25"/>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0042BE3">
    <w:pPr>
      <w:pStyle w:val="25"/>
      <w:jc w:val="center"/>
    </w:pPr>
    <w: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23"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10C6C40">
                          <w:pPr>
                            <w:pStyle w:val="25"/>
                          </w:pPr>
                          <w:r>
                            <w:t xml:space="preserve">第 </w:t>
                          </w:r>
                          <w:r>
                            <w:fldChar w:fldCharType="begin"/>
                          </w:r>
                          <w:r>
                            <w:instrText xml:space="preserve"> PAGE  \* MERGEFORMAT </w:instrText>
                          </w:r>
                          <w:r>
                            <w:fldChar w:fldCharType="separate"/>
                          </w:r>
                          <w:r>
                            <w:t>15</w:t>
                          </w:r>
                          <w:r>
                            <w:fldChar w:fldCharType="end"/>
                          </w:r>
                          <w:r>
                            <w:t xml:space="preserve"> 页 共 </w:t>
                          </w:r>
                          <w:r>
                            <w:fldChar w:fldCharType="begin"/>
                          </w:r>
                          <w:r>
                            <w:instrText xml:space="preserve"> NUMPAGES  \* MERGEFORMAT </w:instrText>
                          </w:r>
                          <w:r>
                            <w:fldChar w:fldCharType="separate"/>
                          </w:r>
                          <w:r>
                            <w:t>16</w:t>
                          </w:r>
                          <w:r>
                            <w:fldChar w:fldCharType="end"/>
                          </w:r>
                          <w:r>
                            <w:t xml:space="preserve"> 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文本框 1"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cYU8UtAgAAVgQAAA4AAABkcnMvZTJvRG9jLnhtbK1UzY7TMBC+I/EO&#10;lu80bVes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JcYU8UtAgAAVgQAAA4AAAAAAAAAAQAgAAAAHwEAAGRycy9lMm9Eb2MueG1sUEsFBgAAAAAG&#10;AAYAWQEAAL4FAAAAAA==&#10;">
              <v:fill on="f" focussize="0,0"/>
              <v:stroke on="f" weight="0.5pt"/>
              <v:imagedata o:title=""/>
              <o:lock v:ext="edit" aspectratio="f"/>
              <v:textbox inset="0mm,0mm,0mm,0mm" style="mso-fit-shape-to-text:t;">
                <w:txbxContent>
                  <w:p w14:paraId="110C6C40">
                    <w:pPr>
                      <w:pStyle w:val="25"/>
                    </w:pPr>
                    <w:r>
                      <w:t xml:space="preserve">第 </w:t>
                    </w:r>
                    <w:r>
                      <w:fldChar w:fldCharType="begin"/>
                    </w:r>
                    <w:r>
                      <w:instrText xml:space="preserve"> PAGE  \* MERGEFORMAT </w:instrText>
                    </w:r>
                    <w:r>
                      <w:fldChar w:fldCharType="separate"/>
                    </w:r>
                    <w:r>
                      <w:t>15</w:t>
                    </w:r>
                    <w:r>
                      <w:fldChar w:fldCharType="end"/>
                    </w:r>
                    <w:r>
                      <w:t xml:space="preserve"> 页 共 </w:t>
                    </w:r>
                    <w:r>
                      <w:fldChar w:fldCharType="begin"/>
                    </w:r>
                    <w:r>
                      <w:instrText xml:space="preserve"> NUMPAGES  \* MERGEFORMAT </w:instrText>
                    </w:r>
                    <w:r>
                      <w:fldChar w:fldCharType="separate"/>
                    </w:r>
                    <w:r>
                      <w:t>16</w:t>
                    </w:r>
                    <w:r>
                      <w:fldChar w:fldCharType="end"/>
                    </w:r>
                    <w:r>
                      <w:t xml:space="preserve"> 页</w:t>
                    </w:r>
                  </w:p>
                </w:txbxContent>
              </v:textbox>
            </v:shape>
          </w:pict>
        </mc:Fallback>
      </mc:AlternateContent>
    </w:r>
    <w: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24"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6DC52BF">
                          <w:pPr>
                            <w:pStyle w:val="25"/>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文本框 2"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KXTQkwtAgAAVgQAAA4AAAAAAAAAAQAgAAAAHwEAAGRycy9lMm9Eb2MueG1sUEsFBgAAAAAG&#10;AAYAWQEAAL4FAAAAAA==&#10;">
              <v:fill on="f" focussize="0,0"/>
              <v:stroke on="f" weight="0.5pt"/>
              <v:imagedata o:title=""/>
              <o:lock v:ext="edit" aspectratio="f"/>
              <v:textbox inset="0mm,0mm,0mm,0mm" style="mso-fit-shape-to-text:t;">
                <w:txbxContent>
                  <w:p w14:paraId="26DC52BF">
                    <w:pPr>
                      <w:pStyle w:val="25"/>
                    </w:pPr>
                  </w:p>
                </w:txbxContent>
              </v:textbox>
            </v:shape>
          </w:pict>
        </mc:Fallback>
      </mc:AlternateContent>
    </w:r>
    <w: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31"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848DFC8">
                          <w:pPr>
                            <w:pStyle w:val="25"/>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文本框 3"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aP5CbywCAABWBAAADgAAAAAAAAABACAAAAAfAQAAZHJzL2Uyb0RvYy54bWxQSwUGAAAAAAYA&#10;BgBZAQAAvQUAAAAA&#10;">
              <v:fill on="f" focussize="0,0"/>
              <v:stroke on="f" weight="0.5pt"/>
              <v:imagedata o:title=""/>
              <o:lock v:ext="edit" aspectratio="f"/>
              <v:textbox inset="0mm,0mm,0mm,0mm" style="mso-fit-shape-to-text:t;">
                <w:txbxContent>
                  <w:p w14:paraId="3848DFC8">
                    <w:pPr>
                      <w:pStyle w:val="25"/>
                    </w:pPr>
                  </w:p>
                </w:txbxContent>
              </v:textbox>
            </v:shape>
          </w:pict>
        </mc:Fallback>
      </mc:AlternateContent>
    </w:r>
    <w:r>
      <mc:AlternateContent>
        <mc:Choice Requires="wps">
          <w:drawing>
            <wp:anchor distT="0" distB="0" distL="114300" distR="114300" simplePos="0" relativeHeight="251667456" behindDoc="0" locked="0" layoutInCell="1" allowOverlap="1">
              <wp:simplePos x="0" y="0"/>
              <wp:positionH relativeFrom="margin">
                <wp:posOffset>2823845</wp:posOffset>
              </wp:positionH>
              <wp:positionV relativeFrom="paragraph">
                <wp:posOffset>3175</wp:posOffset>
              </wp:positionV>
              <wp:extent cx="752475" cy="238125"/>
              <wp:effectExtent l="0" t="0" r="0" b="0"/>
              <wp:wrapNone/>
              <wp:docPr id="32" name="文本框 7"/>
              <wp:cNvGraphicFramePr/>
              <a:graphic xmlns:a="http://schemas.openxmlformats.org/drawingml/2006/main">
                <a:graphicData uri="http://schemas.microsoft.com/office/word/2010/wordprocessingShape">
                  <wps:wsp>
                    <wps:cNvSpPr txBox="1"/>
                    <wps:spPr>
                      <a:xfrm>
                        <a:off x="0" y="0"/>
                        <a:ext cx="752475" cy="23812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B24FB22">
                          <w:pPr>
                            <w:pStyle w:val="25"/>
                          </w:pP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文本框 7" o:spid="_x0000_s1026" o:spt="202" type="#_x0000_t202" style="position:absolute;left:0pt;margin-left:222.35pt;margin-top:0.25pt;height:18.75pt;width:59.25pt;mso-position-horizontal-relative:margin;z-index:251667456;mso-width-relative:page;mso-height-relative:page;" filled="f" stroked="f" coordsize="21600,21600" o:gfxdata="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qfMXktYAAAAHAQAADwAAAAAAAAABACAAAAAiAAAAZHJzL2Rvd25yZXYueG1s&#10;UEsBAhQAFAAAAAgAh07iQGJoeIEzAgAAVgQAAA4AAAAAAAAAAQAgAAAAJQEAAGRycy9lMm9Eb2Mu&#10;eG1sUEsFBgAAAAAGAAYAWQEAAMoFAAAAAA==&#10;">
              <v:fill on="f" focussize="0,0"/>
              <v:stroke on="f" weight="0.5pt"/>
              <v:imagedata o:title=""/>
              <o:lock v:ext="edit" aspectratio="f"/>
              <v:textbox inset="0mm,0mm,0mm,0mm">
                <w:txbxContent>
                  <w:p w14:paraId="7B24FB22">
                    <w:pPr>
                      <w:pStyle w:val="25"/>
                    </w:pPr>
                  </w:p>
                </w:txbxContent>
              </v:textbox>
            </v:shape>
          </w:pict>
        </mc:Fallback>
      </mc:AlternateContent>
    </w:r>
  </w:p>
  <w:p w14:paraId="604539F3">
    <w:pPr>
      <w:pStyle w:val="25"/>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7510FD">
    <w:pPr>
      <w:pStyle w:val="25"/>
      <w:rPr>
        <w:rFonts w:hint="eastAsia"/>
      </w:rPr>
    </w:pPr>
    <w: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100" name="文本框 10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F32614A">
                          <w:pPr>
                            <w:pStyle w:val="25"/>
                            <w:rPr>
                              <w:rFonts w:hint="eastAsia"/>
                            </w:rPr>
                          </w:pPr>
                          <w:r>
                            <w:fldChar w:fldCharType="begin"/>
                          </w:r>
                          <w:r>
                            <w:instrText xml:space="preserve"> PAGE  \* MERGEFORMAT </w:instrText>
                          </w:r>
                          <w:r>
                            <w:fldChar w:fldCharType="separate"/>
                          </w:r>
                          <w:r>
                            <w:t>94</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BlIYkrAgAAWQ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CwZSGJKwIAAFkEAAAOAAAAAAAAAAEAIAAAAB8BAABkcnMvZTJvRG9jLnhtbFBLBQYAAAAABgAG&#10;AFkBAAC8BQAAAAA=&#10;">
              <v:fill on="f" focussize="0,0"/>
              <v:stroke on="f" weight="0.5pt"/>
              <v:imagedata o:title=""/>
              <o:lock v:ext="edit" aspectratio="f"/>
              <v:textbox inset="0mm,0mm,0mm,0mm" style="mso-fit-shape-to-text:t;">
                <w:txbxContent>
                  <w:p w14:paraId="6F32614A">
                    <w:pPr>
                      <w:pStyle w:val="25"/>
                      <w:rPr>
                        <w:rFonts w:hint="eastAsia"/>
                      </w:rPr>
                    </w:pPr>
                    <w:r>
                      <w:fldChar w:fldCharType="begin"/>
                    </w:r>
                    <w:r>
                      <w:instrText xml:space="preserve"> PAGE  \* MERGEFORMAT </w:instrText>
                    </w:r>
                    <w:r>
                      <w:fldChar w:fldCharType="separate"/>
                    </w:r>
                    <w:r>
                      <w:t>94</w:t>
                    </w:r>
                    <w: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ED0A642">
    <w:pPr>
      <w:pStyle w:val="25"/>
      <w:jc w:val="center"/>
      <w:rPr>
        <w:rFonts w:hint="eastAsia"/>
      </w:rPr>
    </w:pPr>
    <w: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01" name="文本框 10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05FD686">
                          <w:pPr>
                            <w:pStyle w:val="25"/>
                            <w:rPr>
                              <w:rFonts w:hint="eastAsia"/>
                            </w:rPr>
                          </w:pPr>
                          <w:r>
                            <w:fldChar w:fldCharType="begin"/>
                          </w:r>
                          <w:r>
                            <w:instrText xml:space="preserve"> PAGE  \* MERGEFORMAT </w:instrText>
                          </w:r>
                          <w:r>
                            <w:fldChar w:fldCharType="separate"/>
                          </w:r>
                          <w:r>
                            <w:t>91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XjoN1CwCAABZBAAADgAAAAAAAAABACAAAAAfAQAAZHJzL2Uyb0RvYy54bWxQSwUGAAAAAAYA&#10;BgBZAQAAvQUAAAAA&#10;">
              <v:fill on="f" focussize="0,0"/>
              <v:stroke on="f" weight="0.5pt"/>
              <v:imagedata o:title=""/>
              <o:lock v:ext="edit" aspectratio="f"/>
              <v:textbox inset="0mm,0mm,0mm,0mm" style="mso-fit-shape-to-text:t;">
                <w:txbxContent>
                  <w:p w14:paraId="605FD686">
                    <w:pPr>
                      <w:pStyle w:val="25"/>
                      <w:rPr>
                        <w:rFonts w:hint="eastAsia"/>
                      </w:rPr>
                    </w:pPr>
                    <w:r>
                      <w:fldChar w:fldCharType="begin"/>
                    </w:r>
                    <w:r>
                      <w:instrText xml:space="preserve"> PAGE  \* MERGEFORMAT </w:instrText>
                    </w:r>
                    <w:r>
                      <w:fldChar w:fldCharType="separate"/>
                    </w:r>
                    <w:r>
                      <w:t>91</w:t>
                    </w:r>
                    <w:r>
                      <w:fldChar w:fldCharType="end"/>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023E93">
    <w:pPr>
      <w:pStyle w:val="25"/>
      <w:rPr>
        <w:rFonts w:hint="eastAsia"/>
      </w:rPr>
    </w:pPr>
    <w: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A4680D6">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57</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rd1wwqAgAAVw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Mrd1wwqAgAAVwQAAA4AAAAAAAAAAQAgAAAAHwEAAGRycy9lMm9Eb2MueG1sUEsFBgAAAAAGAAYA&#10;WQEAALsFAAAAAA==&#10;">
              <v:fill on="f" focussize="0,0"/>
              <v:stroke on="f" weight="0.5pt"/>
              <v:imagedata o:title=""/>
              <o:lock v:ext="edit" aspectratio="f"/>
              <v:textbox inset="0mm,0mm,0mm,0mm" style="mso-fit-shape-to-text:t;">
                <w:txbxContent>
                  <w:p w14:paraId="6A4680D6">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57</w:t>
                    </w:r>
                    <w:r>
                      <w:rPr>
                        <w:rFonts w:hint="eastAsia"/>
                        <w:sz w:val="18"/>
                      </w:rPr>
                      <w:fldChar w:fldCharType="end"/>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3C57FD7">
    <w:pPr>
      <w:pStyle w:val="25"/>
      <w:jc w:val="center"/>
      <w:rPr>
        <w:rFonts w:hint="eastAsia"/>
      </w:rPr>
    </w:pPr>
    <w:r>
      <mc:AlternateContent>
        <mc:Choice Requires="wps">
          <w:drawing>
            <wp:anchor distT="0" distB="0" distL="114300" distR="114300" simplePos="0" relativeHeight="251668480"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1E7A9E2">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56</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848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q/o+UsAgAAV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yr+j5SwCAABVBAAADgAAAAAAAAABACAAAAAfAQAAZHJzL2Uyb0RvYy54bWxQSwUGAAAAAAYA&#10;BgBZAQAAvQUAAAAA&#10;">
              <v:fill on="f" focussize="0,0"/>
              <v:stroke on="f" weight="0.5pt"/>
              <v:imagedata o:title=""/>
              <o:lock v:ext="edit" aspectratio="f"/>
              <v:textbox inset="0mm,0mm,0mm,0mm" style="mso-fit-shape-to-text:t;">
                <w:txbxContent>
                  <w:p w14:paraId="61E7A9E2">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56</w:t>
                    </w:r>
                    <w:r>
                      <w:rPr>
                        <w:rFonts w:hint="eastAsia"/>
                        <w:sz w:val="18"/>
                      </w:rPr>
                      <w:fldChar w:fldCharType="end"/>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237701">
    <w:pPr>
      <w:pStyle w:val="25"/>
      <w:rPr>
        <w:rFonts w:hint="eastAsia"/>
      </w:rPr>
    </w:pPr>
    <w: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4EC0D08">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59</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pGcYwrAgAAVw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CaRnGMKwIAAFcEAAAOAAAAAAAAAAEAIAAAAB8BAABkcnMvZTJvRG9jLnhtbFBLBQYAAAAABgAG&#10;AFkBAAC8BQAAAAA=&#10;">
              <v:fill on="f" focussize="0,0"/>
              <v:stroke on="f" weight="0.5pt"/>
              <v:imagedata o:title=""/>
              <o:lock v:ext="edit" aspectratio="f"/>
              <v:textbox inset="0mm,0mm,0mm,0mm" style="mso-fit-shape-to-text:t;">
                <w:txbxContent>
                  <w:p w14:paraId="54EC0D08">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59</w:t>
                    </w:r>
                    <w:r>
                      <w:rPr>
                        <w:rFonts w:hint="eastAsia"/>
                        <w:sz w:val="18"/>
                      </w:rPr>
                      <w:fldChar w:fldCharType="end"/>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2D59862">
    <w:pPr>
      <w:pStyle w:val="25"/>
      <w:jc w:val="center"/>
      <w:rPr>
        <w:rFonts w:hint="eastAsia"/>
      </w:rPr>
    </w:pPr>
    <w:r>
      <mc:AlternateContent>
        <mc:Choice Requires="wps">
          <w:drawing>
            <wp:anchor distT="0" distB="0" distL="114300" distR="114300" simplePos="0" relativeHeight="251670528" behindDoc="0" locked="0" layoutInCell="1" allowOverlap="1">
              <wp:simplePos x="0" y="0"/>
              <wp:positionH relativeFrom="margin">
                <wp:align>center</wp:align>
              </wp:positionH>
              <wp:positionV relativeFrom="paragraph">
                <wp:posOffset>0</wp:posOffset>
              </wp:positionV>
              <wp:extent cx="1828800" cy="1828800"/>
              <wp:effectExtent l="0" t="0" r="0" b="0"/>
              <wp:wrapNone/>
              <wp:docPr id="11" name="文本框 1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95DFDAC">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58</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052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BikIRMKwIAAFcEAAAOAAAAAAAAAAEAIAAAAB8BAABkcnMvZTJvRG9jLnhtbFBLBQYAAAAABgAG&#10;AFkBAAC8BQAAAAA=&#10;">
              <v:fill on="f" focussize="0,0"/>
              <v:stroke on="f" weight="0.5pt"/>
              <v:imagedata o:title=""/>
              <o:lock v:ext="edit" aspectratio="f"/>
              <v:textbox inset="0mm,0mm,0mm,0mm" style="mso-fit-shape-to-text:t;">
                <w:txbxContent>
                  <w:p w14:paraId="295DFDAC">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58</w:t>
                    </w:r>
                    <w:r>
                      <w:rPr>
                        <w:rFonts w:hint="eastAsia"/>
                        <w:sz w:val="18"/>
                      </w:rPr>
                      <w:fldChar w:fldCharType="end"/>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35EB2D">
    <w:pPr>
      <w:pStyle w:val="25"/>
      <w:rPr>
        <w:rFonts w:hint="eastAsia"/>
      </w:rPr>
    </w:pPr>
    <w: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ED67F56">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21</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B7dk1WKwIAAFcEAAAOAAAAAAAAAAEAIAAAAB8BAABkcnMvZTJvRG9jLnhtbFBLBQYAAAAABgAG&#10;AFkBAAC8BQAAAAA=&#10;">
              <v:fill on="f" focussize="0,0"/>
              <v:stroke on="f" weight="0.5pt"/>
              <v:imagedata o:title=""/>
              <o:lock v:ext="edit" aspectratio="f"/>
              <v:textbox inset="0mm,0mm,0mm,0mm" style="mso-fit-shape-to-text:t;">
                <w:txbxContent>
                  <w:p w14:paraId="2ED67F56">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21</w:t>
                    </w:r>
                    <w:r>
                      <w:rPr>
                        <w:rFonts w:hint="eastAsia"/>
                        <w:sz w:val="18"/>
                      </w:rPr>
                      <w:fldChar w:fldCharType="end"/>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C2B5B9">
    <w:pPr>
      <w:pStyle w:val="25"/>
      <w:jc w:val="center"/>
      <w:rPr>
        <w:rFonts w:hint="eastAsia"/>
      </w:rPr>
    </w:pPr>
    <w:r>
      <mc:AlternateContent>
        <mc:Choice Requires="wps">
          <w:drawing>
            <wp:anchor distT="0" distB="0" distL="114300" distR="114300" simplePos="0" relativeHeight="251671552" behindDoc="0" locked="0" layoutInCell="1" allowOverlap="1">
              <wp:simplePos x="0" y="0"/>
              <wp:positionH relativeFrom="margin">
                <wp:align>center</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BCFB87D">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60</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155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ILIswsAgAAVwQAAA4AAABkcnMvZTJvRG9jLnhtbK1UzY7TMBC+I/EO&#10;lu80bVes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MgsizCwCAABXBAAADgAAAAAAAAABACAAAAAfAQAAZHJzL2Uyb0RvYy54bWxQSwUGAAAAAAYA&#10;BgBZAQAAvQUAAAAA&#10;">
              <v:fill on="f" focussize="0,0"/>
              <v:stroke on="f" weight="0.5pt"/>
              <v:imagedata o:title=""/>
              <o:lock v:ext="edit" aspectratio="f"/>
              <v:textbox inset="0mm,0mm,0mm,0mm" style="mso-fit-shape-to-text:t;">
                <w:txbxContent>
                  <w:p w14:paraId="2BCFB87D">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60</w:t>
                    </w:r>
                    <w:r>
                      <w:rPr>
                        <w:rFonts w:hint="eastAsia"/>
                        <w:sz w:val="18"/>
                      </w:rPr>
                      <w:fldChar w:fldCharType="end"/>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FA5394D">
    <w:pPr>
      <w:spacing w:line="182" w:lineRule="auto"/>
      <w:ind w:left="6866"/>
      <w:rPr>
        <w:rFonts w:hint="eastAsia" w:ascii="宋体" w:hAnsi="宋体" w:eastAsia="宋体" w:cs="宋体"/>
        <w:sz w:val="18"/>
        <w:szCs w:val="18"/>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E52AABE">
    <w:pPr>
      <w:pStyle w:val="25"/>
      <w:jc w:val="center"/>
      <w:rPr>
        <w:rFonts w:hint="eastAsia"/>
      </w:rPr>
    </w:pPr>
    <w:r>
      <mc:AlternateContent>
        <mc:Choice Requires="wps">
          <w:drawing>
            <wp:anchor distT="0" distB="0" distL="114300" distR="114300" simplePos="0" relativeHeight="251672576" behindDoc="0" locked="0" layoutInCell="1" allowOverlap="1">
              <wp:simplePos x="0" y="0"/>
              <wp:positionH relativeFrom="margin">
                <wp:align>center</wp:align>
              </wp:positionH>
              <wp:positionV relativeFrom="paragraph">
                <wp:posOffset>0</wp:posOffset>
              </wp:positionV>
              <wp:extent cx="1828800" cy="1828800"/>
              <wp:effectExtent l="0" t="0" r="0" b="0"/>
              <wp:wrapNone/>
              <wp:docPr id="17" name="文本框 1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7B8A1E8">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62</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257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0zseFiwCAABXBAAADgAAAAAAAAABACAAAAAfAQAAZHJzL2Uyb0RvYy54bWxQSwUGAAAAAAYA&#10;BgBZAQAAvQUAAAAA&#10;">
              <v:fill on="f" focussize="0,0"/>
              <v:stroke on="f" weight="0.5pt"/>
              <v:imagedata o:title=""/>
              <o:lock v:ext="edit" aspectratio="f"/>
              <v:textbox inset="0mm,0mm,0mm,0mm" style="mso-fit-shape-to-text:t;">
                <w:txbxContent>
                  <w:p w14:paraId="27B8A1E8">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62</w:t>
                    </w:r>
                    <w:r>
                      <w:rPr>
                        <w:rFonts w:hint="eastAsia"/>
                        <w:sz w:val="18"/>
                      </w:rPr>
                      <w:fldChar w:fldCharType="end"/>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AB9EA0D">
    <w:pPr>
      <w:pStyle w:val="25"/>
      <w:rPr>
        <w:rFonts w:hint="eastAsia"/>
      </w:rPr>
    </w:pPr>
    <w:r>
      <mc:AlternateContent>
        <mc:Choice Requires="wps">
          <w:drawing>
            <wp:anchor distT="0" distB="0" distL="114300" distR="114300" simplePos="0" relativeHeight="251669504" behindDoc="0" locked="0" layoutInCell="1" allowOverlap="1">
              <wp:simplePos x="0" y="0"/>
              <wp:positionH relativeFrom="margin">
                <wp:align>center</wp:align>
              </wp:positionH>
              <wp:positionV relativeFrom="paragraph">
                <wp:posOffset>0</wp:posOffset>
              </wp:positionV>
              <wp:extent cx="1828800" cy="1828800"/>
              <wp:effectExtent l="0" t="0" r="0" b="0"/>
              <wp:wrapNone/>
              <wp:docPr id="20" name="文本框 2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E8746D6">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21</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950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JScb8rAgAAVw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AyUnG/KwIAAFcEAAAOAAAAAAAAAAEAIAAAAB8BAABkcnMvZTJvRG9jLnhtbFBLBQYAAAAABgAG&#10;AFkBAAC8BQAAAAA=&#10;">
              <v:fill on="f" focussize="0,0"/>
              <v:stroke on="f" weight="0.5pt"/>
              <v:imagedata o:title=""/>
              <o:lock v:ext="edit" aspectratio="f"/>
              <v:textbox inset="0mm,0mm,0mm,0mm" style="mso-fit-shape-to-text:t;">
                <w:txbxContent>
                  <w:p w14:paraId="7E8746D6">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21</w:t>
                    </w:r>
                    <w:r>
                      <w:rPr>
                        <w:rFonts w:hint="eastAsia"/>
                        <w:sz w:val="18"/>
                      </w:rPr>
                      <w:fldChar w:fldCharType="end"/>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CE8A6F6">
    <w:pPr>
      <w:pStyle w:val="25"/>
      <w:jc w:val="center"/>
      <w:rPr>
        <w:rFonts w:hint="eastAsia"/>
      </w:rPr>
    </w:pPr>
    <w:r>
      <mc:AlternateContent>
        <mc:Choice Requires="wps">
          <w:drawing>
            <wp:anchor distT="0" distB="0" distL="114300" distR="114300" simplePos="0" relativeHeight="251673600" behindDoc="0" locked="0" layoutInCell="1" allowOverlap="1">
              <wp:simplePos x="0" y="0"/>
              <wp:positionH relativeFrom="margin">
                <wp:align>center</wp:align>
              </wp:positionH>
              <wp:positionV relativeFrom="paragraph">
                <wp:posOffset>0</wp:posOffset>
              </wp:positionV>
              <wp:extent cx="1828800" cy="1828800"/>
              <wp:effectExtent l="0" t="0" r="0" b="0"/>
              <wp:wrapNone/>
              <wp:docPr id="19" name="文本框 1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8B825DC">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64</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360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4feNIywCAABXBAAADgAAAAAAAAABACAAAAAfAQAAZHJzL2Uyb0RvYy54bWxQSwUGAAAAAAYA&#10;BgBZAQAAvQUAAAAA&#10;">
              <v:fill on="f" focussize="0,0"/>
              <v:stroke on="f" weight="0.5pt"/>
              <v:imagedata o:title=""/>
              <o:lock v:ext="edit" aspectratio="f"/>
              <v:textbox inset="0mm,0mm,0mm,0mm" style="mso-fit-shape-to-text:t;">
                <w:txbxContent>
                  <w:p w14:paraId="58B825DC">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64</w:t>
                    </w:r>
                    <w:r>
                      <w:rPr>
                        <w:rFonts w:hint="eastAsia"/>
                        <w:sz w:val="18"/>
                      </w:rPr>
                      <w:fldChar w:fldCharType="end"/>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BE9C047">
    <w:pPr>
      <w:spacing w:line="188" w:lineRule="auto"/>
      <w:ind w:left="6854"/>
      <w:rPr>
        <w:rFonts w:ascii="Times New Roman" w:hAnsi="Times New Roman" w:eastAsia="Times New Roman" w:cs="Times New Roman"/>
        <w:sz w:val="18"/>
        <w:szCs w:val="18"/>
      </w:rPr>
    </w:pPr>
    <w:r>
      <w:rPr>
        <w:rFonts w:ascii="Times New Roman" w:hAnsi="Times New Roman" w:eastAsia="Times New Roman" w:cs="Times New Roman"/>
        <w:spacing w:val="-2"/>
        <w:sz w:val="18"/>
        <w:szCs w:val="18"/>
      </w:rPr>
      <w:t>36</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78F9A8F">
    <w:pPr>
      <w:spacing w:line="188" w:lineRule="auto"/>
      <w:ind w:left="6854"/>
      <w:rPr>
        <w:rFonts w:ascii="Times New Roman" w:hAnsi="Times New Roman" w:eastAsia="Times New Roman" w:cs="Times New Roman"/>
        <w:sz w:val="18"/>
        <w:szCs w:val="18"/>
      </w:rPr>
    </w:pPr>
    <w:r>
      <w:rPr>
        <w:rFonts w:ascii="Times New Roman" w:hAnsi="Times New Roman" w:eastAsia="Times New Roman" w:cs="Times New Roman"/>
        <w:spacing w:val="-2"/>
        <w:sz w:val="18"/>
        <w:szCs w:val="18"/>
      </w:rPr>
      <w:t>36</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3F1B638">
    <w:pPr>
      <w:spacing w:line="188" w:lineRule="auto"/>
      <w:ind w:left="6855"/>
      <w:rPr>
        <w:rFonts w:ascii="Times New Roman" w:hAnsi="Times New Roman" w:eastAsia="Times New Roman" w:cs="Times New Roman"/>
        <w:sz w:val="18"/>
        <w:szCs w:val="18"/>
      </w:rPr>
    </w:pPr>
    <w:r>
      <w:rPr>
        <w:rFonts w:ascii="Times New Roman" w:hAnsi="Times New Roman" w:eastAsia="Times New Roman" w:cs="Times New Roman"/>
        <w:spacing w:val="-2"/>
        <w:sz w:val="18"/>
        <w:szCs w:val="18"/>
      </w:rPr>
      <w:t>35</w: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9710A71">
    <w:pPr>
      <w:spacing w:line="182" w:lineRule="auto"/>
      <w:ind w:left="6857"/>
      <w:rPr>
        <w:rFonts w:hint="eastAsia" w:ascii="宋体" w:hAnsi="宋体" w:eastAsia="宋体" w:cs="宋体"/>
        <w:sz w:val="18"/>
        <w:szCs w:val="18"/>
      </w:rPr>
    </w:pPr>
    <w:r>
      <w:rPr>
        <w:rFonts w:ascii="宋体" w:hAnsi="宋体" w:eastAsia="宋体" w:cs="宋体"/>
        <w:spacing w:val="-3"/>
        <w:sz w:val="18"/>
        <w:szCs w:val="18"/>
      </w:rPr>
      <w:t>3</w:t>
    </w:r>
    <w:r>
      <w:rPr>
        <w:rFonts w:ascii="宋体" w:hAnsi="宋体" w:eastAsia="宋体" w:cs="宋体"/>
        <w:spacing w:val="-2"/>
        <w:sz w:val="18"/>
        <w:szCs w:val="18"/>
      </w:rPr>
      <w:t>7</w: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80F5942">
    <w:pPr>
      <w:spacing w:line="179" w:lineRule="auto"/>
      <w:ind w:left="6868"/>
      <w:rPr>
        <w:rFonts w:hint="eastAsia" w:ascii="宋体" w:hAnsi="宋体" w:eastAsia="宋体" w:cs="宋体"/>
        <w:sz w:val="17"/>
        <w:szCs w:val="17"/>
      </w:rPr>
    </w:pPr>
    <w:r>
      <w:rPr>
        <w:sz w:val="17"/>
      </w:rPr>
      <mc:AlternateContent>
        <mc:Choice Requires="wps">
          <w:drawing>
            <wp:anchor distT="0" distB="0" distL="114300" distR="114300" simplePos="0" relativeHeight="251675648" behindDoc="0" locked="0" layoutInCell="1" allowOverlap="1">
              <wp:simplePos x="0" y="0"/>
              <wp:positionH relativeFrom="margin">
                <wp:align>center</wp:align>
              </wp:positionH>
              <wp:positionV relativeFrom="paragraph">
                <wp:posOffset>0</wp:posOffset>
              </wp:positionV>
              <wp:extent cx="1828800" cy="1828800"/>
              <wp:effectExtent l="0" t="0" r="0" b="0"/>
              <wp:wrapNone/>
              <wp:docPr id="38" name="文本框 3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B873DD6">
                          <w:pPr>
                            <w:pStyle w:val="25"/>
                            <w:rPr>
                              <w:rFonts w:hint="eastAsia"/>
                            </w:rPr>
                          </w:pPr>
                          <w:r>
                            <w:fldChar w:fldCharType="begin"/>
                          </w:r>
                          <w:r>
                            <w:instrText xml:space="preserve"> PAGE  \* MERGEFORMAT </w:instrText>
                          </w:r>
                          <w:r>
                            <w:fldChar w:fldCharType="separate"/>
                          </w:r>
                          <w:r>
                            <w:t>71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564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ZNNQgtAgAAVwQAAA4AAABkcnMvZTJvRG9jLnhtbK1UzY7TMBC+I/EO&#10;lu80bVes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CZNNQgtAgAAVwQAAA4AAAAAAAAAAQAgAAAAHwEAAGRycy9lMm9Eb2MueG1sUEsFBgAAAAAG&#10;AAYAWQEAAL4FAAAAAA==&#10;">
              <v:fill on="f" focussize="0,0"/>
              <v:stroke on="f" weight="0.5pt"/>
              <v:imagedata o:title=""/>
              <o:lock v:ext="edit" aspectratio="f"/>
              <v:textbox inset="0mm,0mm,0mm,0mm" style="mso-fit-shape-to-text:t;">
                <w:txbxContent>
                  <w:p w14:paraId="1B873DD6">
                    <w:pPr>
                      <w:pStyle w:val="25"/>
                      <w:rPr>
                        <w:rFonts w:hint="eastAsia"/>
                      </w:rPr>
                    </w:pPr>
                    <w:r>
                      <w:fldChar w:fldCharType="begin"/>
                    </w:r>
                    <w:r>
                      <w:instrText xml:space="preserve"> PAGE  \* MERGEFORMAT </w:instrText>
                    </w:r>
                    <w:r>
                      <w:fldChar w:fldCharType="separate"/>
                    </w:r>
                    <w:r>
                      <w:t>71</w:t>
                    </w:r>
                    <w:r>
                      <w:fldChar w:fldCharType="end"/>
                    </w:r>
                  </w:p>
                </w:txbxContent>
              </v:textbox>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31FC4DE">
    <w:pPr>
      <w:spacing w:line="194" w:lineRule="auto"/>
      <w:rPr>
        <w:rFonts w:hint="eastAsia" w:ascii="等线" w:hAnsi="等线" w:eastAsia="等线" w:cs="等线"/>
        <w:sz w:val="17"/>
        <w:szCs w:val="17"/>
      </w:rPr>
    </w:pPr>
    <w:r>
      <w:rPr>
        <w:sz w:val="17"/>
      </w:rPr>
      <mc:AlternateContent>
        <mc:Choice Requires="wps">
          <w:drawing>
            <wp:anchor distT="0" distB="0" distL="114300" distR="114300" simplePos="0" relativeHeight="251676672" behindDoc="0" locked="0" layoutInCell="1" allowOverlap="1">
              <wp:simplePos x="0" y="0"/>
              <wp:positionH relativeFrom="margin">
                <wp:align>center</wp:align>
              </wp:positionH>
              <wp:positionV relativeFrom="paragraph">
                <wp:posOffset>0</wp:posOffset>
              </wp:positionV>
              <wp:extent cx="1828800" cy="1828800"/>
              <wp:effectExtent l="0" t="0" r="0" b="0"/>
              <wp:wrapNone/>
              <wp:docPr id="75" name="文本框 7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C7B8328">
                          <w:pPr>
                            <w:pStyle w:val="25"/>
                            <w:rPr>
                              <w:rFonts w:hint="eastAsia"/>
                            </w:rPr>
                          </w:pPr>
                          <w:r>
                            <w:fldChar w:fldCharType="begin"/>
                          </w:r>
                          <w:r>
                            <w:instrText xml:space="preserve"> PAGE  \* MERGEFORMAT </w:instrText>
                          </w:r>
                          <w:r>
                            <w:fldChar w:fldCharType="separate"/>
                          </w:r>
                          <w:r>
                            <w:t>73</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667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K5hCotAgAAVwQAAA4AAABkcnMvZTJvRG9jLnhtbK1UzY7TMBC+I/EO&#10;lu80adEu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DK5hCotAgAAVwQAAA4AAAAAAAAAAQAgAAAAHwEAAGRycy9lMm9Eb2MueG1sUEsFBgAAAAAG&#10;AAYAWQEAAL4FAAAAAA==&#10;">
              <v:fill on="f" focussize="0,0"/>
              <v:stroke on="f" weight="0.5pt"/>
              <v:imagedata o:title=""/>
              <o:lock v:ext="edit" aspectratio="f"/>
              <v:textbox inset="0mm,0mm,0mm,0mm" style="mso-fit-shape-to-text:t;">
                <w:txbxContent>
                  <w:p w14:paraId="1C7B8328">
                    <w:pPr>
                      <w:pStyle w:val="25"/>
                      <w:rPr>
                        <w:rFonts w:hint="eastAsia"/>
                      </w:rPr>
                    </w:pPr>
                    <w:r>
                      <w:fldChar w:fldCharType="begin"/>
                    </w:r>
                    <w:r>
                      <w:instrText xml:space="preserve"> PAGE  \* MERGEFORMAT </w:instrText>
                    </w:r>
                    <w:r>
                      <w:fldChar w:fldCharType="separate"/>
                    </w:r>
                    <w:r>
                      <w:t>73</w:t>
                    </w:r>
                    <w:r>
                      <w:fldChar w:fldCharType="end"/>
                    </w:r>
                  </w:p>
                </w:txbxContent>
              </v:textbox>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89F306">
    <w:pPr>
      <w:pStyle w:val="25"/>
      <w:jc w:val="center"/>
      <w:rPr>
        <w:rFonts w:hint="eastAsia"/>
      </w:rPr>
    </w:pPr>
    <w:r>
      <mc:AlternateContent>
        <mc:Choice Requires="wps">
          <w:drawing>
            <wp:anchor distT="0" distB="0" distL="114300" distR="114300" simplePos="0" relativeHeight="251674624" behindDoc="0" locked="0" layoutInCell="1" allowOverlap="1">
              <wp:simplePos x="0" y="0"/>
              <wp:positionH relativeFrom="margin">
                <wp:align>center</wp:align>
              </wp:positionH>
              <wp:positionV relativeFrom="paragraph">
                <wp:posOffset>0</wp:posOffset>
              </wp:positionV>
              <wp:extent cx="1828800" cy="1828800"/>
              <wp:effectExtent l="0" t="0" r="0" b="0"/>
              <wp:wrapNone/>
              <wp:docPr id="92" name="文本框 9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A7DAD1C">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72</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462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Gedr/gtAgAAVwQAAA4AAAAAAAAAAQAgAAAAHwEAAGRycy9lMm9Eb2MueG1sUEsFBgAAAAAG&#10;AAYAWQEAAL4FAAAAAA==&#10;">
              <v:fill on="f" focussize="0,0"/>
              <v:stroke on="f" weight="0.5pt"/>
              <v:imagedata o:title=""/>
              <o:lock v:ext="edit" aspectratio="f"/>
              <v:textbox inset="0mm,0mm,0mm,0mm" style="mso-fit-shape-to-text:t;">
                <w:txbxContent>
                  <w:p w14:paraId="1A7DAD1C">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72</w:t>
                    </w:r>
                    <w:r>
                      <w:rPr>
                        <w:rFonts w:hint="eastAsia"/>
                        <w:sz w:val="18"/>
                      </w:rPr>
                      <w:fldChar w:fldCharType="end"/>
                    </w: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2A9F99F">
    <w:pPr>
      <w:tabs>
        <w:tab w:val="right" w:pos="8306"/>
      </w:tabs>
      <w:snapToGrid w:val="0"/>
      <w:jc w:val="center"/>
      <w:rPr>
        <w:rFonts w:ascii="Calibri" w:hAnsi="Calibri" w:eastAsia="宋体" w:cs="Times New Roman"/>
        <w:kern w:val="0"/>
        <w:sz w:val="18"/>
        <w:szCs w:val="18"/>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5CA369D">
    <w:pPr>
      <w:pStyle w:val="26"/>
      <w:rPr>
        <w:rFonts w:hint="eastAsia"/>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F6EAAE">
    <w:pPr>
      <w:pStyle w:val="26"/>
      <w:rPr>
        <w:rFonts w:hint="eastAsia"/>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DB7E806">
    <w:pPr>
      <w:pStyle w:val="26"/>
      <w:pBdr>
        <w:bottom w:val="none" w:color="auto" w:sz="0" w:space="0"/>
      </w:pBdr>
      <w:rPr>
        <w:rFonts w:hint="eastAsia"/>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00B438D">
    <w:pPr>
      <w:pBdr>
        <w:bottom w:val="none" w:color="auto" w:sz="0" w:space="1"/>
      </w:pBdr>
      <w:tabs>
        <w:tab w:val="center" w:pos="4153"/>
        <w:tab w:val="right" w:pos="8306"/>
      </w:tabs>
      <w:snapToGrid w:val="0"/>
      <w:jc w:val="center"/>
      <w:rPr>
        <w:rFonts w:ascii="Calibri" w:hAnsi="Calibri" w:eastAsia="宋体" w:cs="Times New Roman"/>
        <w:kern w:val="0"/>
        <w:sz w:val="18"/>
        <w:szCs w:val="18"/>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1BA20B">
    <w:pPr>
      <w:pStyle w:val="26"/>
      <w:pBdr>
        <w:bottom w:val="none" w:color="auto" w:sz="0" w:space="1"/>
      </w:pBdr>
      <w:rPr>
        <w:rFonts w:hint="eastAsia"/>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38A9FE6">
    <w:pPr>
      <w:pStyle w:val="26"/>
      <w:pBdr>
        <w:bottom w:val="none" w:color="auto" w:sz="0" w:space="1"/>
      </w:pBdr>
      <w:rPr>
        <w:rFonts w:hint="eastAsia"/>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F5253B9">
    <w:pPr>
      <w:pStyle w:val="26"/>
      <w:pBdr>
        <w:bottom w:val="none" w:color="auto" w:sz="0" w:space="1"/>
      </w:pBdr>
      <w:rPr>
        <w:rFonts w:hint="eastAsia"/>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CC9AC73">
    <w:pPr>
      <w:pStyle w:val="26"/>
      <w:rPr>
        <w:rFonts w:hint="eastAsia"/>
      </w:rPr>
    </w:pPr>
  </w:p>
  <w:p w14:paraId="0FE9991D">
    <w:pPr>
      <w:pStyle w:val="26"/>
      <w:rPr>
        <w:rFonts w:hint="eastAsia"/>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47B33CC">
    <w:pPr>
      <w:pStyle w:val="26"/>
      <w:rPr>
        <w:rFonts w:hint="eastAsia"/>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4141993">
    <w:pPr>
      <w:pBdr>
        <w:bottom w:val="none" w:color="auto" w:sz="0" w:space="1"/>
      </w:pBdr>
      <w:tabs>
        <w:tab w:val="center" w:pos="4153"/>
        <w:tab w:val="right" w:pos="8306"/>
      </w:tabs>
      <w:snapToGrid w:val="0"/>
      <w:jc w:val="center"/>
      <w:rPr>
        <w:rFonts w:ascii="Calibri" w:hAnsi="Calibri" w:eastAsia="宋体" w:cs="Times New Roman"/>
        <w:kern w:val="0"/>
        <w:sz w:val="18"/>
        <w:szCs w:val="1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6849FB6"/>
    <w:multiLevelType w:val="singleLevel"/>
    <w:tmpl w:val="A6849FB6"/>
    <w:lvl w:ilvl="0" w:tentative="0">
      <w:start w:val="2"/>
      <w:numFmt w:val="chineseCounting"/>
      <w:suff w:val="nothing"/>
      <w:lvlText w:val="%1、"/>
      <w:lvlJc w:val="left"/>
      <w:rPr>
        <w:rFonts w:hint="eastAsia"/>
      </w:rPr>
    </w:lvl>
  </w:abstractNum>
  <w:abstractNum w:abstractNumId="1">
    <w:nsid w:val="D8EE4D1B"/>
    <w:multiLevelType w:val="singleLevel"/>
    <w:tmpl w:val="D8EE4D1B"/>
    <w:lvl w:ilvl="0" w:tentative="0">
      <w:start w:val="1"/>
      <w:numFmt w:val="bullet"/>
      <w:lvlText w:val=""/>
      <w:lvlJc w:val="left"/>
      <w:pPr>
        <w:ind w:left="420" w:hanging="420"/>
      </w:pPr>
      <w:rPr>
        <w:rFonts w:hint="default" w:ascii="Wingdings" w:hAnsi="Wingdings"/>
      </w:rPr>
    </w:lvl>
  </w:abstractNum>
  <w:abstractNum w:abstractNumId="2">
    <w:nsid w:val="E8D42257"/>
    <w:multiLevelType w:val="singleLevel"/>
    <w:tmpl w:val="E8D42257"/>
    <w:lvl w:ilvl="0" w:tentative="0">
      <w:start w:val="1"/>
      <w:numFmt w:val="decimal"/>
      <w:lvlText w:val="%1."/>
      <w:lvlJc w:val="left"/>
      <w:pPr>
        <w:tabs>
          <w:tab w:val="left" w:pos="312"/>
        </w:tabs>
      </w:pPr>
    </w:lvl>
  </w:abstractNum>
  <w:abstractNum w:abstractNumId="3">
    <w:nsid w:val="00000005"/>
    <w:multiLevelType w:val="multilevel"/>
    <w:tmpl w:val="00000005"/>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pStyle w:val="137"/>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4">
    <w:nsid w:val="01A16563"/>
    <w:multiLevelType w:val="singleLevel"/>
    <w:tmpl w:val="01A16563"/>
    <w:lvl w:ilvl="0" w:tentative="0">
      <w:start w:val="1"/>
      <w:numFmt w:val="bullet"/>
      <w:lvlText w:val=""/>
      <w:lvlJc w:val="left"/>
      <w:pPr>
        <w:ind w:left="420" w:hanging="420"/>
      </w:pPr>
      <w:rPr>
        <w:rFonts w:hint="default" w:ascii="Wingdings" w:hAnsi="Wingdings"/>
      </w:rPr>
    </w:lvl>
  </w:abstractNum>
  <w:abstractNum w:abstractNumId="5">
    <w:nsid w:val="1EFA108E"/>
    <w:multiLevelType w:val="singleLevel"/>
    <w:tmpl w:val="1EFA108E"/>
    <w:lvl w:ilvl="0" w:tentative="0">
      <w:start w:val="1"/>
      <w:numFmt w:val="bullet"/>
      <w:lvlText w:val=""/>
      <w:lvlJc w:val="left"/>
      <w:pPr>
        <w:ind w:left="420" w:hanging="420"/>
      </w:pPr>
      <w:rPr>
        <w:rFonts w:hint="default" w:ascii="Wingdings" w:hAnsi="Wingdings"/>
      </w:rPr>
    </w:lvl>
  </w:abstractNum>
  <w:abstractNum w:abstractNumId="6">
    <w:nsid w:val="210163F6"/>
    <w:multiLevelType w:val="multilevel"/>
    <w:tmpl w:val="210163F6"/>
    <w:lvl w:ilvl="0" w:tentative="0">
      <w:start w:val="1"/>
      <w:numFmt w:val="lowerLetter"/>
      <w:lvlText w:val="%1)"/>
      <w:lvlJc w:val="left"/>
      <w:pPr>
        <w:ind w:left="902" w:hanging="420"/>
      </w:pPr>
      <w:rPr>
        <w:rFonts w:cs="Times New Roman"/>
      </w:rPr>
    </w:lvl>
    <w:lvl w:ilvl="1" w:tentative="0">
      <w:start w:val="1"/>
      <w:numFmt w:val="lowerLetter"/>
      <w:lvlText w:val="%2)"/>
      <w:lvlJc w:val="left"/>
      <w:pPr>
        <w:ind w:left="1322" w:hanging="420"/>
      </w:pPr>
      <w:rPr>
        <w:rFonts w:cs="Times New Roman"/>
      </w:rPr>
    </w:lvl>
    <w:lvl w:ilvl="2" w:tentative="0">
      <w:start w:val="1"/>
      <w:numFmt w:val="lowerRoman"/>
      <w:lvlText w:val="%3."/>
      <w:lvlJc w:val="right"/>
      <w:pPr>
        <w:ind w:left="1742" w:hanging="420"/>
      </w:pPr>
      <w:rPr>
        <w:rFonts w:cs="Times New Roman"/>
      </w:rPr>
    </w:lvl>
    <w:lvl w:ilvl="3" w:tentative="0">
      <w:start w:val="1"/>
      <w:numFmt w:val="decimal"/>
      <w:lvlText w:val="%4."/>
      <w:lvlJc w:val="left"/>
      <w:pPr>
        <w:ind w:left="2162" w:hanging="420"/>
      </w:pPr>
      <w:rPr>
        <w:rFonts w:cs="Times New Roman"/>
      </w:rPr>
    </w:lvl>
    <w:lvl w:ilvl="4" w:tentative="0">
      <w:start w:val="1"/>
      <w:numFmt w:val="lowerLetter"/>
      <w:lvlText w:val="%5)"/>
      <w:lvlJc w:val="left"/>
      <w:pPr>
        <w:ind w:left="2582" w:hanging="420"/>
      </w:pPr>
      <w:rPr>
        <w:rFonts w:cs="Times New Roman"/>
      </w:rPr>
    </w:lvl>
    <w:lvl w:ilvl="5" w:tentative="0">
      <w:start w:val="1"/>
      <w:numFmt w:val="lowerRoman"/>
      <w:lvlText w:val="%6."/>
      <w:lvlJc w:val="right"/>
      <w:pPr>
        <w:ind w:left="3002" w:hanging="420"/>
      </w:pPr>
      <w:rPr>
        <w:rFonts w:cs="Times New Roman"/>
      </w:rPr>
    </w:lvl>
    <w:lvl w:ilvl="6" w:tentative="0">
      <w:start w:val="1"/>
      <w:numFmt w:val="decimal"/>
      <w:lvlText w:val="%7."/>
      <w:lvlJc w:val="left"/>
      <w:pPr>
        <w:ind w:left="3422" w:hanging="420"/>
      </w:pPr>
      <w:rPr>
        <w:rFonts w:cs="Times New Roman"/>
      </w:rPr>
    </w:lvl>
    <w:lvl w:ilvl="7" w:tentative="0">
      <w:start w:val="1"/>
      <w:numFmt w:val="lowerLetter"/>
      <w:lvlText w:val="%8)"/>
      <w:lvlJc w:val="left"/>
      <w:pPr>
        <w:ind w:left="3842" w:hanging="420"/>
      </w:pPr>
      <w:rPr>
        <w:rFonts w:cs="Times New Roman"/>
      </w:rPr>
    </w:lvl>
    <w:lvl w:ilvl="8" w:tentative="0">
      <w:start w:val="1"/>
      <w:numFmt w:val="lowerRoman"/>
      <w:lvlText w:val="%9."/>
      <w:lvlJc w:val="right"/>
      <w:pPr>
        <w:ind w:left="4262" w:hanging="420"/>
      </w:pPr>
      <w:rPr>
        <w:rFonts w:cs="Times New Roman"/>
      </w:rPr>
    </w:lvl>
  </w:abstractNum>
  <w:abstractNum w:abstractNumId="7">
    <w:nsid w:val="2E05F77B"/>
    <w:multiLevelType w:val="singleLevel"/>
    <w:tmpl w:val="2E05F77B"/>
    <w:lvl w:ilvl="0" w:tentative="0">
      <w:start w:val="1"/>
      <w:numFmt w:val="bullet"/>
      <w:lvlText w:val=""/>
      <w:lvlJc w:val="left"/>
      <w:pPr>
        <w:ind w:left="420" w:hanging="420"/>
      </w:pPr>
      <w:rPr>
        <w:rFonts w:hint="default" w:ascii="Wingdings" w:hAnsi="Wingdings"/>
      </w:rPr>
    </w:lvl>
  </w:abstractNum>
  <w:abstractNum w:abstractNumId="8">
    <w:nsid w:val="40320223"/>
    <w:multiLevelType w:val="singleLevel"/>
    <w:tmpl w:val="40320223"/>
    <w:lvl w:ilvl="0" w:tentative="0">
      <w:start w:val="1"/>
      <w:numFmt w:val="decimal"/>
      <w:suff w:val="nothing"/>
      <w:lvlText w:val="%1、"/>
      <w:lvlJc w:val="left"/>
    </w:lvl>
  </w:abstractNum>
  <w:abstractNum w:abstractNumId="9">
    <w:nsid w:val="44B30171"/>
    <w:multiLevelType w:val="singleLevel"/>
    <w:tmpl w:val="44B30171"/>
    <w:lvl w:ilvl="0" w:tentative="0">
      <w:start w:val="1"/>
      <w:numFmt w:val="bullet"/>
      <w:lvlText w:val=""/>
      <w:lvlJc w:val="left"/>
      <w:pPr>
        <w:ind w:left="420" w:hanging="420"/>
      </w:pPr>
      <w:rPr>
        <w:rFonts w:hint="default" w:ascii="Wingdings" w:hAnsi="Wingdings"/>
      </w:rPr>
    </w:lvl>
  </w:abstractNum>
  <w:abstractNum w:abstractNumId="10">
    <w:nsid w:val="6E07623C"/>
    <w:multiLevelType w:val="multilevel"/>
    <w:tmpl w:val="6E07623C"/>
    <w:lvl w:ilvl="0" w:tentative="0">
      <w:start w:val="1"/>
      <w:numFmt w:val="japaneseCounting"/>
      <w:lvlText w:val="%1、"/>
      <w:lvlJc w:val="left"/>
      <w:pPr>
        <w:tabs>
          <w:tab w:val="left" w:pos="1140"/>
        </w:tabs>
        <w:ind w:left="1140" w:hanging="720"/>
      </w:pPr>
      <w:rPr>
        <w:rFonts w:hint="eastAsia" w:cs="Times New Roman"/>
      </w:rPr>
    </w:lvl>
    <w:lvl w:ilvl="1" w:tentative="0">
      <w:start w:val="1"/>
      <w:numFmt w:val="decimal"/>
      <w:lvlText w:val="%2."/>
      <w:lvlJc w:val="left"/>
      <w:pPr>
        <w:tabs>
          <w:tab w:val="left" w:pos="1605"/>
        </w:tabs>
        <w:ind w:left="1605" w:hanging="765"/>
      </w:pPr>
      <w:rPr>
        <w:rFonts w:hint="eastAsia" w:cs="Times New Roman"/>
      </w:rPr>
    </w:lvl>
    <w:lvl w:ilvl="2" w:tentative="0">
      <w:start w:val="1"/>
      <w:numFmt w:val="decimal"/>
      <w:lvlText w:val="%3．"/>
      <w:lvlJc w:val="left"/>
      <w:pPr>
        <w:tabs>
          <w:tab w:val="left" w:pos="1980"/>
        </w:tabs>
        <w:ind w:left="1980" w:hanging="720"/>
      </w:pPr>
      <w:rPr>
        <w:rFonts w:hint="eastAsia" w:cs="Times New Roman"/>
      </w:rPr>
    </w:lvl>
    <w:lvl w:ilvl="3" w:tentative="0">
      <w:start w:val="1"/>
      <w:numFmt w:val="upperLetter"/>
      <w:lvlText w:val="%4、"/>
      <w:lvlJc w:val="left"/>
      <w:pPr>
        <w:tabs>
          <w:tab w:val="left" w:pos="2400"/>
        </w:tabs>
        <w:ind w:left="2400" w:hanging="720"/>
      </w:pPr>
      <w:rPr>
        <w:rFonts w:hint="eastAsia" w:cs="Times New Roman"/>
      </w:rPr>
    </w:lvl>
    <w:lvl w:ilvl="4" w:tentative="0">
      <w:start w:val="1"/>
      <w:numFmt w:val="lowerLetter"/>
      <w:lvlText w:val="%5)"/>
      <w:lvlJc w:val="left"/>
      <w:pPr>
        <w:tabs>
          <w:tab w:val="left" w:pos="2520"/>
        </w:tabs>
        <w:ind w:left="2520" w:hanging="420"/>
      </w:pPr>
      <w:rPr>
        <w:rFonts w:cs="Times New Roman"/>
      </w:rPr>
    </w:lvl>
    <w:lvl w:ilvl="5" w:tentative="0">
      <w:start w:val="1"/>
      <w:numFmt w:val="lowerRoman"/>
      <w:lvlText w:val="%6."/>
      <w:lvlJc w:val="right"/>
      <w:pPr>
        <w:tabs>
          <w:tab w:val="left" w:pos="2940"/>
        </w:tabs>
        <w:ind w:left="2940" w:hanging="420"/>
      </w:pPr>
      <w:rPr>
        <w:rFonts w:cs="Times New Roman"/>
      </w:rPr>
    </w:lvl>
    <w:lvl w:ilvl="6" w:tentative="0">
      <w:start w:val="1"/>
      <w:numFmt w:val="decimal"/>
      <w:lvlText w:val="%7."/>
      <w:lvlJc w:val="left"/>
      <w:pPr>
        <w:tabs>
          <w:tab w:val="left" w:pos="3360"/>
        </w:tabs>
        <w:ind w:left="3360" w:hanging="420"/>
      </w:pPr>
      <w:rPr>
        <w:rFonts w:cs="Times New Roman"/>
      </w:rPr>
    </w:lvl>
    <w:lvl w:ilvl="7" w:tentative="0">
      <w:start w:val="1"/>
      <w:numFmt w:val="lowerLetter"/>
      <w:lvlText w:val="%8)"/>
      <w:lvlJc w:val="left"/>
      <w:pPr>
        <w:tabs>
          <w:tab w:val="left" w:pos="3780"/>
        </w:tabs>
        <w:ind w:left="3780" w:hanging="420"/>
      </w:pPr>
      <w:rPr>
        <w:rFonts w:cs="Times New Roman"/>
      </w:rPr>
    </w:lvl>
    <w:lvl w:ilvl="8" w:tentative="0">
      <w:start w:val="1"/>
      <w:numFmt w:val="lowerRoman"/>
      <w:lvlText w:val="%9."/>
      <w:lvlJc w:val="right"/>
      <w:pPr>
        <w:tabs>
          <w:tab w:val="left" w:pos="4200"/>
        </w:tabs>
        <w:ind w:left="4200" w:hanging="420"/>
      </w:pPr>
      <w:rPr>
        <w:rFonts w:cs="Times New Roman"/>
      </w:rPr>
    </w:lvl>
  </w:abstractNum>
  <w:abstractNum w:abstractNumId="11">
    <w:nsid w:val="6E8C6948"/>
    <w:multiLevelType w:val="singleLevel"/>
    <w:tmpl w:val="6E8C6948"/>
    <w:lvl w:ilvl="0" w:tentative="0">
      <w:start w:val="1"/>
      <w:numFmt w:val="chineseCounting"/>
      <w:suff w:val="space"/>
      <w:lvlText w:val="第%1部分"/>
      <w:lvlJc w:val="left"/>
      <w:rPr>
        <w:rFonts w:hint="eastAsia"/>
      </w:rPr>
    </w:lvl>
  </w:abstractNum>
  <w:abstractNum w:abstractNumId="12">
    <w:nsid w:val="7A612DE2"/>
    <w:multiLevelType w:val="multilevel"/>
    <w:tmpl w:val="7A612DE2"/>
    <w:lvl w:ilvl="0" w:tentative="0">
      <w:start w:val="2"/>
      <w:numFmt w:val="decimal"/>
      <w:lvlText w:val="%1."/>
      <w:lvlJc w:val="left"/>
      <w:pPr>
        <w:tabs>
          <w:tab w:val="left" w:pos="312"/>
        </w:tabs>
      </w:pPr>
    </w:lvl>
    <w:lvl w:ilvl="1" w:tentative="0">
      <w:start w:val="2"/>
      <w:numFmt w:val="decimal"/>
      <w:isLgl/>
      <w:lvlText w:val="%1.%2"/>
      <w:lvlJc w:val="left"/>
      <w:pPr>
        <w:ind w:left="968" w:hanging="720"/>
      </w:pPr>
      <w:rPr>
        <w:rFonts w:hint="default"/>
      </w:rPr>
    </w:lvl>
    <w:lvl w:ilvl="2" w:tentative="0">
      <w:start w:val="2"/>
      <w:numFmt w:val="decimal"/>
      <w:isLgl/>
      <w:lvlText w:val="%1.%2.%3"/>
      <w:lvlJc w:val="left"/>
      <w:pPr>
        <w:ind w:left="1216" w:hanging="720"/>
      </w:pPr>
      <w:rPr>
        <w:rFonts w:hint="default"/>
      </w:rPr>
    </w:lvl>
    <w:lvl w:ilvl="3" w:tentative="0">
      <w:start w:val="1"/>
      <w:numFmt w:val="decimal"/>
      <w:isLgl/>
      <w:lvlText w:val="%1.%2.%3.%4"/>
      <w:lvlJc w:val="left"/>
      <w:pPr>
        <w:ind w:left="1824" w:hanging="1080"/>
      </w:pPr>
      <w:rPr>
        <w:rFonts w:hint="default"/>
      </w:rPr>
    </w:lvl>
    <w:lvl w:ilvl="4" w:tentative="0">
      <w:start w:val="1"/>
      <w:numFmt w:val="decimal"/>
      <w:isLgl/>
      <w:lvlText w:val="%1.%2.%3.%4.%5"/>
      <w:lvlJc w:val="left"/>
      <w:pPr>
        <w:ind w:left="2072" w:hanging="1080"/>
      </w:pPr>
      <w:rPr>
        <w:rFonts w:hint="default"/>
      </w:rPr>
    </w:lvl>
    <w:lvl w:ilvl="5" w:tentative="0">
      <w:start w:val="1"/>
      <w:numFmt w:val="decimal"/>
      <w:isLgl/>
      <w:lvlText w:val="%1.%2.%3.%4.%5.%6"/>
      <w:lvlJc w:val="left"/>
      <w:pPr>
        <w:ind w:left="2680" w:hanging="1440"/>
      </w:pPr>
      <w:rPr>
        <w:rFonts w:hint="default"/>
      </w:rPr>
    </w:lvl>
    <w:lvl w:ilvl="6" w:tentative="0">
      <w:start w:val="1"/>
      <w:numFmt w:val="decimal"/>
      <w:isLgl/>
      <w:lvlText w:val="%1.%2.%3.%4.%5.%6.%7"/>
      <w:lvlJc w:val="left"/>
      <w:pPr>
        <w:ind w:left="3288" w:hanging="1800"/>
      </w:pPr>
      <w:rPr>
        <w:rFonts w:hint="default"/>
      </w:rPr>
    </w:lvl>
    <w:lvl w:ilvl="7" w:tentative="0">
      <w:start w:val="1"/>
      <w:numFmt w:val="decimal"/>
      <w:isLgl/>
      <w:lvlText w:val="%1.%2.%3.%4.%5.%6.%7.%8"/>
      <w:lvlJc w:val="left"/>
      <w:pPr>
        <w:ind w:left="3536" w:hanging="1800"/>
      </w:pPr>
      <w:rPr>
        <w:rFonts w:hint="default"/>
      </w:rPr>
    </w:lvl>
    <w:lvl w:ilvl="8" w:tentative="0">
      <w:start w:val="1"/>
      <w:numFmt w:val="decimal"/>
      <w:isLgl/>
      <w:lvlText w:val="%1.%2.%3.%4.%5.%6.%7.%8.%9"/>
      <w:lvlJc w:val="left"/>
      <w:pPr>
        <w:ind w:left="4144" w:hanging="2160"/>
      </w:pPr>
      <w:rPr>
        <w:rFonts w:hint="default"/>
      </w:rPr>
    </w:lvl>
  </w:abstractNum>
  <w:num w:numId="1">
    <w:abstractNumId w:val="3"/>
  </w:num>
  <w:num w:numId="2">
    <w:abstractNumId w:val="11"/>
  </w:num>
  <w:num w:numId="3">
    <w:abstractNumId w:val="0"/>
  </w:num>
  <w:num w:numId="4">
    <w:abstractNumId w:val="12"/>
  </w:num>
  <w:num w:numId="5">
    <w:abstractNumId w:val="6"/>
  </w:num>
  <w:num w:numId="6">
    <w:abstractNumId w:val="4"/>
  </w:num>
  <w:num w:numId="7">
    <w:abstractNumId w:val="9"/>
  </w:num>
  <w:num w:numId="8">
    <w:abstractNumId w:val="1"/>
  </w:num>
  <w:num w:numId="9">
    <w:abstractNumId w:val="7"/>
  </w:num>
  <w:num w:numId="10">
    <w:abstractNumId w:val="5"/>
  </w:num>
  <w:num w:numId="11">
    <w:abstractNumId w:val="8"/>
  </w:num>
  <w:num w:numId="12">
    <w:abstractNumId w:val="10"/>
  </w:num>
  <w:num w:numId="1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5"/>
  <w:bordersDoNotSurroundHeader w:val="1"/>
  <w:bordersDoNotSurroundFooter w:val="1"/>
  <w:hideSpellingErrors/>
  <w:documentProtection w:enforcement="0"/>
  <w:defaultTabStop w:val="421"/>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jE5ODRlMjk1NzM4OGEyZWNiMmY2Y2M2MzA3NzQ3ZmEifQ=="/>
    <w:docVar w:name="KSO_WPS_MARK_KEY" w:val="288773bf-0df4-413a-9f38-c1906dd68f40"/>
  </w:docVars>
  <w:rsids>
    <w:rsidRoot w:val="0056018A"/>
    <w:rsid w:val="000072CC"/>
    <w:rsid w:val="000139F5"/>
    <w:rsid w:val="00022B06"/>
    <w:rsid w:val="00036836"/>
    <w:rsid w:val="00050DA2"/>
    <w:rsid w:val="0005777A"/>
    <w:rsid w:val="00065382"/>
    <w:rsid w:val="00080223"/>
    <w:rsid w:val="000831B8"/>
    <w:rsid w:val="000A5309"/>
    <w:rsid w:val="000C3B89"/>
    <w:rsid w:val="000D1E49"/>
    <w:rsid w:val="000D6A51"/>
    <w:rsid w:val="000D7511"/>
    <w:rsid w:val="000E7715"/>
    <w:rsid w:val="000F45A3"/>
    <w:rsid w:val="00101730"/>
    <w:rsid w:val="00112164"/>
    <w:rsid w:val="00117838"/>
    <w:rsid w:val="00131ABC"/>
    <w:rsid w:val="00151749"/>
    <w:rsid w:val="00152503"/>
    <w:rsid w:val="001558C9"/>
    <w:rsid w:val="00160D3B"/>
    <w:rsid w:val="00185110"/>
    <w:rsid w:val="00197877"/>
    <w:rsid w:val="001A658B"/>
    <w:rsid w:val="001C1EE3"/>
    <w:rsid w:val="001C713C"/>
    <w:rsid w:val="001D75B9"/>
    <w:rsid w:val="00200F05"/>
    <w:rsid w:val="0020211C"/>
    <w:rsid w:val="00205E32"/>
    <w:rsid w:val="00220056"/>
    <w:rsid w:val="00244E74"/>
    <w:rsid w:val="00247A52"/>
    <w:rsid w:val="002626ED"/>
    <w:rsid w:val="0026389B"/>
    <w:rsid w:val="00265A40"/>
    <w:rsid w:val="002757DD"/>
    <w:rsid w:val="00280E8F"/>
    <w:rsid w:val="00282FDE"/>
    <w:rsid w:val="0029130A"/>
    <w:rsid w:val="003508FB"/>
    <w:rsid w:val="003A4540"/>
    <w:rsid w:val="003A4FD4"/>
    <w:rsid w:val="003B2CD0"/>
    <w:rsid w:val="003B4D7D"/>
    <w:rsid w:val="003E0293"/>
    <w:rsid w:val="003E0AB3"/>
    <w:rsid w:val="00401C42"/>
    <w:rsid w:val="004076DE"/>
    <w:rsid w:val="00415063"/>
    <w:rsid w:val="004562EA"/>
    <w:rsid w:val="00460AFB"/>
    <w:rsid w:val="00470130"/>
    <w:rsid w:val="00474F47"/>
    <w:rsid w:val="004800DF"/>
    <w:rsid w:val="00483B0A"/>
    <w:rsid w:val="004861E3"/>
    <w:rsid w:val="004A5A90"/>
    <w:rsid w:val="004B5126"/>
    <w:rsid w:val="004B51C7"/>
    <w:rsid w:val="004C629F"/>
    <w:rsid w:val="004D769E"/>
    <w:rsid w:val="004F6E47"/>
    <w:rsid w:val="004F7838"/>
    <w:rsid w:val="00503391"/>
    <w:rsid w:val="0054277C"/>
    <w:rsid w:val="00552960"/>
    <w:rsid w:val="0056018A"/>
    <w:rsid w:val="00567344"/>
    <w:rsid w:val="005829DC"/>
    <w:rsid w:val="005942E7"/>
    <w:rsid w:val="00597364"/>
    <w:rsid w:val="005A0BD9"/>
    <w:rsid w:val="005A23AF"/>
    <w:rsid w:val="005A72F7"/>
    <w:rsid w:val="005C0B4E"/>
    <w:rsid w:val="005C421F"/>
    <w:rsid w:val="005C4D37"/>
    <w:rsid w:val="005C73C6"/>
    <w:rsid w:val="005F16F0"/>
    <w:rsid w:val="00631C90"/>
    <w:rsid w:val="00633464"/>
    <w:rsid w:val="006345C6"/>
    <w:rsid w:val="0065185D"/>
    <w:rsid w:val="00662EBC"/>
    <w:rsid w:val="00680629"/>
    <w:rsid w:val="00686C52"/>
    <w:rsid w:val="006A4437"/>
    <w:rsid w:val="006C5146"/>
    <w:rsid w:val="006D4A99"/>
    <w:rsid w:val="006F1414"/>
    <w:rsid w:val="006F5896"/>
    <w:rsid w:val="00720691"/>
    <w:rsid w:val="007432BF"/>
    <w:rsid w:val="00743A10"/>
    <w:rsid w:val="00751F53"/>
    <w:rsid w:val="007525BF"/>
    <w:rsid w:val="007800DC"/>
    <w:rsid w:val="007838AA"/>
    <w:rsid w:val="00783D5E"/>
    <w:rsid w:val="00785FD6"/>
    <w:rsid w:val="007B212D"/>
    <w:rsid w:val="007B221D"/>
    <w:rsid w:val="007B5A72"/>
    <w:rsid w:val="00806A61"/>
    <w:rsid w:val="00824BFD"/>
    <w:rsid w:val="00836FBE"/>
    <w:rsid w:val="00837685"/>
    <w:rsid w:val="008453B3"/>
    <w:rsid w:val="008A68CB"/>
    <w:rsid w:val="008D13BD"/>
    <w:rsid w:val="008D3B56"/>
    <w:rsid w:val="008D5CEF"/>
    <w:rsid w:val="008E1AEF"/>
    <w:rsid w:val="008E7E61"/>
    <w:rsid w:val="008F19E5"/>
    <w:rsid w:val="009360F9"/>
    <w:rsid w:val="009542D6"/>
    <w:rsid w:val="0096296D"/>
    <w:rsid w:val="00964F00"/>
    <w:rsid w:val="009B511E"/>
    <w:rsid w:val="009C21D8"/>
    <w:rsid w:val="009E0F5E"/>
    <w:rsid w:val="009E37CE"/>
    <w:rsid w:val="00A061D8"/>
    <w:rsid w:val="00A071A6"/>
    <w:rsid w:val="00A21EB2"/>
    <w:rsid w:val="00A31561"/>
    <w:rsid w:val="00A336E5"/>
    <w:rsid w:val="00A54E95"/>
    <w:rsid w:val="00A65CBC"/>
    <w:rsid w:val="00A75D4C"/>
    <w:rsid w:val="00A80564"/>
    <w:rsid w:val="00A960B2"/>
    <w:rsid w:val="00AC2AAA"/>
    <w:rsid w:val="00AE6633"/>
    <w:rsid w:val="00B01FF1"/>
    <w:rsid w:val="00B056A8"/>
    <w:rsid w:val="00B25C82"/>
    <w:rsid w:val="00B46D25"/>
    <w:rsid w:val="00B72516"/>
    <w:rsid w:val="00B92C97"/>
    <w:rsid w:val="00BA3C70"/>
    <w:rsid w:val="00BB4E42"/>
    <w:rsid w:val="00BE11D9"/>
    <w:rsid w:val="00BE40E2"/>
    <w:rsid w:val="00BF0E19"/>
    <w:rsid w:val="00BF1A96"/>
    <w:rsid w:val="00C01073"/>
    <w:rsid w:val="00C01194"/>
    <w:rsid w:val="00C23F7E"/>
    <w:rsid w:val="00C35B05"/>
    <w:rsid w:val="00C855F6"/>
    <w:rsid w:val="00C91546"/>
    <w:rsid w:val="00C92F53"/>
    <w:rsid w:val="00CA4714"/>
    <w:rsid w:val="00CD43AE"/>
    <w:rsid w:val="00CD5223"/>
    <w:rsid w:val="00CE5010"/>
    <w:rsid w:val="00CE6E17"/>
    <w:rsid w:val="00D0528A"/>
    <w:rsid w:val="00D078B0"/>
    <w:rsid w:val="00D11B37"/>
    <w:rsid w:val="00D14DFC"/>
    <w:rsid w:val="00D408EF"/>
    <w:rsid w:val="00D5145C"/>
    <w:rsid w:val="00D64DAE"/>
    <w:rsid w:val="00D729A1"/>
    <w:rsid w:val="00D91E71"/>
    <w:rsid w:val="00D96DAD"/>
    <w:rsid w:val="00DB08CE"/>
    <w:rsid w:val="00DB3FB4"/>
    <w:rsid w:val="00DB5225"/>
    <w:rsid w:val="00DD1E5E"/>
    <w:rsid w:val="00DE6417"/>
    <w:rsid w:val="00E16182"/>
    <w:rsid w:val="00E1627A"/>
    <w:rsid w:val="00E25B36"/>
    <w:rsid w:val="00E33455"/>
    <w:rsid w:val="00E34C35"/>
    <w:rsid w:val="00E45DD7"/>
    <w:rsid w:val="00E650A8"/>
    <w:rsid w:val="00E728AA"/>
    <w:rsid w:val="00E8160A"/>
    <w:rsid w:val="00E878B4"/>
    <w:rsid w:val="00E971C3"/>
    <w:rsid w:val="00EA7A1E"/>
    <w:rsid w:val="00EB3D00"/>
    <w:rsid w:val="00F4187F"/>
    <w:rsid w:val="00F64C53"/>
    <w:rsid w:val="00F706D8"/>
    <w:rsid w:val="00F715C4"/>
    <w:rsid w:val="00F71720"/>
    <w:rsid w:val="00F80469"/>
    <w:rsid w:val="00F826FD"/>
    <w:rsid w:val="00F94197"/>
    <w:rsid w:val="00F95F78"/>
    <w:rsid w:val="00FA3D6D"/>
    <w:rsid w:val="00FB3C4E"/>
    <w:rsid w:val="00FC6F66"/>
    <w:rsid w:val="00FE040F"/>
    <w:rsid w:val="00FE42B3"/>
    <w:rsid w:val="00FF64CE"/>
    <w:rsid w:val="01115B19"/>
    <w:rsid w:val="014832F2"/>
    <w:rsid w:val="014D51C1"/>
    <w:rsid w:val="01714809"/>
    <w:rsid w:val="01BA49AC"/>
    <w:rsid w:val="01C52478"/>
    <w:rsid w:val="020621B4"/>
    <w:rsid w:val="02235B0E"/>
    <w:rsid w:val="025C7268"/>
    <w:rsid w:val="025C7FF6"/>
    <w:rsid w:val="027408EE"/>
    <w:rsid w:val="028440C8"/>
    <w:rsid w:val="02863634"/>
    <w:rsid w:val="02963F39"/>
    <w:rsid w:val="02A62A31"/>
    <w:rsid w:val="02B3095A"/>
    <w:rsid w:val="02BA7274"/>
    <w:rsid w:val="02C32E43"/>
    <w:rsid w:val="02E61E15"/>
    <w:rsid w:val="03251978"/>
    <w:rsid w:val="0325718A"/>
    <w:rsid w:val="042921B6"/>
    <w:rsid w:val="043B72BB"/>
    <w:rsid w:val="04461EC1"/>
    <w:rsid w:val="04504B3F"/>
    <w:rsid w:val="04915503"/>
    <w:rsid w:val="04AD02B8"/>
    <w:rsid w:val="04DE51C8"/>
    <w:rsid w:val="04DF17D4"/>
    <w:rsid w:val="05412745"/>
    <w:rsid w:val="05491761"/>
    <w:rsid w:val="055C1AD8"/>
    <w:rsid w:val="05A351AD"/>
    <w:rsid w:val="05D4629F"/>
    <w:rsid w:val="05F9748A"/>
    <w:rsid w:val="061500F8"/>
    <w:rsid w:val="06266F78"/>
    <w:rsid w:val="063E7B7A"/>
    <w:rsid w:val="06582413"/>
    <w:rsid w:val="067E33B8"/>
    <w:rsid w:val="069269C0"/>
    <w:rsid w:val="06C510AB"/>
    <w:rsid w:val="06E82FCB"/>
    <w:rsid w:val="06F34B95"/>
    <w:rsid w:val="07373517"/>
    <w:rsid w:val="07571DAC"/>
    <w:rsid w:val="084859A3"/>
    <w:rsid w:val="087010E6"/>
    <w:rsid w:val="08913342"/>
    <w:rsid w:val="08B15698"/>
    <w:rsid w:val="08DD171B"/>
    <w:rsid w:val="08E64121"/>
    <w:rsid w:val="08EA7CC0"/>
    <w:rsid w:val="08F1475B"/>
    <w:rsid w:val="090D588C"/>
    <w:rsid w:val="092E4D8E"/>
    <w:rsid w:val="0942017F"/>
    <w:rsid w:val="097B210D"/>
    <w:rsid w:val="09BA1FBB"/>
    <w:rsid w:val="09CB139F"/>
    <w:rsid w:val="0A0106F5"/>
    <w:rsid w:val="0A0F2E11"/>
    <w:rsid w:val="0A112AB7"/>
    <w:rsid w:val="0A2737F6"/>
    <w:rsid w:val="0A464A42"/>
    <w:rsid w:val="0A4E5482"/>
    <w:rsid w:val="0AAA504A"/>
    <w:rsid w:val="0AD71BC7"/>
    <w:rsid w:val="0AD81790"/>
    <w:rsid w:val="0AF420EB"/>
    <w:rsid w:val="0B2B2BF5"/>
    <w:rsid w:val="0B2F3908"/>
    <w:rsid w:val="0B3F6206"/>
    <w:rsid w:val="0B6E15DE"/>
    <w:rsid w:val="0B836FAC"/>
    <w:rsid w:val="0B856175"/>
    <w:rsid w:val="0BE12DB6"/>
    <w:rsid w:val="0BE80418"/>
    <w:rsid w:val="0BFC6504"/>
    <w:rsid w:val="0C345AD1"/>
    <w:rsid w:val="0C411215"/>
    <w:rsid w:val="0C626CE4"/>
    <w:rsid w:val="0D0C2B7B"/>
    <w:rsid w:val="0D160588"/>
    <w:rsid w:val="0D360CAA"/>
    <w:rsid w:val="0D594485"/>
    <w:rsid w:val="0D5F6D00"/>
    <w:rsid w:val="0D714A1C"/>
    <w:rsid w:val="0D9308F8"/>
    <w:rsid w:val="0DC068FF"/>
    <w:rsid w:val="0DE76C3D"/>
    <w:rsid w:val="0E1A1D85"/>
    <w:rsid w:val="0E5E7EC3"/>
    <w:rsid w:val="0E750568"/>
    <w:rsid w:val="0E9C3C97"/>
    <w:rsid w:val="0ECC3B3B"/>
    <w:rsid w:val="0F072309"/>
    <w:rsid w:val="0F161204"/>
    <w:rsid w:val="0F1D2C4D"/>
    <w:rsid w:val="0F2D7A80"/>
    <w:rsid w:val="0F4277E5"/>
    <w:rsid w:val="0F4C5227"/>
    <w:rsid w:val="0F684B57"/>
    <w:rsid w:val="0FA75561"/>
    <w:rsid w:val="0FB83603"/>
    <w:rsid w:val="0FCA77F1"/>
    <w:rsid w:val="0FCD5DCC"/>
    <w:rsid w:val="0FDB0E3A"/>
    <w:rsid w:val="10043197"/>
    <w:rsid w:val="10270545"/>
    <w:rsid w:val="103409DF"/>
    <w:rsid w:val="103D7CA9"/>
    <w:rsid w:val="1087069D"/>
    <w:rsid w:val="108A1D4B"/>
    <w:rsid w:val="10921F4C"/>
    <w:rsid w:val="10A10111"/>
    <w:rsid w:val="10A17FC7"/>
    <w:rsid w:val="10BE093E"/>
    <w:rsid w:val="10E20BD8"/>
    <w:rsid w:val="111B0FE9"/>
    <w:rsid w:val="112C77F4"/>
    <w:rsid w:val="114755AB"/>
    <w:rsid w:val="115F67A8"/>
    <w:rsid w:val="11822C48"/>
    <w:rsid w:val="119604A6"/>
    <w:rsid w:val="119A7465"/>
    <w:rsid w:val="11C07DA5"/>
    <w:rsid w:val="11C2491E"/>
    <w:rsid w:val="11F36B75"/>
    <w:rsid w:val="11FA2CC9"/>
    <w:rsid w:val="12062D4C"/>
    <w:rsid w:val="120651FA"/>
    <w:rsid w:val="12491386"/>
    <w:rsid w:val="12751983"/>
    <w:rsid w:val="12887F77"/>
    <w:rsid w:val="12E60579"/>
    <w:rsid w:val="12E66E96"/>
    <w:rsid w:val="12EB0F02"/>
    <w:rsid w:val="12FE6E3A"/>
    <w:rsid w:val="13695B36"/>
    <w:rsid w:val="1372609F"/>
    <w:rsid w:val="13D73572"/>
    <w:rsid w:val="14504752"/>
    <w:rsid w:val="145A6A37"/>
    <w:rsid w:val="1467440F"/>
    <w:rsid w:val="153955DC"/>
    <w:rsid w:val="15400323"/>
    <w:rsid w:val="15430492"/>
    <w:rsid w:val="15433A9B"/>
    <w:rsid w:val="15481005"/>
    <w:rsid w:val="154D74A2"/>
    <w:rsid w:val="15584512"/>
    <w:rsid w:val="1588053C"/>
    <w:rsid w:val="15A93017"/>
    <w:rsid w:val="15FC2F04"/>
    <w:rsid w:val="16181FAC"/>
    <w:rsid w:val="163C579E"/>
    <w:rsid w:val="16410011"/>
    <w:rsid w:val="16460309"/>
    <w:rsid w:val="164B1DA1"/>
    <w:rsid w:val="16501B6B"/>
    <w:rsid w:val="165D6CB3"/>
    <w:rsid w:val="168756A0"/>
    <w:rsid w:val="169F551D"/>
    <w:rsid w:val="16CB7396"/>
    <w:rsid w:val="16F94849"/>
    <w:rsid w:val="17045E51"/>
    <w:rsid w:val="170532D4"/>
    <w:rsid w:val="172011D4"/>
    <w:rsid w:val="17252C3B"/>
    <w:rsid w:val="173F0A2E"/>
    <w:rsid w:val="17473D3D"/>
    <w:rsid w:val="17770BC2"/>
    <w:rsid w:val="17787D90"/>
    <w:rsid w:val="17860E2F"/>
    <w:rsid w:val="17A119AA"/>
    <w:rsid w:val="17A1375A"/>
    <w:rsid w:val="17A27073"/>
    <w:rsid w:val="18586F2B"/>
    <w:rsid w:val="1910625E"/>
    <w:rsid w:val="19442DF9"/>
    <w:rsid w:val="19873C1D"/>
    <w:rsid w:val="19A766B9"/>
    <w:rsid w:val="19CE76BA"/>
    <w:rsid w:val="19F26070"/>
    <w:rsid w:val="19F97C8B"/>
    <w:rsid w:val="1A1523CE"/>
    <w:rsid w:val="1A6A6939"/>
    <w:rsid w:val="1AA730BD"/>
    <w:rsid w:val="1AEB2ADF"/>
    <w:rsid w:val="1B333D5D"/>
    <w:rsid w:val="1B460B67"/>
    <w:rsid w:val="1B587618"/>
    <w:rsid w:val="1B5F19C7"/>
    <w:rsid w:val="1B823DEE"/>
    <w:rsid w:val="1C1C709B"/>
    <w:rsid w:val="1C4C1DC8"/>
    <w:rsid w:val="1C4F6795"/>
    <w:rsid w:val="1C9F6814"/>
    <w:rsid w:val="1CCB626F"/>
    <w:rsid w:val="1CF06BAE"/>
    <w:rsid w:val="1D1005CD"/>
    <w:rsid w:val="1D1F0356"/>
    <w:rsid w:val="1D5C514E"/>
    <w:rsid w:val="1D865D14"/>
    <w:rsid w:val="1D8705EC"/>
    <w:rsid w:val="1D882867"/>
    <w:rsid w:val="1DB5784A"/>
    <w:rsid w:val="1DD872E4"/>
    <w:rsid w:val="1DEC0E7D"/>
    <w:rsid w:val="1E43150B"/>
    <w:rsid w:val="1EA93E80"/>
    <w:rsid w:val="1ED04B7D"/>
    <w:rsid w:val="1ED33FB6"/>
    <w:rsid w:val="1EE81332"/>
    <w:rsid w:val="1F197111"/>
    <w:rsid w:val="1F32415A"/>
    <w:rsid w:val="1F424861"/>
    <w:rsid w:val="1F542F9A"/>
    <w:rsid w:val="1F702632"/>
    <w:rsid w:val="1F7E2174"/>
    <w:rsid w:val="1FA85442"/>
    <w:rsid w:val="1FDC6454"/>
    <w:rsid w:val="1FE44494"/>
    <w:rsid w:val="1FE63629"/>
    <w:rsid w:val="200222DF"/>
    <w:rsid w:val="20107567"/>
    <w:rsid w:val="2035487C"/>
    <w:rsid w:val="204149A4"/>
    <w:rsid w:val="2053432D"/>
    <w:rsid w:val="20916A7C"/>
    <w:rsid w:val="20AB56C6"/>
    <w:rsid w:val="214A3F2E"/>
    <w:rsid w:val="21547789"/>
    <w:rsid w:val="2176507C"/>
    <w:rsid w:val="21B07155"/>
    <w:rsid w:val="21BE35AF"/>
    <w:rsid w:val="21C11174"/>
    <w:rsid w:val="21FF35D2"/>
    <w:rsid w:val="22206B73"/>
    <w:rsid w:val="22244B28"/>
    <w:rsid w:val="22322BA7"/>
    <w:rsid w:val="22467FD4"/>
    <w:rsid w:val="229451FD"/>
    <w:rsid w:val="22A12DB6"/>
    <w:rsid w:val="22D11FA9"/>
    <w:rsid w:val="23270BBA"/>
    <w:rsid w:val="236356D1"/>
    <w:rsid w:val="236B5802"/>
    <w:rsid w:val="23A91C83"/>
    <w:rsid w:val="23B74027"/>
    <w:rsid w:val="23C962E8"/>
    <w:rsid w:val="23EB3B50"/>
    <w:rsid w:val="24561C8D"/>
    <w:rsid w:val="247E4FED"/>
    <w:rsid w:val="24AD78E0"/>
    <w:rsid w:val="24B30BE8"/>
    <w:rsid w:val="24B7536E"/>
    <w:rsid w:val="24E34060"/>
    <w:rsid w:val="253A0491"/>
    <w:rsid w:val="254E0478"/>
    <w:rsid w:val="25AB6E12"/>
    <w:rsid w:val="25B36038"/>
    <w:rsid w:val="25E036B2"/>
    <w:rsid w:val="25E9082A"/>
    <w:rsid w:val="25F42473"/>
    <w:rsid w:val="26423CD8"/>
    <w:rsid w:val="26591839"/>
    <w:rsid w:val="269C17B8"/>
    <w:rsid w:val="26AF2D79"/>
    <w:rsid w:val="26B34B91"/>
    <w:rsid w:val="270D66E8"/>
    <w:rsid w:val="27514612"/>
    <w:rsid w:val="275B3E1E"/>
    <w:rsid w:val="276205CD"/>
    <w:rsid w:val="278B0DAB"/>
    <w:rsid w:val="279544FE"/>
    <w:rsid w:val="279C6B0E"/>
    <w:rsid w:val="279E140F"/>
    <w:rsid w:val="27A14592"/>
    <w:rsid w:val="27A64735"/>
    <w:rsid w:val="27B0461B"/>
    <w:rsid w:val="27CC4DF2"/>
    <w:rsid w:val="281864F2"/>
    <w:rsid w:val="286903EF"/>
    <w:rsid w:val="287F5DD3"/>
    <w:rsid w:val="288047CB"/>
    <w:rsid w:val="288639EB"/>
    <w:rsid w:val="288F7729"/>
    <w:rsid w:val="289E62FA"/>
    <w:rsid w:val="28D26BD8"/>
    <w:rsid w:val="28D5110C"/>
    <w:rsid w:val="28F33BD2"/>
    <w:rsid w:val="28FD6E90"/>
    <w:rsid w:val="291E2CA6"/>
    <w:rsid w:val="29331862"/>
    <w:rsid w:val="296341F3"/>
    <w:rsid w:val="299741EC"/>
    <w:rsid w:val="299E147F"/>
    <w:rsid w:val="29C32A87"/>
    <w:rsid w:val="29CF26DC"/>
    <w:rsid w:val="2A1C5DA0"/>
    <w:rsid w:val="2A200D39"/>
    <w:rsid w:val="2A280AB9"/>
    <w:rsid w:val="2A507EFF"/>
    <w:rsid w:val="2A513E7B"/>
    <w:rsid w:val="2A9D2C76"/>
    <w:rsid w:val="2ADC05A4"/>
    <w:rsid w:val="2AEF2177"/>
    <w:rsid w:val="2B5D60D4"/>
    <w:rsid w:val="2B6678DE"/>
    <w:rsid w:val="2B6F0D7F"/>
    <w:rsid w:val="2B8716BD"/>
    <w:rsid w:val="2B8B76FF"/>
    <w:rsid w:val="2BD5034F"/>
    <w:rsid w:val="2BE05C4E"/>
    <w:rsid w:val="2BE1026D"/>
    <w:rsid w:val="2C924AE7"/>
    <w:rsid w:val="2CEE322F"/>
    <w:rsid w:val="2D025012"/>
    <w:rsid w:val="2D3B693B"/>
    <w:rsid w:val="2D4178F0"/>
    <w:rsid w:val="2D5147E9"/>
    <w:rsid w:val="2D7711AA"/>
    <w:rsid w:val="2D7D58EB"/>
    <w:rsid w:val="2D9D53E0"/>
    <w:rsid w:val="2DA45D22"/>
    <w:rsid w:val="2DAE631A"/>
    <w:rsid w:val="2DC72229"/>
    <w:rsid w:val="2DD65954"/>
    <w:rsid w:val="2DD877E0"/>
    <w:rsid w:val="2DE616C9"/>
    <w:rsid w:val="2DE801DF"/>
    <w:rsid w:val="2DFB7200"/>
    <w:rsid w:val="2DFC2451"/>
    <w:rsid w:val="2E24038A"/>
    <w:rsid w:val="2E3422F8"/>
    <w:rsid w:val="2E3D68D2"/>
    <w:rsid w:val="2E6E566D"/>
    <w:rsid w:val="2E7F188E"/>
    <w:rsid w:val="2E9E448B"/>
    <w:rsid w:val="2E9F1F0C"/>
    <w:rsid w:val="2EA91D49"/>
    <w:rsid w:val="2EBC0905"/>
    <w:rsid w:val="2EC73739"/>
    <w:rsid w:val="2EFB1B0E"/>
    <w:rsid w:val="2F5C684F"/>
    <w:rsid w:val="2F63756E"/>
    <w:rsid w:val="2F6812EF"/>
    <w:rsid w:val="2F8A538D"/>
    <w:rsid w:val="2F922AC9"/>
    <w:rsid w:val="2F9E0885"/>
    <w:rsid w:val="2FD271D9"/>
    <w:rsid w:val="2FE6553A"/>
    <w:rsid w:val="301729F2"/>
    <w:rsid w:val="303D4E30"/>
    <w:rsid w:val="30767505"/>
    <w:rsid w:val="307776D1"/>
    <w:rsid w:val="30835193"/>
    <w:rsid w:val="30862574"/>
    <w:rsid w:val="309D1AAC"/>
    <w:rsid w:val="30AD52F3"/>
    <w:rsid w:val="30B631E1"/>
    <w:rsid w:val="30BE7B15"/>
    <w:rsid w:val="30F658E4"/>
    <w:rsid w:val="311933AA"/>
    <w:rsid w:val="314C32D2"/>
    <w:rsid w:val="317D15BB"/>
    <w:rsid w:val="31B3740F"/>
    <w:rsid w:val="31D07E6C"/>
    <w:rsid w:val="31D907BC"/>
    <w:rsid w:val="323F65DA"/>
    <w:rsid w:val="32412074"/>
    <w:rsid w:val="32664E61"/>
    <w:rsid w:val="32DE0199"/>
    <w:rsid w:val="332D3F59"/>
    <w:rsid w:val="333C2963"/>
    <w:rsid w:val="335B2774"/>
    <w:rsid w:val="33A4642E"/>
    <w:rsid w:val="33D4039C"/>
    <w:rsid w:val="33D47E05"/>
    <w:rsid w:val="33DF460E"/>
    <w:rsid w:val="3413677D"/>
    <w:rsid w:val="342B544B"/>
    <w:rsid w:val="34514D70"/>
    <w:rsid w:val="345E036E"/>
    <w:rsid w:val="34A7571D"/>
    <w:rsid w:val="34C47852"/>
    <w:rsid w:val="34DE1E4F"/>
    <w:rsid w:val="34F07DB1"/>
    <w:rsid w:val="356C2AC6"/>
    <w:rsid w:val="357E6FD1"/>
    <w:rsid w:val="359009FB"/>
    <w:rsid w:val="35D354B8"/>
    <w:rsid w:val="35D4025C"/>
    <w:rsid w:val="3606412B"/>
    <w:rsid w:val="362666BC"/>
    <w:rsid w:val="363646D4"/>
    <w:rsid w:val="368A6B11"/>
    <w:rsid w:val="36ED2AA8"/>
    <w:rsid w:val="36F44712"/>
    <w:rsid w:val="37085B1F"/>
    <w:rsid w:val="372E04CB"/>
    <w:rsid w:val="38060F79"/>
    <w:rsid w:val="3809382C"/>
    <w:rsid w:val="38783D6C"/>
    <w:rsid w:val="388F0764"/>
    <w:rsid w:val="38E070F2"/>
    <w:rsid w:val="38FA1FA9"/>
    <w:rsid w:val="390D33AB"/>
    <w:rsid w:val="391E6D06"/>
    <w:rsid w:val="39573D9E"/>
    <w:rsid w:val="39D63AE8"/>
    <w:rsid w:val="3A074847"/>
    <w:rsid w:val="3A830B2E"/>
    <w:rsid w:val="3AA90FE6"/>
    <w:rsid w:val="3AA9318F"/>
    <w:rsid w:val="3AB62DA0"/>
    <w:rsid w:val="3AEF3ACE"/>
    <w:rsid w:val="3B057828"/>
    <w:rsid w:val="3B0A6E6E"/>
    <w:rsid w:val="3B69577B"/>
    <w:rsid w:val="3B702D85"/>
    <w:rsid w:val="3B7D3FD5"/>
    <w:rsid w:val="3B7F4E52"/>
    <w:rsid w:val="3B823DDF"/>
    <w:rsid w:val="3BD827B4"/>
    <w:rsid w:val="3C1D3AA1"/>
    <w:rsid w:val="3C237ED3"/>
    <w:rsid w:val="3C4D2D59"/>
    <w:rsid w:val="3C5C337C"/>
    <w:rsid w:val="3C872CDC"/>
    <w:rsid w:val="3CAA596A"/>
    <w:rsid w:val="3CAF1D22"/>
    <w:rsid w:val="3CB1587B"/>
    <w:rsid w:val="3CB735F2"/>
    <w:rsid w:val="3CE055C7"/>
    <w:rsid w:val="3D186684"/>
    <w:rsid w:val="3D260E6E"/>
    <w:rsid w:val="3D363C36"/>
    <w:rsid w:val="3D686B10"/>
    <w:rsid w:val="3D8B2178"/>
    <w:rsid w:val="3D8F4DAA"/>
    <w:rsid w:val="3DAD2ABF"/>
    <w:rsid w:val="3DB34909"/>
    <w:rsid w:val="3DD115F5"/>
    <w:rsid w:val="3DE435F0"/>
    <w:rsid w:val="3DE5122C"/>
    <w:rsid w:val="3DF37E53"/>
    <w:rsid w:val="3DF83E38"/>
    <w:rsid w:val="3E0E37DD"/>
    <w:rsid w:val="3E1471C9"/>
    <w:rsid w:val="3ED26DE9"/>
    <w:rsid w:val="3EED17D0"/>
    <w:rsid w:val="3F0C0304"/>
    <w:rsid w:val="3F774839"/>
    <w:rsid w:val="3FBD02CF"/>
    <w:rsid w:val="3FC71A90"/>
    <w:rsid w:val="3FEC147E"/>
    <w:rsid w:val="3FED7DE8"/>
    <w:rsid w:val="40376375"/>
    <w:rsid w:val="403F1086"/>
    <w:rsid w:val="406A45C6"/>
    <w:rsid w:val="407E44D4"/>
    <w:rsid w:val="40D36F56"/>
    <w:rsid w:val="411411E7"/>
    <w:rsid w:val="412732B7"/>
    <w:rsid w:val="4127791F"/>
    <w:rsid w:val="41281794"/>
    <w:rsid w:val="413C1FDF"/>
    <w:rsid w:val="41535990"/>
    <w:rsid w:val="417F7CCD"/>
    <w:rsid w:val="41806A69"/>
    <w:rsid w:val="41B0259C"/>
    <w:rsid w:val="41B77686"/>
    <w:rsid w:val="41BC6F1C"/>
    <w:rsid w:val="41EF2363"/>
    <w:rsid w:val="41F77860"/>
    <w:rsid w:val="424234C2"/>
    <w:rsid w:val="424A4B98"/>
    <w:rsid w:val="42581D3A"/>
    <w:rsid w:val="42642D59"/>
    <w:rsid w:val="428E23A1"/>
    <w:rsid w:val="42ED2EA4"/>
    <w:rsid w:val="42F609E7"/>
    <w:rsid w:val="42F6649D"/>
    <w:rsid w:val="42FE0080"/>
    <w:rsid w:val="43315D2E"/>
    <w:rsid w:val="43670C99"/>
    <w:rsid w:val="43824A1C"/>
    <w:rsid w:val="43D110E1"/>
    <w:rsid w:val="43E873C9"/>
    <w:rsid w:val="43F25407"/>
    <w:rsid w:val="43F61306"/>
    <w:rsid w:val="441575BD"/>
    <w:rsid w:val="443F36ED"/>
    <w:rsid w:val="446F27D2"/>
    <w:rsid w:val="44905B1F"/>
    <w:rsid w:val="44996E9A"/>
    <w:rsid w:val="45056C1E"/>
    <w:rsid w:val="45316885"/>
    <w:rsid w:val="45A95EE9"/>
    <w:rsid w:val="45DA52A8"/>
    <w:rsid w:val="45FB0F21"/>
    <w:rsid w:val="460D74FE"/>
    <w:rsid w:val="46167166"/>
    <w:rsid w:val="46174EF7"/>
    <w:rsid w:val="4636719A"/>
    <w:rsid w:val="46530D8D"/>
    <w:rsid w:val="465859F2"/>
    <w:rsid w:val="47200EE3"/>
    <w:rsid w:val="47412E58"/>
    <w:rsid w:val="474358CD"/>
    <w:rsid w:val="47435AC2"/>
    <w:rsid w:val="47544B78"/>
    <w:rsid w:val="47587AF7"/>
    <w:rsid w:val="47745A86"/>
    <w:rsid w:val="47886D63"/>
    <w:rsid w:val="47CD0723"/>
    <w:rsid w:val="47E239AC"/>
    <w:rsid w:val="480F4B73"/>
    <w:rsid w:val="487974BD"/>
    <w:rsid w:val="48AE506D"/>
    <w:rsid w:val="48DB38E3"/>
    <w:rsid w:val="49001B5E"/>
    <w:rsid w:val="49153920"/>
    <w:rsid w:val="492E5634"/>
    <w:rsid w:val="49376DB0"/>
    <w:rsid w:val="494B3812"/>
    <w:rsid w:val="49804BB7"/>
    <w:rsid w:val="49826DCB"/>
    <w:rsid w:val="499013E7"/>
    <w:rsid w:val="49A22843"/>
    <w:rsid w:val="49BF5F7A"/>
    <w:rsid w:val="49C8088A"/>
    <w:rsid w:val="4A0F6D68"/>
    <w:rsid w:val="4A233384"/>
    <w:rsid w:val="4A301C93"/>
    <w:rsid w:val="4A3302AB"/>
    <w:rsid w:val="4A572A17"/>
    <w:rsid w:val="4A6F2535"/>
    <w:rsid w:val="4AAD2B10"/>
    <w:rsid w:val="4AC85D49"/>
    <w:rsid w:val="4AE308A9"/>
    <w:rsid w:val="4B260F2D"/>
    <w:rsid w:val="4B9049B6"/>
    <w:rsid w:val="4B9A1456"/>
    <w:rsid w:val="4BA32C82"/>
    <w:rsid w:val="4BD134C2"/>
    <w:rsid w:val="4BE70627"/>
    <w:rsid w:val="4C0A5AE1"/>
    <w:rsid w:val="4C130AB8"/>
    <w:rsid w:val="4C22078E"/>
    <w:rsid w:val="4C5A284D"/>
    <w:rsid w:val="4C5C0673"/>
    <w:rsid w:val="4CB90480"/>
    <w:rsid w:val="4CB96B43"/>
    <w:rsid w:val="4CC75FCC"/>
    <w:rsid w:val="4CC87A5E"/>
    <w:rsid w:val="4CD63947"/>
    <w:rsid w:val="4CF957AB"/>
    <w:rsid w:val="4CFC49F4"/>
    <w:rsid w:val="4D073D73"/>
    <w:rsid w:val="4D1E27BA"/>
    <w:rsid w:val="4D23574A"/>
    <w:rsid w:val="4D4C4DB0"/>
    <w:rsid w:val="4D534C27"/>
    <w:rsid w:val="4D7322D5"/>
    <w:rsid w:val="4DD7034C"/>
    <w:rsid w:val="4DE312CB"/>
    <w:rsid w:val="4DF5318E"/>
    <w:rsid w:val="4E1F4862"/>
    <w:rsid w:val="4E2E4393"/>
    <w:rsid w:val="4E535EF2"/>
    <w:rsid w:val="4E9E55D0"/>
    <w:rsid w:val="4F08773C"/>
    <w:rsid w:val="4F102B4E"/>
    <w:rsid w:val="4F120FBB"/>
    <w:rsid w:val="4F31409F"/>
    <w:rsid w:val="4F5955B2"/>
    <w:rsid w:val="4F5E670E"/>
    <w:rsid w:val="4F846A83"/>
    <w:rsid w:val="50070E2C"/>
    <w:rsid w:val="501112F3"/>
    <w:rsid w:val="502A594E"/>
    <w:rsid w:val="5031572D"/>
    <w:rsid w:val="504B57F2"/>
    <w:rsid w:val="50AA2B84"/>
    <w:rsid w:val="50C5433A"/>
    <w:rsid w:val="50C62BC7"/>
    <w:rsid w:val="50F72A66"/>
    <w:rsid w:val="5123368C"/>
    <w:rsid w:val="5130747C"/>
    <w:rsid w:val="515C765A"/>
    <w:rsid w:val="51905BB3"/>
    <w:rsid w:val="51946FCB"/>
    <w:rsid w:val="51DD796B"/>
    <w:rsid w:val="51DF373B"/>
    <w:rsid w:val="51E33A58"/>
    <w:rsid w:val="51F83C2D"/>
    <w:rsid w:val="52C113F5"/>
    <w:rsid w:val="52EF4CB5"/>
    <w:rsid w:val="52F959F0"/>
    <w:rsid w:val="5302488E"/>
    <w:rsid w:val="53136173"/>
    <w:rsid w:val="53195734"/>
    <w:rsid w:val="534B12B7"/>
    <w:rsid w:val="539A4AC7"/>
    <w:rsid w:val="5420228D"/>
    <w:rsid w:val="542631B6"/>
    <w:rsid w:val="5447483C"/>
    <w:rsid w:val="546B0BDC"/>
    <w:rsid w:val="5474625A"/>
    <w:rsid w:val="54942CAE"/>
    <w:rsid w:val="54A61722"/>
    <w:rsid w:val="54B31FAF"/>
    <w:rsid w:val="54C211D8"/>
    <w:rsid w:val="54C46781"/>
    <w:rsid w:val="54E02C4C"/>
    <w:rsid w:val="54E97446"/>
    <w:rsid w:val="551F3E29"/>
    <w:rsid w:val="55326D63"/>
    <w:rsid w:val="555C4076"/>
    <w:rsid w:val="555D1A10"/>
    <w:rsid w:val="5579070C"/>
    <w:rsid w:val="558B620B"/>
    <w:rsid w:val="56193B07"/>
    <w:rsid w:val="56394926"/>
    <w:rsid w:val="56AC4A78"/>
    <w:rsid w:val="56C43C09"/>
    <w:rsid w:val="56DB16B9"/>
    <w:rsid w:val="577A3463"/>
    <w:rsid w:val="579161E1"/>
    <w:rsid w:val="57F967AD"/>
    <w:rsid w:val="58024DF3"/>
    <w:rsid w:val="58052975"/>
    <w:rsid w:val="584374FA"/>
    <w:rsid w:val="584D1A65"/>
    <w:rsid w:val="584F5C44"/>
    <w:rsid w:val="58504D6C"/>
    <w:rsid w:val="587A4C9C"/>
    <w:rsid w:val="58E525CA"/>
    <w:rsid w:val="58E55347"/>
    <w:rsid w:val="58EE7372"/>
    <w:rsid w:val="593873A0"/>
    <w:rsid w:val="593D045A"/>
    <w:rsid w:val="595A2602"/>
    <w:rsid w:val="5960739E"/>
    <w:rsid w:val="59896D0A"/>
    <w:rsid w:val="59972C8B"/>
    <w:rsid w:val="59B72684"/>
    <w:rsid w:val="59E37871"/>
    <w:rsid w:val="5A295A8C"/>
    <w:rsid w:val="5A583BE7"/>
    <w:rsid w:val="5A9579AE"/>
    <w:rsid w:val="5AC468CD"/>
    <w:rsid w:val="5B2E1AA7"/>
    <w:rsid w:val="5B342B9A"/>
    <w:rsid w:val="5B3619E5"/>
    <w:rsid w:val="5B5953B0"/>
    <w:rsid w:val="5B630802"/>
    <w:rsid w:val="5B807F68"/>
    <w:rsid w:val="5B822BA5"/>
    <w:rsid w:val="5B91511B"/>
    <w:rsid w:val="5BA72CE5"/>
    <w:rsid w:val="5BF1296B"/>
    <w:rsid w:val="5C034D53"/>
    <w:rsid w:val="5CC81D66"/>
    <w:rsid w:val="5D425E1C"/>
    <w:rsid w:val="5D722852"/>
    <w:rsid w:val="5DD23EA7"/>
    <w:rsid w:val="5E097C56"/>
    <w:rsid w:val="5E1D6F56"/>
    <w:rsid w:val="5E1F6577"/>
    <w:rsid w:val="5E473CC7"/>
    <w:rsid w:val="5E52187F"/>
    <w:rsid w:val="5E6A13CD"/>
    <w:rsid w:val="5E705D15"/>
    <w:rsid w:val="5E93326C"/>
    <w:rsid w:val="5E9F1A7A"/>
    <w:rsid w:val="5EAF1514"/>
    <w:rsid w:val="5EAF3818"/>
    <w:rsid w:val="5EE67F98"/>
    <w:rsid w:val="5EFB4BA4"/>
    <w:rsid w:val="5EFE2597"/>
    <w:rsid w:val="5F025452"/>
    <w:rsid w:val="5F5F46B5"/>
    <w:rsid w:val="5F6762C1"/>
    <w:rsid w:val="5FB25360"/>
    <w:rsid w:val="5FBA3CC0"/>
    <w:rsid w:val="5FD90D61"/>
    <w:rsid w:val="60177697"/>
    <w:rsid w:val="602329DB"/>
    <w:rsid w:val="604D4748"/>
    <w:rsid w:val="606F6C7A"/>
    <w:rsid w:val="607777D6"/>
    <w:rsid w:val="609A56B8"/>
    <w:rsid w:val="60BC76A1"/>
    <w:rsid w:val="60F0637F"/>
    <w:rsid w:val="610B7637"/>
    <w:rsid w:val="612279BA"/>
    <w:rsid w:val="615F5624"/>
    <w:rsid w:val="61786FF4"/>
    <w:rsid w:val="617E386D"/>
    <w:rsid w:val="61D215CF"/>
    <w:rsid w:val="62071843"/>
    <w:rsid w:val="62415D12"/>
    <w:rsid w:val="62593D9F"/>
    <w:rsid w:val="625C563D"/>
    <w:rsid w:val="62697212"/>
    <w:rsid w:val="626A1704"/>
    <w:rsid w:val="627921C2"/>
    <w:rsid w:val="62B362C8"/>
    <w:rsid w:val="62B64E1E"/>
    <w:rsid w:val="62C1330E"/>
    <w:rsid w:val="62CA07F9"/>
    <w:rsid w:val="6342085E"/>
    <w:rsid w:val="636F415C"/>
    <w:rsid w:val="637067B4"/>
    <w:rsid w:val="63D22876"/>
    <w:rsid w:val="64917820"/>
    <w:rsid w:val="64AA1CC5"/>
    <w:rsid w:val="650E4F5B"/>
    <w:rsid w:val="6528341F"/>
    <w:rsid w:val="65580853"/>
    <w:rsid w:val="656B2909"/>
    <w:rsid w:val="65923EB0"/>
    <w:rsid w:val="659B459C"/>
    <w:rsid w:val="65A3045D"/>
    <w:rsid w:val="65BA5074"/>
    <w:rsid w:val="65D97752"/>
    <w:rsid w:val="65E25E59"/>
    <w:rsid w:val="65FF4D0C"/>
    <w:rsid w:val="66307F76"/>
    <w:rsid w:val="66580EAF"/>
    <w:rsid w:val="66694D0D"/>
    <w:rsid w:val="667B4472"/>
    <w:rsid w:val="66F041A8"/>
    <w:rsid w:val="6721178A"/>
    <w:rsid w:val="67246844"/>
    <w:rsid w:val="6739399A"/>
    <w:rsid w:val="673D10E3"/>
    <w:rsid w:val="673F39DE"/>
    <w:rsid w:val="674C5D22"/>
    <w:rsid w:val="67663AF8"/>
    <w:rsid w:val="67762CFD"/>
    <w:rsid w:val="677A678D"/>
    <w:rsid w:val="67852245"/>
    <w:rsid w:val="6796687B"/>
    <w:rsid w:val="67AA2321"/>
    <w:rsid w:val="68011379"/>
    <w:rsid w:val="680A7420"/>
    <w:rsid w:val="681E1720"/>
    <w:rsid w:val="68252C37"/>
    <w:rsid w:val="68817BAC"/>
    <w:rsid w:val="688670A0"/>
    <w:rsid w:val="689A5E59"/>
    <w:rsid w:val="68A94E70"/>
    <w:rsid w:val="68C76CE7"/>
    <w:rsid w:val="68EE72DF"/>
    <w:rsid w:val="690B4C92"/>
    <w:rsid w:val="690B7907"/>
    <w:rsid w:val="69175F5C"/>
    <w:rsid w:val="69485FEA"/>
    <w:rsid w:val="69677DC0"/>
    <w:rsid w:val="69937EC7"/>
    <w:rsid w:val="69D64558"/>
    <w:rsid w:val="69E3623E"/>
    <w:rsid w:val="6A042548"/>
    <w:rsid w:val="6A471EFD"/>
    <w:rsid w:val="6A480B98"/>
    <w:rsid w:val="6A4F5DF4"/>
    <w:rsid w:val="6A932955"/>
    <w:rsid w:val="6AB57116"/>
    <w:rsid w:val="6AF43031"/>
    <w:rsid w:val="6B17424A"/>
    <w:rsid w:val="6B1A256C"/>
    <w:rsid w:val="6B2218FA"/>
    <w:rsid w:val="6B570F62"/>
    <w:rsid w:val="6B686C59"/>
    <w:rsid w:val="6B691672"/>
    <w:rsid w:val="6B99519D"/>
    <w:rsid w:val="6BA17D14"/>
    <w:rsid w:val="6BD52E17"/>
    <w:rsid w:val="6BE97F42"/>
    <w:rsid w:val="6C2063E9"/>
    <w:rsid w:val="6C5E6A51"/>
    <w:rsid w:val="6C6513C3"/>
    <w:rsid w:val="6C744268"/>
    <w:rsid w:val="6C913746"/>
    <w:rsid w:val="6CD62D03"/>
    <w:rsid w:val="6CD817EC"/>
    <w:rsid w:val="6CD97FB6"/>
    <w:rsid w:val="6D0E5050"/>
    <w:rsid w:val="6D4B22B8"/>
    <w:rsid w:val="6D514781"/>
    <w:rsid w:val="6D930013"/>
    <w:rsid w:val="6E1A1656"/>
    <w:rsid w:val="6E231DD6"/>
    <w:rsid w:val="6E5A5288"/>
    <w:rsid w:val="6E8E65DD"/>
    <w:rsid w:val="6EBD310B"/>
    <w:rsid w:val="6EC9208E"/>
    <w:rsid w:val="6EE013EE"/>
    <w:rsid w:val="6EE079F1"/>
    <w:rsid w:val="6EE42C42"/>
    <w:rsid w:val="6F06705D"/>
    <w:rsid w:val="6F240921"/>
    <w:rsid w:val="6F7F7CB0"/>
    <w:rsid w:val="6F8E34A0"/>
    <w:rsid w:val="6F8F3443"/>
    <w:rsid w:val="6FE0165C"/>
    <w:rsid w:val="6FE10C44"/>
    <w:rsid w:val="701A6F39"/>
    <w:rsid w:val="70222744"/>
    <w:rsid w:val="70387AF2"/>
    <w:rsid w:val="706D25DF"/>
    <w:rsid w:val="706D2B21"/>
    <w:rsid w:val="707B1384"/>
    <w:rsid w:val="70857A34"/>
    <w:rsid w:val="70985D3C"/>
    <w:rsid w:val="70DE3A60"/>
    <w:rsid w:val="71047C73"/>
    <w:rsid w:val="7109004F"/>
    <w:rsid w:val="71103167"/>
    <w:rsid w:val="712E56F7"/>
    <w:rsid w:val="71691ABB"/>
    <w:rsid w:val="7193454A"/>
    <w:rsid w:val="71AD6B5C"/>
    <w:rsid w:val="71AE1AEA"/>
    <w:rsid w:val="71C00FD3"/>
    <w:rsid w:val="71CF3B6C"/>
    <w:rsid w:val="71F80F33"/>
    <w:rsid w:val="71F84506"/>
    <w:rsid w:val="722922C6"/>
    <w:rsid w:val="727176A7"/>
    <w:rsid w:val="72CB03A1"/>
    <w:rsid w:val="72E967A5"/>
    <w:rsid w:val="732D4B5D"/>
    <w:rsid w:val="73393C88"/>
    <w:rsid w:val="7362513F"/>
    <w:rsid w:val="73771D49"/>
    <w:rsid w:val="73A1354E"/>
    <w:rsid w:val="73D20C3F"/>
    <w:rsid w:val="73E035D5"/>
    <w:rsid w:val="743D0241"/>
    <w:rsid w:val="744321B9"/>
    <w:rsid w:val="74855143"/>
    <w:rsid w:val="749D155F"/>
    <w:rsid w:val="74A11E7D"/>
    <w:rsid w:val="75372704"/>
    <w:rsid w:val="753B48E1"/>
    <w:rsid w:val="7550071B"/>
    <w:rsid w:val="75590B0A"/>
    <w:rsid w:val="7582279F"/>
    <w:rsid w:val="75843EB5"/>
    <w:rsid w:val="75912FA2"/>
    <w:rsid w:val="75BB71AF"/>
    <w:rsid w:val="75F01962"/>
    <w:rsid w:val="760E19DF"/>
    <w:rsid w:val="764A7526"/>
    <w:rsid w:val="764E52E0"/>
    <w:rsid w:val="76557F3E"/>
    <w:rsid w:val="76676A53"/>
    <w:rsid w:val="768E1D0F"/>
    <w:rsid w:val="76944574"/>
    <w:rsid w:val="76A3294D"/>
    <w:rsid w:val="76B620A1"/>
    <w:rsid w:val="76D61240"/>
    <w:rsid w:val="76D766A5"/>
    <w:rsid w:val="76F20814"/>
    <w:rsid w:val="76F92565"/>
    <w:rsid w:val="77462524"/>
    <w:rsid w:val="77501DCD"/>
    <w:rsid w:val="779A6594"/>
    <w:rsid w:val="77A21064"/>
    <w:rsid w:val="77E34EB2"/>
    <w:rsid w:val="77FC4E12"/>
    <w:rsid w:val="781564B8"/>
    <w:rsid w:val="78224ACF"/>
    <w:rsid w:val="78832177"/>
    <w:rsid w:val="78B564E0"/>
    <w:rsid w:val="78BB0EB8"/>
    <w:rsid w:val="78CD6DCC"/>
    <w:rsid w:val="78D07CAF"/>
    <w:rsid w:val="78DE12D7"/>
    <w:rsid w:val="79210683"/>
    <w:rsid w:val="795B69AA"/>
    <w:rsid w:val="799704C9"/>
    <w:rsid w:val="799C3465"/>
    <w:rsid w:val="79B14EC4"/>
    <w:rsid w:val="7A025270"/>
    <w:rsid w:val="7A2A6B4A"/>
    <w:rsid w:val="7A681070"/>
    <w:rsid w:val="7A860C7C"/>
    <w:rsid w:val="7A8F4FCE"/>
    <w:rsid w:val="7AB879FE"/>
    <w:rsid w:val="7B231F7D"/>
    <w:rsid w:val="7B3264DD"/>
    <w:rsid w:val="7B7A3B98"/>
    <w:rsid w:val="7B81188A"/>
    <w:rsid w:val="7B827630"/>
    <w:rsid w:val="7B9E2902"/>
    <w:rsid w:val="7BC854E2"/>
    <w:rsid w:val="7C0562EC"/>
    <w:rsid w:val="7C067A45"/>
    <w:rsid w:val="7C0D2ED7"/>
    <w:rsid w:val="7C1C072C"/>
    <w:rsid w:val="7C27683F"/>
    <w:rsid w:val="7C442F72"/>
    <w:rsid w:val="7C4C370C"/>
    <w:rsid w:val="7C8A5545"/>
    <w:rsid w:val="7CB14B4D"/>
    <w:rsid w:val="7CF26969"/>
    <w:rsid w:val="7D1D2755"/>
    <w:rsid w:val="7D25523C"/>
    <w:rsid w:val="7D3C17DC"/>
    <w:rsid w:val="7D564FB1"/>
    <w:rsid w:val="7DB23041"/>
    <w:rsid w:val="7DC47A80"/>
    <w:rsid w:val="7E5F7809"/>
    <w:rsid w:val="7EB37FE3"/>
    <w:rsid w:val="7ED56C53"/>
    <w:rsid w:val="7ED755DB"/>
    <w:rsid w:val="7EEA1BAF"/>
    <w:rsid w:val="7F5460D4"/>
    <w:rsid w:val="7F552892"/>
    <w:rsid w:val="7F735436"/>
    <w:rsid w:val="7F7939B1"/>
    <w:rsid w:val="7FF60A27"/>
    <w:rsid w:val="7FF83F0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iPriority="9" w:semiHidden="0" w:name="heading 3"/>
    <w:lsdException w:qFormat="1" w:uiPriority="9" w:semiHidden="0" w:name="heading 4"/>
    <w:lsdException w:qFormat="1" w:uiPriority="0" w:semiHidden="0" w:name="heading 5"/>
    <w:lsdException w:qFormat="1" w:uiPriority="9" w:semiHidden="0" w:name="heading 6"/>
    <w:lsdException w:qFormat="1" w:uiPriority="9" w:name="heading 7"/>
    <w:lsdException w:qFormat="1" w:uiPriority="9" w:name="heading 8"/>
    <w:lsdException w:qFormat="1" w:uiPriority="9" w:name="heading 9"/>
    <w:lsdException w:qFormat="1" w:unhideWhenUsed="0" w:uiPriority="99" w:semiHidden="0" w:name="index 1"/>
    <w:lsdException w:uiPriority="99" w:name="index 2"/>
    <w:lsdException w:uiPriority="99" w:name="index 3"/>
    <w:lsdException w:qFormat="1" w:unhideWhenUsed="0" w:uiPriority="0" w:semiHidden="0" w:name="index 4"/>
    <w:lsdException w:uiPriority="99" w:name="index 5"/>
    <w:lsdException w:qFormat="1" w:unhideWhenUsed="0" w:uiPriority="0" w:semiHidden="0" w:name="index 6"/>
    <w:lsdException w:uiPriority="99" w:name="index 7"/>
    <w:lsdException w:uiPriority="99" w:name="index 8"/>
    <w:lsdException w:qFormat="1" w:uiPriority="0" w:semiHidden="0" w:name="index 9"/>
    <w:lsdException w:qFormat="1" w:unhideWhenUsed="0" w:uiPriority="39" w:semiHidden="0" w:name="toc 1"/>
    <w:lsdException w:qFormat="1"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99" w:semiHidden="0" w:name="Normal Indent"/>
    <w:lsdException w:uiPriority="99"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iPriority="99" w:name="index heading"/>
    <w:lsdException w:qFormat="1" w:unhideWhenUsed="0" w:uiPriority="35" w:semiHidden="0" w:name="caption"/>
    <w:lsdException w:uiPriority="99" w:name="table of figures"/>
    <w:lsdException w:uiPriority="99" w:name="envelope address"/>
    <w:lsdException w:uiPriority="99" w:name="envelope return"/>
    <w:lsdException w:uiPriority="99" w:name="footnote reference"/>
    <w:lsdException w:qFormat="1" w:unhideWhenUsed="0" w:uiPriority="99" w:semiHidden="0" w:name="annotation reference"/>
    <w:lsdException w:uiPriority="99"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qFormat="1" w:unhideWhenUsed="0" w:uiPriority="99" w:semiHidden="0" w:name="toa heading"/>
    <w:lsdException w:qFormat="1" w:unhideWhenUsed="0" w:uiPriority="99" w:semiHidden="0"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99" w:semiHidden="0" w:name="Body Text"/>
    <w:lsdException w:qFormat="1" w:unhideWhenUsed="0" w:uiPriority="99"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sdException w:uiPriority="99" w:name="Salutation"/>
    <w:lsdException w:qFormat="1" w:unhideWhenUsed="0" w:uiPriority="0" w:semiHidden="0" w:name="Date"/>
    <w:lsdException w:uiPriority="99" w:name="Body Text First Indent"/>
    <w:lsdException w:qFormat="1" w:unhideWhenUsed="0" w:uiPriority="99" w:name="Body Text First Indent 2"/>
    <w:lsdException w:uiPriority="99" w:name="Note Heading"/>
    <w:lsdException w:uiPriority="99" w:name="Body Text 2"/>
    <w:lsdException w:uiPriority="99" w:name="Body Text 3"/>
    <w:lsdException w:qFormat="1" w:unhideWhenUsed="0" w:uiPriority="0" w:semiHidden="0" w:name="Body Text Indent 2"/>
    <w:lsdException w:qFormat="1" w:unhideWhenUsed="0" w:uiPriority="0" w:semiHidden="0" w:name="Body Text Indent 3"/>
    <w:lsdException w:uiPriority="99" w:name="Block Text"/>
    <w:lsdException w:qFormat="1" w:unhideWhenUsed="0" w:uiPriority="99" w:semiHidden="0" w:name="Hyperlink"/>
    <w:lsdException w:qFormat="1" w:unhideWhenUsed="0" w:uiPriority="99" w:semiHidden="0" w:name="FollowedHyperlink"/>
    <w:lsdException w:qFormat="1" w:unhideWhenUsed="0" w:uiPriority="22" w:semiHidden="0" w:name="Strong"/>
    <w:lsdException w:qFormat="1" w:unhideWhenUsed="0" w:uiPriority="99" w:semiHidden="0" w:name="Emphasis"/>
    <w:lsdException w:qFormat="1" w:unhideWhenUsed="0" w:uiPriority="0" w:semiHidden="0" w:name="Document Map"/>
    <w:lsdException w:qFormat="1" w:unhideWhenUsed="0" w:uiPriority="0" w:semiHidden="0" w:name="Plain Text"/>
    <w:lsdException w:uiPriority="99" w:name="E-mail Signature"/>
    <w:lsdException w:qFormat="1" w:unhideWhenUsed="0" w:uiPriority="99" w:semiHidden="0" w:name="Normal (Web)"/>
    <w:lsdException w:qFormat="1" w:unhideWhenUsed="0" w:uiPriority="99" w:semiHidden="0"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3">
    <w:name w:val="heading 1"/>
    <w:basedOn w:val="4"/>
    <w:next w:val="1"/>
    <w:link w:val="51"/>
    <w:autoRedefine/>
    <w:qFormat/>
    <w:uiPriority w:val="9"/>
    <w:pPr>
      <w:keepNext/>
      <w:keepLines/>
      <w:jc w:val="center"/>
      <w:outlineLvl w:val="0"/>
    </w:pPr>
    <w:rPr>
      <w:b/>
      <w:bCs/>
      <w:i w:val="0"/>
      <w:kern w:val="44"/>
      <w:sz w:val="36"/>
      <w:szCs w:val="44"/>
    </w:rPr>
  </w:style>
  <w:style w:type="paragraph" w:styleId="5">
    <w:name w:val="heading 2"/>
    <w:basedOn w:val="1"/>
    <w:next w:val="1"/>
    <w:link w:val="52"/>
    <w:autoRedefine/>
    <w:qFormat/>
    <w:uiPriority w:val="9"/>
    <w:pPr>
      <w:keepNext/>
      <w:keepLines/>
      <w:spacing w:line="360" w:lineRule="auto"/>
      <w:outlineLvl w:val="1"/>
    </w:pPr>
    <w:rPr>
      <w:rFonts w:ascii="Arial" w:hAnsi="Arial" w:eastAsia="宋体" w:cs="Times New Roman"/>
      <w:sz w:val="24"/>
      <w:szCs w:val="32"/>
    </w:rPr>
  </w:style>
  <w:style w:type="paragraph" w:styleId="6">
    <w:name w:val="heading 3"/>
    <w:basedOn w:val="1"/>
    <w:next w:val="1"/>
    <w:link w:val="53"/>
    <w:autoRedefine/>
    <w:unhideWhenUsed/>
    <w:qFormat/>
    <w:uiPriority w:val="9"/>
    <w:pPr>
      <w:keepNext/>
      <w:keepLines/>
      <w:spacing w:before="260" w:after="260" w:line="416" w:lineRule="auto"/>
      <w:outlineLvl w:val="2"/>
    </w:pPr>
    <w:rPr>
      <w:rFonts w:ascii="Calibri" w:hAnsi="Calibri" w:eastAsia="宋体" w:cs="Times New Roman"/>
      <w:b/>
      <w:bCs/>
      <w:sz w:val="32"/>
      <w:szCs w:val="32"/>
    </w:rPr>
  </w:style>
  <w:style w:type="paragraph" w:styleId="7">
    <w:name w:val="heading 4"/>
    <w:basedOn w:val="1"/>
    <w:next w:val="1"/>
    <w:autoRedefine/>
    <w:unhideWhenUsed/>
    <w:qFormat/>
    <w:uiPriority w:val="9"/>
    <w:pPr>
      <w:keepNext/>
      <w:keepLines/>
      <w:spacing w:before="280" w:after="290" w:line="372" w:lineRule="auto"/>
      <w:outlineLvl w:val="3"/>
    </w:pPr>
    <w:rPr>
      <w:rFonts w:ascii="Arial" w:hAnsi="Arial" w:eastAsia="黑体"/>
      <w:b/>
      <w:sz w:val="28"/>
    </w:rPr>
  </w:style>
  <w:style w:type="paragraph" w:styleId="8">
    <w:name w:val="heading 5"/>
    <w:basedOn w:val="1"/>
    <w:next w:val="1"/>
    <w:autoRedefine/>
    <w:unhideWhenUsed/>
    <w:qFormat/>
    <w:uiPriority w:val="0"/>
    <w:pPr>
      <w:keepNext/>
      <w:keepLines/>
      <w:spacing w:before="280" w:after="290" w:line="376" w:lineRule="auto"/>
      <w:outlineLvl w:val="4"/>
    </w:pPr>
    <w:rPr>
      <w:rFonts w:ascii="Times New Roman" w:hAnsi="Times New Roman" w:eastAsia="宋体" w:cs="Times New Roman"/>
      <w:b/>
      <w:bCs/>
      <w:sz w:val="28"/>
      <w:szCs w:val="28"/>
    </w:rPr>
  </w:style>
  <w:style w:type="paragraph" w:styleId="9">
    <w:name w:val="heading 6"/>
    <w:basedOn w:val="1"/>
    <w:next w:val="1"/>
    <w:autoRedefine/>
    <w:unhideWhenUsed/>
    <w:qFormat/>
    <w:uiPriority w:val="9"/>
    <w:pPr>
      <w:keepNext/>
      <w:keepLines/>
      <w:spacing w:before="240" w:after="64" w:line="317" w:lineRule="auto"/>
      <w:outlineLvl w:val="5"/>
    </w:pPr>
    <w:rPr>
      <w:rFonts w:ascii="Arial" w:hAnsi="Arial" w:eastAsia="黑体"/>
      <w:b/>
      <w:sz w:val="24"/>
    </w:rPr>
  </w:style>
  <w:style w:type="character" w:default="1" w:styleId="43">
    <w:name w:val="Default Paragraph Font"/>
    <w:semiHidden/>
    <w:unhideWhenUsed/>
    <w:qFormat/>
    <w:uiPriority w:val="1"/>
  </w:style>
  <w:style w:type="table" w:default="1" w:styleId="41">
    <w:name w:val="Normal Table"/>
    <w:semiHidden/>
    <w:unhideWhenUsed/>
    <w:qFormat/>
    <w:uiPriority w:val="99"/>
    <w:tblPr>
      <w:tblCellMar>
        <w:top w:w="0" w:type="dxa"/>
        <w:left w:w="108" w:type="dxa"/>
        <w:bottom w:w="0" w:type="dxa"/>
        <w:right w:w="108" w:type="dxa"/>
      </w:tblCellMar>
    </w:tblPr>
  </w:style>
  <w:style w:type="paragraph" w:styleId="2">
    <w:name w:val="Body Text"/>
    <w:basedOn w:val="1"/>
    <w:link w:val="86"/>
    <w:autoRedefine/>
    <w:qFormat/>
    <w:uiPriority w:val="99"/>
    <w:pPr>
      <w:adjustRightInd w:val="0"/>
      <w:spacing w:before="120" w:after="120" w:afterLines="50" w:line="280" w:lineRule="atLeast"/>
      <w:textAlignment w:val="baseline"/>
    </w:pPr>
    <w:rPr>
      <w:rFonts w:ascii="Calibri" w:hAnsi="Calibri" w:eastAsia="新宋体" w:cs="Times New Roman"/>
      <w:szCs w:val="21"/>
    </w:rPr>
  </w:style>
  <w:style w:type="paragraph" w:styleId="4">
    <w:name w:val="toc 3"/>
    <w:basedOn w:val="1"/>
    <w:next w:val="1"/>
    <w:autoRedefine/>
    <w:qFormat/>
    <w:uiPriority w:val="39"/>
    <w:pPr>
      <w:ind w:left="480"/>
      <w:jc w:val="left"/>
    </w:pPr>
    <w:rPr>
      <w:rFonts w:ascii="Calibri" w:hAnsi="Calibri" w:eastAsia="宋体" w:cs="Times New Roman"/>
      <w:i/>
      <w:iCs/>
      <w:sz w:val="20"/>
      <w:szCs w:val="20"/>
    </w:rPr>
  </w:style>
  <w:style w:type="paragraph" w:styleId="10">
    <w:name w:val="toc 7"/>
    <w:basedOn w:val="1"/>
    <w:next w:val="1"/>
    <w:autoRedefine/>
    <w:qFormat/>
    <w:uiPriority w:val="39"/>
    <w:pPr>
      <w:ind w:left="1440"/>
      <w:jc w:val="left"/>
    </w:pPr>
    <w:rPr>
      <w:rFonts w:ascii="Calibri" w:hAnsi="Calibri" w:eastAsia="宋体" w:cs="Times New Roman"/>
      <w:sz w:val="18"/>
      <w:szCs w:val="18"/>
    </w:rPr>
  </w:style>
  <w:style w:type="paragraph" w:styleId="11">
    <w:name w:val="Normal Indent"/>
    <w:basedOn w:val="1"/>
    <w:next w:val="1"/>
    <w:autoRedefine/>
    <w:qFormat/>
    <w:uiPriority w:val="99"/>
    <w:pPr>
      <w:ind w:firstLine="420" w:firstLineChars="200"/>
    </w:pPr>
    <w:rPr>
      <w:kern w:val="0"/>
    </w:rPr>
  </w:style>
  <w:style w:type="paragraph" w:styleId="12">
    <w:name w:val="caption"/>
    <w:basedOn w:val="1"/>
    <w:next w:val="1"/>
    <w:autoRedefine/>
    <w:qFormat/>
    <w:uiPriority w:val="35"/>
    <w:pPr>
      <w:spacing w:before="152" w:after="160"/>
    </w:pPr>
    <w:rPr>
      <w:rFonts w:ascii="Arial" w:hAnsi="Arial" w:eastAsia="黑体" w:cs="Arial"/>
      <w:sz w:val="20"/>
      <w:szCs w:val="20"/>
    </w:rPr>
  </w:style>
  <w:style w:type="paragraph" w:styleId="13">
    <w:name w:val="Document Map"/>
    <w:basedOn w:val="1"/>
    <w:link w:val="74"/>
    <w:autoRedefine/>
    <w:qFormat/>
    <w:uiPriority w:val="0"/>
    <w:pPr>
      <w:shd w:val="clear" w:color="auto" w:fill="000080"/>
    </w:pPr>
    <w:rPr>
      <w:sz w:val="24"/>
    </w:rPr>
  </w:style>
  <w:style w:type="paragraph" w:styleId="14">
    <w:name w:val="toa heading"/>
    <w:basedOn w:val="1"/>
    <w:next w:val="1"/>
    <w:autoRedefine/>
    <w:qFormat/>
    <w:uiPriority w:val="99"/>
    <w:pPr>
      <w:spacing w:before="120"/>
    </w:pPr>
    <w:rPr>
      <w:rFonts w:ascii="Arial" w:hAnsi="Arial" w:eastAsia="宋体" w:cs="Arial"/>
      <w:sz w:val="24"/>
      <w:szCs w:val="24"/>
    </w:rPr>
  </w:style>
  <w:style w:type="paragraph" w:styleId="15">
    <w:name w:val="annotation text"/>
    <w:basedOn w:val="1"/>
    <w:link w:val="65"/>
    <w:autoRedefine/>
    <w:qFormat/>
    <w:uiPriority w:val="0"/>
    <w:pPr>
      <w:jc w:val="left"/>
    </w:pPr>
  </w:style>
  <w:style w:type="paragraph" w:styleId="16">
    <w:name w:val="index 6"/>
    <w:basedOn w:val="1"/>
    <w:next w:val="1"/>
    <w:autoRedefine/>
    <w:qFormat/>
    <w:uiPriority w:val="0"/>
    <w:rPr>
      <w:rFonts w:ascii="宋体" w:hAnsi="宋体"/>
      <w:color w:val="000000" w:themeColor="text1"/>
      <w:sz w:val="20"/>
      <w:szCs w:val="20"/>
      <w14:textFill>
        <w14:solidFill>
          <w14:schemeClr w14:val="tx1"/>
        </w14:solidFill>
      </w14:textFill>
    </w:rPr>
  </w:style>
  <w:style w:type="paragraph" w:styleId="17">
    <w:name w:val="Body Text Indent"/>
    <w:basedOn w:val="1"/>
    <w:link w:val="83"/>
    <w:autoRedefine/>
    <w:qFormat/>
    <w:uiPriority w:val="99"/>
    <w:pPr>
      <w:spacing w:after="120"/>
      <w:ind w:left="420" w:leftChars="200"/>
    </w:pPr>
    <w:rPr>
      <w:rFonts w:ascii="Calibri" w:hAnsi="Calibri" w:eastAsia="宋体" w:cs="Times New Roman"/>
      <w:szCs w:val="20"/>
    </w:rPr>
  </w:style>
  <w:style w:type="paragraph" w:styleId="18">
    <w:name w:val="index 4"/>
    <w:basedOn w:val="1"/>
    <w:next w:val="1"/>
    <w:autoRedefine/>
    <w:qFormat/>
    <w:uiPriority w:val="0"/>
    <w:pPr>
      <w:ind w:left="600" w:leftChars="600"/>
    </w:pPr>
  </w:style>
  <w:style w:type="paragraph" w:styleId="19">
    <w:name w:val="toc 5"/>
    <w:basedOn w:val="1"/>
    <w:next w:val="1"/>
    <w:autoRedefine/>
    <w:qFormat/>
    <w:uiPriority w:val="39"/>
    <w:pPr>
      <w:ind w:left="960"/>
      <w:jc w:val="left"/>
    </w:pPr>
    <w:rPr>
      <w:rFonts w:ascii="Calibri" w:hAnsi="Calibri" w:eastAsia="宋体" w:cs="Times New Roman"/>
      <w:sz w:val="18"/>
      <w:szCs w:val="18"/>
    </w:rPr>
  </w:style>
  <w:style w:type="paragraph" w:styleId="20">
    <w:name w:val="Plain Text"/>
    <w:basedOn w:val="1"/>
    <w:link w:val="76"/>
    <w:autoRedefine/>
    <w:qFormat/>
    <w:uiPriority w:val="0"/>
    <w:rPr>
      <w:rFonts w:ascii="宋体" w:hAnsi="Courier New"/>
    </w:rPr>
  </w:style>
  <w:style w:type="paragraph" w:styleId="21">
    <w:name w:val="toc 8"/>
    <w:basedOn w:val="1"/>
    <w:next w:val="1"/>
    <w:autoRedefine/>
    <w:qFormat/>
    <w:uiPriority w:val="39"/>
    <w:pPr>
      <w:ind w:left="1680"/>
      <w:jc w:val="left"/>
    </w:pPr>
    <w:rPr>
      <w:rFonts w:ascii="Calibri" w:hAnsi="Calibri" w:eastAsia="宋体" w:cs="Times New Roman"/>
      <w:sz w:val="18"/>
      <w:szCs w:val="18"/>
    </w:rPr>
  </w:style>
  <w:style w:type="paragraph" w:styleId="22">
    <w:name w:val="Date"/>
    <w:basedOn w:val="1"/>
    <w:next w:val="1"/>
    <w:link w:val="67"/>
    <w:autoRedefine/>
    <w:qFormat/>
    <w:uiPriority w:val="0"/>
    <w:pPr>
      <w:ind w:left="100" w:leftChars="2500"/>
    </w:pPr>
    <w:rPr>
      <w:sz w:val="24"/>
    </w:rPr>
  </w:style>
  <w:style w:type="paragraph" w:styleId="23">
    <w:name w:val="Body Text Indent 2"/>
    <w:basedOn w:val="1"/>
    <w:link w:val="55"/>
    <w:autoRedefine/>
    <w:qFormat/>
    <w:uiPriority w:val="0"/>
    <w:pPr>
      <w:spacing w:after="120" w:line="480" w:lineRule="auto"/>
      <w:ind w:left="420" w:leftChars="200"/>
    </w:pPr>
  </w:style>
  <w:style w:type="paragraph" w:styleId="24">
    <w:name w:val="Balloon Text"/>
    <w:basedOn w:val="1"/>
    <w:link w:val="71"/>
    <w:autoRedefine/>
    <w:qFormat/>
    <w:uiPriority w:val="0"/>
    <w:rPr>
      <w:sz w:val="18"/>
    </w:rPr>
  </w:style>
  <w:style w:type="paragraph" w:styleId="25">
    <w:name w:val="footer"/>
    <w:basedOn w:val="1"/>
    <w:link w:val="77"/>
    <w:autoRedefine/>
    <w:qFormat/>
    <w:uiPriority w:val="99"/>
    <w:pPr>
      <w:tabs>
        <w:tab w:val="center" w:pos="4153"/>
        <w:tab w:val="right" w:pos="8306"/>
      </w:tabs>
      <w:snapToGrid w:val="0"/>
      <w:jc w:val="left"/>
    </w:pPr>
    <w:rPr>
      <w:sz w:val="18"/>
    </w:rPr>
  </w:style>
  <w:style w:type="paragraph" w:styleId="26">
    <w:name w:val="header"/>
    <w:basedOn w:val="1"/>
    <w:link w:val="63"/>
    <w:autoRedefine/>
    <w:qFormat/>
    <w:uiPriority w:val="0"/>
    <w:pPr>
      <w:pBdr>
        <w:bottom w:val="single" w:color="auto" w:sz="6" w:space="1"/>
      </w:pBdr>
      <w:tabs>
        <w:tab w:val="center" w:pos="4153"/>
        <w:tab w:val="right" w:pos="8306"/>
      </w:tabs>
      <w:snapToGrid w:val="0"/>
      <w:jc w:val="center"/>
    </w:pPr>
    <w:rPr>
      <w:sz w:val="18"/>
    </w:rPr>
  </w:style>
  <w:style w:type="paragraph" w:styleId="27">
    <w:name w:val="toc 1"/>
    <w:basedOn w:val="1"/>
    <w:next w:val="1"/>
    <w:autoRedefine/>
    <w:qFormat/>
    <w:uiPriority w:val="39"/>
    <w:pPr>
      <w:spacing w:line="360" w:lineRule="auto"/>
      <w:jc w:val="center"/>
    </w:pPr>
    <w:rPr>
      <w:rFonts w:ascii="宋体" w:hAnsi="宋体" w:eastAsia="宋体" w:cs="Times New Roman"/>
      <w:b/>
      <w:caps/>
      <w:color w:val="000000" w:themeColor="text1"/>
      <w:sz w:val="40"/>
      <w:szCs w:val="40"/>
      <w14:textFill>
        <w14:solidFill>
          <w14:schemeClr w14:val="tx1"/>
        </w14:solidFill>
      </w14:textFill>
    </w:rPr>
  </w:style>
  <w:style w:type="paragraph" w:styleId="28">
    <w:name w:val="toc 4"/>
    <w:basedOn w:val="1"/>
    <w:next w:val="1"/>
    <w:autoRedefine/>
    <w:qFormat/>
    <w:uiPriority w:val="39"/>
    <w:pPr>
      <w:ind w:left="720"/>
      <w:jc w:val="left"/>
    </w:pPr>
    <w:rPr>
      <w:rFonts w:ascii="Calibri" w:hAnsi="Calibri" w:eastAsia="宋体" w:cs="Times New Roman"/>
      <w:sz w:val="18"/>
      <w:szCs w:val="18"/>
    </w:rPr>
  </w:style>
  <w:style w:type="paragraph" w:styleId="29">
    <w:name w:val="Subtitle"/>
    <w:basedOn w:val="1"/>
    <w:next w:val="1"/>
    <w:autoRedefine/>
    <w:qFormat/>
    <w:uiPriority w:val="0"/>
    <w:pPr>
      <w:spacing w:line="360" w:lineRule="auto"/>
      <w:ind w:firstLine="200" w:firstLineChars="200"/>
      <w:outlineLvl w:val="1"/>
    </w:pPr>
    <w:rPr>
      <w:rFonts w:ascii="宋体" w:eastAsia="宋体"/>
      <w:bCs/>
      <w:kern w:val="28"/>
      <w:sz w:val="24"/>
      <w:szCs w:val="32"/>
    </w:rPr>
  </w:style>
  <w:style w:type="paragraph" w:styleId="30">
    <w:name w:val="List"/>
    <w:basedOn w:val="1"/>
    <w:autoRedefine/>
    <w:qFormat/>
    <w:uiPriority w:val="99"/>
    <w:pPr>
      <w:ind w:left="420" w:hanging="420"/>
    </w:pPr>
    <w:rPr>
      <w:rFonts w:ascii="Times New Roman" w:hAnsi="Times New Roman" w:eastAsia="宋体" w:cs="Times New Roman"/>
      <w:szCs w:val="20"/>
    </w:rPr>
  </w:style>
  <w:style w:type="paragraph" w:styleId="31">
    <w:name w:val="toc 6"/>
    <w:basedOn w:val="1"/>
    <w:next w:val="1"/>
    <w:autoRedefine/>
    <w:qFormat/>
    <w:uiPriority w:val="39"/>
    <w:pPr>
      <w:ind w:left="1200"/>
      <w:jc w:val="left"/>
    </w:pPr>
    <w:rPr>
      <w:rFonts w:ascii="Calibri" w:hAnsi="Calibri" w:eastAsia="宋体" w:cs="Times New Roman"/>
      <w:sz w:val="18"/>
      <w:szCs w:val="18"/>
    </w:rPr>
  </w:style>
  <w:style w:type="paragraph" w:styleId="32">
    <w:name w:val="Body Text Indent 3"/>
    <w:basedOn w:val="1"/>
    <w:link w:val="57"/>
    <w:autoRedefine/>
    <w:qFormat/>
    <w:uiPriority w:val="0"/>
    <w:pPr>
      <w:spacing w:after="120"/>
      <w:ind w:left="420" w:leftChars="200"/>
    </w:pPr>
    <w:rPr>
      <w:sz w:val="16"/>
    </w:rPr>
  </w:style>
  <w:style w:type="paragraph" w:styleId="33">
    <w:name w:val="index 9"/>
    <w:basedOn w:val="1"/>
    <w:next w:val="1"/>
    <w:autoRedefine/>
    <w:unhideWhenUsed/>
    <w:qFormat/>
    <w:uiPriority w:val="0"/>
    <w:pPr>
      <w:ind w:left="2520" w:hanging="280"/>
    </w:pPr>
    <w:rPr>
      <w:rFonts w:eastAsia="仿宋"/>
      <w:sz w:val="28"/>
    </w:rPr>
  </w:style>
  <w:style w:type="paragraph" w:styleId="34">
    <w:name w:val="toc 2"/>
    <w:basedOn w:val="1"/>
    <w:next w:val="1"/>
    <w:autoRedefine/>
    <w:unhideWhenUsed/>
    <w:qFormat/>
    <w:uiPriority w:val="39"/>
    <w:pPr>
      <w:ind w:left="420" w:leftChars="200"/>
    </w:pPr>
    <w:rPr>
      <w:rFonts w:ascii="Calibri" w:hAnsi="Calibri" w:eastAsia="宋体" w:cs="Times New Roman"/>
      <w:szCs w:val="20"/>
    </w:rPr>
  </w:style>
  <w:style w:type="paragraph" w:styleId="35">
    <w:name w:val="toc 9"/>
    <w:basedOn w:val="1"/>
    <w:next w:val="1"/>
    <w:autoRedefine/>
    <w:qFormat/>
    <w:uiPriority w:val="39"/>
    <w:pPr>
      <w:ind w:left="1920"/>
      <w:jc w:val="left"/>
    </w:pPr>
    <w:rPr>
      <w:rFonts w:ascii="Calibri" w:hAnsi="Calibri" w:eastAsia="宋体" w:cs="Times New Roman"/>
      <w:sz w:val="18"/>
      <w:szCs w:val="18"/>
    </w:rPr>
  </w:style>
  <w:style w:type="paragraph" w:styleId="36">
    <w:name w:val="Normal (Web)"/>
    <w:basedOn w:val="1"/>
    <w:autoRedefine/>
    <w:qFormat/>
    <w:uiPriority w:val="99"/>
    <w:rPr>
      <w:rFonts w:ascii="Calibri" w:hAnsi="Calibri" w:eastAsia="宋体" w:cs="Times New Roman"/>
      <w:sz w:val="24"/>
      <w:szCs w:val="20"/>
    </w:rPr>
  </w:style>
  <w:style w:type="paragraph" w:styleId="37">
    <w:name w:val="index 1"/>
    <w:basedOn w:val="1"/>
    <w:next w:val="1"/>
    <w:autoRedefine/>
    <w:qFormat/>
    <w:uiPriority w:val="99"/>
    <w:rPr>
      <w:rFonts w:ascii="Calibri" w:hAnsi="Calibri" w:eastAsia="宋体" w:cs="Times New Roman"/>
      <w:sz w:val="24"/>
      <w:szCs w:val="24"/>
    </w:rPr>
  </w:style>
  <w:style w:type="paragraph" w:styleId="38">
    <w:name w:val="Title"/>
    <w:basedOn w:val="1"/>
    <w:next w:val="1"/>
    <w:link w:val="66"/>
    <w:autoRedefine/>
    <w:qFormat/>
    <w:uiPriority w:val="0"/>
    <w:pPr>
      <w:spacing w:before="160" w:after="40" w:line="240" w:lineRule="atLeast"/>
      <w:ind w:left="425" w:hanging="425"/>
      <w:jc w:val="center"/>
      <w:outlineLvl w:val="0"/>
    </w:pPr>
    <w:rPr>
      <w:rFonts w:ascii="Arial" w:hAnsi="Arial"/>
      <w:b/>
      <w:sz w:val="32"/>
    </w:rPr>
  </w:style>
  <w:style w:type="paragraph" w:styleId="39">
    <w:name w:val="annotation subject"/>
    <w:basedOn w:val="15"/>
    <w:next w:val="15"/>
    <w:link w:val="56"/>
    <w:autoRedefine/>
    <w:qFormat/>
    <w:uiPriority w:val="0"/>
    <w:rPr>
      <w:b/>
    </w:rPr>
  </w:style>
  <w:style w:type="paragraph" w:styleId="40">
    <w:name w:val="Body Text First Indent 2"/>
    <w:basedOn w:val="17"/>
    <w:autoRedefine/>
    <w:semiHidden/>
    <w:qFormat/>
    <w:uiPriority w:val="99"/>
    <w:pPr>
      <w:spacing w:line="276" w:lineRule="auto"/>
      <w:ind w:firstLine="420" w:firstLineChars="200"/>
      <w:jc w:val="left"/>
    </w:pPr>
  </w:style>
  <w:style w:type="table" w:styleId="42">
    <w:name w:val="Table Grid"/>
    <w:basedOn w:val="41"/>
    <w:autoRedefine/>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44">
    <w:name w:val="Strong"/>
    <w:basedOn w:val="43"/>
    <w:autoRedefine/>
    <w:qFormat/>
    <w:uiPriority w:val="22"/>
    <w:rPr>
      <w:b/>
    </w:rPr>
  </w:style>
  <w:style w:type="character" w:styleId="45">
    <w:name w:val="page number"/>
    <w:basedOn w:val="43"/>
    <w:autoRedefine/>
    <w:qFormat/>
    <w:uiPriority w:val="99"/>
    <w:rPr>
      <w:rFonts w:cs="Times New Roman"/>
    </w:rPr>
  </w:style>
  <w:style w:type="character" w:styleId="46">
    <w:name w:val="FollowedHyperlink"/>
    <w:basedOn w:val="43"/>
    <w:autoRedefine/>
    <w:qFormat/>
    <w:uiPriority w:val="99"/>
    <w:rPr>
      <w:color w:val="800080"/>
      <w:u w:val="single"/>
    </w:rPr>
  </w:style>
  <w:style w:type="character" w:styleId="47">
    <w:name w:val="Emphasis"/>
    <w:autoRedefine/>
    <w:qFormat/>
    <w:uiPriority w:val="99"/>
    <w:rPr>
      <w:rFonts w:cs="Times New Roman"/>
      <w:color w:val="auto"/>
    </w:rPr>
  </w:style>
  <w:style w:type="character" w:styleId="48">
    <w:name w:val="HTML Acronym"/>
    <w:basedOn w:val="43"/>
    <w:autoRedefine/>
    <w:qFormat/>
    <w:uiPriority w:val="99"/>
  </w:style>
  <w:style w:type="character" w:styleId="49">
    <w:name w:val="Hyperlink"/>
    <w:basedOn w:val="43"/>
    <w:autoRedefine/>
    <w:qFormat/>
    <w:uiPriority w:val="99"/>
    <w:rPr>
      <w:color w:val="1F4F88"/>
      <w:u w:val="none"/>
    </w:rPr>
  </w:style>
  <w:style w:type="character" w:styleId="50">
    <w:name w:val="annotation reference"/>
    <w:basedOn w:val="43"/>
    <w:autoRedefine/>
    <w:qFormat/>
    <w:uiPriority w:val="99"/>
    <w:rPr>
      <w:sz w:val="21"/>
    </w:rPr>
  </w:style>
  <w:style w:type="character" w:customStyle="1" w:styleId="51">
    <w:name w:val="标题 1 字符"/>
    <w:basedOn w:val="43"/>
    <w:link w:val="3"/>
    <w:autoRedefine/>
    <w:qFormat/>
    <w:uiPriority w:val="9"/>
    <w:rPr>
      <w:rFonts w:ascii="Calibri" w:hAnsi="Calibri" w:eastAsia="宋体" w:cs="Times New Roman"/>
      <w:b/>
      <w:bCs/>
      <w:kern w:val="44"/>
      <w:sz w:val="36"/>
      <w:szCs w:val="44"/>
    </w:rPr>
  </w:style>
  <w:style w:type="character" w:customStyle="1" w:styleId="52">
    <w:name w:val="标题 2 字符"/>
    <w:basedOn w:val="43"/>
    <w:link w:val="5"/>
    <w:autoRedefine/>
    <w:qFormat/>
    <w:uiPriority w:val="9"/>
    <w:rPr>
      <w:rFonts w:ascii="Arial" w:hAnsi="Arial" w:eastAsia="宋体" w:cs="Times New Roman"/>
      <w:b/>
      <w:bCs/>
      <w:sz w:val="24"/>
      <w:szCs w:val="32"/>
    </w:rPr>
  </w:style>
  <w:style w:type="character" w:customStyle="1" w:styleId="53">
    <w:name w:val="标题 3 字符"/>
    <w:basedOn w:val="43"/>
    <w:link w:val="6"/>
    <w:autoRedefine/>
    <w:semiHidden/>
    <w:qFormat/>
    <w:uiPriority w:val="9"/>
    <w:rPr>
      <w:rFonts w:ascii="Calibri" w:hAnsi="Calibri" w:eastAsia="宋体" w:cs="Times New Roman"/>
      <w:b/>
      <w:bCs/>
      <w:sz w:val="32"/>
      <w:szCs w:val="32"/>
    </w:rPr>
  </w:style>
  <w:style w:type="character" w:customStyle="1" w:styleId="54">
    <w:name w:val="Char Char3"/>
    <w:autoRedefine/>
    <w:qFormat/>
    <w:uiPriority w:val="0"/>
    <w:rPr>
      <w:rFonts w:ascii="宋体" w:hAnsi="Courier New" w:eastAsia="宋体"/>
      <w:kern w:val="2"/>
      <w:sz w:val="21"/>
      <w:lang w:val="en-US" w:eastAsia="zh-CN"/>
    </w:rPr>
  </w:style>
  <w:style w:type="character" w:customStyle="1" w:styleId="55">
    <w:name w:val="正文文本缩进 2 字符"/>
    <w:link w:val="23"/>
    <w:autoRedefine/>
    <w:qFormat/>
    <w:locked/>
    <w:uiPriority w:val="0"/>
  </w:style>
  <w:style w:type="character" w:customStyle="1" w:styleId="56">
    <w:name w:val="批注主题 字符"/>
    <w:link w:val="39"/>
    <w:autoRedefine/>
    <w:qFormat/>
    <w:locked/>
    <w:uiPriority w:val="0"/>
    <w:rPr>
      <w:b/>
    </w:rPr>
  </w:style>
  <w:style w:type="character" w:customStyle="1" w:styleId="57">
    <w:name w:val="正文文本缩进 3 字符"/>
    <w:link w:val="32"/>
    <w:autoRedefine/>
    <w:qFormat/>
    <w:locked/>
    <w:uiPriority w:val="0"/>
    <w:rPr>
      <w:sz w:val="16"/>
    </w:rPr>
  </w:style>
  <w:style w:type="character" w:customStyle="1" w:styleId="58">
    <w:name w:val="纯文本 Char"/>
    <w:autoRedefine/>
    <w:qFormat/>
    <w:uiPriority w:val="0"/>
    <w:rPr>
      <w:rFonts w:ascii="宋体" w:hAnsi="Courier New" w:eastAsia="宋体"/>
      <w:kern w:val="2"/>
      <w:sz w:val="21"/>
      <w:lang w:val="en-US" w:eastAsia="zh-CN"/>
    </w:rPr>
  </w:style>
  <w:style w:type="character" w:customStyle="1" w:styleId="59">
    <w:name w:val="Char Char2"/>
    <w:autoRedefine/>
    <w:qFormat/>
    <w:uiPriority w:val="0"/>
    <w:rPr>
      <w:rFonts w:ascii="宋体" w:hAnsi="Courier New"/>
      <w:kern w:val="2"/>
      <w:sz w:val="21"/>
    </w:rPr>
  </w:style>
  <w:style w:type="character" w:customStyle="1" w:styleId="60">
    <w:name w:val="列出段落 字符"/>
    <w:link w:val="61"/>
    <w:autoRedefine/>
    <w:qFormat/>
    <w:locked/>
    <w:uiPriority w:val="34"/>
    <w:rPr>
      <w:sz w:val="22"/>
    </w:rPr>
  </w:style>
  <w:style w:type="paragraph" w:customStyle="1" w:styleId="61">
    <w:name w:val="列出段落1"/>
    <w:basedOn w:val="1"/>
    <w:link w:val="60"/>
    <w:autoRedefine/>
    <w:qFormat/>
    <w:uiPriority w:val="34"/>
    <w:pPr>
      <w:ind w:firstLine="420" w:firstLineChars="200"/>
    </w:pPr>
    <w:rPr>
      <w:sz w:val="22"/>
    </w:rPr>
  </w:style>
  <w:style w:type="character" w:customStyle="1" w:styleId="62">
    <w:name w:val="apple-converted-space"/>
    <w:basedOn w:val="43"/>
    <w:autoRedefine/>
    <w:qFormat/>
    <w:uiPriority w:val="0"/>
    <w:rPr>
      <w:rFonts w:cs="Times New Roman"/>
    </w:rPr>
  </w:style>
  <w:style w:type="character" w:customStyle="1" w:styleId="63">
    <w:name w:val="页眉 字符"/>
    <w:link w:val="26"/>
    <w:autoRedefine/>
    <w:qFormat/>
    <w:locked/>
    <w:uiPriority w:val="0"/>
    <w:rPr>
      <w:sz w:val="18"/>
    </w:rPr>
  </w:style>
  <w:style w:type="character" w:customStyle="1" w:styleId="64">
    <w:name w:val="BODY TEXT Char"/>
    <w:autoRedefine/>
    <w:qFormat/>
    <w:locked/>
    <w:uiPriority w:val="0"/>
    <w:rPr>
      <w:rFonts w:eastAsia="新宋体"/>
      <w:kern w:val="2"/>
      <w:sz w:val="21"/>
    </w:rPr>
  </w:style>
  <w:style w:type="character" w:customStyle="1" w:styleId="65">
    <w:name w:val="批注文字 字符"/>
    <w:link w:val="15"/>
    <w:autoRedefine/>
    <w:qFormat/>
    <w:locked/>
    <w:uiPriority w:val="0"/>
  </w:style>
  <w:style w:type="character" w:customStyle="1" w:styleId="66">
    <w:name w:val="标题 字符"/>
    <w:link w:val="38"/>
    <w:autoRedefine/>
    <w:qFormat/>
    <w:locked/>
    <w:uiPriority w:val="0"/>
    <w:rPr>
      <w:rFonts w:ascii="Arial" w:hAnsi="Arial"/>
      <w:b/>
      <w:sz w:val="32"/>
    </w:rPr>
  </w:style>
  <w:style w:type="character" w:customStyle="1" w:styleId="67">
    <w:name w:val="日期 字符"/>
    <w:link w:val="22"/>
    <w:autoRedefine/>
    <w:qFormat/>
    <w:locked/>
    <w:uiPriority w:val="0"/>
    <w:rPr>
      <w:sz w:val="24"/>
    </w:rPr>
  </w:style>
  <w:style w:type="character" w:customStyle="1" w:styleId="68">
    <w:name w:val="ATXT_Bullets Zchn"/>
    <w:link w:val="69"/>
    <w:autoRedefine/>
    <w:qFormat/>
    <w:locked/>
    <w:uiPriority w:val="99"/>
    <w:rPr>
      <w:rFonts w:ascii="Arial" w:hAnsi="Arial"/>
      <w:lang w:val="de-AT" w:eastAsia="zh-CN"/>
    </w:rPr>
  </w:style>
  <w:style w:type="paragraph" w:customStyle="1" w:styleId="69">
    <w:name w:val="ATXT_Bullets"/>
    <w:link w:val="68"/>
    <w:autoRedefine/>
    <w:qFormat/>
    <w:uiPriority w:val="99"/>
    <w:pPr>
      <w:widowControl w:val="0"/>
      <w:tabs>
        <w:tab w:val="left" w:pos="360"/>
        <w:tab w:val="left" w:pos="2040"/>
      </w:tabs>
      <w:autoSpaceDE w:val="0"/>
      <w:autoSpaceDN w:val="0"/>
      <w:adjustRightInd w:val="0"/>
      <w:ind w:left="1494"/>
      <w:jc w:val="both"/>
    </w:pPr>
    <w:rPr>
      <w:rFonts w:ascii="Arial" w:hAnsi="Arial" w:eastAsiaTheme="minorEastAsia" w:cstheme="minorBidi"/>
      <w:kern w:val="2"/>
      <w:sz w:val="21"/>
      <w:szCs w:val="22"/>
      <w:lang w:val="de-AT" w:eastAsia="zh-CN" w:bidi="ar-SA"/>
    </w:rPr>
  </w:style>
  <w:style w:type="character" w:customStyle="1" w:styleId="70">
    <w:name w:val="Char Char5"/>
    <w:autoRedefine/>
    <w:qFormat/>
    <w:uiPriority w:val="0"/>
    <w:rPr>
      <w:rFonts w:ascii="宋体" w:hAnsi="Courier New" w:eastAsia="宋体"/>
      <w:kern w:val="2"/>
      <w:sz w:val="21"/>
      <w:lang w:val="en-US" w:eastAsia="zh-CN"/>
    </w:rPr>
  </w:style>
  <w:style w:type="character" w:customStyle="1" w:styleId="71">
    <w:name w:val="批注框文本 字符"/>
    <w:link w:val="24"/>
    <w:autoRedefine/>
    <w:qFormat/>
    <w:locked/>
    <w:uiPriority w:val="0"/>
    <w:rPr>
      <w:sz w:val="18"/>
    </w:rPr>
  </w:style>
  <w:style w:type="character" w:customStyle="1" w:styleId="72">
    <w:name w:val="批注文字 Char"/>
    <w:autoRedefine/>
    <w:qFormat/>
    <w:uiPriority w:val="0"/>
    <w:rPr>
      <w:kern w:val="2"/>
    </w:rPr>
  </w:style>
  <w:style w:type="character" w:customStyle="1" w:styleId="73">
    <w:name w:val="批注主题 Char"/>
    <w:autoRedefine/>
    <w:qFormat/>
    <w:uiPriority w:val="0"/>
    <w:rPr>
      <w:b/>
      <w:kern w:val="2"/>
    </w:rPr>
  </w:style>
  <w:style w:type="character" w:customStyle="1" w:styleId="74">
    <w:name w:val="文档结构图 字符"/>
    <w:link w:val="13"/>
    <w:autoRedefine/>
    <w:qFormat/>
    <w:locked/>
    <w:uiPriority w:val="0"/>
    <w:rPr>
      <w:sz w:val="24"/>
      <w:shd w:val="clear" w:color="auto" w:fill="000080"/>
    </w:rPr>
  </w:style>
  <w:style w:type="character" w:customStyle="1" w:styleId="75">
    <w:name w:val="HTML Markup"/>
    <w:autoRedefine/>
    <w:qFormat/>
    <w:uiPriority w:val="0"/>
    <w:rPr>
      <w:vanish/>
      <w:color w:val="FF0000"/>
    </w:rPr>
  </w:style>
  <w:style w:type="character" w:customStyle="1" w:styleId="76">
    <w:name w:val="纯文本 字符"/>
    <w:link w:val="20"/>
    <w:autoRedefine/>
    <w:qFormat/>
    <w:locked/>
    <w:uiPriority w:val="0"/>
    <w:rPr>
      <w:rFonts w:ascii="宋体" w:hAnsi="Courier New"/>
    </w:rPr>
  </w:style>
  <w:style w:type="character" w:customStyle="1" w:styleId="77">
    <w:name w:val="页脚 字符"/>
    <w:link w:val="25"/>
    <w:autoRedefine/>
    <w:qFormat/>
    <w:locked/>
    <w:uiPriority w:val="99"/>
    <w:rPr>
      <w:sz w:val="18"/>
    </w:rPr>
  </w:style>
  <w:style w:type="character" w:customStyle="1" w:styleId="78">
    <w:name w:val="Default Char"/>
    <w:link w:val="79"/>
    <w:autoRedefine/>
    <w:qFormat/>
    <w:locked/>
    <w:uiPriority w:val="0"/>
    <w:rPr>
      <w:rFonts w:ascii="仿宋_GB2312" w:eastAsia="仿宋_GB2312"/>
      <w:color w:val="000000"/>
      <w:sz w:val="24"/>
    </w:rPr>
  </w:style>
  <w:style w:type="paragraph" w:customStyle="1" w:styleId="79">
    <w:name w:val="Default"/>
    <w:link w:val="78"/>
    <w:autoRedefine/>
    <w:qFormat/>
    <w:uiPriority w:val="0"/>
    <w:pPr>
      <w:widowControl w:val="0"/>
      <w:autoSpaceDE w:val="0"/>
      <w:autoSpaceDN w:val="0"/>
      <w:adjustRightInd w:val="0"/>
    </w:pPr>
    <w:rPr>
      <w:rFonts w:ascii="仿宋_GB2312" w:eastAsia="仿宋_GB2312" w:hAnsiTheme="minorHAnsi" w:cstheme="minorBidi"/>
      <w:color w:val="000000"/>
      <w:kern w:val="2"/>
      <w:sz w:val="24"/>
      <w:szCs w:val="22"/>
      <w:lang w:val="en-US" w:eastAsia="zh-CN" w:bidi="ar-SA"/>
    </w:rPr>
  </w:style>
  <w:style w:type="character" w:customStyle="1" w:styleId="80">
    <w:name w:val="页脚 Char"/>
    <w:autoRedefine/>
    <w:qFormat/>
    <w:locked/>
    <w:uiPriority w:val="99"/>
    <w:rPr>
      <w:sz w:val="18"/>
    </w:rPr>
  </w:style>
  <w:style w:type="character" w:customStyle="1" w:styleId="81">
    <w:name w:val="批注文字 字符1"/>
    <w:basedOn w:val="43"/>
    <w:autoRedefine/>
    <w:semiHidden/>
    <w:qFormat/>
    <w:uiPriority w:val="99"/>
  </w:style>
  <w:style w:type="character" w:customStyle="1" w:styleId="82">
    <w:name w:val="批注文字 字符11"/>
    <w:basedOn w:val="43"/>
    <w:autoRedefine/>
    <w:qFormat/>
    <w:uiPriority w:val="0"/>
    <w:rPr>
      <w:rFonts w:cs="Times New Roman"/>
      <w:kern w:val="2"/>
      <w:sz w:val="21"/>
    </w:rPr>
  </w:style>
  <w:style w:type="character" w:customStyle="1" w:styleId="83">
    <w:name w:val="正文文本缩进 字符"/>
    <w:basedOn w:val="43"/>
    <w:link w:val="17"/>
    <w:autoRedefine/>
    <w:qFormat/>
    <w:uiPriority w:val="99"/>
    <w:rPr>
      <w:rFonts w:ascii="Calibri" w:hAnsi="Calibri" w:eastAsia="宋体" w:cs="Times New Roman"/>
      <w:szCs w:val="20"/>
    </w:rPr>
  </w:style>
  <w:style w:type="character" w:customStyle="1" w:styleId="84">
    <w:name w:val="文档结构图 字符1"/>
    <w:basedOn w:val="43"/>
    <w:autoRedefine/>
    <w:semiHidden/>
    <w:qFormat/>
    <w:uiPriority w:val="99"/>
    <w:rPr>
      <w:rFonts w:ascii="Microsoft YaHei UI" w:eastAsia="Microsoft YaHei UI"/>
      <w:sz w:val="18"/>
      <w:szCs w:val="18"/>
    </w:rPr>
  </w:style>
  <w:style w:type="character" w:customStyle="1" w:styleId="85">
    <w:name w:val="文档结构图 字符11"/>
    <w:basedOn w:val="43"/>
    <w:autoRedefine/>
    <w:semiHidden/>
    <w:qFormat/>
    <w:uiPriority w:val="99"/>
    <w:rPr>
      <w:rFonts w:ascii="Microsoft YaHei UI" w:eastAsia="Microsoft YaHei UI" w:cs="Times New Roman"/>
      <w:kern w:val="2"/>
      <w:sz w:val="18"/>
      <w:szCs w:val="18"/>
    </w:rPr>
  </w:style>
  <w:style w:type="character" w:customStyle="1" w:styleId="86">
    <w:name w:val="正文文本 字符"/>
    <w:basedOn w:val="43"/>
    <w:link w:val="2"/>
    <w:autoRedefine/>
    <w:qFormat/>
    <w:uiPriority w:val="99"/>
    <w:rPr>
      <w:rFonts w:ascii="Calibri" w:hAnsi="Calibri" w:eastAsia="新宋体" w:cs="Times New Roman"/>
      <w:szCs w:val="21"/>
    </w:rPr>
  </w:style>
  <w:style w:type="character" w:customStyle="1" w:styleId="87">
    <w:name w:val="纯文本 字符1"/>
    <w:basedOn w:val="43"/>
    <w:autoRedefine/>
    <w:semiHidden/>
    <w:qFormat/>
    <w:uiPriority w:val="99"/>
    <w:rPr>
      <w:rFonts w:hAnsi="Courier New" w:cs="Courier New" w:asciiTheme="minorEastAsia"/>
    </w:rPr>
  </w:style>
  <w:style w:type="character" w:customStyle="1" w:styleId="88">
    <w:name w:val="纯文本 字符11"/>
    <w:basedOn w:val="43"/>
    <w:autoRedefine/>
    <w:qFormat/>
    <w:uiPriority w:val="0"/>
    <w:rPr>
      <w:rFonts w:hAnsi="Courier New" w:cs="Courier New" w:asciiTheme="minorEastAsia" w:eastAsiaTheme="minorEastAsia"/>
      <w:kern w:val="2"/>
      <w:sz w:val="21"/>
    </w:rPr>
  </w:style>
  <w:style w:type="character" w:customStyle="1" w:styleId="89">
    <w:name w:val="页眉 字符1"/>
    <w:basedOn w:val="43"/>
    <w:autoRedefine/>
    <w:semiHidden/>
    <w:qFormat/>
    <w:uiPriority w:val="99"/>
    <w:rPr>
      <w:sz w:val="18"/>
      <w:szCs w:val="18"/>
    </w:rPr>
  </w:style>
  <w:style w:type="character" w:customStyle="1" w:styleId="90">
    <w:name w:val="页眉 字符11"/>
    <w:basedOn w:val="43"/>
    <w:autoRedefine/>
    <w:semiHidden/>
    <w:qFormat/>
    <w:uiPriority w:val="99"/>
    <w:rPr>
      <w:rFonts w:cs="Times New Roman"/>
      <w:kern w:val="2"/>
      <w:sz w:val="18"/>
      <w:szCs w:val="18"/>
    </w:rPr>
  </w:style>
  <w:style w:type="character" w:customStyle="1" w:styleId="91">
    <w:name w:val="批注框文本 字符1"/>
    <w:basedOn w:val="43"/>
    <w:autoRedefine/>
    <w:semiHidden/>
    <w:qFormat/>
    <w:uiPriority w:val="99"/>
    <w:rPr>
      <w:sz w:val="18"/>
      <w:szCs w:val="18"/>
    </w:rPr>
  </w:style>
  <w:style w:type="character" w:customStyle="1" w:styleId="92">
    <w:name w:val="批注框文本 字符11"/>
    <w:basedOn w:val="43"/>
    <w:autoRedefine/>
    <w:semiHidden/>
    <w:qFormat/>
    <w:uiPriority w:val="99"/>
    <w:rPr>
      <w:rFonts w:cs="Times New Roman"/>
      <w:kern w:val="2"/>
      <w:sz w:val="18"/>
      <w:szCs w:val="18"/>
    </w:rPr>
  </w:style>
  <w:style w:type="character" w:customStyle="1" w:styleId="93">
    <w:name w:val="日期 字符1"/>
    <w:basedOn w:val="43"/>
    <w:autoRedefine/>
    <w:semiHidden/>
    <w:qFormat/>
    <w:uiPriority w:val="99"/>
  </w:style>
  <w:style w:type="character" w:customStyle="1" w:styleId="94">
    <w:name w:val="日期 字符11"/>
    <w:basedOn w:val="43"/>
    <w:autoRedefine/>
    <w:semiHidden/>
    <w:qFormat/>
    <w:uiPriority w:val="99"/>
    <w:rPr>
      <w:rFonts w:cs="Times New Roman"/>
      <w:kern w:val="2"/>
      <w:sz w:val="21"/>
    </w:rPr>
  </w:style>
  <w:style w:type="character" w:customStyle="1" w:styleId="95">
    <w:name w:val="页脚 字符1"/>
    <w:basedOn w:val="43"/>
    <w:autoRedefine/>
    <w:semiHidden/>
    <w:qFormat/>
    <w:uiPriority w:val="99"/>
    <w:rPr>
      <w:sz w:val="18"/>
      <w:szCs w:val="18"/>
    </w:rPr>
  </w:style>
  <w:style w:type="character" w:customStyle="1" w:styleId="96">
    <w:name w:val="页脚 字符11"/>
    <w:basedOn w:val="43"/>
    <w:autoRedefine/>
    <w:semiHidden/>
    <w:qFormat/>
    <w:uiPriority w:val="99"/>
    <w:rPr>
      <w:rFonts w:cs="Times New Roman"/>
      <w:kern w:val="2"/>
      <w:sz w:val="18"/>
      <w:szCs w:val="18"/>
    </w:rPr>
  </w:style>
  <w:style w:type="character" w:customStyle="1" w:styleId="97">
    <w:name w:val="正文文本缩进 2 字符1"/>
    <w:basedOn w:val="43"/>
    <w:autoRedefine/>
    <w:semiHidden/>
    <w:qFormat/>
    <w:uiPriority w:val="99"/>
  </w:style>
  <w:style w:type="character" w:customStyle="1" w:styleId="98">
    <w:name w:val="正文文本缩进 2 字符11"/>
    <w:basedOn w:val="43"/>
    <w:autoRedefine/>
    <w:semiHidden/>
    <w:qFormat/>
    <w:uiPriority w:val="99"/>
    <w:rPr>
      <w:rFonts w:cs="Times New Roman"/>
      <w:kern w:val="2"/>
      <w:sz w:val="21"/>
    </w:rPr>
  </w:style>
  <w:style w:type="character" w:customStyle="1" w:styleId="99">
    <w:name w:val="正文文本缩进 3 字符1"/>
    <w:basedOn w:val="43"/>
    <w:autoRedefine/>
    <w:semiHidden/>
    <w:qFormat/>
    <w:uiPriority w:val="99"/>
    <w:rPr>
      <w:sz w:val="16"/>
      <w:szCs w:val="16"/>
    </w:rPr>
  </w:style>
  <w:style w:type="character" w:customStyle="1" w:styleId="100">
    <w:name w:val="正文文本缩进 3 字符11"/>
    <w:basedOn w:val="43"/>
    <w:autoRedefine/>
    <w:semiHidden/>
    <w:qFormat/>
    <w:uiPriority w:val="99"/>
    <w:rPr>
      <w:rFonts w:cs="Times New Roman"/>
      <w:kern w:val="2"/>
      <w:sz w:val="16"/>
      <w:szCs w:val="16"/>
    </w:rPr>
  </w:style>
  <w:style w:type="character" w:customStyle="1" w:styleId="101">
    <w:name w:val="批注主题 字符1"/>
    <w:basedOn w:val="81"/>
    <w:autoRedefine/>
    <w:semiHidden/>
    <w:qFormat/>
    <w:uiPriority w:val="99"/>
    <w:rPr>
      <w:b/>
      <w:bCs/>
    </w:rPr>
  </w:style>
  <w:style w:type="character" w:customStyle="1" w:styleId="102">
    <w:name w:val="批注主题 字符11"/>
    <w:basedOn w:val="82"/>
    <w:autoRedefine/>
    <w:semiHidden/>
    <w:qFormat/>
    <w:uiPriority w:val="99"/>
    <w:rPr>
      <w:rFonts w:cs="Times New Roman"/>
      <w:b/>
      <w:bCs/>
      <w:kern w:val="2"/>
      <w:sz w:val="21"/>
    </w:rPr>
  </w:style>
  <w:style w:type="character" w:customStyle="1" w:styleId="103">
    <w:name w:val="标题 字符1"/>
    <w:basedOn w:val="43"/>
    <w:autoRedefine/>
    <w:qFormat/>
    <w:uiPriority w:val="10"/>
    <w:rPr>
      <w:rFonts w:asciiTheme="majorHAnsi" w:hAnsiTheme="majorHAnsi" w:eastAsiaTheme="majorEastAsia" w:cstheme="majorBidi"/>
      <w:b/>
      <w:bCs/>
      <w:sz w:val="32"/>
      <w:szCs w:val="32"/>
    </w:rPr>
  </w:style>
  <w:style w:type="character" w:customStyle="1" w:styleId="104">
    <w:name w:val="标题 字符11"/>
    <w:basedOn w:val="43"/>
    <w:autoRedefine/>
    <w:qFormat/>
    <w:uiPriority w:val="10"/>
    <w:rPr>
      <w:rFonts w:cs="Times New Roman" w:asciiTheme="majorHAnsi" w:hAnsiTheme="majorHAnsi" w:eastAsiaTheme="majorEastAsia"/>
      <w:b/>
      <w:bCs/>
      <w:kern w:val="2"/>
      <w:sz w:val="32"/>
      <w:szCs w:val="32"/>
    </w:rPr>
  </w:style>
  <w:style w:type="paragraph" w:customStyle="1" w:styleId="105">
    <w:name w:val="ATXT_Table"/>
    <w:basedOn w:val="1"/>
    <w:autoRedefine/>
    <w:qFormat/>
    <w:uiPriority w:val="0"/>
    <w:pPr>
      <w:widowControl/>
    </w:pPr>
    <w:rPr>
      <w:rFonts w:ascii="Arial" w:hAnsi="Arial" w:eastAsia="宋体" w:cs="Times New Roman"/>
      <w:kern w:val="0"/>
      <w:sz w:val="20"/>
      <w:szCs w:val="20"/>
      <w:lang w:val="de-DE" w:eastAsia="de-DE"/>
    </w:rPr>
  </w:style>
  <w:style w:type="paragraph" w:customStyle="1" w:styleId="106">
    <w:name w:val="1"/>
    <w:basedOn w:val="1"/>
    <w:autoRedefine/>
    <w:qFormat/>
    <w:uiPriority w:val="0"/>
    <w:pPr>
      <w:widowControl/>
      <w:spacing w:before="100" w:beforeAutospacing="1" w:after="100" w:afterAutospacing="1"/>
      <w:jc w:val="left"/>
    </w:pPr>
    <w:rPr>
      <w:rFonts w:ascii="宋体" w:hAnsi="宋体" w:eastAsia="宋体" w:cs="Times New Roman"/>
      <w:kern w:val="0"/>
      <w:sz w:val="24"/>
      <w:szCs w:val="24"/>
    </w:rPr>
  </w:style>
  <w:style w:type="paragraph" w:customStyle="1" w:styleId="107">
    <w:name w:val="二级列表 Char"/>
    <w:basedOn w:val="1"/>
    <w:autoRedefine/>
    <w:qFormat/>
    <w:uiPriority w:val="0"/>
    <w:rPr>
      <w:rFonts w:ascii="Calibri" w:hAnsi="Calibri" w:eastAsia="宋体" w:cs="Times New Roman"/>
      <w:szCs w:val="20"/>
    </w:rPr>
  </w:style>
  <w:style w:type="paragraph" w:customStyle="1" w:styleId="108">
    <w:name w:val="2"/>
    <w:basedOn w:val="1"/>
    <w:autoRedefine/>
    <w:qFormat/>
    <w:uiPriority w:val="0"/>
    <w:pPr>
      <w:widowControl/>
      <w:spacing w:after="160" w:line="240" w:lineRule="exact"/>
      <w:jc w:val="left"/>
    </w:pPr>
    <w:rPr>
      <w:rFonts w:ascii="Arial" w:hAnsi="Arial" w:eastAsia="宋体" w:cs="Verdana"/>
      <w:b/>
      <w:kern w:val="0"/>
      <w:sz w:val="24"/>
      <w:szCs w:val="24"/>
      <w:lang w:eastAsia="en-US" w:bidi="th-TH"/>
    </w:rPr>
  </w:style>
  <w:style w:type="paragraph" w:customStyle="1" w:styleId="109">
    <w:name w:val="1列"/>
    <w:basedOn w:val="1"/>
    <w:autoRedefine/>
    <w:qFormat/>
    <w:uiPriority w:val="0"/>
    <w:pPr>
      <w:spacing w:line="360" w:lineRule="auto"/>
      <w:ind w:left="401" w:hanging="401" w:hangingChars="191"/>
    </w:pPr>
    <w:rPr>
      <w:rFonts w:ascii="Calibri" w:hAnsi="Calibri" w:eastAsia="宋体" w:cs="Times New Roman"/>
      <w:szCs w:val="24"/>
    </w:rPr>
  </w:style>
  <w:style w:type="paragraph" w:customStyle="1" w:styleId="110">
    <w:name w:val="ATXT_Standard"/>
    <w:autoRedefine/>
    <w:qFormat/>
    <w:uiPriority w:val="99"/>
    <w:pPr>
      <w:widowControl w:val="0"/>
      <w:autoSpaceDE w:val="0"/>
      <w:autoSpaceDN w:val="0"/>
      <w:adjustRightInd w:val="0"/>
      <w:ind w:left="1134"/>
      <w:jc w:val="both"/>
    </w:pPr>
    <w:rPr>
      <w:rFonts w:ascii="Arial" w:hAnsi="Arial" w:eastAsia="宋体" w:cs="Arial"/>
      <w:lang w:val="en-US" w:eastAsia="zh-CN" w:bidi="ar-SA"/>
    </w:rPr>
  </w:style>
  <w:style w:type="paragraph" w:customStyle="1" w:styleId="111">
    <w:name w:val="Char Char3 Char Char Char Char Char Char Char"/>
    <w:basedOn w:val="1"/>
    <w:autoRedefine/>
    <w:qFormat/>
    <w:uiPriority w:val="0"/>
    <w:pPr>
      <w:widowControl/>
      <w:tabs>
        <w:tab w:val="left" w:pos="425"/>
      </w:tabs>
      <w:spacing w:after="160" w:line="240" w:lineRule="exact"/>
      <w:ind w:left="425" w:hanging="425"/>
      <w:jc w:val="left"/>
    </w:pPr>
    <w:rPr>
      <w:rFonts w:ascii="Verdana" w:hAnsi="Verdana" w:eastAsia="宋体" w:cs="Times New Roman"/>
      <w:kern w:val="0"/>
      <w:sz w:val="20"/>
      <w:szCs w:val="20"/>
      <w:lang w:eastAsia="en-US"/>
    </w:rPr>
  </w:style>
  <w:style w:type="paragraph" w:customStyle="1" w:styleId="112">
    <w:name w:val="Char Char Char Char Char Char Char"/>
    <w:basedOn w:val="1"/>
    <w:autoRedefine/>
    <w:qFormat/>
    <w:uiPriority w:val="0"/>
    <w:rPr>
      <w:rFonts w:ascii="Verdana" w:hAnsi="Verdana" w:eastAsia="宋体" w:cs="Times New Roman"/>
      <w:kern w:val="0"/>
      <w:sz w:val="20"/>
      <w:szCs w:val="20"/>
      <w:lang w:eastAsia="en-US"/>
    </w:rPr>
  </w:style>
  <w:style w:type="paragraph" w:customStyle="1" w:styleId="113">
    <w:name w:val="正文1"/>
    <w:basedOn w:val="1"/>
    <w:autoRedefine/>
    <w:qFormat/>
    <w:uiPriority w:val="0"/>
    <w:pPr>
      <w:adjustRightInd w:val="0"/>
      <w:spacing w:line="312" w:lineRule="atLeast"/>
    </w:pPr>
    <w:rPr>
      <w:rFonts w:ascii="楷体_GB2312" w:hAnsi="Calibri" w:eastAsia="楷体_GB2312" w:cs="Times New Roman"/>
      <w:kern w:val="0"/>
      <w:sz w:val="24"/>
      <w:szCs w:val="20"/>
    </w:rPr>
  </w:style>
  <w:style w:type="paragraph" w:customStyle="1" w:styleId="114">
    <w:name w:val="Char Char Char Char Char Char1 Char"/>
    <w:basedOn w:val="1"/>
    <w:autoRedefine/>
    <w:qFormat/>
    <w:uiPriority w:val="0"/>
    <w:pPr>
      <w:widowControl/>
      <w:spacing w:after="160" w:line="240" w:lineRule="exact"/>
      <w:jc w:val="left"/>
    </w:pPr>
    <w:rPr>
      <w:rFonts w:ascii="Arial" w:hAnsi="Arial" w:eastAsia="宋体" w:cs="Verdana"/>
      <w:b/>
      <w:kern w:val="0"/>
      <w:sz w:val="24"/>
      <w:szCs w:val="24"/>
      <w:lang w:eastAsia="en-US" w:bidi="th-TH"/>
    </w:rPr>
  </w:style>
  <w:style w:type="paragraph" w:customStyle="1" w:styleId="115">
    <w:name w:val="Pied"/>
    <w:basedOn w:val="1"/>
    <w:autoRedefine/>
    <w:qFormat/>
    <w:uiPriority w:val="0"/>
    <w:pPr>
      <w:tabs>
        <w:tab w:val="center" w:pos="4252"/>
        <w:tab w:val="right" w:pos="8504"/>
      </w:tabs>
      <w:ind w:left="284" w:right="284"/>
      <w:jc w:val="center"/>
    </w:pPr>
    <w:rPr>
      <w:rFonts w:ascii="Calibri" w:hAnsi="Calibri" w:eastAsia="宋体" w:cs="Times New Roman"/>
      <w:b/>
      <w:color w:val="000000"/>
      <w:sz w:val="16"/>
      <w:szCs w:val="24"/>
      <w:lang w:val="fr-FR" w:eastAsia="fr-FR"/>
    </w:rPr>
  </w:style>
  <w:style w:type="paragraph" w:customStyle="1" w:styleId="116">
    <w:name w:val="AVL_Continuous_normal"/>
    <w:autoRedefine/>
    <w:qFormat/>
    <w:uiPriority w:val="99"/>
    <w:pPr>
      <w:widowControl w:val="0"/>
      <w:autoSpaceDE w:val="0"/>
      <w:autoSpaceDN w:val="0"/>
      <w:adjustRightInd w:val="0"/>
    </w:pPr>
    <w:rPr>
      <w:rFonts w:ascii="Arial" w:hAnsi="Arial" w:eastAsia="宋体" w:cs="Arial"/>
      <w:color w:val="070000"/>
      <w:sz w:val="19"/>
      <w:szCs w:val="19"/>
      <w:lang w:val="de-AT" w:eastAsia="zh-CN" w:bidi="th-TH"/>
    </w:rPr>
  </w:style>
  <w:style w:type="paragraph" w:customStyle="1" w:styleId="117">
    <w:name w:val="标书正文格式"/>
    <w:basedOn w:val="20"/>
    <w:link w:val="119"/>
    <w:autoRedefine/>
    <w:qFormat/>
    <w:uiPriority w:val="0"/>
    <w:pPr>
      <w:spacing w:line="360" w:lineRule="auto"/>
      <w:ind w:firstLine="200" w:firstLineChars="200"/>
    </w:pPr>
    <w:rPr>
      <w:rFonts w:hAnsi="宋体"/>
      <w:color w:val="000000"/>
      <w:sz w:val="24"/>
      <w:szCs w:val="24"/>
    </w:rPr>
  </w:style>
  <w:style w:type="paragraph" w:customStyle="1" w:styleId="118">
    <w:name w:val="标书二级标题"/>
    <w:basedOn w:val="5"/>
    <w:link w:val="121"/>
    <w:autoRedefine/>
    <w:qFormat/>
    <w:uiPriority w:val="0"/>
    <w:pPr>
      <w:spacing w:line="240" w:lineRule="auto"/>
      <w:jc w:val="left"/>
    </w:pPr>
    <w:rPr>
      <w:rFonts w:ascii="宋体" w:hAnsi="宋体" w:eastAsia="黑体"/>
      <w:sz w:val="28"/>
      <w:szCs w:val="30"/>
    </w:rPr>
  </w:style>
  <w:style w:type="character" w:customStyle="1" w:styleId="119">
    <w:name w:val="标书正文格式 字符"/>
    <w:link w:val="117"/>
    <w:autoRedefine/>
    <w:qFormat/>
    <w:locked/>
    <w:uiPriority w:val="0"/>
    <w:rPr>
      <w:rFonts w:ascii="宋体" w:hAnsi="宋体"/>
      <w:color w:val="000000"/>
      <w:sz w:val="24"/>
      <w:szCs w:val="24"/>
    </w:rPr>
  </w:style>
  <w:style w:type="paragraph" w:customStyle="1" w:styleId="120">
    <w:name w:val="标书表格"/>
    <w:basedOn w:val="1"/>
    <w:link w:val="122"/>
    <w:autoRedefine/>
    <w:qFormat/>
    <w:uiPriority w:val="0"/>
    <w:pPr>
      <w:jc w:val="center"/>
    </w:pPr>
    <w:rPr>
      <w:rFonts w:ascii="Times New Roman" w:hAnsi="Times New Roman" w:eastAsia="宋体" w:cs="Times New Roman"/>
      <w:b/>
      <w:szCs w:val="20"/>
    </w:rPr>
  </w:style>
  <w:style w:type="character" w:customStyle="1" w:styleId="121">
    <w:name w:val="标书二级标题 字符"/>
    <w:link w:val="118"/>
    <w:autoRedefine/>
    <w:qFormat/>
    <w:locked/>
    <w:uiPriority w:val="0"/>
    <w:rPr>
      <w:rFonts w:ascii="宋体" w:hAnsi="宋体" w:eastAsia="黑体" w:cs="Times New Roman"/>
      <w:bCs/>
      <w:sz w:val="28"/>
      <w:szCs w:val="30"/>
    </w:rPr>
  </w:style>
  <w:style w:type="character" w:customStyle="1" w:styleId="122">
    <w:name w:val="标书表格 字符"/>
    <w:link w:val="120"/>
    <w:autoRedefine/>
    <w:qFormat/>
    <w:locked/>
    <w:uiPriority w:val="0"/>
    <w:rPr>
      <w:rFonts w:ascii="Times New Roman" w:hAnsi="Times New Roman" w:eastAsia="宋体" w:cs="Times New Roman"/>
      <w:b/>
      <w:szCs w:val="20"/>
    </w:rPr>
  </w:style>
  <w:style w:type="paragraph" w:customStyle="1" w:styleId="123">
    <w:name w:val="标书三级标题"/>
    <w:basedOn w:val="6"/>
    <w:next w:val="117"/>
    <w:link w:val="124"/>
    <w:autoRedefine/>
    <w:qFormat/>
    <w:uiPriority w:val="0"/>
    <w:pPr>
      <w:spacing w:before="0" w:after="0" w:line="240" w:lineRule="auto"/>
      <w:ind w:firstLine="482" w:firstLineChars="200"/>
    </w:pPr>
    <w:rPr>
      <w:rFonts w:ascii="Times New Roman" w:hAnsi="Times New Roman"/>
      <w:color w:val="000000"/>
      <w:sz w:val="24"/>
      <w:szCs w:val="24"/>
    </w:rPr>
  </w:style>
  <w:style w:type="character" w:customStyle="1" w:styleId="124">
    <w:name w:val="标书三级标题 字符"/>
    <w:link w:val="123"/>
    <w:autoRedefine/>
    <w:qFormat/>
    <w:locked/>
    <w:uiPriority w:val="0"/>
    <w:rPr>
      <w:rFonts w:ascii="Times New Roman" w:hAnsi="Times New Roman" w:eastAsia="宋体" w:cs="Times New Roman"/>
      <w:b/>
      <w:bCs/>
      <w:color w:val="000000"/>
      <w:sz w:val="24"/>
      <w:szCs w:val="24"/>
    </w:rPr>
  </w:style>
  <w:style w:type="character" w:customStyle="1" w:styleId="125">
    <w:name w:val="标三级标题 字符"/>
    <w:link w:val="126"/>
    <w:autoRedefine/>
    <w:qFormat/>
    <w:locked/>
    <w:uiPriority w:val="0"/>
    <w:rPr>
      <w:b/>
      <w:color w:val="000000"/>
      <w:sz w:val="24"/>
    </w:rPr>
  </w:style>
  <w:style w:type="paragraph" w:customStyle="1" w:styleId="126">
    <w:name w:val="标三级标题"/>
    <w:basedOn w:val="123"/>
    <w:link w:val="125"/>
    <w:autoRedefine/>
    <w:qFormat/>
    <w:uiPriority w:val="0"/>
    <w:rPr>
      <w:rFonts w:asciiTheme="minorHAnsi" w:hAnsiTheme="minorHAnsi" w:eastAsiaTheme="minorEastAsia" w:cstheme="minorBidi"/>
      <w:bCs w:val="0"/>
      <w:szCs w:val="22"/>
    </w:rPr>
  </w:style>
  <w:style w:type="character" w:customStyle="1" w:styleId="127">
    <w:name w:val="标正文 字符"/>
    <w:link w:val="128"/>
    <w:autoRedefine/>
    <w:qFormat/>
    <w:locked/>
    <w:uiPriority w:val="0"/>
    <w:rPr>
      <w:rFonts w:ascii="宋体" w:eastAsia="宋体"/>
      <w:color w:val="000000"/>
      <w:sz w:val="24"/>
    </w:rPr>
  </w:style>
  <w:style w:type="paragraph" w:customStyle="1" w:styleId="128">
    <w:name w:val="标正文"/>
    <w:basedOn w:val="117"/>
    <w:link w:val="127"/>
    <w:autoRedefine/>
    <w:qFormat/>
    <w:uiPriority w:val="0"/>
    <w:pPr>
      <w:ind w:firstLine="480"/>
    </w:pPr>
    <w:rPr>
      <w:rFonts w:eastAsia="宋体" w:hAnsiTheme="minorHAnsi"/>
      <w:szCs w:val="22"/>
    </w:rPr>
  </w:style>
  <w:style w:type="paragraph" w:customStyle="1" w:styleId="129">
    <w:name w:val="TOC 标题1"/>
    <w:basedOn w:val="3"/>
    <w:next w:val="1"/>
    <w:autoRedefine/>
    <w:unhideWhenUsed/>
    <w:qFormat/>
    <w:uiPriority w:val="39"/>
    <w:pPr>
      <w:widowControl/>
      <w:spacing w:before="240" w:line="259" w:lineRule="auto"/>
      <w:jc w:val="left"/>
      <w:outlineLvl w:val="9"/>
    </w:pPr>
    <w:rPr>
      <w:rFonts w:ascii="等线 Light" w:hAnsi="等线 Light" w:eastAsia="等线 Light"/>
      <w:b w:val="0"/>
      <w:bCs w:val="0"/>
      <w:color w:val="2E74B5"/>
      <w:kern w:val="0"/>
      <w:sz w:val="32"/>
      <w:szCs w:val="32"/>
    </w:rPr>
  </w:style>
  <w:style w:type="paragraph" w:customStyle="1" w:styleId="130">
    <w:name w:val="HR正文表格"/>
    <w:basedOn w:val="1"/>
    <w:autoRedefine/>
    <w:qFormat/>
    <w:uiPriority w:val="0"/>
    <w:pPr>
      <w:spacing w:beforeLines="25" w:afterLines="25" w:line="300" w:lineRule="auto"/>
    </w:pPr>
    <w:rPr>
      <w:szCs w:val="24"/>
    </w:rPr>
  </w:style>
  <w:style w:type="paragraph" w:styleId="131">
    <w:name w:val="List Paragraph"/>
    <w:basedOn w:val="1"/>
    <w:autoRedefine/>
    <w:qFormat/>
    <w:uiPriority w:val="99"/>
    <w:pPr>
      <w:ind w:firstLine="420" w:firstLineChars="200"/>
    </w:pPr>
  </w:style>
  <w:style w:type="paragraph" w:customStyle="1" w:styleId="132">
    <w:name w:val="WPSOffice手动目录 1"/>
    <w:autoRedefine/>
    <w:qFormat/>
    <w:uiPriority w:val="0"/>
    <w:rPr>
      <w:rFonts w:ascii="Times New Roman" w:hAnsi="Times New Roman" w:eastAsia="宋体" w:cs="Times New Roman"/>
      <w:lang w:val="en-US" w:eastAsia="zh-CN" w:bidi="ar-SA"/>
    </w:rPr>
  </w:style>
  <w:style w:type="table" w:customStyle="1" w:styleId="133">
    <w:name w:val="Table Normal"/>
    <w:autoRedefine/>
    <w:semiHidden/>
    <w:unhideWhenUsed/>
    <w:qFormat/>
    <w:uiPriority w:val="0"/>
    <w:tblPr>
      <w:tblCellMar>
        <w:top w:w="0" w:type="dxa"/>
        <w:left w:w="0" w:type="dxa"/>
        <w:bottom w:w="0" w:type="dxa"/>
        <w:right w:w="0" w:type="dxa"/>
      </w:tblCellMar>
    </w:tblPr>
  </w:style>
  <w:style w:type="character" w:customStyle="1" w:styleId="134">
    <w:name w:val="NormalCharacter"/>
    <w:autoRedefine/>
    <w:qFormat/>
    <w:uiPriority w:val="0"/>
  </w:style>
  <w:style w:type="paragraph" w:customStyle="1" w:styleId="135">
    <w:name w:val="Table Paragraph"/>
    <w:basedOn w:val="1"/>
    <w:autoRedefine/>
    <w:qFormat/>
    <w:uiPriority w:val="1"/>
    <w:rPr>
      <w:rFonts w:ascii="宋体" w:hAnsi="宋体" w:eastAsia="宋体" w:cs="宋体"/>
    </w:rPr>
  </w:style>
  <w:style w:type="paragraph" w:customStyle="1" w:styleId="136">
    <w:name w:val="标书一级标题"/>
    <w:basedOn w:val="3"/>
    <w:autoRedefine/>
    <w:qFormat/>
    <w:uiPriority w:val="0"/>
    <w:rPr>
      <w:rFonts w:eastAsia="黑体"/>
      <w:b w:val="0"/>
      <w:color w:val="000000"/>
      <w:sz w:val="30"/>
      <w:szCs w:val="24"/>
    </w:rPr>
  </w:style>
  <w:style w:type="paragraph" w:customStyle="1" w:styleId="137">
    <w:name w:val="标题 5（有编号）（绿盟科技）"/>
    <w:basedOn w:val="1"/>
    <w:next w:val="138"/>
    <w:autoRedefine/>
    <w:qFormat/>
    <w:uiPriority w:val="0"/>
    <w:pPr>
      <w:keepNext/>
      <w:keepLines/>
      <w:numPr>
        <w:ilvl w:val="4"/>
        <w:numId w:val="1"/>
      </w:numPr>
      <w:spacing w:before="280" w:after="156" w:line="377" w:lineRule="auto"/>
      <w:outlineLvl w:val="4"/>
    </w:pPr>
    <w:rPr>
      <w:rFonts w:ascii="Arial" w:hAnsi="Arial" w:eastAsia="黑体" w:cs="Times New Roman"/>
      <w:b/>
      <w:sz w:val="24"/>
      <w:szCs w:val="28"/>
    </w:rPr>
  </w:style>
  <w:style w:type="paragraph" w:customStyle="1" w:styleId="138">
    <w:name w:val="正文（绿盟科技）"/>
    <w:autoRedefine/>
    <w:unhideWhenUsed/>
    <w:qFormat/>
    <w:uiPriority w:val="0"/>
    <w:pPr>
      <w:spacing w:line="300" w:lineRule="auto"/>
    </w:pPr>
    <w:rPr>
      <w:rFonts w:ascii="Arial" w:hAnsi="Arial" w:eastAsia="宋体" w:cs="Times New Roman"/>
      <w:sz w:val="21"/>
      <w:szCs w:val="21"/>
      <w:lang w:val="en-US" w:eastAsia="zh-CN" w:bidi="ar-SA"/>
    </w:rPr>
  </w:style>
  <w:style w:type="paragraph" w:customStyle="1" w:styleId="139">
    <w:name w:val="表格"/>
    <w:basedOn w:val="1"/>
    <w:autoRedefine/>
    <w:qFormat/>
    <w:uiPriority w:val="0"/>
    <w:pPr>
      <w:spacing w:line="300" w:lineRule="auto"/>
    </w:pPr>
    <w:rPr>
      <w:rFonts w:ascii="Times New Roman" w:hAnsi="Times New Roman" w:eastAsia="宋体"/>
      <w:szCs w:val="21"/>
    </w:rPr>
  </w:style>
  <w:style w:type="character" w:customStyle="1" w:styleId="140">
    <w:name w:val="font41"/>
    <w:basedOn w:val="43"/>
    <w:autoRedefine/>
    <w:qFormat/>
    <w:uiPriority w:val="0"/>
    <w:rPr>
      <w:rFonts w:hint="eastAsia" w:ascii="宋体" w:hAnsi="宋体" w:eastAsia="宋体" w:cs="宋体"/>
      <w:color w:val="000000"/>
      <w:sz w:val="24"/>
      <w:szCs w:val="24"/>
      <w:u w:val="none"/>
    </w:rPr>
  </w:style>
  <w:style w:type="character" w:customStyle="1" w:styleId="141">
    <w:name w:val="font91"/>
    <w:basedOn w:val="43"/>
    <w:autoRedefine/>
    <w:qFormat/>
    <w:uiPriority w:val="0"/>
    <w:rPr>
      <w:rFonts w:ascii="Arial" w:hAnsi="Arial" w:cs="Arial"/>
      <w:color w:val="000000"/>
      <w:sz w:val="24"/>
      <w:szCs w:val="24"/>
      <w:u w:val="none"/>
    </w:rPr>
  </w:style>
  <w:style w:type="paragraph" w:customStyle="1" w:styleId="142">
    <w:name w:val="标书正文"/>
    <w:basedOn w:val="20"/>
    <w:qFormat/>
    <w:uiPriority w:val="9"/>
    <w:pPr>
      <w:spacing w:line="360" w:lineRule="auto"/>
      <w:jc w:val="left"/>
    </w:pPr>
  </w:style>
  <w:style w:type="table" w:customStyle="1" w:styleId="143">
    <w:name w:val="Table Normal1"/>
    <w:basedOn w:val="41"/>
    <w:autoRedefine/>
    <w:qFormat/>
    <w:uiPriority w:val="0"/>
    <w:rPr>
      <w:rFonts w:eastAsia="Times New Roman"/>
    </w:rPr>
    <w:tblPr>
      <w:tblCellMar>
        <w:left w:w="0" w:type="dxa"/>
        <w:right w:w="0" w:type="dxa"/>
      </w:tblCellMar>
    </w:tblPr>
  </w:style>
</w:styles>
</file>

<file path=word/_rels/document.xml.rels><?xml version="1.0" encoding="UTF-8" standalone="yes"?>
<Relationships xmlns="http://schemas.openxmlformats.org/package/2006/relationships"><Relationship Id="rId9" Type="http://schemas.openxmlformats.org/officeDocument/2006/relationships/header" Target="header4.xml"/><Relationship Id="rId8" Type="http://schemas.openxmlformats.org/officeDocument/2006/relationships/footer" Target="footer3.xml"/><Relationship Id="rId7" Type="http://schemas.openxmlformats.org/officeDocument/2006/relationships/header" Target="header3.xml"/><Relationship Id="rId6" Type="http://schemas.openxmlformats.org/officeDocument/2006/relationships/footer" Target="footer2.xml"/><Relationship Id="rId57" Type="http://schemas.openxmlformats.org/officeDocument/2006/relationships/fontTable" Target="fontTable.xml"/><Relationship Id="rId56" Type="http://schemas.openxmlformats.org/officeDocument/2006/relationships/customXml" Target="../customXml/item2.xml"/><Relationship Id="rId55" Type="http://schemas.openxmlformats.org/officeDocument/2006/relationships/numbering" Target="numbering.xml"/><Relationship Id="rId54" Type="http://schemas.openxmlformats.org/officeDocument/2006/relationships/customXml" Target="../customXml/item1.xml"/><Relationship Id="rId53" Type="http://schemas.openxmlformats.org/officeDocument/2006/relationships/image" Target="media/image14.png"/><Relationship Id="rId52" Type="http://schemas.openxmlformats.org/officeDocument/2006/relationships/image" Target="media/image13.png"/><Relationship Id="rId51" Type="http://schemas.openxmlformats.org/officeDocument/2006/relationships/image" Target="media/image12.png"/><Relationship Id="rId50" Type="http://schemas.openxmlformats.org/officeDocument/2006/relationships/image" Target="media/image11.png"/><Relationship Id="rId5" Type="http://schemas.openxmlformats.org/officeDocument/2006/relationships/footer" Target="footer1.xml"/><Relationship Id="rId49" Type="http://schemas.openxmlformats.org/officeDocument/2006/relationships/image" Target="media/image10.png"/><Relationship Id="rId48" Type="http://schemas.openxmlformats.org/officeDocument/2006/relationships/image" Target="media/image9.png"/><Relationship Id="rId47" Type="http://schemas.openxmlformats.org/officeDocument/2006/relationships/image" Target="media/image8.png"/><Relationship Id="rId46" Type="http://schemas.openxmlformats.org/officeDocument/2006/relationships/image" Target="media/image7.jpeg"/><Relationship Id="rId45" Type="http://schemas.openxmlformats.org/officeDocument/2006/relationships/image" Target="media/image6.jpeg"/><Relationship Id="rId44" Type="http://schemas.openxmlformats.org/officeDocument/2006/relationships/image" Target="media/image5.png"/><Relationship Id="rId43" Type="http://schemas.openxmlformats.org/officeDocument/2006/relationships/image" Target="media/image4.png"/><Relationship Id="rId42" Type="http://schemas.openxmlformats.org/officeDocument/2006/relationships/image" Target="media/image3.jpeg"/><Relationship Id="rId41" Type="http://schemas.openxmlformats.org/officeDocument/2006/relationships/image" Target="media/image2.jpeg"/><Relationship Id="rId40" Type="http://schemas.openxmlformats.org/officeDocument/2006/relationships/image" Target="media/image1.png"/><Relationship Id="rId4" Type="http://schemas.openxmlformats.org/officeDocument/2006/relationships/header" Target="header2.xml"/><Relationship Id="rId39" Type="http://schemas.openxmlformats.org/officeDocument/2006/relationships/theme" Target="theme/theme1.xml"/><Relationship Id="rId38" Type="http://schemas.openxmlformats.org/officeDocument/2006/relationships/footer" Target="footer26.xml"/><Relationship Id="rId37" Type="http://schemas.openxmlformats.org/officeDocument/2006/relationships/header" Target="header10.xml"/><Relationship Id="rId36" Type="http://schemas.openxmlformats.org/officeDocument/2006/relationships/footer" Target="footer25.xml"/><Relationship Id="rId35" Type="http://schemas.openxmlformats.org/officeDocument/2006/relationships/footer" Target="footer24.xml"/><Relationship Id="rId34" Type="http://schemas.openxmlformats.org/officeDocument/2006/relationships/header" Target="header9.xml"/><Relationship Id="rId33" Type="http://schemas.openxmlformats.org/officeDocument/2006/relationships/header" Target="header8.xml"/><Relationship Id="rId32" Type="http://schemas.openxmlformats.org/officeDocument/2006/relationships/footer" Target="footer23.xml"/><Relationship Id="rId31" Type="http://schemas.openxmlformats.org/officeDocument/2006/relationships/footer" Target="footer22.xml"/><Relationship Id="rId30" Type="http://schemas.openxmlformats.org/officeDocument/2006/relationships/footer" Target="footer21.xml"/><Relationship Id="rId3" Type="http://schemas.openxmlformats.org/officeDocument/2006/relationships/header" Target="header1.xml"/><Relationship Id="rId29" Type="http://schemas.openxmlformats.org/officeDocument/2006/relationships/footer" Target="footer20.xml"/><Relationship Id="rId28" Type="http://schemas.openxmlformats.org/officeDocument/2006/relationships/footer" Target="footer19.xml"/><Relationship Id="rId27" Type="http://schemas.openxmlformats.org/officeDocument/2006/relationships/header" Target="header7.xml"/><Relationship Id="rId26" Type="http://schemas.openxmlformats.org/officeDocument/2006/relationships/footer" Target="footer18.xml"/><Relationship Id="rId25" Type="http://schemas.openxmlformats.org/officeDocument/2006/relationships/footer" Target="footer17.xml"/><Relationship Id="rId24" Type="http://schemas.openxmlformats.org/officeDocument/2006/relationships/footer" Target="footer16.xml"/><Relationship Id="rId23" Type="http://schemas.openxmlformats.org/officeDocument/2006/relationships/footer" Target="footer15.xml"/><Relationship Id="rId22" Type="http://schemas.openxmlformats.org/officeDocument/2006/relationships/footer" Target="footer14.xml"/><Relationship Id="rId21" Type="http://schemas.openxmlformats.org/officeDocument/2006/relationships/footer" Target="footer13.xml"/><Relationship Id="rId20" Type="http://schemas.openxmlformats.org/officeDocument/2006/relationships/footer" Target="footer12.xml"/><Relationship Id="rId2" Type="http://schemas.openxmlformats.org/officeDocument/2006/relationships/settings" Target="settings.xml"/><Relationship Id="rId19" Type="http://schemas.openxmlformats.org/officeDocument/2006/relationships/footer" Target="footer11.xml"/><Relationship Id="rId18" Type="http://schemas.openxmlformats.org/officeDocument/2006/relationships/footer" Target="footer10.xml"/><Relationship Id="rId17" Type="http://schemas.openxmlformats.org/officeDocument/2006/relationships/footer" Target="footer9.xml"/><Relationship Id="rId16" Type="http://schemas.openxmlformats.org/officeDocument/2006/relationships/header" Target="header6.xml"/><Relationship Id="rId15" Type="http://schemas.openxmlformats.org/officeDocument/2006/relationships/footer" Target="footer8.xml"/><Relationship Id="rId14" Type="http://schemas.openxmlformats.org/officeDocument/2006/relationships/footer" Target="footer7.xml"/><Relationship Id="rId13" Type="http://schemas.openxmlformats.org/officeDocument/2006/relationships/header" Target="header5.xml"/><Relationship Id="rId12" Type="http://schemas.openxmlformats.org/officeDocument/2006/relationships/footer" Target="footer6.xml"/><Relationship Id="rId11" Type="http://schemas.openxmlformats.org/officeDocument/2006/relationships/footer" Target="footer5.xml"/><Relationship Id="rId10" Type="http://schemas.openxmlformats.org/officeDocument/2006/relationships/footer" Target="footer4.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7A6BCB5-8565-497A-8199-8C5C26F598B4}">
  <ds:schemaRefs/>
</ds:datastoreItem>
</file>

<file path=docProps/app.xml><?xml version="1.0" encoding="utf-8"?>
<Properties xmlns="http://schemas.openxmlformats.org/officeDocument/2006/extended-properties" xmlns:vt="http://schemas.openxmlformats.org/officeDocument/2006/docPropsVTypes">
  <Template>Normal.dotm</Template>
  <Company>P R C</Company>
  <Pages>90</Pages>
  <Words>2121</Words>
  <Characters>2401</Characters>
  <Lines>1912</Lines>
  <Paragraphs>1858</Paragraphs>
  <TotalTime>112</TotalTime>
  <ScaleCrop>false</ScaleCrop>
  <LinksUpToDate>false</LinksUpToDate>
  <CharactersWithSpaces>2516</CharactersWithSpaces>
  <Application>WPS Office_12.1.0.24657_F1E327BC-269C-435d-A152-05C5408002CA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2021-05-28T09:26:00Z</dcterms:created>
  <dc:creator>ZQNet</dc:creator>
  <cp:lastModifiedBy>张鹏博</cp:lastModifiedBy>
  <cp:lastPrinted>2024-12-03T01:56:00Z</cp:lastPrinted>
  <dcterms:modified xsi:type="dcterms:W3CDTF">2026-02-06T07:57:31Z</dcterms:modified>
  <cp:revision>141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2052-12.1.0.24657</vt:lpwstr>
  </property>
  <property fmtid="{D5CDD505-2E9C-101B-9397-08002B2CF9AE}" pid="3" name="ICV">
    <vt:lpwstr>3DF1094729BA44B08F199DC46C7998DB_13</vt:lpwstr>
  </property>
  <property fmtid="{D5CDD505-2E9C-101B-9397-08002B2CF9AE}" pid="4" name="KSOTemplateDocerSaveRecord">
    <vt:lpwstr>eyJoZGlkIjoiODY0NTcxYjI4Y2NjNTJkNmIwYzM2NDk2ZTI0NWYxZjQiLCJ1c2VySWQiOiIxNjcxODY1NzIwIn0=</vt:lpwstr>
  </property>
</Properties>
</file>