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中国重汽集团济南成型厂6300T、3150T热模锻生产线复产项目-新增10T行车</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中国重汽集团6300T、3150T热模锻生产线复产项目-新增10T行车</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44974482"/>
      <w:bookmarkEnd w:id="6"/>
      <w:bookmarkStart w:id="7" w:name="_Toc152045514"/>
      <w:bookmarkEnd w:id="7"/>
      <w:bookmarkStart w:id="8" w:name="_Toc285809451"/>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6300T、3150T热模锻生产线搬迁复产项目-新增10T行车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ZBGL2026010096</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济南成型厂党家庄厂区新增10吨双梁桥式起重机</w:t>
      </w:r>
      <w:r>
        <w:rPr>
          <w:rFonts w:hint="eastAsia" w:asciiTheme="minorEastAsia" w:hAnsiTheme="minorEastAsia" w:eastAsiaTheme="minorEastAsia" w:cstheme="minorEastAsia"/>
          <w:kern w:val="0"/>
          <w:sz w:val="24"/>
          <w:szCs w:val="24"/>
          <w:highlight w:val="none"/>
          <w:lang w:val="en-US" w:eastAsia="zh-CN" w:bidi="en-US"/>
        </w:rPr>
        <w:t>。</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pStyle w:val="24"/>
        <w:spacing w:line="360" w:lineRule="auto"/>
        <w:ind w:firstLine="480" w:firstLineChars="200"/>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经与招标人或其指派的答疑人员充分沟通确认基础上，由投标人在满足招标人所提出的、与本项目所有相关环节有关的所有费用；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highlight w:val="none"/>
        </w:rPr>
      </w:pPr>
      <w:r>
        <w:rPr>
          <w:rFonts w:hint="eastAsia" w:asciiTheme="minorEastAsia" w:hAnsiTheme="minorEastAsia" w:eastAsiaTheme="minorEastAsia" w:cstheme="minorEastAsia"/>
          <w:color w:val="000000"/>
          <w:kern w:val="0"/>
          <w:sz w:val="24"/>
          <w:szCs w:val="24"/>
          <w:lang w:val="en-US" w:eastAsia="zh-CN" w:bidi="ar"/>
        </w:rPr>
        <w:t>⑵所有报价货币单位为：万元（人民币），</w:t>
      </w:r>
      <w:r>
        <w:rPr>
          <w:rFonts w:hint="eastAsia"/>
          <w:b/>
          <w:bCs/>
          <w:highlight w:val="none"/>
        </w:rPr>
        <w:t>含税</w:t>
      </w:r>
      <w:r>
        <w:rPr>
          <w:rFonts w:hint="eastAsia"/>
          <w:highlight w:val="none"/>
        </w:rPr>
        <w:t>；</w:t>
      </w:r>
    </w:p>
    <w:p>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（4）项目预算：含税26.16万元。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7"/>
      <w:bookmarkStart w:id="15" w:name="OLE_LINK25"/>
      <w:bookmarkStart w:id="16" w:name="OLE_LINK26"/>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黑体" w:eastAsia="黑体"/>
          <w:b/>
          <w:bCs/>
          <w:sz w:val="36"/>
          <w:szCs w:val="36"/>
        </w:rPr>
        <w:t xml:space="preserve"> </w:t>
      </w: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sz w:val="24"/>
          <w:szCs w:val="24"/>
          <w:u w:val="single"/>
        </w:rPr>
        <w:t>济南成型厂6300T、3150T热模锻生产线复产</w:t>
      </w:r>
      <w:r>
        <w:rPr>
          <w:rFonts w:hint="eastAsia" w:ascii="宋体" w:hAnsi="宋体" w:eastAsia="宋体" w:cs="宋体"/>
          <w:sz w:val="24"/>
          <w:szCs w:val="24"/>
          <w:u w:val="single"/>
          <w:lang w:val="en-US" w:eastAsia="zh-CN"/>
        </w:rPr>
        <w:t>项目</w:t>
      </w:r>
      <w:r>
        <w:rPr>
          <w:rFonts w:hint="eastAsia" w:ascii="宋体" w:hAnsi="宋体" w:eastAsia="宋体" w:cs="宋体"/>
          <w:sz w:val="24"/>
          <w:szCs w:val="24"/>
          <w:u w:val="single"/>
        </w:rPr>
        <w:t>—新增10T行车</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bidi w:val="0"/>
        <w:rPr>
          <w:rFonts w:hint="eastAsia"/>
        </w:rPr>
      </w:pPr>
    </w:p>
    <w:p>
      <w:pPr>
        <w:bidi w:val="0"/>
        <w:rPr>
          <w:rFonts w:hint="eastAsia"/>
        </w:rPr>
      </w:pPr>
    </w:p>
    <w:p>
      <w:pPr>
        <w:bidi w:val="0"/>
        <w:rPr>
          <w:rFonts w:hint="eastAsia"/>
        </w:rPr>
      </w:pPr>
    </w:p>
    <w:p>
      <w:pPr>
        <w:rPr>
          <w:rFonts w:hint="eastAsia" w:ascii="宋体" w:hAnsi="宋体" w:eastAsia="宋体" w:cs="Times New Roman"/>
          <w:b/>
          <w:bCs/>
          <w:sz w:val="24"/>
          <w:szCs w:val="24"/>
        </w:rPr>
      </w:pPr>
      <w:r>
        <w:rPr>
          <w:rFonts w:hint="eastAsia" w:ascii="宋体" w:hAnsi="宋体" w:eastAsia="宋体" w:cs="Times New Roman"/>
          <w:b/>
          <w:bCs/>
          <w:sz w:val="24"/>
          <w:szCs w:val="24"/>
        </w:rPr>
        <w:br w:type="page"/>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双梁桥式起重机</w:t>
      </w:r>
      <w:r>
        <w:rPr>
          <w:rFonts w:hint="eastAsia" w:ascii="宋体" w:hAnsi="宋体" w:eastAsia="宋体" w:cs="宋体"/>
          <w:b w:val="0"/>
          <w:bCs w:val="0"/>
          <w:sz w:val="24"/>
          <w:szCs w:val="24"/>
          <w:highlight w:val="none"/>
          <w:u w:val="single"/>
          <w:lang w:eastAsia="zh-CN"/>
        </w:rPr>
        <w:t>（</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lang w:val="en-US" w:eastAsia="zh-CN"/>
        </w:rPr>
        <w:t>台</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393"/>
        <w:gridCol w:w="2169"/>
        <w:gridCol w:w="669"/>
        <w:gridCol w:w="770"/>
        <w:gridCol w:w="1399"/>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393"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2169" w:type="dxa"/>
            <w:vAlign w:val="center"/>
          </w:tcPr>
          <w:p>
            <w:pPr>
              <w:spacing w:line="560" w:lineRule="exact"/>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型号规格</w:t>
            </w:r>
          </w:p>
        </w:tc>
        <w:tc>
          <w:tcPr>
            <w:tcW w:w="669"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770"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399"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安装地点</w:t>
            </w:r>
          </w:p>
        </w:tc>
        <w:tc>
          <w:tcPr>
            <w:tcW w:w="1682"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93" w:type="dxa"/>
          </w:tcPr>
          <w:p>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10吨双梁桥式起重机（带遥控操作功能）</w:t>
            </w:r>
          </w:p>
        </w:tc>
        <w:tc>
          <w:tcPr>
            <w:tcW w:w="2169" w:type="dxa"/>
          </w:tcPr>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Gn=10t S=22.5m H=11.6m  A6</w:t>
            </w:r>
          </w:p>
        </w:tc>
        <w:tc>
          <w:tcPr>
            <w:tcW w:w="669" w:type="dxa"/>
          </w:tcPr>
          <w:p>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0" w:type="dxa"/>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99" w:type="dxa"/>
          </w:tcPr>
          <w:p>
            <w:pPr>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济南成型厂党家庄厂区</w:t>
            </w:r>
          </w:p>
        </w:tc>
        <w:tc>
          <w:tcPr>
            <w:tcW w:w="1682" w:type="dxa"/>
          </w:tcPr>
          <w:p>
            <w:pPr>
              <w:spacing w:line="56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交钥匙</w:t>
            </w:r>
          </w:p>
        </w:tc>
      </w:tr>
    </w:tbl>
    <w:p>
      <w:pPr>
        <w:spacing w:line="360" w:lineRule="auto"/>
        <w:ind w:firstLine="480" w:firstLineChars="200"/>
        <w:rPr>
          <w:rFonts w:hint="eastAsia" w:ascii="宋体" w:hAnsi="宋体" w:eastAsia="宋体" w:cs="宋体"/>
          <w:bCs/>
          <w:sz w:val="24"/>
          <w:szCs w:val="24"/>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9"/>
        </w:numPr>
        <w:spacing w:line="360" w:lineRule="auto"/>
        <w:ind w:left="150" w:leftChars="0" w:firstLine="480" w:firstLineChars="0"/>
        <w:rPr>
          <w:szCs w:val="21"/>
        </w:rPr>
      </w:pP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相关设备线路，特种设备登记检验等</w:t>
      </w:r>
      <w:r>
        <w:rPr>
          <w:rFonts w:hint="eastAsia" w:ascii="宋体" w:hAnsi="宋体" w:eastAsia="宋体" w:cs="宋体"/>
          <w:bCs/>
          <w:sz w:val="24"/>
          <w:szCs w:val="24"/>
        </w:rPr>
        <w:t>。</w:t>
      </w:r>
    </w:p>
    <w:p>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pPr>
        <w:pStyle w:val="24"/>
        <w:rPr>
          <w:rFonts w:hAnsi="宋体" w:eastAsia="宋体" w:cs="宋体"/>
          <w:bCs/>
          <w:sz w:val="24"/>
          <w:highlight w:val="yellow"/>
        </w:rPr>
      </w:pP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spacing w:line="420" w:lineRule="exact"/>
              <w:jc w:val="center"/>
              <w:rPr>
                <w:szCs w:val="21"/>
                <w:highlight w:val="none"/>
              </w:rPr>
            </w:pPr>
            <w:r>
              <w:rPr>
                <w:kern w:val="0"/>
                <w:szCs w:val="21"/>
                <w:highlight w:val="none"/>
              </w:rPr>
              <w:t>序号</w:t>
            </w:r>
          </w:p>
        </w:tc>
        <w:tc>
          <w:tcPr>
            <w:tcW w:w="2835" w:type="dxa"/>
            <w:shd w:val="clear" w:color="auto" w:fill="auto"/>
            <w:vAlign w:val="center"/>
          </w:tcPr>
          <w:p>
            <w:pPr>
              <w:spacing w:line="420" w:lineRule="exact"/>
              <w:jc w:val="center"/>
              <w:rPr>
                <w:szCs w:val="21"/>
                <w:highlight w:val="yellow"/>
              </w:rPr>
            </w:pPr>
            <w:r>
              <w:rPr>
                <w:kern w:val="0"/>
                <w:szCs w:val="21"/>
                <w:highlight w:val="none"/>
              </w:rPr>
              <w:t>器件名称</w:t>
            </w:r>
          </w:p>
        </w:tc>
        <w:tc>
          <w:tcPr>
            <w:tcW w:w="3266" w:type="dxa"/>
            <w:shd w:val="clear" w:color="auto" w:fill="auto"/>
            <w:vAlign w:val="center"/>
          </w:tcPr>
          <w:p>
            <w:pPr>
              <w:widowControl/>
              <w:spacing w:line="24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yellow"/>
                <w:lang w:bidi="ar"/>
              </w:rPr>
              <w:t>品牌</w:t>
            </w:r>
            <w:r>
              <w:rPr>
                <w:rFonts w:hint="eastAsia" w:ascii="宋体" w:hAnsi="宋体" w:eastAsia="宋体" w:cs="宋体"/>
                <w:color w:val="000000"/>
                <w:kern w:val="0"/>
                <w:sz w:val="22"/>
                <w:szCs w:val="22"/>
                <w:highlight w:val="yellow"/>
                <w:lang w:eastAsia="zh-CN" w:bidi="ar"/>
              </w:rPr>
              <w:t>（</w:t>
            </w:r>
            <w:r>
              <w:rPr>
                <w:rFonts w:hint="eastAsia" w:ascii="宋体" w:hAnsi="宋体" w:eastAsia="宋体" w:cs="宋体"/>
                <w:color w:val="000000"/>
                <w:kern w:val="0"/>
                <w:sz w:val="22"/>
                <w:szCs w:val="22"/>
                <w:highlight w:val="yellow"/>
                <w:lang w:val="en-US" w:eastAsia="zh-CN" w:bidi="ar"/>
              </w:rPr>
              <w:t>不指定品牌，仅作参考，与参考不一致，需在技术偏离表中写明）</w:t>
            </w:r>
          </w:p>
        </w:tc>
        <w:tc>
          <w:tcPr>
            <w:tcW w:w="1971" w:type="dxa"/>
            <w:shd w:val="clear" w:color="auto" w:fill="auto"/>
            <w:vAlign w:val="center"/>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w:t>
            </w:r>
          </w:p>
        </w:tc>
        <w:tc>
          <w:tcPr>
            <w:tcW w:w="2835" w:type="dxa"/>
            <w:shd w:val="clear" w:color="auto" w:fill="auto"/>
            <w:vAlign w:val="center"/>
          </w:tcPr>
          <w:p>
            <w:pPr>
              <w:widowControl/>
              <w:jc w:val="center"/>
              <w:textAlignment w:val="center"/>
              <w:rPr>
                <w:rFonts w:hint="eastAsia" w:eastAsiaTheme="minorEastAsia"/>
                <w:kern w:val="0"/>
                <w:szCs w:val="21"/>
                <w:highlight w:val="yellow"/>
                <w:lang w:val="en-US" w:eastAsia="zh-CN"/>
              </w:rPr>
            </w:pPr>
            <w:r>
              <w:rPr>
                <w:rFonts w:hint="eastAsia" w:ascii="宋体" w:hAnsi="宋体" w:eastAsia="宋体" w:cs="宋体"/>
                <w:kern w:val="0"/>
                <w:sz w:val="22"/>
                <w:szCs w:val="22"/>
                <w:highlight w:val="none"/>
                <w:lang w:val="en-US" w:eastAsia="zh-CN"/>
              </w:rPr>
              <w:t>电机</w:t>
            </w:r>
          </w:p>
        </w:tc>
        <w:tc>
          <w:tcPr>
            <w:tcW w:w="3266"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佳木斯电机股份/江苏宏达/锦州东洋电机</w:t>
            </w:r>
          </w:p>
        </w:tc>
        <w:tc>
          <w:tcPr>
            <w:tcW w:w="1971" w:type="dxa"/>
            <w:shd w:val="clear" w:color="auto" w:fill="auto"/>
            <w:vAlign w:val="center"/>
          </w:tcPr>
          <w:p>
            <w:pPr>
              <w:spacing w:line="420" w:lineRule="exact"/>
              <w:jc w:val="center"/>
              <w:rPr>
                <w:rFonts w:hint="default" w:eastAsiaTheme="minorEastAsia"/>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2</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bidi="ar"/>
              </w:rPr>
              <w:t>西门子</w:t>
            </w:r>
            <w:r>
              <w:rPr>
                <w:rFonts w:hint="eastAsia" w:ascii="宋体" w:hAnsi="宋体" w:eastAsia="宋体" w:cs="宋体"/>
                <w:color w:val="000000"/>
                <w:kern w:val="0"/>
                <w:sz w:val="22"/>
                <w:szCs w:val="22"/>
                <w:highlight w:val="none"/>
                <w:lang w:val="en-US" w:eastAsia="zh-CN" w:bidi="ar"/>
              </w:rPr>
              <w:t>/欧姆龙</w:t>
            </w:r>
            <w:r>
              <w:rPr>
                <w:rFonts w:hint="eastAsia" w:ascii="宋体" w:hAnsi="宋体" w:eastAsia="宋体" w:cs="宋体"/>
                <w:color w:val="000000"/>
                <w:kern w:val="0"/>
                <w:sz w:val="22"/>
                <w:szCs w:val="22"/>
                <w:highlight w:val="none"/>
                <w:lang w:bidi="ar"/>
              </w:rPr>
              <w:t>/正泰</w:t>
            </w:r>
            <w:r>
              <w:rPr>
                <w:rFonts w:hint="eastAsia" w:ascii="宋体" w:hAnsi="宋体" w:eastAsia="宋体" w:cs="宋体"/>
                <w:color w:val="000000"/>
                <w:kern w:val="0"/>
                <w:sz w:val="22"/>
                <w:szCs w:val="22"/>
                <w:highlight w:val="none"/>
                <w:lang w:val="en-US" w:eastAsia="zh-CN" w:bidi="ar"/>
              </w:rPr>
              <w:t>/施耐德</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3</w:t>
            </w:r>
          </w:p>
        </w:tc>
        <w:tc>
          <w:tcPr>
            <w:tcW w:w="2835"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西门子/</w:t>
            </w:r>
            <w:r>
              <w:rPr>
                <w:rFonts w:hint="eastAsia" w:ascii="宋体" w:hAnsi="宋体" w:eastAsia="宋体" w:cs="宋体"/>
                <w:color w:val="000000"/>
                <w:kern w:val="0"/>
                <w:sz w:val="22"/>
                <w:szCs w:val="22"/>
                <w:highlight w:val="none"/>
                <w:lang w:bidi="ar"/>
              </w:rPr>
              <w:t>正泰/</w:t>
            </w:r>
            <w:r>
              <w:rPr>
                <w:rFonts w:hint="eastAsia" w:ascii="宋体" w:hAnsi="宋体" w:eastAsia="宋体" w:cs="宋体"/>
                <w:color w:val="000000"/>
                <w:kern w:val="0"/>
                <w:sz w:val="22"/>
                <w:szCs w:val="22"/>
                <w:highlight w:val="none"/>
                <w:lang w:val="en-US" w:eastAsia="zh-CN" w:bidi="ar"/>
              </w:rPr>
              <w:t>施耐德/欧姆龙</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4</w:t>
            </w:r>
          </w:p>
        </w:tc>
        <w:tc>
          <w:tcPr>
            <w:tcW w:w="2835"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减速机</w:t>
            </w:r>
          </w:p>
        </w:tc>
        <w:tc>
          <w:tcPr>
            <w:tcW w:w="3266" w:type="dxa"/>
            <w:shd w:val="clear" w:color="auto" w:fill="auto"/>
            <w:vAlign w:val="center"/>
          </w:tcPr>
          <w:p>
            <w:pPr>
              <w:pStyle w:val="2"/>
              <w:jc w:val="center"/>
              <w:rPr>
                <w:rFonts w:hint="default" w:eastAsia="宋体"/>
                <w:b w:val="0"/>
                <w:bCs w:val="0"/>
                <w:szCs w:val="22"/>
                <w:highlight w:val="none"/>
                <w:lang w:val="en-US" w:eastAsia="zh-CN"/>
              </w:rPr>
            </w:pPr>
            <w:r>
              <w:rPr>
                <w:rFonts w:hint="eastAsia" w:ascii="宋体" w:hAnsi="宋体" w:eastAsia="宋体" w:cs="宋体"/>
                <w:b w:val="0"/>
                <w:bCs w:val="0"/>
                <w:sz w:val="24"/>
                <w:szCs w:val="24"/>
                <w:highlight w:val="none"/>
              </w:rPr>
              <w:t>泰兴泰隆</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东泰</w:t>
            </w:r>
            <w:r>
              <w:rPr>
                <w:rFonts w:hint="eastAsia" w:ascii="宋体" w:hAnsi="宋体" w:eastAsia="宋体" w:cs="宋体"/>
                <w:b w:val="0"/>
                <w:bCs w:val="0"/>
                <w:sz w:val="24"/>
                <w:szCs w:val="24"/>
                <w:highlight w:val="none"/>
                <w:lang w:val="en-US" w:eastAsia="zh-CN"/>
              </w:rPr>
              <w:t>/普瑞</w:t>
            </w:r>
          </w:p>
        </w:tc>
        <w:tc>
          <w:tcPr>
            <w:tcW w:w="1971" w:type="dxa"/>
            <w:shd w:val="clear" w:color="auto" w:fill="auto"/>
            <w:vAlign w:val="center"/>
          </w:tcPr>
          <w:p>
            <w:pPr>
              <w:spacing w:line="420" w:lineRule="exact"/>
              <w:jc w:val="center"/>
              <w:rPr>
                <w:rFonts w:hint="default" w:eastAsiaTheme="minorEastAsia"/>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5</w:t>
            </w:r>
          </w:p>
        </w:tc>
        <w:tc>
          <w:tcPr>
            <w:tcW w:w="2835"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制动器</w:t>
            </w:r>
          </w:p>
        </w:tc>
        <w:tc>
          <w:tcPr>
            <w:tcW w:w="3266" w:type="dxa"/>
            <w:shd w:val="clear" w:color="auto" w:fill="auto"/>
            <w:vAlign w:val="center"/>
          </w:tcPr>
          <w:p>
            <w:pPr>
              <w:pStyle w:val="2"/>
              <w:jc w:val="center"/>
              <w:rPr>
                <w:rFonts w:hint="default"/>
                <w:b w:val="0"/>
                <w:bCs w:val="0"/>
                <w:sz w:val="22"/>
                <w:szCs w:val="22"/>
                <w:highlight w:val="none"/>
                <w:lang w:val="en-US" w:eastAsia="zh-CN"/>
              </w:rPr>
            </w:pPr>
            <w:r>
              <w:rPr>
                <w:rFonts w:hint="eastAsia" w:ascii="宋体" w:hAnsi="宋体" w:eastAsia="宋体" w:cs="宋体"/>
                <w:b w:val="0"/>
                <w:bCs w:val="0"/>
                <w:sz w:val="24"/>
                <w:szCs w:val="24"/>
                <w:highlight w:val="none"/>
              </w:rPr>
              <w:t>河南焦作</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中原</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长虹</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6</w:t>
            </w:r>
          </w:p>
        </w:tc>
        <w:tc>
          <w:tcPr>
            <w:tcW w:w="2835"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遥控器</w:t>
            </w:r>
          </w:p>
        </w:tc>
        <w:tc>
          <w:tcPr>
            <w:tcW w:w="3266" w:type="dxa"/>
            <w:shd w:val="clear" w:color="auto" w:fill="auto"/>
            <w:vAlign w:val="center"/>
          </w:tcPr>
          <w:p>
            <w:pPr>
              <w:pStyle w:val="2"/>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禹鼎/嘉科</w:t>
            </w:r>
          </w:p>
        </w:tc>
        <w:tc>
          <w:tcPr>
            <w:tcW w:w="1971" w:type="dxa"/>
            <w:shd w:val="clear" w:color="auto" w:fill="auto"/>
            <w:vAlign w:val="center"/>
          </w:tcPr>
          <w:p>
            <w:pPr>
              <w:spacing w:line="420" w:lineRule="exact"/>
              <w:jc w:val="center"/>
              <w:rPr>
                <w:kern w:val="0"/>
                <w:szCs w:val="21"/>
                <w:highlight w:val="none"/>
              </w:rPr>
            </w:pPr>
          </w:p>
        </w:tc>
      </w:tr>
    </w:tbl>
    <w:p>
      <w:pPr>
        <w:widowControl w:val="0"/>
        <w:numPr>
          <w:ilvl w:val="0"/>
          <w:numId w:val="0"/>
        </w:numPr>
        <w:tabs>
          <w:tab w:val="left" w:pos="312"/>
        </w:tabs>
        <w:spacing w:line="360" w:lineRule="auto"/>
        <w:jc w:val="both"/>
        <w:rPr>
          <w:szCs w:val="21"/>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0"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0"/>
    </w:p>
    <w:p>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val="en-US" w:eastAsia="zh-CN"/>
        </w:rPr>
        <w:t>程序</w:t>
      </w:r>
      <w:r>
        <w:rPr>
          <w:rFonts w:hint="eastAsia" w:ascii="宋体" w:hAnsi="宋体" w:eastAsia="宋体" w:cs="Times New Roman"/>
          <w:sz w:val="24"/>
          <w:szCs w:val="24"/>
        </w:rPr>
        <w:t>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hint="eastAsia" w:eastAsia="宋体" w:cs="宋体"/>
          <w:b/>
          <w:bCs w:val="0"/>
          <w:sz w:val="24"/>
          <w:szCs w:val="24"/>
          <w:highlight w:val="yellow"/>
        </w:rPr>
      </w:pPr>
      <w:r>
        <w:rPr>
          <w:rFonts w:hint="eastAsia" w:ascii="宋体" w:hAnsi="宋体" w:eastAsia="宋体" w:cs="Times New Roman"/>
          <w:sz w:val="24"/>
          <w:highlight w:val="none"/>
        </w:rPr>
        <w:t>关于投标方货物中所供电机：</w:t>
      </w:r>
      <w:r>
        <w:rPr>
          <w:rFonts w:ascii="宋体" w:hAnsi="宋体" w:eastAsia="宋体" w:cs="Times New Roman"/>
          <w:b/>
          <w:bCs/>
          <w:sz w:val="24"/>
          <w:highlight w:val="none"/>
        </w:rPr>
        <w:t>电机必须选用一级能效</w:t>
      </w:r>
      <w:r>
        <w:rPr>
          <w:rFonts w:ascii="宋体" w:hAnsi="宋体" w:eastAsia="宋体" w:cs="Times New Roman"/>
          <w:sz w:val="24"/>
          <w:highlight w:val="none"/>
        </w:rPr>
        <w:t>。空调必须选用一级能效</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变压器优先选用二级能效。</w:t>
      </w:r>
    </w:p>
    <w:p>
      <w:pPr>
        <w:pStyle w:val="236"/>
        <w:numPr>
          <w:ilvl w:val="0"/>
          <w:numId w:val="10"/>
        </w:numPr>
        <w:spacing w:line="360" w:lineRule="auto"/>
        <w:ind w:left="0" w:leftChars="0" w:firstLine="420" w:firstLineChars="0"/>
        <w:outlineLvl w:val="2"/>
        <w:rPr>
          <w:rFonts w:hint="eastAsia" w:ascii="仿宋_GB2312" w:hAnsi="仿宋_GB2312" w:eastAsia="仿宋_GB2312" w:cs="仿宋_GB2312"/>
          <w:b w:val="0"/>
          <w:bCs w:val="0"/>
          <w:sz w:val="24"/>
          <w:szCs w:val="24"/>
          <w:lang w:val="en-US" w:eastAsia="zh-CN"/>
        </w:rPr>
      </w:pPr>
      <w:r>
        <w:rPr>
          <w:rFonts w:hint="eastAsia" w:eastAsia="宋体" w:cs="宋体"/>
          <w:b/>
          <w:bCs w:val="0"/>
          <w:sz w:val="24"/>
          <w:szCs w:val="24"/>
          <w:highlight w:val="none"/>
        </w:rPr>
        <w:t>技术要求</w:t>
      </w:r>
      <w:bookmarkStart w:id="21" w:name="_Toc169605881"/>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w:t>
      </w:r>
      <w:r>
        <w:rPr>
          <w:rFonts w:hint="eastAsia" w:ascii="宋体" w:hAnsi="宋体" w:eastAsia="宋体" w:cs="Times New Roman"/>
          <w:sz w:val="24"/>
          <w:highlight w:val="none"/>
        </w:rPr>
        <w:t>供方提供的起重设备应是功能完整、技术先进、经济合理、成熟可靠的产品，并具有较高的灵活性，能够满足</w:t>
      </w:r>
      <w:r>
        <w:rPr>
          <w:rFonts w:hint="eastAsia" w:ascii="宋体" w:hAnsi="宋体" w:eastAsia="宋体" w:cs="Times New Roman"/>
          <w:sz w:val="24"/>
          <w:highlight w:val="none"/>
          <w:lang w:val="en-US" w:eastAsia="zh-CN"/>
        </w:rPr>
        <w:t>6300线、3150线、下料线等</w:t>
      </w:r>
      <w:r>
        <w:rPr>
          <w:rFonts w:hint="eastAsia" w:ascii="宋体" w:hAnsi="宋体" w:eastAsia="宋体" w:cs="Times New Roman"/>
          <w:sz w:val="24"/>
          <w:highlight w:val="none"/>
        </w:rPr>
        <w:t>运行方式的需要，</w:t>
      </w:r>
      <w:r>
        <w:rPr>
          <w:rFonts w:hint="eastAsia" w:ascii="宋体" w:hAnsi="宋体" w:eastAsia="宋体" w:cs="Times New Roman"/>
          <w:sz w:val="24"/>
          <w:highlight w:val="none"/>
          <w:lang w:val="zh-CN"/>
        </w:rPr>
        <w:t>并能满足人身安全和劳动保护条件，</w:t>
      </w:r>
      <w:r>
        <w:rPr>
          <w:rFonts w:hint="eastAsia" w:ascii="宋体" w:hAnsi="宋体" w:eastAsia="宋体" w:cs="Times New Roman"/>
          <w:sz w:val="24"/>
          <w:highlight w:val="none"/>
        </w:rPr>
        <w:t>应保证</w:t>
      </w:r>
      <w:r>
        <w:rPr>
          <w:rFonts w:hint="eastAsia" w:ascii="宋体" w:hAnsi="宋体" w:eastAsia="宋体" w:cs="Times New Roman"/>
          <w:sz w:val="24"/>
          <w:highlight w:val="none"/>
          <w:lang w:val="en-US" w:eastAsia="zh-CN"/>
        </w:rPr>
        <w:t>产线</w:t>
      </w:r>
      <w:r>
        <w:rPr>
          <w:rFonts w:hint="eastAsia" w:ascii="宋体" w:hAnsi="宋体" w:eastAsia="宋体" w:cs="Times New Roman"/>
          <w:sz w:val="24"/>
          <w:highlight w:val="none"/>
        </w:rPr>
        <w:t>都能长期连续、安全、稳定、可靠地运行。</w:t>
      </w:r>
    </w:p>
    <w:p>
      <w:pPr>
        <w:bidi w:val="0"/>
        <w:rPr>
          <w:rFonts w:hint="eastAsia" w:ascii="宋体" w:hAnsi="宋体" w:eastAsia="宋体" w:cs="宋体"/>
          <w:sz w:val="24"/>
          <w:szCs w:val="24"/>
          <w:lang w:val="en-US" w:eastAsia="zh-CN"/>
        </w:rPr>
      </w:pPr>
    </w:p>
    <w:p>
      <w:pPr>
        <w:numPr>
          <w:ilvl w:val="0"/>
          <w:numId w:val="0"/>
        </w:numPr>
        <w:spacing w:line="24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2.参数表</w:t>
      </w:r>
    </w:p>
    <w:tbl>
      <w:tblPr>
        <w:tblStyle w:val="48"/>
        <w:tblW w:w="6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2784"/>
        <w:gridCol w:w="3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87" w:hRule="atLeast"/>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主要技术参数</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10吨电动双梁桥式起重机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84" w:hRule="atLeast"/>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工作电源</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三相380V /50Hz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起重量</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轨距</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22.5米(详细尺寸投标方现场测量）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轨顶高度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12米（详细尺寸投标方现场测量）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起升速度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全载8.0-11.0m/min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大车运行速度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60-72m/min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小车运行速度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36-46m/min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大车轨道型号</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QU100（投标方现场落实详细尺寸）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操作方式</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司机室（安装空调）+遥控操作(二者可切换、互锁）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46" w:hRule="atLeast"/>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导电形式</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角铁补偿滑线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使用场所</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厂房长度</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轨道中心与同侧立柱距离</w:t>
            </w:r>
          </w:p>
        </w:tc>
        <w:tc>
          <w:tcPr>
            <w:tcW w:w="3291" w:type="dxa"/>
            <w:vAlign w:val="center"/>
          </w:tcPr>
          <w:p>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500mm（详细尺寸投标方现场测量）</w:t>
            </w:r>
          </w:p>
        </w:tc>
      </w:tr>
    </w:tbl>
    <w:p>
      <w:pPr>
        <w:bidi w:val="0"/>
        <w:rPr>
          <w:rFonts w:hint="eastAsia"/>
          <w:lang w:val="en-US" w:eastAsia="zh-CN"/>
        </w:rPr>
      </w:pP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 主要设备、零部件、元器件的选用和配置要求（包括特殊指定配置要求）：</w:t>
      </w:r>
    </w:p>
    <w:p>
      <w:pPr>
        <w:spacing w:line="360" w:lineRule="auto"/>
        <w:ind w:firstLine="480" w:firstLineChars="200"/>
        <w:rPr>
          <w:rFonts w:hint="eastAsia" w:ascii="宋体" w:hAnsi="宋体" w:eastAsia="宋体" w:cs="Times New Roman"/>
          <w:sz w:val="24"/>
          <w:highlight w:val="none"/>
          <w:lang w:val="zh-CN"/>
        </w:rPr>
      </w:pPr>
      <w:r>
        <w:rPr>
          <w:rFonts w:hint="eastAsia" w:ascii="宋体" w:hAnsi="宋体" w:eastAsia="宋体" w:cs="Times New Roman"/>
          <w:sz w:val="24"/>
          <w:highlight w:val="none"/>
        </w:rPr>
        <w:t>起重设备采用箱型梁结构，经计算优化设计，具有足够的强度，刚度和稳定性；</w:t>
      </w:r>
      <w:r>
        <w:rPr>
          <w:rFonts w:hint="eastAsia" w:ascii="宋体" w:hAnsi="宋体" w:eastAsia="宋体" w:cs="Times New Roman"/>
          <w:sz w:val="24"/>
          <w:highlight w:val="none"/>
          <w:lang w:val="zh-CN"/>
        </w:rPr>
        <w:t>各部件均正确设计和制造，无过度的应力、振动、温升、磨损、腐蚀、老化等缺陷，不得提供带有试制性质的部件或产品。驾驶室配置空调，并符合安全用电要求。</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3.1  桥梁部分：</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主梁</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箱型梁结构，采用优质的Q235B或Q355B材质；焊缝不得出现烧穿、裂纹及未熔合等缺陷进行整体退火处理，消除内应力。设备主要铸件不应有夹层、折叠、裂纹、结疤等缺陷。</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端梁</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箱型梁结构，与主梁焊接或高强度螺栓连接（防松），保证整体刚性。端梁两端配制双轮缘车轮和防脱轨装置。</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焊接与探伤</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主要焊缝采用CO2气体保护焊，焊缝质量符合GB/T 3323标准。对主要受力焊缝进行无损探伤检测并出具探伤报告。</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3.2  大车运行机构：</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驱动方式</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电机、减速机、制动器；电机（江苏宏达、佳木斯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）、制动器（河南焦作</w:t>
      </w:r>
      <w:r>
        <w:rPr>
          <w:rFonts w:hint="eastAsia" w:ascii="宋体" w:hAnsi="宋体" w:eastAsia="宋体" w:cs="Times New Roman"/>
          <w:sz w:val="24"/>
          <w:highlight w:val="none"/>
          <w:lang w:val="en-US" w:eastAsia="zh-CN"/>
        </w:rPr>
        <w:t>机床厂</w:t>
      </w:r>
      <w:r>
        <w:rPr>
          <w:rFonts w:hint="eastAsia" w:ascii="宋体" w:hAnsi="宋体" w:eastAsia="宋体" w:cs="Times New Roman"/>
          <w:sz w:val="24"/>
          <w:highlight w:val="none"/>
        </w:rPr>
        <w:t>、中原、长虹）、减速器（泰兴泰隆、东泰</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普瑞</w:t>
      </w:r>
      <w:r>
        <w:rPr>
          <w:rFonts w:hint="eastAsia" w:ascii="宋体" w:hAnsi="宋体" w:eastAsia="宋体" w:cs="Times New Roman"/>
          <w:sz w:val="24"/>
          <w:highlight w:val="none"/>
        </w:rPr>
        <w:t>）或同等优质品牌。</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缓冲器</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桥梁两端设置聚氨酯或弹簧缓冲器并与车间现用75t双梁行车之缓冲器保持同心安装。</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3.3  小车：</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钢板焊接框架式结构；运行机构采用电机、减速机、制动器驱动方式，保证运行平稳、定位准确；电机（江苏宏达、佳木斯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）、制动器（河南焦作</w:t>
      </w:r>
      <w:r>
        <w:rPr>
          <w:rFonts w:hint="eastAsia" w:ascii="宋体" w:hAnsi="宋体" w:eastAsia="宋体" w:cs="Times New Roman"/>
          <w:sz w:val="24"/>
          <w:highlight w:val="none"/>
          <w:lang w:val="en-US" w:eastAsia="zh-CN"/>
        </w:rPr>
        <w:t>机床厂</w:t>
      </w:r>
      <w:r>
        <w:rPr>
          <w:rFonts w:hint="eastAsia" w:ascii="宋体" w:hAnsi="宋体" w:eastAsia="宋体" w:cs="Times New Roman"/>
          <w:sz w:val="24"/>
          <w:highlight w:val="none"/>
        </w:rPr>
        <w:t>、中原、长虹）、减速器（泰兴泰隆、东泰</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普瑞</w:t>
      </w:r>
      <w:r>
        <w:rPr>
          <w:rFonts w:hint="eastAsia" w:ascii="宋体" w:hAnsi="宋体" w:eastAsia="宋体" w:cs="Times New Roman"/>
          <w:sz w:val="24"/>
          <w:highlight w:val="none"/>
        </w:rPr>
        <w:t>）或同等优质品牌；两端设置聚氨酯缓冲器或弹簧缓冲器；小车架安装随车照明射灯保证吊装位明亮、</w:t>
      </w:r>
      <w:r>
        <w:rPr>
          <w:rFonts w:hint="eastAsia" w:ascii="宋体" w:hAnsi="宋体" w:eastAsia="宋体" w:cs="Times New Roman"/>
          <w:sz w:val="24"/>
          <w:highlight w:val="none"/>
          <w:lang w:val="en-US" w:eastAsia="zh-CN"/>
        </w:rPr>
        <w:t xml:space="preserve"> </w:t>
      </w:r>
      <w:r>
        <w:rPr>
          <w:rFonts w:hint="eastAsia" w:ascii="宋体" w:hAnsi="宋体" w:eastAsia="宋体" w:cs="Times New Roman"/>
          <w:sz w:val="24"/>
          <w:highlight w:val="none"/>
        </w:rPr>
        <w:t>清晰保障安全。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3.4  起升机构：</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卷扬系统由电机、减速器、卷筒、钢丝绳、制动器等组成。</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电动机采用起重专用电机，绝缘等级F，防护等级IP55（江苏宏达、佳木斯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）或同等优质品牌，减速器采用硬齿面减速器，高承载、高寿命。</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制动系统：采用盘式制动器（或液压推杆制动器），配制双制动系统（电机自带制动+独立安全制动器），保证安全可靠。</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钢丝绳选用高强度、耐磨损的起重专用钢丝绳，安全系数≥6.</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吊钩配制10t锻造吊钩，配有防脱钩安全卡。</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3.5  电气控制系统：</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核心控制采用电阻器进行调速控制，实现起升、大车、小车运行的启动、停止。</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驾驶室控制 驾驶室宽敞明亮，视野开阔，配备联动台操作手柄，急停按钮、照明灯、空调等。钢化玻璃。</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遥控地面操作系统  遥控器采用工业级IP65防护等级的无线遥控器，品牌为（如禹鼎、嘉科等），具有急停按钮、工作状态指示灯，要信号传输稳定、抗干扰能力强；驾驶室与遥控操作设置电气互锁同一时间只能有一种操作方式生效确保安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6</w:t>
      </w:r>
      <w:r>
        <w:rPr>
          <w:rFonts w:hint="eastAsia" w:ascii="宋体" w:hAnsi="宋体" w:eastAsia="宋体" w:cs="Times New Roman"/>
          <w:sz w:val="24"/>
          <w:highlight w:val="none"/>
        </w:rPr>
        <w:t xml:space="preserve">  保养、维修、使用方便性要求：</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zh-CN"/>
        </w:rPr>
        <w:t>设备应考虑方便日常维护需要。</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 xml:space="preserve">  安全防护、环境保护、节能要求：</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投标方所供货物满足《起重机械安全技术规程-</w:t>
      </w:r>
      <w:r>
        <w:rPr>
          <w:rFonts w:hint="eastAsia" w:ascii="宋体" w:hAnsi="宋体" w:eastAsia="宋体" w:cs="宋体"/>
          <w:sz w:val="24"/>
          <w:szCs w:val="24"/>
        </w:rPr>
        <w:t>TSG51-2023</w:t>
      </w:r>
      <w:r>
        <w:rPr>
          <w:rFonts w:hint="eastAsia" w:ascii="宋体" w:hAnsi="宋体" w:eastAsia="宋体" w:cs="Times New Roman"/>
          <w:sz w:val="24"/>
          <w:highlight w:val="none"/>
          <w:lang w:val="en-US" w:eastAsia="zh-CN"/>
        </w:rPr>
        <w:t>》。</w:t>
      </w:r>
      <w:r>
        <w:rPr>
          <w:rFonts w:hint="eastAsia" w:ascii="宋体" w:hAnsi="宋体" w:eastAsia="宋体" w:cs="Times New Roman"/>
          <w:sz w:val="24"/>
          <w:highlight w:val="none"/>
        </w:rPr>
        <w:t>所选用的电动机型式与其所驱动的设备、运行条件、使用环境和维修要求相适应。选用效率高、节能、启动性能好、噪音低、振动小、运行可靠、使用维护方便的 三相异步电动机，符合IEC及国家有关标准的要求。电气保护功能。</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.1过流、过压、缺项保护；电压保护器。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.2起升高度限位器（双重保护：重锤式+螺旋式）</w:t>
      </w:r>
    </w:p>
    <w:p>
      <w:pPr>
        <w:spacing w:line="360" w:lineRule="auto"/>
        <w:ind w:left="479" w:leftChars="228" w:firstLine="0" w:firstLineChars="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.3大小车两端行程限位器与原75T双梁行车匹配安装位置。配制轨道扫轨板。3.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.4设置登机断电开关（检修使用）。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.4起重限制器（超载保护，声光报警并自动切断）</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8</w:t>
      </w:r>
      <w:r>
        <w:rPr>
          <w:rFonts w:hint="eastAsia" w:ascii="宋体" w:hAnsi="宋体" w:eastAsia="宋体" w:cs="Times New Roman"/>
          <w:sz w:val="24"/>
          <w:highlight w:val="none"/>
        </w:rPr>
        <w:t xml:space="preserve">  外观色彩、外观造型要求：</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rPr>
        <w:t>起重设备</w:t>
      </w:r>
      <w:r>
        <w:rPr>
          <w:rFonts w:hint="eastAsia" w:ascii="宋体" w:hAnsi="宋体" w:eastAsia="宋体" w:cs="Times New Roman"/>
          <w:sz w:val="24"/>
          <w:highlight w:val="none"/>
          <w:lang w:val="zh-CN"/>
        </w:rPr>
        <w:t>的涂漆应符合JB/T4297的规定</w:t>
      </w:r>
      <w:r>
        <w:rPr>
          <w:rFonts w:hint="eastAsia" w:ascii="宋体" w:hAnsi="宋体" w:eastAsia="宋体" w:cs="Times New Roman"/>
          <w:sz w:val="24"/>
          <w:highlight w:val="none"/>
        </w:rPr>
        <w:t>的安全色。</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4.其他要求</w:t>
      </w:r>
    </w:p>
    <w:p>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4.1</w:t>
      </w:r>
      <w:r>
        <w:rPr>
          <w:rFonts w:hint="eastAsia" w:ascii="宋体" w:hAnsi="宋体" w:eastAsia="宋体" w:cs="Times New Roman"/>
          <w:sz w:val="24"/>
          <w:highlight w:val="none"/>
          <w:lang w:eastAsia="zh-CN"/>
        </w:rPr>
        <w:t>投标方</w:t>
      </w:r>
      <w:r>
        <w:rPr>
          <w:rFonts w:hint="eastAsia" w:ascii="宋体" w:hAnsi="宋体" w:eastAsia="宋体" w:cs="Times New Roman"/>
          <w:sz w:val="24"/>
          <w:highlight w:val="none"/>
        </w:rPr>
        <w:t>应向甲方提供设备制造进度计划表，当实际进度严重偏离计划时，应向甲方说明</w:t>
      </w:r>
      <w:r>
        <w:rPr>
          <w:rFonts w:hint="eastAsia" w:ascii="宋体" w:hAnsi="宋体" w:eastAsia="宋体" w:cs="Times New Roman"/>
          <w:sz w:val="24"/>
          <w:highlight w:val="none"/>
          <w:lang w:eastAsia="zh-CN"/>
        </w:rPr>
        <w:t>。</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4.2 设备设计合理，制造精良，性能稳定可靠，且使用维修方便，造型美观。设备的结构应保证有足够的静态、动态、刚度和精度。</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4.3设备机身、气动管路、液压管路管路等颜色要求详见下表，漆面均匀无气泡、龟裂和其它缺陷,设备旋转零部件，如电机等需有旋转标识。</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4.4有空气开关，含过流、过载、短路、缺相保护功能。三相线互换不会影响限位保护装置的保护功能。</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4.5润滑点设置全面合理。</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4.6电气系统</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 xml:space="preserve">4.6.1电气元件选用正泰、西门子、施耐德、欧姆龙等知名品牌。 </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4.6.2控制电路全部采用 24V 安全电压，操作安全可靠。</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4.6.3电控柜柜体表面漆膜应平整光滑、肉眼看不到皱痕、气泡等，电气柜的门应有足够的刚度，在全开启及转动时，无变形或下垂。门应开关灵活，开启角应大于90度，门与框之间不能有摩擦及损坏涂层的现象。</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4.6.4电器元件型号、规格、数量、品牌等与图纸相符，所有元器件组装应排列整齐，安装牢固，所有标记牌的字迹应完整、清晰，且不易脱色、粘贴牢固，电器元件应能单独拆装更换，而不影响其它电器及导线束的固定。</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4.6.5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4.6.6直流正极采用棕色线，负极采用蓝色线，接地线PE采用黄绿相间线。</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4.6.7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4.6.8控制柜到设备之间弱电部分不可与强电同槽布线。</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4.6.9柜内应设置3孔、2孔220V插座各1处,具备照明检修灯具。</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4.6.10程序图纸要求</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投标方必须提供所有设备程序的源代码（涉及的），包括但不限于 PLC程序、HMI 程序、机器人程序、视觉程序、伺服等。</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b. 投标方所提供的程序不得设置任何密码、保护等限制手段，PLC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c. HMI 界面等需要密码保护的程序，投标方必须提供所有级别的用户名、密码。</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d. 投标方需在设备入场前提供设备程序源码，HMI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e. 投标方需在终验收前提供最新的设备程序源码和电气图纸，图纸要求为可编辑原格式（EPLAN、CAD 格式）且与实际接线一致。</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5.安全及职业健康</w:t>
      </w:r>
    </w:p>
    <w:p>
      <w:pPr>
        <w:spacing w:line="360" w:lineRule="auto"/>
        <w:ind w:firstLine="480" w:firstLineChars="200"/>
        <w:rPr>
          <w:rFonts w:hint="default" w:ascii="宋体" w:hAnsi="宋体" w:eastAsia="宋体" w:cs="宋体"/>
          <w:color w:val="auto"/>
          <w:kern w:val="0"/>
          <w:sz w:val="24"/>
          <w:szCs w:val="24"/>
          <w:highlight w:val="yellow"/>
          <w:lang w:val="en-US" w:eastAsia="zh-CN" w:bidi="ar-SA"/>
        </w:rPr>
      </w:pPr>
      <w:r>
        <w:rPr>
          <w:rFonts w:hint="default" w:ascii="宋体" w:hAnsi="宋体" w:eastAsia="宋体" w:cs="Times New Roman"/>
          <w:sz w:val="24"/>
          <w:highlight w:val="none"/>
          <w:lang w:val="en-US" w:eastAsia="zh-CN"/>
        </w:rPr>
        <w:t>设备主体设安全爬梯，按照国家安全标准设计安装安全护栏，做到“有轴必有套，有轮必有罩，有台必有栏，有洞必有盖”的要求，以保证设备及操作人员的安全。</w:t>
      </w:r>
    </w:p>
    <w:p>
      <w:pPr>
        <w:pStyle w:val="237"/>
        <w:numPr>
          <w:ilvl w:val="0"/>
          <w:numId w:val="10"/>
        </w:numPr>
        <w:spacing w:line="360" w:lineRule="auto"/>
        <w:ind w:left="0" w:leftChars="0" w:firstLine="420" w:firstLineChars="0"/>
        <w:rPr>
          <w:rFonts w:ascii="宋体" w:hAnsi="宋体" w:cs="宋体"/>
          <w:color w:val="auto"/>
          <w:highlight w:val="none"/>
        </w:rPr>
      </w:pPr>
      <w:r>
        <w:rPr>
          <w:rFonts w:hint="eastAsia" w:ascii="宋体" w:hAnsi="宋体" w:cs="宋体"/>
          <w:color w:val="auto"/>
          <w:highlight w:val="none"/>
        </w:rPr>
        <w:t>执行标准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7.涉及的主要标准表</w:t>
      </w:r>
    </w:p>
    <w:tbl>
      <w:tblPr>
        <w:tblStyle w:val="4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400"/>
        <w:gridCol w:w="1889"/>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5400"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标准名称</w:t>
            </w:r>
          </w:p>
        </w:tc>
        <w:tc>
          <w:tcPr>
            <w:tcW w:w="1889"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标准编号</w:t>
            </w:r>
          </w:p>
        </w:tc>
        <w:tc>
          <w:tcPr>
            <w:tcW w:w="811"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起重机设计规范</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GB3811</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通用桥式起重机技术条件</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JB/T14405</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起重机安全规程</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GB6067</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5400" w:type="dxa"/>
          </w:tcPr>
          <w:p>
            <w:pPr>
              <w:tabs>
                <w:tab w:val="left" w:pos="1170"/>
              </w:tabs>
              <w:spacing w:line="360" w:lineRule="exact"/>
              <w:rPr>
                <w:rFonts w:ascii="宋体" w:hAnsi="宋体" w:eastAsia="宋体" w:cs="宋体"/>
                <w:sz w:val="24"/>
                <w:szCs w:val="24"/>
              </w:rPr>
            </w:pPr>
            <w:r>
              <w:rPr>
                <w:rFonts w:hint="eastAsia" w:ascii="宋体" w:hAnsi="宋体" w:eastAsia="宋体" w:cs="宋体"/>
                <w:sz w:val="24"/>
                <w:szCs w:val="24"/>
              </w:rPr>
              <w:t>手工电弧焊焊接接头的基本型式与尺寸</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GB985.1</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color w:val="0000FF"/>
                <w:sz w:val="24"/>
                <w:szCs w:val="24"/>
              </w:rPr>
            </w:pPr>
            <w:r>
              <w:rPr>
                <w:rFonts w:hint="eastAsia" w:ascii="宋体" w:hAnsi="宋体" w:eastAsia="宋体" w:cs="宋体"/>
                <w:color w:val="000000" w:themeColor="text1"/>
                <w:sz w:val="24"/>
                <w:szCs w:val="24"/>
                <w14:textFill>
                  <w14:solidFill>
                    <w14:schemeClr w14:val="tx1"/>
                  </w14:solidFill>
                </w14:textFill>
              </w:rPr>
              <w:t>5</w:t>
            </w:r>
          </w:p>
        </w:tc>
        <w:tc>
          <w:tcPr>
            <w:tcW w:w="5400" w:type="dxa"/>
          </w:tcPr>
          <w:p>
            <w:pPr>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埋弧焊焊接接头的基本型式与尺寸</w:t>
            </w:r>
          </w:p>
        </w:tc>
        <w:tc>
          <w:tcPr>
            <w:tcW w:w="1889" w:type="dxa"/>
          </w:tcPr>
          <w:p>
            <w:pPr>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GB985.2</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钢熔化焊对接接头射线照相和质量分析</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GB3323.1</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碳钢焊条</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GB5117</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低合金钢焊条</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GB5118</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5400" w:type="dxa"/>
          </w:tcPr>
          <w:p>
            <w:pPr>
              <w:tabs>
                <w:tab w:val="left" w:pos="975"/>
              </w:tabs>
              <w:spacing w:line="360" w:lineRule="exact"/>
              <w:rPr>
                <w:rFonts w:ascii="宋体" w:hAnsi="宋体" w:eastAsia="宋体" w:cs="宋体"/>
                <w:sz w:val="24"/>
                <w:szCs w:val="24"/>
              </w:rPr>
            </w:pPr>
            <w:r>
              <w:rPr>
                <w:rFonts w:hint="eastAsia" w:ascii="宋体" w:hAnsi="宋体" w:eastAsia="宋体" w:cs="宋体"/>
                <w:sz w:val="24"/>
                <w:szCs w:val="24"/>
              </w:rPr>
              <w:t>碳素钢弧焊用焊剂</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GB5293</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48" w:type="dxa"/>
          </w:tcPr>
          <w:p>
            <w:pPr>
              <w:spacing w:line="360" w:lineRule="exact"/>
              <w:rPr>
                <w:rFonts w:hint="eastAsia" w:ascii="宋体" w:hAnsi="宋体" w:eastAsia="宋体" w:cs="宋体"/>
                <w:sz w:val="24"/>
                <w:szCs w:val="24"/>
              </w:rPr>
            </w:pPr>
            <w:r>
              <w:rPr>
                <w:rFonts w:hint="eastAsia" w:ascii="宋体" w:hAnsi="宋体" w:eastAsia="宋体" w:cs="宋体"/>
                <w:sz w:val="24"/>
                <w:szCs w:val="24"/>
              </w:rPr>
              <w:t>10</w:t>
            </w:r>
          </w:p>
        </w:tc>
        <w:tc>
          <w:tcPr>
            <w:tcW w:w="5400" w:type="dxa"/>
          </w:tcPr>
          <w:p>
            <w:pPr>
              <w:spacing w:line="360" w:lineRule="exact"/>
              <w:rPr>
                <w:rFonts w:hint="default" w:ascii="宋体" w:hAnsi="宋体" w:eastAsia="宋体" w:cs="宋体"/>
                <w:sz w:val="24"/>
                <w:szCs w:val="24"/>
              </w:rPr>
            </w:pPr>
            <w:r>
              <w:rPr>
                <w:rFonts w:hint="default" w:ascii="宋体" w:hAnsi="宋体" w:eastAsia="宋体" w:cs="宋体"/>
                <w:sz w:val="24"/>
                <w:szCs w:val="24"/>
              </w:rPr>
              <w:t>一般用途钢丝绳</w:t>
            </w:r>
          </w:p>
        </w:tc>
        <w:tc>
          <w:tcPr>
            <w:tcW w:w="1889" w:type="dxa"/>
          </w:tcPr>
          <w:p>
            <w:pPr>
              <w:spacing w:line="360" w:lineRule="exact"/>
              <w:rPr>
                <w:rFonts w:hint="eastAsia" w:ascii="宋体" w:hAnsi="宋体" w:eastAsia="宋体" w:cs="宋体"/>
                <w:sz w:val="24"/>
                <w:szCs w:val="24"/>
              </w:rPr>
            </w:pPr>
            <w:r>
              <w:rPr>
                <w:rFonts w:hint="eastAsia" w:ascii="宋体" w:hAnsi="宋体" w:eastAsia="宋体" w:cs="宋体"/>
                <w:sz w:val="24"/>
                <w:szCs w:val="24"/>
              </w:rPr>
              <w:t>GB/T20118</w:t>
            </w:r>
          </w:p>
        </w:tc>
        <w:tc>
          <w:tcPr>
            <w:tcW w:w="811" w:type="dxa"/>
          </w:tcPr>
          <w:p>
            <w:pPr>
              <w:spacing w:line="36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11</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起重机电控设备</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JB/T 4315</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12</w:t>
            </w:r>
          </w:p>
        </w:tc>
        <w:tc>
          <w:tcPr>
            <w:tcW w:w="5400" w:type="dxa"/>
          </w:tcPr>
          <w:p>
            <w:pPr>
              <w:tabs>
                <w:tab w:val="left" w:pos="705"/>
              </w:tabs>
              <w:spacing w:line="360" w:lineRule="exact"/>
              <w:rPr>
                <w:rFonts w:ascii="宋体" w:hAnsi="宋体" w:eastAsia="宋体" w:cs="宋体"/>
                <w:sz w:val="24"/>
                <w:szCs w:val="24"/>
              </w:rPr>
            </w:pPr>
            <w:r>
              <w:rPr>
                <w:rFonts w:hint="eastAsia" w:ascii="宋体" w:hAnsi="宋体" w:eastAsia="宋体" w:cs="宋体"/>
                <w:sz w:val="24"/>
                <w:szCs w:val="24"/>
              </w:rPr>
              <w:t>起重吊钩</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GB/T 10051.5</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13</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YZ系列起重及冶金用三相异步电动机技术条件</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JB/T 10104</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15</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轻工机械 涂漆通用技术条件</w:t>
            </w:r>
          </w:p>
        </w:tc>
        <w:tc>
          <w:tcPr>
            <w:tcW w:w="1889" w:type="dxa"/>
          </w:tcPr>
          <w:p>
            <w:pPr>
              <w:spacing w:line="360" w:lineRule="exact"/>
              <w:rPr>
                <w:rFonts w:ascii="宋体" w:hAnsi="宋体" w:eastAsia="宋体" w:cs="宋体"/>
                <w:sz w:val="24"/>
                <w:szCs w:val="24"/>
              </w:rPr>
            </w:pPr>
            <w:r>
              <w:rPr>
                <w:rFonts w:hint="eastAsia" w:ascii="宋体" w:hAnsi="宋体" w:eastAsia="宋体" w:cs="宋体"/>
                <w:sz w:val="24"/>
                <w:szCs w:val="24"/>
              </w:rPr>
              <w:t>QB/T 1588.4</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16</w:t>
            </w:r>
          </w:p>
        </w:tc>
        <w:tc>
          <w:tcPr>
            <w:tcW w:w="5400" w:type="dxa"/>
          </w:tcPr>
          <w:p>
            <w:pPr>
              <w:spacing w:line="360" w:lineRule="exact"/>
              <w:rPr>
                <w:rFonts w:ascii="宋体" w:hAnsi="宋体" w:eastAsia="宋体" w:cs="宋体"/>
                <w:sz w:val="24"/>
                <w:szCs w:val="24"/>
              </w:rPr>
            </w:pPr>
            <w:r>
              <w:rPr>
                <w:rFonts w:hint="eastAsia" w:ascii="宋体" w:hAnsi="宋体" w:eastAsia="宋体" w:cs="宋体"/>
                <w:sz w:val="24"/>
                <w:szCs w:val="24"/>
              </w:rPr>
              <w:t>矿工、工程起重运输机械产品涂漆颜色和安全标志</w:t>
            </w:r>
          </w:p>
        </w:tc>
        <w:tc>
          <w:tcPr>
            <w:tcW w:w="1889" w:type="dxa"/>
          </w:tcPr>
          <w:p>
            <w:pPr>
              <w:rPr>
                <w:rFonts w:ascii="宋体" w:hAnsi="宋体" w:eastAsia="宋体" w:cs="宋体"/>
                <w:sz w:val="24"/>
                <w:szCs w:val="24"/>
              </w:rPr>
            </w:pPr>
            <w:r>
              <w:rPr>
                <w:rFonts w:hint="eastAsia" w:ascii="宋体" w:hAnsi="宋体" w:eastAsia="宋体" w:cs="宋体"/>
                <w:sz w:val="24"/>
                <w:szCs w:val="24"/>
              </w:rPr>
              <w:t>JB2299-78</w:t>
            </w:r>
          </w:p>
        </w:tc>
        <w:tc>
          <w:tcPr>
            <w:tcW w:w="811" w:type="dxa"/>
          </w:tcPr>
          <w:p>
            <w:pPr>
              <w:spacing w:line="360" w:lineRule="exac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400" w:type="dxa"/>
          </w:tcPr>
          <w:p>
            <w:pPr>
              <w:spacing w:line="360" w:lineRule="exact"/>
              <w:rPr>
                <w:rFonts w:hint="eastAsia" w:ascii="宋体" w:hAnsi="宋体" w:eastAsia="宋体" w:cs="宋体"/>
                <w:sz w:val="24"/>
                <w:szCs w:val="24"/>
              </w:rPr>
            </w:pPr>
            <w:r>
              <w:rPr>
                <w:rFonts w:hint="eastAsia" w:ascii="宋体" w:hAnsi="宋体" w:eastAsia="宋体" w:cs="宋体"/>
                <w:sz w:val="24"/>
                <w:szCs w:val="24"/>
              </w:rPr>
              <w:t>起重机械安全技术规程</w:t>
            </w:r>
          </w:p>
        </w:tc>
        <w:tc>
          <w:tcPr>
            <w:tcW w:w="1889" w:type="dxa"/>
          </w:tcPr>
          <w:p>
            <w:pPr>
              <w:rPr>
                <w:rFonts w:hint="eastAsia" w:ascii="宋体" w:hAnsi="宋体" w:eastAsia="宋体" w:cs="宋体"/>
                <w:sz w:val="24"/>
                <w:szCs w:val="24"/>
              </w:rPr>
            </w:pPr>
            <w:r>
              <w:rPr>
                <w:rFonts w:hint="eastAsia" w:ascii="宋体" w:hAnsi="宋体" w:eastAsia="宋体" w:cs="宋体"/>
                <w:sz w:val="24"/>
                <w:szCs w:val="24"/>
              </w:rPr>
              <w:t>TSG51-2023</w:t>
            </w:r>
          </w:p>
        </w:tc>
        <w:tc>
          <w:tcPr>
            <w:tcW w:w="811" w:type="dxa"/>
          </w:tcPr>
          <w:p>
            <w:pPr>
              <w:spacing w:line="360" w:lineRule="exact"/>
              <w:rPr>
                <w:rFonts w:ascii="宋体" w:hAnsi="宋体" w:eastAsia="宋体" w:cs="宋体"/>
                <w:sz w:val="24"/>
                <w:szCs w:val="24"/>
              </w:rPr>
            </w:pPr>
          </w:p>
        </w:tc>
      </w:tr>
    </w:tbl>
    <w:p>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pPr>
        <w:rPr>
          <w:rFonts w:ascii="Calibri" w:hAnsi="Calibri" w:eastAsia="宋体" w:cs="Times New Roman"/>
          <w:b/>
          <w:bCs/>
          <w:kern w:val="44"/>
          <w:sz w:val="28"/>
          <w:szCs w:val="28"/>
        </w:rPr>
      </w:pPr>
    </w:p>
    <w:p>
      <w:pPr>
        <w:keepNext/>
        <w:keepLines/>
        <w:jc w:val="center"/>
        <w:outlineLvl w:val="1"/>
        <w:rPr>
          <w:rFonts w:ascii="Calibri" w:hAnsi="Calibri" w:eastAsia="宋体" w:cs="Times New Roman"/>
          <w:b/>
          <w:bCs/>
          <w:kern w:val="44"/>
          <w:sz w:val="28"/>
          <w:szCs w:val="28"/>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1"/>
    </w:p>
    <w:p/>
    <w:p>
      <w:pPr>
        <w:keepNext/>
        <w:keepLines/>
        <w:spacing w:line="360" w:lineRule="auto"/>
        <w:jc w:val="center"/>
        <w:outlineLvl w:val="2"/>
        <w:rPr>
          <w:rFonts w:ascii="宋体" w:hAnsi="宋体" w:eastAsia="宋体" w:cs="宋体"/>
          <w:b/>
          <w:bCs/>
          <w:sz w:val="24"/>
          <w:szCs w:val="32"/>
        </w:rPr>
      </w:pPr>
      <w:bookmarkStart w:id="22" w:name="_Toc169605882"/>
      <w:r>
        <w:rPr>
          <w:rFonts w:hint="eastAsia" w:ascii="宋体" w:hAnsi="宋体" w:eastAsia="宋体" w:cs="宋体"/>
          <w:b/>
          <w:bCs/>
          <w:sz w:val="24"/>
          <w:szCs w:val="32"/>
        </w:rPr>
        <w:t xml:space="preserve">第一节  </w:t>
      </w:r>
      <w:r>
        <w:rPr>
          <w:rFonts w:hint="eastAsia" w:ascii="宋体" w:hAnsi="宋体" w:eastAsia="宋体" w:cs="宋体"/>
          <w:b/>
          <w:bCs/>
          <w:sz w:val="24"/>
          <w:szCs w:val="32"/>
          <w:highlight w:val="yellow"/>
        </w:rPr>
        <w:t>供货范围</w:t>
      </w:r>
      <w:bookmarkEnd w:id="22"/>
    </w:p>
    <w:p>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24"/>
        <w:gridCol w:w="925"/>
        <w:gridCol w:w="900"/>
        <w:gridCol w:w="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824"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25"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900"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3289" w:type="dxa"/>
            <w:vAlign w:val="center"/>
          </w:tcPr>
          <w:p>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双梁桥式起重机（大车）</w:t>
            </w:r>
          </w:p>
        </w:tc>
        <w:tc>
          <w:tcPr>
            <w:tcW w:w="925" w:type="dxa"/>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vAlign w:val="center"/>
          </w:tcPr>
          <w:p>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起重机主梁</w:t>
            </w:r>
          </w:p>
        </w:tc>
        <w:tc>
          <w:tcPr>
            <w:tcW w:w="925" w:type="dxa"/>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vAlign w:val="center"/>
          </w:tcPr>
          <w:p>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含端梁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小车轨道</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大车轮</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4</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大车减速机</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289" w:type="dxa"/>
            <w:vMerge w:val="restart"/>
            <w:shd w:val="clear" w:color="auto" w:fill="auto"/>
            <w:vAlign w:val="top"/>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含制动器装置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大车电机</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289" w:type="dxa"/>
            <w:vMerge w:val="continue"/>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小车总成</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color w:val="000000"/>
                <w:kern w:val="0"/>
                <w:sz w:val="24"/>
                <w:szCs w:val="24"/>
                <w:highlight w:val="none"/>
                <w:lang w:val="en-US" w:eastAsia="zh-CN" w:bidi="ar"/>
              </w:rPr>
              <w:t>小车架</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起升电机</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vMerge w:val="restart"/>
            <w:shd w:val="clear" w:color="auto" w:fill="auto"/>
            <w:vAlign w:val="top"/>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含制动器装置，双限位连锁等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起升减速机</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vMerge w:val="continue"/>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2824" w:type="dxa"/>
            <w:vAlign w:val="center"/>
          </w:tcPr>
          <w:p>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卷筒</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2824" w:type="dxa"/>
            <w:vAlign w:val="top"/>
          </w:tcPr>
          <w:p>
            <w:pPr>
              <w:widowControl/>
              <w:spacing w:line="0" w:lineRule="atLeast"/>
              <w:jc w:val="left"/>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小车传动机构</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电机、减速机、制动器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2824" w:type="dxa"/>
            <w:vAlign w:val="top"/>
          </w:tcPr>
          <w:p>
            <w:pPr>
              <w:widowControl/>
              <w:spacing w:line="0" w:lineRule="atLeast"/>
              <w:jc w:val="left"/>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钢丝绳</w:t>
            </w:r>
          </w:p>
        </w:tc>
        <w:tc>
          <w:tcPr>
            <w:tcW w:w="925" w:type="dxa"/>
            <w:shd w:val="clear" w:color="auto" w:fill="auto"/>
            <w:vAlign w:val="top"/>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根</w:t>
            </w:r>
          </w:p>
        </w:tc>
        <w:tc>
          <w:tcPr>
            <w:tcW w:w="900" w:type="dxa"/>
            <w:shd w:val="clear" w:color="auto" w:fill="auto"/>
            <w:vAlign w:val="center"/>
          </w:tcPr>
          <w:p>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2824" w:type="dxa"/>
            <w:tcBorders>
              <w:top w:val="single" w:color="auto" w:sz="4" w:space="0"/>
              <w:left w:val="single" w:color="auto" w:sz="4" w:space="0"/>
              <w:bottom w:val="single" w:color="000000" w:sz="4" w:space="0"/>
              <w:right w:val="single" w:color="auto" w:sz="4" w:space="0"/>
            </w:tcBorders>
            <w:vAlign w:val="center"/>
          </w:tcPr>
          <w:p>
            <w:pPr>
              <w:widowControl/>
              <w:spacing w:line="0" w:lineRule="atLeast"/>
              <w:jc w:val="left"/>
              <w:textAlignment w:val="center"/>
              <w:rPr>
                <w:rFonts w:hint="eastAsia" w:ascii="宋体" w:hAnsi="宋体" w:eastAsia="宋体" w:cs="宋体"/>
                <w:color w:val="000000"/>
                <w:kern w:val="0"/>
                <w:sz w:val="24"/>
                <w:szCs w:val="24"/>
                <w:highlight w:val="yellow"/>
                <w:lang w:eastAsia="zh-CN" w:bidi="ar"/>
              </w:rPr>
            </w:pPr>
            <w:r>
              <w:rPr>
                <w:rFonts w:hint="eastAsia" w:ascii="宋体" w:hAnsi="宋体" w:eastAsia="宋体" w:cs="宋体"/>
                <w:color w:val="000000"/>
                <w:kern w:val="0"/>
                <w:sz w:val="24"/>
                <w:szCs w:val="24"/>
                <w:highlight w:val="none"/>
                <w:lang w:val="en-US" w:eastAsia="zh-CN" w:bidi="ar"/>
              </w:rPr>
              <w:t>吊钩</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tcBorders>
              <w:left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新设备安装、调试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2824" w:type="dxa"/>
            <w:vAlign w:val="center"/>
          </w:tcPr>
          <w:p>
            <w:pPr>
              <w:widowControl/>
              <w:spacing w:line="0" w:lineRule="atLeast"/>
              <w:jc w:val="left"/>
              <w:textAlignment w:val="center"/>
              <w:rPr>
                <w:rFonts w:hint="eastAsia" w:ascii="宋体" w:hAnsi="宋体" w:eastAsia="宋体" w:cs="宋体"/>
                <w:color w:val="000000"/>
                <w:kern w:val="0"/>
                <w:sz w:val="24"/>
                <w:szCs w:val="24"/>
                <w:highlight w:val="yellow"/>
                <w:lang w:val="en-US" w:bidi="ar"/>
              </w:rPr>
            </w:pPr>
            <w:r>
              <w:rPr>
                <w:rFonts w:hint="eastAsia" w:ascii="宋体" w:hAnsi="宋体" w:eastAsia="宋体" w:cs="宋体"/>
                <w:sz w:val="24"/>
                <w:szCs w:val="24"/>
                <w:highlight w:val="none"/>
                <w:lang w:val="en-US" w:eastAsia="zh-CN"/>
              </w:rPr>
              <w:t>超载限制器</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电控</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驾驶室控制、遥控器控制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驾驶室控制柜</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遥控器控制柜</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配套控制线、电缆、信号线</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联动控制台</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变压器</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电阻器</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遥控器</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相序保护器</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其它事项</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运输</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整机主要结构整体运输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组装、调试</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吊装</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特种设备登记检验</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培训</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w:t>
            </w: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运行服务</w:t>
            </w:r>
          </w:p>
        </w:tc>
        <w:tc>
          <w:tcPr>
            <w:tcW w:w="925" w:type="dxa"/>
            <w:tcBorders>
              <w:top w:val="single" w:color="auto" w:sz="4" w:space="0"/>
              <w:bottom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pPr>
              <w:spacing w:line="360" w:lineRule="exact"/>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rPr>
                <w:rFonts w:hint="eastAsia" w:ascii="宋体" w:hAnsi="宋体" w:eastAsia="宋体" w:cs="宋体"/>
                <w:sz w:val="24"/>
                <w:szCs w:val="24"/>
                <w:lang w:val="en-US" w:eastAsia="zh-CN"/>
              </w:rPr>
            </w:pPr>
          </w:p>
        </w:tc>
        <w:tc>
          <w:tcPr>
            <w:tcW w:w="2824" w:type="dxa"/>
            <w:vAlign w:val="center"/>
          </w:tcPr>
          <w:p>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投标方认为必须配备的其他内容</w:t>
            </w:r>
          </w:p>
        </w:tc>
        <w:tc>
          <w:tcPr>
            <w:tcW w:w="925" w:type="dxa"/>
            <w:tcBorders>
              <w:top w:val="single" w:color="auto" w:sz="4" w:space="0"/>
            </w:tcBorders>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pPr>
              <w:spacing w:line="360" w:lineRule="exact"/>
              <w:jc w:val="left"/>
              <w:rPr>
                <w:rFonts w:hint="eastAsia" w:ascii="宋体" w:hAnsi="宋体" w:eastAsia="宋体" w:cs="宋体"/>
                <w:sz w:val="24"/>
                <w:szCs w:val="24"/>
              </w:rPr>
            </w:pPr>
          </w:p>
        </w:tc>
      </w:tr>
    </w:tbl>
    <w:p>
      <w:pPr>
        <w:spacing w:line="420" w:lineRule="exact"/>
        <w:ind w:firstLine="482" w:firstLineChars="200"/>
        <w:outlineLvl w:val="3"/>
        <w:rPr>
          <w:rFonts w:hint="eastAsia" w:ascii="宋体" w:hAnsi="宋体" w:eastAsia="宋体" w:cs="宋体"/>
          <w:b/>
          <w:bCs/>
          <w:color w:val="auto"/>
          <w:sz w:val="24"/>
          <w:szCs w:val="24"/>
          <w:highlight w:val="none"/>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3" w:name="_Toc169605883"/>
    </w:p>
    <w:p>
      <w:pPr>
        <w:pStyle w:val="24"/>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3"/>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lang w:val="en-US" w:eastAsia="zh-CN"/>
        </w:rPr>
        <w:t>济南市市中区党家庄镇南首</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35</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highlight w:val="yellow"/>
        </w:rPr>
        <w:t>2.接续</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4"/>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4"/>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5" w:name="_Toc465187646"/>
      <w:r>
        <w:rPr>
          <w:rFonts w:hint="eastAsia" w:ascii="Calibri" w:hAnsi="Calibri" w:eastAsia="宋体" w:cs="Times New Roman"/>
          <w:b/>
          <w:bCs/>
          <w:kern w:val="44"/>
          <w:sz w:val="28"/>
          <w:szCs w:val="28"/>
        </w:rPr>
        <w:t>第五章  预验收和终验收</w:t>
      </w:r>
      <w:bookmarkEnd w:id="25"/>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color w:val="000000"/>
          <w:sz w:val="24"/>
          <w:szCs w:val="24"/>
          <w:lang w:val="en-US" w:eastAsia="zh-CN"/>
        </w:rPr>
        <w:t xml:space="preserve"> </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pStyle w:val="2"/>
        <w:ind w:firstLine="480" w:firstLineChars="200"/>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w:t>
      </w:r>
      <w:r>
        <w:rPr>
          <w:rFonts w:hint="eastAsia" w:ascii="宋体" w:hAnsi="宋体" w:eastAsia="宋体" w:cs="宋体"/>
          <w:b w:val="0"/>
          <w:bCs w:val="0"/>
          <w:color w:val="000000"/>
          <w:kern w:val="2"/>
          <w:sz w:val="24"/>
          <w:szCs w:val="24"/>
          <w:highlight w:val="none"/>
          <w:lang w:val="en-US" w:eastAsia="zh-CN" w:bidi="ar-SA"/>
        </w:rPr>
        <w:t>空载运行，设备运行稳定、可靠、安全，无非正常变形，非正常振动，无异常声音；无漏水、漏液、漏气（风）、漏电等现象。运动的零部件动作平稳、灵活运动准确。设备部件的润滑可靠，润滑点易于到达。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终验收通过后买卖双方共同签署终验收报告，并移交、核对全部供货范围内物品。</w:t>
      </w:r>
    </w:p>
    <w:p>
      <w:pPr>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3.5所有出现的调整，每次调整时间均不超过20分钟，所有调整时间的总和不超过总运行时间的10%。</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3.6双方约定：设备终验收时由于工艺原因造成设备不能连续运转，不在考核设备范畴。</w:t>
      </w:r>
    </w:p>
    <w:p>
      <w:pPr>
        <w:pStyle w:val="2"/>
        <w:rPr>
          <w:rFonts w:hint="default"/>
          <w:lang w:val="en-US" w:eastAsia="zh-CN"/>
        </w:rPr>
      </w:pPr>
    </w:p>
    <w:p>
      <w:pPr>
        <w:pStyle w:val="24"/>
        <w:spacing w:line="360" w:lineRule="auto"/>
      </w:pPr>
    </w:p>
    <w:p>
      <w:pPr>
        <w:rPr>
          <w:rFonts w:hint="eastAsia" w:ascii="Calibri" w:hAnsi="Calibri" w:eastAsia="宋体" w:cs="Times New Roman"/>
          <w:b/>
          <w:bCs/>
          <w:kern w:val="44"/>
          <w:sz w:val="28"/>
          <w:szCs w:val="28"/>
        </w:rPr>
      </w:pPr>
      <w:bookmarkStart w:id="26" w:name="_Toc465187647"/>
      <w:r>
        <w:rPr>
          <w:rFonts w:hint="eastAsia" w:ascii="Calibri" w:hAnsi="Calibri" w:eastAsia="宋体" w:cs="Times New Roman"/>
          <w:b/>
          <w:bCs/>
          <w:kern w:val="44"/>
          <w:sz w:val="28"/>
          <w:szCs w:val="28"/>
        </w:rPr>
        <w:br w:type="page"/>
      </w:r>
    </w:p>
    <w:p>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bookmarkEnd w:id="26"/>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bookmarkStart w:id="27" w:name="_Toc465187648"/>
    </w:p>
    <w:p>
      <w:pPr>
        <w:pStyle w:val="238"/>
        <w:jc w:val="center"/>
        <w:outlineLvl w:val="1"/>
        <w:rPr>
          <w:rFonts w:hint="eastAsia" w:ascii="Calibri" w:hAnsi="Calibri" w:eastAsia="宋体" w:cs="Times New Roman"/>
          <w:b/>
          <w:bCs/>
          <w:color w:val="auto"/>
          <w:kern w:val="44"/>
          <w:sz w:val="28"/>
          <w:szCs w:val="28"/>
          <w:lang w:val="en-US" w:eastAsia="zh-CN" w:bidi="ar-SA"/>
        </w:rPr>
      </w:pPr>
      <w:r>
        <w:rPr>
          <w:rFonts w:hint="eastAsia" w:ascii="Calibri" w:hAnsi="Calibri" w:eastAsia="宋体" w:cs="Times New Roman"/>
          <w:b/>
          <w:bCs/>
          <w:color w:val="auto"/>
          <w:kern w:val="44"/>
          <w:sz w:val="28"/>
          <w:szCs w:val="28"/>
          <w:lang w:val="en-US" w:eastAsia="zh-CN" w:bidi="ar-SA"/>
        </w:rPr>
        <w:t>第七章  其它要求及说明</w:t>
      </w:r>
      <w:bookmarkEnd w:id="27"/>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rPr>
          <w:rFonts w:hint="eastAsia" w:ascii="Calibri" w:hAnsi="Calibri" w:cs="Times New Roman"/>
          <w:b/>
          <w:bCs/>
          <w:kern w:val="44"/>
          <w:sz w:val="44"/>
          <w:szCs w:val="44"/>
          <w:highlight w:val="none"/>
          <w:lang w:val="en-US" w:eastAsia="zh-CN"/>
        </w:rPr>
      </w:pPr>
    </w:p>
    <w:p>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pPr>
        <w:keepNext/>
        <w:keepLines/>
        <w:rPr>
          <w:rFonts w:ascii="Times New Roman" w:hAnsi="Times New Roman" w:eastAsia="宋体" w:cs="Times New Roman"/>
          <w:b/>
          <w:bCs/>
          <w:color w:val="000000"/>
          <w:sz w:val="24"/>
          <w:szCs w:val="24"/>
          <w:highlight w:val="none"/>
        </w:rPr>
      </w:pPr>
    </w:p>
    <w:p>
      <w:pPr>
        <w:pStyle w:val="24"/>
        <w:rPr>
          <w:rFonts w:ascii="Times New Roman" w:hAnsi="Times New Roman" w:eastAsia="宋体" w:cs="Times New Roman"/>
          <w:b/>
          <w:bCs/>
          <w:color w:val="000000"/>
          <w:sz w:val="24"/>
          <w:szCs w:val="24"/>
          <w:highlight w:val="none"/>
        </w:rPr>
      </w:pP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spacing w:line="360" w:lineRule="auto"/>
        <w:rPr>
          <w:rFonts w:hint="eastAsia" w:ascii="仿宋" w:hAnsi="仿宋" w:eastAsia="仿宋"/>
          <w:b/>
          <w:bCs/>
          <w:sz w:val="28"/>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353881012"/>
      <w:bookmarkStart w:id="29" w:name="_Toc25811"/>
      <w:bookmarkStart w:id="30" w:name="_Toc639004"/>
      <w:bookmarkStart w:id="31" w:name="_Toc212369550"/>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6300T、3150T热模锻生产线搬迁复产项目-新增10T行车</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6300T、3150T热模锻生产线搬迁复产项目-新增10T行车</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cs="Times New Roman"/>
                <w:b/>
                <w:szCs w:val="20"/>
                <w:highlight w:val="none"/>
                <w:lang w:eastAsia="zh-CN"/>
              </w:rPr>
              <w:t>6300T、3150T热模锻生产线搬迁复产项目-新增10T行车</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1"/>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pStyle w:val="24"/>
        <w:rPr>
          <w:rFonts w:hint="eastAsia" w:ascii="宋体" w:hAnsi="宋体" w:eastAsia="宋体" w:cs="Times New Roman"/>
          <w:sz w:val="24"/>
          <w:szCs w:val="20"/>
        </w:rPr>
      </w:pP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rPr>
            </w:pPr>
            <w:r>
              <w:rPr>
                <w:rFonts w:hint="eastAsia"/>
              </w:rPr>
              <w:t>序号</w:t>
            </w:r>
          </w:p>
        </w:tc>
        <w:tc>
          <w:tcPr>
            <w:tcW w:w="1217" w:type="pct"/>
            <w:vAlign w:val="center"/>
          </w:tcPr>
          <w:p>
            <w:pPr>
              <w:pStyle w:val="19"/>
              <w:bidi w:val="0"/>
              <w:jc w:val="center"/>
              <w:rPr>
                <w:rFonts w:hint="eastAsia"/>
              </w:rPr>
            </w:pPr>
            <w:r>
              <w:rPr>
                <w:rFonts w:hint="eastAsia"/>
              </w:rPr>
              <w:t>名称</w:t>
            </w:r>
          </w:p>
        </w:tc>
        <w:tc>
          <w:tcPr>
            <w:tcW w:w="731" w:type="pct"/>
            <w:vAlign w:val="center"/>
          </w:tcPr>
          <w:p>
            <w:pPr>
              <w:pStyle w:val="19"/>
              <w:bidi w:val="0"/>
              <w:jc w:val="center"/>
              <w:rPr>
                <w:rFonts w:hint="default"/>
                <w:lang w:val="en-US" w:eastAsia="zh-CN"/>
              </w:rPr>
            </w:pPr>
            <w:r>
              <w:rPr>
                <w:rFonts w:hint="eastAsia"/>
                <w:lang w:val="en-US" w:eastAsia="zh-CN"/>
              </w:rPr>
              <w:t>未税单价（元）</w:t>
            </w:r>
          </w:p>
        </w:tc>
        <w:tc>
          <w:tcPr>
            <w:tcW w:w="417" w:type="pct"/>
            <w:vAlign w:val="center"/>
          </w:tcPr>
          <w:p>
            <w:pPr>
              <w:pStyle w:val="19"/>
              <w:bidi w:val="0"/>
              <w:jc w:val="center"/>
              <w:rPr>
                <w:rFonts w:hint="eastAsia"/>
              </w:rPr>
            </w:pPr>
            <w:r>
              <w:rPr>
                <w:rFonts w:hint="eastAsia"/>
              </w:rPr>
              <w:t>单位</w:t>
            </w:r>
          </w:p>
        </w:tc>
        <w:tc>
          <w:tcPr>
            <w:tcW w:w="411" w:type="pct"/>
            <w:vAlign w:val="center"/>
          </w:tcPr>
          <w:p>
            <w:pPr>
              <w:pStyle w:val="19"/>
              <w:bidi w:val="0"/>
              <w:jc w:val="center"/>
              <w:rPr>
                <w:rFonts w:hint="eastAsia"/>
              </w:rPr>
            </w:pPr>
            <w:r>
              <w:rPr>
                <w:rFonts w:hint="eastAsia"/>
              </w:rPr>
              <w:t>数量</w:t>
            </w:r>
          </w:p>
        </w:tc>
        <w:tc>
          <w:tcPr>
            <w:tcW w:w="754" w:type="pct"/>
            <w:vAlign w:val="center"/>
          </w:tcPr>
          <w:p>
            <w:pPr>
              <w:pStyle w:val="19"/>
              <w:bidi w:val="0"/>
              <w:jc w:val="center"/>
              <w:rPr>
                <w:rFonts w:hint="eastAsia"/>
              </w:rPr>
            </w:pPr>
            <w:r>
              <w:rPr>
                <w:rFonts w:hint="eastAsia"/>
                <w:lang w:val="en-US" w:eastAsia="zh-CN"/>
              </w:rPr>
              <w:t>未税总价（元）</w:t>
            </w:r>
          </w:p>
        </w:tc>
        <w:tc>
          <w:tcPr>
            <w:tcW w:w="981" w:type="pct"/>
            <w:vAlign w:val="center"/>
          </w:tcPr>
          <w:p>
            <w:pPr>
              <w:pStyle w:val="19"/>
              <w:bidi w:val="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双梁桥式起重机（大车）</w:t>
            </w:r>
          </w:p>
        </w:tc>
        <w:tc>
          <w:tcPr>
            <w:tcW w:w="731"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起重机主梁</w:t>
            </w:r>
          </w:p>
        </w:tc>
        <w:tc>
          <w:tcPr>
            <w:tcW w:w="731" w:type="pct"/>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含端梁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小车轨道</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大车轮</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4</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大车减速机</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2</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含制动器装置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大车电机</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2</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小车总成</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小车架</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起升电机</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含制动器装置，双限位连锁等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起升减速机</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217" w:type="pct"/>
            <w:vAlign w:val="center"/>
          </w:tcPr>
          <w:p>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卷筒</w:t>
            </w:r>
          </w:p>
        </w:tc>
        <w:tc>
          <w:tcPr>
            <w:tcW w:w="731" w:type="pct"/>
            <w:shd w:val="clear" w:color="auto" w:fill="auto"/>
            <w:vAlign w:val="center"/>
          </w:tcPr>
          <w:p>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小车传动机构</w:t>
            </w:r>
          </w:p>
        </w:tc>
        <w:tc>
          <w:tcPr>
            <w:tcW w:w="731" w:type="pct"/>
            <w:shd w:val="clear" w:color="auto" w:fill="auto"/>
            <w:vAlign w:val="center"/>
          </w:tcPr>
          <w:p>
            <w:pPr>
              <w:widowControl/>
              <w:spacing w:line="0" w:lineRule="atLeast"/>
              <w:jc w:val="left"/>
              <w:textAlignment w:val="center"/>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电机、减速机、制动器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钢丝绳</w:t>
            </w:r>
          </w:p>
        </w:tc>
        <w:tc>
          <w:tcPr>
            <w:tcW w:w="731" w:type="pct"/>
            <w:shd w:val="clear" w:color="auto" w:fill="auto"/>
            <w:vAlign w:val="center"/>
          </w:tcPr>
          <w:p>
            <w:pPr>
              <w:widowControl/>
              <w:spacing w:line="0" w:lineRule="atLeast"/>
              <w:jc w:val="left"/>
              <w:textAlignment w:val="center"/>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根</w:t>
            </w:r>
          </w:p>
        </w:tc>
        <w:tc>
          <w:tcPr>
            <w:tcW w:w="411" w:type="pct"/>
            <w:shd w:val="clear" w:color="auto" w:fill="auto"/>
            <w:vAlign w:val="center"/>
          </w:tcPr>
          <w:p>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w:t>
            </w:r>
          </w:p>
        </w:tc>
        <w:tc>
          <w:tcPr>
            <w:tcW w:w="1217" w:type="pct"/>
            <w:tcBorders>
              <w:top w:val="single" w:color="auto" w:sz="4" w:space="0"/>
              <w:left w:val="single" w:color="auto" w:sz="4" w:space="0"/>
              <w:bottom w:val="single" w:color="000000" w:sz="4" w:space="0"/>
              <w:right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吊钩</w:t>
            </w:r>
          </w:p>
        </w:tc>
        <w:tc>
          <w:tcPr>
            <w:tcW w:w="7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tcBorders>
              <w:left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新设备安装、调试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bidi="ar"/>
              </w:rPr>
            </w:pPr>
            <w:r>
              <w:rPr>
                <w:rFonts w:hint="eastAsia" w:asciiTheme="minorEastAsia" w:hAnsiTheme="minorEastAsia" w:eastAsiaTheme="minorEastAsia" w:cstheme="minorEastAsia"/>
                <w:sz w:val="24"/>
                <w:szCs w:val="24"/>
                <w:highlight w:val="none"/>
                <w:lang w:val="en-US" w:eastAsia="zh-CN"/>
              </w:rPr>
              <w:t>超载限制器</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电控</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驾驶室控制、遥控器控制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3.1</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驾驶室控制柜</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3.2</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遥控器控制柜</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3.3</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配套控制线、电缆、信号线</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3.4</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联动控制台</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3.5</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变压器</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3.6</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电阻器</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3.7</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遥控器</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3.8</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相序保护器</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其它事项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4.1</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运输</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项</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整机主要结构整体运输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4.2</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组装、调试</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4.3</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吊装</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4.4</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特种设备登记检验</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项</w:t>
            </w: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4.5</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培训</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4.6</w:t>
            </w: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运行服务</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含税合计（税率</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ascii="Times New Roman" w:hAnsi="Times New Roman" w:eastAsia="宋体" w:cs="Times New Roman"/>
                <w:b/>
                <w:szCs w:val="20"/>
                <w:lang w:val="en-US" w:eastAsia="zh-CN"/>
              </w:rPr>
              <w:t>6300T、3150T热模锻生产线搬迁复产项目-新增10T行车</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bookmarkStart w:id="32" w:name="_GoBack"/>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bookmarkEnd w:id="32"/>
    <w:p>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46931FF"/>
    <w:multiLevelType w:val="singleLevel"/>
    <w:tmpl w:val="046931FF"/>
    <w:lvl w:ilvl="0" w:tentative="0">
      <w:start w:val="1"/>
      <w:numFmt w:val="chineseCounting"/>
      <w:suff w:val="nothing"/>
      <w:lvlText w:val="%1、"/>
      <w:lvlJc w:val="left"/>
      <w:pPr>
        <w:ind w:left="0" w:firstLine="420"/>
      </w:pPr>
      <w:rPr>
        <w:rFonts w:hint="eastAsia"/>
      </w:r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5"/>
  </w:num>
  <w:num w:numId="3">
    <w:abstractNumId w:val="10"/>
  </w:num>
  <w:num w:numId="4">
    <w:abstractNumId w:val="1"/>
  </w:num>
  <w:num w:numId="5">
    <w:abstractNumId w:val="12"/>
  </w:num>
  <w:num w:numId="6">
    <w:abstractNumId w:val="7"/>
  </w:num>
  <w:num w:numId="7">
    <w:abstractNumId w:val="6"/>
  </w:num>
  <w:num w:numId="8">
    <w:abstractNumId w:val="11"/>
  </w:num>
  <w:num w:numId="9">
    <w:abstractNumId w:val="13"/>
  </w:num>
  <w:num w:numId="10">
    <w:abstractNumId w:val="4"/>
  </w:num>
  <w:num w:numId="11">
    <w:abstractNumId w:val="0"/>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71589A"/>
    <w:rsid w:val="02E74D14"/>
    <w:rsid w:val="02FC5AB3"/>
    <w:rsid w:val="035E6B0B"/>
    <w:rsid w:val="04B15209"/>
    <w:rsid w:val="04D70225"/>
    <w:rsid w:val="05160EF2"/>
    <w:rsid w:val="0AD876A7"/>
    <w:rsid w:val="0BEB0202"/>
    <w:rsid w:val="0D326CC2"/>
    <w:rsid w:val="0E3B77DA"/>
    <w:rsid w:val="0EA03360"/>
    <w:rsid w:val="1378147A"/>
    <w:rsid w:val="1868332D"/>
    <w:rsid w:val="1DA82577"/>
    <w:rsid w:val="1E1170AC"/>
    <w:rsid w:val="22A44CDF"/>
    <w:rsid w:val="23C056A6"/>
    <w:rsid w:val="29C928E7"/>
    <w:rsid w:val="2A7C02EC"/>
    <w:rsid w:val="2A8F7CD5"/>
    <w:rsid w:val="2B3F4DD2"/>
    <w:rsid w:val="2B9654FA"/>
    <w:rsid w:val="2E7345D1"/>
    <w:rsid w:val="353F5A8C"/>
    <w:rsid w:val="36DE1355"/>
    <w:rsid w:val="36E22E88"/>
    <w:rsid w:val="393D26BB"/>
    <w:rsid w:val="3A5B7C10"/>
    <w:rsid w:val="3D9C2881"/>
    <w:rsid w:val="3F801B0E"/>
    <w:rsid w:val="413C1020"/>
    <w:rsid w:val="41A55A6F"/>
    <w:rsid w:val="429D2840"/>
    <w:rsid w:val="48A82A9E"/>
    <w:rsid w:val="4A082E0A"/>
    <w:rsid w:val="4AC268B8"/>
    <w:rsid w:val="4CC51E60"/>
    <w:rsid w:val="4CD949FD"/>
    <w:rsid w:val="4F4A4FC8"/>
    <w:rsid w:val="508341B3"/>
    <w:rsid w:val="51654692"/>
    <w:rsid w:val="54D7260C"/>
    <w:rsid w:val="55176E8F"/>
    <w:rsid w:val="55485EEA"/>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4D2DC8"/>
    <w:rsid w:val="736A2597"/>
    <w:rsid w:val="73E6120B"/>
    <w:rsid w:val="74995770"/>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21782</Words>
  <Characters>22977</Characters>
  <Lines>52</Lines>
  <Paragraphs>14</Paragraphs>
  <TotalTime>13</TotalTime>
  <ScaleCrop>false</ScaleCrop>
  <LinksUpToDate>false</LinksUpToDate>
  <CharactersWithSpaces>23943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2026-01-14T07:19:52Z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